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outlineLvl w:val="0"/>
        <w:rPr>
          <w:rFonts w:ascii="宋体" w:cs="宋体"/>
          <w:b/>
          <w:bCs/>
          <w:color w:val="000000"/>
          <w:sz w:val="44"/>
          <w:szCs w:val="44"/>
        </w:rPr>
      </w:pPr>
      <w:r>
        <w:rPr>
          <w:rFonts w:hint="eastAsia" w:ascii="宋体" w:cs="宋体"/>
        </w:rPr>
        <w:t xml:space="preserve">                          </w:t>
      </w:r>
    </w:p>
    <w:p>
      <w:pPr>
        <w:rPr>
          <w:rFonts w:ascii="宋体" w:cs="宋体"/>
          <w:sz w:val="28"/>
        </w:rPr>
      </w:pPr>
      <w:r>
        <w:rPr>
          <w:rFonts w:hint="eastAsia" w:ascii="宋体" w:cs="宋体"/>
          <w:sz w:val="28"/>
        </w:rPr>
        <w:t>合同编号：豫财单一采购-2023-99-包23</w:t>
      </w:r>
    </w:p>
    <w:p>
      <w:pPr>
        <w:jc w:val="center"/>
        <w:rPr>
          <w:rFonts w:ascii="宋体" w:cs="宋体"/>
          <w:sz w:val="52"/>
        </w:rPr>
      </w:pPr>
    </w:p>
    <w:p>
      <w:pPr>
        <w:jc w:val="center"/>
        <w:rPr>
          <w:rFonts w:ascii="宋体" w:cs="宋体"/>
          <w:sz w:val="52"/>
        </w:rPr>
      </w:pPr>
      <w:r>
        <w:rPr>
          <w:rFonts w:hint="eastAsia" w:ascii="宋体" w:cs="宋体"/>
          <w:sz w:val="52"/>
        </w:rPr>
        <w:t>数据库采购合同</w:t>
      </w:r>
    </w:p>
    <w:p>
      <w:pPr>
        <w:jc w:val="center"/>
        <w:rPr>
          <w:rFonts w:ascii="宋体" w:cs="宋体"/>
          <w:sz w:val="36"/>
        </w:rPr>
      </w:pPr>
    </w:p>
    <w:p>
      <w:pPr>
        <w:jc w:val="center"/>
        <w:rPr>
          <w:rFonts w:ascii="宋体" w:cs="宋体"/>
          <w:sz w:val="36"/>
        </w:rPr>
      </w:pPr>
    </w:p>
    <w:p>
      <w:pPr>
        <w:rPr>
          <w:rFonts w:ascii="宋体" w:cs="宋体"/>
          <w:sz w:val="32"/>
          <w:szCs w:val="32"/>
          <w:u w:val="single"/>
        </w:rPr>
      </w:pPr>
      <w:r>
        <w:rPr>
          <w:rFonts w:hint="eastAsia" w:ascii="宋体" w:cs="宋体"/>
          <w:sz w:val="36"/>
        </w:rPr>
        <w:t xml:space="preserve">     项目名称：</w:t>
      </w:r>
      <w:r>
        <w:rPr>
          <w:rFonts w:ascii="宋体" w:cs="宋体"/>
          <w:bCs/>
          <w:sz w:val="36"/>
          <w:u w:val="single"/>
        </w:rPr>
        <w:t xml:space="preserve">  </w:t>
      </w:r>
      <w:r>
        <w:rPr>
          <w:rFonts w:hint="eastAsia" w:ascii="宋体" w:cs="宋体"/>
          <w:bCs/>
          <w:sz w:val="36"/>
          <w:u w:val="single"/>
        </w:rPr>
        <w:t>河南大学2023年知网等数据库项目</w:t>
      </w:r>
      <w:r>
        <w:rPr>
          <w:rFonts w:ascii="宋体" w:cs="宋体"/>
          <w:bCs/>
          <w:sz w:val="36"/>
          <w:u w:val="single"/>
        </w:rPr>
        <w:t xml:space="preserve">                      </w:t>
      </w:r>
    </w:p>
    <w:p>
      <w:pPr>
        <w:rPr>
          <w:rFonts w:ascii="宋体" w:cs="宋体"/>
          <w:sz w:val="36"/>
          <w:u w:val="single"/>
        </w:rPr>
      </w:pPr>
    </w:p>
    <w:p>
      <w:pPr>
        <w:rPr>
          <w:rFonts w:ascii="宋体" w:cs="宋体"/>
          <w:sz w:val="36"/>
          <w:u w:val="single"/>
        </w:rPr>
      </w:pPr>
      <w:r>
        <w:rPr>
          <w:rFonts w:hint="eastAsia" w:ascii="宋体" w:cs="宋体"/>
          <w:sz w:val="36"/>
        </w:rPr>
        <w:t xml:space="preserve">     委托方（甲方）：</w:t>
      </w:r>
      <w:r>
        <w:rPr>
          <w:rFonts w:hint="eastAsia" w:ascii="宋体" w:cs="宋体"/>
          <w:sz w:val="36"/>
          <w:u w:val="single"/>
        </w:rPr>
        <w:t xml:space="preserve">     河南大学      </w:t>
      </w:r>
    </w:p>
    <w:p>
      <w:pPr>
        <w:rPr>
          <w:rFonts w:ascii="宋体" w:cs="宋体"/>
          <w:sz w:val="36"/>
          <w:u w:val="single"/>
        </w:rPr>
      </w:pPr>
      <w:r>
        <w:rPr>
          <w:rFonts w:hint="eastAsia" w:ascii="宋体" w:cs="宋体"/>
          <w:sz w:val="36"/>
        </w:rPr>
        <w:t xml:space="preserve">             </w:t>
      </w:r>
    </w:p>
    <w:p>
      <w:pPr>
        <w:rPr>
          <w:rFonts w:ascii="宋体" w:cs="宋体"/>
          <w:sz w:val="36"/>
          <w:u w:val="single"/>
        </w:rPr>
      </w:pPr>
    </w:p>
    <w:p>
      <w:pPr>
        <w:rPr>
          <w:rFonts w:ascii="宋体" w:cs="宋体"/>
          <w:sz w:val="36"/>
        </w:rPr>
      </w:pPr>
      <w:r>
        <w:rPr>
          <w:rFonts w:hint="eastAsia" w:ascii="宋体" w:cs="宋体"/>
          <w:sz w:val="36"/>
        </w:rPr>
        <w:t xml:space="preserve">     受托方（乙方）：</w:t>
      </w:r>
      <w:r>
        <w:rPr>
          <w:rFonts w:hint="eastAsia" w:ascii="宋体" w:cs="宋体"/>
          <w:sz w:val="36"/>
          <w:u w:val="single"/>
        </w:rPr>
        <w:t xml:space="preserve"> </w:t>
      </w:r>
      <w:r>
        <w:rPr>
          <w:rFonts w:ascii="宋体" w:cs="宋体"/>
          <w:sz w:val="36"/>
          <w:u w:val="single"/>
        </w:rPr>
        <w:t xml:space="preserve"> 同方知网（北京）技术有限公司                  </w:t>
      </w:r>
    </w:p>
    <w:p>
      <w:pPr>
        <w:ind w:left="-540"/>
        <w:rPr>
          <w:rFonts w:ascii="宋体" w:cs="宋体"/>
          <w:sz w:val="36"/>
          <w:u w:val="single"/>
        </w:rPr>
      </w:pPr>
      <w:r>
        <w:rPr>
          <w:rFonts w:hint="eastAsia" w:ascii="宋体" w:cs="宋体"/>
          <w:sz w:val="36"/>
        </w:rPr>
        <w:t xml:space="preserve">                    </w:t>
      </w:r>
    </w:p>
    <w:p>
      <w:pPr>
        <w:ind w:left="-180"/>
        <w:rPr>
          <w:rFonts w:ascii="宋体" w:cs="宋体"/>
          <w:sz w:val="36"/>
        </w:rPr>
      </w:pPr>
      <w:r>
        <w:rPr>
          <w:rFonts w:hint="eastAsia" w:ascii="宋体" w:cs="宋体"/>
          <w:sz w:val="36"/>
        </w:rPr>
        <w:t xml:space="preserve">      </w:t>
      </w:r>
    </w:p>
    <w:p>
      <w:pPr>
        <w:rPr>
          <w:rFonts w:ascii="宋体" w:cs="宋体"/>
          <w:sz w:val="36"/>
          <w:u w:val="single"/>
        </w:rPr>
      </w:pPr>
      <w:r>
        <w:rPr>
          <w:rFonts w:hint="eastAsia" w:ascii="宋体" w:cs="宋体"/>
          <w:sz w:val="36"/>
        </w:rPr>
        <w:t xml:space="preserve">      签订时间：</w:t>
      </w:r>
      <w:r>
        <w:rPr>
          <w:rFonts w:hint="eastAsia" w:ascii="宋体" w:cs="宋体"/>
          <w:sz w:val="36"/>
          <w:u w:val="single"/>
        </w:rPr>
        <w:t xml:space="preserve">   2023年9月15日  </w:t>
      </w:r>
      <w:r>
        <w:rPr>
          <w:rFonts w:ascii="宋体" w:cs="宋体"/>
          <w:sz w:val="36"/>
          <w:u w:val="single"/>
        </w:rPr>
        <w:t xml:space="preserve">          </w:t>
      </w:r>
      <w:r>
        <w:rPr>
          <w:rFonts w:hint="eastAsia" w:ascii="宋体" w:cs="宋体"/>
          <w:sz w:val="36"/>
          <w:u w:val="single"/>
        </w:rPr>
        <w:t xml:space="preserve">    </w:t>
      </w:r>
    </w:p>
    <w:p>
      <w:pPr>
        <w:rPr>
          <w:rFonts w:ascii="宋体" w:cs="宋体"/>
          <w:sz w:val="36"/>
        </w:rPr>
      </w:pPr>
      <w:r>
        <w:rPr>
          <w:rFonts w:hint="eastAsia" w:ascii="宋体" w:cs="宋体"/>
          <w:sz w:val="36"/>
        </w:rPr>
        <w:t xml:space="preserve">      签订地点：</w:t>
      </w:r>
      <w:r>
        <w:rPr>
          <w:rFonts w:hint="eastAsia" w:ascii="宋体" w:cs="宋体"/>
          <w:sz w:val="36"/>
          <w:u w:val="single"/>
        </w:rPr>
        <w:t xml:space="preserve">    河南开封              </w:t>
      </w:r>
      <w:r>
        <w:rPr>
          <w:rFonts w:ascii="宋体" w:cs="宋体"/>
          <w:sz w:val="36"/>
          <w:u w:val="single"/>
        </w:rPr>
        <w:t xml:space="preserve"> </w:t>
      </w:r>
      <w:r>
        <w:rPr>
          <w:rFonts w:hint="eastAsia" w:ascii="宋体" w:cs="宋体"/>
          <w:sz w:val="36"/>
        </w:rPr>
        <w:t xml:space="preserve">   </w:t>
      </w:r>
    </w:p>
    <w:p>
      <w:pPr>
        <w:rPr>
          <w:rFonts w:ascii="宋体" w:cs="宋体"/>
          <w:sz w:val="36"/>
          <w:u w:val="single"/>
        </w:rPr>
      </w:pPr>
      <w:r>
        <w:rPr>
          <w:rFonts w:hint="eastAsia" w:ascii="宋体" w:cs="宋体"/>
          <w:sz w:val="36"/>
        </w:rPr>
        <w:t xml:space="preserve">      有效期限：</w:t>
      </w:r>
      <w:r>
        <w:rPr>
          <w:rFonts w:hint="eastAsia" w:ascii="宋体" w:cs="宋体"/>
          <w:sz w:val="36"/>
          <w:u w:val="single"/>
        </w:rPr>
        <w:t xml:space="preserve"> 2023年1月1日-2023年12月31日</w:t>
      </w:r>
      <w:r>
        <w:rPr>
          <w:rFonts w:ascii="宋体" w:cs="宋体"/>
          <w:sz w:val="36"/>
          <w:u w:val="single"/>
        </w:rPr>
        <w:t xml:space="preserve">                </w:t>
      </w:r>
    </w:p>
    <w:p>
      <w:pPr>
        <w:pStyle w:val="2"/>
      </w:pPr>
    </w:p>
    <w:p>
      <w:pPr>
        <w:spacing w:line="540" w:lineRule="exact"/>
        <w:ind w:firstLine="2530" w:firstLineChars="700"/>
        <w:outlineLvl w:val="0"/>
        <w:rPr>
          <w:rFonts w:ascii="宋体" w:cs="宋体"/>
          <w:b/>
          <w:bCs/>
          <w:sz w:val="36"/>
          <w:szCs w:val="36"/>
        </w:rPr>
        <w:sectPr>
          <w:pgSz w:w="11906" w:h="16838"/>
          <w:pgMar w:top="1440" w:right="1286" w:bottom="1440" w:left="1380" w:header="851" w:footer="992" w:gutter="0"/>
          <w:cols w:space="720" w:num="1"/>
          <w:docGrid w:type="lines" w:linePitch="312" w:charSpace="0"/>
        </w:sectPr>
      </w:pPr>
    </w:p>
    <w:p>
      <w:pPr>
        <w:spacing w:line="540" w:lineRule="exact"/>
        <w:ind w:firstLine="3253" w:firstLineChars="900"/>
        <w:outlineLvl w:val="0"/>
        <w:rPr>
          <w:rFonts w:ascii="宋体" w:cs="宋体"/>
          <w:b/>
          <w:sz w:val="36"/>
          <w:szCs w:val="36"/>
        </w:rPr>
      </w:pPr>
      <w:r>
        <w:rPr>
          <w:rFonts w:hint="eastAsia" w:ascii="宋体" w:cs="宋体"/>
          <w:b/>
          <w:bCs/>
          <w:sz w:val="36"/>
          <w:szCs w:val="36"/>
        </w:rPr>
        <w:t>数据库采购合同</w:t>
      </w:r>
    </w:p>
    <w:p>
      <w:pPr>
        <w:ind w:right="-154"/>
        <w:jc w:val="center"/>
        <w:rPr>
          <w:rFonts w:ascii="宋体" w:cs="宋体"/>
          <w:sz w:val="24"/>
        </w:rPr>
      </w:pPr>
    </w:p>
    <w:p>
      <w:pPr>
        <w:ind w:right="90"/>
        <w:rPr>
          <w:rFonts w:ascii="宋体" w:cs="宋体"/>
          <w:sz w:val="24"/>
        </w:rPr>
      </w:pPr>
      <w:r>
        <w:rPr>
          <w:rFonts w:hint="eastAsia" w:ascii="宋体" w:cs="宋体"/>
          <w:b/>
          <w:sz w:val="24"/>
        </w:rPr>
        <w:t>需方（甲方）：</w:t>
      </w:r>
      <w:r>
        <w:rPr>
          <w:rFonts w:hint="eastAsia" w:ascii="宋体" w:cs="宋体"/>
          <w:b/>
          <w:sz w:val="24"/>
          <w:u w:val="single"/>
        </w:rPr>
        <w:t xml:space="preserve"> 河南大学   </w:t>
      </w:r>
      <w:r>
        <w:rPr>
          <w:rFonts w:hint="eastAsia" w:ascii="宋体" w:cs="宋体"/>
          <w:b/>
          <w:sz w:val="24"/>
        </w:rPr>
        <w:t xml:space="preserve">                  </w:t>
      </w:r>
      <w:r>
        <w:rPr>
          <w:rFonts w:hint="eastAsia" w:ascii="宋体" w:cs="宋体"/>
          <w:sz w:val="24"/>
        </w:rPr>
        <w:t>签订地点：</w:t>
      </w:r>
      <w:r>
        <w:rPr>
          <w:rFonts w:hint="eastAsia" w:ascii="宋体" w:cs="宋体"/>
          <w:b/>
          <w:sz w:val="24"/>
          <w:u w:val="single"/>
        </w:rPr>
        <w:t>河南</w:t>
      </w:r>
      <w:r>
        <w:rPr>
          <w:rFonts w:ascii="宋体" w:cs="宋体"/>
          <w:b/>
          <w:sz w:val="24"/>
          <w:u w:val="single"/>
        </w:rPr>
        <w:t>开封</w:t>
      </w:r>
    </w:p>
    <w:p>
      <w:pPr>
        <w:spacing w:line="360" w:lineRule="auto"/>
        <w:jc w:val="left"/>
        <w:rPr>
          <w:rFonts w:ascii="宋体" w:cs="宋体"/>
          <w:sz w:val="24"/>
        </w:rPr>
      </w:pPr>
      <w:r>
        <w:rPr>
          <w:rFonts w:hint="eastAsia" w:ascii="宋体" w:cs="宋体"/>
          <w:b/>
          <w:sz w:val="24"/>
        </w:rPr>
        <w:t>供方（乙方）：</w:t>
      </w:r>
      <w:r>
        <w:rPr>
          <w:rFonts w:ascii="宋体" w:cs="宋体"/>
          <w:b/>
          <w:sz w:val="24"/>
          <w:u w:val="single"/>
        </w:rPr>
        <w:t xml:space="preserve"> 同方知网（北京）技术有限公司 </w:t>
      </w:r>
      <w:r>
        <w:rPr>
          <w:rFonts w:ascii="宋体" w:cs="宋体"/>
          <w:b/>
          <w:sz w:val="24"/>
        </w:rPr>
        <w:t xml:space="preserve"> </w:t>
      </w:r>
      <w:r>
        <w:rPr>
          <w:rFonts w:hint="eastAsia" w:ascii="宋体" w:cs="宋体"/>
          <w:sz w:val="24"/>
        </w:rPr>
        <w:t>签订时间：2023年9月15日</w:t>
      </w:r>
    </w:p>
    <w:p>
      <w:pPr>
        <w:spacing w:line="360" w:lineRule="auto"/>
        <w:rPr>
          <w:rFonts w:ascii="宋体" w:cs="宋体"/>
          <w:sz w:val="24"/>
        </w:rPr>
      </w:pPr>
      <w:r>
        <w:rPr>
          <w:rFonts w:hint="eastAsia" w:ascii="宋体" w:cs="宋体"/>
          <w:sz w:val="24"/>
        </w:rPr>
        <w:t xml:space="preserve">    供、需双方根据</w:t>
      </w:r>
      <w:r>
        <w:rPr>
          <w:rFonts w:ascii="宋体" w:cs="宋体"/>
          <w:sz w:val="24"/>
          <w:u w:val="single"/>
        </w:rPr>
        <w:t xml:space="preserve">  </w:t>
      </w:r>
      <w:r>
        <w:rPr>
          <w:rFonts w:hint="eastAsia" w:ascii="宋体" w:cs="宋体"/>
          <w:sz w:val="24"/>
          <w:u w:val="single"/>
        </w:rPr>
        <w:t>23</w:t>
      </w:r>
      <w:r>
        <w:rPr>
          <w:rFonts w:ascii="宋体" w:cs="宋体"/>
          <w:sz w:val="24"/>
          <w:u w:val="single"/>
        </w:rPr>
        <w:t xml:space="preserve">  </w:t>
      </w:r>
      <w:r>
        <w:rPr>
          <w:rFonts w:hint="eastAsia" w:ascii="宋体" w:cs="宋体"/>
          <w:sz w:val="24"/>
        </w:rPr>
        <w:t xml:space="preserve">包的成交通知书和招、投标文件，经双方协商一致，达成以下合同条款： </w:t>
      </w:r>
    </w:p>
    <w:p>
      <w:pPr>
        <w:spacing w:line="360" w:lineRule="auto"/>
        <w:ind w:firstLine="482" w:firstLineChars="200"/>
        <w:rPr>
          <w:rFonts w:ascii="宋体" w:cs="宋体"/>
          <w:b/>
          <w:sz w:val="24"/>
        </w:rPr>
      </w:pPr>
      <w:r>
        <w:rPr>
          <w:rFonts w:hint="eastAsia" w:ascii="宋体" w:cs="宋体"/>
          <w:b/>
          <w:sz w:val="24"/>
        </w:rPr>
        <w:t>一、合同金额</w:t>
      </w:r>
    </w:p>
    <w:p>
      <w:pPr>
        <w:spacing w:line="360" w:lineRule="auto"/>
        <w:ind w:firstLine="480" w:firstLineChars="200"/>
        <w:rPr>
          <w:rFonts w:ascii="宋体" w:cs="宋体"/>
          <w:sz w:val="24"/>
        </w:rPr>
      </w:pPr>
      <w:r>
        <w:rPr>
          <w:rFonts w:hint="eastAsia" w:ascii="宋体" w:cs="宋体"/>
          <w:sz w:val="24"/>
        </w:rPr>
        <w:t>本合同的总金额为人民币</w:t>
      </w:r>
      <w:r>
        <w:rPr>
          <w:rFonts w:hint="eastAsia" w:ascii="宋体" w:cs="宋体"/>
          <w:sz w:val="24"/>
          <w:u w:val="single"/>
        </w:rPr>
        <w:t>：壹佰零伍万</w:t>
      </w:r>
      <w:r>
        <w:rPr>
          <w:rFonts w:hint="eastAsia" w:ascii="宋体" w:cs="宋体"/>
          <w:sz w:val="24"/>
        </w:rPr>
        <w:t>元(大写)</w:t>
      </w:r>
      <w:r>
        <w:rPr>
          <w:rFonts w:hint="eastAsia" w:ascii="宋体" w:cs="宋体"/>
          <w:b/>
          <w:sz w:val="24"/>
        </w:rPr>
        <w:t>；</w:t>
      </w:r>
      <w:r>
        <w:rPr>
          <w:rFonts w:hint="eastAsia" w:ascii="宋体" w:cs="宋体"/>
          <w:sz w:val="24"/>
        </w:rPr>
        <w:t>该价格已经包含安装、调试、使用访问、培训、税金、利润及供方人员差旅费用等全部费用。</w:t>
      </w:r>
    </w:p>
    <w:p>
      <w:pPr>
        <w:spacing w:line="360" w:lineRule="auto"/>
        <w:ind w:firstLine="482" w:firstLineChars="200"/>
        <w:rPr>
          <w:rFonts w:ascii="宋体" w:cs="宋体"/>
          <w:sz w:val="24"/>
        </w:rPr>
      </w:pPr>
      <w:r>
        <w:rPr>
          <w:rFonts w:hint="eastAsia" w:ascii="宋体" w:cs="宋体"/>
          <w:b/>
          <w:sz w:val="24"/>
        </w:rPr>
        <w:t>二、数据库内容要求及供方对质量负责条件和期限</w:t>
      </w:r>
      <w:r>
        <w:rPr>
          <w:rFonts w:hint="eastAsia" w:ascii="宋体" w:cs="宋体"/>
          <w:sz w:val="24"/>
        </w:rPr>
        <w:t xml:space="preserve"> </w:t>
      </w:r>
    </w:p>
    <w:p>
      <w:pPr>
        <w:spacing w:line="360" w:lineRule="auto"/>
        <w:ind w:firstLine="480" w:firstLineChars="200"/>
        <w:rPr>
          <w:rFonts w:ascii="宋体" w:cs="宋体"/>
          <w:sz w:val="24"/>
        </w:rPr>
      </w:pPr>
      <w:r>
        <w:rPr>
          <w:rFonts w:hint="eastAsia" w:ascii="宋体" w:cs="宋体"/>
          <w:sz w:val="24"/>
        </w:rPr>
        <w:t>供方提供的数据库产品是严格按照需方选定的，符合本行业的相关标准。</w:t>
      </w:r>
    </w:p>
    <w:p>
      <w:pPr>
        <w:spacing w:line="360" w:lineRule="auto"/>
        <w:rPr>
          <w:rFonts w:ascii="宋体" w:cs="宋体"/>
          <w:sz w:val="24"/>
        </w:rPr>
      </w:pPr>
      <w:r>
        <w:rPr>
          <w:rFonts w:hint="eastAsia" w:ascii="宋体" w:cs="宋体"/>
          <w:sz w:val="24"/>
        </w:rPr>
        <w:t xml:space="preserve">     1.数据库清单如下：</w:t>
      </w:r>
    </w:p>
    <w:tbl>
      <w:tblPr>
        <w:tblStyle w:val="10"/>
        <w:tblW w:w="9432" w:type="dxa"/>
        <w:jc w:val="center"/>
        <w:tblLayout w:type="fixed"/>
        <w:tblCellMar>
          <w:top w:w="0" w:type="dxa"/>
          <w:left w:w="108" w:type="dxa"/>
          <w:bottom w:w="0" w:type="dxa"/>
          <w:right w:w="108" w:type="dxa"/>
        </w:tblCellMar>
      </w:tblPr>
      <w:tblGrid>
        <w:gridCol w:w="539"/>
        <w:gridCol w:w="1545"/>
        <w:gridCol w:w="3015"/>
        <w:gridCol w:w="1080"/>
        <w:gridCol w:w="721"/>
        <w:gridCol w:w="1229"/>
        <w:gridCol w:w="1303"/>
      </w:tblGrid>
      <w:tr>
        <w:tblPrEx>
          <w:tblCellMar>
            <w:top w:w="0" w:type="dxa"/>
            <w:left w:w="108" w:type="dxa"/>
            <w:bottom w:w="0" w:type="dxa"/>
            <w:right w:w="108" w:type="dxa"/>
          </w:tblCellMar>
        </w:tblPrEx>
        <w:trPr>
          <w:trHeight w:val="359" w:hRule="atLeast"/>
          <w:jc w:val="center"/>
        </w:trPr>
        <w:tc>
          <w:tcPr>
            <w:tcW w:w="539" w:type="dxa"/>
            <w:tcBorders>
              <w:top w:val="single" w:color="auto" w:sz="8" w:space="0"/>
              <w:left w:val="single" w:color="auto" w:sz="8" w:space="0"/>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序号</w:t>
            </w:r>
          </w:p>
        </w:tc>
        <w:tc>
          <w:tcPr>
            <w:tcW w:w="1545"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数据库名称</w:t>
            </w:r>
          </w:p>
          <w:p>
            <w:pPr>
              <w:rPr>
                <w:rFonts w:ascii="楷体" w:eastAsia="楷体" w:cs="楷体"/>
                <w:b/>
                <w:bCs/>
                <w:sz w:val="24"/>
                <w:szCs w:val="22"/>
              </w:rPr>
            </w:pPr>
            <w:r>
              <w:rPr>
                <w:rFonts w:hint="eastAsia" w:ascii="楷体" w:eastAsia="楷体" w:cs="楷体"/>
                <w:b/>
                <w:bCs/>
                <w:sz w:val="24"/>
                <w:szCs w:val="22"/>
              </w:rPr>
              <w:t>（版本类型）</w:t>
            </w:r>
          </w:p>
        </w:tc>
        <w:tc>
          <w:tcPr>
            <w:tcW w:w="3015"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本合同期新增资源类型及数量</w:t>
            </w:r>
          </w:p>
        </w:tc>
        <w:tc>
          <w:tcPr>
            <w:tcW w:w="1080"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服务</w:t>
            </w:r>
          </w:p>
          <w:p>
            <w:pPr>
              <w:jc w:val="center"/>
              <w:rPr>
                <w:rFonts w:ascii="楷体" w:eastAsia="楷体" w:cs="楷体"/>
                <w:b/>
                <w:bCs/>
                <w:sz w:val="24"/>
                <w:szCs w:val="22"/>
              </w:rPr>
            </w:pPr>
            <w:r>
              <w:rPr>
                <w:rFonts w:hint="eastAsia" w:ascii="楷体" w:eastAsia="楷体" w:cs="楷体"/>
                <w:b/>
                <w:bCs/>
                <w:sz w:val="24"/>
                <w:szCs w:val="22"/>
              </w:rPr>
              <w:t>期限</w:t>
            </w:r>
          </w:p>
        </w:tc>
        <w:tc>
          <w:tcPr>
            <w:tcW w:w="721"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数量</w:t>
            </w:r>
          </w:p>
        </w:tc>
        <w:tc>
          <w:tcPr>
            <w:tcW w:w="1229"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单价（元）</w:t>
            </w:r>
          </w:p>
        </w:tc>
        <w:tc>
          <w:tcPr>
            <w:tcW w:w="1303"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小计（元）</w:t>
            </w:r>
          </w:p>
        </w:tc>
      </w:tr>
      <w:tr>
        <w:tblPrEx>
          <w:tblCellMar>
            <w:top w:w="0" w:type="dxa"/>
            <w:left w:w="108" w:type="dxa"/>
            <w:bottom w:w="0" w:type="dxa"/>
            <w:right w:w="108" w:type="dxa"/>
          </w:tblCellMar>
        </w:tblPrEx>
        <w:trPr>
          <w:trHeight w:val="428" w:hRule="atLeast"/>
          <w:jc w:val="center"/>
        </w:trPr>
        <w:tc>
          <w:tcPr>
            <w:tcW w:w="539" w:type="dxa"/>
            <w:tcBorders>
              <w:top w:val="single" w:color="auto" w:sz="8" w:space="0"/>
              <w:left w:val="single" w:color="auto" w:sz="8" w:space="0"/>
              <w:bottom w:val="single" w:color="auto" w:sz="8" w:space="0"/>
              <w:right w:val="single" w:color="auto" w:sz="8" w:space="0"/>
            </w:tcBorders>
            <w:vAlign w:val="center"/>
          </w:tcPr>
          <w:p>
            <w:pPr>
              <w:tabs>
                <w:tab w:val="center" w:pos="162"/>
              </w:tabs>
              <w:spacing w:line="360" w:lineRule="auto"/>
              <w:ind w:firstLine="480" w:firstLineChars="200"/>
              <w:jc w:val="center"/>
              <w:rPr>
                <w:rFonts w:ascii="宋体" w:cs="宋体"/>
                <w:sz w:val="24"/>
              </w:rPr>
            </w:pPr>
            <w:r>
              <w:rPr>
                <w:rFonts w:hint="eastAsia" w:ascii="宋体" w:cs="宋体"/>
                <w:sz w:val="24"/>
              </w:rPr>
              <w:t>11</w:t>
            </w:r>
          </w:p>
        </w:tc>
        <w:tc>
          <w:tcPr>
            <w:tcW w:w="1545" w:type="dxa"/>
            <w:tcBorders>
              <w:top w:val="single" w:color="auto" w:sz="8" w:space="0"/>
              <w:left w:val="nil"/>
              <w:bottom w:val="single" w:color="auto" w:sz="8" w:space="0"/>
              <w:right w:val="single" w:color="auto" w:sz="8" w:space="0"/>
            </w:tcBorders>
            <w:vAlign w:val="center"/>
          </w:tcPr>
          <w:p>
            <w:pPr>
              <w:spacing w:line="360" w:lineRule="auto"/>
              <w:jc w:val="center"/>
              <w:rPr>
                <w:rFonts w:ascii="宋体" w:cs="宋体"/>
                <w:sz w:val="24"/>
              </w:rPr>
            </w:pPr>
            <w:r>
              <w:rPr>
                <w:rFonts w:ascii="宋体" w:cs="宋体"/>
                <w:sz w:val="24"/>
              </w:rPr>
              <w:t>中国知网数据库</w:t>
            </w:r>
          </w:p>
        </w:tc>
        <w:tc>
          <w:tcPr>
            <w:tcW w:w="3015" w:type="dxa"/>
            <w:tcBorders>
              <w:top w:val="single" w:color="auto" w:sz="8" w:space="0"/>
              <w:left w:val="nil"/>
              <w:bottom w:val="single" w:color="auto" w:sz="8" w:space="0"/>
              <w:right w:val="single" w:color="auto" w:sz="8" w:space="0"/>
            </w:tcBorders>
            <w:vAlign w:val="center"/>
          </w:tcPr>
          <w:p>
            <w:pPr>
              <w:pStyle w:val="2"/>
            </w:pPr>
            <w:r>
              <w:rPr>
                <w:rFonts w:hint="eastAsia"/>
              </w:rPr>
              <w:t>中国学术期刊、学术辑刊、博士学位论文、优秀硕士学位论文、重要报纸、年鉴、工具书、科技成果、国际会议论文、中国重要会议论文、中国专利全文、海外专利摘要、党建期刊、政报公报、中国引文库等数据库</w:t>
            </w:r>
          </w:p>
        </w:tc>
        <w:tc>
          <w:tcPr>
            <w:tcW w:w="1080" w:type="dxa"/>
            <w:tcBorders>
              <w:top w:val="single" w:color="auto" w:sz="8" w:space="0"/>
              <w:left w:val="nil"/>
              <w:bottom w:val="single" w:color="auto" w:sz="8" w:space="0"/>
              <w:right w:val="single" w:color="auto" w:sz="8" w:space="0"/>
            </w:tcBorders>
            <w:vAlign w:val="center"/>
          </w:tcPr>
          <w:p>
            <w:pPr>
              <w:jc w:val="left"/>
              <w:rPr>
                <w:rFonts w:ascii="宋体" w:cs="宋体"/>
                <w:sz w:val="24"/>
              </w:rPr>
            </w:pPr>
            <w:r>
              <w:rPr>
                <w:rFonts w:hint="eastAsia" w:ascii="宋体" w:cs="宋体"/>
                <w:sz w:val="24"/>
              </w:rPr>
              <w:t>2023年1月1日-2023年12月31日</w:t>
            </w:r>
          </w:p>
        </w:tc>
        <w:tc>
          <w:tcPr>
            <w:tcW w:w="721" w:type="dxa"/>
            <w:tcBorders>
              <w:top w:val="single" w:color="auto" w:sz="8" w:space="0"/>
              <w:left w:val="nil"/>
              <w:bottom w:val="single" w:color="auto" w:sz="8" w:space="0"/>
              <w:right w:val="single" w:color="auto" w:sz="8" w:space="0"/>
            </w:tcBorders>
            <w:vAlign w:val="center"/>
          </w:tcPr>
          <w:p>
            <w:pPr>
              <w:jc w:val="center"/>
              <w:rPr>
                <w:rFonts w:ascii="宋体" w:cs="宋体"/>
                <w:sz w:val="24"/>
              </w:rPr>
            </w:pPr>
            <w:r>
              <w:rPr>
                <w:rFonts w:hint="eastAsia" w:ascii="宋体" w:cs="宋体"/>
                <w:sz w:val="24"/>
              </w:rPr>
              <w:t>1套</w:t>
            </w:r>
          </w:p>
        </w:tc>
        <w:tc>
          <w:tcPr>
            <w:tcW w:w="1229" w:type="dxa"/>
            <w:tcBorders>
              <w:top w:val="single" w:color="auto" w:sz="8" w:space="0"/>
              <w:left w:val="nil"/>
              <w:bottom w:val="single" w:color="auto" w:sz="8" w:space="0"/>
              <w:right w:val="single" w:color="auto" w:sz="8" w:space="0"/>
            </w:tcBorders>
            <w:vAlign w:val="center"/>
          </w:tcPr>
          <w:p>
            <w:pPr>
              <w:jc w:val="center"/>
              <w:rPr>
                <w:rFonts w:ascii="宋体" w:cs="宋体"/>
                <w:sz w:val="24"/>
              </w:rPr>
            </w:pPr>
            <w:r>
              <w:rPr>
                <w:rFonts w:hint="eastAsia" w:ascii="宋体" w:cs="宋体"/>
                <w:sz w:val="24"/>
              </w:rPr>
              <w:t>1050000.00</w:t>
            </w:r>
          </w:p>
        </w:tc>
        <w:tc>
          <w:tcPr>
            <w:tcW w:w="1303" w:type="dxa"/>
            <w:tcBorders>
              <w:top w:val="single" w:color="auto" w:sz="8" w:space="0"/>
              <w:left w:val="nil"/>
              <w:bottom w:val="single" w:color="auto" w:sz="8" w:space="0"/>
              <w:right w:val="single" w:color="auto" w:sz="8" w:space="0"/>
            </w:tcBorders>
            <w:vAlign w:val="center"/>
          </w:tcPr>
          <w:p>
            <w:pPr>
              <w:jc w:val="center"/>
              <w:rPr>
                <w:rFonts w:ascii="宋体" w:cs="宋体"/>
                <w:sz w:val="24"/>
              </w:rPr>
            </w:pPr>
            <w:r>
              <w:rPr>
                <w:rFonts w:hint="eastAsia" w:ascii="宋体" w:cs="宋体"/>
                <w:sz w:val="24"/>
              </w:rPr>
              <w:t>1050000.00</w:t>
            </w:r>
          </w:p>
        </w:tc>
      </w:tr>
      <w:tr>
        <w:tblPrEx>
          <w:tblCellMar>
            <w:top w:w="0" w:type="dxa"/>
            <w:left w:w="108" w:type="dxa"/>
            <w:bottom w:w="0" w:type="dxa"/>
            <w:right w:w="108" w:type="dxa"/>
          </w:tblCellMar>
        </w:tblPrEx>
        <w:trPr>
          <w:trHeight w:val="467" w:hRule="atLeast"/>
          <w:jc w:val="center"/>
        </w:trPr>
        <w:tc>
          <w:tcPr>
            <w:tcW w:w="539" w:type="dxa"/>
            <w:tcBorders>
              <w:top w:val="single" w:color="auto" w:sz="8" w:space="0"/>
              <w:left w:val="single" w:color="auto" w:sz="8" w:space="0"/>
              <w:bottom w:val="single" w:color="auto" w:sz="8" w:space="0"/>
              <w:right w:val="single" w:color="auto" w:sz="8" w:space="0"/>
            </w:tcBorders>
            <w:vAlign w:val="center"/>
          </w:tcPr>
          <w:p>
            <w:pPr>
              <w:jc w:val="center"/>
              <w:rPr>
                <w:rFonts w:ascii="宋体" w:cs="宋体"/>
                <w:sz w:val="24"/>
              </w:rPr>
            </w:pPr>
          </w:p>
        </w:tc>
        <w:tc>
          <w:tcPr>
            <w:tcW w:w="1545"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合计</w:t>
            </w:r>
          </w:p>
        </w:tc>
        <w:tc>
          <w:tcPr>
            <w:tcW w:w="7348" w:type="dxa"/>
            <w:gridSpan w:val="5"/>
            <w:tcBorders>
              <w:top w:val="single" w:color="auto" w:sz="8" w:space="0"/>
              <w:left w:val="nil"/>
              <w:bottom w:val="single" w:color="auto" w:sz="8" w:space="0"/>
              <w:right w:val="single" w:color="auto" w:sz="8" w:space="0"/>
            </w:tcBorders>
            <w:vAlign w:val="center"/>
          </w:tcPr>
          <w:p>
            <w:pPr>
              <w:rPr>
                <w:rFonts w:ascii="楷体" w:eastAsia="楷体" w:cs="楷体"/>
                <w:b/>
                <w:bCs/>
                <w:sz w:val="24"/>
                <w:szCs w:val="22"/>
              </w:rPr>
            </w:pPr>
            <w:r>
              <w:rPr>
                <w:rFonts w:hint="eastAsia" w:ascii="宋体" w:cs="宋体"/>
                <w:sz w:val="24"/>
              </w:rPr>
              <w:t>小写：</w:t>
            </w:r>
            <w:r>
              <w:rPr>
                <w:rFonts w:hint="eastAsia" w:ascii="宋体" w:cs="宋体"/>
                <w:sz w:val="24"/>
                <w:u w:val="single"/>
              </w:rPr>
              <w:t>￥1050000.00元</w:t>
            </w:r>
            <w:r>
              <w:rPr>
                <w:rFonts w:ascii="宋体" w:cs="宋体"/>
                <w:sz w:val="24"/>
                <w:u w:val="single"/>
              </w:rPr>
              <w:t xml:space="preserve"> </w:t>
            </w:r>
            <w:r>
              <w:rPr>
                <w:rFonts w:hint="eastAsia" w:ascii="宋体" w:cs="宋体"/>
                <w:sz w:val="24"/>
              </w:rPr>
              <w:t xml:space="preserve">  大写：</w:t>
            </w:r>
            <w:r>
              <w:rPr>
                <w:rFonts w:hint="eastAsia" w:ascii="宋体" w:cs="宋体"/>
                <w:sz w:val="24"/>
                <w:u w:val="single"/>
              </w:rPr>
              <w:t xml:space="preserve"> 人民币壹佰零伍万元整</w:t>
            </w:r>
            <w:r>
              <w:rPr>
                <w:rFonts w:ascii="宋体" w:cs="宋体"/>
                <w:sz w:val="24"/>
                <w:u w:val="single"/>
              </w:rPr>
              <w:t xml:space="preserve">   </w:t>
            </w:r>
          </w:p>
        </w:tc>
      </w:tr>
    </w:tbl>
    <w:p>
      <w:pPr>
        <w:spacing w:line="360" w:lineRule="auto"/>
        <w:ind w:firstLine="480" w:firstLineChars="200"/>
        <w:rPr>
          <w:rFonts w:ascii="宋体" w:cs="宋体"/>
          <w:sz w:val="24"/>
        </w:rPr>
      </w:pPr>
      <w:r>
        <w:rPr>
          <w:rFonts w:hint="eastAsia" w:ascii="宋体" w:cs="宋体"/>
          <w:sz w:val="24"/>
        </w:rPr>
        <w:t>供方应及时更新数据，升级完善数据库发布平台；供方应在交货时向需方提供数据库使用说明等相关资料，合同期内如果有更新，及时将更新后的使用说明电子版交付需方技术部； 合同期内，技术服务人员变更，请及时变更信息告知供方采编中心和技术部；如有镜像，供方应按需方要求及时安装；按月份做好需方的使用报告，每月更新，定期发送给需方。</w:t>
      </w:r>
    </w:p>
    <w:p>
      <w:pPr>
        <w:spacing w:line="360" w:lineRule="auto"/>
        <w:ind w:firstLine="480" w:firstLineChars="200"/>
        <w:rPr>
          <w:rFonts w:ascii="宋体" w:cs="宋体"/>
          <w:sz w:val="24"/>
        </w:rPr>
      </w:pPr>
      <w:r>
        <w:rPr>
          <w:rFonts w:hint="eastAsia" w:ascii="宋体" w:cs="宋体"/>
          <w:sz w:val="24"/>
        </w:rPr>
        <w:t>2.详细的技术规格、质保及售后服务见附件。</w:t>
      </w:r>
    </w:p>
    <w:p>
      <w:pPr>
        <w:spacing w:line="360" w:lineRule="auto"/>
        <w:ind w:firstLine="482" w:firstLineChars="200"/>
        <w:rPr>
          <w:rFonts w:ascii="宋体" w:cs="宋体"/>
          <w:b/>
          <w:sz w:val="24"/>
        </w:rPr>
      </w:pPr>
      <w:r>
        <w:rPr>
          <w:rFonts w:hint="eastAsia" w:ascii="宋体" w:cs="宋体"/>
          <w:b/>
          <w:sz w:val="24"/>
        </w:rPr>
        <w:t>三、产品调试</w:t>
      </w:r>
    </w:p>
    <w:p>
      <w:pPr>
        <w:spacing w:line="360" w:lineRule="auto"/>
        <w:ind w:firstLine="480" w:firstLineChars="200"/>
        <w:rPr>
          <w:rFonts w:ascii="宋体" w:cs="宋体"/>
          <w:color w:val="000000"/>
          <w:sz w:val="24"/>
        </w:rPr>
      </w:pPr>
      <w:r>
        <w:rPr>
          <w:rFonts w:hint="eastAsia" w:ascii="宋体" w:cs="宋体"/>
          <w:color w:val="000000"/>
          <w:sz w:val="24"/>
        </w:rPr>
        <w:t>供方对数据库产品免费进行远程开通调试，使其投入正常运行；供方要在签订合同之前把数据库目录内容提供给采购人，否则将扣除履约保证金壹仟元；供方在每年的12月20日之前把该数据库新增的目录</w:t>
      </w:r>
      <w:r>
        <w:rPr>
          <w:rFonts w:hint="eastAsia" w:ascii="宋体" w:cs="宋体"/>
          <w:sz w:val="24"/>
        </w:rPr>
        <w:t>内容</w:t>
      </w:r>
      <w:r>
        <w:rPr>
          <w:rFonts w:hint="eastAsia" w:ascii="宋体" w:cs="宋体"/>
          <w:color w:val="000000"/>
          <w:sz w:val="24"/>
        </w:rPr>
        <w:t>提供给采购人，否则将扣除履约保证金人民币壹仟元。</w:t>
      </w:r>
    </w:p>
    <w:p>
      <w:pPr>
        <w:spacing w:line="360" w:lineRule="auto"/>
        <w:ind w:firstLine="482" w:firstLineChars="200"/>
        <w:rPr>
          <w:rFonts w:ascii="宋体" w:cs="宋体"/>
          <w:b/>
          <w:color w:val="000000"/>
          <w:sz w:val="24"/>
        </w:rPr>
      </w:pPr>
      <w:r>
        <w:rPr>
          <w:rFonts w:hint="eastAsia" w:ascii="宋体" w:cs="宋体"/>
          <w:b/>
          <w:color w:val="000000"/>
          <w:sz w:val="24"/>
        </w:rPr>
        <w:t>四、人员培训和服务推广</w:t>
      </w:r>
    </w:p>
    <w:p>
      <w:pPr>
        <w:spacing w:line="360" w:lineRule="auto"/>
        <w:ind w:firstLine="480" w:firstLineChars="200"/>
        <w:rPr>
          <w:rFonts w:ascii="宋体" w:cs="宋体"/>
          <w:color w:val="000000"/>
          <w:sz w:val="24"/>
        </w:rPr>
      </w:pPr>
      <w:r>
        <w:rPr>
          <w:rFonts w:hint="eastAsia" w:ascii="宋体" w:cs="宋体"/>
          <w:color w:val="000000"/>
          <w:sz w:val="24"/>
        </w:rPr>
        <w:t>供方免费为需方人员进行现场技术培训，每年</w:t>
      </w:r>
      <w:r>
        <w:rPr>
          <w:rFonts w:ascii="宋体" w:cs="宋体"/>
          <w:color w:val="000000"/>
          <w:sz w:val="24"/>
        </w:rPr>
        <w:t>每个数据库务必在合同期结束前</w:t>
      </w:r>
      <w:r>
        <w:rPr>
          <w:rFonts w:hint="eastAsia" w:ascii="宋体" w:cs="宋体"/>
          <w:color w:val="000000"/>
          <w:sz w:val="24"/>
        </w:rPr>
        <w:t>进行数据库现场培训1-2次，否则将扣除履约保证金人民币</w:t>
      </w:r>
      <w:r>
        <w:rPr>
          <w:rFonts w:ascii="宋体" w:cs="宋体"/>
          <w:color w:val="000000"/>
          <w:sz w:val="24"/>
        </w:rPr>
        <w:t>贰仟</w:t>
      </w:r>
      <w:r>
        <w:rPr>
          <w:rFonts w:hint="eastAsia" w:ascii="宋体" w:cs="宋体"/>
          <w:color w:val="000000"/>
          <w:sz w:val="24"/>
        </w:rPr>
        <w:t>元；同时</w:t>
      </w:r>
      <w:r>
        <w:rPr>
          <w:rFonts w:ascii="宋体" w:cs="宋体"/>
          <w:color w:val="000000"/>
          <w:sz w:val="24"/>
        </w:rPr>
        <w:t>务必在合同期结束前</w:t>
      </w:r>
      <w:r>
        <w:rPr>
          <w:rFonts w:hint="eastAsia" w:ascii="宋体" w:cs="宋体"/>
          <w:color w:val="000000"/>
          <w:sz w:val="24"/>
        </w:rPr>
        <w:t>开展</w:t>
      </w:r>
      <w:r>
        <w:rPr>
          <w:rFonts w:ascii="宋体" w:cs="宋体"/>
          <w:color w:val="000000"/>
          <w:sz w:val="24"/>
        </w:rPr>
        <w:t>完成</w:t>
      </w:r>
      <w:r>
        <w:rPr>
          <w:rFonts w:hint="eastAsia" w:ascii="宋体" w:cs="宋体"/>
          <w:color w:val="000000"/>
          <w:sz w:val="24"/>
        </w:rPr>
        <w:t>线上或线下</w:t>
      </w:r>
      <w:r>
        <w:rPr>
          <w:rFonts w:ascii="宋体" w:cs="宋体"/>
          <w:color w:val="000000"/>
          <w:sz w:val="24"/>
        </w:rPr>
        <w:t>的数据库</w:t>
      </w:r>
      <w:r>
        <w:rPr>
          <w:rFonts w:hint="eastAsia" w:ascii="宋体" w:cs="宋体"/>
          <w:color w:val="000000"/>
          <w:sz w:val="24"/>
        </w:rPr>
        <w:t>宣传</w:t>
      </w:r>
      <w:r>
        <w:rPr>
          <w:rFonts w:ascii="宋体" w:cs="宋体"/>
          <w:color w:val="000000"/>
          <w:sz w:val="24"/>
        </w:rPr>
        <w:t>或有奖</w:t>
      </w:r>
      <w:r>
        <w:rPr>
          <w:rFonts w:hint="eastAsia" w:ascii="宋体" w:cs="宋体"/>
          <w:color w:val="000000"/>
          <w:sz w:val="24"/>
        </w:rPr>
        <w:t>推广活动至少一次，否则将扣除履约保证金人民币</w:t>
      </w:r>
      <w:r>
        <w:rPr>
          <w:rFonts w:ascii="宋体" w:cs="宋体"/>
          <w:color w:val="000000"/>
          <w:sz w:val="24"/>
        </w:rPr>
        <w:t>贰仟</w:t>
      </w:r>
      <w:r>
        <w:rPr>
          <w:rFonts w:hint="eastAsia" w:ascii="宋体" w:cs="宋体"/>
          <w:color w:val="000000"/>
          <w:sz w:val="24"/>
        </w:rPr>
        <w:t>元</w:t>
      </w:r>
    </w:p>
    <w:p>
      <w:pPr>
        <w:spacing w:line="360" w:lineRule="auto"/>
        <w:ind w:firstLine="482" w:firstLineChars="200"/>
        <w:rPr>
          <w:rFonts w:ascii="宋体" w:cs="宋体"/>
          <w:b/>
          <w:sz w:val="24"/>
        </w:rPr>
      </w:pPr>
      <w:r>
        <w:rPr>
          <w:rFonts w:hint="eastAsia" w:ascii="宋体" w:cs="宋体"/>
          <w:b/>
          <w:sz w:val="24"/>
        </w:rPr>
        <w:t>五、交货时间、地点</w:t>
      </w:r>
    </w:p>
    <w:p>
      <w:pPr>
        <w:spacing w:line="360" w:lineRule="auto"/>
        <w:ind w:firstLine="480" w:firstLineChars="200"/>
        <w:rPr>
          <w:rFonts w:ascii="宋体" w:cs="宋体"/>
          <w:sz w:val="24"/>
        </w:rPr>
      </w:pPr>
      <w:r>
        <w:rPr>
          <w:rFonts w:hint="eastAsia" w:ascii="宋体" w:cs="宋体"/>
          <w:sz w:val="24"/>
        </w:rPr>
        <w:t xml:space="preserve">于合同生效之日起 </w:t>
      </w:r>
      <w:r>
        <w:rPr>
          <w:rFonts w:hint="eastAsia" w:ascii="宋体" w:cs="宋体"/>
          <w:sz w:val="24"/>
          <w:u w:val="single"/>
        </w:rPr>
        <w:t>5</w:t>
      </w:r>
      <w:r>
        <w:rPr>
          <w:rFonts w:hint="eastAsia" w:ascii="宋体" w:cs="宋体"/>
          <w:sz w:val="24"/>
        </w:rPr>
        <w:t>日内（按承诺时间），供方按需方要求提供服务。</w:t>
      </w:r>
    </w:p>
    <w:p>
      <w:pPr>
        <w:spacing w:line="360" w:lineRule="auto"/>
        <w:ind w:firstLine="482" w:firstLineChars="200"/>
        <w:rPr>
          <w:rFonts w:ascii="宋体" w:cs="宋体"/>
          <w:b/>
          <w:sz w:val="24"/>
        </w:rPr>
      </w:pPr>
      <w:r>
        <w:rPr>
          <w:rFonts w:hint="eastAsia" w:ascii="宋体" w:cs="宋体"/>
          <w:b/>
          <w:sz w:val="24"/>
        </w:rPr>
        <w:t>六</w:t>
      </w:r>
      <w:r>
        <w:rPr>
          <w:rFonts w:hint="eastAsia" w:ascii="宋体" w:cs="宋体"/>
          <w:sz w:val="24"/>
        </w:rPr>
        <w:t>、</w:t>
      </w:r>
      <w:r>
        <w:rPr>
          <w:rFonts w:hint="eastAsia" w:ascii="宋体" w:cs="宋体"/>
          <w:b/>
          <w:sz w:val="24"/>
        </w:rPr>
        <w:t>付款方式</w:t>
      </w:r>
    </w:p>
    <w:p>
      <w:pPr>
        <w:spacing w:line="360" w:lineRule="auto"/>
        <w:ind w:firstLine="480" w:firstLineChars="200"/>
        <w:rPr>
          <w:rFonts w:ascii="宋体" w:cs="宋体"/>
          <w:sz w:val="24"/>
        </w:rPr>
      </w:pPr>
      <w:r>
        <w:rPr>
          <w:rFonts w:hint="eastAsia" w:ascii="宋体" w:cs="宋体"/>
          <w:sz w:val="24"/>
        </w:rPr>
        <w:t>数据库产品正常访问，验收合格并缴纳履约保证金后，一次性支付所有合同款项。</w:t>
      </w:r>
      <w:r>
        <w:rPr>
          <w:rFonts w:hint="eastAsia" w:ascii="宋体" w:cs="宋体"/>
          <w:color w:val="000000"/>
          <w:sz w:val="24"/>
        </w:rPr>
        <w:t>付款前，乙方需提供符合法律规定的发票，否则甲方有权拒付货款。</w:t>
      </w:r>
      <w:r>
        <w:rPr>
          <w:rFonts w:hint="eastAsia" w:ascii="宋体" w:cs="宋体"/>
          <w:sz w:val="24"/>
        </w:rPr>
        <w:t xml:space="preserve">                 </w:t>
      </w:r>
    </w:p>
    <w:p>
      <w:pPr>
        <w:spacing w:line="360" w:lineRule="auto"/>
        <w:ind w:firstLine="482" w:firstLineChars="200"/>
        <w:rPr>
          <w:rFonts w:ascii="宋体" w:cs="宋体"/>
          <w:b/>
          <w:sz w:val="24"/>
        </w:rPr>
      </w:pPr>
      <w:r>
        <w:rPr>
          <w:rFonts w:hint="eastAsia" w:ascii="宋体" w:cs="宋体"/>
          <w:b/>
          <w:sz w:val="24"/>
        </w:rPr>
        <w:t>账户名称：同方知网（北京）技术有限公司</w:t>
      </w:r>
    </w:p>
    <w:p>
      <w:pPr>
        <w:spacing w:line="360" w:lineRule="auto"/>
        <w:ind w:firstLine="482" w:firstLineChars="200"/>
        <w:rPr>
          <w:rFonts w:ascii="宋体" w:cs="宋体"/>
          <w:b/>
          <w:sz w:val="24"/>
        </w:rPr>
      </w:pPr>
      <w:r>
        <w:rPr>
          <w:rFonts w:hint="eastAsia" w:ascii="宋体" w:cs="宋体"/>
          <w:b/>
          <w:sz w:val="24"/>
        </w:rPr>
        <w:t>账    号：</w:t>
      </w:r>
      <w:r>
        <w:rPr>
          <w:rFonts w:ascii="宋体" w:cs="宋体"/>
          <w:b/>
          <w:sz w:val="24"/>
        </w:rPr>
        <w:t>322056023079</w:t>
      </w:r>
    </w:p>
    <w:p>
      <w:pPr>
        <w:spacing w:line="360" w:lineRule="auto"/>
        <w:ind w:firstLine="482" w:firstLineChars="200"/>
        <w:rPr>
          <w:rFonts w:ascii="宋体" w:cs="宋体"/>
          <w:b/>
          <w:sz w:val="24"/>
        </w:rPr>
      </w:pPr>
      <w:r>
        <w:rPr>
          <w:rFonts w:hint="eastAsia" w:ascii="宋体" w:cs="宋体"/>
          <w:b/>
          <w:sz w:val="24"/>
        </w:rPr>
        <w:t xml:space="preserve">开户银行：中国银行北京清华园支行                  </w:t>
      </w:r>
    </w:p>
    <w:p>
      <w:pPr>
        <w:spacing w:line="360" w:lineRule="auto"/>
        <w:ind w:firstLine="482" w:firstLineChars="200"/>
        <w:rPr>
          <w:rFonts w:ascii="宋体" w:cs="宋体"/>
          <w:b/>
          <w:sz w:val="24"/>
        </w:rPr>
      </w:pPr>
      <w:r>
        <w:rPr>
          <w:rFonts w:hint="eastAsia" w:ascii="宋体" w:cs="宋体"/>
          <w:b/>
          <w:sz w:val="24"/>
        </w:rPr>
        <w:t>统一社会信用代码：</w:t>
      </w:r>
      <w:r>
        <w:rPr>
          <w:rFonts w:ascii="宋体" w:cs="宋体"/>
          <w:b/>
          <w:sz w:val="24"/>
        </w:rPr>
        <w:t>911101087693507203</w:t>
      </w:r>
    </w:p>
    <w:p>
      <w:pPr>
        <w:spacing w:line="360" w:lineRule="auto"/>
        <w:ind w:firstLine="482" w:firstLineChars="200"/>
        <w:rPr>
          <w:rFonts w:ascii="宋体" w:cs="宋体"/>
          <w:b/>
          <w:sz w:val="24"/>
        </w:rPr>
      </w:pPr>
      <w:r>
        <w:rPr>
          <w:rFonts w:hint="eastAsia" w:ascii="宋体" w:cs="宋体"/>
          <w:b/>
          <w:sz w:val="24"/>
        </w:rPr>
        <w:t>七、违约责任</w:t>
      </w:r>
    </w:p>
    <w:p>
      <w:pPr>
        <w:pStyle w:val="2"/>
        <w:ind w:firstLine="480" w:firstLineChars="200"/>
      </w:pPr>
      <w:r>
        <w:rPr>
          <w:rFonts w:hint="eastAsia"/>
        </w:rPr>
        <w:t>1.供方在获得中标通知书之后，签订合同之前，应向采购方指定账户缴纳履约保证金，具体要求如下：（1）成交额在50万元（含50万元）以内的，缴纳履约保证金人民币壹万元整；（2）成交额在50万元（大于50万元）</w:t>
      </w:r>
      <w:r>
        <w:t>—</w:t>
      </w:r>
      <w:r>
        <w:rPr>
          <w:rFonts w:hint="eastAsia"/>
        </w:rPr>
        <w:t>100万元（含100万元）的，缴纳履约保证金人民币贰万元整；（3）成交额在100万元（大于100万元）以上的，缴纳履约保证金人民币叁万元整。缴纳后，采购人拍照留作档案，年付费远程访问数据库的履约期限为一年，镜像和永久访问数据库的履约期限为三年，履约期结束后，如果双方没有任何争议，采购人将履约保证金全额退还给供方，退还手续由供方办理。</w:t>
      </w:r>
    </w:p>
    <w:p>
      <w:pPr>
        <w:spacing w:line="360" w:lineRule="auto"/>
        <w:ind w:firstLine="480" w:firstLineChars="200"/>
        <w:rPr>
          <w:rFonts w:ascii="宋体" w:cs="宋体"/>
          <w:sz w:val="24"/>
        </w:rPr>
      </w:pPr>
      <w:r>
        <w:rPr>
          <w:rFonts w:hint="eastAsia" w:ascii="宋体" w:cs="宋体"/>
          <w:sz w:val="24"/>
        </w:rPr>
        <w:t>2.供方未按期限、地点供货，每延迟一日，</w:t>
      </w:r>
      <w:r>
        <w:rPr>
          <w:rFonts w:hint="eastAsia" w:ascii="宋体" w:cs="宋体"/>
          <w:color w:val="000000"/>
          <w:sz w:val="24"/>
        </w:rPr>
        <w:t>供方需按合同总金额的0.5％向需方支付违约金</w:t>
      </w:r>
      <w:r>
        <w:rPr>
          <w:rFonts w:hint="eastAsia" w:ascii="宋体" w:cs="宋体"/>
          <w:sz w:val="24"/>
        </w:rPr>
        <w:t>；供方逾期交货达7日的或违约达5%时，需方有权解除合同；同时，供方应赔偿由于逾期供货给需方造成的全部损失；如违约金不足以赔偿损失的，还应当赔偿全部损失。</w:t>
      </w:r>
    </w:p>
    <w:p>
      <w:pPr>
        <w:spacing w:line="360" w:lineRule="auto"/>
        <w:ind w:firstLine="480" w:firstLineChars="200"/>
        <w:rPr>
          <w:rFonts w:ascii="宋体" w:cs="宋体"/>
          <w:sz w:val="24"/>
        </w:rPr>
      </w:pPr>
      <w:r>
        <w:rPr>
          <w:rFonts w:hint="eastAsia" w:ascii="宋体" w:cs="宋体"/>
          <w:sz w:val="24"/>
        </w:rPr>
        <w:t>3.供方所交的数据库产品不符合合同规定标准的，需方有权拒收，有权解除合同，供方向需方支付设备款总值5%的违约金。需方不解除合同的，除供方按前述约定支付违约金外，供方应在本合同约定的期限内进行延期使用，超出第五条约定期限的，供方应按第八条第一款约定承担违约责任，一切费用由供方承担。</w:t>
      </w:r>
    </w:p>
    <w:p>
      <w:pPr>
        <w:spacing w:line="360" w:lineRule="auto"/>
        <w:ind w:firstLine="480" w:firstLineChars="200"/>
        <w:rPr>
          <w:rFonts w:ascii="宋体" w:cs="宋体"/>
          <w:sz w:val="24"/>
        </w:rPr>
      </w:pPr>
      <w:r>
        <w:rPr>
          <w:rFonts w:hint="eastAsia" w:ascii="宋体" w:cs="宋体"/>
          <w:sz w:val="24"/>
        </w:rPr>
        <w:t>4.供方的产品由于供方原因造成需方使用受阻的，供方应负责弥补需方的损失。</w:t>
      </w:r>
    </w:p>
    <w:p>
      <w:pPr>
        <w:spacing w:line="360" w:lineRule="auto"/>
        <w:ind w:firstLine="480" w:firstLineChars="200"/>
        <w:rPr>
          <w:rFonts w:ascii="宋体" w:cs="宋体"/>
          <w:sz w:val="24"/>
        </w:rPr>
      </w:pPr>
      <w:r>
        <w:rPr>
          <w:rFonts w:hint="eastAsia" w:ascii="宋体" w:cs="宋体"/>
          <w:sz w:val="24"/>
        </w:rPr>
        <w:t>5.供方履行本协议约定给需方或任何第三方造成的人身或财产损失应当承担全部责任</w:t>
      </w:r>
      <w:bookmarkStart w:id="0" w:name="_Hlt503692967"/>
      <w:bookmarkEnd w:id="0"/>
      <w:bookmarkStart w:id="1" w:name="_Hlt503692969"/>
      <w:bookmarkEnd w:id="1"/>
      <w:r>
        <w:rPr>
          <w:rFonts w:hint="eastAsia" w:ascii="宋体" w:cs="宋体"/>
          <w:sz w:val="24"/>
        </w:rPr>
        <w:t>。</w:t>
      </w:r>
    </w:p>
    <w:p>
      <w:pPr>
        <w:spacing w:line="360" w:lineRule="auto"/>
        <w:ind w:firstLine="480" w:firstLineChars="200"/>
        <w:rPr>
          <w:rFonts w:ascii="宋体" w:cs="宋体"/>
          <w:color w:val="000000"/>
          <w:sz w:val="24"/>
        </w:rPr>
      </w:pPr>
      <w:r>
        <w:rPr>
          <w:rFonts w:hint="eastAsia" w:ascii="宋体" w:cs="宋体"/>
          <w:sz w:val="24"/>
        </w:rPr>
        <w:t>6.服务期内，如供方违反《售后服务计划》约定，每发生一次，</w:t>
      </w:r>
      <w:r>
        <w:rPr>
          <w:rFonts w:hint="eastAsia" w:ascii="宋体" w:cs="宋体"/>
          <w:color w:val="000000"/>
          <w:sz w:val="24"/>
        </w:rPr>
        <w:t>采购人将扣除供方的履约保证金伍佰元。采购人因供方违约委托第三方维修的而产生的相应的维修费用，由供方全部承担。</w:t>
      </w:r>
    </w:p>
    <w:p>
      <w:pPr>
        <w:adjustRightInd w:val="0"/>
        <w:snapToGrid w:val="0"/>
        <w:spacing w:line="360" w:lineRule="auto"/>
        <w:ind w:firstLine="482" w:firstLineChars="200"/>
        <w:jc w:val="left"/>
        <w:rPr>
          <w:rFonts w:ascii="宋体" w:cs="宋体"/>
          <w:b/>
          <w:sz w:val="24"/>
        </w:rPr>
      </w:pPr>
      <w:r>
        <w:rPr>
          <w:rFonts w:hint="eastAsia" w:ascii="宋体" w:cs="宋体"/>
          <w:b/>
          <w:sz w:val="24"/>
        </w:rPr>
        <w:t>八、特殊约定</w:t>
      </w:r>
    </w:p>
    <w:p>
      <w:pPr>
        <w:adjustRightInd w:val="0"/>
        <w:snapToGrid w:val="0"/>
        <w:spacing w:line="360" w:lineRule="auto"/>
        <w:ind w:firstLine="480" w:firstLineChars="200"/>
        <w:jc w:val="left"/>
        <w:rPr>
          <w:rFonts w:ascii="宋体" w:cs="宋体"/>
          <w:sz w:val="24"/>
        </w:rPr>
      </w:pPr>
      <w:r>
        <w:rPr>
          <w:rFonts w:hint="eastAsia" w:ascii="宋体" w:cs="宋体"/>
          <w:sz w:val="24"/>
        </w:rPr>
        <w:t>1.供需双方应严格遵守投标要求和供应商须知，如有违反，按投标要求和供应商须知规定予以处理。因设备的质量问题发生争议，可由法定的技术鉴定单位进行质量鉴定。</w:t>
      </w:r>
    </w:p>
    <w:p>
      <w:pPr>
        <w:adjustRightInd w:val="0"/>
        <w:snapToGrid w:val="0"/>
        <w:spacing w:line="360" w:lineRule="auto"/>
        <w:ind w:firstLine="480" w:firstLineChars="200"/>
        <w:jc w:val="left"/>
        <w:rPr>
          <w:rFonts w:ascii="宋体" w:cs="宋体"/>
          <w:sz w:val="24"/>
        </w:rPr>
      </w:pPr>
      <w:r>
        <w:rPr>
          <w:rFonts w:hint="eastAsia" w:ascii="宋体" w:cs="宋体"/>
          <w:sz w:val="24"/>
        </w:rPr>
        <w:t>2. 采购文件及其修改、投标文件及其修改、澄清、合同附件均为本合同的组成部分，具有同等法律效力；不一致之处，以本合同为准。</w:t>
      </w:r>
    </w:p>
    <w:p>
      <w:pPr>
        <w:spacing w:line="360" w:lineRule="auto"/>
        <w:ind w:firstLine="480" w:firstLineChars="200"/>
        <w:rPr>
          <w:rFonts w:ascii="宋体" w:cs="宋体"/>
          <w:sz w:val="24"/>
        </w:rPr>
      </w:pPr>
      <w:r>
        <w:rPr>
          <w:rFonts w:hint="eastAsia" w:ascii="宋体" w:cs="宋体"/>
          <w:sz w:val="24"/>
        </w:rPr>
        <w:t>3.本合同的任何修改、补充应以书面形式进行，并经双方的授权代表签字并加盖公章后方为有效。</w:t>
      </w:r>
    </w:p>
    <w:p>
      <w:pPr>
        <w:spacing w:line="360" w:lineRule="auto"/>
        <w:ind w:firstLine="482" w:firstLineChars="200"/>
        <w:rPr>
          <w:rFonts w:ascii="宋体" w:cs="宋体"/>
          <w:b/>
          <w:sz w:val="24"/>
        </w:rPr>
      </w:pPr>
      <w:r>
        <w:rPr>
          <w:rFonts w:hint="eastAsia" w:ascii="宋体" w:cs="宋体"/>
          <w:b/>
          <w:sz w:val="24"/>
        </w:rPr>
        <w:t>九、争议解决</w:t>
      </w:r>
    </w:p>
    <w:p>
      <w:pPr>
        <w:spacing w:line="360" w:lineRule="auto"/>
        <w:ind w:firstLine="480" w:firstLineChars="200"/>
        <w:rPr>
          <w:rFonts w:ascii="宋体" w:cs="宋体"/>
          <w:sz w:val="24"/>
        </w:rPr>
      </w:pPr>
      <w:r>
        <w:rPr>
          <w:rFonts w:hint="eastAsia" w:ascii="宋体" w:cs="宋体"/>
          <w:sz w:val="24"/>
        </w:rPr>
        <w:t>数据库的质量问题发生争议以及履行本合同发生争议的，以本合同条款为标准协商解决，若协商无果，任何一方均可向合同签订地的人民法院提起诉讼。</w:t>
      </w:r>
    </w:p>
    <w:p>
      <w:pPr>
        <w:spacing w:line="360" w:lineRule="auto"/>
        <w:ind w:firstLine="482" w:firstLineChars="200"/>
        <w:rPr>
          <w:rFonts w:ascii="宋体" w:cs="宋体"/>
          <w:b/>
          <w:color w:val="000000"/>
          <w:sz w:val="24"/>
        </w:rPr>
      </w:pPr>
      <w:r>
        <w:rPr>
          <w:rFonts w:hint="eastAsia" w:ascii="宋体" w:cs="宋体"/>
          <w:b/>
          <w:color w:val="000000"/>
          <w:sz w:val="24"/>
        </w:rPr>
        <w:t>十、著作权承诺</w:t>
      </w:r>
    </w:p>
    <w:p>
      <w:pPr>
        <w:spacing w:line="360" w:lineRule="auto"/>
        <w:ind w:firstLine="480" w:firstLineChars="200"/>
        <w:rPr>
          <w:rFonts w:ascii="宋体" w:cs="宋体"/>
          <w:color w:val="000000"/>
          <w:sz w:val="24"/>
        </w:rPr>
      </w:pPr>
      <w:r>
        <w:rPr>
          <w:rFonts w:hint="eastAsia" w:ascii="宋体" w:cs="宋体"/>
          <w:color w:val="000000"/>
          <w:sz w:val="24"/>
        </w:rPr>
        <w:t>乙方承诺出售给甲方的产品已取得著作权人或出版方的同意或认可。乙方出售的产品不会产生著作权或其他知识产权纠纷</w:t>
      </w:r>
      <w:r>
        <w:rPr>
          <w:rFonts w:hint="eastAsia" w:ascii="宋体" w:cs="宋体"/>
          <w:sz w:val="24"/>
        </w:rPr>
        <w:t>。</w:t>
      </w:r>
      <w:r>
        <w:rPr>
          <w:rFonts w:hint="eastAsia" w:ascii="宋体" w:cs="宋体"/>
          <w:color w:val="000000"/>
          <w:sz w:val="24"/>
        </w:rPr>
        <w:t>如因此发生争议，由此给甲方造成的经济和名誉损失，乙方承担全部责任。</w:t>
      </w:r>
    </w:p>
    <w:p>
      <w:pPr>
        <w:spacing w:line="360" w:lineRule="auto"/>
        <w:ind w:firstLine="482" w:firstLineChars="200"/>
        <w:rPr>
          <w:rFonts w:ascii="宋体" w:cs="宋体"/>
          <w:b/>
          <w:sz w:val="24"/>
        </w:rPr>
      </w:pPr>
      <w:r>
        <w:rPr>
          <w:rFonts w:hint="eastAsia" w:ascii="宋体" w:cs="宋体"/>
          <w:b/>
          <w:sz w:val="24"/>
        </w:rPr>
        <w:t>十一、合同生效及其它</w:t>
      </w:r>
    </w:p>
    <w:p>
      <w:pPr>
        <w:spacing w:line="360" w:lineRule="auto"/>
        <w:ind w:firstLine="480" w:firstLineChars="200"/>
        <w:rPr>
          <w:rFonts w:ascii="宋体" w:cs="宋体"/>
          <w:sz w:val="24"/>
        </w:rPr>
      </w:pPr>
      <w:r>
        <w:rPr>
          <w:rFonts w:hint="eastAsia" w:ascii="宋体" w:cs="宋体"/>
          <w:sz w:val="24"/>
        </w:rPr>
        <w:t>1.本合同自供需双方签字、盖章之日起生效。</w:t>
      </w:r>
    </w:p>
    <w:p>
      <w:pPr>
        <w:spacing w:line="480" w:lineRule="auto"/>
        <w:rPr>
          <w:rFonts w:ascii="宋体" w:cs="宋体"/>
          <w:b/>
          <w:sz w:val="24"/>
        </w:rPr>
      </w:pPr>
      <w:r>
        <w:rPr>
          <w:rFonts w:hint="eastAsia" w:ascii="宋体" w:cs="宋体"/>
          <w:sz w:val="24"/>
        </w:rPr>
        <w:t>2.如有未尽事宜，双方可另行协商签订补充协议，补充协议及招、投标文件、</w:t>
      </w:r>
      <w:r>
        <w:rPr>
          <w:rFonts w:hint="eastAsia" w:ascii="宋体" w:cs="宋体"/>
          <w:sz w:val="24"/>
        </w:rPr>
        <w:drawing>
          <wp:inline distT="0" distB="0" distL="114300" distR="114300">
            <wp:extent cx="5268595" cy="7341870"/>
            <wp:effectExtent l="0" t="0" r="8255" b="11430"/>
            <wp:docPr id="3" name="图片 3" descr="9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99-23"/>
                    <pic:cNvPicPr>
                      <a:picLocks noChangeAspect="1"/>
                    </pic:cNvPicPr>
                  </pic:nvPicPr>
                  <pic:blipFill>
                    <a:blip r:embed="rId5"/>
                    <a:stretch>
                      <a:fillRect/>
                    </a:stretch>
                  </pic:blipFill>
                  <pic:spPr>
                    <a:xfrm>
                      <a:off x="0" y="0"/>
                      <a:ext cx="5268595" cy="7341870"/>
                    </a:xfrm>
                    <a:prstGeom prst="rect">
                      <a:avLst/>
                    </a:prstGeom>
                  </pic:spPr>
                </pic:pic>
              </a:graphicData>
            </a:graphic>
          </wp:inline>
        </w:drawing>
      </w:r>
    </w:p>
    <w:p>
      <w:pPr>
        <w:rPr>
          <w:rFonts w:ascii="楷体" w:eastAsia="楷体" w:cs="楷体"/>
          <w:b/>
          <w:bCs/>
          <w:sz w:val="24"/>
          <w:szCs w:val="22"/>
        </w:rPr>
      </w:pPr>
    </w:p>
    <w:p>
      <w:pPr>
        <w:pStyle w:val="2"/>
      </w:pPr>
    </w:p>
    <w:p>
      <w:bookmarkStart w:id="2" w:name="_GoBack"/>
      <w:bookmarkEnd w:id="2"/>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785" cy="139700"/>
              <wp:effectExtent l="0" t="0" r="0" b="0"/>
              <wp:wrapNone/>
              <wp:docPr id="1" name="_x0000_s1026"/>
              <wp:cNvGraphicFramePr/>
              <a:graphic xmlns:a="http://schemas.openxmlformats.org/drawingml/2006/main">
                <a:graphicData uri="http://schemas.microsoft.com/office/word/2010/wordprocessingShape">
                  <wps:wsp>
                    <wps:cNvSpPr/>
                    <wps:spPr>
                      <a:xfrm>
                        <a:off x="0" y="0"/>
                        <a:ext cx="57950" cy="139560"/>
                      </a:xfrm>
                      <a:prstGeom prst="rect">
                        <a:avLst/>
                      </a:prstGeom>
                      <a:noFill/>
                      <a:ln w="9525" cap="flat" cmpd="sng">
                        <a:noFill/>
                        <a:prstDash val="solid"/>
                        <a:miter/>
                      </a:ln>
                    </wps:spPr>
                    <wps:txbx>
                      <w:txbxContent>
                        <w:p>
                          <w:pPr>
                            <w:pStyle w:val="8"/>
                          </w:pPr>
                          <w:r>
                            <w:fldChar w:fldCharType="begin"/>
                          </w:r>
                          <w:r>
                            <w:instrText xml:space="preserve"> PAGE  \* MERGEFORMAT </w:instrText>
                          </w:r>
                          <w:r>
                            <w:fldChar w:fldCharType="separate"/>
                          </w:r>
                          <w:r>
                            <w:t>5</w:t>
                          </w:r>
                          <w:r>
                            <w:fldChar w:fldCharType="end"/>
                          </w:r>
                        </w:p>
                      </w:txbxContent>
                    </wps:txbx>
                    <wps:bodyPr vert="horz" wrap="none" lIns="0" tIns="0" rIns="0" bIns="0" anchor="t" anchorCtr="0" upright="1">
                      <a:spAutoFit/>
                    </wps:bodyPr>
                  </wps:wsp>
                </a:graphicData>
              </a:graphic>
            </wp:anchor>
          </w:drawing>
        </mc:Choice>
        <mc:Fallback>
          <w:pict>
            <v:rect id="_x0000_s1026" o:spid="_x0000_s1026" o:spt="1" style="position:absolute;left:0pt;margin-top:0pt;height:11pt;width:4.55pt;mso-position-horizontal:center;mso-position-horizontal-relative:margin;mso-wrap-style:none;z-index:251659264;mso-width-relative:page;mso-height-relative:page;" filled="f" stroked="f" coordsize="21600,21600" o:gfxdata="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Lrz9bQAAAAAgEAAA8AAAAAAAAAAQAgAAAAIgAAAGRycy9kb3ducmV2LnhtbFBLAQIUABQA&#10;AAAIAIdO4kBqR1+W+AEAAPQDAAAOAAAAAAAAAAEAIAAAAB8BAABkcnMvZTJvRG9jLnhtbFBLBQYA&#10;AAAABgAGAFkBAACJBQAAAAA=&#10;">
              <v:fill on="f" focussize="0,0"/>
              <v:stroke on="f" joinstyle="miter"/>
              <v:imagedata o:title=""/>
              <o:lock v:ext="edit" aspectratio="f"/>
              <v:textbox inset="0mm,0mm,0mm,0mm" style="mso-fit-shape-to-text:t;">
                <w:txbxContent>
                  <w:p>
                    <w:pPr>
                      <w:pStyle w:val="8"/>
                    </w:pPr>
                    <w:r>
                      <w:fldChar w:fldCharType="begin"/>
                    </w:r>
                    <w:r>
                      <w:instrText xml:space="preserve"> PAGE  \* MERGEFORMAT </w:instrText>
                    </w:r>
                    <w:r>
                      <w:fldChar w:fldCharType="separate"/>
                    </w:r>
                    <w:r>
                      <w:t>5</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YWJmNTAxYTA0NTllZTU0OWY5NWY0MWNlMzBjNGU2OTYifQ=="/>
  </w:docVars>
  <w:rsids>
    <w:rsidRoot w:val="004F52E9"/>
    <w:rsid w:val="000545EA"/>
    <w:rsid w:val="0007350F"/>
    <w:rsid w:val="000A0896"/>
    <w:rsid w:val="000A45FB"/>
    <w:rsid w:val="00143C14"/>
    <w:rsid w:val="001A04B9"/>
    <w:rsid w:val="002451D6"/>
    <w:rsid w:val="00260ECE"/>
    <w:rsid w:val="00291C1E"/>
    <w:rsid w:val="002A7365"/>
    <w:rsid w:val="003612F1"/>
    <w:rsid w:val="00377662"/>
    <w:rsid w:val="00385CC0"/>
    <w:rsid w:val="003D070C"/>
    <w:rsid w:val="003E25F0"/>
    <w:rsid w:val="00442BD6"/>
    <w:rsid w:val="0046154B"/>
    <w:rsid w:val="00490199"/>
    <w:rsid w:val="004C21A1"/>
    <w:rsid w:val="004F52E9"/>
    <w:rsid w:val="0056496D"/>
    <w:rsid w:val="00566A31"/>
    <w:rsid w:val="005E1D25"/>
    <w:rsid w:val="00612C62"/>
    <w:rsid w:val="00644194"/>
    <w:rsid w:val="00666C3D"/>
    <w:rsid w:val="00696042"/>
    <w:rsid w:val="00696CC5"/>
    <w:rsid w:val="006C3CD2"/>
    <w:rsid w:val="006F3871"/>
    <w:rsid w:val="006F7D3D"/>
    <w:rsid w:val="00700843"/>
    <w:rsid w:val="008615BA"/>
    <w:rsid w:val="008645EC"/>
    <w:rsid w:val="00864AA4"/>
    <w:rsid w:val="0088623D"/>
    <w:rsid w:val="00890717"/>
    <w:rsid w:val="008D26C2"/>
    <w:rsid w:val="00924C4C"/>
    <w:rsid w:val="00971882"/>
    <w:rsid w:val="00982F36"/>
    <w:rsid w:val="009A47CD"/>
    <w:rsid w:val="009C3DE2"/>
    <w:rsid w:val="00A169F8"/>
    <w:rsid w:val="00A2337B"/>
    <w:rsid w:val="00A437D0"/>
    <w:rsid w:val="00AB1418"/>
    <w:rsid w:val="00B246D1"/>
    <w:rsid w:val="00B40D3F"/>
    <w:rsid w:val="00B6584F"/>
    <w:rsid w:val="00B875E6"/>
    <w:rsid w:val="00BF4F33"/>
    <w:rsid w:val="00C5356D"/>
    <w:rsid w:val="00C82CB2"/>
    <w:rsid w:val="00CE0A9A"/>
    <w:rsid w:val="00D05097"/>
    <w:rsid w:val="00D440F9"/>
    <w:rsid w:val="00DE4116"/>
    <w:rsid w:val="00E33A3E"/>
    <w:rsid w:val="00E5418A"/>
    <w:rsid w:val="00E7448C"/>
    <w:rsid w:val="00EB2C18"/>
    <w:rsid w:val="00EB410C"/>
    <w:rsid w:val="00EB4E3D"/>
    <w:rsid w:val="00EC155A"/>
    <w:rsid w:val="00F264C2"/>
    <w:rsid w:val="00F34063"/>
    <w:rsid w:val="00F37F68"/>
    <w:rsid w:val="00F40371"/>
    <w:rsid w:val="00F532F8"/>
    <w:rsid w:val="00F8385F"/>
    <w:rsid w:val="00FA7D2F"/>
    <w:rsid w:val="00FF5B73"/>
    <w:rsid w:val="2D816701"/>
    <w:rsid w:val="3F2731D2"/>
    <w:rsid w:val="660F2B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cs="宋体"/>
      <w:b/>
      <w:bCs/>
      <w:kern w:val="36"/>
      <w:sz w:val="48"/>
      <w:szCs w:val="48"/>
    </w:rPr>
  </w:style>
  <w:style w:type="paragraph" w:styleId="4">
    <w:name w:val="heading 2"/>
    <w:basedOn w:val="1"/>
    <w:next w:val="1"/>
    <w:semiHidden/>
    <w:unhideWhenUsed/>
    <w:qFormat/>
    <w:uiPriority w:val="9"/>
    <w:pPr>
      <w:keepNext/>
      <w:keepLines/>
      <w:spacing w:before="260" w:after="260" w:line="415" w:lineRule="auto"/>
      <w:outlineLvl w:val="1"/>
    </w:pPr>
    <w:rPr>
      <w:rFonts w:ascii="Arial" w:hAnsi="Arial" w:eastAsia="黑体"/>
      <w:b/>
      <w:sz w:val="32"/>
    </w:rPr>
  </w:style>
  <w:style w:type="paragraph" w:styleId="5">
    <w:name w:val="heading 3"/>
    <w:basedOn w:val="1"/>
    <w:next w:val="1"/>
    <w:semiHidden/>
    <w:unhideWhenUsed/>
    <w:qFormat/>
    <w:uiPriority w:val="9"/>
    <w:pPr>
      <w:keepNext/>
      <w:keepLines/>
      <w:spacing w:before="260" w:after="260" w:line="415" w:lineRule="auto"/>
      <w:outlineLvl w:val="2"/>
    </w:pPr>
    <w:rPr>
      <w:b/>
      <w:sz w:val="32"/>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spacing w:line="360" w:lineRule="auto"/>
    </w:pPr>
    <w:rPr>
      <w:color w:val="000000"/>
      <w:sz w:val="24"/>
    </w:rPr>
  </w:style>
  <w:style w:type="paragraph" w:styleId="6">
    <w:name w:val="Normal Indent"/>
    <w:basedOn w:val="1"/>
    <w:qFormat/>
    <w:uiPriority w:val="0"/>
    <w:pPr>
      <w:spacing w:before="25" w:beforeLines="25" w:after="60" w:line="0" w:lineRule="atLeast"/>
      <w:ind w:firstLine="200" w:firstLineChars="200"/>
    </w:pPr>
  </w:style>
  <w:style w:type="paragraph" w:styleId="7">
    <w:name w:val="Balloon Text"/>
    <w:basedOn w:val="1"/>
    <w:link w:val="13"/>
    <w:semiHidden/>
    <w:unhideWhenUsed/>
    <w:uiPriority w:val="99"/>
    <w:rPr>
      <w:sz w:val="18"/>
      <w:szCs w:val="18"/>
    </w:rPr>
  </w:style>
  <w:style w:type="paragraph" w:styleId="8">
    <w:name w:val="footer"/>
    <w:basedOn w:val="1"/>
    <w:qFormat/>
    <w:uiPriority w:val="0"/>
    <w:pPr>
      <w:tabs>
        <w:tab w:val="center" w:pos="4153"/>
        <w:tab w:val="right" w:pos="8306"/>
      </w:tabs>
      <w:snapToGrid w:val="0"/>
      <w:jc w:val="left"/>
    </w:pPr>
    <w:rPr>
      <w:rFonts w:cs="Arial"/>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rFonts w:cs="Arial"/>
      <w:sz w:val="18"/>
      <w:szCs w:val="18"/>
    </w:rPr>
  </w:style>
  <w:style w:type="paragraph" w:customStyle="1" w:styleId="12">
    <w:name w:val="样式1"/>
    <w:basedOn w:val="1"/>
    <w:qFormat/>
    <w:uiPriority w:val="0"/>
    <w:rPr>
      <w:b/>
      <w:color w:val="538135"/>
      <w:sz w:val="28"/>
    </w:rPr>
  </w:style>
  <w:style w:type="character" w:customStyle="1" w:styleId="13">
    <w:name w:val="批注框文本 Char"/>
    <w:basedOn w:val="11"/>
    <w:link w:val="7"/>
    <w:semiHidden/>
    <w:uiPriority w:val="99"/>
    <w:rPr>
      <w:rFonts w:ascii="Calibri" w:hAnsi="Calibri" w:cs="黑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8</Pages>
  <Words>640</Words>
  <Characters>3650</Characters>
  <Lines>30</Lines>
  <Paragraphs>8</Paragraphs>
  <TotalTime>84</TotalTime>
  <ScaleCrop>false</ScaleCrop>
  <LinksUpToDate>false</LinksUpToDate>
  <CharactersWithSpaces>4282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2019-05-29T00:41:00Z</dcterms:created>
  <dc:creator>USER-</dc:creator>
  <cp:lastModifiedBy>CBZX</cp:lastModifiedBy>
  <cp:lastPrinted>2019-06-03T02:46:00Z</cp:lastPrinted>
  <dcterms:modified xsi:type="dcterms:W3CDTF">2023-09-20T07:11:41Z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B8C80C63EC614D84A76F43F2D7CBB4E0_12</vt:lpwstr>
  </property>
</Properties>
</file>