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隶书" w:eastAsia="隶书"/>
          <w:b/>
          <w:sz w:val="36"/>
        </w:rPr>
      </w:pPr>
    </w:p>
    <w:p>
      <w:pPr>
        <w:spacing w:line="360" w:lineRule="auto"/>
        <w:jc w:val="center"/>
        <w:rPr>
          <w:rFonts w:eastAsia="幼圆"/>
          <w:b/>
          <w:sz w:val="24"/>
        </w:rPr>
      </w:pPr>
    </w:p>
    <w:p>
      <w:pPr>
        <w:spacing w:line="360" w:lineRule="auto"/>
        <w:jc w:val="center"/>
        <w:rPr>
          <w:rFonts w:eastAsia="幼圆"/>
          <w:b/>
          <w:sz w:val="24"/>
        </w:rPr>
      </w:pPr>
    </w:p>
    <w:p>
      <w:pPr>
        <w:spacing w:line="360" w:lineRule="auto"/>
        <w:jc w:val="center"/>
        <w:rPr>
          <w:rFonts w:eastAsia="幼圆"/>
          <w:b/>
          <w:sz w:val="24"/>
        </w:rPr>
      </w:pPr>
    </w:p>
    <w:p>
      <w:pPr>
        <w:spacing w:line="360" w:lineRule="auto"/>
        <w:jc w:val="center"/>
        <w:rPr>
          <w:rFonts w:hint="eastAsia" w:ascii="黑体" w:hAnsi="宋体" w:eastAsia="黑体" w:cs="幼圆"/>
          <w:bCs/>
          <w:sz w:val="44"/>
          <w:szCs w:val="44"/>
          <w:lang w:val="zh-CN" w:eastAsia="zh-CN"/>
        </w:rPr>
      </w:pPr>
      <w:r>
        <w:rPr>
          <w:rFonts w:hint="eastAsia" w:ascii="宋体" w:hAnsi="宋体" w:eastAsia="黑体"/>
          <w:b/>
          <w:sz w:val="48"/>
          <w:szCs w:val="48"/>
        </w:rPr>
        <w:t>河南中医药大学第一附属医院</w:t>
      </w:r>
      <w:r>
        <w:rPr>
          <w:rFonts w:hint="eastAsia" w:ascii="宋体" w:hAnsi="宋体" w:eastAsia="黑体"/>
          <w:b/>
          <w:sz w:val="48"/>
          <w:szCs w:val="48"/>
          <w:lang w:eastAsia="zh-CN"/>
        </w:rPr>
        <w:t>病理科人民路院区、新院区新风系统采购项目</w:t>
      </w:r>
    </w:p>
    <w:p>
      <w:pPr>
        <w:spacing w:line="360" w:lineRule="auto"/>
        <w:jc w:val="center"/>
        <w:rPr>
          <w:rFonts w:ascii="黑体" w:hAnsi="宋体" w:eastAsia="黑体" w:cs="幼圆"/>
          <w:bCs/>
          <w:sz w:val="44"/>
          <w:szCs w:val="44"/>
          <w:lang w:val="zh-CN"/>
        </w:rPr>
      </w:pPr>
    </w:p>
    <w:p>
      <w:pPr>
        <w:spacing w:line="360" w:lineRule="auto"/>
        <w:jc w:val="center"/>
        <w:rPr>
          <w:b/>
          <w:sz w:val="84"/>
        </w:rPr>
      </w:pPr>
    </w:p>
    <w:p>
      <w:pPr>
        <w:spacing w:line="360" w:lineRule="auto"/>
        <w:jc w:val="center"/>
        <w:rPr>
          <w:rFonts w:ascii="宋体" w:hAnsi="宋体"/>
          <w:b/>
          <w:sz w:val="48"/>
          <w:szCs w:val="48"/>
        </w:rPr>
      </w:pPr>
      <w:r>
        <w:rPr>
          <w:rFonts w:hint="eastAsia" w:ascii="宋体" w:hAnsi="宋体"/>
          <w:b/>
          <w:sz w:val="48"/>
          <w:szCs w:val="48"/>
        </w:rPr>
        <w:t>竞争性磋商采购文件</w:t>
      </w:r>
    </w:p>
    <w:p>
      <w:pPr>
        <w:spacing w:line="360" w:lineRule="auto"/>
        <w:jc w:val="center"/>
        <w:rPr>
          <w:rFonts w:ascii="宋体" w:hAnsi="宋体"/>
          <w:b/>
          <w:sz w:val="48"/>
          <w:szCs w:val="48"/>
        </w:rPr>
      </w:pPr>
    </w:p>
    <w:p>
      <w:pPr>
        <w:jc w:val="center"/>
        <w:rPr>
          <w:rFonts w:hint="eastAsia" w:eastAsia="宋体"/>
          <w:color w:val="auto"/>
          <w:sz w:val="30"/>
          <w:lang w:eastAsia="zh-CN"/>
        </w:rPr>
      </w:pPr>
      <w:r>
        <w:rPr>
          <w:rFonts w:hint="eastAsia"/>
          <w:b/>
          <w:bCs/>
          <w:color w:val="auto"/>
          <w:sz w:val="28"/>
          <w:szCs w:val="28"/>
        </w:rPr>
        <w:t>项目编号：</w:t>
      </w:r>
      <w:r>
        <w:rPr>
          <w:rFonts w:hint="eastAsia"/>
          <w:b/>
          <w:bCs/>
          <w:color w:val="auto"/>
          <w:sz w:val="28"/>
          <w:szCs w:val="28"/>
          <w:lang w:eastAsia="zh-CN"/>
        </w:rPr>
        <w:t>豫财磋商采购-2023-1282</w:t>
      </w:r>
    </w:p>
    <w:p>
      <w:pPr>
        <w:jc w:val="center"/>
        <w:rPr>
          <w:sz w:val="30"/>
        </w:rPr>
      </w:pPr>
    </w:p>
    <w:p>
      <w:pPr>
        <w:jc w:val="center"/>
        <w:rPr>
          <w:sz w:val="30"/>
        </w:rPr>
      </w:pPr>
    </w:p>
    <w:p>
      <w:pPr>
        <w:jc w:val="center"/>
        <w:rPr>
          <w:sz w:val="30"/>
        </w:rPr>
      </w:pPr>
    </w:p>
    <w:p>
      <w:pPr>
        <w:jc w:val="center"/>
        <w:rPr>
          <w:sz w:val="30"/>
        </w:rPr>
      </w:pPr>
    </w:p>
    <w:p>
      <w:pPr>
        <w:pStyle w:val="28"/>
        <w:rPr>
          <w:sz w:val="30"/>
        </w:rPr>
      </w:pPr>
    </w:p>
    <w:p>
      <w:pPr>
        <w:pStyle w:val="29"/>
        <w:ind w:firstLine="488"/>
      </w:pPr>
    </w:p>
    <w:p>
      <w:pPr>
        <w:rPr>
          <w:sz w:val="30"/>
        </w:rPr>
      </w:pPr>
    </w:p>
    <w:p>
      <w:pPr>
        <w:autoSpaceDE w:val="0"/>
        <w:autoSpaceDN w:val="0"/>
        <w:adjustRightInd w:val="0"/>
        <w:spacing w:line="360" w:lineRule="auto"/>
        <w:jc w:val="center"/>
        <w:rPr>
          <w:rFonts w:ascii="黑体" w:hAnsi="宋体" w:eastAsia="黑体" w:cs="幼圆"/>
          <w:bCs/>
          <w:sz w:val="30"/>
          <w:szCs w:val="30"/>
          <w:lang w:val="zh-CN"/>
        </w:rPr>
      </w:pPr>
      <w:r>
        <w:rPr>
          <w:rFonts w:hint="eastAsia" w:ascii="黑体" w:hAnsi="宋体" w:eastAsia="黑体" w:cs="幼圆"/>
          <w:bCs/>
          <w:sz w:val="30"/>
          <w:szCs w:val="30"/>
          <w:lang w:val="zh-CN"/>
        </w:rPr>
        <w:t>采</w:t>
      </w:r>
      <w:r>
        <w:rPr>
          <w:rFonts w:hint="eastAsia" w:ascii="黑体" w:hAnsi="宋体" w:eastAsia="黑体" w:cs="幼圆"/>
          <w:bCs/>
          <w:sz w:val="30"/>
          <w:szCs w:val="30"/>
        </w:rPr>
        <w:t xml:space="preserve"> 购 </w:t>
      </w:r>
      <w:r>
        <w:rPr>
          <w:rFonts w:hint="eastAsia" w:ascii="黑体" w:hAnsi="宋体" w:eastAsia="黑体" w:cs="幼圆"/>
          <w:bCs/>
          <w:sz w:val="30"/>
          <w:szCs w:val="30"/>
          <w:lang w:val="zh-CN"/>
        </w:rPr>
        <w:t>人：河南中医药大学第一附属医院</w:t>
      </w:r>
    </w:p>
    <w:p>
      <w:pPr>
        <w:autoSpaceDE w:val="0"/>
        <w:autoSpaceDN w:val="0"/>
        <w:adjustRightInd w:val="0"/>
        <w:spacing w:line="360" w:lineRule="auto"/>
        <w:jc w:val="center"/>
        <w:rPr>
          <w:rFonts w:ascii="黑体" w:hAnsi="宋体" w:eastAsia="黑体" w:cs="幼圆"/>
          <w:bCs/>
          <w:sz w:val="30"/>
          <w:szCs w:val="30"/>
          <w:lang w:val="zh-CN"/>
        </w:rPr>
      </w:pPr>
      <w:r>
        <w:rPr>
          <w:rFonts w:hint="eastAsia" w:ascii="黑体" w:hAnsi="宋体" w:eastAsia="黑体" w:cs="幼圆"/>
          <w:bCs/>
          <w:sz w:val="30"/>
          <w:szCs w:val="30"/>
        </w:rPr>
        <w:t>采购</w:t>
      </w:r>
      <w:r>
        <w:rPr>
          <w:rFonts w:hint="eastAsia" w:ascii="黑体" w:hAnsi="宋体" w:eastAsia="黑体" w:cs="幼圆"/>
          <w:bCs/>
          <w:sz w:val="30"/>
          <w:szCs w:val="30"/>
          <w:lang w:val="zh-CN"/>
        </w:rPr>
        <w:t>代理：河南豫信招标有限责任公司</w:t>
      </w:r>
    </w:p>
    <w:p>
      <w:pPr>
        <w:autoSpaceDE w:val="0"/>
        <w:autoSpaceDN w:val="0"/>
        <w:adjustRightInd w:val="0"/>
        <w:spacing w:line="360" w:lineRule="auto"/>
        <w:jc w:val="center"/>
        <w:sectPr>
          <w:headerReference r:id="rId5" w:type="first"/>
          <w:footerReference r:id="rId8" w:type="first"/>
          <w:headerReference r:id="rId3" w:type="default"/>
          <w:footerReference r:id="rId6" w:type="default"/>
          <w:headerReference r:id="rId4" w:type="even"/>
          <w:footerReference r:id="rId7" w:type="even"/>
          <w:pgSz w:w="11906" w:h="16838"/>
          <w:pgMar w:top="1418" w:right="1418" w:bottom="1418" w:left="1418" w:header="851" w:footer="851" w:gutter="0"/>
          <w:pgNumType w:start="1"/>
          <w:cols w:space="720" w:num="1"/>
          <w:titlePg/>
          <w:docGrid w:type="linesAndChars" w:linePitch="312" w:charSpace="0"/>
        </w:sectPr>
      </w:pPr>
      <w:r>
        <w:rPr>
          <w:rFonts w:hint="eastAsia" w:ascii="黑体" w:hAnsi="宋体" w:eastAsia="黑体" w:cs="幼圆"/>
          <w:bCs/>
          <w:sz w:val="32"/>
          <w:szCs w:val="32"/>
        </w:rPr>
        <w:t>二〇二三</w:t>
      </w:r>
      <w:r>
        <w:rPr>
          <w:rFonts w:hint="eastAsia" w:ascii="黑体" w:hAnsi="宋体" w:eastAsia="黑体" w:cs="幼圆"/>
          <w:bCs/>
          <w:sz w:val="32"/>
          <w:szCs w:val="32"/>
          <w:lang w:val="zh-CN"/>
        </w:rPr>
        <w:t>年</w:t>
      </w:r>
      <w:r>
        <w:rPr>
          <w:rFonts w:hint="eastAsia" w:ascii="黑体" w:hAnsi="宋体" w:eastAsia="黑体" w:cs="幼圆"/>
          <w:bCs/>
          <w:sz w:val="32"/>
          <w:szCs w:val="32"/>
          <w:lang w:val="en-US" w:eastAsia="zh-CN"/>
        </w:rPr>
        <w:t>十二</w:t>
      </w:r>
      <w:r>
        <w:rPr>
          <w:rFonts w:hint="eastAsia" w:ascii="黑体" w:hAnsi="宋体" w:eastAsia="黑体" w:cs="幼圆"/>
          <w:bCs/>
          <w:sz w:val="32"/>
          <w:szCs w:val="32"/>
          <w:lang w:val="zh-CN"/>
        </w:rPr>
        <w:t>月</w:t>
      </w:r>
    </w:p>
    <w:p>
      <w:pPr>
        <w:spacing w:line="360" w:lineRule="auto"/>
        <w:jc w:val="center"/>
        <w:rPr>
          <w:sz w:val="32"/>
          <w:szCs w:val="32"/>
        </w:rPr>
      </w:pPr>
      <w:r>
        <w:rPr>
          <w:rFonts w:ascii="宋体" w:cs="宋体"/>
          <w:b/>
          <w:sz w:val="32"/>
          <w:szCs w:val="32"/>
        </w:rPr>
        <w:t>特</w:t>
      </w:r>
      <w:r>
        <w:rPr>
          <w:b/>
          <w:sz w:val="32"/>
          <w:szCs w:val="32"/>
        </w:rPr>
        <w:t xml:space="preserve"> </w:t>
      </w:r>
      <w:r>
        <w:rPr>
          <w:rFonts w:ascii="宋体" w:cs="宋体"/>
          <w:b/>
          <w:sz w:val="32"/>
          <w:szCs w:val="32"/>
        </w:rPr>
        <w:t>别</w:t>
      </w:r>
      <w:r>
        <w:rPr>
          <w:b/>
          <w:sz w:val="32"/>
          <w:szCs w:val="32"/>
        </w:rPr>
        <w:t xml:space="preserve"> </w:t>
      </w:r>
      <w:r>
        <w:rPr>
          <w:rFonts w:ascii="宋体" w:cs="宋体"/>
          <w:b/>
          <w:sz w:val="32"/>
          <w:szCs w:val="32"/>
        </w:rPr>
        <w:t>提</w:t>
      </w:r>
      <w:r>
        <w:rPr>
          <w:b/>
          <w:sz w:val="32"/>
          <w:szCs w:val="32"/>
        </w:rPr>
        <w:t xml:space="preserve"> </w:t>
      </w:r>
      <w:r>
        <w:rPr>
          <w:rFonts w:ascii="宋体" w:cs="宋体"/>
          <w:b/>
          <w:sz w:val="32"/>
          <w:szCs w:val="32"/>
        </w:rPr>
        <w:t>示</w:t>
      </w:r>
    </w:p>
    <w:p>
      <w:pPr>
        <w:spacing w:line="360" w:lineRule="auto"/>
        <w:ind w:firstLine="422" w:firstLineChars="200"/>
        <w:rPr>
          <w:rFonts w:ascii="宋体"/>
          <w:b/>
          <w:szCs w:val="24"/>
        </w:rPr>
      </w:pPr>
      <w:r>
        <w:rPr>
          <w:rFonts w:ascii="宋体" w:hAnsi="宋体"/>
          <w:b/>
          <w:szCs w:val="24"/>
        </w:rPr>
        <w:t>1、市场主体信息库登记</w:t>
      </w:r>
    </w:p>
    <w:p>
      <w:pPr>
        <w:spacing w:line="360" w:lineRule="auto"/>
        <w:ind w:firstLine="420" w:firstLineChars="200"/>
        <w:rPr>
          <w:rFonts w:ascii="宋体" w:hAnsi="宋体"/>
          <w:szCs w:val="24"/>
        </w:rPr>
      </w:pPr>
      <w:r>
        <w:rPr>
          <w:rFonts w:ascii="宋体"/>
          <w:szCs w:val="24"/>
        </w:rPr>
        <w:t>市场主体完成信息登记及CA数字证书办理后，方可通过河南省公共资源交易平台参与交易活动。</w:t>
      </w:r>
    </w:p>
    <w:p>
      <w:pPr>
        <w:spacing w:line="360" w:lineRule="auto"/>
        <w:ind w:firstLine="422" w:firstLineChars="200"/>
        <w:rPr>
          <w:rFonts w:ascii="宋体"/>
          <w:b/>
          <w:szCs w:val="24"/>
        </w:rPr>
      </w:pPr>
      <w:r>
        <w:rPr>
          <w:rFonts w:ascii="宋体" w:hAnsi="宋体"/>
          <w:b/>
          <w:szCs w:val="24"/>
        </w:rPr>
        <w:t>2、</w:t>
      </w:r>
      <w:r>
        <w:rPr>
          <w:rFonts w:hint="eastAsia" w:ascii="宋体" w:hAnsi="宋体"/>
          <w:b/>
          <w:szCs w:val="24"/>
        </w:rPr>
        <w:t>采购</w:t>
      </w:r>
      <w:r>
        <w:rPr>
          <w:rFonts w:ascii="宋体" w:hAnsi="宋体"/>
          <w:b/>
          <w:szCs w:val="24"/>
        </w:rPr>
        <w:t>文件获取、</w:t>
      </w:r>
      <w:r>
        <w:rPr>
          <w:rFonts w:hint="eastAsia" w:ascii="宋体" w:hAnsi="宋体"/>
          <w:b/>
          <w:szCs w:val="24"/>
        </w:rPr>
        <w:t>响应</w:t>
      </w:r>
      <w:r>
        <w:rPr>
          <w:rFonts w:ascii="宋体" w:hAnsi="宋体"/>
          <w:b/>
          <w:szCs w:val="24"/>
        </w:rPr>
        <w:t>文件制作</w:t>
      </w:r>
    </w:p>
    <w:p>
      <w:pPr>
        <w:spacing w:line="360" w:lineRule="auto"/>
        <w:ind w:firstLine="422" w:firstLineChars="200"/>
        <w:rPr>
          <w:rFonts w:ascii="宋体"/>
          <w:szCs w:val="24"/>
        </w:rPr>
      </w:pPr>
      <w:r>
        <w:rPr>
          <w:rFonts w:ascii="宋体" w:hAnsi="宋体"/>
          <w:b/>
          <w:szCs w:val="24"/>
        </w:rPr>
        <w:t>2.1</w:t>
      </w:r>
      <w:r>
        <w:rPr>
          <w:rFonts w:hint="eastAsia" w:ascii="宋体" w:hAnsi="宋体"/>
          <w:szCs w:val="24"/>
        </w:rPr>
        <w:t>供应商</w:t>
      </w:r>
      <w:r>
        <w:rPr>
          <w:rFonts w:ascii="宋体" w:hAnsi="宋体"/>
          <w:szCs w:val="24"/>
        </w:rPr>
        <w:t>使用CA数字证书登录河南省公共资源交易中心网站市场主体登录并按网上提示自行下载</w:t>
      </w:r>
      <w:r>
        <w:rPr>
          <w:rFonts w:hint="eastAsia" w:ascii="宋体" w:hAnsi="宋体"/>
          <w:szCs w:val="24"/>
        </w:rPr>
        <w:t>采购</w:t>
      </w:r>
      <w:r>
        <w:rPr>
          <w:rFonts w:ascii="宋体" w:hAnsi="宋体"/>
          <w:szCs w:val="24"/>
        </w:rPr>
        <w:t>项目电子</w:t>
      </w:r>
      <w:r>
        <w:rPr>
          <w:rFonts w:hint="eastAsia" w:ascii="宋体" w:hAnsi="宋体"/>
          <w:szCs w:val="24"/>
        </w:rPr>
        <w:t>采购</w:t>
      </w:r>
      <w:r>
        <w:rPr>
          <w:rFonts w:ascii="宋体" w:hAnsi="宋体"/>
          <w:szCs w:val="24"/>
        </w:rPr>
        <w:t>文件。</w:t>
      </w:r>
    </w:p>
    <w:p>
      <w:pPr>
        <w:spacing w:line="360" w:lineRule="auto"/>
        <w:ind w:firstLine="422" w:firstLineChars="200"/>
        <w:rPr>
          <w:rFonts w:ascii="宋体"/>
          <w:szCs w:val="24"/>
        </w:rPr>
      </w:pPr>
      <w:r>
        <w:rPr>
          <w:rFonts w:ascii="宋体" w:hAnsi="宋体"/>
          <w:b/>
          <w:szCs w:val="24"/>
        </w:rPr>
        <w:t>2.2</w:t>
      </w:r>
      <w:r>
        <w:rPr>
          <w:rFonts w:ascii="宋体" w:hAnsi="宋体"/>
          <w:szCs w:val="24"/>
        </w:rPr>
        <w:t>获取</w:t>
      </w:r>
      <w:r>
        <w:rPr>
          <w:rFonts w:hint="eastAsia" w:ascii="宋体" w:hAnsi="宋体"/>
          <w:szCs w:val="24"/>
        </w:rPr>
        <w:t>采购文件</w:t>
      </w:r>
      <w:r>
        <w:rPr>
          <w:rFonts w:ascii="宋体" w:hAnsi="宋体"/>
          <w:szCs w:val="24"/>
        </w:rPr>
        <w:t>后，</w:t>
      </w:r>
      <w:r>
        <w:rPr>
          <w:rFonts w:hint="eastAsia" w:ascii="宋体" w:hAnsi="宋体"/>
          <w:szCs w:val="24"/>
        </w:rPr>
        <w:t>供应商</w:t>
      </w:r>
      <w:r>
        <w:rPr>
          <w:rFonts w:ascii="宋体" w:hAnsi="宋体"/>
          <w:szCs w:val="24"/>
        </w:rPr>
        <w:t>请到河南省公共资源交易中心网站—公共服务—下载专区栏目下载最新版本的投标文件制作工具安装包和签章软件iSignature，并使用安装后的最新版本投标文件制作工具制作电子投标文件。</w:t>
      </w:r>
    </w:p>
    <w:p>
      <w:pPr>
        <w:tabs>
          <w:tab w:val="left" w:pos="720"/>
        </w:tabs>
        <w:spacing w:line="360" w:lineRule="auto"/>
        <w:ind w:firstLine="422" w:firstLineChars="200"/>
        <w:rPr>
          <w:rFonts w:ascii="宋体"/>
          <w:szCs w:val="24"/>
        </w:rPr>
      </w:pPr>
      <w:r>
        <w:rPr>
          <w:rFonts w:ascii="宋体" w:hAnsi="宋体"/>
          <w:b/>
          <w:szCs w:val="24"/>
        </w:rPr>
        <w:t>2.3</w:t>
      </w:r>
      <w:r>
        <w:rPr>
          <w:rFonts w:ascii="宋体" w:hAnsi="宋体"/>
          <w:szCs w:val="24"/>
        </w:rPr>
        <w:t>投标文件的上传</w:t>
      </w:r>
    </w:p>
    <w:p>
      <w:pPr>
        <w:tabs>
          <w:tab w:val="left" w:pos="720"/>
        </w:tabs>
        <w:spacing w:line="360" w:lineRule="auto"/>
        <w:ind w:firstLine="420" w:firstLineChars="200"/>
        <w:rPr>
          <w:rFonts w:ascii="宋体"/>
          <w:szCs w:val="24"/>
        </w:rPr>
      </w:pPr>
      <w:r>
        <w:rPr>
          <w:rFonts w:ascii="宋体" w:hAnsi="宋体"/>
          <w:szCs w:val="24"/>
        </w:rPr>
        <w:t>加密电子投标文件须在投标截止时间前通过“河南省公共资源交易中心（www.hnggzy.net）”电子交易平台加密上传。</w:t>
      </w:r>
    </w:p>
    <w:p>
      <w:pPr>
        <w:spacing w:line="360" w:lineRule="auto"/>
        <w:ind w:firstLine="422" w:firstLineChars="200"/>
        <w:rPr>
          <w:rFonts w:ascii="宋体" w:hAnsi="宋体"/>
          <w:szCs w:val="24"/>
        </w:rPr>
      </w:pPr>
      <w:r>
        <w:rPr>
          <w:rFonts w:ascii="宋体" w:hAnsi="宋体"/>
          <w:b/>
          <w:kern w:val="0"/>
          <w:szCs w:val="24"/>
          <w:lang w:val="zh-CN"/>
        </w:rPr>
        <w:t>2.4</w:t>
      </w:r>
      <w:r>
        <w:rPr>
          <w:rFonts w:ascii="宋体" w:hAnsi="宋体"/>
          <w:szCs w:val="24"/>
        </w:rPr>
        <w:t>加密电子</w:t>
      </w:r>
      <w:r>
        <w:rPr>
          <w:rFonts w:hint="eastAsia" w:ascii="宋体" w:hAnsi="宋体"/>
          <w:szCs w:val="24"/>
        </w:rPr>
        <w:t>响应</w:t>
      </w:r>
      <w:r>
        <w:rPr>
          <w:rFonts w:ascii="宋体" w:hAnsi="宋体"/>
          <w:szCs w:val="24"/>
        </w:rPr>
        <w:t>文件为“河南省公共资源交易中心（www.hnggzy.net）” 网站提供的“投标文件制作工具”软件制作生成的加密版</w:t>
      </w:r>
      <w:r>
        <w:rPr>
          <w:rFonts w:hint="eastAsia" w:ascii="宋体" w:hAnsi="宋体"/>
          <w:szCs w:val="24"/>
        </w:rPr>
        <w:t>响应</w:t>
      </w:r>
      <w:r>
        <w:rPr>
          <w:rFonts w:ascii="宋体" w:hAnsi="宋体"/>
          <w:szCs w:val="24"/>
        </w:rPr>
        <w:t>文件。</w:t>
      </w:r>
    </w:p>
    <w:p>
      <w:pPr>
        <w:spacing w:line="360" w:lineRule="auto"/>
        <w:ind w:firstLine="422" w:firstLineChars="200"/>
        <w:rPr>
          <w:rFonts w:ascii="宋体"/>
          <w:kern w:val="0"/>
          <w:szCs w:val="24"/>
          <w:lang w:val="zh-CN"/>
        </w:rPr>
      </w:pPr>
      <w:r>
        <w:rPr>
          <w:rFonts w:ascii="宋体" w:hAnsi="宋体"/>
          <w:b/>
          <w:kern w:val="0"/>
          <w:szCs w:val="24"/>
          <w:lang w:val="zh-CN"/>
        </w:rPr>
        <w:t>2.5</w:t>
      </w:r>
      <w:r>
        <w:rPr>
          <w:rFonts w:hint="eastAsia" w:ascii="宋体" w:hAnsi="宋体"/>
          <w:kern w:val="0"/>
          <w:szCs w:val="24"/>
          <w:lang w:val="zh-CN"/>
        </w:rPr>
        <w:t>供应商</w:t>
      </w:r>
      <w:r>
        <w:rPr>
          <w:rFonts w:ascii="宋体" w:hAnsi="宋体"/>
          <w:kern w:val="0"/>
          <w:szCs w:val="24"/>
          <w:lang w:val="zh-CN"/>
        </w:rPr>
        <w:t>在制作电子</w:t>
      </w:r>
      <w:r>
        <w:rPr>
          <w:rFonts w:hint="eastAsia" w:ascii="宋体" w:hAnsi="宋体"/>
          <w:kern w:val="0"/>
          <w:szCs w:val="24"/>
        </w:rPr>
        <w:t>响应</w:t>
      </w:r>
      <w:r>
        <w:rPr>
          <w:rFonts w:ascii="宋体" w:hAnsi="宋体"/>
          <w:kern w:val="0"/>
          <w:szCs w:val="24"/>
          <w:lang w:val="zh-CN"/>
        </w:rPr>
        <w:t>文件时，要求</w:t>
      </w:r>
      <w:r>
        <w:rPr>
          <w:rFonts w:ascii="宋体" w:hAnsi="宋体"/>
          <w:szCs w:val="24"/>
        </w:rPr>
        <w:t>签章或盖章或签字</w:t>
      </w:r>
      <w:r>
        <w:rPr>
          <w:rFonts w:ascii="宋体" w:hAnsi="宋体"/>
          <w:kern w:val="0"/>
          <w:szCs w:val="24"/>
          <w:lang w:val="zh-CN"/>
        </w:rPr>
        <w:t>的格式内容，</w:t>
      </w:r>
      <w:r>
        <w:rPr>
          <w:rFonts w:hint="eastAsia" w:ascii="宋体" w:hAnsi="宋体"/>
          <w:kern w:val="0"/>
          <w:szCs w:val="24"/>
          <w:lang w:val="zh-CN"/>
        </w:rPr>
        <w:t>供应商</w:t>
      </w:r>
      <w:r>
        <w:rPr>
          <w:rFonts w:ascii="宋体" w:hAnsi="宋体"/>
          <w:kern w:val="0"/>
          <w:szCs w:val="24"/>
          <w:lang w:val="zh-CN"/>
        </w:rPr>
        <w:t>须按格式内容要求</w:t>
      </w:r>
      <w:r>
        <w:rPr>
          <w:rFonts w:ascii="宋体" w:hAnsi="宋体"/>
          <w:szCs w:val="24"/>
        </w:rPr>
        <w:t>签章或盖章或签字</w:t>
      </w:r>
      <w:r>
        <w:rPr>
          <w:rFonts w:ascii="宋体" w:hAnsi="宋体"/>
          <w:kern w:val="0"/>
          <w:szCs w:val="24"/>
          <w:lang w:val="zh-CN"/>
        </w:rPr>
        <w:t>。</w:t>
      </w:r>
    </w:p>
    <w:p>
      <w:pPr>
        <w:tabs>
          <w:tab w:val="left" w:pos="720"/>
        </w:tabs>
        <w:spacing w:line="360" w:lineRule="auto"/>
        <w:ind w:firstLine="422" w:firstLineChars="200"/>
        <w:rPr>
          <w:rFonts w:ascii="宋体"/>
          <w:szCs w:val="24"/>
        </w:rPr>
      </w:pPr>
      <w:r>
        <w:rPr>
          <w:rFonts w:ascii="宋体" w:hAnsi="宋体"/>
          <w:b/>
          <w:szCs w:val="24"/>
        </w:rPr>
        <w:t>2.6</w:t>
      </w:r>
      <w:r>
        <w:rPr>
          <w:rFonts w:hint="eastAsia" w:ascii="宋体" w:hAnsi="宋体"/>
          <w:szCs w:val="24"/>
        </w:rPr>
        <w:t>供应商</w:t>
      </w:r>
      <w:r>
        <w:rPr>
          <w:rFonts w:ascii="宋体" w:hAnsi="宋体"/>
          <w:szCs w:val="24"/>
        </w:rPr>
        <w:t>在制作电子</w:t>
      </w:r>
      <w:r>
        <w:rPr>
          <w:rFonts w:hint="eastAsia" w:ascii="宋体" w:hAnsi="宋体"/>
          <w:szCs w:val="24"/>
        </w:rPr>
        <w:t>响应</w:t>
      </w:r>
      <w:r>
        <w:rPr>
          <w:rFonts w:ascii="宋体" w:hAnsi="宋体"/>
          <w:szCs w:val="24"/>
        </w:rPr>
        <w:t>文件时，开标一览表须严格按照格式编辑，并作为电子开标系统上传的依据。</w:t>
      </w:r>
    </w:p>
    <w:p>
      <w:pPr>
        <w:spacing w:line="360" w:lineRule="auto"/>
        <w:ind w:firstLine="434" w:firstLineChars="206"/>
        <w:rPr>
          <w:rFonts w:ascii="宋体"/>
          <w:b/>
          <w:szCs w:val="24"/>
        </w:rPr>
      </w:pPr>
      <w:r>
        <w:rPr>
          <w:rFonts w:ascii="宋体" w:hAnsi="宋体"/>
          <w:b/>
          <w:szCs w:val="24"/>
        </w:rPr>
        <w:t>3、</w:t>
      </w:r>
      <w:r>
        <w:rPr>
          <w:rFonts w:hint="eastAsia" w:ascii="宋体" w:hAnsi="宋体"/>
          <w:b/>
          <w:szCs w:val="24"/>
        </w:rPr>
        <w:t>采购文件</w:t>
      </w:r>
      <w:r>
        <w:rPr>
          <w:rFonts w:ascii="宋体" w:hAnsi="宋体"/>
          <w:b/>
          <w:szCs w:val="24"/>
        </w:rPr>
        <w:t>的澄清与修改</w:t>
      </w:r>
    </w:p>
    <w:p>
      <w:pPr>
        <w:spacing w:line="360" w:lineRule="auto"/>
        <w:jc w:val="left"/>
        <w:rPr>
          <w:rFonts w:ascii="宋体" w:hAnsi="宋体"/>
          <w:szCs w:val="24"/>
        </w:rPr>
      </w:pPr>
      <w:r>
        <w:rPr>
          <w:rFonts w:ascii="宋体" w:hAnsi="宋体"/>
          <w:b/>
          <w:szCs w:val="24"/>
        </w:rPr>
        <w:t xml:space="preserve">   </w:t>
      </w:r>
      <w:r>
        <w:rPr>
          <w:rFonts w:ascii="宋体" w:hAnsi="宋体"/>
          <w:szCs w:val="24"/>
        </w:rPr>
        <w:t>在投标截止时间前须自行查看项目进展、下载</w:t>
      </w:r>
      <w:r>
        <w:rPr>
          <w:rFonts w:hint="eastAsia" w:ascii="宋体" w:hAnsi="宋体"/>
          <w:szCs w:val="24"/>
        </w:rPr>
        <w:t>采购文件</w:t>
      </w:r>
      <w:r>
        <w:rPr>
          <w:rFonts w:ascii="宋体" w:hAnsi="宋体"/>
          <w:szCs w:val="24"/>
        </w:rPr>
        <w:t>的澄清及修改等，因</w:t>
      </w:r>
      <w:r>
        <w:rPr>
          <w:rFonts w:hint="eastAsia" w:ascii="宋体" w:hAnsi="宋体"/>
          <w:szCs w:val="24"/>
        </w:rPr>
        <w:t>供应商</w:t>
      </w:r>
      <w:r>
        <w:rPr>
          <w:rFonts w:ascii="宋体" w:hAnsi="宋体"/>
          <w:szCs w:val="24"/>
        </w:rPr>
        <w:t>未及时查看和下载而造成的后果自负。</w:t>
      </w:r>
    </w:p>
    <w:p>
      <w:pPr>
        <w:spacing w:line="360" w:lineRule="auto"/>
        <w:ind w:firstLine="422" w:firstLineChars="200"/>
        <w:jc w:val="left"/>
        <w:rPr>
          <w:rFonts w:ascii="宋体" w:hAnsi="宋体"/>
          <w:szCs w:val="24"/>
        </w:rPr>
      </w:pPr>
      <w:r>
        <w:rPr>
          <w:rFonts w:ascii="宋体" w:hAnsi="宋体"/>
          <w:b/>
          <w:szCs w:val="24"/>
        </w:rPr>
        <w:t>4、</w:t>
      </w:r>
      <w:r>
        <w:rPr>
          <w:rFonts w:ascii="宋体" w:hAnsi="宋体"/>
          <w:szCs w:val="24"/>
        </w:rPr>
        <w:t>文件中“企业电子签章”是指企业的电子章；“个人电子签章”是指个人的电子签名。</w:t>
      </w:r>
    </w:p>
    <w:p>
      <w:pPr>
        <w:jc w:val="center"/>
        <w:rPr>
          <w:rFonts w:hint="eastAsia" w:ascii="仿宋" w:hAnsi="仿宋" w:eastAsia="仿宋" w:cs="仿宋"/>
          <w:b/>
          <w:sz w:val="21"/>
          <w:szCs w:val="21"/>
        </w:rPr>
      </w:pPr>
      <w:r>
        <w:rPr>
          <w:rFonts w:ascii="宋体"/>
          <w:b/>
          <w:sz w:val="32"/>
          <w:szCs w:val="32"/>
        </w:rPr>
        <w:br w:type="page"/>
      </w:r>
      <w:r>
        <w:rPr>
          <w:rFonts w:hint="eastAsia" w:ascii="宋体" w:hAnsi="宋体" w:eastAsia="宋体" w:cs="宋体"/>
          <w:b/>
          <w:sz w:val="21"/>
          <w:szCs w:val="21"/>
        </w:rPr>
        <w:t>河南省政府采购合同融资政策告知函</w:t>
      </w:r>
    </w:p>
    <w:p>
      <w:pPr>
        <w:jc w:val="center"/>
        <w:rPr>
          <w:rFonts w:hint="eastAsia" w:ascii="仿宋" w:hAnsi="仿宋" w:eastAsia="仿宋" w:cs="仿宋"/>
          <w:b/>
          <w:sz w:val="21"/>
          <w:szCs w:val="21"/>
        </w:rPr>
      </w:pPr>
    </w:p>
    <w:p>
      <w:pPr>
        <w:spacing w:line="360" w:lineRule="auto"/>
        <w:jc w:val="left"/>
        <w:rPr>
          <w:rFonts w:hint="eastAsia" w:ascii="宋体" w:hAnsi="宋体" w:eastAsia="宋体" w:cs="宋体"/>
          <w:sz w:val="21"/>
          <w:szCs w:val="21"/>
        </w:rPr>
      </w:pPr>
      <w:r>
        <w:rPr>
          <w:rFonts w:hint="eastAsia" w:ascii="宋体" w:hAnsi="宋体" w:eastAsia="宋体" w:cs="宋体"/>
          <w:sz w:val="21"/>
          <w:szCs w:val="21"/>
        </w:rPr>
        <w:t>各供应商：</w:t>
      </w:r>
    </w:p>
    <w:p>
      <w:pPr>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欢迎贵公司参与河南省政府采购活动！</w:t>
      </w:r>
    </w:p>
    <w:p>
      <w:pPr>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政府采购合同融资是河南省财政厅支持中小微企业发展，针对参与政府采购活动的供应商融资难、融资贵问题推出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pPr>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贷款渠道和提供贷款的金融机构，可在河南省政府采购网“河南省政府采购合同融资平台”查询联系。</w:t>
      </w:r>
    </w:p>
    <w:p>
      <w:pPr>
        <w:spacing w:line="480" w:lineRule="auto"/>
        <w:ind w:left="1260" w:firstLine="420"/>
        <w:rPr>
          <w:rFonts w:ascii="华文中宋" w:hAnsi="华文中宋" w:eastAsia="华文中宋"/>
          <w:sz w:val="36"/>
          <w:szCs w:val="24"/>
        </w:rPr>
      </w:pPr>
      <w:r>
        <w:rPr>
          <w:rFonts w:ascii="宋体" w:hAnsi="宋体" w:cs="宋体"/>
          <w:kern w:val="0"/>
          <w:sz w:val="24"/>
          <w:szCs w:val="24"/>
        </w:rPr>
        <w:drawing>
          <wp:anchor distT="0" distB="0" distL="114300" distR="114300" simplePos="0" relativeHeight="251659264" behindDoc="0" locked="0" layoutInCell="1" allowOverlap="1">
            <wp:simplePos x="0" y="0"/>
            <wp:positionH relativeFrom="page">
              <wp:posOffset>1036955</wp:posOffset>
            </wp:positionH>
            <wp:positionV relativeFrom="page">
              <wp:posOffset>5265420</wp:posOffset>
            </wp:positionV>
            <wp:extent cx="4909820" cy="4204335"/>
            <wp:effectExtent l="0" t="0" r="5080" b="5715"/>
            <wp:wrapNone/>
            <wp:docPr id="2" name="图片 2" descr="1607567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07567798(1)"/>
                    <pic:cNvPicPr>
                      <a:picLocks noChangeAspect="1"/>
                    </pic:cNvPicPr>
                  </pic:nvPicPr>
                  <pic:blipFill>
                    <a:blip r:embed="rId13"/>
                    <a:stretch>
                      <a:fillRect/>
                    </a:stretch>
                  </pic:blipFill>
                  <pic:spPr>
                    <a:xfrm>
                      <a:off x="0" y="0"/>
                      <a:ext cx="4909820" cy="4204335"/>
                    </a:xfrm>
                    <a:prstGeom prst="rect">
                      <a:avLst/>
                    </a:prstGeom>
                    <a:noFill/>
                    <a:ln>
                      <a:noFill/>
                    </a:ln>
                  </pic:spPr>
                </pic:pic>
              </a:graphicData>
            </a:graphic>
          </wp:anchor>
        </w:drawing>
      </w:r>
      <w:r>
        <w:rPr>
          <w:rFonts w:ascii="宋体" w:hAnsi="宋体"/>
          <w:szCs w:val="24"/>
        </w:rPr>
        <w:br w:type="page"/>
      </w:r>
    </w:p>
    <w:p>
      <w:pPr>
        <w:pStyle w:val="22"/>
        <w:spacing w:line="360" w:lineRule="auto"/>
        <w:jc w:val="both"/>
        <w:rPr>
          <w:b/>
          <w:sz w:val="36"/>
        </w:rPr>
      </w:pPr>
    </w:p>
    <w:p>
      <w:pPr>
        <w:pStyle w:val="22"/>
        <w:spacing w:line="360" w:lineRule="auto"/>
        <w:rPr>
          <w:b/>
          <w:sz w:val="36"/>
        </w:rPr>
      </w:pPr>
      <w:r>
        <w:rPr>
          <w:rFonts w:hint="eastAsia"/>
          <w:b/>
          <w:sz w:val="36"/>
        </w:rPr>
        <w:t>目录</w:t>
      </w:r>
    </w:p>
    <w:p>
      <w:pPr>
        <w:pStyle w:val="22"/>
        <w:tabs>
          <w:tab w:val="right" w:leader="dot" w:pos="9070"/>
          <w:tab w:val="clear" w:pos="9060"/>
        </w:tabs>
        <w:rPr>
          <w:rFonts w:ascii="宋体" w:hAnsi="宋体" w:cs="宋体"/>
        </w:rPr>
      </w:pPr>
      <w:r>
        <w:rPr>
          <w:rFonts w:ascii="宋体" w:hAnsi="宋体"/>
          <w:kern w:val="0"/>
          <w:sz w:val="18"/>
        </w:rPr>
        <w:fldChar w:fldCharType="begin"/>
      </w:r>
      <w:r>
        <w:rPr>
          <w:rFonts w:hint="eastAsia" w:ascii="宋体" w:hAnsi="宋体"/>
          <w:kern w:val="0"/>
          <w:sz w:val="18"/>
        </w:rPr>
        <w:instrText xml:space="preserve">TOC \o "1-4" \h \z \u</w:instrText>
      </w:r>
      <w:r>
        <w:rPr>
          <w:rFonts w:ascii="宋体" w:hAnsi="宋体"/>
          <w:kern w:val="0"/>
          <w:sz w:val="18"/>
        </w:rPr>
        <w:fldChar w:fldCharType="separate"/>
      </w:r>
      <w:r>
        <w:fldChar w:fldCharType="begin"/>
      </w:r>
      <w:r>
        <w:instrText xml:space="preserve"> HYPERLINK \l "_Toc10166" </w:instrText>
      </w:r>
      <w:r>
        <w:fldChar w:fldCharType="separate"/>
      </w:r>
      <w:r>
        <w:rPr>
          <w:rFonts w:hint="eastAsia" w:ascii="宋体" w:hAnsi="宋体" w:cs="宋体"/>
        </w:rPr>
        <w:t>第一章 竞争性磋商公告</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_Toc10166 </w:instrText>
      </w:r>
      <w:r>
        <w:rPr>
          <w:rFonts w:hint="eastAsia" w:ascii="宋体" w:hAnsi="宋体" w:cs="宋体"/>
        </w:rPr>
        <w:fldChar w:fldCharType="separate"/>
      </w:r>
      <w:r>
        <w:rPr>
          <w:rFonts w:hint="eastAsia" w:ascii="宋体" w:hAnsi="宋体" w:cs="宋体"/>
        </w:rPr>
        <w:t>5</w:t>
      </w:r>
      <w:r>
        <w:rPr>
          <w:rFonts w:hint="eastAsia" w:ascii="宋体" w:hAnsi="宋体" w:cs="宋体"/>
        </w:rPr>
        <w:fldChar w:fldCharType="end"/>
      </w:r>
      <w:r>
        <w:rPr>
          <w:rFonts w:hint="eastAsia" w:ascii="宋体" w:hAnsi="宋体" w:cs="宋体"/>
        </w:rPr>
        <w:fldChar w:fldCharType="end"/>
      </w:r>
    </w:p>
    <w:p>
      <w:pPr>
        <w:pStyle w:val="22"/>
        <w:tabs>
          <w:tab w:val="right" w:leader="dot" w:pos="9070"/>
          <w:tab w:val="clear" w:pos="9060"/>
        </w:tabs>
        <w:rPr>
          <w:rFonts w:ascii="宋体" w:hAnsi="宋体" w:cs="宋体"/>
        </w:rPr>
      </w:pPr>
      <w:r>
        <w:fldChar w:fldCharType="begin"/>
      </w:r>
      <w:r>
        <w:instrText xml:space="preserve"> HYPERLINK \l "_Toc9333" </w:instrText>
      </w:r>
      <w:r>
        <w:fldChar w:fldCharType="separate"/>
      </w:r>
      <w:r>
        <w:rPr>
          <w:rFonts w:hint="eastAsia" w:ascii="宋体" w:hAnsi="宋体" w:cs="宋体"/>
        </w:rPr>
        <w:t>第二章 供应商须知</w:t>
      </w:r>
      <w:r>
        <w:rPr>
          <w:rFonts w:hint="eastAsia" w:ascii="宋体" w:hAnsi="宋体" w:cs="宋体"/>
        </w:rPr>
        <w:tab/>
      </w:r>
      <w:r>
        <w:rPr>
          <w:rFonts w:hint="eastAsia" w:ascii="宋体" w:hAnsi="宋体" w:cs="宋体"/>
        </w:rPr>
        <w:t>8</w:t>
      </w:r>
      <w:r>
        <w:rPr>
          <w:rFonts w:hint="eastAsia" w:ascii="宋体" w:hAnsi="宋体" w:cs="宋体"/>
        </w:rPr>
        <w:fldChar w:fldCharType="end"/>
      </w:r>
    </w:p>
    <w:p>
      <w:pPr>
        <w:pStyle w:val="22"/>
        <w:tabs>
          <w:tab w:val="right" w:leader="dot" w:pos="9070"/>
          <w:tab w:val="clear" w:pos="9060"/>
        </w:tabs>
        <w:jc w:val="left"/>
        <w:rPr>
          <w:rFonts w:ascii="宋体" w:hAnsi="宋体" w:cs="宋体"/>
        </w:rPr>
      </w:pPr>
      <w:r>
        <w:fldChar w:fldCharType="begin"/>
      </w:r>
      <w:r>
        <w:instrText xml:space="preserve"> HYPERLINK \l "_Toc26828" </w:instrText>
      </w:r>
      <w:r>
        <w:fldChar w:fldCharType="separate"/>
      </w:r>
      <w:r>
        <w:rPr>
          <w:rFonts w:hint="eastAsia" w:ascii="宋体" w:hAnsi="宋体" w:cs="宋体"/>
        </w:rPr>
        <w:t>第三章 合同条款</w:t>
      </w:r>
      <w:r>
        <w:rPr>
          <w:rFonts w:hint="eastAsia" w:ascii="宋体" w:hAnsi="宋体" w:cs="宋体"/>
        </w:rPr>
        <w:tab/>
      </w:r>
      <w:r>
        <w:rPr>
          <w:rFonts w:hint="eastAsia" w:ascii="宋体" w:hAnsi="宋体" w:cs="宋体"/>
        </w:rPr>
        <w:t>1</w:t>
      </w:r>
      <w:r>
        <w:rPr>
          <w:rFonts w:hint="eastAsia" w:ascii="宋体" w:hAnsi="宋体" w:cs="宋体"/>
        </w:rPr>
        <w:fldChar w:fldCharType="end"/>
      </w:r>
      <w:r>
        <w:rPr>
          <w:rFonts w:hint="eastAsia" w:ascii="宋体" w:hAnsi="宋体" w:cs="宋体"/>
          <w:kern w:val="0"/>
        </w:rPr>
        <w:t>6</w:t>
      </w:r>
    </w:p>
    <w:p>
      <w:pPr>
        <w:pStyle w:val="22"/>
        <w:tabs>
          <w:tab w:val="right" w:leader="dot" w:pos="9070"/>
          <w:tab w:val="clear" w:pos="9060"/>
        </w:tabs>
        <w:rPr>
          <w:rFonts w:ascii="宋体" w:hAnsi="宋体" w:cs="宋体"/>
        </w:rPr>
      </w:pPr>
      <w:r>
        <w:fldChar w:fldCharType="begin"/>
      </w:r>
      <w:r>
        <w:instrText xml:space="preserve"> HYPERLINK \l "_Toc24677" </w:instrText>
      </w:r>
      <w:r>
        <w:fldChar w:fldCharType="separate"/>
      </w:r>
      <w:r>
        <w:rPr>
          <w:rFonts w:hint="eastAsia" w:ascii="宋体" w:hAnsi="宋体" w:cs="宋体"/>
        </w:rPr>
        <w:t xml:space="preserve">第四章 </w:t>
      </w:r>
      <w:r>
        <w:rPr>
          <w:rFonts w:hint="eastAsia" w:ascii="宋体" w:hAnsi="宋体" w:cs="宋体"/>
          <w:lang w:eastAsia="zh-CN"/>
        </w:rPr>
        <w:t>发包人要求</w:t>
      </w:r>
      <w:r>
        <w:rPr>
          <w:rFonts w:hint="eastAsia" w:ascii="宋体" w:hAnsi="宋体" w:cs="宋体"/>
        </w:rPr>
        <w:tab/>
      </w:r>
      <w:r>
        <w:rPr>
          <w:rFonts w:hint="eastAsia" w:ascii="宋体" w:hAnsi="宋体" w:cs="宋体"/>
        </w:rPr>
        <w:t>2</w:t>
      </w:r>
      <w:r>
        <w:rPr>
          <w:rFonts w:hint="eastAsia" w:ascii="宋体" w:hAnsi="宋体" w:cs="宋体"/>
        </w:rPr>
        <w:fldChar w:fldCharType="end"/>
      </w:r>
      <w:r>
        <w:rPr>
          <w:rFonts w:hint="eastAsia" w:ascii="宋体" w:hAnsi="宋体" w:cs="宋体"/>
          <w:kern w:val="0"/>
        </w:rPr>
        <w:t>3</w:t>
      </w:r>
    </w:p>
    <w:p>
      <w:pPr>
        <w:pStyle w:val="22"/>
        <w:tabs>
          <w:tab w:val="right" w:leader="dot" w:pos="9070"/>
          <w:tab w:val="clear" w:pos="9060"/>
        </w:tabs>
        <w:rPr>
          <w:rFonts w:ascii="宋体" w:hAnsi="宋体" w:cs="宋体"/>
        </w:rPr>
      </w:pPr>
      <w:r>
        <w:fldChar w:fldCharType="begin"/>
      </w:r>
      <w:r>
        <w:instrText xml:space="preserve"> HYPERLINK \l "_Toc3724" </w:instrText>
      </w:r>
      <w:r>
        <w:fldChar w:fldCharType="separate"/>
      </w:r>
      <w:r>
        <w:rPr>
          <w:rFonts w:hint="eastAsia" w:ascii="宋体" w:hAnsi="宋体" w:cs="宋体"/>
        </w:rPr>
        <w:t>第五章 磋商办法</w:t>
      </w:r>
      <w:r>
        <w:rPr>
          <w:rFonts w:hint="eastAsia" w:ascii="宋体" w:hAnsi="宋体" w:cs="宋体"/>
        </w:rPr>
        <w:tab/>
      </w:r>
      <w:r>
        <w:rPr>
          <w:rFonts w:hint="eastAsia" w:ascii="宋体" w:hAnsi="宋体" w:cs="宋体"/>
        </w:rPr>
        <w:t>2</w:t>
      </w:r>
      <w:r>
        <w:rPr>
          <w:rFonts w:hint="eastAsia" w:ascii="宋体" w:hAnsi="宋体" w:cs="宋体"/>
        </w:rPr>
        <w:fldChar w:fldCharType="end"/>
      </w:r>
      <w:r>
        <w:rPr>
          <w:rFonts w:hint="eastAsia" w:ascii="宋体" w:hAnsi="宋体" w:cs="宋体"/>
          <w:kern w:val="0"/>
        </w:rPr>
        <w:t>5</w:t>
      </w:r>
    </w:p>
    <w:p>
      <w:pPr>
        <w:pStyle w:val="22"/>
        <w:tabs>
          <w:tab w:val="right" w:leader="dot" w:pos="9070"/>
          <w:tab w:val="clear" w:pos="9060"/>
        </w:tabs>
        <w:jc w:val="left"/>
      </w:pPr>
      <w:r>
        <w:fldChar w:fldCharType="begin"/>
      </w:r>
      <w:r>
        <w:instrText xml:space="preserve"> HYPERLINK \l "_Toc28782" </w:instrText>
      </w:r>
      <w:r>
        <w:fldChar w:fldCharType="separate"/>
      </w:r>
      <w:r>
        <w:rPr>
          <w:rFonts w:hint="eastAsia"/>
        </w:rPr>
        <w:t>第六章 响应文件格式</w:t>
      </w:r>
      <w:r>
        <w:rPr>
          <w:rFonts w:hint="eastAsia" w:ascii="宋体" w:hAnsi="宋体" w:cs="宋体"/>
        </w:rPr>
        <w:tab/>
      </w:r>
      <w:r>
        <w:rPr>
          <w:rFonts w:hint="eastAsia" w:ascii="宋体" w:hAnsi="宋体" w:cs="宋体"/>
        </w:rPr>
        <w:t>30</w:t>
      </w:r>
      <w:r>
        <w:rPr>
          <w:rFonts w:hint="eastAsia" w:ascii="宋体" w:hAnsi="宋体" w:cs="宋体"/>
        </w:rPr>
        <w:fldChar w:fldCharType="end"/>
      </w:r>
    </w:p>
    <w:p>
      <w:pPr>
        <w:pStyle w:val="22"/>
        <w:tabs>
          <w:tab w:val="right" w:leader="dot" w:pos="9070"/>
          <w:tab w:val="clear" w:pos="9060"/>
        </w:tabs>
        <w:jc w:val="left"/>
      </w:pPr>
      <w:r>
        <w:rPr>
          <w:rFonts w:hint="eastAsia"/>
        </w:rPr>
        <w:t>第七章 政府采购政策</w:t>
      </w:r>
      <w:r>
        <w:rPr>
          <w:rFonts w:hint="eastAsia" w:ascii="宋体" w:hAnsi="宋体" w:cs="宋体"/>
        </w:rPr>
        <w:tab/>
      </w:r>
      <w:r>
        <w:rPr>
          <w:rFonts w:hint="eastAsia" w:ascii="宋体" w:hAnsi="宋体" w:cs="宋体"/>
        </w:rPr>
        <w:t>49</w:t>
      </w:r>
    </w:p>
    <w:p>
      <w:pPr>
        <w:pStyle w:val="22"/>
        <w:tabs>
          <w:tab w:val="right" w:leader="dot" w:pos="9070"/>
          <w:tab w:val="clear" w:pos="9060"/>
        </w:tabs>
        <w:jc w:val="left"/>
      </w:pPr>
    </w:p>
    <w:p>
      <w:pPr>
        <w:pStyle w:val="9"/>
        <w:rPr>
          <w:rFonts w:ascii="宋体" w:hAnsi="宋体"/>
          <w:kern w:val="0"/>
        </w:rPr>
      </w:pPr>
    </w:p>
    <w:p>
      <w:pPr>
        <w:pStyle w:val="9"/>
        <w:rPr>
          <w:rFonts w:ascii="宋体" w:hAnsi="宋体"/>
          <w:kern w:val="0"/>
        </w:rPr>
      </w:pPr>
    </w:p>
    <w:p>
      <w:pPr>
        <w:rPr>
          <w:rFonts w:ascii="宋体" w:hAnsi="宋体"/>
          <w:kern w:val="0"/>
        </w:rPr>
      </w:pPr>
      <w:r>
        <w:rPr>
          <w:rFonts w:ascii="宋体" w:hAnsi="宋体"/>
          <w:kern w:val="0"/>
        </w:rPr>
        <w:br w:type="page"/>
      </w:r>
    </w:p>
    <w:p>
      <w:pPr>
        <w:autoSpaceDE w:val="0"/>
        <w:autoSpaceDN w:val="0"/>
        <w:adjustRightInd w:val="0"/>
        <w:spacing w:line="360" w:lineRule="auto"/>
        <w:jc w:val="center"/>
        <w:outlineLvl w:val="0"/>
        <w:rPr>
          <w:rFonts w:ascii="宋体" w:hAnsi="宋体"/>
          <w:b/>
          <w:sz w:val="36"/>
        </w:rPr>
      </w:pPr>
      <w:r>
        <w:rPr>
          <w:rFonts w:ascii="宋体" w:hAnsi="宋体"/>
          <w:kern w:val="0"/>
        </w:rPr>
        <w:fldChar w:fldCharType="end"/>
      </w:r>
      <w:bookmarkStart w:id="0" w:name="_Toc10166"/>
      <w:bookmarkStart w:id="1" w:name="_Toc240876496"/>
      <w:bookmarkStart w:id="2" w:name="_Toc240876031"/>
      <w:bookmarkStart w:id="3" w:name="_Toc240876819"/>
      <w:r>
        <w:rPr>
          <w:rFonts w:hint="eastAsia" w:ascii="宋体" w:hAnsi="宋体"/>
          <w:b/>
          <w:sz w:val="36"/>
        </w:rPr>
        <w:t>第一章 竞争性磋商公告</w:t>
      </w:r>
      <w:bookmarkEnd w:id="0"/>
    </w:p>
    <w:p>
      <w:pPr>
        <w:spacing w:line="288" w:lineRule="auto"/>
        <w:jc w:val="center"/>
        <w:rPr>
          <w:rFonts w:ascii="宋体" w:hAnsi="宋体" w:cs="宋体"/>
          <w:sz w:val="24"/>
          <w:szCs w:val="24"/>
        </w:rPr>
      </w:pPr>
      <w:bookmarkStart w:id="4" w:name="_Toc208224557"/>
      <w:bookmarkStart w:id="5" w:name="_Toc184897870"/>
      <w:bookmarkStart w:id="6" w:name="_Toc186784118"/>
      <w:bookmarkStart w:id="7" w:name="_Toc9333"/>
      <w:r>
        <w:rPr>
          <w:rFonts w:hint="eastAsia" w:ascii="宋体" w:hAnsi="宋体" w:cs="宋体"/>
          <w:b/>
          <w:kern w:val="0"/>
          <w:sz w:val="24"/>
          <w:szCs w:val="24"/>
        </w:rPr>
        <w:t>河南中医药大学第一附属医院</w:t>
      </w:r>
      <w:r>
        <w:rPr>
          <w:rFonts w:hint="eastAsia" w:ascii="宋体" w:hAnsi="宋体" w:cs="宋体"/>
          <w:b/>
          <w:kern w:val="0"/>
          <w:sz w:val="24"/>
          <w:szCs w:val="24"/>
          <w:lang w:eastAsia="zh-CN"/>
        </w:rPr>
        <w:t>病理科人民路院区、新院区新风系统采购项目</w:t>
      </w:r>
      <w:r>
        <w:rPr>
          <w:rFonts w:hint="eastAsia" w:ascii="宋体" w:hAnsi="宋体" w:cs="宋体"/>
          <w:b/>
          <w:kern w:val="0"/>
          <w:sz w:val="24"/>
          <w:szCs w:val="24"/>
        </w:rPr>
        <w:t>-竞争性磋商公告</w:t>
      </w:r>
    </w:p>
    <w:bookmarkEnd w:id="4"/>
    <w:bookmarkEnd w:id="5"/>
    <w:bookmarkEnd w:id="6"/>
    <w:p>
      <w:pPr>
        <w:spacing w:line="288" w:lineRule="auto"/>
        <w:rPr>
          <w:rFonts w:ascii="宋体" w:hAnsi="宋体" w:cs="宋体"/>
          <w:b/>
          <w:kern w:val="0"/>
          <w:szCs w:val="21"/>
        </w:rPr>
      </w:pPr>
      <w:r>
        <w:rPr>
          <w:rFonts w:hint="eastAsia" w:ascii="宋体" w:hAnsi="宋体" w:cs="宋体"/>
          <w:b/>
          <w:kern w:val="0"/>
          <w:szCs w:val="21"/>
        </w:rPr>
        <w:t>项目概况</w:t>
      </w:r>
    </w:p>
    <w:p>
      <w:pPr>
        <w:spacing w:line="288" w:lineRule="auto"/>
        <w:ind w:firstLine="420" w:firstLineChars="200"/>
        <w:rPr>
          <w:rFonts w:ascii="宋体" w:hAnsi="宋体" w:cs="宋体"/>
          <w:szCs w:val="21"/>
        </w:rPr>
      </w:pPr>
      <w:r>
        <w:rPr>
          <w:rFonts w:hint="eastAsia" w:ascii="宋体" w:hAnsi="宋体" w:cs="宋体"/>
          <w:szCs w:val="21"/>
        </w:rPr>
        <w:t>河南中医药大学第一附属医院</w:t>
      </w:r>
      <w:r>
        <w:rPr>
          <w:rFonts w:hint="eastAsia" w:ascii="宋体" w:hAnsi="宋体" w:cs="宋体"/>
          <w:szCs w:val="21"/>
          <w:lang w:eastAsia="zh-CN"/>
        </w:rPr>
        <w:t>病理科人民路院区、新院区新风系统采购项目</w:t>
      </w:r>
      <w:r>
        <w:rPr>
          <w:rFonts w:hint="eastAsia" w:ascii="宋体" w:hAnsi="宋体" w:cs="宋体"/>
          <w:szCs w:val="21"/>
        </w:rPr>
        <w:t>的潜在投标人应在河南省公共资源交易中心网站（http://www.hnggzy.net/）获取招标文件。并于</w:t>
      </w:r>
      <w:r>
        <w:rPr>
          <w:rFonts w:hint="eastAsia" w:ascii="宋体" w:hAnsi="宋体" w:cs="宋体"/>
          <w:color w:val="auto"/>
          <w:szCs w:val="21"/>
          <w:lang w:eastAsia="zh-CN"/>
        </w:rPr>
        <w:t>2023年12月15日</w:t>
      </w:r>
      <w:r>
        <w:rPr>
          <w:rFonts w:hint="eastAsia" w:ascii="宋体" w:hAnsi="宋体" w:cs="宋体"/>
          <w:color w:val="auto"/>
          <w:szCs w:val="21"/>
        </w:rPr>
        <w:t>0</w:t>
      </w:r>
      <w:r>
        <w:rPr>
          <w:rFonts w:hint="eastAsia" w:ascii="宋体" w:hAnsi="宋体" w:cs="宋体"/>
          <w:szCs w:val="21"/>
        </w:rPr>
        <w:t>9时00分（北京时间）前递交响应文件。</w:t>
      </w:r>
    </w:p>
    <w:p>
      <w:pPr>
        <w:numPr>
          <w:ilvl w:val="0"/>
          <w:numId w:val="2"/>
        </w:numPr>
        <w:spacing w:line="288" w:lineRule="auto"/>
        <w:rPr>
          <w:rFonts w:ascii="宋体" w:hAnsi="宋体" w:cs="宋体"/>
          <w:b/>
          <w:color w:val="auto"/>
          <w:kern w:val="0"/>
          <w:szCs w:val="21"/>
        </w:rPr>
      </w:pPr>
      <w:r>
        <w:rPr>
          <w:rFonts w:hint="eastAsia" w:ascii="宋体" w:hAnsi="宋体" w:cs="宋体"/>
          <w:b/>
          <w:color w:val="auto"/>
          <w:kern w:val="0"/>
          <w:szCs w:val="21"/>
        </w:rPr>
        <w:t>项目基本情况</w:t>
      </w:r>
    </w:p>
    <w:p>
      <w:pPr>
        <w:spacing w:line="288" w:lineRule="auto"/>
        <w:rPr>
          <w:rFonts w:hint="eastAsia" w:ascii="宋体" w:hAnsi="宋体" w:eastAsia="宋体" w:cs="宋体"/>
          <w:bCs/>
          <w:color w:val="auto"/>
          <w:kern w:val="0"/>
          <w:szCs w:val="21"/>
          <w:lang w:eastAsia="zh-CN"/>
        </w:rPr>
      </w:pPr>
      <w:r>
        <w:rPr>
          <w:rFonts w:hint="eastAsia" w:ascii="宋体" w:hAnsi="宋体" w:cs="宋体"/>
          <w:bCs/>
          <w:color w:val="auto"/>
          <w:kern w:val="0"/>
          <w:szCs w:val="21"/>
        </w:rPr>
        <w:t>1、项目编号：</w:t>
      </w:r>
      <w:r>
        <w:rPr>
          <w:rFonts w:hint="eastAsia" w:ascii="宋体" w:hAnsi="宋体" w:cs="宋体"/>
          <w:bCs/>
          <w:color w:val="auto"/>
          <w:kern w:val="0"/>
          <w:szCs w:val="21"/>
          <w:lang w:eastAsia="zh-CN"/>
        </w:rPr>
        <w:t>豫财磋商采购-2023-1282</w:t>
      </w:r>
    </w:p>
    <w:p>
      <w:pPr>
        <w:spacing w:line="288" w:lineRule="auto"/>
        <w:rPr>
          <w:rFonts w:hint="eastAsia" w:ascii="宋体" w:hAnsi="宋体" w:eastAsia="宋体" w:cs="宋体"/>
          <w:bCs/>
          <w:kern w:val="0"/>
          <w:szCs w:val="21"/>
          <w:lang w:eastAsia="zh-CN"/>
        </w:rPr>
      </w:pPr>
      <w:r>
        <w:rPr>
          <w:rFonts w:hint="eastAsia" w:ascii="宋体" w:hAnsi="宋体" w:cs="宋体"/>
          <w:bCs/>
          <w:kern w:val="0"/>
          <w:szCs w:val="21"/>
        </w:rPr>
        <w:t>2、项目名称：河南中医药大学第一附属医院</w:t>
      </w:r>
      <w:r>
        <w:rPr>
          <w:rFonts w:hint="eastAsia" w:ascii="宋体" w:hAnsi="宋体" w:cs="宋体"/>
          <w:bCs/>
          <w:kern w:val="0"/>
          <w:szCs w:val="21"/>
          <w:lang w:eastAsia="zh-CN"/>
        </w:rPr>
        <w:t>病理科人民路院区、新院区新风系统采购项目</w:t>
      </w:r>
    </w:p>
    <w:p>
      <w:pPr>
        <w:spacing w:line="288" w:lineRule="auto"/>
        <w:rPr>
          <w:rFonts w:ascii="宋体" w:hAnsi="宋体" w:cs="宋体"/>
          <w:bCs/>
          <w:kern w:val="0"/>
          <w:szCs w:val="21"/>
        </w:rPr>
      </w:pPr>
      <w:r>
        <w:rPr>
          <w:rFonts w:hint="eastAsia" w:ascii="宋体" w:hAnsi="宋体" w:cs="宋体"/>
          <w:bCs/>
          <w:kern w:val="0"/>
          <w:szCs w:val="21"/>
        </w:rPr>
        <w:t>3、采购方式：竞争性磋商；</w:t>
      </w:r>
    </w:p>
    <w:p>
      <w:pPr>
        <w:spacing w:line="288" w:lineRule="auto"/>
        <w:rPr>
          <w:rFonts w:ascii="宋体" w:hAnsi="宋体" w:cs="宋体"/>
          <w:kern w:val="0"/>
          <w:szCs w:val="21"/>
        </w:rPr>
      </w:pPr>
      <w:r>
        <w:rPr>
          <w:rFonts w:hint="eastAsia" w:ascii="宋体" w:hAnsi="宋体" w:cs="宋体"/>
          <w:bCs/>
          <w:kern w:val="0"/>
          <w:szCs w:val="21"/>
        </w:rPr>
        <w:t>4、预算金额：</w:t>
      </w:r>
      <w:r>
        <w:rPr>
          <w:rFonts w:hint="eastAsia" w:ascii="宋体" w:hAnsi="宋体" w:cs="宋体"/>
          <w:kern w:val="0"/>
          <w:szCs w:val="21"/>
          <w:lang w:val="en-US" w:eastAsia="zh-CN"/>
        </w:rPr>
        <w:t>1</w:t>
      </w:r>
      <w:r>
        <w:rPr>
          <w:rFonts w:hint="eastAsia" w:ascii="宋体" w:hAnsi="宋体" w:cs="宋体"/>
          <w:kern w:val="0"/>
          <w:szCs w:val="21"/>
        </w:rPr>
        <w:t>,</w:t>
      </w:r>
      <w:r>
        <w:rPr>
          <w:rFonts w:hint="eastAsia" w:ascii="宋体" w:hAnsi="宋体" w:cs="宋体"/>
          <w:kern w:val="0"/>
          <w:szCs w:val="21"/>
          <w:lang w:val="en-US" w:eastAsia="zh-CN"/>
        </w:rPr>
        <w:t>50</w:t>
      </w:r>
      <w:r>
        <w:rPr>
          <w:rFonts w:hint="eastAsia" w:ascii="宋体" w:hAnsi="宋体" w:cs="宋体"/>
          <w:kern w:val="0"/>
          <w:szCs w:val="21"/>
        </w:rPr>
        <w:t>0,000.00元；最高限价：</w:t>
      </w:r>
      <w:r>
        <w:rPr>
          <w:rFonts w:hint="eastAsia" w:ascii="宋体" w:hAnsi="宋体" w:cs="宋体"/>
          <w:kern w:val="0"/>
          <w:szCs w:val="21"/>
          <w:lang w:eastAsia="zh-CN"/>
        </w:rPr>
        <w:t>1500000</w:t>
      </w:r>
      <w:r>
        <w:rPr>
          <w:rFonts w:hint="eastAsia" w:ascii="宋体" w:hAnsi="宋体" w:cs="宋体"/>
          <w:kern w:val="0"/>
          <w:szCs w:val="21"/>
        </w:rPr>
        <w:t>元</w:t>
      </w:r>
      <w:bookmarkStart w:id="8" w:name="_Toc208224559"/>
      <w:r>
        <w:rPr>
          <w:rFonts w:hint="eastAsia" w:ascii="宋体" w:hAnsi="宋体" w:cs="宋体"/>
          <w:kern w:val="0"/>
          <w:szCs w:val="21"/>
        </w:rPr>
        <w:t>；</w:t>
      </w:r>
    </w:p>
    <w:tbl>
      <w:tblPr>
        <w:tblStyle w:val="30"/>
        <w:tblW w:w="9793" w:type="dxa"/>
        <w:jc w:val="center"/>
        <w:tblLayout w:type="fixed"/>
        <w:tblCellMar>
          <w:top w:w="0" w:type="dxa"/>
          <w:left w:w="108" w:type="dxa"/>
          <w:bottom w:w="0" w:type="dxa"/>
          <w:right w:w="108" w:type="dxa"/>
        </w:tblCellMar>
      </w:tblPr>
      <w:tblGrid>
        <w:gridCol w:w="757"/>
        <w:gridCol w:w="1597"/>
        <w:gridCol w:w="2788"/>
        <w:gridCol w:w="2475"/>
        <w:gridCol w:w="2176"/>
      </w:tblGrid>
      <w:tr>
        <w:tblPrEx>
          <w:tblCellMar>
            <w:top w:w="0" w:type="dxa"/>
            <w:left w:w="108" w:type="dxa"/>
            <w:bottom w:w="0" w:type="dxa"/>
            <w:right w:w="108" w:type="dxa"/>
          </w:tblCellMar>
        </w:tblPrEx>
        <w:trPr>
          <w:trHeight w:val="590" w:hRule="atLeast"/>
          <w:jc w:val="center"/>
        </w:trPr>
        <w:tc>
          <w:tcPr>
            <w:tcW w:w="757" w:type="dxa"/>
            <w:tcBorders>
              <w:top w:val="single" w:color="auto" w:sz="4" w:space="0"/>
              <w:left w:val="single" w:color="auto" w:sz="4" w:space="0"/>
              <w:bottom w:val="single" w:color="auto" w:sz="4" w:space="0"/>
              <w:right w:val="single" w:color="auto" w:sz="4" w:space="0"/>
              <w:tl2br w:val="nil"/>
              <w:tr2bl w:val="nil"/>
            </w:tcBorders>
            <w:vAlign w:val="center"/>
          </w:tcPr>
          <w:p>
            <w:pPr>
              <w:spacing w:line="288" w:lineRule="auto"/>
              <w:jc w:val="center"/>
              <w:rPr>
                <w:rFonts w:ascii="宋体" w:hAnsi="宋体" w:cs="宋体"/>
                <w:kern w:val="0"/>
                <w:szCs w:val="21"/>
              </w:rPr>
            </w:pPr>
            <w:r>
              <w:rPr>
                <w:rFonts w:hint="eastAsia" w:ascii="宋体" w:hAnsi="宋体" w:cs="宋体"/>
                <w:kern w:val="0"/>
                <w:szCs w:val="21"/>
              </w:rPr>
              <w:t>序号</w:t>
            </w:r>
          </w:p>
        </w:tc>
        <w:tc>
          <w:tcPr>
            <w:tcW w:w="1597" w:type="dxa"/>
            <w:tcBorders>
              <w:top w:val="single" w:color="auto" w:sz="4" w:space="0"/>
              <w:left w:val="single" w:color="auto" w:sz="4" w:space="0"/>
              <w:bottom w:val="single" w:color="auto" w:sz="4" w:space="0"/>
              <w:right w:val="single" w:color="auto" w:sz="4" w:space="0"/>
              <w:tl2br w:val="nil"/>
              <w:tr2bl w:val="nil"/>
            </w:tcBorders>
            <w:vAlign w:val="center"/>
          </w:tcPr>
          <w:p>
            <w:pPr>
              <w:spacing w:line="288" w:lineRule="auto"/>
              <w:jc w:val="center"/>
              <w:rPr>
                <w:rFonts w:ascii="宋体" w:hAnsi="宋体" w:cs="宋体"/>
                <w:kern w:val="0"/>
                <w:szCs w:val="21"/>
              </w:rPr>
            </w:pPr>
            <w:r>
              <w:rPr>
                <w:rFonts w:hint="eastAsia" w:ascii="宋体" w:hAnsi="宋体" w:cs="宋体"/>
                <w:kern w:val="0"/>
                <w:szCs w:val="21"/>
              </w:rPr>
              <w:t>包号</w:t>
            </w:r>
          </w:p>
        </w:tc>
        <w:tc>
          <w:tcPr>
            <w:tcW w:w="2788" w:type="dxa"/>
            <w:tcBorders>
              <w:top w:val="single" w:color="auto" w:sz="4" w:space="0"/>
              <w:left w:val="single" w:color="auto" w:sz="4" w:space="0"/>
              <w:bottom w:val="single" w:color="auto" w:sz="4" w:space="0"/>
              <w:right w:val="single" w:color="auto" w:sz="4" w:space="0"/>
              <w:tl2br w:val="nil"/>
              <w:tr2bl w:val="nil"/>
            </w:tcBorders>
            <w:vAlign w:val="center"/>
          </w:tcPr>
          <w:p>
            <w:pPr>
              <w:spacing w:line="288" w:lineRule="auto"/>
              <w:jc w:val="center"/>
              <w:rPr>
                <w:rFonts w:ascii="宋体" w:hAnsi="宋体" w:cs="宋体"/>
                <w:kern w:val="0"/>
                <w:szCs w:val="21"/>
              </w:rPr>
            </w:pPr>
            <w:r>
              <w:rPr>
                <w:rFonts w:hint="eastAsia" w:ascii="宋体" w:hAnsi="宋体" w:cs="宋体"/>
                <w:kern w:val="0"/>
                <w:szCs w:val="21"/>
              </w:rPr>
              <w:t>包名称</w:t>
            </w:r>
          </w:p>
        </w:tc>
        <w:tc>
          <w:tcPr>
            <w:tcW w:w="2475" w:type="dxa"/>
            <w:tcBorders>
              <w:top w:val="single" w:color="auto" w:sz="4" w:space="0"/>
              <w:left w:val="single" w:color="auto" w:sz="4" w:space="0"/>
              <w:bottom w:val="single" w:color="auto" w:sz="4" w:space="0"/>
              <w:right w:val="single" w:color="auto" w:sz="4" w:space="0"/>
              <w:tl2br w:val="nil"/>
              <w:tr2bl w:val="nil"/>
            </w:tcBorders>
            <w:vAlign w:val="center"/>
          </w:tcPr>
          <w:p>
            <w:pPr>
              <w:spacing w:line="288" w:lineRule="auto"/>
              <w:jc w:val="center"/>
              <w:rPr>
                <w:rFonts w:ascii="宋体" w:hAnsi="宋体" w:cs="宋体"/>
                <w:kern w:val="0"/>
                <w:szCs w:val="21"/>
              </w:rPr>
            </w:pPr>
            <w:r>
              <w:rPr>
                <w:rFonts w:hint="eastAsia" w:ascii="宋体" w:hAnsi="宋体" w:cs="宋体"/>
                <w:kern w:val="0"/>
                <w:szCs w:val="21"/>
              </w:rPr>
              <w:t>包预算（元）</w:t>
            </w:r>
          </w:p>
        </w:tc>
        <w:tc>
          <w:tcPr>
            <w:tcW w:w="2176" w:type="dxa"/>
            <w:tcBorders>
              <w:top w:val="single" w:color="auto" w:sz="4" w:space="0"/>
              <w:left w:val="single" w:color="auto" w:sz="4" w:space="0"/>
              <w:bottom w:val="single" w:color="auto" w:sz="4" w:space="0"/>
              <w:right w:val="single" w:color="auto" w:sz="4" w:space="0"/>
              <w:tl2br w:val="nil"/>
              <w:tr2bl w:val="nil"/>
            </w:tcBorders>
            <w:vAlign w:val="center"/>
          </w:tcPr>
          <w:p>
            <w:pPr>
              <w:spacing w:line="288" w:lineRule="auto"/>
              <w:jc w:val="center"/>
              <w:rPr>
                <w:rFonts w:ascii="宋体" w:hAnsi="宋体" w:cs="宋体"/>
                <w:kern w:val="0"/>
                <w:szCs w:val="21"/>
              </w:rPr>
            </w:pPr>
            <w:r>
              <w:rPr>
                <w:rFonts w:hint="eastAsia" w:ascii="宋体" w:hAnsi="宋体" w:cs="宋体"/>
                <w:kern w:val="0"/>
                <w:szCs w:val="21"/>
              </w:rPr>
              <w:t>包最高限价（元）</w:t>
            </w:r>
          </w:p>
        </w:tc>
      </w:tr>
      <w:tr>
        <w:tblPrEx>
          <w:tblCellMar>
            <w:top w:w="0" w:type="dxa"/>
            <w:left w:w="108" w:type="dxa"/>
            <w:bottom w:w="0" w:type="dxa"/>
            <w:right w:w="108" w:type="dxa"/>
          </w:tblCellMar>
        </w:tblPrEx>
        <w:trPr>
          <w:trHeight w:val="607" w:hRule="atLeast"/>
          <w:jc w:val="center"/>
        </w:trPr>
        <w:tc>
          <w:tcPr>
            <w:tcW w:w="757" w:type="dxa"/>
            <w:tcBorders>
              <w:top w:val="single" w:color="auto" w:sz="4" w:space="0"/>
              <w:left w:val="single" w:color="auto" w:sz="4" w:space="0"/>
              <w:bottom w:val="single" w:color="auto" w:sz="4" w:space="0"/>
              <w:right w:val="single" w:color="auto" w:sz="4" w:space="0"/>
              <w:tl2br w:val="nil"/>
              <w:tr2bl w:val="nil"/>
            </w:tcBorders>
            <w:vAlign w:val="center"/>
          </w:tcPr>
          <w:p>
            <w:pPr>
              <w:pStyle w:val="9"/>
              <w:spacing w:before="158" w:line="288" w:lineRule="auto"/>
              <w:jc w:val="center"/>
              <w:rPr>
                <w:rFonts w:ascii="宋体" w:hAnsi="宋体" w:cs="宋体"/>
                <w:kern w:val="0"/>
                <w:sz w:val="21"/>
                <w:szCs w:val="21"/>
              </w:rPr>
            </w:pPr>
            <w:r>
              <w:rPr>
                <w:rFonts w:hint="eastAsia" w:ascii="宋体" w:hAnsi="宋体" w:cs="宋体"/>
                <w:kern w:val="0"/>
                <w:sz w:val="21"/>
                <w:szCs w:val="21"/>
              </w:rPr>
              <w:t>1</w:t>
            </w:r>
          </w:p>
        </w:tc>
        <w:tc>
          <w:tcPr>
            <w:tcW w:w="1597"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288" w:lineRule="auto"/>
              <w:jc w:val="center"/>
              <w:textAlignment w:val="center"/>
              <w:rPr>
                <w:rFonts w:ascii="宋体" w:hAnsi="宋体" w:cs="宋体"/>
                <w:color w:val="auto"/>
                <w:kern w:val="0"/>
                <w:szCs w:val="21"/>
              </w:rPr>
            </w:pPr>
            <w:r>
              <w:rPr>
                <w:rFonts w:hint="eastAsia" w:ascii="宋体" w:hAnsi="宋体" w:cs="宋体"/>
                <w:color w:val="auto"/>
                <w:kern w:val="0"/>
                <w:szCs w:val="21"/>
                <w:lang w:val="en-US" w:eastAsia="zh-CN"/>
              </w:rPr>
              <w:t xml:space="preserve">豫政采(2)20232063 </w:t>
            </w:r>
          </w:p>
        </w:tc>
        <w:tc>
          <w:tcPr>
            <w:tcW w:w="2788" w:type="dxa"/>
            <w:tcBorders>
              <w:top w:val="single" w:color="auto" w:sz="4" w:space="0"/>
              <w:left w:val="single" w:color="auto" w:sz="4" w:space="0"/>
              <w:bottom w:val="single" w:color="auto" w:sz="4" w:space="0"/>
              <w:right w:val="single" w:color="auto" w:sz="4" w:space="0"/>
              <w:tl2br w:val="nil"/>
              <w:tr2bl w:val="nil"/>
            </w:tcBorders>
            <w:vAlign w:val="center"/>
          </w:tcPr>
          <w:p>
            <w:pPr>
              <w:spacing w:line="288" w:lineRule="auto"/>
              <w:jc w:val="center"/>
              <w:rPr>
                <w:rFonts w:hint="eastAsia" w:ascii="宋体" w:hAnsi="宋体" w:eastAsia="宋体" w:cs="宋体"/>
                <w:color w:val="auto"/>
                <w:kern w:val="0"/>
                <w:szCs w:val="21"/>
                <w:lang w:eastAsia="zh-CN"/>
              </w:rPr>
            </w:pPr>
            <w:r>
              <w:rPr>
                <w:rFonts w:hint="eastAsia" w:ascii="宋体" w:hAnsi="宋体" w:cs="宋体"/>
                <w:color w:val="auto"/>
                <w:kern w:val="0"/>
                <w:szCs w:val="21"/>
              </w:rPr>
              <w:t>河南中医药大学第一附属医院</w:t>
            </w:r>
            <w:r>
              <w:rPr>
                <w:rFonts w:hint="eastAsia" w:ascii="宋体" w:hAnsi="宋体" w:cs="宋体"/>
                <w:color w:val="auto"/>
                <w:kern w:val="0"/>
                <w:szCs w:val="21"/>
                <w:lang w:eastAsia="zh-CN"/>
              </w:rPr>
              <w:t>病理科人民路院区、新院区新风系统采购项目</w:t>
            </w:r>
          </w:p>
        </w:tc>
        <w:tc>
          <w:tcPr>
            <w:tcW w:w="2475"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288" w:lineRule="auto"/>
              <w:jc w:val="center"/>
              <w:textAlignment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1500000</w:t>
            </w:r>
          </w:p>
        </w:tc>
        <w:tc>
          <w:tcPr>
            <w:tcW w:w="2176"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288" w:lineRule="auto"/>
              <w:jc w:val="center"/>
              <w:textAlignment w:val="center"/>
              <w:rPr>
                <w:rFonts w:hint="eastAsia" w:ascii="宋体" w:hAnsi="宋体" w:eastAsia="宋体" w:cs="宋体"/>
                <w:kern w:val="0"/>
                <w:szCs w:val="21"/>
                <w:lang w:eastAsia="zh-CN"/>
              </w:rPr>
            </w:pPr>
            <w:r>
              <w:rPr>
                <w:rFonts w:hint="eastAsia" w:ascii="宋体" w:hAnsi="宋体" w:cs="宋体"/>
                <w:kern w:val="0"/>
                <w:szCs w:val="21"/>
                <w:lang w:eastAsia="zh-CN"/>
              </w:rPr>
              <w:t>1500000</w:t>
            </w:r>
          </w:p>
        </w:tc>
      </w:tr>
    </w:tbl>
    <w:p>
      <w:pPr>
        <w:spacing w:line="288" w:lineRule="auto"/>
        <w:rPr>
          <w:rFonts w:ascii="宋体" w:hAnsi="宋体" w:cs="宋体"/>
          <w:bCs/>
          <w:kern w:val="0"/>
          <w:szCs w:val="21"/>
        </w:rPr>
      </w:pPr>
      <w:r>
        <w:rPr>
          <w:rFonts w:hint="eastAsia" w:ascii="宋体" w:hAnsi="宋体" w:cs="宋体"/>
          <w:bCs/>
          <w:kern w:val="0"/>
          <w:szCs w:val="21"/>
        </w:rPr>
        <w:t>5、采购需求（包括但不限于标的的名称、数量、简要技术需求或服务要求等）</w:t>
      </w:r>
    </w:p>
    <w:p>
      <w:pPr>
        <w:pStyle w:val="71"/>
        <w:spacing w:line="288" w:lineRule="auto"/>
        <w:ind w:firstLine="0" w:firstLineChars="0"/>
        <w:rPr>
          <w:rFonts w:cs="宋体"/>
          <w:bCs/>
          <w:kern w:val="0"/>
          <w:sz w:val="21"/>
          <w:szCs w:val="21"/>
        </w:rPr>
      </w:pPr>
      <w:r>
        <w:rPr>
          <w:rFonts w:hint="eastAsia" w:cs="宋体"/>
          <w:bCs/>
          <w:kern w:val="0"/>
          <w:sz w:val="21"/>
          <w:szCs w:val="21"/>
        </w:rPr>
        <w:t>5.1 采购内容：</w:t>
      </w:r>
      <w:r>
        <w:rPr>
          <w:rFonts w:hint="eastAsia" w:cs="宋体"/>
          <w:bCs/>
          <w:kern w:val="0"/>
          <w:sz w:val="21"/>
          <w:szCs w:val="21"/>
          <w:lang w:eastAsia="zh-CN"/>
        </w:rPr>
        <w:t>病理科人民路院区、新院区新风系统</w:t>
      </w:r>
      <w:r>
        <w:rPr>
          <w:rFonts w:hint="eastAsia" w:cs="宋体"/>
          <w:bCs/>
          <w:kern w:val="0"/>
          <w:sz w:val="21"/>
          <w:szCs w:val="21"/>
        </w:rPr>
        <w:t>；</w:t>
      </w:r>
    </w:p>
    <w:p>
      <w:pPr>
        <w:spacing w:line="288" w:lineRule="auto"/>
        <w:rPr>
          <w:rFonts w:ascii="宋体" w:hAnsi="宋体" w:cs="宋体"/>
          <w:kern w:val="0"/>
          <w:szCs w:val="21"/>
        </w:rPr>
      </w:pPr>
      <w:r>
        <w:rPr>
          <w:rFonts w:hint="eastAsia" w:ascii="宋体" w:hAnsi="宋体" w:cs="宋体"/>
          <w:kern w:val="0"/>
          <w:szCs w:val="21"/>
        </w:rPr>
        <w:t xml:space="preserve">5.2 </w:t>
      </w:r>
      <w:r>
        <w:rPr>
          <w:rFonts w:hint="eastAsia" w:ascii="宋体" w:hAnsi="宋体" w:cs="宋体"/>
          <w:kern w:val="0"/>
          <w:szCs w:val="21"/>
          <w:lang w:val="en-US" w:eastAsia="zh-CN"/>
        </w:rPr>
        <w:t>工</w:t>
      </w:r>
      <w:r>
        <w:rPr>
          <w:rFonts w:hint="eastAsia" w:ascii="宋体" w:hAnsi="宋体" w:cs="宋体"/>
          <w:kern w:val="0"/>
          <w:szCs w:val="21"/>
        </w:rPr>
        <w:t>期：</w:t>
      </w:r>
      <w:r>
        <w:rPr>
          <w:rFonts w:hint="eastAsia" w:ascii="宋体" w:hAnsi="宋体" w:cs="宋体"/>
          <w:kern w:val="0"/>
          <w:szCs w:val="21"/>
          <w:lang w:eastAsia="zh-CN"/>
        </w:rPr>
        <w:t>合同签订后50日历天</w:t>
      </w:r>
      <w:r>
        <w:rPr>
          <w:rFonts w:hint="eastAsia" w:ascii="宋体" w:hAnsi="宋体" w:cs="宋体"/>
          <w:kern w:val="0"/>
          <w:szCs w:val="21"/>
        </w:rPr>
        <w:t>；</w:t>
      </w:r>
    </w:p>
    <w:p>
      <w:pPr>
        <w:spacing w:line="288" w:lineRule="auto"/>
        <w:rPr>
          <w:rFonts w:ascii="宋体" w:hAnsi="宋体" w:cs="宋体"/>
          <w:kern w:val="0"/>
          <w:szCs w:val="21"/>
        </w:rPr>
      </w:pPr>
      <w:r>
        <w:rPr>
          <w:rFonts w:hint="eastAsia" w:ascii="宋体" w:hAnsi="宋体" w:cs="宋体"/>
          <w:kern w:val="0"/>
          <w:szCs w:val="21"/>
        </w:rPr>
        <w:t>5.3 交货地点：河南中医药大学第一附属医院</w:t>
      </w:r>
      <w:r>
        <w:rPr>
          <w:rFonts w:hint="eastAsia" w:ascii="宋体" w:hAnsi="宋体" w:cs="宋体"/>
          <w:kern w:val="0"/>
          <w:szCs w:val="21"/>
          <w:lang w:val="en-US" w:eastAsia="zh-CN"/>
        </w:rPr>
        <w:t>（人民路院区和新院区）</w:t>
      </w:r>
      <w:r>
        <w:rPr>
          <w:rFonts w:hint="eastAsia" w:ascii="宋体" w:hAnsi="宋体" w:cs="宋体"/>
          <w:kern w:val="0"/>
          <w:szCs w:val="21"/>
        </w:rPr>
        <w:t>；</w:t>
      </w:r>
    </w:p>
    <w:p>
      <w:pPr>
        <w:spacing w:line="288" w:lineRule="auto"/>
        <w:rPr>
          <w:rFonts w:ascii="宋体" w:hAnsi="宋体" w:cs="宋体"/>
          <w:kern w:val="0"/>
          <w:szCs w:val="21"/>
        </w:rPr>
      </w:pPr>
      <w:r>
        <w:rPr>
          <w:rFonts w:hint="eastAsia" w:ascii="宋体" w:hAnsi="宋体" w:cs="宋体"/>
          <w:kern w:val="0"/>
          <w:szCs w:val="21"/>
        </w:rPr>
        <w:t>5.4 质量要求：合格，符合国家相关标准；</w:t>
      </w:r>
    </w:p>
    <w:p>
      <w:pPr>
        <w:spacing w:line="288" w:lineRule="auto"/>
        <w:rPr>
          <w:rFonts w:ascii="宋体" w:hAnsi="宋体" w:cs="宋体"/>
          <w:kern w:val="0"/>
          <w:szCs w:val="21"/>
        </w:rPr>
      </w:pPr>
      <w:r>
        <w:rPr>
          <w:rFonts w:hint="eastAsia" w:ascii="宋体" w:hAnsi="宋体" w:cs="宋体"/>
          <w:kern w:val="0"/>
          <w:szCs w:val="21"/>
        </w:rPr>
        <w:t>5.5 服务要求：满足采购人的服务要求；</w:t>
      </w:r>
    </w:p>
    <w:p>
      <w:pPr>
        <w:spacing w:line="288" w:lineRule="auto"/>
        <w:rPr>
          <w:rFonts w:ascii="宋体" w:hAnsi="宋体" w:cs="宋体"/>
          <w:kern w:val="0"/>
          <w:szCs w:val="21"/>
        </w:rPr>
      </w:pPr>
      <w:r>
        <w:rPr>
          <w:rFonts w:hint="eastAsia" w:ascii="宋体" w:hAnsi="宋体" w:cs="宋体"/>
          <w:kern w:val="0"/>
          <w:szCs w:val="21"/>
        </w:rPr>
        <w:t>5.6 验收标准：</w:t>
      </w:r>
      <w:r>
        <w:rPr>
          <w:rFonts w:hint="eastAsia" w:ascii="宋体" w:hAnsi="宋体" w:cs="宋体"/>
          <w:szCs w:val="21"/>
        </w:rPr>
        <w:t>合格，符合国家相关标准。</w:t>
      </w:r>
    </w:p>
    <w:p>
      <w:pPr>
        <w:spacing w:line="288" w:lineRule="auto"/>
        <w:rPr>
          <w:rFonts w:ascii="宋体" w:hAnsi="宋体" w:cs="宋体"/>
          <w:kern w:val="0"/>
          <w:szCs w:val="21"/>
        </w:rPr>
      </w:pPr>
      <w:r>
        <w:rPr>
          <w:rFonts w:hint="eastAsia" w:ascii="宋体" w:hAnsi="宋体" w:cs="宋体"/>
          <w:kern w:val="0"/>
          <w:szCs w:val="21"/>
        </w:rPr>
        <w:t>6、合同履行期限：详见采购文件。</w:t>
      </w:r>
    </w:p>
    <w:p>
      <w:pPr>
        <w:spacing w:line="288" w:lineRule="auto"/>
        <w:rPr>
          <w:rFonts w:ascii="宋体" w:hAnsi="宋体" w:cs="宋体"/>
          <w:kern w:val="0"/>
          <w:szCs w:val="21"/>
        </w:rPr>
      </w:pPr>
      <w:r>
        <w:rPr>
          <w:rFonts w:hint="eastAsia" w:ascii="宋体" w:hAnsi="宋体" w:cs="宋体"/>
          <w:kern w:val="0"/>
          <w:szCs w:val="21"/>
        </w:rPr>
        <w:t>7、本项目是否接受联合体：否；</w:t>
      </w:r>
    </w:p>
    <w:p>
      <w:pPr>
        <w:spacing w:line="288" w:lineRule="auto"/>
        <w:rPr>
          <w:rFonts w:ascii="宋体" w:hAnsi="宋体" w:cs="宋体"/>
          <w:kern w:val="0"/>
          <w:szCs w:val="21"/>
        </w:rPr>
      </w:pPr>
      <w:r>
        <w:rPr>
          <w:rFonts w:hint="eastAsia" w:ascii="宋体" w:hAnsi="宋体" w:cs="宋体"/>
          <w:kern w:val="0"/>
          <w:szCs w:val="21"/>
        </w:rPr>
        <w:t>8、是否接受进口产品：否。</w:t>
      </w:r>
    </w:p>
    <w:p>
      <w:pPr>
        <w:spacing w:line="288" w:lineRule="auto"/>
        <w:rPr>
          <w:rFonts w:ascii="宋体" w:hAnsi="宋体" w:cs="宋体"/>
          <w:kern w:val="0"/>
          <w:szCs w:val="21"/>
        </w:rPr>
      </w:pPr>
      <w:r>
        <w:rPr>
          <w:rFonts w:hint="eastAsia" w:ascii="宋体" w:hAnsi="宋体" w:cs="宋体"/>
          <w:kern w:val="0"/>
          <w:szCs w:val="21"/>
        </w:rPr>
        <w:t xml:space="preserve">9、是否专门面向中小企业：否 </w:t>
      </w:r>
    </w:p>
    <w:p>
      <w:pPr>
        <w:spacing w:line="288" w:lineRule="auto"/>
        <w:jc w:val="left"/>
        <w:rPr>
          <w:rFonts w:ascii="宋体" w:hAnsi="宋体" w:cs="宋体"/>
          <w:kern w:val="0"/>
          <w:szCs w:val="21"/>
        </w:rPr>
      </w:pPr>
      <w:r>
        <w:rPr>
          <w:rFonts w:hint="eastAsia" w:ascii="宋体" w:hAnsi="宋体" w:cs="宋体"/>
          <w:b/>
          <w:kern w:val="0"/>
          <w:szCs w:val="21"/>
        </w:rPr>
        <w:t>二、申请人资格要求：</w:t>
      </w:r>
    </w:p>
    <w:bookmarkEnd w:id="8"/>
    <w:p>
      <w:pPr>
        <w:pStyle w:val="76"/>
        <w:spacing w:line="288" w:lineRule="auto"/>
        <w:ind w:firstLine="0" w:firstLineChars="0"/>
        <w:rPr>
          <w:rFonts w:hAnsi="宋体" w:cs="宋体"/>
          <w:color w:val="auto"/>
          <w:sz w:val="21"/>
          <w:szCs w:val="21"/>
        </w:rPr>
      </w:pPr>
      <w:bookmarkStart w:id="9" w:name="_Toc171264844"/>
      <w:r>
        <w:rPr>
          <w:rFonts w:hint="eastAsia" w:hAnsi="宋体" w:cs="宋体"/>
          <w:color w:val="auto"/>
          <w:sz w:val="21"/>
          <w:szCs w:val="21"/>
        </w:rPr>
        <w:t>1、满足《中华人民共和国政府采购法》第二十二条规定；</w:t>
      </w:r>
    </w:p>
    <w:p>
      <w:pPr>
        <w:pStyle w:val="76"/>
        <w:spacing w:line="288" w:lineRule="auto"/>
        <w:ind w:firstLine="0" w:firstLineChars="0"/>
        <w:rPr>
          <w:rFonts w:hAnsi="宋体" w:cs="宋体"/>
          <w:color w:val="auto"/>
          <w:sz w:val="21"/>
          <w:szCs w:val="21"/>
        </w:rPr>
      </w:pPr>
      <w:r>
        <w:rPr>
          <w:rFonts w:hint="eastAsia" w:hAnsi="宋体" w:cs="宋体"/>
          <w:color w:val="auto"/>
          <w:sz w:val="21"/>
          <w:szCs w:val="21"/>
        </w:rPr>
        <w:t>2、落实政府采购政策满足的资格要求：无。</w:t>
      </w:r>
    </w:p>
    <w:p>
      <w:pPr>
        <w:pStyle w:val="76"/>
        <w:spacing w:line="288" w:lineRule="auto"/>
        <w:ind w:firstLine="0" w:firstLineChars="0"/>
        <w:rPr>
          <w:rFonts w:hAnsi="宋体" w:cs="宋体"/>
          <w:color w:val="auto"/>
          <w:sz w:val="21"/>
          <w:szCs w:val="21"/>
        </w:rPr>
      </w:pPr>
      <w:r>
        <w:rPr>
          <w:rFonts w:hint="eastAsia" w:hAnsi="宋体" w:cs="宋体"/>
          <w:color w:val="auto"/>
          <w:sz w:val="21"/>
          <w:szCs w:val="21"/>
        </w:rPr>
        <w:t>3、本项目的特定资格要求：</w:t>
      </w:r>
    </w:p>
    <w:p>
      <w:pPr>
        <w:pStyle w:val="76"/>
        <w:spacing w:line="288" w:lineRule="auto"/>
        <w:ind w:firstLine="0" w:firstLineChars="0"/>
        <w:rPr>
          <w:rFonts w:hint="eastAsia" w:hAnsi="宋体" w:cs="宋体"/>
          <w:color w:val="auto"/>
          <w:sz w:val="21"/>
          <w:szCs w:val="21"/>
          <w:lang w:val="en-US" w:eastAsia="zh-CN"/>
        </w:rPr>
      </w:pPr>
      <w:r>
        <w:rPr>
          <w:rFonts w:hint="eastAsia" w:hAnsi="宋体" w:cs="宋体"/>
          <w:color w:val="auto"/>
          <w:sz w:val="21"/>
          <w:szCs w:val="21"/>
          <w:lang w:val="en-US" w:eastAsia="zh-CN"/>
        </w:rPr>
        <w:t>3.1供应商资质要求：</w:t>
      </w:r>
    </w:p>
    <w:p>
      <w:pPr>
        <w:pStyle w:val="76"/>
        <w:spacing w:line="288" w:lineRule="auto"/>
        <w:ind w:firstLine="0" w:firstLineChars="0"/>
        <w:rPr>
          <w:rFonts w:hint="eastAsia" w:hAnsi="宋体" w:cs="宋体"/>
          <w:color w:val="auto"/>
          <w:sz w:val="21"/>
          <w:szCs w:val="21"/>
          <w:highlight w:val="none"/>
          <w:lang w:val="en-US" w:eastAsia="zh-CN"/>
        </w:rPr>
      </w:pPr>
      <w:r>
        <w:rPr>
          <w:rFonts w:hint="eastAsia" w:hAnsi="宋体" w:cs="宋体"/>
          <w:color w:val="auto"/>
          <w:sz w:val="21"/>
          <w:szCs w:val="21"/>
          <w:highlight w:val="none"/>
          <w:lang w:val="en-US" w:eastAsia="zh-CN"/>
        </w:rPr>
        <w:t xml:space="preserve">①施工资质要求：须具有独立法人资格，具有国家建设行政主管部门颁发的建筑机电安装工程专业承包二级及以上资质和电子与智能化工程专业承包二级及以上资质，同时具有有效的安全生产许可证； </w:t>
      </w:r>
    </w:p>
    <w:p>
      <w:pPr>
        <w:pStyle w:val="76"/>
        <w:spacing w:line="288" w:lineRule="auto"/>
        <w:ind w:firstLine="0" w:firstLineChars="0"/>
        <w:rPr>
          <w:rFonts w:hint="eastAsia" w:hAnsi="宋体" w:cs="宋体"/>
          <w:color w:val="auto"/>
          <w:sz w:val="21"/>
          <w:szCs w:val="21"/>
          <w:highlight w:val="yellow"/>
          <w:lang w:val="en-US" w:eastAsia="zh-CN"/>
        </w:rPr>
      </w:pPr>
      <w:r>
        <w:rPr>
          <w:rFonts w:hint="eastAsia" w:hAnsi="宋体" w:cs="宋体"/>
          <w:color w:val="auto"/>
          <w:sz w:val="21"/>
          <w:szCs w:val="21"/>
          <w:highlight w:val="none"/>
          <w:lang w:val="en-US" w:eastAsia="zh-CN"/>
        </w:rPr>
        <w:t>②设计资质要求：须具备建筑装饰工程设计乙级及以上资质；</w:t>
      </w:r>
    </w:p>
    <w:p>
      <w:pPr>
        <w:pStyle w:val="76"/>
        <w:spacing w:line="288" w:lineRule="auto"/>
        <w:ind w:firstLine="0" w:firstLineChars="0"/>
        <w:rPr>
          <w:rFonts w:hAnsi="宋体" w:cs="宋体"/>
          <w:color w:val="auto"/>
          <w:sz w:val="21"/>
          <w:szCs w:val="21"/>
        </w:rPr>
      </w:pPr>
      <w:r>
        <w:rPr>
          <w:rFonts w:hint="eastAsia" w:hAnsi="宋体" w:cs="宋体"/>
          <w:color w:val="auto"/>
          <w:sz w:val="21"/>
          <w:szCs w:val="21"/>
        </w:rPr>
        <w:t>3.</w:t>
      </w:r>
      <w:r>
        <w:rPr>
          <w:rFonts w:hint="eastAsia" w:hAnsi="宋体" w:cs="宋体"/>
          <w:color w:val="auto"/>
          <w:sz w:val="21"/>
          <w:szCs w:val="21"/>
          <w:lang w:val="en-US" w:eastAsia="zh-CN"/>
        </w:rPr>
        <w:t>2</w:t>
      </w:r>
      <w:r>
        <w:rPr>
          <w:rFonts w:hint="eastAsia" w:hAnsi="宋体" w:cs="宋体"/>
          <w:color w:val="auto"/>
          <w:sz w:val="21"/>
          <w:szCs w:val="21"/>
        </w:rPr>
        <w:t>供应商被列入“失信被执行人”和“重大税收违法案件当事人名单”【供应商可通过“信用中国”网站（www.creditchina.gov.cn）相关内容查询。】及被列入政府采购严重违法失信行为记录名单【供应商可通过“中国政府采购网”网站（http://www.ccgp.gov.cn/）相关内容查询。】，限制参加本次采购活动；（注：开标后由采购人现场查询并保存查询结果）；</w:t>
      </w:r>
    </w:p>
    <w:p>
      <w:pPr>
        <w:pStyle w:val="76"/>
        <w:spacing w:line="288" w:lineRule="auto"/>
        <w:ind w:firstLine="0" w:firstLineChars="0"/>
        <w:rPr>
          <w:rFonts w:hAnsi="宋体" w:cs="宋体"/>
          <w:color w:val="auto"/>
          <w:sz w:val="21"/>
          <w:szCs w:val="21"/>
        </w:rPr>
      </w:pPr>
      <w:r>
        <w:rPr>
          <w:rFonts w:hint="eastAsia" w:hAnsi="宋体" w:cs="宋体"/>
          <w:color w:val="auto"/>
          <w:sz w:val="21"/>
          <w:szCs w:val="21"/>
        </w:rPr>
        <w:t>3.</w:t>
      </w:r>
      <w:r>
        <w:rPr>
          <w:rFonts w:hint="eastAsia" w:hAnsi="宋体" w:cs="宋体"/>
          <w:color w:val="auto"/>
          <w:sz w:val="21"/>
          <w:szCs w:val="21"/>
          <w:lang w:val="en-US" w:eastAsia="zh-CN"/>
        </w:rPr>
        <w:t>3</w:t>
      </w:r>
      <w:r>
        <w:rPr>
          <w:rFonts w:hint="eastAsia" w:hAnsi="宋体" w:cs="宋体"/>
          <w:color w:val="auto"/>
          <w:sz w:val="21"/>
          <w:szCs w:val="21"/>
        </w:rPr>
        <w:t>单位负责人为同一人或者存在控股、管理关系的不同单位，不得同时参加同一项目磋商；</w:t>
      </w:r>
    </w:p>
    <w:p>
      <w:pPr>
        <w:pStyle w:val="76"/>
        <w:spacing w:line="288" w:lineRule="auto"/>
        <w:ind w:firstLine="0" w:firstLineChars="0"/>
        <w:rPr>
          <w:rFonts w:hAnsi="宋体" w:cs="宋体"/>
          <w:color w:val="auto"/>
          <w:sz w:val="21"/>
          <w:szCs w:val="21"/>
        </w:rPr>
      </w:pPr>
      <w:r>
        <w:rPr>
          <w:rFonts w:hint="eastAsia" w:hAnsi="宋体" w:cs="宋体"/>
          <w:color w:val="auto"/>
          <w:sz w:val="21"/>
          <w:szCs w:val="21"/>
        </w:rPr>
        <w:t>3.</w:t>
      </w:r>
      <w:r>
        <w:rPr>
          <w:rFonts w:hint="eastAsia" w:hAnsi="宋体" w:cs="宋体"/>
          <w:color w:val="auto"/>
          <w:sz w:val="21"/>
          <w:szCs w:val="21"/>
          <w:lang w:val="en-US" w:eastAsia="zh-CN"/>
        </w:rPr>
        <w:t>4</w:t>
      </w:r>
      <w:r>
        <w:rPr>
          <w:rFonts w:hint="eastAsia" w:hAnsi="宋体" w:cs="宋体"/>
          <w:color w:val="auto"/>
          <w:sz w:val="21"/>
          <w:szCs w:val="21"/>
        </w:rPr>
        <w:t xml:space="preserve">本项目不接受任何形式的联合体。 </w:t>
      </w:r>
    </w:p>
    <w:p>
      <w:pPr>
        <w:spacing w:line="288" w:lineRule="auto"/>
        <w:rPr>
          <w:rFonts w:ascii="宋体" w:hAnsi="宋体" w:cs="宋体"/>
          <w:color w:val="auto"/>
          <w:kern w:val="0"/>
          <w:szCs w:val="21"/>
        </w:rPr>
      </w:pPr>
      <w:r>
        <w:rPr>
          <w:rFonts w:hint="eastAsia" w:ascii="宋体" w:hAnsi="宋体" w:cs="宋体"/>
          <w:b/>
          <w:kern w:val="0"/>
          <w:szCs w:val="21"/>
        </w:rPr>
        <w:t>三、获</w:t>
      </w:r>
      <w:r>
        <w:rPr>
          <w:rFonts w:hint="eastAsia" w:ascii="宋体" w:hAnsi="宋体" w:cs="宋体"/>
          <w:b/>
          <w:color w:val="auto"/>
          <w:kern w:val="0"/>
          <w:szCs w:val="21"/>
        </w:rPr>
        <w:t>取采购文件</w:t>
      </w:r>
      <w:r>
        <w:rPr>
          <w:rFonts w:hint="eastAsia" w:ascii="宋体" w:hAnsi="宋体" w:cs="宋体"/>
          <w:color w:val="auto"/>
          <w:kern w:val="0"/>
          <w:szCs w:val="21"/>
        </w:rPr>
        <w:t xml:space="preserve"> </w:t>
      </w:r>
    </w:p>
    <w:p>
      <w:pPr>
        <w:spacing w:line="288" w:lineRule="auto"/>
        <w:rPr>
          <w:rFonts w:ascii="宋体" w:hAnsi="宋体" w:cs="宋体"/>
          <w:color w:val="auto"/>
          <w:kern w:val="0"/>
          <w:szCs w:val="21"/>
        </w:rPr>
      </w:pPr>
      <w:r>
        <w:rPr>
          <w:rFonts w:hint="eastAsia" w:ascii="宋体" w:hAnsi="宋体" w:cs="宋体"/>
          <w:color w:val="auto"/>
          <w:kern w:val="0"/>
          <w:szCs w:val="21"/>
        </w:rPr>
        <w:t>1.时间：</w:t>
      </w:r>
      <w:r>
        <w:rPr>
          <w:rFonts w:hint="eastAsia" w:ascii="宋体" w:hAnsi="宋体" w:cs="宋体"/>
          <w:color w:val="auto"/>
          <w:kern w:val="0"/>
          <w:szCs w:val="21"/>
          <w:lang w:eastAsia="zh-CN"/>
        </w:rPr>
        <w:t>2023年12月4日</w:t>
      </w:r>
      <w:r>
        <w:rPr>
          <w:rFonts w:hint="eastAsia" w:ascii="宋体" w:hAnsi="宋体" w:cs="宋体"/>
          <w:color w:val="auto"/>
          <w:kern w:val="0"/>
          <w:szCs w:val="21"/>
        </w:rPr>
        <w:t>至</w:t>
      </w:r>
      <w:r>
        <w:rPr>
          <w:rFonts w:hint="eastAsia" w:ascii="宋体" w:hAnsi="宋体" w:cs="宋体"/>
          <w:color w:val="auto"/>
          <w:kern w:val="0"/>
          <w:szCs w:val="21"/>
          <w:lang w:eastAsia="zh-CN"/>
        </w:rPr>
        <w:t>2023年12月11日</w:t>
      </w:r>
      <w:r>
        <w:rPr>
          <w:rFonts w:hint="eastAsia" w:ascii="宋体" w:hAnsi="宋体" w:cs="宋体"/>
          <w:color w:val="auto"/>
          <w:kern w:val="0"/>
          <w:szCs w:val="21"/>
        </w:rPr>
        <w:t>，每天上午00:00至12:00，下午12:00至23:59（北京时间）；</w:t>
      </w:r>
    </w:p>
    <w:p>
      <w:pPr>
        <w:spacing w:line="288" w:lineRule="auto"/>
        <w:rPr>
          <w:rFonts w:ascii="宋体" w:hAnsi="宋体" w:cs="宋体"/>
          <w:kern w:val="0"/>
          <w:szCs w:val="21"/>
        </w:rPr>
      </w:pPr>
      <w:r>
        <w:rPr>
          <w:rFonts w:hint="eastAsia" w:ascii="宋体" w:hAnsi="宋体" w:cs="宋体"/>
          <w:color w:val="auto"/>
          <w:kern w:val="0"/>
          <w:szCs w:val="21"/>
        </w:rPr>
        <w:t>2.地点：河南省公共资源交易中心网站（http://www.h</w:t>
      </w:r>
      <w:r>
        <w:rPr>
          <w:rFonts w:hint="eastAsia" w:ascii="宋体" w:hAnsi="宋体" w:cs="宋体"/>
          <w:kern w:val="0"/>
          <w:szCs w:val="21"/>
        </w:rPr>
        <w:t>nggzy.net/）。</w:t>
      </w:r>
    </w:p>
    <w:p>
      <w:pPr>
        <w:spacing w:line="288" w:lineRule="auto"/>
        <w:rPr>
          <w:rFonts w:ascii="宋体" w:hAnsi="宋体" w:cs="宋体"/>
          <w:kern w:val="0"/>
          <w:szCs w:val="21"/>
        </w:rPr>
      </w:pPr>
      <w:r>
        <w:rPr>
          <w:rFonts w:hint="eastAsia" w:ascii="宋体" w:hAnsi="宋体" w:cs="宋体"/>
          <w:kern w:val="0"/>
          <w:szCs w:val="21"/>
        </w:rPr>
        <w:t>3.方式：供应商需要完成信息登记及CA数字证书办理后，凭CA数字证书（CA密钥）登录市场主体系统按网上提示自行下载招标文件及相关资料（详见http://www.hnggzy.net/公共服务-办事指南），未按规定在网上下载招标文件的，其投标将被拒绝。</w:t>
      </w:r>
    </w:p>
    <w:p>
      <w:pPr>
        <w:spacing w:line="288" w:lineRule="auto"/>
        <w:rPr>
          <w:rFonts w:ascii="宋体" w:hAnsi="宋体" w:cs="宋体"/>
          <w:kern w:val="0"/>
          <w:szCs w:val="21"/>
        </w:rPr>
      </w:pPr>
      <w:r>
        <w:rPr>
          <w:rFonts w:hint="eastAsia" w:ascii="宋体" w:hAnsi="宋体" w:cs="宋体"/>
          <w:kern w:val="0"/>
          <w:szCs w:val="21"/>
        </w:rPr>
        <w:t>4.售价：0元。</w:t>
      </w:r>
    </w:p>
    <w:p>
      <w:pPr>
        <w:pStyle w:val="76"/>
        <w:spacing w:line="288" w:lineRule="auto"/>
        <w:ind w:firstLine="0" w:firstLineChars="0"/>
        <w:rPr>
          <w:rFonts w:hAnsi="宋体" w:cs="宋体"/>
          <w:b/>
          <w:color w:val="auto"/>
          <w:sz w:val="21"/>
          <w:szCs w:val="21"/>
        </w:rPr>
      </w:pPr>
      <w:r>
        <w:rPr>
          <w:rFonts w:hint="eastAsia" w:hAnsi="宋体" w:cs="宋体"/>
          <w:b/>
          <w:color w:val="auto"/>
          <w:sz w:val="21"/>
          <w:szCs w:val="21"/>
        </w:rPr>
        <w:t xml:space="preserve">四、响应文件提交 </w:t>
      </w:r>
    </w:p>
    <w:p>
      <w:pPr>
        <w:pStyle w:val="15"/>
        <w:spacing w:line="288" w:lineRule="auto"/>
        <w:ind w:left="0" w:leftChars="0" w:firstLine="0" w:firstLineChars="0"/>
        <w:rPr>
          <w:rFonts w:ascii="宋体" w:hAnsi="宋体" w:cs="宋体"/>
          <w:color w:val="auto"/>
          <w:szCs w:val="21"/>
        </w:rPr>
      </w:pPr>
      <w:r>
        <w:rPr>
          <w:rFonts w:hint="eastAsia" w:ascii="宋体" w:hAnsi="宋体" w:cs="宋体"/>
          <w:szCs w:val="21"/>
        </w:rPr>
        <w:t>1.时间</w:t>
      </w:r>
      <w:r>
        <w:rPr>
          <w:rFonts w:hint="eastAsia" w:ascii="宋体" w:hAnsi="宋体" w:cs="宋体"/>
          <w:color w:val="auto"/>
          <w:szCs w:val="21"/>
        </w:rPr>
        <w:t>：</w:t>
      </w:r>
      <w:r>
        <w:rPr>
          <w:rFonts w:hint="eastAsia" w:ascii="宋体" w:hAnsi="宋体" w:cs="宋体"/>
          <w:color w:val="auto"/>
          <w:szCs w:val="21"/>
          <w:lang w:eastAsia="zh-CN"/>
        </w:rPr>
        <w:t>2023年12月15日</w:t>
      </w:r>
      <w:r>
        <w:rPr>
          <w:rFonts w:hint="eastAsia" w:ascii="宋体" w:hAnsi="宋体" w:cs="宋体"/>
          <w:color w:val="auto"/>
          <w:szCs w:val="21"/>
        </w:rPr>
        <w:t xml:space="preserve">9时00分（北京时间）。 </w:t>
      </w:r>
    </w:p>
    <w:p>
      <w:pPr>
        <w:pStyle w:val="71"/>
        <w:spacing w:line="288" w:lineRule="auto"/>
        <w:ind w:firstLine="0" w:firstLineChars="0"/>
        <w:rPr>
          <w:rFonts w:cs="宋体"/>
          <w:color w:val="auto"/>
          <w:sz w:val="21"/>
          <w:szCs w:val="21"/>
        </w:rPr>
      </w:pPr>
      <w:r>
        <w:rPr>
          <w:rFonts w:hint="eastAsia" w:cs="宋体"/>
          <w:color w:val="auto"/>
          <w:sz w:val="21"/>
          <w:szCs w:val="21"/>
        </w:rPr>
        <w:t>2.地点：响应文件须在响应文件提交的截止时间前在河南省公共资源交易中心交易系统中加密上传，加密电子响应文件逾期上传的，采购人不予受理。</w:t>
      </w:r>
    </w:p>
    <w:p>
      <w:pPr>
        <w:pStyle w:val="76"/>
        <w:spacing w:line="288" w:lineRule="auto"/>
        <w:ind w:firstLine="0" w:firstLineChars="0"/>
        <w:rPr>
          <w:rFonts w:hAnsi="宋体" w:cs="宋体"/>
          <w:b/>
          <w:color w:val="auto"/>
          <w:sz w:val="21"/>
          <w:szCs w:val="21"/>
        </w:rPr>
      </w:pPr>
      <w:r>
        <w:rPr>
          <w:rFonts w:hint="eastAsia" w:hAnsi="宋体" w:cs="宋体"/>
          <w:b/>
          <w:color w:val="auto"/>
          <w:sz w:val="21"/>
          <w:szCs w:val="21"/>
        </w:rPr>
        <w:t>五、开标时间及地点</w:t>
      </w:r>
    </w:p>
    <w:p>
      <w:pPr>
        <w:spacing w:line="288" w:lineRule="auto"/>
        <w:rPr>
          <w:rFonts w:ascii="宋体" w:hAnsi="宋体" w:cs="宋体"/>
          <w:color w:val="auto"/>
          <w:szCs w:val="21"/>
        </w:rPr>
      </w:pPr>
      <w:r>
        <w:rPr>
          <w:rFonts w:hint="eastAsia" w:ascii="宋体" w:hAnsi="宋体" w:cs="宋体"/>
          <w:color w:val="auto"/>
          <w:szCs w:val="21"/>
        </w:rPr>
        <w:t>1.时间：</w:t>
      </w:r>
      <w:r>
        <w:rPr>
          <w:rFonts w:hint="eastAsia" w:ascii="宋体" w:hAnsi="宋体" w:cs="宋体"/>
          <w:color w:val="auto"/>
          <w:szCs w:val="21"/>
          <w:lang w:eastAsia="zh-CN"/>
        </w:rPr>
        <w:t>2023年12月15日</w:t>
      </w:r>
      <w:r>
        <w:rPr>
          <w:rFonts w:hint="eastAsia" w:ascii="宋体" w:hAnsi="宋体" w:cs="宋体"/>
          <w:color w:val="auto"/>
          <w:szCs w:val="21"/>
        </w:rPr>
        <w:t>9时00分（北京时间）。</w:t>
      </w:r>
    </w:p>
    <w:p>
      <w:pPr>
        <w:spacing w:line="288" w:lineRule="auto"/>
        <w:rPr>
          <w:rFonts w:ascii="宋体" w:hAnsi="宋体" w:cs="宋体"/>
          <w:szCs w:val="21"/>
        </w:rPr>
      </w:pPr>
      <w:r>
        <w:rPr>
          <w:rFonts w:hint="eastAsia" w:ascii="宋体" w:hAnsi="宋体" w:cs="宋体"/>
          <w:color w:val="auto"/>
          <w:szCs w:val="21"/>
        </w:rPr>
        <w:t>2.地点：河南省公共资源交易中心</w:t>
      </w:r>
      <w:r>
        <w:rPr>
          <w:rFonts w:hint="eastAsia" w:ascii="宋体" w:hAnsi="宋体" w:cs="宋体"/>
          <w:color w:val="auto"/>
          <w:szCs w:val="21"/>
          <w:highlight w:val="none"/>
          <w:lang w:eastAsia="zh-CN"/>
        </w:rPr>
        <w:t>开标室</w:t>
      </w:r>
      <w:r>
        <w:rPr>
          <w:rFonts w:hint="eastAsia" w:ascii="宋体" w:hAnsi="宋体" w:cs="宋体"/>
          <w:color w:val="auto"/>
          <w:szCs w:val="21"/>
          <w:highlight w:val="none"/>
          <w:lang w:val="en-US" w:eastAsia="zh-CN"/>
        </w:rPr>
        <w:t>八</w:t>
      </w:r>
      <w:r>
        <w:rPr>
          <w:rFonts w:hint="eastAsia" w:ascii="宋体" w:hAnsi="宋体" w:cs="宋体"/>
          <w:color w:val="auto"/>
          <w:szCs w:val="21"/>
        </w:rPr>
        <w:t>（郑州</w:t>
      </w:r>
      <w:r>
        <w:rPr>
          <w:rFonts w:hint="eastAsia" w:ascii="宋体" w:hAnsi="宋体" w:cs="宋体"/>
          <w:szCs w:val="21"/>
        </w:rPr>
        <w:t>市经二路与纬四路向南50米路西）。</w:t>
      </w:r>
    </w:p>
    <w:p>
      <w:pPr>
        <w:pStyle w:val="76"/>
        <w:spacing w:line="288" w:lineRule="auto"/>
        <w:ind w:firstLine="0" w:firstLineChars="0"/>
        <w:rPr>
          <w:rFonts w:hAnsi="宋体" w:cs="宋体"/>
          <w:b/>
          <w:color w:val="auto"/>
          <w:sz w:val="21"/>
          <w:szCs w:val="21"/>
        </w:rPr>
      </w:pPr>
      <w:r>
        <w:rPr>
          <w:rFonts w:hint="eastAsia" w:hAnsi="宋体" w:cs="宋体"/>
          <w:b/>
          <w:color w:val="auto"/>
          <w:sz w:val="21"/>
          <w:szCs w:val="21"/>
        </w:rPr>
        <w:t>六、发布公告的媒介及招标公告期限</w:t>
      </w:r>
    </w:p>
    <w:p>
      <w:pPr>
        <w:spacing w:line="288" w:lineRule="auto"/>
        <w:ind w:firstLine="420" w:firstLineChars="200"/>
        <w:rPr>
          <w:rFonts w:ascii="宋体" w:hAnsi="宋体" w:cs="宋体"/>
          <w:szCs w:val="21"/>
        </w:rPr>
      </w:pPr>
      <w:r>
        <w:rPr>
          <w:rFonts w:hint="eastAsia" w:ascii="宋体" w:hAnsi="宋体" w:cs="宋体"/>
          <w:szCs w:val="21"/>
        </w:rPr>
        <w:t>本次招标公告在《河南省政府采购网》《河南省公共资源交易中心》《河南豫信招标有限责任公司网站》上发布。招标公告期限为三个工作日 。</w:t>
      </w:r>
    </w:p>
    <w:p>
      <w:pPr>
        <w:pStyle w:val="76"/>
        <w:spacing w:line="288" w:lineRule="auto"/>
        <w:ind w:firstLine="0" w:firstLineChars="0"/>
        <w:rPr>
          <w:rFonts w:hAnsi="宋体" w:cs="宋体"/>
          <w:b/>
          <w:color w:val="auto"/>
          <w:sz w:val="21"/>
          <w:szCs w:val="21"/>
        </w:rPr>
      </w:pPr>
      <w:r>
        <w:rPr>
          <w:rFonts w:hint="eastAsia" w:hAnsi="宋体" w:cs="宋体"/>
          <w:b/>
          <w:color w:val="auto"/>
          <w:sz w:val="21"/>
          <w:szCs w:val="21"/>
        </w:rPr>
        <w:t>七、其他补充事宜</w:t>
      </w:r>
    </w:p>
    <w:bookmarkEnd w:id="9"/>
    <w:p>
      <w:pPr>
        <w:pStyle w:val="77"/>
        <w:spacing w:line="288" w:lineRule="auto"/>
        <w:outlineLvl w:val="9"/>
        <w:rPr>
          <w:rFonts w:hint="default" w:ascii="宋体" w:eastAsia="宋体"/>
          <w:b w:val="0"/>
          <w:bCs/>
          <w:kern w:val="2"/>
          <w:sz w:val="21"/>
          <w:szCs w:val="21"/>
        </w:rPr>
      </w:pPr>
      <w:r>
        <w:rPr>
          <w:rFonts w:ascii="宋体" w:eastAsia="宋体"/>
          <w:b w:val="0"/>
          <w:bCs/>
          <w:kern w:val="2"/>
          <w:sz w:val="21"/>
          <w:szCs w:val="21"/>
        </w:rPr>
        <w:t xml:space="preserve">1.执行《政府采购促进中小企业发展管理办法》[财库（2020）46 号]； </w:t>
      </w:r>
    </w:p>
    <w:p>
      <w:pPr>
        <w:pStyle w:val="77"/>
        <w:spacing w:line="288" w:lineRule="auto"/>
        <w:outlineLvl w:val="9"/>
        <w:rPr>
          <w:rFonts w:hint="default" w:ascii="宋体" w:eastAsia="宋体"/>
          <w:b w:val="0"/>
          <w:bCs/>
          <w:kern w:val="2"/>
          <w:sz w:val="21"/>
          <w:szCs w:val="21"/>
        </w:rPr>
      </w:pPr>
      <w:r>
        <w:rPr>
          <w:rFonts w:ascii="宋体" w:eastAsia="宋体"/>
          <w:b w:val="0"/>
          <w:bCs/>
          <w:kern w:val="2"/>
          <w:sz w:val="21"/>
          <w:szCs w:val="21"/>
        </w:rPr>
        <w:t xml:space="preserve">2.执行《财政部、司法部关于政府采购支持监狱企业发展有关问题的通知》（财库[2014]68 号）； </w:t>
      </w:r>
    </w:p>
    <w:p>
      <w:pPr>
        <w:pStyle w:val="77"/>
        <w:spacing w:line="288" w:lineRule="auto"/>
        <w:outlineLvl w:val="9"/>
        <w:rPr>
          <w:rFonts w:hint="default" w:ascii="宋体" w:eastAsia="宋体"/>
          <w:b w:val="0"/>
          <w:bCs/>
          <w:kern w:val="2"/>
          <w:sz w:val="21"/>
          <w:szCs w:val="21"/>
        </w:rPr>
      </w:pPr>
      <w:r>
        <w:rPr>
          <w:rFonts w:ascii="宋体" w:eastAsia="宋体"/>
          <w:b w:val="0"/>
          <w:bCs/>
          <w:kern w:val="2"/>
          <w:sz w:val="21"/>
          <w:szCs w:val="21"/>
        </w:rPr>
        <w:t xml:space="preserve">3.执行《三部门联合发布关于促进残疾人就业政府采购政策的通知》（财库[2017]141 号）。 </w:t>
      </w:r>
    </w:p>
    <w:p>
      <w:pPr>
        <w:pStyle w:val="77"/>
        <w:spacing w:line="288" w:lineRule="auto"/>
        <w:outlineLvl w:val="9"/>
        <w:rPr>
          <w:rFonts w:hint="default" w:ascii="宋体" w:eastAsia="宋体"/>
          <w:b w:val="0"/>
          <w:bCs/>
          <w:kern w:val="2"/>
          <w:sz w:val="21"/>
          <w:szCs w:val="21"/>
        </w:rPr>
      </w:pPr>
      <w:r>
        <w:rPr>
          <w:rFonts w:ascii="宋体" w:eastAsia="宋体"/>
          <w:b w:val="0"/>
          <w:bCs/>
          <w:kern w:val="2"/>
          <w:sz w:val="21"/>
          <w:szCs w:val="21"/>
        </w:rPr>
        <w:t xml:space="preserve">4.执行关于印发节能产品政府采购品目清单的通知（财库〔2019〕19 号）； </w:t>
      </w:r>
    </w:p>
    <w:p>
      <w:pPr>
        <w:pStyle w:val="77"/>
        <w:spacing w:line="288" w:lineRule="auto"/>
        <w:outlineLvl w:val="9"/>
        <w:rPr>
          <w:rFonts w:hint="default" w:ascii="宋体" w:eastAsia="宋体"/>
          <w:b w:val="0"/>
          <w:bCs/>
          <w:kern w:val="2"/>
          <w:sz w:val="21"/>
          <w:szCs w:val="21"/>
        </w:rPr>
      </w:pPr>
      <w:r>
        <w:rPr>
          <w:rFonts w:ascii="宋体" w:eastAsia="宋体"/>
          <w:b w:val="0"/>
          <w:bCs/>
          <w:kern w:val="2"/>
          <w:sz w:val="21"/>
          <w:szCs w:val="21"/>
        </w:rPr>
        <w:t xml:space="preserve">5.执行关于印发环境标志产品政府采购品目清单的通知（财库〔2019〕18 号）； </w:t>
      </w:r>
    </w:p>
    <w:p>
      <w:pPr>
        <w:pStyle w:val="77"/>
        <w:spacing w:line="288" w:lineRule="auto"/>
        <w:outlineLvl w:val="9"/>
        <w:rPr>
          <w:rFonts w:hint="default" w:ascii="宋体" w:eastAsia="宋体"/>
          <w:kern w:val="2"/>
          <w:sz w:val="21"/>
          <w:szCs w:val="21"/>
        </w:rPr>
      </w:pPr>
      <w:r>
        <w:rPr>
          <w:rFonts w:ascii="宋体" w:eastAsia="宋体"/>
          <w:b w:val="0"/>
          <w:bCs/>
          <w:kern w:val="2"/>
          <w:sz w:val="21"/>
          <w:szCs w:val="21"/>
        </w:rPr>
        <w:t>6.根据《关于在政府采购活动中查询及使用信用记录有关问题的通知》(财库[2016]125 号) 、《河南 省财政厅关于转发财政部关于在政府采购活动中查询及使用信用记录有关问题的通知的通知》（豫财购〔2016〕15 号）的规定，对列入失信被执行人、重大税收违法失信主体、政府采购严重违法失信行 为记录名单的供应商（投标人），拒绝参与本项目的投标；【查询渠道：（www.creditchina.gov.cn）、 “信用中国”网站、中国政府采购网（www.ccgp.gov.cn）】；</w:t>
      </w:r>
    </w:p>
    <w:p>
      <w:pPr>
        <w:pStyle w:val="77"/>
        <w:spacing w:line="288" w:lineRule="auto"/>
        <w:outlineLvl w:val="9"/>
        <w:rPr>
          <w:rFonts w:hint="default" w:ascii="宋体" w:eastAsia="宋体"/>
          <w:color w:val="auto"/>
          <w:kern w:val="0"/>
          <w:sz w:val="21"/>
          <w:szCs w:val="21"/>
        </w:rPr>
      </w:pPr>
      <w:r>
        <w:rPr>
          <w:rFonts w:ascii="宋体" w:eastAsia="宋体"/>
          <w:color w:val="auto"/>
          <w:kern w:val="0"/>
          <w:sz w:val="21"/>
          <w:szCs w:val="21"/>
        </w:rPr>
        <w:t>八、凡对本次招标提出询问，请按照以下方式联系</w:t>
      </w:r>
    </w:p>
    <w:p>
      <w:pPr>
        <w:spacing w:line="288" w:lineRule="auto"/>
        <w:rPr>
          <w:rFonts w:ascii="宋体" w:hAnsi="宋体" w:cs="宋体"/>
          <w:szCs w:val="21"/>
        </w:rPr>
      </w:pPr>
      <w:r>
        <w:rPr>
          <w:rFonts w:hint="eastAsia" w:ascii="宋体" w:hAnsi="宋体" w:cs="宋体"/>
          <w:szCs w:val="21"/>
        </w:rPr>
        <w:t>1.</w:t>
      </w:r>
      <w:r>
        <w:rPr>
          <w:rFonts w:hint="eastAsia" w:ascii="宋体" w:hAnsi="宋体" w:cs="宋体"/>
          <w:kern w:val="0"/>
          <w:szCs w:val="21"/>
        </w:rPr>
        <w:t>采购人信息</w:t>
      </w:r>
    </w:p>
    <w:p>
      <w:pPr>
        <w:spacing w:line="288" w:lineRule="auto"/>
        <w:ind w:firstLine="420" w:firstLineChars="200"/>
        <w:rPr>
          <w:rFonts w:ascii="宋体" w:hAnsi="宋体" w:cs="宋体"/>
          <w:szCs w:val="21"/>
        </w:rPr>
      </w:pPr>
      <w:r>
        <w:rPr>
          <w:rFonts w:hint="eastAsia" w:ascii="宋体" w:hAnsi="宋体" w:cs="宋体"/>
          <w:szCs w:val="21"/>
        </w:rPr>
        <w:t>名称：河南中医药大学第一附属医院</w:t>
      </w:r>
    </w:p>
    <w:p>
      <w:pPr>
        <w:spacing w:line="288" w:lineRule="auto"/>
        <w:ind w:firstLine="420" w:firstLineChars="200"/>
        <w:rPr>
          <w:rFonts w:ascii="宋体" w:hAnsi="宋体" w:cs="宋体"/>
          <w:szCs w:val="21"/>
        </w:rPr>
      </w:pPr>
      <w:r>
        <w:rPr>
          <w:rFonts w:hint="eastAsia" w:ascii="宋体" w:hAnsi="宋体" w:cs="宋体"/>
          <w:szCs w:val="21"/>
        </w:rPr>
        <w:t>地址：郑州市人民路19号</w:t>
      </w:r>
    </w:p>
    <w:p>
      <w:pPr>
        <w:spacing w:line="288" w:lineRule="auto"/>
        <w:ind w:firstLine="420" w:firstLineChars="200"/>
        <w:rPr>
          <w:rFonts w:ascii="宋体" w:hAnsi="宋体" w:cs="宋体"/>
          <w:szCs w:val="21"/>
        </w:rPr>
      </w:pPr>
      <w:r>
        <w:rPr>
          <w:rFonts w:hint="eastAsia" w:ascii="宋体" w:hAnsi="宋体" w:cs="宋体"/>
          <w:szCs w:val="21"/>
        </w:rPr>
        <w:t>联系人：马老师</w:t>
      </w:r>
    </w:p>
    <w:p>
      <w:pPr>
        <w:spacing w:line="288" w:lineRule="auto"/>
        <w:ind w:firstLine="420" w:firstLineChars="200"/>
        <w:rPr>
          <w:rFonts w:ascii="宋体" w:hAnsi="宋体" w:cs="宋体"/>
          <w:szCs w:val="21"/>
        </w:rPr>
      </w:pPr>
      <w:r>
        <w:rPr>
          <w:rFonts w:hint="eastAsia" w:ascii="宋体" w:hAnsi="宋体" w:cs="宋体"/>
          <w:szCs w:val="21"/>
        </w:rPr>
        <w:t>联系方式：0371-66269066</w:t>
      </w:r>
    </w:p>
    <w:p>
      <w:pPr>
        <w:spacing w:line="288" w:lineRule="auto"/>
        <w:rPr>
          <w:rFonts w:ascii="宋体" w:hAnsi="宋体" w:cs="宋体"/>
          <w:szCs w:val="21"/>
        </w:rPr>
      </w:pPr>
      <w:r>
        <w:rPr>
          <w:rFonts w:hint="eastAsia" w:ascii="宋体" w:hAnsi="宋体" w:cs="宋体"/>
          <w:szCs w:val="21"/>
        </w:rPr>
        <w:t>2.</w:t>
      </w:r>
      <w:r>
        <w:rPr>
          <w:rFonts w:hint="eastAsia" w:ascii="宋体" w:hAnsi="宋体" w:cs="宋体"/>
          <w:kern w:val="0"/>
          <w:szCs w:val="21"/>
        </w:rPr>
        <w:t>采购代理机构信息</w:t>
      </w:r>
    </w:p>
    <w:p>
      <w:pPr>
        <w:spacing w:line="288" w:lineRule="auto"/>
        <w:ind w:firstLine="420" w:firstLineChars="200"/>
        <w:rPr>
          <w:rFonts w:ascii="宋体" w:hAnsi="宋体" w:cs="宋体"/>
          <w:szCs w:val="21"/>
        </w:rPr>
      </w:pPr>
      <w:r>
        <w:rPr>
          <w:rFonts w:hint="eastAsia" w:ascii="宋体" w:hAnsi="宋体" w:cs="宋体"/>
          <w:szCs w:val="21"/>
        </w:rPr>
        <w:t>名称： 河南豫信招标有限责任公司</w:t>
      </w:r>
    </w:p>
    <w:p>
      <w:pPr>
        <w:spacing w:line="288" w:lineRule="auto"/>
        <w:ind w:firstLine="420" w:firstLineChars="200"/>
        <w:rPr>
          <w:rFonts w:ascii="宋体" w:hAnsi="宋体" w:cs="宋体"/>
          <w:szCs w:val="21"/>
        </w:rPr>
      </w:pPr>
      <w:r>
        <w:rPr>
          <w:rFonts w:hint="eastAsia" w:ascii="宋体" w:hAnsi="宋体" w:cs="宋体"/>
          <w:szCs w:val="21"/>
        </w:rPr>
        <w:t xml:space="preserve">地址： </w:t>
      </w:r>
      <w:r>
        <w:rPr>
          <w:rFonts w:hint="eastAsia" w:ascii="宋体" w:hAnsi="宋体" w:cs="宋体"/>
          <w:kern w:val="0"/>
          <w:szCs w:val="21"/>
        </w:rPr>
        <w:t>郑州市郑东新区商务外环路3号中华大厦19楼</w:t>
      </w:r>
    </w:p>
    <w:p>
      <w:pPr>
        <w:spacing w:line="288" w:lineRule="auto"/>
        <w:ind w:firstLine="420" w:firstLineChars="200"/>
        <w:rPr>
          <w:rFonts w:ascii="宋体" w:hAnsi="宋体" w:cs="宋体"/>
          <w:szCs w:val="21"/>
        </w:rPr>
      </w:pPr>
      <w:r>
        <w:rPr>
          <w:rFonts w:hint="eastAsia" w:ascii="宋体" w:hAnsi="宋体" w:cs="宋体"/>
          <w:szCs w:val="21"/>
        </w:rPr>
        <w:t>联系人：</w:t>
      </w:r>
      <w:r>
        <w:rPr>
          <w:rFonts w:hint="eastAsia" w:ascii="宋体" w:hAnsi="宋体" w:cs="宋体"/>
          <w:kern w:val="0"/>
          <w:szCs w:val="21"/>
        </w:rPr>
        <w:t xml:space="preserve"> 魏广、吕佳梁</w:t>
      </w:r>
    </w:p>
    <w:p>
      <w:pPr>
        <w:spacing w:line="288" w:lineRule="auto"/>
        <w:ind w:firstLine="420" w:firstLineChars="200"/>
        <w:rPr>
          <w:rFonts w:ascii="宋体" w:hAnsi="宋体" w:cs="宋体"/>
          <w:szCs w:val="21"/>
        </w:rPr>
      </w:pPr>
      <w:r>
        <w:rPr>
          <w:rFonts w:hint="eastAsia" w:ascii="宋体" w:hAnsi="宋体" w:cs="宋体"/>
          <w:szCs w:val="21"/>
        </w:rPr>
        <w:t xml:space="preserve">联系方式： </w:t>
      </w:r>
      <w:r>
        <w:rPr>
          <w:rFonts w:hint="eastAsia" w:ascii="宋体" w:hAnsi="宋体" w:cs="宋体"/>
          <w:kern w:val="0"/>
          <w:szCs w:val="21"/>
        </w:rPr>
        <w:t>0371-63911061</w:t>
      </w:r>
      <w:bookmarkStart w:id="142" w:name="_GoBack"/>
      <w:bookmarkEnd w:id="142"/>
    </w:p>
    <w:p>
      <w:pPr>
        <w:pStyle w:val="18"/>
        <w:spacing w:line="288" w:lineRule="auto"/>
        <w:ind w:firstLine="0" w:firstLineChars="0"/>
        <w:jc w:val="both"/>
        <w:rPr>
          <w:rFonts w:ascii="宋体" w:hAnsi="宋体" w:cs="宋体"/>
          <w:b w:val="0"/>
          <w:bCs/>
          <w:sz w:val="21"/>
          <w:szCs w:val="21"/>
        </w:rPr>
      </w:pPr>
      <w:r>
        <w:rPr>
          <w:rFonts w:hint="eastAsia" w:ascii="宋体" w:hAnsi="宋体" w:cs="宋体"/>
          <w:b w:val="0"/>
          <w:bCs/>
          <w:sz w:val="21"/>
          <w:szCs w:val="21"/>
        </w:rPr>
        <w:t>3.项目联系方式：</w:t>
      </w:r>
    </w:p>
    <w:p>
      <w:pPr>
        <w:spacing w:line="288" w:lineRule="auto"/>
        <w:ind w:firstLine="420" w:firstLineChars="200"/>
        <w:rPr>
          <w:rFonts w:ascii="宋体" w:hAnsi="宋体" w:cs="宋体"/>
          <w:kern w:val="0"/>
          <w:szCs w:val="21"/>
        </w:rPr>
      </w:pPr>
      <w:r>
        <w:rPr>
          <w:rFonts w:hint="eastAsia" w:ascii="宋体" w:hAnsi="宋体" w:cs="宋体"/>
          <w:szCs w:val="21"/>
        </w:rPr>
        <w:t xml:space="preserve">联系人： </w:t>
      </w:r>
      <w:r>
        <w:rPr>
          <w:rFonts w:hint="eastAsia" w:ascii="宋体" w:hAnsi="宋体" w:cs="宋体"/>
          <w:kern w:val="0"/>
          <w:szCs w:val="21"/>
        </w:rPr>
        <w:t>魏广、吕佳梁</w:t>
      </w:r>
    </w:p>
    <w:p>
      <w:pPr>
        <w:spacing w:line="288" w:lineRule="auto"/>
        <w:ind w:firstLine="420" w:firstLineChars="200"/>
        <w:rPr>
          <w:rFonts w:ascii="宋体" w:hAnsi="宋体" w:cs="宋体"/>
          <w:kern w:val="0"/>
          <w:szCs w:val="21"/>
        </w:rPr>
      </w:pPr>
      <w:r>
        <w:rPr>
          <w:rFonts w:hint="eastAsia" w:ascii="宋体" w:hAnsi="宋体" w:cs="宋体"/>
          <w:szCs w:val="21"/>
        </w:rPr>
        <w:t xml:space="preserve">联系方式： </w:t>
      </w:r>
      <w:r>
        <w:rPr>
          <w:rFonts w:hint="eastAsia" w:ascii="宋体" w:hAnsi="宋体" w:cs="宋体"/>
          <w:kern w:val="0"/>
          <w:szCs w:val="21"/>
        </w:rPr>
        <w:t>0371-63911061</w:t>
      </w:r>
    </w:p>
    <w:p>
      <w:pPr>
        <w:jc w:val="left"/>
        <w:rPr>
          <w:rFonts w:ascii="宋体" w:hAnsi="宋体" w:cs="宋体"/>
          <w:b/>
          <w:szCs w:val="21"/>
        </w:rPr>
      </w:pPr>
      <w:r>
        <w:rPr>
          <w:rFonts w:hint="eastAsia" w:ascii="宋体" w:hAnsi="宋体" w:cs="宋体"/>
          <w:b/>
          <w:szCs w:val="21"/>
        </w:rPr>
        <w:br w:type="page"/>
      </w:r>
    </w:p>
    <w:p>
      <w:pPr>
        <w:autoSpaceDE w:val="0"/>
        <w:autoSpaceDN w:val="0"/>
        <w:adjustRightInd w:val="0"/>
        <w:spacing w:line="360" w:lineRule="auto"/>
        <w:jc w:val="center"/>
        <w:outlineLvl w:val="0"/>
        <w:rPr>
          <w:rFonts w:ascii="宋体" w:hAnsi="宋体"/>
          <w:b/>
          <w:sz w:val="36"/>
        </w:rPr>
      </w:pPr>
      <w:r>
        <w:rPr>
          <w:rFonts w:hint="eastAsia" w:ascii="宋体" w:hAnsi="宋体"/>
          <w:b/>
          <w:sz w:val="36"/>
        </w:rPr>
        <w:t>第二章 供应商须知</w:t>
      </w:r>
      <w:bookmarkEnd w:id="7"/>
    </w:p>
    <w:bookmarkEnd w:id="1"/>
    <w:bookmarkEnd w:id="2"/>
    <w:bookmarkEnd w:id="3"/>
    <w:p>
      <w:pPr>
        <w:pStyle w:val="3"/>
        <w:keepNext w:val="0"/>
        <w:keepLines w:val="0"/>
        <w:spacing w:line="360" w:lineRule="auto"/>
        <w:jc w:val="center"/>
        <w:rPr>
          <w:rFonts w:ascii="宋体" w:hAnsi="宋体"/>
          <w:sz w:val="24"/>
        </w:rPr>
      </w:pPr>
      <w:bookmarkStart w:id="10" w:name="_Toc150853745"/>
      <w:bookmarkStart w:id="11" w:name="_Toc11971"/>
      <w:r>
        <w:rPr>
          <w:rFonts w:hint="eastAsia" w:ascii="宋体" w:hAnsi="宋体" w:eastAsia="宋体"/>
          <w:sz w:val="24"/>
        </w:rPr>
        <w:t>供应商须知前附表</w:t>
      </w:r>
      <w:bookmarkEnd w:id="10"/>
      <w:bookmarkEnd w:id="11"/>
      <w:bookmarkStart w:id="12" w:name="_Toc150853746"/>
    </w:p>
    <w:tbl>
      <w:tblPr>
        <w:tblStyle w:val="30"/>
        <w:tblW w:w="95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39"/>
        <w:gridCol w:w="838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139" w:type="dxa"/>
            <w:noWrap/>
            <w:vAlign w:val="center"/>
          </w:tcPr>
          <w:p>
            <w:pPr>
              <w:pStyle w:val="16"/>
              <w:adjustRightInd w:val="0"/>
              <w:snapToGrid w:val="0"/>
              <w:jc w:val="center"/>
              <w:rPr>
                <w:rFonts w:hAnsi="宋体"/>
                <w:b/>
              </w:rPr>
            </w:pPr>
            <w:r>
              <w:rPr>
                <w:rFonts w:hint="eastAsia" w:hAnsi="宋体"/>
                <w:b/>
              </w:rPr>
              <w:t>条款号</w:t>
            </w:r>
          </w:p>
        </w:tc>
        <w:tc>
          <w:tcPr>
            <w:tcW w:w="8383" w:type="dxa"/>
            <w:noWrap/>
            <w:vAlign w:val="center"/>
          </w:tcPr>
          <w:p>
            <w:pPr>
              <w:pStyle w:val="16"/>
              <w:adjustRightInd w:val="0"/>
              <w:snapToGrid w:val="0"/>
              <w:jc w:val="center"/>
              <w:rPr>
                <w:rFonts w:hAnsi="宋体"/>
                <w:b/>
              </w:rPr>
            </w:pPr>
            <w:r>
              <w:rPr>
                <w:rFonts w:hAnsi="宋体"/>
                <w:b/>
              </w:rPr>
              <w:t>编列内容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39" w:type="dxa"/>
            <w:noWrap/>
            <w:vAlign w:val="center"/>
          </w:tcPr>
          <w:p>
            <w:pPr>
              <w:pStyle w:val="16"/>
              <w:adjustRightInd w:val="0"/>
              <w:snapToGrid w:val="0"/>
              <w:jc w:val="center"/>
              <w:rPr>
                <w:rFonts w:hAnsi="宋体"/>
              </w:rPr>
            </w:pPr>
            <w:r>
              <w:rPr>
                <w:rFonts w:hint="eastAsia" w:hAnsi="宋体"/>
              </w:rPr>
              <w:t>1.1</w:t>
            </w:r>
          </w:p>
        </w:tc>
        <w:tc>
          <w:tcPr>
            <w:tcW w:w="8383" w:type="dxa"/>
            <w:noWrap/>
          </w:tcPr>
          <w:p>
            <w:pPr>
              <w:rPr>
                <w:rFonts w:hint="eastAsia" w:ascii="宋体" w:hAnsi="宋体" w:eastAsia="宋体" w:cs="宋体"/>
              </w:rPr>
            </w:pPr>
            <w:r>
              <w:rPr>
                <w:rFonts w:hint="eastAsia"/>
              </w:rPr>
              <w:t>采购</w:t>
            </w:r>
            <w:r>
              <w:rPr>
                <w:rFonts w:hint="eastAsia" w:ascii="宋体" w:hAnsi="宋体" w:eastAsia="宋体" w:cs="宋体"/>
              </w:rPr>
              <w:t>人：河南中医药大学第一附属医院</w:t>
            </w:r>
          </w:p>
          <w:p>
            <w:pPr>
              <w:rPr>
                <w:rFonts w:hint="eastAsia" w:ascii="宋体" w:hAnsi="宋体" w:eastAsia="宋体" w:cs="宋体"/>
              </w:rPr>
            </w:pPr>
            <w:r>
              <w:rPr>
                <w:rFonts w:hint="eastAsia" w:ascii="宋体" w:hAnsi="宋体" w:eastAsia="宋体" w:cs="宋体"/>
              </w:rPr>
              <w:t>地  址：郑州市人民路19号</w:t>
            </w:r>
          </w:p>
          <w:p>
            <w:pPr>
              <w:rPr>
                <w:rFonts w:hint="eastAsia" w:ascii="宋体" w:hAnsi="宋体" w:eastAsia="宋体" w:cs="宋体"/>
              </w:rPr>
            </w:pPr>
            <w:r>
              <w:rPr>
                <w:rFonts w:hint="eastAsia" w:ascii="宋体" w:hAnsi="宋体" w:eastAsia="宋体" w:cs="宋体"/>
              </w:rPr>
              <w:t>联系人：马老师</w:t>
            </w:r>
          </w:p>
          <w:p>
            <w:r>
              <w:rPr>
                <w:rFonts w:hint="eastAsia" w:ascii="宋体" w:hAnsi="宋体" w:eastAsia="宋体" w:cs="宋体"/>
              </w:rPr>
              <w:t>联系电话：0371-66269066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41" w:hRule="atLeast"/>
          <w:jc w:val="center"/>
        </w:trPr>
        <w:tc>
          <w:tcPr>
            <w:tcW w:w="1139" w:type="dxa"/>
            <w:noWrap/>
            <w:vAlign w:val="center"/>
          </w:tcPr>
          <w:p>
            <w:pPr>
              <w:ind w:firstLine="210" w:firstLineChars="100"/>
              <w:rPr>
                <w:rFonts w:ascii="宋体" w:hAnsi="宋体"/>
              </w:rPr>
            </w:pPr>
            <w:r>
              <w:rPr>
                <w:rFonts w:hint="eastAsia" w:ascii="宋体" w:hAnsi="宋体"/>
              </w:rPr>
              <w:t>1.2</w:t>
            </w:r>
          </w:p>
        </w:tc>
        <w:tc>
          <w:tcPr>
            <w:tcW w:w="8383" w:type="dxa"/>
            <w:noWrap/>
          </w:tcPr>
          <w:p>
            <w:pPr>
              <w:rPr>
                <w:rFonts w:ascii="宋体" w:hAnsi="宋体"/>
              </w:rPr>
            </w:pPr>
            <w:r>
              <w:rPr>
                <w:rFonts w:hint="eastAsia" w:ascii="宋体" w:hAnsi="宋体"/>
              </w:rPr>
              <w:t xml:space="preserve">采购代理：河南豫信招标有限责任公司 </w:t>
            </w:r>
          </w:p>
          <w:p>
            <w:pPr>
              <w:rPr>
                <w:rFonts w:ascii="宋体" w:hAnsi="宋体" w:cs="宋体"/>
                <w:szCs w:val="21"/>
              </w:rPr>
            </w:pPr>
            <w:r>
              <w:rPr>
                <w:rFonts w:hint="eastAsia" w:ascii="宋体" w:hAnsi="宋体" w:cs="宋体"/>
                <w:szCs w:val="21"/>
              </w:rPr>
              <w:t>地址：郑州市郑东新区商务外环路3号 中华大厦19楼</w:t>
            </w:r>
          </w:p>
          <w:p>
            <w:pPr>
              <w:rPr>
                <w:rFonts w:ascii="宋体" w:hAnsi="宋体" w:cs="宋体"/>
                <w:szCs w:val="21"/>
              </w:rPr>
            </w:pPr>
            <w:r>
              <w:rPr>
                <w:rFonts w:hint="eastAsia" w:ascii="宋体" w:hAnsi="宋体" w:cs="宋体"/>
                <w:szCs w:val="21"/>
              </w:rPr>
              <w:t>联系人：魏广、吕佳梁</w:t>
            </w:r>
          </w:p>
          <w:p>
            <w:pPr>
              <w:rPr>
                <w:rFonts w:ascii="宋体" w:hAnsi="宋体" w:cs="宋体"/>
                <w:szCs w:val="21"/>
              </w:rPr>
            </w:pPr>
            <w:r>
              <w:rPr>
                <w:rFonts w:hint="eastAsia" w:ascii="宋体" w:hAnsi="宋体" w:cs="宋体"/>
                <w:szCs w:val="21"/>
              </w:rPr>
              <w:t>联系方式：0371-63911061</w:t>
            </w:r>
          </w:p>
          <w:p>
            <w:pPr>
              <w:rPr>
                <w:rFonts w:ascii="宋体" w:hAnsi="宋体"/>
              </w:rPr>
            </w:pPr>
            <w:r>
              <w:rPr>
                <w:rFonts w:hint="eastAsia" w:ascii="宋体" w:hAnsi="宋体" w:cs="宋体"/>
                <w:szCs w:val="21"/>
              </w:rPr>
              <w:t>电子邮箱：hnxy04@126.com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15" w:hRule="atLeast"/>
          <w:jc w:val="center"/>
        </w:trPr>
        <w:tc>
          <w:tcPr>
            <w:tcW w:w="1139" w:type="dxa"/>
            <w:noWrap/>
            <w:vAlign w:val="center"/>
          </w:tcPr>
          <w:p>
            <w:pPr>
              <w:pStyle w:val="16"/>
              <w:adjustRightInd w:val="0"/>
              <w:snapToGrid w:val="0"/>
              <w:jc w:val="center"/>
              <w:rPr>
                <w:rFonts w:hAnsi="宋体"/>
              </w:rPr>
            </w:pPr>
            <w:r>
              <w:rPr>
                <w:rFonts w:hint="eastAsia" w:hAnsi="宋体"/>
              </w:rPr>
              <w:t>1.3</w:t>
            </w:r>
          </w:p>
        </w:tc>
        <w:tc>
          <w:tcPr>
            <w:tcW w:w="8383" w:type="dxa"/>
            <w:noWrap/>
            <w:vAlign w:val="center"/>
          </w:tcPr>
          <w:p>
            <w:pPr>
              <w:pStyle w:val="53"/>
              <w:rPr>
                <w:rFonts w:ascii="宋体" w:hAnsi="宋体" w:cs="宋体"/>
                <w:szCs w:val="21"/>
              </w:rPr>
            </w:pPr>
            <w:r>
              <w:rPr>
                <w:rFonts w:hint="eastAsia" w:ascii="宋体" w:hAnsi="宋体" w:cs="宋体"/>
                <w:szCs w:val="21"/>
              </w:rPr>
              <w:t>项目综合说明：</w:t>
            </w:r>
          </w:p>
          <w:p>
            <w:pPr>
              <w:rPr>
                <w:rFonts w:hint="eastAsia" w:ascii="宋体" w:hAnsi="宋体" w:eastAsia="宋体" w:cs="宋体"/>
                <w:szCs w:val="21"/>
                <w:lang w:eastAsia="zh-CN"/>
              </w:rPr>
            </w:pPr>
            <w:r>
              <w:rPr>
                <w:rFonts w:hint="eastAsia" w:ascii="宋体" w:hAnsi="宋体" w:cs="宋体"/>
                <w:szCs w:val="21"/>
              </w:rPr>
              <w:t>1、项目名称：河南中医药大学第一附属医院</w:t>
            </w:r>
            <w:r>
              <w:rPr>
                <w:rFonts w:hint="eastAsia" w:ascii="宋体" w:hAnsi="宋体" w:cs="宋体"/>
                <w:szCs w:val="21"/>
                <w:lang w:eastAsia="zh-CN"/>
              </w:rPr>
              <w:t>病理科人民路院区、新院区新风系统采购项目</w:t>
            </w:r>
          </w:p>
          <w:p>
            <w:pPr>
              <w:rPr>
                <w:rFonts w:hint="eastAsia" w:ascii="宋体" w:hAnsi="宋体" w:eastAsia="宋体" w:cs="宋体"/>
                <w:color w:val="auto"/>
                <w:szCs w:val="21"/>
                <w:lang w:eastAsia="zh-CN"/>
              </w:rPr>
            </w:pPr>
            <w:r>
              <w:rPr>
                <w:rFonts w:hint="eastAsia" w:ascii="宋体" w:hAnsi="宋体" w:cs="宋体"/>
                <w:szCs w:val="21"/>
              </w:rPr>
              <w:t>2、项目编</w:t>
            </w:r>
            <w:r>
              <w:rPr>
                <w:rFonts w:hint="eastAsia" w:ascii="宋体" w:hAnsi="宋体" w:cs="宋体"/>
                <w:color w:val="auto"/>
                <w:szCs w:val="21"/>
              </w:rPr>
              <w:t>号：</w:t>
            </w:r>
            <w:r>
              <w:rPr>
                <w:rFonts w:hint="eastAsia" w:ascii="宋体" w:hAnsi="宋体" w:cs="宋体"/>
                <w:color w:val="auto"/>
                <w:szCs w:val="21"/>
                <w:lang w:eastAsia="zh-CN"/>
              </w:rPr>
              <w:t>豫财磋商采购-2023-1282</w:t>
            </w:r>
          </w:p>
          <w:p>
            <w:pPr>
              <w:rPr>
                <w:rFonts w:ascii="宋体" w:hAnsi="宋体" w:cs="宋体"/>
                <w:color w:val="auto"/>
                <w:szCs w:val="21"/>
              </w:rPr>
            </w:pPr>
            <w:r>
              <w:rPr>
                <w:rFonts w:hint="eastAsia" w:ascii="宋体" w:hAnsi="宋体" w:cs="宋体"/>
                <w:color w:val="auto"/>
                <w:szCs w:val="21"/>
              </w:rPr>
              <w:t>3、采购范围：</w:t>
            </w:r>
            <w:r>
              <w:rPr>
                <w:rFonts w:hint="eastAsia" w:ascii="宋体" w:hAnsi="宋体" w:cs="宋体"/>
                <w:color w:val="auto"/>
                <w:szCs w:val="21"/>
                <w:lang w:eastAsia="zh-CN"/>
              </w:rPr>
              <w:t>病理科人民路院区、新院区新风系统</w:t>
            </w:r>
            <w:r>
              <w:rPr>
                <w:rFonts w:hint="eastAsia" w:ascii="宋体" w:hAnsi="宋体" w:cs="宋体"/>
                <w:color w:val="auto"/>
                <w:szCs w:val="21"/>
              </w:rPr>
              <w:t>。</w:t>
            </w:r>
          </w:p>
          <w:p>
            <w:pPr>
              <w:rPr>
                <w:rFonts w:hint="eastAsia" w:ascii="宋体" w:hAnsi="宋体" w:eastAsia="宋体" w:cs="宋体"/>
                <w:color w:val="auto"/>
                <w:szCs w:val="21"/>
                <w:lang w:eastAsia="zh-CN"/>
              </w:rPr>
            </w:pPr>
            <w:r>
              <w:rPr>
                <w:rFonts w:hint="eastAsia" w:ascii="宋体" w:hAnsi="宋体" w:cs="宋体"/>
                <w:color w:val="auto"/>
                <w:szCs w:val="21"/>
              </w:rPr>
              <w:t>4、</w:t>
            </w:r>
            <w:r>
              <w:rPr>
                <w:rFonts w:hint="eastAsia" w:ascii="宋体" w:hAnsi="宋体" w:cs="宋体"/>
                <w:color w:val="auto"/>
                <w:szCs w:val="21"/>
                <w:lang w:eastAsia="zh-CN"/>
              </w:rPr>
              <w:t>工期</w:t>
            </w:r>
            <w:r>
              <w:rPr>
                <w:rFonts w:hint="eastAsia" w:ascii="宋体" w:hAnsi="宋体" w:cs="宋体"/>
                <w:color w:val="auto"/>
                <w:szCs w:val="21"/>
              </w:rPr>
              <w:t>：</w:t>
            </w:r>
            <w:r>
              <w:rPr>
                <w:rFonts w:hint="eastAsia" w:ascii="宋体" w:hAnsi="宋体" w:cs="宋体"/>
                <w:color w:val="auto"/>
                <w:szCs w:val="21"/>
                <w:lang w:eastAsia="zh-CN"/>
              </w:rPr>
              <w:t>合同签订后50日历天</w:t>
            </w:r>
          </w:p>
          <w:p>
            <w:pPr>
              <w:rPr>
                <w:rFonts w:ascii="宋体" w:hAnsi="宋体" w:cs="宋体"/>
                <w:color w:val="auto"/>
                <w:szCs w:val="21"/>
              </w:rPr>
            </w:pPr>
            <w:r>
              <w:rPr>
                <w:rFonts w:hint="eastAsia" w:ascii="宋体" w:hAnsi="宋体" w:cs="宋体"/>
                <w:color w:val="auto"/>
                <w:szCs w:val="21"/>
              </w:rPr>
              <w:t>5、质量要求：合格，符合国家相关标准</w:t>
            </w:r>
          </w:p>
          <w:p>
            <w:pPr>
              <w:rPr>
                <w:rFonts w:ascii="宋体" w:hAnsi="宋体" w:cs="宋体"/>
                <w:color w:val="auto"/>
                <w:szCs w:val="21"/>
              </w:rPr>
            </w:pPr>
            <w:r>
              <w:rPr>
                <w:rFonts w:hint="eastAsia" w:ascii="宋体" w:hAnsi="宋体" w:cs="宋体"/>
                <w:color w:val="auto"/>
                <w:szCs w:val="21"/>
              </w:rPr>
              <w:t>6、质保期：</w:t>
            </w:r>
            <w:r>
              <w:rPr>
                <w:rFonts w:hint="eastAsia" w:ascii="宋体" w:hAnsi="宋体" w:cs="宋体"/>
                <w:color w:val="auto"/>
                <w:szCs w:val="21"/>
                <w:lang w:val="en-US" w:eastAsia="zh-CN"/>
              </w:rPr>
              <w:t>5</w:t>
            </w:r>
            <w:r>
              <w:rPr>
                <w:rFonts w:hint="eastAsia" w:ascii="宋体" w:hAnsi="宋体" w:cs="宋体"/>
                <w:color w:val="auto"/>
                <w:szCs w:val="21"/>
              </w:rPr>
              <w:t>年</w:t>
            </w:r>
          </w:p>
          <w:p>
            <w:pPr>
              <w:rPr>
                <w:rFonts w:ascii="宋体" w:hAnsi="宋体" w:cs="宋体"/>
                <w:szCs w:val="21"/>
              </w:rPr>
            </w:pPr>
            <w:r>
              <w:rPr>
                <w:rFonts w:hint="eastAsia" w:ascii="宋体" w:hAnsi="宋体" w:cs="宋体"/>
                <w:color w:val="auto"/>
                <w:szCs w:val="21"/>
              </w:rPr>
              <w:t>7、项目预算金额：</w:t>
            </w:r>
            <w:r>
              <w:rPr>
                <w:rFonts w:hint="eastAsia" w:ascii="宋体" w:hAnsi="宋体" w:cs="宋体"/>
                <w:szCs w:val="21"/>
                <w:lang w:val="en-US" w:eastAsia="zh-CN"/>
              </w:rPr>
              <w:t>1500000</w:t>
            </w:r>
            <w:r>
              <w:rPr>
                <w:rFonts w:hint="eastAsia" w:ascii="宋体" w:hAnsi="宋体" w:cs="宋体"/>
                <w:szCs w:val="21"/>
              </w:rPr>
              <w:t>元</w:t>
            </w:r>
          </w:p>
          <w:p>
            <w:pPr>
              <w:rPr>
                <w:rFonts w:ascii="宋体" w:hAnsi="宋体" w:cs="宋体"/>
                <w:szCs w:val="21"/>
              </w:rPr>
            </w:pPr>
            <w:r>
              <w:rPr>
                <w:rFonts w:hint="eastAsia" w:ascii="宋体" w:hAnsi="宋体" w:cs="宋体"/>
                <w:szCs w:val="21"/>
              </w:rPr>
              <w:t>8、分包情况：本项目共划分一个标包</w:t>
            </w:r>
          </w:p>
          <w:p>
            <w:pPr>
              <w:rPr>
                <w:rFonts w:hint="eastAsia" w:ascii="宋体" w:hAnsi="宋体" w:eastAsia="宋体" w:cs="宋体"/>
                <w:szCs w:val="21"/>
                <w:lang w:eastAsia="zh-CN"/>
              </w:rPr>
            </w:pPr>
            <w:r>
              <w:rPr>
                <w:rFonts w:hint="eastAsia" w:ascii="宋体" w:hAnsi="宋体" w:cs="宋体"/>
                <w:szCs w:val="21"/>
              </w:rPr>
              <w:t>9、中小企业划分标准所属行业：</w:t>
            </w:r>
            <w:r>
              <w:rPr>
                <w:rFonts w:hint="eastAsia" w:ascii="宋体" w:hAnsi="宋体" w:cs="宋体"/>
                <w:szCs w:val="21"/>
                <w:lang w:val="en-US" w:eastAsia="zh-CN"/>
              </w:rPr>
              <w:t>建筑业</w:t>
            </w:r>
          </w:p>
          <w:p>
            <w:pPr>
              <w:pStyle w:val="9"/>
              <w:rPr>
                <w:rFonts w:ascii="宋体" w:hAnsi="宋体" w:cs="宋体"/>
                <w:sz w:val="21"/>
                <w:szCs w:val="21"/>
              </w:rPr>
            </w:pPr>
            <w:r>
              <w:rPr>
                <w:rFonts w:hint="eastAsia" w:ascii="宋体" w:hAnsi="宋体" w:cs="宋体"/>
                <w:sz w:val="21"/>
                <w:szCs w:val="21"/>
              </w:rPr>
              <w:t>11、是否专门面向中小企业：否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jc w:val="center"/>
        </w:trPr>
        <w:tc>
          <w:tcPr>
            <w:tcW w:w="1139" w:type="dxa"/>
            <w:noWrap/>
            <w:vAlign w:val="center"/>
          </w:tcPr>
          <w:p>
            <w:pPr>
              <w:pStyle w:val="16"/>
              <w:adjustRightInd w:val="0"/>
              <w:snapToGrid w:val="0"/>
              <w:jc w:val="center"/>
              <w:rPr>
                <w:rFonts w:hAnsi="宋体"/>
              </w:rPr>
            </w:pPr>
            <w:r>
              <w:rPr>
                <w:rFonts w:hint="eastAsia" w:hAnsi="宋体"/>
              </w:rPr>
              <w:t>1.4</w:t>
            </w:r>
          </w:p>
        </w:tc>
        <w:tc>
          <w:tcPr>
            <w:tcW w:w="8383" w:type="dxa"/>
            <w:noWrap/>
            <w:vAlign w:val="center"/>
          </w:tcPr>
          <w:p>
            <w:pPr>
              <w:rPr>
                <w:rFonts w:hint="eastAsia" w:ascii="宋体" w:hAnsi="宋体"/>
              </w:rPr>
            </w:pPr>
            <w:r>
              <w:rPr>
                <w:rFonts w:hint="eastAsia" w:ascii="宋体" w:hAnsi="宋体"/>
              </w:rPr>
              <w:t>1、满足《中华人民共和国政府采购法》第二十二条规定；</w:t>
            </w:r>
          </w:p>
          <w:p>
            <w:pPr>
              <w:rPr>
                <w:rFonts w:hint="eastAsia" w:ascii="宋体" w:hAnsi="宋体"/>
              </w:rPr>
            </w:pPr>
            <w:r>
              <w:rPr>
                <w:rFonts w:hint="eastAsia" w:ascii="宋体" w:hAnsi="宋体"/>
              </w:rPr>
              <w:t>2、落实政府采购政策满足的资格要求：无。</w:t>
            </w:r>
          </w:p>
          <w:p>
            <w:pPr>
              <w:rPr>
                <w:rFonts w:hint="eastAsia" w:ascii="宋体" w:hAnsi="宋体"/>
              </w:rPr>
            </w:pPr>
            <w:r>
              <w:rPr>
                <w:rFonts w:hint="eastAsia" w:ascii="宋体" w:hAnsi="宋体"/>
              </w:rPr>
              <w:t>3、本项目的特定资格要求：</w:t>
            </w:r>
          </w:p>
          <w:p>
            <w:pPr>
              <w:rPr>
                <w:rFonts w:hint="eastAsia" w:ascii="宋体" w:hAnsi="宋体"/>
                <w:lang w:val="en-US" w:eastAsia="zh-CN"/>
              </w:rPr>
            </w:pPr>
            <w:r>
              <w:rPr>
                <w:rFonts w:hint="eastAsia" w:ascii="宋体" w:hAnsi="宋体"/>
                <w:lang w:val="en-US" w:eastAsia="zh-CN"/>
              </w:rPr>
              <w:t>3.1供应商资质要求：</w:t>
            </w:r>
          </w:p>
          <w:p>
            <w:pPr>
              <w:rPr>
                <w:rFonts w:hint="eastAsia" w:ascii="宋体" w:hAnsi="宋体"/>
                <w:lang w:val="en-US" w:eastAsia="zh-CN"/>
              </w:rPr>
            </w:pPr>
            <w:r>
              <w:rPr>
                <w:rFonts w:hint="eastAsia" w:ascii="宋体" w:hAnsi="宋体"/>
                <w:lang w:val="en-US" w:eastAsia="zh-CN"/>
              </w:rPr>
              <w:t xml:space="preserve">①施工资质要求：须具有独立法人资格，具有国家建设行政主管部门颁发的建筑机电安装工程专业承包二级及以上资质和电子与智能化工程专业承包二级及以上资质，同时具有有效的安全生产许可证； </w:t>
            </w:r>
          </w:p>
          <w:p>
            <w:pPr>
              <w:rPr>
                <w:rFonts w:hint="eastAsia" w:ascii="宋体" w:hAnsi="宋体"/>
                <w:lang w:val="en-US" w:eastAsia="zh-CN"/>
              </w:rPr>
            </w:pPr>
            <w:r>
              <w:rPr>
                <w:rFonts w:hint="eastAsia" w:ascii="宋体" w:hAnsi="宋体"/>
                <w:lang w:val="en-US" w:eastAsia="zh-CN"/>
              </w:rPr>
              <w:t>②设计资质要求：须具备建筑装饰工程设计乙级及以上资质；</w:t>
            </w:r>
          </w:p>
          <w:p>
            <w:pPr>
              <w:rPr>
                <w:rFonts w:hint="eastAsia" w:ascii="宋体" w:hAnsi="宋体"/>
              </w:rPr>
            </w:pPr>
            <w:r>
              <w:rPr>
                <w:rFonts w:hint="eastAsia" w:ascii="宋体" w:hAnsi="宋体"/>
              </w:rPr>
              <w:t>3.</w:t>
            </w:r>
            <w:r>
              <w:rPr>
                <w:rFonts w:hint="eastAsia" w:ascii="宋体" w:hAnsi="宋体"/>
                <w:lang w:val="en-US" w:eastAsia="zh-CN"/>
              </w:rPr>
              <w:t>2</w:t>
            </w:r>
            <w:r>
              <w:rPr>
                <w:rFonts w:hint="eastAsia" w:ascii="宋体" w:hAnsi="宋体"/>
              </w:rPr>
              <w:t>供应商被列入“失信被执行人”和“重大税收违法案件当事人名单”【供应商可通过“信用中国”网站（www.creditchina.gov.cn）相关内容查询。】及被列入政府采购严重违法失信行为记录名单【供应商可通过“中国政府采购网”网站（http://www.ccgp.gov.cn/）相关内容查询。】，限制参加本次采购活动；（注：开标后由采购人现场查询并保存查询结果）；</w:t>
            </w:r>
          </w:p>
          <w:p>
            <w:pPr>
              <w:rPr>
                <w:rFonts w:hint="eastAsia" w:ascii="宋体" w:hAnsi="宋体"/>
              </w:rPr>
            </w:pPr>
            <w:r>
              <w:rPr>
                <w:rFonts w:hint="eastAsia" w:ascii="宋体" w:hAnsi="宋体"/>
              </w:rPr>
              <w:t>3.</w:t>
            </w:r>
            <w:r>
              <w:rPr>
                <w:rFonts w:hint="eastAsia" w:ascii="宋体" w:hAnsi="宋体"/>
                <w:lang w:val="en-US" w:eastAsia="zh-CN"/>
              </w:rPr>
              <w:t>3</w:t>
            </w:r>
            <w:r>
              <w:rPr>
                <w:rFonts w:hint="eastAsia" w:ascii="宋体" w:hAnsi="宋体"/>
              </w:rPr>
              <w:t>单位负责人为同一人或者存在控股、管理关系的不同单位，不得同时参加同一项目磋商；</w:t>
            </w:r>
          </w:p>
          <w:p>
            <w:r>
              <w:rPr>
                <w:rFonts w:hint="eastAsia" w:ascii="宋体" w:hAnsi="宋体"/>
              </w:rPr>
              <w:t>3.</w:t>
            </w:r>
            <w:r>
              <w:rPr>
                <w:rFonts w:hint="eastAsia" w:ascii="宋体" w:hAnsi="宋体"/>
                <w:lang w:val="en-US" w:eastAsia="zh-CN"/>
              </w:rPr>
              <w:t>4</w:t>
            </w:r>
            <w:r>
              <w:rPr>
                <w:rFonts w:hint="eastAsia" w:ascii="宋体" w:hAnsi="宋体"/>
              </w:rPr>
              <w:t>本项目不接受任何形式的联合体。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4" w:hRule="atLeast"/>
          <w:jc w:val="center"/>
        </w:trPr>
        <w:tc>
          <w:tcPr>
            <w:tcW w:w="1139" w:type="dxa"/>
            <w:noWrap/>
            <w:vAlign w:val="center"/>
          </w:tcPr>
          <w:p>
            <w:pPr>
              <w:pStyle w:val="16"/>
              <w:adjustRightInd w:val="0"/>
              <w:snapToGrid w:val="0"/>
              <w:jc w:val="center"/>
              <w:rPr>
                <w:rFonts w:hAnsi="宋体"/>
              </w:rPr>
            </w:pPr>
            <w:r>
              <w:rPr>
                <w:rFonts w:hint="eastAsia" w:hAnsi="宋体"/>
              </w:rPr>
              <w:t>1.9</w:t>
            </w:r>
          </w:p>
        </w:tc>
        <w:tc>
          <w:tcPr>
            <w:tcW w:w="8383" w:type="dxa"/>
            <w:noWrap/>
            <w:vAlign w:val="center"/>
          </w:tcPr>
          <w:p>
            <w:pPr>
              <w:adjustRightInd w:val="0"/>
              <w:snapToGrid w:val="0"/>
              <w:rPr>
                <w:rFonts w:ascii="宋体" w:hAnsi="宋体"/>
              </w:rPr>
            </w:pPr>
            <w:r>
              <w:rPr>
                <w:rFonts w:hint="eastAsia" w:ascii="宋体" w:hAnsi="宋体"/>
              </w:rPr>
              <w:t>磋商有效期：</w:t>
            </w:r>
            <w:r>
              <w:rPr>
                <w:rFonts w:hint="eastAsia" w:ascii="宋体" w:hAnsi="宋体"/>
                <w:u w:val="single"/>
              </w:rPr>
              <w:t>60</w:t>
            </w:r>
            <w:r>
              <w:rPr>
                <w:rFonts w:hint="eastAsia" w:ascii="宋体" w:hAnsi="宋体"/>
              </w:rPr>
              <w:t>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6" w:hRule="atLeast"/>
          <w:jc w:val="center"/>
        </w:trPr>
        <w:tc>
          <w:tcPr>
            <w:tcW w:w="1139" w:type="dxa"/>
            <w:noWrap/>
            <w:vAlign w:val="center"/>
          </w:tcPr>
          <w:p>
            <w:pPr>
              <w:pStyle w:val="16"/>
              <w:adjustRightInd w:val="0"/>
              <w:snapToGrid w:val="0"/>
              <w:jc w:val="center"/>
              <w:rPr>
                <w:rFonts w:hAnsi="宋体"/>
              </w:rPr>
            </w:pPr>
            <w:r>
              <w:rPr>
                <w:rFonts w:hint="eastAsia" w:hAnsi="宋体"/>
              </w:rPr>
              <w:t>1.11</w:t>
            </w:r>
          </w:p>
        </w:tc>
        <w:tc>
          <w:tcPr>
            <w:tcW w:w="8383" w:type="dxa"/>
            <w:noWrap/>
            <w:vAlign w:val="center"/>
          </w:tcPr>
          <w:p>
            <w:pPr>
              <w:pStyle w:val="20"/>
              <w:tabs>
                <w:tab w:val="clear" w:pos="4153"/>
                <w:tab w:val="clear" w:pos="8306"/>
              </w:tabs>
              <w:rPr>
                <w:rFonts w:hint="eastAsia" w:ascii="宋体" w:hAnsi="宋体" w:eastAsia="宋体"/>
                <w:sz w:val="21"/>
                <w:lang w:eastAsia="zh-CN"/>
              </w:rPr>
            </w:pPr>
            <w:r>
              <w:rPr>
                <w:rFonts w:hint="eastAsia" w:ascii="宋体" w:hAnsi="宋体"/>
                <w:sz w:val="21"/>
              </w:rPr>
              <w:t>付款方式：工程完工并验收合格后付至合同价的9</w:t>
            </w:r>
            <w:r>
              <w:rPr>
                <w:rFonts w:hint="eastAsia" w:ascii="宋体" w:hAnsi="宋体"/>
                <w:sz w:val="21"/>
                <w:lang w:val="en-US" w:eastAsia="zh-CN"/>
              </w:rPr>
              <w:t>5</w:t>
            </w:r>
            <w:r>
              <w:rPr>
                <w:rFonts w:hint="default" w:ascii="宋体" w:hAnsi="宋体"/>
                <w:sz w:val="21"/>
              </w:rPr>
              <w:t>%</w:t>
            </w:r>
            <w:r>
              <w:rPr>
                <w:rFonts w:hint="eastAsia" w:ascii="宋体" w:hAnsi="宋体"/>
                <w:sz w:val="21"/>
              </w:rPr>
              <w:t>，剩余的</w:t>
            </w:r>
            <w:r>
              <w:rPr>
                <w:rFonts w:hint="eastAsia" w:ascii="宋体" w:hAnsi="宋体"/>
                <w:sz w:val="21"/>
                <w:lang w:val="en-US" w:eastAsia="zh-CN"/>
              </w:rPr>
              <w:t>5</w:t>
            </w:r>
            <w:r>
              <w:rPr>
                <w:rFonts w:hint="default" w:ascii="宋体" w:hAnsi="宋体"/>
                <w:sz w:val="21"/>
              </w:rPr>
              <w:t>%</w:t>
            </w:r>
            <w:r>
              <w:rPr>
                <w:rFonts w:hint="eastAsia" w:ascii="宋体" w:hAnsi="宋体"/>
                <w:sz w:val="21"/>
              </w:rPr>
              <w:t>质保金，待缺陷责任期满后一次性无息支付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4" w:hRule="atLeast"/>
          <w:jc w:val="center"/>
        </w:trPr>
        <w:tc>
          <w:tcPr>
            <w:tcW w:w="1139" w:type="dxa"/>
            <w:noWrap/>
            <w:vAlign w:val="center"/>
          </w:tcPr>
          <w:p>
            <w:pPr>
              <w:pStyle w:val="16"/>
              <w:adjustRightInd w:val="0"/>
              <w:snapToGrid w:val="0"/>
              <w:jc w:val="center"/>
              <w:rPr>
                <w:rFonts w:hAnsi="宋体"/>
                <w:szCs w:val="21"/>
              </w:rPr>
            </w:pPr>
            <w:r>
              <w:rPr>
                <w:rFonts w:hint="eastAsia" w:hAnsi="宋体"/>
                <w:szCs w:val="21"/>
              </w:rPr>
              <w:t>2.3.1</w:t>
            </w:r>
          </w:p>
        </w:tc>
        <w:tc>
          <w:tcPr>
            <w:tcW w:w="8383" w:type="dxa"/>
            <w:noWrap/>
            <w:vAlign w:val="center"/>
          </w:tcPr>
          <w:p>
            <w:pPr>
              <w:pStyle w:val="16"/>
              <w:adjustRightInd w:val="0"/>
              <w:snapToGrid w:val="0"/>
              <w:rPr>
                <w:rFonts w:hAnsi="宋体"/>
                <w:szCs w:val="21"/>
              </w:rPr>
            </w:pPr>
            <w:r>
              <w:rPr>
                <w:rFonts w:hint="eastAsia" w:hAnsi="宋体"/>
                <w:szCs w:val="21"/>
                <w:lang w:val="zh-CN"/>
              </w:rPr>
              <w:t>采购人对竞争性磋商文件进行澄清的时间</w:t>
            </w:r>
            <w:r>
              <w:rPr>
                <w:rFonts w:hint="eastAsia" w:hAnsi="宋体"/>
                <w:szCs w:val="21"/>
              </w:rPr>
              <w:t>：</w:t>
            </w:r>
            <w:r>
              <w:rPr>
                <w:rFonts w:hint="eastAsia" w:hAnsi="宋体"/>
                <w:szCs w:val="21"/>
                <w:lang w:val="zh-CN"/>
              </w:rPr>
              <w:t>澄清内容影响磋商响应文件编制的</w:t>
            </w:r>
            <w:r>
              <w:rPr>
                <w:rFonts w:hint="eastAsia" w:hAnsi="宋体"/>
                <w:szCs w:val="21"/>
              </w:rPr>
              <w:t>，</w:t>
            </w:r>
            <w:r>
              <w:rPr>
                <w:rFonts w:hint="eastAsia" w:hAnsi="宋体"/>
                <w:szCs w:val="21"/>
                <w:lang w:val="zh-CN"/>
              </w:rPr>
              <w:t>磋商响应文件递交</w:t>
            </w:r>
            <w:r>
              <w:rPr>
                <w:rFonts w:hint="eastAsia" w:hAnsi="宋体"/>
                <w:szCs w:val="21"/>
              </w:rPr>
              <w:t>/</w:t>
            </w:r>
            <w:r>
              <w:rPr>
                <w:rFonts w:hint="eastAsia" w:hAnsi="宋体"/>
                <w:szCs w:val="21"/>
                <w:lang w:val="zh-CN"/>
              </w:rPr>
              <w:t>上传截止日</w:t>
            </w:r>
            <w:r>
              <w:rPr>
                <w:rFonts w:hint="eastAsia" w:hAnsi="宋体"/>
                <w:szCs w:val="21"/>
              </w:rPr>
              <w:t>5</w:t>
            </w:r>
            <w:r>
              <w:rPr>
                <w:rFonts w:hint="eastAsia" w:hAnsi="宋体"/>
                <w:szCs w:val="21"/>
                <w:lang w:val="zh-CN"/>
              </w:rPr>
              <w:t>天前通过</w:t>
            </w:r>
            <w:r>
              <w:rPr>
                <w:rFonts w:hint="eastAsia" w:hAnsi="宋体"/>
                <w:szCs w:val="21"/>
              </w:rPr>
              <w:t>“</w:t>
            </w:r>
            <w:r>
              <w:rPr>
                <w:rFonts w:hint="eastAsia" w:hAnsi="宋体"/>
                <w:szCs w:val="21"/>
                <w:lang w:val="zh-CN"/>
              </w:rPr>
              <w:t>河南省公共资源交易中心</w:t>
            </w:r>
            <w:r>
              <w:rPr>
                <w:rFonts w:hint="eastAsia" w:hAnsi="宋体"/>
                <w:szCs w:val="21"/>
              </w:rPr>
              <w:t>（www.hnggzy.net）”</w:t>
            </w:r>
            <w:r>
              <w:rPr>
                <w:rFonts w:hint="eastAsia" w:hAnsi="宋体"/>
                <w:szCs w:val="21"/>
                <w:lang w:val="zh-CN"/>
              </w:rPr>
              <w:t>电子交易平台公布给所有下载竞争性磋商文件的供应商。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4" w:hRule="atLeast"/>
          <w:jc w:val="center"/>
        </w:trPr>
        <w:tc>
          <w:tcPr>
            <w:tcW w:w="1139" w:type="dxa"/>
            <w:noWrap/>
            <w:vAlign w:val="center"/>
          </w:tcPr>
          <w:p>
            <w:pPr>
              <w:pStyle w:val="16"/>
              <w:adjustRightInd w:val="0"/>
              <w:snapToGrid w:val="0"/>
              <w:jc w:val="center"/>
              <w:rPr>
                <w:rFonts w:hAnsi="宋体"/>
                <w:szCs w:val="21"/>
              </w:rPr>
            </w:pPr>
            <w:r>
              <w:rPr>
                <w:rFonts w:hint="eastAsia" w:hAnsi="宋体"/>
                <w:szCs w:val="21"/>
              </w:rPr>
              <w:t>2.3.2</w:t>
            </w:r>
          </w:p>
        </w:tc>
        <w:tc>
          <w:tcPr>
            <w:tcW w:w="8383" w:type="dxa"/>
            <w:noWrap/>
            <w:vAlign w:val="center"/>
          </w:tcPr>
          <w:p>
            <w:pPr>
              <w:pStyle w:val="16"/>
              <w:adjustRightInd w:val="0"/>
              <w:snapToGrid w:val="0"/>
              <w:rPr>
                <w:rFonts w:hAnsi="宋体"/>
                <w:szCs w:val="21"/>
              </w:rPr>
            </w:pPr>
            <w:r>
              <w:rPr>
                <w:rFonts w:hint="eastAsia" w:hAnsi="宋体"/>
                <w:szCs w:val="21"/>
                <w:lang w:val="zh-CN"/>
              </w:rPr>
              <w:t>供应商对竞争性磋商文件提出需澄清问题的截止时</w:t>
            </w:r>
            <w:r>
              <w:rPr>
                <w:rFonts w:hint="eastAsia" w:hAnsi="宋体"/>
                <w:color w:val="auto"/>
                <w:szCs w:val="21"/>
                <w:lang w:val="zh-CN"/>
              </w:rPr>
              <w:t>间</w:t>
            </w:r>
            <w:r>
              <w:rPr>
                <w:rFonts w:hint="eastAsia" w:hAnsi="宋体"/>
                <w:color w:val="auto"/>
                <w:szCs w:val="21"/>
              </w:rPr>
              <w:t>：2023</w:t>
            </w:r>
            <w:r>
              <w:rPr>
                <w:rFonts w:hint="eastAsia" w:hAnsi="宋体"/>
                <w:color w:val="auto"/>
                <w:szCs w:val="21"/>
                <w:lang w:val="zh-CN"/>
              </w:rPr>
              <w:t>年</w:t>
            </w:r>
            <w:r>
              <w:rPr>
                <w:rFonts w:hint="eastAsia" w:hAnsi="宋体"/>
                <w:color w:val="auto"/>
                <w:szCs w:val="21"/>
                <w:lang w:val="en-US" w:eastAsia="zh-CN"/>
              </w:rPr>
              <w:t>12</w:t>
            </w:r>
            <w:r>
              <w:rPr>
                <w:rFonts w:hint="eastAsia" w:hAnsi="宋体"/>
                <w:color w:val="auto"/>
                <w:szCs w:val="21"/>
                <w:lang w:val="zh-CN"/>
              </w:rPr>
              <w:t>月</w:t>
            </w:r>
            <w:r>
              <w:rPr>
                <w:rFonts w:hint="eastAsia" w:hAnsi="宋体"/>
                <w:color w:val="auto"/>
                <w:szCs w:val="21"/>
                <w:lang w:val="en-US" w:eastAsia="zh-CN"/>
              </w:rPr>
              <w:t>9</w:t>
            </w:r>
            <w:r>
              <w:rPr>
                <w:rFonts w:hint="eastAsia" w:hAnsi="宋体"/>
                <w:color w:val="auto"/>
                <w:szCs w:val="21"/>
                <w:lang w:val="zh-CN"/>
              </w:rPr>
              <w:t>日</w:t>
            </w:r>
            <w:r>
              <w:rPr>
                <w:rFonts w:hint="eastAsia" w:hAnsi="宋体"/>
                <w:color w:val="auto"/>
                <w:szCs w:val="21"/>
              </w:rPr>
              <w:t>24</w:t>
            </w:r>
            <w:r>
              <w:rPr>
                <w:rFonts w:hint="eastAsia" w:hAnsi="宋体"/>
                <w:color w:val="auto"/>
                <w:szCs w:val="21"/>
                <w:lang w:val="zh-CN"/>
              </w:rPr>
              <w:t>时</w:t>
            </w:r>
            <w:r>
              <w:rPr>
                <w:rFonts w:hint="eastAsia" w:hAnsi="宋体"/>
                <w:color w:val="auto"/>
                <w:szCs w:val="21"/>
              </w:rPr>
              <w:t>00</w:t>
            </w:r>
            <w:r>
              <w:rPr>
                <w:rFonts w:hint="eastAsia" w:hAnsi="宋体"/>
                <w:color w:val="auto"/>
                <w:szCs w:val="21"/>
                <w:lang w:val="zh-CN"/>
              </w:rPr>
              <w:t>分前在</w:t>
            </w:r>
            <w:r>
              <w:rPr>
                <w:rFonts w:hint="eastAsia" w:hAnsi="宋体"/>
                <w:color w:val="auto"/>
                <w:szCs w:val="21"/>
              </w:rPr>
              <w:t>“</w:t>
            </w:r>
            <w:r>
              <w:rPr>
                <w:rFonts w:hint="eastAsia" w:hAnsi="宋体"/>
                <w:color w:val="auto"/>
                <w:szCs w:val="21"/>
                <w:lang w:val="zh-CN"/>
              </w:rPr>
              <w:t>河南省公共资源交易中心</w:t>
            </w:r>
            <w:r>
              <w:rPr>
                <w:rFonts w:hint="eastAsia" w:hAnsi="宋体"/>
                <w:color w:val="auto"/>
                <w:szCs w:val="21"/>
              </w:rPr>
              <w:t>（www.hnggzy.net）”</w:t>
            </w:r>
            <w:r>
              <w:rPr>
                <w:rFonts w:hint="eastAsia" w:hAnsi="宋体"/>
                <w:color w:val="auto"/>
                <w:szCs w:val="21"/>
                <w:lang w:val="zh-CN"/>
              </w:rPr>
              <w:t>电子交易平台进行</w:t>
            </w:r>
            <w:r>
              <w:rPr>
                <w:rFonts w:hint="eastAsia" w:hAnsi="宋体"/>
                <w:szCs w:val="21"/>
                <w:lang w:val="zh-CN"/>
              </w:rPr>
              <w:t>提问。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4" w:hRule="atLeast"/>
          <w:jc w:val="center"/>
        </w:trPr>
        <w:tc>
          <w:tcPr>
            <w:tcW w:w="1139" w:type="dxa"/>
            <w:noWrap/>
            <w:vAlign w:val="center"/>
          </w:tcPr>
          <w:p>
            <w:pPr>
              <w:pStyle w:val="16"/>
              <w:adjustRightInd w:val="0"/>
              <w:snapToGrid w:val="0"/>
              <w:jc w:val="center"/>
              <w:rPr>
                <w:rFonts w:hAnsi="宋体"/>
                <w:szCs w:val="21"/>
              </w:rPr>
            </w:pPr>
            <w:r>
              <w:rPr>
                <w:rFonts w:hint="eastAsia" w:hAnsi="宋体"/>
                <w:szCs w:val="21"/>
              </w:rPr>
              <w:t>3.3.4</w:t>
            </w:r>
          </w:p>
        </w:tc>
        <w:tc>
          <w:tcPr>
            <w:tcW w:w="8383" w:type="dxa"/>
            <w:noWrap/>
            <w:vAlign w:val="center"/>
          </w:tcPr>
          <w:p>
            <w:pPr>
              <w:pStyle w:val="16"/>
              <w:adjustRightInd w:val="0"/>
              <w:snapToGrid w:val="0"/>
              <w:rPr>
                <w:rFonts w:hAnsi="宋体" w:cs="宋体"/>
                <w:szCs w:val="21"/>
              </w:rPr>
            </w:pPr>
            <w:r>
              <w:rPr>
                <w:rFonts w:hint="eastAsia" w:hAnsi="宋体" w:cs="宋体"/>
                <w:szCs w:val="21"/>
              </w:rPr>
              <w:t>报价次数：二次，第二次报价为最后报价。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4" w:hRule="atLeast"/>
          <w:jc w:val="center"/>
        </w:trPr>
        <w:tc>
          <w:tcPr>
            <w:tcW w:w="1139" w:type="dxa"/>
            <w:noWrap/>
            <w:vAlign w:val="center"/>
          </w:tcPr>
          <w:p>
            <w:pPr>
              <w:pStyle w:val="16"/>
              <w:adjustRightInd w:val="0"/>
              <w:snapToGrid w:val="0"/>
              <w:jc w:val="center"/>
              <w:rPr>
                <w:rFonts w:hAnsi="宋体"/>
                <w:szCs w:val="21"/>
              </w:rPr>
            </w:pPr>
            <w:r>
              <w:rPr>
                <w:rFonts w:hint="eastAsia" w:hAnsi="宋体"/>
                <w:szCs w:val="21"/>
              </w:rPr>
              <w:t>3.3.5</w:t>
            </w:r>
          </w:p>
        </w:tc>
        <w:tc>
          <w:tcPr>
            <w:tcW w:w="8383" w:type="dxa"/>
            <w:noWrap/>
            <w:vAlign w:val="center"/>
          </w:tcPr>
          <w:p>
            <w:pPr>
              <w:pStyle w:val="16"/>
              <w:adjustRightInd w:val="0"/>
              <w:snapToGrid w:val="0"/>
              <w:rPr>
                <w:rFonts w:hAnsi="宋体"/>
                <w:szCs w:val="21"/>
              </w:rPr>
            </w:pPr>
            <w:r>
              <w:rPr>
                <w:rFonts w:hint="eastAsia" w:hAnsi="宋体" w:cs="宋体"/>
                <w:szCs w:val="21"/>
              </w:rPr>
              <w:t>采购预算价：</w:t>
            </w:r>
            <w:r>
              <w:rPr>
                <w:rFonts w:hint="eastAsia" w:hAnsi="宋体"/>
                <w:bCs/>
                <w:szCs w:val="21"/>
                <w:lang w:eastAsia="zh-CN"/>
              </w:rPr>
              <w:t>1500000</w:t>
            </w:r>
            <w:r>
              <w:rPr>
                <w:rFonts w:hint="eastAsia" w:hAnsi="宋体"/>
                <w:bCs/>
                <w:szCs w:val="21"/>
              </w:rPr>
              <w:t>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139" w:type="dxa"/>
            <w:noWrap/>
            <w:vAlign w:val="center"/>
          </w:tcPr>
          <w:p>
            <w:pPr>
              <w:pStyle w:val="16"/>
              <w:adjustRightInd w:val="0"/>
              <w:snapToGrid w:val="0"/>
              <w:jc w:val="center"/>
              <w:rPr>
                <w:rFonts w:hAnsi="宋体"/>
              </w:rPr>
            </w:pPr>
            <w:r>
              <w:rPr>
                <w:rFonts w:hint="eastAsia" w:hAnsi="宋体"/>
              </w:rPr>
              <w:t>3.3.6</w:t>
            </w:r>
          </w:p>
        </w:tc>
        <w:tc>
          <w:tcPr>
            <w:tcW w:w="8383" w:type="dxa"/>
            <w:noWrap/>
            <w:vAlign w:val="center"/>
          </w:tcPr>
          <w:p>
            <w:pPr>
              <w:rPr>
                <w:rFonts w:hAnsi="宋体"/>
                <w:szCs w:val="21"/>
              </w:rPr>
            </w:pPr>
            <w:r>
              <w:rPr>
                <w:rFonts w:hint="eastAsia" w:hAnsi="宋体"/>
                <w:szCs w:val="21"/>
              </w:rPr>
              <w:t>采购最高限价：</w:t>
            </w:r>
            <w:r>
              <w:rPr>
                <w:rFonts w:hint="eastAsia" w:ascii="宋体" w:hAnsi="宋体"/>
                <w:bCs/>
                <w:szCs w:val="21"/>
                <w:lang w:eastAsia="zh-CN"/>
              </w:rPr>
              <w:t>1500000</w:t>
            </w:r>
            <w:r>
              <w:rPr>
                <w:rFonts w:hint="eastAsia" w:ascii="宋体" w:hAnsi="宋体"/>
                <w:bCs/>
                <w:szCs w:val="21"/>
              </w:rPr>
              <w:t>元</w:t>
            </w:r>
            <w:r>
              <w:rPr>
                <w:rFonts w:hint="eastAsia" w:ascii="宋体" w:hAnsi="宋体" w:cs="宋体"/>
              </w:rPr>
              <w:t>。供应商各轮次总报价均不能超过最高限价，否则其磋商响应文件按无效处理。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139" w:type="dxa"/>
            <w:noWrap/>
            <w:vAlign w:val="center"/>
          </w:tcPr>
          <w:p>
            <w:pPr>
              <w:pStyle w:val="16"/>
              <w:adjustRightInd w:val="0"/>
              <w:snapToGrid w:val="0"/>
              <w:jc w:val="center"/>
              <w:rPr>
                <w:rFonts w:hAnsi="宋体"/>
              </w:rPr>
            </w:pPr>
            <w:r>
              <w:rPr>
                <w:rFonts w:hint="eastAsia" w:hAnsi="宋体"/>
              </w:rPr>
              <w:t>3.5</w:t>
            </w:r>
          </w:p>
        </w:tc>
        <w:tc>
          <w:tcPr>
            <w:tcW w:w="8383" w:type="dxa"/>
            <w:noWrap/>
            <w:vAlign w:val="center"/>
          </w:tcPr>
          <w:p>
            <w:pPr>
              <w:pStyle w:val="48"/>
              <w:rPr>
                <w:rFonts w:hAnsi="宋体" w:cs="宋体"/>
                <w:b/>
                <w:bCs/>
                <w:color w:val="auto"/>
                <w:spacing w:val="20"/>
                <w:sz w:val="21"/>
                <w:szCs w:val="21"/>
              </w:rPr>
            </w:pPr>
            <w:r>
              <w:rPr>
                <w:rFonts w:hint="eastAsia" w:hAnsi="宋体"/>
                <w:color w:val="auto"/>
                <w:kern w:val="2"/>
                <w:sz w:val="21"/>
                <w:szCs w:val="22"/>
              </w:rPr>
              <w:t>磋商保证金：</w:t>
            </w:r>
            <w:r>
              <w:rPr>
                <w:rFonts w:hint="eastAsia" w:hAnsi="宋体"/>
                <w:color w:val="auto"/>
                <w:kern w:val="2"/>
                <w:sz w:val="21"/>
                <w:szCs w:val="21"/>
              </w:rPr>
              <w:t>根据豫财购【2019】4号“</w:t>
            </w:r>
            <w:r>
              <w:rPr>
                <w:rFonts w:hint="eastAsia" w:hAnsi="宋体" w:cs="宋体"/>
                <w:color w:val="333333"/>
                <w:spacing w:val="7"/>
                <w:sz w:val="21"/>
                <w:szCs w:val="21"/>
              </w:rPr>
              <w:t>河南省财政厅发布关于优化政府采购营商环境有关问题的通知</w:t>
            </w:r>
            <w:r>
              <w:rPr>
                <w:rFonts w:hint="eastAsia" w:hAnsi="宋体"/>
                <w:color w:val="auto"/>
                <w:kern w:val="2"/>
                <w:sz w:val="21"/>
                <w:szCs w:val="21"/>
              </w:rPr>
              <w:t>”</w:t>
            </w:r>
            <w:r>
              <w:rPr>
                <w:rFonts w:hint="eastAsia" w:hAnsi="宋体" w:cs="宋体"/>
                <w:color w:val="333333"/>
                <w:spacing w:val="7"/>
                <w:sz w:val="21"/>
                <w:szCs w:val="21"/>
              </w:rPr>
              <w:t>的规定</w:t>
            </w:r>
            <w:r>
              <w:rPr>
                <w:rFonts w:hint="eastAsia" w:hAnsi="宋体"/>
                <w:color w:val="auto"/>
                <w:kern w:val="2"/>
                <w:sz w:val="21"/>
                <w:szCs w:val="21"/>
              </w:rPr>
              <w:t>本项目不再收取保证金。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7" w:hRule="atLeast"/>
          <w:jc w:val="center"/>
        </w:trPr>
        <w:tc>
          <w:tcPr>
            <w:tcW w:w="1139" w:type="dxa"/>
            <w:noWrap/>
            <w:vAlign w:val="center"/>
          </w:tcPr>
          <w:p>
            <w:pPr>
              <w:pStyle w:val="16"/>
              <w:adjustRightInd w:val="0"/>
              <w:snapToGrid w:val="0"/>
              <w:jc w:val="center"/>
              <w:rPr>
                <w:rFonts w:hAnsi="宋体"/>
              </w:rPr>
            </w:pPr>
            <w:r>
              <w:rPr>
                <w:rFonts w:hint="eastAsia" w:hAnsi="宋体"/>
              </w:rPr>
              <w:t>4.1.1</w:t>
            </w:r>
          </w:p>
        </w:tc>
        <w:tc>
          <w:tcPr>
            <w:tcW w:w="8383" w:type="dxa"/>
            <w:noWrap/>
            <w:vAlign w:val="center"/>
          </w:tcPr>
          <w:p>
            <w:pPr>
              <w:pStyle w:val="16"/>
              <w:adjustRightInd w:val="0"/>
              <w:snapToGrid w:val="0"/>
              <w:jc w:val="left"/>
              <w:rPr>
                <w:rFonts w:hAnsi="宋体"/>
              </w:rPr>
            </w:pPr>
            <w:r>
              <w:rPr>
                <w:rFonts w:hint="eastAsia" w:hAnsi="宋体"/>
              </w:rPr>
              <w:t>响应文件递交方式：加密电子磋商响应文件须在磋商响应文件上传截止时间前通过“河南省公共资源交易中心（www.hnggzy.net）”电子交易平台加密上传。逾期上传的或者未上传指定系统的磋商响应文件，采购人不予受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2" w:hRule="atLeast"/>
          <w:jc w:val="center"/>
        </w:trPr>
        <w:tc>
          <w:tcPr>
            <w:tcW w:w="1139" w:type="dxa"/>
            <w:noWrap/>
            <w:vAlign w:val="center"/>
          </w:tcPr>
          <w:p>
            <w:pPr>
              <w:pStyle w:val="16"/>
              <w:adjustRightInd w:val="0"/>
              <w:snapToGrid w:val="0"/>
              <w:jc w:val="center"/>
              <w:rPr>
                <w:rFonts w:hAnsi="宋体"/>
              </w:rPr>
            </w:pPr>
            <w:r>
              <w:rPr>
                <w:rFonts w:hint="eastAsia" w:hAnsi="宋体"/>
              </w:rPr>
              <w:t>4.2.1</w:t>
            </w:r>
          </w:p>
        </w:tc>
        <w:tc>
          <w:tcPr>
            <w:tcW w:w="8383" w:type="dxa"/>
            <w:noWrap/>
            <w:vAlign w:val="center"/>
          </w:tcPr>
          <w:p>
            <w:pPr>
              <w:rPr>
                <w:rFonts w:ascii="宋体" w:hAnsi="宋体"/>
              </w:rPr>
            </w:pPr>
            <w:r>
              <w:rPr>
                <w:rFonts w:hint="eastAsia" w:ascii="宋体" w:hAnsi="宋体"/>
              </w:rPr>
              <w:t>响应文件递交/上传截止时</w:t>
            </w:r>
            <w:r>
              <w:rPr>
                <w:rFonts w:hint="eastAsia" w:ascii="宋体" w:hAnsi="宋体"/>
                <w:color w:val="auto"/>
              </w:rPr>
              <w:t>间：</w:t>
            </w:r>
            <w:r>
              <w:rPr>
                <w:rFonts w:hint="eastAsia" w:ascii="宋体" w:hAnsi="宋体"/>
                <w:color w:val="auto"/>
                <w:szCs w:val="21"/>
                <w:lang w:eastAsia="zh-CN"/>
              </w:rPr>
              <w:t>2023年12月15日</w:t>
            </w:r>
            <w:r>
              <w:rPr>
                <w:rFonts w:hint="eastAsia" w:ascii="宋体" w:hAnsi="宋体"/>
                <w:color w:val="auto"/>
                <w:szCs w:val="21"/>
              </w:rPr>
              <w:t>9：</w:t>
            </w:r>
            <w:r>
              <w:rPr>
                <w:rFonts w:hint="eastAsia" w:ascii="宋体" w:hAnsi="宋体"/>
                <w:color w:val="auto"/>
                <w:szCs w:val="21"/>
              </w:rPr>
              <w:t>00（北</w:t>
            </w:r>
            <w:r>
              <w:rPr>
                <w:rFonts w:hint="eastAsia" w:ascii="宋体" w:hAnsi="宋体"/>
                <w:color w:val="auto"/>
              </w:rPr>
              <w:t>京时</w:t>
            </w:r>
            <w:r>
              <w:rPr>
                <w:rFonts w:hint="eastAsia" w:ascii="宋体" w:hAnsi="宋体"/>
              </w:rPr>
              <w:t>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2" w:hRule="atLeast"/>
          <w:jc w:val="center"/>
        </w:trPr>
        <w:tc>
          <w:tcPr>
            <w:tcW w:w="1139" w:type="dxa"/>
            <w:noWrap/>
            <w:vAlign w:val="center"/>
          </w:tcPr>
          <w:p>
            <w:pPr>
              <w:pStyle w:val="16"/>
              <w:adjustRightInd w:val="0"/>
              <w:snapToGrid w:val="0"/>
              <w:jc w:val="center"/>
              <w:rPr>
                <w:rFonts w:hAnsi="宋体"/>
              </w:rPr>
            </w:pPr>
            <w:r>
              <w:rPr>
                <w:rFonts w:hint="eastAsia" w:hAnsi="宋体"/>
              </w:rPr>
              <w:t>4.2.2</w:t>
            </w:r>
          </w:p>
        </w:tc>
        <w:tc>
          <w:tcPr>
            <w:tcW w:w="8383" w:type="dxa"/>
            <w:noWrap/>
            <w:vAlign w:val="center"/>
          </w:tcPr>
          <w:p>
            <w:pPr>
              <w:pStyle w:val="16"/>
              <w:adjustRightInd w:val="0"/>
              <w:snapToGrid w:val="0"/>
              <w:jc w:val="left"/>
              <w:rPr>
                <w:rFonts w:hAnsi="宋体"/>
              </w:rPr>
            </w:pPr>
            <w:r>
              <w:rPr>
                <w:rFonts w:hint="eastAsia" w:hAnsi="宋体"/>
              </w:rPr>
              <w:t>供应商所上传的磋商响应文件不予退还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2" w:hRule="atLeast"/>
          <w:jc w:val="center"/>
        </w:trPr>
        <w:tc>
          <w:tcPr>
            <w:tcW w:w="1139" w:type="dxa"/>
            <w:noWrap/>
            <w:vAlign w:val="center"/>
          </w:tcPr>
          <w:p>
            <w:pPr>
              <w:pStyle w:val="16"/>
              <w:adjustRightInd w:val="0"/>
              <w:snapToGrid w:val="0"/>
              <w:jc w:val="center"/>
              <w:rPr>
                <w:rFonts w:hAnsi="宋体"/>
              </w:rPr>
            </w:pPr>
            <w:r>
              <w:rPr>
                <w:rFonts w:hint="eastAsia" w:hAnsi="宋体"/>
              </w:rPr>
              <w:t>5.1.1</w:t>
            </w:r>
          </w:p>
        </w:tc>
        <w:tc>
          <w:tcPr>
            <w:tcW w:w="8383" w:type="dxa"/>
            <w:noWrap/>
            <w:vAlign w:val="center"/>
          </w:tcPr>
          <w:p>
            <w:pPr>
              <w:pStyle w:val="20"/>
              <w:tabs>
                <w:tab w:val="clear" w:pos="4153"/>
                <w:tab w:val="clear" w:pos="8306"/>
              </w:tabs>
              <w:jc w:val="left"/>
              <w:rPr>
                <w:rFonts w:ascii="宋体" w:hAnsi="宋体" w:cs="宋体"/>
                <w:color w:val="0000FF"/>
                <w:sz w:val="21"/>
                <w:szCs w:val="21"/>
              </w:rPr>
            </w:pPr>
            <w:r>
              <w:rPr>
                <w:rFonts w:hint="eastAsia" w:ascii="宋体" w:hAnsi="宋体" w:cs="宋体"/>
                <w:sz w:val="21"/>
                <w:szCs w:val="21"/>
              </w:rPr>
              <w:t>磋商方式：“远程不见面”磋商方式，供应商无需到河南省公共资源交易中心现场参加磋商会议。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2" w:hRule="atLeast"/>
          <w:jc w:val="center"/>
        </w:trPr>
        <w:tc>
          <w:tcPr>
            <w:tcW w:w="1139" w:type="dxa"/>
            <w:noWrap/>
            <w:vAlign w:val="center"/>
          </w:tcPr>
          <w:p>
            <w:pPr>
              <w:pStyle w:val="16"/>
              <w:adjustRightInd w:val="0"/>
              <w:snapToGrid w:val="0"/>
              <w:jc w:val="center"/>
              <w:rPr>
                <w:rFonts w:hAnsi="宋体"/>
              </w:rPr>
            </w:pPr>
            <w:r>
              <w:rPr>
                <w:rFonts w:hint="eastAsia" w:hAnsi="宋体"/>
              </w:rPr>
              <w:t>5.1.3</w:t>
            </w:r>
          </w:p>
        </w:tc>
        <w:tc>
          <w:tcPr>
            <w:tcW w:w="8383" w:type="dxa"/>
            <w:noWrap/>
            <w:vAlign w:val="center"/>
          </w:tcPr>
          <w:p>
            <w:pPr>
              <w:pStyle w:val="16"/>
              <w:adjustRightInd w:val="0"/>
              <w:snapToGrid w:val="0"/>
              <w:spacing w:line="300" w:lineRule="auto"/>
              <w:jc w:val="left"/>
              <w:rPr>
                <w:rFonts w:hAnsi="宋体" w:cs="宋体"/>
                <w:szCs w:val="21"/>
              </w:rPr>
            </w:pPr>
            <w:r>
              <w:rPr>
                <w:rFonts w:hint="eastAsia" w:hAnsi="宋体" w:cs="宋体"/>
                <w:szCs w:val="21"/>
              </w:rPr>
              <w:t>远程开标大厅网址：http://www.hnggzy.net/BidOpening/bidopeninghallaction/hall/login</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1139" w:type="dxa"/>
            <w:noWrap/>
            <w:vAlign w:val="center"/>
          </w:tcPr>
          <w:p>
            <w:pPr>
              <w:pStyle w:val="16"/>
              <w:adjustRightInd w:val="0"/>
              <w:snapToGrid w:val="0"/>
              <w:spacing w:line="300" w:lineRule="auto"/>
              <w:jc w:val="center"/>
              <w:rPr>
                <w:rFonts w:hAnsi="宋体"/>
              </w:rPr>
            </w:pPr>
            <w:r>
              <w:rPr>
                <w:rFonts w:hint="eastAsia" w:hAnsi="宋体" w:cs="宋体"/>
                <w:szCs w:val="21"/>
              </w:rPr>
              <w:t>5.1.4</w:t>
            </w:r>
          </w:p>
        </w:tc>
        <w:tc>
          <w:tcPr>
            <w:tcW w:w="8383" w:type="dxa"/>
            <w:noWrap/>
            <w:vAlign w:val="center"/>
          </w:tcPr>
          <w:p>
            <w:pPr>
              <w:spacing w:line="300" w:lineRule="auto"/>
              <w:rPr>
                <w:rFonts w:ascii="宋体" w:hAnsi="宋体" w:cs="宋体"/>
                <w:color w:val="auto"/>
                <w:szCs w:val="21"/>
              </w:rPr>
            </w:pPr>
            <w:r>
              <w:rPr>
                <w:rFonts w:hint="eastAsia" w:ascii="宋体" w:hAnsi="宋体" w:cs="宋体"/>
                <w:bCs/>
                <w:color w:val="auto"/>
                <w:szCs w:val="21"/>
              </w:rPr>
              <w:t>加</w:t>
            </w:r>
            <w:r>
              <w:rPr>
                <w:rFonts w:hint="eastAsia" w:ascii="宋体" w:hAnsi="宋体" w:cs="宋体"/>
                <w:color w:val="auto"/>
                <w:szCs w:val="21"/>
              </w:rPr>
              <w:t>密电子磋商响应文件解密开始时间：</w:t>
            </w:r>
            <w:r>
              <w:rPr>
                <w:rFonts w:hint="eastAsia" w:ascii="宋体" w:hAnsi="宋体" w:cs="宋体"/>
                <w:color w:val="auto"/>
                <w:szCs w:val="21"/>
                <w:lang w:eastAsia="zh-CN"/>
              </w:rPr>
              <w:t>2023年12月15日</w:t>
            </w:r>
            <w:r>
              <w:rPr>
                <w:rFonts w:hint="eastAsia" w:ascii="宋体" w:hAnsi="宋体" w:cs="宋体"/>
                <w:color w:val="auto"/>
                <w:szCs w:val="21"/>
              </w:rPr>
              <w:t>9时00分。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1139" w:type="dxa"/>
            <w:noWrap/>
            <w:vAlign w:val="center"/>
          </w:tcPr>
          <w:p>
            <w:pPr>
              <w:pStyle w:val="16"/>
              <w:adjustRightInd w:val="0"/>
              <w:snapToGrid w:val="0"/>
              <w:spacing w:line="300" w:lineRule="auto"/>
              <w:jc w:val="center"/>
              <w:rPr>
                <w:rFonts w:hAnsi="宋体" w:cs="宋体"/>
                <w:szCs w:val="21"/>
              </w:rPr>
            </w:pPr>
            <w:r>
              <w:rPr>
                <w:rFonts w:hint="eastAsia" w:hAnsi="宋体" w:cs="宋体"/>
                <w:szCs w:val="21"/>
              </w:rPr>
              <w:t>5.1.5</w:t>
            </w:r>
          </w:p>
        </w:tc>
        <w:tc>
          <w:tcPr>
            <w:tcW w:w="8383" w:type="dxa"/>
            <w:noWrap/>
            <w:vAlign w:val="center"/>
          </w:tcPr>
          <w:p>
            <w:pPr>
              <w:spacing w:line="300" w:lineRule="auto"/>
              <w:rPr>
                <w:rFonts w:ascii="宋体" w:hAnsi="宋体" w:cs="宋体"/>
                <w:color w:val="auto"/>
                <w:szCs w:val="21"/>
              </w:rPr>
            </w:pPr>
            <w:r>
              <w:rPr>
                <w:rFonts w:hint="eastAsia" w:ascii="宋体" w:hAnsi="宋体" w:cs="宋体"/>
                <w:color w:val="auto"/>
                <w:szCs w:val="21"/>
              </w:rPr>
              <w:t>代理机构工作人员解密及批量导入所有供应商加密电子磋商响应文件地点：河南省公共资源交易中心</w:t>
            </w:r>
            <w:r>
              <w:rPr>
                <w:rFonts w:hint="eastAsia" w:ascii="宋体" w:hAnsi="宋体" w:cs="宋体"/>
                <w:color w:val="auto"/>
                <w:szCs w:val="21"/>
                <w:lang w:eastAsia="zh-CN"/>
              </w:rPr>
              <w:t>远程开标室(二)-1</w:t>
            </w:r>
            <w:r>
              <w:rPr>
                <w:rFonts w:hint="eastAsia" w:ascii="宋体" w:hAnsi="宋体" w:cs="宋体"/>
                <w:color w:val="auto"/>
                <w:szCs w:val="21"/>
              </w:rPr>
              <w:t>（郑州市经二路12号）。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1139" w:type="dxa"/>
            <w:noWrap/>
            <w:vAlign w:val="center"/>
          </w:tcPr>
          <w:p>
            <w:pPr>
              <w:pStyle w:val="16"/>
              <w:adjustRightInd w:val="0"/>
              <w:snapToGrid w:val="0"/>
              <w:spacing w:line="300" w:lineRule="auto"/>
              <w:jc w:val="center"/>
              <w:rPr>
                <w:rFonts w:hAnsi="宋体"/>
              </w:rPr>
            </w:pPr>
            <w:r>
              <w:rPr>
                <w:rFonts w:hint="eastAsia" w:hAnsi="宋体" w:cs="宋体"/>
                <w:szCs w:val="21"/>
              </w:rPr>
              <w:t>5.2.2</w:t>
            </w:r>
          </w:p>
        </w:tc>
        <w:tc>
          <w:tcPr>
            <w:tcW w:w="8383" w:type="dxa"/>
            <w:noWrap/>
            <w:vAlign w:val="center"/>
          </w:tcPr>
          <w:p>
            <w:pPr>
              <w:pStyle w:val="16"/>
              <w:adjustRightInd w:val="0"/>
              <w:snapToGrid w:val="0"/>
              <w:spacing w:line="300" w:lineRule="auto"/>
              <w:rPr>
                <w:rFonts w:hAnsi="宋体" w:cs="宋体"/>
                <w:color w:val="0000FF"/>
                <w:szCs w:val="21"/>
              </w:rPr>
            </w:pPr>
            <w:r>
              <w:rPr>
                <w:rFonts w:hint="eastAsia" w:hAnsi="宋体" w:cs="宋体"/>
                <w:szCs w:val="21"/>
              </w:rPr>
              <w:t>磋商小组的组建：3人，由采购人代表和相关经济、技术专家组成，采购人不超过总数的1/3。经济技术专家从政府采购专家库随机抽取。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1139" w:type="dxa"/>
            <w:noWrap/>
            <w:vAlign w:val="center"/>
          </w:tcPr>
          <w:p>
            <w:pPr>
              <w:pStyle w:val="16"/>
              <w:adjustRightInd w:val="0"/>
              <w:snapToGrid w:val="0"/>
              <w:spacing w:line="300" w:lineRule="auto"/>
              <w:jc w:val="center"/>
              <w:rPr>
                <w:rFonts w:hAnsi="宋体"/>
              </w:rPr>
            </w:pPr>
            <w:r>
              <w:rPr>
                <w:rFonts w:hint="eastAsia" w:hAnsi="宋体" w:cs="宋体"/>
                <w:szCs w:val="21"/>
              </w:rPr>
              <w:t>5.2.3</w:t>
            </w:r>
          </w:p>
        </w:tc>
        <w:tc>
          <w:tcPr>
            <w:tcW w:w="8383" w:type="dxa"/>
            <w:noWrap/>
            <w:vAlign w:val="center"/>
          </w:tcPr>
          <w:p>
            <w:pPr>
              <w:autoSpaceDE w:val="0"/>
              <w:autoSpaceDN w:val="0"/>
              <w:adjustRightInd w:val="0"/>
              <w:spacing w:line="300" w:lineRule="auto"/>
              <w:ind w:right="-1"/>
              <w:rPr>
                <w:rFonts w:ascii="宋体" w:hAnsi="宋体" w:cs="宋体"/>
                <w:color w:val="0000FF"/>
                <w:szCs w:val="21"/>
              </w:rPr>
            </w:pPr>
            <w:r>
              <w:rPr>
                <w:rFonts w:hint="eastAsia" w:ascii="宋体" w:hAnsi="宋体" w:cs="宋体"/>
                <w:szCs w:val="21"/>
              </w:rPr>
              <w:t>是否授权磋商小组确定成交人：否，推荐3名成交候选人。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1139" w:type="dxa"/>
            <w:noWrap/>
            <w:vAlign w:val="center"/>
          </w:tcPr>
          <w:p>
            <w:pPr>
              <w:pStyle w:val="16"/>
              <w:adjustRightInd w:val="0"/>
              <w:snapToGrid w:val="0"/>
              <w:jc w:val="center"/>
              <w:rPr>
                <w:rFonts w:hAnsi="宋体"/>
              </w:rPr>
            </w:pPr>
            <w:r>
              <w:rPr>
                <w:rFonts w:hint="eastAsia" w:hAnsi="宋体"/>
              </w:rPr>
              <w:t>6.4</w:t>
            </w:r>
          </w:p>
        </w:tc>
        <w:tc>
          <w:tcPr>
            <w:tcW w:w="8383" w:type="dxa"/>
            <w:noWrap/>
            <w:vAlign w:val="center"/>
          </w:tcPr>
          <w:p>
            <w:pPr>
              <w:pStyle w:val="16"/>
              <w:adjustRightInd w:val="0"/>
              <w:snapToGrid w:val="0"/>
              <w:rPr>
                <w:rFonts w:hAnsi="宋体" w:cs="宋体"/>
                <w:szCs w:val="21"/>
              </w:rPr>
            </w:pPr>
            <w:r>
              <w:rPr>
                <w:rFonts w:hint="eastAsia" w:hAnsi="宋体" w:cs="宋体"/>
                <w:szCs w:val="21"/>
              </w:rPr>
              <w:t>成交人签订合同协议书的时间：采购人发出成交通知书后15天内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1139" w:type="dxa"/>
            <w:noWrap/>
            <w:vAlign w:val="center"/>
          </w:tcPr>
          <w:p>
            <w:pPr>
              <w:pStyle w:val="16"/>
              <w:adjustRightInd w:val="0"/>
              <w:snapToGrid w:val="0"/>
              <w:jc w:val="center"/>
              <w:rPr>
                <w:rFonts w:hAnsi="宋体"/>
              </w:rPr>
            </w:pPr>
            <w:r>
              <w:rPr>
                <w:rFonts w:hint="eastAsia" w:hAnsi="宋体"/>
              </w:rPr>
              <w:t>7.1</w:t>
            </w:r>
          </w:p>
        </w:tc>
        <w:tc>
          <w:tcPr>
            <w:tcW w:w="8383" w:type="dxa"/>
            <w:noWrap/>
            <w:vAlign w:val="center"/>
          </w:tcPr>
          <w:p>
            <w:pPr>
              <w:autoSpaceDE w:val="0"/>
              <w:autoSpaceDN w:val="0"/>
              <w:adjustRightInd w:val="0"/>
              <w:ind w:right="-1"/>
              <w:rPr>
                <w:rFonts w:hint="eastAsia" w:ascii="宋体" w:hAnsi="宋体" w:cs="宋体"/>
                <w:szCs w:val="21"/>
                <w:highlight w:val="none"/>
              </w:rPr>
            </w:pPr>
            <w:r>
              <w:rPr>
                <w:rFonts w:hint="eastAsia" w:ascii="宋体" w:hAnsi="宋体" w:cs="宋体"/>
                <w:szCs w:val="21"/>
                <w:highlight w:val="none"/>
              </w:rPr>
              <w:t>代理费用收取方式及标准: 参照河南省招标投标协会豫招协[2023]002 号文件规定标准收取，由中标、成交供应商向采购代理机构支付中标服务费。招标代理服务收费按差额定率累进法计算。</w:t>
            </w:r>
          </w:p>
          <w:tbl>
            <w:tblPr>
              <w:tblStyle w:val="31"/>
              <w:tblW w:w="81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2"/>
              <w:gridCol w:w="2722"/>
              <w:gridCol w:w="2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2" w:type="dxa"/>
                  <w:vAlign w:val="center"/>
                </w:tcPr>
                <w:p>
                  <w:pPr>
                    <w:autoSpaceDE w:val="0"/>
                    <w:autoSpaceDN w:val="0"/>
                    <w:adjustRightInd w:val="0"/>
                    <w:ind w:right="-1"/>
                    <w:jc w:val="center"/>
                    <w:rPr>
                      <w:rFonts w:hint="eastAsia" w:ascii="宋体" w:hAnsi="宋体" w:cs="宋体"/>
                      <w:szCs w:val="21"/>
                      <w:highlight w:val="none"/>
                      <w:vertAlign w:val="baseline"/>
                    </w:rPr>
                  </w:pPr>
                  <w:r>
                    <w:rPr>
                      <w:rFonts w:hint="eastAsia" w:ascii="宋体" w:hAnsi="宋体" w:cs="宋体"/>
                      <w:szCs w:val="21"/>
                      <w:highlight w:val="none"/>
                      <w:vertAlign w:val="baseline"/>
                    </w:rPr>
                    <w:t>项目类型</w:t>
                  </w:r>
                </w:p>
              </w:tc>
              <w:tc>
                <w:tcPr>
                  <w:tcW w:w="2722" w:type="dxa"/>
                  <w:vAlign w:val="center"/>
                </w:tcPr>
                <w:p>
                  <w:pPr>
                    <w:autoSpaceDE w:val="0"/>
                    <w:autoSpaceDN w:val="0"/>
                    <w:adjustRightInd w:val="0"/>
                    <w:ind w:right="-1"/>
                    <w:jc w:val="center"/>
                    <w:rPr>
                      <w:rFonts w:hint="eastAsia" w:ascii="宋体" w:hAnsi="宋体" w:cs="宋体"/>
                      <w:szCs w:val="21"/>
                      <w:highlight w:val="none"/>
                      <w:vertAlign w:val="baseline"/>
                    </w:rPr>
                  </w:pPr>
                  <w:r>
                    <w:rPr>
                      <w:rFonts w:hint="eastAsia" w:ascii="宋体" w:hAnsi="宋体" w:cs="宋体"/>
                      <w:szCs w:val="21"/>
                      <w:highlight w:val="none"/>
                      <w:vertAlign w:val="baseline"/>
                    </w:rPr>
                    <w:t>中标金额</w:t>
                  </w:r>
                </w:p>
              </w:tc>
              <w:tc>
                <w:tcPr>
                  <w:tcW w:w="2723" w:type="dxa"/>
                  <w:vAlign w:val="center"/>
                </w:tcPr>
                <w:p>
                  <w:pPr>
                    <w:autoSpaceDE w:val="0"/>
                    <w:autoSpaceDN w:val="0"/>
                    <w:adjustRightInd w:val="0"/>
                    <w:ind w:right="-1"/>
                    <w:jc w:val="center"/>
                    <w:rPr>
                      <w:rFonts w:hint="eastAsia" w:ascii="宋体" w:hAnsi="宋体" w:cs="宋体"/>
                      <w:szCs w:val="21"/>
                      <w:highlight w:val="none"/>
                      <w:vertAlign w:val="baseline"/>
                    </w:rPr>
                  </w:pPr>
                  <w:r>
                    <w:rPr>
                      <w:rFonts w:hint="eastAsia" w:ascii="宋体" w:hAnsi="宋体" w:cs="宋体"/>
                      <w:szCs w:val="21"/>
                      <w:highlight w:val="none"/>
                      <w:vertAlign w:val="baseline"/>
                    </w:rPr>
                    <w:t>费率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2" w:type="dxa"/>
                  <w:vMerge w:val="restart"/>
                  <w:vAlign w:val="center"/>
                </w:tcPr>
                <w:p>
                  <w:pPr>
                    <w:autoSpaceDE w:val="0"/>
                    <w:autoSpaceDN w:val="0"/>
                    <w:adjustRightInd w:val="0"/>
                    <w:ind w:right="-1"/>
                    <w:jc w:val="center"/>
                    <w:rPr>
                      <w:rFonts w:hint="eastAsia" w:ascii="宋体" w:hAnsi="宋体" w:eastAsia="宋体" w:cs="宋体"/>
                      <w:szCs w:val="21"/>
                      <w:highlight w:val="none"/>
                      <w:vertAlign w:val="baseline"/>
                      <w:lang w:val="en-US" w:eastAsia="zh-CN"/>
                    </w:rPr>
                  </w:pPr>
                  <w:r>
                    <w:rPr>
                      <w:rFonts w:hint="eastAsia" w:ascii="宋体" w:hAnsi="宋体" w:cs="宋体"/>
                      <w:szCs w:val="21"/>
                      <w:highlight w:val="none"/>
                      <w:vertAlign w:val="baseline"/>
                      <w:lang w:val="en-US" w:eastAsia="zh-CN"/>
                    </w:rPr>
                    <w:t>货物</w:t>
                  </w:r>
                </w:p>
              </w:tc>
              <w:tc>
                <w:tcPr>
                  <w:tcW w:w="2722" w:type="dxa"/>
                  <w:vAlign w:val="center"/>
                </w:tcPr>
                <w:p>
                  <w:pPr>
                    <w:autoSpaceDE w:val="0"/>
                    <w:autoSpaceDN w:val="0"/>
                    <w:adjustRightInd w:val="0"/>
                    <w:ind w:right="-1"/>
                    <w:jc w:val="center"/>
                    <w:rPr>
                      <w:rFonts w:hint="eastAsia" w:ascii="宋体" w:hAnsi="宋体" w:cs="宋体"/>
                      <w:szCs w:val="21"/>
                      <w:highlight w:val="none"/>
                      <w:vertAlign w:val="baseline"/>
                    </w:rPr>
                  </w:pPr>
                  <w:r>
                    <w:rPr>
                      <w:rFonts w:hint="eastAsia" w:ascii="宋体" w:hAnsi="宋体" w:cs="宋体"/>
                      <w:szCs w:val="21"/>
                      <w:highlight w:val="none"/>
                      <w:vertAlign w:val="baseline"/>
                    </w:rPr>
                    <w:t>100 万元以下</w:t>
                  </w:r>
                </w:p>
              </w:tc>
              <w:tc>
                <w:tcPr>
                  <w:tcW w:w="2723" w:type="dxa"/>
                  <w:vAlign w:val="center"/>
                </w:tcPr>
                <w:p>
                  <w:pPr>
                    <w:autoSpaceDE w:val="0"/>
                    <w:autoSpaceDN w:val="0"/>
                    <w:adjustRightInd w:val="0"/>
                    <w:ind w:right="-1"/>
                    <w:jc w:val="center"/>
                    <w:rPr>
                      <w:rFonts w:hint="eastAsia" w:ascii="宋体" w:hAnsi="宋体" w:cs="宋体"/>
                      <w:szCs w:val="21"/>
                      <w:highlight w:val="none"/>
                      <w:vertAlign w:val="baseline"/>
                    </w:rPr>
                  </w:pPr>
                  <w:r>
                    <w:rPr>
                      <w:rFonts w:hint="eastAsia" w:ascii="宋体" w:hAnsi="宋体" w:cs="宋体"/>
                      <w:szCs w:val="21"/>
                      <w:highlight w:val="none"/>
                      <w:vertAlign w:val="baseline"/>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2" w:type="dxa"/>
                  <w:vMerge w:val="continue"/>
                  <w:vAlign w:val="center"/>
                </w:tcPr>
                <w:p>
                  <w:pPr>
                    <w:autoSpaceDE w:val="0"/>
                    <w:autoSpaceDN w:val="0"/>
                    <w:adjustRightInd w:val="0"/>
                    <w:ind w:right="-1"/>
                    <w:jc w:val="center"/>
                    <w:rPr>
                      <w:rFonts w:hint="eastAsia" w:ascii="宋体" w:hAnsi="宋体" w:cs="宋体"/>
                      <w:szCs w:val="21"/>
                      <w:highlight w:val="none"/>
                      <w:vertAlign w:val="baseline"/>
                    </w:rPr>
                  </w:pPr>
                </w:p>
              </w:tc>
              <w:tc>
                <w:tcPr>
                  <w:tcW w:w="2722" w:type="dxa"/>
                  <w:vAlign w:val="center"/>
                </w:tcPr>
                <w:p>
                  <w:pPr>
                    <w:autoSpaceDE w:val="0"/>
                    <w:autoSpaceDN w:val="0"/>
                    <w:adjustRightInd w:val="0"/>
                    <w:ind w:right="-1"/>
                    <w:jc w:val="center"/>
                    <w:rPr>
                      <w:rFonts w:hint="eastAsia" w:ascii="宋体" w:hAnsi="宋体" w:cs="宋体"/>
                      <w:szCs w:val="21"/>
                      <w:highlight w:val="none"/>
                      <w:vertAlign w:val="baseline"/>
                    </w:rPr>
                  </w:pPr>
                  <w:r>
                    <w:rPr>
                      <w:rFonts w:hint="eastAsia" w:ascii="宋体" w:hAnsi="宋体" w:cs="宋体"/>
                      <w:szCs w:val="21"/>
                      <w:highlight w:val="none"/>
                      <w:vertAlign w:val="baseline"/>
                    </w:rPr>
                    <w:t>100 万元一500 万元</w:t>
                  </w:r>
                </w:p>
              </w:tc>
              <w:tc>
                <w:tcPr>
                  <w:tcW w:w="2723" w:type="dxa"/>
                  <w:vAlign w:val="center"/>
                </w:tcPr>
                <w:p>
                  <w:pPr>
                    <w:autoSpaceDE w:val="0"/>
                    <w:autoSpaceDN w:val="0"/>
                    <w:adjustRightInd w:val="0"/>
                    <w:ind w:right="-1"/>
                    <w:jc w:val="center"/>
                    <w:rPr>
                      <w:rFonts w:hint="eastAsia" w:ascii="宋体" w:hAnsi="宋体" w:cs="宋体"/>
                      <w:szCs w:val="21"/>
                      <w:highlight w:val="none"/>
                      <w:vertAlign w:val="baseline"/>
                    </w:rPr>
                  </w:pPr>
                  <w:r>
                    <w:rPr>
                      <w:rFonts w:hint="eastAsia" w:ascii="宋体" w:hAnsi="宋体" w:cs="宋体"/>
                      <w:szCs w:val="21"/>
                      <w:highlight w:val="none"/>
                      <w:vertAlign w:val="baseline"/>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2" w:type="dxa"/>
                  <w:vMerge w:val="continue"/>
                  <w:vAlign w:val="center"/>
                </w:tcPr>
                <w:p>
                  <w:pPr>
                    <w:autoSpaceDE w:val="0"/>
                    <w:autoSpaceDN w:val="0"/>
                    <w:adjustRightInd w:val="0"/>
                    <w:ind w:right="-1"/>
                    <w:jc w:val="center"/>
                    <w:rPr>
                      <w:rFonts w:hint="eastAsia" w:ascii="宋体" w:hAnsi="宋体" w:cs="宋体"/>
                      <w:szCs w:val="21"/>
                      <w:highlight w:val="none"/>
                      <w:vertAlign w:val="baseline"/>
                    </w:rPr>
                  </w:pPr>
                </w:p>
              </w:tc>
              <w:tc>
                <w:tcPr>
                  <w:tcW w:w="2722" w:type="dxa"/>
                  <w:vAlign w:val="center"/>
                </w:tcPr>
                <w:p>
                  <w:pPr>
                    <w:autoSpaceDE w:val="0"/>
                    <w:autoSpaceDN w:val="0"/>
                    <w:adjustRightInd w:val="0"/>
                    <w:ind w:right="-1"/>
                    <w:jc w:val="center"/>
                    <w:rPr>
                      <w:rFonts w:hint="eastAsia" w:ascii="宋体" w:hAnsi="宋体" w:cs="宋体"/>
                      <w:szCs w:val="21"/>
                      <w:highlight w:val="none"/>
                      <w:vertAlign w:val="baseline"/>
                    </w:rPr>
                  </w:pPr>
                  <w:r>
                    <w:rPr>
                      <w:rFonts w:hint="eastAsia" w:ascii="宋体" w:hAnsi="宋体" w:cs="宋体"/>
                      <w:szCs w:val="21"/>
                      <w:highlight w:val="none"/>
                      <w:vertAlign w:val="baseline"/>
                    </w:rPr>
                    <w:t>500 万元一1000 万元</w:t>
                  </w:r>
                </w:p>
              </w:tc>
              <w:tc>
                <w:tcPr>
                  <w:tcW w:w="2723" w:type="dxa"/>
                  <w:vAlign w:val="center"/>
                </w:tcPr>
                <w:p>
                  <w:pPr>
                    <w:autoSpaceDE w:val="0"/>
                    <w:autoSpaceDN w:val="0"/>
                    <w:adjustRightInd w:val="0"/>
                    <w:ind w:right="-1"/>
                    <w:jc w:val="center"/>
                    <w:rPr>
                      <w:rFonts w:hint="eastAsia" w:ascii="宋体" w:hAnsi="宋体" w:cs="宋体"/>
                      <w:szCs w:val="21"/>
                      <w:highlight w:val="none"/>
                      <w:vertAlign w:val="baseline"/>
                    </w:rPr>
                  </w:pPr>
                  <w:r>
                    <w:rPr>
                      <w:rFonts w:hint="eastAsia" w:ascii="宋体" w:hAnsi="宋体" w:cs="宋体"/>
                      <w:szCs w:val="21"/>
                      <w:highlight w:val="none"/>
                      <w:vertAlign w:val="baseline"/>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2" w:type="dxa"/>
                  <w:vMerge w:val="continue"/>
                  <w:vAlign w:val="center"/>
                </w:tcPr>
                <w:p>
                  <w:pPr>
                    <w:autoSpaceDE w:val="0"/>
                    <w:autoSpaceDN w:val="0"/>
                    <w:adjustRightInd w:val="0"/>
                    <w:ind w:right="-1"/>
                    <w:jc w:val="center"/>
                    <w:rPr>
                      <w:rFonts w:hint="eastAsia" w:ascii="宋体" w:hAnsi="宋体" w:cs="宋体"/>
                      <w:szCs w:val="21"/>
                      <w:highlight w:val="none"/>
                      <w:vertAlign w:val="baseline"/>
                    </w:rPr>
                  </w:pPr>
                </w:p>
              </w:tc>
              <w:tc>
                <w:tcPr>
                  <w:tcW w:w="2722" w:type="dxa"/>
                  <w:vAlign w:val="center"/>
                </w:tcPr>
                <w:p>
                  <w:pPr>
                    <w:autoSpaceDE w:val="0"/>
                    <w:autoSpaceDN w:val="0"/>
                    <w:adjustRightInd w:val="0"/>
                    <w:ind w:right="-1"/>
                    <w:jc w:val="center"/>
                    <w:rPr>
                      <w:rFonts w:hint="eastAsia" w:ascii="宋体" w:hAnsi="宋体" w:cs="宋体"/>
                      <w:szCs w:val="21"/>
                      <w:highlight w:val="none"/>
                      <w:vertAlign w:val="baseline"/>
                    </w:rPr>
                  </w:pPr>
                  <w:r>
                    <w:rPr>
                      <w:rFonts w:hint="eastAsia" w:ascii="宋体" w:hAnsi="宋体" w:cs="宋体"/>
                      <w:szCs w:val="21"/>
                      <w:highlight w:val="none"/>
                      <w:vertAlign w:val="baseline"/>
                    </w:rPr>
                    <w:t>1000 万元一5000 万元</w:t>
                  </w:r>
                </w:p>
              </w:tc>
              <w:tc>
                <w:tcPr>
                  <w:tcW w:w="2723" w:type="dxa"/>
                  <w:vAlign w:val="center"/>
                </w:tcPr>
                <w:p>
                  <w:pPr>
                    <w:autoSpaceDE w:val="0"/>
                    <w:autoSpaceDN w:val="0"/>
                    <w:adjustRightInd w:val="0"/>
                    <w:ind w:right="-1"/>
                    <w:jc w:val="center"/>
                    <w:rPr>
                      <w:rFonts w:hint="eastAsia" w:ascii="宋体" w:hAnsi="宋体" w:cs="宋体"/>
                      <w:szCs w:val="21"/>
                      <w:highlight w:val="none"/>
                      <w:vertAlign w:val="baseline"/>
                    </w:rPr>
                  </w:pPr>
                  <w:r>
                    <w:rPr>
                      <w:rFonts w:hint="eastAsia" w:ascii="宋体" w:hAnsi="宋体" w:cs="宋体"/>
                      <w:szCs w:val="21"/>
                      <w:highlight w:val="none"/>
                      <w:vertAlign w:val="baseline"/>
                    </w:rPr>
                    <w:t>0.5%</w:t>
                  </w:r>
                </w:p>
              </w:tc>
            </w:tr>
          </w:tbl>
          <w:p>
            <w:pPr>
              <w:autoSpaceDE w:val="0"/>
              <w:autoSpaceDN w:val="0"/>
              <w:adjustRightInd w:val="0"/>
              <w:ind w:right="-1"/>
              <w:rPr>
                <w:rFonts w:hint="eastAsia" w:ascii="宋体" w:hAnsi="宋体" w:cs="宋体"/>
                <w:szCs w:val="21"/>
                <w:highlight w:val="yellow"/>
              </w:rPr>
            </w:pPr>
          </w:p>
          <w:p>
            <w:pPr>
              <w:autoSpaceDE w:val="0"/>
              <w:autoSpaceDN w:val="0"/>
              <w:adjustRightInd w:val="0"/>
              <w:ind w:right="-1"/>
              <w:rPr>
                <w:rFonts w:ascii="宋体" w:hAnsi="宋体" w:cs="宋体"/>
                <w:szCs w:val="21"/>
                <w:highlight w:val="yellow"/>
              </w:rPr>
            </w:pPr>
            <w:r>
              <w:rPr>
                <w:rFonts w:hint="eastAsia" w:ascii="宋体" w:hAnsi="宋体" w:cs="宋体"/>
                <w:szCs w:val="21"/>
                <w:highlight w:val="none"/>
              </w:rPr>
              <w:t>采购代理服务费由成交单位按规定标准在领取成交通知书后向河南豫信招标有限责任公司 电汇或转账的方式支付。开户行及账号：上海浦东发展银行郑州分行  76010154800001876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1139" w:type="dxa"/>
            <w:noWrap/>
            <w:vAlign w:val="center"/>
          </w:tcPr>
          <w:p>
            <w:pPr>
              <w:jc w:val="center"/>
              <w:rPr>
                <w:rFonts w:hAnsi="宋体"/>
              </w:rPr>
            </w:pPr>
            <w:r>
              <w:rPr>
                <w:rFonts w:hint="eastAsia"/>
              </w:rPr>
              <w:t>7.2</w:t>
            </w:r>
          </w:p>
        </w:tc>
        <w:tc>
          <w:tcPr>
            <w:tcW w:w="8383" w:type="dxa"/>
            <w:noWrap/>
            <w:vAlign w:val="center"/>
          </w:tcPr>
          <w:p>
            <w:pPr>
              <w:autoSpaceDE w:val="0"/>
              <w:autoSpaceDN w:val="0"/>
              <w:adjustRightInd w:val="0"/>
              <w:ind w:right="-1"/>
              <w:rPr>
                <w:rFonts w:ascii="宋体" w:hAnsi="宋体" w:cs="宋体"/>
                <w:color w:val="auto"/>
                <w:szCs w:val="21"/>
              </w:rPr>
            </w:pPr>
            <w:r>
              <w:rPr>
                <w:rFonts w:hint="eastAsia" w:ascii="宋体" w:hAnsi="宋体" w:cs="宋体"/>
                <w:color w:val="auto"/>
                <w:szCs w:val="21"/>
              </w:rPr>
              <w:t>政府采购政策执行：</w:t>
            </w:r>
          </w:p>
          <w:p>
            <w:pPr>
              <w:autoSpaceDE w:val="0"/>
              <w:autoSpaceDN w:val="0"/>
              <w:adjustRightInd w:val="0"/>
              <w:ind w:right="-1"/>
              <w:rPr>
                <w:rFonts w:ascii="宋体" w:hAnsi="宋体" w:cs="宋体"/>
                <w:color w:val="auto"/>
                <w:szCs w:val="21"/>
                <w:highlight w:val="none"/>
              </w:rPr>
            </w:pPr>
            <w:r>
              <w:rPr>
                <w:rFonts w:hint="eastAsia" w:ascii="宋体" w:hAnsi="宋体" w:cs="宋体"/>
                <w:color w:val="auto"/>
                <w:szCs w:val="21"/>
                <w:highlight w:val="none"/>
              </w:rPr>
              <w:t>1、监狱企业、残疾人福利性企业、小型和微型企业产品价格给予扣除标准：根据《政府采购促进中小企业发管理行办法》(财库[2020]46号)的规定，对于非专门面向中小企业的项目，对小型和微型企业价格给予</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%的扣除，用扣除后的报价参与评审。</w:t>
            </w:r>
          </w:p>
          <w:p>
            <w:pPr>
              <w:autoSpaceDE w:val="0"/>
              <w:autoSpaceDN w:val="0"/>
              <w:adjustRightInd w:val="0"/>
              <w:ind w:right="-1"/>
              <w:rPr>
                <w:rFonts w:ascii="宋体" w:hAnsi="宋体" w:cs="宋体"/>
                <w:color w:val="auto"/>
                <w:szCs w:val="21"/>
                <w:highlight w:val="none"/>
              </w:rPr>
            </w:pPr>
            <w:r>
              <w:rPr>
                <w:rFonts w:hint="eastAsia" w:ascii="宋体" w:hAnsi="宋体" w:cs="宋体"/>
                <w:color w:val="auto"/>
                <w:szCs w:val="21"/>
                <w:highlight w:val="none"/>
              </w:rPr>
              <w:t>根据《财政部、司法部关于政府采购支持监狱企业发展有关问题的通知》(财库〔2014〕68号)的规定，提供由省级以上监狱管理局、戒毒管理局（含新疆生产建设兵团）出具的属于监狱企业的证明文件的，监狱企业视同小型、微型企业。</w:t>
            </w:r>
          </w:p>
          <w:p>
            <w:pPr>
              <w:autoSpaceDE w:val="0"/>
              <w:autoSpaceDN w:val="0"/>
              <w:adjustRightInd w:val="0"/>
              <w:ind w:right="-1"/>
              <w:rPr>
                <w:rFonts w:ascii="宋体" w:hAnsi="宋体" w:cs="宋体"/>
                <w:color w:val="auto"/>
                <w:szCs w:val="21"/>
                <w:highlight w:val="none"/>
              </w:rPr>
            </w:pPr>
            <w:r>
              <w:rPr>
                <w:rFonts w:hint="eastAsia" w:ascii="宋体" w:hAnsi="宋体" w:cs="宋体"/>
                <w:color w:val="auto"/>
                <w:szCs w:val="21"/>
                <w:highlight w:val="none"/>
              </w:rPr>
              <w:t>根据《财政部、民政部、中国残疾人联合会关于促进残疾人就业政府采购政策的通知》（财库[2017]141号）的规定，提供《残疾人福利性单位声明函》（见附件），并对声明的真实性负责。中标/成交供应商为残疾人福利性单位的，采购人应当随中标/成交结果同时公告其《残疾人福利性单位声明函》，接受社会监督。提供的《残疾人福利性单位声明函》与事实不符的，依照《政府采购法》第七十七条第一款的规定追究法律责任。残疾人福利性单位属于小型、微型企业的，不重复享受政策。</w:t>
            </w:r>
          </w:p>
          <w:p>
            <w:pPr>
              <w:autoSpaceDE w:val="0"/>
              <w:autoSpaceDN w:val="0"/>
              <w:adjustRightInd w:val="0"/>
              <w:ind w:right="-1"/>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残疾人福利性单位视同小型、微型企业，享受预留份额、评审中价格扣除等政府采购政策。所属行业：</w:t>
            </w:r>
            <w:r>
              <w:rPr>
                <w:rFonts w:hint="eastAsia" w:ascii="宋体" w:hAnsi="宋体" w:cs="宋体"/>
                <w:color w:val="auto"/>
                <w:szCs w:val="21"/>
                <w:highlight w:val="none"/>
                <w:lang w:val="en-US" w:eastAsia="zh-CN"/>
              </w:rPr>
              <w:t>建筑业</w:t>
            </w:r>
          </w:p>
          <w:p>
            <w:pPr>
              <w:autoSpaceDE w:val="0"/>
              <w:autoSpaceDN w:val="0"/>
              <w:adjustRightInd w:val="0"/>
              <w:ind w:right="-1"/>
              <w:rPr>
                <w:rFonts w:ascii="宋体" w:hAnsi="宋体" w:cs="宋体"/>
                <w:color w:val="auto"/>
                <w:szCs w:val="21"/>
              </w:rPr>
            </w:pPr>
            <w:r>
              <w:rPr>
                <w:rFonts w:hint="eastAsia" w:ascii="宋体" w:hAnsi="宋体" w:cs="宋体"/>
                <w:color w:val="auto"/>
                <w:szCs w:val="21"/>
              </w:rPr>
              <w:t>2、国家相关部委针对节能产品、环境标志产品出台了相关调整优化政府采购执行机制，并于近期相继颁布《财政部发展改革委 生态环境部 市场监管总局 关于调整优化节能产品、环境标志产品政府 采购执行机制的通知》（财库〔2019〕9 号）、《市场监管总局关于发布参与实施政府采购节能产品、 环境标志产品认证机构名录的公告》（市场监管总局 2019 年 4 月 3 日下发）（以下简称“机构名录”）、《关于印发节能产品政府采购品目清单的通知》（财库〔2019〕19 号）（以下简称“节能清单”）、《关于印发环境标志产品政府采购品目清单的通知》（财库〔2019〕18 号）（以下简称“环保清单”）。 根据要求，投标产品如有中属于“节能清单”中标记“★”产品的，必须提供经过“机构名录”中的认证机构出具的“节能产品认证证书及相关附件”，未提供的按无效投标处理。 对于投标产品属于“节能清单”中非标记“★”产品的以及属于 “环保清单”产品并经“机构名 录”中的认证机构出具相应的产品认证证书的给于优先采购体现。 采购人采购产品属于节能产品或环境标志产品品目清单范围内，且供应商（投标人）所投产品具 有有效期内的产品认证证书，在评标时予以优先采购。</w:t>
            </w:r>
          </w:p>
          <w:p>
            <w:pPr>
              <w:autoSpaceDE w:val="0"/>
              <w:autoSpaceDN w:val="0"/>
              <w:adjustRightInd w:val="0"/>
              <w:ind w:right="-1"/>
              <w:rPr>
                <w:rFonts w:ascii="宋体" w:hAnsi="宋体" w:cs="宋体"/>
                <w:color w:val="0000FF"/>
                <w:szCs w:val="21"/>
              </w:rPr>
            </w:pPr>
            <w:r>
              <w:rPr>
                <w:rFonts w:hint="eastAsia" w:ascii="宋体" w:hAnsi="宋体" w:cs="宋体"/>
                <w:color w:val="auto"/>
                <w:szCs w:val="21"/>
              </w:rPr>
              <w:t>3、根据《政府采购进口产品管理办法》（财库[2007]119 号）规定， 政府采购应当采购本国产品，不允许采购进口产品，确需采购进口产品的，实行审核管理。本办法所称进口产品是指通过中国海关报关验放进入中国境内且产自关境外的产品。根据《财政部办公厅关于政府采购进口产品管理有关问题的通知》（ 财办库[2008]248 号）规定，凡在海关特殊监管区域内企业生产或加工（包括从境外进口料件）销往境内其他地区的产品，不作为政府采购项下进口产品。对从境外进入海关特殊监管区域，再经办理报关手续后从海关特殊监管区进入境内其他地区的产品，应当设定为进口产品。</w:t>
            </w:r>
          </w:p>
        </w:tc>
      </w:tr>
      <w:bookmarkEnd w:id="12"/>
    </w:tbl>
    <w:p>
      <w:pPr>
        <w:rPr>
          <w:rFonts w:ascii="宋体" w:hAnsi="宋体"/>
          <w:sz w:val="24"/>
          <w:szCs w:val="22"/>
        </w:rPr>
      </w:pPr>
      <w:bookmarkStart w:id="13" w:name="_Toc14568"/>
      <w:r>
        <w:rPr>
          <w:rFonts w:hint="eastAsia" w:ascii="宋体" w:hAnsi="宋体"/>
          <w:sz w:val="24"/>
          <w:szCs w:val="22"/>
        </w:rPr>
        <w:br w:type="page"/>
      </w:r>
    </w:p>
    <w:p>
      <w:pPr>
        <w:pStyle w:val="3"/>
        <w:pageBreakBefore w:val="0"/>
        <w:widowControl w:val="0"/>
        <w:kinsoku/>
        <w:wordWrap/>
        <w:overflowPunct/>
        <w:topLinePunct w:val="0"/>
        <w:bidi w:val="0"/>
        <w:spacing w:line="380" w:lineRule="exact"/>
        <w:jc w:val="center"/>
        <w:textAlignment w:val="auto"/>
        <w:rPr>
          <w:rFonts w:ascii="宋体" w:hAnsi="宋体" w:eastAsia="宋体"/>
          <w:sz w:val="24"/>
          <w:szCs w:val="22"/>
        </w:rPr>
      </w:pPr>
      <w:r>
        <w:rPr>
          <w:rFonts w:hint="eastAsia" w:ascii="宋体" w:hAnsi="宋体" w:eastAsia="宋体"/>
          <w:sz w:val="24"/>
          <w:szCs w:val="22"/>
        </w:rPr>
        <w:t>一、总 则</w:t>
      </w:r>
      <w:bookmarkEnd w:id="13"/>
    </w:p>
    <w:p>
      <w:pPr>
        <w:pageBreakBefore w:val="0"/>
        <w:widowControl w:val="0"/>
        <w:kinsoku/>
        <w:wordWrap/>
        <w:overflowPunct/>
        <w:topLinePunct w:val="0"/>
        <w:bidi w:val="0"/>
        <w:snapToGrid w:val="0"/>
        <w:spacing w:line="380" w:lineRule="exact"/>
        <w:textAlignment w:val="auto"/>
        <w:rPr>
          <w:rFonts w:ascii="宋体" w:hAnsi="宋体"/>
          <w:bCs/>
        </w:rPr>
      </w:pPr>
      <w:r>
        <w:rPr>
          <w:rFonts w:ascii="宋体" w:hAnsi="宋体"/>
          <w:b/>
        </w:rPr>
        <w:t>1.</w:t>
      </w:r>
      <w:r>
        <w:rPr>
          <w:rFonts w:hint="eastAsia" w:ascii="宋体" w:hAnsi="宋体"/>
          <w:b/>
        </w:rPr>
        <w:t>1本项目采购人：</w:t>
      </w:r>
      <w:r>
        <w:rPr>
          <w:rFonts w:hint="eastAsia" w:ascii="宋体" w:hAnsi="宋体"/>
          <w:bCs/>
        </w:rPr>
        <w:t>见供应商须知前附表</w:t>
      </w:r>
    </w:p>
    <w:p>
      <w:pPr>
        <w:pageBreakBefore w:val="0"/>
        <w:widowControl w:val="0"/>
        <w:kinsoku/>
        <w:wordWrap/>
        <w:overflowPunct/>
        <w:topLinePunct w:val="0"/>
        <w:bidi w:val="0"/>
        <w:snapToGrid w:val="0"/>
        <w:spacing w:line="380" w:lineRule="exact"/>
        <w:textAlignment w:val="auto"/>
        <w:rPr>
          <w:rFonts w:ascii="宋体" w:hAnsi="宋体"/>
          <w:b/>
        </w:rPr>
      </w:pPr>
      <w:r>
        <w:rPr>
          <w:rFonts w:hint="eastAsia" w:ascii="宋体" w:hAnsi="宋体"/>
          <w:b/>
        </w:rPr>
        <w:t>1.2 本项目采购代理机构：</w:t>
      </w:r>
      <w:r>
        <w:rPr>
          <w:rFonts w:hint="eastAsia" w:ascii="宋体" w:hAnsi="宋体"/>
          <w:bCs/>
        </w:rPr>
        <w:t>见供应商须知前附表</w:t>
      </w:r>
    </w:p>
    <w:p>
      <w:pPr>
        <w:pageBreakBefore w:val="0"/>
        <w:widowControl w:val="0"/>
        <w:kinsoku/>
        <w:wordWrap/>
        <w:overflowPunct/>
        <w:topLinePunct w:val="0"/>
        <w:bidi w:val="0"/>
        <w:snapToGrid w:val="0"/>
        <w:spacing w:line="380" w:lineRule="exact"/>
        <w:textAlignment w:val="auto"/>
        <w:rPr>
          <w:rFonts w:ascii="宋体" w:hAnsi="宋体"/>
          <w:bCs/>
        </w:rPr>
      </w:pPr>
      <w:r>
        <w:rPr>
          <w:rFonts w:hint="eastAsia" w:ascii="宋体" w:hAnsi="宋体"/>
          <w:b/>
        </w:rPr>
        <w:t>1.3 项目综合说明：</w:t>
      </w:r>
      <w:r>
        <w:rPr>
          <w:rFonts w:hint="eastAsia" w:ascii="宋体" w:hAnsi="宋体"/>
          <w:bCs/>
        </w:rPr>
        <w:t>见供应商须知前附表</w:t>
      </w:r>
    </w:p>
    <w:p>
      <w:pPr>
        <w:pageBreakBefore w:val="0"/>
        <w:widowControl w:val="0"/>
        <w:kinsoku/>
        <w:wordWrap/>
        <w:overflowPunct/>
        <w:topLinePunct w:val="0"/>
        <w:bidi w:val="0"/>
        <w:snapToGrid w:val="0"/>
        <w:spacing w:line="380" w:lineRule="exact"/>
        <w:textAlignment w:val="auto"/>
        <w:rPr>
          <w:rFonts w:ascii="宋体" w:hAnsi="宋体"/>
          <w:bCs/>
        </w:rPr>
      </w:pPr>
      <w:r>
        <w:rPr>
          <w:rFonts w:hint="eastAsia" w:ascii="宋体" w:hAnsi="宋体"/>
          <w:b/>
        </w:rPr>
        <w:t>1.4 供应商资格要求：</w:t>
      </w:r>
      <w:r>
        <w:rPr>
          <w:rFonts w:hint="eastAsia" w:ascii="宋体" w:hAnsi="宋体"/>
          <w:bCs/>
        </w:rPr>
        <w:t>见供应商须知前附表</w:t>
      </w:r>
    </w:p>
    <w:p>
      <w:pPr>
        <w:pStyle w:val="18"/>
        <w:pageBreakBefore w:val="0"/>
        <w:widowControl w:val="0"/>
        <w:kinsoku/>
        <w:wordWrap/>
        <w:overflowPunct/>
        <w:topLinePunct w:val="0"/>
        <w:bidi w:val="0"/>
        <w:spacing w:line="380" w:lineRule="exact"/>
        <w:ind w:firstLine="0" w:firstLineChars="0"/>
        <w:jc w:val="both"/>
        <w:textAlignment w:val="auto"/>
        <w:rPr>
          <w:rFonts w:ascii="宋体" w:hAnsi="宋体"/>
          <w:sz w:val="21"/>
        </w:rPr>
      </w:pPr>
      <w:r>
        <w:rPr>
          <w:rFonts w:hint="eastAsia" w:ascii="宋体" w:hAnsi="宋体"/>
          <w:sz w:val="21"/>
        </w:rPr>
        <w:t>1.5 磋商费用：</w:t>
      </w:r>
    </w:p>
    <w:p>
      <w:pPr>
        <w:pStyle w:val="18"/>
        <w:pageBreakBefore w:val="0"/>
        <w:widowControl w:val="0"/>
        <w:kinsoku/>
        <w:wordWrap/>
        <w:overflowPunct/>
        <w:topLinePunct w:val="0"/>
        <w:bidi w:val="0"/>
        <w:spacing w:line="380" w:lineRule="exact"/>
        <w:ind w:firstLine="420"/>
        <w:jc w:val="both"/>
        <w:textAlignment w:val="auto"/>
        <w:rPr>
          <w:rFonts w:ascii="宋体" w:hAnsi="宋体"/>
          <w:b w:val="0"/>
          <w:sz w:val="21"/>
        </w:rPr>
      </w:pPr>
      <w:r>
        <w:rPr>
          <w:rFonts w:hint="eastAsia" w:ascii="宋体" w:hAnsi="宋体"/>
          <w:b w:val="0"/>
          <w:sz w:val="21"/>
        </w:rPr>
        <w:t>供应商应自行承担所有与参加本次磋商有关的费用。不论磋商的结果如何，磋商组织人在任何情况下均无义务和责任承担这些费用。</w:t>
      </w:r>
    </w:p>
    <w:p>
      <w:pPr>
        <w:pStyle w:val="18"/>
        <w:pageBreakBefore w:val="0"/>
        <w:widowControl w:val="0"/>
        <w:kinsoku/>
        <w:wordWrap/>
        <w:overflowPunct/>
        <w:topLinePunct w:val="0"/>
        <w:bidi w:val="0"/>
        <w:spacing w:line="380" w:lineRule="exact"/>
        <w:ind w:firstLine="0" w:firstLineChars="0"/>
        <w:jc w:val="both"/>
        <w:textAlignment w:val="auto"/>
        <w:rPr>
          <w:rFonts w:ascii="宋体" w:hAnsi="宋体"/>
          <w:sz w:val="21"/>
        </w:rPr>
      </w:pPr>
      <w:r>
        <w:rPr>
          <w:rFonts w:hint="eastAsia" w:ascii="宋体" w:hAnsi="宋体"/>
          <w:sz w:val="21"/>
        </w:rPr>
        <w:t>1.6现场考察：</w:t>
      </w:r>
    </w:p>
    <w:p>
      <w:pPr>
        <w:pStyle w:val="18"/>
        <w:pageBreakBefore w:val="0"/>
        <w:widowControl w:val="0"/>
        <w:kinsoku/>
        <w:wordWrap/>
        <w:overflowPunct/>
        <w:topLinePunct w:val="0"/>
        <w:bidi w:val="0"/>
        <w:spacing w:line="380" w:lineRule="exact"/>
        <w:ind w:firstLine="420"/>
        <w:jc w:val="both"/>
        <w:textAlignment w:val="auto"/>
        <w:rPr>
          <w:rFonts w:ascii="宋体" w:hAnsi="宋体"/>
          <w:b w:val="0"/>
          <w:sz w:val="21"/>
        </w:rPr>
      </w:pPr>
      <w:r>
        <w:rPr>
          <w:rFonts w:hint="eastAsia" w:ascii="宋体" w:hAnsi="宋体"/>
          <w:b w:val="0"/>
          <w:sz w:val="21"/>
        </w:rPr>
        <w:t>1.6.1供应商应对项目现场和周围环境进行考察，以获取那些需自己负责的有关编制投标和签署合同所需的所有资料。考察现场的费用由供应商自己承担。</w:t>
      </w:r>
    </w:p>
    <w:p>
      <w:pPr>
        <w:pStyle w:val="18"/>
        <w:pageBreakBefore w:val="0"/>
        <w:widowControl w:val="0"/>
        <w:kinsoku/>
        <w:wordWrap/>
        <w:overflowPunct/>
        <w:topLinePunct w:val="0"/>
        <w:bidi w:val="0"/>
        <w:spacing w:line="380" w:lineRule="exact"/>
        <w:ind w:firstLine="420"/>
        <w:jc w:val="both"/>
        <w:textAlignment w:val="auto"/>
        <w:rPr>
          <w:rFonts w:ascii="宋体" w:hAnsi="宋体"/>
          <w:b w:val="0"/>
          <w:sz w:val="21"/>
        </w:rPr>
      </w:pPr>
      <w:r>
        <w:rPr>
          <w:rFonts w:hint="eastAsia" w:ascii="宋体" w:hAnsi="宋体"/>
          <w:b w:val="0"/>
          <w:sz w:val="21"/>
        </w:rPr>
        <w:t>1.6.2在考察现场中由采购人提供的资料和数据，只是使供应商能够利用的采购人现有的资料。采购人对供应商由此而做出的推论、解释和结论概不负责。</w:t>
      </w:r>
    </w:p>
    <w:p>
      <w:pPr>
        <w:pStyle w:val="18"/>
        <w:pageBreakBefore w:val="0"/>
        <w:widowControl w:val="0"/>
        <w:kinsoku/>
        <w:wordWrap/>
        <w:overflowPunct/>
        <w:topLinePunct w:val="0"/>
        <w:bidi w:val="0"/>
        <w:spacing w:line="380" w:lineRule="exact"/>
        <w:ind w:firstLine="420"/>
        <w:jc w:val="both"/>
        <w:textAlignment w:val="auto"/>
        <w:rPr>
          <w:rFonts w:ascii="宋体" w:hAnsi="宋体"/>
          <w:b w:val="0"/>
          <w:sz w:val="21"/>
        </w:rPr>
      </w:pPr>
      <w:r>
        <w:rPr>
          <w:rFonts w:hint="eastAsia" w:ascii="宋体" w:hAnsi="宋体"/>
          <w:b w:val="0"/>
          <w:sz w:val="21"/>
        </w:rPr>
        <w:t>1.6.3 经采购人允许和事先安排，供应商或其代表可进入现场考察。如供应商或其代表在考察现场造成人身伤害或财产损失，供应商应承担由此引起的所有责任，采购人不承担任何责任。</w:t>
      </w:r>
    </w:p>
    <w:p>
      <w:pPr>
        <w:pStyle w:val="25"/>
        <w:pageBreakBefore w:val="0"/>
        <w:widowControl w:val="0"/>
        <w:kinsoku/>
        <w:wordWrap/>
        <w:overflowPunct/>
        <w:topLinePunct w:val="0"/>
        <w:bidi w:val="0"/>
        <w:snapToGrid w:val="0"/>
        <w:spacing w:line="380" w:lineRule="exact"/>
        <w:ind w:left="0" w:leftChars="0"/>
        <w:jc w:val="left"/>
        <w:textAlignment w:val="auto"/>
        <w:rPr>
          <w:rFonts w:ascii="宋体" w:hAnsi="宋体"/>
          <w:b/>
        </w:rPr>
      </w:pPr>
      <w:r>
        <w:rPr>
          <w:rFonts w:ascii="宋体" w:hAnsi="宋体"/>
          <w:b/>
        </w:rPr>
        <w:t>1.</w:t>
      </w:r>
      <w:r>
        <w:rPr>
          <w:rFonts w:hint="eastAsia" w:ascii="宋体" w:hAnsi="宋体"/>
          <w:b/>
        </w:rPr>
        <w:t>7</w:t>
      </w:r>
      <w:r>
        <w:rPr>
          <w:rFonts w:ascii="宋体" w:hAnsi="宋体"/>
          <w:b/>
        </w:rPr>
        <w:t>语言文字</w:t>
      </w:r>
    </w:p>
    <w:p>
      <w:pPr>
        <w:pStyle w:val="25"/>
        <w:pageBreakBefore w:val="0"/>
        <w:widowControl w:val="0"/>
        <w:kinsoku/>
        <w:wordWrap/>
        <w:overflowPunct/>
        <w:topLinePunct w:val="0"/>
        <w:bidi w:val="0"/>
        <w:snapToGrid w:val="0"/>
        <w:spacing w:line="380" w:lineRule="exact"/>
        <w:ind w:left="0" w:leftChars="0" w:firstLine="420" w:firstLineChars="200"/>
        <w:jc w:val="left"/>
        <w:textAlignment w:val="auto"/>
        <w:rPr>
          <w:rFonts w:ascii="宋体" w:hAnsi="宋体"/>
          <w:kern w:val="0"/>
        </w:rPr>
      </w:pPr>
      <w:r>
        <w:rPr>
          <w:rFonts w:ascii="宋体" w:hAnsi="宋体"/>
          <w:kern w:val="0"/>
        </w:rPr>
        <w:t>除专用术语外，来往文件均使用中文。必要时专用术语应附有中文注释。</w:t>
      </w:r>
    </w:p>
    <w:p>
      <w:pPr>
        <w:pStyle w:val="25"/>
        <w:pageBreakBefore w:val="0"/>
        <w:widowControl w:val="0"/>
        <w:kinsoku/>
        <w:wordWrap/>
        <w:overflowPunct/>
        <w:topLinePunct w:val="0"/>
        <w:bidi w:val="0"/>
        <w:snapToGrid w:val="0"/>
        <w:spacing w:line="380" w:lineRule="exact"/>
        <w:ind w:left="0" w:leftChars="0"/>
        <w:jc w:val="left"/>
        <w:textAlignment w:val="auto"/>
        <w:rPr>
          <w:rFonts w:ascii="宋体" w:hAnsi="宋体"/>
          <w:b/>
        </w:rPr>
      </w:pPr>
      <w:r>
        <w:rPr>
          <w:rFonts w:hint="eastAsia" w:ascii="宋体" w:hAnsi="宋体"/>
          <w:b/>
        </w:rPr>
        <w:t>1.8保密</w:t>
      </w:r>
    </w:p>
    <w:p>
      <w:pPr>
        <w:pStyle w:val="25"/>
        <w:pageBreakBefore w:val="0"/>
        <w:widowControl w:val="0"/>
        <w:kinsoku/>
        <w:wordWrap/>
        <w:overflowPunct/>
        <w:topLinePunct w:val="0"/>
        <w:bidi w:val="0"/>
        <w:snapToGrid w:val="0"/>
        <w:spacing w:line="380" w:lineRule="exact"/>
        <w:ind w:left="0" w:leftChars="0" w:firstLine="420" w:firstLineChars="200"/>
        <w:jc w:val="left"/>
        <w:textAlignment w:val="auto"/>
        <w:rPr>
          <w:rFonts w:ascii="宋体" w:hAnsi="宋体"/>
          <w:kern w:val="0"/>
        </w:rPr>
      </w:pPr>
      <w:r>
        <w:rPr>
          <w:rFonts w:hint="eastAsia" w:ascii="宋体" w:hAnsi="宋体"/>
          <w:kern w:val="0"/>
        </w:rPr>
        <w:t>参与竞争性磋商活动的各方应对磋商文件和磋商文件中的商业和技术等秘密保密，违者应对由此造成的后果承担法律责任。</w:t>
      </w:r>
    </w:p>
    <w:p>
      <w:pPr>
        <w:pStyle w:val="25"/>
        <w:pageBreakBefore w:val="0"/>
        <w:widowControl w:val="0"/>
        <w:kinsoku/>
        <w:wordWrap/>
        <w:overflowPunct/>
        <w:topLinePunct w:val="0"/>
        <w:bidi w:val="0"/>
        <w:snapToGrid w:val="0"/>
        <w:spacing w:line="380" w:lineRule="exact"/>
        <w:ind w:left="0" w:leftChars="0"/>
        <w:jc w:val="left"/>
        <w:textAlignment w:val="auto"/>
        <w:rPr>
          <w:rFonts w:ascii="宋体" w:hAnsi="宋体"/>
          <w:b/>
        </w:rPr>
      </w:pPr>
      <w:r>
        <w:rPr>
          <w:rFonts w:hint="eastAsia" w:ascii="宋体" w:hAnsi="宋体"/>
          <w:b/>
        </w:rPr>
        <w:t>1.9磋商有效期：</w:t>
      </w:r>
    </w:p>
    <w:p>
      <w:pPr>
        <w:pageBreakBefore w:val="0"/>
        <w:widowControl w:val="0"/>
        <w:kinsoku/>
        <w:wordWrap/>
        <w:overflowPunct/>
        <w:topLinePunct w:val="0"/>
        <w:bidi w:val="0"/>
        <w:snapToGrid w:val="0"/>
        <w:spacing w:line="380" w:lineRule="exact"/>
        <w:ind w:firstLine="420" w:firstLineChars="200"/>
        <w:textAlignment w:val="auto"/>
        <w:rPr>
          <w:rFonts w:ascii="宋体" w:hAnsi="宋体"/>
          <w:kern w:val="0"/>
        </w:rPr>
      </w:pPr>
      <w:r>
        <w:rPr>
          <w:rFonts w:hint="eastAsia" w:ascii="宋体" w:hAnsi="宋体"/>
          <w:kern w:val="0"/>
        </w:rPr>
        <w:t>磋商响应件在磋商之日后60天内有效。</w:t>
      </w:r>
    </w:p>
    <w:p>
      <w:pPr>
        <w:pStyle w:val="25"/>
        <w:pageBreakBefore w:val="0"/>
        <w:widowControl w:val="0"/>
        <w:tabs>
          <w:tab w:val="left" w:pos="1620"/>
        </w:tabs>
        <w:kinsoku/>
        <w:wordWrap/>
        <w:overflowPunct/>
        <w:topLinePunct w:val="0"/>
        <w:bidi w:val="0"/>
        <w:snapToGrid w:val="0"/>
        <w:spacing w:line="380" w:lineRule="exact"/>
        <w:ind w:left="0" w:leftChars="0"/>
        <w:jc w:val="left"/>
        <w:textAlignment w:val="auto"/>
        <w:rPr>
          <w:rFonts w:ascii="宋体" w:hAnsi="宋体"/>
          <w:b/>
        </w:rPr>
      </w:pPr>
      <w:r>
        <w:rPr>
          <w:rFonts w:hint="eastAsia" w:ascii="宋体" w:hAnsi="宋体"/>
          <w:b/>
        </w:rPr>
        <w:t>1.10计量单位</w:t>
      </w:r>
    </w:p>
    <w:p>
      <w:pPr>
        <w:pageBreakBefore w:val="0"/>
        <w:widowControl w:val="0"/>
        <w:kinsoku/>
        <w:wordWrap/>
        <w:overflowPunct/>
        <w:topLinePunct w:val="0"/>
        <w:autoSpaceDE w:val="0"/>
        <w:autoSpaceDN w:val="0"/>
        <w:bidi w:val="0"/>
        <w:adjustRightInd w:val="0"/>
        <w:snapToGrid w:val="0"/>
        <w:spacing w:line="380" w:lineRule="exact"/>
        <w:ind w:firstLine="420" w:firstLineChars="200"/>
        <w:jc w:val="left"/>
        <w:textAlignment w:val="auto"/>
        <w:rPr>
          <w:rFonts w:ascii="宋体" w:hAnsi="宋体"/>
          <w:kern w:val="0"/>
        </w:rPr>
      </w:pPr>
      <w:r>
        <w:rPr>
          <w:rFonts w:hint="eastAsia" w:ascii="宋体" w:hAnsi="宋体"/>
          <w:kern w:val="0"/>
        </w:rPr>
        <w:t>所有计量均采用中华人民共和国法定计量单位。</w:t>
      </w:r>
    </w:p>
    <w:p>
      <w:pPr>
        <w:pStyle w:val="25"/>
        <w:pageBreakBefore w:val="0"/>
        <w:widowControl w:val="0"/>
        <w:tabs>
          <w:tab w:val="left" w:pos="1620"/>
        </w:tabs>
        <w:kinsoku/>
        <w:wordWrap/>
        <w:overflowPunct/>
        <w:topLinePunct w:val="0"/>
        <w:bidi w:val="0"/>
        <w:snapToGrid w:val="0"/>
        <w:spacing w:line="380" w:lineRule="exact"/>
        <w:ind w:left="0" w:leftChars="0"/>
        <w:jc w:val="left"/>
        <w:textAlignment w:val="auto"/>
        <w:rPr>
          <w:rFonts w:ascii="宋体" w:hAnsi="宋体"/>
          <w:b/>
        </w:rPr>
      </w:pPr>
      <w:r>
        <w:rPr>
          <w:rFonts w:hint="eastAsia" w:ascii="宋体" w:hAnsi="宋体"/>
          <w:b/>
        </w:rPr>
        <w:t>1.11付款方式：</w:t>
      </w:r>
    </w:p>
    <w:p>
      <w:pPr>
        <w:pStyle w:val="25"/>
        <w:pageBreakBefore w:val="0"/>
        <w:widowControl w:val="0"/>
        <w:tabs>
          <w:tab w:val="left" w:pos="1620"/>
        </w:tabs>
        <w:kinsoku/>
        <w:wordWrap/>
        <w:overflowPunct/>
        <w:topLinePunct w:val="0"/>
        <w:bidi w:val="0"/>
        <w:snapToGrid w:val="0"/>
        <w:spacing w:line="380" w:lineRule="exact"/>
        <w:ind w:left="0" w:leftChars="0" w:firstLine="420" w:firstLineChars="200"/>
        <w:jc w:val="left"/>
        <w:textAlignment w:val="auto"/>
        <w:rPr>
          <w:rFonts w:ascii="宋体" w:hAnsi="宋体"/>
          <w:bCs/>
        </w:rPr>
      </w:pPr>
      <w:bookmarkStart w:id="14" w:name="_Toc150853747"/>
      <w:r>
        <w:rPr>
          <w:rFonts w:hint="eastAsia" w:ascii="宋体" w:hAnsi="宋体"/>
          <w:bCs/>
        </w:rPr>
        <w:t>见供应商须知前附表。</w:t>
      </w:r>
    </w:p>
    <w:p>
      <w:pPr>
        <w:pStyle w:val="48"/>
        <w:pageBreakBefore w:val="0"/>
        <w:widowControl w:val="0"/>
        <w:kinsoku/>
        <w:wordWrap/>
        <w:overflowPunct/>
        <w:topLinePunct w:val="0"/>
        <w:bidi w:val="0"/>
        <w:spacing w:line="380" w:lineRule="exact"/>
        <w:textAlignment w:val="auto"/>
        <w:rPr>
          <w:rFonts w:hAnsi="宋体"/>
          <w:b/>
          <w:color w:val="auto"/>
          <w:kern w:val="2"/>
          <w:sz w:val="21"/>
          <w:szCs w:val="22"/>
        </w:rPr>
      </w:pPr>
      <w:r>
        <w:rPr>
          <w:rFonts w:hint="eastAsia" w:hAnsi="宋体"/>
          <w:b/>
          <w:color w:val="auto"/>
          <w:kern w:val="2"/>
          <w:sz w:val="21"/>
          <w:szCs w:val="22"/>
        </w:rPr>
        <w:t>1.12质保期</w:t>
      </w:r>
    </w:p>
    <w:p>
      <w:pPr>
        <w:pStyle w:val="18"/>
        <w:pageBreakBefore w:val="0"/>
        <w:widowControl w:val="0"/>
        <w:kinsoku/>
        <w:wordWrap/>
        <w:overflowPunct/>
        <w:topLinePunct w:val="0"/>
        <w:bidi w:val="0"/>
        <w:spacing w:line="380" w:lineRule="exact"/>
        <w:ind w:firstLine="420"/>
        <w:jc w:val="both"/>
        <w:textAlignment w:val="auto"/>
        <w:rPr>
          <w:rFonts w:ascii="宋体" w:hAnsi="宋体"/>
          <w:b w:val="0"/>
          <w:bCs/>
          <w:sz w:val="21"/>
        </w:rPr>
      </w:pPr>
      <w:r>
        <w:rPr>
          <w:rFonts w:hint="eastAsia" w:hAnsi="宋体"/>
          <w:b w:val="0"/>
          <w:bCs/>
          <w:sz w:val="21"/>
          <w:szCs w:val="22"/>
        </w:rPr>
        <w:t>见供应商须知前</w:t>
      </w:r>
      <w:r>
        <w:rPr>
          <w:rFonts w:hint="eastAsia" w:ascii="宋体" w:hAnsi="宋体"/>
          <w:b w:val="0"/>
          <w:bCs/>
          <w:sz w:val="21"/>
        </w:rPr>
        <w:t>附表1.3中规定。</w:t>
      </w:r>
    </w:p>
    <w:p>
      <w:pPr>
        <w:pStyle w:val="18"/>
        <w:pageBreakBefore w:val="0"/>
        <w:widowControl w:val="0"/>
        <w:kinsoku/>
        <w:wordWrap/>
        <w:overflowPunct/>
        <w:topLinePunct w:val="0"/>
        <w:bidi w:val="0"/>
        <w:spacing w:line="380" w:lineRule="exact"/>
        <w:ind w:firstLine="0" w:firstLineChars="0"/>
        <w:jc w:val="both"/>
        <w:textAlignment w:val="auto"/>
        <w:rPr>
          <w:rFonts w:ascii="宋体" w:hAnsi="宋体"/>
          <w:sz w:val="21"/>
          <w:szCs w:val="22"/>
        </w:rPr>
      </w:pPr>
      <w:r>
        <w:rPr>
          <w:rFonts w:hint="eastAsia" w:ascii="宋体" w:hAnsi="宋体"/>
          <w:sz w:val="21"/>
          <w:szCs w:val="22"/>
        </w:rPr>
        <w:t>1.13核心产品</w:t>
      </w:r>
    </w:p>
    <w:p>
      <w:pPr>
        <w:pStyle w:val="18"/>
        <w:pageBreakBefore w:val="0"/>
        <w:widowControl w:val="0"/>
        <w:kinsoku/>
        <w:wordWrap/>
        <w:overflowPunct/>
        <w:topLinePunct w:val="0"/>
        <w:bidi w:val="0"/>
        <w:spacing w:line="380" w:lineRule="exact"/>
        <w:ind w:firstLine="420"/>
        <w:jc w:val="both"/>
        <w:textAlignment w:val="auto"/>
        <w:rPr>
          <w:rFonts w:hAnsi="宋体"/>
          <w:b w:val="0"/>
          <w:bCs/>
          <w:sz w:val="21"/>
          <w:szCs w:val="22"/>
        </w:rPr>
      </w:pPr>
      <w:r>
        <w:rPr>
          <w:rFonts w:hAnsi="宋体"/>
          <w:b w:val="0"/>
          <w:bCs/>
          <w:sz w:val="21"/>
          <w:szCs w:val="22"/>
        </w:rPr>
        <w:t>根据采购项目技术构成、产品价格比重等确定核心产品，核心产品见投标人须知前附表。</w:t>
      </w:r>
    </w:p>
    <w:p>
      <w:pPr>
        <w:pStyle w:val="18"/>
        <w:pageBreakBefore w:val="0"/>
        <w:widowControl w:val="0"/>
        <w:kinsoku/>
        <w:wordWrap/>
        <w:overflowPunct/>
        <w:topLinePunct w:val="0"/>
        <w:bidi w:val="0"/>
        <w:spacing w:line="380" w:lineRule="exact"/>
        <w:ind w:firstLine="0" w:firstLineChars="0"/>
        <w:textAlignment w:val="auto"/>
        <w:rPr>
          <w:rFonts w:ascii="宋体" w:hAnsi="宋体"/>
          <w:sz w:val="24"/>
          <w:szCs w:val="22"/>
        </w:rPr>
      </w:pPr>
      <w:bookmarkStart w:id="15" w:name="_Toc24380"/>
      <w:r>
        <w:rPr>
          <w:rFonts w:hint="eastAsia" w:ascii="宋体" w:hAnsi="宋体"/>
          <w:sz w:val="24"/>
          <w:szCs w:val="22"/>
        </w:rPr>
        <w:t>二、磋商文件</w:t>
      </w:r>
      <w:bookmarkEnd w:id="14"/>
      <w:bookmarkEnd w:id="15"/>
    </w:p>
    <w:p>
      <w:pPr>
        <w:pStyle w:val="18"/>
        <w:pageBreakBefore w:val="0"/>
        <w:widowControl w:val="0"/>
        <w:kinsoku/>
        <w:wordWrap/>
        <w:overflowPunct/>
        <w:topLinePunct w:val="0"/>
        <w:bidi w:val="0"/>
        <w:spacing w:line="380" w:lineRule="exact"/>
        <w:ind w:firstLine="0" w:firstLineChars="0"/>
        <w:jc w:val="both"/>
        <w:textAlignment w:val="auto"/>
        <w:rPr>
          <w:rFonts w:ascii="宋体" w:hAnsi="宋体"/>
          <w:b w:val="0"/>
          <w:bCs/>
          <w:sz w:val="21"/>
        </w:rPr>
      </w:pPr>
      <w:r>
        <w:rPr>
          <w:rFonts w:hint="eastAsia" w:ascii="宋体" w:hAnsi="宋体"/>
          <w:sz w:val="21"/>
        </w:rPr>
        <w:t>2.1</w:t>
      </w:r>
      <w:r>
        <w:rPr>
          <w:rFonts w:hint="eastAsia" w:ascii="宋体" w:hAnsi="宋体"/>
          <w:b w:val="0"/>
          <w:bCs/>
          <w:sz w:val="21"/>
        </w:rPr>
        <w:t>供应商人要认真审阅磋商文件中所有供应商须知、合同条件等，如果供应商的磋商响应文件不符合磋商文件的要求，责任由供应商自负。</w:t>
      </w:r>
    </w:p>
    <w:p>
      <w:pPr>
        <w:pStyle w:val="18"/>
        <w:pageBreakBefore w:val="0"/>
        <w:widowControl w:val="0"/>
        <w:kinsoku/>
        <w:wordWrap/>
        <w:overflowPunct/>
        <w:topLinePunct w:val="0"/>
        <w:bidi w:val="0"/>
        <w:spacing w:line="380" w:lineRule="exact"/>
        <w:ind w:firstLine="0" w:firstLineChars="0"/>
        <w:jc w:val="both"/>
        <w:textAlignment w:val="auto"/>
        <w:rPr>
          <w:rFonts w:ascii="宋体" w:hAnsi="宋体"/>
          <w:b w:val="0"/>
          <w:bCs/>
          <w:sz w:val="21"/>
        </w:rPr>
      </w:pPr>
      <w:r>
        <w:rPr>
          <w:rFonts w:hint="eastAsia" w:ascii="宋体" w:hAnsi="宋体"/>
          <w:sz w:val="21"/>
        </w:rPr>
        <w:t>2.2</w:t>
      </w:r>
      <w:r>
        <w:rPr>
          <w:rFonts w:hint="eastAsia" w:ascii="宋体" w:hAnsi="宋体"/>
          <w:b w:val="0"/>
          <w:bCs/>
          <w:sz w:val="21"/>
        </w:rPr>
        <w:t xml:space="preserve"> 磋商文件包括下列文件及补充说明文件和发出的答疑会议纪要：</w:t>
      </w:r>
    </w:p>
    <w:p>
      <w:pPr>
        <w:pStyle w:val="18"/>
        <w:pageBreakBefore w:val="0"/>
        <w:widowControl w:val="0"/>
        <w:kinsoku/>
        <w:wordWrap/>
        <w:overflowPunct/>
        <w:topLinePunct w:val="0"/>
        <w:bidi w:val="0"/>
        <w:spacing w:line="380" w:lineRule="exact"/>
        <w:ind w:firstLine="420"/>
        <w:jc w:val="both"/>
        <w:textAlignment w:val="auto"/>
        <w:rPr>
          <w:rFonts w:ascii="宋体" w:hAnsi="宋体"/>
          <w:b w:val="0"/>
          <w:bCs/>
          <w:sz w:val="21"/>
          <w:szCs w:val="22"/>
        </w:rPr>
      </w:pPr>
      <w:r>
        <w:rPr>
          <w:rFonts w:hint="eastAsia" w:ascii="宋体" w:hAnsi="宋体"/>
          <w:b w:val="0"/>
          <w:bCs/>
          <w:sz w:val="21"/>
          <w:szCs w:val="22"/>
        </w:rPr>
        <w:t>第一章  竞争性磋商公告</w:t>
      </w:r>
    </w:p>
    <w:p>
      <w:pPr>
        <w:pStyle w:val="18"/>
        <w:pageBreakBefore w:val="0"/>
        <w:widowControl w:val="0"/>
        <w:kinsoku/>
        <w:wordWrap/>
        <w:overflowPunct/>
        <w:topLinePunct w:val="0"/>
        <w:bidi w:val="0"/>
        <w:spacing w:line="380" w:lineRule="exact"/>
        <w:ind w:firstLine="420"/>
        <w:jc w:val="both"/>
        <w:textAlignment w:val="auto"/>
        <w:rPr>
          <w:rFonts w:ascii="宋体" w:hAnsi="宋体"/>
          <w:b w:val="0"/>
          <w:sz w:val="21"/>
        </w:rPr>
      </w:pPr>
      <w:r>
        <w:rPr>
          <w:rFonts w:hint="eastAsia" w:ascii="宋体" w:hAnsi="宋体"/>
          <w:b w:val="0"/>
          <w:sz w:val="21"/>
        </w:rPr>
        <w:t>第二章  供应商须知</w:t>
      </w:r>
    </w:p>
    <w:p>
      <w:pPr>
        <w:pStyle w:val="18"/>
        <w:pageBreakBefore w:val="0"/>
        <w:widowControl w:val="0"/>
        <w:kinsoku/>
        <w:wordWrap/>
        <w:overflowPunct/>
        <w:topLinePunct w:val="0"/>
        <w:bidi w:val="0"/>
        <w:spacing w:line="380" w:lineRule="exact"/>
        <w:ind w:firstLine="420"/>
        <w:jc w:val="both"/>
        <w:textAlignment w:val="auto"/>
        <w:rPr>
          <w:rFonts w:ascii="宋体" w:hAnsi="宋体"/>
          <w:b w:val="0"/>
          <w:sz w:val="21"/>
        </w:rPr>
      </w:pPr>
      <w:r>
        <w:rPr>
          <w:rFonts w:hint="eastAsia" w:ascii="宋体" w:hAnsi="宋体"/>
          <w:b w:val="0"/>
          <w:sz w:val="21"/>
        </w:rPr>
        <w:t>第三章  合同条款</w:t>
      </w:r>
    </w:p>
    <w:p>
      <w:pPr>
        <w:pStyle w:val="18"/>
        <w:pageBreakBefore w:val="0"/>
        <w:widowControl w:val="0"/>
        <w:kinsoku/>
        <w:wordWrap/>
        <w:overflowPunct/>
        <w:topLinePunct w:val="0"/>
        <w:bidi w:val="0"/>
        <w:spacing w:line="380" w:lineRule="exact"/>
        <w:ind w:firstLine="420"/>
        <w:jc w:val="both"/>
        <w:textAlignment w:val="auto"/>
        <w:rPr>
          <w:rFonts w:hint="eastAsia" w:ascii="宋体" w:hAnsi="宋体" w:eastAsia="宋体"/>
          <w:b w:val="0"/>
          <w:sz w:val="21"/>
          <w:lang w:eastAsia="zh-CN"/>
        </w:rPr>
      </w:pPr>
      <w:r>
        <w:rPr>
          <w:rFonts w:hint="eastAsia" w:ascii="宋体" w:hAnsi="宋体"/>
          <w:b w:val="0"/>
          <w:sz w:val="21"/>
        </w:rPr>
        <w:t xml:space="preserve">第四章  </w:t>
      </w:r>
      <w:r>
        <w:rPr>
          <w:rFonts w:hint="eastAsia" w:ascii="宋体" w:hAnsi="宋体"/>
          <w:b w:val="0"/>
          <w:sz w:val="21"/>
          <w:lang w:eastAsia="zh-CN"/>
        </w:rPr>
        <w:t>发包人要求</w:t>
      </w:r>
    </w:p>
    <w:p>
      <w:pPr>
        <w:pStyle w:val="18"/>
        <w:pageBreakBefore w:val="0"/>
        <w:widowControl w:val="0"/>
        <w:kinsoku/>
        <w:wordWrap/>
        <w:overflowPunct/>
        <w:topLinePunct w:val="0"/>
        <w:bidi w:val="0"/>
        <w:spacing w:line="380" w:lineRule="exact"/>
        <w:ind w:firstLine="420"/>
        <w:jc w:val="both"/>
        <w:textAlignment w:val="auto"/>
        <w:rPr>
          <w:rFonts w:ascii="宋体" w:hAnsi="宋体"/>
          <w:b w:val="0"/>
          <w:sz w:val="21"/>
        </w:rPr>
      </w:pPr>
      <w:r>
        <w:rPr>
          <w:rFonts w:hint="eastAsia" w:ascii="宋体" w:hAnsi="宋体"/>
          <w:b w:val="0"/>
          <w:sz w:val="21"/>
        </w:rPr>
        <w:t>第五章  磋商办法</w:t>
      </w:r>
    </w:p>
    <w:p>
      <w:pPr>
        <w:pStyle w:val="18"/>
        <w:pageBreakBefore w:val="0"/>
        <w:widowControl w:val="0"/>
        <w:kinsoku/>
        <w:wordWrap/>
        <w:overflowPunct/>
        <w:topLinePunct w:val="0"/>
        <w:bidi w:val="0"/>
        <w:spacing w:line="380" w:lineRule="exact"/>
        <w:ind w:firstLine="420"/>
        <w:jc w:val="both"/>
        <w:textAlignment w:val="auto"/>
        <w:rPr>
          <w:rFonts w:ascii="宋体" w:hAnsi="宋体"/>
          <w:b w:val="0"/>
          <w:sz w:val="21"/>
        </w:rPr>
      </w:pPr>
      <w:r>
        <w:rPr>
          <w:rFonts w:hint="eastAsia" w:ascii="宋体" w:hAnsi="宋体"/>
          <w:b w:val="0"/>
          <w:sz w:val="21"/>
        </w:rPr>
        <w:t>第六章响应文件格式</w:t>
      </w:r>
    </w:p>
    <w:p>
      <w:pPr>
        <w:pageBreakBefore w:val="0"/>
        <w:widowControl w:val="0"/>
        <w:tabs>
          <w:tab w:val="left" w:pos="720"/>
        </w:tabs>
        <w:kinsoku/>
        <w:wordWrap/>
        <w:overflowPunct/>
        <w:topLinePunct w:val="0"/>
        <w:bidi w:val="0"/>
        <w:snapToGrid w:val="0"/>
        <w:spacing w:line="380" w:lineRule="exact"/>
        <w:textAlignment w:val="auto"/>
        <w:rPr>
          <w:rFonts w:ascii="宋体" w:hAnsi="宋体"/>
          <w:b/>
        </w:rPr>
      </w:pPr>
      <w:r>
        <w:rPr>
          <w:rFonts w:ascii="宋体" w:hAnsi="宋体"/>
          <w:b/>
        </w:rPr>
        <w:t>2.</w:t>
      </w:r>
      <w:r>
        <w:rPr>
          <w:rFonts w:hint="eastAsia" w:ascii="宋体" w:hAnsi="宋体"/>
          <w:b/>
        </w:rPr>
        <w:t>3磋商文件的澄清与修改：</w:t>
      </w:r>
    </w:p>
    <w:p>
      <w:pPr>
        <w:pageBreakBefore w:val="0"/>
        <w:widowControl w:val="0"/>
        <w:kinsoku/>
        <w:wordWrap/>
        <w:overflowPunct/>
        <w:topLinePunct w:val="0"/>
        <w:bidi w:val="0"/>
        <w:spacing w:line="380" w:lineRule="exact"/>
        <w:ind w:firstLine="420" w:firstLineChars="200"/>
        <w:jc w:val="left"/>
        <w:textAlignment w:val="auto"/>
        <w:rPr>
          <w:rFonts w:ascii="宋体" w:hAnsi="宋体" w:cs="宋体"/>
        </w:rPr>
      </w:pPr>
      <w:bookmarkStart w:id="16" w:name="_Toc150853748"/>
      <w:bookmarkStart w:id="17" w:name="_Toc7721"/>
      <w:r>
        <w:rPr>
          <w:rFonts w:hint="eastAsia" w:ascii="宋体" w:hAnsi="宋体" w:cs="宋体"/>
        </w:rPr>
        <w:t>2.3.1供应商对竞争性磋商文件如有需要澄清或疑问，应在“供应商须知前附表”规定的时间前通过“河南省公共资源交易中心（www.hnggzy.net）”电子交易平台进行提问，要求采购人对竞争性磋商文件予以澄清。供应商在规定的时间内未要求对竞争性磋商文件澄清或提出疑问的，采购人和采购代理机构将视其为无异议，磋商响应文件递交/上传截止时间后，采购人和采购代理机构不接受其对竞争性磋商文件内容的质疑。</w:t>
      </w:r>
    </w:p>
    <w:p>
      <w:pPr>
        <w:pageBreakBefore w:val="0"/>
        <w:widowControl w:val="0"/>
        <w:kinsoku/>
        <w:wordWrap/>
        <w:overflowPunct/>
        <w:topLinePunct w:val="0"/>
        <w:bidi w:val="0"/>
        <w:spacing w:line="380" w:lineRule="exact"/>
        <w:ind w:firstLine="420" w:firstLineChars="200"/>
        <w:jc w:val="left"/>
        <w:textAlignment w:val="auto"/>
        <w:rPr>
          <w:rFonts w:ascii="宋体" w:hAnsi="宋体" w:cs="宋体"/>
        </w:rPr>
      </w:pPr>
      <w:r>
        <w:rPr>
          <w:rFonts w:hint="eastAsia" w:ascii="宋体" w:hAnsi="宋体" w:cs="宋体"/>
        </w:rPr>
        <w:t>2.3.2竞争性磋商文件的澄清和修改将在“供应商须知前附表”规定的时间前通过“河南省公共资源交易中心（www.hnggzy.net）”电子交易平台公布给所有下载竞争性磋商文件的供应商，但不指明澄清问题的来源。如果澄清发出的时间距磋商响应文件上传截止日不足“供应商须知前附表”规定的时间，并且澄清内容影响磋商响应文件编制的，供应商应在收到澄清内容后24小时内通过“河南省公共资源交易中心（www.hnggzy.net）”电子交易平台通知采购代理机构，采购人相应延长磋商响应文件上传截止时间。</w:t>
      </w:r>
    </w:p>
    <w:p>
      <w:pPr>
        <w:pageBreakBefore w:val="0"/>
        <w:widowControl w:val="0"/>
        <w:kinsoku/>
        <w:wordWrap/>
        <w:overflowPunct/>
        <w:topLinePunct w:val="0"/>
        <w:bidi w:val="0"/>
        <w:spacing w:line="380" w:lineRule="exact"/>
        <w:ind w:firstLine="420" w:firstLineChars="200"/>
        <w:jc w:val="left"/>
        <w:textAlignment w:val="auto"/>
        <w:rPr>
          <w:rFonts w:ascii="宋体" w:hAnsi="宋体" w:cs="宋体"/>
        </w:rPr>
      </w:pPr>
      <w:r>
        <w:rPr>
          <w:rFonts w:hint="eastAsia" w:ascii="宋体" w:hAnsi="宋体" w:cs="宋体"/>
        </w:rPr>
        <w:t>2.3.3澄清内容是竞争性磋商文件的组成部分，澄清内容一经在项目公告网站和电子交易平台发布，视作已送达所有供应商，并对供应商具有约束力。</w:t>
      </w:r>
    </w:p>
    <w:p>
      <w:pPr>
        <w:pageBreakBefore w:val="0"/>
        <w:widowControl w:val="0"/>
        <w:kinsoku/>
        <w:wordWrap/>
        <w:overflowPunct/>
        <w:topLinePunct w:val="0"/>
        <w:bidi w:val="0"/>
        <w:spacing w:line="380" w:lineRule="exact"/>
        <w:ind w:firstLine="420" w:firstLineChars="200"/>
        <w:jc w:val="left"/>
        <w:textAlignment w:val="auto"/>
        <w:rPr>
          <w:rFonts w:ascii="宋体" w:hAnsi="宋体" w:cs="宋体"/>
        </w:rPr>
      </w:pPr>
      <w:r>
        <w:rPr>
          <w:rFonts w:hint="eastAsia" w:ascii="宋体" w:hAnsi="宋体" w:cs="宋体"/>
        </w:rPr>
        <w:t>2.3.4供应商在磋商响应文件上传截止时间前须自行查看项目进展、下载竞争性磋商文件的澄清，因供应商未及时查看和下载而造成的后果自负。</w:t>
      </w:r>
    </w:p>
    <w:p>
      <w:pPr>
        <w:pageBreakBefore w:val="0"/>
        <w:widowControl w:val="0"/>
        <w:kinsoku/>
        <w:wordWrap/>
        <w:overflowPunct/>
        <w:topLinePunct w:val="0"/>
        <w:bidi w:val="0"/>
        <w:spacing w:line="380" w:lineRule="exact"/>
        <w:ind w:firstLine="482" w:firstLineChars="200"/>
        <w:jc w:val="center"/>
        <w:textAlignment w:val="auto"/>
        <w:rPr>
          <w:rFonts w:ascii="宋体" w:hAnsi="宋体" w:cs="宋体"/>
          <w:b/>
          <w:bCs/>
          <w:sz w:val="24"/>
          <w:szCs w:val="22"/>
        </w:rPr>
      </w:pPr>
      <w:r>
        <w:rPr>
          <w:rFonts w:hint="eastAsia" w:ascii="宋体" w:hAnsi="宋体" w:cs="宋体"/>
          <w:b/>
          <w:bCs/>
          <w:sz w:val="24"/>
          <w:szCs w:val="22"/>
        </w:rPr>
        <w:t>三、响应文件的编制</w:t>
      </w:r>
      <w:bookmarkEnd w:id="16"/>
      <w:bookmarkEnd w:id="17"/>
    </w:p>
    <w:p>
      <w:pPr>
        <w:pStyle w:val="18"/>
        <w:pageBreakBefore w:val="0"/>
        <w:widowControl w:val="0"/>
        <w:kinsoku/>
        <w:wordWrap/>
        <w:overflowPunct/>
        <w:topLinePunct w:val="0"/>
        <w:bidi w:val="0"/>
        <w:spacing w:line="380" w:lineRule="exact"/>
        <w:ind w:firstLine="0" w:firstLineChars="0"/>
        <w:jc w:val="both"/>
        <w:textAlignment w:val="auto"/>
        <w:rPr>
          <w:rFonts w:ascii="宋体" w:hAnsi="宋体"/>
          <w:sz w:val="21"/>
        </w:rPr>
      </w:pPr>
      <w:r>
        <w:rPr>
          <w:rFonts w:hint="eastAsia" w:ascii="宋体" w:hAnsi="宋体"/>
          <w:sz w:val="21"/>
        </w:rPr>
        <w:t>3.1响应文件的内容和格式：</w:t>
      </w:r>
    </w:p>
    <w:p>
      <w:pPr>
        <w:pStyle w:val="18"/>
        <w:pageBreakBefore w:val="0"/>
        <w:widowControl w:val="0"/>
        <w:kinsoku/>
        <w:wordWrap/>
        <w:overflowPunct/>
        <w:topLinePunct w:val="0"/>
        <w:bidi w:val="0"/>
        <w:spacing w:line="380" w:lineRule="exact"/>
        <w:ind w:firstLine="420"/>
        <w:jc w:val="both"/>
        <w:textAlignment w:val="auto"/>
        <w:rPr>
          <w:rFonts w:ascii="宋体" w:hAnsi="宋体"/>
          <w:b w:val="0"/>
          <w:sz w:val="21"/>
        </w:rPr>
      </w:pPr>
      <w:r>
        <w:rPr>
          <w:rFonts w:hint="eastAsia" w:ascii="宋体" w:hAnsi="宋体"/>
          <w:b w:val="0"/>
          <w:sz w:val="21"/>
        </w:rPr>
        <w:t>供应商应按照磋商文件规定的内容、格式编制和提交响应文件。</w:t>
      </w:r>
    </w:p>
    <w:p>
      <w:pPr>
        <w:pStyle w:val="18"/>
        <w:pageBreakBefore w:val="0"/>
        <w:widowControl w:val="0"/>
        <w:kinsoku/>
        <w:wordWrap/>
        <w:overflowPunct/>
        <w:topLinePunct w:val="0"/>
        <w:bidi w:val="0"/>
        <w:spacing w:line="380" w:lineRule="exact"/>
        <w:ind w:firstLine="0" w:firstLineChars="0"/>
        <w:jc w:val="both"/>
        <w:textAlignment w:val="auto"/>
        <w:rPr>
          <w:rFonts w:ascii="宋体" w:hAnsi="宋体"/>
          <w:sz w:val="21"/>
        </w:rPr>
      </w:pPr>
      <w:r>
        <w:rPr>
          <w:rFonts w:hint="eastAsia" w:ascii="宋体" w:hAnsi="宋体"/>
          <w:sz w:val="21"/>
        </w:rPr>
        <w:t>3.2响应文件应主要包括但不限于以下内容：</w:t>
      </w:r>
    </w:p>
    <w:p>
      <w:pPr>
        <w:pStyle w:val="18"/>
        <w:pageBreakBefore w:val="0"/>
        <w:widowControl w:val="0"/>
        <w:kinsoku/>
        <w:wordWrap/>
        <w:overflowPunct/>
        <w:topLinePunct w:val="0"/>
        <w:bidi w:val="0"/>
        <w:spacing w:line="380" w:lineRule="exact"/>
        <w:ind w:firstLine="420"/>
        <w:jc w:val="both"/>
        <w:textAlignment w:val="auto"/>
        <w:rPr>
          <w:rFonts w:ascii="宋体" w:hAnsi="宋体"/>
          <w:b w:val="0"/>
          <w:sz w:val="21"/>
        </w:rPr>
      </w:pPr>
      <w:r>
        <w:rPr>
          <w:rFonts w:hint="eastAsia" w:ascii="宋体" w:hAnsi="宋体"/>
          <w:b w:val="0"/>
          <w:sz w:val="21"/>
        </w:rPr>
        <w:t>3.2.1响应文件格式；</w:t>
      </w:r>
    </w:p>
    <w:p>
      <w:pPr>
        <w:pStyle w:val="18"/>
        <w:pageBreakBefore w:val="0"/>
        <w:widowControl w:val="0"/>
        <w:kinsoku/>
        <w:wordWrap/>
        <w:overflowPunct/>
        <w:topLinePunct w:val="0"/>
        <w:bidi w:val="0"/>
        <w:spacing w:line="380" w:lineRule="exact"/>
        <w:ind w:firstLine="420"/>
        <w:jc w:val="both"/>
        <w:textAlignment w:val="auto"/>
        <w:rPr>
          <w:rFonts w:ascii="宋体" w:hAnsi="宋体"/>
          <w:b w:val="0"/>
          <w:sz w:val="21"/>
        </w:rPr>
      </w:pPr>
      <w:r>
        <w:rPr>
          <w:rFonts w:hint="eastAsia" w:ascii="宋体" w:hAnsi="宋体"/>
          <w:b w:val="0"/>
          <w:sz w:val="21"/>
        </w:rPr>
        <w:t>3.2.2供应商的资格证明文件；</w:t>
      </w:r>
    </w:p>
    <w:p>
      <w:pPr>
        <w:pStyle w:val="18"/>
        <w:pageBreakBefore w:val="0"/>
        <w:widowControl w:val="0"/>
        <w:kinsoku/>
        <w:wordWrap/>
        <w:overflowPunct/>
        <w:topLinePunct w:val="0"/>
        <w:bidi w:val="0"/>
        <w:spacing w:line="380" w:lineRule="exact"/>
        <w:ind w:firstLine="420"/>
        <w:jc w:val="both"/>
        <w:textAlignment w:val="auto"/>
        <w:rPr>
          <w:rFonts w:ascii="宋体" w:hAnsi="宋体"/>
          <w:sz w:val="21"/>
        </w:rPr>
      </w:pPr>
      <w:r>
        <w:rPr>
          <w:rFonts w:hint="eastAsia" w:ascii="宋体" w:hAnsi="宋体"/>
          <w:b w:val="0"/>
          <w:sz w:val="21"/>
        </w:rPr>
        <w:t>3.2.3供应商认为有必要提交的其它资料。</w:t>
      </w:r>
    </w:p>
    <w:p>
      <w:pPr>
        <w:pageBreakBefore w:val="0"/>
        <w:widowControl w:val="0"/>
        <w:kinsoku/>
        <w:wordWrap/>
        <w:overflowPunct/>
        <w:topLinePunct w:val="0"/>
        <w:autoSpaceDE w:val="0"/>
        <w:autoSpaceDN w:val="0"/>
        <w:bidi w:val="0"/>
        <w:adjustRightInd w:val="0"/>
        <w:spacing w:line="380" w:lineRule="exact"/>
        <w:jc w:val="left"/>
        <w:textAlignment w:val="auto"/>
        <w:rPr>
          <w:rFonts w:ascii="宋体" w:hAnsi="宋体"/>
          <w:b/>
        </w:rPr>
      </w:pPr>
      <w:r>
        <w:rPr>
          <w:rFonts w:hint="eastAsia" w:ascii="宋体" w:hAnsi="宋体"/>
          <w:b/>
        </w:rPr>
        <w:t>3.3磋商报价：</w:t>
      </w:r>
    </w:p>
    <w:p>
      <w:pPr>
        <w:pageBreakBefore w:val="0"/>
        <w:widowControl w:val="0"/>
        <w:kinsoku/>
        <w:wordWrap/>
        <w:overflowPunct/>
        <w:topLinePunct w:val="0"/>
        <w:bidi w:val="0"/>
        <w:spacing w:line="380" w:lineRule="exact"/>
        <w:ind w:right="15" w:firstLine="420" w:firstLineChars="200"/>
        <w:textAlignment w:val="auto"/>
        <w:rPr>
          <w:rFonts w:ascii="宋体" w:hAnsi="宋体" w:cs="宋体"/>
          <w:szCs w:val="21"/>
        </w:rPr>
      </w:pPr>
      <w:r>
        <w:rPr>
          <w:rFonts w:hint="eastAsia" w:ascii="宋体" w:hAnsi="宋体" w:cs="宋体"/>
          <w:szCs w:val="21"/>
        </w:rPr>
        <w:t>3.3.1磋商报价应包括国家规定的增值税税金，除供应商须知前附表另有规定外，增值税税金按一般计税方法计算。供应商应按第四章“响应文件格式”的要求在投标函中进行报价</w:t>
      </w:r>
      <w:r>
        <w:rPr>
          <w:rFonts w:hint="eastAsia" w:ascii="宋体" w:hAnsi="宋体" w:cs="宋体"/>
          <w:bCs/>
          <w:szCs w:val="21"/>
        </w:rPr>
        <w:t>。</w:t>
      </w:r>
    </w:p>
    <w:p>
      <w:pPr>
        <w:pageBreakBefore w:val="0"/>
        <w:widowControl w:val="0"/>
        <w:kinsoku/>
        <w:wordWrap/>
        <w:overflowPunct/>
        <w:topLinePunct w:val="0"/>
        <w:bidi w:val="0"/>
        <w:spacing w:line="380" w:lineRule="exact"/>
        <w:ind w:right="15" w:firstLine="420" w:firstLineChars="200"/>
        <w:textAlignment w:val="auto"/>
        <w:rPr>
          <w:rFonts w:ascii="宋体" w:hAnsi="宋体" w:cs="宋体"/>
          <w:szCs w:val="21"/>
        </w:rPr>
      </w:pPr>
      <w:r>
        <w:rPr>
          <w:rFonts w:hint="eastAsia" w:ascii="宋体" w:hAnsi="宋体" w:cs="宋体"/>
          <w:szCs w:val="21"/>
        </w:rPr>
        <w:t xml:space="preserve">3.3.2供应商应充分了解该项目的总体情况以及影响磋商报价的其他要素。 </w:t>
      </w:r>
    </w:p>
    <w:p>
      <w:pPr>
        <w:pageBreakBefore w:val="0"/>
        <w:widowControl w:val="0"/>
        <w:kinsoku/>
        <w:wordWrap/>
        <w:overflowPunct/>
        <w:topLinePunct w:val="0"/>
        <w:bidi w:val="0"/>
        <w:spacing w:line="380" w:lineRule="exact"/>
        <w:ind w:firstLine="420" w:firstLineChars="200"/>
        <w:textAlignment w:val="auto"/>
        <w:rPr>
          <w:rFonts w:ascii="宋体" w:hAnsi="宋体" w:cs="宋体"/>
          <w:szCs w:val="21"/>
        </w:rPr>
      </w:pPr>
      <w:r>
        <w:rPr>
          <w:rFonts w:hint="eastAsia" w:ascii="宋体" w:hAnsi="宋体" w:cs="宋体"/>
          <w:szCs w:val="21"/>
        </w:rPr>
        <w:t>3.3.3</w:t>
      </w:r>
      <w:r>
        <w:rPr>
          <w:rFonts w:hint="eastAsia" w:hAnsi="宋体" w:cs="宋体"/>
          <w:szCs w:val="21"/>
        </w:rPr>
        <w:t>本项目为</w:t>
      </w:r>
      <w:r>
        <w:rPr>
          <w:rFonts w:hint="eastAsia" w:ascii="宋体" w:hAnsi="宋体"/>
          <w:szCs w:val="21"/>
        </w:rPr>
        <w:t>河南中医药大学第一附属医院</w:t>
      </w:r>
      <w:r>
        <w:rPr>
          <w:rFonts w:hint="eastAsia" w:ascii="宋体" w:hAnsi="宋体"/>
          <w:szCs w:val="21"/>
          <w:lang w:eastAsia="zh-CN"/>
        </w:rPr>
        <w:t>病理科人民路院区、新院区新风系统采购项目</w:t>
      </w:r>
      <w:r>
        <w:rPr>
          <w:rFonts w:hint="eastAsia" w:hAnsi="宋体" w:cs="宋体"/>
          <w:szCs w:val="21"/>
        </w:rPr>
        <w:t>。</w:t>
      </w:r>
      <w:r>
        <w:rPr>
          <w:rFonts w:hint="eastAsia" w:ascii="宋体" w:hAnsi="宋体" w:cs="宋体"/>
          <w:szCs w:val="21"/>
        </w:rPr>
        <w:t>供应商根据磋商文件要求，结合项目实际情况，自主合理报价。投标报价应包括供应商为完成本项目所需的全部成本、费用、利润、税金等，由供应商支付的所有税费，都应包含在供应商报价之内。</w:t>
      </w:r>
    </w:p>
    <w:p>
      <w:pPr>
        <w:pageBreakBefore w:val="0"/>
        <w:widowControl w:val="0"/>
        <w:kinsoku/>
        <w:wordWrap/>
        <w:overflowPunct/>
        <w:topLinePunct w:val="0"/>
        <w:bidi w:val="0"/>
        <w:spacing w:line="380" w:lineRule="exact"/>
        <w:ind w:right="15" w:firstLine="420" w:firstLineChars="200"/>
        <w:textAlignment w:val="auto"/>
        <w:rPr>
          <w:rFonts w:ascii="宋体" w:hAnsi="宋体" w:cs="宋体"/>
          <w:szCs w:val="21"/>
        </w:rPr>
      </w:pPr>
      <w:r>
        <w:rPr>
          <w:rFonts w:hint="eastAsia" w:ascii="宋体" w:hAnsi="宋体"/>
          <w:bCs/>
          <w:szCs w:val="22"/>
        </w:rPr>
        <w:t>3.3.4本次磋商采用两轮报价：响应文件递交时的报价为第一轮报价，第一轮报价不得高于预算价。第二轮报价即最终报价，如磋商小组未对磋商文件进行实质性修改，最终报价不得高于第一轮报价，否则将视为无效报价。供应商在第二轮报价时只能依次降价或持平，不能依次升价。最终一轮报价为供应商的最终报价，参与评审办法</w:t>
      </w:r>
      <w:r>
        <w:rPr>
          <w:rFonts w:hint="eastAsia" w:ascii="宋体" w:hAnsi="宋体" w:cs="宋体"/>
          <w:szCs w:val="21"/>
        </w:rPr>
        <w:t>。</w:t>
      </w:r>
    </w:p>
    <w:p>
      <w:pPr>
        <w:pageBreakBefore w:val="0"/>
        <w:widowControl w:val="0"/>
        <w:kinsoku/>
        <w:wordWrap/>
        <w:overflowPunct/>
        <w:topLinePunct w:val="0"/>
        <w:bidi w:val="0"/>
        <w:spacing w:line="380" w:lineRule="exact"/>
        <w:ind w:right="15" w:firstLine="420" w:firstLineChars="200"/>
        <w:textAlignment w:val="auto"/>
        <w:rPr>
          <w:rFonts w:ascii="宋体" w:hAnsi="宋体"/>
          <w:bCs/>
          <w:szCs w:val="22"/>
        </w:rPr>
      </w:pPr>
      <w:r>
        <w:rPr>
          <w:rFonts w:hint="eastAsia" w:ascii="宋体" w:hAnsi="宋体" w:cs="宋体"/>
          <w:szCs w:val="21"/>
        </w:rPr>
        <w:t>3.3.5采购预算价：见供应商须知前附表</w:t>
      </w:r>
      <w:r>
        <w:rPr>
          <w:rFonts w:hint="eastAsia" w:ascii="宋体" w:hAnsi="宋体"/>
          <w:bCs/>
          <w:szCs w:val="22"/>
        </w:rPr>
        <w:t>。</w:t>
      </w:r>
    </w:p>
    <w:p>
      <w:pPr>
        <w:pageBreakBefore w:val="0"/>
        <w:widowControl w:val="0"/>
        <w:kinsoku/>
        <w:wordWrap/>
        <w:overflowPunct/>
        <w:topLinePunct w:val="0"/>
        <w:bidi w:val="0"/>
        <w:spacing w:line="380" w:lineRule="exact"/>
        <w:ind w:right="15" w:firstLine="420" w:firstLineChars="200"/>
        <w:textAlignment w:val="auto"/>
        <w:rPr>
          <w:rFonts w:ascii="宋体" w:hAnsi="宋体" w:cs="宋体"/>
          <w:szCs w:val="21"/>
        </w:rPr>
      </w:pPr>
      <w:r>
        <w:rPr>
          <w:rFonts w:hint="eastAsia" w:ascii="宋体" w:hAnsi="宋体" w:cs="宋体"/>
          <w:szCs w:val="21"/>
        </w:rPr>
        <w:t>3.3.6采购最高限价：见供应商须知前附表</w:t>
      </w:r>
      <w:r>
        <w:rPr>
          <w:rFonts w:hint="eastAsia" w:ascii="宋体" w:hAnsi="宋体"/>
          <w:bCs/>
          <w:szCs w:val="22"/>
        </w:rPr>
        <w:t>。</w:t>
      </w:r>
    </w:p>
    <w:p>
      <w:pPr>
        <w:pageBreakBefore w:val="0"/>
        <w:widowControl w:val="0"/>
        <w:kinsoku/>
        <w:wordWrap/>
        <w:overflowPunct/>
        <w:topLinePunct w:val="0"/>
        <w:bidi w:val="0"/>
        <w:spacing w:line="380" w:lineRule="exact"/>
        <w:ind w:right="15" w:firstLine="422" w:firstLineChars="200"/>
        <w:textAlignment w:val="auto"/>
        <w:rPr>
          <w:b/>
          <w:bCs/>
        </w:rPr>
      </w:pPr>
      <w:r>
        <w:rPr>
          <w:rFonts w:hint="eastAsia" w:ascii="宋体" w:hAnsi="宋体" w:cs="宋体"/>
          <w:b/>
          <w:bCs/>
          <w:szCs w:val="21"/>
        </w:rPr>
        <w:t>供应商总报价超过采购最高限价的，其资格将被否决。</w:t>
      </w:r>
    </w:p>
    <w:p>
      <w:pPr>
        <w:pStyle w:val="18"/>
        <w:pageBreakBefore w:val="0"/>
        <w:widowControl w:val="0"/>
        <w:kinsoku/>
        <w:wordWrap/>
        <w:overflowPunct/>
        <w:topLinePunct w:val="0"/>
        <w:bidi w:val="0"/>
        <w:spacing w:line="380" w:lineRule="exact"/>
        <w:ind w:firstLine="0" w:firstLineChars="0"/>
        <w:jc w:val="both"/>
        <w:textAlignment w:val="auto"/>
        <w:rPr>
          <w:rFonts w:ascii="宋体" w:hAnsi="宋体"/>
          <w:sz w:val="21"/>
        </w:rPr>
      </w:pPr>
      <w:r>
        <w:rPr>
          <w:rFonts w:hint="eastAsia" w:ascii="宋体" w:hAnsi="宋体"/>
          <w:sz w:val="21"/>
        </w:rPr>
        <w:t>3.4磋商有效期：</w:t>
      </w:r>
    </w:p>
    <w:p>
      <w:pPr>
        <w:pStyle w:val="18"/>
        <w:pageBreakBefore w:val="0"/>
        <w:widowControl w:val="0"/>
        <w:kinsoku/>
        <w:wordWrap/>
        <w:overflowPunct/>
        <w:topLinePunct w:val="0"/>
        <w:bidi w:val="0"/>
        <w:spacing w:line="380" w:lineRule="exact"/>
        <w:ind w:firstLine="525" w:firstLineChars="250"/>
        <w:jc w:val="both"/>
        <w:textAlignment w:val="auto"/>
        <w:rPr>
          <w:rFonts w:ascii="宋体" w:hAnsi="宋体"/>
          <w:b w:val="0"/>
          <w:sz w:val="21"/>
        </w:rPr>
      </w:pPr>
      <w:r>
        <w:rPr>
          <w:rFonts w:hint="eastAsia" w:ascii="宋体" w:hAnsi="宋体"/>
          <w:b w:val="0"/>
          <w:sz w:val="21"/>
        </w:rPr>
        <w:t>3.4.1磋商响应文件在磋商截止时间后开始生效，见供应商须知前附表1.9。</w:t>
      </w:r>
    </w:p>
    <w:p>
      <w:pPr>
        <w:pStyle w:val="18"/>
        <w:pageBreakBefore w:val="0"/>
        <w:widowControl w:val="0"/>
        <w:kinsoku/>
        <w:wordWrap/>
        <w:overflowPunct/>
        <w:topLinePunct w:val="0"/>
        <w:bidi w:val="0"/>
        <w:spacing w:line="380" w:lineRule="exact"/>
        <w:ind w:firstLine="525" w:firstLineChars="250"/>
        <w:jc w:val="both"/>
        <w:textAlignment w:val="auto"/>
        <w:rPr>
          <w:rFonts w:ascii="宋体" w:hAnsi="宋体"/>
          <w:b w:val="0"/>
          <w:sz w:val="21"/>
        </w:rPr>
      </w:pPr>
      <w:r>
        <w:rPr>
          <w:rFonts w:hint="eastAsia" w:ascii="宋体" w:hAnsi="宋体"/>
          <w:b w:val="0"/>
          <w:sz w:val="21"/>
        </w:rPr>
        <w:t>3.4.2在原定磋商有效期结束前，采购人在必要时可向供应商提出延长有效期的要求，此要求和相应答复以书面形式提出。供应商可以拒绝延长有效期，但采购人可因此拒绝供应商的响应文件。对同意延期的供应商，不允许修改其响应文件。</w:t>
      </w:r>
    </w:p>
    <w:p>
      <w:pPr>
        <w:pStyle w:val="18"/>
        <w:pageBreakBefore w:val="0"/>
        <w:widowControl w:val="0"/>
        <w:kinsoku/>
        <w:wordWrap/>
        <w:overflowPunct/>
        <w:topLinePunct w:val="0"/>
        <w:bidi w:val="0"/>
        <w:spacing w:line="380" w:lineRule="exact"/>
        <w:ind w:firstLine="0" w:firstLineChars="0"/>
        <w:jc w:val="both"/>
        <w:textAlignment w:val="auto"/>
        <w:rPr>
          <w:rFonts w:ascii="宋体" w:hAnsi="宋体"/>
          <w:sz w:val="21"/>
        </w:rPr>
      </w:pPr>
      <w:r>
        <w:rPr>
          <w:rFonts w:hint="eastAsia" w:ascii="宋体" w:hAnsi="宋体"/>
          <w:sz w:val="21"/>
        </w:rPr>
        <w:t>3.5磋商保证金：</w:t>
      </w:r>
    </w:p>
    <w:p>
      <w:pPr>
        <w:pageBreakBefore w:val="0"/>
        <w:widowControl w:val="0"/>
        <w:kinsoku/>
        <w:wordWrap/>
        <w:overflowPunct/>
        <w:topLinePunct w:val="0"/>
        <w:autoSpaceDE w:val="0"/>
        <w:autoSpaceDN w:val="0"/>
        <w:bidi w:val="0"/>
        <w:adjustRightInd w:val="0"/>
        <w:snapToGrid w:val="0"/>
        <w:spacing w:line="380" w:lineRule="exact"/>
        <w:ind w:firstLine="424" w:firstLineChars="202"/>
        <w:jc w:val="left"/>
        <w:textAlignment w:val="auto"/>
        <w:rPr>
          <w:rFonts w:ascii="宋体" w:hAnsi="宋体"/>
          <w:b/>
        </w:rPr>
      </w:pPr>
      <w:r>
        <w:rPr>
          <w:rFonts w:hint="eastAsia" w:ascii="宋体" w:hAnsi="宋体"/>
        </w:rPr>
        <w:t>无需提供</w:t>
      </w:r>
    </w:p>
    <w:p>
      <w:pPr>
        <w:pageBreakBefore w:val="0"/>
        <w:widowControl w:val="0"/>
        <w:kinsoku/>
        <w:wordWrap/>
        <w:overflowPunct/>
        <w:topLinePunct w:val="0"/>
        <w:bidi w:val="0"/>
        <w:snapToGrid w:val="0"/>
        <w:spacing w:line="380" w:lineRule="exact"/>
        <w:textAlignment w:val="auto"/>
        <w:rPr>
          <w:rFonts w:ascii="宋体" w:hAnsi="宋体"/>
          <w:b/>
        </w:rPr>
      </w:pPr>
      <w:r>
        <w:rPr>
          <w:rFonts w:hint="eastAsia" w:ascii="宋体" w:hAnsi="宋体"/>
          <w:b/>
        </w:rPr>
        <w:t>3.6供应商的资格证明文件：</w:t>
      </w:r>
      <w:r>
        <w:rPr>
          <w:rFonts w:hint="eastAsia" w:ascii="宋体" w:hAnsi="宋体" w:cs="宋体"/>
          <w:szCs w:val="21"/>
        </w:rPr>
        <w:t>见供应商须知前附表1.4的具体要求</w:t>
      </w:r>
      <w:r>
        <w:rPr>
          <w:rFonts w:hint="eastAsia" w:ascii="宋体" w:hAnsi="宋体"/>
          <w:bCs/>
          <w:szCs w:val="22"/>
        </w:rPr>
        <w:t>。</w:t>
      </w:r>
    </w:p>
    <w:p>
      <w:pPr>
        <w:pageBreakBefore w:val="0"/>
        <w:widowControl w:val="0"/>
        <w:tabs>
          <w:tab w:val="left" w:pos="240"/>
          <w:tab w:val="left" w:pos="1080"/>
        </w:tabs>
        <w:kinsoku/>
        <w:wordWrap/>
        <w:overflowPunct/>
        <w:topLinePunct w:val="0"/>
        <w:bidi w:val="0"/>
        <w:snapToGrid w:val="0"/>
        <w:spacing w:line="380" w:lineRule="exact"/>
        <w:ind w:firstLine="482" w:firstLineChars="200"/>
        <w:jc w:val="center"/>
        <w:textAlignment w:val="auto"/>
        <w:rPr>
          <w:rFonts w:ascii="宋体" w:hAnsi="宋体"/>
          <w:b/>
          <w:bCs/>
          <w:sz w:val="24"/>
          <w:szCs w:val="22"/>
        </w:rPr>
      </w:pPr>
      <w:bookmarkStart w:id="18" w:name="_Toc2837"/>
      <w:bookmarkStart w:id="19" w:name="_Toc150853749"/>
      <w:r>
        <w:rPr>
          <w:rFonts w:hint="eastAsia" w:ascii="宋体" w:hAnsi="宋体"/>
          <w:b/>
          <w:bCs/>
          <w:sz w:val="24"/>
          <w:szCs w:val="22"/>
        </w:rPr>
        <w:t>四、响应文件的递交</w:t>
      </w:r>
      <w:bookmarkEnd w:id="18"/>
      <w:bookmarkEnd w:id="19"/>
    </w:p>
    <w:p>
      <w:pPr>
        <w:pageBreakBefore w:val="0"/>
        <w:widowControl w:val="0"/>
        <w:tabs>
          <w:tab w:val="left" w:pos="240"/>
          <w:tab w:val="left" w:pos="1080"/>
        </w:tabs>
        <w:kinsoku/>
        <w:wordWrap/>
        <w:overflowPunct/>
        <w:topLinePunct w:val="0"/>
        <w:bidi w:val="0"/>
        <w:snapToGrid w:val="0"/>
        <w:spacing w:line="380" w:lineRule="exact"/>
        <w:textAlignment w:val="auto"/>
        <w:rPr>
          <w:rFonts w:ascii="宋体" w:hAnsi="宋体"/>
          <w:b/>
          <w:bCs/>
        </w:rPr>
      </w:pPr>
      <w:r>
        <w:rPr>
          <w:rFonts w:hint="eastAsia" w:ascii="宋体" w:hAnsi="宋体"/>
          <w:b/>
          <w:bCs/>
        </w:rPr>
        <w:t>4.1响应文件的递交</w:t>
      </w:r>
    </w:p>
    <w:p>
      <w:pPr>
        <w:pageBreakBefore w:val="0"/>
        <w:widowControl w:val="0"/>
        <w:kinsoku/>
        <w:wordWrap/>
        <w:overflowPunct/>
        <w:topLinePunct w:val="0"/>
        <w:bidi w:val="0"/>
        <w:spacing w:line="380" w:lineRule="exact"/>
        <w:ind w:firstLine="420" w:firstLineChars="200"/>
        <w:textAlignment w:val="auto"/>
        <w:rPr>
          <w:rFonts w:ascii="宋体" w:hAnsi="宋体"/>
          <w:bCs/>
          <w:szCs w:val="22"/>
        </w:rPr>
      </w:pPr>
      <w:r>
        <w:rPr>
          <w:rFonts w:hint="eastAsia" w:ascii="宋体" w:hAnsi="宋体"/>
          <w:bCs/>
          <w:szCs w:val="22"/>
        </w:rPr>
        <w:t>4.1.1加密电子磋商响应文件的上传：见“供应商须知前附表”。</w:t>
      </w:r>
    </w:p>
    <w:p>
      <w:pPr>
        <w:pageBreakBefore w:val="0"/>
        <w:widowControl w:val="0"/>
        <w:kinsoku/>
        <w:wordWrap/>
        <w:overflowPunct/>
        <w:topLinePunct w:val="0"/>
        <w:bidi w:val="0"/>
        <w:spacing w:line="380" w:lineRule="exact"/>
        <w:ind w:firstLine="420" w:firstLineChars="200"/>
        <w:textAlignment w:val="auto"/>
        <w:rPr>
          <w:rFonts w:ascii="宋体" w:hAnsi="宋体"/>
          <w:bCs/>
          <w:szCs w:val="22"/>
        </w:rPr>
      </w:pPr>
      <w:r>
        <w:rPr>
          <w:rFonts w:hint="eastAsia" w:ascii="宋体" w:hAnsi="宋体"/>
          <w:bCs/>
          <w:szCs w:val="22"/>
        </w:rPr>
        <w:t>4.1.2供应商因交易中心交易系统问题无法上传电子磋商响应文件时，请在工作时间与河南省公共资源交易中心联系，联系电话：0371-86095903。</w:t>
      </w:r>
    </w:p>
    <w:p>
      <w:pPr>
        <w:pageBreakBefore w:val="0"/>
        <w:widowControl w:val="0"/>
        <w:kinsoku/>
        <w:wordWrap/>
        <w:overflowPunct/>
        <w:topLinePunct w:val="0"/>
        <w:bidi w:val="0"/>
        <w:spacing w:line="380" w:lineRule="exact"/>
        <w:textAlignment w:val="auto"/>
        <w:rPr>
          <w:rFonts w:ascii="宋体" w:hAnsi="宋体"/>
          <w:bCs/>
          <w:szCs w:val="22"/>
        </w:rPr>
      </w:pPr>
      <w:bookmarkStart w:id="20" w:name="_Toc424285070"/>
      <w:bookmarkStart w:id="21" w:name="_Toc394574307"/>
      <w:bookmarkStart w:id="22" w:name="_Toc284337490"/>
      <w:r>
        <w:rPr>
          <w:rFonts w:hint="eastAsia" w:ascii="宋体" w:hAnsi="宋体"/>
          <w:b/>
          <w:szCs w:val="22"/>
        </w:rPr>
        <w:t>4.2 响应文件的修改与撤回</w:t>
      </w:r>
      <w:bookmarkEnd w:id="20"/>
      <w:bookmarkEnd w:id="21"/>
      <w:bookmarkEnd w:id="22"/>
    </w:p>
    <w:p>
      <w:pPr>
        <w:pageBreakBefore w:val="0"/>
        <w:widowControl w:val="0"/>
        <w:kinsoku/>
        <w:wordWrap/>
        <w:overflowPunct/>
        <w:topLinePunct w:val="0"/>
        <w:bidi w:val="0"/>
        <w:spacing w:line="380" w:lineRule="exact"/>
        <w:ind w:firstLine="420" w:firstLineChars="200"/>
        <w:textAlignment w:val="auto"/>
        <w:rPr>
          <w:rFonts w:ascii="宋体" w:hAnsi="宋体"/>
          <w:bCs/>
          <w:szCs w:val="22"/>
        </w:rPr>
      </w:pPr>
      <w:r>
        <w:rPr>
          <w:rFonts w:hint="eastAsia" w:ascii="宋体" w:hAnsi="宋体"/>
          <w:bCs/>
          <w:szCs w:val="22"/>
        </w:rPr>
        <w:t>4.2.1在本章供应商须知前附表第5.1项规定的磋商截止时间前，供应商可以修改或撤回已递交的响应文件。</w:t>
      </w:r>
    </w:p>
    <w:p>
      <w:pPr>
        <w:pageBreakBefore w:val="0"/>
        <w:widowControl w:val="0"/>
        <w:kinsoku/>
        <w:wordWrap/>
        <w:overflowPunct/>
        <w:topLinePunct w:val="0"/>
        <w:bidi w:val="0"/>
        <w:spacing w:line="380" w:lineRule="exact"/>
        <w:ind w:firstLine="420" w:firstLineChars="200"/>
        <w:textAlignment w:val="auto"/>
        <w:rPr>
          <w:rFonts w:ascii="宋体" w:hAnsi="宋体"/>
          <w:bCs/>
          <w:szCs w:val="22"/>
        </w:rPr>
      </w:pPr>
      <w:r>
        <w:rPr>
          <w:rFonts w:hint="eastAsia" w:ascii="宋体" w:hAnsi="宋体"/>
          <w:bCs/>
          <w:szCs w:val="22"/>
        </w:rPr>
        <w:t>4.2.2 在磋商响应文件递交截止时间后，供应商不得再要求修改或撤回其响应文件。</w:t>
      </w:r>
    </w:p>
    <w:p>
      <w:pPr>
        <w:pageBreakBefore w:val="0"/>
        <w:widowControl w:val="0"/>
        <w:kinsoku/>
        <w:wordWrap/>
        <w:overflowPunct/>
        <w:topLinePunct w:val="0"/>
        <w:bidi w:val="0"/>
        <w:spacing w:line="380" w:lineRule="exact"/>
        <w:ind w:firstLine="420" w:firstLineChars="200"/>
        <w:textAlignment w:val="auto"/>
        <w:rPr>
          <w:rFonts w:ascii="宋体" w:hAnsi="宋体"/>
          <w:bCs/>
          <w:szCs w:val="22"/>
        </w:rPr>
      </w:pPr>
      <w:r>
        <w:rPr>
          <w:rFonts w:hint="eastAsia" w:ascii="宋体" w:hAnsi="宋体"/>
          <w:bCs/>
          <w:szCs w:val="22"/>
        </w:rPr>
        <w:t>4.2.3 修改的内容为响应文件的组成部分。修改的响应文件应按照本章规定进行递交，并标明“修改”字样。</w:t>
      </w:r>
    </w:p>
    <w:p>
      <w:pPr>
        <w:pageBreakBefore w:val="0"/>
        <w:widowControl w:val="0"/>
        <w:kinsoku/>
        <w:wordWrap/>
        <w:overflowPunct/>
        <w:topLinePunct w:val="0"/>
        <w:bidi w:val="0"/>
        <w:spacing w:line="380" w:lineRule="exact"/>
        <w:ind w:firstLine="482" w:firstLineChars="200"/>
        <w:jc w:val="center"/>
        <w:textAlignment w:val="auto"/>
        <w:rPr>
          <w:rFonts w:ascii="宋体" w:hAnsi="宋体"/>
          <w:b/>
          <w:szCs w:val="22"/>
          <w:lang w:val="zh-CN"/>
        </w:rPr>
      </w:pPr>
      <w:bookmarkStart w:id="23" w:name="_Toc18660"/>
      <w:bookmarkStart w:id="24" w:name="_Toc507419167"/>
      <w:bookmarkStart w:id="25" w:name="_Toc507418238"/>
      <w:bookmarkStart w:id="26" w:name="_Toc17120"/>
      <w:bookmarkStart w:id="27" w:name="_Toc507417888"/>
      <w:r>
        <w:rPr>
          <w:rFonts w:hint="eastAsia" w:ascii="宋体" w:hAnsi="宋体"/>
          <w:b/>
          <w:sz w:val="24"/>
          <w:szCs w:val="28"/>
        </w:rPr>
        <w:t>五、</w:t>
      </w:r>
      <w:r>
        <w:rPr>
          <w:rFonts w:hint="eastAsia" w:ascii="宋体" w:hAnsi="宋体"/>
          <w:b/>
          <w:sz w:val="24"/>
          <w:szCs w:val="28"/>
          <w:lang w:val="zh-CN"/>
        </w:rPr>
        <w:t>磋商</w:t>
      </w:r>
      <w:bookmarkEnd w:id="23"/>
      <w:bookmarkEnd w:id="24"/>
      <w:bookmarkEnd w:id="25"/>
      <w:bookmarkEnd w:id="26"/>
      <w:bookmarkEnd w:id="27"/>
    </w:p>
    <w:p>
      <w:pPr>
        <w:pageBreakBefore w:val="0"/>
        <w:widowControl w:val="0"/>
        <w:kinsoku/>
        <w:wordWrap/>
        <w:overflowPunct/>
        <w:topLinePunct w:val="0"/>
        <w:bidi w:val="0"/>
        <w:spacing w:line="380" w:lineRule="exact"/>
        <w:textAlignment w:val="auto"/>
        <w:rPr>
          <w:rFonts w:ascii="宋体" w:hAnsi="宋体"/>
          <w:bCs/>
          <w:szCs w:val="22"/>
        </w:rPr>
      </w:pPr>
      <w:r>
        <w:rPr>
          <w:rFonts w:hint="eastAsia" w:ascii="宋体" w:hAnsi="宋体"/>
          <w:b/>
          <w:szCs w:val="22"/>
        </w:rPr>
        <w:t>5.1、磋商会议</w:t>
      </w:r>
    </w:p>
    <w:p>
      <w:pPr>
        <w:pageBreakBefore w:val="0"/>
        <w:widowControl w:val="0"/>
        <w:kinsoku/>
        <w:wordWrap/>
        <w:overflowPunct/>
        <w:topLinePunct w:val="0"/>
        <w:autoSpaceDE w:val="0"/>
        <w:autoSpaceDN w:val="0"/>
        <w:bidi w:val="0"/>
        <w:adjustRightInd w:val="0"/>
        <w:spacing w:line="380" w:lineRule="exact"/>
        <w:ind w:firstLine="420" w:firstLineChars="200"/>
        <w:textAlignment w:val="auto"/>
        <w:rPr>
          <w:rFonts w:ascii="宋体" w:hAnsi="宋体" w:cs="宋体"/>
          <w:bCs/>
          <w:szCs w:val="21"/>
        </w:rPr>
      </w:pPr>
      <w:r>
        <w:rPr>
          <w:rFonts w:hint="eastAsia" w:ascii="宋体" w:hAnsi="宋体" w:cs="宋体"/>
          <w:bCs/>
          <w:szCs w:val="21"/>
        </w:rPr>
        <w:t>5.1.1磋商方式：见“供应商须知前附表”。</w:t>
      </w:r>
    </w:p>
    <w:p>
      <w:pPr>
        <w:pageBreakBefore w:val="0"/>
        <w:widowControl w:val="0"/>
        <w:kinsoku/>
        <w:wordWrap/>
        <w:overflowPunct/>
        <w:topLinePunct w:val="0"/>
        <w:autoSpaceDE w:val="0"/>
        <w:autoSpaceDN w:val="0"/>
        <w:bidi w:val="0"/>
        <w:adjustRightInd w:val="0"/>
        <w:spacing w:line="380" w:lineRule="exact"/>
        <w:ind w:firstLine="420" w:firstLineChars="200"/>
        <w:textAlignment w:val="auto"/>
        <w:rPr>
          <w:rFonts w:ascii="宋体" w:hAnsi="宋体" w:cs="宋体"/>
          <w:bCs/>
          <w:szCs w:val="21"/>
        </w:rPr>
      </w:pPr>
      <w:r>
        <w:rPr>
          <w:rFonts w:hint="eastAsia" w:ascii="宋体" w:hAnsi="宋体" w:cs="宋体"/>
          <w:bCs/>
          <w:szCs w:val="21"/>
        </w:rPr>
        <w:t>5.1.2在竞争性磋商文件确定的磋商响应文件上传截止时间前, 供应商登录远程开标大厅,在线准时参加磋商活动并进行文件解密、澄清、二次报价等。未在规定时间内解密磋商响应文件的供应商，视为撤销其磋商响应文件。</w:t>
      </w:r>
    </w:p>
    <w:p>
      <w:pPr>
        <w:pageBreakBefore w:val="0"/>
        <w:widowControl w:val="0"/>
        <w:kinsoku/>
        <w:wordWrap/>
        <w:overflowPunct/>
        <w:topLinePunct w:val="0"/>
        <w:autoSpaceDE w:val="0"/>
        <w:autoSpaceDN w:val="0"/>
        <w:bidi w:val="0"/>
        <w:adjustRightInd w:val="0"/>
        <w:spacing w:line="380" w:lineRule="exact"/>
        <w:ind w:firstLine="420" w:firstLineChars="200"/>
        <w:textAlignment w:val="auto"/>
        <w:rPr>
          <w:rFonts w:ascii="宋体" w:hAnsi="宋体" w:cs="宋体"/>
          <w:bCs/>
          <w:szCs w:val="21"/>
        </w:rPr>
      </w:pPr>
      <w:r>
        <w:rPr>
          <w:rFonts w:hint="eastAsia" w:ascii="宋体" w:hAnsi="宋体" w:cs="宋体"/>
          <w:bCs/>
          <w:szCs w:val="21"/>
        </w:rPr>
        <w:t xml:space="preserve">5.1.3远程开标大厅网址：见“供应商须知前附表”。 </w:t>
      </w:r>
    </w:p>
    <w:p>
      <w:pPr>
        <w:pageBreakBefore w:val="0"/>
        <w:widowControl w:val="0"/>
        <w:kinsoku/>
        <w:wordWrap/>
        <w:overflowPunct/>
        <w:topLinePunct w:val="0"/>
        <w:autoSpaceDE w:val="0"/>
        <w:autoSpaceDN w:val="0"/>
        <w:bidi w:val="0"/>
        <w:adjustRightInd w:val="0"/>
        <w:spacing w:line="380" w:lineRule="exact"/>
        <w:ind w:firstLine="420" w:firstLineChars="200"/>
        <w:textAlignment w:val="auto"/>
        <w:rPr>
          <w:rFonts w:ascii="宋体" w:hAnsi="宋体" w:cs="宋体"/>
          <w:bCs/>
          <w:szCs w:val="21"/>
        </w:rPr>
      </w:pPr>
      <w:r>
        <w:rPr>
          <w:rFonts w:hint="eastAsia" w:ascii="宋体" w:hAnsi="宋体" w:cs="宋体"/>
          <w:bCs/>
          <w:szCs w:val="21"/>
        </w:rPr>
        <w:t>5.1.4加密电子磋商响应文件解密开始时间：见“供应商须知前附表”。</w:t>
      </w:r>
    </w:p>
    <w:p>
      <w:pPr>
        <w:pageBreakBefore w:val="0"/>
        <w:widowControl w:val="0"/>
        <w:kinsoku/>
        <w:wordWrap/>
        <w:overflowPunct/>
        <w:topLinePunct w:val="0"/>
        <w:autoSpaceDE w:val="0"/>
        <w:autoSpaceDN w:val="0"/>
        <w:bidi w:val="0"/>
        <w:adjustRightInd w:val="0"/>
        <w:spacing w:line="380" w:lineRule="exact"/>
        <w:ind w:firstLine="420" w:firstLineChars="200"/>
        <w:textAlignment w:val="auto"/>
        <w:rPr>
          <w:rFonts w:ascii="宋体" w:hAnsi="宋体" w:cs="宋体"/>
          <w:bCs/>
          <w:szCs w:val="21"/>
        </w:rPr>
      </w:pPr>
      <w:r>
        <w:rPr>
          <w:rFonts w:hint="eastAsia" w:ascii="宋体" w:hAnsi="宋体" w:cs="宋体"/>
          <w:bCs/>
          <w:szCs w:val="21"/>
        </w:rPr>
        <w:t>5.1.5各供应商应在规定时间内对本单位的加密电子磋商响应文件进行解密，代理机构工作人员在“供应商须知前附表”规定的地点解密及批量导入所有供应商加密电子磋商响应文件。</w:t>
      </w:r>
    </w:p>
    <w:p>
      <w:pPr>
        <w:pageBreakBefore w:val="0"/>
        <w:widowControl w:val="0"/>
        <w:kinsoku/>
        <w:wordWrap/>
        <w:overflowPunct/>
        <w:topLinePunct w:val="0"/>
        <w:autoSpaceDE w:val="0"/>
        <w:autoSpaceDN w:val="0"/>
        <w:bidi w:val="0"/>
        <w:adjustRightInd w:val="0"/>
        <w:spacing w:line="380" w:lineRule="exact"/>
        <w:ind w:firstLine="420" w:firstLineChars="200"/>
        <w:textAlignment w:val="auto"/>
        <w:rPr>
          <w:rFonts w:ascii="宋体" w:hAnsi="宋体" w:cs="宋体"/>
          <w:bCs/>
          <w:szCs w:val="21"/>
        </w:rPr>
      </w:pPr>
      <w:r>
        <w:rPr>
          <w:rFonts w:hint="eastAsia" w:ascii="宋体" w:hAnsi="宋体" w:cs="宋体"/>
          <w:bCs/>
          <w:szCs w:val="21"/>
        </w:rPr>
        <w:t>5.1.6磋商响应文件上传截止时间前未完成磋商响应文件上传的，视为撤回磋商响应文件。</w:t>
      </w:r>
    </w:p>
    <w:p>
      <w:pPr>
        <w:pageBreakBefore w:val="0"/>
        <w:widowControl w:val="0"/>
        <w:kinsoku/>
        <w:wordWrap/>
        <w:overflowPunct/>
        <w:topLinePunct w:val="0"/>
        <w:autoSpaceDE w:val="0"/>
        <w:autoSpaceDN w:val="0"/>
        <w:bidi w:val="0"/>
        <w:adjustRightInd w:val="0"/>
        <w:spacing w:line="380" w:lineRule="exact"/>
        <w:textAlignment w:val="auto"/>
        <w:rPr>
          <w:rFonts w:ascii="宋体" w:hAnsi="宋体" w:cs="宋体"/>
          <w:b/>
          <w:szCs w:val="21"/>
          <w:lang w:val="zh-CN"/>
        </w:rPr>
      </w:pPr>
      <w:r>
        <w:rPr>
          <w:rFonts w:hint="eastAsia" w:ascii="宋体" w:hAnsi="宋体" w:cs="宋体"/>
          <w:b/>
          <w:szCs w:val="21"/>
        </w:rPr>
        <w:t>5.2</w:t>
      </w:r>
      <w:r>
        <w:rPr>
          <w:rFonts w:hint="eastAsia" w:ascii="宋体" w:hAnsi="宋体" w:cs="宋体"/>
          <w:b/>
          <w:szCs w:val="21"/>
          <w:lang w:val="zh-CN"/>
        </w:rPr>
        <w:t>、磋商小组</w:t>
      </w:r>
    </w:p>
    <w:p>
      <w:pPr>
        <w:pageBreakBefore w:val="0"/>
        <w:widowControl w:val="0"/>
        <w:tabs>
          <w:tab w:val="left" w:pos="360"/>
          <w:tab w:val="left" w:pos="720"/>
        </w:tabs>
        <w:kinsoku/>
        <w:wordWrap/>
        <w:overflowPunct/>
        <w:topLinePunct w:val="0"/>
        <w:bidi w:val="0"/>
        <w:spacing w:line="380" w:lineRule="exact"/>
        <w:ind w:firstLine="525" w:firstLineChars="250"/>
        <w:textAlignment w:val="auto"/>
        <w:rPr>
          <w:rFonts w:ascii="宋体" w:hAnsi="宋体"/>
          <w:szCs w:val="21"/>
        </w:rPr>
      </w:pPr>
      <w:r>
        <w:rPr>
          <w:rFonts w:hint="eastAsia" w:ascii="宋体" w:hAnsi="宋体" w:cs="宋体"/>
          <w:kern w:val="0"/>
          <w:szCs w:val="21"/>
        </w:rPr>
        <w:t>5.2.1磋商小组负责具体磋商及评审事务，并独立履行下列职责：</w:t>
      </w:r>
    </w:p>
    <w:p>
      <w:pPr>
        <w:pageBreakBefore w:val="0"/>
        <w:widowControl w:val="0"/>
        <w:tabs>
          <w:tab w:val="left" w:pos="720"/>
        </w:tabs>
        <w:kinsoku/>
        <w:wordWrap/>
        <w:overflowPunct/>
        <w:topLinePunct w:val="0"/>
        <w:bidi w:val="0"/>
        <w:spacing w:line="380" w:lineRule="exact"/>
        <w:ind w:firstLine="420" w:firstLineChars="200"/>
        <w:textAlignment w:val="auto"/>
        <w:rPr>
          <w:rFonts w:ascii="宋体" w:hAnsi="宋体" w:cs="宋体"/>
          <w:kern w:val="0"/>
          <w:szCs w:val="21"/>
        </w:rPr>
      </w:pPr>
      <w:r>
        <w:rPr>
          <w:rFonts w:hint="eastAsia" w:ascii="宋体" w:hAnsi="宋体" w:cs="宋体"/>
          <w:kern w:val="0"/>
          <w:szCs w:val="21"/>
        </w:rPr>
        <w:t>（1）审查、评价响应文件是否符合磋商文件的</w:t>
      </w:r>
      <w:r>
        <w:rPr>
          <w:rFonts w:hint="eastAsia" w:ascii="宋体" w:hAnsi="宋体" w:cs="宋体"/>
          <w:b/>
          <w:bCs/>
          <w:kern w:val="0"/>
          <w:szCs w:val="21"/>
        </w:rPr>
        <w:t>资格条件、商务、技术等实质性要求</w:t>
      </w:r>
      <w:r>
        <w:rPr>
          <w:rFonts w:hint="eastAsia" w:ascii="宋体" w:hAnsi="宋体" w:cs="宋体"/>
          <w:kern w:val="0"/>
          <w:szCs w:val="21"/>
        </w:rPr>
        <w:t>；</w:t>
      </w:r>
    </w:p>
    <w:p>
      <w:pPr>
        <w:pageBreakBefore w:val="0"/>
        <w:widowControl w:val="0"/>
        <w:tabs>
          <w:tab w:val="left" w:pos="720"/>
        </w:tabs>
        <w:kinsoku/>
        <w:wordWrap/>
        <w:overflowPunct/>
        <w:topLinePunct w:val="0"/>
        <w:bidi w:val="0"/>
        <w:spacing w:line="380" w:lineRule="exact"/>
        <w:ind w:firstLine="420" w:firstLineChars="200"/>
        <w:textAlignment w:val="auto"/>
        <w:rPr>
          <w:rFonts w:ascii="宋体" w:hAnsi="宋体" w:cs="宋体"/>
          <w:kern w:val="0"/>
          <w:szCs w:val="21"/>
        </w:rPr>
      </w:pPr>
      <w:r>
        <w:rPr>
          <w:rFonts w:hint="eastAsia" w:ascii="宋体" w:hAnsi="宋体" w:cs="宋体"/>
          <w:kern w:val="0"/>
          <w:szCs w:val="21"/>
        </w:rPr>
        <w:t>（2）要求供应商对磋商文件有关事项作出澄清或者说明；</w:t>
      </w:r>
    </w:p>
    <w:p>
      <w:pPr>
        <w:pageBreakBefore w:val="0"/>
        <w:widowControl w:val="0"/>
        <w:tabs>
          <w:tab w:val="left" w:pos="720"/>
        </w:tabs>
        <w:kinsoku/>
        <w:wordWrap/>
        <w:overflowPunct/>
        <w:topLinePunct w:val="0"/>
        <w:bidi w:val="0"/>
        <w:spacing w:line="380" w:lineRule="exact"/>
        <w:ind w:firstLine="420" w:firstLineChars="200"/>
        <w:textAlignment w:val="auto"/>
        <w:rPr>
          <w:rFonts w:ascii="宋体" w:hAnsi="宋体" w:cs="宋体"/>
          <w:kern w:val="0"/>
          <w:szCs w:val="21"/>
        </w:rPr>
      </w:pPr>
      <w:r>
        <w:rPr>
          <w:rFonts w:hint="eastAsia" w:ascii="宋体" w:hAnsi="宋体" w:cs="宋体"/>
          <w:kern w:val="0"/>
          <w:szCs w:val="21"/>
        </w:rPr>
        <w:t>（3）对响应文件进行比较和评价；</w:t>
      </w:r>
    </w:p>
    <w:p>
      <w:pPr>
        <w:pageBreakBefore w:val="0"/>
        <w:widowControl w:val="0"/>
        <w:tabs>
          <w:tab w:val="left" w:pos="720"/>
        </w:tabs>
        <w:kinsoku/>
        <w:wordWrap/>
        <w:overflowPunct/>
        <w:topLinePunct w:val="0"/>
        <w:bidi w:val="0"/>
        <w:spacing w:line="380" w:lineRule="exact"/>
        <w:ind w:firstLine="420" w:firstLineChars="200"/>
        <w:textAlignment w:val="auto"/>
        <w:rPr>
          <w:rFonts w:ascii="宋体" w:hAnsi="宋体" w:cs="宋体"/>
          <w:kern w:val="0"/>
          <w:szCs w:val="21"/>
        </w:rPr>
      </w:pPr>
      <w:r>
        <w:rPr>
          <w:rFonts w:hint="eastAsia" w:ascii="宋体" w:hAnsi="宋体"/>
          <w:szCs w:val="21"/>
        </w:rPr>
        <w:t>（4）</w:t>
      </w:r>
      <w:r>
        <w:rPr>
          <w:rFonts w:hint="eastAsia" w:ascii="宋体" w:hAnsi="宋体" w:cs="宋体"/>
          <w:kern w:val="0"/>
          <w:szCs w:val="21"/>
        </w:rPr>
        <w:t>确定成交候选人名单，或者根据采购人委托直接确定成交供应商；</w:t>
      </w:r>
    </w:p>
    <w:p>
      <w:pPr>
        <w:pageBreakBefore w:val="0"/>
        <w:widowControl w:val="0"/>
        <w:tabs>
          <w:tab w:val="left" w:pos="720"/>
        </w:tabs>
        <w:kinsoku/>
        <w:wordWrap/>
        <w:overflowPunct/>
        <w:topLinePunct w:val="0"/>
        <w:bidi w:val="0"/>
        <w:spacing w:line="380" w:lineRule="exact"/>
        <w:ind w:firstLine="420" w:firstLineChars="200"/>
        <w:textAlignment w:val="auto"/>
        <w:rPr>
          <w:rFonts w:ascii="宋体" w:hAnsi="宋体"/>
          <w:szCs w:val="21"/>
        </w:rPr>
      </w:pPr>
      <w:r>
        <w:rPr>
          <w:rFonts w:hint="eastAsia" w:ascii="宋体" w:hAnsi="宋体" w:cs="宋体"/>
          <w:kern w:val="0"/>
          <w:szCs w:val="21"/>
        </w:rPr>
        <w:t>（5）向采购人、采购代理机构或者有关部门报告磋商及评审中发现的违法行为；</w:t>
      </w:r>
    </w:p>
    <w:p>
      <w:pPr>
        <w:pageBreakBefore w:val="0"/>
        <w:widowControl w:val="0"/>
        <w:kinsoku/>
        <w:wordWrap/>
        <w:overflowPunct/>
        <w:topLinePunct w:val="0"/>
        <w:autoSpaceDE w:val="0"/>
        <w:autoSpaceDN w:val="0"/>
        <w:bidi w:val="0"/>
        <w:adjustRightInd w:val="0"/>
        <w:spacing w:line="380" w:lineRule="exact"/>
        <w:ind w:firstLine="630" w:firstLineChars="300"/>
        <w:textAlignment w:val="auto"/>
        <w:rPr>
          <w:rFonts w:ascii="宋体" w:hAnsi="宋体" w:cs="宋体"/>
          <w:kern w:val="0"/>
          <w:szCs w:val="21"/>
        </w:rPr>
      </w:pPr>
      <w:r>
        <w:rPr>
          <w:rFonts w:hint="eastAsia" w:ascii="宋体" w:hAnsi="宋体" w:cs="宋体"/>
          <w:bCs/>
          <w:szCs w:val="21"/>
        </w:rPr>
        <w:t xml:space="preserve">5.2.2 </w:t>
      </w:r>
      <w:r>
        <w:rPr>
          <w:rFonts w:hint="eastAsia" w:ascii="宋体" w:hAnsi="宋体" w:cs="宋体"/>
          <w:bCs/>
          <w:szCs w:val="21"/>
          <w:lang w:val="zh-CN"/>
        </w:rPr>
        <w:t>磋商小组成员组建：磋商小组</w:t>
      </w:r>
      <w:r>
        <w:rPr>
          <w:rFonts w:hint="eastAsia" w:ascii="宋体" w:hAnsi="宋体" w:cs="宋体"/>
          <w:kern w:val="0"/>
          <w:szCs w:val="21"/>
        </w:rPr>
        <w:t>由采购人代表和评审专家组成，成员人数应当为3人以上单数，其中评审专家不得少于成员总数的三分之二，采购人或者采购代理机构应当从相关评审专家库中，通过随机方式抽取评审专家。</w:t>
      </w:r>
    </w:p>
    <w:p>
      <w:pPr>
        <w:pageBreakBefore w:val="0"/>
        <w:widowControl w:val="0"/>
        <w:kinsoku/>
        <w:wordWrap/>
        <w:overflowPunct/>
        <w:topLinePunct w:val="0"/>
        <w:autoSpaceDE w:val="0"/>
        <w:autoSpaceDN w:val="0"/>
        <w:bidi w:val="0"/>
        <w:adjustRightInd w:val="0"/>
        <w:spacing w:line="380" w:lineRule="exact"/>
        <w:ind w:firstLine="630" w:firstLineChars="300"/>
        <w:textAlignment w:val="auto"/>
        <w:rPr>
          <w:rFonts w:ascii="宋体" w:hAnsi="宋体" w:cs="宋体"/>
          <w:kern w:val="0"/>
          <w:szCs w:val="21"/>
        </w:rPr>
      </w:pPr>
      <w:r>
        <w:rPr>
          <w:rFonts w:hint="eastAsia" w:ascii="宋体" w:hAnsi="宋体" w:cs="宋体"/>
          <w:kern w:val="0"/>
          <w:szCs w:val="21"/>
        </w:rPr>
        <w:t>5.2.3磋商小组应当按照磋商文件中规定的评审方法和标准，对通过资格审查、符合性审查的磋商文件进行商务和技术评估，综合比较与评价，</w:t>
      </w:r>
      <w:r>
        <w:rPr>
          <w:rFonts w:hint="eastAsia" w:ascii="宋体" w:hAnsi="宋体" w:cs="宋体"/>
          <w:bCs/>
          <w:szCs w:val="21"/>
          <w:lang w:val="zh-CN"/>
        </w:rPr>
        <w:t>推荐1-3名成交候选人，并出具评审报告。</w:t>
      </w:r>
    </w:p>
    <w:p>
      <w:pPr>
        <w:pageBreakBefore w:val="0"/>
        <w:widowControl w:val="0"/>
        <w:kinsoku/>
        <w:wordWrap/>
        <w:overflowPunct/>
        <w:topLinePunct w:val="0"/>
        <w:autoSpaceDE w:val="0"/>
        <w:autoSpaceDN w:val="0"/>
        <w:bidi w:val="0"/>
        <w:adjustRightInd w:val="0"/>
        <w:spacing w:line="380" w:lineRule="exact"/>
        <w:textAlignment w:val="auto"/>
        <w:rPr>
          <w:rFonts w:ascii="宋体" w:hAnsi="宋体" w:cs="宋体"/>
          <w:b/>
          <w:szCs w:val="21"/>
        </w:rPr>
      </w:pPr>
      <w:r>
        <w:rPr>
          <w:rFonts w:hint="eastAsia" w:ascii="宋体" w:hAnsi="宋体" w:cs="宋体"/>
          <w:b/>
          <w:szCs w:val="21"/>
        </w:rPr>
        <w:t>5.3、</w:t>
      </w:r>
      <w:r>
        <w:rPr>
          <w:rFonts w:hint="eastAsia" w:ascii="宋体" w:hAnsi="宋体" w:cs="宋体"/>
          <w:b/>
          <w:szCs w:val="21"/>
          <w:lang w:val="zh-CN"/>
        </w:rPr>
        <w:t>磋商过程的保密性</w:t>
      </w:r>
    </w:p>
    <w:p>
      <w:pPr>
        <w:pageBreakBefore w:val="0"/>
        <w:widowControl w:val="0"/>
        <w:kinsoku/>
        <w:wordWrap/>
        <w:overflowPunct/>
        <w:topLinePunct w:val="0"/>
        <w:autoSpaceDE w:val="0"/>
        <w:autoSpaceDN w:val="0"/>
        <w:bidi w:val="0"/>
        <w:adjustRightInd w:val="0"/>
        <w:spacing w:line="380" w:lineRule="exact"/>
        <w:ind w:firstLine="420" w:firstLineChars="200"/>
        <w:textAlignment w:val="auto"/>
        <w:rPr>
          <w:rFonts w:ascii="宋体" w:hAnsi="宋体" w:cs="宋体"/>
          <w:b/>
          <w:szCs w:val="21"/>
        </w:rPr>
      </w:pPr>
      <w:r>
        <w:rPr>
          <w:rFonts w:hint="eastAsia" w:ascii="宋体" w:hAnsi="宋体" w:cs="宋体"/>
          <w:bCs/>
          <w:szCs w:val="21"/>
        </w:rPr>
        <w:t>5.3.1</w:t>
      </w:r>
      <w:r>
        <w:rPr>
          <w:rFonts w:hint="eastAsia" w:ascii="宋体" w:hAnsi="宋体" w:cs="宋体"/>
          <w:szCs w:val="21"/>
          <w:lang w:val="zh-CN"/>
        </w:rPr>
        <w:t>采购人或采购代理机构将采取必要的措施，保证磋商在严格保密的情况下进行。</w:t>
      </w:r>
    </w:p>
    <w:p>
      <w:pPr>
        <w:pageBreakBefore w:val="0"/>
        <w:widowControl w:val="0"/>
        <w:kinsoku/>
        <w:wordWrap/>
        <w:overflowPunct/>
        <w:topLinePunct w:val="0"/>
        <w:autoSpaceDE w:val="0"/>
        <w:autoSpaceDN w:val="0"/>
        <w:bidi w:val="0"/>
        <w:adjustRightInd w:val="0"/>
        <w:spacing w:line="380" w:lineRule="exact"/>
        <w:ind w:firstLine="420" w:firstLineChars="200"/>
        <w:textAlignment w:val="auto"/>
        <w:rPr>
          <w:rFonts w:ascii="宋体" w:hAnsi="宋体" w:cs="宋体"/>
          <w:bCs/>
          <w:szCs w:val="21"/>
        </w:rPr>
      </w:pPr>
      <w:r>
        <w:rPr>
          <w:rFonts w:hint="eastAsia" w:ascii="宋体" w:hAnsi="宋体" w:cs="宋体"/>
          <w:bCs/>
          <w:szCs w:val="21"/>
        </w:rPr>
        <w:t>5.3.2</w:t>
      </w:r>
      <w:r>
        <w:rPr>
          <w:rFonts w:hint="eastAsia" w:ascii="宋体" w:hAnsi="宋体" w:cs="宋体"/>
          <w:bCs/>
          <w:szCs w:val="21"/>
          <w:lang w:val="zh-CN"/>
        </w:rPr>
        <w:t xml:space="preserve"> 响应文件启封后，直至向成交人授予合同时间止，凡是与审查、澄清、评价和比较的有关资料以及</w:t>
      </w:r>
      <w:r>
        <w:rPr>
          <w:rFonts w:hint="eastAsia" w:ascii="宋体" w:hAnsi="宋体" w:cs="宋体"/>
          <w:bCs/>
          <w:szCs w:val="21"/>
        </w:rPr>
        <w:t>成交</w:t>
      </w:r>
      <w:r>
        <w:rPr>
          <w:rFonts w:hint="eastAsia" w:ascii="宋体" w:hAnsi="宋体" w:cs="宋体"/>
          <w:bCs/>
          <w:szCs w:val="21"/>
          <w:lang w:val="zh-CN"/>
        </w:rPr>
        <w:t>建议等，均不得向供应商及与磋商无关的其他人员透露。</w:t>
      </w:r>
    </w:p>
    <w:p>
      <w:pPr>
        <w:pageBreakBefore w:val="0"/>
        <w:widowControl w:val="0"/>
        <w:kinsoku/>
        <w:wordWrap/>
        <w:overflowPunct/>
        <w:topLinePunct w:val="0"/>
        <w:autoSpaceDE w:val="0"/>
        <w:autoSpaceDN w:val="0"/>
        <w:bidi w:val="0"/>
        <w:adjustRightInd w:val="0"/>
        <w:spacing w:line="380" w:lineRule="exact"/>
        <w:textAlignment w:val="auto"/>
        <w:rPr>
          <w:rFonts w:ascii="宋体" w:hAnsi="宋体" w:cs="宋体"/>
          <w:bCs/>
          <w:szCs w:val="21"/>
        </w:rPr>
      </w:pPr>
      <w:r>
        <w:rPr>
          <w:rFonts w:hint="eastAsia" w:ascii="宋体" w:hAnsi="宋体" w:cs="宋体"/>
          <w:bCs/>
          <w:szCs w:val="21"/>
        </w:rPr>
        <w:t xml:space="preserve">    5.3.3</w:t>
      </w:r>
      <w:r>
        <w:rPr>
          <w:rFonts w:hint="eastAsia" w:ascii="宋体" w:hAnsi="宋体" w:cs="宋体"/>
          <w:bCs/>
          <w:szCs w:val="21"/>
          <w:lang w:val="zh-CN"/>
        </w:rPr>
        <w:t>在磋商过程中，如果供应商试图向磋商组织人和参与评定的人员施加任何影响，都将会导致其响应文件被拒绝。</w:t>
      </w:r>
    </w:p>
    <w:p>
      <w:pPr>
        <w:pageBreakBefore w:val="0"/>
        <w:widowControl w:val="0"/>
        <w:kinsoku/>
        <w:wordWrap/>
        <w:overflowPunct/>
        <w:topLinePunct w:val="0"/>
        <w:bidi w:val="0"/>
        <w:spacing w:line="380" w:lineRule="exact"/>
        <w:textAlignment w:val="auto"/>
        <w:rPr>
          <w:rFonts w:ascii="宋体" w:hAnsi="宋体" w:cs="宋体"/>
          <w:b/>
        </w:rPr>
      </w:pPr>
      <w:r>
        <w:rPr>
          <w:rFonts w:hint="eastAsia" w:ascii="宋体" w:hAnsi="宋体" w:cs="宋体"/>
          <w:b/>
        </w:rPr>
        <w:t>5.4、磋商原则</w:t>
      </w:r>
    </w:p>
    <w:p>
      <w:pPr>
        <w:pageBreakBefore w:val="0"/>
        <w:widowControl w:val="0"/>
        <w:kinsoku/>
        <w:wordWrap/>
        <w:overflowPunct/>
        <w:topLinePunct w:val="0"/>
        <w:bidi w:val="0"/>
        <w:spacing w:line="380" w:lineRule="exact"/>
        <w:ind w:firstLine="525" w:firstLineChars="250"/>
        <w:textAlignment w:val="auto"/>
        <w:rPr>
          <w:rFonts w:ascii="宋体" w:hAnsi="宋体" w:cs="宋体"/>
          <w:bCs/>
        </w:rPr>
      </w:pPr>
      <w:r>
        <w:rPr>
          <w:rFonts w:hint="eastAsia" w:ascii="宋体" w:hAnsi="宋体" w:cs="宋体"/>
          <w:bCs/>
        </w:rPr>
        <w:t>5.4.1磋商活动遵循公平、公正、科学和择优的原则。</w:t>
      </w:r>
    </w:p>
    <w:p>
      <w:pPr>
        <w:pageBreakBefore w:val="0"/>
        <w:widowControl w:val="0"/>
        <w:kinsoku/>
        <w:wordWrap/>
        <w:overflowPunct/>
        <w:topLinePunct w:val="0"/>
        <w:bidi w:val="0"/>
        <w:spacing w:line="380" w:lineRule="exact"/>
        <w:ind w:firstLine="525" w:firstLineChars="250"/>
        <w:textAlignment w:val="auto"/>
        <w:rPr>
          <w:rFonts w:ascii="宋体" w:hAnsi="宋体" w:cs="宋体"/>
          <w:bCs/>
        </w:rPr>
      </w:pPr>
      <w:r>
        <w:rPr>
          <w:rFonts w:hint="eastAsia" w:ascii="宋体" w:hAnsi="宋体" w:cs="宋体"/>
          <w:bCs/>
        </w:rPr>
        <w:t>5.4.2磋商小组按照第五章“磋商办法”规定的方法、评审因素、标准和程序对磋商文件进行评审。第五章“磋商办法”没有规定的方法、评审因素和标准，不作为评审依据。</w:t>
      </w:r>
    </w:p>
    <w:p>
      <w:pPr>
        <w:pageBreakBefore w:val="0"/>
        <w:widowControl w:val="0"/>
        <w:kinsoku/>
        <w:wordWrap/>
        <w:overflowPunct/>
        <w:topLinePunct w:val="0"/>
        <w:bidi w:val="0"/>
        <w:spacing w:line="380" w:lineRule="exact"/>
        <w:ind w:firstLine="525" w:firstLineChars="250"/>
        <w:textAlignment w:val="auto"/>
        <w:rPr>
          <w:rFonts w:ascii="宋体" w:hAnsi="宋体" w:cs="宋体"/>
          <w:bCs/>
        </w:rPr>
      </w:pPr>
      <w:r>
        <w:rPr>
          <w:rFonts w:hint="eastAsia" w:ascii="宋体" w:hAnsi="宋体" w:cs="宋体"/>
          <w:bCs/>
        </w:rPr>
        <w:t>5.4.3评审结束后，磋商小组要向采购人提交书面磋商评审报告。评审报告经磋商小组全体成员签字确认。</w:t>
      </w:r>
    </w:p>
    <w:p>
      <w:pPr>
        <w:pageBreakBefore w:val="0"/>
        <w:widowControl w:val="0"/>
        <w:kinsoku/>
        <w:wordWrap/>
        <w:overflowPunct/>
        <w:topLinePunct w:val="0"/>
        <w:bidi w:val="0"/>
        <w:spacing w:line="380" w:lineRule="exact"/>
        <w:ind w:firstLine="525" w:firstLineChars="250"/>
        <w:textAlignment w:val="auto"/>
        <w:rPr>
          <w:rFonts w:ascii="宋体" w:hAnsi="宋体" w:cs="宋体"/>
          <w:bCs/>
          <w:szCs w:val="22"/>
        </w:rPr>
      </w:pPr>
      <w:r>
        <w:rPr>
          <w:rFonts w:hint="eastAsia" w:ascii="宋体" w:hAnsi="宋体" w:cs="宋体"/>
          <w:bCs/>
          <w:szCs w:val="22"/>
        </w:rPr>
        <w:t>5.4.4磋商小组成员应当客观、公正的履行职务，遵守职业道德，对所提出的评审意见承担个人责任。</w:t>
      </w:r>
    </w:p>
    <w:p>
      <w:pPr>
        <w:pageBreakBefore w:val="0"/>
        <w:widowControl w:val="0"/>
        <w:kinsoku/>
        <w:wordWrap/>
        <w:overflowPunct/>
        <w:topLinePunct w:val="0"/>
        <w:bidi w:val="0"/>
        <w:spacing w:line="380" w:lineRule="exact"/>
        <w:ind w:firstLine="525" w:firstLineChars="250"/>
        <w:textAlignment w:val="auto"/>
        <w:rPr>
          <w:rFonts w:ascii="宋体" w:hAnsi="宋体" w:cs="宋体"/>
          <w:bCs/>
        </w:rPr>
      </w:pPr>
      <w:r>
        <w:rPr>
          <w:rFonts w:hint="eastAsia" w:ascii="宋体" w:hAnsi="宋体" w:cs="宋体"/>
          <w:bCs/>
          <w:szCs w:val="22"/>
        </w:rPr>
        <w:t>5.4.5推荐成交候选人人</w:t>
      </w:r>
      <w:r>
        <w:rPr>
          <w:rFonts w:hint="eastAsia" w:ascii="宋体" w:hAnsi="宋体" w:cs="宋体"/>
          <w:bCs/>
        </w:rPr>
        <w:t>数1-3名。</w:t>
      </w:r>
    </w:p>
    <w:p>
      <w:pPr>
        <w:pageBreakBefore w:val="0"/>
        <w:widowControl w:val="0"/>
        <w:kinsoku/>
        <w:wordWrap/>
        <w:overflowPunct/>
        <w:topLinePunct w:val="0"/>
        <w:bidi w:val="0"/>
        <w:spacing w:line="380" w:lineRule="exact"/>
        <w:ind w:firstLine="602" w:firstLineChars="250"/>
        <w:jc w:val="center"/>
        <w:textAlignment w:val="auto"/>
        <w:rPr>
          <w:rFonts w:ascii="宋体" w:hAnsi="宋体" w:cs="宋体"/>
          <w:b/>
          <w:sz w:val="24"/>
          <w:szCs w:val="22"/>
        </w:rPr>
      </w:pPr>
      <w:bookmarkStart w:id="28" w:name="_Hlt49095541"/>
      <w:bookmarkEnd w:id="28"/>
      <w:bookmarkStart w:id="29" w:name="_Toc49095154"/>
      <w:bookmarkStart w:id="30" w:name="_Toc44048762"/>
      <w:bookmarkStart w:id="31" w:name="_Toc15537"/>
      <w:bookmarkStart w:id="32" w:name="_Toc49095964"/>
      <w:bookmarkStart w:id="33" w:name="_Toc40420796"/>
      <w:bookmarkStart w:id="34" w:name="_Toc150853751"/>
      <w:bookmarkStart w:id="35" w:name="_Toc46031196"/>
      <w:bookmarkStart w:id="36" w:name="_Toc43959683"/>
      <w:bookmarkStart w:id="37" w:name="_Toc40852118"/>
      <w:bookmarkStart w:id="38" w:name="_Toc106008636"/>
      <w:bookmarkStart w:id="39" w:name="_Toc70311367"/>
      <w:bookmarkStart w:id="40" w:name="_Toc107746469"/>
      <w:bookmarkStart w:id="41" w:name="_Toc40425003"/>
      <w:bookmarkStart w:id="42" w:name="_Toc40421105"/>
      <w:bookmarkStart w:id="43" w:name="_Toc106008847"/>
      <w:bookmarkStart w:id="44" w:name="_Toc40798138"/>
      <w:bookmarkStart w:id="45" w:name="_Toc40420889"/>
      <w:bookmarkStart w:id="46" w:name="_Toc43887543"/>
      <w:r>
        <w:rPr>
          <w:rFonts w:hint="eastAsia" w:ascii="宋体" w:hAnsi="宋体" w:cs="宋体"/>
          <w:b/>
          <w:sz w:val="24"/>
          <w:szCs w:val="22"/>
        </w:rPr>
        <w:t>六、合同的授予</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pPr>
        <w:pageBreakBefore w:val="0"/>
        <w:widowControl w:val="0"/>
        <w:kinsoku/>
        <w:wordWrap/>
        <w:overflowPunct/>
        <w:topLinePunct w:val="0"/>
        <w:bidi w:val="0"/>
        <w:spacing w:line="380" w:lineRule="exact"/>
        <w:textAlignment w:val="auto"/>
        <w:rPr>
          <w:rFonts w:ascii="宋体" w:hAnsi="宋体" w:cs="宋体"/>
          <w:bCs/>
        </w:rPr>
      </w:pPr>
      <w:bookmarkStart w:id="47" w:name="_Toc237748604"/>
      <w:bookmarkStart w:id="48" w:name="_Toc224809754"/>
      <w:bookmarkStart w:id="49" w:name="_Toc240790891"/>
      <w:bookmarkStart w:id="50" w:name="_Toc237924123"/>
      <w:bookmarkStart w:id="51" w:name="_Toc237748746"/>
      <w:r>
        <w:rPr>
          <w:rFonts w:hint="eastAsia" w:ascii="宋体" w:hAnsi="宋体" w:cs="宋体"/>
          <w:b/>
        </w:rPr>
        <w:t>6.1 成交方式</w:t>
      </w:r>
      <w:bookmarkEnd w:id="47"/>
      <w:bookmarkEnd w:id="48"/>
      <w:bookmarkEnd w:id="49"/>
      <w:bookmarkEnd w:id="50"/>
      <w:bookmarkEnd w:id="51"/>
    </w:p>
    <w:p>
      <w:pPr>
        <w:pageBreakBefore w:val="0"/>
        <w:widowControl w:val="0"/>
        <w:kinsoku/>
        <w:wordWrap/>
        <w:overflowPunct/>
        <w:topLinePunct w:val="0"/>
        <w:bidi w:val="0"/>
        <w:spacing w:line="380" w:lineRule="exact"/>
        <w:ind w:firstLine="525" w:firstLineChars="250"/>
        <w:textAlignment w:val="auto"/>
        <w:rPr>
          <w:rFonts w:ascii="宋体" w:hAnsi="宋体"/>
          <w:sz w:val="24"/>
        </w:rPr>
      </w:pPr>
      <w:bookmarkStart w:id="52" w:name="_Toc237924124"/>
      <w:bookmarkStart w:id="53" w:name="_Toc224809755"/>
      <w:bookmarkStart w:id="54" w:name="_Toc237748747"/>
      <w:bookmarkStart w:id="55" w:name="_Toc237748605"/>
      <w:bookmarkStart w:id="56" w:name="_Toc240790892"/>
      <w:r>
        <w:rPr>
          <w:rFonts w:hint="eastAsia" w:ascii="宋体" w:hAnsi="宋体" w:cs="宋体"/>
          <w:bCs/>
        </w:rPr>
        <w:t>采购人将根据磋商评审报告，确定</w:t>
      </w:r>
      <w:r>
        <w:rPr>
          <w:rFonts w:ascii="宋体" w:hAnsi="宋体"/>
          <w:spacing w:val="-6"/>
          <w:szCs w:val="21"/>
        </w:rPr>
        <w:t>排名第一的</w:t>
      </w:r>
      <w:r>
        <w:rPr>
          <w:rFonts w:hint="eastAsia" w:ascii="宋体" w:hAnsi="宋体"/>
          <w:spacing w:val="-6"/>
          <w:szCs w:val="21"/>
        </w:rPr>
        <w:t>成交</w:t>
      </w:r>
      <w:r>
        <w:rPr>
          <w:rFonts w:ascii="宋体" w:hAnsi="宋体"/>
          <w:spacing w:val="-6"/>
          <w:szCs w:val="21"/>
        </w:rPr>
        <w:t>候选人为</w:t>
      </w:r>
      <w:r>
        <w:rPr>
          <w:rFonts w:hint="eastAsia" w:ascii="宋体" w:hAnsi="宋体"/>
          <w:szCs w:val="21"/>
        </w:rPr>
        <w:t>成交人</w:t>
      </w:r>
      <w:r>
        <w:rPr>
          <w:rFonts w:ascii="宋体" w:hAnsi="宋体"/>
          <w:spacing w:val="-6"/>
          <w:szCs w:val="21"/>
        </w:rPr>
        <w:t>。</w:t>
      </w:r>
      <w:r>
        <w:rPr>
          <w:rFonts w:ascii="宋体" w:hAnsi="宋体"/>
          <w:szCs w:val="21"/>
        </w:rPr>
        <w:t>当确定</w:t>
      </w:r>
      <w:r>
        <w:rPr>
          <w:rFonts w:hint="eastAsia" w:ascii="宋体" w:hAnsi="宋体"/>
          <w:szCs w:val="21"/>
        </w:rPr>
        <w:t>成交</w:t>
      </w:r>
      <w:r>
        <w:rPr>
          <w:rFonts w:ascii="宋体" w:hAnsi="宋体"/>
          <w:szCs w:val="21"/>
        </w:rPr>
        <w:t>的</w:t>
      </w:r>
      <w:r>
        <w:rPr>
          <w:rFonts w:hint="eastAsia" w:ascii="宋体" w:hAnsi="宋体"/>
          <w:szCs w:val="21"/>
        </w:rPr>
        <w:t>成交</w:t>
      </w:r>
      <w:r>
        <w:rPr>
          <w:rFonts w:ascii="宋体" w:hAnsi="宋体"/>
          <w:szCs w:val="21"/>
        </w:rPr>
        <w:t>候选人放弃</w:t>
      </w:r>
      <w:r>
        <w:rPr>
          <w:rFonts w:hint="eastAsia" w:ascii="宋体" w:hAnsi="宋体"/>
          <w:szCs w:val="21"/>
        </w:rPr>
        <w:t>成交、</w:t>
      </w:r>
      <w:r>
        <w:rPr>
          <w:rFonts w:ascii="宋体" w:hAnsi="宋体"/>
          <w:szCs w:val="21"/>
        </w:rPr>
        <w:t>因不可抗力提出不能履行合同</w:t>
      </w:r>
      <w:r>
        <w:rPr>
          <w:rFonts w:hint="eastAsia" w:ascii="宋体" w:hAnsi="宋体"/>
          <w:szCs w:val="21"/>
        </w:rPr>
        <w:t>、</w:t>
      </w:r>
      <w:r>
        <w:rPr>
          <w:rFonts w:ascii="宋体" w:hAnsi="宋体"/>
          <w:szCs w:val="21"/>
        </w:rPr>
        <w:t>不按规定向</w:t>
      </w:r>
      <w:r>
        <w:rPr>
          <w:rFonts w:hint="eastAsia" w:ascii="宋体" w:hAnsi="宋体"/>
          <w:szCs w:val="21"/>
        </w:rPr>
        <w:t>采购人</w:t>
      </w:r>
      <w:r>
        <w:rPr>
          <w:rFonts w:ascii="宋体" w:hAnsi="宋体"/>
          <w:szCs w:val="21"/>
        </w:rPr>
        <w:t>交纳履约保证金的，</w:t>
      </w:r>
      <w:r>
        <w:rPr>
          <w:rFonts w:hint="eastAsia" w:ascii="宋体" w:hAnsi="宋体"/>
          <w:szCs w:val="21"/>
        </w:rPr>
        <w:t>采购人</w:t>
      </w:r>
      <w:r>
        <w:rPr>
          <w:rFonts w:ascii="宋体" w:hAnsi="宋体"/>
          <w:szCs w:val="21"/>
        </w:rPr>
        <w:t>可以按序确定排名第二的</w:t>
      </w:r>
      <w:r>
        <w:rPr>
          <w:rFonts w:hint="eastAsia" w:ascii="宋体" w:hAnsi="宋体"/>
          <w:szCs w:val="21"/>
        </w:rPr>
        <w:t>成交</w:t>
      </w:r>
      <w:r>
        <w:rPr>
          <w:rFonts w:ascii="宋体" w:hAnsi="宋体"/>
          <w:szCs w:val="21"/>
        </w:rPr>
        <w:t>候选人为</w:t>
      </w:r>
      <w:r>
        <w:rPr>
          <w:rFonts w:hint="eastAsia" w:ascii="宋体" w:hAnsi="宋体"/>
          <w:szCs w:val="21"/>
        </w:rPr>
        <w:t>成交人</w:t>
      </w:r>
      <w:r>
        <w:rPr>
          <w:rFonts w:ascii="宋体" w:hAnsi="宋体"/>
          <w:sz w:val="24"/>
        </w:rPr>
        <w:t>。</w:t>
      </w:r>
    </w:p>
    <w:p>
      <w:pPr>
        <w:pageBreakBefore w:val="0"/>
        <w:widowControl w:val="0"/>
        <w:kinsoku/>
        <w:wordWrap/>
        <w:overflowPunct/>
        <w:topLinePunct w:val="0"/>
        <w:autoSpaceDE w:val="0"/>
        <w:autoSpaceDN w:val="0"/>
        <w:bidi w:val="0"/>
        <w:adjustRightInd w:val="0"/>
        <w:snapToGrid w:val="0"/>
        <w:spacing w:line="380" w:lineRule="exact"/>
        <w:jc w:val="left"/>
        <w:textAlignment w:val="auto"/>
        <w:rPr>
          <w:rFonts w:ascii="宋体" w:hAnsi="宋体"/>
          <w:b/>
        </w:rPr>
      </w:pPr>
      <w:r>
        <w:rPr>
          <w:rFonts w:hint="eastAsia" w:ascii="宋体" w:hAnsi="宋体"/>
          <w:b/>
        </w:rPr>
        <w:t>6</w:t>
      </w:r>
      <w:r>
        <w:rPr>
          <w:rFonts w:ascii="宋体" w:hAnsi="宋体"/>
          <w:b/>
        </w:rPr>
        <w:t xml:space="preserve">.2 </w:t>
      </w:r>
      <w:r>
        <w:rPr>
          <w:rFonts w:hint="eastAsia" w:ascii="宋体" w:hAnsi="宋体"/>
          <w:b/>
        </w:rPr>
        <w:t>成交通知</w:t>
      </w:r>
      <w:bookmarkEnd w:id="52"/>
      <w:bookmarkEnd w:id="53"/>
      <w:bookmarkEnd w:id="54"/>
      <w:bookmarkEnd w:id="55"/>
      <w:bookmarkEnd w:id="56"/>
    </w:p>
    <w:p>
      <w:pPr>
        <w:pageBreakBefore w:val="0"/>
        <w:widowControl w:val="0"/>
        <w:kinsoku/>
        <w:wordWrap/>
        <w:overflowPunct/>
        <w:topLinePunct w:val="0"/>
        <w:autoSpaceDE w:val="0"/>
        <w:autoSpaceDN w:val="0"/>
        <w:bidi w:val="0"/>
        <w:adjustRightInd w:val="0"/>
        <w:snapToGrid w:val="0"/>
        <w:spacing w:line="380" w:lineRule="exact"/>
        <w:ind w:firstLine="424" w:firstLineChars="202"/>
        <w:jc w:val="left"/>
        <w:textAlignment w:val="auto"/>
        <w:rPr>
          <w:rFonts w:ascii="宋体" w:hAnsi="宋体"/>
        </w:rPr>
      </w:pPr>
      <w:r>
        <w:rPr>
          <w:rFonts w:hint="eastAsia" w:ascii="宋体" w:hAnsi="宋体"/>
        </w:rPr>
        <w:t>在磋商文件规定的投标有效期内，采购人以书面形式向成交人发出成交通知书，同时将成交结果通知未成交的供应商。</w:t>
      </w:r>
    </w:p>
    <w:p>
      <w:pPr>
        <w:pageBreakBefore w:val="0"/>
        <w:widowControl w:val="0"/>
        <w:kinsoku/>
        <w:wordWrap/>
        <w:overflowPunct/>
        <w:topLinePunct w:val="0"/>
        <w:autoSpaceDE w:val="0"/>
        <w:autoSpaceDN w:val="0"/>
        <w:bidi w:val="0"/>
        <w:adjustRightInd w:val="0"/>
        <w:snapToGrid w:val="0"/>
        <w:spacing w:line="380" w:lineRule="exact"/>
        <w:jc w:val="left"/>
        <w:textAlignment w:val="auto"/>
        <w:rPr>
          <w:rFonts w:ascii="宋体" w:hAnsi="宋体"/>
          <w:b/>
        </w:rPr>
      </w:pPr>
      <w:bookmarkStart w:id="57" w:name="_Toc237748748"/>
      <w:bookmarkStart w:id="58" w:name="_Toc237924125"/>
      <w:bookmarkStart w:id="59" w:name="_Toc237748606"/>
      <w:bookmarkStart w:id="60" w:name="_Toc224809756"/>
      <w:bookmarkStart w:id="61" w:name="_Toc240790893"/>
      <w:r>
        <w:rPr>
          <w:rFonts w:hint="eastAsia" w:ascii="宋体" w:hAnsi="宋体"/>
          <w:b/>
        </w:rPr>
        <w:t>6</w:t>
      </w:r>
      <w:r>
        <w:rPr>
          <w:rFonts w:ascii="宋体" w:hAnsi="宋体"/>
          <w:b/>
        </w:rPr>
        <w:t xml:space="preserve">.3 </w:t>
      </w:r>
      <w:r>
        <w:rPr>
          <w:rFonts w:hint="eastAsia" w:ascii="宋体" w:hAnsi="宋体"/>
          <w:b/>
        </w:rPr>
        <w:t>履约担保</w:t>
      </w:r>
      <w:bookmarkEnd w:id="57"/>
      <w:bookmarkEnd w:id="58"/>
      <w:bookmarkEnd w:id="59"/>
      <w:bookmarkEnd w:id="60"/>
      <w:bookmarkEnd w:id="61"/>
    </w:p>
    <w:p>
      <w:pPr>
        <w:pageBreakBefore w:val="0"/>
        <w:widowControl w:val="0"/>
        <w:kinsoku/>
        <w:wordWrap/>
        <w:overflowPunct/>
        <w:topLinePunct w:val="0"/>
        <w:autoSpaceDE w:val="0"/>
        <w:autoSpaceDN w:val="0"/>
        <w:bidi w:val="0"/>
        <w:adjustRightInd w:val="0"/>
        <w:snapToGrid w:val="0"/>
        <w:spacing w:line="380" w:lineRule="exact"/>
        <w:ind w:firstLine="424" w:firstLineChars="202"/>
        <w:jc w:val="left"/>
        <w:textAlignment w:val="auto"/>
        <w:rPr>
          <w:rFonts w:ascii="宋体" w:hAnsi="宋体"/>
        </w:rPr>
      </w:pPr>
      <w:r>
        <w:rPr>
          <w:rFonts w:hint="eastAsia" w:ascii="宋体" w:hAnsi="宋体"/>
        </w:rPr>
        <w:t>6</w:t>
      </w:r>
      <w:r>
        <w:rPr>
          <w:rFonts w:ascii="宋体" w:hAnsi="宋体"/>
        </w:rPr>
        <w:t xml:space="preserve">.3.1 </w:t>
      </w:r>
      <w:r>
        <w:rPr>
          <w:rFonts w:hint="eastAsia" w:ascii="宋体" w:hAnsi="宋体"/>
        </w:rPr>
        <w:t>在签订合同前，成交人应按供应商须知前附表规定的金额、担保形式和磋商文件规定的履约担保格式向采购人提交履约担保。</w:t>
      </w:r>
    </w:p>
    <w:p>
      <w:pPr>
        <w:pageBreakBefore w:val="0"/>
        <w:widowControl w:val="0"/>
        <w:kinsoku/>
        <w:wordWrap/>
        <w:overflowPunct/>
        <w:topLinePunct w:val="0"/>
        <w:autoSpaceDE w:val="0"/>
        <w:autoSpaceDN w:val="0"/>
        <w:bidi w:val="0"/>
        <w:adjustRightInd w:val="0"/>
        <w:snapToGrid w:val="0"/>
        <w:spacing w:line="380" w:lineRule="exact"/>
        <w:jc w:val="left"/>
        <w:textAlignment w:val="auto"/>
        <w:rPr>
          <w:rFonts w:ascii="宋体" w:hAnsi="宋体"/>
          <w:b/>
        </w:rPr>
      </w:pPr>
      <w:bookmarkStart w:id="62" w:name="_Toc237748607"/>
      <w:bookmarkStart w:id="63" w:name="_Toc240790894"/>
      <w:bookmarkStart w:id="64" w:name="_Toc237924126"/>
      <w:bookmarkStart w:id="65" w:name="_Toc224809757"/>
      <w:bookmarkStart w:id="66" w:name="_Toc237748749"/>
      <w:r>
        <w:rPr>
          <w:rFonts w:hint="eastAsia" w:ascii="宋体" w:hAnsi="宋体"/>
          <w:b/>
        </w:rPr>
        <w:t>6</w:t>
      </w:r>
      <w:r>
        <w:rPr>
          <w:rFonts w:ascii="宋体" w:hAnsi="宋体"/>
          <w:b/>
        </w:rPr>
        <w:t xml:space="preserve">.4 </w:t>
      </w:r>
      <w:r>
        <w:rPr>
          <w:rFonts w:hint="eastAsia" w:ascii="宋体" w:hAnsi="宋体"/>
          <w:b/>
        </w:rPr>
        <w:t>签订合同</w:t>
      </w:r>
      <w:bookmarkEnd w:id="62"/>
      <w:bookmarkEnd w:id="63"/>
      <w:bookmarkEnd w:id="64"/>
      <w:bookmarkEnd w:id="65"/>
      <w:bookmarkEnd w:id="66"/>
    </w:p>
    <w:p>
      <w:pPr>
        <w:pageBreakBefore w:val="0"/>
        <w:widowControl w:val="0"/>
        <w:kinsoku/>
        <w:wordWrap/>
        <w:overflowPunct/>
        <w:topLinePunct w:val="0"/>
        <w:autoSpaceDE w:val="0"/>
        <w:autoSpaceDN w:val="0"/>
        <w:bidi w:val="0"/>
        <w:adjustRightInd w:val="0"/>
        <w:snapToGrid w:val="0"/>
        <w:spacing w:line="380" w:lineRule="exact"/>
        <w:ind w:firstLine="424" w:firstLineChars="202"/>
        <w:jc w:val="left"/>
        <w:textAlignment w:val="auto"/>
        <w:rPr>
          <w:rFonts w:ascii="宋体" w:hAnsi="宋体"/>
        </w:rPr>
      </w:pPr>
      <w:r>
        <w:rPr>
          <w:rFonts w:hint="eastAsia" w:ascii="宋体" w:hAnsi="宋体"/>
        </w:rPr>
        <w:t>6</w:t>
      </w:r>
      <w:r>
        <w:rPr>
          <w:rFonts w:ascii="宋体" w:hAnsi="宋体"/>
        </w:rPr>
        <w:t xml:space="preserve">.4.1 </w:t>
      </w:r>
      <w:r>
        <w:rPr>
          <w:rFonts w:hint="eastAsia" w:ascii="宋体" w:hAnsi="宋体"/>
        </w:rPr>
        <w:t>采购人和成交人应当自成交通知书发出之日起30天内，根据磋商文件和成交人的响应文件订立书面合同。成交人无正当理由拒签合同的，采购人取消其成交资格。</w:t>
      </w:r>
    </w:p>
    <w:p>
      <w:pPr>
        <w:pageBreakBefore w:val="0"/>
        <w:widowControl w:val="0"/>
        <w:kinsoku/>
        <w:wordWrap/>
        <w:overflowPunct/>
        <w:topLinePunct w:val="0"/>
        <w:autoSpaceDE w:val="0"/>
        <w:autoSpaceDN w:val="0"/>
        <w:bidi w:val="0"/>
        <w:adjustRightInd w:val="0"/>
        <w:snapToGrid w:val="0"/>
        <w:spacing w:line="380" w:lineRule="exact"/>
        <w:ind w:firstLine="424" w:firstLineChars="202"/>
        <w:jc w:val="left"/>
        <w:textAlignment w:val="auto"/>
        <w:rPr>
          <w:rFonts w:ascii="宋体" w:hAnsi="宋体"/>
        </w:rPr>
      </w:pPr>
      <w:r>
        <w:rPr>
          <w:rFonts w:hint="eastAsia" w:ascii="宋体" w:hAnsi="宋体"/>
        </w:rPr>
        <w:t>6</w:t>
      </w:r>
      <w:r>
        <w:rPr>
          <w:rFonts w:ascii="宋体" w:hAnsi="宋体"/>
        </w:rPr>
        <w:t xml:space="preserve">.4.2 </w:t>
      </w:r>
      <w:r>
        <w:rPr>
          <w:rFonts w:hint="eastAsia" w:ascii="宋体" w:hAnsi="宋体"/>
        </w:rPr>
        <w:t xml:space="preserve">发出成交通知书后，采购人无正当理由拒签合同的，给成交人造成损失的，还应当赔偿损失。  </w:t>
      </w:r>
    </w:p>
    <w:p>
      <w:pPr>
        <w:pageBreakBefore w:val="0"/>
        <w:widowControl w:val="0"/>
        <w:kinsoku/>
        <w:wordWrap/>
        <w:overflowPunct/>
        <w:topLinePunct w:val="0"/>
        <w:autoSpaceDE w:val="0"/>
        <w:autoSpaceDN w:val="0"/>
        <w:bidi w:val="0"/>
        <w:adjustRightInd w:val="0"/>
        <w:snapToGrid w:val="0"/>
        <w:spacing w:line="380" w:lineRule="exact"/>
        <w:ind w:firstLine="487" w:firstLineChars="202"/>
        <w:jc w:val="center"/>
        <w:textAlignment w:val="auto"/>
        <w:rPr>
          <w:rFonts w:ascii="宋体" w:hAnsi="宋体"/>
          <w:b/>
          <w:bCs/>
          <w:sz w:val="24"/>
          <w:szCs w:val="22"/>
        </w:rPr>
      </w:pPr>
      <w:bookmarkStart w:id="67" w:name="_Toc26828"/>
      <w:bookmarkStart w:id="68" w:name="_Toc150853752"/>
      <w:bookmarkStart w:id="69" w:name="_Toc103498144"/>
      <w:r>
        <w:rPr>
          <w:rFonts w:hint="eastAsia" w:ascii="宋体" w:hAnsi="宋体"/>
          <w:b/>
          <w:bCs/>
          <w:sz w:val="24"/>
          <w:szCs w:val="22"/>
        </w:rPr>
        <w:t>七、其他</w:t>
      </w:r>
    </w:p>
    <w:p>
      <w:pPr>
        <w:pageBreakBefore w:val="0"/>
        <w:widowControl w:val="0"/>
        <w:kinsoku/>
        <w:wordWrap/>
        <w:overflowPunct/>
        <w:topLinePunct w:val="0"/>
        <w:autoSpaceDE w:val="0"/>
        <w:autoSpaceDN w:val="0"/>
        <w:bidi w:val="0"/>
        <w:adjustRightInd w:val="0"/>
        <w:snapToGrid w:val="0"/>
        <w:spacing w:line="380" w:lineRule="exact"/>
        <w:ind w:firstLine="424" w:firstLineChars="202"/>
        <w:jc w:val="left"/>
        <w:textAlignment w:val="auto"/>
        <w:sectPr>
          <w:pgSz w:w="11906" w:h="16838"/>
          <w:pgMar w:top="1440" w:right="1800" w:bottom="1440" w:left="1800" w:header="851" w:footer="992" w:gutter="0"/>
          <w:cols w:space="425" w:num="1"/>
          <w:docGrid w:type="lines" w:linePitch="312" w:charSpace="0"/>
        </w:sectPr>
      </w:pPr>
      <w:r>
        <w:rPr>
          <w:rFonts w:hint="eastAsia" w:ascii="宋体" w:hAnsi="宋体"/>
        </w:rPr>
        <w:t>注：其他内容见供应商须知</w:t>
      </w:r>
      <w:r>
        <w:rPr>
          <w:rFonts w:hint="eastAsia"/>
        </w:rPr>
        <w:t>前附表</w:t>
      </w:r>
    </w:p>
    <w:p>
      <w:pPr>
        <w:autoSpaceDE w:val="0"/>
        <w:autoSpaceDN w:val="0"/>
        <w:adjustRightInd w:val="0"/>
        <w:spacing w:line="360" w:lineRule="auto"/>
        <w:jc w:val="center"/>
        <w:outlineLvl w:val="0"/>
        <w:rPr>
          <w:rFonts w:ascii="宋体" w:hAnsi="宋体"/>
          <w:b/>
          <w:sz w:val="36"/>
        </w:rPr>
      </w:pPr>
      <w:r>
        <w:rPr>
          <w:rFonts w:hint="eastAsia" w:ascii="宋体" w:hAnsi="宋体"/>
          <w:b/>
          <w:sz w:val="36"/>
        </w:rPr>
        <w:t>第三章合同条款</w:t>
      </w:r>
      <w:bookmarkEnd w:id="67"/>
    </w:p>
    <w:bookmarkEnd w:id="68"/>
    <w:bookmarkEnd w:id="69"/>
    <w:p>
      <w:pPr>
        <w:jc w:val="right"/>
        <w:rPr>
          <w:rFonts w:ascii="黑体" w:hAnsi="黑体" w:eastAsia="黑体"/>
          <w:b/>
          <w:sz w:val="28"/>
          <w:szCs w:val="22"/>
        </w:rPr>
      </w:pPr>
      <w:bookmarkStart w:id="70" w:name="_Toc24677"/>
    </w:p>
    <w:p>
      <w:pPr>
        <w:autoSpaceDN w:val="0"/>
        <w:jc w:val="center"/>
        <w:outlineLvl w:val="1"/>
        <w:rPr>
          <w:rFonts w:hint="default" w:cs="宋体"/>
          <w:sz w:val="36"/>
          <w:szCs w:val="24"/>
        </w:rPr>
      </w:pPr>
      <w:bookmarkStart w:id="71" w:name="_Toc31695"/>
      <w:r>
        <w:rPr>
          <w:rFonts w:hint="eastAsia" w:cs="宋体"/>
          <w:b/>
          <w:sz w:val="36"/>
          <w:szCs w:val="24"/>
        </w:rPr>
        <w:t>工程施工承包合同</w:t>
      </w:r>
      <w:bookmarkEnd w:id="71"/>
    </w:p>
    <w:p>
      <w:pPr>
        <w:tabs>
          <w:tab w:val="left" w:pos="6840"/>
        </w:tabs>
        <w:autoSpaceDN w:val="0"/>
        <w:ind w:firstLine="720"/>
        <w:jc w:val="center"/>
        <w:outlineLvl w:val="1"/>
        <w:rPr>
          <w:rFonts w:hint="default" w:cs="宋体"/>
          <w:i/>
          <w:color w:val="FF0000"/>
          <w:sz w:val="36"/>
          <w:szCs w:val="24"/>
        </w:rPr>
      </w:pPr>
    </w:p>
    <w:p>
      <w:pPr>
        <w:ind w:firstLine="562"/>
        <w:rPr>
          <w:rFonts w:hint="default" w:cs="宋体"/>
          <w:b/>
          <w:sz w:val="28"/>
          <w:szCs w:val="24"/>
          <w:u w:val="single"/>
        </w:rPr>
      </w:pPr>
      <w:r>
        <w:rPr>
          <w:rFonts w:hint="eastAsia" w:cs="宋体"/>
          <w:b/>
          <w:sz w:val="28"/>
          <w:szCs w:val="24"/>
        </w:rPr>
        <w:t>发包人：</w:t>
      </w:r>
      <w:r>
        <w:rPr>
          <w:rFonts w:hint="default" w:cs="宋体"/>
          <w:b/>
          <w:sz w:val="28"/>
          <w:szCs w:val="28"/>
          <w:u w:val="single"/>
        </w:rPr>
        <w:t xml:space="preserve">                         </w:t>
      </w:r>
      <w:r>
        <w:rPr>
          <w:rFonts w:hint="eastAsia" w:cs="宋体"/>
          <w:b/>
          <w:sz w:val="28"/>
          <w:szCs w:val="24"/>
        </w:rPr>
        <w:t>（以下简称“甲方”）</w:t>
      </w:r>
    </w:p>
    <w:p>
      <w:pPr>
        <w:ind w:firstLine="562"/>
        <w:rPr>
          <w:rFonts w:hint="default" w:cs="宋体"/>
          <w:b/>
          <w:sz w:val="28"/>
          <w:szCs w:val="22"/>
        </w:rPr>
      </w:pPr>
      <w:r>
        <w:rPr>
          <w:rFonts w:hint="eastAsia" w:cs="宋体"/>
          <w:b/>
          <w:sz w:val="28"/>
          <w:szCs w:val="22"/>
        </w:rPr>
        <w:t>承包人：</w:t>
      </w:r>
      <w:r>
        <w:rPr>
          <w:rFonts w:hint="default" w:cs="宋体"/>
          <w:b/>
          <w:sz w:val="28"/>
          <w:szCs w:val="22"/>
          <w:u w:val="single"/>
        </w:rPr>
        <w:t xml:space="preserve">                        </w:t>
      </w:r>
      <w:r>
        <w:rPr>
          <w:rFonts w:hint="eastAsia" w:cs="宋体"/>
          <w:b/>
          <w:sz w:val="28"/>
          <w:szCs w:val="22"/>
        </w:rPr>
        <w:t>（以下简称“乙方”）</w:t>
      </w:r>
    </w:p>
    <w:p>
      <w:pPr>
        <w:spacing w:line="360" w:lineRule="auto"/>
        <w:ind w:firstLine="480"/>
        <w:rPr>
          <w:rFonts w:hint="default" w:cs="宋体"/>
          <w:sz w:val="24"/>
          <w:szCs w:val="24"/>
        </w:rPr>
      </w:pPr>
      <w:r>
        <w:rPr>
          <w:rFonts w:hint="eastAsia" w:cs="宋体"/>
          <w:sz w:val="24"/>
          <w:szCs w:val="24"/>
        </w:rPr>
        <w:t>根据《中华人民共和国民法典》、《中华人民共和国建筑法》及其他相关法律、法规的规定，遵循平等、自愿、公平和诚实信用原则，甲乙双方现对合同项下</w:t>
      </w:r>
      <w:r>
        <w:rPr>
          <w:rFonts w:hint="default" w:cs="宋体"/>
          <w:b/>
          <w:sz w:val="24"/>
          <w:szCs w:val="24"/>
          <w:u w:val="single"/>
        </w:rPr>
        <w:t xml:space="preserve">     </w:t>
      </w:r>
      <w:r>
        <w:rPr>
          <w:rFonts w:hint="eastAsia" w:cs="宋体"/>
          <w:sz w:val="24"/>
          <w:szCs w:val="24"/>
        </w:rPr>
        <w:t>工程施工事宜，达成一致意见并签订如下合同，以资信守。</w:t>
      </w:r>
    </w:p>
    <w:p>
      <w:pPr>
        <w:spacing w:line="360" w:lineRule="auto"/>
        <w:ind w:firstLine="480"/>
        <w:outlineLvl w:val="2"/>
        <w:rPr>
          <w:rFonts w:hint="default" w:cs="宋体"/>
          <w:sz w:val="24"/>
          <w:szCs w:val="24"/>
        </w:rPr>
      </w:pPr>
      <w:r>
        <w:rPr>
          <w:rFonts w:hint="eastAsia" w:cs="宋体"/>
          <w:sz w:val="24"/>
          <w:szCs w:val="24"/>
        </w:rPr>
        <w:t>第一条 工程概况</w:t>
      </w:r>
    </w:p>
    <w:p>
      <w:pPr>
        <w:spacing w:line="360" w:lineRule="auto"/>
        <w:ind w:firstLine="480"/>
        <w:rPr>
          <w:rFonts w:hint="default" w:cs="宋体"/>
          <w:b/>
          <w:sz w:val="24"/>
          <w:szCs w:val="24"/>
          <w:u w:val="single"/>
        </w:rPr>
      </w:pPr>
      <w:r>
        <w:rPr>
          <w:rFonts w:hint="default" w:cs="宋体"/>
          <w:sz w:val="24"/>
          <w:szCs w:val="24"/>
        </w:rPr>
        <w:t>1</w:t>
      </w:r>
      <w:r>
        <w:rPr>
          <w:rFonts w:hint="eastAsia" w:cs="宋体"/>
          <w:sz w:val="24"/>
          <w:szCs w:val="24"/>
        </w:rPr>
        <w:t>、工程名称：</w:t>
      </w:r>
      <w:r>
        <w:rPr>
          <w:rFonts w:hint="default" w:cs="宋体"/>
          <w:b/>
          <w:sz w:val="24"/>
          <w:szCs w:val="24"/>
          <w:u w:val="single"/>
        </w:rPr>
        <w:t xml:space="preserve">                                   </w:t>
      </w:r>
    </w:p>
    <w:p>
      <w:pPr>
        <w:pStyle w:val="85"/>
        <w:spacing w:line="360" w:lineRule="auto"/>
        <w:ind w:firstLine="480"/>
        <w:rPr>
          <w:rFonts w:hint="default" w:cs="宋体"/>
          <w:sz w:val="24"/>
          <w:szCs w:val="24"/>
          <w:u w:val="single"/>
        </w:rPr>
      </w:pPr>
      <w:r>
        <w:rPr>
          <w:rFonts w:hint="default" w:cs="宋体"/>
          <w:sz w:val="24"/>
          <w:szCs w:val="24"/>
        </w:rPr>
        <w:t>2</w:t>
      </w:r>
      <w:r>
        <w:rPr>
          <w:rFonts w:hint="eastAsia" w:cs="宋体"/>
          <w:sz w:val="24"/>
          <w:szCs w:val="24"/>
        </w:rPr>
        <w:t>、工程地点：</w:t>
      </w:r>
      <w:r>
        <w:rPr>
          <w:rFonts w:hint="default" w:cs="宋体"/>
          <w:b/>
          <w:sz w:val="24"/>
          <w:szCs w:val="24"/>
          <w:u w:val="single"/>
        </w:rPr>
        <w:t xml:space="preserve">                                   </w:t>
      </w:r>
    </w:p>
    <w:p>
      <w:pPr>
        <w:spacing w:line="360" w:lineRule="auto"/>
        <w:ind w:firstLine="480"/>
        <w:outlineLvl w:val="2"/>
        <w:rPr>
          <w:rFonts w:hint="default" w:cs="宋体"/>
          <w:sz w:val="24"/>
          <w:szCs w:val="24"/>
        </w:rPr>
      </w:pPr>
      <w:r>
        <w:rPr>
          <w:rFonts w:hint="eastAsia" w:cs="宋体"/>
          <w:sz w:val="24"/>
          <w:szCs w:val="24"/>
        </w:rPr>
        <w:t>第二条 承包范围及承包方式</w:t>
      </w:r>
    </w:p>
    <w:p>
      <w:pPr>
        <w:spacing w:line="360" w:lineRule="auto"/>
        <w:ind w:firstLine="480"/>
        <w:rPr>
          <w:rFonts w:hint="default" w:cs="宋体"/>
          <w:sz w:val="24"/>
          <w:szCs w:val="24"/>
          <w:u w:val="single"/>
        </w:rPr>
      </w:pPr>
      <w:r>
        <w:rPr>
          <w:rFonts w:hint="default" w:cs="宋体"/>
          <w:sz w:val="24"/>
          <w:szCs w:val="24"/>
        </w:rPr>
        <w:t>1</w:t>
      </w:r>
      <w:r>
        <w:rPr>
          <w:rFonts w:hint="eastAsia" w:cs="宋体"/>
          <w:sz w:val="24"/>
          <w:szCs w:val="24"/>
        </w:rPr>
        <w:t>、承包范围：</w:t>
      </w:r>
      <w:r>
        <w:rPr>
          <w:rFonts w:hint="default" w:cs="宋体"/>
          <w:sz w:val="24"/>
          <w:szCs w:val="24"/>
          <w:u w:val="single"/>
        </w:rPr>
        <w:t xml:space="preserve">                        </w:t>
      </w:r>
      <w:r>
        <w:rPr>
          <w:rFonts w:hint="eastAsia" w:cs="宋体"/>
          <w:sz w:val="24"/>
          <w:szCs w:val="24"/>
          <w:u w:val="single"/>
        </w:rPr>
        <w:t>（详采购需求）。</w:t>
      </w:r>
    </w:p>
    <w:p>
      <w:pPr>
        <w:spacing w:line="360" w:lineRule="auto"/>
        <w:ind w:firstLine="480"/>
        <w:rPr>
          <w:rFonts w:hint="default" w:cs="宋体"/>
          <w:color w:val="000000"/>
          <w:sz w:val="24"/>
          <w:szCs w:val="24"/>
        </w:rPr>
      </w:pPr>
      <w:r>
        <w:rPr>
          <w:rFonts w:hint="default" w:cs="宋体"/>
          <w:sz w:val="24"/>
          <w:szCs w:val="24"/>
        </w:rPr>
        <w:t>2</w:t>
      </w:r>
      <w:r>
        <w:rPr>
          <w:rFonts w:hint="eastAsia" w:cs="宋体"/>
          <w:sz w:val="24"/>
          <w:szCs w:val="24"/>
        </w:rPr>
        <w:t>、承包方式：包设计、包工包料、包质量、包工期、包安全、包综合验收</w:t>
      </w:r>
      <w:r>
        <w:rPr>
          <w:rFonts w:hint="eastAsia" w:cs="宋体"/>
          <w:color w:val="000000"/>
          <w:sz w:val="24"/>
          <w:szCs w:val="24"/>
        </w:rPr>
        <w:t>。</w:t>
      </w:r>
    </w:p>
    <w:p>
      <w:pPr>
        <w:spacing w:line="360" w:lineRule="auto"/>
        <w:ind w:firstLine="480"/>
        <w:outlineLvl w:val="2"/>
        <w:rPr>
          <w:rFonts w:hint="default" w:cs="宋体"/>
          <w:color w:val="FF0000"/>
          <w:sz w:val="24"/>
          <w:szCs w:val="24"/>
        </w:rPr>
      </w:pPr>
      <w:r>
        <w:rPr>
          <w:rFonts w:hint="eastAsia" w:cs="宋体"/>
          <w:sz w:val="24"/>
          <w:szCs w:val="24"/>
        </w:rPr>
        <w:t>第三条 合同价款、支付及结算</w:t>
      </w:r>
    </w:p>
    <w:p>
      <w:pPr>
        <w:spacing w:line="360" w:lineRule="auto"/>
        <w:ind w:firstLine="480"/>
        <w:rPr>
          <w:rFonts w:hint="default" w:cs="宋体"/>
          <w:color w:val="000000"/>
          <w:sz w:val="24"/>
          <w:szCs w:val="24"/>
        </w:rPr>
      </w:pPr>
      <w:r>
        <w:rPr>
          <w:rFonts w:hint="default" w:cs="宋体"/>
          <w:color w:val="000000"/>
          <w:sz w:val="24"/>
          <w:szCs w:val="24"/>
        </w:rPr>
        <w:t>1</w:t>
      </w:r>
      <w:r>
        <w:rPr>
          <w:rFonts w:hint="eastAsia" w:cs="宋体"/>
          <w:color w:val="000000"/>
          <w:sz w:val="24"/>
          <w:szCs w:val="24"/>
        </w:rPr>
        <w:t>、合同固定总价（以下简称“合同总价”）大写：人民币</w:t>
      </w:r>
      <w:r>
        <w:rPr>
          <w:rFonts w:hint="default" w:cs="宋体"/>
          <w:color w:val="000000"/>
          <w:sz w:val="24"/>
          <w:szCs w:val="24"/>
          <w:u w:val="single"/>
        </w:rPr>
        <w:t xml:space="preserve">       </w:t>
      </w:r>
      <w:r>
        <w:rPr>
          <w:rFonts w:hint="eastAsia" w:cs="宋体"/>
          <w:color w:val="000000"/>
          <w:sz w:val="24"/>
          <w:szCs w:val="24"/>
        </w:rPr>
        <w:t>（小写：</w:t>
      </w:r>
      <w:r>
        <w:rPr>
          <w:rFonts w:hint="eastAsia" w:cs="宋体"/>
          <w:color w:val="000000"/>
          <w:sz w:val="24"/>
          <w:szCs w:val="24"/>
          <w:u w:val="single"/>
        </w:rPr>
        <w:t xml:space="preserve">￥      </w:t>
      </w:r>
      <w:r>
        <w:rPr>
          <w:rFonts w:hint="eastAsia" w:cs="宋体"/>
          <w:color w:val="000000"/>
          <w:sz w:val="24"/>
          <w:szCs w:val="24"/>
        </w:rPr>
        <w:t>元）。</w:t>
      </w:r>
    </w:p>
    <w:p>
      <w:pPr>
        <w:spacing w:line="360" w:lineRule="auto"/>
        <w:ind w:firstLine="480"/>
        <w:rPr>
          <w:rFonts w:hint="default" w:cs="宋体"/>
          <w:color w:val="000000"/>
          <w:sz w:val="24"/>
          <w:szCs w:val="24"/>
        </w:rPr>
      </w:pPr>
      <w:r>
        <w:rPr>
          <w:rFonts w:hint="eastAsia" w:cs="宋体"/>
          <w:color w:val="000000"/>
          <w:sz w:val="24"/>
          <w:szCs w:val="24"/>
        </w:rPr>
        <w:t>本合同为固定总价合同，合同总价是乙方为完成工作内容的全部费用，合同总价中已包含了乙方为完成工程各项目所需要的劳务、机械、小型机具、材料及配件、水电气、安装、缺陷修复、利润、税金、环保、调遣（进出场）、临时工程的建设与拆除、治安管理、外部协调等所有费用，以及合同明示或暗示的所有责任、义务和一般风险等。</w:t>
      </w:r>
      <w:r>
        <w:rPr>
          <w:rFonts w:hint="eastAsia" w:cs="宋体"/>
          <w:b/>
          <w:color w:val="000000"/>
          <w:sz w:val="24"/>
          <w:szCs w:val="24"/>
        </w:rPr>
        <w:t>合同总价不因市场、人工、材料、政策等任何因素变更或调整。</w:t>
      </w:r>
    </w:p>
    <w:p>
      <w:pPr>
        <w:numPr>
          <w:ilvl w:val="0"/>
          <w:numId w:val="3"/>
        </w:numPr>
        <w:spacing w:line="360" w:lineRule="auto"/>
        <w:ind w:firstLine="480"/>
        <w:rPr>
          <w:rFonts w:hint="default" w:cs="宋体"/>
          <w:sz w:val="24"/>
          <w:szCs w:val="24"/>
        </w:rPr>
      </w:pPr>
      <w:r>
        <w:rPr>
          <w:rFonts w:hint="eastAsia"/>
          <w:color w:val="000000"/>
          <w:sz w:val="24"/>
          <w:szCs w:val="24"/>
        </w:rPr>
        <w:t>关于付款周期的约定：</w:t>
      </w:r>
      <w:r>
        <w:rPr>
          <w:rFonts w:hint="eastAsia"/>
          <w:color w:val="000000"/>
          <w:sz w:val="24"/>
          <w:szCs w:val="24"/>
          <w:highlight w:val="none"/>
          <w:u w:val="single"/>
        </w:rPr>
        <w:t>工程完工并验收合格后付至合同价的9</w:t>
      </w:r>
      <w:r>
        <w:rPr>
          <w:rFonts w:hint="eastAsia"/>
          <w:color w:val="000000"/>
          <w:sz w:val="24"/>
          <w:szCs w:val="24"/>
          <w:highlight w:val="none"/>
          <w:u w:val="single"/>
          <w:lang w:val="en-US" w:eastAsia="zh-CN"/>
        </w:rPr>
        <w:t>5</w:t>
      </w:r>
      <w:r>
        <w:rPr>
          <w:rFonts w:hint="default"/>
          <w:color w:val="000000"/>
          <w:sz w:val="24"/>
          <w:szCs w:val="24"/>
          <w:highlight w:val="none"/>
          <w:u w:val="single"/>
        </w:rPr>
        <w:t>%</w:t>
      </w:r>
      <w:r>
        <w:rPr>
          <w:rFonts w:hint="eastAsia"/>
          <w:color w:val="000000"/>
          <w:sz w:val="24"/>
          <w:szCs w:val="24"/>
          <w:highlight w:val="none"/>
          <w:u w:val="single"/>
        </w:rPr>
        <w:t>，剩余的</w:t>
      </w:r>
      <w:r>
        <w:rPr>
          <w:rFonts w:hint="eastAsia"/>
          <w:color w:val="000000"/>
          <w:sz w:val="24"/>
          <w:szCs w:val="24"/>
          <w:highlight w:val="none"/>
          <w:u w:val="single"/>
          <w:lang w:val="en-US" w:eastAsia="zh-CN"/>
        </w:rPr>
        <w:t>5</w:t>
      </w:r>
      <w:r>
        <w:rPr>
          <w:rFonts w:hint="default"/>
          <w:color w:val="000000"/>
          <w:sz w:val="24"/>
          <w:szCs w:val="24"/>
          <w:highlight w:val="none"/>
          <w:u w:val="single"/>
        </w:rPr>
        <w:t>%</w:t>
      </w:r>
      <w:r>
        <w:rPr>
          <w:rFonts w:hint="eastAsia"/>
          <w:color w:val="000000"/>
          <w:sz w:val="24"/>
          <w:szCs w:val="24"/>
          <w:highlight w:val="none"/>
          <w:u w:val="single"/>
        </w:rPr>
        <w:t>质保金，待缺陷责任期满后一次性无息支付</w:t>
      </w:r>
      <w:r>
        <w:rPr>
          <w:rFonts w:hint="eastAsia" w:cs="宋体"/>
          <w:sz w:val="24"/>
          <w:szCs w:val="24"/>
          <w:highlight w:val="none"/>
        </w:rPr>
        <w:t>。</w:t>
      </w:r>
    </w:p>
    <w:p>
      <w:pPr>
        <w:spacing w:line="360" w:lineRule="auto"/>
        <w:ind w:firstLine="480"/>
        <w:rPr>
          <w:rFonts w:hint="default" w:cs="宋体"/>
          <w:color w:val="000000"/>
          <w:sz w:val="24"/>
          <w:szCs w:val="24"/>
        </w:rPr>
      </w:pPr>
      <w:r>
        <w:rPr>
          <w:rFonts w:hint="default" w:cs="宋体"/>
          <w:sz w:val="24"/>
          <w:szCs w:val="24"/>
        </w:rPr>
        <w:t>3</w:t>
      </w:r>
      <w:r>
        <w:rPr>
          <w:rFonts w:hint="eastAsia" w:cs="宋体"/>
          <w:sz w:val="24"/>
          <w:szCs w:val="24"/>
        </w:rPr>
        <w:t>、付款前，乙</w:t>
      </w:r>
      <w:r>
        <w:rPr>
          <w:rFonts w:hint="eastAsia" w:cs="宋体"/>
          <w:color w:val="000000"/>
          <w:sz w:val="24"/>
          <w:szCs w:val="24"/>
        </w:rPr>
        <w:t>方需提前提交付款申请并提供合法合规足额的发票。若乙方不能提供，甲方有权拒绝付款，由此产生的后果由乙方承担。</w:t>
      </w:r>
    </w:p>
    <w:p>
      <w:pPr>
        <w:spacing w:line="360" w:lineRule="auto"/>
        <w:ind w:firstLine="480"/>
        <w:rPr>
          <w:rFonts w:hint="default" w:cs="宋体"/>
          <w:color w:val="000000"/>
          <w:sz w:val="24"/>
          <w:szCs w:val="24"/>
        </w:rPr>
      </w:pPr>
      <w:r>
        <w:rPr>
          <w:rFonts w:hint="default" w:cs="宋体"/>
          <w:color w:val="000000"/>
          <w:sz w:val="24"/>
          <w:szCs w:val="24"/>
        </w:rPr>
        <w:t>4</w:t>
      </w:r>
      <w:r>
        <w:rPr>
          <w:rFonts w:hint="eastAsia" w:cs="宋体"/>
          <w:color w:val="000000"/>
          <w:sz w:val="24"/>
          <w:szCs w:val="24"/>
        </w:rPr>
        <w:t>、乙方的收款账号为：</w:t>
      </w:r>
    </w:p>
    <w:p>
      <w:pPr>
        <w:spacing w:line="360" w:lineRule="auto"/>
        <w:ind w:firstLine="480"/>
        <w:rPr>
          <w:rFonts w:hint="default" w:cs="宋体"/>
          <w:color w:val="000000"/>
          <w:sz w:val="24"/>
          <w:szCs w:val="24"/>
        </w:rPr>
      </w:pPr>
      <w:r>
        <w:rPr>
          <w:rFonts w:hint="eastAsia" w:cs="宋体"/>
          <w:color w:val="000000"/>
          <w:sz w:val="24"/>
          <w:szCs w:val="24"/>
        </w:rPr>
        <w:t>户  名：</w:t>
      </w:r>
    </w:p>
    <w:p>
      <w:pPr>
        <w:spacing w:line="360" w:lineRule="auto"/>
        <w:ind w:firstLine="480"/>
        <w:rPr>
          <w:rFonts w:hint="default" w:cs="宋体"/>
          <w:sz w:val="24"/>
          <w:szCs w:val="24"/>
          <w:u w:val="single"/>
        </w:rPr>
      </w:pPr>
      <w:r>
        <w:rPr>
          <w:rFonts w:hint="eastAsia" w:cs="宋体"/>
          <w:color w:val="000000"/>
          <w:sz w:val="24"/>
          <w:szCs w:val="24"/>
        </w:rPr>
        <w:t>开户行：</w:t>
      </w:r>
    </w:p>
    <w:p>
      <w:pPr>
        <w:spacing w:line="360" w:lineRule="auto"/>
        <w:ind w:firstLine="480"/>
        <w:rPr>
          <w:rFonts w:hint="default" w:cs="宋体"/>
          <w:color w:val="000000"/>
          <w:sz w:val="24"/>
          <w:szCs w:val="24"/>
        </w:rPr>
      </w:pPr>
      <w:r>
        <w:rPr>
          <w:rFonts w:hint="eastAsia" w:cs="宋体"/>
          <w:color w:val="000000"/>
          <w:sz w:val="24"/>
          <w:szCs w:val="24"/>
        </w:rPr>
        <w:t>账  号：</w:t>
      </w:r>
    </w:p>
    <w:p>
      <w:pPr>
        <w:pStyle w:val="85"/>
        <w:spacing w:line="360" w:lineRule="auto"/>
        <w:ind w:firstLine="480"/>
        <w:rPr>
          <w:rFonts w:hint="default" w:cs="宋体"/>
          <w:color w:val="000000"/>
          <w:sz w:val="24"/>
          <w:szCs w:val="24"/>
        </w:rPr>
      </w:pPr>
      <w:r>
        <w:rPr>
          <w:rFonts w:hint="eastAsia" w:cs="宋体"/>
          <w:color w:val="000000"/>
          <w:sz w:val="24"/>
          <w:szCs w:val="24"/>
        </w:rPr>
        <w:t>开具发票时甲方信息：</w:t>
      </w:r>
    </w:p>
    <w:p>
      <w:pPr>
        <w:pStyle w:val="85"/>
        <w:spacing w:line="360" w:lineRule="auto"/>
        <w:ind w:firstLine="480"/>
        <w:rPr>
          <w:rFonts w:hint="default" w:cs="宋体"/>
          <w:color w:val="000000"/>
          <w:sz w:val="24"/>
          <w:szCs w:val="24"/>
        </w:rPr>
      </w:pPr>
      <w:r>
        <w:rPr>
          <w:rFonts w:hint="eastAsia" w:cs="宋体"/>
          <w:color w:val="000000"/>
          <w:sz w:val="24"/>
          <w:szCs w:val="24"/>
        </w:rPr>
        <w:t>公司名称：</w:t>
      </w:r>
    </w:p>
    <w:p>
      <w:pPr>
        <w:pStyle w:val="85"/>
        <w:spacing w:line="360" w:lineRule="auto"/>
        <w:ind w:firstLine="480"/>
        <w:rPr>
          <w:rFonts w:hint="default" w:cs="宋体"/>
          <w:color w:val="000000"/>
          <w:sz w:val="24"/>
          <w:szCs w:val="24"/>
        </w:rPr>
      </w:pPr>
      <w:r>
        <w:rPr>
          <w:rFonts w:hint="eastAsia" w:cs="宋体"/>
          <w:color w:val="000000"/>
          <w:sz w:val="24"/>
          <w:szCs w:val="24"/>
        </w:rPr>
        <w:t>纳税人识别号：</w:t>
      </w:r>
    </w:p>
    <w:p>
      <w:pPr>
        <w:pStyle w:val="85"/>
        <w:spacing w:line="360" w:lineRule="auto"/>
        <w:ind w:firstLine="480"/>
        <w:rPr>
          <w:rFonts w:hint="default" w:cs="宋体"/>
          <w:color w:val="000000"/>
          <w:sz w:val="24"/>
          <w:szCs w:val="24"/>
        </w:rPr>
      </w:pPr>
      <w:r>
        <w:rPr>
          <w:rFonts w:hint="eastAsia" w:cs="宋体"/>
          <w:color w:val="000000"/>
          <w:sz w:val="24"/>
          <w:szCs w:val="24"/>
        </w:rPr>
        <w:t>户名：</w:t>
      </w:r>
    </w:p>
    <w:p>
      <w:pPr>
        <w:pStyle w:val="85"/>
        <w:spacing w:line="360" w:lineRule="auto"/>
        <w:ind w:firstLine="480"/>
        <w:rPr>
          <w:rFonts w:hint="default" w:cs="宋体"/>
          <w:color w:val="000000"/>
          <w:sz w:val="24"/>
          <w:szCs w:val="24"/>
        </w:rPr>
      </w:pPr>
      <w:r>
        <w:rPr>
          <w:rFonts w:hint="eastAsia" w:cs="宋体"/>
          <w:color w:val="000000"/>
          <w:sz w:val="24"/>
          <w:szCs w:val="24"/>
        </w:rPr>
        <w:t>银行账号：</w:t>
      </w:r>
    </w:p>
    <w:p>
      <w:pPr>
        <w:pStyle w:val="85"/>
        <w:spacing w:line="360" w:lineRule="auto"/>
        <w:ind w:firstLine="480"/>
        <w:rPr>
          <w:rFonts w:hint="default" w:cs="宋体"/>
          <w:color w:val="000000"/>
          <w:sz w:val="24"/>
          <w:szCs w:val="24"/>
        </w:rPr>
      </w:pPr>
      <w:r>
        <w:rPr>
          <w:rFonts w:hint="eastAsia" w:cs="宋体"/>
          <w:color w:val="000000"/>
          <w:sz w:val="24"/>
          <w:szCs w:val="24"/>
        </w:rPr>
        <w:t>开户行：</w:t>
      </w:r>
    </w:p>
    <w:p>
      <w:pPr>
        <w:pStyle w:val="85"/>
        <w:spacing w:line="360" w:lineRule="auto"/>
        <w:ind w:firstLine="480"/>
        <w:rPr>
          <w:rFonts w:hint="default" w:cs="宋体"/>
          <w:color w:val="000000"/>
          <w:sz w:val="24"/>
          <w:szCs w:val="24"/>
        </w:rPr>
      </w:pPr>
      <w:r>
        <w:rPr>
          <w:rFonts w:hint="eastAsia" w:cs="宋体"/>
          <w:color w:val="000000"/>
          <w:sz w:val="24"/>
          <w:szCs w:val="24"/>
        </w:rPr>
        <w:t>地址：</w:t>
      </w:r>
    </w:p>
    <w:p>
      <w:pPr>
        <w:pStyle w:val="85"/>
        <w:spacing w:line="360" w:lineRule="auto"/>
        <w:ind w:firstLine="480"/>
        <w:rPr>
          <w:rFonts w:hint="default" w:cs="宋体"/>
          <w:color w:val="000000"/>
          <w:sz w:val="24"/>
          <w:szCs w:val="24"/>
        </w:rPr>
      </w:pPr>
      <w:r>
        <w:rPr>
          <w:rFonts w:hint="eastAsia" w:cs="宋体"/>
          <w:color w:val="000000"/>
          <w:sz w:val="24"/>
          <w:szCs w:val="24"/>
        </w:rPr>
        <w:t>联系电话：</w:t>
      </w:r>
    </w:p>
    <w:p>
      <w:pPr>
        <w:spacing w:line="360" w:lineRule="auto"/>
        <w:ind w:firstLine="480"/>
        <w:rPr>
          <w:rFonts w:hint="default" w:cs="宋体"/>
          <w:color w:val="000000"/>
          <w:sz w:val="24"/>
          <w:szCs w:val="24"/>
        </w:rPr>
      </w:pPr>
      <w:r>
        <w:rPr>
          <w:rFonts w:hint="eastAsia" w:cs="宋体"/>
          <w:color w:val="000000"/>
          <w:sz w:val="24"/>
          <w:szCs w:val="24"/>
        </w:rPr>
        <w:t>（1）甲方将合同款项付至乙方前述账号，即视为甲方已履行付款义务。</w:t>
      </w:r>
    </w:p>
    <w:p>
      <w:pPr>
        <w:spacing w:line="360" w:lineRule="auto"/>
        <w:ind w:firstLine="480"/>
        <w:rPr>
          <w:rFonts w:hint="default" w:cs="宋体"/>
          <w:sz w:val="24"/>
          <w:szCs w:val="24"/>
        </w:rPr>
      </w:pPr>
      <w:r>
        <w:rPr>
          <w:rFonts w:hint="eastAsia" w:cs="宋体"/>
          <w:color w:val="000000"/>
          <w:sz w:val="24"/>
          <w:szCs w:val="24"/>
        </w:rPr>
        <w:t>（2）由于乙方原因造成延迟付款等问题的，一切后果由乙方承担。</w:t>
      </w:r>
    </w:p>
    <w:p>
      <w:pPr>
        <w:spacing w:line="360" w:lineRule="auto"/>
        <w:ind w:firstLine="480"/>
        <w:rPr>
          <w:rFonts w:hint="default" w:cs="宋体"/>
          <w:sz w:val="24"/>
          <w:szCs w:val="24"/>
        </w:rPr>
      </w:pPr>
      <w:r>
        <w:rPr>
          <w:rFonts w:hint="eastAsia" w:cs="宋体"/>
          <w:sz w:val="24"/>
          <w:szCs w:val="24"/>
        </w:rPr>
        <w:t>5、工程竣工结算</w:t>
      </w:r>
    </w:p>
    <w:p>
      <w:pPr>
        <w:spacing w:line="360" w:lineRule="auto"/>
        <w:ind w:firstLine="480"/>
        <w:rPr>
          <w:rFonts w:hint="default" w:cs="宋体"/>
          <w:sz w:val="24"/>
          <w:szCs w:val="24"/>
        </w:rPr>
      </w:pPr>
      <w:r>
        <w:rPr>
          <w:rFonts w:hint="eastAsia" w:cs="宋体"/>
          <w:sz w:val="24"/>
          <w:szCs w:val="24"/>
        </w:rPr>
        <w:t>（1）竣工结算方式：竣工结算价款=合同总价</w:t>
      </w:r>
    </w:p>
    <w:p>
      <w:pPr>
        <w:spacing w:line="360" w:lineRule="auto"/>
        <w:ind w:firstLine="480"/>
        <w:outlineLvl w:val="2"/>
        <w:rPr>
          <w:rFonts w:hint="default" w:cs="宋体"/>
          <w:sz w:val="24"/>
          <w:szCs w:val="24"/>
        </w:rPr>
      </w:pPr>
      <w:r>
        <w:rPr>
          <w:rFonts w:hint="eastAsia" w:cs="宋体"/>
          <w:sz w:val="24"/>
          <w:szCs w:val="24"/>
        </w:rPr>
        <w:t>第四条 合同工期</w:t>
      </w:r>
    </w:p>
    <w:p>
      <w:pPr>
        <w:spacing w:line="360" w:lineRule="auto"/>
        <w:ind w:firstLine="480"/>
        <w:rPr>
          <w:rFonts w:hint="default" w:cs="宋体"/>
          <w:sz w:val="24"/>
          <w:szCs w:val="24"/>
        </w:rPr>
      </w:pPr>
      <w:r>
        <w:rPr>
          <w:rFonts w:hint="default" w:cs="宋体"/>
          <w:sz w:val="24"/>
          <w:szCs w:val="24"/>
        </w:rPr>
        <w:t>1</w:t>
      </w:r>
      <w:r>
        <w:rPr>
          <w:rFonts w:hint="eastAsia" w:cs="宋体"/>
          <w:sz w:val="24"/>
          <w:szCs w:val="24"/>
        </w:rPr>
        <w:t>、工期：</w:t>
      </w:r>
      <w:r>
        <w:rPr>
          <w:rFonts w:hint="default" w:cs="宋体"/>
          <w:sz w:val="24"/>
          <w:szCs w:val="24"/>
          <w:u w:val="single"/>
        </w:rPr>
        <w:t xml:space="preserve">     </w:t>
      </w:r>
      <w:r>
        <w:rPr>
          <w:rFonts w:hint="eastAsia" w:cs="宋体"/>
          <w:sz w:val="24"/>
          <w:szCs w:val="24"/>
        </w:rPr>
        <w:t>日历天，开工日期暂定为</w:t>
      </w:r>
      <w:r>
        <w:rPr>
          <w:rFonts w:hint="default" w:cs="宋体"/>
          <w:sz w:val="24"/>
          <w:szCs w:val="24"/>
          <w:u w:val="single"/>
        </w:rPr>
        <w:t xml:space="preserve">    </w:t>
      </w:r>
      <w:r>
        <w:rPr>
          <w:rFonts w:hint="eastAsia" w:cs="宋体"/>
          <w:sz w:val="24"/>
          <w:szCs w:val="24"/>
        </w:rPr>
        <w:t>年   月   日、竣工日期暂定为</w:t>
      </w:r>
      <w:r>
        <w:rPr>
          <w:rFonts w:hint="default" w:cs="宋体"/>
          <w:sz w:val="24"/>
          <w:szCs w:val="24"/>
          <w:u w:val="single"/>
        </w:rPr>
        <w:t xml:space="preserve">   </w:t>
      </w:r>
      <w:r>
        <w:rPr>
          <w:rFonts w:hint="eastAsia" w:cs="宋体"/>
          <w:sz w:val="24"/>
          <w:szCs w:val="24"/>
        </w:rPr>
        <w:t>年   月   日（实际开工日期以甲方书面要求之日为准）。</w:t>
      </w:r>
    </w:p>
    <w:p>
      <w:pPr>
        <w:widowControl/>
        <w:spacing w:line="360" w:lineRule="auto"/>
        <w:ind w:firstLine="480"/>
        <w:rPr>
          <w:rFonts w:hint="default" w:cs="宋体"/>
          <w:sz w:val="24"/>
          <w:szCs w:val="24"/>
        </w:rPr>
      </w:pPr>
      <w:r>
        <w:rPr>
          <w:rFonts w:hint="default" w:cs="宋体"/>
          <w:sz w:val="24"/>
          <w:szCs w:val="24"/>
        </w:rPr>
        <w:t>2</w:t>
      </w:r>
      <w:r>
        <w:rPr>
          <w:rFonts w:hint="eastAsia" w:cs="宋体"/>
          <w:sz w:val="24"/>
          <w:szCs w:val="24"/>
        </w:rPr>
        <w:t>、施工过程中，如遇下列情况可顺延工期，具体以</w:t>
      </w:r>
      <w:r>
        <w:rPr>
          <w:rFonts w:hint="eastAsia" w:cs="宋体"/>
          <w:kern w:val="0"/>
          <w:sz w:val="24"/>
          <w:szCs w:val="24"/>
        </w:rPr>
        <w:t>现场</w:t>
      </w:r>
      <w:r>
        <w:rPr>
          <w:rFonts w:hint="eastAsia" w:cs="宋体"/>
          <w:sz w:val="24"/>
          <w:szCs w:val="24"/>
        </w:rPr>
        <w:t>双方签字认可</w:t>
      </w:r>
      <w:r>
        <w:rPr>
          <w:rFonts w:hint="eastAsia" w:cs="宋体"/>
          <w:kern w:val="0"/>
          <w:sz w:val="24"/>
          <w:szCs w:val="24"/>
        </w:rPr>
        <w:t>的工期签证为准：</w:t>
      </w:r>
    </w:p>
    <w:p>
      <w:pPr>
        <w:spacing w:line="360" w:lineRule="auto"/>
        <w:ind w:firstLine="480"/>
        <w:rPr>
          <w:rFonts w:hint="default" w:cs="宋体"/>
          <w:sz w:val="24"/>
          <w:szCs w:val="24"/>
        </w:rPr>
      </w:pPr>
      <w:r>
        <w:rPr>
          <w:rFonts w:hint="eastAsia" w:cs="宋体"/>
          <w:sz w:val="24"/>
          <w:szCs w:val="24"/>
        </w:rPr>
        <w:t>（1）由于不可抗力，而被迫停工的；</w:t>
      </w:r>
    </w:p>
    <w:p>
      <w:pPr>
        <w:spacing w:line="360" w:lineRule="auto"/>
        <w:ind w:firstLine="480"/>
        <w:rPr>
          <w:rFonts w:hint="default" w:cs="宋体"/>
          <w:sz w:val="24"/>
          <w:szCs w:val="24"/>
        </w:rPr>
      </w:pPr>
      <w:r>
        <w:rPr>
          <w:rFonts w:hint="eastAsia" w:cs="宋体"/>
          <w:sz w:val="24"/>
          <w:szCs w:val="24"/>
        </w:rPr>
        <w:t>（2）因甲方变更计划或变更施工图，而不能继续施工的；</w:t>
      </w:r>
    </w:p>
    <w:p>
      <w:pPr>
        <w:spacing w:line="360" w:lineRule="auto"/>
        <w:ind w:firstLine="480"/>
        <w:rPr>
          <w:rFonts w:hint="default" w:cs="宋体"/>
          <w:sz w:val="24"/>
          <w:szCs w:val="24"/>
        </w:rPr>
      </w:pPr>
      <w:r>
        <w:rPr>
          <w:rFonts w:hint="eastAsia" w:cs="宋体"/>
          <w:sz w:val="24"/>
          <w:szCs w:val="24"/>
        </w:rPr>
        <w:t>（3）图纸设计与工程实际状况不符；</w:t>
      </w:r>
    </w:p>
    <w:p>
      <w:pPr>
        <w:spacing w:line="360" w:lineRule="auto"/>
        <w:ind w:firstLine="480"/>
        <w:rPr>
          <w:rFonts w:hint="default" w:cs="宋体"/>
          <w:sz w:val="24"/>
          <w:szCs w:val="24"/>
        </w:rPr>
      </w:pPr>
      <w:r>
        <w:rPr>
          <w:rFonts w:hint="eastAsia" w:cs="宋体"/>
          <w:sz w:val="24"/>
          <w:szCs w:val="24"/>
        </w:rPr>
        <w:t>（4）甲方、监理单位签证同意工期顺延的其他情况。</w:t>
      </w:r>
    </w:p>
    <w:p>
      <w:pPr>
        <w:spacing w:line="360" w:lineRule="auto"/>
        <w:ind w:firstLine="480"/>
        <w:rPr>
          <w:rFonts w:hint="default" w:cs="宋体"/>
          <w:sz w:val="24"/>
          <w:szCs w:val="24"/>
        </w:rPr>
      </w:pPr>
      <w:r>
        <w:rPr>
          <w:rFonts w:hint="eastAsia" w:cs="宋体"/>
          <w:sz w:val="24"/>
          <w:szCs w:val="24"/>
        </w:rPr>
        <w:t>乙方须在上述情况发生后</w:t>
      </w:r>
      <w:r>
        <w:rPr>
          <w:rFonts w:hint="default" w:cs="宋体"/>
          <w:sz w:val="24"/>
          <w:szCs w:val="24"/>
          <w:u w:val="single"/>
        </w:rPr>
        <w:t xml:space="preserve">  3  </w:t>
      </w:r>
      <w:r>
        <w:rPr>
          <w:rFonts w:hint="eastAsia" w:cs="宋体"/>
          <w:sz w:val="24"/>
          <w:szCs w:val="24"/>
        </w:rPr>
        <w:t>日内，提出工期顺延要求的报告，甲方在接到报告后</w:t>
      </w:r>
      <w:r>
        <w:rPr>
          <w:rFonts w:hint="default" w:cs="宋体"/>
          <w:sz w:val="24"/>
          <w:szCs w:val="24"/>
          <w:u w:val="single"/>
        </w:rPr>
        <w:t>3</w:t>
      </w:r>
      <w:r>
        <w:rPr>
          <w:rFonts w:hint="eastAsia" w:cs="宋体"/>
          <w:sz w:val="24"/>
          <w:szCs w:val="24"/>
        </w:rPr>
        <w:t>日内予以签认或提出拒签理由。如乙方未提交报告或逾期提交报告，均视为不需要顺延工期，甲方不再办理签证手续，工期不予顺延。</w:t>
      </w:r>
    </w:p>
    <w:p>
      <w:pPr>
        <w:spacing w:line="360" w:lineRule="auto"/>
        <w:ind w:firstLine="480"/>
        <w:rPr>
          <w:rFonts w:hint="default" w:cs="宋体"/>
          <w:sz w:val="24"/>
          <w:szCs w:val="24"/>
        </w:rPr>
      </w:pPr>
      <w:r>
        <w:rPr>
          <w:rFonts w:hint="eastAsia" w:cs="宋体"/>
          <w:sz w:val="24"/>
          <w:szCs w:val="24"/>
        </w:rPr>
        <w:t>因施工质量事故等乙方原因造成的返工费用由乙方承担，工期不顺延。</w:t>
      </w:r>
    </w:p>
    <w:p>
      <w:pPr>
        <w:spacing w:line="360" w:lineRule="auto"/>
        <w:ind w:firstLine="480"/>
        <w:rPr>
          <w:rFonts w:hint="default" w:cs="宋体"/>
          <w:color w:val="000000"/>
          <w:sz w:val="24"/>
          <w:szCs w:val="24"/>
        </w:rPr>
      </w:pPr>
      <w:r>
        <w:rPr>
          <w:rFonts w:hint="default" w:cs="宋体"/>
          <w:sz w:val="24"/>
          <w:szCs w:val="24"/>
        </w:rPr>
        <w:t>3</w:t>
      </w:r>
      <w:r>
        <w:rPr>
          <w:rFonts w:hint="eastAsia" w:cs="宋体"/>
          <w:sz w:val="24"/>
          <w:szCs w:val="24"/>
        </w:rPr>
        <w:t>、</w:t>
      </w:r>
      <w:r>
        <w:rPr>
          <w:rFonts w:hint="eastAsia" w:cs="宋体"/>
          <w:color w:val="000000"/>
          <w:sz w:val="24"/>
          <w:szCs w:val="24"/>
        </w:rPr>
        <w:t>非因乙方原因使乙方承担的工程不能及时开工或工期延误的，乙方不得向甲方提出索赔。</w:t>
      </w:r>
    </w:p>
    <w:p>
      <w:pPr>
        <w:spacing w:line="360" w:lineRule="auto"/>
        <w:ind w:firstLine="480"/>
        <w:outlineLvl w:val="2"/>
        <w:rPr>
          <w:rFonts w:hint="default" w:cs="宋体"/>
          <w:sz w:val="24"/>
          <w:szCs w:val="24"/>
        </w:rPr>
      </w:pPr>
      <w:r>
        <w:rPr>
          <w:rFonts w:hint="eastAsia" w:cs="宋体"/>
          <w:sz w:val="24"/>
          <w:szCs w:val="24"/>
        </w:rPr>
        <w:t>第五条 工程质量</w:t>
      </w:r>
    </w:p>
    <w:p>
      <w:pPr>
        <w:spacing w:line="360" w:lineRule="auto"/>
        <w:ind w:firstLine="480"/>
        <w:rPr>
          <w:rFonts w:hint="default" w:cs="宋体"/>
          <w:sz w:val="24"/>
          <w:szCs w:val="24"/>
        </w:rPr>
      </w:pPr>
      <w:r>
        <w:rPr>
          <w:rFonts w:hint="default" w:cs="宋体"/>
          <w:sz w:val="24"/>
          <w:szCs w:val="24"/>
        </w:rPr>
        <w:t>1</w:t>
      </w:r>
      <w:r>
        <w:rPr>
          <w:rFonts w:hint="eastAsia" w:cs="宋体"/>
          <w:sz w:val="24"/>
          <w:szCs w:val="24"/>
        </w:rPr>
        <w:t>、本工程的质量要求：</w:t>
      </w:r>
      <w:r>
        <w:rPr>
          <w:rFonts w:hint="eastAsia" w:cs="宋体"/>
          <w:sz w:val="24"/>
          <w:szCs w:val="21"/>
          <w:u w:val="single"/>
        </w:rPr>
        <w:t xml:space="preserve">合格 </w:t>
      </w:r>
      <w:r>
        <w:rPr>
          <w:rFonts w:hint="eastAsia" w:cs="宋体"/>
          <w:sz w:val="24"/>
          <w:szCs w:val="24"/>
        </w:rPr>
        <w:t>。</w:t>
      </w:r>
    </w:p>
    <w:p>
      <w:pPr>
        <w:spacing w:line="360" w:lineRule="auto"/>
        <w:ind w:firstLine="480"/>
        <w:rPr>
          <w:rFonts w:hint="default" w:cs="宋体"/>
          <w:sz w:val="24"/>
          <w:szCs w:val="24"/>
        </w:rPr>
      </w:pPr>
      <w:r>
        <w:rPr>
          <w:rFonts w:hint="default" w:cs="宋体"/>
          <w:sz w:val="24"/>
          <w:szCs w:val="24"/>
        </w:rPr>
        <w:t>2</w:t>
      </w:r>
      <w:r>
        <w:rPr>
          <w:rFonts w:hint="eastAsia" w:cs="宋体"/>
          <w:sz w:val="24"/>
          <w:szCs w:val="24"/>
        </w:rPr>
        <w:t>、乙方所供产品设备和材料进入施工现场，经甲方和监理单位验收合格后方可使用。因乙方设备材料不合格所产生的返工、处罚、安全事故等一切后果由乙方承担。乙方应在不迟于设备材料到货24小时前通知甲方、监理单位检查验收。</w:t>
      </w:r>
    </w:p>
    <w:p>
      <w:pPr>
        <w:spacing w:line="360" w:lineRule="auto"/>
        <w:ind w:firstLine="480"/>
        <w:rPr>
          <w:rFonts w:hint="default" w:cs="宋体"/>
          <w:sz w:val="24"/>
          <w:szCs w:val="24"/>
        </w:rPr>
      </w:pPr>
      <w:r>
        <w:rPr>
          <w:rFonts w:hint="default" w:cs="宋体"/>
          <w:sz w:val="24"/>
          <w:szCs w:val="24"/>
        </w:rPr>
        <w:t>3</w:t>
      </w:r>
      <w:r>
        <w:rPr>
          <w:rFonts w:hint="eastAsia" w:cs="宋体"/>
          <w:sz w:val="24"/>
          <w:szCs w:val="24"/>
        </w:rPr>
        <w:t>、因乙方施工质量不合格所造成的一切后果及损失，均由乙方承担。</w:t>
      </w:r>
    </w:p>
    <w:p>
      <w:pPr>
        <w:spacing w:line="360" w:lineRule="auto"/>
        <w:ind w:firstLine="480"/>
        <w:outlineLvl w:val="2"/>
        <w:rPr>
          <w:rFonts w:hint="default" w:cs="宋体"/>
          <w:sz w:val="24"/>
          <w:szCs w:val="24"/>
        </w:rPr>
      </w:pPr>
      <w:r>
        <w:rPr>
          <w:rFonts w:hint="eastAsia" w:cs="宋体"/>
          <w:sz w:val="24"/>
          <w:szCs w:val="24"/>
        </w:rPr>
        <w:t>第六条 安全文明施工</w:t>
      </w:r>
    </w:p>
    <w:p>
      <w:pPr>
        <w:spacing w:line="360" w:lineRule="auto"/>
        <w:ind w:firstLine="480"/>
        <w:rPr>
          <w:rFonts w:hint="default" w:cs="宋体"/>
          <w:sz w:val="24"/>
          <w:szCs w:val="24"/>
        </w:rPr>
      </w:pPr>
      <w:r>
        <w:rPr>
          <w:rFonts w:hint="default" w:cs="宋体"/>
          <w:sz w:val="24"/>
          <w:szCs w:val="24"/>
        </w:rPr>
        <w:t>1</w:t>
      </w:r>
      <w:r>
        <w:rPr>
          <w:rFonts w:hint="eastAsia" w:cs="宋体"/>
          <w:sz w:val="24"/>
          <w:szCs w:val="24"/>
        </w:rPr>
        <w:t>、乙方应遵守甲方施工现场管理规定，服从甲方的有关规定和安排。否则，每发生一次，乙方应支付甲方</w:t>
      </w:r>
      <w:r>
        <w:rPr>
          <w:rFonts w:hint="default" w:cs="宋体"/>
          <w:sz w:val="24"/>
          <w:szCs w:val="24"/>
          <w:u w:val="single"/>
        </w:rPr>
        <w:t xml:space="preserve"> </w:t>
      </w:r>
      <w:r>
        <w:rPr>
          <w:rFonts w:hint="eastAsia" w:cs="宋体"/>
          <w:sz w:val="24"/>
          <w:szCs w:val="24"/>
          <w:u w:val="single"/>
          <w:lang w:val="en-US" w:eastAsia="zh-CN"/>
        </w:rPr>
        <w:t>10</w:t>
      </w:r>
      <w:r>
        <w:rPr>
          <w:rFonts w:hint="default" w:cs="宋体"/>
          <w:sz w:val="24"/>
          <w:szCs w:val="24"/>
          <w:u w:val="single"/>
        </w:rPr>
        <w:t>00</w:t>
      </w:r>
      <w:r>
        <w:rPr>
          <w:rFonts w:hint="eastAsia" w:cs="宋体"/>
          <w:sz w:val="24"/>
          <w:szCs w:val="24"/>
        </w:rPr>
        <w:t>元的违约金。</w:t>
      </w:r>
    </w:p>
    <w:p>
      <w:pPr>
        <w:spacing w:line="360" w:lineRule="auto"/>
        <w:ind w:firstLine="480"/>
        <w:rPr>
          <w:rFonts w:hint="default" w:cs="宋体"/>
          <w:sz w:val="24"/>
          <w:szCs w:val="24"/>
        </w:rPr>
      </w:pPr>
      <w:r>
        <w:rPr>
          <w:rFonts w:hint="default" w:cs="宋体"/>
          <w:sz w:val="24"/>
          <w:szCs w:val="24"/>
        </w:rPr>
        <w:t>2</w:t>
      </w:r>
      <w:r>
        <w:rPr>
          <w:rFonts w:hint="eastAsia" w:cs="宋体"/>
          <w:sz w:val="24"/>
          <w:szCs w:val="24"/>
        </w:rPr>
        <w:t>、乙方应按甲方要求做好安全文明工地创建工作，因乙方原因给甲方造成的所有责任和损失由乙方承担。</w:t>
      </w:r>
    </w:p>
    <w:p>
      <w:pPr>
        <w:spacing w:line="360" w:lineRule="auto"/>
        <w:ind w:firstLine="480"/>
        <w:rPr>
          <w:rFonts w:hint="default" w:cs="宋体"/>
          <w:sz w:val="24"/>
          <w:szCs w:val="24"/>
        </w:rPr>
      </w:pPr>
      <w:r>
        <w:rPr>
          <w:rFonts w:hint="default" w:cs="宋体"/>
          <w:sz w:val="24"/>
          <w:szCs w:val="24"/>
        </w:rPr>
        <w:t>3</w:t>
      </w:r>
      <w:r>
        <w:rPr>
          <w:rFonts w:hint="eastAsia" w:cs="宋体"/>
          <w:sz w:val="24"/>
          <w:szCs w:val="24"/>
        </w:rPr>
        <w:t>、乙方在施工期间应严格遵守《建筑安装工程安全技术规程》、《建筑安装工人安全操作规程》、《中华人民共和国消防法》和其它相关的法律法规。</w:t>
      </w:r>
    </w:p>
    <w:p>
      <w:pPr>
        <w:spacing w:line="360" w:lineRule="auto"/>
        <w:ind w:firstLine="480"/>
        <w:rPr>
          <w:rFonts w:hint="default" w:cs="宋体"/>
          <w:sz w:val="24"/>
          <w:szCs w:val="24"/>
        </w:rPr>
      </w:pPr>
      <w:r>
        <w:rPr>
          <w:rFonts w:hint="default" w:cs="宋体"/>
          <w:sz w:val="24"/>
          <w:szCs w:val="24"/>
        </w:rPr>
        <w:t>4</w:t>
      </w:r>
      <w:r>
        <w:rPr>
          <w:rFonts w:hint="eastAsia" w:cs="宋体"/>
          <w:sz w:val="24"/>
          <w:szCs w:val="24"/>
        </w:rPr>
        <w:t>、乙方在工程的施工中，若发生人身伤亡或财产损失等事故，或出现质量、安全等事故，均由乙方承担全部责任及费用，并承担由此给甲方造成的一切损失。</w:t>
      </w:r>
    </w:p>
    <w:p>
      <w:pPr>
        <w:spacing w:line="360" w:lineRule="auto"/>
        <w:ind w:firstLine="480"/>
        <w:rPr>
          <w:rFonts w:hint="default" w:cs="宋体"/>
          <w:sz w:val="24"/>
          <w:szCs w:val="24"/>
        </w:rPr>
      </w:pPr>
      <w:r>
        <w:rPr>
          <w:rFonts w:hint="default" w:cs="宋体"/>
          <w:sz w:val="24"/>
          <w:szCs w:val="24"/>
        </w:rPr>
        <w:t>5</w:t>
      </w:r>
      <w:r>
        <w:rPr>
          <w:rFonts w:hint="eastAsia" w:cs="宋体"/>
          <w:sz w:val="24"/>
          <w:szCs w:val="24"/>
        </w:rPr>
        <w:t>、乙方在施工过程中所发生的刑事、治安案件均由乙方负责。</w:t>
      </w:r>
    </w:p>
    <w:p>
      <w:pPr>
        <w:spacing w:line="360" w:lineRule="auto"/>
        <w:ind w:firstLine="480"/>
        <w:outlineLvl w:val="2"/>
        <w:rPr>
          <w:rFonts w:hint="default" w:cs="宋体"/>
          <w:sz w:val="24"/>
          <w:szCs w:val="24"/>
        </w:rPr>
      </w:pPr>
      <w:r>
        <w:rPr>
          <w:rFonts w:hint="eastAsia" w:cs="宋体"/>
          <w:sz w:val="24"/>
          <w:szCs w:val="24"/>
        </w:rPr>
        <w:t>第七条 双方权利义务</w:t>
      </w:r>
    </w:p>
    <w:p>
      <w:pPr>
        <w:spacing w:line="360" w:lineRule="auto"/>
        <w:ind w:firstLine="480"/>
        <w:rPr>
          <w:rFonts w:hint="default" w:cs="宋体"/>
          <w:sz w:val="24"/>
          <w:szCs w:val="24"/>
        </w:rPr>
      </w:pPr>
      <w:r>
        <w:rPr>
          <w:rFonts w:hint="default" w:cs="宋体"/>
          <w:sz w:val="24"/>
          <w:szCs w:val="24"/>
        </w:rPr>
        <w:t>1</w:t>
      </w:r>
      <w:r>
        <w:rPr>
          <w:rFonts w:hint="eastAsia" w:cs="宋体"/>
          <w:sz w:val="24"/>
          <w:szCs w:val="24"/>
        </w:rPr>
        <w:t>、甲方权利义务：</w:t>
      </w:r>
    </w:p>
    <w:p>
      <w:pPr>
        <w:spacing w:line="360" w:lineRule="auto"/>
        <w:ind w:firstLine="480"/>
        <w:rPr>
          <w:rFonts w:hint="default" w:cs="宋体"/>
          <w:sz w:val="24"/>
          <w:szCs w:val="24"/>
        </w:rPr>
      </w:pPr>
      <w:r>
        <w:rPr>
          <w:rFonts w:hint="eastAsia" w:cs="宋体"/>
          <w:sz w:val="24"/>
          <w:szCs w:val="24"/>
        </w:rPr>
        <w:t>（1）指派＿＿＿＿＿＿为甲方驻工地代表，负责合同履行：包括但不限于对工程的质量、安全、文明、进度、成本等进行监督、检查、协调等工作，负责解决施工过程中遇到的问题等其它事宜。</w:t>
      </w:r>
    </w:p>
    <w:p>
      <w:pPr>
        <w:spacing w:line="360" w:lineRule="auto"/>
        <w:ind w:firstLine="480"/>
        <w:jc w:val="left"/>
        <w:rPr>
          <w:rFonts w:hint="default" w:cs="宋体"/>
          <w:sz w:val="24"/>
          <w:szCs w:val="24"/>
        </w:rPr>
      </w:pPr>
      <w:r>
        <w:rPr>
          <w:rFonts w:hint="eastAsia" w:cs="宋体"/>
          <w:sz w:val="24"/>
          <w:szCs w:val="24"/>
        </w:rPr>
        <w:t>（2）开工前，向乙方提供材料堆放场地。</w:t>
      </w:r>
    </w:p>
    <w:p>
      <w:pPr>
        <w:spacing w:line="360" w:lineRule="auto"/>
        <w:ind w:firstLine="480"/>
        <w:textAlignment w:val="baseline"/>
        <w:rPr>
          <w:rFonts w:hint="default" w:cs="宋体"/>
          <w:sz w:val="24"/>
          <w:szCs w:val="24"/>
        </w:rPr>
      </w:pPr>
      <w:r>
        <w:rPr>
          <w:rFonts w:hint="eastAsia" w:cs="宋体"/>
          <w:sz w:val="24"/>
          <w:szCs w:val="24"/>
        </w:rPr>
        <w:t>（3）双方共同负责协调施工现场与地方间的关系，以确保工程顺利进行。</w:t>
      </w:r>
    </w:p>
    <w:p>
      <w:pPr>
        <w:spacing w:line="360" w:lineRule="auto"/>
        <w:ind w:firstLine="480"/>
        <w:rPr>
          <w:rFonts w:hint="default" w:cs="宋体"/>
          <w:sz w:val="24"/>
          <w:szCs w:val="24"/>
        </w:rPr>
      </w:pPr>
      <w:r>
        <w:rPr>
          <w:rFonts w:hint="eastAsia" w:cs="宋体"/>
          <w:sz w:val="24"/>
          <w:szCs w:val="24"/>
        </w:rPr>
        <w:t>（4）甲方有权在施工过程中随时进行抽样和检验，如发现进场材料存在以次充好等不合格的现象，甲方有权责令乙方调换，造成甲方损失的，乙方应予赔偿。检验发生的检测费用由乙方承担。</w:t>
      </w:r>
    </w:p>
    <w:p>
      <w:pPr>
        <w:spacing w:line="360" w:lineRule="auto"/>
        <w:ind w:firstLine="480"/>
        <w:rPr>
          <w:rFonts w:hint="default" w:cs="宋体"/>
          <w:sz w:val="24"/>
          <w:szCs w:val="24"/>
        </w:rPr>
      </w:pPr>
      <w:r>
        <w:rPr>
          <w:rFonts w:hint="eastAsia" w:cs="宋体"/>
          <w:sz w:val="24"/>
          <w:szCs w:val="24"/>
        </w:rPr>
        <w:t>（5）甲方、监理单位有权对施工质量、安全等情况进行监督检查，对发现的问题有权要求乙方整改。</w:t>
      </w:r>
    </w:p>
    <w:p>
      <w:pPr>
        <w:spacing w:line="360" w:lineRule="auto"/>
        <w:ind w:firstLine="480"/>
        <w:rPr>
          <w:rFonts w:hint="default" w:cs="宋体"/>
          <w:sz w:val="24"/>
          <w:szCs w:val="24"/>
        </w:rPr>
      </w:pPr>
      <w:r>
        <w:rPr>
          <w:rFonts w:hint="default" w:cs="宋体"/>
          <w:sz w:val="24"/>
          <w:szCs w:val="24"/>
        </w:rPr>
        <w:t>2</w:t>
      </w:r>
      <w:r>
        <w:rPr>
          <w:rFonts w:hint="eastAsia" w:cs="宋体"/>
          <w:sz w:val="24"/>
          <w:szCs w:val="24"/>
        </w:rPr>
        <w:t>、乙方权利义务：</w:t>
      </w:r>
    </w:p>
    <w:p>
      <w:pPr>
        <w:spacing w:line="360" w:lineRule="auto"/>
        <w:ind w:firstLine="480"/>
        <w:rPr>
          <w:rFonts w:hint="default" w:cs="宋体"/>
          <w:sz w:val="24"/>
          <w:szCs w:val="24"/>
        </w:rPr>
      </w:pPr>
      <w:r>
        <w:rPr>
          <w:rFonts w:hint="default" w:cs="宋体"/>
          <w:sz w:val="24"/>
          <w:szCs w:val="24"/>
        </w:rPr>
        <w:t>(1</w:t>
      </w:r>
      <w:r>
        <w:rPr>
          <w:rFonts w:hint="eastAsia" w:cs="宋体"/>
          <w:sz w:val="24"/>
          <w:szCs w:val="24"/>
        </w:rPr>
        <w:t>）乙方应当保证具备符合招标文件规定的施工资质，并在本合同签订前将相关证件原件（营业执照、税务登记证、机构代码证、资质证、安全生产许可证等）交由甲方查验并留存加盖乙方公章的复印件。</w:t>
      </w:r>
    </w:p>
    <w:p>
      <w:pPr>
        <w:spacing w:line="360" w:lineRule="auto"/>
        <w:ind w:firstLine="480"/>
        <w:rPr>
          <w:rFonts w:hint="default" w:cs="宋体"/>
          <w:sz w:val="24"/>
          <w:szCs w:val="24"/>
        </w:rPr>
      </w:pPr>
      <w:r>
        <w:rPr>
          <w:rFonts w:hint="eastAsia" w:cs="宋体"/>
          <w:sz w:val="24"/>
          <w:szCs w:val="24"/>
        </w:rPr>
        <w:t>如乙方不具有双方约定以及法律规定的资质（包括不具备相应的资质等级），甲方有权解除合同，乙方除按约定返还甲方已支付的全部费用外，还应当向甲方支付</w:t>
      </w:r>
      <w:r>
        <w:rPr>
          <w:rFonts w:hint="eastAsia" w:cs="宋体"/>
          <w:color w:val="000000"/>
          <w:sz w:val="24"/>
          <w:szCs w:val="24"/>
        </w:rPr>
        <w:t>合同总价</w:t>
      </w:r>
      <w:r>
        <w:rPr>
          <w:rFonts w:hint="default" w:cs="宋体"/>
          <w:color w:val="000000"/>
          <w:sz w:val="24"/>
          <w:szCs w:val="24"/>
          <w:u w:val="single"/>
        </w:rPr>
        <w:t xml:space="preserve"> 10</w:t>
      </w:r>
      <w:r>
        <w:rPr>
          <w:rFonts w:hint="default" w:cs="宋体"/>
          <w:sz w:val="24"/>
          <w:szCs w:val="24"/>
          <w:u w:val="single"/>
        </w:rPr>
        <w:t xml:space="preserve"> </w:t>
      </w:r>
      <w:r>
        <w:rPr>
          <w:rFonts w:hint="eastAsia" w:cs="宋体"/>
          <w:sz w:val="24"/>
          <w:szCs w:val="24"/>
        </w:rPr>
        <w:t>％的违约金。</w:t>
      </w:r>
    </w:p>
    <w:p>
      <w:pPr>
        <w:spacing w:line="360" w:lineRule="auto"/>
        <w:ind w:firstLine="480"/>
        <w:rPr>
          <w:rFonts w:hint="default" w:cs="宋体"/>
          <w:sz w:val="24"/>
          <w:szCs w:val="24"/>
        </w:rPr>
      </w:pPr>
      <w:r>
        <w:rPr>
          <w:rFonts w:hint="eastAsia" w:cs="宋体"/>
          <w:sz w:val="24"/>
          <w:szCs w:val="24"/>
        </w:rPr>
        <w:t>乙方指派________为乙方驻工地代表，全面负责合同履行，解决由乙方负责的各项事宜。驻工地代表每周现场办公不少于</w:t>
      </w:r>
      <w:r>
        <w:rPr>
          <w:rFonts w:hint="default" w:cs="宋体"/>
          <w:sz w:val="24"/>
          <w:szCs w:val="24"/>
          <w:u w:val="single"/>
        </w:rPr>
        <w:t>5</w:t>
      </w:r>
      <w:r>
        <w:rPr>
          <w:rFonts w:hint="eastAsia" w:cs="宋体"/>
          <w:sz w:val="24"/>
          <w:szCs w:val="24"/>
        </w:rPr>
        <w:t>个工作日。乙方更换驻工地代表应提前</w:t>
      </w:r>
      <w:r>
        <w:rPr>
          <w:rFonts w:hint="default" w:cs="宋体"/>
          <w:sz w:val="24"/>
          <w:szCs w:val="24"/>
          <w:u w:val="single"/>
        </w:rPr>
        <w:t>3</w:t>
      </w:r>
      <w:r>
        <w:rPr>
          <w:rFonts w:hint="eastAsia" w:cs="宋体"/>
          <w:sz w:val="24"/>
          <w:szCs w:val="24"/>
        </w:rPr>
        <w:t>天书面通知甲方，并经过甲方同意后方可实施。</w:t>
      </w:r>
    </w:p>
    <w:p>
      <w:pPr>
        <w:spacing w:line="360" w:lineRule="auto"/>
        <w:ind w:firstLine="480"/>
        <w:rPr>
          <w:rFonts w:hint="default" w:cs="宋体"/>
          <w:sz w:val="24"/>
          <w:szCs w:val="24"/>
        </w:rPr>
      </w:pPr>
      <w:r>
        <w:rPr>
          <w:rFonts w:hint="eastAsia" w:cs="宋体"/>
          <w:sz w:val="24"/>
          <w:szCs w:val="24"/>
        </w:rPr>
        <w:t>（3）参加甲方组织的施工图纸或作法说明的现场交底，开工前</w:t>
      </w:r>
      <w:r>
        <w:rPr>
          <w:rFonts w:hint="default" w:cs="宋体"/>
          <w:sz w:val="24"/>
          <w:szCs w:val="24"/>
          <w:u w:val="single"/>
        </w:rPr>
        <w:t xml:space="preserve">  3 </w:t>
      </w:r>
      <w:r>
        <w:rPr>
          <w:rFonts w:hint="eastAsia" w:cs="宋体"/>
          <w:sz w:val="24"/>
          <w:szCs w:val="24"/>
        </w:rPr>
        <w:t>天将拟定好的施工方案和进度计划交甲方、监理单位审定。</w:t>
      </w:r>
    </w:p>
    <w:p>
      <w:pPr>
        <w:spacing w:line="360" w:lineRule="auto"/>
        <w:ind w:firstLine="480"/>
        <w:rPr>
          <w:rFonts w:hint="default" w:cs="宋体"/>
          <w:sz w:val="24"/>
          <w:szCs w:val="24"/>
        </w:rPr>
      </w:pPr>
      <w:r>
        <w:rPr>
          <w:rFonts w:hint="eastAsia" w:cs="宋体"/>
          <w:sz w:val="24"/>
          <w:szCs w:val="24"/>
        </w:rPr>
        <w:t>（4）负责办理有关施工场地交通、环卫和施工噪音管理等手续，处理好由于施工带来的扰民问题及与周围单位（住户）的关系。</w:t>
      </w:r>
    </w:p>
    <w:p>
      <w:pPr>
        <w:spacing w:line="360" w:lineRule="auto"/>
        <w:ind w:firstLine="480"/>
        <w:rPr>
          <w:rFonts w:hint="default" w:cs="宋体"/>
          <w:sz w:val="24"/>
          <w:szCs w:val="24"/>
        </w:rPr>
      </w:pPr>
      <w:r>
        <w:rPr>
          <w:rFonts w:hint="eastAsia" w:cs="宋体"/>
          <w:sz w:val="24"/>
          <w:szCs w:val="24"/>
        </w:rPr>
        <w:t>（5）乙方现场施工设备、材料运输（包括现场的垂直运输）乙方自行解决，费用自理。</w:t>
      </w:r>
    </w:p>
    <w:p>
      <w:pPr>
        <w:spacing w:line="360" w:lineRule="auto"/>
        <w:ind w:firstLine="480"/>
        <w:rPr>
          <w:rFonts w:hint="default" w:cs="宋体"/>
          <w:sz w:val="24"/>
          <w:szCs w:val="24"/>
        </w:rPr>
      </w:pPr>
      <w:r>
        <w:rPr>
          <w:rFonts w:hint="eastAsia" w:cs="宋体"/>
          <w:sz w:val="24"/>
          <w:szCs w:val="24"/>
        </w:rPr>
        <w:t>（6）严格按照施工图纸和作法说明进行施工，并做好各项质量检查记录。</w:t>
      </w:r>
    </w:p>
    <w:p>
      <w:pPr>
        <w:spacing w:line="360" w:lineRule="auto"/>
        <w:ind w:firstLine="480"/>
        <w:rPr>
          <w:rFonts w:hint="default" w:cs="宋体"/>
          <w:sz w:val="24"/>
          <w:szCs w:val="24"/>
        </w:rPr>
      </w:pPr>
      <w:r>
        <w:rPr>
          <w:rFonts w:hint="eastAsia" w:cs="宋体"/>
          <w:sz w:val="24"/>
          <w:szCs w:val="24"/>
        </w:rPr>
        <w:t>（7）遵守政府有关部门及甲方、</w:t>
      </w:r>
      <w:r>
        <w:rPr>
          <w:rFonts w:hint="eastAsia" w:cs="宋体"/>
          <w:color w:val="000000"/>
          <w:sz w:val="24"/>
          <w:szCs w:val="24"/>
        </w:rPr>
        <w:t>监理单位</w:t>
      </w:r>
      <w:r>
        <w:rPr>
          <w:rFonts w:hint="eastAsia" w:cs="宋体"/>
          <w:sz w:val="24"/>
          <w:szCs w:val="24"/>
        </w:rPr>
        <w:t>对施工现场管理的规定。施工过程中应妥善保护甲方提供的设备以及现场设施、工程成品或半成品，不得擅自拆改原建筑物结构或设备管线。因违反此约定造成损失或事故（包括罚款）的，由乙方全部负责和承担，并照价赔偿甲方。</w:t>
      </w:r>
    </w:p>
    <w:p>
      <w:pPr>
        <w:spacing w:line="360" w:lineRule="auto"/>
        <w:ind w:firstLine="480"/>
        <w:rPr>
          <w:rFonts w:hint="default" w:cs="宋体"/>
          <w:sz w:val="24"/>
          <w:szCs w:val="24"/>
        </w:rPr>
      </w:pPr>
      <w:r>
        <w:rPr>
          <w:rFonts w:hint="eastAsia" w:cs="宋体"/>
          <w:sz w:val="24"/>
          <w:szCs w:val="24"/>
        </w:rPr>
        <w:t>（8）在工程施工期间，乙方须负责自身承包范围内的成品和半成品的保护工作，并保证不损坏其它专业承包人的材料设备、成品和半成品，保护费用已经包括在合同总价中。</w:t>
      </w:r>
    </w:p>
    <w:p>
      <w:pPr>
        <w:spacing w:line="360" w:lineRule="auto"/>
        <w:ind w:firstLine="480"/>
        <w:rPr>
          <w:rFonts w:hint="default" w:cs="宋体"/>
          <w:sz w:val="24"/>
          <w:szCs w:val="24"/>
        </w:rPr>
      </w:pPr>
      <w:r>
        <w:rPr>
          <w:rFonts w:hint="eastAsia" w:cs="宋体"/>
          <w:sz w:val="24"/>
          <w:szCs w:val="24"/>
        </w:rPr>
        <w:t>（9）做好施工工地的安全保卫、消防等工作，乙方应做到工完料清、场清，将自身产生的垃圾处理至甲方指定地点，费用已含在合同总价中。</w:t>
      </w:r>
    </w:p>
    <w:p>
      <w:pPr>
        <w:spacing w:line="360" w:lineRule="auto"/>
        <w:ind w:firstLine="480"/>
        <w:outlineLvl w:val="2"/>
        <w:rPr>
          <w:rFonts w:hint="default" w:cs="宋体"/>
          <w:sz w:val="24"/>
          <w:szCs w:val="24"/>
        </w:rPr>
      </w:pPr>
      <w:r>
        <w:rPr>
          <w:rFonts w:hint="eastAsia" w:cs="宋体"/>
          <w:sz w:val="24"/>
          <w:szCs w:val="24"/>
        </w:rPr>
        <w:t>第八条 工程验收</w:t>
      </w:r>
    </w:p>
    <w:p>
      <w:pPr>
        <w:spacing w:line="360" w:lineRule="auto"/>
        <w:ind w:firstLine="480"/>
        <w:rPr>
          <w:rFonts w:hint="default" w:cs="宋体"/>
          <w:sz w:val="24"/>
          <w:szCs w:val="24"/>
        </w:rPr>
      </w:pPr>
      <w:r>
        <w:rPr>
          <w:rFonts w:hint="default" w:cs="宋体"/>
          <w:sz w:val="24"/>
          <w:szCs w:val="24"/>
        </w:rPr>
        <w:t>1</w:t>
      </w:r>
      <w:r>
        <w:rPr>
          <w:rFonts w:hint="eastAsia" w:cs="宋体"/>
          <w:sz w:val="24"/>
          <w:szCs w:val="24"/>
        </w:rPr>
        <w:t>、验收依据：国家、省、市发布的验收标准、规程、规范以及施工图纸等。</w:t>
      </w:r>
    </w:p>
    <w:p>
      <w:pPr>
        <w:spacing w:line="360" w:lineRule="auto"/>
        <w:ind w:firstLine="480"/>
        <w:rPr>
          <w:rFonts w:hint="default" w:cs="宋体"/>
          <w:sz w:val="24"/>
          <w:szCs w:val="24"/>
        </w:rPr>
      </w:pPr>
      <w:r>
        <w:rPr>
          <w:rFonts w:hint="default" w:cs="宋体"/>
          <w:sz w:val="24"/>
          <w:szCs w:val="24"/>
        </w:rPr>
        <w:t>2</w:t>
      </w:r>
      <w:r>
        <w:rPr>
          <w:rFonts w:hint="eastAsia" w:cs="宋体"/>
          <w:sz w:val="24"/>
          <w:szCs w:val="24"/>
        </w:rPr>
        <w:t>、甲方、乙方、监理单位应及时办理隐蔽工程和中间工程的检查与验收手续。乙方应在隐蔽工程隐蔽施工和中间工程下道工序施工前</w:t>
      </w:r>
      <w:r>
        <w:rPr>
          <w:rFonts w:hint="default" w:cs="宋体"/>
          <w:sz w:val="24"/>
          <w:szCs w:val="24"/>
          <w:u w:val="single"/>
        </w:rPr>
        <w:t>7</w:t>
      </w:r>
      <w:r>
        <w:rPr>
          <w:rFonts w:hint="eastAsia" w:cs="宋体"/>
          <w:sz w:val="24"/>
          <w:szCs w:val="24"/>
        </w:rPr>
        <w:t>日通知甲方、监理单位。甲方、监理单位按时参加隐蔽工程和中间工程验收。甲方或监理单位要求复检时，乙方应按要求办理复检。若复验合格，甲方应承担复验费用，由此造成停工的，工期顺延；若复检不合格，其复验及返工费用由乙方承担，工期不予顺延。</w:t>
      </w:r>
    </w:p>
    <w:p>
      <w:pPr>
        <w:spacing w:line="360" w:lineRule="auto"/>
        <w:ind w:firstLine="480"/>
        <w:rPr>
          <w:rFonts w:hint="default" w:cs="宋体"/>
          <w:sz w:val="24"/>
          <w:szCs w:val="24"/>
        </w:rPr>
      </w:pPr>
      <w:r>
        <w:rPr>
          <w:rFonts w:hint="default" w:cs="宋体"/>
          <w:sz w:val="24"/>
          <w:szCs w:val="24"/>
        </w:rPr>
        <w:t>3</w:t>
      </w:r>
      <w:r>
        <w:rPr>
          <w:rFonts w:hint="eastAsia" w:cs="宋体"/>
          <w:sz w:val="24"/>
          <w:szCs w:val="24"/>
        </w:rPr>
        <w:t>、工程具备竣工验收条件时，乙方应按有关规定向甲方和监理单位书面申请竣工验收并提供验收报告等资料。甲方自接到验收通知</w:t>
      </w:r>
      <w:r>
        <w:rPr>
          <w:rFonts w:hint="default" w:cs="宋体"/>
          <w:sz w:val="24"/>
          <w:szCs w:val="24"/>
          <w:u w:val="single"/>
        </w:rPr>
        <w:t>3</w:t>
      </w:r>
      <w:r>
        <w:rPr>
          <w:rFonts w:hint="eastAsia" w:cs="宋体"/>
          <w:sz w:val="24"/>
          <w:szCs w:val="24"/>
        </w:rPr>
        <w:t>日内组织验收，并办理验收、移交手续。如甲方在约定时间内不能组织验收，需及时通知乙方，另定验收日期。验收时应由甲方、乙方、监理单位三方共同参加。</w:t>
      </w:r>
    </w:p>
    <w:p>
      <w:pPr>
        <w:spacing w:line="360" w:lineRule="auto"/>
        <w:ind w:firstLine="480"/>
        <w:rPr>
          <w:rFonts w:hint="default" w:cs="宋体"/>
          <w:sz w:val="24"/>
          <w:szCs w:val="24"/>
        </w:rPr>
      </w:pPr>
      <w:r>
        <w:rPr>
          <w:rFonts w:hint="default" w:cs="宋体"/>
          <w:sz w:val="24"/>
          <w:szCs w:val="24"/>
        </w:rPr>
        <w:t>4</w:t>
      </w:r>
      <w:r>
        <w:rPr>
          <w:rFonts w:hint="eastAsia" w:cs="宋体"/>
          <w:sz w:val="24"/>
          <w:szCs w:val="24"/>
        </w:rPr>
        <w:t>、工程经验收合格后</w:t>
      </w:r>
      <w:r>
        <w:rPr>
          <w:rFonts w:hint="default" w:cs="宋体"/>
          <w:sz w:val="24"/>
          <w:szCs w:val="24"/>
          <w:u w:val="single"/>
        </w:rPr>
        <w:t>3</w:t>
      </w:r>
      <w:r>
        <w:rPr>
          <w:rFonts w:hint="eastAsia" w:cs="宋体"/>
          <w:sz w:val="24"/>
          <w:szCs w:val="24"/>
        </w:rPr>
        <w:t>日内，乙方应向甲方移交工程完毕并撤离清场，乙方不得以任何理由留置工程、拖延移交或者撤离。</w:t>
      </w:r>
    </w:p>
    <w:p>
      <w:pPr>
        <w:spacing w:line="360" w:lineRule="auto"/>
        <w:ind w:firstLine="480"/>
        <w:textAlignment w:val="baseline"/>
        <w:outlineLvl w:val="2"/>
        <w:rPr>
          <w:rFonts w:hint="default" w:cs="宋体"/>
          <w:sz w:val="24"/>
          <w:szCs w:val="24"/>
        </w:rPr>
      </w:pPr>
      <w:r>
        <w:rPr>
          <w:rFonts w:hint="eastAsia" w:cs="宋体"/>
          <w:sz w:val="24"/>
          <w:szCs w:val="24"/>
        </w:rPr>
        <w:t>第九条 质量保修</w:t>
      </w:r>
    </w:p>
    <w:p>
      <w:pPr>
        <w:spacing w:line="360" w:lineRule="auto"/>
        <w:ind w:firstLine="480"/>
        <w:rPr>
          <w:rFonts w:hint="default" w:cs="宋体"/>
          <w:sz w:val="24"/>
          <w:szCs w:val="24"/>
        </w:rPr>
      </w:pPr>
      <w:r>
        <w:rPr>
          <w:rFonts w:hint="default" w:cs="宋体"/>
          <w:sz w:val="24"/>
          <w:szCs w:val="24"/>
        </w:rPr>
        <w:t>1</w:t>
      </w:r>
      <w:r>
        <w:rPr>
          <w:rFonts w:hint="eastAsia" w:cs="宋体"/>
          <w:sz w:val="24"/>
          <w:szCs w:val="24"/>
        </w:rPr>
        <w:t>、质量保修期的计算：质量保修期为</w:t>
      </w:r>
      <w:r>
        <w:rPr>
          <w:rFonts w:hint="default" w:cs="宋体"/>
          <w:sz w:val="24"/>
          <w:szCs w:val="24"/>
          <w:u w:val="single"/>
        </w:rPr>
        <w:t xml:space="preserve">     </w:t>
      </w:r>
      <w:r>
        <w:rPr>
          <w:rFonts w:hint="eastAsia" w:cs="宋体"/>
          <w:sz w:val="24"/>
          <w:szCs w:val="24"/>
        </w:rPr>
        <w:t xml:space="preserve">年（设备保修期 </w:t>
      </w:r>
      <w:r>
        <w:rPr>
          <w:rFonts w:hint="default" w:cs="宋体"/>
          <w:sz w:val="24"/>
          <w:szCs w:val="24"/>
          <w:u w:val="single"/>
        </w:rPr>
        <w:t xml:space="preserve">     </w:t>
      </w:r>
      <w:r>
        <w:rPr>
          <w:rFonts w:hint="eastAsia" w:cs="宋体"/>
          <w:sz w:val="24"/>
          <w:szCs w:val="24"/>
        </w:rPr>
        <w:t>年），自工程竣工验收合格之日起计算。</w:t>
      </w:r>
    </w:p>
    <w:p>
      <w:pPr>
        <w:spacing w:line="360" w:lineRule="auto"/>
        <w:ind w:firstLine="480"/>
        <w:rPr>
          <w:rFonts w:hint="default" w:cs="宋体"/>
          <w:sz w:val="24"/>
          <w:szCs w:val="24"/>
        </w:rPr>
      </w:pPr>
      <w:r>
        <w:rPr>
          <w:rFonts w:hint="default" w:cs="宋体"/>
          <w:sz w:val="24"/>
          <w:szCs w:val="24"/>
        </w:rPr>
        <w:t>2</w:t>
      </w:r>
      <w:r>
        <w:rPr>
          <w:rFonts w:hint="eastAsia" w:cs="宋体"/>
          <w:sz w:val="24"/>
          <w:szCs w:val="24"/>
        </w:rPr>
        <w:t>、保修范围、内容：质量保修期内如出现质量、缺陷等问题，在甲方以电话或书面通知方式向乙方发出维修通知后</w:t>
      </w:r>
      <w:r>
        <w:rPr>
          <w:rFonts w:hint="eastAsia" w:cs="宋体"/>
          <w:sz w:val="24"/>
          <w:szCs w:val="24"/>
          <w:u w:val="single"/>
        </w:rPr>
        <w:t>＿24＿</w:t>
      </w:r>
      <w:r>
        <w:rPr>
          <w:rFonts w:hint="eastAsia" w:cs="宋体"/>
          <w:sz w:val="24"/>
          <w:szCs w:val="24"/>
        </w:rPr>
        <w:t>小时内，乙方必须派人到达现场进行维修；发生紧急抢修事故的，乙方应当在接到事故通知后</w:t>
      </w:r>
      <w:r>
        <w:rPr>
          <w:rFonts w:hint="eastAsia" w:cs="宋体"/>
          <w:sz w:val="24"/>
          <w:szCs w:val="24"/>
          <w:u w:val="single"/>
        </w:rPr>
        <w:t>＿12＿</w:t>
      </w:r>
      <w:r>
        <w:rPr>
          <w:rFonts w:hint="eastAsia" w:cs="宋体"/>
          <w:sz w:val="24"/>
          <w:szCs w:val="24"/>
        </w:rPr>
        <w:t>小时内到达事故现场进行抢修。维修完成后，由甲方组织验收。</w:t>
      </w:r>
    </w:p>
    <w:p>
      <w:pPr>
        <w:spacing w:line="360" w:lineRule="auto"/>
        <w:ind w:firstLine="480"/>
        <w:rPr>
          <w:rFonts w:hint="default" w:cs="宋体"/>
          <w:sz w:val="24"/>
          <w:szCs w:val="24"/>
        </w:rPr>
      </w:pPr>
      <w:r>
        <w:rPr>
          <w:rFonts w:hint="default" w:cs="宋体"/>
          <w:sz w:val="24"/>
          <w:szCs w:val="24"/>
        </w:rPr>
        <w:t>3</w:t>
      </w:r>
      <w:r>
        <w:rPr>
          <w:rFonts w:hint="eastAsia" w:cs="宋体"/>
          <w:sz w:val="24"/>
          <w:szCs w:val="24"/>
        </w:rPr>
        <w:t>、乙方未能按期到达现场或未提供合格的保修服务，则甲方可直接提取质量保修金用于维修、养护，并有权要求乙方每次承担违约金</w:t>
      </w:r>
      <w:r>
        <w:rPr>
          <w:rFonts w:hint="eastAsia" w:cs="宋体"/>
          <w:sz w:val="24"/>
          <w:szCs w:val="24"/>
          <w:u w:val="single"/>
          <w:lang w:val="en-US" w:eastAsia="zh-CN"/>
        </w:rPr>
        <w:t>2</w:t>
      </w:r>
      <w:r>
        <w:rPr>
          <w:rFonts w:hint="default" w:cs="宋体"/>
          <w:sz w:val="24"/>
          <w:szCs w:val="24"/>
          <w:u w:val="single"/>
        </w:rPr>
        <w:t>000</w:t>
      </w:r>
      <w:r>
        <w:rPr>
          <w:rFonts w:hint="eastAsia" w:cs="宋体"/>
          <w:sz w:val="24"/>
          <w:szCs w:val="24"/>
        </w:rPr>
        <w:t>元；如质量保修金不足以支付维修、养护费用的，甲方有权要求乙方补足质量保修金。质量保修金有余额则在质量保修期满后</w:t>
      </w:r>
      <w:r>
        <w:rPr>
          <w:rFonts w:hint="default" w:cs="宋体"/>
          <w:sz w:val="24"/>
          <w:szCs w:val="24"/>
          <w:u w:val="single"/>
        </w:rPr>
        <w:t xml:space="preserve">  </w:t>
      </w:r>
      <w:r>
        <w:rPr>
          <w:rFonts w:hint="eastAsia" w:cs="宋体"/>
          <w:sz w:val="24"/>
          <w:szCs w:val="24"/>
          <w:u w:val="single"/>
        </w:rPr>
        <w:t>＿</w:t>
      </w:r>
      <w:r>
        <w:rPr>
          <w:rFonts w:hint="eastAsia" w:cs="宋体"/>
          <w:sz w:val="24"/>
          <w:szCs w:val="24"/>
        </w:rPr>
        <w:t>日内，由甲方无息支付给乙方。</w:t>
      </w:r>
    </w:p>
    <w:p>
      <w:pPr>
        <w:spacing w:line="360" w:lineRule="auto"/>
        <w:ind w:firstLine="480"/>
        <w:rPr>
          <w:rFonts w:hint="default" w:cs="宋体"/>
          <w:sz w:val="24"/>
          <w:szCs w:val="24"/>
        </w:rPr>
      </w:pPr>
      <w:r>
        <w:rPr>
          <w:rFonts w:hint="default" w:cs="宋体"/>
          <w:sz w:val="24"/>
          <w:szCs w:val="24"/>
        </w:rPr>
        <w:t>4</w:t>
      </w:r>
      <w:r>
        <w:rPr>
          <w:rFonts w:hint="eastAsia" w:cs="宋体"/>
          <w:sz w:val="24"/>
          <w:szCs w:val="24"/>
        </w:rPr>
        <w:t>、未尽事宜按照《建设工程质量管理条例》等法律法规的规定执行。</w:t>
      </w:r>
    </w:p>
    <w:p>
      <w:pPr>
        <w:spacing w:line="360" w:lineRule="auto"/>
        <w:ind w:firstLine="480"/>
        <w:outlineLvl w:val="2"/>
        <w:rPr>
          <w:rFonts w:hint="default" w:cs="宋体"/>
          <w:sz w:val="24"/>
          <w:szCs w:val="24"/>
        </w:rPr>
      </w:pPr>
      <w:r>
        <w:rPr>
          <w:rFonts w:hint="eastAsia" w:cs="宋体"/>
          <w:sz w:val="24"/>
          <w:szCs w:val="24"/>
        </w:rPr>
        <w:t>第十条 违约责任</w:t>
      </w:r>
    </w:p>
    <w:p>
      <w:pPr>
        <w:spacing w:line="360" w:lineRule="auto"/>
        <w:ind w:firstLine="480"/>
        <w:rPr>
          <w:rFonts w:hint="default" w:cs="宋体"/>
          <w:sz w:val="24"/>
          <w:szCs w:val="24"/>
        </w:rPr>
      </w:pPr>
      <w:r>
        <w:rPr>
          <w:rFonts w:hint="default" w:cs="宋体"/>
          <w:sz w:val="24"/>
          <w:szCs w:val="24"/>
        </w:rPr>
        <w:t>1</w:t>
      </w:r>
      <w:r>
        <w:rPr>
          <w:rFonts w:hint="eastAsia" w:cs="宋体"/>
          <w:sz w:val="24"/>
          <w:szCs w:val="24"/>
        </w:rPr>
        <w:t>、乙方未按时开工、完工或未按时完成施工组织计划节点、中途停工的，每延期或者停工一日，乙方应向甲方支付</w:t>
      </w:r>
      <w:r>
        <w:rPr>
          <w:rFonts w:hint="eastAsia" w:cs="宋体"/>
          <w:color w:val="000000"/>
          <w:sz w:val="24"/>
          <w:szCs w:val="24"/>
          <w:u w:val="single"/>
          <w:lang w:val="en-US" w:eastAsia="zh-CN"/>
        </w:rPr>
        <w:t>10</w:t>
      </w:r>
      <w:r>
        <w:rPr>
          <w:rFonts w:hint="default" w:cs="宋体"/>
          <w:color w:val="000000"/>
          <w:sz w:val="24"/>
          <w:szCs w:val="24"/>
          <w:u w:val="single"/>
        </w:rPr>
        <w:t>00</w:t>
      </w:r>
      <w:r>
        <w:rPr>
          <w:rFonts w:hint="eastAsia" w:cs="宋体"/>
          <w:color w:val="000000"/>
          <w:sz w:val="24"/>
          <w:szCs w:val="24"/>
          <w:u w:val="single"/>
        </w:rPr>
        <w:t>元</w:t>
      </w:r>
      <w:r>
        <w:rPr>
          <w:rFonts w:hint="eastAsia" w:cs="宋体"/>
          <w:sz w:val="24"/>
          <w:szCs w:val="24"/>
        </w:rPr>
        <w:t>的违约金；超过</w:t>
      </w:r>
      <w:r>
        <w:rPr>
          <w:rFonts w:hint="eastAsia" w:cs="宋体"/>
          <w:sz w:val="24"/>
          <w:szCs w:val="24"/>
          <w:u w:val="single"/>
        </w:rPr>
        <w:t>＿</w:t>
      </w:r>
      <w:r>
        <w:rPr>
          <w:rFonts w:hint="default" w:cs="宋体"/>
          <w:sz w:val="24"/>
          <w:szCs w:val="24"/>
          <w:u w:val="single"/>
        </w:rPr>
        <w:t xml:space="preserve">15 </w:t>
      </w:r>
      <w:r>
        <w:rPr>
          <w:rFonts w:hint="eastAsia" w:cs="宋体"/>
          <w:sz w:val="24"/>
          <w:szCs w:val="24"/>
        </w:rPr>
        <w:t>日的，乙方除仍应承担前述违约责任外，还应再向甲方支付</w:t>
      </w:r>
      <w:r>
        <w:rPr>
          <w:rFonts w:hint="eastAsia" w:cs="宋体"/>
          <w:color w:val="000000"/>
          <w:sz w:val="24"/>
          <w:szCs w:val="24"/>
        </w:rPr>
        <w:t>合同总价</w:t>
      </w:r>
      <w:r>
        <w:rPr>
          <w:rFonts w:hint="default" w:cs="宋体"/>
          <w:sz w:val="24"/>
          <w:szCs w:val="24"/>
          <w:u w:val="single"/>
        </w:rPr>
        <w:t xml:space="preserve">  10   </w:t>
      </w:r>
      <w:r>
        <w:rPr>
          <w:rFonts w:hint="eastAsia" w:cs="宋体"/>
          <w:sz w:val="24"/>
          <w:szCs w:val="24"/>
        </w:rPr>
        <w:t>％的违约金，同时甲方有权解除合同。</w:t>
      </w:r>
    </w:p>
    <w:p>
      <w:pPr>
        <w:spacing w:line="360" w:lineRule="auto"/>
        <w:ind w:firstLine="480"/>
        <w:rPr>
          <w:rFonts w:hint="default" w:cs="宋体"/>
          <w:sz w:val="24"/>
          <w:szCs w:val="24"/>
        </w:rPr>
      </w:pPr>
      <w:r>
        <w:rPr>
          <w:rFonts w:hint="eastAsia" w:cs="宋体"/>
          <w:sz w:val="24"/>
          <w:szCs w:val="24"/>
        </w:rPr>
        <w:t>乙方因前述违约行为造成甲方损失的，还应赔偿。</w:t>
      </w:r>
    </w:p>
    <w:p>
      <w:pPr>
        <w:spacing w:line="360" w:lineRule="auto"/>
        <w:ind w:firstLine="480"/>
        <w:rPr>
          <w:rFonts w:hint="default" w:cs="宋体"/>
          <w:sz w:val="24"/>
          <w:szCs w:val="24"/>
        </w:rPr>
      </w:pPr>
      <w:r>
        <w:rPr>
          <w:rFonts w:hint="default" w:cs="宋体"/>
          <w:sz w:val="24"/>
          <w:szCs w:val="24"/>
        </w:rPr>
        <w:t>2</w:t>
      </w:r>
      <w:r>
        <w:rPr>
          <w:rFonts w:hint="eastAsia" w:cs="宋体"/>
          <w:sz w:val="24"/>
          <w:szCs w:val="24"/>
        </w:rPr>
        <w:t>、因乙方施工质量不合格或达不到本合同约定的验收标准，乙方应在甲方限定的期限内返工完毕使之达到约定标准，返工费用由乙方自行承担，同时乙方应向甲方支付</w:t>
      </w:r>
      <w:r>
        <w:rPr>
          <w:rFonts w:hint="eastAsia" w:cs="宋体"/>
          <w:color w:val="000000"/>
          <w:sz w:val="24"/>
          <w:szCs w:val="24"/>
        </w:rPr>
        <w:t>合同总价</w:t>
      </w:r>
      <w:r>
        <w:rPr>
          <w:rFonts w:hint="default" w:cs="宋体"/>
          <w:sz w:val="24"/>
          <w:szCs w:val="24"/>
          <w:u w:val="single"/>
        </w:rPr>
        <w:t xml:space="preserve">  5  </w:t>
      </w:r>
      <w:r>
        <w:rPr>
          <w:rFonts w:hint="eastAsia" w:cs="宋体"/>
          <w:sz w:val="24"/>
          <w:szCs w:val="24"/>
        </w:rPr>
        <w:t>％的违约金。乙方因前述违约行为造成甲方损失的，还应当赔偿。</w:t>
      </w:r>
    </w:p>
    <w:p>
      <w:pPr>
        <w:spacing w:line="360" w:lineRule="auto"/>
        <w:ind w:firstLine="480"/>
        <w:rPr>
          <w:rFonts w:hint="default" w:cs="宋体"/>
          <w:sz w:val="24"/>
          <w:szCs w:val="24"/>
        </w:rPr>
      </w:pPr>
      <w:r>
        <w:rPr>
          <w:rFonts w:hint="eastAsia" w:cs="宋体"/>
          <w:sz w:val="24"/>
          <w:szCs w:val="24"/>
        </w:rPr>
        <w:t>因乙方返工造成工期延误的，乙方还应按照本条第1款约定承担工期逾期的违约责任。乙方返工后复检仍不合格或者乙方未能在甲方限定的期限内返工完毕的，乙方应再向甲方支付</w:t>
      </w:r>
      <w:r>
        <w:rPr>
          <w:rFonts w:hint="eastAsia" w:cs="宋体"/>
          <w:color w:val="000000"/>
          <w:sz w:val="24"/>
          <w:szCs w:val="24"/>
        </w:rPr>
        <w:t>合同总价</w:t>
      </w:r>
      <w:r>
        <w:rPr>
          <w:rFonts w:hint="eastAsia" w:cs="宋体"/>
          <w:sz w:val="24"/>
          <w:szCs w:val="24"/>
          <w:u w:val="single"/>
        </w:rPr>
        <w:t>＿</w:t>
      </w:r>
      <w:r>
        <w:rPr>
          <w:rFonts w:hint="default" w:cs="宋体"/>
          <w:sz w:val="24"/>
          <w:szCs w:val="24"/>
          <w:u w:val="single"/>
        </w:rPr>
        <w:t>10</w:t>
      </w:r>
      <w:r>
        <w:rPr>
          <w:rFonts w:hint="eastAsia" w:cs="宋体"/>
          <w:sz w:val="24"/>
          <w:szCs w:val="24"/>
          <w:u w:val="single"/>
        </w:rPr>
        <w:t>＿</w:t>
      </w:r>
      <w:r>
        <w:rPr>
          <w:rFonts w:hint="eastAsia" w:cs="宋体"/>
          <w:sz w:val="24"/>
          <w:szCs w:val="24"/>
        </w:rPr>
        <w:t>％的违约金，同时甲方有权解除合同。乙方因前述违约行为造成甲方损失的，还应当赔偿。</w:t>
      </w:r>
    </w:p>
    <w:p>
      <w:pPr>
        <w:spacing w:line="360" w:lineRule="auto"/>
        <w:ind w:firstLine="480"/>
        <w:rPr>
          <w:rFonts w:hint="default" w:cs="宋体"/>
          <w:sz w:val="24"/>
          <w:szCs w:val="24"/>
        </w:rPr>
      </w:pPr>
      <w:r>
        <w:rPr>
          <w:rFonts w:hint="default" w:cs="宋体"/>
          <w:sz w:val="24"/>
          <w:szCs w:val="24"/>
        </w:rPr>
        <w:t>3</w:t>
      </w:r>
      <w:r>
        <w:rPr>
          <w:rFonts w:hint="eastAsia" w:cs="宋体"/>
          <w:sz w:val="24"/>
          <w:szCs w:val="24"/>
        </w:rPr>
        <w:t>、乙方转包或违法分包本工程，或第三方挂靠乙方以乙方的名义承揽本工程，乙方应向甲方支付</w:t>
      </w:r>
      <w:r>
        <w:rPr>
          <w:rFonts w:hint="eastAsia" w:cs="宋体"/>
          <w:color w:val="000000"/>
          <w:sz w:val="24"/>
          <w:szCs w:val="24"/>
        </w:rPr>
        <w:t>合同总价</w:t>
      </w:r>
      <w:r>
        <w:rPr>
          <w:rFonts w:hint="default" w:cs="宋体"/>
          <w:sz w:val="24"/>
          <w:szCs w:val="24"/>
          <w:u w:val="single"/>
        </w:rPr>
        <w:t xml:space="preserve">   10   </w:t>
      </w:r>
      <w:r>
        <w:rPr>
          <w:rFonts w:hint="eastAsia" w:cs="宋体"/>
          <w:sz w:val="24"/>
          <w:szCs w:val="24"/>
        </w:rPr>
        <w:t>％的违约金，同时甲方有权解除合同。乙方因前述违约行为造成甲方损失的，乙方还应当赔偿。</w:t>
      </w:r>
    </w:p>
    <w:p>
      <w:pPr>
        <w:spacing w:line="360" w:lineRule="auto"/>
        <w:ind w:firstLine="460" w:firstLineChars="192"/>
        <w:rPr>
          <w:rFonts w:hint="default" w:cs="宋体"/>
          <w:sz w:val="24"/>
          <w:szCs w:val="24"/>
        </w:rPr>
      </w:pPr>
      <w:r>
        <w:rPr>
          <w:rFonts w:hint="default" w:cs="宋体"/>
          <w:sz w:val="24"/>
          <w:szCs w:val="24"/>
        </w:rPr>
        <w:t>4</w:t>
      </w:r>
      <w:r>
        <w:rPr>
          <w:rFonts w:hint="eastAsia" w:cs="宋体"/>
          <w:sz w:val="24"/>
          <w:szCs w:val="24"/>
        </w:rPr>
        <w:t>、乙方不履行双方约定的或者法律法规规定的其他义务、承诺、保证、责任的，每次应按</w:t>
      </w:r>
      <w:r>
        <w:rPr>
          <w:rFonts w:hint="eastAsia" w:cs="宋体"/>
          <w:color w:val="000000"/>
          <w:sz w:val="24"/>
          <w:szCs w:val="24"/>
        </w:rPr>
        <w:t>合同总价</w:t>
      </w:r>
      <w:r>
        <w:rPr>
          <w:rFonts w:hint="eastAsia" w:cs="宋体"/>
          <w:sz w:val="24"/>
          <w:szCs w:val="24"/>
        </w:rPr>
        <w:t>的</w:t>
      </w:r>
      <w:r>
        <w:rPr>
          <w:rFonts w:hint="eastAsia" w:cs="宋体"/>
          <w:sz w:val="24"/>
          <w:szCs w:val="24"/>
          <w:u w:val="single"/>
        </w:rPr>
        <w:t xml:space="preserve">＿ </w:t>
      </w:r>
      <w:r>
        <w:rPr>
          <w:rFonts w:hint="default" w:cs="宋体"/>
          <w:sz w:val="24"/>
          <w:szCs w:val="24"/>
          <w:u w:val="single"/>
        </w:rPr>
        <w:t>3</w:t>
      </w:r>
      <w:r>
        <w:rPr>
          <w:rFonts w:hint="eastAsia" w:cs="宋体"/>
          <w:sz w:val="24"/>
          <w:szCs w:val="24"/>
          <w:u w:val="single"/>
        </w:rPr>
        <w:t>＿</w:t>
      </w:r>
      <w:r>
        <w:rPr>
          <w:rFonts w:hint="eastAsia" w:cs="宋体"/>
          <w:sz w:val="24"/>
          <w:szCs w:val="24"/>
        </w:rPr>
        <w:t>％向甲方支付违约金，造成甲方损失的，还应当赔偿。</w:t>
      </w:r>
    </w:p>
    <w:p>
      <w:pPr>
        <w:spacing w:line="360" w:lineRule="auto"/>
        <w:ind w:firstLine="480"/>
        <w:rPr>
          <w:rFonts w:hint="default" w:cs="宋体"/>
          <w:sz w:val="24"/>
          <w:szCs w:val="24"/>
        </w:rPr>
      </w:pPr>
      <w:r>
        <w:rPr>
          <w:rFonts w:hint="default" w:cs="宋体"/>
          <w:sz w:val="24"/>
          <w:szCs w:val="24"/>
        </w:rPr>
        <w:t>5</w:t>
      </w:r>
      <w:r>
        <w:rPr>
          <w:rFonts w:hint="eastAsia" w:cs="宋体"/>
          <w:sz w:val="24"/>
          <w:szCs w:val="24"/>
        </w:rPr>
        <w:t>、乙方违约的，甲方有权从合同价款或履约保证金中直接扣除相应金额的违约金、罚金、损失赔偿金等，并对差额部分保留追偿的权利。</w:t>
      </w:r>
    </w:p>
    <w:p>
      <w:pPr>
        <w:spacing w:line="360" w:lineRule="auto"/>
        <w:ind w:firstLine="480"/>
        <w:rPr>
          <w:rFonts w:hint="default" w:cs="宋体"/>
          <w:sz w:val="24"/>
          <w:szCs w:val="24"/>
        </w:rPr>
      </w:pPr>
      <w:r>
        <w:rPr>
          <w:rFonts w:hint="default" w:cs="宋体"/>
          <w:sz w:val="24"/>
          <w:szCs w:val="24"/>
        </w:rPr>
        <w:t>6</w:t>
      </w:r>
      <w:r>
        <w:rPr>
          <w:rFonts w:hint="eastAsia" w:cs="宋体"/>
          <w:sz w:val="24"/>
          <w:szCs w:val="24"/>
        </w:rPr>
        <w:t>、因乙方违反本合同约定，给甲方造成的违约损失包括但不限于诉讼费、仲裁费用、差旅费、律师费、鉴定费等直接及间接损失，乙方均应予以承担；就本合同中约定的违约金比例及数额，乙方不得主张过高或过低，并自愿放弃请求适当调整的权利。</w:t>
      </w:r>
    </w:p>
    <w:p>
      <w:pPr>
        <w:spacing w:line="360" w:lineRule="auto"/>
        <w:ind w:firstLine="480"/>
        <w:rPr>
          <w:rFonts w:hint="default" w:cs="宋体"/>
          <w:sz w:val="24"/>
          <w:szCs w:val="24"/>
        </w:rPr>
      </w:pPr>
      <w:r>
        <w:rPr>
          <w:rFonts w:hint="default" w:cs="宋体"/>
          <w:sz w:val="24"/>
          <w:szCs w:val="24"/>
        </w:rPr>
        <w:t>7</w:t>
      </w:r>
      <w:r>
        <w:rPr>
          <w:rFonts w:hint="eastAsia" w:cs="宋体"/>
          <w:sz w:val="24"/>
          <w:szCs w:val="24"/>
        </w:rPr>
        <w:t>、如乙方违反本合同的任何条款，则：</w:t>
      </w:r>
    </w:p>
    <w:p>
      <w:pPr>
        <w:spacing w:line="360" w:lineRule="auto"/>
        <w:ind w:firstLine="480"/>
        <w:rPr>
          <w:rFonts w:hint="default" w:cs="宋体"/>
          <w:sz w:val="24"/>
          <w:szCs w:val="24"/>
        </w:rPr>
      </w:pPr>
      <w:r>
        <w:rPr>
          <w:rFonts w:hint="eastAsia" w:cs="宋体"/>
          <w:sz w:val="24"/>
          <w:szCs w:val="24"/>
        </w:rPr>
        <w:t>（1）乙方应协助甲方采取一切合理的补救措施；</w:t>
      </w:r>
    </w:p>
    <w:p>
      <w:pPr>
        <w:spacing w:line="360" w:lineRule="auto"/>
        <w:ind w:firstLine="480"/>
        <w:rPr>
          <w:rFonts w:hint="default" w:cs="宋体"/>
          <w:sz w:val="24"/>
          <w:szCs w:val="24"/>
        </w:rPr>
      </w:pPr>
      <w:r>
        <w:rPr>
          <w:rFonts w:hint="eastAsia" w:cs="宋体"/>
          <w:sz w:val="24"/>
          <w:szCs w:val="24"/>
        </w:rPr>
        <w:t>（2）乙方应当赔偿甲方由此受到的一切损失；</w:t>
      </w:r>
    </w:p>
    <w:p>
      <w:pPr>
        <w:spacing w:line="360" w:lineRule="auto"/>
        <w:ind w:firstLine="480"/>
        <w:rPr>
          <w:rFonts w:hint="default" w:cs="宋体"/>
          <w:sz w:val="24"/>
          <w:szCs w:val="24"/>
        </w:rPr>
      </w:pPr>
      <w:r>
        <w:rPr>
          <w:rFonts w:hint="eastAsia" w:cs="宋体"/>
          <w:sz w:val="24"/>
          <w:szCs w:val="24"/>
        </w:rPr>
        <w:t>（3）因乙方的违约行为而使甲方被提起诉讼或仲裁，或/和须向第三方承担违约、侵权或其他赔偿责任的，乙方应当赔偿由此产生的任何成本和费用；</w:t>
      </w:r>
    </w:p>
    <w:p>
      <w:pPr>
        <w:spacing w:line="360" w:lineRule="auto"/>
        <w:ind w:firstLine="480"/>
        <w:rPr>
          <w:rFonts w:hint="default" w:cs="宋体"/>
          <w:sz w:val="24"/>
          <w:szCs w:val="24"/>
        </w:rPr>
      </w:pPr>
      <w:r>
        <w:rPr>
          <w:rFonts w:hint="eastAsia" w:cs="宋体"/>
          <w:sz w:val="24"/>
          <w:szCs w:val="24"/>
        </w:rPr>
        <w:t>（4）甲方有权要求乙方因违约行为而获得的收益归甲方所有；</w:t>
      </w:r>
    </w:p>
    <w:p>
      <w:pPr>
        <w:spacing w:line="360" w:lineRule="auto"/>
        <w:ind w:firstLine="480"/>
        <w:rPr>
          <w:rFonts w:hint="default" w:cs="宋体"/>
          <w:sz w:val="24"/>
          <w:szCs w:val="24"/>
        </w:rPr>
      </w:pPr>
      <w:r>
        <w:rPr>
          <w:rFonts w:hint="eastAsia" w:cs="宋体"/>
          <w:sz w:val="24"/>
          <w:szCs w:val="24"/>
        </w:rPr>
        <w:t>（5）乙方应依法承担其他责任。</w:t>
      </w:r>
    </w:p>
    <w:p>
      <w:pPr>
        <w:spacing w:line="360" w:lineRule="auto"/>
        <w:ind w:firstLine="480"/>
        <w:rPr>
          <w:rFonts w:hint="default" w:cs="宋体"/>
          <w:sz w:val="24"/>
          <w:szCs w:val="24"/>
        </w:rPr>
      </w:pPr>
      <w:r>
        <w:rPr>
          <w:rFonts w:hint="eastAsia" w:cs="宋体"/>
          <w:sz w:val="24"/>
          <w:szCs w:val="24"/>
        </w:rPr>
        <w:t>本合同有关乙方违约的约定有重叠、交叉的，甲方有权自由选择对甲方更为有利的约定执行。</w:t>
      </w:r>
    </w:p>
    <w:p>
      <w:pPr>
        <w:spacing w:line="360" w:lineRule="auto"/>
        <w:ind w:firstLine="480"/>
        <w:outlineLvl w:val="2"/>
        <w:rPr>
          <w:rFonts w:hint="default" w:cs="宋体"/>
          <w:sz w:val="24"/>
          <w:szCs w:val="24"/>
        </w:rPr>
      </w:pPr>
      <w:r>
        <w:rPr>
          <w:rFonts w:hint="eastAsia" w:cs="宋体"/>
          <w:sz w:val="24"/>
          <w:szCs w:val="24"/>
        </w:rPr>
        <w:t>第十一条 不可抗力</w:t>
      </w:r>
    </w:p>
    <w:p>
      <w:pPr>
        <w:spacing w:line="360" w:lineRule="auto"/>
        <w:ind w:firstLine="480"/>
        <w:rPr>
          <w:rFonts w:hint="default" w:cs="宋体"/>
          <w:sz w:val="24"/>
          <w:szCs w:val="24"/>
        </w:rPr>
      </w:pPr>
      <w:r>
        <w:rPr>
          <w:rFonts w:hint="eastAsia" w:cs="宋体"/>
          <w:sz w:val="24"/>
          <w:szCs w:val="24"/>
        </w:rPr>
        <w:t>因地震、台风等不可抗力导致合同不能按照约定履行时，遭遇不可抗力的一方，应在该不可抗力事件发生后两日内以书面形式通知另一方，并提供不可抗力事件的证明。因遭遇不可抗力而不能按照合同约定履行的一方，可免除违约责任，但该方仍有责任采取必要措施以尽可能履行自己的义务。</w:t>
      </w:r>
    </w:p>
    <w:p>
      <w:pPr>
        <w:spacing w:line="360" w:lineRule="auto"/>
        <w:ind w:firstLine="480"/>
        <w:rPr>
          <w:rFonts w:hint="default" w:cs="宋体"/>
          <w:sz w:val="24"/>
          <w:szCs w:val="24"/>
        </w:rPr>
      </w:pPr>
      <w:r>
        <w:rPr>
          <w:rFonts w:hint="eastAsia" w:cs="宋体"/>
          <w:sz w:val="24"/>
          <w:szCs w:val="24"/>
        </w:rPr>
        <w:t>但合同任何一方在迟延履行合同义务后发生不可抗力的，不免除其责任。</w:t>
      </w:r>
    </w:p>
    <w:p>
      <w:pPr>
        <w:spacing w:line="360" w:lineRule="auto"/>
        <w:ind w:firstLine="480"/>
        <w:textAlignment w:val="baseline"/>
        <w:outlineLvl w:val="2"/>
        <w:rPr>
          <w:rFonts w:hint="default" w:cs="宋体"/>
          <w:sz w:val="24"/>
          <w:szCs w:val="24"/>
        </w:rPr>
      </w:pPr>
      <w:r>
        <w:rPr>
          <w:rFonts w:hint="eastAsia" w:cs="宋体"/>
          <w:sz w:val="24"/>
          <w:szCs w:val="24"/>
        </w:rPr>
        <w:t>第十二条 争议解决</w:t>
      </w:r>
    </w:p>
    <w:p>
      <w:pPr>
        <w:spacing w:line="360" w:lineRule="auto"/>
        <w:ind w:firstLine="480"/>
        <w:rPr>
          <w:rFonts w:hint="default" w:cs="宋体"/>
          <w:sz w:val="24"/>
          <w:szCs w:val="24"/>
        </w:rPr>
      </w:pPr>
      <w:r>
        <w:rPr>
          <w:rFonts w:hint="eastAsia" w:cs="宋体"/>
          <w:sz w:val="24"/>
          <w:szCs w:val="24"/>
        </w:rPr>
        <w:t>因本合同履行过程中引起的或与本合同相关的任何争议，双方应争取以友好协商的方式解决。若经协商未能解决</w:t>
      </w:r>
      <w:r>
        <w:rPr>
          <w:rFonts w:hint="eastAsia" w:cs="宋体"/>
          <w:color w:val="000000"/>
          <w:sz w:val="24"/>
          <w:szCs w:val="24"/>
        </w:rPr>
        <w:t>的，本合同任一方均有权</w:t>
      </w:r>
      <w:r>
        <w:rPr>
          <w:rFonts w:hint="eastAsia" w:cs="宋体"/>
          <w:sz w:val="24"/>
          <w:szCs w:val="24"/>
        </w:rPr>
        <w:t>向工程所在地的人民法院提起诉讼。</w:t>
      </w:r>
    </w:p>
    <w:p>
      <w:pPr>
        <w:spacing w:line="360" w:lineRule="auto"/>
        <w:ind w:firstLine="480"/>
        <w:textAlignment w:val="baseline"/>
        <w:outlineLvl w:val="2"/>
        <w:rPr>
          <w:rFonts w:hint="default" w:cs="宋体"/>
          <w:sz w:val="24"/>
          <w:szCs w:val="24"/>
        </w:rPr>
      </w:pPr>
      <w:r>
        <w:rPr>
          <w:rFonts w:hint="eastAsia" w:cs="宋体"/>
          <w:sz w:val="24"/>
          <w:szCs w:val="24"/>
        </w:rPr>
        <w:t>第十三条 合同文件的组成及解释顺序</w:t>
      </w:r>
    </w:p>
    <w:p>
      <w:pPr>
        <w:spacing w:line="360" w:lineRule="auto"/>
        <w:ind w:firstLine="480"/>
        <w:rPr>
          <w:rFonts w:hint="default" w:cs="宋体"/>
          <w:sz w:val="24"/>
          <w:szCs w:val="24"/>
        </w:rPr>
      </w:pPr>
      <w:r>
        <w:rPr>
          <w:rFonts w:hint="eastAsia" w:cs="宋体"/>
          <w:sz w:val="24"/>
          <w:szCs w:val="24"/>
        </w:rPr>
        <w:t>本合同文件的组成及解释顺序如下：</w:t>
      </w:r>
    </w:p>
    <w:p>
      <w:pPr>
        <w:spacing w:line="360" w:lineRule="auto"/>
        <w:ind w:firstLine="480"/>
        <w:rPr>
          <w:rFonts w:hint="default" w:cs="宋体"/>
          <w:sz w:val="24"/>
          <w:szCs w:val="24"/>
        </w:rPr>
      </w:pPr>
      <w:r>
        <w:rPr>
          <w:rFonts w:hint="eastAsia" w:cs="宋体"/>
          <w:sz w:val="24"/>
          <w:szCs w:val="24"/>
        </w:rPr>
        <w:t>（1）本合同及附件；</w:t>
      </w:r>
    </w:p>
    <w:p>
      <w:pPr>
        <w:spacing w:line="360" w:lineRule="auto"/>
        <w:ind w:firstLine="480"/>
        <w:rPr>
          <w:rFonts w:hint="default" w:cs="宋体"/>
          <w:sz w:val="24"/>
          <w:szCs w:val="24"/>
        </w:rPr>
      </w:pPr>
      <w:r>
        <w:rPr>
          <w:rFonts w:hint="eastAsia" w:cs="宋体"/>
          <w:sz w:val="24"/>
          <w:szCs w:val="24"/>
        </w:rPr>
        <w:t>（2）成交通知书；</w:t>
      </w:r>
    </w:p>
    <w:p>
      <w:pPr>
        <w:spacing w:line="360" w:lineRule="auto"/>
        <w:ind w:firstLine="480"/>
        <w:rPr>
          <w:rFonts w:hint="default" w:cs="宋体"/>
          <w:sz w:val="24"/>
          <w:szCs w:val="24"/>
        </w:rPr>
      </w:pPr>
      <w:r>
        <w:rPr>
          <w:rFonts w:hint="eastAsia" w:cs="宋体"/>
          <w:sz w:val="24"/>
          <w:szCs w:val="24"/>
        </w:rPr>
        <w:t>（3）在采购过程中及合同谈判过程中形成的澄清、补遗、纪要等文件；</w:t>
      </w:r>
    </w:p>
    <w:p>
      <w:pPr>
        <w:spacing w:line="360" w:lineRule="auto"/>
        <w:ind w:firstLine="480"/>
        <w:rPr>
          <w:rFonts w:hint="default" w:cs="宋体"/>
          <w:sz w:val="24"/>
          <w:szCs w:val="24"/>
        </w:rPr>
      </w:pPr>
      <w:r>
        <w:rPr>
          <w:rFonts w:hint="eastAsia" w:cs="宋体"/>
          <w:sz w:val="24"/>
          <w:szCs w:val="24"/>
        </w:rPr>
        <w:t>（4）甲方招标文件；</w:t>
      </w:r>
    </w:p>
    <w:p>
      <w:pPr>
        <w:spacing w:line="360" w:lineRule="auto"/>
        <w:ind w:firstLine="480"/>
        <w:rPr>
          <w:rFonts w:hint="default" w:cs="宋体"/>
          <w:sz w:val="24"/>
          <w:szCs w:val="24"/>
        </w:rPr>
      </w:pPr>
      <w:r>
        <w:rPr>
          <w:rFonts w:hint="eastAsia" w:cs="宋体"/>
          <w:sz w:val="24"/>
          <w:szCs w:val="24"/>
        </w:rPr>
        <w:t>（5）乙方响应文件；</w:t>
      </w:r>
    </w:p>
    <w:p>
      <w:pPr>
        <w:spacing w:line="360" w:lineRule="auto"/>
        <w:ind w:firstLine="480"/>
        <w:rPr>
          <w:rFonts w:hint="default" w:cs="宋体"/>
          <w:sz w:val="24"/>
          <w:szCs w:val="24"/>
        </w:rPr>
      </w:pPr>
      <w:r>
        <w:rPr>
          <w:rFonts w:hint="eastAsia" w:cs="宋体"/>
          <w:sz w:val="24"/>
          <w:szCs w:val="24"/>
        </w:rPr>
        <w:t>（6）技术标准和规范；</w:t>
      </w:r>
    </w:p>
    <w:p>
      <w:pPr>
        <w:spacing w:line="360" w:lineRule="auto"/>
        <w:ind w:firstLine="480"/>
        <w:rPr>
          <w:rFonts w:hint="default" w:cs="宋体"/>
          <w:sz w:val="24"/>
          <w:szCs w:val="24"/>
        </w:rPr>
      </w:pPr>
      <w:r>
        <w:rPr>
          <w:rFonts w:hint="eastAsia" w:cs="宋体"/>
          <w:sz w:val="24"/>
          <w:szCs w:val="24"/>
        </w:rPr>
        <w:t>（7）其他合同文件。</w:t>
      </w:r>
    </w:p>
    <w:p>
      <w:pPr>
        <w:spacing w:line="360" w:lineRule="auto"/>
        <w:ind w:firstLine="480"/>
        <w:rPr>
          <w:rFonts w:hint="default" w:cs="宋体"/>
          <w:sz w:val="24"/>
          <w:szCs w:val="24"/>
        </w:rPr>
      </w:pPr>
      <w:r>
        <w:rPr>
          <w:rFonts w:hint="eastAsia" w:cs="宋体"/>
          <w:sz w:val="24"/>
          <w:szCs w:val="24"/>
        </w:rPr>
        <w:t>以上文件相互补充，若有不明确或不一致之处，以上列次序在先者为准。</w:t>
      </w:r>
    </w:p>
    <w:p>
      <w:pPr>
        <w:spacing w:line="360" w:lineRule="auto"/>
        <w:ind w:firstLine="480"/>
        <w:rPr>
          <w:rFonts w:hint="default" w:cs="宋体"/>
          <w:sz w:val="24"/>
          <w:szCs w:val="24"/>
        </w:rPr>
      </w:pPr>
      <w:r>
        <w:rPr>
          <w:rFonts w:hint="eastAsia" w:cs="宋体"/>
          <w:sz w:val="24"/>
          <w:szCs w:val="24"/>
        </w:rPr>
        <w:t>以上各项合同文件包括合同当事人就该项合同文件所作出的补充和修改（包括纪要、备忘录等），属于同一类内容的文件，应以最新签署的为准。</w:t>
      </w:r>
    </w:p>
    <w:p>
      <w:pPr>
        <w:spacing w:line="360" w:lineRule="auto"/>
        <w:ind w:firstLine="480"/>
        <w:outlineLvl w:val="2"/>
        <w:rPr>
          <w:rFonts w:hint="default" w:cs="宋体"/>
          <w:sz w:val="24"/>
          <w:szCs w:val="24"/>
        </w:rPr>
      </w:pPr>
      <w:r>
        <w:rPr>
          <w:rFonts w:hint="eastAsia" w:cs="宋体"/>
          <w:sz w:val="24"/>
          <w:szCs w:val="24"/>
        </w:rPr>
        <w:t>第十四条 其他</w:t>
      </w:r>
    </w:p>
    <w:p>
      <w:pPr>
        <w:spacing w:line="360" w:lineRule="auto"/>
        <w:ind w:firstLine="480"/>
        <w:rPr>
          <w:rFonts w:hint="default" w:cs="宋体"/>
          <w:color w:val="000000"/>
          <w:sz w:val="24"/>
          <w:szCs w:val="24"/>
        </w:rPr>
      </w:pPr>
      <w:r>
        <w:rPr>
          <w:rFonts w:hint="default" w:cs="宋体"/>
          <w:color w:val="000000"/>
          <w:sz w:val="24"/>
          <w:szCs w:val="24"/>
        </w:rPr>
        <w:t>1</w:t>
      </w:r>
      <w:r>
        <w:rPr>
          <w:rFonts w:hint="eastAsia" w:cs="宋体"/>
          <w:color w:val="000000"/>
          <w:sz w:val="24"/>
          <w:szCs w:val="24"/>
        </w:rPr>
        <w:t>、乙方作为一个有经验的承包人，对本合同条款已认真阅读，对合同约定的所有事项均已完全理解，对履行本合同可能存在的各项风险包括工程停建、工期变更、资金周转、自然条件变化、征地拆迁滞后、图纸迟延等均已充分判断，乙方签订本合同则视为自愿承担可能存在的各种风险。</w:t>
      </w:r>
    </w:p>
    <w:p>
      <w:pPr>
        <w:spacing w:line="360" w:lineRule="auto"/>
        <w:ind w:firstLine="480"/>
        <w:rPr>
          <w:rFonts w:hint="default" w:cs="宋体"/>
          <w:sz w:val="24"/>
          <w:szCs w:val="24"/>
        </w:rPr>
      </w:pPr>
      <w:r>
        <w:rPr>
          <w:rFonts w:hint="default" w:cs="宋体"/>
          <w:sz w:val="24"/>
          <w:szCs w:val="24"/>
        </w:rPr>
        <w:t>2</w:t>
      </w:r>
      <w:r>
        <w:rPr>
          <w:rFonts w:hint="eastAsia" w:cs="宋体"/>
          <w:sz w:val="24"/>
          <w:szCs w:val="24"/>
        </w:rPr>
        <w:t>、 乙方应提供确保通知可以送达的通讯地址和联系方式：</w:t>
      </w:r>
    </w:p>
    <w:p>
      <w:pPr>
        <w:spacing w:line="360" w:lineRule="auto"/>
        <w:ind w:firstLine="480"/>
        <w:rPr>
          <w:rFonts w:hint="default" w:cs="宋体"/>
          <w:sz w:val="24"/>
          <w:szCs w:val="24"/>
        </w:rPr>
      </w:pPr>
      <w:r>
        <w:rPr>
          <w:rFonts w:hint="eastAsia" w:cs="宋体"/>
          <w:sz w:val="24"/>
          <w:szCs w:val="24"/>
        </w:rPr>
        <w:t>地址：</w:t>
      </w:r>
      <w:r>
        <w:rPr>
          <w:rFonts w:hint="default" w:cs="宋体"/>
          <w:sz w:val="24"/>
          <w:szCs w:val="24"/>
          <w:u w:val="single"/>
        </w:rPr>
        <w:t xml:space="preserve">                        </w:t>
      </w:r>
      <w:r>
        <w:rPr>
          <w:rFonts w:hint="eastAsia" w:cs="宋体"/>
          <w:sz w:val="24"/>
          <w:szCs w:val="24"/>
        </w:rPr>
        <w:t>；</w:t>
      </w:r>
    </w:p>
    <w:p>
      <w:pPr>
        <w:spacing w:line="360" w:lineRule="auto"/>
        <w:ind w:firstLine="480"/>
        <w:rPr>
          <w:rFonts w:hint="default" w:cs="宋体"/>
          <w:sz w:val="24"/>
          <w:szCs w:val="24"/>
        </w:rPr>
      </w:pPr>
      <w:r>
        <w:rPr>
          <w:rFonts w:hint="eastAsia" w:cs="宋体"/>
          <w:sz w:val="24"/>
          <w:szCs w:val="24"/>
        </w:rPr>
        <w:t>邮编：</w:t>
      </w:r>
      <w:r>
        <w:rPr>
          <w:rFonts w:hint="default" w:cs="宋体"/>
          <w:sz w:val="24"/>
          <w:szCs w:val="24"/>
          <w:u w:val="single"/>
        </w:rPr>
        <w:t xml:space="preserve">                        </w:t>
      </w:r>
      <w:r>
        <w:rPr>
          <w:rFonts w:hint="eastAsia" w:cs="宋体"/>
          <w:sz w:val="24"/>
          <w:szCs w:val="24"/>
        </w:rPr>
        <w:t xml:space="preserve">；       </w:t>
      </w:r>
    </w:p>
    <w:p>
      <w:pPr>
        <w:spacing w:line="360" w:lineRule="auto"/>
        <w:ind w:firstLine="480"/>
        <w:rPr>
          <w:rFonts w:hint="default" w:cs="宋体"/>
          <w:sz w:val="24"/>
          <w:szCs w:val="24"/>
          <w:u w:val="single"/>
        </w:rPr>
      </w:pPr>
      <w:r>
        <w:rPr>
          <w:rFonts w:hint="eastAsia" w:cs="宋体"/>
          <w:sz w:val="24"/>
          <w:szCs w:val="24"/>
        </w:rPr>
        <w:t>电子邮箱：</w:t>
      </w:r>
      <w:r>
        <w:rPr>
          <w:rFonts w:hint="default" w:cs="宋体"/>
          <w:sz w:val="24"/>
          <w:szCs w:val="24"/>
          <w:u w:val="single"/>
        </w:rPr>
        <w:t xml:space="preserve">                    </w:t>
      </w:r>
      <w:r>
        <w:rPr>
          <w:rFonts w:hint="eastAsia" w:cs="宋体"/>
          <w:sz w:val="24"/>
          <w:szCs w:val="24"/>
        </w:rPr>
        <w:t>；</w:t>
      </w:r>
    </w:p>
    <w:p>
      <w:pPr>
        <w:spacing w:line="360" w:lineRule="auto"/>
        <w:ind w:firstLine="480"/>
        <w:rPr>
          <w:rFonts w:hint="default" w:cs="宋体"/>
          <w:sz w:val="24"/>
          <w:szCs w:val="24"/>
        </w:rPr>
      </w:pPr>
      <w:r>
        <w:rPr>
          <w:rFonts w:hint="eastAsia" w:cs="宋体"/>
          <w:sz w:val="24"/>
          <w:szCs w:val="24"/>
        </w:rPr>
        <w:t>联系人：</w:t>
      </w:r>
      <w:r>
        <w:rPr>
          <w:rFonts w:hint="default" w:cs="宋体"/>
          <w:sz w:val="24"/>
          <w:szCs w:val="24"/>
          <w:u w:val="single"/>
        </w:rPr>
        <w:t xml:space="preserve">                      </w:t>
      </w:r>
      <w:r>
        <w:rPr>
          <w:rFonts w:hint="eastAsia" w:cs="宋体"/>
          <w:sz w:val="24"/>
          <w:szCs w:val="24"/>
        </w:rPr>
        <w:t>；</w:t>
      </w:r>
    </w:p>
    <w:p>
      <w:pPr>
        <w:spacing w:line="360" w:lineRule="auto"/>
        <w:ind w:firstLine="480"/>
        <w:rPr>
          <w:rFonts w:hint="default" w:cs="宋体"/>
          <w:sz w:val="24"/>
          <w:szCs w:val="24"/>
        </w:rPr>
      </w:pPr>
      <w:r>
        <w:rPr>
          <w:rFonts w:hint="eastAsia" w:cs="宋体"/>
          <w:sz w:val="24"/>
          <w:szCs w:val="24"/>
        </w:rPr>
        <w:t>固定电话：</w:t>
      </w:r>
      <w:r>
        <w:rPr>
          <w:rFonts w:hint="default" w:cs="宋体"/>
          <w:sz w:val="24"/>
          <w:szCs w:val="24"/>
          <w:u w:val="single"/>
        </w:rPr>
        <w:t xml:space="preserve">                    </w:t>
      </w:r>
      <w:r>
        <w:rPr>
          <w:rFonts w:hint="eastAsia" w:cs="宋体"/>
          <w:sz w:val="24"/>
          <w:szCs w:val="24"/>
        </w:rPr>
        <w:t>移动电话：</w:t>
      </w:r>
      <w:r>
        <w:rPr>
          <w:rFonts w:hint="default" w:cs="宋体"/>
          <w:sz w:val="24"/>
          <w:szCs w:val="24"/>
          <w:u w:val="single"/>
        </w:rPr>
        <w:t xml:space="preserve">                     </w:t>
      </w:r>
      <w:r>
        <w:rPr>
          <w:rFonts w:hint="eastAsia" w:cs="宋体"/>
          <w:sz w:val="24"/>
          <w:szCs w:val="24"/>
        </w:rPr>
        <w:t>；</w:t>
      </w:r>
    </w:p>
    <w:p>
      <w:pPr>
        <w:spacing w:line="360" w:lineRule="auto"/>
        <w:ind w:firstLine="410" w:firstLineChars="171"/>
        <w:rPr>
          <w:rFonts w:hint="default" w:cs="宋体"/>
          <w:sz w:val="24"/>
          <w:szCs w:val="24"/>
        </w:rPr>
      </w:pPr>
      <w:r>
        <w:rPr>
          <w:rFonts w:hint="eastAsia" w:cs="宋体"/>
          <w:sz w:val="24"/>
          <w:szCs w:val="24"/>
        </w:rPr>
        <w:t>甲方向乙方发出的任何通知，应以专人送递、邮寄或电子邮件的方式发出。通知如以专人送递，以乙方法定代表人、联系人或其他工作人员签收之日为送达之日；以邮寄发出的通知，无论乙方是否签收，交邮后第3日即视为送达之日；使用电子邮件方式送达通知的，电子邮件在发信通知服务器上所记录的发出时间视为送达时间。除此之外，甲方还可采用电话、短信等方式向乙方发出通知。</w:t>
      </w:r>
    </w:p>
    <w:p>
      <w:pPr>
        <w:spacing w:line="360" w:lineRule="auto"/>
        <w:ind w:firstLine="480"/>
        <w:rPr>
          <w:rFonts w:hint="default" w:cs="宋体"/>
          <w:sz w:val="24"/>
          <w:szCs w:val="24"/>
        </w:rPr>
      </w:pPr>
      <w:r>
        <w:rPr>
          <w:rFonts w:hint="eastAsia" w:cs="宋体"/>
          <w:sz w:val="24"/>
          <w:szCs w:val="24"/>
        </w:rPr>
        <w:t>上述送达地址、联系人、联系电话等若有变动，乙方应在变更前三天内以书面形式通知甲方。若因本合同上注明的乙方地址、联系人及联系电话等不准确或变更前未通知甲方而导致通知不能送达的，视为甲方已送达，乙方承担因此产生的一切后果和责任，同时视为甲方已履行通知义务。</w:t>
      </w:r>
    </w:p>
    <w:p>
      <w:pPr>
        <w:spacing w:line="360" w:lineRule="auto"/>
        <w:ind w:firstLine="480"/>
        <w:rPr>
          <w:rFonts w:hint="default" w:cs="宋体"/>
          <w:sz w:val="24"/>
          <w:szCs w:val="24"/>
        </w:rPr>
      </w:pPr>
      <w:r>
        <w:rPr>
          <w:rFonts w:hint="eastAsia" w:cs="宋体"/>
          <w:sz w:val="24"/>
          <w:szCs w:val="24"/>
        </w:rPr>
        <w:t>乙方确认，本合同中约定的上述送达地址适用范围包括双方非诉时各类通知、协议等文件以及就本合同发生纠纷时相关文件和法律文书的送达，同时包括在争议进入仲裁、民事诉讼程序后的一审、二审、再审和执行等程序。</w:t>
      </w:r>
    </w:p>
    <w:p>
      <w:pPr>
        <w:spacing w:line="360" w:lineRule="auto"/>
        <w:ind w:firstLine="480"/>
        <w:rPr>
          <w:rFonts w:hint="default" w:cs="宋体"/>
          <w:sz w:val="24"/>
          <w:szCs w:val="24"/>
        </w:rPr>
      </w:pPr>
      <w:r>
        <w:rPr>
          <w:rFonts w:hint="default" w:cs="宋体"/>
          <w:sz w:val="24"/>
          <w:szCs w:val="24"/>
        </w:rPr>
        <w:t>3</w:t>
      </w:r>
      <w:r>
        <w:rPr>
          <w:rFonts w:hint="eastAsia" w:cs="宋体"/>
          <w:sz w:val="24"/>
          <w:szCs w:val="24"/>
        </w:rPr>
        <w:t>、乙方必须遵守甲方各项保密规章、制度、履行与其合作事项相应的保密职责。保密规章、制度没有规定或者规定不明确之处，乙方亦应本着谨慎、诚实的态度，采取任何必要、合理的措施，维护甲方的保密信息，否则应按照本合同约定承担相应违约责任。</w:t>
      </w:r>
    </w:p>
    <w:p>
      <w:pPr>
        <w:spacing w:line="360" w:lineRule="auto"/>
        <w:ind w:firstLine="480"/>
        <w:rPr>
          <w:rFonts w:hint="default" w:cs="宋体"/>
          <w:sz w:val="24"/>
          <w:szCs w:val="24"/>
        </w:rPr>
      </w:pPr>
      <w:r>
        <w:rPr>
          <w:rFonts w:hint="default" w:cs="宋体"/>
          <w:sz w:val="24"/>
          <w:szCs w:val="24"/>
        </w:rPr>
        <w:t>4.</w:t>
      </w:r>
      <w:r>
        <w:rPr>
          <w:rFonts w:hint="eastAsia" w:cs="宋体"/>
          <w:sz w:val="24"/>
          <w:szCs w:val="24"/>
        </w:rPr>
        <w:t>本合同自双方法定代表人（或授权代表）签字（或加盖个人名章）并盖单位公章（或合同专用章）之日起生效。</w:t>
      </w:r>
    </w:p>
    <w:p>
      <w:pPr>
        <w:spacing w:line="360" w:lineRule="auto"/>
        <w:ind w:firstLine="480"/>
        <w:rPr>
          <w:rFonts w:hint="default" w:cs="宋体"/>
          <w:sz w:val="24"/>
          <w:szCs w:val="24"/>
        </w:rPr>
      </w:pPr>
      <w:r>
        <w:rPr>
          <w:rFonts w:hint="default" w:cs="宋体"/>
          <w:sz w:val="24"/>
          <w:szCs w:val="24"/>
        </w:rPr>
        <w:t>5</w:t>
      </w:r>
      <w:r>
        <w:rPr>
          <w:rFonts w:hint="eastAsia" w:cs="宋体"/>
          <w:sz w:val="24"/>
          <w:szCs w:val="24"/>
        </w:rPr>
        <w:t>、本合同一式</w:t>
      </w:r>
      <w:r>
        <w:rPr>
          <w:rFonts w:hint="default" w:cs="宋体"/>
          <w:sz w:val="24"/>
          <w:szCs w:val="24"/>
          <w:u w:val="single"/>
        </w:rPr>
        <w:t xml:space="preserve">    </w:t>
      </w:r>
      <w:r>
        <w:rPr>
          <w:rFonts w:hint="eastAsia" w:cs="宋体"/>
          <w:sz w:val="24"/>
          <w:szCs w:val="24"/>
        </w:rPr>
        <w:t>份，甲乙双方各执</w:t>
      </w:r>
      <w:r>
        <w:rPr>
          <w:rFonts w:hint="default" w:cs="宋体"/>
          <w:sz w:val="24"/>
          <w:szCs w:val="24"/>
          <w:u w:val="single"/>
        </w:rPr>
        <w:t xml:space="preserve">      </w:t>
      </w:r>
      <w:r>
        <w:rPr>
          <w:rFonts w:hint="eastAsia" w:cs="宋体"/>
          <w:sz w:val="24"/>
          <w:szCs w:val="24"/>
        </w:rPr>
        <w:t>份，具有同等法律效力。</w:t>
      </w:r>
    </w:p>
    <w:p>
      <w:pPr>
        <w:spacing w:line="360" w:lineRule="auto"/>
        <w:jc w:val="center"/>
        <w:rPr>
          <w:rFonts w:hint="default" w:cs="宋体"/>
          <w:sz w:val="24"/>
          <w:szCs w:val="24"/>
        </w:rPr>
      </w:pPr>
      <w:r>
        <w:rPr>
          <w:rFonts w:hint="eastAsia" w:cs="宋体"/>
          <w:sz w:val="24"/>
          <w:szCs w:val="24"/>
        </w:rPr>
        <w:t>（以下无正文，为合同签署页）</w:t>
      </w:r>
    </w:p>
    <w:p>
      <w:pPr>
        <w:ind w:firstLine="480"/>
        <w:rPr>
          <w:rFonts w:hint="default" w:cs="宋体"/>
          <w:sz w:val="24"/>
          <w:szCs w:val="24"/>
        </w:rPr>
      </w:pPr>
      <w:r>
        <w:rPr>
          <w:rFonts w:hint="eastAsia" w:cs="宋体"/>
          <w:sz w:val="24"/>
          <w:szCs w:val="24"/>
        </w:rPr>
        <w:t>甲方（盖章）：　　　　　　　         乙方（盖章）：</w:t>
      </w:r>
    </w:p>
    <w:p>
      <w:pPr>
        <w:ind w:firstLine="480"/>
        <w:rPr>
          <w:rFonts w:hint="default" w:cs="宋体"/>
          <w:sz w:val="24"/>
          <w:szCs w:val="24"/>
        </w:rPr>
      </w:pPr>
      <w:r>
        <w:rPr>
          <w:rFonts w:hint="eastAsia" w:cs="宋体"/>
          <w:sz w:val="24"/>
          <w:szCs w:val="24"/>
        </w:rPr>
        <w:t>法定代表人      　　　　             法定代表人</w:t>
      </w:r>
    </w:p>
    <w:p>
      <w:pPr>
        <w:ind w:firstLine="480"/>
        <w:rPr>
          <w:rFonts w:hint="default" w:cs="宋体"/>
          <w:sz w:val="24"/>
          <w:szCs w:val="24"/>
        </w:rPr>
      </w:pPr>
      <w:r>
        <w:rPr>
          <w:rFonts w:hint="eastAsia" w:cs="宋体"/>
          <w:sz w:val="24"/>
          <w:szCs w:val="24"/>
        </w:rPr>
        <w:t>或授权代表：       　　　　          或授权代表：</w:t>
      </w:r>
    </w:p>
    <w:p>
      <w:pPr>
        <w:spacing w:line="600" w:lineRule="exact"/>
        <w:ind w:left="420" w:leftChars="200"/>
        <w:rPr>
          <w:rFonts w:hint="default" w:cs="宋体"/>
          <w:sz w:val="24"/>
          <w:szCs w:val="24"/>
        </w:rPr>
      </w:pPr>
      <w:r>
        <w:rPr>
          <w:rFonts w:hint="eastAsia" w:cs="宋体"/>
          <w:sz w:val="24"/>
          <w:szCs w:val="24"/>
        </w:rPr>
        <w:t>本合同于    年      月      日在      市签订</w:t>
      </w:r>
    </w:p>
    <w:p>
      <w:pPr>
        <w:spacing w:beforeLines="0" w:afterLines="0"/>
        <w:rPr>
          <w:rFonts w:hint="default"/>
          <w:sz w:val="21"/>
          <w:szCs w:val="22"/>
        </w:rPr>
      </w:pPr>
    </w:p>
    <w:p>
      <w:pPr>
        <w:spacing w:beforeLines="0" w:afterLines="0"/>
        <w:rPr>
          <w:rFonts w:hint="default"/>
          <w:sz w:val="21"/>
          <w:szCs w:val="22"/>
        </w:rPr>
      </w:pPr>
    </w:p>
    <w:p>
      <w:pPr>
        <w:spacing w:beforeLines="0" w:afterLines="0"/>
        <w:rPr>
          <w:rFonts w:hint="default"/>
          <w:sz w:val="21"/>
          <w:szCs w:val="22"/>
        </w:rPr>
        <w:sectPr>
          <w:pgSz w:w="12240" w:h="15840"/>
          <w:pgMar w:top="1440" w:right="1800" w:bottom="1440" w:left="1800" w:header="720" w:footer="720" w:gutter="0"/>
          <w:lnNumType w:countBy="0" w:distance="360"/>
          <w:cols w:space="720" w:num="1"/>
          <w:docGrid w:type="lines" w:linePitch="312" w:charSpace="0"/>
        </w:sectPr>
      </w:pPr>
      <w:r>
        <w:rPr>
          <w:rFonts w:hint="eastAsia"/>
          <w:sz w:val="21"/>
          <w:szCs w:val="22"/>
        </w:rPr>
        <w:t>注：合同内容以最终签订为准。</w:t>
      </w:r>
    </w:p>
    <w:p>
      <w:pPr>
        <w:rPr>
          <w:rFonts w:hAnsi="宋体"/>
          <w:sz w:val="24"/>
        </w:rPr>
      </w:pPr>
    </w:p>
    <w:bookmarkEnd w:id="70"/>
    <w:p>
      <w:pPr>
        <w:numPr>
          <w:ilvl w:val="0"/>
          <w:numId w:val="4"/>
        </w:numPr>
        <w:autoSpaceDE w:val="0"/>
        <w:autoSpaceDN w:val="0"/>
        <w:adjustRightInd w:val="0"/>
        <w:spacing w:line="360" w:lineRule="auto"/>
        <w:jc w:val="center"/>
        <w:outlineLvl w:val="0"/>
        <w:rPr>
          <w:rFonts w:ascii="宋体" w:hAnsi="宋体"/>
          <w:b/>
          <w:sz w:val="36"/>
        </w:rPr>
      </w:pPr>
      <w:r>
        <w:rPr>
          <w:rFonts w:hint="eastAsia" w:ascii="宋体" w:hAnsi="宋体"/>
          <w:b/>
          <w:sz w:val="36"/>
          <w:lang w:eastAsia="zh-CN"/>
        </w:rPr>
        <w:t>发包人要求</w:t>
      </w:r>
    </w:p>
    <w:p>
      <w:pPr>
        <w:pStyle w:val="3"/>
        <w:spacing w:beforeLines="0" w:afterLines="0" w:line="276" w:lineRule="auto"/>
        <w:ind w:firstLine="0" w:firstLineChars="0"/>
        <w:rPr>
          <w:rFonts w:hint="eastAsia" w:ascii="宋体" w:hAnsi="宋体" w:eastAsia="宋体"/>
          <w:sz w:val="21"/>
          <w:szCs w:val="21"/>
        </w:rPr>
      </w:pPr>
      <w:bookmarkStart w:id="72" w:name="_Toc3724"/>
      <w:r>
        <w:rPr>
          <w:rFonts w:hint="eastAsia" w:ascii="宋体" w:hAnsi="宋体" w:eastAsia="宋体"/>
          <w:sz w:val="21"/>
          <w:szCs w:val="21"/>
        </w:rPr>
        <w:t>一、服务要求：</w:t>
      </w:r>
    </w:p>
    <w:p>
      <w:pPr>
        <w:spacing w:line="276" w:lineRule="auto"/>
        <w:rPr>
          <w:rFonts w:hint="eastAsia" w:ascii="仿宋" w:hAnsi="仿宋" w:eastAsia="仿宋"/>
          <w:sz w:val="21"/>
          <w:szCs w:val="21"/>
        </w:rPr>
      </w:pPr>
      <w:r>
        <w:rPr>
          <w:rFonts w:hint="eastAsia" w:asciiTheme="minorEastAsia" w:hAnsiTheme="minorEastAsia"/>
          <w:szCs w:val="21"/>
        </w:rPr>
        <w:t>1.施工范围：</w:t>
      </w:r>
      <w:r>
        <w:rPr>
          <w:rFonts w:hint="eastAsia" w:asciiTheme="minorEastAsia" w:hAnsiTheme="minorEastAsia" w:eastAsiaTheme="minorEastAsia" w:cstheme="minorEastAsia"/>
          <w:sz w:val="21"/>
          <w:szCs w:val="21"/>
        </w:rPr>
        <w:t>新院区新风系统施工范围：</w:t>
      </w:r>
      <w:r>
        <w:rPr>
          <w:rFonts w:hint="eastAsia" w:asciiTheme="minorEastAsia" w:hAnsiTheme="minorEastAsia" w:eastAsiaTheme="minorEastAsia" w:cstheme="minorEastAsia"/>
          <w:sz w:val="21"/>
          <w:szCs w:val="21"/>
          <w:lang w:eastAsia="zh-CN"/>
        </w:rPr>
        <w:t>医疗综合楼</w:t>
      </w:r>
      <w:r>
        <w:rPr>
          <w:rFonts w:hint="eastAsia" w:asciiTheme="minorEastAsia" w:hAnsiTheme="minorEastAsia" w:eastAsiaTheme="minorEastAsia" w:cstheme="minorEastAsia"/>
          <w:sz w:val="21"/>
          <w:szCs w:val="21"/>
          <w:lang w:val="en-US" w:eastAsia="zh-CN"/>
        </w:rPr>
        <w:t>3楼病理科</w:t>
      </w:r>
      <w:r>
        <w:rPr>
          <w:rFonts w:hint="eastAsia" w:asciiTheme="minorEastAsia" w:hAnsiTheme="minorEastAsia" w:eastAsiaTheme="minorEastAsia" w:cstheme="minorEastAsia"/>
          <w:sz w:val="21"/>
          <w:szCs w:val="21"/>
        </w:rPr>
        <w:t>技术室、取材室、免疫组化、特染室、FISH、冰冻制片室、细胞室、细胞穿刺室</w:t>
      </w:r>
      <w:r>
        <w:rPr>
          <w:rFonts w:hint="eastAsia" w:asciiTheme="minorEastAsia" w:hAnsiTheme="minorEastAsia" w:eastAsiaTheme="minorEastAsia" w:cstheme="minorEastAsia"/>
          <w:sz w:val="21"/>
          <w:szCs w:val="21"/>
          <w:lang w:eastAsia="zh-CN"/>
        </w:rPr>
        <w:t>、示教室、诊断室、资料室和主任办公室</w:t>
      </w:r>
      <w:r>
        <w:rPr>
          <w:rFonts w:hint="eastAsia" w:asciiTheme="minorEastAsia" w:hAnsiTheme="minorEastAsia" w:eastAsiaTheme="minorEastAsia" w:cstheme="minorEastAsia"/>
          <w:sz w:val="21"/>
          <w:szCs w:val="21"/>
        </w:rPr>
        <w:t>，面积约</w:t>
      </w:r>
      <w:r>
        <w:rPr>
          <w:rFonts w:hint="eastAsia" w:asciiTheme="minorEastAsia" w:hAnsiTheme="minorEastAsia" w:eastAsiaTheme="minorEastAsia" w:cstheme="minorEastAsia"/>
          <w:color w:val="auto"/>
          <w:sz w:val="21"/>
          <w:szCs w:val="21"/>
          <w:lang w:val="en-US" w:eastAsia="zh-CN"/>
        </w:rPr>
        <w:t>47</w:t>
      </w:r>
      <w:r>
        <w:rPr>
          <w:rFonts w:hint="eastAsia" w:asciiTheme="minorEastAsia" w:hAnsiTheme="minorEastAsia" w:eastAsiaTheme="minorEastAsia" w:cstheme="minorEastAsia"/>
          <w:sz w:val="21"/>
          <w:szCs w:val="21"/>
        </w:rPr>
        <w:t>0㎡</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14个房间</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；老院区新风系统施工范围：</w:t>
      </w:r>
      <w:r>
        <w:rPr>
          <w:rFonts w:hint="eastAsia" w:asciiTheme="minorEastAsia" w:hAnsiTheme="minorEastAsia" w:eastAsiaTheme="minorEastAsia" w:cstheme="minorEastAsia"/>
          <w:sz w:val="21"/>
          <w:szCs w:val="21"/>
          <w:lang w:eastAsia="zh-CN"/>
        </w:rPr>
        <w:t>基地楼</w:t>
      </w:r>
      <w:r>
        <w:rPr>
          <w:rFonts w:hint="eastAsia" w:asciiTheme="minorEastAsia" w:hAnsiTheme="minorEastAsia" w:eastAsiaTheme="minorEastAsia" w:cstheme="minorEastAsia"/>
          <w:sz w:val="21"/>
          <w:szCs w:val="21"/>
          <w:lang w:val="en-US" w:eastAsia="zh-CN"/>
        </w:rPr>
        <w:t>4楼C区病理科</w:t>
      </w:r>
      <w:r>
        <w:rPr>
          <w:rFonts w:hint="eastAsia" w:asciiTheme="minorEastAsia" w:hAnsiTheme="minorEastAsia" w:eastAsiaTheme="minorEastAsia" w:cstheme="minorEastAsia"/>
          <w:sz w:val="21"/>
          <w:szCs w:val="21"/>
        </w:rPr>
        <w:t>技术室、取材室、免疫组化</w:t>
      </w:r>
      <w:r>
        <w:rPr>
          <w:rFonts w:hint="eastAsia" w:asciiTheme="minorEastAsia" w:hAnsiTheme="minorEastAsia" w:eastAsiaTheme="minorEastAsia" w:cstheme="minorEastAsia"/>
          <w:sz w:val="21"/>
          <w:szCs w:val="21"/>
          <w:lang w:eastAsia="zh-CN"/>
        </w:rPr>
        <w:t>室</w:t>
      </w:r>
      <w:r>
        <w:rPr>
          <w:rFonts w:hint="eastAsia" w:asciiTheme="minorEastAsia" w:hAnsiTheme="minorEastAsia" w:eastAsiaTheme="minorEastAsia" w:cstheme="minorEastAsia"/>
          <w:sz w:val="21"/>
          <w:szCs w:val="21"/>
        </w:rPr>
        <w:t>，约70㎡</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3个房间</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w:t>
      </w:r>
    </w:p>
    <w:p>
      <w:pPr>
        <w:spacing w:line="276" w:lineRule="auto"/>
        <w:rPr>
          <w:rFonts w:hint="eastAsia" w:asciiTheme="minorEastAsia" w:hAnsiTheme="minorEastAsia"/>
          <w:szCs w:val="21"/>
        </w:rPr>
      </w:pPr>
      <w:r>
        <w:rPr>
          <w:rFonts w:hint="eastAsia" w:asciiTheme="minorEastAsia" w:hAnsiTheme="minorEastAsia"/>
          <w:szCs w:val="21"/>
        </w:rPr>
        <w:t>2.功能要求：室内甲醛浓度≤0.08mg/m*，二甲苯浓度≤0.1mg/m。</w:t>
      </w:r>
    </w:p>
    <w:p>
      <w:pPr>
        <w:spacing w:beforeLines="0" w:afterLines="0" w:line="276" w:lineRule="auto"/>
        <w:rPr>
          <w:rFonts w:hint="eastAsia" w:ascii="宋体" w:hAnsi="宋体"/>
          <w:b/>
          <w:bCs/>
          <w:sz w:val="21"/>
          <w:szCs w:val="21"/>
        </w:rPr>
      </w:pPr>
      <w:r>
        <w:rPr>
          <w:rFonts w:hint="eastAsia" w:ascii="宋体" w:hAnsi="宋体"/>
          <w:b/>
          <w:bCs/>
          <w:sz w:val="21"/>
          <w:szCs w:val="21"/>
        </w:rPr>
        <w:t>二、主要设备技术参数</w:t>
      </w:r>
    </w:p>
    <w:p>
      <w:pPr>
        <w:pStyle w:val="3"/>
        <w:spacing w:beforeLines="0" w:afterLines="0" w:line="276" w:lineRule="auto"/>
        <w:ind w:firstLine="0" w:firstLineChars="0"/>
        <w:rPr>
          <w:rFonts w:hint="eastAsia" w:ascii="宋体" w:hAnsi="宋体" w:eastAsia="宋体"/>
          <w:sz w:val="21"/>
          <w:szCs w:val="21"/>
        </w:rPr>
      </w:pPr>
      <w:r>
        <w:rPr>
          <w:rFonts w:hint="eastAsia" w:ascii="宋体" w:hAnsi="宋体" w:eastAsia="宋体"/>
          <w:sz w:val="21"/>
          <w:szCs w:val="21"/>
        </w:rPr>
        <w:t>（一）新风空气处理机组</w:t>
      </w:r>
    </w:p>
    <w:p>
      <w:pPr>
        <w:pStyle w:val="9"/>
        <w:spacing w:beforeLines="0" w:afterLines="0" w:line="276" w:lineRule="auto"/>
        <w:ind w:left="400" w:firstLine="0" w:firstLineChars="0"/>
        <w:rPr>
          <w:rFonts w:hint="eastAsia" w:ascii="宋体" w:hAnsi="宋体" w:eastAsia="宋体" w:cs="仿宋"/>
          <w:kern w:val="0"/>
          <w:sz w:val="21"/>
          <w:szCs w:val="21"/>
        </w:rPr>
      </w:pPr>
      <w:r>
        <w:rPr>
          <w:rFonts w:hint="eastAsia" w:ascii="宋体" w:hAnsi="宋体" w:eastAsia="宋体" w:cs="仿宋"/>
          <w:kern w:val="0"/>
          <w:sz w:val="21"/>
          <w:szCs w:val="21"/>
        </w:rPr>
        <w:t>新风机组功能段和组合方式必需按图纸要求设置要求。</w:t>
      </w:r>
    </w:p>
    <w:p>
      <w:pPr>
        <w:pStyle w:val="9"/>
        <w:numPr>
          <w:ilvl w:val="0"/>
          <w:numId w:val="5"/>
        </w:numPr>
        <w:spacing w:beforeLines="0" w:afterLines="0" w:line="276" w:lineRule="auto"/>
        <w:ind w:firstLineChars="0"/>
        <w:rPr>
          <w:rFonts w:hint="eastAsia" w:ascii="宋体" w:hAnsi="宋体" w:eastAsia="宋体" w:cs="仿宋"/>
          <w:kern w:val="0"/>
          <w:sz w:val="21"/>
          <w:szCs w:val="21"/>
        </w:rPr>
      </w:pPr>
      <w:r>
        <w:rPr>
          <w:rFonts w:hint="eastAsia" w:ascii="宋体" w:hAnsi="宋体" w:eastAsia="宋体" w:cs="仿宋"/>
          <w:kern w:val="0"/>
          <w:sz w:val="21"/>
          <w:szCs w:val="21"/>
        </w:rPr>
        <w:t>空调箱体采用铝质型材框架结构，铝型材与面板通过高压聚氨酯发泡形成一个整体，铝型材带凹凸槽，安装后形成榫头互扣连接，通过螺栓螺母的连接方式，形成了严密的迷宫式密封。</w:t>
      </w:r>
    </w:p>
    <w:p>
      <w:pPr>
        <w:pStyle w:val="9"/>
        <w:numPr>
          <w:ilvl w:val="0"/>
          <w:numId w:val="5"/>
        </w:numPr>
        <w:spacing w:beforeLines="0" w:afterLines="0" w:line="276" w:lineRule="auto"/>
        <w:ind w:firstLineChars="0"/>
        <w:rPr>
          <w:rFonts w:hint="eastAsia" w:ascii="宋体" w:hAnsi="宋体" w:eastAsia="宋体" w:cs="仿宋"/>
          <w:kern w:val="0"/>
          <w:sz w:val="21"/>
          <w:szCs w:val="21"/>
        </w:rPr>
      </w:pPr>
      <w:r>
        <w:rPr>
          <w:rFonts w:hint="eastAsia" w:ascii="宋体" w:hAnsi="宋体" w:eastAsia="宋体" w:cs="仿宋"/>
          <w:kern w:val="0"/>
          <w:sz w:val="21"/>
          <w:szCs w:val="21"/>
        </w:rPr>
        <w:t>箱体面板采用内、外钢板中间充注非燃性或离火自熄性聚氨酯发泡材料，密度不得小于50kg/m3，面板绝热材料的导热系数不得高于0.022w/（m.K)（提供第三方机构测试报告）。</w:t>
      </w:r>
    </w:p>
    <w:p>
      <w:pPr>
        <w:pStyle w:val="9"/>
        <w:numPr>
          <w:ilvl w:val="0"/>
          <w:numId w:val="5"/>
        </w:numPr>
        <w:spacing w:beforeLines="0" w:afterLines="0" w:line="276" w:lineRule="auto"/>
        <w:ind w:firstLineChars="0"/>
        <w:rPr>
          <w:rFonts w:hint="eastAsia" w:ascii="宋体" w:hAnsi="宋体" w:eastAsia="宋体" w:cs="仿宋"/>
          <w:kern w:val="0"/>
          <w:sz w:val="21"/>
          <w:szCs w:val="21"/>
        </w:rPr>
      </w:pPr>
      <w:r>
        <w:rPr>
          <w:rFonts w:hint="eastAsia" w:ascii="宋体" w:hAnsi="宋体" w:eastAsia="宋体" w:cs="仿宋"/>
          <w:kern w:val="0"/>
          <w:sz w:val="21"/>
          <w:szCs w:val="21"/>
        </w:rPr>
        <w:t>机组必须有防冷桥措施，机组在运行时，不得出现冷桥和凝露现象。按照欧洲标准EN1886-2007规定方法测试，机组冷桥因子应达到欧洲标准的TB1级且不得低于0.88，面板的传热系数应达到欧洲标准的T1级且不得高于0.48w/（m².K)（须提供国家空调设备质量监督检验中心或国家压缩机制冷设备质量监督检验中心出具的检验报告）。</w:t>
      </w:r>
    </w:p>
    <w:p>
      <w:pPr>
        <w:pStyle w:val="9"/>
        <w:numPr>
          <w:ilvl w:val="0"/>
          <w:numId w:val="5"/>
        </w:numPr>
        <w:spacing w:beforeLines="0" w:afterLines="0" w:line="276" w:lineRule="auto"/>
        <w:ind w:firstLineChars="0"/>
        <w:rPr>
          <w:rFonts w:hint="eastAsia" w:ascii="宋体" w:hAnsi="宋体" w:eastAsia="宋体" w:cs="仿宋"/>
          <w:kern w:val="0"/>
          <w:sz w:val="21"/>
          <w:szCs w:val="21"/>
        </w:rPr>
      </w:pPr>
      <w:r>
        <w:rPr>
          <w:rFonts w:hint="eastAsia" w:ascii="宋体" w:hAnsi="宋体" w:eastAsia="宋体" w:cs="仿宋"/>
          <w:kern w:val="0"/>
          <w:sz w:val="21"/>
          <w:szCs w:val="21"/>
        </w:rPr>
        <w:t>机组箱体应具有足够的强度，保证在运输、安装、启动、运行、停止后，不出现凹凸变形。大风量（十万或以上）机组按照GB/T14294-2008《组合式空调机组》标准检测，当机组外静压保持正压1000Pa时，箱体变形率不得大于0.5mm/m。（须提供国家空调设备质量监督检验中心或国家压缩机制冷设备质量监督检验中心出具的检验报告）。</w:t>
      </w:r>
    </w:p>
    <w:p>
      <w:pPr>
        <w:pStyle w:val="9"/>
        <w:numPr>
          <w:ilvl w:val="0"/>
          <w:numId w:val="5"/>
        </w:numPr>
        <w:spacing w:beforeLines="0" w:afterLines="0" w:line="276" w:lineRule="auto"/>
        <w:ind w:firstLineChars="0"/>
        <w:rPr>
          <w:rFonts w:hint="eastAsia" w:ascii="宋体" w:hAnsi="宋体" w:eastAsia="宋体" w:cs="仿宋"/>
          <w:kern w:val="0"/>
          <w:sz w:val="21"/>
          <w:szCs w:val="21"/>
        </w:rPr>
      </w:pPr>
      <w:r>
        <w:rPr>
          <w:rFonts w:hint="eastAsia" w:ascii="宋体" w:hAnsi="宋体" w:eastAsia="宋体" w:cs="仿宋"/>
          <w:kern w:val="0"/>
          <w:sz w:val="21"/>
          <w:szCs w:val="21"/>
        </w:rPr>
        <w:t>机组箱体横向断面风速应均匀，按照GB/T14294-2008《组合式空调机组》标准检测，机组断面风速均匀度不得低于90%（须提供国家空调设备质量监督检验中心或国家压缩机制冷设备质量监督检验中心出具的检验报告）。</w:t>
      </w:r>
    </w:p>
    <w:p>
      <w:pPr>
        <w:pStyle w:val="9"/>
        <w:numPr>
          <w:ilvl w:val="0"/>
          <w:numId w:val="5"/>
        </w:numPr>
        <w:spacing w:beforeLines="0" w:afterLines="0" w:line="276" w:lineRule="auto"/>
        <w:ind w:firstLineChars="0"/>
        <w:rPr>
          <w:rFonts w:hint="eastAsia" w:ascii="宋体" w:hAnsi="宋体" w:eastAsia="宋体" w:cs="仿宋"/>
          <w:kern w:val="0"/>
          <w:sz w:val="21"/>
          <w:szCs w:val="21"/>
        </w:rPr>
      </w:pPr>
      <w:r>
        <w:rPr>
          <w:rFonts w:hint="eastAsia" w:ascii="宋体" w:hAnsi="宋体" w:eastAsia="宋体" w:cs="仿宋"/>
          <w:kern w:val="0"/>
          <w:sz w:val="21"/>
          <w:szCs w:val="21"/>
        </w:rPr>
        <w:t>箱体应具有良好的气密性，按照GB/T14294-2008《组合式空调机组》标准检测，机组的漏风率不得大于0.03%。按照欧洲标准EN1886-2007规定方法测试，漏风率应不低于L2级。（须提供国家空调设备质量监督检验中心或国家压缩机制冷设备质量监督检验中心出具的检验报告）。</w:t>
      </w:r>
    </w:p>
    <w:p>
      <w:pPr>
        <w:pStyle w:val="9"/>
        <w:numPr>
          <w:ilvl w:val="0"/>
          <w:numId w:val="5"/>
        </w:numPr>
        <w:spacing w:beforeLines="0" w:afterLines="0" w:line="276" w:lineRule="auto"/>
        <w:ind w:firstLineChars="0"/>
        <w:rPr>
          <w:rFonts w:hint="eastAsia" w:ascii="宋体" w:hAnsi="宋体" w:eastAsia="宋体" w:cs="仿宋"/>
          <w:kern w:val="0"/>
          <w:sz w:val="21"/>
          <w:szCs w:val="21"/>
        </w:rPr>
      </w:pPr>
      <w:r>
        <w:rPr>
          <w:rFonts w:hint="eastAsia" w:ascii="宋体" w:hAnsi="宋体" w:eastAsia="宋体" w:cs="仿宋"/>
          <w:kern w:val="0"/>
          <w:sz w:val="21"/>
          <w:szCs w:val="21"/>
        </w:rPr>
        <w:t>为了方便维护和保养并尽量降低漏风损耗，机组在必要的位置必须配置检修门。机组检修门应整体发泡成型，门框上配置双重刀口密封结构，外观平整不得凸出箱体表面，内部含安全泄压装置，需要转动两次门把手才可开启，内外均可开关。</w:t>
      </w:r>
    </w:p>
    <w:p>
      <w:pPr>
        <w:pStyle w:val="9"/>
        <w:numPr>
          <w:ilvl w:val="0"/>
          <w:numId w:val="5"/>
        </w:numPr>
        <w:spacing w:beforeLines="0" w:afterLines="0" w:line="276" w:lineRule="auto"/>
        <w:ind w:firstLineChars="0"/>
        <w:rPr>
          <w:rFonts w:hint="eastAsia" w:ascii="宋体" w:hAnsi="宋体" w:eastAsia="宋体" w:cs="仿宋"/>
          <w:kern w:val="0"/>
          <w:sz w:val="21"/>
          <w:szCs w:val="21"/>
        </w:rPr>
      </w:pPr>
      <w:r>
        <w:rPr>
          <w:rFonts w:hint="eastAsia" w:ascii="宋体" w:hAnsi="宋体" w:eastAsia="宋体" w:cs="仿宋"/>
          <w:kern w:val="0"/>
          <w:sz w:val="21"/>
          <w:szCs w:val="21"/>
        </w:rPr>
        <w:t>表冷器承水盘由不得小于0.7mm不锈钢板焊接折弯成型，采用5°微角度设计，配带凝水盘排水用外接水封，螺纹连接，保证凝结水顺利排出。水盘外贴PE保温材料或聚氨酯发泡保温材料。</w:t>
      </w:r>
    </w:p>
    <w:p>
      <w:pPr>
        <w:pStyle w:val="9"/>
        <w:numPr>
          <w:ilvl w:val="0"/>
          <w:numId w:val="5"/>
        </w:numPr>
        <w:spacing w:beforeLines="0" w:afterLines="0" w:line="276" w:lineRule="auto"/>
        <w:ind w:firstLineChars="0"/>
        <w:rPr>
          <w:rFonts w:hint="eastAsia" w:ascii="宋体" w:hAnsi="宋体" w:eastAsia="宋体" w:cs="仿宋"/>
          <w:kern w:val="0"/>
          <w:sz w:val="21"/>
          <w:szCs w:val="21"/>
        </w:rPr>
      </w:pPr>
      <w:r>
        <w:rPr>
          <w:rFonts w:hint="eastAsia" w:ascii="宋体" w:hAnsi="宋体" w:eastAsia="宋体" w:cs="仿宋"/>
          <w:kern w:val="0"/>
          <w:sz w:val="21"/>
          <w:szCs w:val="21"/>
        </w:rPr>
        <w:t>表冷器盘管设计工作压力不低于1.6MPa，且每台均需经过2.5MPa的高压空气检漏及严格的水下保压测试试验，确保焊点不得泄漏。</w:t>
      </w:r>
    </w:p>
    <w:p>
      <w:pPr>
        <w:pStyle w:val="9"/>
        <w:numPr>
          <w:ilvl w:val="0"/>
          <w:numId w:val="5"/>
        </w:numPr>
        <w:spacing w:beforeLines="0" w:afterLines="0" w:line="276" w:lineRule="auto"/>
        <w:ind w:firstLineChars="0"/>
        <w:rPr>
          <w:rFonts w:hint="eastAsia" w:ascii="宋体" w:hAnsi="宋体" w:eastAsia="宋体" w:cs="仿宋"/>
          <w:kern w:val="0"/>
          <w:sz w:val="21"/>
          <w:szCs w:val="21"/>
        </w:rPr>
      </w:pPr>
      <w:r>
        <w:rPr>
          <w:rFonts w:hint="eastAsia" w:ascii="宋体" w:hAnsi="宋体" w:eastAsia="宋体" w:cs="仿宋"/>
          <w:kern w:val="0"/>
          <w:sz w:val="21"/>
          <w:szCs w:val="21"/>
        </w:rPr>
        <w:t>风机、电机通过刚度及强度极好的减振支架联成一个整体，电机在支架上的位置可以在两个方向上调节，以达到张紧皮带和调节，确保电机皮带轮与风机皮带轮在同一平面上的作用，确保传动效率和减低了机械噪声。电机绝缘等级不低于F级，防护等级不低于IP55。</w:t>
      </w:r>
    </w:p>
    <w:p>
      <w:pPr>
        <w:pStyle w:val="9"/>
        <w:numPr>
          <w:ilvl w:val="0"/>
          <w:numId w:val="5"/>
        </w:numPr>
        <w:spacing w:beforeLines="0" w:afterLines="0" w:line="276" w:lineRule="auto"/>
        <w:ind w:firstLineChars="0"/>
        <w:rPr>
          <w:rFonts w:hint="eastAsia" w:ascii="宋体" w:hAnsi="宋体" w:eastAsia="宋体" w:cs="仿宋"/>
          <w:kern w:val="0"/>
          <w:sz w:val="21"/>
          <w:szCs w:val="21"/>
        </w:rPr>
      </w:pPr>
      <w:r>
        <w:rPr>
          <w:rFonts w:hint="eastAsia" w:ascii="宋体" w:hAnsi="宋体" w:eastAsia="宋体" w:cs="仿宋"/>
          <w:kern w:val="0"/>
          <w:sz w:val="21"/>
          <w:szCs w:val="21"/>
        </w:rPr>
        <w:t>采用按国际标准生产的各类过滤器（初、中效），具有过滤效率高，风阻力小、性能稳定、通用性强、可重复使用等特点。</w:t>
      </w:r>
    </w:p>
    <w:p>
      <w:pPr>
        <w:pStyle w:val="3"/>
        <w:spacing w:beforeLines="0" w:afterLines="0" w:line="276" w:lineRule="auto"/>
        <w:ind w:firstLine="0" w:firstLineChars="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（二）排风机</w:t>
      </w:r>
    </w:p>
    <w:p>
      <w:pPr>
        <w:numPr>
          <w:ilvl w:val="0"/>
          <w:numId w:val="6"/>
        </w:numPr>
        <w:spacing w:beforeLines="0" w:afterLines="0" w:line="276" w:lineRule="auto"/>
        <w:ind w:firstLine="420" w:firstLineChars="200"/>
        <w:jc w:val="left"/>
        <w:rPr>
          <w:rFonts w:hint="eastAsia" w:ascii="宋体" w:hAnsi="宋体"/>
          <w:sz w:val="21"/>
          <w:szCs w:val="21"/>
        </w:rPr>
      </w:pPr>
      <w:r>
        <w:rPr>
          <w:rFonts w:hint="eastAsia" w:ascii="宋体" w:hAnsi="宋体"/>
          <w:sz w:val="21"/>
          <w:szCs w:val="21"/>
        </w:rPr>
        <w:t>箱体内置后倾型离心风机，前盘为几何双曲线型结构并具备不超载的特性；</w:t>
      </w:r>
    </w:p>
    <w:p>
      <w:pPr>
        <w:numPr>
          <w:ilvl w:val="0"/>
          <w:numId w:val="6"/>
        </w:numPr>
        <w:spacing w:beforeLines="0" w:afterLines="0" w:line="276" w:lineRule="auto"/>
        <w:ind w:firstLine="420" w:firstLineChars="200"/>
        <w:jc w:val="left"/>
        <w:rPr>
          <w:rFonts w:hint="eastAsia" w:ascii="宋体" w:hAnsi="宋体"/>
          <w:sz w:val="21"/>
          <w:szCs w:val="21"/>
        </w:rPr>
      </w:pPr>
      <w:r>
        <w:rPr>
          <w:rFonts w:hint="eastAsia" w:ascii="宋体" w:hAnsi="宋体"/>
          <w:sz w:val="21"/>
          <w:szCs w:val="21"/>
        </w:rPr>
        <w:t>叶轮和蜗壳均采用钢制焊接结构；</w:t>
      </w:r>
    </w:p>
    <w:p>
      <w:pPr>
        <w:numPr>
          <w:ilvl w:val="0"/>
          <w:numId w:val="6"/>
        </w:numPr>
        <w:spacing w:beforeLines="0" w:afterLines="0" w:line="276" w:lineRule="auto"/>
        <w:ind w:firstLine="420" w:firstLineChars="200"/>
        <w:jc w:val="left"/>
        <w:rPr>
          <w:rFonts w:hint="eastAsia" w:ascii="宋体" w:hAnsi="宋体"/>
          <w:sz w:val="21"/>
          <w:szCs w:val="21"/>
          <w:highlight w:val="none"/>
        </w:rPr>
      </w:pPr>
      <w:r>
        <w:rPr>
          <w:rFonts w:hint="eastAsia" w:ascii="宋体" w:hAnsi="宋体"/>
          <w:sz w:val="21"/>
          <w:szCs w:val="21"/>
          <w:highlight w:val="none"/>
        </w:rPr>
        <w:t>传动轴应由碳钢（EN 10083的C45号或相同等级）制造，表面应有涂有耐候性防锈涂层；</w:t>
      </w:r>
    </w:p>
    <w:p>
      <w:pPr>
        <w:numPr>
          <w:ilvl w:val="0"/>
          <w:numId w:val="6"/>
        </w:numPr>
        <w:spacing w:beforeLines="0" w:afterLines="0" w:line="276" w:lineRule="auto"/>
        <w:ind w:firstLine="420" w:firstLineChars="200"/>
        <w:jc w:val="left"/>
        <w:rPr>
          <w:rFonts w:hint="eastAsia" w:ascii="宋体" w:hAnsi="宋体"/>
          <w:sz w:val="21"/>
          <w:szCs w:val="21"/>
          <w:highlight w:val="none"/>
        </w:rPr>
      </w:pPr>
      <w:r>
        <w:rPr>
          <w:rFonts w:hint="eastAsia" w:ascii="宋体" w:hAnsi="宋体"/>
          <w:sz w:val="21"/>
          <w:szCs w:val="21"/>
          <w:highlight w:val="none"/>
          <w:lang w:val="en-US" w:eastAsia="zh-CN"/>
        </w:rPr>
        <w:t>#</w:t>
      </w:r>
      <w:r>
        <w:rPr>
          <w:rFonts w:hint="eastAsia" w:ascii="宋体" w:hAnsi="宋体"/>
          <w:sz w:val="21"/>
          <w:szCs w:val="21"/>
          <w:highlight w:val="none"/>
        </w:rPr>
        <w:t>轴承的平均寿命（L10），不应小于75000小时，并提供所有轴承寿命计算书；</w:t>
      </w:r>
    </w:p>
    <w:p>
      <w:pPr>
        <w:numPr>
          <w:ilvl w:val="0"/>
          <w:numId w:val="6"/>
        </w:numPr>
        <w:spacing w:beforeLines="0" w:afterLines="0" w:line="276" w:lineRule="auto"/>
        <w:ind w:firstLine="420" w:firstLineChars="200"/>
        <w:jc w:val="left"/>
        <w:rPr>
          <w:rFonts w:hint="eastAsia" w:ascii="宋体" w:hAnsi="宋体"/>
          <w:sz w:val="21"/>
          <w:szCs w:val="21"/>
          <w:highlight w:val="none"/>
        </w:rPr>
      </w:pPr>
      <w:r>
        <w:rPr>
          <w:rFonts w:hint="eastAsia" w:ascii="宋体" w:hAnsi="宋体"/>
          <w:sz w:val="21"/>
          <w:szCs w:val="21"/>
          <w:highlight w:val="none"/>
        </w:rPr>
        <w:t>旋转件单体及组装体应均调整静态平衡及动态平衡，特别是风机叶轮、传动轴、皮带轮等以及整个风机内的转子。动态平衡应达到AMCA 204-05(R2012)或ISO 21940-1:2003中G2.5等级的要求；</w:t>
      </w:r>
    </w:p>
    <w:p>
      <w:pPr>
        <w:numPr>
          <w:ilvl w:val="0"/>
          <w:numId w:val="6"/>
        </w:numPr>
        <w:spacing w:beforeLines="0" w:afterLines="0" w:line="276" w:lineRule="auto"/>
        <w:ind w:firstLine="420" w:firstLineChars="200"/>
        <w:jc w:val="left"/>
        <w:rPr>
          <w:rFonts w:hint="eastAsia" w:ascii="宋体" w:hAnsi="宋体"/>
          <w:sz w:val="21"/>
          <w:szCs w:val="21"/>
          <w:highlight w:val="none"/>
        </w:rPr>
      </w:pPr>
      <w:r>
        <w:rPr>
          <w:rFonts w:hint="eastAsia" w:ascii="宋体" w:hAnsi="宋体"/>
          <w:sz w:val="21"/>
          <w:szCs w:val="21"/>
          <w:highlight w:val="none"/>
        </w:rPr>
        <w:t>风机以几何双曲线型喇叭口作为吸入口，打磨光滑并按要求环氧喷涂防腐处理，风轮同色环氧喷涂防腐处理。</w:t>
      </w:r>
    </w:p>
    <w:p>
      <w:pPr>
        <w:numPr>
          <w:ilvl w:val="0"/>
          <w:numId w:val="6"/>
        </w:numPr>
        <w:spacing w:beforeLines="0" w:afterLines="0" w:line="276" w:lineRule="auto"/>
        <w:ind w:firstLine="420" w:firstLineChars="200"/>
        <w:jc w:val="left"/>
        <w:rPr>
          <w:rFonts w:hint="eastAsia" w:ascii="宋体" w:hAnsi="宋体"/>
          <w:sz w:val="21"/>
          <w:szCs w:val="21"/>
          <w:highlight w:val="none"/>
        </w:rPr>
      </w:pPr>
      <w:r>
        <w:rPr>
          <w:rFonts w:hint="eastAsia" w:ascii="宋体" w:hAnsi="宋体"/>
          <w:sz w:val="21"/>
          <w:szCs w:val="21"/>
          <w:highlight w:val="none"/>
        </w:rPr>
        <w:t>若轴承加油维护不便，应提供轴承润滑剂注入口的伸延设置（使用免维护轴承除外）；</w:t>
      </w:r>
    </w:p>
    <w:p>
      <w:pPr>
        <w:numPr>
          <w:ilvl w:val="0"/>
          <w:numId w:val="6"/>
        </w:numPr>
        <w:spacing w:beforeLines="0" w:afterLines="0" w:line="276" w:lineRule="auto"/>
        <w:ind w:firstLine="420" w:firstLineChars="200"/>
        <w:jc w:val="left"/>
        <w:rPr>
          <w:rFonts w:hint="eastAsia" w:ascii="宋体" w:hAnsi="宋体"/>
          <w:sz w:val="21"/>
          <w:szCs w:val="21"/>
          <w:highlight w:val="none"/>
        </w:rPr>
      </w:pPr>
      <w:r>
        <w:rPr>
          <w:rFonts w:hint="eastAsia" w:ascii="宋体" w:hAnsi="宋体"/>
          <w:sz w:val="21"/>
          <w:szCs w:val="21"/>
          <w:highlight w:val="none"/>
        </w:rPr>
        <w:t>风机需变频或双速运行时，电机应采用变频电机或双速电机。变频范围的所有参数，不得运行在风机的喘振区域和不稳定区。双速风机的高低速参数，不得运行在风机的喘振区和不稳定区；</w:t>
      </w:r>
    </w:p>
    <w:p>
      <w:pPr>
        <w:numPr>
          <w:ilvl w:val="0"/>
          <w:numId w:val="6"/>
        </w:numPr>
        <w:spacing w:beforeLines="0" w:afterLines="0" w:line="276" w:lineRule="auto"/>
        <w:ind w:firstLine="420" w:firstLineChars="200"/>
        <w:jc w:val="left"/>
        <w:rPr>
          <w:rFonts w:hint="eastAsia" w:ascii="宋体" w:hAnsi="宋体"/>
          <w:sz w:val="21"/>
          <w:szCs w:val="21"/>
          <w:highlight w:val="none"/>
        </w:rPr>
      </w:pPr>
      <w:r>
        <w:rPr>
          <w:rFonts w:hint="eastAsia" w:ascii="宋体" w:hAnsi="宋体"/>
          <w:sz w:val="21"/>
          <w:szCs w:val="21"/>
          <w:highlight w:val="none"/>
        </w:rPr>
        <w:t>电动机与皮带轮、皮带轮与轴、叶轮与轴的连接均采用锥套式自锁紧装置，以保证同轴度及调试和维修方便；</w:t>
      </w:r>
    </w:p>
    <w:p>
      <w:pPr>
        <w:numPr>
          <w:ilvl w:val="0"/>
          <w:numId w:val="6"/>
        </w:numPr>
        <w:spacing w:beforeLines="0" w:afterLines="0" w:line="276" w:lineRule="auto"/>
        <w:ind w:firstLine="420" w:firstLineChars="200"/>
        <w:jc w:val="left"/>
        <w:rPr>
          <w:rFonts w:hint="eastAsia" w:ascii="宋体" w:hAnsi="宋体"/>
          <w:sz w:val="21"/>
          <w:szCs w:val="21"/>
          <w:highlight w:val="none"/>
        </w:rPr>
      </w:pPr>
      <w:r>
        <w:rPr>
          <w:rFonts w:hint="eastAsia" w:ascii="宋体" w:hAnsi="宋体"/>
          <w:sz w:val="21"/>
          <w:szCs w:val="21"/>
          <w:highlight w:val="none"/>
        </w:rPr>
        <w:t>电动机防护等级为IP55，F级绝缘；</w:t>
      </w:r>
    </w:p>
    <w:p>
      <w:pPr>
        <w:numPr>
          <w:ilvl w:val="0"/>
          <w:numId w:val="6"/>
        </w:numPr>
        <w:spacing w:beforeLines="0" w:afterLines="0" w:line="276" w:lineRule="auto"/>
        <w:ind w:firstLine="420" w:firstLineChars="200"/>
        <w:jc w:val="left"/>
        <w:rPr>
          <w:rFonts w:hint="eastAsia" w:ascii="宋体" w:hAnsi="宋体"/>
          <w:sz w:val="21"/>
          <w:szCs w:val="21"/>
          <w:highlight w:val="none"/>
        </w:rPr>
      </w:pPr>
      <w:r>
        <w:rPr>
          <w:rFonts w:hint="eastAsia" w:ascii="宋体" w:hAnsi="宋体"/>
          <w:sz w:val="21"/>
          <w:szCs w:val="21"/>
          <w:highlight w:val="none"/>
          <w:lang w:val="en-US" w:eastAsia="zh-CN"/>
        </w:rPr>
        <w:t>#</w:t>
      </w:r>
      <w:r>
        <w:rPr>
          <w:rFonts w:hint="eastAsia" w:ascii="宋体" w:hAnsi="宋体"/>
          <w:sz w:val="21"/>
          <w:szCs w:val="21"/>
          <w:highlight w:val="none"/>
        </w:rPr>
        <w:t>所有风机设置安全隔离开关，以便检修人员对风机进行维护保养时，切断电源，保证安全工作（提供隔离开关图示，简要说明并加盖公章）。</w:t>
      </w:r>
    </w:p>
    <w:p>
      <w:pPr>
        <w:numPr>
          <w:ilvl w:val="0"/>
          <w:numId w:val="6"/>
        </w:numPr>
        <w:spacing w:beforeLines="0" w:afterLines="0" w:line="276" w:lineRule="auto"/>
        <w:ind w:firstLine="420" w:firstLineChars="200"/>
        <w:jc w:val="left"/>
        <w:rPr>
          <w:rFonts w:hint="eastAsia" w:ascii="宋体" w:hAnsi="宋体"/>
          <w:sz w:val="21"/>
          <w:szCs w:val="21"/>
        </w:rPr>
      </w:pPr>
      <w:r>
        <w:rPr>
          <w:rFonts w:hint="eastAsia" w:ascii="宋体" w:hAnsi="宋体"/>
          <w:sz w:val="21"/>
          <w:szCs w:val="21"/>
          <w:highlight w:val="none"/>
          <w:lang w:val="en-US" w:eastAsia="zh-CN"/>
        </w:rPr>
        <w:t>#</w:t>
      </w:r>
      <w:r>
        <w:rPr>
          <w:rFonts w:hint="eastAsia" w:ascii="宋体" w:hAnsi="宋体"/>
          <w:sz w:val="21"/>
          <w:szCs w:val="21"/>
          <w:highlight w:val="none"/>
        </w:rPr>
        <w:t>室外风机</w:t>
      </w:r>
      <w:r>
        <w:rPr>
          <w:rFonts w:hint="eastAsia" w:ascii="宋体" w:hAnsi="宋体"/>
          <w:sz w:val="21"/>
          <w:szCs w:val="21"/>
        </w:rPr>
        <w:t>应设置平顶型雨帽且正顶面不得采用自攻钉、铆钉等存在潜在漏雨的固定方式，侧面固定须考虑其抗风强度以及渗水排泄；雨帽须具备抗7级风雨等级，并提供理论计算书；</w:t>
      </w:r>
    </w:p>
    <w:p>
      <w:pPr>
        <w:pStyle w:val="3"/>
        <w:spacing w:beforeLines="0" w:afterLines="0" w:line="276" w:lineRule="auto"/>
        <w:ind w:firstLine="0" w:firstLineChars="0"/>
        <w:rPr>
          <w:rFonts w:hint="eastAsia" w:ascii="宋体" w:hAnsi="宋体" w:eastAsia="宋体"/>
          <w:sz w:val="21"/>
          <w:szCs w:val="21"/>
        </w:rPr>
      </w:pPr>
      <w:r>
        <w:rPr>
          <w:rFonts w:hint="eastAsia" w:ascii="宋体" w:hAnsi="宋体" w:eastAsia="宋体"/>
          <w:sz w:val="21"/>
          <w:szCs w:val="21"/>
        </w:rPr>
        <w:t>（三）风冷空调机组</w:t>
      </w:r>
    </w:p>
    <w:p>
      <w:pPr>
        <w:pStyle w:val="9"/>
        <w:numPr>
          <w:ilvl w:val="0"/>
          <w:numId w:val="7"/>
        </w:numPr>
        <w:spacing w:beforeLines="0" w:afterLines="0" w:line="276" w:lineRule="auto"/>
        <w:ind w:firstLineChars="0"/>
        <w:rPr>
          <w:rFonts w:hint="eastAsia" w:ascii="宋体" w:hAnsi="宋体" w:eastAsia="宋体" w:cs="仿宋"/>
          <w:kern w:val="0"/>
          <w:sz w:val="21"/>
          <w:szCs w:val="21"/>
        </w:rPr>
      </w:pPr>
      <w:r>
        <w:rPr>
          <w:rFonts w:hint="eastAsia" w:ascii="宋体" w:hAnsi="宋体" w:eastAsia="宋体" w:cs="仿宋"/>
          <w:kern w:val="0"/>
          <w:sz w:val="21"/>
          <w:szCs w:val="21"/>
        </w:rPr>
        <w:t>机组负荷调节范围：单模块机组能力调节范围0-25%-50%-75%-100%。</w:t>
      </w:r>
    </w:p>
    <w:p>
      <w:pPr>
        <w:pStyle w:val="9"/>
        <w:numPr>
          <w:ilvl w:val="0"/>
          <w:numId w:val="7"/>
        </w:numPr>
        <w:spacing w:beforeLines="0" w:afterLines="0" w:line="276" w:lineRule="auto"/>
        <w:ind w:firstLineChars="0"/>
        <w:rPr>
          <w:rFonts w:hint="eastAsia" w:ascii="宋体" w:hAnsi="宋体" w:eastAsia="宋体" w:cs="仿宋"/>
          <w:kern w:val="0"/>
          <w:sz w:val="21"/>
          <w:szCs w:val="21"/>
        </w:rPr>
      </w:pPr>
      <w:r>
        <w:rPr>
          <w:rFonts w:hint="eastAsia" w:ascii="宋体" w:hAnsi="宋体" w:eastAsia="宋体" w:cs="仿宋"/>
          <w:kern w:val="0"/>
          <w:sz w:val="21"/>
          <w:szCs w:val="21"/>
        </w:rPr>
        <w:t>运行环境温度范围：制冷：5-46℃，制热：-15-25℃，在此温度范围内能连续稳定运行。</w:t>
      </w:r>
    </w:p>
    <w:p>
      <w:pPr>
        <w:pStyle w:val="9"/>
        <w:numPr>
          <w:ilvl w:val="0"/>
          <w:numId w:val="7"/>
        </w:numPr>
        <w:spacing w:beforeLines="0" w:afterLines="0" w:line="276" w:lineRule="auto"/>
        <w:ind w:firstLineChars="0"/>
        <w:rPr>
          <w:rFonts w:hint="eastAsia" w:ascii="宋体" w:hAnsi="宋体" w:eastAsia="宋体" w:cs="仿宋"/>
          <w:kern w:val="0"/>
          <w:sz w:val="21"/>
          <w:szCs w:val="21"/>
        </w:rPr>
      </w:pPr>
      <w:r>
        <w:rPr>
          <w:rFonts w:hint="eastAsia" w:ascii="宋体" w:hAnsi="宋体" w:eastAsia="宋体" w:cs="仿宋"/>
          <w:kern w:val="0"/>
          <w:sz w:val="21"/>
          <w:szCs w:val="21"/>
        </w:rPr>
        <w:t>配置RS485接口和远程开关机干接点，配置水泵输出、辅助电加热输出及风机盘管连锁控制。</w:t>
      </w:r>
    </w:p>
    <w:p>
      <w:pPr>
        <w:pStyle w:val="9"/>
        <w:numPr>
          <w:ilvl w:val="0"/>
          <w:numId w:val="7"/>
        </w:numPr>
        <w:spacing w:beforeLines="0" w:afterLines="0" w:line="276" w:lineRule="auto"/>
        <w:ind w:firstLineChars="0"/>
        <w:rPr>
          <w:rFonts w:hint="eastAsia" w:ascii="宋体" w:hAnsi="宋体" w:eastAsia="宋体" w:cs="仿宋"/>
          <w:kern w:val="0"/>
          <w:sz w:val="21"/>
          <w:szCs w:val="21"/>
        </w:rPr>
      </w:pPr>
      <w:r>
        <w:rPr>
          <w:rFonts w:hint="eastAsia" w:ascii="宋体" w:hAnsi="宋体" w:eastAsia="宋体" w:cs="仿宋"/>
          <w:kern w:val="0"/>
          <w:sz w:val="21"/>
          <w:szCs w:val="21"/>
        </w:rPr>
        <w:t>各系统具有分级启动功能；压缩机具有均衡功能，先启动运行时间短的系统，机组有能量调节技术。</w:t>
      </w:r>
    </w:p>
    <w:p>
      <w:pPr>
        <w:pStyle w:val="9"/>
        <w:numPr>
          <w:ilvl w:val="0"/>
          <w:numId w:val="7"/>
        </w:numPr>
        <w:spacing w:beforeLines="0" w:afterLines="0" w:line="276" w:lineRule="auto"/>
        <w:ind w:firstLineChars="0"/>
        <w:rPr>
          <w:rFonts w:hint="eastAsia" w:ascii="宋体" w:hAnsi="宋体" w:eastAsia="宋体" w:cs="仿宋"/>
          <w:kern w:val="0"/>
          <w:sz w:val="21"/>
          <w:szCs w:val="21"/>
        </w:rPr>
      </w:pPr>
      <w:r>
        <w:rPr>
          <w:rFonts w:hint="eastAsia" w:ascii="宋体" w:hAnsi="宋体" w:eastAsia="宋体" w:cs="仿宋"/>
          <w:kern w:val="0"/>
          <w:sz w:val="21"/>
          <w:szCs w:val="21"/>
        </w:rPr>
        <w:t>具备智能除霜技术，模块内单系统化霜不影响另一系统正常工作。</w:t>
      </w:r>
    </w:p>
    <w:p>
      <w:pPr>
        <w:pStyle w:val="9"/>
        <w:numPr>
          <w:ilvl w:val="0"/>
          <w:numId w:val="7"/>
        </w:numPr>
        <w:spacing w:beforeLines="0" w:afterLines="0" w:line="276" w:lineRule="auto"/>
        <w:ind w:firstLineChars="0"/>
        <w:rPr>
          <w:rFonts w:hint="eastAsia" w:ascii="宋体" w:hAnsi="宋体" w:eastAsia="宋体" w:cs="仿宋"/>
          <w:kern w:val="0"/>
          <w:sz w:val="21"/>
          <w:szCs w:val="21"/>
        </w:rPr>
      </w:pPr>
      <w:r>
        <w:rPr>
          <w:rFonts w:hint="eastAsia" w:ascii="宋体" w:hAnsi="宋体" w:eastAsia="宋体" w:cs="仿宋"/>
          <w:kern w:val="0"/>
          <w:sz w:val="21"/>
          <w:szCs w:val="21"/>
        </w:rPr>
        <w:t>水侧换热器采用壳管式换热器，换热器内部为螺旋型折流板，内置水流开关。</w:t>
      </w:r>
    </w:p>
    <w:p>
      <w:pPr>
        <w:pStyle w:val="9"/>
        <w:numPr>
          <w:ilvl w:val="0"/>
          <w:numId w:val="7"/>
        </w:numPr>
        <w:spacing w:beforeLines="0" w:afterLines="0" w:line="276" w:lineRule="auto"/>
        <w:ind w:firstLineChars="0"/>
        <w:rPr>
          <w:rFonts w:hint="eastAsia" w:ascii="宋体" w:hAnsi="宋体" w:eastAsia="宋体" w:cs="仿宋"/>
          <w:kern w:val="0"/>
          <w:sz w:val="21"/>
          <w:szCs w:val="21"/>
        </w:rPr>
      </w:pPr>
      <w:r>
        <w:rPr>
          <w:rFonts w:hint="eastAsia" w:ascii="宋体" w:hAnsi="宋体" w:eastAsia="宋体" w:cs="仿宋"/>
          <w:kern w:val="0"/>
          <w:sz w:val="21"/>
          <w:szCs w:val="21"/>
        </w:rPr>
        <w:t xml:space="preserve">风侧换热器采用V型换热器，内螺纹铜管和亲水铝箔，使用独立风系统。 </w:t>
      </w:r>
    </w:p>
    <w:p>
      <w:pPr>
        <w:pStyle w:val="9"/>
        <w:numPr>
          <w:ilvl w:val="0"/>
          <w:numId w:val="7"/>
        </w:numPr>
        <w:spacing w:beforeLines="0" w:afterLines="0" w:line="276" w:lineRule="auto"/>
        <w:ind w:firstLineChars="0"/>
        <w:rPr>
          <w:rFonts w:hint="eastAsia" w:ascii="宋体" w:hAnsi="宋体" w:eastAsia="宋体" w:cs="仿宋"/>
          <w:kern w:val="0"/>
          <w:sz w:val="21"/>
          <w:szCs w:val="21"/>
        </w:rPr>
      </w:pPr>
      <w:r>
        <w:rPr>
          <w:rFonts w:hint="eastAsia" w:ascii="宋体" w:hAnsi="宋体" w:eastAsia="宋体" w:cs="仿宋"/>
          <w:kern w:val="0"/>
          <w:sz w:val="21"/>
          <w:szCs w:val="21"/>
        </w:rPr>
        <w:t>机组节流装置采用进口电子脉冲调节，可实现PID精确控制的电子膨胀阀。</w:t>
      </w:r>
    </w:p>
    <w:p>
      <w:pPr>
        <w:pStyle w:val="9"/>
        <w:numPr>
          <w:ilvl w:val="0"/>
          <w:numId w:val="7"/>
        </w:numPr>
        <w:spacing w:beforeLines="0" w:afterLines="0" w:line="276" w:lineRule="auto"/>
        <w:ind w:firstLineChars="0"/>
        <w:rPr>
          <w:rFonts w:hint="eastAsia" w:ascii="宋体" w:hAnsi="宋体" w:eastAsia="宋体" w:cs="仿宋"/>
          <w:kern w:val="0"/>
          <w:sz w:val="21"/>
          <w:szCs w:val="21"/>
        </w:rPr>
      </w:pPr>
      <w:r>
        <w:rPr>
          <w:rFonts w:hint="eastAsia" w:ascii="宋体" w:hAnsi="宋体" w:eastAsia="宋体" w:cs="仿宋"/>
          <w:kern w:val="0"/>
          <w:sz w:val="21"/>
          <w:szCs w:val="21"/>
        </w:rPr>
        <w:t>机组采用R410a环保冷媒。</w:t>
      </w:r>
    </w:p>
    <w:p>
      <w:pPr>
        <w:pStyle w:val="3"/>
        <w:spacing w:beforeLines="0" w:afterLines="0" w:line="276" w:lineRule="auto"/>
        <w:ind w:firstLine="0" w:firstLineChars="0"/>
        <w:rPr>
          <w:rFonts w:hint="eastAsia" w:ascii="宋体" w:hAnsi="宋体" w:eastAsia="宋体"/>
          <w:sz w:val="21"/>
          <w:szCs w:val="21"/>
        </w:rPr>
      </w:pPr>
      <w:r>
        <w:rPr>
          <w:rFonts w:hint="eastAsia" w:ascii="宋体" w:hAnsi="宋体" w:eastAsia="宋体"/>
          <w:sz w:val="21"/>
          <w:szCs w:val="21"/>
        </w:rPr>
        <w:t>（四）中央控制塔</w:t>
      </w:r>
    </w:p>
    <w:p>
      <w:pPr>
        <w:spacing w:beforeLines="0" w:afterLines="0" w:line="276" w:lineRule="auto"/>
        <w:ind w:firstLine="480"/>
        <w:rPr>
          <w:rFonts w:hint="eastAsia" w:ascii="宋体" w:hAnsi="宋体"/>
          <w:sz w:val="21"/>
          <w:szCs w:val="21"/>
        </w:rPr>
      </w:pPr>
      <w:r>
        <w:rPr>
          <w:rFonts w:hint="eastAsia" w:ascii="宋体" w:hAnsi="宋体"/>
          <w:sz w:val="21"/>
          <w:szCs w:val="21"/>
        </w:rPr>
        <w:t>实验室空气处理系统集成控制中枢，是集成了无线GPRS数据通信、有线RS485通信，智能调节模块等的数据采集管理终端；能实现传感器数据的采集、监测和存储，并具数据云端存储功能。采用触控式人机交互界面，简洁易操控，反应迅速，控制界面能数字化和图形化两种模式显示区域空气质量数据（主要污染的浓度）、风机运行状态、风压参数、温湿度等内容，并可根据特殊场景定制显示其他数据内容。系统可实时收集检测数据并自动计算，然后调节相关设备运行状态，确保系统正常合理自动运行。</w:t>
      </w:r>
    </w:p>
    <w:p>
      <w:pPr>
        <w:spacing w:beforeLines="0" w:afterLines="0" w:line="276" w:lineRule="auto"/>
        <w:ind w:left="420" w:leftChars="200"/>
        <w:rPr>
          <w:rFonts w:hint="eastAsia" w:ascii="宋体" w:hAnsi="宋体"/>
          <w:sz w:val="21"/>
          <w:szCs w:val="21"/>
        </w:rPr>
      </w:pPr>
      <w:r>
        <w:rPr>
          <w:rFonts w:hint="eastAsia" w:ascii="宋体" w:hAnsi="宋体"/>
          <w:sz w:val="21"/>
          <w:szCs w:val="21"/>
        </w:rPr>
        <w:t>1.功能目标：</w:t>
      </w:r>
    </w:p>
    <w:p>
      <w:pPr>
        <w:numPr>
          <w:ilvl w:val="0"/>
          <w:numId w:val="8"/>
        </w:numPr>
        <w:spacing w:beforeLines="0" w:afterLines="0" w:line="276" w:lineRule="auto"/>
        <w:jc w:val="left"/>
        <w:rPr>
          <w:rFonts w:hint="eastAsia" w:ascii="宋体" w:hAnsi="宋体"/>
          <w:sz w:val="21"/>
          <w:szCs w:val="21"/>
        </w:rPr>
      </w:pPr>
      <w:r>
        <w:rPr>
          <w:rFonts w:hint="eastAsia" w:ascii="宋体" w:hAnsi="宋体"/>
          <w:sz w:val="21"/>
          <w:szCs w:val="21"/>
        </w:rPr>
        <w:t>使系统可靠、高效运行，减轻人员的劳动强度;</w:t>
      </w:r>
    </w:p>
    <w:p>
      <w:pPr>
        <w:numPr>
          <w:ilvl w:val="0"/>
          <w:numId w:val="8"/>
        </w:numPr>
        <w:spacing w:beforeLines="0" w:afterLines="0" w:line="276" w:lineRule="auto"/>
        <w:jc w:val="left"/>
        <w:rPr>
          <w:rFonts w:hint="eastAsia" w:ascii="宋体" w:hAnsi="宋体"/>
          <w:sz w:val="21"/>
          <w:szCs w:val="21"/>
        </w:rPr>
      </w:pPr>
      <w:r>
        <w:rPr>
          <w:rFonts w:hint="eastAsia" w:ascii="宋体" w:hAnsi="宋体"/>
          <w:sz w:val="21"/>
          <w:szCs w:val="21"/>
        </w:rPr>
        <w:t>确保内部环境满足实验安全要求并满足人员舒适性;</w:t>
      </w:r>
    </w:p>
    <w:p>
      <w:pPr>
        <w:numPr>
          <w:ilvl w:val="0"/>
          <w:numId w:val="8"/>
        </w:numPr>
        <w:spacing w:beforeLines="0" w:afterLines="0" w:line="276" w:lineRule="auto"/>
        <w:jc w:val="left"/>
        <w:rPr>
          <w:rFonts w:hint="eastAsia" w:ascii="宋体" w:hAnsi="宋体"/>
          <w:sz w:val="21"/>
          <w:szCs w:val="21"/>
        </w:rPr>
      </w:pPr>
      <w:r>
        <w:rPr>
          <w:rFonts w:hint="eastAsia" w:ascii="宋体" w:hAnsi="宋体"/>
          <w:sz w:val="21"/>
          <w:szCs w:val="21"/>
        </w:rPr>
        <w:t>可提供系统优化运行和能耗控制方案，进行节能管理;</w:t>
      </w:r>
    </w:p>
    <w:p>
      <w:pPr>
        <w:numPr>
          <w:ilvl w:val="0"/>
          <w:numId w:val="8"/>
        </w:numPr>
        <w:spacing w:beforeLines="0" w:afterLines="0" w:line="276" w:lineRule="auto"/>
        <w:jc w:val="left"/>
        <w:rPr>
          <w:rFonts w:hint="eastAsia" w:ascii="宋体" w:hAnsi="宋体"/>
          <w:sz w:val="21"/>
          <w:szCs w:val="21"/>
        </w:rPr>
      </w:pPr>
      <w:r>
        <w:rPr>
          <w:rFonts w:hint="eastAsia" w:ascii="宋体" w:hAnsi="宋体"/>
          <w:sz w:val="21"/>
          <w:szCs w:val="21"/>
        </w:rPr>
        <w:t>及时提供设备运行的有关信息，并进行统计与分析，作为设备管理决策的依据，方便运行维护管理。</w:t>
      </w:r>
    </w:p>
    <w:p>
      <w:pPr>
        <w:spacing w:beforeLines="0" w:afterLines="0" w:line="276" w:lineRule="auto"/>
        <w:ind w:left="420" w:leftChars="200"/>
        <w:rPr>
          <w:rFonts w:hint="eastAsia" w:ascii="宋体" w:hAnsi="宋体"/>
          <w:sz w:val="21"/>
          <w:szCs w:val="21"/>
        </w:rPr>
      </w:pPr>
      <w:r>
        <w:rPr>
          <w:rFonts w:hint="eastAsia" w:ascii="宋体" w:hAnsi="宋体"/>
          <w:sz w:val="21"/>
          <w:szCs w:val="21"/>
        </w:rPr>
        <w:t>2.参数功能：</w:t>
      </w:r>
    </w:p>
    <w:p>
      <w:pPr>
        <w:numPr>
          <w:ilvl w:val="0"/>
          <w:numId w:val="9"/>
        </w:numPr>
        <w:spacing w:beforeLines="0" w:afterLines="0" w:line="276" w:lineRule="auto"/>
        <w:jc w:val="left"/>
        <w:rPr>
          <w:rFonts w:hint="eastAsia" w:ascii="宋体" w:hAnsi="宋体"/>
          <w:sz w:val="21"/>
          <w:szCs w:val="21"/>
        </w:rPr>
      </w:pPr>
      <w:r>
        <w:rPr>
          <w:rFonts w:hint="eastAsia" w:ascii="宋体" w:hAnsi="宋体"/>
          <w:sz w:val="21"/>
          <w:szCs w:val="21"/>
        </w:rPr>
        <w:t>安装尺寸：高2500宽330厚260mm，工作环境温度-10℃-50℃；</w:t>
      </w:r>
    </w:p>
    <w:p>
      <w:pPr>
        <w:numPr>
          <w:ilvl w:val="0"/>
          <w:numId w:val="9"/>
        </w:numPr>
        <w:spacing w:beforeLines="0" w:afterLines="0" w:line="276" w:lineRule="auto"/>
        <w:jc w:val="left"/>
        <w:rPr>
          <w:rFonts w:hint="eastAsia" w:ascii="宋体" w:hAnsi="宋体"/>
          <w:sz w:val="21"/>
          <w:szCs w:val="21"/>
        </w:rPr>
      </w:pPr>
      <w:r>
        <w:rPr>
          <w:rFonts w:hint="eastAsia" w:ascii="宋体" w:hAnsi="宋体"/>
          <w:sz w:val="21"/>
          <w:szCs w:val="21"/>
        </w:rPr>
        <w:t>各部件均采用铝合金一体模压成型，部件之间高精度配合连接，无折弯痕及焊痕，表面通过喷砂并闪银阳极处理。美观不突兀，不破坏装饰效果，安装方便，不占用空间。安装方式为挂壁式安装。</w:t>
      </w:r>
    </w:p>
    <w:p>
      <w:pPr>
        <w:numPr>
          <w:ilvl w:val="0"/>
          <w:numId w:val="9"/>
        </w:numPr>
        <w:spacing w:beforeLines="0" w:afterLines="0" w:line="276" w:lineRule="auto"/>
        <w:jc w:val="left"/>
        <w:rPr>
          <w:rFonts w:hint="eastAsia" w:ascii="宋体" w:hAnsi="宋体"/>
          <w:sz w:val="21"/>
          <w:szCs w:val="21"/>
        </w:rPr>
      </w:pPr>
      <w:r>
        <w:rPr>
          <w:rFonts w:hint="eastAsia" w:ascii="宋体" w:hAnsi="宋体"/>
          <w:sz w:val="21"/>
          <w:szCs w:val="21"/>
        </w:rPr>
        <w:t>多个系统控制中枢之间可共享数据，降低系统风险，系统规模更加灵活，整体功能更强。</w:t>
      </w:r>
    </w:p>
    <w:p>
      <w:pPr>
        <w:numPr>
          <w:ilvl w:val="0"/>
          <w:numId w:val="9"/>
        </w:numPr>
        <w:spacing w:beforeLines="0" w:afterLines="0" w:line="276" w:lineRule="auto"/>
        <w:jc w:val="left"/>
        <w:rPr>
          <w:rFonts w:hint="eastAsia" w:ascii="宋体" w:hAnsi="宋体"/>
          <w:sz w:val="21"/>
          <w:szCs w:val="21"/>
        </w:rPr>
      </w:pPr>
      <w:r>
        <w:rPr>
          <w:rFonts w:hint="eastAsia" w:ascii="宋体" w:hAnsi="宋体"/>
          <w:sz w:val="21"/>
          <w:szCs w:val="21"/>
        </w:rPr>
        <w:t>显示监测功能：主要对温度、湿度、压差、流量、空气质量及除味消毒模块进行显示监测；使系统可靠、高效运行，减轻人员的劳动强度，确保实验室环境满足工艺需求且满足人员舒适性。触控式人机界面显示新风、排风系统运行状态和污染物浓度，数字化、图形化监测显示，并记录所有动态信息，生成质控报告。并可根据实时监测污染物的浓度，自动调节除味消毒模块的运行效率。所有监测到的信息传至中央处理中心，中央处理中心运算后在毫秒级内发出执行指令到动态离子衍生装置模块调节电离发生强度。</w:t>
      </w:r>
    </w:p>
    <w:p>
      <w:pPr>
        <w:numPr>
          <w:ilvl w:val="0"/>
          <w:numId w:val="9"/>
        </w:numPr>
        <w:spacing w:beforeLines="0" w:afterLines="0" w:line="276" w:lineRule="auto"/>
        <w:jc w:val="left"/>
        <w:rPr>
          <w:rFonts w:hint="eastAsia" w:ascii="宋体" w:hAnsi="宋体"/>
          <w:sz w:val="21"/>
          <w:szCs w:val="21"/>
        </w:rPr>
      </w:pPr>
      <w:r>
        <w:rPr>
          <w:rFonts w:hint="eastAsia" w:ascii="宋体" w:hAnsi="宋体"/>
          <w:sz w:val="21"/>
          <w:szCs w:val="21"/>
        </w:rPr>
        <w:t>新排风机连锁控制，使系统可靠运行，降低人员劳动强度。新风机与排风机连锁，当系统运行时，先打开排风机组，延时20秒开新风机组；系统停止时，先关闭新风机组，延时10秒关排风机组。当控制器检测到风机运行信后，控制程序投入运行。风机变频器处于值班状态时，变频器低速运行。自由设置工作模式，非工作状态下，可选择两种模式，一种为自动模式，即在上班前1小时自动开启系统，下班后半小时自动关闭系统；另一种为设定值班模式，仅保证实验室维持负压，新风机组处于停机状态，节约能耗。</w:t>
      </w:r>
    </w:p>
    <w:p>
      <w:pPr>
        <w:numPr>
          <w:ilvl w:val="0"/>
          <w:numId w:val="9"/>
        </w:numPr>
        <w:spacing w:beforeLines="0" w:afterLines="0" w:line="276" w:lineRule="auto"/>
        <w:jc w:val="left"/>
        <w:rPr>
          <w:rFonts w:hint="eastAsia" w:ascii="宋体" w:hAnsi="宋体"/>
          <w:sz w:val="21"/>
          <w:szCs w:val="21"/>
        </w:rPr>
      </w:pPr>
      <w:r>
        <w:rPr>
          <w:rFonts w:hint="eastAsia" w:ascii="宋体" w:hAnsi="宋体"/>
          <w:sz w:val="21"/>
          <w:szCs w:val="21"/>
        </w:rPr>
        <w:t>包含各种逻辑功能，可自由组合、编排，以随心所欲地实现各种环境参数的实时控制，从而给用户一个完整、可靠、方便实用、个性化、经济性的整体解决方案。模拟量输入，数字化、图形化显示区域空气质量数据，自动数据采集。各种传感器的数据反馈给中央处理中心后，中央处理中心分析比较室内的空气质量发出指令给变频机构，控制风量大小和室内温湿度，节约能耗。</w:t>
      </w:r>
    </w:p>
    <w:p>
      <w:pPr>
        <w:numPr>
          <w:ilvl w:val="0"/>
          <w:numId w:val="9"/>
        </w:numPr>
        <w:spacing w:beforeLines="0" w:afterLines="0" w:line="276" w:lineRule="auto"/>
        <w:jc w:val="left"/>
        <w:rPr>
          <w:rFonts w:hint="eastAsia" w:ascii="宋体" w:hAnsi="宋体"/>
          <w:sz w:val="21"/>
          <w:szCs w:val="21"/>
        </w:rPr>
      </w:pPr>
      <w:r>
        <w:rPr>
          <w:rFonts w:hint="eastAsia" w:ascii="宋体" w:hAnsi="宋体"/>
          <w:sz w:val="21"/>
          <w:szCs w:val="21"/>
        </w:rPr>
        <w:t>投标产品具备电磁兼容性检测合格的检测报告，投标文件中提供具备CMA资质的第三方检测机构出具的检测报告复印件并加盖制造商公章。</w:t>
      </w:r>
    </w:p>
    <w:p>
      <w:pPr>
        <w:numPr>
          <w:ilvl w:val="0"/>
          <w:numId w:val="9"/>
        </w:numPr>
        <w:spacing w:beforeLines="0" w:afterLines="0" w:line="276" w:lineRule="auto"/>
        <w:jc w:val="left"/>
        <w:rPr>
          <w:rFonts w:hint="eastAsia" w:ascii="宋体" w:hAnsi="宋体"/>
          <w:sz w:val="21"/>
          <w:szCs w:val="21"/>
        </w:rPr>
      </w:pPr>
      <w:r>
        <w:rPr>
          <w:rFonts w:hint="eastAsia" w:ascii="宋体" w:hAnsi="宋体"/>
          <w:sz w:val="21"/>
          <w:szCs w:val="21"/>
        </w:rPr>
        <w:t>投标产品采用铝合金模压制作，合金材质表面耐候处理，坚固耐用，符合下述要求：1）抗拉强度≥480MPa，2）阳极氧化膜厚度≥20μm，3）耐碱性合格，4)断后伸长率≥10%，5)塑性延伸强度≥420MPa投标文件中提供具备CMA资质的第三方检测机构出具的检测报告复印件并加盖制造商公章。</w:t>
      </w:r>
    </w:p>
    <w:p>
      <w:pPr>
        <w:numPr>
          <w:ilvl w:val="0"/>
          <w:numId w:val="9"/>
        </w:numPr>
        <w:spacing w:beforeLines="0" w:afterLines="0" w:line="276" w:lineRule="auto"/>
        <w:jc w:val="left"/>
        <w:rPr>
          <w:rFonts w:hint="eastAsia" w:ascii="宋体" w:hAnsi="宋体"/>
          <w:sz w:val="21"/>
          <w:szCs w:val="21"/>
        </w:rPr>
      </w:pPr>
      <w:r>
        <w:rPr>
          <w:rFonts w:hint="eastAsia" w:ascii="宋体" w:hAnsi="宋体"/>
          <w:sz w:val="21"/>
          <w:szCs w:val="21"/>
        </w:rPr>
        <w:t>所投产品具备“实验室空气处理系统中央控制系统”软件软件产品证书及软件功能检测报告复印件并加盖投标人公章。</w:t>
      </w:r>
    </w:p>
    <w:p>
      <w:pPr>
        <w:pStyle w:val="3"/>
        <w:spacing w:beforeLines="0" w:afterLines="0" w:line="276" w:lineRule="auto"/>
        <w:ind w:firstLine="0" w:firstLineChars="0"/>
        <w:rPr>
          <w:rFonts w:hint="eastAsia" w:ascii="宋体" w:hAnsi="宋体" w:eastAsia="宋体"/>
          <w:sz w:val="21"/>
          <w:szCs w:val="21"/>
        </w:rPr>
      </w:pPr>
      <w:r>
        <w:rPr>
          <w:rFonts w:hint="eastAsia" w:ascii="宋体" w:hAnsi="宋体" w:eastAsia="宋体"/>
          <w:sz w:val="21"/>
          <w:szCs w:val="21"/>
        </w:rPr>
        <w:t>（五）风压探头</w:t>
      </w:r>
    </w:p>
    <w:p>
      <w:pPr>
        <w:spacing w:beforeLines="0" w:afterLines="0" w:line="276" w:lineRule="auto"/>
        <w:ind w:firstLine="480"/>
        <w:rPr>
          <w:rFonts w:hint="eastAsia" w:ascii="宋体" w:hAnsi="宋体"/>
          <w:sz w:val="21"/>
          <w:szCs w:val="21"/>
        </w:rPr>
      </w:pPr>
      <w:r>
        <w:rPr>
          <w:rFonts w:hint="eastAsia" w:ascii="宋体" w:hAnsi="宋体"/>
          <w:sz w:val="21"/>
          <w:szCs w:val="21"/>
        </w:rPr>
        <w:t>风压探头，要求监测范围±50Pa/±100Pa/0-100Pa可选择，工作环境-10℃-50℃，湿度5～95%（无冷凝）</w:t>
      </w:r>
    </w:p>
    <w:p>
      <w:pPr>
        <w:pStyle w:val="3"/>
        <w:spacing w:beforeLines="0" w:afterLines="0" w:line="276" w:lineRule="auto"/>
        <w:ind w:firstLine="0" w:firstLineChars="0"/>
        <w:rPr>
          <w:rFonts w:hint="eastAsia" w:ascii="宋体" w:hAnsi="宋体" w:eastAsia="宋体"/>
          <w:sz w:val="21"/>
          <w:szCs w:val="21"/>
        </w:rPr>
      </w:pPr>
      <w:r>
        <w:rPr>
          <w:rFonts w:hint="eastAsia" w:ascii="宋体" w:hAnsi="宋体" w:eastAsia="宋体"/>
          <w:sz w:val="21"/>
          <w:szCs w:val="21"/>
        </w:rPr>
        <w:t>（六）臭氧探头</w:t>
      </w:r>
    </w:p>
    <w:p>
      <w:pPr>
        <w:spacing w:beforeLines="0" w:afterLines="0" w:line="276" w:lineRule="auto"/>
        <w:ind w:firstLine="480"/>
        <w:rPr>
          <w:rFonts w:hint="eastAsia" w:ascii="宋体" w:hAnsi="宋体"/>
          <w:sz w:val="21"/>
          <w:szCs w:val="21"/>
        </w:rPr>
      </w:pPr>
      <w:r>
        <w:rPr>
          <w:rFonts w:hint="eastAsia" w:ascii="宋体" w:hAnsi="宋体"/>
          <w:sz w:val="21"/>
          <w:szCs w:val="21"/>
        </w:rPr>
        <w:t>要求实时在线监测环境臭氧浓度，采用高精度电化学传感器，检测浓度范围 10~250ppb，保障寿命2年</w:t>
      </w:r>
    </w:p>
    <w:p>
      <w:pPr>
        <w:pStyle w:val="3"/>
        <w:spacing w:beforeLines="0" w:afterLines="0" w:line="276" w:lineRule="auto"/>
        <w:ind w:firstLine="0" w:firstLineChars="0"/>
        <w:rPr>
          <w:rFonts w:hint="eastAsia" w:ascii="宋体" w:hAnsi="宋体" w:eastAsia="宋体"/>
          <w:sz w:val="21"/>
          <w:szCs w:val="21"/>
        </w:rPr>
      </w:pPr>
      <w:r>
        <w:rPr>
          <w:rFonts w:hint="eastAsia" w:ascii="宋体" w:hAnsi="宋体" w:eastAsia="宋体"/>
          <w:sz w:val="21"/>
          <w:szCs w:val="21"/>
        </w:rPr>
        <w:t>（七）空气质量探头</w:t>
      </w:r>
    </w:p>
    <w:p>
      <w:pPr>
        <w:spacing w:beforeLines="0" w:afterLines="0" w:line="276" w:lineRule="auto"/>
        <w:ind w:firstLine="480"/>
        <w:rPr>
          <w:rFonts w:hint="eastAsia" w:ascii="宋体" w:hAnsi="宋体"/>
          <w:sz w:val="21"/>
          <w:szCs w:val="21"/>
        </w:rPr>
      </w:pPr>
      <w:r>
        <w:rPr>
          <w:rFonts w:hint="eastAsia" w:ascii="宋体" w:hAnsi="宋体"/>
          <w:sz w:val="21"/>
          <w:szCs w:val="21"/>
        </w:rPr>
        <w:t>VOC检测浓度范围 0~30PPM；电源：DC24V，0-5VDC 线性输出。工作环境温度-10℃-50℃湿度5～95%（无冷凝）；要求对可挥发性气体高度敏感：氨气、甲苯、甲醛、硫化氢等</w:t>
      </w:r>
    </w:p>
    <w:p>
      <w:pPr>
        <w:pStyle w:val="3"/>
        <w:spacing w:beforeLines="0" w:afterLines="0" w:line="276" w:lineRule="auto"/>
        <w:ind w:firstLine="0" w:firstLineChars="0"/>
        <w:rPr>
          <w:rFonts w:hint="eastAsia" w:ascii="宋体" w:hAnsi="宋体" w:eastAsia="宋体"/>
          <w:sz w:val="21"/>
          <w:szCs w:val="21"/>
        </w:rPr>
      </w:pPr>
      <w:r>
        <w:rPr>
          <w:rFonts w:hint="eastAsia" w:ascii="宋体" w:hAnsi="宋体" w:eastAsia="宋体"/>
          <w:sz w:val="21"/>
          <w:szCs w:val="21"/>
        </w:rPr>
        <w:t>（八）风道温湿度传感器</w:t>
      </w:r>
    </w:p>
    <w:p>
      <w:pPr>
        <w:spacing w:beforeLines="0" w:afterLines="0" w:line="276" w:lineRule="auto"/>
        <w:ind w:firstLine="480"/>
        <w:rPr>
          <w:rFonts w:hint="eastAsia" w:ascii="宋体" w:hAnsi="宋体"/>
          <w:sz w:val="21"/>
          <w:szCs w:val="21"/>
        </w:rPr>
      </w:pPr>
      <w:r>
        <w:rPr>
          <w:rFonts w:hint="eastAsia" w:ascii="宋体" w:hAnsi="宋体"/>
          <w:sz w:val="21"/>
          <w:szCs w:val="21"/>
        </w:rPr>
        <w:t>1．风管式安装，工作电压 AC 24 V 或 DC 13.5…35 V 相对湿度输出信号 DC 0...10 V  温度输出信号DC 0...10 V 或LG-Ni 1000 或 T1  舒适性湿度范围内的精度达到±3 %</w:t>
      </w:r>
    </w:p>
    <w:p>
      <w:pPr>
        <w:spacing w:beforeLines="0" w:afterLines="0" w:line="276" w:lineRule="auto"/>
        <w:ind w:firstLine="480"/>
        <w:rPr>
          <w:rFonts w:hint="eastAsia" w:ascii="宋体" w:hAnsi="宋体"/>
          <w:sz w:val="21"/>
          <w:szCs w:val="21"/>
        </w:rPr>
      </w:pPr>
      <w:r>
        <w:rPr>
          <w:rFonts w:hint="eastAsia" w:ascii="宋体" w:hAnsi="宋体"/>
          <w:sz w:val="21"/>
          <w:szCs w:val="21"/>
        </w:rPr>
        <w:t>2．</w:t>
      </w:r>
      <w:r>
        <w:rPr>
          <w:rFonts w:hint="eastAsia" w:ascii="宋体" w:hAnsi="宋体"/>
          <w:sz w:val="21"/>
          <w:szCs w:val="21"/>
          <w:lang w:val="en-US" w:eastAsia="zh-CN"/>
        </w:rPr>
        <w:t>#</w:t>
      </w:r>
      <w:r>
        <w:rPr>
          <w:rFonts w:hint="eastAsia" w:ascii="宋体" w:hAnsi="宋体"/>
          <w:sz w:val="21"/>
          <w:szCs w:val="21"/>
        </w:rPr>
        <w:t>所投品产品具备国家认可的第三方检验机构出具的检测报告复印件并加盖投标人公章，检测报告中温湿度传感器Pt（铂）的含量大于90%，且Si（硅）和Ni（镍）的含量未检出。</w:t>
      </w:r>
    </w:p>
    <w:p>
      <w:pPr>
        <w:pStyle w:val="3"/>
        <w:spacing w:beforeLines="0" w:afterLines="0" w:line="276" w:lineRule="auto"/>
        <w:ind w:firstLine="0" w:firstLineChars="0"/>
        <w:rPr>
          <w:rFonts w:hint="eastAsia" w:ascii="宋体" w:hAnsi="宋体" w:eastAsia="宋体"/>
          <w:sz w:val="21"/>
          <w:szCs w:val="21"/>
        </w:rPr>
      </w:pPr>
      <w:r>
        <w:rPr>
          <w:rFonts w:hint="eastAsia" w:ascii="宋体" w:hAnsi="宋体" w:eastAsia="宋体"/>
          <w:sz w:val="21"/>
          <w:szCs w:val="21"/>
        </w:rPr>
        <w:t>（九）动态离子衍生装置</w:t>
      </w:r>
    </w:p>
    <w:p>
      <w:pPr>
        <w:pStyle w:val="86"/>
        <w:spacing w:beforeLines="0" w:after="0" w:afterLines="0" w:line="276" w:lineRule="auto"/>
        <w:ind w:firstLine="420"/>
        <w:rPr>
          <w:rFonts w:hint="eastAsia" w:cs="Times New Roman"/>
          <w:sz w:val="21"/>
          <w:szCs w:val="21"/>
          <w:lang w:val="en-US" w:eastAsia="zh-CN"/>
        </w:rPr>
      </w:pPr>
      <w:r>
        <w:rPr>
          <w:rFonts w:hint="eastAsia" w:cs="Times New Roman"/>
          <w:sz w:val="21"/>
          <w:szCs w:val="21"/>
          <w:lang w:val="en-US" w:eastAsia="zh-CN"/>
        </w:rPr>
        <w:t>2800V正弦DBD放电机型，低温等离子动态消杀型。该模块用于新风管道单向气流安装环境，不考虑气流循环类空气处理产品；不接受石墨烯类易氧化老化的电极类型。</w:t>
      </w:r>
    </w:p>
    <w:p>
      <w:pPr>
        <w:pStyle w:val="86"/>
        <w:spacing w:beforeLines="0" w:after="0" w:afterLines="0" w:line="276" w:lineRule="auto"/>
        <w:ind w:firstLine="420"/>
        <w:rPr>
          <w:rFonts w:hint="eastAsia" w:cs="Times New Roman"/>
          <w:sz w:val="21"/>
          <w:szCs w:val="21"/>
          <w:lang w:val="en-US" w:eastAsia="zh-CN"/>
        </w:rPr>
      </w:pPr>
      <w:r>
        <w:rPr>
          <w:rFonts w:hint="eastAsia" w:cs="Times New Roman"/>
          <w:sz w:val="21"/>
          <w:szCs w:val="21"/>
          <w:lang w:val="en-US" w:eastAsia="zh-CN"/>
        </w:rPr>
        <w:t>1.功能目标</w:t>
      </w:r>
    </w:p>
    <w:p>
      <w:pPr>
        <w:pStyle w:val="86"/>
        <w:numPr>
          <w:ilvl w:val="0"/>
          <w:numId w:val="10"/>
        </w:numPr>
        <w:spacing w:beforeLines="0" w:after="0" w:afterLines="0" w:line="276" w:lineRule="auto"/>
        <w:ind w:left="0" w:firstLine="420"/>
        <w:rPr>
          <w:rFonts w:hint="eastAsia" w:cs="Times New Roman"/>
          <w:sz w:val="21"/>
          <w:szCs w:val="21"/>
          <w:lang w:val="en-US" w:eastAsia="zh-CN"/>
        </w:rPr>
      </w:pPr>
      <w:r>
        <w:rPr>
          <w:rFonts w:hint="eastAsia" w:cs="Times New Roman"/>
          <w:sz w:val="21"/>
          <w:szCs w:val="21"/>
          <w:lang w:val="en-US" w:eastAsia="zh-CN"/>
        </w:rPr>
        <w:t>中和实验室内日积月累的有毒有害的挥发性有机物，生成无害的二氧化碳及水；</w:t>
      </w:r>
    </w:p>
    <w:p>
      <w:pPr>
        <w:pStyle w:val="86"/>
        <w:numPr>
          <w:ilvl w:val="0"/>
          <w:numId w:val="10"/>
        </w:numPr>
        <w:spacing w:beforeLines="0" w:after="0" w:afterLines="0" w:line="276" w:lineRule="auto"/>
        <w:ind w:left="0" w:firstLine="420"/>
        <w:rPr>
          <w:rFonts w:hint="eastAsia" w:cs="Times New Roman"/>
          <w:sz w:val="21"/>
          <w:szCs w:val="21"/>
          <w:lang w:val="en-US" w:eastAsia="zh-CN"/>
        </w:rPr>
      </w:pPr>
      <w:r>
        <w:rPr>
          <w:rFonts w:hint="eastAsia" w:cs="Times New Roman"/>
          <w:sz w:val="21"/>
          <w:szCs w:val="21"/>
          <w:lang w:val="en-US" w:eastAsia="zh-CN"/>
        </w:rPr>
        <w:t>杀灭实验室内的病毒和细菌等微生物，减少其附着尘埃颗粒，达到净化室内空气的效果。</w:t>
      </w:r>
    </w:p>
    <w:p>
      <w:pPr>
        <w:pStyle w:val="86"/>
        <w:spacing w:beforeLines="0" w:after="0" w:afterLines="0" w:line="276" w:lineRule="auto"/>
        <w:ind w:firstLine="420"/>
        <w:rPr>
          <w:rFonts w:hint="eastAsia" w:cs="Times New Roman"/>
          <w:sz w:val="21"/>
          <w:szCs w:val="21"/>
          <w:lang w:val="en-US" w:eastAsia="zh-CN"/>
        </w:rPr>
      </w:pPr>
      <w:r>
        <w:rPr>
          <w:rFonts w:hint="eastAsia" w:cs="Times New Roman"/>
          <w:sz w:val="21"/>
          <w:szCs w:val="21"/>
          <w:lang w:val="en-US" w:eastAsia="zh-CN"/>
        </w:rPr>
        <w:t>2.参数功能</w:t>
      </w:r>
    </w:p>
    <w:p>
      <w:pPr>
        <w:pStyle w:val="86"/>
        <w:numPr>
          <w:ilvl w:val="0"/>
          <w:numId w:val="11"/>
        </w:numPr>
        <w:spacing w:beforeLines="0" w:after="0" w:afterLines="0" w:line="276" w:lineRule="auto"/>
        <w:ind w:left="0" w:firstLine="420"/>
        <w:rPr>
          <w:rFonts w:hint="eastAsia" w:cs="Times New Roman"/>
          <w:sz w:val="21"/>
          <w:szCs w:val="21"/>
          <w:lang w:val="en-US" w:eastAsia="zh-CN"/>
        </w:rPr>
      </w:pPr>
      <w:r>
        <w:rPr>
          <w:rFonts w:hint="eastAsia" w:cs="Times New Roman"/>
          <w:sz w:val="21"/>
          <w:szCs w:val="21"/>
          <w:lang w:val="en-US" w:eastAsia="zh-CN"/>
        </w:rPr>
        <w:t>电离管的外电极通过螺丝固定的连接方式接地电线接地，保证不会产生电火花。设备质量满足国内标准。</w:t>
      </w:r>
    </w:p>
    <w:p>
      <w:pPr>
        <w:pStyle w:val="86"/>
        <w:numPr>
          <w:ilvl w:val="0"/>
          <w:numId w:val="11"/>
        </w:numPr>
        <w:spacing w:beforeLines="0" w:after="0" w:afterLines="0" w:line="276" w:lineRule="auto"/>
        <w:ind w:left="0" w:firstLine="420"/>
        <w:rPr>
          <w:rFonts w:hint="eastAsia" w:cs="Times New Roman"/>
          <w:sz w:val="21"/>
          <w:szCs w:val="21"/>
          <w:lang w:val="en-US" w:eastAsia="zh-CN"/>
        </w:rPr>
      </w:pPr>
      <w:r>
        <w:rPr>
          <w:rFonts w:hint="eastAsia" w:ascii="宋体" w:hAnsi="宋体"/>
          <w:sz w:val="21"/>
          <w:szCs w:val="21"/>
        </w:rPr>
        <w:t>离管与空气流向和风管垂直安装，每两根电离管之间至少有10厘米的距离作为自由气流区域以防止臭氧集聚。当臭氧传感器探测到外界其他臭氧源时，除味消毒模块会发生微弱的理想脉冲，控制离子空气处理主机将过多的臭氧转化为活性氧。为了更好地激活氧气分子，电离管应当垂直插入风管（与气流方向成90度），这样保证送风尽可能多地经过电离管表面。</w:t>
      </w:r>
      <w:r>
        <w:rPr>
          <w:rFonts w:hint="eastAsia" w:cs="Times New Roman"/>
          <w:sz w:val="21"/>
          <w:szCs w:val="21"/>
          <w:lang w:val="en-US" w:eastAsia="zh-CN"/>
        </w:rPr>
        <w:t>空气处理系统中安装了离子空气处理主机时，需配套空气质量传感器和臭氧传感器，保证所产生的离子簇与室内空气反应适当，不会产生过多的氧离子，保证臭氧浓度不会超过设定标准。</w:t>
      </w:r>
    </w:p>
    <w:p>
      <w:pPr>
        <w:pStyle w:val="86"/>
        <w:numPr>
          <w:ilvl w:val="0"/>
          <w:numId w:val="11"/>
        </w:numPr>
        <w:spacing w:beforeLines="0" w:after="0" w:afterLines="0" w:line="276" w:lineRule="auto"/>
        <w:ind w:left="0" w:firstLine="420"/>
        <w:rPr>
          <w:rFonts w:hint="eastAsia" w:cs="Times New Roman"/>
          <w:sz w:val="21"/>
          <w:szCs w:val="21"/>
          <w:lang w:val="en-US" w:eastAsia="zh-CN"/>
        </w:rPr>
      </w:pPr>
      <w:r>
        <w:rPr>
          <w:rFonts w:hint="eastAsia" w:cs="Times New Roman"/>
          <w:sz w:val="21"/>
          <w:szCs w:val="21"/>
          <w:lang w:val="en-US" w:eastAsia="zh-CN"/>
        </w:rPr>
        <w:t>经过具有CMA或CNAS资质的检测机构检测，且检测结果达到大肠杆菌（1小时）净化效率≥99%，黑曲霉（1小时）净化效率≥99%，白色葡萄球菌（1小时）净化效率≥99%，自然菌（1小时）净化效率≥94%，氨（2小时）去除率≥90%，硫化氢（2小时）去除率≥90%，甲型流感病毒A/PR/8/34(1小时）去除率≥99.9%；提供以上检测报告复印件并加盖制造商公章。</w:t>
      </w:r>
    </w:p>
    <w:p>
      <w:pPr>
        <w:pStyle w:val="86"/>
        <w:numPr>
          <w:ilvl w:val="0"/>
          <w:numId w:val="11"/>
        </w:numPr>
        <w:spacing w:beforeLines="0" w:after="0" w:afterLines="0" w:line="276" w:lineRule="auto"/>
        <w:ind w:left="0" w:firstLine="420"/>
        <w:rPr>
          <w:rFonts w:hint="eastAsia" w:cs="Times New Roman"/>
          <w:sz w:val="21"/>
          <w:szCs w:val="21"/>
          <w:lang w:val="en-US" w:eastAsia="zh-CN"/>
        </w:rPr>
      </w:pPr>
      <w:r>
        <w:rPr>
          <w:rFonts w:hint="eastAsia" w:cs="Times New Roman"/>
          <w:sz w:val="21"/>
          <w:szCs w:val="21"/>
          <w:lang w:val="en-US" w:eastAsia="zh-CN"/>
        </w:rPr>
        <w:t>产品工作电压、工作频率、工作电流、冲击耐压试验等性能满足GB/T 3797-2016要求，提供具备CMA、CNAS资质的检测机构出具的CMA、CNAS标识的检测报告，检测结论符合。</w:t>
      </w:r>
    </w:p>
    <w:p>
      <w:pPr>
        <w:pStyle w:val="86"/>
        <w:numPr>
          <w:ilvl w:val="0"/>
          <w:numId w:val="11"/>
        </w:numPr>
        <w:spacing w:beforeLines="0" w:after="0" w:afterLines="0" w:line="276" w:lineRule="auto"/>
        <w:ind w:left="0" w:firstLine="420"/>
        <w:rPr>
          <w:rFonts w:hint="eastAsia" w:cs="Times New Roman"/>
          <w:sz w:val="21"/>
          <w:szCs w:val="21"/>
          <w:lang w:val="en-US" w:eastAsia="zh-CN"/>
        </w:rPr>
      </w:pPr>
      <w:r>
        <w:rPr>
          <w:rFonts w:hint="eastAsia" w:cs="Times New Roman"/>
          <w:sz w:val="21"/>
          <w:szCs w:val="21"/>
          <w:lang w:val="en-US" w:eastAsia="zh-CN"/>
        </w:rPr>
        <w:t>产品具备耐高温性能，依据GB/T2423.2进行2H的35℃高温试验，产品外观无变化。提供具备CNAS资质的检测机构出具的CNAS标识的检测报告。</w:t>
      </w:r>
    </w:p>
    <w:p>
      <w:pPr>
        <w:pStyle w:val="86"/>
        <w:numPr>
          <w:ilvl w:val="0"/>
          <w:numId w:val="11"/>
        </w:numPr>
        <w:spacing w:beforeLines="0" w:after="0" w:afterLines="0" w:line="276" w:lineRule="auto"/>
        <w:ind w:left="0" w:firstLine="420"/>
        <w:rPr>
          <w:rFonts w:hint="eastAsia" w:cs="Times New Roman"/>
          <w:sz w:val="21"/>
          <w:szCs w:val="21"/>
          <w:lang w:val="en-US" w:eastAsia="zh-CN"/>
        </w:rPr>
      </w:pPr>
      <w:r>
        <w:rPr>
          <w:rFonts w:hint="eastAsia" w:cs="Times New Roman"/>
          <w:sz w:val="21"/>
          <w:szCs w:val="21"/>
          <w:lang w:val="en-US" w:eastAsia="zh-CN"/>
        </w:rPr>
        <w:t>产品能够释放等离子，依据ZD/19-2023对产品进行等离子体密度测试，在距离等离子发生器10cm的位置进行测试，等离子体密度测试数据结果不少于7组，任意位置数据均不低于1.22X1017m-3，提供具有CNAS资质的检测机构出具的CNAS标识的检测报告且报告中附产品照片。</w:t>
      </w:r>
    </w:p>
    <w:p>
      <w:pPr>
        <w:pStyle w:val="3"/>
        <w:spacing w:beforeLines="0" w:afterLines="0" w:line="276" w:lineRule="auto"/>
        <w:ind w:firstLine="0" w:firstLineChars="0"/>
        <w:rPr>
          <w:rFonts w:hint="eastAsia" w:ascii="宋体" w:hAnsi="宋体" w:eastAsia="宋体"/>
          <w:sz w:val="21"/>
          <w:szCs w:val="21"/>
        </w:rPr>
      </w:pPr>
      <w:r>
        <w:rPr>
          <w:rFonts w:hint="eastAsia" w:ascii="宋体" w:hAnsi="宋体" w:eastAsia="宋体"/>
          <w:sz w:val="21"/>
          <w:szCs w:val="21"/>
        </w:rPr>
        <w:t>（十）远程预警控制软件系统</w:t>
      </w:r>
    </w:p>
    <w:p>
      <w:pPr>
        <w:spacing w:beforeLines="0" w:afterLines="0" w:line="276" w:lineRule="auto"/>
        <w:ind w:firstLine="480"/>
        <w:rPr>
          <w:rFonts w:hint="eastAsia" w:ascii="宋体" w:hAnsi="宋体"/>
          <w:sz w:val="21"/>
          <w:szCs w:val="21"/>
        </w:rPr>
      </w:pPr>
      <w:r>
        <w:rPr>
          <w:rFonts w:hint="eastAsia" w:ascii="宋体" w:hAnsi="宋体"/>
          <w:sz w:val="21"/>
          <w:szCs w:val="21"/>
        </w:rPr>
        <w:t>配合中央控制塔使用，用于实验室空气处理系统所有数据的输入、读取、存储及控制的统筹计算。可根据预设的安全值范围进行监测，并提前预警提示等。</w:t>
      </w:r>
    </w:p>
    <w:p>
      <w:pPr>
        <w:numPr>
          <w:ilvl w:val="0"/>
          <w:numId w:val="12"/>
        </w:numPr>
        <w:spacing w:beforeLines="0" w:afterLines="0" w:line="276" w:lineRule="auto"/>
        <w:ind w:firstLine="420" w:firstLineChars="200"/>
        <w:jc w:val="left"/>
        <w:rPr>
          <w:rFonts w:hint="eastAsia" w:ascii="宋体" w:hAnsi="宋体"/>
          <w:sz w:val="21"/>
          <w:szCs w:val="21"/>
        </w:rPr>
      </w:pPr>
      <w:r>
        <w:rPr>
          <w:rFonts w:hint="eastAsia" w:ascii="宋体" w:hAnsi="宋体"/>
          <w:sz w:val="21"/>
          <w:szCs w:val="21"/>
        </w:rPr>
        <w:t>远程维保服务器巡检,及时发现和分析整个系统运行异常信息提交维保部门。</w:t>
      </w:r>
    </w:p>
    <w:p>
      <w:pPr>
        <w:numPr>
          <w:ilvl w:val="0"/>
          <w:numId w:val="12"/>
        </w:numPr>
        <w:spacing w:beforeLines="0" w:afterLines="0" w:line="276" w:lineRule="auto"/>
        <w:ind w:firstLine="420" w:firstLineChars="200"/>
        <w:jc w:val="left"/>
        <w:rPr>
          <w:rFonts w:hint="eastAsia" w:ascii="宋体" w:hAnsi="宋体"/>
          <w:sz w:val="21"/>
          <w:szCs w:val="21"/>
        </w:rPr>
      </w:pPr>
      <w:r>
        <w:rPr>
          <w:rFonts w:hint="eastAsia" w:ascii="宋体" w:hAnsi="宋体"/>
          <w:sz w:val="21"/>
          <w:szCs w:val="21"/>
        </w:rPr>
        <w:t>7×24小时GPRS值班电话报警，在关键设备故障时对指定手机进行无线反馈。</w:t>
      </w:r>
    </w:p>
    <w:p>
      <w:pPr>
        <w:numPr>
          <w:ilvl w:val="0"/>
          <w:numId w:val="12"/>
        </w:numPr>
        <w:spacing w:beforeLines="0" w:afterLines="0" w:line="276" w:lineRule="auto"/>
        <w:ind w:firstLine="420" w:firstLineChars="200"/>
        <w:jc w:val="left"/>
        <w:rPr>
          <w:rFonts w:hint="eastAsia" w:ascii="宋体" w:hAnsi="宋体"/>
          <w:sz w:val="21"/>
          <w:szCs w:val="21"/>
        </w:rPr>
      </w:pPr>
      <w:r>
        <w:rPr>
          <w:rFonts w:hint="eastAsia" w:ascii="宋体" w:hAnsi="宋体"/>
          <w:sz w:val="21"/>
          <w:szCs w:val="21"/>
        </w:rPr>
        <w:t>远程连接操控模块，在手机端及电脑端均可查看中枢质控柱中的数据，并可对整体系统进行远程控制。</w:t>
      </w:r>
    </w:p>
    <w:p>
      <w:pPr>
        <w:numPr>
          <w:ilvl w:val="0"/>
          <w:numId w:val="12"/>
        </w:numPr>
        <w:spacing w:beforeLines="0" w:afterLines="0" w:line="276" w:lineRule="auto"/>
        <w:ind w:firstLine="420" w:firstLineChars="200"/>
        <w:jc w:val="left"/>
        <w:rPr>
          <w:rFonts w:hint="eastAsia" w:ascii="宋体" w:hAnsi="宋体"/>
          <w:sz w:val="21"/>
          <w:szCs w:val="21"/>
        </w:rPr>
      </w:pPr>
      <w:r>
        <w:rPr>
          <w:rFonts w:hint="eastAsia" w:ascii="宋体" w:hAnsi="宋体"/>
          <w:sz w:val="21"/>
          <w:szCs w:val="21"/>
        </w:rPr>
        <w:t>提供“实验室远程环境监测数据信息管理系统软件”软件产品证书及软件功能检测报告复印件并加盖投标人公章。</w:t>
      </w:r>
    </w:p>
    <w:p>
      <w:pPr>
        <w:numPr>
          <w:ilvl w:val="0"/>
          <w:numId w:val="12"/>
        </w:numPr>
        <w:spacing w:beforeLines="0" w:afterLines="0" w:line="276" w:lineRule="auto"/>
        <w:ind w:firstLine="420" w:firstLineChars="200"/>
        <w:jc w:val="left"/>
        <w:rPr>
          <w:rFonts w:hint="eastAsia" w:ascii="宋体" w:hAnsi="宋体"/>
          <w:sz w:val="21"/>
          <w:szCs w:val="21"/>
        </w:rPr>
      </w:pPr>
      <w:r>
        <w:rPr>
          <w:rFonts w:hint="eastAsia" w:ascii="宋体" w:hAnsi="宋体"/>
          <w:sz w:val="21"/>
          <w:szCs w:val="21"/>
        </w:rPr>
        <w:t>提供“实验室管理系统软件”软件产品证书及软件功能检测报告复印件并加盖投标人公章。</w:t>
      </w:r>
    </w:p>
    <w:p>
      <w:pPr>
        <w:numPr>
          <w:ilvl w:val="0"/>
          <w:numId w:val="12"/>
        </w:numPr>
        <w:spacing w:beforeLines="0" w:afterLines="0" w:line="276" w:lineRule="auto"/>
        <w:ind w:firstLine="420" w:firstLineChars="200"/>
        <w:jc w:val="left"/>
        <w:rPr>
          <w:rFonts w:hint="eastAsia" w:ascii="宋体" w:hAnsi="宋体"/>
          <w:sz w:val="21"/>
          <w:szCs w:val="21"/>
        </w:rPr>
      </w:pPr>
      <w:r>
        <w:rPr>
          <w:rFonts w:hint="eastAsia" w:ascii="宋体" w:hAnsi="宋体"/>
          <w:sz w:val="21"/>
          <w:szCs w:val="21"/>
        </w:rPr>
        <w:t>提供“实验室设备远程监测报警系统软件”软件产品证书及软件功能检测报告复印件并加盖投标人公章。</w:t>
      </w:r>
    </w:p>
    <w:p>
      <w:pPr>
        <w:pStyle w:val="3"/>
        <w:spacing w:beforeLines="0" w:afterLines="0" w:line="276" w:lineRule="auto"/>
        <w:ind w:firstLine="0" w:firstLineChars="0"/>
        <w:rPr>
          <w:rFonts w:hint="eastAsia" w:ascii="宋体" w:hAnsi="宋体" w:eastAsia="宋体"/>
          <w:sz w:val="21"/>
          <w:szCs w:val="21"/>
        </w:rPr>
      </w:pPr>
      <w:r>
        <w:rPr>
          <w:rFonts w:hint="eastAsia" w:ascii="宋体" w:hAnsi="宋体" w:eastAsia="宋体"/>
          <w:sz w:val="21"/>
          <w:szCs w:val="21"/>
        </w:rPr>
        <w:t>（十一）远程均流布气终端</w:t>
      </w:r>
    </w:p>
    <w:p>
      <w:pPr>
        <w:spacing w:beforeLines="0" w:afterLines="0" w:line="276" w:lineRule="auto"/>
        <w:ind w:firstLine="480"/>
        <w:rPr>
          <w:rFonts w:hint="eastAsia" w:ascii="宋体" w:hAnsi="宋体"/>
          <w:sz w:val="21"/>
          <w:szCs w:val="21"/>
        </w:rPr>
      </w:pPr>
      <w:r>
        <w:rPr>
          <w:rFonts w:hint="eastAsia" w:ascii="宋体" w:hAnsi="宋体"/>
          <w:sz w:val="21"/>
          <w:szCs w:val="21"/>
        </w:rPr>
        <w:t>空气动力学专用设施。设计风量：300-600m³/h；一体模压耐火绝热高分子材质布气终端，无需贴保温材料，为确保产品使用过程中不产生有害物质，箱体不得使用胶水拼贴，不得使用金属箱体外贴保温材料；</w:t>
      </w:r>
    </w:p>
    <w:p>
      <w:pPr>
        <w:widowControl/>
        <w:spacing w:beforeLines="0" w:afterLines="0" w:line="276" w:lineRule="auto"/>
        <w:ind w:firstLine="480"/>
        <w:rPr>
          <w:rFonts w:hint="eastAsia" w:ascii="宋体" w:hAnsi="宋体"/>
          <w:sz w:val="21"/>
          <w:szCs w:val="21"/>
        </w:rPr>
      </w:pPr>
      <w:r>
        <w:rPr>
          <w:rFonts w:hint="eastAsia" w:ascii="宋体" w:hAnsi="宋体"/>
          <w:sz w:val="21"/>
          <w:szCs w:val="21"/>
        </w:rPr>
        <w:t>1、提供第三方出具的关于自然老化测试的耐候性试验的检测报告，检测结果应符合“连续监测三个月，涂层外观无明显变化”，检测报告内必须有产品图片，且报告必须具有CMA或CNAS标识。投标文件中提供检测报告复印件。</w:t>
      </w:r>
    </w:p>
    <w:p>
      <w:pPr>
        <w:widowControl/>
        <w:spacing w:beforeLines="0" w:afterLines="0" w:line="276" w:lineRule="auto"/>
        <w:ind w:firstLine="480"/>
        <w:rPr>
          <w:rFonts w:hint="eastAsia" w:ascii="宋体" w:hAnsi="宋体"/>
          <w:sz w:val="21"/>
          <w:szCs w:val="21"/>
        </w:rPr>
      </w:pPr>
      <w:r>
        <w:rPr>
          <w:rFonts w:hint="eastAsia" w:ascii="宋体" w:hAnsi="宋体"/>
          <w:sz w:val="21"/>
          <w:szCs w:val="21"/>
        </w:rPr>
        <w:t>2、提供第三方出具的检测报告，检测结果应符合“产品甲醛释放量为0，且不含 10大重金属(铅、镉、铬、汞、锑、砷、钡、硒、锰、锡等可迁移元素)”。且报告必须具有CMA或CNAS标识。投标文件中提供检测报告复印件。</w:t>
      </w:r>
    </w:p>
    <w:p>
      <w:pPr>
        <w:spacing w:beforeLines="0" w:afterLines="0" w:line="276" w:lineRule="auto"/>
        <w:ind w:firstLine="480"/>
        <w:rPr>
          <w:rFonts w:hint="eastAsia" w:ascii="宋体" w:hAnsi="宋体"/>
          <w:sz w:val="21"/>
          <w:szCs w:val="21"/>
        </w:rPr>
      </w:pPr>
      <w:r>
        <w:rPr>
          <w:rFonts w:hint="eastAsia" w:ascii="宋体" w:hAnsi="宋体"/>
          <w:sz w:val="21"/>
          <w:szCs w:val="21"/>
        </w:rPr>
        <w:t>3、产品具有一定的防腐蚀性能，依据GB/T 10125-2021，产品分别进行24H、48H、72H盐雾试验，表面无腐蚀迹象。提供具备CMA资质的检测机构出具的具有CMA标识的检测报告，报告中附产品检测前后对比照片，产品表面无腐蚀迹象。</w:t>
      </w:r>
    </w:p>
    <w:p>
      <w:pPr>
        <w:pStyle w:val="3"/>
        <w:spacing w:beforeLines="0" w:afterLines="0" w:line="276" w:lineRule="auto"/>
        <w:ind w:firstLine="472" w:firstLineChars="225"/>
        <w:rPr>
          <w:rFonts w:hint="eastAsia" w:ascii="宋体" w:hAnsi="宋体" w:eastAsia="宋体"/>
          <w:b w:val="0"/>
          <w:bCs/>
          <w:sz w:val="21"/>
          <w:szCs w:val="21"/>
        </w:rPr>
      </w:pPr>
      <w:r>
        <w:rPr>
          <w:rFonts w:hint="eastAsia" w:ascii="宋体" w:hAnsi="宋体" w:eastAsia="宋体"/>
          <w:b w:val="0"/>
          <w:bCs/>
          <w:sz w:val="21"/>
          <w:szCs w:val="21"/>
        </w:rPr>
        <w:t>4、产品具有优异的防腐蚀的性能，表面喷涂防腐蚀材料，并做相应的耐候处理；具备CMA或CNAS认证的第三方检测机构出具的根据GB/T 10125-2021实验方法，并按照GB/T6461-2002进行评级的检测报告，包含不小于1500h盐雾试验，检测结果无缺陷，保护等级≥9.5级，检测报告复印件加盖投标人公章。</w:t>
      </w:r>
    </w:p>
    <w:p>
      <w:pPr>
        <w:pStyle w:val="3"/>
        <w:spacing w:beforeLines="0" w:afterLines="0" w:line="276" w:lineRule="auto"/>
        <w:ind w:firstLine="472" w:firstLineChars="225"/>
        <w:rPr>
          <w:rFonts w:hint="eastAsia" w:ascii="宋体" w:hAnsi="宋体" w:eastAsia="宋体" w:cs="宋体"/>
          <w:b w:val="0"/>
          <w:bCs/>
          <w:sz w:val="21"/>
          <w:szCs w:val="21"/>
        </w:rPr>
      </w:pPr>
      <w:r>
        <w:rPr>
          <w:rFonts w:hint="eastAsia" w:ascii="宋体" w:hAnsi="宋体" w:eastAsia="宋体" w:cs="宋体"/>
          <w:b w:val="0"/>
          <w:bCs/>
          <w:sz w:val="21"/>
          <w:szCs w:val="21"/>
        </w:rPr>
        <w:t>5、产品表面喷涂防腐蚀材料，并做相应的覆盖层厚度测试；具备CMA或CNAS认证的第三方检测机构出具的根据GB/T 5237.3-2017和GB/T4957-2003检测的报告，包含不小于70um的覆盖层厚度，检测报告复印件加盖投标人公章。</w:t>
      </w:r>
    </w:p>
    <w:p>
      <w:pPr>
        <w:pStyle w:val="3"/>
        <w:spacing w:beforeLines="0" w:afterLines="0" w:line="276" w:lineRule="auto"/>
        <w:ind w:firstLine="472" w:firstLineChars="225"/>
        <w:rPr>
          <w:rFonts w:hint="eastAsia" w:ascii="宋体" w:hAnsi="宋体" w:eastAsia="宋体" w:cs="宋体"/>
          <w:b w:val="0"/>
          <w:bCs/>
          <w:sz w:val="21"/>
          <w:szCs w:val="21"/>
        </w:rPr>
      </w:pPr>
      <w:r>
        <w:rPr>
          <w:rFonts w:hint="eastAsia" w:ascii="宋体" w:hAnsi="宋体" w:eastAsia="宋体" w:cs="宋体"/>
          <w:b w:val="0"/>
          <w:bCs/>
          <w:sz w:val="21"/>
          <w:szCs w:val="21"/>
        </w:rPr>
        <w:t>6、产品具有优异的抗拉性能，并作相应的拉伸试验；具备CMA或CNAS认证的第三方检测机构出具的根据GB/T 228.1-2010检测的报告，包含抗拉伸强度Rm≥200MPa,规定塑性延伸强度Rp0.2≥80MPa，断后伸长率A50mm≥15%,检测报告复印件加盖投标人公章。</w:t>
      </w:r>
    </w:p>
    <w:p>
      <w:pPr>
        <w:pStyle w:val="3"/>
        <w:spacing w:beforeLines="0" w:afterLines="0" w:line="276" w:lineRule="auto"/>
        <w:ind w:firstLine="0" w:firstLineChars="0"/>
        <w:rPr>
          <w:rFonts w:hint="eastAsia" w:ascii="宋体" w:hAnsi="宋体" w:eastAsia="宋体" w:cs="Times New Roman"/>
          <w:sz w:val="21"/>
          <w:szCs w:val="21"/>
        </w:rPr>
      </w:pPr>
      <w:r>
        <w:rPr>
          <w:rFonts w:hint="eastAsia" w:ascii="宋体" w:hAnsi="宋体" w:eastAsia="宋体" w:cs="Times New Roman"/>
          <w:sz w:val="21"/>
          <w:szCs w:val="21"/>
        </w:rPr>
        <w:t>（十二）定向污气导吸装置</w:t>
      </w:r>
    </w:p>
    <w:p>
      <w:pPr>
        <w:spacing w:beforeLines="0" w:afterLines="0" w:line="276" w:lineRule="auto"/>
        <w:ind w:firstLine="480"/>
        <w:rPr>
          <w:rFonts w:hint="eastAsia" w:ascii="宋体" w:hAnsi="宋体" w:eastAsia="宋体" w:cs="宋体"/>
          <w:sz w:val="21"/>
          <w:szCs w:val="21"/>
        </w:rPr>
      </w:pPr>
      <w:r>
        <w:rPr>
          <w:rFonts w:hint="eastAsia" w:ascii="宋体" w:hAnsi="宋体" w:eastAsia="宋体" w:cs="宋体"/>
          <w:sz w:val="21"/>
          <w:szCs w:val="21"/>
        </w:rPr>
        <w:t>空气动力学专用设施，要求整体结构一次成模无接缝，表面做耐候处理。设计风量：300-600m³/h；风阻&lt;60Pa，水平安装。</w:t>
      </w:r>
    </w:p>
    <w:p>
      <w:pPr>
        <w:widowControl/>
        <w:spacing w:beforeLines="0" w:afterLines="0" w:line="276" w:lineRule="auto"/>
        <w:ind w:firstLine="480"/>
        <w:rPr>
          <w:rFonts w:hint="eastAsia" w:ascii="宋体" w:hAnsi="宋体"/>
          <w:sz w:val="21"/>
          <w:szCs w:val="21"/>
        </w:rPr>
      </w:pPr>
      <w:r>
        <w:rPr>
          <w:rFonts w:hint="eastAsia" w:ascii="宋体" w:hAnsi="宋体"/>
          <w:sz w:val="21"/>
          <w:szCs w:val="21"/>
        </w:rPr>
        <w:t>1、产品具有良好的空气动力学性能，整体结构一次成模无接缝，设计风量：300-600m³/h,风阻&lt;50Pa；依据通风空调风口JG/T 14-2010和空气分布器性能试验方法JG/T 20-1999,做5种不同风量下的静压损失和全压损失的数据测量，满足在各个风量下的静压损失和全压损失&lt;50Pa，需提供具备CMA或CNAS认证的第三方检测机构出具的检测报告复印件并加投标人盖公章。</w:t>
      </w:r>
    </w:p>
    <w:p>
      <w:pPr>
        <w:widowControl/>
        <w:spacing w:beforeLines="0" w:afterLines="0" w:line="276" w:lineRule="auto"/>
        <w:ind w:firstLine="480"/>
        <w:rPr>
          <w:rFonts w:hint="eastAsia" w:ascii="宋体" w:hAnsi="宋体"/>
          <w:sz w:val="21"/>
          <w:szCs w:val="21"/>
        </w:rPr>
      </w:pPr>
      <w:r>
        <w:rPr>
          <w:rFonts w:hint="eastAsia" w:ascii="宋体" w:hAnsi="宋体"/>
          <w:sz w:val="21"/>
          <w:szCs w:val="21"/>
        </w:rPr>
        <w:t>2、产品具有优异的防腐蚀的性能，表面进行阳极氧化处理，并做相应的耐候处理；具备CMA或CNAS认证的第三方检测机构出具的根据GB/T 10125-2021检测的报告，包含不小于72h盐雾试验，检测结果外观无变化，检测报告复印件加盖投标人公章。</w:t>
      </w:r>
    </w:p>
    <w:p>
      <w:pPr>
        <w:pStyle w:val="3"/>
        <w:spacing w:beforeLines="0" w:afterLines="0" w:line="276" w:lineRule="auto"/>
        <w:ind w:firstLine="0" w:firstLineChars="0"/>
        <w:rPr>
          <w:rFonts w:hint="eastAsia" w:ascii="宋体" w:hAnsi="宋体" w:eastAsia="宋体"/>
          <w:sz w:val="21"/>
          <w:szCs w:val="21"/>
        </w:rPr>
      </w:pPr>
      <w:r>
        <w:rPr>
          <w:rFonts w:hint="eastAsia" w:ascii="宋体" w:hAnsi="宋体" w:eastAsia="宋体"/>
          <w:sz w:val="21"/>
          <w:szCs w:val="21"/>
        </w:rPr>
        <w:t>（十三）离子氧异味处理装置</w:t>
      </w:r>
    </w:p>
    <w:p>
      <w:pPr>
        <w:pStyle w:val="9"/>
        <w:numPr>
          <w:ilvl w:val="0"/>
          <w:numId w:val="13"/>
        </w:numPr>
        <w:spacing w:beforeLines="0" w:afterLines="0" w:line="276" w:lineRule="auto"/>
        <w:ind w:firstLineChars="0"/>
        <w:rPr>
          <w:rFonts w:hint="eastAsia" w:ascii="宋体" w:hAnsi="宋体" w:eastAsia="宋体" w:cs="仿宋"/>
          <w:kern w:val="0"/>
          <w:sz w:val="21"/>
          <w:szCs w:val="21"/>
        </w:rPr>
      </w:pPr>
      <w:r>
        <w:rPr>
          <w:rFonts w:hint="eastAsia" w:ascii="宋体" w:hAnsi="宋体" w:eastAsia="宋体" w:cs="仿宋"/>
          <w:kern w:val="0"/>
          <w:sz w:val="21"/>
          <w:szCs w:val="21"/>
        </w:rPr>
        <w:t>本装置应用于实验室污染或异味气体向大气排放的处理。对有毒有害污染物具有良好的氧化分解和除味作用；且能有效控制细菌、病毒的交叉感染，达到消毒杀菌的目的。将甲醛、甲苯、氨、TVOC、硫化氢等有毒有害污染物氧化分解成无害的CO2和H2O；两小时内菌落总数去除率可达99.6%。确保向大气排放的气体浓度指标满足《大气污染物综合排放标准》GB16297-1996的要求。并可根据污染程度的不同以及不同的排放环境需求适配相应效力的产品。</w:t>
      </w:r>
    </w:p>
    <w:p>
      <w:pPr>
        <w:pStyle w:val="9"/>
        <w:numPr>
          <w:ilvl w:val="0"/>
          <w:numId w:val="13"/>
        </w:numPr>
        <w:spacing w:beforeLines="0" w:afterLines="0" w:line="276" w:lineRule="auto"/>
        <w:ind w:firstLineChars="0"/>
        <w:rPr>
          <w:rFonts w:hint="eastAsia" w:ascii="宋体" w:hAnsi="宋体" w:eastAsia="宋体" w:cs="仿宋"/>
          <w:kern w:val="0"/>
          <w:sz w:val="21"/>
          <w:szCs w:val="21"/>
        </w:rPr>
      </w:pPr>
      <w:r>
        <w:rPr>
          <w:rFonts w:hint="eastAsia" w:ascii="宋体" w:hAnsi="宋体" w:eastAsia="宋体" w:cs="仿宋"/>
          <w:kern w:val="0"/>
          <w:sz w:val="21"/>
          <w:szCs w:val="21"/>
        </w:rPr>
        <w:t>提供具备CMA或CNAS资质的第三方检测机构出具的检测报告复印件并加盖投标人公章，检测报告结果符合TVOC24小时去除率≥85%，甲苯24小时去除率≥90%，菌落总数2小时去除率≥99%，甲醛、氨、硫化氢24小时去除率≥99%。</w:t>
      </w:r>
    </w:p>
    <w:p>
      <w:pPr>
        <w:pStyle w:val="3"/>
        <w:spacing w:beforeLines="0" w:afterLines="0" w:line="276" w:lineRule="auto"/>
        <w:ind w:firstLine="0" w:firstLineChars="0"/>
        <w:rPr>
          <w:rFonts w:hint="eastAsia" w:ascii="宋体" w:hAnsi="宋体" w:eastAsia="宋体"/>
          <w:sz w:val="21"/>
          <w:szCs w:val="21"/>
        </w:rPr>
      </w:pPr>
      <w:r>
        <w:rPr>
          <w:rFonts w:hint="eastAsia" w:ascii="宋体" w:hAnsi="宋体" w:eastAsia="宋体"/>
          <w:sz w:val="21"/>
          <w:szCs w:val="21"/>
        </w:rPr>
        <w:t>（十四）取材台</w:t>
      </w:r>
    </w:p>
    <w:p>
      <w:pPr>
        <w:pStyle w:val="22"/>
        <w:spacing w:beforeLines="0" w:afterLines="0" w:line="276" w:lineRule="auto"/>
        <w:ind w:firstLine="420"/>
        <w:jc w:val="left"/>
        <w:rPr>
          <w:rFonts w:hint="eastAsia" w:ascii="宋体" w:hAnsi="宋体" w:eastAsia="宋体" w:cs="仿宋"/>
          <w:sz w:val="21"/>
          <w:szCs w:val="21"/>
        </w:rPr>
      </w:pPr>
      <w:r>
        <w:rPr>
          <w:rFonts w:hint="eastAsia" w:ascii="宋体" w:hAnsi="宋体" w:eastAsia="宋体" w:cs="仿宋"/>
          <w:sz w:val="21"/>
          <w:szCs w:val="21"/>
        </w:rPr>
        <w:t>1.尺寸：1800*800*2000。外形设计采用无背板开放式结构，通风排水采用下沉式水气分离结构。</w:t>
      </w:r>
    </w:p>
    <w:p>
      <w:pPr>
        <w:pStyle w:val="22"/>
        <w:spacing w:beforeLines="0" w:afterLines="0" w:line="276" w:lineRule="auto"/>
        <w:ind w:firstLine="420"/>
        <w:jc w:val="left"/>
        <w:rPr>
          <w:rFonts w:hint="eastAsia" w:ascii="宋体" w:hAnsi="宋体" w:eastAsia="宋体" w:cs="仿宋"/>
          <w:sz w:val="21"/>
          <w:szCs w:val="21"/>
        </w:rPr>
      </w:pPr>
      <w:r>
        <w:rPr>
          <w:rFonts w:hint="eastAsia" w:ascii="宋体" w:hAnsi="宋体" w:eastAsia="宋体" w:cs="仿宋"/>
          <w:sz w:val="21"/>
          <w:szCs w:val="21"/>
        </w:rPr>
        <w:t>2.材料采用整体优质S304不锈钢；台面S3316，厚度2.0mm。</w:t>
      </w:r>
    </w:p>
    <w:p>
      <w:pPr>
        <w:pStyle w:val="22"/>
        <w:spacing w:beforeLines="0" w:afterLines="0" w:line="276" w:lineRule="auto"/>
        <w:ind w:firstLine="420"/>
        <w:jc w:val="left"/>
        <w:rPr>
          <w:rFonts w:hint="eastAsia" w:ascii="宋体" w:hAnsi="宋体" w:eastAsia="宋体" w:cs="仿宋"/>
          <w:sz w:val="21"/>
          <w:szCs w:val="21"/>
        </w:rPr>
      </w:pPr>
      <w:r>
        <w:rPr>
          <w:rFonts w:hint="eastAsia" w:ascii="宋体" w:hAnsi="宋体" w:eastAsia="宋体" w:cs="仿宋"/>
          <w:sz w:val="21"/>
          <w:szCs w:val="21"/>
        </w:rPr>
        <w:t>3.新风层流控制系统，新风风风量600 m3/h，通过孔板布气装置送至工作人员呼吸区域，同时与排风形成“上送下排”的气流形式。</w:t>
      </w:r>
    </w:p>
    <w:p>
      <w:pPr>
        <w:pStyle w:val="22"/>
        <w:spacing w:beforeLines="0" w:afterLines="0" w:line="276" w:lineRule="auto"/>
        <w:ind w:firstLine="420"/>
        <w:jc w:val="left"/>
        <w:rPr>
          <w:rFonts w:hint="eastAsia" w:ascii="宋体" w:hAnsi="宋体" w:eastAsia="宋体" w:cs="仿宋"/>
          <w:sz w:val="21"/>
          <w:szCs w:val="21"/>
        </w:rPr>
      </w:pPr>
      <w:r>
        <w:rPr>
          <w:rFonts w:hint="eastAsia" w:ascii="宋体" w:hAnsi="宋体" w:eastAsia="宋体" w:cs="仿宋"/>
          <w:sz w:val="21"/>
          <w:szCs w:val="21"/>
        </w:rPr>
        <w:t>4.立体双面排风系统，排风量1200 m3/h。采用下排气系统，孔板导流式不锈钢排气孔，全压范围330-550pns，工作风噪&lt;45db,配优质不锈钢防腐风管；</w:t>
      </w:r>
    </w:p>
    <w:p>
      <w:pPr>
        <w:pStyle w:val="22"/>
        <w:spacing w:beforeLines="0" w:afterLines="0" w:line="276" w:lineRule="auto"/>
        <w:ind w:firstLine="420"/>
        <w:jc w:val="left"/>
        <w:rPr>
          <w:rFonts w:hint="eastAsia" w:ascii="宋体" w:hAnsi="宋体" w:eastAsia="宋体" w:cs="仿宋"/>
          <w:sz w:val="21"/>
          <w:szCs w:val="21"/>
        </w:rPr>
      </w:pPr>
      <w:r>
        <w:rPr>
          <w:rFonts w:hint="eastAsia" w:ascii="宋体" w:hAnsi="宋体" w:eastAsia="宋体" w:cs="仿宋"/>
          <w:sz w:val="21"/>
          <w:szCs w:val="21"/>
        </w:rPr>
        <w:t>5.包含其他基础配置：</w:t>
      </w:r>
    </w:p>
    <w:p>
      <w:pPr>
        <w:pStyle w:val="22"/>
        <w:spacing w:beforeLines="0" w:afterLines="0" w:line="276" w:lineRule="auto"/>
        <w:ind w:firstLine="420"/>
        <w:jc w:val="left"/>
        <w:rPr>
          <w:rFonts w:hint="eastAsia" w:ascii="宋体" w:hAnsi="宋体" w:eastAsia="宋体" w:cs="仿宋"/>
          <w:sz w:val="21"/>
          <w:szCs w:val="21"/>
        </w:rPr>
      </w:pPr>
      <w:r>
        <w:rPr>
          <w:rFonts w:hint="eastAsia" w:ascii="宋体" w:hAnsi="宋体" w:eastAsia="宋体" w:cs="仿宋"/>
          <w:sz w:val="21"/>
          <w:szCs w:val="21"/>
        </w:rPr>
        <w:t>（1）新风风速指示仪  1套</w:t>
      </w:r>
    </w:p>
    <w:p>
      <w:pPr>
        <w:pStyle w:val="22"/>
        <w:spacing w:beforeLines="0" w:afterLines="0" w:line="276" w:lineRule="auto"/>
        <w:ind w:firstLine="420"/>
        <w:jc w:val="left"/>
        <w:rPr>
          <w:rFonts w:hint="eastAsia" w:ascii="宋体" w:hAnsi="宋体" w:eastAsia="宋体" w:cs="仿宋"/>
          <w:sz w:val="21"/>
          <w:szCs w:val="21"/>
        </w:rPr>
      </w:pPr>
      <w:r>
        <w:rPr>
          <w:rFonts w:hint="eastAsia" w:ascii="宋体" w:hAnsi="宋体" w:eastAsia="宋体" w:cs="仿宋"/>
          <w:sz w:val="21"/>
          <w:szCs w:val="21"/>
        </w:rPr>
        <w:t>（2）电动管路粉碎机    1套</w:t>
      </w:r>
    </w:p>
    <w:p>
      <w:pPr>
        <w:pStyle w:val="22"/>
        <w:spacing w:beforeLines="0" w:afterLines="0" w:line="276" w:lineRule="auto"/>
        <w:ind w:firstLine="420"/>
        <w:jc w:val="left"/>
        <w:rPr>
          <w:rFonts w:hint="eastAsia" w:ascii="宋体" w:hAnsi="宋体" w:eastAsia="宋体" w:cs="仿宋"/>
          <w:sz w:val="21"/>
          <w:szCs w:val="21"/>
        </w:rPr>
      </w:pPr>
      <w:r>
        <w:rPr>
          <w:rFonts w:hint="eastAsia" w:ascii="宋体" w:hAnsi="宋体" w:eastAsia="宋体" w:cs="仿宋"/>
          <w:sz w:val="21"/>
          <w:szCs w:val="21"/>
        </w:rPr>
        <w:t>（3）折叠水龙头    1个</w:t>
      </w:r>
    </w:p>
    <w:p>
      <w:pPr>
        <w:pStyle w:val="22"/>
        <w:spacing w:beforeLines="0" w:afterLines="0" w:line="276" w:lineRule="auto"/>
        <w:ind w:firstLine="420"/>
        <w:jc w:val="left"/>
        <w:rPr>
          <w:rFonts w:hint="eastAsia" w:ascii="宋体" w:hAnsi="宋体" w:eastAsia="宋体" w:cs="仿宋"/>
          <w:sz w:val="21"/>
          <w:szCs w:val="21"/>
        </w:rPr>
      </w:pPr>
      <w:r>
        <w:rPr>
          <w:rFonts w:hint="eastAsia" w:ascii="宋体" w:hAnsi="宋体" w:eastAsia="宋体" w:cs="仿宋"/>
          <w:sz w:val="21"/>
          <w:szCs w:val="21"/>
        </w:rPr>
        <w:t>（4）抽拉花洒龙头      1个</w:t>
      </w:r>
    </w:p>
    <w:p>
      <w:pPr>
        <w:pStyle w:val="22"/>
        <w:spacing w:beforeLines="0" w:afterLines="0" w:line="276" w:lineRule="auto"/>
        <w:ind w:firstLine="420"/>
        <w:jc w:val="left"/>
        <w:rPr>
          <w:rFonts w:hint="eastAsia" w:ascii="宋体" w:hAnsi="宋体" w:eastAsia="宋体" w:cs="仿宋"/>
          <w:sz w:val="21"/>
          <w:szCs w:val="21"/>
        </w:rPr>
      </w:pPr>
      <w:r>
        <w:rPr>
          <w:rFonts w:hint="eastAsia" w:ascii="宋体" w:hAnsi="宋体" w:eastAsia="宋体" w:cs="仿宋"/>
          <w:sz w:val="21"/>
          <w:szCs w:val="21"/>
        </w:rPr>
        <w:t>（5）嵌入式照明光源1套</w:t>
      </w:r>
    </w:p>
    <w:p>
      <w:pPr>
        <w:pStyle w:val="22"/>
        <w:spacing w:beforeLines="0" w:afterLines="0" w:line="276" w:lineRule="auto"/>
        <w:ind w:firstLine="420"/>
        <w:jc w:val="left"/>
        <w:rPr>
          <w:rFonts w:hint="eastAsia" w:ascii="宋体" w:hAnsi="宋体" w:eastAsia="宋体" w:cs="仿宋"/>
          <w:sz w:val="21"/>
          <w:szCs w:val="21"/>
        </w:rPr>
      </w:pPr>
      <w:r>
        <w:rPr>
          <w:rFonts w:hint="eastAsia" w:ascii="宋体" w:hAnsi="宋体" w:eastAsia="宋体" w:cs="仿宋"/>
          <w:sz w:val="21"/>
          <w:szCs w:val="21"/>
        </w:rPr>
        <w:t>（6）优质刻度取材板     1块</w:t>
      </w:r>
    </w:p>
    <w:p>
      <w:pPr>
        <w:pStyle w:val="22"/>
        <w:spacing w:beforeLines="0" w:afterLines="0" w:line="276" w:lineRule="auto"/>
        <w:ind w:firstLine="420"/>
        <w:jc w:val="left"/>
        <w:rPr>
          <w:rFonts w:hint="eastAsia" w:ascii="宋体" w:hAnsi="宋体" w:eastAsia="宋体" w:cs="仿宋"/>
          <w:sz w:val="21"/>
          <w:szCs w:val="21"/>
        </w:rPr>
      </w:pPr>
      <w:r>
        <w:rPr>
          <w:rFonts w:hint="eastAsia" w:ascii="宋体" w:hAnsi="宋体" w:eastAsia="宋体" w:cs="仿宋"/>
          <w:sz w:val="21"/>
          <w:szCs w:val="21"/>
        </w:rPr>
        <w:t>（7）防水电源插座       1个</w:t>
      </w:r>
    </w:p>
    <w:p>
      <w:pPr>
        <w:pStyle w:val="22"/>
        <w:spacing w:beforeLines="0" w:afterLines="0" w:line="276" w:lineRule="auto"/>
        <w:ind w:firstLine="420"/>
        <w:jc w:val="left"/>
        <w:rPr>
          <w:rFonts w:hint="eastAsia" w:ascii="宋体" w:hAnsi="宋体" w:eastAsia="宋体" w:cs="仿宋"/>
          <w:sz w:val="21"/>
          <w:szCs w:val="21"/>
        </w:rPr>
      </w:pPr>
      <w:r>
        <w:rPr>
          <w:rFonts w:hint="eastAsia" w:ascii="宋体" w:hAnsi="宋体" w:eastAsia="宋体" w:cs="仿宋"/>
          <w:sz w:val="21"/>
          <w:szCs w:val="21"/>
        </w:rPr>
        <w:t>（8）优质电控系统       1套</w:t>
      </w:r>
    </w:p>
    <w:p>
      <w:pPr>
        <w:pStyle w:val="22"/>
        <w:spacing w:beforeLines="0" w:afterLines="0" w:line="276" w:lineRule="auto"/>
        <w:ind w:firstLine="420"/>
        <w:jc w:val="left"/>
        <w:rPr>
          <w:rFonts w:hint="eastAsia" w:ascii="宋体" w:hAnsi="宋体" w:eastAsia="宋体" w:cs="仿宋"/>
          <w:sz w:val="21"/>
          <w:szCs w:val="21"/>
        </w:rPr>
      </w:pPr>
      <w:r>
        <w:rPr>
          <w:rFonts w:hint="eastAsia" w:ascii="宋体" w:hAnsi="宋体" w:eastAsia="宋体" w:cs="仿宋"/>
          <w:sz w:val="21"/>
          <w:szCs w:val="21"/>
        </w:rPr>
        <w:t>（9）定时启停紫外线消毒 1套</w:t>
      </w:r>
    </w:p>
    <w:p>
      <w:pPr>
        <w:pStyle w:val="22"/>
        <w:spacing w:beforeLines="0" w:afterLines="0" w:line="276" w:lineRule="auto"/>
        <w:ind w:firstLine="420"/>
        <w:jc w:val="left"/>
        <w:rPr>
          <w:rFonts w:hint="eastAsia" w:ascii="宋体" w:hAnsi="宋体" w:eastAsia="宋体" w:cs="仿宋"/>
          <w:sz w:val="21"/>
          <w:szCs w:val="21"/>
        </w:rPr>
      </w:pPr>
      <w:r>
        <w:rPr>
          <w:rFonts w:hint="eastAsia" w:ascii="宋体" w:hAnsi="宋体" w:eastAsia="宋体" w:cs="仿宋"/>
          <w:sz w:val="21"/>
          <w:szCs w:val="21"/>
        </w:rPr>
        <w:t xml:space="preserve">（10）热水器     1台 选配    </w:t>
      </w:r>
    </w:p>
    <w:p>
      <w:pPr>
        <w:pStyle w:val="22"/>
        <w:spacing w:beforeLines="0" w:afterLines="0" w:line="276" w:lineRule="auto"/>
        <w:ind w:firstLine="420"/>
        <w:jc w:val="left"/>
        <w:rPr>
          <w:rFonts w:hint="eastAsia" w:ascii="宋体" w:hAnsi="宋体" w:eastAsia="宋体" w:cs="仿宋"/>
          <w:sz w:val="21"/>
          <w:szCs w:val="21"/>
        </w:rPr>
      </w:pPr>
      <w:r>
        <w:rPr>
          <w:rFonts w:hint="eastAsia" w:ascii="宋体" w:hAnsi="宋体" w:eastAsia="宋体" w:cs="仿宋"/>
          <w:sz w:val="21"/>
          <w:szCs w:val="21"/>
        </w:rPr>
        <w:t xml:space="preserve">（11）液晶显示屏支架 1个 </w:t>
      </w:r>
    </w:p>
    <w:p>
      <w:pPr>
        <w:pStyle w:val="3"/>
        <w:spacing w:beforeLines="0" w:afterLines="0" w:line="276" w:lineRule="auto"/>
        <w:ind w:firstLine="0" w:firstLineChars="0"/>
        <w:rPr>
          <w:rFonts w:hint="eastAsia" w:ascii="宋体" w:hAnsi="宋体" w:eastAsia="宋体"/>
          <w:sz w:val="21"/>
          <w:szCs w:val="21"/>
        </w:rPr>
      </w:pPr>
      <w:r>
        <w:rPr>
          <w:rFonts w:hint="eastAsia" w:ascii="宋体" w:hAnsi="宋体" w:eastAsia="宋体"/>
          <w:sz w:val="21"/>
          <w:szCs w:val="21"/>
        </w:rPr>
        <w:t>（十五）通风标本柜</w:t>
      </w:r>
    </w:p>
    <w:p>
      <w:pPr>
        <w:pStyle w:val="9"/>
        <w:spacing w:beforeLines="0" w:afterLines="0" w:line="276" w:lineRule="auto"/>
        <w:ind w:firstLine="420"/>
        <w:rPr>
          <w:rFonts w:hint="eastAsia" w:ascii="宋体" w:hAnsi="宋体" w:eastAsia="宋体" w:cs="仿宋"/>
          <w:kern w:val="1"/>
          <w:sz w:val="21"/>
          <w:szCs w:val="21"/>
        </w:rPr>
      </w:pPr>
      <w:r>
        <w:rPr>
          <w:rFonts w:hint="eastAsia" w:ascii="宋体" w:hAnsi="宋体" w:cs="仿宋"/>
          <w:kern w:val="1"/>
          <w:sz w:val="21"/>
          <w:szCs w:val="21"/>
        </w:rPr>
        <w:t>自带排风功能，风量300cmh以上，四层四门，台体为316不锈钢，800*600*2000mm，整体结构为全不锈钢</w:t>
      </w:r>
      <w:r>
        <w:rPr>
          <w:rFonts w:hint="eastAsia" w:ascii="宋体" w:hAnsi="宋体" w:eastAsia="宋体" w:cs="仿宋"/>
          <w:kern w:val="1"/>
          <w:sz w:val="21"/>
          <w:szCs w:val="21"/>
        </w:rPr>
        <w:t>制作。内部区域：隔板为全不锈钢板1.0mm厚多空隔板，能确保柜体内部风量正常运转，且具有很强的承重性。铰链为病理实验室专用防腐铰链。柜体结构：柜体整体结构采用单门隔断式设计能够有效的避免取放标本时有毒气体的外泄确保标本柜处于一定的负压状态，简洁美观，结构坚固耐用，表面光滑易清洁，含聚丙烯塑料一体成型专用标本盒10只。（其中容量为11升的4只、22升的6只）</w:t>
      </w:r>
    </w:p>
    <w:p>
      <w:pPr>
        <w:pStyle w:val="3"/>
        <w:spacing w:beforeLines="0" w:afterLines="0" w:line="276" w:lineRule="auto"/>
        <w:ind w:firstLine="0" w:firstLineChars="0"/>
        <w:rPr>
          <w:rFonts w:hint="eastAsia" w:ascii="宋体" w:hAnsi="宋体" w:eastAsia="宋体"/>
          <w:sz w:val="21"/>
          <w:szCs w:val="21"/>
        </w:rPr>
      </w:pPr>
      <w:r>
        <w:rPr>
          <w:rFonts w:hint="eastAsia" w:ascii="宋体" w:hAnsi="宋体" w:eastAsia="宋体"/>
          <w:sz w:val="21"/>
          <w:szCs w:val="21"/>
        </w:rPr>
        <w:t>（十六）通风柜</w:t>
      </w:r>
    </w:p>
    <w:p>
      <w:pPr>
        <w:spacing w:beforeLines="0" w:afterLines="0" w:line="276" w:lineRule="auto"/>
        <w:ind w:left="240"/>
        <w:rPr>
          <w:rFonts w:hint="eastAsia" w:ascii="宋体" w:hAnsi="宋体" w:cs="仿宋"/>
          <w:b/>
          <w:kern w:val="0"/>
          <w:sz w:val="21"/>
          <w:szCs w:val="21"/>
        </w:rPr>
      </w:pPr>
      <w:r>
        <w:rPr>
          <w:rFonts w:hint="eastAsia" w:ascii="宋体" w:hAnsi="宋体" w:cs="仿宋"/>
          <w:b/>
          <w:kern w:val="0"/>
          <w:sz w:val="21"/>
          <w:szCs w:val="21"/>
        </w:rPr>
        <w:t>台式通风柜</w:t>
      </w:r>
    </w:p>
    <w:p>
      <w:pPr>
        <w:spacing w:beforeLines="0" w:afterLines="0" w:line="276" w:lineRule="auto"/>
        <w:ind w:firstLine="480"/>
        <w:rPr>
          <w:rFonts w:hint="eastAsia" w:ascii="宋体" w:hAnsi="宋体"/>
          <w:sz w:val="21"/>
          <w:szCs w:val="21"/>
        </w:rPr>
      </w:pPr>
      <w:r>
        <w:rPr>
          <w:rFonts w:hint="eastAsia" w:ascii="宋体" w:hAnsi="宋体"/>
          <w:sz w:val="21"/>
          <w:szCs w:val="21"/>
        </w:rPr>
        <w:t>结构组合：采用三段组合式柜体，上部柜体（通风柜），中间（操作台面），下部柜体（内含单侧独立抽气式组成柜及另侧独立水、电、气体管线系统容纳柜设计，风机控制采用液晶显示控制。</w:t>
      </w:r>
    </w:p>
    <w:p>
      <w:pPr>
        <w:numPr>
          <w:ilvl w:val="0"/>
          <w:numId w:val="14"/>
        </w:numPr>
        <w:spacing w:beforeLines="0" w:afterLines="0" w:line="276" w:lineRule="auto"/>
        <w:ind w:firstLine="420" w:firstLineChars="200"/>
        <w:jc w:val="left"/>
        <w:rPr>
          <w:rFonts w:hint="eastAsia" w:ascii="宋体" w:hAnsi="宋体"/>
          <w:sz w:val="21"/>
          <w:szCs w:val="21"/>
        </w:rPr>
      </w:pPr>
      <w:r>
        <w:rPr>
          <w:rFonts w:hint="eastAsia" w:ascii="宋体" w:hAnsi="宋体"/>
          <w:sz w:val="21"/>
          <w:szCs w:val="21"/>
        </w:rPr>
        <w:t>外壳：采用厚1.0mm（含）以上钢板冲压成型制作，表面经耐酸碱EPOXY粉体烤漆涂装处理。</w:t>
      </w:r>
    </w:p>
    <w:p>
      <w:pPr>
        <w:numPr>
          <w:ilvl w:val="0"/>
          <w:numId w:val="14"/>
        </w:numPr>
        <w:spacing w:beforeLines="0" w:afterLines="0" w:line="276" w:lineRule="auto"/>
        <w:ind w:firstLine="420" w:firstLineChars="200"/>
        <w:jc w:val="left"/>
        <w:rPr>
          <w:rFonts w:hint="eastAsia" w:ascii="宋体" w:hAnsi="宋体"/>
          <w:sz w:val="21"/>
          <w:szCs w:val="21"/>
        </w:rPr>
      </w:pPr>
      <w:r>
        <w:rPr>
          <w:rFonts w:hint="eastAsia" w:ascii="宋体" w:hAnsi="宋体"/>
          <w:sz w:val="21"/>
          <w:szCs w:val="21"/>
        </w:rPr>
        <w:t>内壳：采用进口耐酸碱、耐高温的抗倍特板制作。</w:t>
      </w:r>
    </w:p>
    <w:p>
      <w:pPr>
        <w:numPr>
          <w:ilvl w:val="0"/>
          <w:numId w:val="14"/>
        </w:numPr>
        <w:spacing w:beforeLines="0" w:afterLines="0" w:line="276" w:lineRule="auto"/>
        <w:ind w:firstLine="420" w:firstLineChars="200"/>
        <w:jc w:val="left"/>
        <w:rPr>
          <w:rFonts w:hint="eastAsia" w:ascii="宋体" w:hAnsi="宋体"/>
          <w:sz w:val="21"/>
          <w:szCs w:val="21"/>
        </w:rPr>
      </w:pPr>
      <w:r>
        <w:rPr>
          <w:rFonts w:hint="eastAsia" w:ascii="宋体" w:hAnsi="宋体"/>
          <w:sz w:val="21"/>
          <w:szCs w:val="21"/>
        </w:rPr>
        <w:t>台面：采用12.7mm厚实芯理化板台面，耐腐蚀、耐酸碱，耐磨，抗老化。</w:t>
      </w:r>
    </w:p>
    <w:p>
      <w:pPr>
        <w:numPr>
          <w:ilvl w:val="0"/>
          <w:numId w:val="14"/>
        </w:numPr>
        <w:spacing w:beforeLines="0" w:afterLines="0" w:line="276" w:lineRule="auto"/>
        <w:ind w:firstLine="420" w:firstLineChars="200"/>
        <w:jc w:val="left"/>
        <w:rPr>
          <w:rFonts w:hint="eastAsia" w:ascii="宋体" w:hAnsi="宋体"/>
          <w:sz w:val="21"/>
          <w:szCs w:val="21"/>
        </w:rPr>
      </w:pPr>
      <w:r>
        <w:rPr>
          <w:rFonts w:hint="eastAsia" w:ascii="宋体" w:hAnsi="宋体"/>
          <w:sz w:val="21"/>
          <w:szCs w:val="21"/>
        </w:rPr>
        <w:t>照明：采用30W日光灯，灯座采用冷轧钢板制作，并设有5mm厚磨沙玻璃。</w:t>
      </w:r>
    </w:p>
    <w:p>
      <w:pPr>
        <w:numPr>
          <w:ilvl w:val="0"/>
          <w:numId w:val="14"/>
        </w:numPr>
        <w:spacing w:beforeLines="0" w:afterLines="0" w:line="276" w:lineRule="auto"/>
        <w:ind w:firstLine="420" w:firstLineChars="200"/>
        <w:jc w:val="left"/>
        <w:rPr>
          <w:rFonts w:hint="eastAsia" w:ascii="宋体" w:hAnsi="宋体"/>
          <w:sz w:val="21"/>
          <w:szCs w:val="21"/>
        </w:rPr>
      </w:pPr>
      <w:r>
        <w:rPr>
          <w:rFonts w:hint="eastAsia" w:ascii="宋体" w:hAnsi="宋体"/>
          <w:sz w:val="21"/>
          <w:szCs w:val="21"/>
        </w:rPr>
        <w:t>拉手：采用SUS304不锈钢亚光方型拉手。</w:t>
      </w:r>
    </w:p>
    <w:p>
      <w:pPr>
        <w:numPr>
          <w:ilvl w:val="0"/>
          <w:numId w:val="14"/>
        </w:numPr>
        <w:spacing w:beforeLines="0" w:afterLines="0" w:line="276" w:lineRule="auto"/>
        <w:ind w:firstLine="420" w:firstLineChars="200"/>
        <w:jc w:val="left"/>
        <w:rPr>
          <w:rFonts w:hint="eastAsia" w:ascii="宋体" w:hAnsi="宋体"/>
          <w:sz w:val="21"/>
          <w:szCs w:val="21"/>
        </w:rPr>
      </w:pPr>
      <w:r>
        <w:rPr>
          <w:rFonts w:hint="eastAsia" w:ascii="宋体" w:hAnsi="宋体"/>
          <w:sz w:val="21"/>
          <w:szCs w:val="21"/>
        </w:rPr>
        <w:t>气流板：采用6mm厚抗倍特板经环氧树脂静电喷涂，安装位置与角度需使排气分布均匀，无死角，在标准状况下，导流板上方与中、下方出风口排风量比例各约50±10%，以确保不同比重之气体均能有效排除，另并具手动可调排风量比例设计，可提高中、下方出风口排风量比例至80%以上。</w:t>
      </w:r>
    </w:p>
    <w:p>
      <w:pPr>
        <w:numPr>
          <w:ilvl w:val="0"/>
          <w:numId w:val="14"/>
        </w:numPr>
        <w:spacing w:beforeLines="0" w:afterLines="0" w:line="276" w:lineRule="auto"/>
        <w:ind w:firstLine="420" w:firstLineChars="200"/>
        <w:jc w:val="left"/>
        <w:rPr>
          <w:rFonts w:hint="eastAsia" w:ascii="宋体" w:hAnsi="宋体"/>
          <w:sz w:val="21"/>
          <w:szCs w:val="21"/>
        </w:rPr>
      </w:pPr>
      <w:r>
        <w:rPr>
          <w:rFonts w:hint="eastAsia" w:ascii="宋体" w:hAnsi="宋体"/>
          <w:sz w:val="21"/>
          <w:szCs w:val="21"/>
        </w:rPr>
        <w:t>化验水斗：PP制作，耐酸碱一体成型小水杯。</w:t>
      </w:r>
    </w:p>
    <w:p>
      <w:pPr>
        <w:numPr>
          <w:ilvl w:val="0"/>
          <w:numId w:val="14"/>
        </w:numPr>
        <w:spacing w:beforeLines="0" w:afterLines="0" w:line="276" w:lineRule="auto"/>
        <w:ind w:firstLine="420" w:firstLineChars="200"/>
        <w:jc w:val="left"/>
        <w:rPr>
          <w:rFonts w:hint="eastAsia" w:ascii="宋体" w:hAnsi="宋体"/>
          <w:sz w:val="21"/>
          <w:szCs w:val="21"/>
        </w:rPr>
      </w:pPr>
      <w:r>
        <w:rPr>
          <w:rFonts w:hint="eastAsia" w:ascii="宋体" w:hAnsi="宋体"/>
          <w:sz w:val="21"/>
          <w:szCs w:val="21"/>
        </w:rPr>
        <w:t>化验水咀：品牌遥控水阀，实验室专用单口烤漆水咀。</w:t>
      </w:r>
    </w:p>
    <w:p>
      <w:pPr>
        <w:numPr>
          <w:ilvl w:val="0"/>
          <w:numId w:val="14"/>
        </w:numPr>
        <w:spacing w:beforeLines="0" w:afterLines="0" w:line="276" w:lineRule="auto"/>
        <w:ind w:firstLine="420" w:firstLineChars="200"/>
        <w:jc w:val="left"/>
        <w:rPr>
          <w:rFonts w:hint="eastAsia" w:ascii="宋体" w:hAnsi="宋体"/>
          <w:sz w:val="21"/>
          <w:szCs w:val="21"/>
        </w:rPr>
      </w:pPr>
      <w:r>
        <w:rPr>
          <w:rFonts w:hint="eastAsia" w:ascii="宋体" w:hAnsi="宋体"/>
          <w:sz w:val="21"/>
          <w:szCs w:val="21"/>
        </w:rPr>
        <w:t>窗口：采用6mm厚的钢化防暴玻璃。内部采用垂体平衡装置，可以停留在上下任何位置。</w:t>
      </w:r>
    </w:p>
    <w:p>
      <w:pPr>
        <w:numPr>
          <w:ilvl w:val="0"/>
          <w:numId w:val="14"/>
        </w:numPr>
        <w:spacing w:beforeLines="0" w:afterLines="0" w:line="276" w:lineRule="auto"/>
        <w:ind w:firstLine="420" w:firstLineChars="200"/>
        <w:jc w:val="left"/>
        <w:rPr>
          <w:rFonts w:hint="eastAsia" w:ascii="宋体" w:hAnsi="宋体"/>
          <w:sz w:val="21"/>
          <w:szCs w:val="21"/>
        </w:rPr>
      </w:pPr>
      <w:r>
        <w:rPr>
          <w:rFonts w:hint="eastAsia" w:ascii="宋体" w:hAnsi="宋体"/>
          <w:sz w:val="21"/>
          <w:szCs w:val="21"/>
        </w:rPr>
        <w:t>柜体操作门上、下开启高度： 600～700mm。</w:t>
      </w:r>
    </w:p>
    <w:p>
      <w:pPr>
        <w:numPr>
          <w:ilvl w:val="0"/>
          <w:numId w:val="14"/>
        </w:numPr>
        <w:spacing w:beforeLines="0" w:afterLines="0" w:line="276" w:lineRule="auto"/>
        <w:ind w:firstLine="420" w:firstLineChars="200"/>
        <w:jc w:val="left"/>
        <w:rPr>
          <w:rFonts w:hint="eastAsia" w:ascii="宋体" w:hAnsi="宋体"/>
          <w:sz w:val="21"/>
          <w:szCs w:val="21"/>
        </w:rPr>
      </w:pPr>
      <w:r>
        <w:rPr>
          <w:rFonts w:hint="eastAsia" w:ascii="宋体" w:hAnsi="宋体"/>
          <w:sz w:val="21"/>
          <w:szCs w:val="21"/>
        </w:rPr>
        <w:t>工作面风速： 0.3～0.8m/s，电动风阀控制，可根据风量需求自行调节风速。</w:t>
      </w:r>
    </w:p>
    <w:p>
      <w:pPr>
        <w:numPr>
          <w:ilvl w:val="0"/>
          <w:numId w:val="14"/>
        </w:numPr>
        <w:spacing w:beforeLines="0" w:afterLines="0" w:line="276" w:lineRule="auto"/>
        <w:ind w:firstLine="420" w:firstLineChars="200"/>
        <w:jc w:val="left"/>
        <w:rPr>
          <w:rFonts w:hint="eastAsia" w:ascii="宋体" w:hAnsi="宋体"/>
          <w:sz w:val="21"/>
          <w:szCs w:val="21"/>
        </w:rPr>
      </w:pPr>
      <w:r>
        <w:rPr>
          <w:rFonts w:hint="eastAsia" w:ascii="宋体" w:hAnsi="宋体"/>
          <w:sz w:val="21"/>
          <w:szCs w:val="21"/>
        </w:rPr>
        <w:t>排风量： 1080～2000m3/h。</w:t>
      </w:r>
    </w:p>
    <w:p>
      <w:pPr>
        <w:numPr>
          <w:ilvl w:val="0"/>
          <w:numId w:val="14"/>
        </w:numPr>
        <w:spacing w:beforeLines="0" w:afterLines="0" w:line="276" w:lineRule="auto"/>
        <w:ind w:firstLine="420" w:firstLineChars="200"/>
        <w:jc w:val="left"/>
        <w:rPr>
          <w:rFonts w:hint="eastAsia" w:ascii="宋体" w:hAnsi="宋体"/>
          <w:sz w:val="21"/>
          <w:szCs w:val="21"/>
        </w:rPr>
      </w:pPr>
      <w:r>
        <w:rPr>
          <w:rFonts w:hint="eastAsia" w:ascii="宋体" w:hAnsi="宋体"/>
          <w:sz w:val="21"/>
          <w:szCs w:val="21"/>
        </w:rPr>
        <w:t>工作电压： AC220V～380V。</w:t>
      </w:r>
    </w:p>
    <w:p>
      <w:pPr>
        <w:numPr>
          <w:ilvl w:val="0"/>
          <w:numId w:val="14"/>
        </w:numPr>
        <w:spacing w:beforeLines="0" w:afterLines="0" w:line="276" w:lineRule="auto"/>
        <w:ind w:firstLine="420" w:firstLineChars="200"/>
        <w:jc w:val="left"/>
        <w:rPr>
          <w:rFonts w:hint="eastAsia" w:ascii="宋体" w:hAnsi="宋体"/>
          <w:sz w:val="21"/>
          <w:szCs w:val="21"/>
        </w:rPr>
      </w:pPr>
      <w:r>
        <w:rPr>
          <w:rFonts w:hint="eastAsia" w:ascii="宋体" w:hAnsi="宋体"/>
          <w:sz w:val="21"/>
          <w:szCs w:val="21"/>
        </w:rPr>
        <w:t>风机电机功率：0.2~4KW。（根据实际情况选配）</w:t>
      </w:r>
    </w:p>
    <w:p>
      <w:pPr>
        <w:numPr>
          <w:ilvl w:val="0"/>
          <w:numId w:val="14"/>
        </w:numPr>
        <w:spacing w:beforeLines="0" w:afterLines="0" w:line="276" w:lineRule="auto"/>
        <w:ind w:firstLine="420" w:firstLineChars="200"/>
        <w:jc w:val="left"/>
        <w:rPr>
          <w:rFonts w:hint="eastAsia" w:ascii="宋体" w:hAnsi="宋体"/>
          <w:sz w:val="21"/>
          <w:szCs w:val="21"/>
        </w:rPr>
      </w:pPr>
      <w:r>
        <w:rPr>
          <w:rFonts w:hint="eastAsia" w:ascii="宋体" w:hAnsi="宋体"/>
          <w:sz w:val="21"/>
          <w:szCs w:val="21"/>
        </w:rPr>
        <w:t>电器配件：插座、日光灯、风机开停控制。</w:t>
      </w:r>
    </w:p>
    <w:p>
      <w:pPr>
        <w:numPr>
          <w:ilvl w:val="0"/>
          <w:numId w:val="14"/>
        </w:numPr>
        <w:spacing w:beforeLines="0" w:afterLines="0" w:line="276" w:lineRule="auto"/>
        <w:ind w:firstLine="420" w:firstLineChars="200"/>
        <w:jc w:val="left"/>
        <w:rPr>
          <w:rFonts w:hint="eastAsia" w:ascii="宋体" w:hAnsi="宋体"/>
          <w:sz w:val="21"/>
          <w:szCs w:val="21"/>
        </w:rPr>
      </w:pPr>
      <w:r>
        <w:rPr>
          <w:rFonts w:hint="eastAsia" w:ascii="宋体" w:hAnsi="宋体"/>
          <w:sz w:val="21"/>
          <w:szCs w:val="21"/>
        </w:rPr>
        <w:t>出风口尺寸：Φ250mm或250*250mm。</w:t>
      </w:r>
    </w:p>
    <w:p>
      <w:pPr>
        <w:spacing w:beforeLines="0" w:afterLines="0" w:line="276" w:lineRule="auto"/>
        <w:ind w:firstLine="207" w:firstLineChars="98"/>
        <w:rPr>
          <w:rFonts w:hint="eastAsia" w:ascii="宋体" w:hAnsi="宋体" w:cs="仿宋"/>
          <w:b/>
          <w:kern w:val="0"/>
          <w:sz w:val="21"/>
          <w:szCs w:val="21"/>
        </w:rPr>
      </w:pPr>
      <w:r>
        <w:rPr>
          <w:rFonts w:hint="eastAsia" w:ascii="宋体" w:hAnsi="宋体" w:cs="仿宋"/>
          <w:b/>
          <w:kern w:val="0"/>
          <w:sz w:val="21"/>
          <w:szCs w:val="21"/>
        </w:rPr>
        <w:t>脱水通风柜</w:t>
      </w:r>
    </w:p>
    <w:p>
      <w:pPr>
        <w:numPr>
          <w:ilvl w:val="0"/>
          <w:numId w:val="15"/>
        </w:numPr>
        <w:spacing w:beforeLines="0" w:afterLines="0" w:line="276" w:lineRule="auto"/>
        <w:ind w:firstLine="420" w:firstLineChars="200"/>
        <w:jc w:val="left"/>
        <w:rPr>
          <w:rFonts w:hint="eastAsia" w:ascii="宋体" w:hAnsi="宋体" w:cs="仿宋"/>
          <w:sz w:val="21"/>
          <w:szCs w:val="21"/>
        </w:rPr>
      </w:pPr>
      <w:r>
        <w:rPr>
          <w:rFonts w:hint="eastAsia" w:ascii="宋体" w:hAnsi="宋体" w:cs="仿宋"/>
          <w:sz w:val="21"/>
          <w:szCs w:val="21"/>
        </w:rPr>
        <w:t>落地式，可放置两台脱水机。</w:t>
      </w:r>
    </w:p>
    <w:p>
      <w:pPr>
        <w:numPr>
          <w:ilvl w:val="0"/>
          <w:numId w:val="15"/>
        </w:numPr>
        <w:spacing w:beforeLines="0" w:afterLines="0" w:line="276" w:lineRule="auto"/>
        <w:ind w:firstLine="420" w:firstLineChars="200"/>
        <w:jc w:val="left"/>
        <w:rPr>
          <w:rFonts w:hint="eastAsia" w:ascii="宋体" w:hAnsi="宋体" w:cs="仿宋"/>
          <w:sz w:val="21"/>
          <w:szCs w:val="21"/>
        </w:rPr>
      </w:pPr>
      <w:r>
        <w:rPr>
          <w:rFonts w:hint="eastAsia" w:ascii="宋体" w:hAnsi="宋体" w:cs="仿宋"/>
          <w:sz w:val="21"/>
          <w:szCs w:val="21"/>
        </w:rPr>
        <w:t>柜体：全钢结构。采用厚度为1.0mm以上优质冷轧钢板，经过酸洗磷化、静电环氧树脂喷塑处理。</w:t>
      </w:r>
    </w:p>
    <w:p>
      <w:pPr>
        <w:numPr>
          <w:ilvl w:val="0"/>
          <w:numId w:val="15"/>
        </w:numPr>
        <w:spacing w:beforeLines="0" w:afterLines="0" w:line="276" w:lineRule="auto"/>
        <w:ind w:firstLine="420" w:firstLineChars="200"/>
        <w:jc w:val="left"/>
        <w:rPr>
          <w:rFonts w:hint="eastAsia" w:ascii="宋体" w:hAnsi="宋体" w:cs="仿宋"/>
          <w:sz w:val="21"/>
          <w:szCs w:val="21"/>
        </w:rPr>
      </w:pPr>
      <w:r>
        <w:rPr>
          <w:rFonts w:hint="eastAsia" w:ascii="宋体" w:hAnsi="宋体" w:cs="仿宋"/>
          <w:sz w:val="21"/>
          <w:szCs w:val="21"/>
        </w:rPr>
        <w:t>视窗：采用厚≥5mm强化玻璃。带PVC滑槽，无噪音，无级变速平衡砝码设计，视窗高度可停在任意位置。</w:t>
      </w:r>
    </w:p>
    <w:p>
      <w:pPr>
        <w:numPr>
          <w:ilvl w:val="0"/>
          <w:numId w:val="15"/>
        </w:numPr>
        <w:spacing w:beforeLines="0" w:afterLines="0" w:line="276" w:lineRule="auto"/>
        <w:ind w:firstLine="420" w:firstLineChars="200"/>
        <w:jc w:val="left"/>
        <w:rPr>
          <w:rFonts w:hint="eastAsia" w:ascii="宋体" w:hAnsi="宋体" w:cs="仿宋"/>
          <w:sz w:val="21"/>
          <w:szCs w:val="21"/>
        </w:rPr>
      </w:pPr>
      <w:r>
        <w:rPr>
          <w:rFonts w:hint="eastAsia" w:ascii="宋体" w:hAnsi="宋体" w:cs="仿宋"/>
          <w:sz w:val="21"/>
          <w:szCs w:val="21"/>
        </w:rPr>
        <w:t>柜门：采用外向双门对开式或者左右推拉式，便于大型落地实验设备的进出安装及使用。</w:t>
      </w:r>
    </w:p>
    <w:p>
      <w:pPr>
        <w:spacing w:line="380" w:lineRule="exact"/>
        <w:ind w:firstLine="420" w:firstLineChars="0"/>
        <w:rPr>
          <w:rFonts w:hint="eastAsia" w:ascii="宋体" w:hAnsi="宋体" w:cs="仿宋"/>
          <w:sz w:val="21"/>
          <w:szCs w:val="21"/>
        </w:rPr>
      </w:pPr>
      <w:r>
        <w:rPr>
          <w:rFonts w:hint="eastAsia" w:ascii="宋体" w:hAnsi="宋体" w:cs="仿宋"/>
          <w:sz w:val="21"/>
          <w:szCs w:val="21"/>
          <w:lang w:val="en-US" w:eastAsia="zh-CN"/>
        </w:rPr>
        <w:t>5.</w:t>
      </w:r>
      <w:r>
        <w:rPr>
          <w:rFonts w:hint="eastAsia" w:ascii="宋体" w:hAnsi="宋体" w:cs="仿宋"/>
          <w:sz w:val="21"/>
          <w:szCs w:val="21"/>
        </w:rPr>
        <w:t>附件：照明为防爆日光灯组，具护罩密闭式，操作开关控制显示面板，配备专用防水电源插座。</w:t>
      </w:r>
    </w:p>
    <w:p>
      <w:pPr>
        <w:spacing w:line="380" w:lineRule="exact"/>
        <w:rPr>
          <w:rFonts w:hint="eastAsia" w:ascii="宋体" w:hAnsi="宋体" w:cs="宋体"/>
        </w:rPr>
      </w:pPr>
    </w:p>
    <w:p>
      <w:pPr>
        <w:spacing w:line="380" w:lineRule="exact"/>
        <w:ind w:firstLine="420" w:firstLineChars="0"/>
        <w:rPr>
          <w:rFonts w:ascii="宋体" w:hAnsi="宋体" w:cs="宋体"/>
        </w:rPr>
      </w:pPr>
      <w:r>
        <w:rPr>
          <w:rFonts w:hint="eastAsia" w:ascii="宋体" w:hAnsi="宋体" w:cs="宋体"/>
          <w:b/>
          <w:bCs/>
          <w:color w:val="auto"/>
          <w:highlight w:val="none"/>
          <w:lang w:val="en-US" w:eastAsia="zh-CN"/>
        </w:rPr>
        <w:t>图纸详见附件</w:t>
      </w:r>
      <w:r>
        <w:rPr>
          <w:rFonts w:hint="eastAsia" w:ascii="宋体" w:hAnsi="宋体" w:cs="宋体"/>
        </w:rPr>
        <w:br w:type="page"/>
      </w:r>
    </w:p>
    <w:p>
      <w:pPr>
        <w:autoSpaceDE w:val="0"/>
        <w:autoSpaceDN w:val="0"/>
        <w:adjustRightInd w:val="0"/>
        <w:spacing w:line="360" w:lineRule="auto"/>
        <w:jc w:val="center"/>
        <w:outlineLvl w:val="0"/>
        <w:rPr>
          <w:rFonts w:ascii="宋体" w:hAnsi="宋体"/>
          <w:b/>
          <w:sz w:val="36"/>
        </w:rPr>
      </w:pPr>
      <w:r>
        <w:rPr>
          <w:rFonts w:hint="eastAsia" w:ascii="宋体" w:hAnsi="宋体"/>
          <w:b/>
          <w:sz w:val="36"/>
        </w:rPr>
        <w:t>第五章 磋商办法</w:t>
      </w:r>
      <w:bookmarkEnd w:id="72"/>
    </w:p>
    <w:p>
      <w:pPr>
        <w:pStyle w:val="3"/>
        <w:spacing w:line="288" w:lineRule="auto"/>
        <w:rPr>
          <w:rFonts w:ascii="宋体" w:hAnsi="宋体" w:eastAsia="宋体" w:cs="宋体"/>
          <w:sz w:val="21"/>
          <w:szCs w:val="21"/>
          <w:lang w:val="zh-CN"/>
        </w:rPr>
      </w:pPr>
      <w:bookmarkStart w:id="73" w:name="_Toc27445"/>
      <w:bookmarkStart w:id="74" w:name="_Toc507418348"/>
      <w:bookmarkStart w:id="75" w:name="_Toc507417998"/>
      <w:bookmarkStart w:id="76" w:name="_Toc12726"/>
      <w:bookmarkStart w:id="77" w:name="_Toc507419197"/>
      <w:r>
        <w:rPr>
          <w:rFonts w:hint="eastAsia" w:ascii="宋体" w:hAnsi="宋体" w:eastAsia="宋体" w:cs="宋体"/>
          <w:sz w:val="21"/>
          <w:szCs w:val="21"/>
          <w:lang w:val="zh-CN"/>
        </w:rPr>
        <w:t>一、磋商原则</w:t>
      </w:r>
      <w:bookmarkEnd w:id="73"/>
      <w:bookmarkEnd w:id="74"/>
      <w:bookmarkEnd w:id="75"/>
      <w:bookmarkEnd w:id="76"/>
      <w:bookmarkEnd w:id="77"/>
    </w:p>
    <w:p>
      <w:pPr>
        <w:spacing w:line="288" w:lineRule="auto"/>
        <w:ind w:firstLine="630"/>
        <w:rPr>
          <w:rFonts w:ascii="宋体" w:hAnsi="宋体" w:cs="宋体"/>
          <w:szCs w:val="21"/>
          <w:lang w:val="zh-CN"/>
        </w:rPr>
      </w:pPr>
      <w:r>
        <w:rPr>
          <w:rFonts w:hint="eastAsia" w:ascii="宋体" w:hAnsi="宋体" w:cs="宋体"/>
          <w:szCs w:val="21"/>
          <w:lang w:val="zh-CN"/>
        </w:rPr>
        <w:t>1、本次磋商由采购人依法组建的磋商小组进行。</w:t>
      </w:r>
    </w:p>
    <w:p>
      <w:pPr>
        <w:spacing w:line="288" w:lineRule="auto"/>
        <w:ind w:firstLine="630"/>
        <w:rPr>
          <w:rFonts w:ascii="宋体" w:hAnsi="宋体" w:cs="宋体"/>
          <w:szCs w:val="21"/>
          <w:lang w:val="zh-CN"/>
        </w:rPr>
      </w:pPr>
      <w:r>
        <w:rPr>
          <w:rFonts w:hint="eastAsia" w:ascii="宋体" w:hAnsi="宋体" w:cs="宋体"/>
          <w:szCs w:val="21"/>
          <w:lang w:val="zh-CN"/>
        </w:rPr>
        <w:t>2、坚持公开、公平的原则，公正地对待所有磋商供应商。</w:t>
      </w:r>
    </w:p>
    <w:p>
      <w:pPr>
        <w:spacing w:line="288" w:lineRule="auto"/>
        <w:ind w:firstLine="630"/>
        <w:rPr>
          <w:rFonts w:ascii="宋体" w:hAnsi="宋体" w:cs="宋体"/>
          <w:szCs w:val="21"/>
          <w:lang w:val="zh-CN"/>
        </w:rPr>
      </w:pPr>
      <w:r>
        <w:rPr>
          <w:rFonts w:hint="eastAsia" w:ascii="宋体" w:hAnsi="宋体" w:cs="宋体"/>
          <w:szCs w:val="21"/>
          <w:lang w:val="zh-CN"/>
        </w:rPr>
        <w:t>3、坚持竞争性磋商文件的所有相关规定，择优定标。</w:t>
      </w:r>
    </w:p>
    <w:p>
      <w:pPr>
        <w:widowControl/>
        <w:spacing w:line="288" w:lineRule="auto"/>
        <w:ind w:firstLine="630" w:firstLineChars="300"/>
        <w:rPr>
          <w:rFonts w:ascii="宋体" w:hAnsi="宋体" w:cs="宋体"/>
          <w:szCs w:val="21"/>
          <w:lang w:val="zh-CN"/>
        </w:rPr>
      </w:pPr>
      <w:r>
        <w:rPr>
          <w:rFonts w:hint="eastAsia" w:ascii="宋体" w:hAnsi="宋体" w:cs="宋体"/>
          <w:szCs w:val="21"/>
          <w:lang w:val="zh-CN"/>
        </w:rPr>
        <w:t>4、 参与竞争性磋商响应活动的各方应对竞争性磋商文件和响应文件中的商业和技术等秘密保密，违者应对由此造成的后果承担法律责任。</w:t>
      </w:r>
    </w:p>
    <w:p>
      <w:pPr>
        <w:pStyle w:val="3"/>
        <w:spacing w:line="288" w:lineRule="auto"/>
        <w:rPr>
          <w:rFonts w:ascii="宋体" w:hAnsi="宋体" w:eastAsia="宋体" w:cs="宋体"/>
          <w:sz w:val="21"/>
          <w:szCs w:val="21"/>
          <w:lang w:val="zh-CN"/>
        </w:rPr>
      </w:pPr>
      <w:bookmarkStart w:id="78" w:name="_Toc507419198"/>
      <w:bookmarkStart w:id="79" w:name="_Toc507417999"/>
      <w:bookmarkStart w:id="80" w:name="_Toc24535"/>
      <w:bookmarkStart w:id="81" w:name="_Toc507418349"/>
      <w:bookmarkStart w:id="82" w:name="_Toc28175"/>
      <w:r>
        <w:rPr>
          <w:rFonts w:hint="eastAsia" w:ascii="宋体" w:hAnsi="宋体" w:eastAsia="宋体" w:cs="宋体"/>
          <w:sz w:val="21"/>
          <w:szCs w:val="21"/>
          <w:lang w:val="zh-CN"/>
        </w:rPr>
        <w:t>二、磋商程序</w:t>
      </w:r>
      <w:bookmarkEnd w:id="78"/>
      <w:bookmarkEnd w:id="79"/>
      <w:bookmarkEnd w:id="80"/>
      <w:bookmarkEnd w:id="81"/>
      <w:bookmarkEnd w:id="82"/>
    </w:p>
    <w:p>
      <w:pPr>
        <w:spacing w:line="288" w:lineRule="auto"/>
        <w:rPr>
          <w:rFonts w:ascii="宋体" w:hAnsi="宋体" w:cs="宋体"/>
          <w:szCs w:val="21"/>
        </w:rPr>
      </w:pPr>
      <w:r>
        <w:rPr>
          <w:rFonts w:hint="eastAsia" w:ascii="宋体" w:hAnsi="宋体" w:cs="宋体"/>
          <w:szCs w:val="21"/>
        </w:rPr>
        <w:t>1、磋商小组成员首先根据以下形式评审、资格评审和响应性评审前附表规定的评审因素、评审标准对各供应商进行初步评审，有一项内容不满足要求即视为未实质性响应磋商文件要求，其响应文件按无效响应处理，初步评审不予通过，磋商小组应当告知提交响应文件的供应商。</w:t>
      </w:r>
    </w:p>
    <w:p>
      <w:pPr>
        <w:pStyle w:val="48"/>
        <w:spacing w:line="288" w:lineRule="auto"/>
        <w:rPr>
          <w:color w:val="auto"/>
        </w:rPr>
      </w:pPr>
    </w:p>
    <w:tbl>
      <w:tblPr>
        <w:tblStyle w:val="30"/>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91"/>
        <w:gridCol w:w="1944"/>
        <w:gridCol w:w="6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jc w:val="center"/>
        </w:trPr>
        <w:tc>
          <w:tcPr>
            <w:tcW w:w="2935" w:type="dxa"/>
            <w:gridSpan w:val="2"/>
            <w:noWrap/>
            <w:vAlign w:val="center"/>
          </w:tcPr>
          <w:p>
            <w:pPr>
              <w:autoSpaceDE w:val="0"/>
              <w:autoSpaceDN w:val="0"/>
              <w:adjustRightInd w:val="0"/>
              <w:spacing w:before="50" w:line="288" w:lineRule="auto"/>
              <w:ind w:right="97"/>
              <w:jc w:val="center"/>
              <w:rPr>
                <w:rFonts w:ascii="宋体" w:hAnsi="宋体" w:cs="宋体"/>
                <w:b/>
                <w:bCs/>
                <w:kern w:val="0"/>
                <w:szCs w:val="21"/>
              </w:rPr>
            </w:pPr>
            <w:r>
              <w:rPr>
                <w:rFonts w:hint="eastAsia" w:ascii="宋体" w:hAnsi="宋体" w:cs="宋体"/>
                <w:b/>
                <w:bCs/>
                <w:kern w:val="0"/>
                <w:szCs w:val="21"/>
              </w:rPr>
              <w:t>评审因素</w:t>
            </w:r>
          </w:p>
        </w:tc>
        <w:tc>
          <w:tcPr>
            <w:tcW w:w="6042" w:type="dxa"/>
            <w:noWrap/>
            <w:vAlign w:val="center"/>
          </w:tcPr>
          <w:p>
            <w:pPr>
              <w:autoSpaceDE w:val="0"/>
              <w:autoSpaceDN w:val="0"/>
              <w:adjustRightInd w:val="0"/>
              <w:spacing w:before="50" w:line="288" w:lineRule="auto"/>
              <w:ind w:right="97"/>
              <w:jc w:val="center"/>
              <w:rPr>
                <w:rFonts w:ascii="宋体" w:hAnsi="宋体" w:cs="宋体"/>
                <w:b/>
                <w:bCs/>
                <w:kern w:val="0"/>
                <w:szCs w:val="21"/>
              </w:rPr>
            </w:pPr>
            <w:r>
              <w:rPr>
                <w:rFonts w:hint="eastAsia" w:ascii="宋体" w:hAnsi="宋体" w:cs="宋体"/>
                <w:b/>
                <w:bCs/>
                <w:kern w:val="0"/>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0" w:hRule="atLeast"/>
          <w:jc w:val="center"/>
        </w:trPr>
        <w:tc>
          <w:tcPr>
            <w:tcW w:w="991" w:type="dxa"/>
            <w:vMerge w:val="restart"/>
            <w:noWrap/>
            <w:vAlign w:val="center"/>
          </w:tcPr>
          <w:p>
            <w:pPr>
              <w:autoSpaceDE w:val="0"/>
              <w:autoSpaceDN w:val="0"/>
              <w:adjustRightInd w:val="0"/>
              <w:spacing w:before="50" w:line="288" w:lineRule="auto"/>
              <w:ind w:right="97" w:firstLine="59" w:firstLineChars="28"/>
              <w:jc w:val="center"/>
              <w:rPr>
                <w:rFonts w:ascii="宋体" w:hAnsi="宋体"/>
                <w:spacing w:val="1"/>
                <w:kern w:val="0"/>
                <w:szCs w:val="21"/>
              </w:rPr>
            </w:pPr>
            <w:r>
              <w:rPr>
                <w:rFonts w:hint="eastAsia" w:ascii="宋体" w:hAnsi="宋体"/>
                <w:spacing w:val="1"/>
                <w:kern w:val="0"/>
                <w:szCs w:val="21"/>
              </w:rPr>
              <w:t>形式评审标准</w:t>
            </w:r>
          </w:p>
        </w:tc>
        <w:tc>
          <w:tcPr>
            <w:tcW w:w="1944" w:type="dxa"/>
            <w:noWrap/>
            <w:vAlign w:val="center"/>
          </w:tcPr>
          <w:p>
            <w:pPr>
              <w:autoSpaceDE w:val="0"/>
              <w:autoSpaceDN w:val="0"/>
              <w:adjustRightInd w:val="0"/>
              <w:spacing w:before="50" w:line="288" w:lineRule="auto"/>
              <w:ind w:right="97" w:firstLine="59" w:firstLineChars="28"/>
              <w:jc w:val="center"/>
              <w:rPr>
                <w:rFonts w:ascii="宋体" w:hAnsi="宋体"/>
                <w:spacing w:val="1"/>
                <w:kern w:val="0"/>
                <w:szCs w:val="21"/>
              </w:rPr>
            </w:pPr>
            <w:r>
              <w:rPr>
                <w:rFonts w:hint="eastAsia" w:ascii="宋体" w:hAnsi="宋体"/>
                <w:spacing w:val="1"/>
                <w:kern w:val="0"/>
                <w:szCs w:val="21"/>
              </w:rPr>
              <w:t>供应商名称</w:t>
            </w:r>
          </w:p>
        </w:tc>
        <w:tc>
          <w:tcPr>
            <w:tcW w:w="6042" w:type="dxa"/>
            <w:noWrap/>
            <w:vAlign w:val="center"/>
          </w:tcPr>
          <w:p>
            <w:pPr>
              <w:autoSpaceDE w:val="0"/>
              <w:autoSpaceDN w:val="0"/>
              <w:adjustRightInd w:val="0"/>
              <w:spacing w:before="50" w:line="288" w:lineRule="auto"/>
              <w:ind w:right="97" w:firstLine="59" w:firstLineChars="28"/>
              <w:jc w:val="center"/>
              <w:rPr>
                <w:rFonts w:ascii="宋体" w:hAnsi="宋体"/>
                <w:spacing w:val="1"/>
                <w:kern w:val="0"/>
                <w:szCs w:val="21"/>
              </w:rPr>
            </w:pPr>
            <w:r>
              <w:rPr>
                <w:rFonts w:hint="eastAsia" w:ascii="宋体" w:hAnsi="宋体"/>
                <w:spacing w:val="1"/>
                <w:kern w:val="0"/>
                <w:szCs w:val="21"/>
              </w:rPr>
              <w:t>与营业执照一致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8" w:hRule="atLeast"/>
          <w:jc w:val="center"/>
        </w:trPr>
        <w:tc>
          <w:tcPr>
            <w:tcW w:w="991" w:type="dxa"/>
            <w:vMerge w:val="continue"/>
            <w:noWrap/>
            <w:vAlign w:val="center"/>
          </w:tcPr>
          <w:p>
            <w:pPr>
              <w:autoSpaceDE w:val="0"/>
              <w:autoSpaceDN w:val="0"/>
              <w:adjustRightInd w:val="0"/>
              <w:spacing w:before="50" w:line="288" w:lineRule="auto"/>
              <w:ind w:right="97" w:firstLine="59" w:firstLineChars="28"/>
              <w:jc w:val="center"/>
              <w:rPr>
                <w:rFonts w:ascii="宋体" w:hAnsi="宋体"/>
                <w:spacing w:val="1"/>
                <w:kern w:val="0"/>
                <w:szCs w:val="21"/>
              </w:rPr>
            </w:pPr>
          </w:p>
        </w:tc>
        <w:tc>
          <w:tcPr>
            <w:tcW w:w="1944" w:type="dxa"/>
            <w:noWrap/>
            <w:vAlign w:val="center"/>
          </w:tcPr>
          <w:p>
            <w:pPr>
              <w:autoSpaceDE w:val="0"/>
              <w:autoSpaceDN w:val="0"/>
              <w:adjustRightInd w:val="0"/>
              <w:spacing w:before="50" w:line="288" w:lineRule="auto"/>
              <w:ind w:right="97" w:firstLine="59" w:firstLineChars="28"/>
              <w:jc w:val="center"/>
              <w:rPr>
                <w:rFonts w:ascii="宋体" w:hAnsi="宋体"/>
                <w:spacing w:val="1"/>
                <w:kern w:val="0"/>
                <w:szCs w:val="21"/>
              </w:rPr>
            </w:pPr>
            <w:r>
              <w:rPr>
                <w:rFonts w:hint="eastAsia" w:ascii="宋体" w:hAnsi="宋体"/>
                <w:spacing w:val="1"/>
                <w:kern w:val="0"/>
                <w:szCs w:val="21"/>
              </w:rPr>
              <w:t>响应函签字盖章</w:t>
            </w:r>
          </w:p>
        </w:tc>
        <w:tc>
          <w:tcPr>
            <w:tcW w:w="6042" w:type="dxa"/>
            <w:noWrap/>
            <w:vAlign w:val="center"/>
          </w:tcPr>
          <w:p>
            <w:pPr>
              <w:autoSpaceDE w:val="0"/>
              <w:autoSpaceDN w:val="0"/>
              <w:adjustRightInd w:val="0"/>
              <w:spacing w:before="50" w:line="288" w:lineRule="auto"/>
              <w:ind w:right="97" w:firstLine="59" w:firstLineChars="28"/>
              <w:jc w:val="center"/>
              <w:rPr>
                <w:rFonts w:ascii="宋体" w:hAnsi="宋体"/>
                <w:spacing w:val="1"/>
                <w:kern w:val="0"/>
                <w:szCs w:val="21"/>
              </w:rPr>
            </w:pPr>
            <w:r>
              <w:rPr>
                <w:rFonts w:hint="eastAsia" w:ascii="宋体" w:hAnsi="宋体"/>
                <w:spacing w:val="1"/>
                <w:kern w:val="0"/>
                <w:szCs w:val="21"/>
              </w:rPr>
              <w:t>供应商法定代表人或其委托代理人签字或加盖电子签名章并加盖单位电子印章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4" w:hRule="atLeast"/>
          <w:jc w:val="center"/>
        </w:trPr>
        <w:tc>
          <w:tcPr>
            <w:tcW w:w="991" w:type="dxa"/>
            <w:vMerge w:val="continue"/>
            <w:noWrap/>
            <w:vAlign w:val="center"/>
          </w:tcPr>
          <w:p>
            <w:pPr>
              <w:autoSpaceDE w:val="0"/>
              <w:autoSpaceDN w:val="0"/>
              <w:adjustRightInd w:val="0"/>
              <w:spacing w:before="50" w:line="288" w:lineRule="auto"/>
              <w:ind w:right="97" w:firstLine="59" w:firstLineChars="28"/>
              <w:jc w:val="center"/>
              <w:rPr>
                <w:rFonts w:ascii="宋体" w:hAnsi="宋体"/>
                <w:spacing w:val="1"/>
                <w:kern w:val="0"/>
                <w:szCs w:val="21"/>
              </w:rPr>
            </w:pPr>
          </w:p>
        </w:tc>
        <w:tc>
          <w:tcPr>
            <w:tcW w:w="1944" w:type="dxa"/>
            <w:noWrap/>
            <w:vAlign w:val="center"/>
          </w:tcPr>
          <w:p>
            <w:pPr>
              <w:autoSpaceDE w:val="0"/>
              <w:autoSpaceDN w:val="0"/>
              <w:adjustRightInd w:val="0"/>
              <w:spacing w:before="50" w:line="288" w:lineRule="auto"/>
              <w:ind w:right="97" w:rightChars="0" w:firstLine="59" w:firstLineChars="28"/>
              <w:jc w:val="center"/>
              <w:rPr>
                <w:rFonts w:hint="eastAsia" w:ascii="宋体" w:hAnsi="宋体" w:eastAsia="宋体" w:cs="Times New Roman"/>
                <w:spacing w:val="1"/>
                <w:kern w:val="0"/>
                <w:sz w:val="21"/>
                <w:szCs w:val="21"/>
                <w:lang w:val="en-US" w:eastAsia="zh-CN" w:bidi="ar-SA"/>
              </w:rPr>
            </w:pPr>
            <w:r>
              <w:rPr>
                <w:rFonts w:hint="eastAsia" w:ascii="宋体" w:hAnsi="宋体"/>
                <w:spacing w:val="1"/>
                <w:kern w:val="0"/>
                <w:szCs w:val="21"/>
              </w:rPr>
              <w:t>响应文件格式</w:t>
            </w:r>
          </w:p>
        </w:tc>
        <w:tc>
          <w:tcPr>
            <w:tcW w:w="6042" w:type="dxa"/>
            <w:noWrap/>
            <w:vAlign w:val="center"/>
          </w:tcPr>
          <w:p>
            <w:pPr>
              <w:autoSpaceDE w:val="0"/>
              <w:autoSpaceDN w:val="0"/>
              <w:adjustRightInd w:val="0"/>
              <w:spacing w:before="50" w:line="288" w:lineRule="auto"/>
              <w:ind w:right="97" w:rightChars="0" w:firstLine="59" w:firstLineChars="28"/>
              <w:jc w:val="center"/>
              <w:rPr>
                <w:rFonts w:hint="eastAsia" w:ascii="宋体" w:hAnsi="宋体" w:eastAsia="宋体" w:cs="Times New Roman"/>
                <w:spacing w:val="1"/>
                <w:kern w:val="0"/>
                <w:sz w:val="21"/>
                <w:szCs w:val="21"/>
                <w:lang w:val="en-US" w:eastAsia="zh-CN" w:bidi="ar-SA"/>
              </w:rPr>
            </w:pPr>
            <w:r>
              <w:rPr>
                <w:rFonts w:hint="eastAsia" w:ascii="宋体" w:hAnsi="宋体"/>
                <w:spacing w:val="1"/>
                <w:kern w:val="0"/>
                <w:szCs w:val="21"/>
              </w:rPr>
              <w:t>符合采购文件</w:t>
            </w:r>
            <w:r>
              <w:rPr>
                <w:rFonts w:ascii="宋体" w:hAnsi="宋体"/>
                <w:spacing w:val="1"/>
                <w:kern w:val="0"/>
                <w:szCs w:val="21"/>
              </w:rPr>
              <w:t>“</w:t>
            </w:r>
            <w:r>
              <w:rPr>
                <w:rFonts w:hint="eastAsia" w:ascii="宋体" w:hAnsi="宋体"/>
                <w:spacing w:val="1"/>
                <w:kern w:val="0"/>
                <w:szCs w:val="21"/>
              </w:rPr>
              <w:t>响应文件格式</w:t>
            </w:r>
            <w:r>
              <w:rPr>
                <w:rFonts w:ascii="宋体" w:hAnsi="宋体"/>
                <w:spacing w:val="1"/>
                <w:kern w:val="0"/>
                <w:szCs w:val="21"/>
              </w:rPr>
              <w:t>”</w:t>
            </w:r>
            <w:r>
              <w:rPr>
                <w:rFonts w:hint="eastAsia" w:ascii="宋体" w:hAnsi="宋体"/>
                <w:spacing w:val="1"/>
                <w:kern w:val="0"/>
                <w:szCs w:val="21"/>
              </w:rPr>
              <w:t>的实质性要求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4" w:hRule="atLeast"/>
          <w:jc w:val="center"/>
        </w:trPr>
        <w:tc>
          <w:tcPr>
            <w:tcW w:w="991" w:type="dxa"/>
            <w:vMerge w:val="continue"/>
            <w:noWrap/>
            <w:vAlign w:val="center"/>
          </w:tcPr>
          <w:p>
            <w:pPr>
              <w:autoSpaceDE w:val="0"/>
              <w:autoSpaceDN w:val="0"/>
              <w:adjustRightInd w:val="0"/>
              <w:spacing w:before="50" w:line="288" w:lineRule="auto"/>
              <w:ind w:right="97" w:firstLine="59" w:firstLineChars="28"/>
              <w:jc w:val="center"/>
              <w:rPr>
                <w:rFonts w:ascii="宋体" w:hAnsi="宋体"/>
                <w:spacing w:val="1"/>
                <w:kern w:val="0"/>
                <w:szCs w:val="21"/>
              </w:rPr>
            </w:pPr>
          </w:p>
        </w:tc>
        <w:tc>
          <w:tcPr>
            <w:tcW w:w="1944" w:type="dxa"/>
            <w:noWrap/>
            <w:vAlign w:val="center"/>
          </w:tcPr>
          <w:p>
            <w:pPr>
              <w:autoSpaceDE w:val="0"/>
              <w:autoSpaceDN w:val="0"/>
              <w:adjustRightInd w:val="0"/>
              <w:spacing w:before="50" w:line="288" w:lineRule="auto"/>
              <w:ind w:right="97" w:firstLine="59" w:firstLineChars="28"/>
              <w:jc w:val="center"/>
              <w:rPr>
                <w:rFonts w:ascii="宋体" w:hAnsi="宋体"/>
                <w:spacing w:val="1"/>
                <w:kern w:val="0"/>
                <w:szCs w:val="21"/>
              </w:rPr>
            </w:pPr>
            <w:r>
              <w:rPr>
                <w:rFonts w:hint="default" w:ascii="宋体" w:hAnsi="宋体"/>
                <w:spacing w:val="1"/>
                <w:kern w:val="0"/>
                <w:szCs w:val="21"/>
              </w:rPr>
              <w:t>标书雷同性分析</w:t>
            </w:r>
          </w:p>
        </w:tc>
        <w:tc>
          <w:tcPr>
            <w:tcW w:w="6042" w:type="dxa"/>
            <w:noWrap/>
            <w:vAlign w:val="center"/>
          </w:tcPr>
          <w:p>
            <w:pPr>
              <w:autoSpaceDE w:val="0"/>
              <w:autoSpaceDN w:val="0"/>
              <w:adjustRightInd w:val="0"/>
              <w:spacing w:before="50" w:line="288" w:lineRule="auto"/>
              <w:ind w:right="97" w:firstLine="59" w:firstLineChars="28"/>
              <w:jc w:val="center"/>
              <w:rPr>
                <w:rFonts w:ascii="宋体" w:hAnsi="宋体"/>
                <w:spacing w:val="1"/>
                <w:kern w:val="0"/>
                <w:szCs w:val="21"/>
              </w:rPr>
            </w:pPr>
            <w:r>
              <w:rPr>
                <w:rFonts w:hint="eastAsia" w:ascii="宋体" w:hAnsi="宋体"/>
                <w:spacing w:val="1"/>
                <w:kern w:val="0"/>
                <w:szCs w:val="21"/>
              </w:rPr>
              <w:t xml:space="preserve">投标（响应）文件制作机器码不能一致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91" w:type="dxa"/>
            <w:noWrap/>
            <w:vAlign w:val="center"/>
          </w:tcPr>
          <w:p>
            <w:pPr>
              <w:spacing w:line="288" w:lineRule="auto"/>
              <w:jc w:val="center"/>
              <w:rPr>
                <w:rFonts w:ascii="宋体" w:hAnsi="宋体"/>
                <w:spacing w:val="1"/>
                <w:kern w:val="0"/>
                <w:szCs w:val="21"/>
              </w:rPr>
            </w:pPr>
            <w:r>
              <w:rPr>
                <w:rFonts w:hint="eastAsia" w:ascii="宋体" w:hAnsi="宋体"/>
                <w:spacing w:val="1"/>
                <w:kern w:val="0"/>
                <w:szCs w:val="21"/>
              </w:rPr>
              <w:t>资格评审标  准</w:t>
            </w:r>
          </w:p>
        </w:tc>
        <w:tc>
          <w:tcPr>
            <w:tcW w:w="7986" w:type="dxa"/>
            <w:gridSpan w:val="2"/>
            <w:noWrap/>
            <w:vAlign w:val="center"/>
          </w:tcPr>
          <w:p>
            <w:pPr>
              <w:spacing w:line="288" w:lineRule="auto"/>
              <w:rPr>
                <w:rFonts w:hint="eastAsia" w:ascii="宋体" w:hAnsi="宋体"/>
              </w:rPr>
            </w:pPr>
            <w:r>
              <w:rPr>
                <w:rFonts w:hint="eastAsia" w:ascii="宋体" w:hAnsi="宋体"/>
              </w:rPr>
              <w:t>1、满足《中华人民共和国政府采购法》第二十二条规定；</w:t>
            </w:r>
          </w:p>
          <w:p>
            <w:pPr>
              <w:spacing w:line="288" w:lineRule="auto"/>
              <w:rPr>
                <w:rFonts w:hint="eastAsia" w:ascii="宋体" w:hAnsi="宋体"/>
              </w:rPr>
            </w:pPr>
            <w:r>
              <w:rPr>
                <w:rFonts w:hint="eastAsia" w:ascii="宋体" w:hAnsi="宋体"/>
              </w:rPr>
              <w:t>2、落实政府采购政策满足的资格要求：无。</w:t>
            </w:r>
          </w:p>
          <w:p>
            <w:pPr>
              <w:spacing w:line="288" w:lineRule="auto"/>
              <w:rPr>
                <w:rFonts w:hint="eastAsia" w:ascii="宋体" w:hAnsi="宋体"/>
              </w:rPr>
            </w:pPr>
            <w:r>
              <w:rPr>
                <w:rFonts w:hint="eastAsia" w:ascii="宋体" w:hAnsi="宋体"/>
              </w:rPr>
              <w:t>3、本项目的特定资格要求：</w:t>
            </w:r>
          </w:p>
          <w:p>
            <w:pPr>
              <w:spacing w:line="288" w:lineRule="auto"/>
              <w:rPr>
                <w:rFonts w:hint="eastAsia" w:ascii="宋体" w:hAnsi="宋体"/>
                <w:lang w:val="en-US" w:eastAsia="zh-CN"/>
              </w:rPr>
            </w:pPr>
            <w:r>
              <w:rPr>
                <w:rFonts w:hint="eastAsia" w:ascii="宋体" w:hAnsi="宋体"/>
                <w:lang w:val="en-US" w:eastAsia="zh-CN"/>
              </w:rPr>
              <w:t>3.1供应商资质要求：</w:t>
            </w:r>
          </w:p>
          <w:p>
            <w:pPr>
              <w:spacing w:line="288" w:lineRule="auto"/>
              <w:rPr>
                <w:rFonts w:hint="eastAsia" w:ascii="宋体" w:hAnsi="宋体"/>
                <w:lang w:val="en-US" w:eastAsia="zh-CN"/>
              </w:rPr>
            </w:pPr>
            <w:r>
              <w:rPr>
                <w:rFonts w:hint="eastAsia" w:ascii="宋体" w:hAnsi="宋体"/>
                <w:lang w:val="en-US" w:eastAsia="zh-CN"/>
              </w:rPr>
              <w:t xml:space="preserve">①施工资质要求：须具有独立法人资格，具有国家建设行政主管部门颁发的建筑机电安装工程专业承包二级及以上资质和电子与智能化工程专业承包二级及以上资质，同时具有有效的安全生产许可证； </w:t>
            </w:r>
          </w:p>
          <w:p>
            <w:pPr>
              <w:spacing w:line="288" w:lineRule="auto"/>
              <w:rPr>
                <w:rFonts w:hint="eastAsia" w:ascii="宋体" w:hAnsi="宋体"/>
                <w:lang w:val="en-US" w:eastAsia="zh-CN"/>
              </w:rPr>
            </w:pPr>
            <w:r>
              <w:rPr>
                <w:rFonts w:hint="eastAsia" w:ascii="宋体" w:hAnsi="宋体"/>
                <w:lang w:val="en-US" w:eastAsia="zh-CN"/>
              </w:rPr>
              <w:t>②设计资质要求：须具备建筑装饰工程设计乙级及以上资质；</w:t>
            </w:r>
          </w:p>
          <w:p>
            <w:pPr>
              <w:spacing w:line="288" w:lineRule="auto"/>
              <w:rPr>
                <w:rFonts w:hint="eastAsia" w:ascii="宋体" w:hAnsi="宋体"/>
              </w:rPr>
            </w:pPr>
            <w:r>
              <w:rPr>
                <w:rFonts w:hint="eastAsia" w:ascii="宋体" w:hAnsi="宋体"/>
              </w:rPr>
              <w:t>3.</w:t>
            </w:r>
            <w:r>
              <w:rPr>
                <w:rFonts w:hint="eastAsia" w:ascii="宋体" w:hAnsi="宋体"/>
                <w:lang w:val="en-US" w:eastAsia="zh-CN"/>
              </w:rPr>
              <w:t>2</w:t>
            </w:r>
            <w:r>
              <w:rPr>
                <w:rFonts w:hint="eastAsia" w:ascii="宋体" w:hAnsi="宋体"/>
              </w:rPr>
              <w:t>供应商被列入“失信被执行人”和“重大税收违法案件当事人名单”【供应商可通过“信用中国”网站（www.creditchina.gov.cn）相关内容查询。】及被列入政府采购严重违法失信行为记录名单【供应商可通过“中国政府采购网”网站（http://www.ccgp.gov.cn/）相关内容查询。】，限制参加本次采购活动；（注：开标后由采购人现场查询并保存查询结果）；</w:t>
            </w:r>
          </w:p>
          <w:p>
            <w:pPr>
              <w:spacing w:line="288" w:lineRule="auto"/>
              <w:rPr>
                <w:rFonts w:hint="eastAsia" w:ascii="宋体" w:hAnsi="宋体"/>
              </w:rPr>
            </w:pPr>
            <w:r>
              <w:rPr>
                <w:rFonts w:hint="eastAsia" w:ascii="宋体" w:hAnsi="宋体"/>
              </w:rPr>
              <w:t>3.</w:t>
            </w:r>
            <w:r>
              <w:rPr>
                <w:rFonts w:hint="eastAsia" w:ascii="宋体" w:hAnsi="宋体"/>
                <w:lang w:val="en-US" w:eastAsia="zh-CN"/>
              </w:rPr>
              <w:t>3</w:t>
            </w:r>
            <w:r>
              <w:rPr>
                <w:rFonts w:hint="eastAsia" w:ascii="宋体" w:hAnsi="宋体"/>
              </w:rPr>
              <w:t>单位负责人为同一人或者存在控股、管理关系的不同单位，不得同时参加同一项目磋商；</w:t>
            </w:r>
          </w:p>
          <w:p>
            <w:pPr>
              <w:spacing w:line="288" w:lineRule="auto"/>
            </w:pPr>
            <w:r>
              <w:rPr>
                <w:rFonts w:hint="eastAsia" w:ascii="宋体" w:hAnsi="宋体"/>
              </w:rPr>
              <w:t>3.</w:t>
            </w:r>
            <w:r>
              <w:rPr>
                <w:rFonts w:hint="eastAsia" w:ascii="宋体" w:hAnsi="宋体"/>
                <w:lang w:val="en-US" w:eastAsia="zh-CN"/>
              </w:rPr>
              <w:t>4</w:t>
            </w:r>
            <w:r>
              <w:rPr>
                <w:rFonts w:hint="eastAsia" w:ascii="宋体" w:hAnsi="宋体"/>
              </w:rPr>
              <w:t>本项目不接受任何形式的联合体。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3" w:hRule="atLeast"/>
          <w:jc w:val="center"/>
        </w:trPr>
        <w:tc>
          <w:tcPr>
            <w:tcW w:w="8977" w:type="dxa"/>
            <w:gridSpan w:val="3"/>
            <w:noWrap/>
            <w:vAlign w:val="center"/>
          </w:tcPr>
          <w:p>
            <w:pPr>
              <w:pStyle w:val="48"/>
              <w:spacing w:line="288" w:lineRule="auto"/>
              <w:jc w:val="both"/>
              <w:rPr>
                <w:rFonts w:hAnsi="宋体"/>
                <w:b/>
                <w:color w:val="auto"/>
                <w:sz w:val="21"/>
                <w:szCs w:val="21"/>
              </w:rPr>
            </w:pPr>
            <w:r>
              <w:rPr>
                <w:rFonts w:hint="eastAsia" w:hAnsi="宋体"/>
                <w:b/>
                <w:color w:val="auto"/>
                <w:sz w:val="21"/>
                <w:szCs w:val="21"/>
              </w:rPr>
              <w:t xml:space="preserve">备注：上述证明、证件按要求提供。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991" w:type="dxa"/>
            <w:vMerge w:val="restart"/>
            <w:noWrap/>
            <w:vAlign w:val="center"/>
          </w:tcPr>
          <w:p>
            <w:pPr>
              <w:autoSpaceDE w:val="0"/>
              <w:autoSpaceDN w:val="0"/>
              <w:adjustRightInd w:val="0"/>
              <w:spacing w:before="50" w:line="288" w:lineRule="auto"/>
              <w:ind w:right="97" w:firstLine="59" w:firstLineChars="28"/>
              <w:jc w:val="center"/>
              <w:rPr>
                <w:rFonts w:ascii="宋体" w:hAnsi="宋体"/>
                <w:spacing w:val="1"/>
                <w:kern w:val="0"/>
                <w:szCs w:val="21"/>
              </w:rPr>
            </w:pPr>
          </w:p>
          <w:p>
            <w:pPr>
              <w:autoSpaceDE w:val="0"/>
              <w:autoSpaceDN w:val="0"/>
              <w:adjustRightInd w:val="0"/>
              <w:spacing w:before="50" w:line="288" w:lineRule="auto"/>
              <w:ind w:right="97" w:firstLine="59" w:firstLineChars="28"/>
              <w:jc w:val="center"/>
              <w:rPr>
                <w:rFonts w:ascii="宋体" w:hAnsi="宋体"/>
                <w:spacing w:val="1"/>
                <w:kern w:val="0"/>
                <w:szCs w:val="21"/>
              </w:rPr>
            </w:pPr>
            <w:r>
              <w:rPr>
                <w:rFonts w:hint="eastAsia" w:ascii="宋体" w:hAnsi="宋体"/>
                <w:spacing w:val="1"/>
                <w:kern w:val="0"/>
                <w:szCs w:val="21"/>
              </w:rPr>
              <w:t>响应性评审</w:t>
            </w:r>
          </w:p>
        </w:tc>
        <w:tc>
          <w:tcPr>
            <w:tcW w:w="1944" w:type="dxa"/>
            <w:noWrap/>
            <w:vAlign w:val="center"/>
          </w:tcPr>
          <w:p>
            <w:pPr>
              <w:autoSpaceDE w:val="0"/>
              <w:autoSpaceDN w:val="0"/>
              <w:adjustRightInd w:val="0"/>
              <w:spacing w:before="50" w:line="288" w:lineRule="auto"/>
              <w:ind w:right="97" w:firstLine="59" w:firstLineChars="28"/>
              <w:jc w:val="center"/>
              <w:rPr>
                <w:rFonts w:ascii="宋体" w:hAnsi="宋体"/>
                <w:spacing w:val="1"/>
                <w:kern w:val="0"/>
                <w:szCs w:val="21"/>
              </w:rPr>
            </w:pPr>
            <w:r>
              <w:rPr>
                <w:rFonts w:hint="eastAsia" w:ascii="宋体" w:hAnsi="宋体"/>
                <w:spacing w:val="1"/>
                <w:kern w:val="0"/>
                <w:szCs w:val="21"/>
              </w:rPr>
              <w:t>响应范围</w:t>
            </w:r>
          </w:p>
        </w:tc>
        <w:tc>
          <w:tcPr>
            <w:tcW w:w="6042" w:type="dxa"/>
            <w:noWrap/>
            <w:vAlign w:val="center"/>
          </w:tcPr>
          <w:p>
            <w:pPr>
              <w:autoSpaceDE w:val="0"/>
              <w:autoSpaceDN w:val="0"/>
              <w:adjustRightInd w:val="0"/>
              <w:spacing w:before="50" w:line="288" w:lineRule="auto"/>
              <w:ind w:right="97" w:firstLine="59" w:firstLineChars="28"/>
              <w:jc w:val="center"/>
              <w:rPr>
                <w:rFonts w:ascii="宋体" w:hAnsi="宋体"/>
                <w:spacing w:val="1"/>
                <w:kern w:val="0"/>
                <w:szCs w:val="21"/>
              </w:rPr>
            </w:pPr>
            <w:r>
              <w:rPr>
                <w:rFonts w:hint="eastAsia" w:ascii="宋体" w:hAnsi="宋体"/>
                <w:spacing w:val="1"/>
                <w:kern w:val="0"/>
                <w:szCs w:val="21"/>
              </w:rPr>
              <w:t>符合第二章</w:t>
            </w:r>
            <w:r>
              <w:rPr>
                <w:rFonts w:ascii="宋体" w:hAnsi="宋体"/>
                <w:spacing w:val="1"/>
                <w:kern w:val="0"/>
                <w:szCs w:val="21"/>
              </w:rPr>
              <w:t>“</w:t>
            </w:r>
            <w:r>
              <w:rPr>
                <w:rFonts w:hint="eastAsia" w:ascii="宋体" w:hAnsi="宋体"/>
                <w:spacing w:val="1"/>
                <w:kern w:val="0"/>
                <w:szCs w:val="21"/>
              </w:rPr>
              <w:t>供应商须知</w:t>
            </w:r>
            <w:r>
              <w:rPr>
                <w:rFonts w:ascii="宋体" w:hAnsi="宋体"/>
                <w:spacing w:val="1"/>
                <w:kern w:val="0"/>
                <w:szCs w:val="21"/>
              </w:rPr>
              <w:t>”</w:t>
            </w:r>
            <w:r>
              <w:rPr>
                <w:rFonts w:hint="eastAsia" w:ascii="宋体" w:hAnsi="宋体"/>
                <w:spacing w:val="1"/>
                <w:kern w:val="0"/>
                <w:szCs w:val="21"/>
              </w:rPr>
              <w:t>第</w:t>
            </w:r>
            <w:r>
              <w:rPr>
                <w:rFonts w:ascii="宋体" w:hAnsi="宋体"/>
                <w:spacing w:val="1"/>
                <w:kern w:val="0"/>
                <w:szCs w:val="21"/>
              </w:rPr>
              <w:t xml:space="preserve"> 1.3 </w:t>
            </w:r>
            <w:r>
              <w:rPr>
                <w:rFonts w:hint="eastAsia" w:ascii="宋体" w:hAnsi="宋体"/>
                <w:spacing w:val="1"/>
                <w:kern w:val="0"/>
                <w:szCs w:val="21"/>
              </w:rPr>
              <w:t>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991" w:type="dxa"/>
            <w:vMerge w:val="continue"/>
            <w:noWrap/>
            <w:vAlign w:val="center"/>
          </w:tcPr>
          <w:p>
            <w:pPr>
              <w:autoSpaceDE w:val="0"/>
              <w:autoSpaceDN w:val="0"/>
              <w:adjustRightInd w:val="0"/>
              <w:spacing w:before="50" w:line="288" w:lineRule="auto"/>
              <w:ind w:right="97" w:firstLine="59" w:firstLineChars="28"/>
              <w:jc w:val="center"/>
              <w:rPr>
                <w:rFonts w:ascii="宋体" w:hAnsi="宋体"/>
                <w:spacing w:val="1"/>
                <w:kern w:val="0"/>
                <w:szCs w:val="21"/>
              </w:rPr>
            </w:pPr>
          </w:p>
        </w:tc>
        <w:tc>
          <w:tcPr>
            <w:tcW w:w="1944" w:type="dxa"/>
            <w:noWrap/>
            <w:vAlign w:val="center"/>
          </w:tcPr>
          <w:p>
            <w:pPr>
              <w:autoSpaceDE w:val="0"/>
              <w:autoSpaceDN w:val="0"/>
              <w:adjustRightInd w:val="0"/>
              <w:spacing w:before="50" w:line="288" w:lineRule="auto"/>
              <w:ind w:right="97" w:firstLine="59" w:firstLineChars="28"/>
              <w:jc w:val="center"/>
              <w:rPr>
                <w:rFonts w:hint="eastAsia" w:ascii="宋体" w:hAnsi="宋体" w:eastAsia="宋体"/>
                <w:spacing w:val="1"/>
                <w:kern w:val="0"/>
                <w:szCs w:val="21"/>
                <w:lang w:eastAsia="zh-CN"/>
              </w:rPr>
            </w:pPr>
            <w:r>
              <w:rPr>
                <w:rFonts w:hint="eastAsia" w:ascii="宋体" w:hAnsi="宋体"/>
                <w:spacing w:val="1"/>
                <w:kern w:val="0"/>
                <w:szCs w:val="21"/>
                <w:lang w:eastAsia="zh-CN"/>
              </w:rPr>
              <w:t>工期</w:t>
            </w:r>
          </w:p>
        </w:tc>
        <w:tc>
          <w:tcPr>
            <w:tcW w:w="6042" w:type="dxa"/>
            <w:noWrap/>
            <w:vAlign w:val="center"/>
          </w:tcPr>
          <w:p>
            <w:pPr>
              <w:autoSpaceDE w:val="0"/>
              <w:autoSpaceDN w:val="0"/>
              <w:adjustRightInd w:val="0"/>
              <w:spacing w:before="50" w:line="288" w:lineRule="auto"/>
              <w:ind w:right="97" w:firstLine="59" w:firstLineChars="28"/>
              <w:jc w:val="center"/>
              <w:rPr>
                <w:rFonts w:ascii="宋体" w:hAnsi="宋体"/>
                <w:spacing w:val="1"/>
                <w:kern w:val="0"/>
                <w:szCs w:val="21"/>
              </w:rPr>
            </w:pPr>
            <w:r>
              <w:rPr>
                <w:rFonts w:hint="eastAsia" w:ascii="宋体" w:hAnsi="宋体"/>
                <w:spacing w:val="1"/>
                <w:kern w:val="0"/>
                <w:szCs w:val="21"/>
              </w:rPr>
              <w:t>符合第二章</w:t>
            </w:r>
            <w:r>
              <w:rPr>
                <w:rFonts w:ascii="宋体" w:hAnsi="宋体"/>
                <w:spacing w:val="1"/>
                <w:kern w:val="0"/>
                <w:szCs w:val="21"/>
              </w:rPr>
              <w:t>“</w:t>
            </w:r>
            <w:r>
              <w:rPr>
                <w:rFonts w:hint="eastAsia" w:ascii="宋体" w:hAnsi="宋体"/>
                <w:spacing w:val="1"/>
                <w:kern w:val="0"/>
                <w:szCs w:val="21"/>
              </w:rPr>
              <w:t>供应商须知</w:t>
            </w:r>
            <w:r>
              <w:rPr>
                <w:rFonts w:ascii="宋体" w:hAnsi="宋体"/>
                <w:spacing w:val="1"/>
                <w:kern w:val="0"/>
                <w:szCs w:val="21"/>
              </w:rPr>
              <w:t>”</w:t>
            </w:r>
            <w:r>
              <w:rPr>
                <w:rFonts w:hint="eastAsia" w:ascii="宋体" w:hAnsi="宋体"/>
                <w:spacing w:val="1"/>
                <w:kern w:val="0"/>
                <w:szCs w:val="21"/>
              </w:rPr>
              <w:t>第</w:t>
            </w:r>
            <w:r>
              <w:rPr>
                <w:rFonts w:ascii="宋体" w:hAnsi="宋体"/>
                <w:spacing w:val="1"/>
                <w:kern w:val="0"/>
                <w:szCs w:val="21"/>
              </w:rPr>
              <w:t xml:space="preserve"> 1.3 </w:t>
            </w:r>
            <w:r>
              <w:rPr>
                <w:rFonts w:hint="eastAsia" w:ascii="宋体" w:hAnsi="宋体"/>
                <w:spacing w:val="1"/>
                <w:kern w:val="0"/>
                <w:szCs w:val="21"/>
              </w:rPr>
              <w:t>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991" w:type="dxa"/>
            <w:vMerge w:val="continue"/>
            <w:noWrap/>
            <w:vAlign w:val="center"/>
          </w:tcPr>
          <w:p>
            <w:pPr>
              <w:autoSpaceDE w:val="0"/>
              <w:autoSpaceDN w:val="0"/>
              <w:adjustRightInd w:val="0"/>
              <w:spacing w:before="50" w:line="288" w:lineRule="auto"/>
              <w:ind w:right="97" w:firstLine="59" w:firstLineChars="28"/>
              <w:jc w:val="center"/>
              <w:rPr>
                <w:rFonts w:ascii="宋体" w:hAnsi="宋体"/>
                <w:spacing w:val="1"/>
                <w:kern w:val="0"/>
                <w:szCs w:val="21"/>
              </w:rPr>
            </w:pPr>
          </w:p>
        </w:tc>
        <w:tc>
          <w:tcPr>
            <w:tcW w:w="1944" w:type="dxa"/>
            <w:noWrap/>
            <w:vAlign w:val="center"/>
          </w:tcPr>
          <w:p>
            <w:pPr>
              <w:autoSpaceDE w:val="0"/>
              <w:autoSpaceDN w:val="0"/>
              <w:adjustRightInd w:val="0"/>
              <w:spacing w:before="50" w:line="288" w:lineRule="auto"/>
              <w:ind w:right="97" w:firstLine="59" w:firstLineChars="28"/>
              <w:jc w:val="center"/>
              <w:rPr>
                <w:rFonts w:ascii="宋体" w:hAnsi="宋体"/>
                <w:spacing w:val="1"/>
                <w:kern w:val="0"/>
                <w:szCs w:val="21"/>
              </w:rPr>
            </w:pPr>
            <w:r>
              <w:rPr>
                <w:rFonts w:hint="eastAsia" w:ascii="宋体" w:hAnsi="宋体"/>
                <w:spacing w:val="1"/>
                <w:kern w:val="0"/>
                <w:szCs w:val="21"/>
              </w:rPr>
              <w:t>质量标准</w:t>
            </w:r>
          </w:p>
        </w:tc>
        <w:tc>
          <w:tcPr>
            <w:tcW w:w="6042" w:type="dxa"/>
            <w:noWrap/>
            <w:vAlign w:val="center"/>
          </w:tcPr>
          <w:p>
            <w:pPr>
              <w:autoSpaceDE w:val="0"/>
              <w:autoSpaceDN w:val="0"/>
              <w:adjustRightInd w:val="0"/>
              <w:spacing w:before="50" w:line="288" w:lineRule="auto"/>
              <w:ind w:right="97" w:firstLine="59" w:firstLineChars="28"/>
              <w:jc w:val="center"/>
              <w:rPr>
                <w:rFonts w:ascii="宋体" w:hAnsi="宋体"/>
                <w:spacing w:val="1"/>
                <w:kern w:val="0"/>
                <w:szCs w:val="21"/>
              </w:rPr>
            </w:pPr>
            <w:r>
              <w:rPr>
                <w:rFonts w:hint="eastAsia" w:ascii="宋体" w:hAnsi="宋体"/>
                <w:spacing w:val="1"/>
                <w:kern w:val="0"/>
                <w:szCs w:val="21"/>
              </w:rPr>
              <w:t>符合第二章</w:t>
            </w:r>
            <w:r>
              <w:rPr>
                <w:rFonts w:ascii="宋体" w:hAnsi="宋体"/>
                <w:spacing w:val="1"/>
                <w:kern w:val="0"/>
                <w:szCs w:val="21"/>
              </w:rPr>
              <w:t>“</w:t>
            </w:r>
            <w:r>
              <w:rPr>
                <w:rFonts w:hint="eastAsia" w:ascii="宋体" w:hAnsi="宋体"/>
                <w:spacing w:val="1"/>
                <w:kern w:val="0"/>
                <w:szCs w:val="21"/>
              </w:rPr>
              <w:t>供应商须知</w:t>
            </w:r>
            <w:r>
              <w:rPr>
                <w:rFonts w:ascii="宋体" w:hAnsi="宋体"/>
                <w:spacing w:val="1"/>
                <w:kern w:val="0"/>
                <w:szCs w:val="21"/>
              </w:rPr>
              <w:t>”</w:t>
            </w:r>
            <w:r>
              <w:rPr>
                <w:rFonts w:hint="eastAsia" w:ascii="宋体" w:hAnsi="宋体"/>
                <w:spacing w:val="1"/>
                <w:kern w:val="0"/>
                <w:szCs w:val="21"/>
              </w:rPr>
              <w:t>第</w:t>
            </w:r>
            <w:r>
              <w:rPr>
                <w:rFonts w:ascii="宋体" w:hAnsi="宋体"/>
                <w:spacing w:val="1"/>
                <w:kern w:val="0"/>
                <w:szCs w:val="21"/>
              </w:rPr>
              <w:t xml:space="preserve"> 1.3</w:t>
            </w:r>
            <w:r>
              <w:rPr>
                <w:rFonts w:hint="eastAsia" w:ascii="宋体" w:hAnsi="宋体"/>
                <w:spacing w:val="1"/>
                <w:kern w:val="0"/>
                <w:szCs w:val="21"/>
              </w:rPr>
              <w:t>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991" w:type="dxa"/>
            <w:vMerge w:val="continue"/>
            <w:noWrap/>
            <w:vAlign w:val="center"/>
          </w:tcPr>
          <w:p>
            <w:pPr>
              <w:autoSpaceDE w:val="0"/>
              <w:autoSpaceDN w:val="0"/>
              <w:adjustRightInd w:val="0"/>
              <w:spacing w:before="50" w:line="288" w:lineRule="auto"/>
              <w:ind w:right="97" w:firstLine="59" w:firstLineChars="28"/>
              <w:jc w:val="center"/>
              <w:rPr>
                <w:rFonts w:ascii="宋体" w:hAnsi="宋体"/>
                <w:spacing w:val="1"/>
                <w:kern w:val="0"/>
                <w:szCs w:val="21"/>
              </w:rPr>
            </w:pPr>
          </w:p>
        </w:tc>
        <w:tc>
          <w:tcPr>
            <w:tcW w:w="1944" w:type="dxa"/>
            <w:noWrap/>
            <w:vAlign w:val="center"/>
          </w:tcPr>
          <w:p>
            <w:pPr>
              <w:autoSpaceDE w:val="0"/>
              <w:autoSpaceDN w:val="0"/>
              <w:adjustRightInd w:val="0"/>
              <w:spacing w:before="50" w:line="288" w:lineRule="auto"/>
              <w:ind w:right="97" w:firstLine="59" w:firstLineChars="28"/>
              <w:jc w:val="center"/>
              <w:rPr>
                <w:rFonts w:ascii="宋体" w:hAnsi="宋体"/>
                <w:spacing w:val="1"/>
                <w:kern w:val="0"/>
                <w:szCs w:val="21"/>
              </w:rPr>
            </w:pPr>
            <w:r>
              <w:rPr>
                <w:rFonts w:hint="eastAsia" w:ascii="宋体" w:hAnsi="宋体"/>
                <w:spacing w:val="1"/>
                <w:kern w:val="0"/>
                <w:szCs w:val="21"/>
              </w:rPr>
              <w:t>磋商有效期</w:t>
            </w:r>
          </w:p>
        </w:tc>
        <w:tc>
          <w:tcPr>
            <w:tcW w:w="6042" w:type="dxa"/>
            <w:noWrap/>
            <w:vAlign w:val="center"/>
          </w:tcPr>
          <w:p>
            <w:pPr>
              <w:autoSpaceDE w:val="0"/>
              <w:autoSpaceDN w:val="0"/>
              <w:adjustRightInd w:val="0"/>
              <w:spacing w:before="50" w:line="288" w:lineRule="auto"/>
              <w:ind w:right="97" w:firstLine="59" w:firstLineChars="28"/>
              <w:jc w:val="center"/>
              <w:rPr>
                <w:rFonts w:ascii="宋体" w:hAnsi="宋体"/>
                <w:spacing w:val="1"/>
                <w:kern w:val="0"/>
                <w:szCs w:val="21"/>
              </w:rPr>
            </w:pPr>
            <w:r>
              <w:rPr>
                <w:rFonts w:hint="eastAsia" w:ascii="宋体" w:hAnsi="宋体"/>
                <w:spacing w:val="1"/>
                <w:kern w:val="0"/>
                <w:szCs w:val="21"/>
              </w:rPr>
              <w:t>符合第二章</w:t>
            </w:r>
            <w:r>
              <w:rPr>
                <w:rFonts w:ascii="宋体" w:hAnsi="宋体"/>
                <w:spacing w:val="1"/>
                <w:kern w:val="0"/>
                <w:szCs w:val="21"/>
              </w:rPr>
              <w:t>“</w:t>
            </w:r>
            <w:r>
              <w:rPr>
                <w:rFonts w:hint="eastAsia" w:ascii="宋体" w:hAnsi="宋体"/>
                <w:spacing w:val="1"/>
                <w:kern w:val="0"/>
                <w:szCs w:val="21"/>
              </w:rPr>
              <w:t>供应商须知</w:t>
            </w:r>
            <w:r>
              <w:rPr>
                <w:rFonts w:ascii="宋体" w:hAnsi="宋体"/>
                <w:spacing w:val="1"/>
                <w:kern w:val="0"/>
                <w:szCs w:val="21"/>
              </w:rPr>
              <w:t>”</w:t>
            </w:r>
            <w:r>
              <w:rPr>
                <w:rFonts w:hint="eastAsia" w:ascii="宋体" w:hAnsi="宋体"/>
                <w:spacing w:val="1"/>
                <w:kern w:val="0"/>
                <w:szCs w:val="21"/>
              </w:rPr>
              <w:t>第1.9项规定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991" w:type="dxa"/>
            <w:vMerge w:val="continue"/>
            <w:noWrap/>
            <w:vAlign w:val="center"/>
          </w:tcPr>
          <w:p>
            <w:pPr>
              <w:autoSpaceDE w:val="0"/>
              <w:autoSpaceDN w:val="0"/>
              <w:adjustRightInd w:val="0"/>
              <w:spacing w:before="50" w:line="288" w:lineRule="auto"/>
              <w:ind w:right="97" w:firstLine="59" w:firstLineChars="28"/>
              <w:jc w:val="center"/>
              <w:rPr>
                <w:rFonts w:ascii="宋体" w:hAnsi="宋体"/>
                <w:spacing w:val="1"/>
                <w:kern w:val="0"/>
                <w:szCs w:val="21"/>
              </w:rPr>
            </w:pPr>
          </w:p>
        </w:tc>
        <w:tc>
          <w:tcPr>
            <w:tcW w:w="1944" w:type="dxa"/>
            <w:noWrap/>
            <w:vAlign w:val="center"/>
          </w:tcPr>
          <w:p>
            <w:pPr>
              <w:pStyle w:val="48"/>
              <w:spacing w:line="288" w:lineRule="auto"/>
              <w:jc w:val="center"/>
              <w:rPr>
                <w:rFonts w:hAnsi="宋体"/>
                <w:color w:val="auto"/>
                <w:spacing w:val="1"/>
                <w:sz w:val="21"/>
                <w:szCs w:val="21"/>
              </w:rPr>
            </w:pPr>
            <w:r>
              <w:rPr>
                <w:rFonts w:hint="eastAsia" w:hAnsi="宋体"/>
                <w:color w:val="auto"/>
                <w:spacing w:val="1"/>
                <w:sz w:val="21"/>
                <w:szCs w:val="21"/>
              </w:rPr>
              <w:t>响应报价</w:t>
            </w:r>
          </w:p>
        </w:tc>
        <w:tc>
          <w:tcPr>
            <w:tcW w:w="6042" w:type="dxa"/>
            <w:noWrap/>
            <w:vAlign w:val="center"/>
          </w:tcPr>
          <w:p>
            <w:pPr>
              <w:spacing w:line="288" w:lineRule="auto"/>
              <w:jc w:val="center"/>
              <w:rPr>
                <w:rFonts w:ascii="宋体" w:hAnsi="宋体"/>
                <w:spacing w:val="1"/>
                <w:kern w:val="0"/>
                <w:szCs w:val="21"/>
              </w:rPr>
            </w:pPr>
            <w:r>
              <w:rPr>
                <w:rFonts w:hint="eastAsia" w:ascii="宋体" w:hAnsi="宋体"/>
                <w:spacing w:val="1"/>
                <w:kern w:val="0"/>
                <w:szCs w:val="21"/>
              </w:rPr>
              <w:t>未超过采购最高限价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991" w:type="dxa"/>
            <w:vMerge w:val="continue"/>
            <w:noWrap/>
            <w:vAlign w:val="center"/>
          </w:tcPr>
          <w:p>
            <w:pPr>
              <w:autoSpaceDE w:val="0"/>
              <w:autoSpaceDN w:val="0"/>
              <w:adjustRightInd w:val="0"/>
              <w:spacing w:before="50" w:line="288" w:lineRule="auto"/>
              <w:ind w:right="97" w:firstLine="59" w:firstLineChars="28"/>
              <w:jc w:val="center"/>
              <w:rPr>
                <w:rFonts w:ascii="宋体" w:hAnsi="宋体"/>
                <w:spacing w:val="1"/>
                <w:kern w:val="0"/>
                <w:szCs w:val="21"/>
              </w:rPr>
            </w:pPr>
          </w:p>
        </w:tc>
        <w:tc>
          <w:tcPr>
            <w:tcW w:w="1944" w:type="dxa"/>
            <w:noWrap/>
            <w:vAlign w:val="center"/>
          </w:tcPr>
          <w:p>
            <w:pPr>
              <w:pStyle w:val="48"/>
              <w:spacing w:line="288" w:lineRule="auto"/>
              <w:jc w:val="center"/>
              <w:rPr>
                <w:rFonts w:hAnsi="宋体"/>
                <w:color w:val="auto"/>
                <w:spacing w:val="1"/>
                <w:sz w:val="21"/>
                <w:szCs w:val="21"/>
              </w:rPr>
            </w:pPr>
            <w:r>
              <w:rPr>
                <w:rFonts w:hint="eastAsia" w:hAnsi="宋体"/>
                <w:color w:val="auto"/>
                <w:spacing w:val="1"/>
                <w:sz w:val="21"/>
                <w:szCs w:val="21"/>
              </w:rPr>
              <w:t>其他</w:t>
            </w:r>
          </w:p>
        </w:tc>
        <w:tc>
          <w:tcPr>
            <w:tcW w:w="6042" w:type="dxa"/>
            <w:noWrap/>
            <w:vAlign w:val="center"/>
          </w:tcPr>
          <w:p>
            <w:pPr>
              <w:spacing w:line="288" w:lineRule="auto"/>
              <w:jc w:val="center"/>
              <w:rPr>
                <w:rFonts w:ascii="宋体" w:hAnsi="宋体"/>
                <w:spacing w:val="1"/>
                <w:kern w:val="0"/>
                <w:szCs w:val="21"/>
              </w:rPr>
            </w:pPr>
            <w:r>
              <w:rPr>
                <w:rFonts w:hint="eastAsia" w:ascii="宋体" w:hAnsi="宋体"/>
                <w:spacing w:val="1"/>
                <w:kern w:val="0"/>
                <w:szCs w:val="21"/>
              </w:rPr>
              <w:t>满足采购文件中所有实质性响应条款的要求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8977" w:type="dxa"/>
            <w:gridSpan w:val="3"/>
            <w:noWrap/>
            <w:vAlign w:val="center"/>
          </w:tcPr>
          <w:p>
            <w:pPr>
              <w:spacing w:line="288" w:lineRule="auto"/>
              <w:jc w:val="left"/>
              <w:rPr>
                <w:rFonts w:ascii="宋体" w:hAnsi="宋体" w:cs="宋体"/>
                <w:b/>
                <w:bCs/>
                <w:szCs w:val="21"/>
              </w:rPr>
            </w:pPr>
            <w:r>
              <w:rPr>
                <w:rFonts w:hint="eastAsia" w:ascii="宋体" w:hAnsi="宋体" w:cs="宋体"/>
                <w:b/>
                <w:bCs/>
                <w:szCs w:val="21"/>
              </w:rPr>
              <w:t>说明：</w:t>
            </w:r>
          </w:p>
          <w:p>
            <w:pPr>
              <w:spacing w:line="288" w:lineRule="auto"/>
              <w:ind w:firstLine="211" w:firstLineChars="100"/>
              <w:jc w:val="left"/>
              <w:rPr>
                <w:rFonts w:ascii="宋体" w:hAnsi="宋体" w:cs="宋体"/>
                <w:b/>
                <w:szCs w:val="21"/>
              </w:rPr>
            </w:pPr>
            <w:r>
              <w:rPr>
                <w:rFonts w:hint="eastAsia" w:ascii="宋体" w:hAnsi="宋体" w:cs="宋体"/>
                <w:b/>
                <w:szCs w:val="21"/>
              </w:rPr>
              <w:t>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288" w:lineRule="auto"/>
              <w:ind w:firstLine="211" w:firstLineChars="100"/>
              <w:jc w:val="left"/>
              <w:rPr>
                <w:rFonts w:ascii="宋体" w:hAnsi="宋体" w:cs="宋体"/>
                <w:b/>
                <w:szCs w:val="21"/>
              </w:rPr>
            </w:pPr>
            <w:r>
              <w:rPr>
                <w:rFonts w:hint="eastAsia" w:ascii="宋体" w:hAnsi="宋体" w:cs="宋体"/>
                <w:b/>
                <w:szCs w:val="21"/>
              </w:rPr>
              <w:t>2、磋商小组要求供应商澄清、说明或者更正响应文件应当以书面形式作出；供应商的澄清、说明或者更正应当由法定代表人或其委托代理人签字或者加盖公章；并作为其响应文件的组成部分。</w:t>
            </w:r>
          </w:p>
          <w:p>
            <w:pPr>
              <w:spacing w:line="288" w:lineRule="auto"/>
              <w:ind w:firstLine="211" w:firstLineChars="100"/>
              <w:jc w:val="left"/>
              <w:rPr>
                <w:rFonts w:ascii="宋体" w:hAnsi="宋体"/>
                <w:spacing w:val="1"/>
                <w:kern w:val="0"/>
                <w:szCs w:val="21"/>
              </w:rPr>
            </w:pPr>
            <w:r>
              <w:rPr>
                <w:rFonts w:hint="eastAsia" w:ascii="宋体" w:hAnsi="宋体" w:cs="宋体"/>
                <w:b/>
                <w:szCs w:val="21"/>
              </w:rPr>
              <w:t>3、磋商小组对供应商提交的澄清、说明或更正有疑问的，可以要求供应商进一步澄清、说明或补正，直至满足磋商小组的要求。</w:t>
            </w:r>
          </w:p>
        </w:tc>
      </w:tr>
    </w:tbl>
    <w:p>
      <w:pPr>
        <w:pStyle w:val="16"/>
        <w:spacing w:line="288" w:lineRule="auto"/>
        <w:rPr>
          <w:rFonts w:hAnsi="宋体"/>
          <w:b/>
          <w:sz w:val="36"/>
        </w:rPr>
      </w:pPr>
    </w:p>
    <w:p>
      <w:pPr>
        <w:tabs>
          <w:tab w:val="left" w:pos="0"/>
          <w:tab w:val="left" w:pos="1050"/>
        </w:tabs>
        <w:spacing w:line="288" w:lineRule="auto"/>
        <w:ind w:firstLine="420" w:firstLineChars="200"/>
        <w:rPr>
          <w:rFonts w:ascii="宋体" w:hAnsi="宋体" w:cs="宋体"/>
          <w:szCs w:val="21"/>
        </w:rPr>
      </w:pPr>
      <w:r>
        <w:rPr>
          <w:rFonts w:hint="eastAsia" w:ascii="宋体" w:hAnsi="宋体" w:cs="宋体"/>
          <w:szCs w:val="21"/>
        </w:rPr>
        <w:t>1.1磋商报价有算术错误的，磋商小组按以下原则对磋商报价进行修正，修正的价格经供应商书面确认后具有约束力；供应商不接受修正价格的，其磋商作无效标处理。</w:t>
      </w:r>
    </w:p>
    <w:p>
      <w:pPr>
        <w:spacing w:line="288" w:lineRule="auto"/>
        <w:ind w:firstLine="420" w:firstLineChars="200"/>
        <w:rPr>
          <w:rFonts w:ascii="宋体" w:hAnsi="宋体" w:cs="宋体"/>
          <w:szCs w:val="21"/>
        </w:rPr>
      </w:pPr>
      <w:r>
        <w:rPr>
          <w:rFonts w:hint="eastAsia" w:ascii="宋体" w:hAnsi="宋体" w:cs="宋体"/>
          <w:szCs w:val="21"/>
        </w:rPr>
        <w:t>（1）响应文件中的大写金额与小写金额不一致的，以大写金额为准；</w:t>
      </w:r>
    </w:p>
    <w:p>
      <w:pPr>
        <w:tabs>
          <w:tab w:val="left" w:pos="0"/>
        </w:tabs>
        <w:spacing w:line="288" w:lineRule="auto"/>
        <w:ind w:firstLine="420" w:firstLineChars="200"/>
        <w:rPr>
          <w:rFonts w:ascii="宋体" w:hAnsi="宋体" w:cs="宋体"/>
          <w:szCs w:val="21"/>
        </w:rPr>
      </w:pPr>
      <w:r>
        <w:rPr>
          <w:rFonts w:hint="eastAsia" w:ascii="宋体" w:hAnsi="宋体" w:cs="宋体"/>
          <w:szCs w:val="21"/>
        </w:rPr>
        <w:t>（2）总价金额与依据单价计算出的结果不一致的，以单价金额为准修正总价，但单价金额小数点有明显错误的除外。</w:t>
      </w:r>
    </w:p>
    <w:p>
      <w:pPr>
        <w:tabs>
          <w:tab w:val="left" w:pos="0"/>
          <w:tab w:val="left" w:pos="1050"/>
        </w:tabs>
        <w:spacing w:line="288" w:lineRule="auto"/>
        <w:ind w:firstLine="420" w:firstLineChars="200"/>
        <w:rPr>
          <w:rFonts w:ascii="宋体" w:hAnsi="宋体" w:cs="宋体"/>
          <w:szCs w:val="21"/>
        </w:rPr>
      </w:pPr>
      <w:r>
        <w:rPr>
          <w:rFonts w:hint="eastAsia" w:ascii="宋体" w:hAnsi="宋体" w:cs="宋体"/>
          <w:szCs w:val="21"/>
        </w:rPr>
        <w:t>1.2磋商小组发现供应商的报价明显低于其他磋商报价，使得其磋商报价可能低于其个别成本的，应当要求该供应商做出书面说明并提供相应的证明材料。供应商不能合理说明或者不能提供相应证明材料的，由磋商小组认定该供应商以低于成本报价谋取成交，其响应报价做无效报价处理。</w:t>
      </w:r>
    </w:p>
    <w:p>
      <w:pPr>
        <w:tabs>
          <w:tab w:val="left" w:pos="0"/>
          <w:tab w:val="left" w:pos="1050"/>
        </w:tabs>
        <w:spacing w:line="288" w:lineRule="auto"/>
        <w:ind w:firstLine="420" w:firstLineChars="200"/>
        <w:rPr>
          <w:rFonts w:ascii="宋体" w:hAnsi="宋体" w:cs="宋体"/>
          <w:szCs w:val="21"/>
        </w:rPr>
      </w:pPr>
      <w:r>
        <w:rPr>
          <w:rFonts w:hint="eastAsia" w:ascii="宋体" w:hAnsi="宋体" w:cs="宋体"/>
          <w:szCs w:val="21"/>
        </w:rPr>
        <w:t>1.3竞争性磋商响应文件有以下情形之一的，由磋商小组按无效响应文件处理：</w:t>
      </w:r>
    </w:p>
    <w:p>
      <w:pPr>
        <w:spacing w:line="288" w:lineRule="auto"/>
        <w:ind w:firstLine="420" w:firstLineChars="200"/>
        <w:rPr>
          <w:rFonts w:ascii="宋体" w:hAnsi="宋体" w:cs="宋体"/>
          <w:szCs w:val="21"/>
        </w:rPr>
      </w:pPr>
      <w:r>
        <w:rPr>
          <w:rFonts w:hint="eastAsia" w:ascii="宋体" w:hAnsi="宋体" w:cs="宋体"/>
          <w:szCs w:val="21"/>
        </w:rPr>
        <w:t>（1）未完全响应采购文件规定的实质性要求的；</w:t>
      </w:r>
    </w:p>
    <w:p>
      <w:pPr>
        <w:spacing w:line="288" w:lineRule="auto"/>
        <w:ind w:firstLine="420" w:firstLineChars="200"/>
        <w:rPr>
          <w:rFonts w:ascii="宋体" w:hAnsi="宋体" w:cs="宋体"/>
          <w:szCs w:val="21"/>
        </w:rPr>
      </w:pPr>
      <w:r>
        <w:rPr>
          <w:rFonts w:hint="eastAsia" w:ascii="宋体" w:hAnsi="宋体" w:cs="宋体"/>
          <w:szCs w:val="21"/>
        </w:rPr>
        <w:t>（2）磋商响应文件附有采购人不能接受的条件的；</w:t>
      </w:r>
    </w:p>
    <w:p>
      <w:pPr>
        <w:spacing w:line="288" w:lineRule="auto"/>
        <w:ind w:firstLine="420" w:firstLineChars="200"/>
        <w:rPr>
          <w:rFonts w:ascii="宋体" w:hAnsi="宋体" w:cs="宋体"/>
          <w:szCs w:val="21"/>
        </w:rPr>
      </w:pPr>
      <w:r>
        <w:rPr>
          <w:rFonts w:hint="eastAsia" w:ascii="宋体" w:hAnsi="宋体" w:cs="宋体"/>
          <w:szCs w:val="21"/>
        </w:rPr>
        <w:t>（3）串通磋商或弄虚作假或有其他违法行为的；</w:t>
      </w:r>
    </w:p>
    <w:p>
      <w:pPr>
        <w:spacing w:line="288" w:lineRule="auto"/>
        <w:ind w:firstLine="420" w:firstLineChars="200"/>
        <w:rPr>
          <w:rFonts w:ascii="宋体" w:hAnsi="宋体" w:cs="宋体"/>
          <w:szCs w:val="21"/>
        </w:rPr>
      </w:pPr>
      <w:r>
        <w:rPr>
          <w:rFonts w:hint="eastAsia" w:ascii="宋体" w:hAnsi="宋体" w:cs="宋体"/>
          <w:szCs w:val="21"/>
        </w:rPr>
        <w:t>（4）不按磋商小组要求澄清、说明或更正的；</w:t>
      </w:r>
    </w:p>
    <w:p>
      <w:pPr>
        <w:spacing w:line="288" w:lineRule="auto"/>
        <w:ind w:firstLine="420" w:firstLineChars="200"/>
        <w:rPr>
          <w:rFonts w:ascii="宋体" w:hAnsi="宋体" w:cs="宋体"/>
          <w:szCs w:val="21"/>
        </w:rPr>
      </w:pPr>
      <w:r>
        <w:rPr>
          <w:rFonts w:hint="eastAsia" w:ascii="宋体" w:hAnsi="宋体" w:cs="宋体"/>
          <w:szCs w:val="21"/>
        </w:rPr>
        <w:t>（5）在规定的截止时间后递交竞争性磋商响应文件的；</w:t>
      </w:r>
    </w:p>
    <w:p>
      <w:pPr>
        <w:spacing w:line="288" w:lineRule="auto"/>
        <w:ind w:firstLine="420" w:firstLineChars="200"/>
        <w:rPr>
          <w:rFonts w:ascii="宋体" w:hAnsi="宋体" w:cs="宋体"/>
          <w:szCs w:val="21"/>
        </w:rPr>
      </w:pPr>
      <w:r>
        <w:rPr>
          <w:rFonts w:hint="eastAsia" w:ascii="宋体" w:hAnsi="宋体" w:cs="宋体"/>
          <w:szCs w:val="21"/>
        </w:rPr>
        <w:t>（6）不符合法律、法规和竞争性磋商文件规定的其他实质性要求的；</w:t>
      </w:r>
    </w:p>
    <w:p>
      <w:pPr>
        <w:widowControl/>
        <w:spacing w:line="288" w:lineRule="auto"/>
        <w:ind w:firstLine="420" w:firstLineChars="200"/>
        <w:rPr>
          <w:rFonts w:ascii="宋体" w:hAnsi="宋体" w:cs="宋体"/>
          <w:szCs w:val="21"/>
        </w:rPr>
      </w:pPr>
      <w:r>
        <w:rPr>
          <w:rFonts w:hint="eastAsia" w:ascii="宋体" w:hAnsi="宋体" w:cs="宋体"/>
          <w:szCs w:val="21"/>
        </w:rPr>
        <w:t>（7）出现影响采购公正的违法、违规行为的</w:t>
      </w:r>
    </w:p>
    <w:p>
      <w:pPr>
        <w:spacing w:line="288" w:lineRule="auto"/>
        <w:ind w:firstLine="420" w:firstLineChars="200"/>
        <w:rPr>
          <w:rFonts w:ascii="宋体" w:hAnsi="宋体" w:cs="宋体"/>
          <w:szCs w:val="21"/>
          <w:lang w:val="zh-CN"/>
        </w:rPr>
      </w:pPr>
      <w:r>
        <w:rPr>
          <w:rFonts w:hint="eastAsia" w:ascii="宋体" w:hAnsi="宋体" w:cs="宋体"/>
          <w:szCs w:val="21"/>
        </w:rPr>
        <w:t>（8）投标（响应）文件制作机器码一致的</w:t>
      </w:r>
    </w:p>
    <w:p>
      <w:pPr>
        <w:spacing w:line="288" w:lineRule="auto"/>
        <w:ind w:firstLine="420" w:firstLineChars="200"/>
        <w:rPr>
          <w:rFonts w:ascii="宋体" w:hAnsi="宋体" w:cs="宋体"/>
          <w:szCs w:val="21"/>
        </w:rPr>
      </w:pPr>
      <w:r>
        <w:rPr>
          <w:rFonts w:hint="eastAsia" w:ascii="宋体" w:hAnsi="宋体" w:cs="宋体"/>
          <w:bCs/>
          <w:szCs w:val="21"/>
        </w:rPr>
        <w:t>2、磋商小组所有成员集中与通过初步评审的供应商分别进行磋商，并给予所有参加</w:t>
      </w:r>
      <w:r>
        <w:rPr>
          <w:rFonts w:hint="eastAsia" w:ascii="宋体" w:hAnsi="宋体" w:cs="宋体"/>
          <w:szCs w:val="21"/>
        </w:rPr>
        <w:t>磋商的供应商平等的磋商机会；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当及时以书面形式同时通知所有参加磋商的供应商，供应商应当按照磋商文件的变动情况和磋商小组的要求重新提交响应文件，并由其法定代表人或委托代理人签字或者加盖公章；由委托代理人签字的，应当附法定代表人授权书。</w:t>
      </w:r>
    </w:p>
    <w:p>
      <w:pPr>
        <w:spacing w:line="288" w:lineRule="auto"/>
        <w:ind w:firstLine="420" w:firstLineChars="200"/>
        <w:rPr>
          <w:rFonts w:ascii="宋体" w:hAnsi="宋体" w:cs="宋体"/>
          <w:szCs w:val="21"/>
        </w:rPr>
      </w:pPr>
      <w:r>
        <w:rPr>
          <w:rFonts w:hint="eastAsia" w:ascii="宋体" w:hAnsi="宋体" w:cs="宋体"/>
          <w:bCs/>
          <w:szCs w:val="21"/>
        </w:rPr>
        <w:t>3、磋商文件能够详细列明采购标的技术、服务要求的，磋商结束后，磋商小组应当要求所有实质性响应的供应商在规定时间内提交最后报价；磋商文件不能详细列明采购标的的技术、服务</w:t>
      </w:r>
      <w:r>
        <w:rPr>
          <w:rFonts w:hint="eastAsia" w:ascii="宋体" w:hAnsi="宋体" w:cs="宋体"/>
          <w:szCs w:val="21"/>
        </w:rPr>
        <w:t>要求，需经磋商由供应商提供最终设计方案或解决方案的，磋商结束后，磋商小组应当按照少数服从多数的原则投票推荐3家以上供应商的设计方案或者解决方案，并要求其在规定时间内提交最后报价。</w:t>
      </w:r>
    </w:p>
    <w:p>
      <w:pPr>
        <w:spacing w:line="288" w:lineRule="auto"/>
        <w:ind w:firstLine="420" w:firstLineChars="200"/>
        <w:rPr>
          <w:rFonts w:ascii="宋体" w:hAnsi="宋体" w:cs="宋体"/>
          <w:szCs w:val="21"/>
        </w:rPr>
      </w:pPr>
      <w:r>
        <w:rPr>
          <w:rFonts w:hint="eastAsia" w:ascii="宋体" w:hAnsi="宋体" w:cs="宋体"/>
          <w:bCs/>
          <w:szCs w:val="21"/>
        </w:rPr>
        <w:t>4、经磋商确定最终采购需求和提交最后报价的供应商，</w:t>
      </w:r>
      <w:r>
        <w:rPr>
          <w:rFonts w:hint="eastAsia" w:ascii="宋体" w:hAnsi="宋体" w:cs="宋体"/>
          <w:szCs w:val="21"/>
        </w:rPr>
        <w:t>由磋商小组根据“第5条评分标准”规定的评分分值和评分因素对提交最后报价的供应商的响应文件和最后报价进行综合评分。</w:t>
      </w:r>
    </w:p>
    <w:p>
      <w:pPr>
        <w:spacing w:line="288" w:lineRule="auto"/>
        <w:ind w:firstLine="420" w:firstLineChars="200"/>
        <w:rPr>
          <w:rFonts w:ascii="宋体" w:hAnsi="宋体" w:cs="宋体"/>
          <w:szCs w:val="21"/>
        </w:rPr>
      </w:pPr>
      <w:r>
        <w:rPr>
          <w:rFonts w:hint="eastAsia" w:ascii="宋体" w:hAnsi="宋体" w:cs="宋体"/>
          <w:szCs w:val="21"/>
        </w:rPr>
        <w:t>注：</w:t>
      </w:r>
    </w:p>
    <w:p>
      <w:pPr>
        <w:spacing w:line="288" w:lineRule="auto"/>
        <w:ind w:firstLine="420" w:firstLineChars="200"/>
        <w:rPr>
          <w:rFonts w:ascii="宋体" w:hAnsi="宋体" w:cs="宋体"/>
          <w:szCs w:val="21"/>
        </w:rPr>
      </w:pPr>
      <w:r>
        <w:rPr>
          <w:rFonts w:hint="eastAsia" w:ascii="宋体" w:hAnsi="宋体" w:cs="宋体"/>
          <w:szCs w:val="21"/>
        </w:rPr>
        <w:t>不同供应商以相同品牌产品参加同一合同项下磋商，且通过资格审查、符合性审查的，按一家供应商计算，评审后得分最高的同品牌供应商获得成交人推荐资格；评审得分相同的，由采购人或者采购人委托磋商小组采取随机抽取方式确定，其他同品牌供应商不作为成交候选人。</w:t>
      </w:r>
    </w:p>
    <w:p>
      <w:pPr>
        <w:spacing w:line="288" w:lineRule="auto"/>
        <w:ind w:firstLine="420" w:firstLineChars="200"/>
        <w:rPr>
          <w:rFonts w:ascii="宋体" w:hAnsi="宋体" w:cs="宋体"/>
          <w:szCs w:val="21"/>
          <w:lang w:val="zh-CN"/>
        </w:rPr>
      </w:pPr>
      <w:bookmarkStart w:id="83" w:name="_Toc507418350"/>
      <w:bookmarkStart w:id="84" w:name="_Toc7417"/>
      <w:bookmarkStart w:id="85" w:name="_Toc507418000"/>
      <w:bookmarkStart w:id="86" w:name="_Toc488584001"/>
      <w:r>
        <w:rPr>
          <w:rFonts w:hint="eastAsia" w:ascii="宋体" w:hAnsi="宋体" w:cs="宋体"/>
          <w:szCs w:val="21"/>
          <w:lang w:val="zh-CN"/>
        </w:rPr>
        <w:t>5、评分标准</w:t>
      </w:r>
      <w:bookmarkEnd w:id="83"/>
      <w:bookmarkEnd w:id="84"/>
      <w:bookmarkEnd w:id="85"/>
      <w:bookmarkEnd w:id="86"/>
    </w:p>
    <w:p>
      <w:pPr>
        <w:autoSpaceDE w:val="0"/>
        <w:autoSpaceDN w:val="0"/>
        <w:adjustRightInd w:val="0"/>
        <w:snapToGrid w:val="0"/>
        <w:spacing w:line="288" w:lineRule="auto"/>
        <w:ind w:firstLine="420" w:firstLineChars="200"/>
        <w:rPr>
          <w:rFonts w:ascii="宋体" w:hAnsi="宋体" w:cs="宋体"/>
          <w:szCs w:val="21"/>
        </w:rPr>
      </w:pPr>
      <w:r>
        <w:rPr>
          <w:rFonts w:hint="eastAsia" w:ascii="宋体" w:hAnsi="宋体" w:cs="宋体"/>
          <w:szCs w:val="21"/>
        </w:rPr>
        <w:t>5.1、采用综合评分法的项目，按以下规则进行评审：经磋商确定最终采购需求和提交最后报价的供应商后，由磋商小组</w:t>
      </w:r>
      <w:r>
        <w:rPr>
          <w:rFonts w:hint="eastAsia" w:ascii="宋体" w:hAnsi="宋体" w:cs="宋体"/>
          <w:kern w:val="0"/>
          <w:szCs w:val="21"/>
        </w:rPr>
        <w:t>各成员独立</w:t>
      </w:r>
      <w:r>
        <w:rPr>
          <w:rFonts w:hint="eastAsia" w:ascii="宋体" w:hAnsi="宋体" w:cs="宋体"/>
          <w:szCs w:val="21"/>
        </w:rPr>
        <w:t>采用综合评分法对提交最后报价的供应商的响应文件和最后报价进行综合评分。</w:t>
      </w:r>
    </w:p>
    <w:p>
      <w:pPr>
        <w:adjustRightInd w:val="0"/>
        <w:spacing w:line="288" w:lineRule="auto"/>
        <w:ind w:firstLine="420" w:firstLineChars="200"/>
        <w:jc w:val="left"/>
        <w:rPr>
          <w:rFonts w:ascii="宋体" w:hAnsi="宋体" w:cs="宋体"/>
          <w:szCs w:val="21"/>
        </w:rPr>
      </w:pPr>
      <w:r>
        <w:rPr>
          <w:rFonts w:hint="eastAsia" w:ascii="宋体" w:hAnsi="宋体" w:cs="宋体"/>
          <w:szCs w:val="21"/>
        </w:rPr>
        <w:t>全体磋商小组成员对供应商评分的算术平均值即为该供应商最终得分，评分和计算结果均保留小数点后2位。</w:t>
      </w:r>
    </w:p>
    <w:tbl>
      <w:tblPr>
        <w:tblStyle w:val="30"/>
        <w:tblpPr w:leftFromText="180" w:rightFromText="180" w:vertAnchor="text" w:horzAnchor="page" w:tblpX="1710" w:tblpY="70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1692"/>
        <w:gridCol w:w="860"/>
        <w:gridCol w:w="4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242" w:type="dxa"/>
            <w:vAlign w:val="center"/>
          </w:tcPr>
          <w:p>
            <w:pPr>
              <w:adjustRightInd w:val="0"/>
              <w:snapToGrid w:val="0"/>
              <w:jc w:val="center"/>
              <w:rPr>
                <w:rFonts w:ascii="宋体" w:hAnsi="宋体"/>
                <w:color w:val="000000"/>
                <w:szCs w:val="21"/>
              </w:rPr>
            </w:pPr>
            <w:r>
              <w:rPr>
                <w:rFonts w:hint="eastAsia" w:ascii="宋体" w:hAnsi="宋体"/>
                <w:color w:val="000000"/>
                <w:szCs w:val="21"/>
              </w:rPr>
              <w:t>评审类别</w:t>
            </w:r>
          </w:p>
        </w:tc>
        <w:tc>
          <w:tcPr>
            <w:tcW w:w="1692" w:type="dxa"/>
            <w:vAlign w:val="center"/>
          </w:tcPr>
          <w:p>
            <w:pPr>
              <w:adjustRightInd w:val="0"/>
              <w:snapToGrid w:val="0"/>
              <w:jc w:val="center"/>
              <w:rPr>
                <w:rFonts w:ascii="宋体" w:hAnsi="宋体"/>
                <w:color w:val="000000"/>
                <w:szCs w:val="21"/>
              </w:rPr>
            </w:pPr>
            <w:r>
              <w:rPr>
                <w:rFonts w:hint="eastAsia" w:ascii="宋体" w:hAnsi="宋体"/>
                <w:color w:val="000000"/>
                <w:szCs w:val="21"/>
              </w:rPr>
              <w:t>评分内容</w:t>
            </w:r>
          </w:p>
        </w:tc>
        <w:tc>
          <w:tcPr>
            <w:tcW w:w="860" w:type="dxa"/>
            <w:vAlign w:val="center"/>
          </w:tcPr>
          <w:p>
            <w:pPr>
              <w:adjustRightInd w:val="0"/>
              <w:snapToGrid w:val="0"/>
              <w:jc w:val="center"/>
              <w:rPr>
                <w:rFonts w:ascii="宋体" w:hAnsi="宋体"/>
                <w:color w:val="000000"/>
                <w:szCs w:val="21"/>
              </w:rPr>
            </w:pPr>
            <w:r>
              <w:rPr>
                <w:rFonts w:hint="eastAsia" w:ascii="宋体" w:hAnsi="宋体"/>
                <w:color w:val="000000"/>
                <w:szCs w:val="21"/>
              </w:rPr>
              <w:t>分值</w:t>
            </w:r>
          </w:p>
        </w:tc>
        <w:tc>
          <w:tcPr>
            <w:tcW w:w="4728" w:type="dxa"/>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trPr>
        <w:tc>
          <w:tcPr>
            <w:tcW w:w="1242" w:type="dxa"/>
            <w:vAlign w:val="center"/>
          </w:tcPr>
          <w:p>
            <w:pPr>
              <w:adjustRightInd w:val="0"/>
              <w:snapToGrid w:val="0"/>
              <w:jc w:val="center"/>
              <w:rPr>
                <w:rFonts w:ascii="宋体" w:hAnsi="宋体"/>
                <w:color w:val="000000"/>
                <w:szCs w:val="21"/>
              </w:rPr>
            </w:pPr>
            <w:r>
              <w:rPr>
                <w:rFonts w:hint="eastAsia" w:ascii="宋体" w:hAnsi="宋体"/>
                <w:color w:val="000000"/>
                <w:szCs w:val="21"/>
              </w:rPr>
              <w:t>价格部分</w:t>
            </w:r>
          </w:p>
        </w:tc>
        <w:tc>
          <w:tcPr>
            <w:tcW w:w="1692" w:type="dxa"/>
            <w:vAlign w:val="center"/>
          </w:tcPr>
          <w:p>
            <w:pPr>
              <w:adjustRightInd w:val="0"/>
              <w:snapToGrid w:val="0"/>
              <w:jc w:val="center"/>
              <w:rPr>
                <w:rFonts w:ascii="宋体" w:hAnsi="宋体"/>
                <w:color w:val="000000"/>
                <w:szCs w:val="21"/>
              </w:rPr>
            </w:pPr>
            <w:r>
              <w:rPr>
                <w:rFonts w:hint="eastAsia" w:ascii="宋体" w:hAnsi="宋体"/>
                <w:color w:val="000000"/>
                <w:szCs w:val="21"/>
              </w:rPr>
              <w:t>报价</w:t>
            </w:r>
          </w:p>
        </w:tc>
        <w:tc>
          <w:tcPr>
            <w:tcW w:w="860" w:type="dxa"/>
            <w:vAlign w:val="center"/>
          </w:tcPr>
          <w:p>
            <w:pPr>
              <w:adjustRightInd w:val="0"/>
              <w:snapToGrid w:val="0"/>
              <w:jc w:val="center"/>
              <w:rPr>
                <w:rFonts w:ascii="宋体" w:hAnsi="宋体"/>
                <w:color w:val="000000"/>
                <w:szCs w:val="21"/>
              </w:rPr>
            </w:pPr>
            <w:r>
              <w:rPr>
                <w:rFonts w:hint="eastAsia" w:ascii="宋体" w:hAnsi="宋体"/>
                <w:color w:val="000000"/>
                <w:szCs w:val="21"/>
              </w:rPr>
              <w:t>30分</w:t>
            </w:r>
          </w:p>
        </w:tc>
        <w:tc>
          <w:tcPr>
            <w:tcW w:w="4728" w:type="dxa"/>
            <w:vAlign w:val="center"/>
          </w:tcPr>
          <w:p>
            <w:pPr>
              <w:widowControl/>
              <w:adjustRightInd w:val="0"/>
              <w:snapToGrid w:val="0"/>
              <w:ind w:firstLine="420" w:firstLineChars="200"/>
              <w:rPr>
                <w:rFonts w:ascii="宋体" w:hAnsi="宋体"/>
                <w:color w:val="000000"/>
                <w:szCs w:val="21"/>
              </w:rPr>
            </w:pPr>
            <w:r>
              <w:rPr>
                <w:rFonts w:hint="eastAsia" w:ascii="宋体" w:hAnsi="宋体"/>
                <w:color w:val="000000"/>
                <w:szCs w:val="21"/>
              </w:rPr>
              <w:t>磋商报价分统一采用低价优先法计算，即满足磋商文件要求且投标价格最低的磋商报价为评标基准价，其价格分为满分。其他供应商的价格分统一按照下列公式计算：磋商报价得分=（评标基准价/磋商报价）×30</w:t>
            </w:r>
          </w:p>
          <w:p>
            <w:pPr>
              <w:widowControl/>
              <w:adjustRightInd w:val="0"/>
              <w:snapToGrid w:val="0"/>
              <w:ind w:firstLine="420" w:firstLineChars="200"/>
              <w:rPr>
                <w:rFonts w:ascii="宋体" w:hAnsi="宋体"/>
                <w:color w:val="000000"/>
                <w:szCs w:val="21"/>
              </w:rPr>
            </w:pPr>
            <w:r>
              <w:rPr>
                <w:rFonts w:hint="eastAsia" w:ascii="宋体" w:hAnsi="宋体"/>
                <w:color w:val="000000"/>
                <w:szCs w:val="21"/>
              </w:rPr>
              <w:t>注：根据“财库〔2020〕46号”文，对于非专门面向中小企业的项目，对小型和微型企业的(即工程施工单位为小微企业)价格给予</w:t>
            </w:r>
            <w:r>
              <w:rPr>
                <w:rFonts w:hint="eastAsia" w:ascii="宋体" w:hAnsi="宋体"/>
                <w:color w:val="000000"/>
                <w:szCs w:val="21"/>
                <w:lang w:val="en-US" w:eastAsia="zh-CN"/>
              </w:rPr>
              <w:t>5</w:t>
            </w:r>
            <w:r>
              <w:rPr>
                <w:rFonts w:hint="eastAsia" w:ascii="宋体" w:hAnsi="宋体"/>
                <w:color w:val="000000"/>
                <w:szCs w:val="21"/>
              </w:rPr>
              <w:t>%的扣除，用扣除后的价格参与评审。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242" w:type="dxa"/>
            <w:vMerge w:val="restart"/>
            <w:vAlign w:val="center"/>
          </w:tcPr>
          <w:p>
            <w:pPr>
              <w:adjustRightInd w:val="0"/>
              <w:snapToGrid w:val="0"/>
              <w:jc w:val="center"/>
              <w:rPr>
                <w:rFonts w:ascii="宋体" w:hAnsi="宋体"/>
                <w:color w:val="000000"/>
                <w:szCs w:val="21"/>
              </w:rPr>
            </w:pPr>
            <w:r>
              <w:rPr>
                <w:rFonts w:hint="eastAsia" w:ascii="宋体" w:hAnsi="宋体"/>
                <w:color w:val="000000"/>
                <w:szCs w:val="21"/>
              </w:rPr>
              <w:t>技术部分</w:t>
            </w:r>
          </w:p>
        </w:tc>
        <w:tc>
          <w:tcPr>
            <w:tcW w:w="1692"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rPr>
              <w:t>技术参数响应情况</w:t>
            </w:r>
          </w:p>
        </w:tc>
        <w:tc>
          <w:tcPr>
            <w:tcW w:w="860" w:type="dxa"/>
            <w:vAlign w:val="center"/>
          </w:tcPr>
          <w:p>
            <w:pPr>
              <w:adjustRightInd w:val="0"/>
              <w:snapToGrid w:val="0"/>
              <w:jc w:val="center"/>
              <w:rPr>
                <w:rFonts w:ascii="宋体" w:hAnsi="宋体" w:cs="宋体"/>
                <w:color w:val="000000"/>
                <w:szCs w:val="21"/>
              </w:rPr>
            </w:pPr>
            <w:r>
              <w:rPr>
                <w:rFonts w:hint="eastAsia" w:ascii="宋体" w:hAnsi="宋体" w:cs="宋体"/>
                <w:color w:val="000000"/>
                <w:szCs w:val="21"/>
                <w:lang w:val="en-US" w:eastAsia="zh-CN"/>
              </w:rPr>
              <w:t>20</w:t>
            </w:r>
            <w:r>
              <w:rPr>
                <w:rFonts w:hint="eastAsia" w:ascii="宋体" w:hAnsi="宋体" w:cs="宋体"/>
                <w:color w:val="000000"/>
                <w:szCs w:val="21"/>
              </w:rPr>
              <w:t>分</w:t>
            </w:r>
          </w:p>
        </w:tc>
        <w:tc>
          <w:tcPr>
            <w:tcW w:w="4728" w:type="dxa"/>
            <w:vAlign w:val="center"/>
          </w:tcPr>
          <w:p>
            <w:pPr>
              <w:widowControl/>
              <w:adjustRightInd w:val="0"/>
              <w:snapToGrid w:val="0"/>
              <w:rPr>
                <w:rFonts w:ascii="宋体" w:hAnsi="宋体" w:cs="宋体"/>
                <w:color w:val="000000"/>
                <w:kern w:val="0"/>
                <w:szCs w:val="21"/>
              </w:rPr>
            </w:pPr>
            <w:r>
              <w:rPr>
                <w:rFonts w:hint="eastAsia" w:ascii="宋体" w:hAnsi="宋体" w:cs="宋体"/>
                <w:szCs w:val="21"/>
              </w:rPr>
              <w:t>满足技术指标要求得</w:t>
            </w:r>
            <w:r>
              <w:rPr>
                <w:rFonts w:hint="eastAsia" w:ascii="宋体" w:hAnsi="宋体" w:cs="宋体"/>
                <w:szCs w:val="21"/>
                <w:lang w:val="en-US" w:eastAsia="zh-CN"/>
              </w:rPr>
              <w:t>20</w:t>
            </w:r>
            <w:r>
              <w:rPr>
                <w:rFonts w:hint="eastAsia" w:ascii="宋体" w:hAnsi="宋体" w:cs="宋体"/>
                <w:szCs w:val="21"/>
              </w:rPr>
              <w:t>分。经评委认定，属“#”标记的重要技术指标存在负偏离，每项扣</w:t>
            </w:r>
            <w:r>
              <w:rPr>
                <w:rFonts w:hint="eastAsia" w:ascii="宋体" w:hAnsi="宋体" w:cs="宋体"/>
                <w:szCs w:val="21"/>
                <w:lang w:val="en-US" w:eastAsia="zh-CN"/>
              </w:rPr>
              <w:t>3</w:t>
            </w:r>
            <w:r>
              <w:rPr>
                <w:rFonts w:hint="eastAsia" w:ascii="宋体" w:hAnsi="宋体" w:cs="宋体"/>
                <w:szCs w:val="21"/>
              </w:rPr>
              <w:t>分，扣完为止；非“#”标记的存在负偏离，每项扣1分，扣完为止。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242" w:type="dxa"/>
            <w:vMerge w:val="continue"/>
            <w:vAlign w:val="center"/>
          </w:tcPr>
          <w:p>
            <w:pPr>
              <w:widowControl/>
              <w:adjustRightInd w:val="0"/>
              <w:snapToGrid w:val="0"/>
            </w:pPr>
          </w:p>
        </w:tc>
        <w:tc>
          <w:tcPr>
            <w:tcW w:w="1692" w:type="dxa"/>
            <w:vAlign w:val="center"/>
          </w:tcPr>
          <w:p>
            <w:pPr>
              <w:adjustRightInd w:val="0"/>
              <w:snapToGrid w:val="0"/>
              <w:jc w:val="center"/>
              <w:rPr>
                <w:rFonts w:hint="eastAsia" w:ascii="宋体" w:hAnsi="宋体" w:cs="宋体"/>
                <w:szCs w:val="21"/>
              </w:rPr>
            </w:pPr>
            <w:r>
              <w:rPr>
                <w:rFonts w:hint="eastAsia" w:ascii="宋体" w:hAnsi="宋体" w:cs="宋体"/>
                <w:szCs w:val="21"/>
              </w:rPr>
              <w:t>货物质量性能</w:t>
            </w:r>
          </w:p>
        </w:tc>
        <w:tc>
          <w:tcPr>
            <w:tcW w:w="860" w:type="dxa"/>
            <w:vAlign w:val="center"/>
          </w:tcPr>
          <w:p>
            <w:pPr>
              <w:adjustRightInd w:val="0"/>
              <w:snapToGrid w:val="0"/>
              <w:jc w:val="center"/>
              <w:rPr>
                <w:rFonts w:hint="eastAsia" w:ascii="宋体" w:hAnsi="宋体" w:cs="宋体"/>
                <w:color w:val="000000"/>
                <w:szCs w:val="21"/>
                <w:lang w:val="en-US" w:eastAsia="zh-CN"/>
              </w:rPr>
            </w:pPr>
            <w:r>
              <w:rPr>
                <w:rFonts w:hint="eastAsia" w:ascii="宋体" w:hAnsi="宋体" w:cs="宋体"/>
                <w:color w:val="000000"/>
                <w:szCs w:val="21"/>
                <w:lang w:val="en-US" w:eastAsia="zh-CN"/>
              </w:rPr>
              <w:t>6</w:t>
            </w:r>
            <w:r>
              <w:rPr>
                <w:rFonts w:hint="eastAsia" w:ascii="宋体" w:hAnsi="宋体" w:cs="宋体"/>
                <w:color w:val="000000"/>
                <w:szCs w:val="21"/>
              </w:rPr>
              <w:t>分</w:t>
            </w:r>
          </w:p>
        </w:tc>
        <w:tc>
          <w:tcPr>
            <w:tcW w:w="4728" w:type="dxa"/>
            <w:vAlign w:val="center"/>
          </w:tcPr>
          <w:p>
            <w:pPr>
              <w:adjustRightInd w:val="0"/>
              <w:snapToGrid w:val="0"/>
              <w:rPr>
                <w:rFonts w:ascii="宋体" w:hAnsi="宋体" w:cs="宋体"/>
              </w:rPr>
            </w:pPr>
            <w:r>
              <w:rPr>
                <w:rFonts w:hint="eastAsia" w:ascii="宋体" w:hAnsi="宋体" w:cs="宋体"/>
              </w:rPr>
              <w:t>1、由磋商小组根据项目特性结合各投标设备制造工艺、稳定性等进行打分：</w:t>
            </w:r>
          </w:p>
          <w:p>
            <w:pPr>
              <w:adjustRightInd w:val="0"/>
              <w:snapToGrid w:val="0"/>
              <w:rPr>
                <w:rFonts w:ascii="宋体" w:hAnsi="宋体" w:cs="宋体"/>
              </w:rPr>
            </w:pPr>
            <w:r>
              <w:rPr>
                <w:rFonts w:hint="eastAsia" w:ascii="宋体" w:hAnsi="宋体" w:cs="宋体"/>
              </w:rPr>
              <w:t>投标产品制造工艺、稳定性好、故障率低等，的得</w:t>
            </w:r>
            <w:r>
              <w:rPr>
                <w:rFonts w:hint="eastAsia" w:ascii="宋体" w:hAnsi="宋体" w:cs="宋体"/>
                <w:lang w:val="en-US" w:eastAsia="zh-CN"/>
              </w:rPr>
              <w:t>3</w:t>
            </w:r>
            <w:r>
              <w:rPr>
                <w:rFonts w:hint="eastAsia" w:ascii="宋体" w:hAnsi="宋体" w:cs="宋体"/>
              </w:rPr>
              <w:t>分；</w:t>
            </w:r>
          </w:p>
          <w:p>
            <w:pPr>
              <w:adjustRightInd w:val="0"/>
              <w:snapToGrid w:val="0"/>
              <w:rPr>
                <w:rFonts w:ascii="宋体" w:hAnsi="宋体" w:cs="宋体"/>
              </w:rPr>
            </w:pPr>
            <w:r>
              <w:rPr>
                <w:rFonts w:hint="eastAsia" w:ascii="宋体" w:hAnsi="宋体" w:cs="宋体"/>
              </w:rPr>
              <w:t>投标产品制造工艺、稳定性较好，故障率一般的得</w:t>
            </w:r>
            <w:r>
              <w:rPr>
                <w:rFonts w:hint="eastAsia" w:ascii="宋体" w:hAnsi="宋体" w:cs="宋体"/>
                <w:lang w:val="en-US" w:eastAsia="zh-CN"/>
              </w:rPr>
              <w:t>2</w:t>
            </w:r>
            <w:r>
              <w:rPr>
                <w:rFonts w:hint="eastAsia" w:ascii="宋体" w:hAnsi="宋体" w:cs="宋体"/>
              </w:rPr>
              <w:t>分</w:t>
            </w:r>
          </w:p>
          <w:p>
            <w:pPr>
              <w:adjustRightInd w:val="0"/>
              <w:snapToGrid w:val="0"/>
              <w:rPr>
                <w:rFonts w:ascii="宋体" w:hAnsi="宋体" w:cs="宋体"/>
              </w:rPr>
            </w:pPr>
            <w:r>
              <w:rPr>
                <w:rFonts w:hint="eastAsia" w:ascii="宋体" w:hAnsi="宋体" w:cs="宋体"/>
              </w:rPr>
              <w:t>投标产品制造工艺一般、稳定性一般、故障率高于国内平均水平的得1分</w:t>
            </w:r>
          </w:p>
          <w:p>
            <w:pPr>
              <w:adjustRightInd w:val="0"/>
              <w:snapToGrid w:val="0"/>
              <w:rPr>
                <w:rFonts w:ascii="宋体" w:hAnsi="宋体" w:cs="宋体"/>
              </w:rPr>
            </w:pPr>
            <w:r>
              <w:rPr>
                <w:rFonts w:hint="eastAsia" w:ascii="宋体" w:hAnsi="宋体" w:cs="宋体"/>
              </w:rPr>
              <w:t>2、由评委根据项目特性结合各投标设备操控性、性能及技术先进性等进行打分：</w:t>
            </w:r>
          </w:p>
          <w:p>
            <w:pPr>
              <w:adjustRightInd w:val="0"/>
              <w:snapToGrid w:val="0"/>
              <w:rPr>
                <w:rFonts w:ascii="宋体" w:hAnsi="宋体" w:cs="宋体"/>
              </w:rPr>
            </w:pPr>
            <w:r>
              <w:rPr>
                <w:rFonts w:hint="eastAsia" w:ascii="宋体" w:hAnsi="宋体" w:cs="宋体"/>
              </w:rPr>
              <w:t>所投产品优秀，操控性强、性能好、技术处于国际领先水平的得</w:t>
            </w:r>
            <w:r>
              <w:rPr>
                <w:rFonts w:hint="eastAsia" w:ascii="宋体" w:hAnsi="宋体" w:cs="宋体"/>
                <w:lang w:val="en-US" w:eastAsia="zh-CN"/>
              </w:rPr>
              <w:t>3</w:t>
            </w:r>
            <w:r>
              <w:rPr>
                <w:rFonts w:hint="eastAsia" w:ascii="宋体" w:hAnsi="宋体" w:cs="宋体"/>
              </w:rPr>
              <w:t>分。</w:t>
            </w:r>
          </w:p>
          <w:p>
            <w:pPr>
              <w:adjustRightInd w:val="0"/>
              <w:snapToGrid w:val="0"/>
              <w:rPr>
                <w:rFonts w:ascii="宋体" w:hAnsi="宋体" w:cs="宋体"/>
              </w:rPr>
            </w:pPr>
            <w:r>
              <w:rPr>
                <w:rFonts w:hint="eastAsia" w:ascii="宋体" w:hAnsi="宋体" w:cs="宋体"/>
              </w:rPr>
              <w:t>所投产品较好，操控性较强、性能较好、技术处于国内领先水平的得</w:t>
            </w:r>
            <w:r>
              <w:rPr>
                <w:rFonts w:hint="eastAsia" w:ascii="宋体" w:hAnsi="宋体" w:cs="宋体"/>
                <w:lang w:val="en-US" w:eastAsia="zh-CN"/>
              </w:rPr>
              <w:t>2</w:t>
            </w:r>
            <w:r>
              <w:rPr>
                <w:rFonts w:hint="eastAsia" w:ascii="宋体" w:hAnsi="宋体" w:cs="宋体"/>
              </w:rPr>
              <w:t>分。</w:t>
            </w:r>
          </w:p>
          <w:p>
            <w:pPr>
              <w:adjustRightInd w:val="0"/>
              <w:snapToGrid w:val="0"/>
              <w:rPr>
                <w:rFonts w:hint="eastAsia" w:ascii="宋体" w:hAnsi="宋体" w:cs="宋体"/>
                <w:color w:val="000000"/>
                <w:szCs w:val="21"/>
                <w:lang w:val="en-US" w:eastAsia="zh-CN"/>
              </w:rPr>
            </w:pPr>
            <w:r>
              <w:rPr>
                <w:rFonts w:hint="eastAsia" w:ascii="宋体" w:hAnsi="宋体" w:cs="宋体"/>
              </w:rPr>
              <w:t>所投产品一般，操控性一般、性能一般、技术处于国内平均水平的得1分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242" w:type="dxa"/>
            <w:vMerge w:val="continue"/>
            <w:vAlign w:val="center"/>
          </w:tcPr>
          <w:p>
            <w:pPr>
              <w:widowControl/>
              <w:adjustRightInd w:val="0"/>
              <w:snapToGrid w:val="0"/>
            </w:pPr>
          </w:p>
        </w:tc>
        <w:tc>
          <w:tcPr>
            <w:tcW w:w="1692" w:type="dxa"/>
            <w:vAlign w:val="center"/>
          </w:tcPr>
          <w:p>
            <w:pPr>
              <w:adjustRightInd w:val="0"/>
              <w:snapToGrid w:val="0"/>
              <w:jc w:val="center"/>
              <w:rPr>
                <w:rFonts w:hint="eastAsia" w:ascii="宋体" w:hAnsi="宋体" w:cs="宋体"/>
                <w:szCs w:val="21"/>
              </w:rPr>
            </w:pPr>
            <w:r>
              <w:rPr>
                <w:rFonts w:hint="eastAsia" w:ascii="宋体" w:hAnsi="宋体" w:cs="宋体"/>
                <w:szCs w:val="21"/>
              </w:rPr>
              <w:t>设计方案</w:t>
            </w:r>
          </w:p>
        </w:tc>
        <w:tc>
          <w:tcPr>
            <w:tcW w:w="860" w:type="dxa"/>
            <w:vAlign w:val="center"/>
          </w:tcPr>
          <w:p>
            <w:pPr>
              <w:adjustRightInd w:val="0"/>
              <w:snapToGrid w:val="0"/>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5分</w:t>
            </w:r>
          </w:p>
        </w:tc>
        <w:tc>
          <w:tcPr>
            <w:tcW w:w="4728" w:type="dxa"/>
            <w:vAlign w:val="center"/>
          </w:tcPr>
          <w:p>
            <w:pPr>
              <w:adjustRightInd w:val="0"/>
              <w:snapToGrid w:val="0"/>
              <w:jc w:val="left"/>
              <w:rPr>
                <w:rFonts w:hint="eastAsia" w:ascii="宋体" w:hAnsi="宋体" w:cs="宋体"/>
                <w:color w:val="000000"/>
                <w:szCs w:val="21"/>
                <w:lang w:val="en-US" w:eastAsia="zh-CN"/>
              </w:rPr>
            </w:pPr>
            <w:r>
              <w:rPr>
                <w:rFonts w:hint="eastAsia" w:ascii="宋体" w:hAnsi="宋体" w:cs="宋体"/>
                <w:color w:val="000000"/>
                <w:szCs w:val="21"/>
                <w:lang w:val="en-US" w:eastAsia="zh-CN"/>
              </w:rPr>
              <w:t>设计方案总体架构、构思、布局设计内容全面、设计周期 符合项目要求、各专业安排合理、衔接关系合理、保障措施可 行。方案针对性强、设计说明及构思详尽、内容完整得5分，方案针对性一般，设计说明及构思基本详尽、内容基本完整得2分，方案针对性不强，设计说明及构思不够详尽、内容不够 完整得1分，未提供不得分。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vAlign w:val="center"/>
          </w:tcPr>
          <w:p>
            <w:pPr>
              <w:widowControl/>
              <w:adjustRightInd w:val="0"/>
              <w:snapToGrid w:val="0"/>
            </w:pPr>
          </w:p>
        </w:tc>
        <w:tc>
          <w:tcPr>
            <w:tcW w:w="1692" w:type="dxa"/>
            <w:vAlign w:val="center"/>
          </w:tcPr>
          <w:p>
            <w:pPr>
              <w:jc w:val="center"/>
              <w:rPr>
                <w:rFonts w:hint="eastAsia" w:ascii="宋体" w:hAnsi="宋体" w:cs="宋体"/>
                <w:szCs w:val="21"/>
              </w:rPr>
            </w:pPr>
            <w:r>
              <w:rPr>
                <w:rFonts w:hint="eastAsia"/>
                <w:szCs w:val="21"/>
              </w:rPr>
              <w:t>主要施工方案与技术措施</w:t>
            </w:r>
          </w:p>
        </w:tc>
        <w:tc>
          <w:tcPr>
            <w:tcW w:w="860" w:type="dxa"/>
            <w:vAlign w:val="center"/>
          </w:tcPr>
          <w:p>
            <w:pPr>
              <w:adjustRightInd w:val="0"/>
              <w:snapToGrid w:val="0"/>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3分</w:t>
            </w:r>
          </w:p>
        </w:tc>
        <w:tc>
          <w:tcPr>
            <w:tcW w:w="4728" w:type="dxa"/>
            <w:vAlign w:val="center"/>
          </w:tcPr>
          <w:p>
            <w:pPr>
              <w:adjustRightInd w:val="0"/>
              <w:snapToGrid w:val="0"/>
              <w:jc w:val="left"/>
              <w:rPr>
                <w:rFonts w:hint="eastAsia" w:ascii="宋体" w:hAnsi="宋体" w:cs="宋体"/>
                <w:color w:val="000000"/>
                <w:szCs w:val="21"/>
                <w:lang w:val="en-US" w:eastAsia="zh-CN"/>
              </w:rPr>
            </w:pPr>
            <w:r>
              <w:rPr>
                <w:rFonts w:hint="eastAsia" w:ascii="宋体" w:hAnsi="宋体" w:cs="宋体"/>
                <w:color w:val="000000"/>
                <w:szCs w:val="21"/>
                <w:lang w:val="en-US" w:eastAsia="zh-CN"/>
              </w:rPr>
              <w:t>施工方案（含工程特点、施工重点与难点及绿色施工）总体安排合理，运用先进、合理的施工工艺、施工机械；对施工难点有先进和合理的建议。得3分。</w:t>
            </w:r>
          </w:p>
          <w:p>
            <w:pPr>
              <w:adjustRightInd w:val="0"/>
              <w:snapToGrid w:val="0"/>
              <w:jc w:val="left"/>
              <w:rPr>
                <w:rFonts w:hint="eastAsia" w:ascii="宋体" w:hAnsi="宋体" w:cs="宋体"/>
                <w:color w:val="000000"/>
                <w:szCs w:val="21"/>
                <w:lang w:val="en-US" w:eastAsia="zh-CN"/>
              </w:rPr>
            </w:pPr>
            <w:r>
              <w:rPr>
                <w:rFonts w:hint="eastAsia" w:ascii="宋体" w:hAnsi="宋体" w:cs="宋体"/>
                <w:color w:val="000000"/>
                <w:szCs w:val="21"/>
                <w:lang w:val="en-US" w:eastAsia="zh-CN"/>
              </w:rPr>
              <w:t>施工方案（含工程特点、施工重点与难点及绿色施工）总体安排合理，施工工艺、施工机械合理、可行；对施工难点有合理的建议，得1.5分。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242" w:type="dxa"/>
            <w:vMerge w:val="continue"/>
            <w:vAlign w:val="center"/>
          </w:tcPr>
          <w:p>
            <w:pPr>
              <w:widowControl/>
              <w:adjustRightInd w:val="0"/>
              <w:snapToGrid w:val="0"/>
            </w:pPr>
          </w:p>
        </w:tc>
        <w:tc>
          <w:tcPr>
            <w:tcW w:w="1692" w:type="dxa"/>
            <w:vAlign w:val="center"/>
          </w:tcPr>
          <w:p>
            <w:pPr>
              <w:jc w:val="center"/>
              <w:rPr>
                <w:rFonts w:hint="eastAsia" w:ascii="宋体" w:hAnsi="宋体" w:cs="宋体"/>
                <w:szCs w:val="21"/>
              </w:rPr>
            </w:pPr>
            <w:r>
              <w:rPr>
                <w:rFonts w:hint="eastAsia"/>
                <w:szCs w:val="21"/>
              </w:rPr>
              <w:t>质量管理体系与措施</w:t>
            </w:r>
          </w:p>
        </w:tc>
        <w:tc>
          <w:tcPr>
            <w:tcW w:w="860" w:type="dxa"/>
            <w:vAlign w:val="center"/>
          </w:tcPr>
          <w:p>
            <w:pPr>
              <w:adjustRightInd w:val="0"/>
              <w:snapToGrid w:val="0"/>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2分</w:t>
            </w:r>
          </w:p>
        </w:tc>
        <w:tc>
          <w:tcPr>
            <w:tcW w:w="4728" w:type="dxa"/>
            <w:vAlign w:val="center"/>
          </w:tcPr>
          <w:p>
            <w:pPr>
              <w:adjustRightInd w:val="0"/>
              <w:snapToGrid w:val="0"/>
              <w:jc w:val="left"/>
              <w:rPr>
                <w:rFonts w:hint="eastAsia" w:ascii="宋体" w:hAnsi="宋体" w:cs="宋体"/>
                <w:color w:val="000000"/>
                <w:szCs w:val="21"/>
                <w:lang w:val="en-US" w:eastAsia="zh-CN"/>
              </w:rPr>
            </w:pPr>
            <w:r>
              <w:rPr>
                <w:rFonts w:hint="eastAsia" w:ascii="宋体" w:hAnsi="宋体" w:cs="宋体"/>
                <w:color w:val="000000"/>
                <w:szCs w:val="21"/>
                <w:lang w:val="en-US" w:eastAsia="zh-CN"/>
              </w:rPr>
              <w:t>组织机构形式合理，有完善的指挥系统、质量监控系统、联络协调系统，对项目提出先进、可行、具体的保证措施。质量保证措施完整得力、经济、安全、切实可行。按照工程建设强制性标准和其他技术标准施工，不得偷工减料，得2分。</w:t>
            </w:r>
          </w:p>
          <w:p>
            <w:pPr>
              <w:adjustRightInd w:val="0"/>
              <w:snapToGrid w:val="0"/>
              <w:jc w:val="left"/>
              <w:rPr>
                <w:rFonts w:hint="eastAsia" w:ascii="宋体" w:hAnsi="宋体" w:cs="宋体"/>
                <w:color w:val="000000"/>
                <w:szCs w:val="21"/>
                <w:lang w:val="en-US" w:eastAsia="zh-CN"/>
              </w:rPr>
            </w:pPr>
            <w:r>
              <w:rPr>
                <w:rFonts w:hint="eastAsia" w:ascii="宋体" w:hAnsi="宋体" w:cs="宋体"/>
                <w:color w:val="000000"/>
                <w:szCs w:val="21"/>
                <w:lang w:val="en-US" w:eastAsia="zh-CN"/>
              </w:rPr>
              <w:t>组织机构形式基本合理，指挥系统、质量监控系统、联络协调系统，具体措施可行。质量保证措施经济、安全、基本可行。符合工程建设强制性标准，不得偷工减料，得1分。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242" w:type="dxa"/>
            <w:vMerge w:val="continue"/>
            <w:vAlign w:val="center"/>
          </w:tcPr>
          <w:p>
            <w:pPr>
              <w:widowControl/>
              <w:adjustRightInd w:val="0"/>
              <w:snapToGrid w:val="0"/>
            </w:pPr>
          </w:p>
        </w:tc>
        <w:tc>
          <w:tcPr>
            <w:tcW w:w="1692" w:type="dxa"/>
            <w:vAlign w:val="center"/>
          </w:tcPr>
          <w:p>
            <w:pPr>
              <w:adjustRightInd w:val="0"/>
              <w:snapToGrid w:val="0"/>
              <w:jc w:val="center"/>
              <w:rPr>
                <w:rFonts w:hint="eastAsia" w:ascii="宋体" w:hAnsi="宋体" w:cs="宋体"/>
                <w:szCs w:val="21"/>
              </w:rPr>
            </w:pPr>
            <w:r>
              <w:rPr>
                <w:rFonts w:hint="eastAsia" w:ascii="宋体" w:hAnsi="宋体" w:cs="宋体"/>
                <w:szCs w:val="21"/>
              </w:rPr>
              <w:t>安全管理体系与措施</w:t>
            </w:r>
          </w:p>
        </w:tc>
        <w:tc>
          <w:tcPr>
            <w:tcW w:w="860" w:type="dxa"/>
            <w:vAlign w:val="center"/>
          </w:tcPr>
          <w:p>
            <w:pPr>
              <w:adjustRightInd w:val="0"/>
              <w:snapToGrid w:val="0"/>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3分</w:t>
            </w:r>
          </w:p>
        </w:tc>
        <w:tc>
          <w:tcPr>
            <w:tcW w:w="4728" w:type="dxa"/>
            <w:vAlign w:val="center"/>
          </w:tcPr>
          <w:p>
            <w:pPr>
              <w:adjustRightInd w:val="0"/>
              <w:snapToGrid w:val="0"/>
              <w:jc w:val="left"/>
              <w:rPr>
                <w:rFonts w:hint="eastAsia" w:ascii="宋体" w:hAnsi="宋体" w:cs="宋体"/>
                <w:lang w:eastAsia="zh-CN"/>
              </w:rPr>
            </w:pPr>
            <w:r>
              <w:rPr>
                <w:rFonts w:hint="eastAsia" w:ascii="宋体" w:hAnsi="宋体" w:cs="宋体"/>
              </w:rPr>
              <w:t>施工安全生产保障体系健全，安全管理制度完善，安全管理目标具体，全员安全责任制明确，现场安全管理组织机构、人员配备满足国家规定要求。根据工程特点、周边环境和施工工艺，现场重大危险源辨识全面，明确有</w:t>
            </w:r>
            <w:r>
              <w:rPr>
                <w:rFonts w:hint="eastAsia" w:ascii="宋体" w:hAnsi="宋体" w:cs="宋体"/>
                <w:lang w:val="en-US" w:eastAsia="zh-CN"/>
              </w:rPr>
              <w:t>针对本项目的</w:t>
            </w:r>
            <w:r>
              <w:rPr>
                <w:rFonts w:hint="eastAsia" w:ascii="宋体" w:hAnsi="宋体" w:cs="宋体"/>
              </w:rPr>
              <w:t>相应的安全管理措施。安全技术方案措施科学合理、先进可行</w:t>
            </w:r>
            <w:r>
              <w:rPr>
                <w:rFonts w:hint="eastAsia" w:ascii="宋体" w:hAnsi="宋体" w:cs="宋体"/>
                <w:lang w:eastAsia="zh-CN"/>
              </w:rPr>
              <w:t>。</w:t>
            </w:r>
            <w:r>
              <w:rPr>
                <w:rFonts w:hint="eastAsia" w:ascii="宋体" w:hAnsi="宋体" w:cs="宋体"/>
              </w:rPr>
              <w:t>得</w:t>
            </w:r>
            <w:r>
              <w:rPr>
                <w:rFonts w:hint="eastAsia" w:ascii="宋体" w:hAnsi="宋体" w:cs="宋体"/>
                <w:lang w:val="en-US" w:eastAsia="zh-CN"/>
              </w:rPr>
              <w:t>3</w:t>
            </w:r>
            <w:r>
              <w:rPr>
                <w:rFonts w:hint="eastAsia" w:ascii="宋体" w:hAnsi="宋体" w:cs="宋体"/>
              </w:rPr>
              <w:t>分</w:t>
            </w:r>
          </w:p>
          <w:p>
            <w:pPr>
              <w:adjustRightInd w:val="0"/>
              <w:snapToGrid w:val="0"/>
              <w:jc w:val="left"/>
              <w:rPr>
                <w:rFonts w:hint="eastAsia" w:ascii="宋体" w:hAnsi="宋体" w:eastAsia="宋体" w:cs="宋体"/>
                <w:lang w:eastAsia="zh-CN"/>
              </w:rPr>
            </w:pPr>
            <w:r>
              <w:rPr>
                <w:rFonts w:hint="eastAsia" w:ascii="宋体" w:hAnsi="宋体" w:cs="宋体"/>
              </w:rPr>
              <w:t>有施工安全生产保障体系、安全责任制和安全管理制度，现场安全管理机构、人员配备满足国家规定。根据工程特点、周边环境和施工工艺，正确识别现场重大危险源并有相应的安全防护管理措施。制定有本项目相关专项施工方案（或方案计划），安全技术方案、措施基本可行</w:t>
            </w:r>
            <w:r>
              <w:rPr>
                <w:rFonts w:hint="eastAsia" w:ascii="宋体" w:hAnsi="宋体" w:cs="宋体"/>
                <w:lang w:eastAsia="zh-CN"/>
              </w:rPr>
              <w:t>。</w:t>
            </w:r>
            <w:r>
              <w:rPr>
                <w:rFonts w:hint="eastAsia" w:ascii="宋体" w:hAnsi="宋体" w:cs="宋体"/>
              </w:rPr>
              <w:t>得</w:t>
            </w:r>
            <w:r>
              <w:rPr>
                <w:rFonts w:hint="eastAsia" w:ascii="宋体" w:hAnsi="宋体" w:cs="宋体"/>
                <w:lang w:val="en-US" w:eastAsia="zh-CN"/>
              </w:rPr>
              <w:t>1.5</w:t>
            </w:r>
            <w:r>
              <w:rPr>
                <w:rFonts w:hint="eastAsia" w:ascii="宋体" w:hAnsi="宋体" w:cs="宋体"/>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242" w:type="dxa"/>
            <w:vMerge w:val="continue"/>
            <w:vAlign w:val="center"/>
          </w:tcPr>
          <w:p>
            <w:pPr>
              <w:widowControl/>
              <w:adjustRightInd w:val="0"/>
              <w:snapToGrid w:val="0"/>
            </w:pPr>
          </w:p>
        </w:tc>
        <w:tc>
          <w:tcPr>
            <w:tcW w:w="1692" w:type="dxa"/>
            <w:vAlign w:val="center"/>
          </w:tcPr>
          <w:p>
            <w:pPr>
              <w:adjustRightInd w:val="0"/>
              <w:snapToGrid w:val="0"/>
              <w:jc w:val="center"/>
              <w:rPr>
                <w:rFonts w:hint="eastAsia" w:ascii="宋体" w:hAnsi="宋体" w:cs="宋体"/>
                <w:szCs w:val="21"/>
              </w:rPr>
            </w:pPr>
            <w:r>
              <w:rPr>
                <w:rFonts w:hint="eastAsia" w:ascii="宋体" w:hAnsi="宋体" w:cs="宋体"/>
                <w:szCs w:val="21"/>
              </w:rPr>
              <w:t>文明施工、环境保护管理体系及施工现场扬尘治理措施</w:t>
            </w:r>
          </w:p>
        </w:tc>
        <w:tc>
          <w:tcPr>
            <w:tcW w:w="860" w:type="dxa"/>
            <w:vAlign w:val="center"/>
          </w:tcPr>
          <w:p>
            <w:pPr>
              <w:adjustRightInd w:val="0"/>
              <w:snapToGrid w:val="0"/>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3分</w:t>
            </w:r>
          </w:p>
        </w:tc>
        <w:tc>
          <w:tcPr>
            <w:tcW w:w="4728" w:type="dxa"/>
            <w:vAlign w:val="center"/>
          </w:tcPr>
          <w:p>
            <w:pPr>
              <w:adjustRightInd w:val="0"/>
              <w:snapToGrid w:val="0"/>
              <w:rPr>
                <w:rFonts w:hint="eastAsia" w:ascii="宋体" w:hAnsi="宋体" w:eastAsia="宋体" w:cs="宋体"/>
                <w:lang w:eastAsia="zh-CN"/>
              </w:rPr>
            </w:pPr>
            <w:r>
              <w:rPr>
                <w:rFonts w:hint="eastAsia" w:ascii="宋体" w:hAnsi="宋体" w:cs="宋体"/>
              </w:rPr>
              <w:t>创安全文明标准化工地目标明确，有针对项目实际情况，科学可行的创建计划和符合相关标准、规范、规程的创建保证措施和安全文明措施费用投入使用计划，符合有关文明施工、健康卫生的规定。施工现场扬尘治理措施符合河南省《城市房屋建筑和市政基础设施工程及道路扬尘污染防治标准》（DBJ41/174）的规定，防治方案科学、先进</w:t>
            </w:r>
            <w:r>
              <w:rPr>
                <w:rFonts w:hint="eastAsia" w:ascii="宋体" w:hAnsi="宋体" w:cs="宋体"/>
                <w:lang w:eastAsia="zh-CN"/>
              </w:rPr>
              <w:t>。</w:t>
            </w:r>
            <w:r>
              <w:rPr>
                <w:rFonts w:hint="eastAsia" w:ascii="宋体" w:hAnsi="宋体" w:cs="宋体"/>
              </w:rPr>
              <w:t>得3分</w:t>
            </w:r>
          </w:p>
          <w:p>
            <w:pPr>
              <w:adjustRightInd w:val="0"/>
              <w:snapToGrid w:val="0"/>
              <w:rPr>
                <w:rFonts w:hint="eastAsia" w:ascii="宋体" w:hAnsi="宋体" w:eastAsia="宋体" w:cs="宋体"/>
                <w:lang w:val="en-US" w:eastAsia="zh-CN"/>
              </w:rPr>
            </w:pPr>
            <w:r>
              <w:rPr>
                <w:rFonts w:hint="eastAsia" w:ascii="宋体" w:hAnsi="宋体" w:cs="宋体"/>
              </w:rPr>
              <w:t>有安全文明标准化工地创建目标计划和创建措施，有安全文明措施费用投入使用计划。施工现场扬尘治理措施基本达到河南省《城市房屋建筑和市政基础设施工程及道路扬尘污染防治标准》（DBJ41/174）的规定，有防治方案</w:t>
            </w:r>
            <w:r>
              <w:rPr>
                <w:rFonts w:hint="eastAsia" w:ascii="宋体" w:hAnsi="宋体" w:cs="宋体"/>
                <w:lang w:eastAsia="zh-CN"/>
              </w:rPr>
              <w:t>。</w:t>
            </w:r>
            <w:r>
              <w:rPr>
                <w:rFonts w:hint="eastAsia" w:ascii="宋体" w:hAnsi="宋体" w:cs="宋体"/>
              </w:rPr>
              <w:t>得1</w:t>
            </w:r>
            <w:r>
              <w:rPr>
                <w:rFonts w:hint="eastAsia" w:ascii="宋体" w:hAnsi="宋体" w:cs="宋体"/>
                <w:lang w:val="en-US" w:eastAsia="zh-CN"/>
              </w:rPr>
              <w:t>.5</w:t>
            </w:r>
            <w:r>
              <w:rPr>
                <w:rFonts w:hint="eastAsia" w:ascii="宋体" w:hAnsi="宋体" w:cs="宋体"/>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242" w:type="dxa"/>
            <w:vMerge w:val="continue"/>
            <w:vAlign w:val="center"/>
          </w:tcPr>
          <w:p>
            <w:pPr>
              <w:widowControl/>
              <w:adjustRightInd w:val="0"/>
              <w:snapToGrid w:val="0"/>
            </w:pPr>
          </w:p>
        </w:tc>
        <w:tc>
          <w:tcPr>
            <w:tcW w:w="1692" w:type="dxa"/>
            <w:vAlign w:val="center"/>
          </w:tcPr>
          <w:p>
            <w:pPr>
              <w:adjustRightInd w:val="0"/>
              <w:snapToGrid w:val="0"/>
              <w:jc w:val="center"/>
              <w:rPr>
                <w:rFonts w:hint="eastAsia" w:ascii="宋体" w:hAnsi="宋体" w:cs="宋体"/>
                <w:szCs w:val="21"/>
              </w:rPr>
            </w:pPr>
            <w:r>
              <w:rPr>
                <w:rFonts w:hint="eastAsia" w:ascii="宋体" w:hAnsi="宋体" w:cs="宋体"/>
                <w:szCs w:val="21"/>
              </w:rPr>
              <w:t>工期保证措施</w:t>
            </w:r>
          </w:p>
        </w:tc>
        <w:tc>
          <w:tcPr>
            <w:tcW w:w="860" w:type="dxa"/>
            <w:vAlign w:val="center"/>
          </w:tcPr>
          <w:p>
            <w:pPr>
              <w:adjustRightInd w:val="0"/>
              <w:snapToGrid w:val="0"/>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3分</w:t>
            </w:r>
          </w:p>
        </w:tc>
        <w:tc>
          <w:tcPr>
            <w:tcW w:w="4728" w:type="dxa"/>
            <w:vAlign w:val="center"/>
          </w:tcPr>
          <w:p>
            <w:pPr>
              <w:adjustRightInd w:val="0"/>
              <w:snapToGrid w:val="0"/>
              <w:rPr>
                <w:rFonts w:hint="eastAsia" w:ascii="宋体" w:hAnsi="宋体" w:cs="宋体"/>
                <w:lang w:eastAsia="zh-CN"/>
              </w:rPr>
            </w:pPr>
            <w:r>
              <w:rPr>
                <w:rFonts w:hint="eastAsia" w:ascii="宋体" w:hAnsi="宋体" w:cs="宋体"/>
              </w:rPr>
              <w:t>工期承诺满足招标文件要求，工期保证措施合理且有针对性，有具体的违约责任承诺。得</w:t>
            </w:r>
            <w:r>
              <w:rPr>
                <w:rFonts w:hint="eastAsia" w:ascii="宋体" w:hAnsi="宋体" w:cs="宋体"/>
                <w:lang w:val="en-US" w:eastAsia="zh-CN"/>
              </w:rPr>
              <w:t>3</w:t>
            </w:r>
            <w:r>
              <w:rPr>
                <w:rFonts w:hint="eastAsia" w:ascii="宋体" w:hAnsi="宋体" w:cs="宋体"/>
              </w:rPr>
              <w:t>分</w:t>
            </w:r>
          </w:p>
          <w:p>
            <w:pPr>
              <w:adjustRightInd w:val="0"/>
              <w:snapToGrid w:val="0"/>
              <w:rPr>
                <w:rFonts w:hint="eastAsia" w:ascii="宋体" w:hAnsi="宋体" w:cs="宋体"/>
              </w:rPr>
            </w:pPr>
            <w:r>
              <w:rPr>
                <w:rFonts w:hint="eastAsia" w:ascii="宋体" w:hAnsi="宋体" w:cs="宋体"/>
              </w:rPr>
              <w:t>工期承诺满足招标文件要求，工期保证措施基本合理，有具体的违约责任承诺。得1.5分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242" w:type="dxa"/>
            <w:vMerge w:val="continue"/>
            <w:vAlign w:val="center"/>
          </w:tcPr>
          <w:p>
            <w:pPr>
              <w:widowControl/>
              <w:adjustRightInd w:val="0"/>
              <w:snapToGrid w:val="0"/>
            </w:pPr>
          </w:p>
        </w:tc>
        <w:tc>
          <w:tcPr>
            <w:tcW w:w="1692" w:type="dxa"/>
            <w:vAlign w:val="center"/>
          </w:tcPr>
          <w:p>
            <w:pPr>
              <w:adjustRightInd w:val="0"/>
              <w:snapToGrid w:val="0"/>
              <w:jc w:val="center"/>
              <w:rPr>
                <w:rFonts w:hint="eastAsia" w:ascii="宋体" w:hAnsi="宋体" w:cs="宋体"/>
                <w:szCs w:val="21"/>
              </w:rPr>
            </w:pPr>
            <w:r>
              <w:rPr>
                <w:rFonts w:hint="eastAsia" w:ascii="宋体" w:hAnsi="宋体" w:cs="宋体"/>
                <w:szCs w:val="21"/>
              </w:rPr>
              <w:t>拟投入资源配备计划</w:t>
            </w:r>
          </w:p>
        </w:tc>
        <w:tc>
          <w:tcPr>
            <w:tcW w:w="860" w:type="dxa"/>
            <w:vAlign w:val="center"/>
          </w:tcPr>
          <w:p>
            <w:pPr>
              <w:adjustRightInd w:val="0"/>
              <w:snapToGrid w:val="0"/>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3分</w:t>
            </w:r>
          </w:p>
        </w:tc>
        <w:tc>
          <w:tcPr>
            <w:tcW w:w="4728" w:type="dxa"/>
            <w:vAlign w:val="center"/>
          </w:tcPr>
          <w:p>
            <w:pPr>
              <w:adjustRightInd w:val="0"/>
              <w:snapToGrid w:val="0"/>
              <w:rPr>
                <w:rFonts w:hint="eastAsia" w:ascii="宋体" w:hAnsi="宋体" w:cs="宋体"/>
              </w:rPr>
            </w:pPr>
            <w:r>
              <w:rPr>
                <w:rFonts w:hint="eastAsia" w:ascii="宋体" w:hAnsi="宋体" w:cs="宋体"/>
              </w:rPr>
              <w:t>机械：投入计划与进度计划呼应，采用先进机械设备且配置合理、先进，满足安全技术规范和施工进度需要；劳动力：投入计划与进度计划呼应，较好满足施工需要，调配投入计划合理、准确；主要物资计划：主要物资投入计划与进度计划呼应，较好满足施工需要，调配投入计划合理、准确。得</w:t>
            </w:r>
            <w:r>
              <w:rPr>
                <w:rFonts w:hint="eastAsia" w:ascii="宋体" w:hAnsi="宋体" w:cs="宋体"/>
                <w:lang w:val="en-US" w:eastAsia="zh-CN"/>
              </w:rPr>
              <w:t>3</w:t>
            </w:r>
            <w:r>
              <w:rPr>
                <w:rFonts w:hint="eastAsia" w:ascii="宋体" w:hAnsi="宋体" w:cs="宋体"/>
              </w:rPr>
              <w:t>分</w:t>
            </w:r>
          </w:p>
          <w:p>
            <w:pPr>
              <w:adjustRightInd w:val="0"/>
              <w:snapToGrid w:val="0"/>
              <w:rPr>
                <w:rFonts w:hint="eastAsia" w:ascii="宋体" w:hAnsi="宋体" w:cs="宋体"/>
              </w:rPr>
            </w:pPr>
            <w:r>
              <w:rPr>
                <w:rFonts w:hint="eastAsia" w:ascii="宋体" w:hAnsi="宋体" w:cs="宋体"/>
              </w:rPr>
              <w:t>机械：投入计划与进度计划呼应，机械设备配置基本合理，满足安全技术规范和施工进度需要；劳动力：投入计划与进度计划呼应，基本满足施工需要，调配投入计划基本合理；主要物资计划：主要物资投入计划与进度计划呼应，基本满足施工需要，调配投入计划基本合理。得</w:t>
            </w:r>
            <w:r>
              <w:rPr>
                <w:rFonts w:hint="eastAsia" w:ascii="宋体" w:hAnsi="宋体" w:cs="宋体"/>
                <w:lang w:val="en-US" w:eastAsia="zh-CN"/>
              </w:rPr>
              <w:t>1.5</w:t>
            </w:r>
            <w:r>
              <w:rPr>
                <w:rFonts w:hint="eastAsia" w:ascii="宋体" w:hAnsi="宋体" w:cs="宋体"/>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242" w:type="dxa"/>
            <w:vMerge w:val="continue"/>
            <w:vAlign w:val="center"/>
          </w:tcPr>
          <w:p>
            <w:pPr>
              <w:widowControl/>
              <w:adjustRightInd w:val="0"/>
              <w:snapToGrid w:val="0"/>
            </w:pPr>
          </w:p>
        </w:tc>
        <w:tc>
          <w:tcPr>
            <w:tcW w:w="1692" w:type="dxa"/>
            <w:vAlign w:val="center"/>
          </w:tcPr>
          <w:p>
            <w:pPr>
              <w:adjustRightInd w:val="0"/>
              <w:snapToGrid w:val="0"/>
              <w:jc w:val="center"/>
              <w:rPr>
                <w:rFonts w:hint="eastAsia" w:ascii="宋体" w:hAnsi="宋体" w:cs="宋体"/>
                <w:szCs w:val="21"/>
              </w:rPr>
            </w:pPr>
            <w:r>
              <w:rPr>
                <w:rFonts w:hint="eastAsia" w:ascii="宋体" w:hAnsi="宋体" w:cs="宋体"/>
                <w:szCs w:val="21"/>
              </w:rPr>
              <w:t>施工进度表与网络计划图</w:t>
            </w:r>
          </w:p>
        </w:tc>
        <w:tc>
          <w:tcPr>
            <w:tcW w:w="860" w:type="dxa"/>
            <w:vAlign w:val="center"/>
          </w:tcPr>
          <w:p>
            <w:pPr>
              <w:adjustRightInd w:val="0"/>
              <w:snapToGrid w:val="0"/>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3分</w:t>
            </w:r>
          </w:p>
        </w:tc>
        <w:tc>
          <w:tcPr>
            <w:tcW w:w="4728" w:type="dxa"/>
            <w:vAlign w:val="center"/>
          </w:tcPr>
          <w:p>
            <w:pPr>
              <w:adjustRightInd w:val="0"/>
              <w:snapToGrid w:val="0"/>
              <w:rPr>
                <w:rFonts w:hint="eastAsia" w:ascii="宋体" w:hAnsi="宋体" w:cs="宋体"/>
              </w:rPr>
            </w:pPr>
            <w:r>
              <w:rPr>
                <w:rFonts w:hint="eastAsia" w:ascii="宋体" w:hAnsi="宋体" w:cs="宋体"/>
              </w:rPr>
              <w:t>关键线路清晰、准确、完整、计划编制合理、可行、满足招标文件对工期的要求。得</w:t>
            </w:r>
            <w:r>
              <w:rPr>
                <w:rFonts w:hint="eastAsia" w:ascii="宋体" w:hAnsi="宋体" w:cs="宋体"/>
                <w:lang w:val="en-US" w:eastAsia="zh-CN"/>
              </w:rPr>
              <w:t>3</w:t>
            </w:r>
            <w:r>
              <w:rPr>
                <w:rFonts w:hint="eastAsia" w:ascii="宋体" w:hAnsi="宋体" w:cs="宋体"/>
              </w:rPr>
              <w:t>分</w:t>
            </w:r>
          </w:p>
          <w:p>
            <w:pPr>
              <w:adjustRightInd w:val="0"/>
              <w:snapToGrid w:val="0"/>
              <w:rPr>
                <w:rFonts w:hint="eastAsia" w:ascii="宋体" w:hAnsi="宋体" w:cs="宋体"/>
              </w:rPr>
            </w:pPr>
            <w:r>
              <w:rPr>
                <w:rFonts w:hint="eastAsia" w:ascii="宋体" w:hAnsi="宋体" w:cs="宋体"/>
              </w:rPr>
              <w:t>关键线路基本准确，计划编制基本可行。得</w:t>
            </w:r>
            <w:r>
              <w:rPr>
                <w:rFonts w:hint="eastAsia" w:ascii="宋体" w:hAnsi="宋体" w:cs="宋体"/>
                <w:lang w:val="en-US" w:eastAsia="zh-CN"/>
              </w:rPr>
              <w:t>1.5</w:t>
            </w:r>
            <w:r>
              <w:rPr>
                <w:rFonts w:hint="eastAsia" w:ascii="宋体" w:hAnsi="宋体" w:cs="宋体"/>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242" w:type="dxa"/>
            <w:vMerge w:val="continue"/>
            <w:vAlign w:val="center"/>
          </w:tcPr>
          <w:p>
            <w:pPr>
              <w:widowControl/>
              <w:adjustRightInd w:val="0"/>
              <w:snapToGrid w:val="0"/>
            </w:pPr>
          </w:p>
        </w:tc>
        <w:tc>
          <w:tcPr>
            <w:tcW w:w="1692" w:type="dxa"/>
            <w:vAlign w:val="center"/>
          </w:tcPr>
          <w:p>
            <w:pPr>
              <w:adjustRightInd w:val="0"/>
              <w:snapToGrid w:val="0"/>
              <w:jc w:val="center"/>
              <w:rPr>
                <w:rFonts w:hint="eastAsia" w:ascii="宋体" w:hAnsi="宋体" w:cs="宋体"/>
                <w:szCs w:val="21"/>
              </w:rPr>
            </w:pPr>
            <w:r>
              <w:rPr>
                <w:rFonts w:hint="eastAsia" w:ascii="宋体" w:hAnsi="宋体" w:cs="宋体"/>
                <w:szCs w:val="21"/>
              </w:rPr>
              <w:t>风险管理措施</w:t>
            </w:r>
          </w:p>
        </w:tc>
        <w:tc>
          <w:tcPr>
            <w:tcW w:w="860" w:type="dxa"/>
            <w:vAlign w:val="center"/>
          </w:tcPr>
          <w:p>
            <w:pPr>
              <w:adjustRightInd w:val="0"/>
              <w:snapToGrid w:val="0"/>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2分</w:t>
            </w:r>
          </w:p>
        </w:tc>
        <w:tc>
          <w:tcPr>
            <w:tcW w:w="4728" w:type="dxa"/>
            <w:vAlign w:val="center"/>
          </w:tcPr>
          <w:p>
            <w:pPr>
              <w:adjustRightInd w:val="0"/>
              <w:snapToGrid w:val="0"/>
              <w:rPr>
                <w:rFonts w:hint="eastAsia" w:ascii="宋体" w:hAnsi="宋体" w:cs="宋体"/>
              </w:rPr>
            </w:pPr>
            <w:r>
              <w:rPr>
                <w:rFonts w:hint="eastAsia" w:ascii="宋体" w:hAnsi="宋体" w:cs="宋体"/>
              </w:rPr>
              <w:t>风险防控管理措施齐全，风险预控符合规范要求，风险控制要点定位准确，各阶段风险控制及应急措施得力。得</w:t>
            </w:r>
            <w:r>
              <w:rPr>
                <w:rFonts w:hint="eastAsia" w:ascii="宋体" w:hAnsi="宋体" w:cs="宋体"/>
                <w:lang w:val="en-US" w:eastAsia="zh-CN"/>
              </w:rPr>
              <w:t>2</w:t>
            </w:r>
            <w:r>
              <w:rPr>
                <w:rFonts w:hint="eastAsia" w:ascii="宋体" w:hAnsi="宋体" w:cs="宋体"/>
              </w:rPr>
              <w:t>分</w:t>
            </w:r>
          </w:p>
          <w:p>
            <w:pPr>
              <w:adjustRightInd w:val="0"/>
              <w:snapToGrid w:val="0"/>
              <w:rPr>
                <w:rFonts w:hint="eastAsia" w:ascii="宋体" w:hAnsi="宋体" w:cs="宋体"/>
              </w:rPr>
            </w:pPr>
            <w:r>
              <w:rPr>
                <w:rFonts w:hint="eastAsia" w:ascii="宋体" w:hAnsi="宋体" w:cs="宋体"/>
              </w:rPr>
              <w:t>风险防控管理措施基本齐全，风险预控符合规范要求，风险控制要点定位基本准确，有各阶段风险控制及应急措施。得</w:t>
            </w:r>
            <w:r>
              <w:rPr>
                <w:rFonts w:hint="eastAsia" w:ascii="宋体" w:hAnsi="宋体" w:cs="宋体"/>
                <w:lang w:val="en-US" w:eastAsia="zh-CN"/>
              </w:rPr>
              <w:t>1</w:t>
            </w:r>
            <w:r>
              <w:rPr>
                <w:rFonts w:hint="eastAsia" w:ascii="宋体" w:hAnsi="宋体" w:cs="宋体"/>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242" w:type="dxa"/>
            <w:vMerge w:val="restart"/>
            <w:vAlign w:val="center"/>
          </w:tcPr>
          <w:p>
            <w:pPr>
              <w:adjustRightInd w:val="0"/>
              <w:snapToGrid w:val="0"/>
              <w:jc w:val="center"/>
              <w:rPr>
                <w:rFonts w:ascii="宋体" w:hAnsi="宋体"/>
                <w:color w:val="000000"/>
                <w:szCs w:val="21"/>
              </w:rPr>
            </w:pPr>
            <w:r>
              <w:rPr>
                <w:rFonts w:hint="eastAsia" w:ascii="宋体" w:hAnsi="宋体"/>
                <w:color w:val="000000"/>
                <w:szCs w:val="21"/>
              </w:rPr>
              <w:t>商务部分</w:t>
            </w:r>
          </w:p>
        </w:tc>
        <w:tc>
          <w:tcPr>
            <w:tcW w:w="1692" w:type="dxa"/>
            <w:vAlign w:val="center"/>
          </w:tcPr>
          <w:p>
            <w:pPr>
              <w:adjustRightInd w:val="0"/>
              <w:snapToGrid w:val="0"/>
              <w:jc w:val="center"/>
              <w:rPr>
                <w:rFonts w:ascii="宋体" w:hAnsi="宋体"/>
                <w:color w:val="000000"/>
                <w:szCs w:val="21"/>
              </w:rPr>
            </w:pPr>
            <w:r>
              <w:rPr>
                <w:rFonts w:hint="eastAsia" w:ascii="宋体" w:hAnsi="宋体"/>
                <w:color w:val="000000"/>
                <w:szCs w:val="21"/>
              </w:rPr>
              <w:t>设备业绩</w:t>
            </w:r>
          </w:p>
        </w:tc>
        <w:tc>
          <w:tcPr>
            <w:tcW w:w="860" w:type="dxa"/>
            <w:vAlign w:val="center"/>
          </w:tcPr>
          <w:p>
            <w:pPr>
              <w:adjustRightInd w:val="0"/>
              <w:snapToGrid w:val="0"/>
              <w:jc w:val="center"/>
              <w:rPr>
                <w:rFonts w:ascii="宋体" w:hAnsi="宋体"/>
                <w:szCs w:val="21"/>
              </w:rPr>
            </w:pPr>
            <w:r>
              <w:rPr>
                <w:rFonts w:hint="eastAsia" w:ascii="宋体" w:hAnsi="宋体"/>
                <w:szCs w:val="21"/>
              </w:rPr>
              <w:t>8分</w:t>
            </w:r>
          </w:p>
        </w:tc>
        <w:tc>
          <w:tcPr>
            <w:tcW w:w="4728" w:type="dxa"/>
          </w:tcPr>
          <w:p>
            <w:pPr>
              <w:widowControl/>
              <w:adjustRightInd w:val="0"/>
              <w:snapToGrid w:val="0"/>
              <w:rPr>
                <w:rFonts w:hint="default" w:eastAsia="宋体"/>
                <w:lang w:val="en-US" w:eastAsia="zh-CN"/>
              </w:rPr>
            </w:pPr>
            <w:r>
              <w:rPr>
                <w:rFonts w:hint="eastAsia" w:ascii="宋体" w:hAnsi="宋体" w:cs="宋体"/>
                <w:szCs w:val="21"/>
                <w:highlight w:val="none"/>
              </w:rPr>
              <w:t>供应商20</w:t>
            </w:r>
            <w:r>
              <w:rPr>
                <w:rFonts w:hint="eastAsia" w:ascii="宋体" w:hAnsi="宋体" w:cs="宋体"/>
                <w:szCs w:val="21"/>
                <w:highlight w:val="none"/>
                <w:lang w:val="en-US" w:eastAsia="zh-CN"/>
              </w:rPr>
              <w:t>18</w:t>
            </w:r>
            <w:r>
              <w:rPr>
                <w:rFonts w:hint="eastAsia" w:ascii="宋体" w:hAnsi="宋体" w:cs="宋体"/>
                <w:szCs w:val="21"/>
                <w:highlight w:val="none"/>
              </w:rPr>
              <w:t>年1月1日以来已完成</w:t>
            </w:r>
            <w:r>
              <w:rPr>
                <w:rFonts w:hint="eastAsia" w:ascii="宋体" w:hAnsi="宋体" w:cs="宋体"/>
                <w:szCs w:val="21"/>
                <w:highlight w:val="none"/>
                <w:lang w:val="en-US" w:eastAsia="zh-CN"/>
              </w:rPr>
              <w:t>400平方米类似</w:t>
            </w:r>
            <w:r>
              <w:rPr>
                <w:rFonts w:hint="eastAsia" w:ascii="宋体" w:hAnsi="宋体" w:cs="宋体"/>
                <w:szCs w:val="21"/>
                <w:highlight w:val="none"/>
              </w:rPr>
              <w:t>新风系统项目业绩（提供中标通知书、合同协议书、验收报告并加盖公章，时间以</w:t>
            </w:r>
            <w:r>
              <w:rPr>
                <w:rFonts w:hint="eastAsia" w:ascii="宋体" w:hAnsi="宋体" w:cs="宋体"/>
                <w:szCs w:val="21"/>
              </w:rPr>
              <w:t>验收报告时间为准），每提供一份完全符合要求的合同业绩得 2 分，最高得 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242" w:type="dxa"/>
            <w:vMerge w:val="continue"/>
            <w:vAlign w:val="center"/>
          </w:tcPr>
          <w:p>
            <w:pPr>
              <w:adjustRightInd w:val="0"/>
              <w:snapToGrid w:val="0"/>
              <w:jc w:val="center"/>
              <w:rPr>
                <w:rFonts w:ascii="宋体" w:hAnsi="宋体"/>
                <w:color w:val="000000"/>
                <w:szCs w:val="21"/>
              </w:rPr>
            </w:pPr>
          </w:p>
        </w:tc>
        <w:tc>
          <w:tcPr>
            <w:tcW w:w="1692" w:type="dxa"/>
            <w:vAlign w:val="center"/>
          </w:tcPr>
          <w:p>
            <w:pPr>
              <w:adjustRightInd w:val="0"/>
              <w:snapToGrid w:val="0"/>
              <w:jc w:val="center"/>
              <w:rPr>
                <w:rFonts w:hint="eastAsia" w:ascii="宋体" w:hAnsi="宋体" w:eastAsia="宋体"/>
                <w:color w:val="000000"/>
                <w:szCs w:val="21"/>
                <w:highlight w:val="none"/>
                <w:lang w:val="en-US" w:eastAsia="zh-CN"/>
              </w:rPr>
            </w:pPr>
            <w:r>
              <w:rPr>
                <w:rFonts w:hint="eastAsia" w:ascii="宋体" w:hAnsi="宋体"/>
                <w:color w:val="000000"/>
                <w:szCs w:val="21"/>
                <w:highlight w:val="none"/>
                <w:lang w:val="en-US" w:eastAsia="zh-CN"/>
              </w:rPr>
              <w:t>质保期</w:t>
            </w:r>
          </w:p>
        </w:tc>
        <w:tc>
          <w:tcPr>
            <w:tcW w:w="860" w:type="dxa"/>
            <w:vAlign w:val="center"/>
          </w:tcPr>
          <w:p>
            <w:pPr>
              <w:adjustRightInd w:val="0"/>
              <w:snapToGrid w:val="0"/>
              <w:jc w:val="center"/>
              <w:rPr>
                <w:rFonts w:hint="default" w:ascii="宋体" w:hAnsi="宋体"/>
                <w:color w:val="000000"/>
                <w:szCs w:val="21"/>
                <w:highlight w:val="none"/>
                <w:lang w:val="en-US" w:eastAsia="zh-CN"/>
              </w:rPr>
            </w:pPr>
            <w:r>
              <w:rPr>
                <w:rFonts w:hint="eastAsia" w:ascii="宋体" w:hAnsi="宋体"/>
                <w:color w:val="000000"/>
                <w:szCs w:val="21"/>
                <w:highlight w:val="none"/>
                <w:lang w:val="en-US" w:eastAsia="zh-CN"/>
              </w:rPr>
              <w:t>2分</w:t>
            </w:r>
          </w:p>
        </w:tc>
        <w:tc>
          <w:tcPr>
            <w:tcW w:w="4728" w:type="dxa"/>
            <w:vAlign w:val="center"/>
          </w:tcPr>
          <w:p>
            <w:pPr>
              <w:adjustRightInd w:val="0"/>
              <w:snapToGrid w:val="0"/>
              <w:jc w:val="left"/>
              <w:rPr>
                <w:rFonts w:hint="default" w:ascii="宋体" w:hAnsi="宋体" w:eastAsia="宋体"/>
                <w:color w:val="000000"/>
                <w:szCs w:val="21"/>
                <w:highlight w:val="none"/>
                <w:lang w:val="en-US" w:eastAsia="zh-CN"/>
              </w:rPr>
            </w:pPr>
            <w:r>
              <w:rPr>
                <w:rFonts w:hint="eastAsia" w:ascii="宋体" w:hAnsi="宋体"/>
                <w:color w:val="000000"/>
                <w:szCs w:val="21"/>
                <w:highlight w:val="none"/>
                <w:lang w:val="en-US" w:eastAsia="zh-CN"/>
              </w:rPr>
              <w:t>质保期每延长1年得1分，最多得2分。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242" w:type="dxa"/>
            <w:vMerge w:val="continue"/>
            <w:vAlign w:val="center"/>
          </w:tcPr>
          <w:p>
            <w:pPr>
              <w:adjustRightInd w:val="0"/>
              <w:snapToGrid w:val="0"/>
              <w:jc w:val="center"/>
              <w:rPr>
                <w:rFonts w:ascii="宋体" w:hAnsi="宋体"/>
                <w:color w:val="000000"/>
                <w:szCs w:val="21"/>
              </w:rPr>
            </w:pPr>
          </w:p>
        </w:tc>
        <w:tc>
          <w:tcPr>
            <w:tcW w:w="1692" w:type="dxa"/>
            <w:vAlign w:val="center"/>
          </w:tcPr>
          <w:p>
            <w:pPr>
              <w:adjustRightInd w:val="0"/>
              <w:snapToGrid w:val="0"/>
              <w:jc w:val="center"/>
              <w:rPr>
                <w:rFonts w:hint="eastAsia" w:ascii="宋体" w:hAnsi="宋体"/>
                <w:color w:val="000000"/>
                <w:szCs w:val="21"/>
                <w:lang w:eastAsia="zh-CN"/>
              </w:rPr>
            </w:pPr>
            <w:r>
              <w:rPr>
                <w:rFonts w:hint="eastAsia" w:ascii="宋体" w:hAnsi="宋体"/>
                <w:color w:val="000000"/>
                <w:szCs w:val="21"/>
              </w:rPr>
              <w:t>节能清单产品</w:t>
            </w:r>
          </w:p>
        </w:tc>
        <w:tc>
          <w:tcPr>
            <w:tcW w:w="860" w:type="dxa"/>
            <w:vAlign w:val="center"/>
          </w:tcPr>
          <w:p>
            <w:pPr>
              <w:adjustRightInd w:val="0"/>
              <w:snapToGrid w:val="0"/>
              <w:jc w:val="center"/>
              <w:rPr>
                <w:rFonts w:hint="eastAsia" w:ascii="宋体" w:hAnsi="宋体"/>
                <w:color w:val="000000"/>
                <w:szCs w:val="21"/>
              </w:rPr>
            </w:pPr>
            <w:r>
              <w:rPr>
                <w:rFonts w:hint="eastAsia" w:ascii="宋体" w:hAnsi="宋体"/>
                <w:color w:val="000000"/>
                <w:szCs w:val="21"/>
                <w:lang w:val="en-US" w:eastAsia="zh-CN"/>
              </w:rPr>
              <w:t>0.5</w:t>
            </w:r>
            <w:r>
              <w:rPr>
                <w:rFonts w:hint="eastAsia" w:ascii="宋体" w:hAnsi="宋体"/>
                <w:color w:val="000000"/>
                <w:szCs w:val="21"/>
              </w:rPr>
              <w:t>分</w:t>
            </w:r>
          </w:p>
        </w:tc>
        <w:tc>
          <w:tcPr>
            <w:tcW w:w="4728" w:type="dxa"/>
            <w:vAlign w:val="center"/>
          </w:tcPr>
          <w:p>
            <w:pPr>
              <w:adjustRightInd w:val="0"/>
              <w:snapToGrid w:val="0"/>
              <w:jc w:val="left"/>
              <w:rPr>
                <w:rFonts w:hint="eastAsia" w:ascii="宋体" w:hAnsi="宋体"/>
                <w:color w:val="000000"/>
                <w:szCs w:val="21"/>
              </w:rPr>
            </w:pPr>
            <w:r>
              <w:rPr>
                <w:rFonts w:hint="eastAsia" w:ascii="宋体" w:hAnsi="宋体"/>
                <w:color w:val="000000"/>
                <w:szCs w:val="21"/>
              </w:rPr>
              <w:t>所投产品如为节能产品政府采购品目清单内非政府采购强制节能产品的，每有一项加0.5分，最多加0.5分。</w:t>
            </w:r>
          </w:p>
          <w:p>
            <w:pPr>
              <w:adjustRightInd w:val="0"/>
              <w:snapToGrid w:val="0"/>
              <w:jc w:val="left"/>
              <w:rPr>
                <w:rFonts w:hint="eastAsia" w:ascii="宋体" w:hAnsi="宋体"/>
                <w:color w:val="000000"/>
                <w:szCs w:val="21"/>
              </w:rPr>
            </w:pPr>
            <w:r>
              <w:rPr>
                <w:rFonts w:hint="eastAsia" w:ascii="宋体" w:hAnsi="宋体"/>
                <w:color w:val="000000"/>
                <w:szCs w:val="21"/>
              </w:rPr>
              <w:t>投标供应商须在投标文件中附该产品在节能产品政府采购品目清单所在页的复印件，及国家确定的认证机构出具的、处于有效期之内的《国家节能产品认证证书》复印件，否则评标委员会有权不予认可。清单可在中华人民共和国财政部网站（http://www.mof.gov.cn）、中国政府采购网（http://www.ccgp.gov.cn/）查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1242" w:type="dxa"/>
            <w:vMerge w:val="continue"/>
            <w:vAlign w:val="center"/>
          </w:tcPr>
          <w:p>
            <w:pPr>
              <w:adjustRightInd w:val="0"/>
              <w:snapToGrid w:val="0"/>
              <w:jc w:val="center"/>
              <w:rPr>
                <w:rFonts w:ascii="宋体" w:hAnsi="宋体"/>
                <w:color w:val="000000"/>
                <w:szCs w:val="21"/>
              </w:rPr>
            </w:pPr>
          </w:p>
        </w:tc>
        <w:tc>
          <w:tcPr>
            <w:tcW w:w="1692" w:type="dxa"/>
            <w:vAlign w:val="center"/>
          </w:tcPr>
          <w:p>
            <w:pPr>
              <w:adjustRightInd w:val="0"/>
              <w:snapToGrid w:val="0"/>
              <w:jc w:val="center"/>
              <w:rPr>
                <w:rFonts w:hint="eastAsia" w:ascii="宋体" w:hAnsi="宋体"/>
                <w:color w:val="000000"/>
                <w:szCs w:val="21"/>
              </w:rPr>
            </w:pPr>
            <w:r>
              <w:rPr>
                <w:rFonts w:hint="eastAsia" w:ascii="宋体" w:hAnsi="宋体"/>
                <w:color w:val="000000"/>
                <w:szCs w:val="21"/>
              </w:rPr>
              <w:t>环保清单产品</w:t>
            </w:r>
          </w:p>
        </w:tc>
        <w:tc>
          <w:tcPr>
            <w:tcW w:w="860" w:type="dxa"/>
            <w:vAlign w:val="center"/>
          </w:tcPr>
          <w:p>
            <w:pPr>
              <w:adjustRightInd w:val="0"/>
              <w:snapToGrid w:val="0"/>
              <w:jc w:val="center"/>
              <w:rPr>
                <w:rFonts w:hint="eastAsia" w:ascii="宋体" w:hAnsi="宋体"/>
                <w:color w:val="000000"/>
                <w:szCs w:val="21"/>
                <w:lang w:val="en-US" w:eastAsia="zh-CN"/>
              </w:rPr>
            </w:pPr>
            <w:r>
              <w:rPr>
                <w:rFonts w:hint="eastAsia" w:ascii="宋体" w:hAnsi="宋体"/>
                <w:color w:val="000000"/>
                <w:szCs w:val="21"/>
                <w:lang w:val="en-US" w:eastAsia="zh-CN"/>
              </w:rPr>
              <w:t>0.5分</w:t>
            </w:r>
          </w:p>
        </w:tc>
        <w:tc>
          <w:tcPr>
            <w:tcW w:w="4728" w:type="dxa"/>
            <w:vAlign w:val="center"/>
          </w:tcPr>
          <w:p>
            <w:pPr>
              <w:adjustRightInd w:val="0"/>
              <w:snapToGrid w:val="0"/>
              <w:jc w:val="left"/>
              <w:rPr>
                <w:rFonts w:hint="eastAsia" w:ascii="宋体" w:hAnsi="宋体"/>
                <w:color w:val="000000"/>
                <w:szCs w:val="21"/>
                <w:lang w:eastAsia="zh-CN"/>
              </w:rPr>
            </w:pPr>
            <w:r>
              <w:rPr>
                <w:rFonts w:hint="eastAsia" w:ascii="宋体" w:hAnsi="宋体"/>
                <w:color w:val="000000"/>
                <w:szCs w:val="21"/>
              </w:rPr>
              <w:t>所投产品如为环境标志产品政府采购品目清单内的产品，每有一项加0.5分，最多加0.5分。</w:t>
            </w:r>
          </w:p>
          <w:p>
            <w:pPr>
              <w:adjustRightInd w:val="0"/>
              <w:snapToGrid w:val="0"/>
              <w:jc w:val="left"/>
              <w:rPr>
                <w:rFonts w:hint="eastAsia" w:ascii="宋体" w:hAnsi="宋体"/>
                <w:color w:val="000000"/>
                <w:szCs w:val="21"/>
                <w:lang w:val="en-US" w:eastAsia="zh-CN"/>
              </w:rPr>
            </w:pPr>
            <w:r>
              <w:rPr>
                <w:rFonts w:hint="eastAsia" w:ascii="宋体" w:hAnsi="宋体"/>
                <w:color w:val="000000"/>
                <w:szCs w:val="21"/>
              </w:rPr>
              <w:t>投标供应商须在投标文件中附该产品在环境标志产品政府采购品目清单所在页的复印件，及国家确定的认证机构出具的、处于有效期之内的《中国环境标志产品认证证书》复印件，否则评标委员会有权不予认可。清单可在中华人民共和国财政部网站（</w:t>
            </w:r>
            <w:r>
              <w:rPr>
                <w:rFonts w:hint="eastAsia" w:ascii="宋体" w:hAnsi="宋体"/>
                <w:color w:val="000000"/>
                <w:szCs w:val="21"/>
              </w:rPr>
              <w:fldChar w:fldCharType="begin"/>
            </w:r>
            <w:r>
              <w:rPr>
                <w:rFonts w:hint="eastAsia" w:ascii="宋体" w:hAnsi="宋体"/>
                <w:color w:val="000000"/>
                <w:szCs w:val="21"/>
              </w:rPr>
              <w:instrText xml:space="preserve">HYPERLINK "qq://txfile/"</w:instrText>
            </w:r>
            <w:r>
              <w:rPr>
                <w:rFonts w:hint="eastAsia" w:ascii="宋体" w:hAnsi="宋体"/>
                <w:color w:val="000000"/>
                <w:szCs w:val="21"/>
              </w:rPr>
              <w:fldChar w:fldCharType="separate"/>
            </w:r>
            <w:r>
              <w:rPr>
                <w:rFonts w:hint="eastAsia" w:ascii="宋体" w:hAnsi="宋体"/>
                <w:color w:val="000000"/>
                <w:szCs w:val="21"/>
              </w:rPr>
              <w:t>http://www.mof.gov.cn</w:t>
            </w:r>
            <w:r>
              <w:rPr>
                <w:rFonts w:hint="eastAsia" w:ascii="宋体" w:hAnsi="宋体"/>
                <w:color w:val="000000"/>
                <w:szCs w:val="21"/>
              </w:rPr>
              <w:fldChar w:fldCharType="end"/>
            </w:r>
            <w:r>
              <w:rPr>
                <w:rFonts w:hint="eastAsia" w:ascii="宋体" w:hAnsi="宋体"/>
                <w:color w:val="000000"/>
                <w:szCs w:val="21"/>
              </w:rPr>
              <w:t>）、中国政府采购网（</w:t>
            </w:r>
            <w:r>
              <w:rPr>
                <w:rFonts w:hint="eastAsia" w:ascii="宋体" w:hAnsi="宋体"/>
                <w:color w:val="000000"/>
                <w:szCs w:val="21"/>
              </w:rPr>
              <w:fldChar w:fldCharType="begin"/>
            </w:r>
            <w:r>
              <w:rPr>
                <w:rFonts w:hint="eastAsia" w:ascii="宋体" w:hAnsi="宋体"/>
                <w:color w:val="000000"/>
                <w:szCs w:val="21"/>
              </w:rPr>
              <w:instrText xml:space="preserve"> HYPERLINK "qq://txfile/" </w:instrText>
            </w:r>
            <w:r>
              <w:rPr>
                <w:rFonts w:hint="eastAsia" w:ascii="宋体" w:hAnsi="宋体"/>
                <w:color w:val="000000"/>
                <w:szCs w:val="21"/>
              </w:rPr>
              <w:fldChar w:fldCharType="separate"/>
            </w:r>
            <w:r>
              <w:rPr>
                <w:rFonts w:hint="eastAsia" w:ascii="宋体" w:hAnsi="宋体"/>
                <w:color w:val="000000"/>
                <w:szCs w:val="21"/>
              </w:rPr>
              <w:t>http://www.ccgp.gov.cn/</w:t>
            </w:r>
            <w:r>
              <w:rPr>
                <w:rFonts w:hint="eastAsia" w:ascii="宋体" w:hAnsi="宋体"/>
                <w:color w:val="000000"/>
                <w:szCs w:val="21"/>
              </w:rPr>
              <w:fldChar w:fldCharType="end"/>
            </w:r>
            <w:r>
              <w:rPr>
                <w:rFonts w:hint="eastAsia" w:ascii="宋体" w:hAnsi="宋体"/>
                <w:color w:val="000000"/>
                <w:szCs w:val="21"/>
              </w:rPr>
              <w:t>）查阅。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1242" w:type="dxa"/>
            <w:vMerge w:val="continue"/>
            <w:vAlign w:val="center"/>
          </w:tcPr>
          <w:p>
            <w:pPr>
              <w:widowControl/>
              <w:adjustRightInd w:val="0"/>
              <w:snapToGrid w:val="0"/>
              <w:ind w:firstLine="420" w:firstLineChars="200"/>
            </w:pPr>
          </w:p>
        </w:tc>
        <w:tc>
          <w:tcPr>
            <w:tcW w:w="1692" w:type="dxa"/>
            <w:vAlign w:val="center"/>
          </w:tcPr>
          <w:p>
            <w:pPr>
              <w:adjustRightInd w:val="0"/>
              <w:snapToGrid w:val="0"/>
              <w:jc w:val="center"/>
              <w:rPr>
                <w:rFonts w:hint="default" w:ascii="宋体" w:hAnsi="宋体"/>
                <w:color w:val="000000"/>
                <w:szCs w:val="21"/>
                <w:lang w:val="en-US" w:eastAsia="zh-CN"/>
              </w:rPr>
            </w:pPr>
            <w:r>
              <w:rPr>
                <w:rFonts w:hint="eastAsia" w:ascii="宋体" w:hAnsi="宋体"/>
                <w:color w:val="000000"/>
                <w:szCs w:val="21"/>
                <w:lang w:val="en-US" w:eastAsia="zh-CN"/>
              </w:rPr>
              <w:t>售后服务方案</w:t>
            </w:r>
          </w:p>
        </w:tc>
        <w:tc>
          <w:tcPr>
            <w:tcW w:w="860" w:type="dxa"/>
            <w:vAlign w:val="center"/>
          </w:tcPr>
          <w:p>
            <w:pPr>
              <w:adjustRightInd w:val="0"/>
              <w:snapToGrid w:val="0"/>
              <w:jc w:val="center"/>
              <w:rPr>
                <w:rFonts w:hint="default" w:ascii="宋体" w:hAnsi="宋体" w:eastAsia="宋体"/>
                <w:color w:val="000000"/>
                <w:szCs w:val="21"/>
                <w:lang w:val="en-US" w:eastAsia="zh-CN"/>
              </w:rPr>
            </w:pPr>
            <w:r>
              <w:rPr>
                <w:rFonts w:hint="eastAsia" w:ascii="宋体" w:hAnsi="宋体"/>
                <w:color w:val="000000"/>
                <w:szCs w:val="21"/>
                <w:lang w:val="en-US" w:eastAsia="zh-CN"/>
              </w:rPr>
              <w:t>6分</w:t>
            </w:r>
          </w:p>
        </w:tc>
        <w:tc>
          <w:tcPr>
            <w:tcW w:w="4728" w:type="dxa"/>
            <w:vAlign w:val="center"/>
          </w:tcPr>
          <w:p>
            <w:pPr>
              <w:adjustRightInd w:val="0"/>
              <w:snapToGrid w:val="0"/>
              <w:jc w:val="left"/>
              <w:rPr>
                <w:rFonts w:hint="eastAsia" w:ascii="宋体" w:hAnsi="宋体"/>
                <w:color w:val="000000"/>
                <w:szCs w:val="21"/>
              </w:rPr>
            </w:pPr>
            <w:r>
              <w:rPr>
                <w:rFonts w:hint="eastAsia" w:ascii="宋体" w:hAnsi="宋体"/>
                <w:color w:val="000000"/>
                <w:szCs w:val="21"/>
              </w:rPr>
              <w:t>售后服务技术方案（</w:t>
            </w:r>
            <w:r>
              <w:rPr>
                <w:rFonts w:hint="eastAsia" w:ascii="宋体" w:hAnsi="宋体"/>
                <w:color w:val="000000"/>
                <w:szCs w:val="21"/>
                <w:lang w:val="en-US" w:eastAsia="zh-CN"/>
              </w:rPr>
              <w:t>3</w:t>
            </w:r>
            <w:r>
              <w:rPr>
                <w:rFonts w:hint="eastAsia" w:ascii="宋体" w:hAnsi="宋体"/>
                <w:color w:val="000000"/>
                <w:szCs w:val="21"/>
              </w:rPr>
              <w:t>分）</w:t>
            </w:r>
          </w:p>
          <w:p>
            <w:pPr>
              <w:adjustRightInd w:val="0"/>
              <w:snapToGrid w:val="0"/>
              <w:jc w:val="left"/>
              <w:rPr>
                <w:rFonts w:hint="eastAsia" w:ascii="宋体" w:hAnsi="宋体"/>
                <w:color w:val="000000"/>
                <w:szCs w:val="21"/>
              </w:rPr>
            </w:pPr>
            <w:r>
              <w:rPr>
                <w:rFonts w:hint="eastAsia" w:ascii="宋体" w:hAnsi="宋体"/>
                <w:color w:val="000000"/>
                <w:szCs w:val="21"/>
              </w:rPr>
              <w:t xml:space="preserve">售后服务计划（包括服务内容、服务团队、巡检服务和故障响应时间、解决问题时间、保障措施等）全面、详尽、符合项目特点，完全满足项目要求的，得 </w:t>
            </w:r>
            <w:r>
              <w:rPr>
                <w:rFonts w:hint="eastAsia" w:ascii="宋体" w:hAnsi="宋体"/>
                <w:color w:val="000000"/>
                <w:szCs w:val="21"/>
                <w:lang w:val="en-US" w:eastAsia="zh-CN"/>
              </w:rPr>
              <w:t>3</w:t>
            </w:r>
            <w:r>
              <w:rPr>
                <w:rFonts w:hint="eastAsia" w:ascii="宋体" w:hAnsi="宋体"/>
                <w:color w:val="000000"/>
                <w:szCs w:val="21"/>
              </w:rPr>
              <w:t>分；技术服务方案不够全面但基本满足项目需求的，得</w:t>
            </w:r>
            <w:r>
              <w:rPr>
                <w:rFonts w:hint="eastAsia" w:ascii="宋体" w:hAnsi="宋体"/>
                <w:color w:val="000000"/>
                <w:szCs w:val="21"/>
                <w:lang w:val="en-US" w:eastAsia="zh-CN"/>
              </w:rPr>
              <w:t>2</w:t>
            </w:r>
            <w:r>
              <w:rPr>
                <w:rFonts w:hint="eastAsia" w:ascii="宋体" w:hAnsi="宋体"/>
                <w:color w:val="000000"/>
                <w:szCs w:val="21"/>
              </w:rPr>
              <w:t>分；不全面、不详尽或者保障措施欠充分、欠可靠、欠有效的，得</w:t>
            </w:r>
            <w:r>
              <w:rPr>
                <w:rFonts w:hint="eastAsia" w:ascii="宋体" w:hAnsi="宋体"/>
                <w:color w:val="000000"/>
                <w:szCs w:val="21"/>
                <w:lang w:val="en-US" w:eastAsia="zh-CN"/>
              </w:rPr>
              <w:t>1</w:t>
            </w:r>
            <w:r>
              <w:rPr>
                <w:rFonts w:hint="eastAsia" w:ascii="宋体" w:hAnsi="宋体"/>
                <w:color w:val="000000"/>
                <w:szCs w:val="21"/>
              </w:rPr>
              <w:t>分，未提供不得分。</w:t>
            </w:r>
          </w:p>
          <w:p>
            <w:pPr>
              <w:adjustRightInd w:val="0"/>
              <w:snapToGrid w:val="0"/>
              <w:jc w:val="left"/>
              <w:rPr>
                <w:rFonts w:hint="eastAsia" w:ascii="宋体" w:hAnsi="宋体"/>
                <w:color w:val="000000"/>
                <w:szCs w:val="21"/>
              </w:rPr>
            </w:pPr>
            <w:r>
              <w:rPr>
                <w:rFonts w:hint="eastAsia" w:ascii="宋体" w:hAnsi="宋体"/>
                <w:color w:val="000000"/>
                <w:szCs w:val="21"/>
              </w:rPr>
              <w:t>售后承诺及优惠条件（</w:t>
            </w:r>
            <w:r>
              <w:rPr>
                <w:rFonts w:hint="eastAsia" w:ascii="宋体" w:hAnsi="宋体"/>
                <w:color w:val="000000"/>
                <w:szCs w:val="21"/>
                <w:lang w:val="en-US" w:eastAsia="zh-CN"/>
              </w:rPr>
              <w:t>3</w:t>
            </w:r>
            <w:r>
              <w:rPr>
                <w:rFonts w:hint="eastAsia" w:ascii="宋体" w:hAnsi="宋体"/>
                <w:color w:val="000000"/>
                <w:szCs w:val="21"/>
              </w:rPr>
              <w:t>分）</w:t>
            </w:r>
          </w:p>
          <w:p>
            <w:pPr>
              <w:adjustRightInd w:val="0"/>
              <w:snapToGrid w:val="0"/>
              <w:jc w:val="left"/>
              <w:rPr>
                <w:rFonts w:hint="eastAsia" w:ascii="宋体" w:hAnsi="宋体"/>
                <w:color w:val="000000"/>
                <w:szCs w:val="21"/>
              </w:rPr>
            </w:pPr>
            <w:r>
              <w:rPr>
                <w:rFonts w:hint="eastAsia" w:ascii="宋体" w:hAnsi="宋体"/>
                <w:color w:val="000000"/>
                <w:szCs w:val="21"/>
              </w:rPr>
              <w:t xml:space="preserve">根据供应商质保期内外售后服务承诺及优惠条件综合打分，承诺优秀的得 </w:t>
            </w:r>
            <w:r>
              <w:rPr>
                <w:rFonts w:hint="eastAsia" w:ascii="宋体" w:hAnsi="宋体"/>
                <w:color w:val="000000"/>
                <w:szCs w:val="21"/>
                <w:lang w:val="en-US" w:eastAsia="zh-CN"/>
              </w:rPr>
              <w:t>3</w:t>
            </w:r>
            <w:r>
              <w:rPr>
                <w:rFonts w:hint="eastAsia" w:ascii="宋体" w:hAnsi="宋体"/>
                <w:color w:val="000000"/>
                <w:szCs w:val="21"/>
              </w:rPr>
              <w:t xml:space="preserve"> 分，承诺良好得 </w:t>
            </w:r>
            <w:r>
              <w:rPr>
                <w:rFonts w:hint="eastAsia" w:ascii="宋体" w:hAnsi="宋体"/>
                <w:color w:val="000000"/>
                <w:szCs w:val="21"/>
                <w:lang w:val="en-US" w:eastAsia="zh-CN"/>
              </w:rPr>
              <w:t>2</w:t>
            </w:r>
            <w:r>
              <w:rPr>
                <w:rFonts w:hint="eastAsia" w:ascii="宋体" w:hAnsi="宋体"/>
                <w:color w:val="000000"/>
                <w:szCs w:val="21"/>
              </w:rPr>
              <w:t xml:space="preserve"> 分，承诺一般得</w:t>
            </w:r>
            <w:r>
              <w:rPr>
                <w:rFonts w:hint="eastAsia" w:ascii="宋体" w:hAnsi="宋体"/>
                <w:color w:val="000000"/>
                <w:szCs w:val="21"/>
                <w:lang w:val="en-US" w:eastAsia="zh-CN"/>
              </w:rPr>
              <w:t>1</w:t>
            </w:r>
            <w:r>
              <w:rPr>
                <w:rFonts w:hint="eastAsia" w:ascii="宋体" w:hAnsi="宋体"/>
                <w:color w:val="000000"/>
                <w:szCs w:val="21"/>
              </w:rPr>
              <w:t>分，未提供不得分。</w:t>
            </w:r>
          </w:p>
        </w:tc>
      </w:tr>
    </w:tbl>
    <w:p>
      <w:pPr>
        <w:pStyle w:val="3"/>
      </w:pPr>
    </w:p>
    <w:p>
      <w:pPr>
        <w:spacing w:line="288" w:lineRule="auto"/>
        <w:rPr>
          <w:rFonts w:ascii="宋体" w:hAnsi="宋体" w:cs="宋体"/>
          <w:szCs w:val="21"/>
          <w:lang w:val="zh-CN"/>
        </w:rPr>
      </w:pPr>
      <w:bookmarkStart w:id="87" w:name="_Toc507418001"/>
      <w:bookmarkStart w:id="88" w:name="_Toc507418351"/>
      <w:bookmarkStart w:id="89" w:name="_Toc1968"/>
      <w:r>
        <w:rPr>
          <w:rFonts w:hint="eastAsia" w:ascii="宋体" w:hAnsi="宋体" w:cs="宋体"/>
          <w:szCs w:val="21"/>
          <w:lang w:val="zh-CN"/>
        </w:rPr>
        <w:t>三、评审结果</w:t>
      </w:r>
      <w:bookmarkEnd w:id="87"/>
      <w:bookmarkEnd w:id="88"/>
      <w:bookmarkEnd w:id="89"/>
    </w:p>
    <w:p>
      <w:pPr>
        <w:spacing w:line="288" w:lineRule="auto"/>
        <w:ind w:firstLine="420" w:firstLineChars="200"/>
        <w:rPr>
          <w:rFonts w:ascii="宋体" w:hAnsi="宋体" w:cs="宋体"/>
          <w:szCs w:val="21"/>
        </w:rPr>
      </w:pPr>
      <w:r>
        <w:rPr>
          <w:rFonts w:hint="eastAsia" w:ascii="宋体" w:hAnsi="宋体" w:cs="宋体"/>
          <w:szCs w:val="21"/>
        </w:rPr>
        <w:t>1.评审结束后，磋商小组按照本办法5.1条规定，按照评审得分由高到低顺序推荐1-3名成交候选供应商，并编写评审报告。评审得分相同的，按照最后报价由低到高的顺序推荐。评审得分且最后报价相同的，按照技术指标优劣顺序推荐。</w:t>
      </w:r>
    </w:p>
    <w:p>
      <w:pPr>
        <w:spacing w:line="288" w:lineRule="auto"/>
        <w:ind w:firstLine="420" w:firstLineChars="200"/>
        <w:rPr>
          <w:rFonts w:ascii="宋体" w:hAnsi="宋体" w:cs="宋体"/>
          <w:szCs w:val="21"/>
        </w:rPr>
      </w:pPr>
      <w:r>
        <w:rPr>
          <w:rFonts w:hint="eastAsia" w:ascii="宋体" w:hAnsi="宋体" w:cs="宋体"/>
          <w:szCs w:val="21"/>
        </w:rPr>
        <w:t>2．评审报告应当由磋商小组全体人员签字认可。磋商小组成员对评审报告有异议的，磋商小组按照少数服从多数的原则推荐成交候选供应商，采购程序继续进行。对评审 报告有异议的磋商小组成员，应当在报告上签署不同意见并说明理由，由磋商小组书面记录相关情况。磋商小组成员拒绝在报告上签字又不书面说明其不同意见和理由的，视为同意评审报告。</w:t>
      </w:r>
    </w:p>
    <w:p>
      <w:pPr>
        <w:spacing w:line="288" w:lineRule="auto"/>
        <w:rPr>
          <w:rFonts w:ascii="宋体" w:hAnsi="宋体" w:cs="宋体"/>
          <w:szCs w:val="21"/>
          <w:lang w:val="zh-CN"/>
        </w:rPr>
      </w:pPr>
      <w:bookmarkStart w:id="90" w:name="_Toc507418352"/>
      <w:bookmarkStart w:id="91" w:name="_Toc14118"/>
      <w:bookmarkStart w:id="92" w:name="_Toc507418002"/>
      <w:r>
        <w:rPr>
          <w:rFonts w:hint="eastAsia" w:ascii="宋体" w:hAnsi="宋体" w:cs="宋体"/>
          <w:szCs w:val="21"/>
          <w:lang w:val="zh-CN"/>
        </w:rPr>
        <w:t>四、磋商纪律</w:t>
      </w:r>
      <w:bookmarkEnd w:id="90"/>
      <w:bookmarkEnd w:id="91"/>
      <w:bookmarkEnd w:id="92"/>
    </w:p>
    <w:p>
      <w:pPr>
        <w:widowControl/>
        <w:spacing w:line="288" w:lineRule="auto"/>
        <w:ind w:firstLine="420" w:firstLineChars="200"/>
        <w:rPr>
          <w:rFonts w:ascii="宋体" w:hAnsi="宋体" w:cs="宋体"/>
          <w:szCs w:val="21"/>
          <w:lang w:val="zh-CN"/>
        </w:rPr>
      </w:pPr>
      <w:r>
        <w:rPr>
          <w:rFonts w:hint="eastAsia" w:ascii="宋体" w:hAnsi="宋体" w:cs="宋体"/>
          <w:szCs w:val="21"/>
          <w:lang w:val="zh-CN"/>
        </w:rPr>
        <w:t>（1）磋商小组成员内部讨论的情况和意见必须保密，任何人不得以任何形式透露给供应商或与供应商有关的单位或个人；</w:t>
      </w:r>
    </w:p>
    <w:p>
      <w:pPr>
        <w:widowControl/>
        <w:spacing w:line="288" w:lineRule="auto"/>
        <w:ind w:firstLine="420" w:firstLineChars="200"/>
        <w:rPr>
          <w:rFonts w:ascii="宋体" w:hAnsi="宋体" w:cs="宋体"/>
          <w:szCs w:val="21"/>
          <w:lang w:val="zh-CN"/>
        </w:rPr>
      </w:pPr>
      <w:r>
        <w:rPr>
          <w:rFonts w:hint="eastAsia" w:ascii="宋体" w:hAnsi="宋体" w:cs="宋体"/>
          <w:szCs w:val="21"/>
          <w:lang w:val="zh-CN"/>
        </w:rPr>
        <w:t>（2）在磋商过程中，供应商不得以任何形式对磋商小组成员进行旨在影响磋商结果的私下接触，否则取消其磋商资格；</w:t>
      </w:r>
    </w:p>
    <w:p>
      <w:pPr>
        <w:widowControl/>
        <w:spacing w:line="288" w:lineRule="auto"/>
        <w:ind w:firstLine="420" w:firstLineChars="200"/>
        <w:rPr>
          <w:rFonts w:ascii="宋体" w:hAnsi="宋体" w:cs="宋体"/>
          <w:szCs w:val="21"/>
          <w:lang w:val="zh-CN"/>
        </w:rPr>
      </w:pPr>
      <w:r>
        <w:rPr>
          <w:rFonts w:hint="eastAsia" w:ascii="宋体" w:hAnsi="宋体" w:cs="宋体"/>
          <w:szCs w:val="21"/>
          <w:lang w:val="zh-CN"/>
        </w:rPr>
        <w:t>（3）磋商小组采用以及与磋商有关的人员应当对评审情况和评审过程中获悉的国家秘密、商业秘密予以保密。</w:t>
      </w:r>
    </w:p>
    <w:p>
      <w:pPr>
        <w:widowControl/>
        <w:spacing w:line="288" w:lineRule="auto"/>
        <w:ind w:firstLine="420" w:firstLineChars="200"/>
        <w:rPr>
          <w:rFonts w:ascii="宋体" w:hAnsi="宋体" w:cs="宋体"/>
          <w:szCs w:val="21"/>
          <w:lang w:val="zh-CN"/>
        </w:rPr>
      </w:pPr>
      <w:r>
        <w:rPr>
          <w:rFonts w:hint="eastAsia" w:ascii="宋体" w:hAnsi="宋体" w:cs="宋体"/>
          <w:szCs w:val="21"/>
          <w:lang w:val="zh-CN"/>
        </w:rPr>
        <w:t>（4）供应商不得泄漏竞争性磋商活动中应当保密的情况和资料，不得与其他供应商串通损害国家利益、社会公共利益或者他人合法权益。</w:t>
      </w:r>
    </w:p>
    <w:p>
      <w:pPr>
        <w:widowControl/>
        <w:spacing w:line="288" w:lineRule="auto"/>
        <w:ind w:firstLine="420" w:firstLineChars="200"/>
        <w:rPr>
          <w:rFonts w:ascii="宋体" w:hAnsi="宋体" w:cs="宋体"/>
          <w:szCs w:val="21"/>
          <w:lang w:val="zh-CN"/>
        </w:rPr>
      </w:pPr>
      <w:r>
        <w:rPr>
          <w:rFonts w:hint="eastAsia" w:ascii="宋体" w:hAnsi="宋体" w:cs="宋体"/>
          <w:szCs w:val="21"/>
          <w:lang w:val="zh-CN"/>
        </w:rPr>
        <w:t>（5）供应商不得相互串通响应或者与采购人串通响应，不得向采购人或者评审委员会成员行贿谋取成交，不得以他人名义响应或者以其他方式弄虚作假骗取成交；供应商不得以任何方式干扰、影响评审工作。</w:t>
      </w:r>
    </w:p>
    <w:p>
      <w:pPr>
        <w:widowControl/>
        <w:spacing w:line="288" w:lineRule="auto"/>
        <w:ind w:firstLine="420" w:firstLineChars="200"/>
        <w:rPr>
          <w:rFonts w:ascii="宋体" w:hAnsi="宋体" w:cs="宋体"/>
          <w:szCs w:val="21"/>
          <w:lang w:val="zh-CN"/>
        </w:rPr>
      </w:pPr>
      <w:r>
        <w:rPr>
          <w:rFonts w:hint="eastAsia" w:ascii="宋体" w:hAnsi="宋体" w:cs="宋体"/>
          <w:szCs w:val="21"/>
          <w:lang w:val="zh-CN"/>
        </w:rPr>
        <w:t>（6）磋商小组成员不得收受他人的财物或者其他好处，不得向他人透漏对响应文件的评审和比较、成交候选人的推荐情况以及评审有关的其他情况。在评审活动中，磋商小组成员应当客观、公正地履行职责，遵守职业道德，不得擅离职守，影响评审程序正常进行，不得使用评审办法中没有规定的评审因素和标准进行评审。</w:t>
      </w:r>
    </w:p>
    <w:p>
      <w:pPr>
        <w:widowControl/>
        <w:spacing w:line="288" w:lineRule="auto"/>
        <w:ind w:firstLine="420" w:firstLineChars="200"/>
        <w:rPr>
          <w:rFonts w:ascii="宋体" w:hAnsi="宋体" w:cs="宋体"/>
          <w:szCs w:val="21"/>
          <w:lang w:val="zh-CN"/>
        </w:rPr>
      </w:pPr>
    </w:p>
    <w:p>
      <w:pPr>
        <w:rPr>
          <w:rFonts w:ascii="宋体" w:hAnsi="宋体"/>
          <w:b/>
          <w:sz w:val="36"/>
        </w:rPr>
      </w:pPr>
      <w:bookmarkStart w:id="93" w:name="_Toc28782"/>
      <w:r>
        <w:rPr>
          <w:rFonts w:hint="eastAsia" w:ascii="宋体" w:hAnsi="宋体"/>
          <w:b/>
          <w:sz w:val="36"/>
        </w:rPr>
        <w:br w:type="page"/>
      </w:r>
    </w:p>
    <w:p>
      <w:pPr>
        <w:autoSpaceDE w:val="0"/>
        <w:autoSpaceDN w:val="0"/>
        <w:adjustRightInd w:val="0"/>
        <w:spacing w:line="360" w:lineRule="auto"/>
        <w:jc w:val="center"/>
        <w:outlineLvl w:val="0"/>
        <w:rPr>
          <w:rFonts w:ascii="宋体" w:hAnsi="宋体"/>
          <w:b/>
          <w:sz w:val="36"/>
        </w:rPr>
      </w:pPr>
      <w:r>
        <w:rPr>
          <w:rFonts w:hint="eastAsia" w:ascii="宋体" w:hAnsi="宋体"/>
          <w:b/>
          <w:sz w:val="36"/>
        </w:rPr>
        <w:t>第六章 响应文件格式</w:t>
      </w:r>
      <w:bookmarkEnd w:id="93"/>
    </w:p>
    <w:p>
      <w:pPr>
        <w:spacing w:line="360" w:lineRule="auto"/>
        <w:jc w:val="right"/>
        <w:rPr>
          <w:rFonts w:ascii="宋体" w:hAnsi="宋体" w:cs="仿宋_GB2312"/>
          <w:sz w:val="23"/>
        </w:rPr>
      </w:pPr>
    </w:p>
    <w:p>
      <w:pPr>
        <w:spacing w:line="360" w:lineRule="auto"/>
        <w:rPr>
          <w:rFonts w:ascii="宋体" w:hAnsi="宋体"/>
          <w:b/>
          <w:bCs/>
          <w:sz w:val="24"/>
        </w:rPr>
      </w:pPr>
      <w:r>
        <w:rPr>
          <w:rFonts w:hint="eastAsia" w:ascii="宋体" w:hAnsi="宋体"/>
          <w:b/>
          <w:bCs/>
          <w:sz w:val="24"/>
        </w:rPr>
        <w:t>供应商编制文件须知</w:t>
      </w:r>
    </w:p>
    <w:p>
      <w:pPr>
        <w:spacing w:line="360" w:lineRule="auto"/>
        <w:rPr>
          <w:rFonts w:ascii="宋体" w:hAnsi="宋体"/>
          <w:szCs w:val="21"/>
        </w:rPr>
      </w:pPr>
      <w:r>
        <w:rPr>
          <w:rFonts w:hint="eastAsia" w:ascii="宋体" w:hAnsi="宋体"/>
          <w:szCs w:val="21"/>
        </w:rPr>
        <w:t>1、供应商按照本部分的顺序编制响应文件，编制中涉及格式资料的，应按照本部分提供的内容和格式（所有表格的格式可扩展）填写提交。</w:t>
      </w:r>
    </w:p>
    <w:p>
      <w:pPr>
        <w:spacing w:line="360" w:lineRule="auto"/>
        <w:rPr>
          <w:rFonts w:ascii="宋体" w:hAnsi="宋体"/>
          <w:szCs w:val="21"/>
        </w:rPr>
      </w:pPr>
      <w:r>
        <w:rPr>
          <w:rFonts w:hint="eastAsia" w:ascii="宋体" w:hAnsi="宋体"/>
          <w:szCs w:val="21"/>
        </w:rPr>
        <w:t>2、对于竞争性磋商文件中标记了“实质性格式”文件的，供应商不得改变格式中给定的文字所表达的含义，不得删减格式中的实质性内容，不得自行添加与格式中给定的文字内容相矛盾的内容，不得对应当填写的空格不填写或不实质性响应，否则响应无效。未标记“实质性格式”的文件和竞争性磋商文件未提供格式的内容，可由供应商自行编写。</w:t>
      </w:r>
    </w:p>
    <w:p>
      <w:pPr>
        <w:spacing w:line="360" w:lineRule="auto"/>
        <w:rPr>
          <w:rFonts w:ascii="宋体" w:hAnsi="宋体"/>
          <w:szCs w:val="21"/>
        </w:rPr>
      </w:pPr>
      <w:r>
        <w:rPr>
          <w:rFonts w:hint="eastAsia" w:ascii="宋体" w:hAnsi="宋体"/>
          <w:szCs w:val="21"/>
        </w:rPr>
        <w:t>3、全部声明和问题的回答及所附材料必须是真实的、准确的和完整的。</w:t>
      </w:r>
    </w:p>
    <w:p>
      <w:pPr>
        <w:jc w:val="left"/>
        <w:rPr>
          <w:b/>
          <w:sz w:val="24"/>
        </w:rPr>
      </w:pPr>
      <w:r>
        <w:rPr>
          <w:b/>
          <w:spacing w:val="20"/>
          <w:szCs w:val="21"/>
        </w:rPr>
        <w:t>响应文件</w:t>
      </w:r>
      <w:r>
        <w:rPr>
          <w:b/>
          <w:szCs w:val="21"/>
        </w:rPr>
        <w:t>封面（非实质性格式）</w:t>
      </w:r>
    </w:p>
    <w:p>
      <w:pPr>
        <w:jc w:val="center"/>
        <w:rPr>
          <w:rFonts w:ascii="宋体" w:hAnsi="宋体" w:eastAsia="黑体" w:cs="宋体"/>
          <w:sz w:val="30"/>
          <w:szCs w:val="28"/>
          <w:u w:val="single"/>
        </w:rPr>
      </w:pPr>
    </w:p>
    <w:p>
      <w:pPr>
        <w:jc w:val="center"/>
        <w:rPr>
          <w:rFonts w:ascii="宋体" w:hAnsi="宋体" w:cs="宋体"/>
          <w:sz w:val="20"/>
        </w:rPr>
      </w:pPr>
      <w:r>
        <w:rPr>
          <w:rFonts w:hint="eastAsia" w:ascii="宋体" w:hAnsi="宋体" w:eastAsia="黑体" w:cs="宋体"/>
          <w:sz w:val="30"/>
          <w:szCs w:val="28"/>
        </w:rPr>
        <w:t>（项目名称）</w:t>
      </w:r>
    </w:p>
    <w:p>
      <w:pPr>
        <w:rPr>
          <w:rFonts w:ascii="宋体" w:hAnsi="宋体" w:cs="宋体"/>
          <w:sz w:val="20"/>
        </w:rPr>
      </w:pPr>
    </w:p>
    <w:p>
      <w:pPr>
        <w:jc w:val="center"/>
        <w:rPr>
          <w:rFonts w:ascii="宋体" w:hAnsi="宋体" w:cs="宋体"/>
          <w:sz w:val="44"/>
          <w:szCs w:val="44"/>
        </w:rPr>
      </w:pPr>
      <w:r>
        <w:rPr>
          <w:rFonts w:hint="eastAsia" w:ascii="宋体" w:hAnsi="宋体" w:cs="宋体"/>
          <w:sz w:val="44"/>
          <w:szCs w:val="44"/>
        </w:rPr>
        <w:t>磋 商 响 应 文 件</w:t>
      </w:r>
    </w:p>
    <w:p>
      <w:pPr>
        <w:jc w:val="center"/>
        <w:rPr>
          <w:rFonts w:ascii="宋体" w:hAnsi="宋体" w:cs="宋体"/>
          <w:sz w:val="44"/>
          <w:szCs w:val="44"/>
        </w:rPr>
      </w:pPr>
    </w:p>
    <w:p>
      <w:pPr>
        <w:rPr>
          <w:rFonts w:ascii="宋体" w:hAnsi="宋体" w:eastAsia="黑体" w:cs="宋体"/>
          <w:sz w:val="30"/>
          <w:szCs w:val="28"/>
        </w:rPr>
      </w:pPr>
    </w:p>
    <w:p>
      <w:pPr>
        <w:rPr>
          <w:rFonts w:ascii="宋体" w:hAnsi="宋体" w:eastAsia="黑体" w:cs="宋体"/>
          <w:sz w:val="30"/>
          <w:szCs w:val="28"/>
        </w:rPr>
      </w:pPr>
    </w:p>
    <w:p>
      <w:pPr>
        <w:pStyle w:val="29"/>
        <w:ind w:firstLine="488"/>
      </w:pPr>
    </w:p>
    <w:p/>
    <w:p>
      <w:pPr>
        <w:rPr>
          <w:rFonts w:ascii="宋体" w:hAnsi="宋体" w:eastAsia="黑体" w:cs="宋体"/>
          <w:sz w:val="30"/>
          <w:szCs w:val="28"/>
        </w:rPr>
      </w:pPr>
    </w:p>
    <w:p>
      <w:pPr>
        <w:rPr>
          <w:rFonts w:ascii="宋体" w:hAnsi="宋体" w:eastAsia="黑体" w:cs="宋体"/>
          <w:sz w:val="30"/>
          <w:szCs w:val="28"/>
        </w:rPr>
      </w:pPr>
    </w:p>
    <w:p>
      <w:pPr>
        <w:spacing w:line="360" w:lineRule="auto"/>
        <w:jc w:val="center"/>
        <w:rPr>
          <w:rFonts w:ascii="宋体" w:hAnsi="宋体" w:eastAsia="黑体" w:cs="宋体"/>
          <w:color w:val="000000"/>
          <w:sz w:val="28"/>
          <w:u w:val="single"/>
        </w:rPr>
      </w:pPr>
      <w:r>
        <w:rPr>
          <w:rFonts w:hint="eastAsia" w:ascii="宋体" w:hAnsi="宋体" w:eastAsia="黑体" w:cs="宋体"/>
          <w:sz w:val="28"/>
        </w:rPr>
        <w:t>供应商：</w:t>
      </w:r>
      <w:r>
        <w:rPr>
          <w:rFonts w:hint="eastAsia" w:ascii="宋体" w:hAnsi="宋体" w:eastAsia="黑体" w:cs="宋体"/>
          <w:color w:val="000000"/>
          <w:sz w:val="28"/>
        </w:rPr>
        <w:t>（盖单位电子印章）</w:t>
      </w:r>
    </w:p>
    <w:p>
      <w:pPr>
        <w:spacing w:line="360" w:lineRule="auto"/>
        <w:jc w:val="center"/>
        <w:rPr>
          <w:rFonts w:ascii="宋体" w:hAnsi="宋体" w:eastAsia="黑体" w:cs="宋体"/>
          <w:color w:val="000000"/>
          <w:sz w:val="28"/>
        </w:rPr>
      </w:pPr>
      <w:r>
        <w:rPr>
          <w:rFonts w:hint="eastAsia" w:ascii="宋体" w:hAnsi="宋体" w:eastAsia="黑体" w:cs="宋体"/>
          <w:color w:val="000000"/>
          <w:sz w:val="28"/>
        </w:rPr>
        <w:t>法定代表人或其委托代理人：（签字或加盖电子签名章）</w:t>
      </w:r>
    </w:p>
    <w:p>
      <w:pPr>
        <w:jc w:val="center"/>
        <w:rPr>
          <w:rFonts w:ascii="宋体" w:hAnsi="宋体" w:eastAsia="黑体" w:cs="宋体"/>
          <w:sz w:val="30"/>
          <w:szCs w:val="28"/>
        </w:rPr>
      </w:pPr>
      <w:r>
        <w:rPr>
          <w:rFonts w:hint="eastAsia" w:ascii="宋体" w:hAnsi="宋体" w:eastAsia="黑体" w:cs="宋体"/>
          <w:sz w:val="30"/>
          <w:szCs w:val="28"/>
        </w:rPr>
        <w:t>年  月  日</w:t>
      </w:r>
    </w:p>
    <w:p>
      <w:pPr>
        <w:spacing w:line="360" w:lineRule="auto"/>
        <w:jc w:val="center"/>
        <w:rPr>
          <w:rFonts w:ascii="宋体" w:hAnsi="宋体"/>
          <w:b/>
          <w:bCs/>
          <w:color w:val="000000"/>
          <w:sz w:val="28"/>
          <w:szCs w:val="28"/>
        </w:rPr>
      </w:pPr>
      <w:r>
        <w:rPr>
          <w:rFonts w:hint="eastAsia" w:ascii="宋体" w:hAnsi="宋体"/>
          <w:b/>
          <w:bCs/>
          <w:color w:val="000000"/>
          <w:sz w:val="28"/>
          <w:szCs w:val="28"/>
        </w:rPr>
        <w:br w:type="page"/>
      </w:r>
      <w:r>
        <w:rPr>
          <w:rFonts w:hint="eastAsia" w:ascii="宋体" w:hAnsi="宋体"/>
          <w:b/>
          <w:bCs/>
          <w:color w:val="000000"/>
          <w:sz w:val="28"/>
          <w:szCs w:val="28"/>
        </w:rPr>
        <w:t>响应文件目录</w:t>
      </w:r>
    </w:p>
    <w:p>
      <w:pPr>
        <w:spacing w:line="360" w:lineRule="auto"/>
        <w:ind w:firstLine="560" w:firstLineChars="200"/>
        <w:jc w:val="center"/>
        <w:rPr>
          <w:rFonts w:ascii="宋体" w:hAnsi="宋体" w:cs="宋体"/>
          <w:kern w:val="0"/>
          <w:sz w:val="28"/>
          <w:szCs w:val="28"/>
        </w:rPr>
      </w:pPr>
    </w:p>
    <w:p>
      <w:pPr>
        <w:spacing w:line="360" w:lineRule="auto"/>
        <w:ind w:firstLine="480" w:firstLineChars="200"/>
        <w:jc w:val="left"/>
        <w:rPr>
          <w:rFonts w:ascii="宋体" w:hAnsi="宋体" w:cs="宋体"/>
          <w:kern w:val="0"/>
          <w:sz w:val="24"/>
        </w:rPr>
      </w:pPr>
      <w:r>
        <w:rPr>
          <w:rFonts w:hint="eastAsia" w:ascii="宋体" w:hAnsi="宋体" w:cs="宋体"/>
          <w:kern w:val="0"/>
          <w:sz w:val="24"/>
        </w:rPr>
        <w:t>（一）响应函及报价一览表</w:t>
      </w:r>
    </w:p>
    <w:p>
      <w:pPr>
        <w:spacing w:line="360" w:lineRule="auto"/>
        <w:ind w:firstLine="480" w:firstLineChars="200"/>
        <w:jc w:val="left"/>
        <w:rPr>
          <w:rFonts w:ascii="宋体" w:hAnsi="宋体" w:cs="宋体"/>
          <w:kern w:val="0"/>
          <w:sz w:val="24"/>
        </w:rPr>
      </w:pPr>
      <w:r>
        <w:rPr>
          <w:rFonts w:hint="eastAsia" w:ascii="宋体" w:hAnsi="宋体" w:cs="宋体"/>
          <w:kern w:val="0"/>
          <w:sz w:val="24"/>
        </w:rPr>
        <w:t>（二）法定代表人身份证明及授权委托书</w:t>
      </w:r>
    </w:p>
    <w:p>
      <w:pPr>
        <w:spacing w:line="360" w:lineRule="auto"/>
        <w:ind w:firstLine="480" w:firstLineChars="200"/>
        <w:jc w:val="left"/>
        <w:rPr>
          <w:rFonts w:ascii="宋体" w:hAnsi="宋体" w:cs="宋体"/>
          <w:kern w:val="0"/>
          <w:sz w:val="24"/>
        </w:rPr>
      </w:pPr>
      <w:r>
        <w:rPr>
          <w:rFonts w:hint="eastAsia" w:ascii="宋体" w:hAnsi="宋体" w:cs="宋体"/>
          <w:kern w:val="0"/>
          <w:sz w:val="24"/>
        </w:rPr>
        <w:t>（三）货物的技术规格、数量、服务标准、验收等要求的响应</w:t>
      </w:r>
    </w:p>
    <w:p>
      <w:pPr>
        <w:spacing w:line="360" w:lineRule="auto"/>
        <w:ind w:firstLine="480" w:firstLineChars="200"/>
        <w:jc w:val="left"/>
        <w:rPr>
          <w:rFonts w:hint="eastAsia" w:ascii="宋体" w:hAnsi="宋体" w:cs="宋体"/>
          <w:kern w:val="0"/>
          <w:sz w:val="24"/>
        </w:rPr>
      </w:pPr>
      <w:r>
        <w:rPr>
          <w:rFonts w:hint="eastAsia" w:ascii="宋体" w:hAnsi="宋体" w:cs="宋体"/>
          <w:kern w:val="0"/>
          <w:sz w:val="24"/>
        </w:rPr>
        <w:t>（四）商务、技术偏差表</w:t>
      </w:r>
    </w:p>
    <w:p>
      <w:pPr>
        <w:spacing w:line="360" w:lineRule="auto"/>
        <w:ind w:firstLine="480" w:firstLineChars="200"/>
        <w:jc w:val="left"/>
        <w:rPr>
          <w:rFonts w:hint="default" w:ascii="宋体" w:hAnsi="宋体" w:cs="宋体"/>
          <w:kern w:val="0"/>
          <w:sz w:val="24"/>
          <w:lang w:val="en-US"/>
        </w:rPr>
      </w:pPr>
      <w:r>
        <w:rPr>
          <w:rFonts w:hint="eastAsia" w:ascii="宋体" w:hAnsi="宋体" w:cs="宋体"/>
          <w:kern w:val="0"/>
          <w:sz w:val="24"/>
        </w:rPr>
        <w:t>（</w:t>
      </w:r>
      <w:r>
        <w:rPr>
          <w:rFonts w:hint="eastAsia" w:ascii="宋体" w:hAnsi="宋体" w:cs="宋体"/>
          <w:kern w:val="0"/>
          <w:sz w:val="24"/>
          <w:lang w:val="en-US" w:eastAsia="zh-CN"/>
        </w:rPr>
        <w:t>五</w:t>
      </w:r>
      <w:r>
        <w:rPr>
          <w:rFonts w:hint="eastAsia" w:ascii="宋体" w:hAnsi="宋体" w:cs="宋体"/>
          <w:kern w:val="0"/>
          <w:sz w:val="24"/>
        </w:rPr>
        <w:t>）</w:t>
      </w:r>
      <w:r>
        <w:rPr>
          <w:rFonts w:hint="eastAsia" w:ascii="宋体" w:hAnsi="宋体" w:cs="宋体"/>
          <w:kern w:val="0"/>
          <w:sz w:val="24"/>
          <w:lang w:val="en-US" w:eastAsia="zh-CN"/>
        </w:rPr>
        <w:t>项目实施方案及售后服务计划</w:t>
      </w:r>
    </w:p>
    <w:p>
      <w:pPr>
        <w:spacing w:line="360" w:lineRule="auto"/>
        <w:ind w:firstLine="480" w:firstLineChars="200"/>
        <w:jc w:val="left"/>
        <w:rPr>
          <w:rFonts w:ascii="宋体" w:hAnsi="宋体" w:cs="宋体"/>
          <w:kern w:val="0"/>
          <w:sz w:val="24"/>
        </w:rPr>
      </w:pPr>
      <w:r>
        <w:rPr>
          <w:rFonts w:hint="eastAsia" w:ascii="宋体" w:hAnsi="宋体" w:cs="宋体"/>
          <w:kern w:val="0"/>
          <w:sz w:val="24"/>
        </w:rPr>
        <w:t>（</w:t>
      </w:r>
      <w:r>
        <w:rPr>
          <w:rFonts w:hint="eastAsia" w:ascii="宋体" w:hAnsi="宋体" w:cs="宋体"/>
          <w:kern w:val="0"/>
          <w:sz w:val="24"/>
          <w:lang w:val="en-US" w:eastAsia="zh-CN"/>
        </w:rPr>
        <w:t>六</w:t>
      </w:r>
      <w:r>
        <w:rPr>
          <w:rFonts w:hint="eastAsia" w:ascii="宋体" w:hAnsi="宋体" w:cs="宋体"/>
          <w:kern w:val="0"/>
          <w:sz w:val="24"/>
        </w:rPr>
        <w:t>）供应商资格评审资料</w:t>
      </w:r>
    </w:p>
    <w:p>
      <w:pPr>
        <w:spacing w:line="360" w:lineRule="auto"/>
        <w:ind w:firstLine="480" w:firstLineChars="200"/>
        <w:jc w:val="left"/>
        <w:rPr>
          <w:rFonts w:ascii="宋体" w:hAnsi="宋体" w:cs="宋体"/>
          <w:kern w:val="0"/>
          <w:sz w:val="28"/>
          <w:szCs w:val="28"/>
        </w:rPr>
      </w:pPr>
      <w:r>
        <w:rPr>
          <w:rFonts w:hint="eastAsia" w:ascii="宋体" w:hAnsi="宋体" w:cs="宋体"/>
          <w:kern w:val="0"/>
          <w:sz w:val="24"/>
        </w:rPr>
        <w:t>（</w:t>
      </w:r>
      <w:r>
        <w:rPr>
          <w:rFonts w:hint="eastAsia" w:ascii="宋体" w:hAnsi="宋体" w:cs="宋体"/>
          <w:kern w:val="0"/>
          <w:sz w:val="24"/>
          <w:lang w:val="en-US" w:eastAsia="zh-CN"/>
        </w:rPr>
        <w:t>七</w:t>
      </w:r>
      <w:r>
        <w:rPr>
          <w:rFonts w:hint="eastAsia" w:ascii="宋体" w:hAnsi="宋体" w:cs="宋体"/>
          <w:kern w:val="0"/>
          <w:sz w:val="24"/>
        </w:rPr>
        <w:t>）其他材料</w:t>
      </w:r>
      <w:r>
        <w:rPr>
          <w:rFonts w:hint="eastAsia" w:ascii="宋体" w:hAnsi="宋体" w:cs="宋体"/>
          <w:kern w:val="0"/>
          <w:sz w:val="24"/>
        </w:rPr>
        <w:br w:type="page"/>
      </w:r>
    </w:p>
    <w:p>
      <w:pPr>
        <w:spacing w:line="440" w:lineRule="exact"/>
        <w:jc w:val="center"/>
        <w:outlineLvl w:val="1"/>
        <w:rPr>
          <w:rFonts w:ascii="仿宋" w:hAnsi="仿宋" w:eastAsia="仿宋" w:cs="仿宋"/>
          <w:b/>
          <w:bCs/>
          <w:sz w:val="30"/>
          <w:szCs w:val="30"/>
        </w:rPr>
      </w:pPr>
      <w:r>
        <w:rPr>
          <w:rFonts w:hint="eastAsia" w:ascii="仿宋" w:hAnsi="仿宋" w:eastAsia="仿宋" w:cs="仿宋"/>
          <w:b/>
          <w:bCs/>
          <w:sz w:val="30"/>
          <w:szCs w:val="30"/>
        </w:rPr>
        <w:t>一、响应函及报价一览表</w:t>
      </w:r>
      <w:r>
        <w:rPr>
          <w:rFonts w:hint="eastAsia" w:ascii="仿宋" w:hAnsi="仿宋" w:eastAsia="仿宋" w:cs="仿宋"/>
          <w:b/>
          <w:sz w:val="22"/>
          <w:szCs w:val="16"/>
        </w:rPr>
        <w:t>（实质性要求）</w:t>
      </w:r>
    </w:p>
    <w:p>
      <w:pPr>
        <w:spacing w:line="440" w:lineRule="exact"/>
        <w:ind w:firstLine="3654" w:firstLineChars="1300"/>
        <w:jc w:val="left"/>
        <w:outlineLvl w:val="1"/>
        <w:rPr>
          <w:rFonts w:ascii="仿宋" w:hAnsi="仿宋" w:eastAsia="仿宋" w:cs="仿宋"/>
          <w:b/>
          <w:bCs/>
          <w:sz w:val="28"/>
        </w:rPr>
      </w:pPr>
      <w:r>
        <w:rPr>
          <w:rFonts w:hint="eastAsia" w:ascii="仿宋" w:hAnsi="仿宋" w:eastAsia="仿宋" w:cs="仿宋"/>
          <w:b/>
          <w:bCs/>
          <w:sz w:val="28"/>
        </w:rPr>
        <w:t>（一）响应函</w:t>
      </w:r>
    </w:p>
    <w:p>
      <w:pPr>
        <w:spacing w:line="440" w:lineRule="exact"/>
        <w:jc w:val="center"/>
        <w:rPr>
          <w:rFonts w:ascii="宋体" w:hAnsi="宋体" w:eastAsia="仿宋" w:cs="宋体"/>
          <w:b/>
          <w:bCs/>
          <w:sz w:val="24"/>
          <w:szCs w:val="21"/>
        </w:rPr>
      </w:pPr>
    </w:p>
    <w:p>
      <w:pPr>
        <w:spacing w:line="480" w:lineRule="auto"/>
        <w:rPr>
          <w:rFonts w:ascii="宋体" w:hAnsi="宋体" w:eastAsia="仿宋" w:cs="宋体"/>
          <w:sz w:val="24"/>
          <w:u w:val="single"/>
        </w:rPr>
      </w:pPr>
      <w:r>
        <w:rPr>
          <w:rFonts w:hint="eastAsia" w:ascii="宋体" w:hAnsi="宋体" w:eastAsia="仿宋" w:cs="宋体"/>
          <w:sz w:val="24"/>
        </w:rPr>
        <w:t>致：</w:t>
      </w:r>
      <w:r>
        <w:rPr>
          <w:rFonts w:hint="eastAsia" w:ascii="宋体" w:hAnsi="宋体" w:eastAsia="仿宋" w:cs="宋体"/>
          <w:sz w:val="24"/>
          <w:u w:val="single"/>
        </w:rPr>
        <w:t>（采购人名称）</w:t>
      </w:r>
    </w:p>
    <w:p>
      <w:pPr>
        <w:wordWrap w:val="0"/>
        <w:spacing w:line="480" w:lineRule="auto"/>
        <w:rPr>
          <w:rFonts w:ascii="宋体" w:hAnsi="宋体" w:eastAsia="仿宋" w:cs="宋体"/>
          <w:sz w:val="24"/>
        </w:rPr>
      </w:pPr>
      <w:r>
        <w:rPr>
          <w:rFonts w:hint="eastAsia" w:ascii="宋体" w:hAnsi="宋体" w:eastAsia="仿宋" w:cs="宋体"/>
          <w:sz w:val="24"/>
        </w:rPr>
        <w:t xml:space="preserve">    1、我方已仔细研究了项目竞争性磋商采购文件的全部内容，愿按照竞争性磋商采购文件中规定的条款和要求，完成本项目。总报价为（大写）；（小写¥），</w:t>
      </w:r>
      <w:r>
        <w:rPr>
          <w:rFonts w:hint="eastAsia" w:ascii="宋体" w:hAnsi="宋体" w:eastAsia="仿宋" w:cs="宋体"/>
          <w:sz w:val="24"/>
          <w:lang w:eastAsia="zh-CN"/>
        </w:rPr>
        <w:t>工期</w:t>
      </w:r>
      <w:r>
        <w:rPr>
          <w:rFonts w:hint="eastAsia" w:ascii="宋体" w:hAnsi="宋体" w:eastAsia="仿宋" w:cs="宋体"/>
          <w:sz w:val="24"/>
        </w:rPr>
        <w:t>：</w:t>
      </w:r>
      <w:r>
        <w:rPr>
          <w:rFonts w:hint="eastAsia" w:ascii="仿宋_GB2312" w:eastAsia="仿宋_GB2312"/>
          <w:sz w:val="24"/>
          <w:szCs w:val="22"/>
          <w:u w:val="single"/>
        </w:rPr>
        <w:t>合同签订后   日历天</w:t>
      </w:r>
      <w:r>
        <w:rPr>
          <w:rFonts w:hint="eastAsia" w:ascii="宋体" w:hAnsi="宋体" w:eastAsia="仿宋" w:cs="宋体"/>
          <w:sz w:val="24"/>
        </w:rPr>
        <w:t>，质量：</w:t>
      </w:r>
      <w:r>
        <w:rPr>
          <w:rFonts w:hint="eastAsia" w:ascii="宋体" w:hAnsi="宋体" w:eastAsia="仿宋" w:cs="宋体"/>
          <w:sz w:val="24"/>
          <w:u w:val="single"/>
        </w:rPr>
        <w:t>合格，符合国家相关标准</w:t>
      </w:r>
      <w:r>
        <w:rPr>
          <w:rFonts w:hint="eastAsia" w:ascii="宋体" w:hAnsi="宋体" w:eastAsia="仿宋" w:cs="宋体"/>
          <w:sz w:val="24"/>
        </w:rPr>
        <w:t>。</w:t>
      </w:r>
    </w:p>
    <w:p>
      <w:pPr>
        <w:spacing w:line="480" w:lineRule="auto"/>
        <w:rPr>
          <w:rFonts w:ascii="宋体" w:hAnsi="宋体" w:eastAsia="仿宋" w:cs="宋体"/>
          <w:sz w:val="24"/>
        </w:rPr>
      </w:pPr>
      <w:r>
        <w:rPr>
          <w:rFonts w:hint="eastAsia" w:ascii="宋体" w:hAnsi="宋体" w:eastAsia="仿宋" w:cs="宋体"/>
          <w:sz w:val="24"/>
        </w:rPr>
        <w:t xml:space="preserve">    2、我方承诺在响应有效期内不修改、撤销响应文件。</w:t>
      </w:r>
    </w:p>
    <w:p>
      <w:pPr>
        <w:spacing w:line="480" w:lineRule="auto"/>
        <w:rPr>
          <w:rFonts w:ascii="宋体" w:hAnsi="宋体" w:eastAsia="仿宋" w:cs="宋体"/>
          <w:sz w:val="24"/>
        </w:rPr>
      </w:pPr>
      <w:r>
        <w:rPr>
          <w:rFonts w:hint="eastAsia" w:ascii="宋体" w:hAnsi="宋体" w:eastAsia="仿宋" w:cs="宋体"/>
          <w:sz w:val="24"/>
        </w:rPr>
        <w:t xml:space="preserve">    3、如我方成交：</w:t>
      </w:r>
    </w:p>
    <w:p>
      <w:pPr>
        <w:spacing w:line="480" w:lineRule="auto"/>
        <w:rPr>
          <w:rFonts w:ascii="宋体" w:hAnsi="宋体" w:eastAsia="仿宋" w:cs="宋体"/>
          <w:sz w:val="24"/>
        </w:rPr>
      </w:pPr>
      <w:r>
        <w:rPr>
          <w:rFonts w:hint="eastAsia" w:ascii="宋体" w:hAnsi="宋体" w:eastAsia="仿宋" w:cs="宋体"/>
          <w:sz w:val="24"/>
        </w:rPr>
        <w:t>（1）我方承诺在收到成交通知书后，在成交通知书规定的期限内与你方签订合同。</w:t>
      </w:r>
    </w:p>
    <w:p>
      <w:pPr>
        <w:spacing w:line="480" w:lineRule="auto"/>
        <w:rPr>
          <w:rFonts w:ascii="宋体" w:hAnsi="宋体" w:eastAsia="仿宋" w:cs="宋体"/>
          <w:sz w:val="24"/>
        </w:rPr>
      </w:pPr>
      <w:r>
        <w:rPr>
          <w:rFonts w:hint="eastAsia" w:ascii="宋体" w:hAnsi="宋体" w:eastAsia="仿宋" w:cs="宋体"/>
          <w:sz w:val="24"/>
        </w:rPr>
        <w:t>（2）我方承诺按照竞争性磋商采购文件规定向你方递交履约担保。（如有）</w:t>
      </w:r>
    </w:p>
    <w:p>
      <w:pPr>
        <w:spacing w:line="480" w:lineRule="auto"/>
        <w:rPr>
          <w:rFonts w:ascii="宋体" w:hAnsi="宋体" w:eastAsia="仿宋" w:cs="宋体"/>
          <w:sz w:val="24"/>
        </w:rPr>
      </w:pPr>
      <w:r>
        <w:rPr>
          <w:rFonts w:hint="eastAsia" w:ascii="宋体" w:hAnsi="宋体" w:eastAsia="仿宋" w:cs="宋体"/>
          <w:sz w:val="24"/>
        </w:rPr>
        <w:t>（3）我方承诺在合同约定的期限内完成本项目。</w:t>
      </w:r>
    </w:p>
    <w:p>
      <w:pPr>
        <w:spacing w:line="480" w:lineRule="auto"/>
        <w:rPr>
          <w:rFonts w:ascii="宋体" w:hAnsi="宋体" w:eastAsia="仿宋" w:cs="宋体"/>
          <w:sz w:val="24"/>
        </w:rPr>
      </w:pPr>
      <w:r>
        <w:rPr>
          <w:rFonts w:hint="eastAsia" w:ascii="宋体" w:hAnsi="宋体" w:eastAsia="仿宋" w:cs="宋体"/>
          <w:sz w:val="24"/>
        </w:rPr>
        <w:t xml:space="preserve">   4、我方在此声明，所递交的响应文件及有关资料内容完整、真实和准确。</w:t>
      </w:r>
    </w:p>
    <w:p>
      <w:pPr>
        <w:spacing w:line="480" w:lineRule="auto"/>
        <w:rPr>
          <w:rFonts w:ascii="宋体" w:hAnsi="宋体" w:eastAsia="仿宋" w:cs="宋体"/>
          <w:sz w:val="24"/>
        </w:rPr>
      </w:pPr>
      <w:r>
        <w:rPr>
          <w:rFonts w:hint="eastAsia" w:ascii="宋体" w:hAnsi="宋体" w:eastAsia="仿宋" w:cs="宋体"/>
          <w:sz w:val="24"/>
        </w:rPr>
        <w:t xml:space="preserve">   5、</w:t>
      </w:r>
      <w:r>
        <w:rPr>
          <w:rFonts w:hint="eastAsia" w:ascii="宋体" w:hAnsi="宋体" w:eastAsia="仿宋" w:cs="宋体"/>
          <w:sz w:val="24"/>
          <w:u w:val="single"/>
        </w:rPr>
        <w:t>（其他补充说明）</w:t>
      </w:r>
      <w:r>
        <w:rPr>
          <w:rFonts w:hint="eastAsia" w:ascii="宋体" w:hAnsi="宋体" w:eastAsia="仿宋" w:cs="宋体"/>
          <w:sz w:val="24"/>
        </w:rPr>
        <w:t>。</w:t>
      </w:r>
    </w:p>
    <w:p>
      <w:pPr>
        <w:pStyle w:val="71"/>
        <w:ind w:firstLine="560"/>
        <w:rPr>
          <w:rFonts w:eastAsia="黑体"/>
          <w:sz w:val="28"/>
        </w:rPr>
      </w:pPr>
    </w:p>
    <w:p>
      <w:pPr>
        <w:spacing w:line="480" w:lineRule="auto"/>
        <w:rPr>
          <w:rFonts w:ascii="宋体" w:hAnsi="宋体" w:eastAsia="仿宋" w:cs="宋体"/>
          <w:sz w:val="24"/>
        </w:rPr>
      </w:pPr>
    </w:p>
    <w:p>
      <w:pPr>
        <w:pStyle w:val="18"/>
        <w:rPr>
          <w:rFonts w:eastAsia="仿宋" w:cs="宋体"/>
        </w:rPr>
      </w:pPr>
    </w:p>
    <w:p>
      <w:pPr>
        <w:pStyle w:val="18"/>
        <w:rPr>
          <w:rFonts w:eastAsia="仿宋" w:cs="宋体"/>
        </w:rPr>
      </w:pPr>
    </w:p>
    <w:p>
      <w:pPr>
        <w:spacing w:line="480" w:lineRule="auto"/>
        <w:ind w:firstLine="480" w:firstLineChars="200"/>
        <w:rPr>
          <w:rFonts w:ascii="宋体" w:hAnsi="宋体" w:eastAsia="仿宋" w:cs="宋体"/>
          <w:sz w:val="24"/>
        </w:rPr>
      </w:pPr>
      <w:r>
        <w:rPr>
          <w:rFonts w:hint="eastAsia" w:ascii="宋体" w:hAnsi="宋体" w:eastAsia="仿宋" w:cs="宋体"/>
          <w:sz w:val="24"/>
        </w:rPr>
        <w:t>供应商名称：（盖单位电子印章）</w:t>
      </w:r>
    </w:p>
    <w:p>
      <w:pPr>
        <w:spacing w:line="480" w:lineRule="auto"/>
        <w:ind w:firstLine="480" w:firstLineChars="200"/>
        <w:rPr>
          <w:rFonts w:ascii="宋体" w:hAnsi="宋体" w:eastAsia="仿宋" w:cs="宋体"/>
          <w:sz w:val="24"/>
        </w:rPr>
      </w:pPr>
      <w:r>
        <w:rPr>
          <w:rFonts w:hint="eastAsia" w:ascii="宋体" w:hAnsi="宋体" w:eastAsia="仿宋" w:cs="宋体"/>
          <w:sz w:val="24"/>
        </w:rPr>
        <w:t>法定代表人或其委托代理人：（签字或加盖电子签名章）</w:t>
      </w:r>
    </w:p>
    <w:p>
      <w:pPr>
        <w:spacing w:line="480" w:lineRule="auto"/>
        <w:ind w:firstLine="480" w:firstLineChars="200"/>
        <w:rPr>
          <w:rFonts w:ascii="宋体" w:hAnsi="宋体" w:eastAsia="仿宋" w:cs="宋体"/>
          <w:sz w:val="24"/>
        </w:rPr>
      </w:pPr>
      <w:r>
        <w:rPr>
          <w:rFonts w:hint="eastAsia" w:ascii="宋体" w:hAnsi="宋体" w:eastAsia="仿宋" w:cs="宋体"/>
          <w:sz w:val="24"/>
        </w:rPr>
        <w:t>日期：</w:t>
      </w:r>
      <w:r>
        <w:rPr>
          <w:rFonts w:hint="eastAsia" w:ascii="宋体" w:hAnsi="宋体" w:eastAsia="仿宋" w:cs="宋体"/>
          <w:sz w:val="24"/>
          <w:szCs w:val="21"/>
        </w:rPr>
        <w:t>年月日</w:t>
      </w:r>
    </w:p>
    <w:p>
      <w:pPr>
        <w:pStyle w:val="3"/>
        <w:spacing w:line="360" w:lineRule="auto"/>
        <w:rPr>
          <w:sz w:val="24"/>
          <w:szCs w:val="30"/>
        </w:rPr>
      </w:pPr>
    </w:p>
    <w:p>
      <w:pPr>
        <w:spacing w:line="440" w:lineRule="exact"/>
        <w:jc w:val="center"/>
        <w:rPr>
          <w:rFonts w:ascii="仿宋" w:hAnsi="仿宋" w:eastAsia="仿宋" w:cs="仿宋"/>
          <w:b/>
          <w:bCs/>
          <w:sz w:val="28"/>
          <w:szCs w:val="28"/>
        </w:rPr>
      </w:pPr>
      <w:r>
        <w:rPr>
          <w:rFonts w:hint="eastAsia"/>
          <w:sz w:val="24"/>
          <w:szCs w:val="30"/>
        </w:rPr>
        <w:br w:type="page"/>
      </w:r>
      <w:r>
        <w:rPr>
          <w:rFonts w:hint="eastAsia" w:ascii="仿宋" w:hAnsi="仿宋" w:eastAsia="仿宋" w:cs="仿宋"/>
          <w:b/>
          <w:bCs/>
          <w:sz w:val="28"/>
          <w:szCs w:val="28"/>
        </w:rPr>
        <w:t>（二） 报价一览表</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1"/>
        <w:gridCol w:w="2049"/>
        <w:gridCol w:w="2130"/>
        <w:gridCol w:w="2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2211" w:type="dxa"/>
            <w:noWrap/>
            <w:vAlign w:val="center"/>
          </w:tcPr>
          <w:p>
            <w:pPr>
              <w:spacing w:line="440" w:lineRule="exact"/>
              <w:jc w:val="center"/>
              <w:rPr>
                <w:rFonts w:ascii="宋体" w:hAnsi="宋体" w:cs="宋体"/>
                <w:szCs w:val="21"/>
              </w:rPr>
            </w:pPr>
            <w:r>
              <w:rPr>
                <w:rFonts w:hint="eastAsia" w:ascii="宋体" w:hAnsi="宋体" w:eastAsia="仿宋" w:cs="宋体"/>
                <w:bCs/>
                <w:sz w:val="24"/>
                <w:szCs w:val="21"/>
              </w:rPr>
              <w:t>供应商名称</w:t>
            </w:r>
          </w:p>
        </w:tc>
        <w:tc>
          <w:tcPr>
            <w:tcW w:w="6311" w:type="dxa"/>
            <w:gridSpan w:val="3"/>
            <w:noWrap/>
            <w:vAlign w:val="center"/>
          </w:tcPr>
          <w:p>
            <w:pPr>
              <w:spacing w:line="44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2211" w:type="dxa"/>
            <w:noWrap/>
            <w:vAlign w:val="center"/>
          </w:tcPr>
          <w:p>
            <w:pPr>
              <w:spacing w:line="440" w:lineRule="exact"/>
              <w:jc w:val="center"/>
              <w:rPr>
                <w:rFonts w:ascii="宋体" w:hAnsi="宋体" w:eastAsia="仿宋" w:cs="宋体"/>
                <w:sz w:val="24"/>
                <w:szCs w:val="21"/>
              </w:rPr>
            </w:pPr>
            <w:r>
              <w:rPr>
                <w:rFonts w:hint="eastAsia" w:ascii="宋体" w:hAnsi="宋体" w:eastAsia="仿宋" w:cs="宋体"/>
                <w:sz w:val="24"/>
                <w:szCs w:val="21"/>
              </w:rPr>
              <w:t>供应商地址</w:t>
            </w:r>
          </w:p>
        </w:tc>
        <w:tc>
          <w:tcPr>
            <w:tcW w:w="6311" w:type="dxa"/>
            <w:gridSpan w:val="3"/>
            <w:noWrap/>
            <w:vAlign w:val="center"/>
          </w:tcPr>
          <w:p>
            <w:pPr>
              <w:spacing w:line="44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2211" w:type="dxa"/>
            <w:noWrap/>
            <w:vAlign w:val="center"/>
          </w:tcPr>
          <w:p>
            <w:pPr>
              <w:spacing w:line="440" w:lineRule="exact"/>
              <w:jc w:val="center"/>
              <w:rPr>
                <w:rFonts w:ascii="宋体" w:hAnsi="宋体" w:cs="宋体"/>
                <w:szCs w:val="21"/>
              </w:rPr>
            </w:pPr>
            <w:r>
              <w:rPr>
                <w:rFonts w:hint="eastAsia" w:ascii="宋体" w:hAnsi="宋体" w:eastAsia="仿宋" w:cs="宋体"/>
                <w:sz w:val="24"/>
                <w:szCs w:val="21"/>
              </w:rPr>
              <w:t>总报价（大写）</w:t>
            </w:r>
          </w:p>
        </w:tc>
        <w:tc>
          <w:tcPr>
            <w:tcW w:w="6311" w:type="dxa"/>
            <w:gridSpan w:val="3"/>
            <w:noWrap/>
            <w:vAlign w:val="center"/>
          </w:tcPr>
          <w:p>
            <w:pPr>
              <w:spacing w:line="44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2211" w:type="dxa"/>
            <w:noWrap/>
            <w:vAlign w:val="center"/>
          </w:tcPr>
          <w:p>
            <w:pPr>
              <w:spacing w:line="440" w:lineRule="exact"/>
              <w:jc w:val="center"/>
              <w:rPr>
                <w:rFonts w:ascii="宋体" w:hAnsi="宋体" w:cs="宋体"/>
                <w:szCs w:val="21"/>
              </w:rPr>
            </w:pPr>
            <w:r>
              <w:rPr>
                <w:rFonts w:hint="eastAsia" w:ascii="宋体" w:hAnsi="宋体" w:eastAsia="仿宋" w:cs="宋体"/>
                <w:sz w:val="24"/>
                <w:szCs w:val="21"/>
              </w:rPr>
              <w:t>总报价（小写）</w:t>
            </w:r>
          </w:p>
        </w:tc>
        <w:tc>
          <w:tcPr>
            <w:tcW w:w="6311" w:type="dxa"/>
            <w:gridSpan w:val="3"/>
            <w:noWrap/>
            <w:vAlign w:val="center"/>
          </w:tcPr>
          <w:p>
            <w:pPr>
              <w:spacing w:line="44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2211" w:type="dxa"/>
            <w:noWrap/>
            <w:vAlign w:val="center"/>
          </w:tcPr>
          <w:p>
            <w:pPr>
              <w:spacing w:line="440" w:lineRule="exact"/>
              <w:jc w:val="center"/>
              <w:rPr>
                <w:rFonts w:ascii="宋体" w:hAnsi="宋体" w:cs="宋体"/>
                <w:szCs w:val="21"/>
              </w:rPr>
            </w:pPr>
            <w:r>
              <w:rPr>
                <w:rFonts w:hint="eastAsia" w:ascii="宋体" w:hAnsi="宋体" w:eastAsia="仿宋" w:cs="宋体"/>
                <w:sz w:val="24"/>
                <w:szCs w:val="21"/>
              </w:rPr>
              <w:t>响应范围</w:t>
            </w:r>
          </w:p>
        </w:tc>
        <w:tc>
          <w:tcPr>
            <w:tcW w:w="6311" w:type="dxa"/>
            <w:gridSpan w:val="3"/>
            <w:noWrap/>
            <w:vAlign w:val="center"/>
          </w:tcPr>
          <w:p>
            <w:pPr>
              <w:spacing w:line="440" w:lineRule="exact"/>
              <w:jc w:val="center"/>
              <w:rPr>
                <w:rFonts w:ascii="宋体" w:hAnsi="宋体" w:eastAsia="仿宋"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2211" w:type="dxa"/>
            <w:noWrap/>
            <w:vAlign w:val="center"/>
          </w:tcPr>
          <w:p>
            <w:pPr>
              <w:spacing w:line="440" w:lineRule="exact"/>
              <w:jc w:val="center"/>
              <w:rPr>
                <w:rFonts w:ascii="宋体" w:hAnsi="宋体" w:eastAsia="仿宋" w:cs="宋体"/>
                <w:sz w:val="24"/>
                <w:szCs w:val="21"/>
              </w:rPr>
            </w:pPr>
            <w:r>
              <w:rPr>
                <w:rFonts w:hint="eastAsia" w:ascii="宋体" w:hAnsi="宋体" w:eastAsia="仿宋" w:cs="宋体"/>
                <w:sz w:val="24"/>
                <w:szCs w:val="21"/>
              </w:rPr>
              <w:t>品牌</w:t>
            </w:r>
          </w:p>
        </w:tc>
        <w:tc>
          <w:tcPr>
            <w:tcW w:w="2049" w:type="dxa"/>
            <w:noWrap/>
            <w:vAlign w:val="center"/>
          </w:tcPr>
          <w:p>
            <w:pPr>
              <w:spacing w:line="440" w:lineRule="exact"/>
              <w:jc w:val="center"/>
              <w:rPr>
                <w:rFonts w:ascii="宋体" w:hAnsi="宋体" w:eastAsia="仿宋" w:cs="宋体"/>
                <w:sz w:val="24"/>
                <w:szCs w:val="21"/>
              </w:rPr>
            </w:pPr>
          </w:p>
        </w:tc>
        <w:tc>
          <w:tcPr>
            <w:tcW w:w="2130" w:type="dxa"/>
            <w:noWrap/>
            <w:vAlign w:val="center"/>
          </w:tcPr>
          <w:p>
            <w:pPr>
              <w:spacing w:line="440" w:lineRule="exact"/>
              <w:jc w:val="center"/>
              <w:rPr>
                <w:rFonts w:ascii="宋体" w:hAnsi="宋体" w:eastAsia="仿宋" w:cs="宋体"/>
                <w:sz w:val="24"/>
                <w:szCs w:val="21"/>
              </w:rPr>
            </w:pPr>
            <w:r>
              <w:rPr>
                <w:rFonts w:hint="eastAsia" w:ascii="宋体" w:hAnsi="宋体" w:eastAsia="仿宋" w:cs="宋体"/>
                <w:sz w:val="24"/>
                <w:szCs w:val="21"/>
              </w:rPr>
              <w:t>规格型号</w:t>
            </w:r>
          </w:p>
        </w:tc>
        <w:tc>
          <w:tcPr>
            <w:tcW w:w="2132" w:type="dxa"/>
            <w:noWrap/>
            <w:vAlign w:val="center"/>
          </w:tcPr>
          <w:p>
            <w:pPr>
              <w:spacing w:line="440" w:lineRule="exact"/>
              <w:jc w:val="center"/>
              <w:rPr>
                <w:rFonts w:ascii="宋体" w:hAnsi="宋体" w:eastAsia="仿宋" w:cs="宋体"/>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2211" w:type="dxa"/>
            <w:noWrap/>
            <w:vAlign w:val="center"/>
          </w:tcPr>
          <w:p>
            <w:pPr>
              <w:spacing w:line="440" w:lineRule="exact"/>
              <w:jc w:val="center"/>
              <w:rPr>
                <w:rFonts w:ascii="宋体" w:hAnsi="宋体" w:eastAsia="仿宋" w:cs="宋体"/>
                <w:sz w:val="24"/>
                <w:szCs w:val="21"/>
              </w:rPr>
            </w:pPr>
            <w:r>
              <w:rPr>
                <w:rFonts w:hint="eastAsia" w:ascii="宋体" w:hAnsi="宋体" w:eastAsia="仿宋" w:cs="宋体"/>
                <w:sz w:val="24"/>
                <w:szCs w:val="21"/>
              </w:rPr>
              <w:t>制造商</w:t>
            </w:r>
          </w:p>
        </w:tc>
        <w:tc>
          <w:tcPr>
            <w:tcW w:w="6311" w:type="dxa"/>
            <w:gridSpan w:val="3"/>
            <w:noWrap/>
            <w:vAlign w:val="center"/>
          </w:tcPr>
          <w:p>
            <w:pPr>
              <w:spacing w:line="440" w:lineRule="exact"/>
              <w:jc w:val="center"/>
              <w:rPr>
                <w:rFonts w:ascii="宋体" w:hAnsi="宋体" w:eastAsia="仿宋" w:cs="宋体"/>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2211" w:type="dxa"/>
            <w:noWrap/>
            <w:vAlign w:val="center"/>
          </w:tcPr>
          <w:p>
            <w:pPr>
              <w:spacing w:line="440" w:lineRule="exact"/>
              <w:jc w:val="center"/>
              <w:rPr>
                <w:rFonts w:hint="eastAsia" w:ascii="宋体" w:hAnsi="宋体" w:eastAsia="宋体" w:cs="宋体"/>
                <w:szCs w:val="21"/>
                <w:lang w:eastAsia="zh-CN"/>
              </w:rPr>
            </w:pPr>
            <w:r>
              <w:rPr>
                <w:rFonts w:hint="eastAsia" w:ascii="宋体" w:hAnsi="宋体" w:eastAsia="仿宋" w:cs="宋体"/>
                <w:sz w:val="24"/>
                <w:szCs w:val="21"/>
                <w:lang w:eastAsia="zh-CN"/>
              </w:rPr>
              <w:t>工期</w:t>
            </w:r>
          </w:p>
        </w:tc>
        <w:tc>
          <w:tcPr>
            <w:tcW w:w="6311" w:type="dxa"/>
            <w:gridSpan w:val="3"/>
            <w:noWrap/>
            <w:vAlign w:val="center"/>
          </w:tcPr>
          <w:p>
            <w:pPr>
              <w:spacing w:line="440" w:lineRule="exact"/>
              <w:jc w:val="center"/>
              <w:rPr>
                <w:rFonts w:ascii="宋体" w:hAnsi="宋体" w:eastAsia="仿宋" w:cs="宋体"/>
                <w:szCs w:val="21"/>
              </w:rPr>
            </w:pPr>
            <w:r>
              <w:rPr>
                <w:rFonts w:hint="eastAsia" w:ascii="宋体" w:hAnsi="宋体" w:eastAsia="仿宋" w:cs="宋体"/>
                <w:sz w:val="24"/>
                <w:szCs w:val="21"/>
              </w:rPr>
              <w:t>合同签订后   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2211" w:type="dxa"/>
            <w:noWrap/>
            <w:vAlign w:val="center"/>
          </w:tcPr>
          <w:p>
            <w:pPr>
              <w:spacing w:line="440" w:lineRule="exact"/>
              <w:jc w:val="center"/>
              <w:rPr>
                <w:rFonts w:ascii="宋体" w:hAnsi="宋体" w:cs="宋体"/>
                <w:szCs w:val="21"/>
              </w:rPr>
            </w:pPr>
            <w:r>
              <w:rPr>
                <w:rFonts w:hint="eastAsia" w:ascii="宋体" w:hAnsi="宋体" w:eastAsia="仿宋" w:cs="宋体"/>
                <w:sz w:val="24"/>
                <w:szCs w:val="21"/>
              </w:rPr>
              <w:t>质量标准</w:t>
            </w:r>
          </w:p>
        </w:tc>
        <w:tc>
          <w:tcPr>
            <w:tcW w:w="6311" w:type="dxa"/>
            <w:gridSpan w:val="3"/>
            <w:noWrap/>
            <w:vAlign w:val="center"/>
          </w:tcPr>
          <w:p>
            <w:pPr>
              <w:spacing w:line="440" w:lineRule="exact"/>
              <w:jc w:val="center"/>
              <w:rPr>
                <w:rFonts w:ascii="宋体" w:hAnsi="宋体" w:cs="宋体"/>
                <w:szCs w:val="21"/>
              </w:rPr>
            </w:pPr>
            <w:r>
              <w:rPr>
                <w:rFonts w:hint="eastAsia" w:ascii="宋体" w:hAnsi="宋体" w:eastAsia="仿宋" w:cs="宋体"/>
                <w:sz w:val="24"/>
                <w:szCs w:val="21"/>
              </w:rPr>
              <w:t>合格，符合国家相关标准。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2211" w:type="dxa"/>
            <w:noWrap/>
            <w:vAlign w:val="center"/>
          </w:tcPr>
          <w:p>
            <w:pPr>
              <w:spacing w:line="440" w:lineRule="exact"/>
              <w:jc w:val="center"/>
              <w:rPr>
                <w:rFonts w:ascii="宋体" w:hAnsi="宋体" w:eastAsia="仿宋" w:cs="宋体"/>
                <w:color w:val="FF0000"/>
                <w:sz w:val="24"/>
                <w:szCs w:val="21"/>
              </w:rPr>
            </w:pPr>
            <w:r>
              <w:rPr>
                <w:rFonts w:hint="eastAsia" w:ascii="宋体" w:hAnsi="宋体" w:eastAsia="仿宋" w:cs="宋体"/>
                <w:sz w:val="24"/>
                <w:szCs w:val="21"/>
              </w:rPr>
              <w:t>质保期</w:t>
            </w:r>
          </w:p>
        </w:tc>
        <w:tc>
          <w:tcPr>
            <w:tcW w:w="6311" w:type="dxa"/>
            <w:gridSpan w:val="3"/>
            <w:noWrap/>
            <w:vAlign w:val="center"/>
          </w:tcPr>
          <w:p>
            <w:pPr>
              <w:spacing w:line="440" w:lineRule="exact"/>
              <w:ind w:firstLine="480" w:firstLineChars="200"/>
              <w:jc w:val="center"/>
              <w:rPr>
                <w:rFonts w:ascii="宋体" w:hAnsi="宋体" w:cs="宋体"/>
                <w:color w:val="FF0000"/>
                <w:szCs w:val="21"/>
              </w:rPr>
            </w:pPr>
            <w:r>
              <w:rPr>
                <w:rFonts w:hint="eastAsia" w:ascii="宋体" w:hAnsi="宋体" w:eastAsia="仿宋" w:cs="宋体"/>
                <w:sz w:val="24"/>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2211" w:type="dxa"/>
            <w:noWrap/>
            <w:vAlign w:val="center"/>
          </w:tcPr>
          <w:p>
            <w:pPr>
              <w:spacing w:line="440" w:lineRule="exact"/>
              <w:jc w:val="center"/>
              <w:rPr>
                <w:rFonts w:ascii="宋体" w:hAnsi="宋体" w:cs="宋体"/>
                <w:szCs w:val="21"/>
              </w:rPr>
            </w:pPr>
            <w:r>
              <w:rPr>
                <w:rFonts w:hint="eastAsia" w:ascii="宋体" w:hAnsi="宋体" w:eastAsia="仿宋" w:cs="宋体"/>
                <w:sz w:val="24"/>
                <w:szCs w:val="21"/>
              </w:rPr>
              <w:t>响应有效期</w:t>
            </w:r>
          </w:p>
        </w:tc>
        <w:tc>
          <w:tcPr>
            <w:tcW w:w="6311" w:type="dxa"/>
            <w:gridSpan w:val="3"/>
            <w:noWrap/>
            <w:vAlign w:val="center"/>
          </w:tcPr>
          <w:p>
            <w:pPr>
              <w:spacing w:line="440" w:lineRule="exact"/>
              <w:ind w:firstLine="480" w:firstLineChars="200"/>
              <w:jc w:val="center"/>
              <w:rPr>
                <w:rFonts w:ascii="宋体" w:hAnsi="宋体" w:cs="宋体"/>
                <w:szCs w:val="21"/>
              </w:rPr>
            </w:pPr>
            <w:r>
              <w:rPr>
                <w:rFonts w:hint="eastAsia" w:ascii="宋体" w:hAnsi="宋体" w:eastAsia="仿宋" w:cs="宋体"/>
                <w:sz w:val="24"/>
                <w:szCs w:val="21"/>
              </w:rPr>
              <w:t>60天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8522" w:type="dxa"/>
            <w:gridSpan w:val="4"/>
            <w:noWrap/>
            <w:vAlign w:val="center"/>
          </w:tcPr>
          <w:p>
            <w:pPr>
              <w:spacing w:line="440" w:lineRule="exact"/>
              <w:ind w:firstLine="480" w:firstLineChars="200"/>
              <w:rPr>
                <w:rFonts w:ascii="宋体" w:hAnsi="宋体" w:cs="宋体"/>
                <w:szCs w:val="21"/>
              </w:rPr>
            </w:pPr>
            <w:r>
              <w:rPr>
                <w:rFonts w:hint="eastAsia" w:ascii="宋体" w:hAnsi="宋体" w:eastAsia="仿宋" w:cs="宋体"/>
                <w:sz w:val="24"/>
                <w:szCs w:val="21"/>
              </w:rPr>
              <w:t>其他声明：</w:t>
            </w:r>
          </w:p>
        </w:tc>
      </w:tr>
    </w:tbl>
    <w:p>
      <w:pPr>
        <w:spacing w:line="480" w:lineRule="auto"/>
        <w:ind w:firstLine="720" w:firstLineChars="300"/>
        <w:rPr>
          <w:rFonts w:ascii="宋体" w:hAnsi="宋体" w:eastAsia="仿宋" w:cs="宋体"/>
          <w:sz w:val="24"/>
        </w:rPr>
      </w:pPr>
      <w:r>
        <w:rPr>
          <w:rFonts w:hint="eastAsia" w:ascii="宋体" w:hAnsi="宋体" w:eastAsia="仿宋" w:cs="宋体"/>
          <w:sz w:val="24"/>
        </w:rPr>
        <w:t>供应商单位名称：（盖单位电子印章）</w:t>
      </w:r>
    </w:p>
    <w:p>
      <w:pPr>
        <w:spacing w:line="480" w:lineRule="auto"/>
        <w:ind w:firstLine="720" w:firstLineChars="300"/>
        <w:rPr>
          <w:rFonts w:ascii="宋体" w:hAnsi="宋体" w:eastAsia="仿宋" w:cs="宋体"/>
          <w:sz w:val="24"/>
        </w:rPr>
      </w:pPr>
      <w:r>
        <w:rPr>
          <w:rFonts w:hint="eastAsia" w:ascii="宋体" w:hAnsi="宋体" w:eastAsia="仿宋" w:cs="宋体"/>
          <w:sz w:val="24"/>
        </w:rPr>
        <w:t>法定代表人或其委托代理人：（签字或加盖电子签名章）</w:t>
      </w:r>
    </w:p>
    <w:p>
      <w:pPr>
        <w:spacing w:line="440" w:lineRule="exact"/>
        <w:ind w:firstLine="720" w:firstLineChars="300"/>
        <w:rPr>
          <w:rFonts w:ascii="宋体" w:hAnsi="宋体" w:eastAsia="仿宋" w:cs="宋体"/>
          <w:sz w:val="24"/>
          <w:szCs w:val="21"/>
        </w:rPr>
      </w:pPr>
      <w:r>
        <w:rPr>
          <w:rFonts w:hint="eastAsia" w:ascii="宋体" w:hAnsi="宋体" w:eastAsia="仿宋" w:cs="宋体"/>
          <w:sz w:val="24"/>
          <w:szCs w:val="21"/>
        </w:rPr>
        <w:t>日期：年月日</w:t>
      </w:r>
    </w:p>
    <w:p>
      <w:pPr>
        <w:pStyle w:val="28"/>
        <w:rPr>
          <w:rFonts w:ascii="宋体" w:eastAsia="仿宋" w:cs="宋体"/>
          <w:sz w:val="24"/>
          <w:szCs w:val="21"/>
        </w:rPr>
      </w:pPr>
    </w:p>
    <w:p>
      <w:pPr>
        <w:pStyle w:val="28"/>
        <w:jc w:val="center"/>
        <w:rPr>
          <w:rFonts w:ascii="仿宋" w:hAnsi="仿宋" w:eastAsia="仿宋" w:cs="仿宋"/>
          <w:sz w:val="28"/>
          <w:szCs w:val="28"/>
        </w:rPr>
      </w:pPr>
      <w:r>
        <w:rPr>
          <w:rFonts w:hint="eastAsia" w:ascii="宋体" w:eastAsia="仿宋" w:cs="宋体"/>
          <w:sz w:val="24"/>
          <w:szCs w:val="21"/>
        </w:rPr>
        <w:br w:type="page"/>
      </w:r>
      <w:r>
        <w:rPr>
          <w:rFonts w:hint="eastAsia" w:ascii="仿宋" w:hAnsi="仿宋" w:eastAsia="仿宋" w:cs="仿宋"/>
          <w:sz w:val="28"/>
          <w:szCs w:val="28"/>
        </w:rPr>
        <w:t xml:space="preserve"> （三）分项报价一览表</w:t>
      </w:r>
    </w:p>
    <w:tbl>
      <w:tblPr>
        <w:tblStyle w:val="30"/>
        <w:tblW w:w="10315" w:type="dxa"/>
        <w:jc w:val="center"/>
        <w:tblLayout w:type="fixed"/>
        <w:tblCellMar>
          <w:top w:w="0" w:type="dxa"/>
          <w:left w:w="0" w:type="dxa"/>
          <w:bottom w:w="0" w:type="dxa"/>
          <w:right w:w="0" w:type="dxa"/>
        </w:tblCellMar>
      </w:tblPr>
      <w:tblGrid>
        <w:gridCol w:w="708"/>
        <w:gridCol w:w="1552"/>
        <w:gridCol w:w="1002"/>
        <w:gridCol w:w="1133"/>
        <w:gridCol w:w="970"/>
        <w:gridCol w:w="1005"/>
        <w:gridCol w:w="1335"/>
        <w:gridCol w:w="1455"/>
        <w:gridCol w:w="1155"/>
      </w:tblGrid>
      <w:tr>
        <w:tblPrEx>
          <w:tblCellMar>
            <w:top w:w="0" w:type="dxa"/>
            <w:left w:w="0" w:type="dxa"/>
            <w:bottom w:w="0" w:type="dxa"/>
            <w:right w:w="0" w:type="dxa"/>
          </w:tblCellMar>
        </w:tblPrEx>
        <w:trPr>
          <w:trHeight w:val="567" w:hRule="atLeast"/>
          <w:jc w:val="center"/>
        </w:trPr>
        <w:tc>
          <w:tcPr>
            <w:tcW w:w="708"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spacing w:line="332" w:lineRule="exact"/>
              <w:ind w:left="136" w:right="-20"/>
              <w:jc w:val="left"/>
              <w:rPr>
                <w:rFonts w:ascii="宋体" w:hAnsi="宋体"/>
                <w:kern w:val="0"/>
                <w:szCs w:val="21"/>
              </w:rPr>
            </w:pPr>
            <w:r>
              <w:rPr>
                <w:rFonts w:hint="eastAsia" w:ascii="宋体" w:hAnsi="宋体"/>
                <w:kern w:val="0"/>
                <w:position w:val="-1"/>
                <w:szCs w:val="21"/>
              </w:rPr>
              <w:t>序号</w:t>
            </w:r>
          </w:p>
        </w:tc>
        <w:tc>
          <w:tcPr>
            <w:tcW w:w="1552"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spacing w:line="332" w:lineRule="exact"/>
              <w:ind w:left="352" w:right="-20"/>
              <w:jc w:val="left"/>
              <w:rPr>
                <w:rFonts w:ascii="宋体" w:hAnsi="宋体"/>
                <w:kern w:val="0"/>
                <w:szCs w:val="21"/>
              </w:rPr>
            </w:pPr>
            <w:r>
              <w:rPr>
                <w:rFonts w:hint="eastAsia" w:ascii="宋体" w:hAnsi="宋体"/>
                <w:kern w:val="0"/>
                <w:position w:val="-1"/>
                <w:szCs w:val="21"/>
              </w:rPr>
              <w:t>分项名称</w:t>
            </w:r>
          </w:p>
        </w:tc>
        <w:tc>
          <w:tcPr>
            <w:tcW w:w="1002"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spacing w:line="332" w:lineRule="exact"/>
              <w:ind w:left="280" w:right="-20"/>
              <w:jc w:val="left"/>
              <w:rPr>
                <w:rFonts w:ascii="宋体" w:hAnsi="宋体"/>
                <w:kern w:val="0"/>
                <w:szCs w:val="21"/>
              </w:rPr>
            </w:pPr>
            <w:r>
              <w:rPr>
                <w:rFonts w:hint="eastAsia" w:ascii="宋体" w:hAnsi="宋体"/>
                <w:kern w:val="0"/>
                <w:position w:val="-1"/>
                <w:szCs w:val="21"/>
              </w:rPr>
              <w:t>单位</w:t>
            </w:r>
          </w:p>
        </w:tc>
        <w:tc>
          <w:tcPr>
            <w:tcW w:w="1133"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spacing w:line="332" w:lineRule="exact"/>
              <w:ind w:left="349" w:right="-20"/>
              <w:jc w:val="left"/>
              <w:rPr>
                <w:rFonts w:ascii="宋体" w:hAnsi="宋体"/>
                <w:kern w:val="0"/>
                <w:szCs w:val="21"/>
              </w:rPr>
            </w:pPr>
            <w:r>
              <w:rPr>
                <w:rFonts w:hint="eastAsia" w:ascii="宋体" w:hAnsi="宋体"/>
                <w:kern w:val="0"/>
                <w:position w:val="-1"/>
                <w:szCs w:val="21"/>
              </w:rPr>
              <w:t>数量</w:t>
            </w:r>
          </w:p>
        </w:tc>
        <w:tc>
          <w:tcPr>
            <w:tcW w:w="970"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spacing w:line="332" w:lineRule="exact"/>
              <w:ind w:left="174" w:right="-20"/>
              <w:jc w:val="left"/>
              <w:rPr>
                <w:rFonts w:hint="eastAsia" w:ascii="宋体" w:hAnsi="宋体" w:eastAsia="宋体"/>
                <w:kern w:val="0"/>
                <w:position w:val="-1"/>
                <w:szCs w:val="21"/>
                <w:lang w:val="en-US" w:eastAsia="zh-CN"/>
              </w:rPr>
            </w:pPr>
            <w:r>
              <w:rPr>
                <w:rFonts w:hint="eastAsia" w:ascii="宋体" w:hAnsi="宋体"/>
                <w:kern w:val="0"/>
                <w:position w:val="-1"/>
                <w:szCs w:val="21"/>
                <w:lang w:val="en-US" w:eastAsia="zh-CN"/>
              </w:rPr>
              <w:t>品牌</w:t>
            </w:r>
          </w:p>
        </w:tc>
        <w:tc>
          <w:tcPr>
            <w:tcW w:w="1005"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spacing w:line="332" w:lineRule="exact"/>
              <w:ind w:left="174" w:right="-20"/>
              <w:jc w:val="left"/>
              <w:rPr>
                <w:rFonts w:hint="eastAsia" w:ascii="宋体" w:hAnsi="宋体" w:eastAsia="宋体"/>
                <w:kern w:val="0"/>
                <w:position w:val="-1"/>
                <w:szCs w:val="21"/>
                <w:lang w:val="en-US" w:eastAsia="zh-CN"/>
              </w:rPr>
            </w:pPr>
            <w:r>
              <w:rPr>
                <w:rFonts w:hint="eastAsia" w:ascii="宋体" w:hAnsi="宋体"/>
                <w:kern w:val="0"/>
                <w:position w:val="-1"/>
                <w:szCs w:val="21"/>
                <w:lang w:val="en-US" w:eastAsia="zh-CN"/>
              </w:rPr>
              <w:t>型号</w:t>
            </w:r>
          </w:p>
        </w:tc>
        <w:tc>
          <w:tcPr>
            <w:tcW w:w="1335"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spacing w:line="332" w:lineRule="exact"/>
              <w:ind w:left="174" w:right="-20"/>
              <w:jc w:val="left"/>
              <w:rPr>
                <w:rFonts w:ascii="宋体" w:hAnsi="宋体"/>
                <w:kern w:val="0"/>
                <w:szCs w:val="21"/>
              </w:rPr>
            </w:pPr>
            <w:r>
              <w:rPr>
                <w:rFonts w:hint="eastAsia" w:ascii="宋体" w:hAnsi="宋体"/>
                <w:kern w:val="0"/>
                <w:position w:val="-1"/>
                <w:szCs w:val="21"/>
              </w:rPr>
              <w:t>单价（元）</w:t>
            </w:r>
          </w:p>
        </w:tc>
        <w:tc>
          <w:tcPr>
            <w:tcW w:w="1455"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spacing w:line="332" w:lineRule="exact"/>
              <w:ind w:left="318" w:right="-20"/>
              <w:jc w:val="left"/>
              <w:rPr>
                <w:rFonts w:ascii="宋体" w:hAnsi="宋体"/>
                <w:kern w:val="0"/>
                <w:szCs w:val="21"/>
              </w:rPr>
            </w:pPr>
            <w:r>
              <w:rPr>
                <w:rFonts w:hint="eastAsia" w:ascii="宋体" w:hAnsi="宋体"/>
                <w:kern w:val="0"/>
                <w:position w:val="-1"/>
                <w:szCs w:val="21"/>
              </w:rPr>
              <w:t>总价（元）</w:t>
            </w:r>
          </w:p>
        </w:tc>
        <w:tc>
          <w:tcPr>
            <w:tcW w:w="1155"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spacing w:line="332" w:lineRule="exact"/>
              <w:ind w:left="422" w:right="-20"/>
              <w:jc w:val="left"/>
              <w:rPr>
                <w:rFonts w:ascii="宋体" w:hAnsi="宋体"/>
                <w:kern w:val="0"/>
                <w:szCs w:val="21"/>
              </w:rPr>
            </w:pPr>
            <w:r>
              <w:rPr>
                <w:rFonts w:hint="eastAsia" w:ascii="宋体" w:hAnsi="宋体"/>
                <w:kern w:val="0"/>
                <w:position w:val="-1"/>
                <w:szCs w:val="21"/>
              </w:rPr>
              <w:t>备注</w:t>
            </w:r>
          </w:p>
        </w:tc>
      </w:tr>
      <w:tr>
        <w:tblPrEx>
          <w:tblCellMar>
            <w:top w:w="0" w:type="dxa"/>
            <w:left w:w="0" w:type="dxa"/>
            <w:bottom w:w="0" w:type="dxa"/>
            <w:right w:w="0" w:type="dxa"/>
          </w:tblCellMar>
        </w:tblPrEx>
        <w:trPr>
          <w:trHeight w:val="567" w:hRule="atLeast"/>
          <w:jc w:val="center"/>
        </w:trPr>
        <w:tc>
          <w:tcPr>
            <w:tcW w:w="708"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spacing w:before="74"/>
              <w:ind w:left="258" w:right="241"/>
              <w:jc w:val="center"/>
              <w:rPr>
                <w:rFonts w:ascii="宋体" w:hAnsi="宋体"/>
                <w:kern w:val="0"/>
                <w:szCs w:val="21"/>
              </w:rPr>
            </w:pPr>
            <w:r>
              <w:rPr>
                <w:rFonts w:hint="eastAsia" w:ascii="宋体" w:hAnsi="宋体"/>
                <w:kern w:val="0"/>
                <w:szCs w:val="21"/>
              </w:rPr>
              <w:t>1</w:t>
            </w:r>
          </w:p>
        </w:tc>
        <w:tc>
          <w:tcPr>
            <w:tcW w:w="1552"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jc w:val="left"/>
              <w:rPr>
                <w:rFonts w:ascii="宋体" w:hAnsi="宋体"/>
                <w:kern w:val="0"/>
                <w:szCs w:val="21"/>
              </w:rPr>
            </w:pPr>
          </w:p>
        </w:tc>
        <w:tc>
          <w:tcPr>
            <w:tcW w:w="1002"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jc w:val="left"/>
              <w:rPr>
                <w:rFonts w:ascii="宋体" w:hAnsi="宋体"/>
                <w:kern w:val="0"/>
                <w:szCs w:val="21"/>
              </w:rPr>
            </w:pPr>
          </w:p>
        </w:tc>
        <w:tc>
          <w:tcPr>
            <w:tcW w:w="1133"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jc w:val="left"/>
              <w:rPr>
                <w:rFonts w:ascii="宋体" w:hAnsi="宋体"/>
                <w:kern w:val="0"/>
                <w:szCs w:val="21"/>
              </w:rPr>
            </w:pPr>
          </w:p>
        </w:tc>
        <w:tc>
          <w:tcPr>
            <w:tcW w:w="970"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jc w:val="left"/>
              <w:rPr>
                <w:rFonts w:ascii="宋体" w:hAnsi="宋体"/>
                <w:kern w:val="0"/>
                <w:szCs w:val="21"/>
              </w:rPr>
            </w:pPr>
          </w:p>
        </w:tc>
        <w:tc>
          <w:tcPr>
            <w:tcW w:w="1005"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jc w:val="left"/>
              <w:rPr>
                <w:rFonts w:ascii="宋体" w:hAnsi="宋体"/>
                <w:kern w:val="0"/>
                <w:szCs w:val="21"/>
              </w:rPr>
            </w:pPr>
          </w:p>
        </w:tc>
        <w:tc>
          <w:tcPr>
            <w:tcW w:w="1335"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jc w:val="left"/>
              <w:rPr>
                <w:rFonts w:ascii="宋体" w:hAnsi="宋体"/>
                <w:kern w:val="0"/>
                <w:szCs w:val="21"/>
              </w:rPr>
            </w:pPr>
          </w:p>
        </w:tc>
        <w:tc>
          <w:tcPr>
            <w:tcW w:w="1455"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jc w:val="left"/>
              <w:rPr>
                <w:rFonts w:ascii="宋体" w:hAnsi="宋体"/>
                <w:kern w:val="0"/>
                <w:szCs w:val="21"/>
              </w:rPr>
            </w:pPr>
          </w:p>
        </w:tc>
        <w:tc>
          <w:tcPr>
            <w:tcW w:w="1155"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jc w:val="left"/>
              <w:rPr>
                <w:rFonts w:ascii="宋体" w:hAnsi="宋体"/>
                <w:kern w:val="0"/>
                <w:szCs w:val="21"/>
              </w:rPr>
            </w:pPr>
          </w:p>
        </w:tc>
      </w:tr>
      <w:tr>
        <w:tblPrEx>
          <w:tblCellMar>
            <w:top w:w="0" w:type="dxa"/>
            <w:left w:w="0" w:type="dxa"/>
            <w:bottom w:w="0" w:type="dxa"/>
            <w:right w:w="0" w:type="dxa"/>
          </w:tblCellMar>
        </w:tblPrEx>
        <w:trPr>
          <w:trHeight w:val="567" w:hRule="atLeast"/>
          <w:jc w:val="center"/>
        </w:trPr>
        <w:tc>
          <w:tcPr>
            <w:tcW w:w="708"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spacing w:before="74"/>
              <w:ind w:left="258" w:right="241"/>
              <w:jc w:val="center"/>
              <w:rPr>
                <w:rFonts w:ascii="宋体" w:hAnsi="宋体"/>
                <w:kern w:val="0"/>
                <w:szCs w:val="21"/>
              </w:rPr>
            </w:pPr>
            <w:r>
              <w:rPr>
                <w:rFonts w:hint="eastAsia" w:ascii="宋体" w:hAnsi="宋体"/>
                <w:kern w:val="0"/>
                <w:szCs w:val="21"/>
              </w:rPr>
              <w:t>2</w:t>
            </w:r>
          </w:p>
        </w:tc>
        <w:tc>
          <w:tcPr>
            <w:tcW w:w="1552"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jc w:val="left"/>
              <w:rPr>
                <w:rFonts w:ascii="宋体" w:hAnsi="宋体"/>
                <w:kern w:val="0"/>
                <w:szCs w:val="21"/>
              </w:rPr>
            </w:pPr>
          </w:p>
        </w:tc>
        <w:tc>
          <w:tcPr>
            <w:tcW w:w="1002"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jc w:val="left"/>
              <w:rPr>
                <w:rFonts w:ascii="宋体" w:hAnsi="宋体"/>
                <w:kern w:val="0"/>
                <w:szCs w:val="21"/>
              </w:rPr>
            </w:pPr>
          </w:p>
        </w:tc>
        <w:tc>
          <w:tcPr>
            <w:tcW w:w="1133"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jc w:val="left"/>
              <w:rPr>
                <w:rFonts w:ascii="宋体" w:hAnsi="宋体"/>
                <w:kern w:val="0"/>
                <w:szCs w:val="21"/>
              </w:rPr>
            </w:pPr>
          </w:p>
        </w:tc>
        <w:tc>
          <w:tcPr>
            <w:tcW w:w="970"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jc w:val="left"/>
              <w:rPr>
                <w:rFonts w:ascii="宋体" w:hAnsi="宋体"/>
                <w:kern w:val="0"/>
                <w:szCs w:val="21"/>
              </w:rPr>
            </w:pPr>
          </w:p>
        </w:tc>
        <w:tc>
          <w:tcPr>
            <w:tcW w:w="1005"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jc w:val="left"/>
              <w:rPr>
                <w:rFonts w:ascii="宋体" w:hAnsi="宋体"/>
                <w:kern w:val="0"/>
                <w:szCs w:val="21"/>
              </w:rPr>
            </w:pPr>
          </w:p>
        </w:tc>
        <w:tc>
          <w:tcPr>
            <w:tcW w:w="1335"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jc w:val="left"/>
              <w:rPr>
                <w:rFonts w:ascii="宋体" w:hAnsi="宋体"/>
                <w:kern w:val="0"/>
                <w:szCs w:val="21"/>
              </w:rPr>
            </w:pPr>
          </w:p>
        </w:tc>
        <w:tc>
          <w:tcPr>
            <w:tcW w:w="1455"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jc w:val="left"/>
              <w:rPr>
                <w:rFonts w:ascii="宋体" w:hAnsi="宋体"/>
                <w:kern w:val="0"/>
                <w:szCs w:val="21"/>
              </w:rPr>
            </w:pPr>
          </w:p>
        </w:tc>
        <w:tc>
          <w:tcPr>
            <w:tcW w:w="1155"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jc w:val="left"/>
              <w:rPr>
                <w:rFonts w:ascii="宋体" w:hAnsi="宋体"/>
                <w:kern w:val="0"/>
                <w:szCs w:val="21"/>
              </w:rPr>
            </w:pPr>
          </w:p>
        </w:tc>
      </w:tr>
      <w:tr>
        <w:tblPrEx>
          <w:tblCellMar>
            <w:top w:w="0" w:type="dxa"/>
            <w:left w:w="0" w:type="dxa"/>
            <w:bottom w:w="0" w:type="dxa"/>
            <w:right w:w="0" w:type="dxa"/>
          </w:tblCellMar>
        </w:tblPrEx>
        <w:trPr>
          <w:trHeight w:val="567" w:hRule="atLeast"/>
          <w:jc w:val="center"/>
        </w:trPr>
        <w:tc>
          <w:tcPr>
            <w:tcW w:w="708"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spacing w:before="74"/>
              <w:ind w:left="258" w:right="241"/>
              <w:jc w:val="center"/>
              <w:rPr>
                <w:rFonts w:ascii="宋体" w:hAnsi="宋体"/>
                <w:kern w:val="0"/>
                <w:szCs w:val="21"/>
              </w:rPr>
            </w:pPr>
            <w:r>
              <w:rPr>
                <w:rFonts w:hint="eastAsia" w:ascii="宋体" w:hAnsi="宋体"/>
                <w:kern w:val="0"/>
                <w:szCs w:val="21"/>
              </w:rPr>
              <w:t>3</w:t>
            </w:r>
          </w:p>
        </w:tc>
        <w:tc>
          <w:tcPr>
            <w:tcW w:w="1552"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jc w:val="left"/>
              <w:rPr>
                <w:rFonts w:ascii="宋体" w:hAnsi="宋体"/>
                <w:kern w:val="0"/>
                <w:szCs w:val="21"/>
              </w:rPr>
            </w:pPr>
          </w:p>
        </w:tc>
        <w:tc>
          <w:tcPr>
            <w:tcW w:w="1002"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jc w:val="left"/>
              <w:rPr>
                <w:rFonts w:ascii="宋体" w:hAnsi="宋体"/>
                <w:kern w:val="0"/>
                <w:szCs w:val="21"/>
              </w:rPr>
            </w:pPr>
          </w:p>
        </w:tc>
        <w:tc>
          <w:tcPr>
            <w:tcW w:w="1133"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jc w:val="left"/>
              <w:rPr>
                <w:rFonts w:ascii="宋体" w:hAnsi="宋体"/>
                <w:kern w:val="0"/>
                <w:szCs w:val="21"/>
              </w:rPr>
            </w:pPr>
          </w:p>
        </w:tc>
        <w:tc>
          <w:tcPr>
            <w:tcW w:w="970"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jc w:val="left"/>
              <w:rPr>
                <w:rFonts w:ascii="宋体" w:hAnsi="宋体"/>
                <w:kern w:val="0"/>
                <w:szCs w:val="21"/>
              </w:rPr>
            </w:pPr>
          </w:p>
        </w:tc>
        <w:tc>
          <w:tcPr>
            <w:tcW w:w="1005"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jc w:val="left"/>
              <w:rPr>
                <w:rFonts w:ascii="宋体" w:hAnsi="宋体"/>
                <w:kern w:val="0"/>
                <w:szCs w:val="21"/>
              </w:rPr>
            </w:pPr>
          </w:p>
        </w:tc>
        <w:tc>
          <w:tcPr>
            <w:tcW w:w="1335"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jc w:val="left"/>
              <w:rPr>
                <w:rFonts w:ascii="宋体" w:hAnsi="宋体"/>
                <w:kern w:val="0"/>
                <w:szCs w:val="21"/>
              </w:rPr>
            </w:pPr>
          </w:p>
        </w:tc>
        <w:tc>
          <w:tcPr>
            <w:tcW w:w="1455"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jc w:val="left"/>
              <w:rPr>
                <w:rFonts w:ascii="宋体" w:hAnsi="宋体"/>
                <w:kern w:val="0"/>
                <w:szCs w:val="21"/>
              </w:rPr>
            </w:pPr>
          </w:p>
        </w:tc>
        <w:tc>
          <w:tcPr>
            <w:tcW w:w="1155"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jc w:val="left"/>
              <w:rPr>
                <w:rFonts w:ascii="宋体" w:hAnsi="宋体"/>
                <w:kern w:val="0"/>
                <w:szCs w:val="21"/>
              </w:rPr>
            </w:pPr>
          </w:p>
        </w:tc>
      </w:tr>
      <w:tr>
        <w:tblPrEx>
          <w:tblCellMar>
            <w:top w:w="0" w:type="dxa"/>
            <w:left w:w="0" w:type="dxa"/>
            <w:bottom w:w="0" w:type="dxa"/>
            <w:right w:w="0" w:type="dxa"/>
          </w:tblCellMar>
        </w:tblPrEx>
        <w:trPr>
          <w:trHeight w:val="567" w:hRule="atLeast"/>
          <w:jc w:val="center"/>
        </w:trPr>
        <w:tc>
          <w:tcPr>
            <w:tcW w:w="708"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spacing w:before="74"/>
              <w:ind w:left="258" w:right="241"/>
              <w:jc w:val="center"/>
              <w:rPr>
                <w:rFonts w:ascii="宋体" w:hAnsi="宋体"/>
                <w:kern w:val="0"/>
                <w:szCs w:val="21"/>
              </w:rPr>
            </w:pPr>
            <w:r>
              <w:rPr>
                <w:rFonts w:hint="eastAsia" w:ascii="宋体" w:hAnsi="宋体"/>
                <w:kern w:val="0"/>
                <w:szCs w:val="21"/>
              </w:rPr>
              <w:t>4</w:t>
            </w:r>
          </w:p>
        </w:tc>
        <w:tc>
          <w:tcPr>
            <w:tcW w:w="1552"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jc w:val="left"/>
              <w:rPr>
                <w:rFonts w:ascii="宋体" w:hAnsi="宋体"/>
                <w:kern w:val="0"/>
                <w:szCs w:val="21"/>
              </w:rPr>
            </w:pPr>
          </w:p>
        </w:tc>
        <w:tc>
          <w:tcPr>
            <w:tcW w:w="1002"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jc w:val="left"/>
              <w:rPr>
                <w:rFonts w:ascii="宋体" w:hAnsi="宋体"/>
                <w:kern w:val="0"/>
                <w:szCs w:val="21"/>
              </w:rPr>
            </w:pPr>
          </w:p>
        </w:tc>
        <w:tc>
          <w:tcPr>
            <w:tcW w:w="1133"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jc w:val="left"/>
              <w:rPr>
                <w:rFonts w:ascii="宋体" w:hAnsi="宋体"/>
                <w:kern w:val="0"/>
                <w:szCs w:val="21"/>
              </w:rPr>
            </w:pPr>
          </w:p>
        </w:tc>
        <w:tc>
          <w:tcPr>
            <w:tcW w:w="970"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jc w:val="left"/>
              <w:rPr>
                <w:rFonts w:ascii="宋体" w:hAnsi="宋体"/>
                <w:kern w:val="0"/>
                <w:szCs w:val="21"/>
              </w:rPr>
            </w:pPr>
          </w:p>
        </w:tc>
        <w:tc>
          <w:tcPr>
            <w:tcW w:w="1005"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jc w:val="left"/>
              <w:rPr>
                <w:rFonts w:ascii="宋体" w:hAnsi="宋体"/>
                <w:kern w:val="0"/>
                <w:szCs w:val="21"/>
              </w:rPr>
            </w:pPr>
          </w:p>
        </w:tc>
        <w:tc>
          <w:tcPr>
            <w:tcW w:w="1335"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jc w:val="left"/>
              <w:rPr>
                <w:rFonts w:ascii="宋体" w:hAnsi="宋体"/>
                <w:kern w:val="0"/>
                <w:szCs w:val="21"/>
              </w:rPr>
            </w:pPr>
          </w:p>
        </w:tc>
        <w:tc>
          <w:tcPr>
            <w:tcW w:w="1455"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jc w:val="left"/>
              <w:rPr>
                <w:rFonts w:ascii="宋体" w:hAnsi="宋体"/>
                <w:kern w:val="0"/>
                <w:szCs w:val="21"/>
              </w:rPr>
            </w:pPr>
          </w:p>
        </w:tc>
        <w:tc>
          <w:tcPr>
            <w:tcW w:w="1155"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jc w:val="left"/>
              <w:rPr>
                <w:rFonts w:ascii="宋体" w:hAnsi="宋体"/>
                <w:kern w:val="0"/>
                <w:szCs w:val="21"/>
              </w:rPr>
            </w:pPr>
          </w:p>
        </w:tc>
      </w:tr>
      <w:tr>
        <w:tblPrEx>
          <w:tblCellMar>
            <w:top w:w="0" w:type="dxa"/>
            <w:left w:w="0" w:type="dxa"/>
            <w:bottom w:w="0" w:type="dxa"/>
            <w:right w:w="0" w:type="dxa"/>
          </w:tblCellMar>
        </w:tblPrEx>
        <w:trPr>
          <w:trHeight w:val="567" w:hRule="atLeast"/>
          <w:jc w:val="center"/>
        </w:trPr>
        <w:tc>
          <w:tcPr>
            <w:tcW w:w="708"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spacing w:before="74"/>
              <w:ind w:left="258" w:right="241"/>
              <w:jc w:val="center"/>
              <w:rPr>
                <w:rFonts w:ascii="宋体" w:hAnsi="宋体"/>
                <w:kern w:val="0"/>
                <w:szCs w:val="21"/>
              </w:rPr>
            </w:pPr>
            <w:r>
              <w:rPr>
                <w:rFonts w:hint="eastAsia" w:ascii="宋体" w:hAnsi="宋体"/>
                <w:kern w:val="0"/>
                <w:szCs w:val="21"/>
              </w:rPr>
              <w:t>5</w:t>
            </w:r>
          </w:p>
        </w:tc>
        <w:tc>
          <w:tcPr>
            <w:tcW w:w="1552"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jc w:val="left"/>
              <w:rPr>
                <w:rFonts w:ascii="宋体" w:hAnsi="宋体"/>
                <w:kern w:val="0"/>
                <w:szCs w:val="21"/>
              </w:rPr>
            </w:pPr>
          </w:p>
        </w:tc>
        <w:tc>
          <w:tcPr>
            <w:tcW w:w="1002"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jc w:val="left"/>
              <w:rPr>
                <w:rFonts w:ascii="宋体" w:hAnsi="宋体"/>
                <w:kern w:val="0"/>
                <w:szCs w:val="21"/>
              </w:rPr>
            </w:pPr>
          </w:p>
        </w:tc>
        <w:tc>
          <w:tcPr>
            <w:tcW w:w="1133"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jc w:val="left"/>
              <w:rPr>
                <w:rFonts w:ascii="宋体" w:hAnsi="宋体"/>
                <w:kern w:val="0"/>
                <w:szCs w:val="21"/>
              </w:rPr>
            </w:pPr>
          </w:p>
        </w:tc>
        <w:tc>
          <w:tcPr>
            <w:tcW w:w="970"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jc w:val="left"/>
              <w:rPr>
                <w:rFonts w:ascii="宋体" w:hAnsi="宋体"/>
                <w:kern w:val="0"/>
                <w:szCs w:val="21"/>
              </w:rPr>
            </w:pPr>
          </w:p>
        </w:tc>
        <w:tc>
          <w:tcPr>
            <w:tcW w:w="1005"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jc w:val="left"/>
              <w:rPr>
                <w:rFonts w:ascii="宋体" w:hAnsi="宋体"/>
                <w:kern w:val="0"/>
                <w:szCs w:val="21"/>
              </w:rPr>
            </w:pPr>
          </w:p>
        </w:tc>
        <w:tc>
          <w:tcPr>
            <w:tcW w:w="1335"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jc w:val="left"/>
              <w:rPr>
                <w:rFonts w:ascii="宋体" w:hAnsi="宋体"/>
                <w:kern w:val="0"/>
                <w:szCs w:val="21"/>
              </w:rPr>
            </w:pPr>
          </w:p>
        </w:tc>
        <w:tc>
          <w:tcPr>
            <w:tcW w:w="1455"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jc w:val="left"/>
              <w:rPr>
                <w:rFonts w:ascii="宋体" w:hAnsi="宋体"/>
                <w:kern w:val="0"/>
                <w:szCs w:val="21"/>
              </w:rPr>
            </w:pPr>
          </w:p>
        </w:tc>
        <w:tc>
          <w:tcPr>
            <w:tcW w:w="1155"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jc w:val="left"/>
              <w:rPr>
                <w:rFonts w:ascii="宋体" w:hAnsi="宋体"/>
                <w:kern w:val="0"/>
                <w:szCs w:val="21"/>
              </w:rPr>
            </w:pPr>
          </w:p>
        </w:tc>
      </w:tr>
      <w:tr>
        <w:tblPrEx>
          <w:tblCellMar>
            <w:top w:w="0" w:type="dxa"/>
            <w:left w:w="0" w:type="dxa"/>
            <w:bottom w:w="0" w:type="dxa"/>
            <w:right w:w="0" w:type="dxa"/>
          </w:tblCellMar>
        </w:tblPrEx>
        <w:trPr>
          <w:trHeight w:val="567" w:hRule="atLeast"/>
          <w:jc w:val="center"/>
        </w:trPr>
        <w:tc>
          <w:tcPr>
            <w:tcW w:w="708"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spacing w:before="74"/>
              <w:ind w:left="138" w:right="-20"/>
              <w:jc w:val="left"/>
              <w:rPr>
                <w:rFonts w:ascii="宋体" w:hAnsi="宋体"/>
                <w:kern w:val="0"/>
                <w:szCs w:val="21"/>
              </w:rPr>
            </w:pPr>
            <w:r>
              <w:rPr>
                <w:rFonts w:hint="eastAsia" w:ascii="宋体" w:hAnsi="宋体"/>
                <w:kern w:val="0"/>
                <w:szCs w:val="21"/>
              </w:rPr>
              <w:t>……</w:t>
            </w:r>
          </w:p>
        </w:tc>
        <w:tc>
          <w:tcPr>
            <w:tcW w:w="1552"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spacing w:before="74"/>
              <w:ind w:left="527" w:right="507"/>
              <w:jc w:val="center"/>
              <w:rPr>
                <w:rFonts w:ascii="宋体" w:hAnsi="宋体"/>
                <w:kern w:val="0"/>
                <w:szCs w:val="21"/>
              </w:rPr>
            </w:pPr>
            <w:r>
              <w:rPr>
                <w:rFonts w:hint="eastAsia" w:ascii="宋体" w:hAnsi="宋体"/>
                <w:kern w:val="0"/>
                <w:szCs w:val="21"/>
              </w:rPr>
              <w:t>……</w:t>
            </w:r>
          </w:p>
        </w:tc>
        <w:tc>
          <w:tcPr>
            <w:tcW w:w="1002"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jc w:val="left"/>
              <w:rPr>
                <w:rFonts w:ascii="宋体" w:hAnsi="宋体"/>
                <w:kern w:val="0"/>
                <w:szCs w:val="21"/>
              </w:rPr>
            </w:pPr>
          </w:p>
        </w:tc>
        <w:tc>
          <w:tcPr>
            <w:tcW w:w="1133"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jc w:val="left"/>
              <w:rPr>
                <w:rFonts w:ascii="宋体" w:hAnsi="宋体"/>
                <w:kern w:val="0"/>
                <w:szCs w:val="21"/>
              </w:rPr>
            </w:pPr>
          </w:p>
        </w:tc>
        <w:tc>
          <w:tcPr>
            <w:tcW w:w="970"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jc w:val="left"/>
              <w:rPr>
                <w:rFonts w:ascii="宋体" w:hAnsi="宋体"/>
                <w:kern w:val="0"/>
                <w:szCs w:val="21"/>
              </w:rPr>
            </w:pPr>
          </w:p>
        </w:tc>
        <w:tc>
          <w:tcPr>
            <w:tcW w:w="1005"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jc w:val="left"/>
              <w:rPr>
                <w:rFonts w:ascii="宋体" w:hAnsi="宋体"/>
                <w:kern w:val="0"/>
                <w:szCs w:val="21"/>
              </w:rPr>
            </w:pPr>
          </w:p>
        </w:tc>
        <w:tc>
          <w:tcPr>
            <w:tcW w:w="1335"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jc w:val="left"/>
              <w:rPr>
                <w:rFonts w:ascii="宋体" w:hAnsi="宋体"/>
                <w:kern w:val="0"/>
                <w:szCs w:val="21"/>
              </w:rPr>
            </w:pPr>
          </w:p>
        </w:tc>
        <w:tc>
          <w:tcPr>
            <w:tcW w:w="1455"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jc w:val="left"/>
              <w:rPr>
                <w:rFonts w:ascii="宋体" w:hAnsi="宋体"/>
                <w:kern w:val="0"/>
                <w:szCs w:val="21"/>
              </w:rPr>
            </w:pPr>
          </w:p>
        </w:tc>
        <w:tc>
          <w:tcPr>
            <w:tcW w:w="1155"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jc w:val="left"/>
              <w:rPr>
                <w:rFonts w:ascii="宋体" w:hAnsi="宋体"/>
                <w:kern w:val="0"/>
                <w:szCs w:val="21"/>
              </w:rPr>
            </w:pPr>
          </w:p>
        </w:tc>
      </w:tr>
      <w:tr>
        <w:tblPrEx>
          <w:tblCellMar>
            <w:top w:w="0" w:type="dxa"/>
            <w:left w:w="0" w:type="dxa"/>
            <w:bottom w:w="0" w:type="dxa"/>
            <w:right w:w="0" w:type="dxa"/>
          </w:tblCellMar>
        </w:tblPrEx>
        <w:trPr>
          <w:trHeight w:val="467" w:hRule="atLeast"/>
          <w:jc w:val="center"/>
        </w:trPr>
        <w:tc>
          <w:tcPr>
            <w:tcW w:w="7705" w:type="dxa"/>
            <w:gridSpan w:val="7"/>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spacing w:line="330" w:lineRule="exact"/>
              <w:ind w:left="2443" w:right="2423"/>
              <w:jc w:val="center"/>
              <w:rPr>
                <w:rFonts w:ascii="宋体" w:hAnsi="宋体"/>
                <w:kern w:val="0"/>
                <w:szCs w:val="21"/>
              </w:rPr>
            </w:pPr>
            <w:r>
              <w:rPr>
                <w:rFonts w:hint="eastAsia" w:ascii="宋体" w:hAnsi="宋体"/>
                <w:kern w:val="0"/>
                <w:position w:val="-1"/>
                <w:szCs w:val="21"/>
              </w:rPr>
              <w:t>合计报价</w:t>
            </w:r>
          </w:p>
        </w:tc>
        <w:tc>
          <w:tcPr>
            <w:tcW w:w="1455"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jc w:val="left"/>
              <w:rPr>
                <w:rFonts w:ascii="宋体" w:hAnsi="宋体"/>
                <w:kern w:val="0"/>
                <w:szCs w:val="21"/>
              </w:rPr>
            </w:pPr>
          </w:p>
        </w:tc>
        <w:tc>
          <w:tcPr>
            <w:tcW w:w="1155"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jc w:val="left"/>
              <w:rPr>
                <w:rFonts w:ascii="宋体" w:hAnsi="宋体"/>
                <w:kern w:val="0"/>
                <w:szCs w:val="21"/>
              </w:rPr>
            </w:pPr>
          </w:p>
        </w:tc>
      </w:tr>
    </w:tbl>
    <w:p>
      <w:pPr>
        <w:spacing w:line="480" w:lineRule="auto"/>
        <w:ind w:firstLine="3600" w:firstLineChars="1500"/>
        <w:rPr>
          <w:rFonts w:ascii="宋体" w:hAnsi="宋体" w:eastAsia="仿宋" w:cs="宋体"/>
          <w:sz w:val="24"/>
        </w:rPr>
      </w:pPr>
    </w:p>
    <w:p>
      <w:pPr>
        <w:spacing w:line="480" w:lineRule="auto"/>
        <w:ind w:firstLine="3600" w:firstLineChars="1500"/>
        <w:rPr>
          <w:rFonts w:ascii="宋体" w:hAnsi="宋体" w:eastAsia="仿宋" w:cs="宋体"/>
          <w:sz w:val="24"/>
        </w:rPr>
      </w:pPr>
      <w:r>
        <w:rPr>
          <w:rFonts w:hint="eastAsia" w:ascii="宋体" w:hAnsi="宋体" w:eastAsia="仿宋" w:cs="宋体"/>
          <w:sz w:val="24"/>
        </w:rPr>
        <w:t>供应商单位名称：（盖单位电子印章）</w:t>
      </w:r>
    </w:p>
    <w:p>
      <w:pPr>
        <w:spacing w:line="480" w:lineRule="auto"/>
        <w:ind w:firstLine="2880" w:firstLineChars="1200"/>
        <w:rPr>
          <w:rFonts w:ascii="宋体" w:hAnsi="宋体" w:eastAsia="仿宋" w:cs="宋体"/>
          <w:sz w:val="24"/>
        </w:rPr>
      </w:pPr>
      <w:r>
        <w:rPr>
          <w:rFonts w:hint="eastAsia" w:ascii="宋体" w:hAnsi="宋体" w:eastAsia="仿宋" w:cs="宋体"/>
          <w:sz w:val="24"/>
        </w:rPr>
        <w:t>法定代表人或其委托代理人：（签字或加盖电子签名章）</w:t>
      </w:r>
    </w:p>
    <w:p>
      <w:pPr>
        <w:spacing w:line="440" w:lineRule="exact"/>
        <w:ind w:firstLine="4800" w:firstLineChars="2000"/>
        <w:rPr>
          <w:rFonts w:ascii="宋体" w:hAnsi="宋体" w:eastAsia="黑体" w:cs="宋体"/>
          <w:sz w:val="28"/>
        </w:rPr>
      </w:pPr>
      <w:r>
        <w:rPr>
          <w:rFonts w:hint="eastAsia" w:ascii="宋体" w:hAnsi="宋体" w:eastAsia="仿宋" w:cs="宋体"/>
          <w:sz w:val="24"/>
          <w:szCs w:val="21"/>
        </w:rPr>
        <w:t>日期：年月日</w:t>
      </w:r>
      <w:r>
        <w:rPr>
          <w:rFonts w:hint="eastAsia" w:ascii="宋体" w:hAnsi="宋体" w:eastAsia="黑体" w:cs="宋体"/>
          <w:sz w:val="28"/>
        </w:rPr>
        <w:br w:type="page"/>
      </w:r>
    </w:p>
    <w:p>
      <w:pPr>
        <w:spacing w:line="440" w:lineRule="exact"/>
        <w:jc w:val="center"/>
        <w:outlineLvl w:val="1"/>
        <w:rPr>
          <w:rFonts w:ascii="仿宋" w:hAnsi="仿宋" w:eastAsia="仿宋" w:cs="仿宋"/>
          <w:b/>
          <w:sz w:val="30"/>
          <w:szCs w:val="30"/>
        </w:rPr>
      </w:pPr>
      <w:bookmarkStart w:id="94" w:name="_Toc19598"/>
      <w:r>
        <w:rPr>
          <w:rFonts w:hint="eastAsia" w:ascii="仿宋" w:hAnsi="仿宋" w:eastAsia="仿宋" w:cs="仿宋"/>
          <w:b/>
          <w:sz w:val="30"/>
          <w:szCs w:val="30"/>
        </w:rPr>
        <w:t>二、法定代表人（企业负责人）身份证明</w:t>
      </w:r>
      <w:bookmarkEnd w:id="94"/>
      <w:r>
        <w:rPr>
          <w:rFonts w:hint="eastAsia" w:ascii="仿宋" w:hAnsi="仿宋" w:eastAsia="仿宋" w:cs="仿宋"/>
          <w:b/>
          <w:sz w:val="22"/>
          <w:szCs w:val="16"/>
        </w:rPr>
        <w:t>（实质性要求）</w:t>
      </w:r>
    </w:p>
    <w:p>
      <w:pPr>
        <w:spacing w:line="440" w:lineRule="exact"/>
        <w:jc w:val="center"/>
        <w:rPr>
          <w:rFonts w:ascii="宋体" w:hAnsi="宋体" w:eastAsia="黑体" w:cs="宋体"/>
          <w:sz w:val="28"/>
        </w:rPr>
      </w:pPr>
    </w:p>
    <w:p>
      <w:pPr>
        <w:spacing w:line="480" w:lineRule="auto"/>
        <w:ind w:firstLine="480" w:firstLineChars="200"/>
        <w:rPr>
          <w:rFonts w:ascii="宋体" w:hAnsi="宋体" w:eastAsia="仿宋" w:cs="宋体"/>
          <w:sz w:val="24"/>
          <w:szCs w:val="21"/>
          <w:u w:val="single"/>
        </w:rPr>
      </w:pPr>
      <w:r>
        <w:rPr>
          <w:rFonts w:hint="eastAsia" w:ascii="宋体" w:hAnsi="宋体" w:eastAsia="仿宋" w:cs="宋体"/>
          <w:sz w:val="24"/>
          <w:szCs w:val="21"/>
        </w:rPr>
        <w:t>供应商名称：</w:t>
      </w:r>
    </w:p>
    <w:p>
      <w:pPr>
        <w:spacing w:line="480" w:lineRule="auto"/>
        <w:ind w:firstLine="480" w:firstLineChars="200"/>
        <w:rPr>
          <w:rFonts w:ascii="宋体" w:hAnsi="宋体" w:eastAsia="仿宋" w:cs="宋体"/>
          <w:sz w:val="24"/>
          <w:szCs w:val="21"/>
        </w:rPr>
      </w:pPr>
      <w:r>
        <w:rPr>
          <w:rFonts w:hint="eastAsia" w:ascii="宋体" w:hAnsi="宋体" w:eastAsia="仿宋" w:cs="宋体"/>
          <w:sz w:val="24"/>
          <w:szCs w:val="21"/>
        </w:rPr>
        <w:t>单位性质：</w:t>
      </w:r>
    </w:p>
    <w:p>
      <w:pPr>
        <w:spacing w:line="480" w:lineRule="auto"/>
        <w:ind w:firstLine="480" w:firstLineChars="200"/>
        <w:rPr>
          <w:rFonts w:ascii="宋体" w:hAnsi="宋体" w:eastAsia="仿宋" w:cs="宋体"/>
          <w:sz w:val="24"/>
          <w:szCs w:val="21"/>
        </w:rPr>
      </w:pPr>
      <w:r>
        <w:rPr>
          <w:rFonts w:hint="eastAsia" w:ascii="宋体" w:hAnsi="宋体" w:eastAsia="仿宋" w:cs="宋体"/>
          <w:sz w:val="24"/>
          <w:szCs w:val="21"/>
        </w:rPr>
        <w:t>地址：</w:t>
      </w:r>
    </w:p>
    <w:p>
      <w:pPr>
        <w:spacing w:line="480" w:lineRule="auto"/>
        <w:ind w:firstLine="480" w:firstLineChars="200"/>
        <w:rPr>
          <w:rFonts w:ascii="宋体" w:hAnsi="宋体" w:eastAsia="仿宋" w:cs="宋体"/>
          <w:sz w:val="24"/>
          <w:szCs w:val="21"/>
        </w:rPr>
      </w:pPr>
      <w:r>
        <w:rPr>
          <w:rFonts w:hint="eastAsia" w:ascii="宋体" w:hAnsi="宋体" w:eastAsia="仿宋" w:cs="宋体"/>
          <w:sz w:val="24"/>
          <w:szCs w:val="21"/>
        </w:rPr>
        <w:t>成立时间：年月日</w:t>
      </w:r>
    </w:p>
    <w:p>
      <w:pPr>
        <w:spacing w:line="480" w:lineRule="auto"/>
        <w:ind w:firstLine="480" w:firstLineChars="200"/>
        <w:rPr>
          <w:rFonts w:ascii="宋体" w:hAnsi="宋体" w:eastAsia="仿宋" w:cs="宋体"/>
          <w:sz w:val="24"/>
          <w:szCs w:val="21"/>
        </w:rPr>
      </w:pPr>
      <w:r>
        <w:rPr>
          <w:rFonts w:hint="eastAsia" w:ascii="宋体" w:hAnsi="宋体" w:eastAsia="仿宋" w:cs="宋体"/>
          <w:sz w:val="24"/>
          <w:szCs w:val="21"/>
        </w:rPr>
        <w:t>经营期限：</w:t>
      </w:r>
    </w:p>
    <w:p>
      <w:pPr>
        <w:spacing w:line="480" w:lineRule="auto"/>
        <w:ind w:firstLine="480" w:firstLineChars="200"/>
        <w:rPr>
          <w:rFonts w:ascii="宋体" w:hAnsi="宋体" w:eastAsia="仿宋" w:cs="宋体"/>
          <w:sz w:val="24"/>
          <w:szCs w:val="21"/>
          <w:u w:val="single"/>
        </w:rPr>
      </w:pPr>
      <w:r>
        <w:rPr>
          <w:rFonts w:hint="eastAsia" w:ascii="宋体" w:hAnsi="宋体" w:eastAsia="仿宋" w:cs="宋体"/>
          <w:sz w:val="24"/>
          <w:szCs w:val="21"/>
        </w:rPr>
        <w:t>姓名：性别：年龄：职务：</w:t>
      </w:r>
    </w:p>
    <w:p>
      <w:pPr>
        <w:spacing w:line="480" w:lineRule="auto"/>
        <w:ind w:firstLine="480" w:firstLineChars="200"/>
        <w:rPr>
          <w:rFonts w:ascii="宋体" w:hAnsi="宋体" w:eastAsia="仿宋" w:cs="宋体"/>
          <w:sz w:val="24"/>
          <w:szCs w:val="21"/>
          <w:u w:val="single"/>
        </w:rPr>
      </w:pPr>
      <w:r>
        <w:rPr>
          <w:rFonts w:hint="eastAsia" w:ascii="宋体" w:hAnsi="宋体" w:eastAsia="仿宋" w:cs="宋体"/>
          <w:sz w:val="24"/>
          <w:szCs w:val="21"/>
        </w:rPr>
        <w:t>系（供应商单位名称）的法定代表人（企业负责人）。</w:t>
      </w:r>
    </w:p>
    <w:p>
      <w:pPr>
        <w:spacing w:line="480" w:lineRule="auto"/>
        <w:ind w:firstLine="480" w:firstLineChars="200"/>
        <w:rPr>
          <w:rFonts w:ascii="宋体" w:hAnsi="宋体" w:eastAsia="仿宋" w:cs="宋体"/>
          <w:sz w:val="24"/>
          <w:szCs w:val="21"/>
        </w:rPr>
      </w:pPr>
      <w:r>
        <w:rPr>
          <w:rFonts w:hint="eastAsia" w:ascii="宋体" w:hAnsi="宋体" w:eastAsia="仿宋" w:cs="宋体"/>
          <w:sz w:val="24"/>
          <w:szCs w:val="21"/>
        </w:rPr>
        <w:t>特此证明。</w:t>
      </w:r>
    </w:p>
    <w:p>
      <w:pPr>
        <w:spacing w:line="480" w:lineRule="auto"/>
        <w:ind w:firstLine="720" w:firstLineChars="300"/>
        <w:rPr>
          <w:rFonts w:ascii="宋体" w:hAnsi="宋体" w:eastAsia="仿宋" w:cs="宋体"/>
          <w:sz w:val="24"/>
          <w:szCs w:val="21"/>
        </w:rPr>
      </w:pPr>
      <w:r>
        <w:rPr>
          <w:rFonts w:hint="eastAsia" w:ascii="宋体" w:hAnsi="宋体" w:eastAsia="仿宋" w:cs="宋体"/>
          <w:sz w:val="24"/>
          <w:szCs w:val="21"/>
        </w:rPr>
        <w:t>后附：法定代表人身份证扫描件</w:t>
      </w:r>
    </w:p>
    <w:p>
      <w:pPr>
        <w:spacing w:line="480" w:lineRule="auto"/>
        <w:rPr>
          <w:rFonts w:ascii="宋体" w:hAnsi="宋体" w:eastAsia="仿宋" w:cs="宋体"/>
          <w:sz w:val="24"/>
          <w:szCs w:val="21"/>
        </w:rPr>
      </w:pPr>
    </w:p>
    <w:p>
      <w:pPr>
        <w:spacing w:line="440" w:lineRule="exact"/>
        <w:rPr>
          <w:rFonts w:ascii="宋体" w:hAnsi="宋体" w:eastAsia="仿宋" w:cs="宋体"/>
          <w:sz w:val="24"/>
          <w:szCs w:val="21"/>
        </w:rPr>
      </w:pPr>
    </w:p>
    <w:p>
      <w:pPr>
        <w:pStyle w:val="28"/>
        <w:rPr>
          <w:rFonts w:ascii="宋体" w:eastAsia="仿宋" w:cs="宋体"/>
          <w:sz w:val="24"/>
          <w:szCs w:val="21"/>
        </w:rPr>
      </w:pPr>
    </w:p>
    <w:p>
      <w:pPr>
        <w:pStyle w:val="29"/>
        <w:ind w:firstLine="488"/>
      </w:pPr>
    </w:p>
    <w:p>
      <w:pPr>
        <w:spacing w:line="440" w:lineRule="exact"/>
        <w:ind w:firstLine="2160" w:firstLineChars="900"/>
        <w:rPr>
          <w:rFonts w:ascii="宋体" w:hAnsi="宋体" w:eastAsia="仿宋" w:cs="宋体"/>
          <w:sz w:val="24"/>
        </w:rPr>
      </w:pPr>
      <w:r>
        <w:rPr>
          <w:rFonts w:hint="eastAsia" w:ascii="宋体" w:hAnsi="宋体" w:eastAsia="仿宋" w:cs="宋体"/>
          <w:sz w:val="24"/>
        </w:rPr>
        <w:t>供应商单位名称：（盖单位电子印章）</w:t>
      </w:r>
    </w:p>
    <w:p>
      <w:pPr>
        <w:spacing w:line="440" w:lineRule="exact"/>
        <w:ind w:firstLine="3120" w:firstLineChars="1300"/>
        <w:rPr>
          <w:rFonts w:ascii="宋体" w:hAnsi="宋体" w:eastAsia="仿宋" w:cs="宋体"/>
          <w:sz w:val="24"/>
          <w:szCs w:val="21"/>
        </w:rPr>
      </w:pPr>
      <w:r>
        <w:rPr>
          <w:rFonts w:hint="eastAsia" w:ascii="宋体" w:hAnsi="宋体" w:eastAsia="仿宋" w:cs="宋体"/>
          <w:sz w:val="24"/>
          <w:szCs w:val="21"/>
        </w:rPr>
        <w:t>日期：年月日</w:t>
      </w:r>
    </w:p>
    <w:p>
      <w:pPr>
        <w:spacing w:line="440" w:lineRule="exact"/>
        <w:jc w:val="center"/>
        <w:outlineLvl w:val="1"/>
        <w:rPr>
          <w:rFonts w:ascii="宋体" w:hAnsi="宋体" w:eastAsia="黑体" w:cs="宋体"/>
          <w:b/>
          <w:bCs/>
          <w:sz w:val="28"/>
        </w:rPr>
      </w:pPr>
      <w:r>
        <w:rPr>
          <w:rFonts w:hint="eastAsia" w:ascii="宋体" w:hAnsi="宋体" w:eastAsia="仿宋" w:cs="宋体"/>
          <w:sz w:val="24"/>
          <w:szCs w:val="21"/>
        </w:rPr>
        <w:br w:type="page"/>
      </w:r>
      <w:r>
        <w:rPr>
          <w:rFonts w:hint="eastAsia" w:ascii="仿宋" w:hAnsi="仿宋" w:eastAsia="仿宋" w:cs="仿宋"/>
          <w:b/>
          <w:bCs/>
          <w:sz w:val="30"/>
          <w:szCs w:val="30"/>
        </w:rPr>
        <w:t>授权委托书</w:t>
      </w:r>
    </w:p>
    <w:p>
      <w:pPr>
        <w:spacing w:line="440" w:lineRule="exact"/>
        <w:ind w:left="840"/>
        <w:rPr>
          <w:rFonts w:ascii="宋体" w:hAnsi="宋体" w:eastAsia="黑体" w:cs="宋体"/>
          <w:b/>
          <w:bCs/>
          <w:sz w:val="28"/>
        </w:rPr>
      </w:pPr>
    </w:p>
    <w:p>
      <w:pPr>
        <w:wordWrap w:val="0"/>
        <w:spacing w:line="480" w:lineRule="auto"/>
        <w:ind w:firstLine="420" w:firstLineChars="200"/>
        <w:rPr>
          <w:rFonts w:ascii="宋体" w:hAnsi="宋体" w:eastAsia="仿宋" w:cs="宋体"/>
          <w:bCs/>
          <w:szCs w:val="21"/>
        </w:rPr>
      </w:pPr>
      <w:r>
        <w:rPr>
          <w:rFonts w:hint="eastAsia" w:ascii="宋体" w:hAnsi="宋体" w:eastAsia="仿宋" w:cs="宋体"/>
          <w:bCs/>
          <w:szCs w:val="21"/>
        </w:rPr>
        <w:t>本人（</w:t>
      </w:r>
      <w:r>
        <w:rPr>
          <w:rFonts w:hint="eastAsia" w:ascii="宋体" w:hAnsi="宋体" w:eastAsia="仿宋" w:cs="宋体"/>
          <w:bCs/>
          <w:szCs w:val="21"/>
          <w:u w:val="single"/>
        </w:rPr>
        <w:t>姓名</w:t>
      </w:r>
      <w:r>
        <w:rPr>
          <w:rFonts w:hint="eastAsia" w:ascii="宋体" w:hAnsi="宋体" w:eastAsia="仿宋" w:cs="宋体"/>
          <w:bCs/>
          <w:szCs w:val="21"/>
        </w:rPr>
        <w:t>）系（</w:t>
      </w:r>
      <w:r>
        <w:rPr>
          <w:rFonts w:hint="eastAsia" w:ascii="宋体" w:hAnsi="宋体" w:eastAsia="仿宋" w:cs="宋体"/>
          <w:bCs/>
          <w:szCs w:val="21"/>
          <w:u w:val="single"/>
        </w:rPr>
        <w:t>供应商名称</w:t>
      </w:r>
      <w:r>
        <w:rPr>
          <w:rFonts w:hint="eastAsia" w:ascii="宋体" w:hAnsi="宋体" w:eastAsia="仿宋" w:cs="宋体"/>
          <w:bCs/>
          <w:szCs w:val="21"/>
        </w:rPr>
        <w:t>）的法定代表人（单位负责人），现委托（</w:t>
      </w:r>
      <w:r>
        <w:rPr>
          <w:rFonts w:hint="eastAsia" w:ascii="宋体" w:hAnsi="宋体" w:eastAsia="仿宋" w:cs="宋体"/>
          <w:bCs/>
          <w:szCs w:val="21"/>
          <w:u w:val="single"/>
        </w:rPr>
        <w:t>姓名</w:t>
      </w:r>
      <w:r>
        <w:rPr>
          <w:rFonts w:hint="eastAsia" w:ascii="宋体" w:hAnsi="宋体" w:eastAsia="仿宋" w:cs="宋体"/>
          <w:bCs/>
          <w:szCs w:val="21"/>
        </w:rPr>
        <w:t>）为我方代理人。代理人根据授权，以我方名义签署、澄清、说明、补正、递交、撤回、修改</w:t>
      </w:r>
      <w:r>
        <w:rPr>
          <w:rFonts w:hint="eastAsia" w:ascii="宋体" w:hAnsi="宋体" w:eastAsia="仿宋" w:cs="宋体"/>
          <w:bCs/>
          <w:szCs w:val="21"/>
          <w:u w:val="single"/>
        </w:rPr>
        <w:t>（项目名称）（包号</w:t>
      </w:r>
      <w:r>
        <w:rPr>
          <w:rFonts w:hint="eastAsia" w:ascii="宋体" w:hAnsi="宋体" w:eastAsia="仿宋" w:cs="宋体"/>
          <w:bCs/>
          <w:szCs w:val="21"/>
        </w:rPr>
        <w:t>）的磋商响应文件、签订合同和处理有关事宜，其法律后果由我方承担。</w:t>
      </w:r>
    </w:p>
    <w:p>
      <w:pPr>
        <w:wordWrap w:val="0"/>
        <w:spacing w:line="480" w:lineRule="auto"/>
        <w:ind w:firstLine="420" w:firstLineChars="200"/>
        <w:rPr>
          <w:rFonts w:ascii="宋体" w:hAnsi="宋体" w:eastAsia="仿宋" w:cs="宋体"/>
          <w:bCs/>
          <w:szCs w:val="21"/>
        </w:rPr>
      </w:pPr>
      <w:r>
        <w:rPr>
          <w:rFonts w:hint="eastAsia" w:ascii="宋体" w:hAnsi="宋体" w:eastAsia="仿宋" w:cs="宋体"/>
          <w:bCs/>
          <w:szCs w:val="21"/>
        </w:rPr>
        <w:t>委托期限：。</w:t>
      </w:r>
    </w:p>
    <w:p>
      <w:pPr>
        <w:wordWrap w:val="0"/>
        <w:spacing w:line="480" w:lineRule="auto"/>
        <w:ind w:firstLine="420" w:firstLineChars="200"/>
        <w:rPr>
          <w:rFonts w:ascii="宋体" w:hAnsi="宋体" w:eastAsia="仿宋" w:cs="宋体"/>
          <w:bCs/>
          <w:szCs w:val="21"/>
        </w:rPr>
      </w:pPr>
      <w:r>
        <w:rPr>
          <w:rFonts w:hint="eastAsia" w:ascii="宋体" w:hAnsi="宋体" w:eastAsia="仿宋" w:cs="宋体"/>
          <w:bCs/>
          <w:szCs w:val="21"/>
        </w:rPr>
        <w:t>代理人无转委托权。</w:t>
      </w:r>
    </w:p>
    <w:p>
      <w:pPr>
        <w:spacing w:line="480" w:lineRule="auto"/>
        <w:ind w:firstLine="420" w:firstLineChars="200"/>
        <w:rPr>
          <w:rFonts w:ascii="宋体" w:hAnsi="宋体" w:eastAsia="仿宋" w:cs="宋体"/>
          <w:bCs/>
          <w:szCs w:val="21"/>
        </w:rPr>
      </w:pPr>
      <w:r>
        <w:rPr>
          <w:rFonts w:hint="eastAsia" w:ascii="宋体" w:hAnsi="宋体" w:eastAsia="仿宋" w:cs="宋体"/>
          <w:bCs/>
          <w:szCs w:val="21"/>
        </w:rPr>
        <w:t>（后附：法定代表人/单位负责人和委托代理人身份证</w:t>
      </w:r>
      <w:r>
        <w:rPr>
          <w:rFonts w:hint="eastAsia" w:ascii="宋体" w:hAnsi="宋体" w:eastAsia="仿宋" w:cs="宋体"/>
          <w:szCs w:val="21"/>
        </w:rPr>
        <w:t>扫描件</w:t>
      </w:r>
      <w:r>
        <w:rPr>
          <w:rFonts w:hint="eastAsia" w:ascii="宋体" w:hAnsi="宋体" w:eastAsia="仿宋" w:cs="宋体"/>
          <w:bCs/>
          <w:szCs w:val="21"/>
        </w:rPr>
        <w:t>）</w:t>
      </w:r>
    </w:p>
    <w:p>
      <w:pPr>
        <w:spacing w:line="480" w:lineRule="auto"/>
        <w:ind w:left="840"/>
        <w:rPr>
          <w:rFonts w:ascii="宋体" w:hAnsi="宋体" w:eastAsia="仿宋" w:cs="宋体"/>
          <w:bCs/>
          <w:szCs w:val="21"/>
        </w:rPr>
      </w:pPr>
    </w:p>
    <w:p>
      <w:pPr>
        <w:spacing w:line="480" w:lineRule="auto"/>
        <w:ind w:left="840"/>
        <w:rPr>
          <w:rFonts w:ascii="宋体" w:hAnsi="宋体" w:eastAsia="仿宋" w:cs="宋体"/>
          <w:bCs/>
          <w:szCs w:val="21"/>
        </w:rPr>
      </w:pPr>
    </w:p>
    <w:p>
      <w:pPr>
        <w:spacing w:line="480" w:lineRule="auto"/>
        <w:ind w:left="840"/>
        <w:rPr>
          <w:rFonts w:ascii="宋体" w:hAnsi="宋体" w:eastAsia="仿宋" w:cs="宋体"/>
          <w:bCs/>
          <w:szCs w:val="21"/>
        </w:rPr>
      </w:pPr>
    </w:p>
    <w:p>
      <w:pPr>
        <w:spacing w:line="480" w:lineRule="auto"/>
        <w:ind w:left="840"/>
        <w:rPr>
          <w:rFonts w:ascii="宋体" w:hAnsi="宋体" w:eastAsia="仿宋" w:cs="宋体"/>
          <w:bCs/>
          <w:szCs w:val="21"/>
        </w:rPr>
      </w:pPr>
    </w:p>
    <w:p>
      <w:pPr>
        <w:spacing w:line="480" w:lineRule="auto"/>
        <w:jc w:val="left"/>
        <w:rPr>
          <w:rFonts w:ascii="宋体" w:hAnsi="宋体" w:eastAsia="仿宋" w:cs="宋体"/>
          <w:bCs/>
          <w:szCs w:val="21"/>
        </w:rPr>
      </w:pPr>
      <w:r>
        <w:rPr>
          <w:rFonts w:hint="eastAsia" w:ascii="宋体" w:hAnsi="宋体" w:eastAsia="仿宋" w:cs="宋体"/>
          <w:bCs/>
          <w:szCs w:val="21"/>
        </w:rPr>
        <w:t>供应商单位名称：（盖单位电子印章）</w:t>
      </w:r>
    </w:p>
    <w:p>
      <w:pPr>
        <w:spacing w:line="480" w:lineRule="auto"/>
        <w:jc w:val="left"/>
        <w:rPr>
          <w:rFonts w:ascii="宋体" w:hAnsi="宋体" w:eastAsia="仿宋" w:cs="宋体"/>
          <w:bCs/>
          <w:szCs w:val="21"/>
        </w:rPr>
      </w:pPr>
      <w:r>
        <w:rPr>
          <w:rFonts w:hint="eastAsia" w:ascii="宋体" w:hAnsi="宋体" w:eastAsia="仿宋" w:cs="宋体"/>
          <w:bCs/>
          <w:szCs w:val="21"/>
        </w:rPr>
        <w:t>法定代表人（单位负责人）：</w:t>
      </w:r>
      <w:r>
        <w:rPr>
          <w:rFonts w:hint="eastAsia" w:ascii="宋体" w:hAnsi="宋体" w:eastAsia="仿宋" w:cs="宋体"/>
          <w:szCs w:val="21"/>
        </w:rPr>
        <w:t>（签字或加盖电子签名章）</w:t>
      </w:r>
    </w:p>
    <w:p>
      <w:pPr>
        <w:spacing w:line="480" w:lineRule="auto"/>
        <w:jc w:val="left"/>
        <w:rPr>
          <w:rFonts w:ascii="宋体" w:hAnsi="宋体" w:eastAsia="仿宋" w:cs="宋体"/>
          <w:bCs/>
          <w:szCs w:val="21"/>
        </w:rPr>
      </w:pPr>
      <w:r>
        <w:rPr>
          <w:rFonts w:hint="eastAsia" w:ascii="宋体" w:hAnsi="宋体" w:eastAsia="仿宋" w:cs="宋体"/>
          <w:bCs/>
          <w:szCs w:val="21"/>
        </w:rPr>
        <w:t>身份证号码：</w:t>
      </w:r>
    </w:p>
    <w:p>
      <w:pPr>
        <w:spacing w:line="480" w:lineRule="auto"/>
        <w:jc w:val="left"/>
        <w:rPr>
          <w:rFonts w:ascii="宋体" w:hAnsi="宋体" w:eastAsia="仿宋" w:cs="宋体"/>
          <w:bCs/>
          <w:szCs w:val="21"/>
        </w:rPr>
      </w:pPr>
      <w:r>
        <w:rPr>
          <w:rFonts w:hint="eastAsia" w:ascii="宋体" w:hAnsi="宋体" w:eastAsia="仿宋" w:cs="宋体"/>
          <w:bCs/>
          <w:szCs w:val="21"/>
        </w:rPr>
        <w:t>委托代理人：</w:t>
      </w:r>
      <w:r>
        <w:rPr>
          <w:rFonts w:hint="eastAsia" w:ascii="宋体" w:hAnsi="宋体" w:eastAsia="仿宋" w:cs="宋体"/>
          <w:szCs w:val="21"/>
        </w:rPr>
        <w:t>（签字或加盖电子签名章）</w:t>
      </w:r>
    </w:p>
    <w:p>
      <w:pPr>
        <w:tabs>
          <w:tab w:val="left" w:pos="6510"/>
        </w:tabs>
        <w:spacing w:line="480" w:lineRule="auto"/>
        <w:jc w:val="left"/>
        <w:rPr>
          <w:rFonts w:ascii="宋体" w:hAnsi="宋体" w:eastAsia="仿宋" w:cs="宋体"/>
          <w:bCs/>
          <w:szCs w:val="21"/>
        </w:rPr>
      </w:pPr>
      <w:r>
        <w:rPr>
          <w:rFonts w:hint="eastAsia" w:ascii="宋体" w:hAnsi="宋体" w:eastAsia="仿宋" w:cs="宋体"/>
          <w:bCs/>
          <w:szCs w:val="21"/>
        </w:rPr>
        <w:t>身份证号码：</w:t>
      </w:r>
    </w:p>
    <w:p>
      <w:pPr>
        <w:spacing w:line="480" w:lineRule="auto"/>
        <w:jc w:val="left"/>
        <w:rPr>
          <w:rFonts w:ascii="宋体" w:hAnsi="宋体" w:eastAsia="仿宋" w:cs="宋体"/>
          <w:szCs w:val="21"/>
        </w:rPr>
      </w:pPr>
      <w:r>
        <w:rPr>
          <w:rFonts w:hint="eastAsia" w:ascii="宋体" w:hAnsi="宋体" w:eastAsia="仿宋" w:cs="宋体"/>
          <w:szCs w:val="21"/>
        </w:rPr>
        <w:t>日期：年月日</w:t>
      </w:r>
    </w:p>
    <w:p>
      <w:pPr>
        <w:autoSpaceDE w:val="0"/>
        <w:autoSpaceDN w:val="0"/>
        <w:adjustRightInd w:val="0"/>
        <w:spacing w:line="480" w:lineRule="auto"/>
        <w:rPr>
          <w:rFonts w:eastAsia="仿宋"/>
          <w:color w:val="000000"/>
          <w:szCs w:val="21"/>
        </w:rPr>
      </w:pPr>
    </w:p>
    <w:p>
      <w:pPr>
        <w:autoSpaceDE w:val="0"/>
        <w:autoSpaceDN w:val="0"/>
        <w:adjustRightInd w:val="0"/>
        <w:spacing w:line="480" w:lineRule="auto"/>
        <w:jc w:val="center"/>
        <w:rPr>
          <w:rFonts w:ascii="宋体" w:hAnsi="宋体" w:eastAsia="仿宋" w:cs="宋体"/>
          <w:kern w:val="0"/>
          <w:sz w:val="24"/>
          <w:szCs w:val="21"/>
        </w:rPr>
      </w:pPr>
      <w:r>
        <w:rPr>
          <w:rFonts w:hint="eastAsia" w:eastAsia="仿宋"/>
          <w:color w:val="000000"/>
          <w:szCs w:val="21"/>
        </w:rPr>
        <w:t>注：</w:t>
      </w:r>
      <w:r>
        <w:rPr>
          <w:rFonts w:hint="eastAsia" w:ascii="宋体" w:hAnsi="宋体" w:eastAsia="仿宋"/>
          <w:szCs w:val="21"/>
        </w:rPr>
        <w:t>供应商的法定代表人（负责人）签署磋商响应文件，则不需提交授权委托书。</w:t>
      </w:r>
      <w:bookmarkStart w:id="95" w:name="_Toc1244"/>
    </w:p>
    <w:bookmarkEnd w:id="95"/>
    <w:p>
      <w:pPr>
        <w:pStyle w:val="29"/>
        <w:ind w:firstLine="0" w:firstLineChars="0"/>
        <w:rPr>
          <w:rFonts w:eastAsia="仿宋"/>
          <w:strike/>
          <w:szCs w:val="21"/>
        </w:rPr>
        <w:sectPr>
          <w:pgSz w:w="11906" w:h="16838"/>
          <w:pgMar w:top="1361" w:right="1247" w:bottom="1440" w:left="1247" w:header="851" w:footer="992" w:gutter="0"/>
          <w:cols w:space="720" w:num="1"/>
          <w:docGrid w:type="lines" w:linePitch="312" w:charSpace="0"/>
        </w:sectPr>
      </w:pPr>
    </w:p>
    <w:p>
      <w:pPr>
        <w:spacing w:line="360" w:lineRule="auto"/>
        <w:jc w:val="center"/>
        <w:outlineLvl w:val="1"/>
        <w:rPr>
          <w:rFonts w:ascii="宋体" w:hAnsi="宋体" w:cs="宋体"/>
          <w:b/>
          <w:bCs/>
          <w:kern w:val="0"/>
          <w:sz w:val="30"/>
          <w:szCs w:val="30"/>
        </w:rPr>
      </w:pPr>
      <w:bookmarkStart w:id="96" w:name="_Toc23379"/>
      <w:r>
        <w:rPr>
          <w:rFonts w:hint="eastAsia" w:ascii="宋体" w:hAnsi="宋体" w:cs="宋体"/>
          <w:b/>
          <w:bCs/>
          <w:sz w:val="30"/>
          <w:szCs w:val="30"/>
        </w:rPr>
        <w:t>三、货物的技术规格、数量、服务标准、验收等要求的响应</w:t>
      </w:r>
    </w:p>
    <w:bookmarkEnd w:id="96"/>
    <w:p>
      <w:pPr>
        <w:spacing w:before="120" w:beforeLines="50" w:line="440" w:lineRule="exact"/>
        <w:jc w:val="left"/>
        <w:rPr>
          <w:rFonts w:ascii="宋体" w:hAnsi="宋体"/>
          <w:szCs w:val="21"/>
        </w:rPr>
      </w:pPr>
    </w:p>
    <w:p>
      <w:pPr>
        <w:spacing w:before="120" w:beforeLines="50" w:line="440" w:lineRule="exact"/>
        <w:jc w:val="left"/>
        <w:rPr>
          <w:rFonts w:ascii="宋体" w:hAnsi="宋体" w:eastAsia="仿宋" w:cs="宋体"/>
          <w:kern w:val="0"/>
          <w:sz w:val="18"/>
          <w:szCs w:val="15"/>
        </w:rPr>
      </w:pPr>
      <w:r>
        <w:rPr>
          <w:rFonts w:hint="eastAsia" w:ascii="宋体" w:hAnsi="宋体" w:eastAsia="仿宋" w:cs="宋体"/>
          <w:kern w:val="0"/>
          <w:szCs w:val="18"/>
        </w:rPr>
        <w:t>包括：根据采购需求说明所投货物技术性能参数、项目实施方案、生产供货保证体系与措施、质量保证体系与措施、技术支持及人员培训、备品备件提供情况、用户清单等。</w:t>
      </w:r>
    </w:p>
    <w:p>
      <w:pPr>
        <w:pStyle w:val="18"/>
      </w:pPr>
    </w:p>
    <w:p>
      <w:pPr>
        <w:pStyle w:val="18"/>
      </w:pPr>
    </w:p>
    <w:p>
      <w:pPr>
        <w:pStyle w:val="18"/>
      </w:pPr>
    </w:p>
    <w:p>
      <w:pPr>
        <w:pStyle w:val="18"/>
      </w:pPr>
    </w:p>
    <w:p>
      <w:pPr>
        <w:pStyle w:val="18"/>
      </w:pPr>
    </w:p>
    <w:p>
      <w:pPr>
        <w:ind w:firstLine="480" w:firstLineChars="200"/>
        <w:rPr>
          <w:rFonts w:eastAsia="仿宋"/>
          <w:bCs/>
          <w:sz w:val="24"/>
          <w:szCs w:val="21"/>
        </w:rPr>
      </w:pPr>
    </w:p>
    <w:p>
      <w:pPr>
        <w:pStyle w:val="18"/>
        <w:rPr>
          <w:rFonts w:eastAsia="仿宋"/>
          <w:bCs/>
          <w:szCs w:val="21"/>
        </w:rPr>
      </w:pPr>
    </w:p>
    <w:p>
      <w:pPr>
        <w:pStyle w:val="18"/>
        <w:rPr>
          <w:rFonts w:eastAsia="仿宋"/>
          <w:bCs/>
          <w:szCs w:val="21"/>
        </w:rPr>
      </w:pPr>
    </w:p>
    <w:p>
      <w:pPr>
        <w:pStyle w:val="18"/>
        <w:rPr>
          <w:rFonts w:eastAsia="仿宋"/>
          <w:bCs/>
          <w:szCs w:val="21"/>
        </w:rPr>
      </w:pPr>
    </w:p>
    <w:p>
      <w:pPr>
        <w:pStyle w:val="18"/>
        <w:rPr>
          <w:rFonts w:eastAsia="仿宋"/>
          <w:bCs/>
          <w:szCs w:val="21"/>
        </w:rPr>
      </w:pPr>
    </w:p>
    <w:p>
      <w:pPr>
        <w:pStyle w:val="18"/>
        <w:rPr>
          <w:rFonts w:eastAsia="仿宋"/>
          <w:bCs/>
          <w:szCs w:val="21"/>
        </w:rPr>
      </w:pPr>
    </w:p>
    <w:p>
      <w:pPr>
        <w:pStyle w:val="18"/>
        <w:rPr>
          <w:rFonts w:eastAsia="仿宋"/>
          <w:bCs/>
          <w:szCs w:val="21"/>
        </w:rPr>
      </w:pPr>
    </w:p>
    <w:p>
      <w:pPr>
        <w:pStyle w:val="18"/>
        <w:rPr>
          <w:rFonts w:eastAsia="仿宋"/>
          <w:bCs/>
          <w:szCs w:val="21"/>
        </w:rPr>
      </w:pPr>
    </w:p>
    <w:p>
      <w:pPr>
        <w:rPr>
          <w:rFonts w:eastAsia="仿宋"/>
          <w:bCs/>
          <w:sz w:val="24"/>
          <w:szCs w:val="21"/>
        </w:rPr>
      </w:pPr>
    </w:p>
    <w:p>
      <w:pPr>
        <w:spacing w:line="480" w:lineRule="auto"/>
        <w:ind w:firstLine="3360" w:firstLineChars="1400"/>
        <w:rPr>
          <w:rFonts w:ascii="宋体" w:hAnsi="宋体" w:eastAsia="仿宋" w:cs="宋体"/>
          <w:sz w:val="24"/>
        </w:rPr>
      </w:pPr>
      <w:r>
        <w:rPr>
          <w:rFonts w:hint="eastAsia" w:ascii="宋体" w:hAnsi="宋体" w:eastAsia="仿宋" w:cs="宋体"/>
          <w:sz w:val="24"/>
        </w:rPr>
        <w:t>供应商单位名称：（盖单位电子印章）</w:t>
      </w:r>
    </w:p>
    <w:p>
      <w:pPr>
        <w:spacing w:line="480" w:lineRule="auto"/>
        <w:ind w:firstLine="1440" w:firstLineChars="600"/>
        <w:rPr>
          <w:rFonts w:ascii="宋体" w:hAnsi="宋体" w:eastAsia="仿宋" w:cs="宋体"/>
          <w:sz w:val="24"/>
        </w:rPr>
      </w:pPr>
      <w:r>
        <w:rPr>
          <w:rFonts w:hint="eastAsia" w:ascii="宋体" w:hAnsi="宋体" w:eastAsia="仿宋" w:cs="宋体"/>
          <w:sz w:val="24"/>
        </w:rPr>
        <w:t>法定代表人或其委托代理人：（签字或加盖电子签名章）</w:t>
      </w:r>
    </w:p>
    <w:p>
      <w:pPr>
        <w:spacing w:line="440" w:lineRule="exact"/>
        <w:jc w:val="right"/>
        <w:rPr>
          <w:rFonts w:ascii="宋体" w:hAnsi="宋体" w:eastAsia="仿宋" w:cs="宋体"/>
          <w:sz w:val="24"/>
        </w:rPr>
      </w:pPr>
    </w:p>
    <w:p>
      <w:pPr>
        <w:spacing w:line="440" w:lineRule="exact"/>
        <w:ind w:firstLine="5280" w:firstLineChars="2200"/>
        <w:rPr>
          <w:rFonts w:ascii="宋体" w:hAnsi="宋体" w:eastAsia="仿宋" w:cs="宋体"/>
          <w:sz w:val="24"/>
          <w:szCs w:val="21"/>
        </w:rPr>
      </w:pPr>
      <w:r>
        <w:rPr>
          <w:rFonts w:hint="eastAsia" w:ascii="宋体" w:hAnsi="宋体" w:eastAsia="仿宋" w:cs="宋体"/>
          <w:sz w:val="24"/>
          <w:szCs w:val="21"/>
        </w:rPr>
        <w:t>日期：年月日</w:t>
      </w:r>
    </w:p>
    <w:p>
      <w:pPr>
        <w:spacing w:line="440" w:lineRule="exact"/>
        <w:jc w:val="center"/>
        <w:rPr>
          <w:rFonts w:ascii="宋体" w:hAnsi="宋体" w:eastAsia="黑体" w:cs="宋体"/>
          <w:b/>
          <w:bCs/>
          <w:sz w:val="30"/>
        </w:rPr>
      </w:pPr>
    </w:p>
    <w:p>
      <w:pPr>
        <w:jc w:val="center"/>
        <w:outlineLvl w:val="1"/>
        <w:rPr>
          <w:rFonts w:ascii="宋体" w:hAnsi="宋体" w:cs="宋体"/>
          <w:b/>
          <w:bCs/>
          <w:sz w:val="30"/>
          <w:szCs w:val="30"/>
        </w:rPr>
      </w:pPr>
      <w:r>
        <w:rPr>
          <w:rFonts w:hint="eastAsia" w:ascii="宋体" w:hAnsi="宋体" w:cs="宋体"/>
          <w:b/>
          <w:bCs/>
          <w:sz w:val="30"/>
        </w:rPr>
        <w:br w:type="page"/>
      </w:r>
      <w:r>
        <w:rPr>
          <w:rFonts w:hint="eastAsia" w:ascii="宋体" w:hAnsi="宋体" w:cs="宋体"/>
          <w:b/>
          <w:bCs/>
          <w:sz w:val="30"/>
          <w:szCs w:val="30"/>
        </w:rPr>
        <w:t xml:space="preserve">四、商务、技术偏差表 </w:t>
      </w:r>
      <w:r>
        <w:rPr>
          <w:rFonts w:hint="eastAsia" w:ascii="仿宋" w:hAnsi="仿宋" w:eastAsia="仿宋" w:cs="仿宋"/>
          <w:b/>
          <w:sz w:val="22"/>
          <w:szCs w:val="16"/>
        </w:rPr>
        <w:t>（实质性要求）</w:t>
      </w:r>
    </w:p>
    <w:p>
      <w:pPr>
        <w:spacing w:line="360" w:lineRule="auto"/>
        <w:jc w:val="center"/>
        <w:rPr>
          <w:rFonts w:ascii="宋体" w:hAnsi="宋体" w:cs="宋体"/>
          <w:b/>
          <w:bCs/>
          <w:sz w:val="30"/>
          <w:szCs w:val="30"/>
        </w:rPr>
      </w:pPr>
    </w:p>
    <w:p>
      <w:pPr>
        <w:spacing w:line="360" w:lineRule="auto"/>
        <w:jc w:val="center"/>
        <w:rPr>
          <w:rFonts w:ascii="仿宋" w:hAnsi="仿宋" w:eastAsia="仿宋" w:cs="仿宋"/>
          <w:b/>
          <w:bCs/>
          <w:sz w:val="28"/>
          <w:szCs w:val="28"/>
        </w:rPr>
      </w:pPr>
      <w:r>
        <w:rPr>
          <w:rFonts w:hint="eastAsia" w:ascii="仿宋" w:hAnsi="仿宋" w:eastAsia="仿宋" w:cs="仿宋"/>
          <w:b/>
          <w:bCs/>
          <w:sz w:val="28"/>
          <w:szCs w:val="28"/>
        </w:rPr>
        <w:t>商务、合同条款偏差表</w:t>
      </w:r>
    </w:p>
    <w:tbl>
      <w:tblPr>
        <w:tblStyle w:val="30"/>
        <w:tblW w:w="95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80"/>
        <w:gridCol w:w="2220"/>
        <w:gridCol w:w="2625"/>
        <w:gridCol w:w="1287"/>
        <w:gridCol w:w="1133"/>
        <w:gridCol w:w="152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91" w:hRule="atLeast"/>
          <w:jc w:val="center"/>
        </w:trPr>
        <w:tc>
          <w:tcPr>
            <w:tcW w:w="780" w:type="dxa"/>
            <w:noWrap/>
          </w:tcPr>
          <w:p>
            <w:pPr>
              <w:jc w:val="center"/>
            </w:pPr>
            <w:r>
              <w:rPr>
                <w:rFonts w:hint="eastAsia" w:eastAsia="仿宋"/>
                <w:sz w:val="24"/>
              </w:rPr>
              <w:t>序号</w:t>
            </w:r>
          </w:p>
        </w:tc>
        <w:tc>
          <w:tcPr>
            <w:tcW w:w="2220" w:type="dxa"/>
            <w:noWrap/>
          </w:tcPr>
          <w:p>
            <w:pPr>
              <w:jc w:val="center"/>
            </w:pPr>
            <w:r>
              <w:rPr>
                <w:rFonts w:hint="eastAsia" w:eastAsia="仿宋"/>
                <w:sz w:val="24"/>
              </w:rPr>
              <w:t>采购文件</w:t>
            </w:r>
            <w:r>
              <w:rPr>
                <w:rFonts w:eastAsia="仿宋"/>
                <w:sz w:val="24"/>
              </w:rPr>
              <w:t>的商务、合同条款</w:t>
            </w:r>
          </w:p>
        </w:tc>
        <w:tc>
          <w:tcPr>
            <w:tcW w:w="2625" w:type="dxa"/>
            <w:noWrap/>
          </w:tcPr>
          <w:p>
            <w:pPr>
              <w:jc w:val="center"/>
            </w:pPr>
            <w:r>
              <w:rPr>
                <w:rFonts w:hint="eastAsia" w:eastAsia="仿宋"/>
                <w:sz w:val="24"/>
              </w:rPr>
              <w:t>响应文件描述</w:t>
            </w:r>
          </w:p>
        </w:tc>
        <w:tc>
          <w:tcPr>
            <w:tcW w:w="1287" w:type="dxa"/>
            <w:noWrap/>
          </w:tcPr>
          <w:p>
            <w:pPr>
              <w:jc w:val="center"/>
            </w:pPr>
            <w:r>
              <w:rPr>
                <w:rFonts w:hint="eastAsia" w:eastAsia="仿宋"/>
                <w:sz w:val="24"/>
              </w:rPr>
              <w:t>完全</w:t>
            </w:r>
            <w:r>
              <w:rPr>
                <w:rFonts w:eastAsia="仿宋"/>
                <w:sz w:val="24"/>
              </w:rPr>
              <w:t>响应</w:t>
            </w:r>
          </w:p>
        </w:tc>
        <w:tc>
          <w:tcPr>
            <w:tcW w:w="1133" w:type="dxa"/>
            <w:noWrap/>
          </w:tcPr>
          <w:p>
            <w:pPr>
              <w:jc w:val="center"/>
            </w:pPr>
            <w:r>
              <w:rPr>
                <w:rFonts w:hint="eastAsia" w:eastAsia="仿宋"/>
                <w:sz w:val="24"/>
              </w:rPr>
              <w:t>有偏离</w:t>
            </w:r>
          </w:p>
        </w:tc>
        <w:tc>
          <w:tcPr>
            <w:tcW w:w="1529" w:type="dxa"/>
            <w:noWrap/>
          </w:tcPr>
          <w:p>
            <w:pPr>
              <w:jc w:val="center"/>
            </w:pPr>
            <w:r>
              <w:rPr>
                <w:rFonts w:eastAsia="仿宋"/>
                <w:sz w:val="24"/>
              </w:rPr>
              <w:t>偏离</w:t>
            </w:r>
            <w:r>
              <w:rPr>
                <w:rFonts w:hint="eastAsia" w:eastAsia="仿宋"/>
                <w:sz w:val="24"/>
              </w:rPr>
              <w:t>描述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9" w:hRule="atLeast"/>
          <w:jc w:val="center"/>
        </w:trPr>
        <w:tc>
          <w:tcPr>
            <w:tcW w:w="780" w:type="dxa"/>
            <w:noWrap/>
          </w:tcPr>
          <w:p>
            <w:pPr>
              <w:spacing w:line="440" w:lineRule="atLeast"/>
            </w:pPr>
          </w:p>
        </w:tc>
        <w:tc>
          <w:tcPr>
            <w:tcW w:w="2220" w:type="dxa"/>
            <w:noWrap/>
          </w:tcPr>
          <w:p>
            <w:pPr>
              <w:spacing w:line="440" w:lineRule="atLeast"/>
            </w:pPr>
          </w:p>
        </w:tc>
        <w:tc>
          <w:tcPr>
            <w:tcW w:w="2625" w:type="dxa"/>
            <w:noWrap/>
          </w:tcPr>
          <w:p>
            <w:pPr>
              <w:spacing w:line="440" w:lineRule="atLeast"/>
            </w:pPr>
          </w:p>
        </w:tc>
        <w:tc>
          <w:tcPr>
            <w:tcW w:w="1287" w:type="dxa"/>
            <w:noWrap/>
          </w:tcPr>
          <w:p>
            <w:pPr>
              <w:spacing w:line="440" w:lineRule="atLeast"/>
            </w:pPr>
          </w:p>
        </w:tc>
        <w:tc>
          <w:tcPr>
            <w:tcW w:w="1133" w:type="dxa"/>
            <w:noWrap/>
          </w:tcPr>
          <w:p>
            <w:pPr>
              <w:spacing w:line="440" w:lineRule="atLeast"/>
            </w:pPr>
          </w:p>
        </w:tc>
        <w:tc>
          <w:tcPr>
            <w:tcW w:w="1529" w:type="dxa"/>
            <w:noWrap/>
          </w:tcPr>
          <w:p>
            <w:pPr>
              <w:spacing w:line="440" w:lineRule="atLeas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80" w:type="dxa"/>
            <w:noWrap/>
          </w:tcPr>
          <w:p>
            <w:pPr>
              <w:spacing w:line="440" w:lineRule="atLeast"/>
            </w:pPr>
          </w:p>
        </w:tc>
        <w:tc>
          <w:tcPr>
            <w:tcW w:w="2220" w:type="dxa"/>
            <w:noWrap/>
          </w:tcPr>
          <w:p>
            <w:pPr>
              <w:spacing w:line="440" w:lineRule="atLeast"/>
            </w:pPr>
          </w:p>
        </w:tc>
        <w:tc>
          <w:tcPr>
            <w:tcW w:w="2625" w:type="dxa"/>
            <w:noWrap/>
          </w:tcPr>
          <w:p>
            <w:pPr>
              <w:spacing w:line="440" w:lineRule="atLeast"/>
            </w:pPr>
          </w:p>
        </w:tc>
        <w:tc>
          <w:tcPr>
            <w:tcW w:w="1287" w:type="dxa"/>
            <w:noWrap/>
          </w:tcPr>
          <w:p>
            <w:pPr>
              <w:spacing w:line="440" w:lineRule="atLeast"/>
            </w:pPr>
          </w:p>
        </w:tc>
        <w:tc>
          <w:tcPr>
            <w:tcW w:w="1133" w:type="dxa"/>
            <w:noWrap/>
          </w:tcPr>
          <w:p>
            <w:pPr>
              <w:spacing w:line="440" w:lineRule="atLeast"/>
            </w:pPr>
          </w:p>
        </w:tc>
        <w:tc>
          <w:tcPr>
            <w:tcW w:w="1529" w:type="dxa"/>
            <w:noWrap/>
          </w:tcPr>
          <w:p>
            <w:pPr>
              <w:spacing w:line="440" w:lineRule="atLeas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80" w:type="dxa"/>
            <w:noWrap/>
          </w:tcPr>
          <w:p>
            <w:pPr>
              <w:spacing w:line="440" w:lineRule="atLeast"/>
            </w:pPr>
          </w:p>
        </w:tc>
        <w:tc>
          <w:tcPr>
            <w:tcW w:w="2220" w:type="dxa"/>
            <w:noWrap/>
          </w:tcPr>
          <w:p>
            <w:pPr>
              <w:spacing w:line="440" w:lineRule="atLeast"/>
            </w:pPr>
          </w:p>
        </w:tc>
        <w:tc>
          <w:tcPr>
            <w:tcW w:w="2625" w:type="dxa"/>
            <w:noWrap/>
          </w:tcPr>
          <w:p>
            <w:pPr>
              <w:spacing w:line="440" w:lineRule="atLeast"/>
            </w:pPr>
          </w:p>
        </w:tc>
        <w:tc>
          <w:tcPr>
            <w:tcW w:w="1287" w:type="dxa"/>
            <w:noWrap/>
          </w:tcPr>
          <w:p>
            <w:pPr>
              <w:spacing w:line="440" w:lineRule="atLeast"/>
            </w:pPr>
          </w:p>
        </w:tc>
        <w:tc>
          <w:tcPr>
            <w:tcW w:w="1133" w:type="dxa"/>
            <w:noWrap/>
          </w:tcPr>
          <w:p>
            <w:pPr>
              <w:spacing w:line="440" w:lineRule="atLeast"/>
            </w:pPr>
          </w:p>
        </w:tc>
        <w:tc>
          <w:tcPr>
            <w:tcW w:w="1529" w:type="dxa"/>
            <w:noWrap/>
          </w:tcPr>
          <w:p>
            <w:pPr>
              <w:spacing w:line="440" w:lineRule="atLeas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80" w:type="dxa"/>
            <w:noWrap/>
            <w:vAlign w:val="center"/>
          </w:tcPr>
          <w:p>
            <w:pPr>
              <w:spacing w:line="440" w:lineRule="atLeast"/>
            </w:pPr>
          </w:p>
        </w:tc>
        <w:tc>
          <w:tcPr>
            <w:tcW w:w="2220" w:type="dxa"/>
            <w:noWrap/>
            <w:vAlign w:val="center"/>
          </w:tcPr>
          <w:p>
            <w:pPr>
              <w:spacing w:line="440" w:lineRule="atLeast"/>
            </w:pPr>
          </w:p>
        </w:tc>
        <w:tc>
          <w:tcPr>
            <w:tcW w:w="2625" w:type="dxa"/>
            <w:noWrap/>
          </w:tcPr>
          <w:p>
            <w:pPr>
              <w:spacing w:line="440" w:lineRule="atLeast"/>
            </w:pPr>
          </w:p>
        </w:tc>
        <w:tc>
          <w:tcPr>
            <w:tcW w:w="1287" w:type="dxa"/>
            <w:noWrap/>
          </w:tcPr>
          <w:p>
            <w:pPr>
              <w:spacing w:line="440" w:lineRule="atLeast"/>
            </w:pPr>
          </w:p>
        </w:tc>
        <w:tc>
          <w:tcPr>
            <w:tcW w:w="1133" w:type="dxa"/>
            <w:noWrap/>
          </w:tcPr>
          <w:p>
            <w:pPr>
              <w:spacing w:line="440" w:lineRule="atLeast"/>
            </w:pPr>
          </w:p>
        </w:tc>
        <w:tc>
          <w:tcPr>
            <w:tcW w:w="1529" w:type="dxa"/>
            <w:noWrap/>
          </w:tcPr>
          <w:p>
            <w:pPr>
              <w:spacing w:line="440" w:lineRule="atLeas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80" w:type="dxa"/>
            <w:noWrap/>
            <w:vAlign w:val="center"/>
          </w:tcPr>
          <w:p>
            <w:pPr>
              <w:spacing w:line="440" w:lineRule="atLeast"/>
              <w:rPr>
                <w:szCs w:val="21"/>
              </w:rPr>
            </w:pPr>
          </w:p>
        </w:tc>
        <w:tc>
          <w:tcPr>
            <w:tcW w:w="2220" w:type="dxa"/>
            <w:noWrap/>
            <w:vAlign w:val="center"/>
          </w:tcPr>
          <w:p>
            <w:pPr>
              <w:spacing w:line="440" w:lineRule="atLeast"/>
              <w:rPr>
                <w:szCs w:val="21"/>
              </w:rPr>
            </w:pPr>
          </w:p>
        </w:tc>
        <w:tc>
          <w:tcPr>
            <w:tcW w:w="2625" w:type="dxa"/>
            <w:noWrap/>
          </w:tcPr>
          <w:p>
            <w:pPr>
              <w:spacing w:line="440" w:lineRule="atLeast"/>
            </w:pPr>
          </w:p>
        </w:tc>
        <w:tc>
          <w:tcPr>
            <w:tcW w:w="1287" w:type="dxa"/>
            <w:noWrap/>
          </w:tcPr>
          <w:p>
            <w:pPr>
              <w:spacing w:line="440" w:lineRule="atLeast"/>
            </w:pPr>
          </w:p>
        </w:tc>
        <w:tc>
          <w:tcPr>
            <w:tcW w:w="1133" w:type="dxa"/>
            <w:noWrap/>
          </w:tcPr>
          <w:p>
            <w:pPr>
              <w:spacing w:line="440" w:lineRule="atLeast"/>
            </w:pPr>
          </w:p>
        </w:tc>
        <w:tc>
          <w:tcPr>
            <w:tcW w:w="1529" w:type="dxa"/>
            <w:noWrap/>
          </w:tcPr>
          <w:p>
            <w:pPr>
              <w:spacing w:line="440" w:lineRule="atLeas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80" w:type="dxa"/>
            <w:noWrap/>
            <w:vAlign w:val="center"/>
          </w:tcPr>
          <w:p>
            <w:pPr>
              <w:spacing w:line="440" w:lineRule="atLeast"/>
              <w:rPr>
                <w:szCs w:val="21"/>
              </w:rPr>
            </w:pPr>
            <w:r>
              <w:rPr>
                <w:rFonts w:hint="eastAsia" w:eastAsia="仿宋"/>
                <w:sz w:val="24"/>
                <w:szCs w:val="21"/>
              </w:rPr>
              <w:t>……</w:t>
            </w:r>
          </w:p>
        </w:tc>
        <w:tc>
          <w:tcPr>
            <w:tcW w:w="2220" w:type="dxa"/>
            <w:noWrap/>
            <w:vAlign w:val="center"/>
          </w:tcPr>
          <w:p>
            <w:pPr>
              <w:spacing w:line="440" w:lineRule="atLeast"/>
              <w:rPr>
                <w:szCs w:val="21"/>
              </w:rPr>
            </w:pPr>
            <w:r>
              <w:rPr>
                <w:rFonts w:hint="eastAsia" w:eastAsia="仿宋"/>
                <w:sz w:val="24"/>
                <w:szCs w:val="21"/>
              </w:rPr>
              <w:t>……</w:t>
            </w:r>
          </w:p>
        </w:tc>
        <w:tc>
          <w:tcPr>
            <w:tcW w:w="2625" w:type="dxa"/>
            <w:noWrap/>
          </w:tcPr>
          <w:p>
            <w:pPr>
              <w:spacing w:line="440" w:lineRule="atLeast"/>
            </w:pPr>
          </w:p>
        </w:tc>
        <w:tc>
          <w:tcPr>
            <w:tcW w:w="1287" w:type="dxa"/>
            <w:noWrap/>
          </w:tcPr>
          <w:p>
            <w:pPr>
              <w:spacing w:line="440" w:lineRule="atLeast"/>
            </w:pPr>
          </w:p>
        </w:tc>
        <w:tc>
          <w:tcPr>
            <w:tcW w:w="1133" w:type="dxa"/>
            <w:noWrap/>
          </w:tcPr>
          <w:p>
            <w:pPr>
              <w:spacing w:line="440" w:lineRule="atLeast"/>
            </w:pPr>
          </w:p>
        </w:tc>
        <w:tc>
          <w:tcPr>
            <w:tcW w:w="1529" w:type="dxa"/>
            <w:noWrap/>
          </w:tcPr>
          <w:p>
            <w:pPr>
              <w:spacing w:line="440" w:lineRule="atLeast"/>
            </w:pPr>
          </w:p>
        </w:tc>
      </w:tr>
    </w:tbl>
    <w:p>
      <w:pPr>
        <w:autoSpaceDE w:val="0"/>
        <w:autoSpaceDN w:val="0"/>
        <w:adjustRightInd w:val="0"/>
        <w:spacing w:line="296" w:lineRule="exact"/>
        <w:ind w:right="-20"/>
        <w:jc w:val="left"/>
        <w:rPr>
          <w:rFonts w:ascii="宋体" w:hAnsi="宋体"/>
          <w:b/>
          <w:bCs/>
          <w:kern w:val="0"/>
          <w:szCs w:val="21"/>
        </w:rPr>
      </w:pPr>
    </w:p>
    <w:p>
      <w:pPr>
        <w:spacing w:line="480" w:lineRule="auto"/>
        <w:ind w:firstLine="2400" w:firstLineChars="1000"/>
        <w:rPr>
          <w:rFonts w:ascii="宋体" w:hAnsi="宋体" w:eastAsia="仿宋" w:cs="宋体"/>
          <w:sz w:val="24"/>
        </w:rPr>
      </w:pPr>
    </w:p>
    <w:p>
      <w:pPr>
        <w:spacing w:line="480" w:lineRule="auto"/>
        <w:ind w:firstLine="2400" w:firstLineChars="1000"/>
        <w:rPr>
          <w:rFonts w:ascii="宋体" w:hAnsi="宋体" w:eastAsia="仿宋" w:cs="宋体"/>
          <w:sz w:val="24"/>
        </w:rPr>
      </w:pPr>
      <w:r>
        <w:rPr>
          <w:rFonts w:hint="eastAsia" w:ascii="宋体" w:hAnsi="宋体" w:eastAsia="仿宋" w:cs="宋体"/>
          <w:sz w:val="24"/>
        </w:rPr>
        <w:t>供应商单位名称：（盖单位电子印章）</w:t>
      </w:r>
    </w:p>
    <w:p>
      <w:pPr>
        <w:spacing w:line="480" w:lineRule="auto"/>
        <w:ind w:firstLine="1200" w:firstLineChars="500"/>
        <w:rPr>
          <w:rFonts w:ascii="宋体" w:hAnsi="宋体" w:eastAsia="仿宋" w:cs="宋体"/>
          <w:sz w:val="24"/>
        </w:rPr>
      </w:pPr>
      <w:r>
        <w:rPr>
          <w:rFonts w:hint="eastAsia" w:ascii="宋体" w:hAnsi="宋体" w:eastAsia="仿宋" w:cs="宋体"/>
          <w:sz w:val="24"/>
        </w:rPr>
        <w:t>法定代表人或其委托代理人：（签字或加盖电子签名章）</w:t>
      </w:r>
    </w:p>
    <w:p>
      <w:pPr>
        <w:spacing w:line="440" w:lineRule="exact"/>
        <w:ind w:firstLine="5040" w:firstLineChars="2100"/>
        <w:rPr>
          <w:rFonts w:ascii="宋体" w:hAnsi="宋体" w:eastAsia="仿宋" w:cs="宋体"/>
          <w:sz w:val="24"/>
          <w:szCs w:val="21"/>
        </w:rPr>
      </w:pPr>
      <w:r>
        <w:rPr>
          <w:rFonts w:hint="eastAsia" w:ascii="宋体" w:hAnsi="宋体" w:eastAsia="仿宋" w:cs="宋体"/>
          <w:sz w:val="24"/>
          <w:szCs w:val="21"/>
        </w:rPr>
        <w:t>日期：年月日</w:t>
      </w:r>
    </w:p>
    <w:p>
      <w:pPr>
        <w:rPr>
          <w:rFonts w:eastAsia="仿宋"/>
          <w:sz w:val="24"/>
        </w:rPr>
      </w:pPr>
    </w:p>
    <w:p>
      <w:pPr>
        <w:snapToGrid w:val="0"/>
        <w:spacing w:after="120" w:afterLines="50"/>
        <w:rPr>
          <w:rFonts w:ascii="仿宋" w:hAnsi="仿宋" w:eastAsia="仿宋" w:cs="仿宋"/>
          <w:sz w:val="24"/>
        </w:rPr>
      </w:pPr>
      <w:r>
        <w:rPr>
          <w:rFonts w:hint="eastAsia" w:ascii="仿宋" w:hAnsi="仿宋" w:eastAsia="仿宋" w:cs="仿宋"/>
          <w:sz w:val="24"/>
        </w:rPr>
        <w:t>注：1、 供应商根据本竞争性磋商采购文件的竞争性磋商须知及合同条款填写本表；</w:t>
      </w:r>
    </w:p>
    <w:p>
      <w:pPr>
        <w:snapToGrid w:val="0"/>
        <w:spacing w:after="120" w:afterLines="50"/>
        <w:ind w:left="910" w:leftChars="203" w:hanging="484" w:hangingChars="202"/>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rPr>
        <w:tab/>
      </w:r>
      <w:r>
        <w:rPr>
          <w:rFonts w:hint="eastAsia" w:ascii="仿宋" w:hAnsi="仿宋" w:eastAsia="仿宋" w:cs="仿宋"/>
          <w:sz w:val="24"/>
        </w:rPr>
        <w:t>对完全响应的条目在本表相应列中标注“√”。对有偏离的条目在本表相应列中标注“正偏离”或“负偏离”。仅可在“完全响应”及“有偏离”中选一标注，同时，当且仅当选取“有偏离”栏中加以标注后，才能在“偏离简述”栏中加以说明。</w:t>
      </w:r>
    </w:p>
    <w:p>
      <w:pPr>
        <w:snapToGrid w:val="0"/>
        <w:spacing w:after="120" w:afterLines="50"/>
        <w:ind w:left="910" w:leftChars="203" w:hanging="484" w:hangingChars="202"/>
        <w:rPr>
          <w:rFonts w:ascii="仿宋" w:hAnsi="仿宋" w:eastAsia="仿宋" w:cs="仿宋"/>
          <w:sz w:val="24"/>
        </w:rPr>
      </w:pPr>
      <w:r>
        <w:rPr>
          <w:rFonts w:hint="eastAsia" w:ascii="仿宋" w:hAnsi="仿宋" w:eastAsia="仿宋" w:cs="仿宋"/>
          <w:sz w:val="24"/>
        </w:rPr>
        <w:t>3、</w:t>
      </w:r>
      <w:r>
        <w:rPr>
          <w:rFonts w:hint="eastAsia" w:ascii="仿宋" w:hAnsi="仿宋" w:eastAsia="仿宋" w:cs="仿宋"/>
          <w:sz w:val="24"/>
        </w:rPr>
        <w:tab/>
      </w:r>
      <w:r>
        <w:rPr>
          <w:rFonts w:hint="eastAsia" w:ascii="仿宋" w:hAnsi="仿宋" w:eastAsia="仿宋" w:cs="仿宋"/>
          <w:sz w:val="24"/>
        </w:rPr>
        <w:t>正偏离是指应答的条件高于竞争性磋商采购文件要求，负偏离是指应答的条件低于竞争性磋商采购文件要求。</w:t>
      </w:r>
    </w:p>
    <w:p>
      <w:pPr>
        <w:snapToGrid w:val="0"/>
        <w:spacing w:after="120" w:afterLines="50"/>
        <w:ind w:left="910" w:leftChars="203" w:hanging="484" w:hangingChars="202"/>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rPr>
        <w:tab/>
      </w:r>
      <w:r>
        <w:rPr>
          <w:rFonts w:hint="eastAsia" w:ascii="仿宋" w:hAnsi="仿宋" w:eastAsia="仿宋" w:cs="仿宋"/>
          <w:sz w:val="24"/>
        </w:rPr>
        <w:t>供应商须完整填写响应表。如果未完整填写本表的各项内容则视作供应商已经对竞争性磋商采购文件相关要求和内容完全理解并同意，其磋商报价为在此基础上的完全价格。</w:t>
      </w:r>
    </w:p>
    <w:p>
      <w:pPr>
        <w:snapToGrid w:val="0"/>
        <w:spacing w:after="120" w:afterLines="50"/>
        <w:ind w:left="910" w:leftChars="203" w:hanging="484" w:hangingChars="202"/>
        <w:rPr>
          <w:rFonts w:ascii="仿宋" w:hAnsi="仿宋" w:eastAsia="仿宋" w:cs="仿宋"/>
          <w:sz w:val="24"/>
        </w:rPr>
      </w:pPr>
      <w:r>
        <w:rPr>
          <w:rFonts w:hint="eastAsia" w:ascii="仿宋" w:hAnsi="仿宋" w:eastAsia="仿宋" w:cs="仿宋"/>
          <w:sz w:val="24"/>
        </w:rPr>
        <w:t>5、</w:t>
      </w:r>
      <w:r>
        <w:rPr>
          <w:rFonts w:hint="eastAsia" w:ascii="仿宋" w:hAnsi="仿宋" w:eastAsia="仿宋" w:cs="仿宋"/>
          <w:sz w:val="24"/>
        </w:rPr>
        <w:tab/>
      </w:r>
      <w:r>
        <w:rPr>
          <w:rFonts w:hint="eastAsia" w:ascii="仿宋" w:hAnsi="仿宋" w:eastAsia="仿宋" w:cs="仿宋"/>
          <w:sz w:val="24"/>
        </w:rPr>
        <w:t>在买方与成交人签订合同时，如成交人</w:t>
      </w:r>
      <w:r>
        <w:rPr>
          <w:rFonts w:hint="eastAsia" w:ascii="仿宋" w:hAnsi="仿宋" w:eastAsia="仿宋" w:cs="仿宋"/>
          <w:b/>
          <w:bCs/>
          <w:sz w:val="24"/>
        </w:rPr>
        <w:t>未在响应文件“响应表”中列出偏离说明，无论已发生或即将发生任何情形，均视为完全符合竞争性磋商采购文件要求</w:t>
      </w:r>
      <w:r>
        <w:rPr>
          <w:rFonts w:hint="eastAsia" w:ascii="仿宋" w:hAnsi="仿宋" w:eastAsia="仿宋" w:cs="仿宋"/>
          <w:sz w:val="24"/>
        </w:rPr>
        <w:t>，并写入合同。若中标人在合同签订前，以上述事项为借口而不履行合同签订手续及执行合同，则视作拒绝与采购人签订合同。</w:t>
      </w:r>
    </w:p>
    <w:p>
      <w:pPr>
        <w:rPr>
          <w:rFonts w:eastAsia="黑体"/>
          <w:b/>
          <w:sz w:val="28"/>
        </w:rPr>
      </w:pPr>
      <w:r>
        <w:rPr>
          <w:rFonts w:eastAsia="黑体"/>
          <w:b/>
          <w:sz w:val="28"/>
        </w:rPr>
        <w:br w:type="page"/>
      </w:r>
    </w:p>
    <w:p>
      <w:pPr>
        <w:spacing w:line="360" w:lineRule="auto"/>
        <w:jc w:val="center"/>
        <w:outlineLvl w:val="1"/>
        <w:rPr>
          <w:bCs/>
          <w:sz w:val="24"/>
        </w:rPr>
      </w:pPr>
      <w:r>
        <w:rPr>
          <w:rFonts w:hint="eastAsia" w:ascii="仿宋" w:hAnsi="仿宋" w:eastAsia="仿宋" w:cs="仿宋"/>
          <w:b/>
          <w:sz w:val="28"/>
        </w:rPr>
        <w:t>技术偏离表</w:t>
      </w:r>
    </w:p>
    <w:p>
      <w:pPr>
        <w:spacing w:after="240"/>
        <w:ind w:hanging="119"/>
        <w:rPr>
          <w:rFonts w:ascii="仿宋" w:hAnsi="仿宋" w:eastAsia="仿宋" w:cs="仿宋"/>
        </w:rPr>
      </w:pPr>
      <w:r>
        <w:rPr>
          <w:rFonts w:hint="eastAsia" w:ascii="仿宋" w:hAnsi="仿宋" w:eastAsia="仿宋" w:cs="仿宋"/>
        </w:rPr>
        <w:t>供应商名称：</w:t>
      </w:r>
    </w:p>
    <w:tbl>
      <w:tblPr>
        <w:tblStyle w:val="30"/>
        <w:tblW w:w="906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60"/>
        <w:gridCol w:w="2132"/>
        <w:gridCol w:w="1944"/>
        <w:gridCol w:w="1236"/>
        <w:gridCol w:w="1232"/>
        <w:gridCol w:w="116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7" w:hRule="atLeast"/>
          <w:jc w:val="center"/>
        </w:trPr>
        <w:tc>
          <w:tcPr>
            <w:tcW w:w="1360" w:type="dxa"/>
            <w:vMerge w:val="restart"/>
            <w:noWrap/>
          </w:tcPr>
          <w:p>
            <w:pPr>
              <w:spacing w:line="400" w:lineRule="exact"/>
              <w:jc w:val="center"/>
              <w:rPr>
                <w:rFonts w:ascii="仿宋" w:hAnsi="仿宋" w:eastAsia="仿宋" w:cs="仿宋"/>
              </w:rPr>
            </w:pPr>
            <w:r>
              <w:rPr>
                <w:rFonts w:hint="eastAsia" w:ascii="仿宋" w:hAnsi="仿宋" w:eastAsia="仿宋" w:cs="仿宋"/>
              </w:rPr>
              <w:t>采购文件条目号</w:t>
            </w:r>
          </w:p>
        </w:tc>
        <w:tc>
          <w:tcPr>
            <w:tcW w:w="4076" w:type="dxa"/>
            <w:gridSpan w:val="2"/>
            <w:tcBorders>
              <w:bottom w:val="single" w:color="auto" w:sz="4" w:space="0"/>
            </w:tcBorders>
            <w:noWrap/>
          </w:tcPr>
          <w:p>
            <w:pPr>
              <w:spacing w:line="400" w:lineRule="exact"/>
              <w:jc w:val="center"/>
              <w:rPr>
                <w:rFonts w:hint="eastAsia" w:ascii="仿宋" w:hAnsi="仿宋" w:eastAsia="仿宋" w:cs="仿宋"/>
                <w:lang w:eastAsia="zh-CN"/>
              </w:rPr>
            </w:pPr>
            <w:r>
              <w:rPr>
                <w:rFonts w:hint="eastAsia" w:ascii="仿宋" w:hAnsi="仿宋" w:eastAsia="仿宋" w:cs="仿宋"/>
                <w:lang w:eastAsia="zh-CN"/>
              </w:rPr>
              <w:t>发包人要求</w:t>
            </w:r>
          </w:p>
        </w:tc>
        <w:tc>
          <w:tcPr>
            <w:tcW w:w="1236" w:type="dxa"/>
            <w:vMerge w:val="restart"/>
            <w:noWrap/>
            <w:vAlign w:val="center"/>
          </w:tcPr>
          <w:p>
            <w:pPr>
              <w:spacing w:line="400" w:lineRule="exact"/>
              <w:jc w:val="center"/>
              <w:rPr>
                <w:rFonts w:ascii="仿宋" w:hAnsi="仿宋" w:eastAsia="仿宋" w:cs="仿宋"/>
              </w:rPr>
            </w:pPr>
            <w:r>
              <w:rPr>
                <w:rFonts w:hint="eastAsia" w:ascii="仿宋" w:hAnsi="仿宋" w:eastAsia="仿宋" w:cs="仿宋"/>
              </w:rPr>
              <w:t>偏差说明</w:t>
            </w:r>
          </w:p>
        </w:tc>
        <w:tc>
          <w:tcPr>
            <w:tcW w:w="1232" w:type="dxa"/>
            <w:vMerge w:val="restart"/>
            <w:tcBorders>
              <w:right w:val="single" w:color="auto" w:sz="4" w:space="0"/>
            </w:tcBorders>
            <w:noWrap/>
            <w:vAlign w:val="center"/>
          </w:tcPr>
          <w:p>
            <w:pPr>
              <w:spacing w:line="400" w:lineRule="exact"/>
              <w:jc w:val="center"/>
              <w:rPr>
                <w:rFonts w:ascii="仿宋" w:hAnsi="仿宋" w:eastAsia="仿宋" w:cs="仿宋"/>
              </w:rPr>
            </w:pPr>
            <w:r>
              <w:rPr>
                <w:rFonts w:hint="eastAsia" w:ascii="仿宋" w:hAnsi="仿宋" w:eastAsia="仿宋" w:cs="仿宋"/>
              </w:rPr>
              <w:t>描述说明</w:t>
            </w:r>
          </w:p>
        </w:tc>
        <w:tc>
          <w:tcPr>
            <w:tcW w:w="1162" w:type="dxa"/>
            <w:vMerge w:val="restart"/>
            <w:tcBorders>
              <w:left w:val="single" w:color="auto" w:sz="4" w:space="0"/>
            </w:tcBorders>
            <w:noWrap/>
            <w:vAlign w:val="center"/>
          </w:tcPr>
          <w:p>
            <w:pPr>
              <w:spacing w:line="400" w:lineRule="exact"/>
              <w:jc w:val="center"/>
              <w:rPr>
                <w:rFonts w:ascii="仿宋" w:hAnsi="仿宋" w:eastAsia="仿宋" w:cs="仿宋"/>
              </w:rPr>
            </w:pPr>
            <w:r>
              <w:rPr>
                <w:rFonts w:hint="eastAsia" w:ascii="仿宋" w:hAnsi="仿宋" w:eastAsia="仿宋" w:cs="仿宋"/>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8" w:hRule="atLeast"/>
          <w:jc w:val="center"/>
        </w:trPr>
        <w:tc>
          <w:tcPr>
            <w:tcW w:w="1360" w:type="dxa"/>
            <w:vMerge w:val="continue"/>
            <w:noWrap/>
          </w:tcPr>
          <w:p>
            <w:pPr>
              <w:spacing w:line="400" w:lineRule="exact"/>
              <w:jc w:val="center"/>
              <w:rPr>
                <w:rFonts w:ascii="仿宋" w:hAnsi="仿宋" w:eastAsia="仿宋" w:cs="仿宋"/>
              </w:rPr>
            </w:pPr>
          </w:p>
        </w:tc>
        <w:tc>
          <w:tcPr>
            <w:tcW w:w="2132" w:type="dxa"/>
            <w:tcBorders>
              <w:top w:val="single" w:color="auto" w:sz="4" w:space="0"/>
            </w:tcBorders>
            <w:noWrap/>
          </w:tcPr>
          <w:p>
            <w:pPr>
              <w:spacing w:line="400" w:lineRule="exact"/>
              <w:jc w:val="center"/>
              <w:rPr>
                <w:rFonts w:ascii="仿宋" w:hAnsi="仿宋" w:eastAsia="仿宋" w:cs="仿宋"/>
              </w:rPr>
            </w:pPr>
            <w:r>
              <w:rPr>
                <w:rFonts w:hint="eastAsia" w:ascii="仿宋" w:hAnsi="仿宋" w:eastAsia="仿宋" w:cs="仿宋"/>
              </w:rPr>
              <w:t>采购文件要求</w:t>
            </w:r>
          </w:p>
        </w:tc>
        <w:tc>
          <w:tcPr>
            <w:tcW w:w="1944" w:type="dxa"/>
            <w:tcBorders>
              <w:top w:val="single" w:color="auto" w:sz="4" w:space="0"/>
            </w:tcBorders>
            <w:noWrap/>
          </w:tcPr>
          <w:p>
            <w:pPr>
              <w:spacing w:line="400" w:lineRule="exact"/>
              <w:jc w:val="center"/>
              <w:rPr>
                <w:rFonts w:ascii="仿宋" w:hAnsi="仿宋" w:eastAsia="仿宋" w:cs="仿宋"/>
              </w:rPr>
            </w:pPr>
            <w:r>
              <w:rPr>
                <w:rFonts w:hint="eastAsia" w:ascii="仿宋" w:hAnsi="仿宋" w:eastAsia="仿宋" w:cs="仿宋"/>
              </w:rPr>
              <w:t>响应文件响应情况</w:t>
            </w:r>
          </w:p>
        </w:tc>
        <w:tc>
          <w:tcPr>
            <w:tcW w:w="1236" w:type="dxa"/>
            <w:vMerge w:val="continue"/>
            <w:noWrap/>
            <w:vAlign w:val="center"/>
          </w:tcPr>
          <w:p>
            <w:pPr>
              <w:spacing w:line="400" w:lineRule="exact"/>
              <w:jc w:val="center"/>
              <w:rPr>
                <w:rFonts w:ascii="仿宋" w:hAnsi="仿宋" w:eastAsia="仿宋" w:cs="仿宋"/>
              </w:rPr>
            </w:pPr>
          </w:p>
        </w:tc>
        <w:tc>
          <w:tcPr>
            <w:tcW w:w="1232" w:type="dxa"/>
            <w:vMerge w:val="continue"/>
            <w:tcBorders>
              <w:right w:val="single" w:color="auto" w:sz="4" w:space="0"/>
            </w:tcBorders>
            <w:noWrap/>
            <w:vAlign w:val="center"/>
          </w:tcPr>
          <w:p>
            <w:pPr>
              <w:spacing w:line="400" w:lineRule="exact"/>
              <w:jc w:val="center"/>
              <w:rPr>
                <w:rFonts w:ascii="仿宋" w:hAnsi="仿宋" w:eastAsia="仿宋" w:cs="仿宋"/>
              </w:rPr>
            </w:pPr>
          </w:p>
        </w:tc>
        <w:tc>
          <w:tcPr>
            <w:tcW w:w="1162" w:type="dxa"/>
            <w:vMerge w:val="continue"/>
            <w:tcBorders>
              <w:left w:val="single" w:color="auto" w:sz="4" w:space="0"/>
            </w:tcBorders>
            <w:noWrap/>
            <w:vAlign w:val="center"/>
          </w:tcPr>
          <w:p>
            <w:pPr>
              <w:spacing w:line="400" w:lineRule="exact"/>
              <w:jc w:val="center"/>
              <w:rPr>
                <w:rFonts w:ascii="仿宋" w:hAnsi="仿宋" w:eastAsia="仿宋" w:cs="仿宋"/>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360" w:type="dxa"/>
            <w:noWrap/>
          </w:tcPr>
          <w:p>
            <w:pPr>
              <w:spacing w:line="400" w:lineRule="exact"/>
            </w:pPr>
          </w:p>
        </w:tc>
        <w:tc>
          <w:tcPr>
            <w:tcW w:w="2132" w:type="dxa"/>
            <w:noWrap/>
          </w:tcPr>
          <w:p>
            <w:pPr>
              <w:spacing w:line="400" w:lineRule="exact"/>
              <w:jc w:val="center"/>
            </w:pPr>
          </w:p>
        </w:tc>
        <w:tc>
          <w:tcPr>
            <w:tcW w:w="1944" w:type="dxa"/>
            <w:noWrap/>
          </w:tcPr>
          <w:p>
            <w:pPr>
              <w:spacing w:line="400" w:lineRule="exact"/>
            </w:pPr>
          </w:p>
        </w:tc>
        <w:tc>
          <w:tcPr>
            <w:tcW w:w="1236" w:type="dxa"/>
            <w:noWrap/>
          </w:tcPr>
          <w:p>
            <w:pPr>
              <w:spacing w:line="400" w:lineRule="exact"/>
            </w:pPr>
          </w:p>
        </w:tc>
        <w:tc>
          <w:tcPr>
            <w:tcW w:w="1232" w:type="dxa"/>
            <w:tcBorders>
              <w:right w:val="single" w:color="auto" w:sz="4" w:space="0"/>
            </w:tcBorders>
            <w:noWrap/>
          </w:tcPr>
          <w:p>
            <w:pPr>
              <w:spacing w:line="400" w:lineRule="exact"/>
            </w:pPr>
          </w:p>
        </w:tc>
        <w:tc>
          <w:tcPr>
            <w:tcW w:w="1162" w:type="dxa"/>
            <w:tcBorders>
              <w:left w:val="single" w:color="auto" w:sz="4" w:space="0"/>
            </w:tcBorders>
            <w:noWrap/>
          </w:tcPr>
          <w:p>
            <w:pPr>
              <w:spacing w:line="400" w:lineRule="exac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360" w:type="dxa"/>
            <w:noWrap/>
          </w:tcPr>
          <w:p>
            <w:pPr>
              <w:spacing w:line="400" w:lineRule="exact"/>
            </w:pPr>
          </w:p>
        </w:tc>
        <w:tc>
          <w:tcPr>
            <w:tcW w:w="2132" w:type="dxa"/>
            <w:noWrap/>
          </w:tcPr>
          <w:p>
            <w:pPr>
              <w:spacing w:line="400" w:lineRule="exact"/>
            </w:pPr>
          </w:p>
        </w:tc>
        <w:tc>
          <w:tcPr>
            <w:tcW w:w="1944" w:type="dxa"/>
            <w:noWrap/>
          </w:tcPr>
          <w:p>
            <w:pPr>
              <w:spacing w:line="400" w:lineRule="exact"/>
            </w:pPr>
          </w:p>
        </w:tc>
        <w:tc>
          <w:tcPr>
            <w:tcW w:w="1236" w:type="dxa"/>
            <w:noWrap/>
          </w:tcPr>
          <w:p>
            <w:pPr>
              <w:spacing w:line="400" w:lineRule="exact"/>
            </w:pPr>
          </w:p>
        </w:tc>
        <w:tc>
          <w:tcPr>
            <w:tcW w:w="1232" w:type="dxa"/>
            <w:tcBorders>
              <w:right w:val="single" w:color="auto" w:sz="4" w:space="0"/>
            </w:tcBorders>
            <w:noWrap/>
          </w:tcPr>
          <w:p>
            <w:pPr>
              <w:spacing w:line="400" w:lineRule="exact"/>
            </w:pPr>
          </w:p>
        </w:tc>
        <w:tc>
          <w:tcPr>
            <w:tcW w:w="1162" w:type="dxa"/>
            <w:tcBorders>
              <w:left w:val="single" w:color="auto" w:sz="4" w:space="0"/>
            </w:tcBorders>
            <w:noWrap/>
          </w:tcPr>
          <w:p>
            <w:pPr>
              <w:spacing w:line="400" w:lineRule="exac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360" w:type="dxa"/>
            <w:noWrap/>
          </w:tcPr>
          <w:p>
            <w:pPr>
              <w:spacing w:line="400" w:lineRule="exact"/>
            </w:pPr>
          </w:p>
        </w:tc>
        <w:tc>
          <w:tcPr>
            <w:tcW w:w="2132" w:type="dxa"/>
            <w:noWrap/>
          </w:tcPr>
          <w:p>
            <w:pPr>
              <w:spacing w:line="400" w:lineRule="exact"/>
            </w:pPr>
          </w:p>
        </w:tc>
        <w:tc>
          <w:tcPr>
            <w:tcW w:w="1944" w:type="dxa"/>
            <w:noWrap/>
          </w:tcPr>
          <w:p>
            <w:pPr>
              <w:spacing w:line="400" w:lineRule="exact"/>
            </w:pPr>
          </w:p>
        </w:tc>
        <w:tc>
          <w:tcPr>
            <w:tcW w:w="1236" w:type="dxa"/>
            <w:noWrap/>
          </w:tcPr>
          <w:p>
            <w:pPr>
              <w:spacing w:line="400" w:lineRule="exact"/>
            </w:pPr>
          </w:p>
        </w:tc>
        <w:tc>
          <w:tcPr>
            <w:tcW w:w="1232" w:type="dxa"/>
            <w:tcBorders>
              <w:right w:val="single" w:color="auto" w:sz="4" w:space="0"/>
            </w:tcBorders>
            <w:noWrap/>
          </w:tcPr>
          <w:p>
            <w:pPr>
              <w:spacing w:line="400" w:lineRule="exact"/>
            </w:pPr>
          </w:p>
        </w:tc>
        <w:tc>
          <w:tcPr>
            <w:tcW w:w="1162" w:type="dxa"/>
            <w:tcBorders>
              <w:left w:val="single" w:color="auto" w:sz="4" w:space="0"/>
            </w:tcBorders>
            <w:noWrap/>
          </w:tcPr>
          <w:p>
            <w:pPr>
              <w:spacing w:line="400" w:lineRule="exac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360" w:type="dxa"/>
            <w:noWrap/>
          </w:tcPr>
          <w:p>
            <w:pPr>
              <w:spacing w:line="400" w:lineRule="exact"/>
            </w:pPr>
          </w:p>
        </w:tc>
        <w:tc>
          <w:tcPr>
            <w:tcW w:w="2132" w:type="dxa"/>
            <w:noWrap/>
          </w:tcPr>
          <w:p>
            <w:pPr>
              <w:spacing w:line="400" w:lineRule="exact"/>
            </w:pPr>
          </w:p>
        </w:tc>
        <w:tc>
          <w:tcPr>
            <w:tcW w:w="1944" w:type="dxa"/>
            <w:noWrap/>
          </w:tcPr>
          <w:p>
            <w:pPr>
              <w:spacing w:line="400" w:lineRule="exact"/>
            </w:pPr>
          </w:p>
        </w:tc>
        <w:tc>
          <w:tcPr>
            <w:tcW w:w="1236" w:type="dxa"/>
            <w:noWrap/>
          </w:tcPr>
          <w:p>
            <w:pPr>
              <w:spacing w:line="400" w:lineRule="exact"/>
            </w:pPr>
          </w:p>
        </w:tc>
        <w:tc>
          <w:tcPr>
            <w:tcW w:w="1232" w:type="dxa"/>
            <w:tcBorders>
              <w:right w:val="single" w:color="auto" w:sz="4" w:space="0"/>
            </w:tcBorders>
            <w:noWrap/>
          </w:tcPr>
          <w:p>
            <w:pPr>
              <w:spacing w:line="400" w:lineRule="exact"/>
            </w:pPr>
          </w:p>
        </w:tc>
        <w:tc>
          <w:tcPr>
            <w:tcW w:w="1162" w:type="dxa"/>
            <w:tcBorders>
              <w:left w:val="single" w:color="auto" w:sz="4" w:space="0"/>
            </w:tcBorders>
            <w:noWrap/>
          </w:tcPr>
          <w:p>
            <w:pPr>
              <w:spacing w:line="400" w:lineRule="exac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360" w:type="dxa"/>
            <w:noWrap/>
          </w:tcPr>
          <w:p>
            <w:pPr>
              <w:spacing w:line="400" w:lineRule="exact"/>
            </w:pPr>
          </w:p>
        </w:tc>
        <w:tc>
          <w:tcPr>
            <w:tcW w:w="2132" w:type="dxa"/>
            <w:noWrap/>
          </w:tcPr>
          <w:p>
            <w:pPr>
              <w:spacing w:line="400" w:lineRule="exact"/>
            </w:pPr>
          </w:p>
        </w:tc>
        <w:tc>
          <w:tcPr>
            <w:tcW w:w="1944" w:type="dxa"/>
            <w:noWrap/>
          </w:tcPr>
          <w:p>
            <w:pPr>
              <w:spacing w:line="400" w:lineRule="exact"/>
            </w:pPr>
          </w:p>
        </w:tc>
        <w:tc>
          <w:tcPr>
            <w:tcW w:w="1236" w:type="dxa"/>
            <w:noWrap/>
          </w:tcPr>
          <w:p>
            <w:pPr>
              <w:spacing w:line="400" w:lineRule="exact"/>
            </w:pPr>
          </w:p>
        </w:tc>
        <w:tc>
          <w:tcPr>
            <w:tcW w:w="1232" w:type="dxa"/>
            <w:tcBorders>
              <w:right w:val="single" w:color="auto" w:sz="4" w:space="0"/>
            </w:tcBorders>
            <w:noWrap/>
          </w:tcPr>
          <w:p>
            <w:pPr>
              <w:spacing w:line="400" w:lineRule="exact"/>
            </w:pPr>
          </w:p>
        </w:tc>
        <w:tc>
          <w:tcPr>
            <w:tcW w:w="1162" w:type="dxa"/>
            <w:tcBorders>
              <w:left w:val="single" w:color="auto" w:sz="4" w:space="0"/>
            </w:tcBorders>
            <w:noWrap/>
          </w:tcPr>
          <w:p>
            <w:pPr>
              <w:spacing w:line="400" w:lineRule="exac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360" w:type="dxa"/>
            <w:noWrap/>
          </w:tcPr>
          <w:p>
            <w:pPr>
              <w:spacing w:line="400" w:lineRule="exact"/>
            </w:pPr>
          </w:p>
        </w:tc>
        <w:tc>
          <w:tcPr>
            <w:tcW w:w="2132" w:type="dxa"/>
            <w:noWrap/>
          </w:tcPr>
          <w:p>
            <w:pPr>
              <w:spacing w:line="400" w:lineRule="exact"/>
              <w:rPr>
                <w:bCs/>
              </w:rPr>
            </w:pPr>
          </w:p>
        </w:tc>
        <w:tc>
          <w:tcPr>
            <w:tcW w:w="1944" w:type="dxa"/>
            <w:noWrap/>
          </w:tcPr>
          <w:p>
            <w:pPr>
              <w:spacing w:line="400" w:lineRule="exact"/>
            </w:pPr>
          </w:p>
        </w:tc>
        <w:tc>
          <w:tcPr>
            <w:tcW w:w="1236" w:type="dxa"/>
            <w:noWrap/>
          </w:tcPr>
          <w:p>
            <w:pPr>
              <w:spacing w:line="400" w:lineRule="exact"/>
            </w:pPr>
          </w:p>
        </w:tc>
        <w:tc>
          <w:tcPr>
            <w:tcW w:w="1232" w:type="dxa"/>
            <w:tcBorders>
              <w:right w:val="single" w:color="auto" w:sz="4" w:space="0"/>
            </w:tcBorders>
            <w:noWrap/>
          </w:tcPr>
          <w:p>
            <w:pPr>
              <w:spacing w:line="400" w:lineRule="exact"/>
            </w:pPr>
          </w:p>
        </w:tc>
        <w:tc>
          <w:tcPr>
            <w:tcW w:w="1162" w:type="dxa"/>
            <w:tcBorders>
              <w:left w:val="single" w:color="auto" w:sz="4" w:space="0"/>
            </w:tcBorders>
            <w:noWrap/>
          </w:tcPr>
          <w:p>
            <w:pPr>
              <w:spacing w:line="400" w:lineRule="exac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360" w:type="dxa"/>
            <w:noWrap/>
          </w:tcPr>
          <w:p>
            <w:pPr>
              <w:spacing w:line="400" w:lineRule="exact"/>
            </w:pPr>
          </w:p>
        </w:tc>
        <w:tc>
          <w:tcPr>
            <w:tcW w:w="2132" w:type="dxa"/>
            <w:noWrap/>
          </w:tcPr>
          <w:p>
            <w:pPr>
              <w:spacing w:line="400" w:lineRule="exact"/>
              <w:rPr>
                <w:bCs/>
              </w:rPr>
            </w:pPr>
          </w:p>
        </w:tc>
        <w:tc>
          <w:tcPr>
            <w:tcW w:w="1944" w:type="dxa"/>
            <w:noWrap/>
          </w:tcPr>
          <w:p>
            <w:pPr>
              <w:spacing w:line="400" w:lineRule="exact"/>
            </w:pPr>
          </w:p>
        </w:tc>
        <w:tc>
          <w:tcPr>
            <w:tcW w:w="1236" w:type="dxa"/>
            <w:noWrap/>
          </w:tcPr>
          <w:p>
            <w:pPr>
              <w:spacing w:line="400" w:lineRule="exact"/>
            </w:pPr>
          </w:p>
        </w:tc>
        <w:tc>
          <w:tcPr>
            <w:tcW w:w="1232" w:type="dxa"/>
            <w:tcBorders>
              <w:right w:val="single" w:color="auto" w:sz="4" w:space="0"/>
            </w:tcBorders>
            <w:noWrap/>
          </w:tcPr>
          <w:p>
            <w:pPr>
              <w:spacing w:line="400" w:lineRule="exact"/>
            </w:pPr>
          </w:p>
        </w:tc>
        <w:tc>
          <w:tcPr>
            <w:tcW w:w="1162" w:type="dxa"/>
            <w:tcBorders>
              <w:left w:val="single" w:color="auto" w:sz="4" w:space="0"/>
            </w:tcBorders>
            <w:noWrap/>
          </w:tcPr>
          <w:p>
            <w:pPr>
              <w:spacing w:line="400" w:lineRule="exact"/>
            </w:pPr>
          </w:p>
        </w:tc>
      </w:tr>
    </w:tbl>
    <w:p>
      <w:pPr>
        <w:spacing w:line="480" w:lineRule="auto"/>
        <w:ind w:firstLine="1890" w:firstLineChars="900"/>
        <w:rPr>
          <w:rFonts w:ascii="宋体" w:hAnsi="宋体" w:cs="宋体"/>
        </w:rPr>
      </w:pPr>
    </w:p>
    <w:p>
      <w:pPr>
        <w:spacing w:line="480" w:lineRule="auto"/>
        <w:ind w:firstLine="2200" w:firstLineChars="1000"/>
        <w:rPr>
          <w:rFonts w:ascii="宋体" w:hAnsi="宋体" w:eastAsia="仿宋" w:cs="宋体"/>
          <w:sz w:val="22"/>
          <w:szCs w:val="18"/>
        </w:rPr>
      </w:pPr>
      <w:r>
        <w:rPr>
          <w:rFonts w:hint="eastAsia" w:ascii="宋体" w:hAnsi="宋体" w:eastAsia="仿宋" w:cs="宋体"/>
          <w:sz w:val="22"/>
          <w:szCs w:val="18"/>
        </w:rPr>
        <w:t>供应商单位名称：（盖单位电子印章）</w:t>
      </w:r>
    </w:p>
    <w:p>
      <w:pPr>
        <w:spacing w:line="480" w:lineRule="auto"/>
        <w:ind w:firstLine="1100" w:firstLineChars="500"/>
        <w:rPr>
          <w:rFonts w:ascii="宋体" w:hAnsi="宋体" w:eastAsia="仿宋" w:cs="宋体"/>
          <w:sz w:val="22"/>
          <w:szCs w:val="18"/>
        </w:rPr>
      </w:pPr>
      <w:r>
        <w:rPr>
          <w:rFonts w:hint="eastAsia" w:ascii="宋体" w:hAnsi="宋体" w:eastAsia="仿宋" w:cs="宋体"/>
          <w:sz w:val="22"/>
          <w:szCs w:val="18"/>
        </w:rPr>
        <w:t>法定代表人或其委托代理人：（签字或加盖电子签名章）</w:t>
      </w:r>
    </w:p>
    <w:p>
      <w:pPr>
        <w:spacing w:line="440" w:lineRule="exact"/>
        <w:ind w:firstLine="4620" w:firstLineChars="2100"/>
        <w:rPr>
          <w:rFonts w:ascii="宋体" w:hAnsi="宋体" w:eastAsia="仿宋" w:cs="宋体"/>
          <w:sz w:val="22"/>
          <w:szCs w:val="20"/>
        </w:rPr>
      </w:pPr>
      <w:r>
        <w:rPr>
          <w:rFonts w:hint="eastAsia" w:ascii="宋体" w:hAnsi="宋体" w:eastAsia="仿宋" w:cs="宋体"/>
          <w:sz w:val="22"/>
          <w:szCs w:val="20"/>
        </w:rPr>
        <w:t>日期：年月日</w:t>
      </w:r>
    </w:p>
    <w:p>
      <w:pPr>
        <w:rPr>
          <w:rFonts w:eastAsia="仿宋"/>
          <w:sz w:val="22"/>
          <w:szCs w:val="18"/>
        </w:rPr>
      </w:pPr>
    </w:p>
    <w:p>
      <w:pPr>
        <w:tabs>
          <w:tab w:val="left" w:pos="1200"/>
        </w:tabs>
        <w:snapToGrid w:val="0"/>
        <w:spacing w:after="120" w:afterLines="50"/>
        <w:ind w:left="870" w:leftChars="203" w:hanging="444" w:hangingChars="202"/>
        <w:rPr>
          <w:rFonts w:ascii="仿宋" w:hAnsi="仿宋" w:eastAsia="仿宋" w:cs="仿宋"/>
          <w:sz w:val="22"/>
          <w:szCs w:val="18"/>
        </w:rPr>
      </w:pPr>
      <w:r>
        <w:rPr>
          <w:rFonts w:hint="eastAsia" w:ascii="仿宋" w:hAnsi="仿宋" w:eastAsia="仿宋" w:cs="仿宋"/>
          <w:sz w:val="22"/>
          <w:szCs w:val="18"/>
        </w:rPr>
        <w:t>注：不满足下列要求的，技术参数分可按评分表规定得最低得分</w:t>
      </w:r>
    </w:p>
    <w:p>
      <w:pPr>
        <w:tabs>
          <w:tab w:val="left" w:pos="1200"/>
        </w:tabs>
        <w:snapToGrid w:val="0"/>
        <w:spacing w:after="120" w:afterLines="50"/>
        <w:ind w:left="870" w:leftChars="203" w:hanging="444" w:hangingChars="202"/>
        <w:rPr>
          <w:rFonts w:ascii="仿宋" w:hAnsi="仿宋" w:eastAsia="仿宋" w:cs="仿宋"/>
          <w:sz w:val="22"/>
          <w:szCs w:val="18"/>
        </w:rPr>
      </w:pPr>
      <w:r>
        <w:rPr>
          <w:rFonts w:hint="eastAsia" w:ascii="仿宋" w:hAnsi="仿宋" w:eastAsia="仿宋" w:cs="仿宋"/>
          <w:sz w:val="22"/>
          <w:szCs w:val="18"/>
        </w:rPr>
        <w:t>1、表中“</w:t>
      </w:r>
      <w:r>
        <w:rPr>
          <w:rFonts w:hint="eastAsia" w:ascii="仿宋" w:hAnsi="仿宋" w:eastAsia="仿宋" w:cs="仿宋"/>
          <w:sz w:val="22"/>
          <w:szCs w:val="18"/>
          <w:lang w:eastAsia="zh-CN"/>
        </w:rPr>
        <w:t>发包人要求</w:t>
      </w:r>
      <w:r>
        <w:rPr>
          <w:rFonts w:hint="eastAsia" w:ascii="仿宋" w:hAnsi="仿宋" w:eastAsia="仿宋" w:cs="仿宋"/>
          <w:sz w:val="22"/>
          <w:szCs w:val="18"/>
        </w:rPr>
        <w:t>”采购文件一栏需严格按采购文件技术参数的顺序及内容逐项填写，不得私自修改技术参数。</w:t>
      </w:r>
    </w:p>
    <w:p>
      <w:pPr>
        <w:tabs>
          <w:tab w:val="left" w:pos="1200"/>
        </w:tabs>
        <w:snapToGrid w:val="0"/>
        <w:spacing w:after="120" w:afterLines="50"/>
        <w:ind w:left="870" w:leftChars="203" w:hanging="444" w:hangingChars="202"/>
        <w:rPr>
          <w:rFonts w:ascii="仿宋" w:hAnsi="仿宋" w:eastAsia="仿宋" w:cs="仿宋"/>
          <w:sz w:val="22"/>
          <w:szCs w:val="18"/>
        </w:rPr>
      </w:pPr>
      <w:r>
        <w:rPr>
          <w:rFonts w:hint="eastAsia" w:ascii="仿宋" w:hAnsi="仿宋" w:eastAsia="仿宋" w:cs="仿宋"/>
          <w:sz w:val="22"/>
          <w:szCs w:val="18"/>
        </w:rPr>
        <w:t>2、表中“</w:t>
      </w:r>
      <w:r>
        <w:rPr>
          <w:rFonts w:hint="eastAsia" w:ascii="仿宋" w:hAnsi="仿宋" w:eastAsia="仿宋" w:cs="仿宋"/>
          <w:sz w:val="22"/>
          <w:szCs w:val="18"/>
          <w:lang w:eastAsia="zh-CN"/>
        </w:rPr>
        <w:t>发包人要求</w:t>
      </w:r>
      <w:r>
        <w:rPr>
          <w:rFonts w:hint="eastAsia" w:ascii="仿宋" w:hAnsi="仿宋" w:eastAsia="仿宋" w:cs="仿宋"/>
          <w:sz w:val="22"/>
          <w:szCs w:val="18"/>
        </w:rPr>
        <w:t>”响应文件一栏供应商须根据所投产品此条款的实际技术参数，需逐项如实填写。</w:t>
      </w:r>
    </w:p>
    <w:p>
      <w:pPr>
        <w:tabs>
          <w:tab w:val="left" w:pos="1200"/>
        </w:tabs>
        <w:snapToGrid w:val="0"/>
        <w:spacing w:after="120" w:afterLines="50"/>
        <w:ind w:left="870" w:leftChars="203" w:hanging="444" w:hangingChars="202"/>
        <w:rPr>
          <w:rFonts w:ascii="仿宋" w:hAnsi="仿宋" w:eastAsia="仿宋" w:cs="仿宋"/>
          <w:sz w:val="22"/>
          <w:szCs w:val="18"/>
        </w:rPr>
      </w:pPr>
      <w:r>
        <w:rPr>
          <w:rFonts w:hint="eastAsia" w:ascii="仿宋" w:hAnsi="仿宋" w:eastAsia="仿宋" w:cs="仿宋"/>
          <w:sz w:val="22"/>
          <w:szCs w:val="18"/>
        </w:rPr>
        <w:t>3、表中“偏差说明”一栏中供应商对所投产品的“招标技术参数”与“投标技术参数”进行对比后填写偏差说明。（如：无偏差请填写“符合”的字样；正偏差请填写“正偏差”字样并在“描述说明”一栏对正偏差进行具体描述；负偏差请填写“负偏差”字样并并在“描述说明”一栏对负偏差进行具体描述</w:t>
      </w:r>
    </w:p>
    <w:p>
      <w:pPr>
        <w:tabs>
          <w:tab w:val="left" w:pos="1200"/>
        </w:tabs>
        <w:snapToGrid w:val="0"/>
        <w:spacing w:after="120" w:afterLines="50"/>
        <w:ind w:left="870" w:leftChars="203" w:hanging="444" w:hangingChars="202"/>
        <w:rPr>
          <w:rFonts w:ascii="仿宋" w:hAnsi="仿宋" w:eastAsia="仿宋" w:cs="仿宋"/>
          <w:sz w:val="22"/>
          <w:szCs w:val="18"/>
        </w:rPr>
      </w:pPr>
      <w:r>
        <w:rPr>
          <w:rFonts w:hint="eastAsia" w:ascii="仿宋" w:hAnsi="仿宋" w:eastAsia="仿宋" w:cs="仿宋"/>
          <w:sz w:val="22"/>
          <w:szCs w:val="18"/>
        </w:rPr>
        <w:t>4、表中“备注”一栏中对于加*参数，供应商根据“偏离说明”中填写“符合、正偏离及负偏离”而明确填写此条款响应的出处。如：供应商对某一条技术参数在“偏离说明”中填写的是“符合”时，须在“备注”一栏中填写“注册检验报告（技术白皮书或彩页）第页。”。</w:t>
      </w:r>
    </w:p>
    <w:p>
      <w:pPr>
        <w:spacing w:line="360" w:lineRule="auto"/>
        <w:jc w:val="center"/>
        <w:outlineLvl w:val="1"/>
        <w:rPr>
          <w:rFonts w:ascii="仿宋" w:hAnsi="仿宋" w:eastAsia="仿宋" w:cs="仿宋"/>
          <w:b/>
          <w:sz w:val="28"/>
        </w:rPr>
      </w:pPr>
      <w:bookmarkStart w:id="97" w:name="_Toc1814"/>
    </w:p>
    <w:p>
      <w:pPr>
        <w:spacing w:line="360" w:lineRule="auto"/>
        <w:jc w:val="center"/>
        <w:outlineLvl w:val="1"/>
        <w:rPr>
          <w:rFonts w:ascii="仿宋" w:hAnsi="仿宋" w:eastAsia="仿宋" w:cs="仿宋"/>
          <w:b/>
          <w:sz w:val="28"/>
        </w:rPr>
      </w:pPr>
      <w:r>
        <w:rPr>
          <w:rFonts w:hint="eastAsia" w:ascii="仿宋" w:hAnsi="仿宋" w:eastAsia="仿宋" w:cs="仿宋"/>
          <w:b/>
          <w:sz w:val="28"/>
        </w:rPr>
        <w:t>技术支持材料</w:t>
      </w:r>
    </w:p>
    <w:p>
      <w:pPr>
        <w:pStyle w:val="28"/>
        <w:ind w:firstLine="1760" w:firstLineChars="800"/>
        <w:rPr>
          <w:rFonts w:ascii="仿宋" w:hAnsi="仿宋" w:eastAsia="仿宋" w:cs="仿宋"/>
          <w:sz w:val="22"/>
          <w:szCs w:val="22"/>
        </w:rPr>
      </w:pPr>
      <w:r>
        <w:rPr>
          <w:rFonts w:hint="eastAsia" w:ascii="仿宋" w:hAnsi="仿宋" w:eastAsia="仿宋" w:cs="仿宋"/>
          <w:sz w:val="22"/>
          <w:szCs w:val="22"/>
        </w:rPr>
        <w:t>供应商按照技术要求提供响应技术支持材料</w:t>
      </w:r>
    </w:p>
    <w:p>
      <w:pPr>
        <w:spacing w:line="360" w:lineRule="auto"/>
        <w:jc w:val="center"/>
        <w:outlineLvl w:val="1"/>
        <w:rPr>
          <w:rFonts w:ascii="仿宋" w:hAnsi="仿宋" w:eastAsia="仿宋" w:cs="仿宋"/>
          <w:b/>
          <w:sz w:val="28"/>
        </w:rPr>
      </w:pPr>
    </w:p>
    <w:p>
      <w:pPr>
        <w:rPr>
          <w:rFonts w:hint="eastAsia" w:ascii="仿宋" w:hAnsi="仿宋" w:eastAsia="仿宋" w:cs="仿宋"/>
          <w:b/>
          <w:bCs/>
          <w:sz w:val="30"/>
        </w:rPr>
      </w:pPr>
      <w:r>
        <w:rPr>
          <w:rFonts w:hint="eastAsia" w:ascii="仿宋" w:hAnsi="仿宋" w:eastAsia="仿宋" w:cs="仿宋"/>
          <w:b/>
          <w:bCs/>
          <w:sz w:val="30"/>
        </w:rPr>
        <w:br w:type="page"/>
      </w:r>
    </w:p>
    <w:p>
      <w:pPr>
        <w:jc w:val="center"/>
        <w:rPr>
          <w:rFonts w:hint="eastAsia" w:ascii="仿宋" w:hAnsi="仿宋" w:eastAsia="仿宋" w:cs="仿宋"/>
          <w:b/>
          <w:bCs/>
          <w:sz w:val="30"/>
        </w:rPr>
      </w:pPr>
      <w:r>
        <w:rPr>
          <w:rFonts w:hint="eastAsia" w:ascii="仿宋" w:hAnsi="仿宋" w:eastAsia="仿宋" w:cs="仿宋"/>
          <w:b/>
          <w:bCs/>
          <w:sz w:val="30"/>
        </w:rPr>
        <w:t>五、</w:t>
      </w:r>
      <w:r>
        <w:rPr>
          <w:rFonts w:hint="eastAsia" w:ascii="仿宋" w:hAnsi="仿宋" w:eastAsia="仿宋" w:cs="仿宋"/>
          <w:b/>
          <w:bCs/>
          <w:sz w:val="30"/>
          <w:lang w:val="en-US" w:eastAsia="zh-CN"/>
        </w:rPr>
        <w:t>项目实施方案及售后服务计划</w:t>
      </w:r>
      <w:r>
        <w:rPr>
          <w:rFonts w:hint="eastAsia" w:ascii="仿宋" w:hAnsi="仿宋" w:eastAsia="仿宋" w:cs="仿宋"/>
          <w:b/>
          <w:bCs/>
          <w:sz w:val="30"/>
        </w:rPr>
        <w:br w:type="page"/>
      </w:r>
    </w:p>
    <w:p>
      <w:pPr>
        <w:ind w:left="420" w:leftChars="200"/>
        <w:jc w:val="center"/>
        <w:outlineLvl w:val="1"/>
        <w:rPr>
          <w:rFonts w:ascii="仿宋" w:hAnsi="仿宋" w:eastAsia="仿宋" w:cs="仿宋"/>
          <w:b/>
          <w:bCs/>
          <w:sz w:val="30"/>
        </w:rPr>
      </w:pPr>
      <w:r>
        <w:rPr>
          <w:rFonts w:hint="eastAsia" w:ascii="仿宋" w:hAnsi="仿宋" w:eastAsia="仿宋" w:cs="仿宋"/>
          <w:b/>
          <w:bCs/>
          <w:sz w:val="30"/>
          <w:lang w:val="en-US" w:eastAsia="zh-CN"/>
        </w:rPr>
        <w:t>六</w:t>
      </w:r>
      <w:r>
        <w:rPr>
          <w:rFonts w:hint="eastAsia" w:ascii="仿宋" w:hAnsi="仿宋" w:eastAsia="仿宋" w:cs="仿宋"/>
          <w:b/>
          <w:bCs/>
          <w:sz w:val="30"/>
        </w:rPr>
        <w:t>、</w:t>
      </w:r>
      <w:bookmarkEnd w:id="97"/>
      <w:r>
        <w:rPr>
          <w:rFonts w:hint="eastAsia" w:ascii="仿宋" w:hAnsi="仿宋" w:eastAsia="仿宋" w:cs="仿宋"/>
          <w:b/>
          <w:bCs/>
          <w:sz w:val="30"/>
        </w:rPr>
        <w:t>供应商资格评审资料</w:t>
      </w:r>
    </w:p>
    <w:p>
      <w:pPr>
        <w:pStyle w:val="18"/>
        <w:rPr>
          <w:rFonts w:ascii="仿宋" w:hAnsi="仿宋" w:eastAsia="仿宋" w:cs="仿宋"/>
        </w:rPr>
      </w:pPr>
    </w:p>
    <w:p>
      <w:pPr>
        <w:pStyle w:val="18"/>
        <w:ind w:firstLine="420"/>
        <w:rPr>
          <w:rFonts w:ascii="仿宋" w:hAnsi="仿宋" w:eastAsia="仿宋" w:cs="仿宋"/>
          <w:b w:val="0"/>
          <w:bCs/>
          <w:sz w:val="21"/>
          <w:szCs w:val="21"/>
        </w:rPr>
      </w:pPr>
      <w:r>
        <w:rPr>
          <w:rFonts w:hint="eastAsia" w:ascii="仿宋" w:hAnsi="仿宋" w:eastAsia="仿宋" w:cs="仿宋"/>
          <w:b w:val="0"/>
          <w:bCs/>
          <w:sz w:val="21"/>
          <w:szCs w:val="21"/>
        </w:rPr>
        <w:t>（一）供应商基本情况表</w:t>
      </w:r>
    </w:p>
    <w:tbl>
      <w:tblPr>
        <w:tblStyle w:val="30"/>
        <w:tblW w:w="0" w:type="auto"/>
        <w:tblInd w:w="3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5"/>
        <w:gridCol w:w="1005"/>
        <w:gridCol w:w="1270"/>
        <w:gridCol w:w="1120"/>
        <w:gridCol w:w="1306"/>
        <w:gridCol w:w="2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725"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仿宋" w:hAnsi="仿宋" w:eastAsia="仿宋" w:cs="仿宋"/>
                <w:szCs w:val="21"/>
              </w:rPr>
            </w:pPr>
            <w:r>
              <w:rPr>
                <w:rFonts w:hint="eastAsia" w:ascii="仿宋" w:hAnsi="仿宋" w:eastAsia="仿宋" w:cs="仿宋"/>
                <w:szCs w:val="21"/>
              </w:rPr>
              <w:t>供应商名称</w:t>
            </w:r>
          </w:p>
        </w:tc>
        <w:tc>
          <w:tcPr>
            <w:tcW w:w="6942" w:type="dxa"/>
            <w:gridSpan w:val="5"/>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725"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仿宋" w:hAnsi="仿宋" w:eastAsia="仿宋" w:cs="仿宋"/>
                <w:szCs w:val="21"/>
              </w:rPr>
            </w:pPr>
            <w:r>
              <w:rPr>
                <w:rFonts w:hint="eastAsia" w:ascii="仿宋" w:hAnsi="仿宋" w:eastAsia="仿宋" w:cs="仿宋"/>
                <w:szCs w:val="21"/>
              </w:rPr>
              <w:t>注册地址</w:t>
            </w:r>
          </w:p>
        </w:tc>
        <w:tc>
          <w:tcPr>
            <w:tcW w:w="3395" w:type="dxa"/>
            <w:gridSpan w:val="3"/>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仿宋" w:hAnsi="仿宋" w:eastAsia="仿宋" w:cs="仿宋"/>
                <w:szCs w:val="21"/>
              </w:rPr>
            </w:pPr>
          </w:p>
        </w:tc>
        <w:tc>
          <w:tcPr>
            <w:tcW w:w="1306"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仿宋" w:hAnsi="仿宋" w:eastAsia="仿宋" w:cs="仿宋"/>
                <w:szCs w:val="21"/>
              </w:rPr>
            </w:pPr>
            <w:r>
              <w:rPr>
                <w:rFonts w:hint="eastAsia" w:ascii="仿宋" w:hAnsi="仿宋" w:eastAsia="仿宋" w:cs="仿宋"/>
                <w:szCs w:val="21"/>
              </w:rPr>
              <w:t>邮政编码</w:t>
            </w:r>
          </w:p>
        </w:tc>
        <w:tc>
          <w:tcPr>
            <w:tcW w:w="2241"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725" w:type="dxa"/>
            <w:vMerge w:val="restar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仿宋" w:hAnsi="仿宋" w:eastAsia="仿宋" w:cs="仿宋"/>
                <w:szCs w:val="21"/>
              </w:rPr>
            </w:pPr>
            <w:r>
              <w:rPr>
                <w:rFonts w:hint="eastAsia" w:ascii="仿宋" w:hAnsi="仿宋" w:eastAsia="仿宋" w:cs="仿宋"/>
                <w:szCs w:val="21"/>
              </w:rPr>
              <w:t>联系方式</w:t>
            </w:r>
          </w:p>
        </w:tc>
        <w:tc>
          <w:tcPr>
            <w:tcW w:w="1005"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仿宋" w:hAnsi="仿宋" w:eastAsia="仿宋" w:cs="仿宋"/>
                <w:szCs w:val="21"/>
              </w:rPr>
            </w:pPr>
            <w:r>
              <w:rPr>
                <w:rFonts w:hint="eastAsia" w:ascii="仿宋" w:hAnsi="仿宋" w:eastAsia="仿宋" w:cs="仿宋"/>
                <w:szCs w:val="21"/>
              </w:rPr>
              <w:t>联系人</w:t>
            </w:r>
          </w:p>
        </w:tc>
        <w:tc>
          <w:tcPr>
            <w:tcW w:w="2390" w:type="dxa"/>
            <w:gridSpan w:val="2"/>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仿宋" w:hAnsi="仿宋" w:eastAsia="仿宋" w:cs="仿宋"/>
                <w:szCs w:val="21"/>
              </w:rPr>
            </w:pPr>
          </w:p>
        </w:tc>
        <w:tc>
          <w:tcPr>
            <w:tcW w:w="1306"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仿宋" w:hAnsi="仿宋" w:eastAsia="仿宋" w:cs="仿宋"/>
                <w:szCs w:val="21"/>
              </w:rPr>
            </w:pPr>
            <w:r>
              <w:rPr>
                <w:rFonts w:hint="eastAsia" w:ascii="仿宋" w:hAnsi="仿宋" w:eastAsia="仿宋" w:cs="仿宋"/>
                <w:szCs w:val="21"/>
              </w:rPr>
              <w:t>电话</w:t>
            </w:r>
          </w:p>
        </w:tc>
        <w:tc>
          <w:tcPr>
            <w:tcW w:w="2241"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725" w:type="dxa"/>
            <w:vMerge w:val="continue"/>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left"/>
              <w:rPr>
                <w:rFonts w:ascii="仿宋" w:hAnsi="仿宋" w:eastAsia="仿宋" w:cs="仿宋"/>
                <w:szCs w:val="21"/>
              </w:rPr>
            </w:pPr>
          </w:p>
        </w:tc>
        <w:tc>
          <w:tcPr>
            <w:tcW w:w="1005"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仿宋" w:hAnsi="仿宋" w:eastAsia="仿宋" w:cs="仿宋"/>
                <w:szCs w:val="21"/>
              </w:rPr>
            </w:pPr>
            <w:r>
              <w:rPr>
                <w:rFonts w:hint="eastAsia" w:ascii="仿宋" w:hAnsi="仿宋" w:eastAsia="仿宋" w:cs="仿宋"/>
                <w:szCs w:val="21"/>
              </w:rPr>
              <w:t>传真</w:t>
            </w:r>
          </w:p>
        </w:tc>
        <w:tc>
          <w:tcPr>
            <w:tcW w:w="2390" w:type="dxa"/>
            <w:gridSpan w:val="2"/>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仿宋" w:hAnsi="仿宋" w:eastAsia="仿宋" w:cs="仿宋"/>
                <w:szCs w:val="21"/>
              </w:rPr>
            </w:pPr>
          </w:p>
        </w:tc>
        <w:tc>
          <w:tcPr>
            <w:tcW w:w="1306"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仿宋" w:hAnsi="仿宋" w:eastAsia="仿宋" w:cs="仿宋"/>
                <w:szCs w:val="21"/>
              </w:rPr>
            </w:pPr>
            <w:r>
              <w:rPr>
                <w:rFonts w:hint="eastAsia" w:ascii="仿宋" w:hAnsi="仿宋" w:eastAsia="仿宋" w:cs="仿宋"/>
                <w:szCs w:val="21"/>
              </w:rPr>
              <w:t>网址</w:t>
            </w:r>
          </w:p>
        </w:tc>
        <w:tc>
          <w:tcPr>
            <w:tcW w:w="2241"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725"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仿宋" w:hAnsi="仿宋" w:eastAsia="仿宋" w:cs="仿宋"/>
                <w:szCs w:val="21"/>
              </w:rPr>
            </w:pPr>
            <w:r>
              <w:rPr>
                <w:rFonts w:hint="eastAsia" w:ascii="仿宋" w:hAnsi="仿宋" w:eastAsia="仿宋" w:cs="仿宋"/>
                <w:szCs w:val="21"/>
              </w:rPr>
              <w:t>组织结构</w:t>
            </w:r>
          </w:p>
        </w:tc>
        <w:tc>
          <w:tcPr>
            <w:tcW w:w="6942" w:type="dxa"/>
            <w:gridSpan w:val="5"/>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725"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仿宋" w:hAnsi="仿宋" w:eastAsia="仿宋" w:cs="仿宋"/>
                <w:szCs w:val="21"/>
              </w:rPr>
            </w:pPr>
            <w:r>
              <w:rPr>
                <w:rFonts w:hint="eastAsia" w:ascii="仿宋" w:hAnsi="仿宋" w:eastAsia="仿宋" w:cs="仿宋"/>
                <w:szCs w:val="21"/>
              </w:rPr>
              <w:t>法定代表人</w:t>
            </w:r>
          </w:p>
        </w:tc>
        <w:tc>
          <w:tcPr>
            <w:tcW w:w="1005"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仿宋" w:hAnsi="仿宋" w:eastAsia="仿宋" w:cs="仿宋"/>
                <w:szCs w:val="21"/>
              </w:rPr>
            </w:pPr>
            <w:r>
              <w:rPr>
                <w:rFonts w:hint="eastAsia" w:ascii="仿宋" w:hAnsi="仿宋" w:eastAsia="仿宋" w:cs="仿宋"/>
                <w:szCs w:val="21"/>
              </w:rPr>
              <w:t>姓名</w:t>
            </w:r>
          </w:p>
        </w:tc>
        <w:tc>
          <w:tcPr>
            <w:tcW w:w="1270"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仿宋" w:hAnsi="仿宋" w:eastAsia="仿宋" w:cs="仿宋"/>
                <w:szCs w:val="21"/>
              </w:rPr>
            </w:pPr>
          </w:p>
        </w:tc>
        <w:tc>
          <w:tcPr>
            <w:tcW w:w="1120"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仿宋" w:hAnsi="仿宋" w:eastAsia="仿宋" w:cs="仿宋"/>
                <w:szCs w:val="21"/>
              </w:rPr>
            </w:pPr>
            <w:r>
              <w:rPr>
                <w:rFonts w:hint="eastAsia" w:ascii="仿宋" w:hAnsi="仿宋" w:eastAsia="仿宋" w:cs="仿宋"/>
                <w:szCs w:val="21"/>
              </w:rPr>
              <w:t>电话</w:t>
            </w:r>
          </w:p>
        </w:tc>
        <w:tc>
          <w:tcPr>
            <w:tcW w:w="3547" w:type="dxa"/>
            <w:gridSpan w:val="2"/>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725"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仿宋" w:hAnsi="仿宋" w:eastAsia="仿宋" w:cs="仿宋"/>
                <w:szCs w:val="21"/>
              </w:rPr>
            </w:pPr>
            <w:r>
              <w:rPr>
                <w:rFonts w:hint="eastAsia" w:ascii="仿宋" w:hAnsi="仿宋" w:eastAsia="仿宋" w:cs="仿宋"/>
                <w:szCs w:val="21"/>
              </w:rPr>
              <w:t>成立时间</w:t>
            </w:r>
          </w:p>
        </w:tc>
        <w:tc>
          <w:tcPr>
            <w:tcW w:w="6942" w:type="dxa"/>
            <w:gridSpan w:val="5"/>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1725"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仿宋" w:hAnsi="仿宋" w:eastAsia="仿宋" w:cs="仿宋"/>
                <w:szCs w:val="21"/>
              </w:rPr>
            </w:pPr>
            <w:r>
              <w:rPr>
                <w:rFonts w:hint="eastAsia" w:ascii="仿宋" w:hAnsi="仿宋" w:eastAsia="仿宋" w:cs="仿宋"/>
                <w:szCs w:val="21"/>
              </w:rPr>
              <w:t>营业执照号</w:t>
            </w:r>
          </w:p>
        </w:tc>
        <w:tc>
          <w:tcPr>
            <w:tcW w:w="6942" w:type="dxa"/>
            <w:gridSpan w:val="5"/>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725"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仿宋" w:hAnsi="仿宋" w:eastAsia="仿宋" w:cs="仿宋"/>
                <w:szCs w:val="21"/>
              </w:rPr>
            </w:pPr>
            <w:r>
              <w:rPr>
                <w:rFonts w:hint="eastAsia" w:ascii="仿宋" w:hAnsi="仿宋" w:eastAsia="仿宋" w:cs="仿宋"/>
                <w:szCs w:val="21"/>
              </w:rPr>
              <w:t>注册资金</w:t>
            </w:r>
          </w:p>
        </w:tc>
        <w:tc>
          <w:tcPr>
            <w:tcW w:w="6942" w:type="dxa"/>
            <w:gridSpan w:val="5"/>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725"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仿宋" w:hAnsi="仿宋" w:eastAsia="仿宋" w:cs="仿宋"/>
                <w:szCs w:val="21"/>
              </w:rPr>
            </w:pPr>
            <w:r>
              <w:rPr>
                <w:rFonts w:hint="eastAsia" w:ascii="仿宋" w:hAnsi="仿宋" w:eastAsia="仿宋" w:cs="仿宋"/>
                <w:szCs w:val="21"/>
              </w:rPr>
              <w:t>开户银行及账号</w:t>
            </w:r>
          </w:p>
        </w:tc>
        <w:tc>
          <w:tcPr>
            <w:tcW w:w="6942" w:type="dxa"/>
            <w:gridSpan w:val="5"/>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725"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hint="default" w:ascii="仿宋" w:hAnsi="仿宋" w:eastAsia="仿宋" w:cs="仿宋"/>
                <w:szCs w:val="21"/>
                <w:lang w:val="en-US" w:eastAsia="zh-CN"/>
              </w:rPr>
            </w:pPr>
            <w:r>
              <w:rPr>
                <w:rFonts w:hint="eastAsia" w:ascii="仿宋" w:hAnsi="仿宋" w:eastAsia="仿宋" w:cs="仿宋"/>
                <w:szCs w:val="21"/>
                <w:lang w:val="en-US" w:eastAsia="zh-CN"/>
              </w:rPr>
              <w:t>地址电话</w:t>
            </w:r>
          </w:p>
        </w:tc>
        <w:tc>
          <w:tcPr>
            <w:tcW w:w="6942" w:type="dxa"/>
            <w:gridSpan w:val="5"/>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1725"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仿宋" w:hAnsi="仿宋" w:eastAsia="仿宋" w:cs="仿宋"/>
                <w:szCs w:val="21"/>
              </w:rPr>
            </w:pPr>
            <w:r>
              <w:rPr>
                <w:rFonts w:hint="eastAsia" w:ascii="仿宋" w:hAnsi="仿宋" w:eastAsia="仿宋" w:cs="仿宋"/>
                <w:szCs w:val="21"/>
              </w:rPr>
              <w:t>经营范围备注</w:t>
            </w:r>
          </w:p>
        </w:tc>
        <w:tc>
          <w:tcPr>
            <w:tcW w:w="6942" w:type="dxa"/>
            <w:gridSpan w:val="5"/>
            <w:tcBorders>
              <w:top w:val="single" w:color="auto" w:sz="4" w:space="0"/>
              <w:left w:val="single" w:color="auto" w:sz="4" w:space="0"/>
              <w:bottom w:val="single" w:color="auto" w:sz="4" w:space="0"/>
              <w:right w:val="single" w:color="auto" w:sz="4" w:space="0"/>
            </w:tcBorders>
            <w:noWrap/>
            <w:vAlign w:val="center"/>
          </w:tcPr>
          <w:p>
            <w:pPr>
              <w:spacing w:line="360" w:lineRule="auto"/>
              <w:ind w:firstLine="420" w:firstLineChars="200"/>
              <w:jc w:val="center"/>
              <w:rPr>
                <w:rFonts w:ascii="仿宋" w:hAnsi="仿宋" w:eastAsia="仿宋" w:cs="仿宋"/>
                <w:szCs w:val="21"/>
              </w:rPr>
            </w:pPr>
          </w:p>
        </w:tc>
      </w:tr>
    </w:tbl>
    <w:p>
      <w:pPr>
        <w:spacing w:line="360" w:lineRule="auto"/>
        <w:rPr>
          <w:rFonts w:ascii="仿宋" w:hAnsi="仿宋" w:eastAsia="仿宋" w:cs="仿宋"/>
          <w:szCs w:val="21"/>
        </w:rPr>
      </w:pPr>
    </w:p>
    <w:p>
      <w:pPr>
        <w:rPr>
          <w:rFonts w:ascii="仿宋" w:hAnsi="仿宋" w:eastAsia="仿宋" w:cs="仿宋"/>
          <w:szCs w:val="21"/>
        </w:rPr>
      </w:pPr>
      <w:bookmarkStart w:id="98" w:name="_Toc144974881"/>
      <w:bookmarkStart w:id="99" w:name="_Toc152045813"/>
      <w:bookmarkStart w:id="100" w:name="_Toc152042602"/>
      <w:bookmarkStart w:id="101" w:name="_Toc179632833"/>
      <w:bookmarkStart w:id="102" w:name="_Toc485746394"/>
      <w:bookmarkStart w:id="103" w:name="_Toc31762"/>
    </w:p>
    <w:p>
      <w:pPr>
        <w:rPr>
          <w:rFonts w:ascii="仿宋" w:hAnsi="仿宋" w:eastAsia="仿宋" w:cs="仿宋"/>
          <w:szCs w:val="21"/>
        </w:rPr>
      </w:pPr>
    </w:p>
    <w:p>
      <w:pPr>
        <w:rPr>
          <w:rFonts w:ascii="仿宋" w:hAnsi="仿宋" w:eastAsia="仿宋" w:cs="仿宋"/>
          <w:szCs w:val="21"/>
        </w:rPr>
      </w:pPr>
    </w:p>
    <w:p>
      <w:pPr>
        <w:spacing w:line="480" w:lineRule="auto"/>
        <w:ind w:firstLine="1890" w:firstLineChars="900"/>
        <w:rPr>
          <w:rFonts w:ascii="仿宋" w:hAnsi="仿宋" w:eastAsia="仿宋" w:cs="仿宋"/>
          <w:szCs w:val="21"/>
        </w:rPr>
      </w:pPr>
    </w:p>
    <w:p>
      <w:pPr>
        <w:spacing w:line="480" w:lineRule="auto"/>
        <w:ind w:firstLine="1890" w:firstLineChars="900"/>
        <w:rPr>
          <w:rFonts w:ascii="仿宋" w:hAnsi="仿宋" w:eastAsia="仿宋" w:cs="仿宋"/>
          <w:szCs w:val="21"/>
        </w:rPr>
      </w:pPr>
      <w:r>
        <w:rPr>
          <w:rFonts w:hint="eastAsia" w:ascii="仿宋" w:hAnsi="仿宋" w:eastAsia="仿宋" w:cs="仿宋"/>
          <w:szCs w:val="21"/>
        </w:rPr>
        <w:t>供应商单位名称：（盖单位电子印章）</w:t>
      </w:r>
    </w:p>
    <w:p>
      <w:pPr>
        <w:spacing w:line="480" w:lineRule="auto"/>
        <w:ind w:firstLine="840" w:firstLineChars="400"/>
        <w:rPr>
          <w:rFonts w:ascii="仿宋" w:hAnsi="仿宋" w:eastAsia="仿宋" w:cs="仿宋"/>
          <w:szCs w:val="21"/>
        </w:rPr>
      </w:pPr>
      <w:r>
        <w:rPr>
          <w:rFonts w:hint="eastAsia" w:ascii="仿宋" w:hAnsi="仿宋" w:eastAsia="仿宋" w:cs="仿宋"/>
          <w:szCs w:val="21"/>
        </w:rPr>
        <w:t>法定代表人或其委托代理人：（签字或加盖电子签名章）</w:t>
      </w:r>
    </w:p>
    <w:p>
      <w:pPr>
        <w:spacing w:line="440" w:lineRule="exact"/>
        <w:ind w:firstLine="4830" w:firstLineChars="2300"/>
        <w:rPr>
          <w:rFonts w:ascii="仿宋" w:hAnsi="仿宋" w:eastAsia="仿宋" w:cs="仿宋"/>
          <w:szCs w:val="21"/>
        </w:rPr>
      </w:pPr>
      <w:r>
        <w:rPr>
          <w:rFonts w:hint="eastAsia" w:ascii="仿宋" w:hAnsi="仿宋" w:eastAsia="仿宋" w:cs="仿宋"/>
          <w:szCs w:val="21"/>
        </w:rPr>
        <w:t>日期：年月日</w:t>
      </w:r>
    </w:p>
    <w:p>
      <w:pPr>
        <w:pStyle w:val="18"/>
        <w:ind w:firstLine="422"/>
        <w:rPr>
          <w:rFonts w:ascii="仿宋" w:hAnsi="仿宋" w:eastAsia="仿宋" w:cs="仿宋"/>
          <w:sz w:val="21"/>
          <w:szCs w:val="21"/>
        </w:rPr>
      </w:pPr>
    </w:p>
    <w:p>
      <w:pPr>
        <w:pStyle w:val="71"/>
        <w:ind w:firstLine="0" w:firstLineChars="0"/>
        <w:rPr>
          <w:rFonts w:eastAsia="黑体"/>
          <w:sz w:val="28"/>
        </w:rPr>
      </w:pPr>
    </w:p>
    <w:p>
      <w:pPr>
        <w:pStyle w:val="71"/>
        <w:ind w:left="420" w:leftChars="200" w:firstLine="0" w:firstLineChars="0"/>
        <w:rPr>
          <w:rFonts w:eastAsia="仿宋_GB2312"/>
        </w:rPr>
      </w:pPr>
      <w:r>
        <w:rPr>
          <w:rFonts w:hint="eastAsia" w:eastAsia="黑体" w:cs="宋体"/>
          <w:b/>
          <w:bCs/>
          <w:sz w:val="28"/>
        </w:rPr>
        <w:br w:type="page"/>
      </w:r>
      <w:bookmarkEnd w:id="98"/>
      <w:bookmarkEnd w:id="99"/>
      <w:bookmarkEnd w:id="100"/>
      <w:bookmarkEnd w:id="101"/>
    </w:p>
    <w:bookmarkEnd w:id="102"/>
    <w:bookmarkEnd w:id="103"/>
    <w:p>
      <w:pPr>
        <w:spacing w:line="360" w:lineRule="auto"/>
        <w:jc w:val="center"/>
        <w:outlineLvl w:val="2"/>
        <w:rPr>
          <w:rFonts w:ascii="仿宋" w:hAnsi="仿宋" w:eastAsia="仿宋" w:cs="仿宋"/>
          <w:kern w:val="0"/>
          <w:sz w:val="24"/>
        </w:rPr>
      </w:pPr>
      <w:bookmarkStart w:id="104" w:name="_Toc144974876"/>
      <w:bookmarkStart w:id="105" w:name="_Toc246997116"/>
      <w:bookmarkStart w:id="106" w:name="_Toc27569"/>
      <w:bookmarkStart w:id="107" w:name="_Toc152042597"/>
      <w:bookmarkStart w:id="108" w:name="_Toc179632828"/>
      <w:bookmarkStart w:id="109" w:name="_Toc296602618"/>
      <w:bookmarkStart w:id="110" w:name="_Toc15685"/>
      <w:bookmarkStart w:id="111" w:name="_Toc246996373"/>
      <w:bookmarkStart w:id="112" w:name="_Toc247085891"/>
      <w:bookmarkStart w:id="113" w:name="_Toc519683046"/>
      <w:bookmarkStart w:id="114" w:name="_Toc152045808"/>
      <w:bookmarkStart w:id="115" w:name="_Toc519757600"/>
      <w:bookmarkStart w:id="116" w:name="_Toc23017"/>
      <w:bookmarkStart w:id="117" w:name="_Toc519682782"/>
      <w:r>
        <w:rPr>
          <w:rFonts w:hint="eastAsia" w:ascii="仿宋" w:hAnsi="仿宋" w:eastAsia="仿宋" w:cs="仿宋"/>
          <w:kern w:val="0"/>
          <w:sz w:val="24"/>
        </w:rPr>
        <w:t>（二）</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Pr>
          <w:rFonts w:hint="eastAsia" w:ascii="仿宋" w:hAnsi="仿宋" w:eastAsia="仿宋" w:cs="仿宋"/>
          <w:kern w:val="0"/>
          <w:sz w:val="24"/>
        </w:rPr>
        <w:t>企业资格证明材料</w:t>
      </w:r>
    </w:p>
    <w:tbl>
      <w:tblPr>
        <w:tblStyle w:val="30"/>
        <w:tblW w:w="0" w:type="auto"/>
        <w:jc w:val="center"/>
        <w:tblLayout w:type="fixed"/>
        <w:tblCellMar>
          <w:top w:w="0" w:type="dxa"/>
          <w:left w:w="0" w:type="dxa"/>
          <w:bottom w:w="0" w:type="dxa"/>
          <w:right w:w="0" w:type="dxa"/>
        </w:tblCellMar>
      </w:tblPr>
      <w:tblGrid>
        <w:gridCol w:w="852"/>
        <w:gridCol w:w="7964"/>
      </w:tblGrid>
      <w:tr>
        <w:tblPrEx>
          <w:tblCellMar>
            <w:top w:w="0" w:type="dxa"/>
            <w:left w:w="0" w:type="dxa"/>
            <w:bottom w:w="0" w:type="dxa"/>
            <w:right w:w="0" w:type="dxa"/>
          </w:tblCellMar>
        </w:tblPrEx>
        <w:trPr>
          <w:trHeight w:val="90" w:hRule="atLeast"/>
          <w:jc w:val="center"/>
        </w:trPr>
        <w:tc>
          <w:tcPr>
            <w:tcW w:w="8816" w:type="dxa"/>
            <w:gridSpan w:val="2"/>
            <w:tcBorders>
              <w:top w:val="outset" w:color="auto" w:sz="6" w:space="0"/>
              <w:left w:val="outset" w:color="auto" w:sz="6" w:space="0"/>
              <w:bottom w:val="outset" w:color="auto" w:sz="6" w:space="0"/>
              <w:right w:val="outset" w:color="auto" w:sz="6" w:space="0"/>
            </w:tcBorders>
            <w:noWrap/>
            <w:vAlign w:val="center"/>
          </w:tcPr>
          <w:p>
            <w:pPr>
              <w:widowControl/>
              <w:wordWrap w:val="0"/>
              <w:jc w:val="center"/>
              <w:rPr>
                <w:rFonts w:ascii="仿宋" w:hAnsi="仿宋" w:eastAsia="仿宋" w:cs="仿宋"/>
                <w:color w:val="333333"/>
                <w:kern w:val="0"/>
                <w:sz w:val="24"/>
              </w:rPr>
            </w:pPr>
            <w:r>
              <w:rPr>
                <w:rFonts w:hint="eastAsia" w:ascii="仿宋" w:hAnsi="仿宋" w:eastAsia="仿宋" w:cs="仿宋"/>
                <w:color w:val="333333"/>
                <w:kern w:val="0"/>
                <w:sz w:val="24"/>
              </w:rPr>
              <w:t xml:space="preserve">企业资格证明材料 </w:t>
            </w:r>
          </w:p>
        </w:tc>
      </w:tr>
      <w:tr>
        <w:tblPrEx>
          <w:tblCellMar>
            <w:top w:w="0" w:type="dxa"/>
            <w:left w:w="0" w:type="dxa"/>
            <w:bottom w:w="0" w:type="dxa"/>
            <w:right w:w="0" w:type="dxa"/>
          </w:tblCellMar>
        </w:tblPrEx>
        <w:trPr>
          <w:trHeight w:val="282" w:hRule="atLeast"/>
          <w:jc w:val="center"/>
        </w:trPr>
        <w:tc>
          <w:tcPr>
            <w:tcW w:w="852" w:type="dxa"/>
            <w:tcBorders>
              <w:top w:val="outset" w:color="auto" w:sz="6" w:space="0"/>
              <w:left w:val="outset" w:color="auto" w:sz="6" w:space="0"/>
              <w:bottom w:val="outset" w:color="auto" w:sz="6" w:space="0"/>
              <w:right w:val="outset" w:color="auto" w:sz="6" w:space="0"/>
            </w:tcBorders>
            <w:noWrap/>
            <w:vAlign w:val="center"/>
          </w:tcPr>
          <w:p>
            <w:pPr>
              <w:widowControl/>
              <w:wordWrap w:val="0"/>
              <w:jc w:val="center"/>
              <w:rPr>
                <w:rFonts w:ascii="仿宋" w:hAnsi="仿宋" w:eastAsia="仿宋" w:cs="仿宋"/>
                <w:color w:val="333333"/>
                <w:kern w:val="0"/>
                <w:sz w:val="24"/>
              </w:rPr>
            </w:pPr>
            <w:r>
              <w:rPr>
                <w:rFonts w:hint="eastAsia" w:ascii="仿宋" w:hAnsi="仿宋" w:eastAsia="仿宋" w:cs="仿宋"/>
                <w:color w:val="333333"/>
                <w:kern w:val="0"/>
                <w:sz w:val="24"/>
              </w:rPr>
              <w:t xml:space="preserve">序号 </w:t>
            </w:r>
          </w:p>
        </w:tc>
        <w:tc>
          <w:tcPr>
            <w:tcW w:w="7964" w:type="dxa"/>
            <w:tcBorders>
              <w:top w:val="outset" w:color="auto" w:sz="6" w:space="0"/>
              <w:left w:val="outset" w:color="auto" w:sz="6" w:space="0"/>
              <w:bottom w:val="outset" w:color="auto" w:sz="6" w:space="0"/>
              <w:right w:val="outset" w:color="auto" w:sz="6" w:space="0"/>
            </w:tcBorders>
            <w:noWrap/>
            <w:vAlign w:val="center"/>
          </w:tcPr>
          <w:p>
            <w:pPr>
              <w:widowControl/>
              <w:wordWrap w:val="0"/>
              <w:jc w:val="center"/>
              <w:rPr>
                <w:rFonts w:ascii="仿宋" w:hAnsi="仿宋" w:eastAsia="仿宋" w:cs="仿宋"/>
                <w:color w:val="333333"/>
                <w:kern w:val="0"/>
                <w:sz w:val="24"/>
              </w:rPr>
            </w:pPr>
            <w:r>
              <w:rPr>
                <w:rFonts w:hint="eastAsia" w:ascii="仿宋" w:hAnsi="仿宋" w:eastAsia="仿宋" w:cs="仿宋"/>
                <w:color w:val="333333"/>
                <w:kern w:val="0"/>
                <w:sz w:val="24"/>
              </w:rPr>
              <w:t xml:space="preserve">资质等级名称 </w:t>
            </w:r>
          </w:p>
        </w:tc>
      </w:tr>
      <w:tr>
        <w:tblPrEx>
          <w:tblCellMar>
            <w:top w:w="0" w:type="dxa"/>
            <w:left w:w="0" w:type="dxa"/>
            <w:bottom w:w="0" w:type="dxa"/>
            <w:right w:w="0" w:type="dxa"/>
          </w:tblCellMar>
        </w:tblPrEx>
        <w:trPr>
          <w:trHeight w:val="317" w:hRule="atLeast"/>
          <w:jc w:val="center"/>
        </w:trPr>
        <w:tc>
          <w:tcPr>
            <w:tcW w:w="852" w:type="dxa"/>
            <w:tcBorders>
              <w:top w:val="outset" w:color="auto" w:sz="6" w:space="0"/>
              <w:left w:val="outset" w:color="auto" w:sz="6" w:space="0"/>
              <w:bottom w:val="outset" w:color="auto" w:sz="6" w:space="0"/>
              <w:right w:val="outset" w:color="auto" w:sz="6" w:space="0"/>
            </w:tcBorders>
            <w:noWrap/>
            <w:vAlign w:val="center"/>
          </w:tcPr>
          <w:p>
            <w:pPr>
              <w:widowControl/>
              <w:wordWrap w:val="0"/>
              <w:jc w:val="center"/>
              <w:rPr>
                <w:rFonts w:ascii="仿宋" w:hAnsi="仿宋" w:eastAsia="仿宋" w:cs="仿宋"/>
                <w:color w:val="333333"/>
                <w:kern w:val="0"/>
                <w:sz w:val="24"/>
              </w:rPr>
            </w:pPr>
          </w:p>
        </w:tc>
        <w:tc>
          <w:tcPr>
            <w:tcW w:w="7964" w:type="dxa"/>
            <w:tcBorders>
              <w:top w:val="outset" w:color="auto" w:sz="6" w:space="0"/>
              <w:left w:val="outset" w:color="auto" w:sz="6" w:space="0"/>
              <w:bottom w:val="outset" w:color="auto" w:sz="6" w:space="0"/>
              <w:right w:val="outset" w:color="auto" w:sz="6" w:space="0"/>
            </w:tcBorders>
            <w:noWrap/>
            <w:vAlign w:val="center"/>
          </w:tcPr>
          <w:p>
            <w:pPr>
              <w:widowControl/>
              <w:wordWrap w:val="0"/>
              <w:jc w:val="center"/>
              <w:rPr>
                <w:rFonts w:ascii="仿宋" w:hAnsi="仿宋" w:eastAsia="仿宋" w:cs="仿宋"/>
                <w:kern w:val="0"/>
                <w:sz w:val="24"/>
              </w:rPr>
            </w:pPr>
          </w:p>
        </w:tc>
      </w:tr>
      <w:tr>
        <w:tblPrEx>
          <w:tblCellMar>
            <w:top w:w="0" w:type="dxa"/>
            <w:left w:w="0" w:type="dxa"/>
            <w:bottom w:w="0" w:type="dxa"/>
            <w:right w:w="0" w:type="dxa"/>
          </w:tblCellMar>
        </w:tblPrEx>
        <w:trPr>
          <w:trHeight w:val="272" w:hRule="atLeast"/>
          <w:jc w:val="center"/>
        </w:trPr>
        <w:tc>
          <w:tcPr>
            <w:tcW w:w="852" w:type="dxa"/>
            <w:tcBorders>
              <w:top w:val="outset" w:color="auto" w:sz="6" w:space="0"/>
              <w:left w:val="outset" w:color="auto" w:sz="6" w:space="0"/>
              <w:bottom w:val="outset" w:color="auto" w:sz="6" w:space="0"/>
              <w:right w:val="outset" w:color="auto" w:sz="6" w:space="0"/>
            </w:tcBorders>
            <w:noWrap/>
            <w:vAlign w:val="center"/>
          </w:tcPr>
          <w:p>
            <w:pPr>
              <w:widowControl/>
              <w:wordWrap w:val="0"/>
              <w:jc w:val="center"/>
              <w:rPr>
                <w:rFonts w:ascii="仿宋" w:hAnsi="仿宋" w:eastAsia="仿宋" w:cs="仿宋"/>
                <w:color w:val="333333"/>
                <w:kern w:val="0"/>
                <w:sz w:val="24"/>
              </w:rPr>
            </w:pPr>
          </w:p>
        </w:tc>
        <w:tc>
          <w:tcPr>
            <w:tcW w:w="7964" w:type="dxa"/>
            <w:tcBorders>
              <w:top w:val="outset" w:color="auto" w:sz="6" w:space="0"/>
              <w:left w:val="outset" w:color="auto" w:sz="6" w:space="0"/>
              <w:bottom w:val="outset" w:color="auto" w:sz="6" w:space="0"/>
              <w:right w:val="outset" w:color="auto" w:sz="6" w:space="0"/>
            </w:tcBorders>
            <w:noWrap/>
            <w:vAlign w:val="center"/>
          </w:tcPr>
          <w:p>
            <w:pPr>
              <w:widowControl/>
              <w:wordWrap w:val="0"/>
              <w:jc w:val="center"/>
              <w:rPr>
                <w:rFonts w:ascii="仿宋" w:hAnsi="仿宋" w:eastAsia="仿宋" w:cs="仿宋"/>
                <w:kern w:val="0"/>
                <w:sz w:val="24"/>
              </w:rPr>
            </w:pPr>
          </w:p>
        </w:tc>
      </w:tr>
    </w:tbl>
    <w:p>
      <w:pPr>
        <w:rPr>
          <w:rFonts w:ascii="仿宋" w:hAnsi="仿宋" w:eastAsia="仿宋" w:cs="仿宋"/>
        </w:rPr>
      </w:pPr>
    </w:p>
    <w:p>
      <w:pPr>
        <w:spacing w:line="360" w:lineRule="auto"/>
        <w:rPr>
          <w:rFonts w:ascii="仿宋" w:hAnsi="仿宋" w:eastAsia="仿宋" w:cs="仿宋"/>
          <w:szCs w:val="21"/>
          <w:highlight w:val="yellow"/>
        </w:rPr>
      </w:pPr>
      <w:r>
        <w:rPr>
          <w:rFonts w:hint="eastAsia" w:ascii="仿宋" w:hAnsi="仿宋" w:eastAsia="仿宋" w:cs="仿宋"/>
          <w:color w:val="000000"/>
          <w:highlight w:val="yellow"/>
        </w:rPr>
        <w:t>注：此处附营业执照副本原件彩色扫描件及按资格要求的资质附</w:t>
      </w:r>
      <w:r>
        <w:rPr>
          <w:rFonts w:hint="eastAsia" w:ascii="仿宋" w:hAnsi="仿宋" w:eastAsia="仿宋" w:cs="仿宋"/>
          <w:szCs w:val="21"/>
          <w:highlight w:val="yellow"/>
        </w:rPr>
        <w:t>相关证明材料（扫描件），提供医疗器械注册证或医疗器械产品相关备案凭证。供应商为制造商须提供医疗器械生产许可证；供应商为代理商（经销商）须提供医疗器械经营许可证或医疗器械经营备案凭证。</w:t>
      </w:r>
    </w:p>
    <w:p>
      <w:pPr>
        <w:spacing w:line="360" w:lineRule="auto"/>
        <w:rPr>
          <w:rFonts w:ascii="仿宋" w:hAnsi="仿宋" w:eastAsia="仿宋" w:cs="仿宋"/>
          <w:szCs w:val="21"/>
        </w:rPr>
      </w:pPr>
    </w:p>
    <w:p>
      <w:pPr>
        <w:spacing w:line="360" w:lineRule="auto"/>
        <w:jc w:val="center"/>
        <w:rPr>
          <w:rFonts w:ascii="仿宋" w:hAnsi="仿宋" w:eastAsia="仿宋" w:cs="仿宋"/>
          <w:b/>
          <w:bCs/>
        </w:rPr>
      </w:pPr>
      <w:r>
        <w:rPr>
          <w:rFonts w:hint="eastAsia" w:ascii="仿宋" w:hAnsi="仿宋" w:eastAsia="仿宋" w:cs="仿宋"/>
        </w:rPr>
        <w:t>（三）</w:t>
      </w:r>
      <w:r>
        <w:rPr>
          <w:rFonts w:hint="eastAsia" w:ascii="仿宋" w:hAnsi="仿宋" w:eastAsia="仿宋" w:cs="仿宋"/>
          <w:kern w:val="0"/>
          <w:sz w:val="24"/>
        </w:rPr>
        <w:t>供应商资格声明书</w:t>
      </w:r>
    </w:p>
    <w:p>
      <w:pPr>
        <w:jc w:val="center"/>
        <w:rPr>
          <w:sz w:val="24"/>
        </w:rPr>
      </w:pPr>
      <w:r>
        <w:rPr>
          <w:rFonts w:hint="eastAsia" w:ascii="仿宋_GB2312" w:hAnsi="仿宋_GB2312" w:eastAsia="仿宋_GB2312" w:cs="仿宋_GB2312"/>
          <w:b/>
          <w:color w:val="000000"/>
          <w:sz w:val="32"/>
          <w:szCs w:val="32"/>
        </w:rPr>
        <w:t>供应商资格声明书</w:t>
      </w:r>
    </w:p>
    <w:p>
      <w:pPr>
        <w:tabs>
          <w:tab w:val="left" w:pos="5580"/>
        </w:tabs>
        <w:spacing w:line="360" w:lineRule="auto"/>
        <w:rPr>
          <w:rFonts w:ascii="仿宋_GB2312" w:hAnsi="仿宋_GB2312" w:eastAsia="仿宋_GB2312" w:cs="仿宋_GB2312"/>
          <w:szCs w:val="21"/>
        </w:rPr>
      </w:pPr>
      <w:r>
        <w:rPr>
          <w:rFonts w:hint="eastAsia" w:ascii="仿宋_GB2312" w:hAnsi="仿宋_GB2312" w:eastAsia="仿宋_GB2312" w:cs="仿宋_GB2312"/>
          <w:szCs w:val="21"/>
        </w:rPr>
        <w:t>致：</w:t>
      </w:r>
      <w:r>
        <w:rPr>
          <w:rFonts w:hint="eastAsia" w:ascii="仿宋_GB2312" w:hAnsi="仿宋_GB2312" w:eastAsia="仿宋_GB2312" w:cs="仿宋_GB2312"/>
          <w:szCs w:val="21"/>
          <w:u w:val="single"/>
        </w:rPr>
        <w:t>采购人或采购代理机构</w:t>
      </w:r>
    </w:p>
    <w:p>
      <w:pPr>
        <w:spacing w:line="360" w:lineRule="auto"/>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在参与本次项目磋商中，我单位承诺：</w:t>
      </w:r>
    </w:p>
    <w:p>
      <w:pPr>
        <w:numPr>
          <w:ilvl w:val="0"/>
          <w:numId w:val="16"/>
        </w:numPr>
        <w:spacing w:line="360" w:lineRule="auto"/>
        <w:ind w:left="1134"/>
        <w:rPr>
          <w:rFonts w:ascii="仿宋_GB2312" w:hAnsi="仿宋_GB2312" w:eastAsia="仿宋_GB2312" w:cs="仿宋_GB2312"/>
          <w:szCs w:val="21"/>
        </w:rPr>
      </w:pPr>
      <w:r>
        <w:rPr>
          <w:rFonts w:hint="eastAsia" w:ascii="仿宋_GB2312" w:hAnsi="仿宋_GB2312" w:eastAsia="仿宋_GB2312" w:cs="仿宋_GB2312"/>
          <w:szCs w:val="21"/>
        </w:rPr>
        <w:t>具有良好的商业信誉和健全的财务会计制度；</w:t>
      </w:r>
    </w:p>
    <w:p>
      <w:pPr>
        <w:numPr>
          <w:ilvl w:val="0"/>
          <w:numId w:val="16"/>
        </w:numPr>
        <w:spacing w:line="360" w:lineRule="auto"/>
        <w:ind w:left="1134"/>
        <w:rPr>
          <w:rFonts w:ascii="仿宋_GB2312" w:hAnsi="仿宋_GB2312" w:eastAsia="仿宋_GB2312" w:cs="仿宋_GB2312"/>
          <w:szCs w:val="21"/>
        </w:rPr>
      </w:pPr>
      <w:r>
        <w:rPr>
          <w:rFonts w:hint="eastAsia" w:ascii="仿宋_GB2312" w:hAnsi="仿宋_GB2312" w:eastAsia="仿宋_GB2312" w:cs="仿宋_GB2312"/>
          <w:szCs w:val="21"/>
        </w:rPr>
        <w:t>具有履行合同所必需的设备和专业技术能力；</w:t>
      </w:r>
    </w:p>
    <w:p>
      <w:pPr>
        <w:numPr>
          <w:ilvl w:val="0"/>
          <w:numId w:val="16"/>
        </w:numPr>
        <w:spacing w:line="360" w:lineRule="auto"/>
        <w:ind w:left="1134"/>
        <w:rPr>
          <w:rFonts w:ascii="仿宋_GB2312" w:hAnsi="仿宋_GB2312" w:eastAsia="仿宋_GB2312" w:cs="仿宋_GB2312"/>
          <w:szCs w:val="21"/>
        </w:rPr>
      </w:pPr>
      <w:r>
        <w:rPr>
          <w:rFonts w:hint="eastAsia" w:ascii="仿宋_GB2312" w:hAnsi="仿宋_GB2312" w:eastAsia="仿宋_GB2312" w:cs="仿宋_GB2312"/>
          <w:szCs w:val="21"/>
        </w:rPr>
        <w:t>有依法缴纳税收和社会保障资金的良好记录；</w:t>
      </w:r>
    </w:p>
    <w:p>
      <w:pPr>
        <w:numPr>
          <w:ilvl w:val="0"/>
          <w:numId w:val="16"/>
        </w:numPr>
        <w:spacing w:line="360" w:lineRule="auto"/>
        <w:ind w:left="1134"/>
        <w:rPr>
          <w:rFonts w:ascii="仿宋_GB2312" w:hAnsi="仿宋_GB2312" w:eastAsia="仿宋_GB2312" w:cs="仿宋_GB2312"/>
          <w:szCs w:val="21"/>
        </w:rPr>
      </w:pPr>
      <w:r>
        <w:rPr>
          <w:rFonts w:hint="eastAsia" w:ascii="仿宋_GB2312" w:hAnsi="仿宋_GB2312" w:eastAsia="仿宋_GB2312" w:cs="仿宋_GB2312"/>
          <w:szCs w:val="21"/>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pPr>
        <w:numPr>
          <w:ilvl w:val="0"/>
          <w:numId w:val="16"/>
        </w:numPr>
        <w:spacing w:line="360" w:lineRule="auto"/>
        <w:ind w:left="1134"/>
        <w:rPr>
          <w:rFonts w:ascii="仿宋_GB2312" w:hAnsi="仿宋_GB2312" w:eastAsia="仿宋_GB2312" w:cs="仿宋_GB2312"/>
          <w:szCs w:val="21"/>
        </w:rPr>
      </w:pPr>
      <w:r>
        <w:rPr>
          <w:rFonts w:hint="eastAsia" w:ascii="仿宋_GB2312" w:hAnsi="仿宋_GB2312" w:eastAsia="仿宋_GB2312" w:cs="仿宋_GB2312"/>
          <w:szCs w:val="21"/>
        </w:rPr>
        <w:t>我单位不属于政府采购法律、行政法规规定的公益一类事业单位、或使用事业编制且由财政拨款保障的群团组织（仅适用于政府购买服务项目）；</w:t>
      </w:r>
    </w:p>
    <w:p>
      <w:pPr>
        <w:numPr>
          <w:ilvl w:val="0"/>
          <w:numId w:val="16"/>
        </w:numPr>
        <w:spacing w:line="360" w:lineRule="auto"/>
        <w:ind w:left="1134"/>
        <w:rPr>
          <w:rFonts w:ascii="仿宋_GB2312" w:hAnsi="仿宋_GB2312" w:eastAsia="仿宋_GB2312" w:cs="仿宋_GB2312"/>
          <w:szCs w:val="21"/>
        </w:rPr>
      </w:pPr>
      <w:r>
        <w:rPr>
          <w:rFonts w:hint="eastAsia" w:ascii="仿宋_GB2312" w:hAnsi="仿宋_GB2312" w:eastAsia="仿宋_GB2312" w:cs="仿宋_GB2312"/>
          <w:szCs w:val="21"/>
        </w:rPr>
        <w:t>我单位不存在为采购项目提供整体设计、规范编制或者项目管理、监理、检测等服务后，再参加该采购项目的其他采购活动的情形（单一来源采购项目除外）；</w:t>
      </w:r>
    </w:p>
    <w:p>
      <w:pPr>
        <w:numPr>
          <w:ilvl w:val="0"/>
          <w:numId w:val="16"/>
        </w:numPr>
        <w:spacing w:line="360" w:lineRule="auto"/>
        <w:ind w:left="1134"/>
        <w:rPr>
          <w:rFonts w:ascii="仿宋_GB2312" w:hAnsi="仿宋_GB2312" w:eastAsia="仿宋_GB2312" w:cs="仿宋_GB2312"/>
          <w:szCs w:val="21"/>
        </w:rPr>
      </w:pPr>
      <w:r>
        <w:rPr>
          <w:rFonts w:hint="eastAsia" w:ascii="仿宋_GB2312" w:hAnsi="仿宋_GB2312" w:eastAsia="仿宋_GB2312" w:cs="仿宋_GB2312"/>
          <w:szCs w:val="21"/>
        </w:rPr>
        <w:t>与我单位存在“单位负责人为同一人或者存在直接控股、管理关系”的其他法人单位信息如下（如有，不论其是否参加同一合同项下的政府采购活动均须填写）：</w:t>
      </w:r>
    </w:p>
    <w:tbl>
      <w:tblPr>
        <w:tblStyle w:val="3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0"/>
        <w:gridCol w:w="4574"/>
        <w:gridCol w:w="29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950" w:type="dxa"/>
            <w:noWrap/>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序号</w:t>
            </w:r>
          </w:p>
        </w:tc>
        <w:tc>
          <w:tcPr>
            <w:tcW w:w="4574" w:type="dxa"/>
            <w:noWrap/>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单位名称</w:t>
            </w:r>
          </w:p>
        </w:tc>
        <w:tc>
          <w:tcPr>
            <w:tcW w:w="2976" w:type="dxa"/>
            <w:noWrap/>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相互关系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0" w:hRule="atLeast"/>
          <w:jc w:val="center"/>
        </w:trPr>
        <w:tc>
          <w:tcPr>
            <w:tcW w:w="950" w:type="dxa"/>
            <w:noWrap/>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4574" w:type="dxa"/>
            <w:noWrap/>
            <w:vAlign w:val="center"/>
          </w:tcPr>
          <w:p>
            <w:pPr>
              <w:jc w:val="center"/>
              <w:rPr>
                <w:rFonts w:ascii="仿宋_GB2312" w:hAnsi="仿宋_GB2312" w:eastAsia="仿宋_GB2312" w:cs="仿宋_GB2312"/>
                <w:szCs w:val="21"/>
              </w:rPr>
            </w:pPr>
          </w:p>
        </w:tc>
        <w:tc>
          <w:tcPr>
            <w:tcW w:w="2976" w:type="dxa"/>
            <w:noWrap/>
            <w:vAlign w:val="center"/>
          </w:tcPr>
          <w:p>
            <w:pPr>
              <w:jc w:val="center"/>
              <w:rPr>
                <w:rFonts w:ascii="仿宋_GB2312" w:hAnsi="仿宋_GB2312" w:eastAsia="仿宋_GB2312" w:cs="仿宋_GB2312"/>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0" w:hRule="atLeast"/>
          <w:jc w:val="center"/>
        </w:trPr>
        <w:tc>
          <w:tcPr>
            <w:tcW w:w="950" w:type="dxa"/>
            <w:noWrap/>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4574" w:type="dxa"/>
            <w:noWrap/>
            <w:vAlign w:val="center"/>
          </w:tcPr>
          <w:p>
            <w:pPr>
              <w:jc w:val="center"/>
              <w:rPr>
                <w:rFonts w:ascii="仿宋_GB2312" w:hAnsi="仿宋_GB2312" w:eastAsia="仿宋_GB2312" w:cs="仿宋_GB2312"/>
                <w:szCs w:val="21"/>
              </w:rPr>
            </w:pPr>
          </w:p>
        </w:tc>
        <w:tc>
          <w:tcPr>
            <w:tcW w:w="2976" w:type="dxa"/>
            <w:noWrap/>
            <w:vAlign w:val="center"/>
          </w:tcPr>
          <w:p>
            <w:pPr>
              <w:jc w:val="center"/>
              <w:rPr>
                <w:rFonts w:ascii="仿宋_GB2312" w:hAnsi="仿宋_GB2312" w:eastAsia="仿宋_GB2312" w:cs="仿宋_GB2312"/>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950" w:type="dxa"/>
            <w:noWrap/>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w:t>
            </w:r>
          </w:p>
        </w:tc>
        <w:tc>
          <w:tcPr>
            <w:tcW w:w="4574" w:type="dxa"/>
            <w:noWrap/>
            <w:vAlign w:val="center"/>
          </w:tcPr>
          <w:p>
            <w:pPr>
              <w:jc w:val="center"/>
              <w:rPr>
                <w:rFonts w:ascii="仿宋_GB2312" w:hAnsi="仿宋_GB2312" w:eastAsia="仿宋_GB2312" w:cs="仿宋_GB2312"/>
                <w:szCs w:val="21"/>
              </w:rPr>
            </w:pPr>
          </w:p>
        </w:tc>
        <w:tc>
          <w:tcPr>
            <w:tcW w:w="2976" w:type="dxa"/>
            <w:noWrap/>
            <w:vAlign w:val="center"/>
          </w:tcPr>
          <w:p>
            <w:pPr>
              <w:jc w:val="center"/>
              <w:rPr>
                <w:rFonts w:ascii="仿宋_GB2312" w:hAnsi="仿宋_GB2312" w:eastAsia="仿宋_GB2312" w:cs="仿宋_GB2312"/>
                <w:szCs w:val="21"/>
              </w:rPr>
            </w:pPr>
          </w:p>
        </w:tc>
      </w:tr>
    </w:tbl>
    <w:p>
      <w:pPr>
        <w:rPr>
          <w:rFonts w:ascii="仿宋_GB2312" w:hAnsi="仿宋_GB2312" w:eastAsia="仿宋_GB2312" w:cs="仿宋_GB2312"/>
          <w:szCs w:val="21"/>
        </w:rPr>
      </w:pPr>
    </w:p>
    <w:p>
      <w:pPr>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上述声明真实有效，否则我方负全部责任。</w:t>
      </w:r>
    </w:p>
    <w:p>
      <w:pPr>
        <w:spacing w:line="360" w:lineRule="auto"/>
        <w:rPr>
          <w:rFonts w:ascii="仿宋_GB2312" w:hAnsi="仿宋_GB2312" w:eastAsia="仿宋_GB2312" w:cs="仿宋_GB2312"/>
          <w:szCs w:val="21"/>
        </w:rPr>
      </w:pPr>
    </w:p>
    <w:p>
      <w:pPr>
        <w:autoSpaceDE w:val="0"/>
        <w:autoSpaceDN w:val="0"/>
        <w:adjustRightInd w:val="0"/>
        <w:snapToGrid w:val="0"/>
        <w:spacing w:before="25" w:after="25" w:line="360" w:lineRule="auto"/>
        <w:ind w:right="360"/>
        <w:jc w:val="right"/>
        <w:rPr>
          <w:rFonts w:ascii="仿宋_GB2312" w:hAnsi="仿宋_GB2312" w:eastAsia="仿宋_GB2312" w:cs="仿宋_GB2312"/>
          <w:color w:val="000000"/>
          <w:szCs w:val="21"/>
          <w:lang w:val="zh-CN"/>
        </w:rPr>
      </w:pPr>
      <w:r>
        <w:rPr>
          <w:rFonts w:hint="eastAsia" w:ascii="仿宋_GB2312" w:hAnsi="仿宋_GB2312" w:eastAsia="仿宋_GB2312" w:cs="仿宋_GB2312"/>
          <w:color w:val="000000"/>
          <w:szCs w:val="21"/>
        </w:rPr>
        <w:t>供应商名称（加盖公章）</w:t>
      </w:r>
      <w:r>
        <w:rPr>
          <w:rFonts w:hint="eastAsia" w:ascii="仿宋_GB2312" w:hAnsi="仿宋_GB2312" w:eastAsia="仿宋_GB2312" w:cs="仿宋_GB2312"/>
          <w:color w:val="000000"/>
          <w:szCs w:val="21"/>
          <w:lang w:val="zh-CN"/>
        </w:rPr>
        <w:t>：</w:t>
      </w:r>
      <w:r>
        <w:rPr>
          <w:rFonts w:hint="eastAsia" w:ascii="仿宋_GB2312" w:hAnsi="仿宋_GB2312" w:eastAsia="仿宋_GB2312" w:cs="仿宋_GB2312"/>
          <w:szCs w:val="21"/>
        </w:rPr>
        <w:t>______</w:t>
      </w:r>
    </w:p>
    <w:p>
      <w:pPr>
        <w:spacing w:line="360" w:lineRule="auto"/>
        <w:ind w:right="360" w:firstLine="480"/>
        <w:jc w:val="right"/>
        <w:rPr>
          <w:rFonts w:ascii="仿宋_GB2312" w:hAnsi="仿宋_GB2312" w:eastAsia="仿宋_GB2312" w:cs="仿宋_GB2312"/>
          <w:szCs w:val="21"/>
        </w:rPr>
      </w:pPr>
      <w:r>
        <w:rPr>
          <w:rFonts w:hint="eastAsia" w:ascii="仿宋_GB2312" w:hAnsi="仿宋_GB2312" w:eastAsia="仿宋_GB2312" w:cs="仿宋_GB2312"/>
          <w:color w:val="000000"/>
          <w:szCs w:val="21"/>
        </w:rPr>
        <w:t xml:space="preserve">日期：____年____月____日   </w:t>
      </w:r>
    </w:p>
    <w:p>
      <w:pPr>
        <w:spacing w:line="360" w:lineRule="auto"/>
        <w:rPr>
          <w:rFonts w:ascii="仿宋_GB2312" w:hAnsi="仿宋_GB2312" w:eastAsia="仿宋_GB2312" w:cs="仿宋_GB2312"/>
          <w:szCs w:val="21"/>
        </w:rPr>
      </w:pPr>
      <w:r>
        <w:rPr>
          <w:rFonts w:hint="eastAsia" w:ascii="仿宋_GB2312" w:hAnsi="仿宋_GB2312" w:eastAsia="仿宋_GB2312" w:cs="仿宋_GB2312"/>
          <w:szCs w:val="21"/>
        </w:rPr>
        <w:t>说明：供应商承诺不实的，依据《政府采购法》第七十七条“提供虚假材料谋取中标、成交的”有关规定予以处理。</w:t>
      </w:r>
    </w:p>
    <w:p>
      <w:pPr>
        <w:pStyle w:val="28"/>
      </w:pPr>
    </w:p>
    <w:p>
      <w:pPr>
        <w:autoSpaceDE w:val="0"/>
        <w:autoSpaceDN w:val="0"/>
        <w:adjustRightInd w:val="0"/>
        <w:spacing w:line="360" w:lineRule="auto"/>
        <w:jc w:val="center"/>
        <w:outlineLvl w:val="2"/>
        <w:rPr>
          <w:rFonts w:ascii="仿宋" w:hAnsi="仿宋" w:eastAsia="仿宋" w:cs="仿宋"/>
          <w:sz w:val="24"/>
        </w:rPr>
      </w:pPr>
      <w:r>
        <w:rPr>
          <w:rFonts w:hint="eastAsia" w:ascii="仿宋" w:hAnsi="仿宋" w:eastAsia="仿宋" w:cs="仿宋"/>
          <w:sz w:val="24"/>
        </w:rPr>
        <w:t>（四）其他响应材料</w:t>
      </w:r>
    </w:p>
    <w:tbl>
      <w:tblPr>
        <w:tblStyle w:val="30"/>
        <w:tblW w:w="0" w:type="auto"/>
        <w:jc w:val="center"/>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fixed"/>
        <w:tblCellMar>
          <w:top w:w="0" w:type="dxa"/>
          <w:left w:w="0" w:type="dxa"/>
          <w:bottom w:w="0" w:type="dxa"/>
          <w:right w:w="0" w:type="dxa"/>
        </w:tblCellMar>
      </w:tblPr>
      <w:tblGrid>
        <w:gridCol w:w="1412"/>
        <w:gridCol w:w="7408"/>
      </w:tblGrid>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820" w:type="dxa"/>
            <w:gridSpan w:val="2"/>
            <w:tcBorders>
              <w:top w:val="outset" w:color="auto" w:sz="6" w:space="0"/>
              <w:left w:val="outset" w:color="auto" w:sz="6" w:space="0"/>
              <w:bottom w:val="outset" w:color="auto" w:sz="6" w:space="0"/>
              <w:right w:val="outset" w:color="auto" w:sz="6" w:space="0"/>
            </w:tcBorders>
            <w:noWrap/>
            <w:vAlign w:val="center"/>
          </w:tcPr>
          <w:p>
            <w:pPr>
              <w:widowControl/>
              <w:wordWrap w:val="0"/>
              <w:jc w:val="center"/>
              <w:rPr>
                <w:rFonts w:ascii="仿宋" w:hAnsi="仿宋" w:eastAsia="仿宋" w:cs="仿宋"/>
                <w:color w:val="333333"/>
                <w:kern w:val="0"/>
                <w:sz w:val="24"/>
              </w:rPr>
            </w:pPr>
            <w:r>
              <w:rPr>
                <w:rFonts w:hint="eastAsia" w:ascii="仿宋" w:hAnsi="仿宋" w:eastAsia="仿宋" w:cs="仿宋"/>
                <w:color w:val="333333"/>
                <w:kern w:val="0"/>
                <w:sz w:val="24"/>
              </w:rPr>
              <w:t xml:space="preserve">其他响应材料 </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1412" w:type="dxa"/>
            <w:tcBorders>
              <w:top w:val="outset" w:color="auto" w:sz="6" w:space="0"/>
              <w:left w:val="outset" w:color="auto" w:sz="6" w:space="0"/>
              <w:bottom w:val="outset" w:color="auto" w:sz="6" w:space="0"/>
              <w:right w:val="outset" w:color="auto" w:sz="6" w:space="0"/>
            </w:tcBorders>
            <w:noWrap/>
            <w:vAlign w:val="center"/>
          </w:tcPr>
          <w:p>
            <w:pPr>
              <w:widowControl/>
              <w:wordWrap w:val="0"/>
              <w:jc w:val="center"/>
              <w:rPr>
                <w:rFonts w:ascii="仿宋" w:hAnsi="仿宋" w:eastAsia="仿宋" w:cs="仿宋"/>
                <w:color w:val="333333"/>
                <w:kern w:val="0"/>
                <w:sz w:val="24"/>
              </w:rPr>
            </w:pPr>
            <w:r>
              <w:rPr>
                <w:rFonts w:hint="eastAsia" w:ascii="仿宋" w:hAnsi="仿宋" w:eastAsia="仿宋" w:cs="仿宋"/>
                <w:color w:val="333333"/>
                <w:kern w:val="0"/>
                <w:sz w:val="24"/>
              </w:rPr>
              <w:t xml:space="preserve">序号 </w:t>
            </w:r>
          </w:p>
        </w:tc>
        <w:tc>
          <w:tcPr>
            <w:tcW w:w="7408" w:type="dxa"/>
            <w:tcBorders>
              <w:top w:val="outset" w:color="auto" w:sz="6" w:space="0"/>
              <w:left w:val="outset" w:color="auto" w:sz="6" w:space="0"/>
              <w:bottom w:val="outset" w:color="auto" w:sz="6" w:space="0"/>
              <w:right w:val="outset" w:color="auto" w:sz="6" w:space="0"/>
            </w:tcBorders>
            <w:noWrap/>
            <w:vAlign w:val="center"/>
          </w:tcPr>
          <w:p>
            <w:pPr>
              <w:widowControl/>
              <w:wordWrap w:val="0"/>
              <w:jc w:val="center"/>
              <w:rPr>
                <w:rFonts w:ascii="仿宋" w:hAnsi="仿宋" w:eastAsia="仿宋" w:cs="仿宋"/>
                <w:color w:val="333333"/>
                <w:kern w:val="0"/>
                <w:sz w:val="24"/>
              </w:rPr>
            </w:pPr>
            <w:r>
              <w:rPr>
                <w:rFonts w:hint="eastAsia" w:ascii="仿宋" w:hAnsi="仿宋" w:eastAsia="仿宋" w:cs="仿宋"/>
                <w:color w:val="333333"/>
                <w:kern w:val="0"/>
                <w:sz w:val="24"/>
              </w:rPr>
              <w:t xml:space="preserve">材料名称 </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1412" w:type="dxa"/>
            <w:tcBorders>
              <w:top w:val="outset" w:color="auto" w:sz="6" w:space="0"/>
              <w:left w:val="outset" w:color="auto" w:sz="6" w:space="0"/>
              <w:bottom w:val="outset" w:color="auto" w:sz="6" w:space="0"/>
              <w:right w:val="outset" w:color="auto" w:sz="6" w:space="0"/>
            </w:tcBorders>
            <w:noWrap/>
            <w:vAlign w:val="center"/>
          </w:tcPr>
          <w:p>
            <w:pPr>
              <w:widowControl/>
              <w:wordWrap w:val="0"/>
              <w:jc w:val="center"/>
              <w:rPr>
                <w:rFonts w:ascii="仿宋" w:hAnsi="仿宋" w:eastAsia="仿宋" w:cs="仿宋"/>
                <w:color w:val="333333"/>
                <w:kern w:val="0"/>
                <w:sz w:val="24"/>
              </w:rPr>
            </w:pPr>
          </w:p>
        </w:tc>
        <w:tc>
          <w:tcPr>
            <w:tcW w:w="7408" w:type="dxa"/>
            <w:tcBorders>
              <w:top w:val="outset" w:color="auto" w:sz="6" w:space="0"/>
              <w:left w:val="outset" w:color="auto" w:sz="6" w:space="0"/>
              <w:bottom w:val="outset" w:color="auto" w:sz="6" w:space="0"/>
              <w:right w:val="outset" w:color="auto" w:sz="6" w:space="0"/>
            </w:tcBorders>
            <w:noWrap/>
            <w:vAlign w:val="center"/>
          </w:tcPr>
          <w:p>
            <w:pPr>
              <w:widowControl/>
              <w:wordWrap w:val="0"/>
              <w:jc w:val="center"/>
              <w:rPr>
                <w:rFonts w:ascii="仿宋" w:hAnsi="仿宋" w:eastAsia="仿宋" w:cs="仿宋"/>
                <w:kern w:val="0"/>
                <w:sz w:val="24"/>
              </w:rPr>
            </w:pP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1412" w:type="dxa"/>
            <w:tcBorders>
              <w:top w:val="outset" w:color="auto" w:sz="6" w:space="0"/>
              <w:left w:val="outset" w:color="auto" w:sz="6" w:space="0"/>
              <w:bottom w:val="outset" w:color="auto" w:sz="6" w:space="0"/>
              <w:right w:val="outset" w:color="auto" w:sz="6" w:space="0"/>
            </w:tcBorders>
            <w:noWrap/>
            <w:vAlign w:val="center"/>
          </w:tcPr>
          <w:p>
            <w:pPr>
              <w:widowControl/>
              <w:wordWrap w:val="0"/>
              <w:jc w:val="center"/>
              <w:rPr>
                <w:rFonts w:ascii="仿宋" w:hAnsi="仿宋" w:eastAsia="仿宋" w:cs="仿宋"/>
                <w:color w:val="333333"/>
                <w:kern w:val="0"/>
                <w:sz w:val="24"/>
              </w:rPr>
            </w:pPr>
          </w:p>
        </w:tc>
        <w:tc>
          <w:tcPr>
            <w:tcW w:w="7408" w:type="dxa"/>
            <w:tcBorders>
              <w:top w:val="outset" w:color="auto" w:sz="6" w:space="0"/>
              <w:left w:val="outset" w:color="auto" w:sz="6" w:space="0"/>
              <w:bottom w:val="outset" w:color="auto" w:sz="6" w:space="0"/>
              <w:right w:val="outset" w:color="auto" w:sz="6" w:space="0"/>
            </w:tcBorders>
            <w:noWrap/>
            <w:vAlign w:val="center"/>
          </w:tcPr>
          <w:p>
            <w:pPr>
              <w:widowControl/>
              <w:wordWrap w:val="0"/>
              <w:jc w:val="center"/>
              <w:rPr>
                <w:rFonts w:ascii="仿宋" w:hAnsi="仿宋" w:eastAsia="仿宋" w:cs="仿宋"/>
                <w:kern w:val="0"/>
                <w:sz w:val="24"/>
              </w:rPr>
            </w:pP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1412" w:type="dxa"/>
            <w:tcBorders>
              <w:top w:val="outset" w:color="auto" w:sz="6" w:space="0"/>
              <w:left w:val="outset" w:color="auto" w:sz="6" w:space="0"/>
              <w:bottom w:val="outset" w:color="auto" w:sz="6" w:space="0"/>
              <w:right w:val="outset" w:color="auto" w:sz="6" w:space="0"/>
            </w:tcBorders>
            <w:noWrap/>
            <w:vAlign w:val="center"/>
          </w:tcPr>
          <w:p>
            <w:pPr>
              <w:widowControl/>
              <w:wordWrap w:val="0"/>
              <w:jc w:val="center"/>
              <w:rPr>
                <w:rFonts w:ascii="仿宋" w:hAnsi="仿宋" w:eastAsia="仿宋" w:cs="仿宋"/>
                <w:color w:val="333333"/>
                <w:kern w:val="0"/>
                <w:sz w:val="24"/>
              </w:rPr>
            </w:pPr>
          </w:p>
        </w:tc>
        <w:tc>
          <w:tcPr>
            <w:tcW w:w="7408" w:type="dxa"/>
            <w:tcBorders>
              <w:top w:val="outset" w:color="auto" w:sz="6" w:space="0"/>
              <w:left w:val="outset" w:color="auto" w:sz="6" w:space="0"/>
              <w:bottom w:val="outset" w:color="auto" w:sz="6" w:space="0"/>
              <w:right w:val="outset" w:color="auto" w:sz="6" w:space="0"/>
            </w:tcBorders>
            <w:noWrap/>
            <w:vAlign w:val="center"/>
          </w:tcPr>
          <w:p>
            <w:pPr>
              <w:widowControl/>
              <w:wordWrap w:val="0"/>
              <w:jc w:val="center"/>
              <w:rPr>
                <w:rFonts w:ascii="仿宋" w:hAnsi="仿宋" w:eastAsia="仿宋" w:cs="仿宋"/>
                <w:kern w:val="0"/>
                <w:sz w:val="24"/>
              </w:rPr>
            </w:pP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1412" w:type="dxa"/>
            <w:tcBorders>
              <w:top w:val="outset" w:color="auto" w:sz="6" w:space="0"/>
              <w:left w:val="outset" w:color="auto" w:sz="6" w:space="0"/>
              <w:bottom w:val="outset" w:color="auto" w:sz="6" w:space="0"/>
              <w:right w:val="outset" w:color="auto" w:sz="6" w:space="0"/>
            </w:tcBorders>
            <w:noWrap/>
            <w:vAlign w:val="center"/>
          </w:tcPr>
          <w:p>
            <w:pPr>
              <w:widowControl/>
              <w:wordWrap w:val="0"/>
              <w:jc w:val="center"/>
              <w:rPr>
                <w:rFonts w:ascii="仿宋" w:hAnsi="仿宋" w:eastAsia="仿宋" w:cs="仿宋"/>
                <w:color w:val="333333"/>
                <w:kern w:val="0"/>
                <w:sz w:val="24"/>
              </w:rPr>
            </w:pPr>
          </w:p>
        </w:tc>
        <w:tc>
          <w:tcPr>
            <w:tcW w:w="7408" w:type="dxa"/>
            <w:tcBorders>
              <w:top w:val="outset" w:color="auto" w:sz="6" w:space="0"/>
              <w:left w:val="outset" w:color="auto" w:sz="6" w:space="0"/>
              <w:bottom w:val="outset" w:color="auto" w:sz="6" w:space="0"/>
              <w:right w:val="outset" w:color="auto" w:sz="6" w:space="0"/>
            </w:tcBorders>
            <w:noWrap/>
            <w:vAlign w:val="center"/>
          </w:tcPr>
          <w:p>
            <w:pPr>
              <w:widowControl/>
              <w:wordWrap w:val="0"/>
              <w:jc w:val="center"/>
              <w:rPr>
                <w:rFonts w:ascii="仿宋" w:hAnsi="仿宋" w:eastAsia="仿宋" w:cs="仿宋"/>
                <w:kern w:val="0"/>
                <w:sz w:val="24"/>
              </w:rPr>
            </w:pPr>
          </w:p>
        </w:tc>
      </w:tr>
    </w:tbl>
    <w:p>
      <w:pPr>
        <w:pStyle w:val="71"/>
        <w:spacing w:line="240" w:lineRule="auto"/>
        <w:ind w:left="420" w:leftChars="200" w:firstLine="0" w:firstLineChars="0"/>
        <w:rPr>
          <w:rFonts w:ascii="仿宋" w:hAnsi="仿宋" w:eastAsia="仿宋" w:cs="仿宋"/>
        </w:rPr>
      </w:pPr>
      <w:r>
        <w:rPr>
          <w:rFonts w:hint="eastAsia" w:ascii="仿宋" w:hAnsi="仿宋" w:eastAsia="仿宋" w:cs="仿宋"/>
          <w:sz w:val="21"/>
          <w:szCs w:val="21"/>
        </w:rPr>
        <w:t>注：提供供应商认为有必要的资料。</w:t>
      </w:r>
    </w:p>
    <w:p>
      <w:pPr>
        <w:pStyle w:val="15"/>
        <w:ind w:left="0" w:leftChars="0" w:firstLine="0" w:firstLineChars="0"/>
        <w:rPr>
          <w:rFonts w:hAnsi="宋体" w:eastAsia="黑体"/>
          <w:b/>
          <w:bCs/>
          <w:sz w:val="30"/>
          <w:szCs w:val="28"/>
        </w:rPr>
      </w:pPr>
      <w:r>
        <w:rPr>
          <w:rFonts w:hint="eastAsia" w:ascii="仿宋" w:hAnsi="仿宋" w:eastAsia="仿宋" w:cs="仿宋"/>
          <w:sz w:val="24"/>
        </w:rPr>
        <w:br w:type="page"/>
      </w:r>
    </w:p>
    <w:p>
      <w:pPr>
        <w:spacing w:line="360" w:lineRule="auto"/>
        <w:jc w:val="center"/>
        <w:outlineLvl w:val="1"/>
        <w:rPr>
          <w:rFonts w:ascii="仿宋" w:hAnsi="仿宋" w:eastAsia="仿宋" w:cs="仿宋"/>
          <w:b/>
          <w:bCs/>
          <w:sz w:val="30"/>
          <w:szCs w:val="30"/>
        </w:rPr>
      </w:pPr>
      <w:r>
        <w:rPr>
          <w:rFonts w:hint="eastAsia" w:ascii="仿宋" w:hAnsi="仿宋" w:eastAsia="仿宋" w:cs="仿宋"/>
          <w:b/>
          <w:bCs/>
          <w:sz w:val="30"/>
          <w:szCs w:val="30"/>
          <w:lang w:val="en-US" w:eastAsia="zh-CN"/>
        </w:rPr>
        <w:t>七</w:t>
      </w:r>
      <w:r>
        <w:rPr>
          <w:rFonts w:hint="eastAsia" w:ascii="仿宋" w:hAnsi="仿宋" w:eastAsia="仿宋" w:cs="仿宋"/>
          <w:b/>
          <w:bCs/>
          <w:sz w:val="30"/>
          <w:szCs w:val="30"/>
        </w:rPr>
        <w:t>、其他材料</w:t>
      </w:r>
    </w:p>
    <w:p>
      <w:pPr>
        <w:spacing w:line="360" w:lineRule="auto"/>
        <w:jc w:val="center"/>
        <w:outlineLvl w:val="1"/>
        <w:rPr>
          <w:rFonts w:ascii="仿宋" w:hAnsi="仿宋" w:eastAsia="仿宋" w:cs="仿宋"/>
          <w:b/>
          <w:bCs/>
          <w:sz w:val="21"/>
          <w:szCs w:val="21"/>
        </w:rPr>
      </w:pPr>
      <w:r>
        <w:rPr>
          <w:rFonts w:hint="eastAsia" w:ascii="仿宋" w:hAnsi="仿宋" w:eastAsia="仿宋" w:cs="仿宋"/>
          <w:b/>
          <w:bCs/>
          <w:sz w:val="21"/>
          <w:szCs w:val="21"/>
        </w:rPr>
        <w:t>1、竞争性磋商采购承诺书</w:t>
      </w:r>
    </w:p>
    <w:p>
      <w:pPr>
        <w:spacing w:line="360" w:lineRule="auto"/>
        <w:rPr>
          <w:rFonts w:ascii="仿宋" w:hAnsi="仿宋" w:eastAsia="仿宋" w:cs="仿宋"/>
          <w:sz w:val="21"/>
          <w:szCs w:val="21"/>
          <w:u w:val="single"/>
        </w:rPr>
      </w:pPr>
      <w:r>
        <w:rPr>
          <w:rFonts w:hint="eastAsia" w:ascii="仿宋" w:hAnsi="仿宋" w:eastAsia="仿宋" w:cs="仿宋"/>
          <w:sz w:val="21"/>
          <w:szCs w:val="21"/>
        </w:rPr>
        <w:t xml:space="preserve">致   </w:t>
      </w:r>
      <w:r>
        <w:rPr>
          <w:rFonts w:hint="eastAsia" w:ascii="仿宋" w:hAnsi="仿宋" w:eastAsia="仿宋" w:cs="仿宋"/>
          <w:sz w:val="21"/>
          <w:szCs w:val="21"/>
          <w:u w:val="single"/>
        </w:rPr>
        <w:t xml:space="preserve">（采购人）    </w:t>
      </w:r>
      <w:r>
        <w:rPr>
          <w:rFonts w:hint="eastAsia" w:ascii="仿宋" w:hAnsi="仿宋" w:eastAsia="仿宋" w:cs="仿宋"/>
          <w:sz w:val="21"/>
          <w:szCs w:val="21"/>
        </w:rPr>
        <w:t xml:space="preserve">：  </w:t>
      </w:r>
    </w:p>
    <w:p>
      <w:pPr>
        <w:spacing w:line="360" w:lineRule="auto"/>
        <w:ind w:firstLine="420" w:firstLineChars="200"/>
        <w:rPr>
          <w:rFonts w:ascii="仿宋" w:hAnsi="仿宋" w:eastAsia="仿宋" w:cs="仿宋"/>
          <w:sz w:val="21"/>
          <w:szCs w:val="21"/>
        </w:rPr>
      </w:pPr>
      <w:r>
        <w:rPr>
          <w:rFonts w:hint="eastAsia" w:ascii="仿宋" w:hAnsi="仿宋" w:eastAsia="仿宋" w:cs="仿宋"/>
          <w:sz w:val="21"/>
          <w:szCs w:val="21"/>
        </w:rPr>
        <w:t>我方在此声明，我方以下事项进行承诺：</w:t>
      </w:r>
    </w:p>
    <w:p>
      <w:pPr>
        <w:spacing w:line="360" w:lineRule="auto"/>
        <w:ind w:firstLine="420" w:firstLineChars="200"/>
        <w:rPr>
          <w:rFonts w:ascii="仿宋" w:hAnsi="仿宋" w:eastAsia="仿宋" w:cs="仿宋"/>
          <w:sz w:val="21"/>
          <w:szCs w:val="21"/>
        </w:rPr>
      </w:pPr>
      <w:r>
        <w:rPr>
          <w:rFonts w:hint="eastAsia" w:ascii="仿宋" w:hAnsi="仿宋" w:eastAsia="仿宋" w:cs="仿宋"/>
          <w:sz w:val="21"/>
          <w:szCs w:val="21"/>
        </w:rPr>
        <w:t>（1） 在本次竞争性磋商采购中我公司无与其他供应商相互串通，或与采购人串通的行为；</w:t>
      </w:r>
    </w:p>
    <w:p>
      <w:pPr>
        <w:spacing w:line="360" w:lineRule="auto"/>
        <w:ind w:firstLine="420" w:firstLineChars="200"/>
        <w:rPr>
          <w:rFonts w:ascii="仿宋" w:hAnsi="仿宋" w:eastAsia="仿宋" w:cs="仿宋"/>
          <w:sz w:val="21"/>
          <w:szCs w:val="21"/>
        </w:rPr>
      </w:pPr>
      <w:r>
        <w:rPr>
          <w:rFonts w:hint="eastAsia" w:ascii="仿宋" w:hAnsi="仿宋" w:eastAsia="仿宋" w:cs="仿宋"/>
          <w:sz w:val="21"/>
          <w:szCs w:val="21"/>
        </w:rPr>
        <w:t>（2） 在本次竞争性磋商采购中我公司无向采购人或评审委员会成员行贿的手段谋取成交的行为；</w:t>
      </w:r>
    </w:p>
    <w:p>
      <w:pPr>
        <w:spacing w:line="360" w:lineRule="auto"/>
        <w:ind w:firstLine="420" w:firstLineChars="200"/>
        <w:rPr>
          <w:rFonts w:ascii="仿宋" w:hAnsi="仿宋" w:eastAsia="仿宋" w:cs="仿宋"/>
          <w:sz w:val="21"/>
          <w:szCs w:val="21"/>
        </w:rPr>
      </w:pPr>
      <w:r>
        <w:rPr>
          <w:rFonts w:hint="eastAsia" w:ascii="仿宋" w:hAnsi="仿宋" w:eastAsia="仿宋" w:cs="仿宋"/>
          <w:sz w:val="21"/>
          <w:szCs w:val="21"/>
        </w:rPr>
        <w:t>（3） 在本次竞争性磋商采购中我公司无出借或借用资质行为、在响应文件中所附资料（业绩、项目负责人资料等）无弄虚作假；</w:t>
      </w:r>
    </w:p>
    <w:p>
      <w:pPr>
        <w:spacing w:line="360" w:lineRule="auto"/>
        <w:ind w:firstLine="420" w:firstLineChars="200"/>
        <w:rPr>
          <w:rFonts w:ascii="仿宋" w:hAnsi="仿宋" w:eastAsia="仿宋" w:cs="仿宋"/>
          <w:sz w:val="21"/>
          <w:szCs w:val="21"/>
        </w:rPr>
      </w:pPr>
      <w:r>
        <w:rPr>
          <w:rFonts w:hint="eastAsia" w:ascii="仿宋" w:hAnsi="仿宋" w:eastAsia="仿宋" w:cs="仿宋"/>
          <w:sz w:val="21"/>
          <w:szCs w:val="21"/>
        </w:rPr>
        <w:t>（4） 我公司不采用非法手段获取证据进行质疑、投诉，在质疑、投诉过程中不提供虚假情况或进行恶意质疑、投诉。</w:t>
      </w:r>
    </w:p>
    <w:p>
      <w:pPr>
        <w:spacing w:line="360" w:lineRule="auto"/>
        <w:ind w:firstLine="420" w:firstLineChars="200"/>
        <w:rPr>
          <w:rFonts w:ascii="仿宋" w:hAnsi="仿宋" w:eastAsia="仿宋" w:cs="仿宋"/>
          <w:sz w:val="21"/>
          <w:szCs w:val="21"/>
        </w:rPr>
      </w:pPr>
      <w:r>
        <w:rPr>
          <w:rFonts w:hint="eastAsia" w:ascii="仿宋" w:hAnsi="仿宋" w:eastAsia="仿宋" w:cs="仿宋"/>
          <w:sz w:val="21"/>
          <w:szCs w:val="21"/>
        </w:rPr>
        <w:t>（5）我公司不存在联合体竞标的情况。</w:t>
      </w:r>
    </w:p>
    <w:p>
      <w:pPr>
        <w:spacing w:line="360" w:lineRule="auto"/>
        <w:ind w:firstLine="420" w:firstLineChars="200"/>
        <w:rPr>
          <w:rFonts w:ascii="仿宋" w:hAnsi="仿宋" w:eastAsia="仿宋" w:cs="仿宋"/>
          <w:sz w:val="21"/>
          <w:szCs w:val="21"/>
        </w:rPr>
      </w:pPr>
      <w:r>
        <w:rPr>
          <w:rFonts w:hint="eastAsia" w:ascii="仿宋" w:hAnsi="仿宋" w:eastAsia="仿宋" w:cs="仿宋"/>
          <w:sz w:val="21"/>
          <w:szCs w:val="21"/>
        </w:rPr>
        <w:t>（6）响应文件不含有采购人不能接受的附加条件；</w:t>
      </w:r>
    </w:p>
    <w:p>
      <w:pPr>
        <w:spacing w:line="360" w:lineRule="auto"/>
        <w:ind w:firstLine="420" w:firstLineChars="200"/>
        <w:rPr>
          <w:rFonts w:ascii="仿宋" w:hAnsi="仿宋" w:eastAsia="仿宋" w:cs="仿宋"/>
          <w:sz w:val="21"/>
          <w:szCs w:val="21"/>
        </w:rPr>
      </w:pPr>
      <w:r>
        <w:rPr>
          <w:rFonts w:hint="eastAsia" w:ascii="仿宋" w:hAnsi="仿宋" w:eastAsia="仿宋" w:cs="仿宋"/>
          <w:sz w:val="21"/>
          <w:szCs w:val="21"/>
        </w:rPr>
        <w:t>（7）遵循公平竞争的原则，没有弄虚作假、恶意串通或妨碍其他供应商的竞争行为，损害采购人或者其他供应商的合法权益；</w:t>
      </w:r>
    </w:p>
    <w:p>
      <w:pPr>
        <w:spacing w:line="360" w:lineRule="auto"/>
        <w:ind w:firstLine="420" w:firstLineChars="200"/>
        <w:rPr>
          <w:rFonts w:ascii="仿宋" w:hAnsi="仿宋" w:eastAsia="仿宋" w:cs="仿宋"/>
          <w:sz w:val="21"/>
          <w:szCs w:val="21"/>
        </w:rPr>
      </w:pPr>
      <w:r>
        <w:rPr>
          <w:rFonts w:hint="eastAsia" w:ascii="仿宋" w:hAnsi="仿宋" w:eastAsia="仿宋" w:cs="仿宋"/>
          <w:sz w:val="21"/>
          <w:szCs w:val="21"/>
        </w:rPr>
        <w:t>（8)响应竞争性磋商采购文件约定付款方式；</w:t>
      </w:r>
    </w:p>
    <w:p>
      <w:pPr>
        <w:pStyle w:val="28"/>
        <w:rPr>
          <w:rFonts w:eastAsia="仿宋"/>
          <w:sz w:val="21"/>
          <w:szCs w:val="21"/>
        </w:rPr>
      </w:pPr>
      <w:r>
        <w:rPr>
          <w:rFonts w:hint="eastAsia" w:ascii="仿宋" w:hAnsi="仿宋" w:eastAsia="仿宋" w:cs="仿宋"/>
          <w:sz w:val="21"/>
          <w:szCs w:val="21"/>
        </w:rPr>
        <w:t xml:space="preserve"> （9）我公司若收到成交通知书3日内支付代理服务费</w:t>
      </w:r>
    </w:p>
    <w:p>
      <w:pPr>
        <w:spacing w:line="360" w:lineRule="auto"/>
        <w:ind w:firstLine="420" w:firstLineChars="200"/>
        <w:rPr>
          <w:rFonts w:ascii="仿宋" w:hAnsi="仿宋" w:eastAsia="仿宋" w:cs="仿宋"/>
          <w:sz w:val="21"/>
          <w:szCs w:val="21"/>
        </w:rPr>
      </w:pPr>
      <w:r>
        <w:rPr>
          <w:rFonts w:hint="eastAsia" w:ascii="仿宋" w:hAnsi="仿宋" w:eastAsia="仿宋" w:cs="仿宋"/>
          <w:sz w:val="21"/>
          <w:szCs w:val="21"/>
        </w:rPr>
        <w:t>上述承诺内容如有不实，我公司愿意承担由此造成的一切法律责任，并承诺赔偿给采购人造成的损失。</w:t>
      </w:r>
    </w:p>
    <w:p>
      <w:pPr>
        <w:spacing w:line="360" w:lineRule="auto"/>
        <w:ind w:firstLine="420" w:firstLineChars="200"/>
        <w:rPr>
          <w:rFonts w:ascii="仿宋" w:hAnsi="仿宋" w:eastAsia="仿宋" w:cs="仿宋"/>
          <w:sz w:val="21"/>
          <w:szCs w:val="21"/>
        </w:rPr>
      </w:pPr>
      <w:r>
        <w:rPr>
          <w:rFonts w:hint="eastAsia" w:ascii="仿宋" w:hAnsi="仿宋" w:eastAsia="仿宋" w:cs="仿宋"/>
          <w:sz w:val="21"/>
          <w:szCs w:val="21"/>
        </w:rPr>
        <w:t>特此承诺</w:t>
      </w:r>
    </w:p>
    <w:p>
      <w:pPr>
        <w:spacing w:line="360" w:lineRule="auto"/>
        <w:ind w:firstLine="420" w:firstLineChars="200"/>
        <w:rPr>
          <w:rFonts w:ascii="仿宋" w:hAnsi="仿宋" w:eastAsia="仿宋" w:cs="仿宋"/>
          <w:sz w:val="21"/>
          <w:szCs w:val="21"/>
        </w:rPr>
      </w:pPr>
    </w:p>
    <w:p>
      <w:pPr>
        <w:spacing w:line="480" w:lineRule="auto"/>
        <w:ind w:firstLine="2100" w:firstLineChars="1000"/>
        <w:rPr>
          <w:rFonts w:ascii="宋体" w:hAnsi="宋体" w:eastAsia="仿宋" w:cs="宋体"/>
          <w:sz w:val="21"/>
          <w:szCs w:val="21"/>
        </w:rPr>
      </w:pPr>
      <w:r>
        <w:rPr>
          <w:rFonts w:hint="eastAsia" w:ascii="宋体" w:hAnsi="宋体" w:eastAsia="仿宋" w:cs="宋体"/>
          <w:sz w:val="21"/>
          <w:szCs w:val="21"/>
        </w:rPr>
        <w:t>供应商单位名称：（盖单位电子印章）</w:t>
      </w:r>
    </w:p>
    <w:p>
      <w:pPr>
        <w:spacing w:line="480" w:lineRule="auto"/>
        <w:ind w:firstLine="1050" w:firstLineChars="500"/>
        <w:rPr>
          <w:rFonts w:ascii="宋体" w:hAnsi="宋体" w:eastAsia="仿宋" w:cs="宋体"/>
          <w:sz w:val="21"/>
          <w:szCs w:val="21"/>
        </w:rPr>
      </w:pPr>
      <w:r>
        <w:rPr>
          <w:rFonts w:hint="eastAsia" w:ascii="宋体" w:hAnsi="宋体" w:eastAsia="仿宋" w:cs="宋体"/>
          <w:sz w:val="21"/>
          <w:szCs w:val="21"/>
        </w:rPr>
        <w:t>法定代表人或其委托代理人：（签字或加盖电子签名章）</w:t>
      </w:r>
    </w:p>
    <w:p>
      <w:pPr>
        <w:spacing w:line="440" w:lineRule="exact"/>
        <w:jc w:val="right"/>
        <w:rPr>
          <w:rFonts w:ascii="宋体" w:hAnsi="宋体" w:eastAsia="仿宋" w:cs="宋体"/>
          <w:sz w:val="21"/>
          <w:szCs w:val="21"/>
        </w:rPr>
      </w:pPr>
    </w:p>
    <w:p>
      <w:pPr>
        <w:spacing w:line="440" w:lineRule="exact"/>
        <w:ind w:firstLine="4830" w:firstLineChars="2300"/>
        <w:rPr>
          <w:rFonts w:eastAsia="黑体"/>
          <w:b/>
          <w:sz w:val="21"/>
          <w:szCs w:val="21"/>
        </w:rPr>
      </w:pPr>
      <w:r>
        <w:rPr>
          <w:rFonts w:hint="eastAsia" w:ascii="宋体" w:hAnsi="宋体" w:eastAsia="仿宋" w:cs="宋体"/>
          <w:sz w:val="21"/>
          <w:szCs w:val="21"/>
        </w:rPr>
        <w:t>日期：年月日</w:t>
      </w:r>
    </w:p>
    <w:p>
      <w:pPr>
        <w:rPr>
          <w:rFonts w:hAnsi="宋体" w:eastAsia="黑体"/>
          <w:b/>
          <w:bCs/>
          <w:sz w:val="21"/>
          <w:szCs w:val="21"/>
        </w:rPr>
      </w:pPr>
      <w:r>
        <w:rPr>
          <w:rFonts w:hAnsi="宋体" w:eastAsia="黑体"/>
          <w:b/>
          <w:bCs/>
          <w:sz w:val="21"/>
          <w:szCs w:val="21"/>
        </w:rPr>
        <w:br w:type="page"/>
      </w:r>
    </w:p>
    <w:p>
      <w:pPr>
        <w:spacing w:line="360" w:lineRule="auto"/>
        <w:jc w:val="center"/>
        <w:outlineLvl w:val="2"/>
        <w:rPr>
          <w:rFonts w:ascii="仿宋" w:hAnsi="仿宋" w:eastAsia="仿宋" w:cs="仿宋"/>
          <w:sz w:val="21"/>
          <w:szCs w:val="21"/>
        </w:rPr>
      </w:pPr>
      <w:r>
        <w:rPr>
          <w:rFonts w:hint="eastAsia" w:ascii="仿宋" w:hAnsi="仿宋" w:eastAsia="仿宋" w:cs="仿宋"/>
          <w:b/>
          <w:bCs/>
          <w:sz w:val="21"/>
          <w:szCs w:val="21"/>
        </w:rPr>
        <w:t>2、反商业贿赂承诺书</w:t>
      </w:r>
    </w:p>
    <w:p>
      <w:pPr>
        <w:spacing w:line="360" w:lineRule="auto"/>
        <w:ind w:firstLine="420" w:firstLineChars="200"/>
        <w:jc w:val="left"/>
        <w:rPr>
          <w:rFonts w:ascii="仿宋" w:hAnsi="仿宋" w:eastAsia="仿宋" w:cs="仿宋"/>
          <w:bCs/>
          <w:sz w:val="21"/>
          <w:szCs w:val="21"/>
        </w:rPr>
      </w:pPr>
      <w:r>
        <w:rPr>
          <w:rFonts w:hint="eastAsia" w:ascii="仿宋" w:hAnsi="仿宋" w:eastAsia="仿宋" w:cs="仿宋"/>
          <w:bCs/>
          <w:sz w:val="21"/>
          <w:szCs w:val="21"/>
        </w:rPr>
        <w:t>我公司承诺：</w:t>
      </w:r>
    </w:p>
    <w:p>
      <w:pPr>
        <w:spacing w:line="360" w:lineRule="auto"/>
        <w:ind w:firstLine="630" w:firstLineChars="300"/>
        <w:rPr>
          <w:rFonts w:ascii="仿宋" w:hAnsi="仿宋" w:eastAsia="仿宋" w:cs="仿宋"/>
          <w:bCs/>
          <w:sz w:val="21"/>
          <w:szCs w:val="21"/>
        </w:rPr>
      </w:pPr>
      <w:r>
        <w:rPr>
          <w:rFonts w:hint="eastAsia" w:ascii="仿宋" w:hAnsi="仿宋" w:eastAsia="仿宋" w:cs="仿宋"/>
          <w:bCs/>
          <w:sz w:val="21"/>
          <w:szCs w:val="21"/>
        </w:rPr>
        <w:t>在（项目名称）竞争性磋商采购活动中，我公司保证做到：</w:t>
      </w:r>
    </w:p>
    <w:p>
      <w:pPr>
        <w:spacing w:line="360" w:lineRule="auto"/>
        <w:ind w:firstLine="630" w:firstLineChars="300"/>
        <w:rPr>
          <w:rFonts w:ascii="仿宋" w:hAnsi="仿宋" w:eastAsia="仿宋" w:cs="仿宋"/>
          <w:bCs/>
          <w:sz w:val="21"/>
          <w:szCs w:val="21"/>
        </w:rPr>
      </w:pPr>
      <w:r>
        <w:rPr>
          <w:rFonts w:hint="eastAsia" w:ascii="仿宋" w:hAnsi="仿宋" w:eastAsia="仿宋" w:cs="仿宋"/>
          <w:bCs/>
          <w:sz w:val="21"/>
          <w:szCs w:val="21"/>
        </w:rPr>
        <w:t>一、公平竞争参加本次竞争性磋商采购活动。</w:t>
      </w:r>
    </w:p>
    <w:p>
      <w:pPr>
        <w:spacing w:line="360" w:lineRule="auto"/>
        <w:ind w:firstLine="630" w:firstLineChars="300"/>
        <w:rPr>
          <w:rFonts w:ascii="仿宋" w:hAnsi="仿宋" w:eastAsia="仿宋" w:cs="仿宋"/>
          <w:bCs/>
          <w:sz w:val="21"/>
          <w:szCs w:val="21"/>
        </w:rPr>
      </w:pPr>
      <w:r>
        <w:rPr>
          <w:rFonts w:hint="eastAsia" w:ascii="仿宋" w:hAnsi="仿宋" w:eastAsia="仿宋" w:cs="仿宋"/>
          <w:bCs/>
          <w:sz w:val="21"/>
          <w:szCs w:val="21"/>
        </w:rPr>
        <w:t>二、杜绝任何形式的商业贿赂行为。不向采购方工作人员、评审专家及其亲属提供礼品礼金、有价证券、购物券、回扣、佣金、咨询费、劳务费、赞助费、宣传费、宴请；不为其报销各种消费凭证，不支付其旅游、娱乐等费用。</w:t>
      </w:r>
    </w:p>
    <w:p>
      <w:pPr>
        <w:spacing w:line="360" w:lineRule="auto"/>
        <w:ind w:firstLine="630" w:firstLineChars="300"/>
        <w:rPr>
          <w:rFonts w:ascii="仿宋" w:hAnsi="仿宋" w:eastAsia="仿宋" w:cs="仿宋"/>
          <w:bCs/>
          <w:sz w:val="21"/>
          <w:szCs w:val="21"/>
        </w:rPr>
      </w:pPr>
      <w:r>
        <w:rPr>
          <w:rFonts w:hint="eastAsia" w:ascii="仿宋" w:hAnsi="仿宋" w:eastAsia="仿宋" w:cs="仿宋"/>
          <w:bCs/>
          <w:sz w:val="21"/>
          <w:szCs w:val="21"/>
        </w:rPr>
        <w:t>三、若出现上述行为，我公司及参与磋商的工作人员愿意接受按照国家法律法规等有关规定给予的处罚。</w:t>
      </w:r>
    </w:p>
    <w:p>
      <w:pPr>
        <w:spacing w:line="360" w:lineRule="auto"/>
        <w:rPr>
          <w:rFonts w:ascii="仿宋" w:hAnsi="仿宋" w:eastAsia="仿宋" w:cs="仿宋"/>
          <w:sz w:val="21"/>
          <w:szCs w:val="21"/>
        </w:rPr>
      </w:pPr>
    </w:p>
    <w:p>
      <w:pPr>
        <w:spacing w:line="360" w:lineRule="auto"/>
        <w:rPr>
          <w:rFonts w:ascii="仿宋" w:hAnsi="仿宋" w:eastAsia="仿宋" w:cs="仿宋"/>
          <w:sz w:val="21"/>
          <w:szCs w:val="21"/>
        </w:rPr>
      </w:pPr>
    </w:p>
    <w:p>
      <w:pPr>
        <w:rPr>
          <w:rFonts w:ascii="仿宋" w:hAnsi="仿宋" w:eastAsia="仿宋" w:cs="仿宋"/>
          <w:bCs/>
          <w:sz w:val="21"/>
          <w:szCs w:val="21"/>
        </w:rPr>
      </w:pPr>
    </w:p>
    <w:p>
      <w:pPr>
        <w:spacing w:line="480" w:lineRule="auto"/>
        <w:ind w:firstLine="2100" w:firstLineChars="1000"/>
        <w:rPr>
          <w:rFonts w:ascii="宋体" w:hAnsi="宋体" w:eastAsia="仿宋" w:cs="宋体"/>
          <w:sz w:val="21"/>
          <w:szCs w:val="21"/>
        </w:rPr>
      </w:pPr>
      <w:r>
        <w:rPr>
          <w:rFonts w:hint="eastAsia" w:ascii="宋体" w:hAnsi="宋体" w:eastAsia="仿宋" w:cs="宋体"/>
          <w:sz w:val="21"/>
          <w:szCs w:val="21"/>
        </w:rPr>
        <w:t>供应商单位名称：（盖单位电子印章）</w:t>
      </w:r>
    </w:p>
    <w:p>
      <w:pPr>
        <w:spacing w:line="480" w:lineRule="auto"/>
        <w:ind w:firstLine="1050" w:firstLineChars="500"/>
        <w:rPr>
          <w:rFonts w:ascii="宋体" w:hAnsi="宋体" w:eastAsia="仿宋" w:cs="宋体"/>
          <w:sz w:val="21"/>
          <w:szCs w:val="21"/>
        </w:rPr>
      </w:pPr>
      <w:r>
        <w:rPr>
          <w:rFonts w:hint="eastAsia" w:ascii="宋体" w:hAnsi="宋体" w:eastAsia="仿宋" w:cs="宋体"/>
          <w:sz w:val="21"/>
          <w:szCs w:val="21"/>
        </w:rPr>
        <w:t>法定代表人或其委托代理人：（签字或加盖电子签名章）</w:t>
      </w:r>
    </w:p>
    <w:p>
      <w:pPr>
        <w:spacing w:line="440" w:lineRule="exact"/>
        <w:jc w:val="right"/>
        <w:rPr>
          <w:rFonts w:ascii="宋体" w:hAnsi="宋体" w:eastAsia="仿宋" w:cs="宋体"/>
          <w:sz w:val="24"/>
        </w:rPr>
      </w:pPr>
    </w:p>
    <w:p>
      <w:pPr>
        <w:spacing w:line="440" w:lineRule="exact"/>
        <w:ind w:firstLine="5520" w:firstLineChars="2300"/>
        <w:rPr>
          <w:rFonts w:eastAsia="黑体"/>
          <w:b/>
          <w:sz w:val="24"/>
        </w:rPr>
      </w:pPr>
      <w:r>
        <w:rPr>
          <w:rFonts w:hint="eastAsia" w:ascii="宋体" w:hAnsi="宋体" w:eastAsia="仿宋" w:cs="宋体"/>
          <w:sz w:val="24"/>
        </w:rPr>
        <w:t>日期：年月日</w:t>
      </w:r>
    </w:p>
    <w:p>
      <w:pPr>
        <w:rPr>
          <w:rFonts w:hAnsi="宋体" w:eastAsia="黑体"/>
          <w:b/>
          <w:bCs/>
          <w:sz w:val="30"/>
          <w:szCs w:val="28"/>
        </w:rPr>
      </w:pPr>
      <w:r>
        <w:rPr>
          <w:rFonts w:hAnsi="宋体" w:eastAsia="黑体"/>
          <w:b/>
          <w:bCs/>
          <w:sz w:val="30"/>
          <w:szCs w:val="28"/>
        </w:rPr>
        <w:br w:type="page"/>
      </w:r>
    </w:p>
    <w:p>
      <w:pPr>
        <w:widowControl/>
        <w:numPr>
          <w:ilvl w:val="0"/>
          <w:numId w:val="17"/>
        </w:numPr>
        <w:spacing w:line="360" w:lineRule="auto"/>
        <w:jc w:val="center"/>
        <w:outlineLvl w:val="2"/>
        <w:rPr>
          <w:rFonts w:ascii="仿宋" w:hAnsi="仿宋" w:eastAsia="仿宋" w:cs="仿宋"/>
          <w:sz w:val="21"/>
          <w:szCs w:val="21"/>
        </w:rPr>
      </w:pPr>
      <w:r>
        <w:rPr>
          <w:rFonts w:hint="eastAsia" w:ascii="仿宋" w:hAnsi="仿宋" w:eastAsia="仿宋" w:cs="仿宋"/>
          <w:b/>
          <w:kern w:val="0"/>
          <w:sz w:val="21"/>
          <w:szCs w:val="21"/>
        </w:rPr>
        <w:t>小微企业、监狱企业、残疾人福利单位、节能环保的声明函或证明材料（可选项）</w:t>
      </w:r>
    </w:p>
    <w:p>
      <w:pPr>
        <w:spacing w:line="360" w:lineRule="auto"/>
        <w:jc w:val="center"/>
        <w:outlineLvl w:val="2"/>
        <w:rPr>
          <w:rFonts w:hint="eastAsia" w:ascii="仿宋" w:hAnsi="仿宋" w:eastAsia="仿宋" w:cs="仿宋"/>
          <w:sz w:val="21"/>
          <w:szCs w:val="21"/>
        </w:rPr>
      </w:pPr>
      <w:bookmarkStart w:id="118" w:name="_Toc25392"/>
      <w:r>
        <w:rPr>
          <w:rFonts w:hint="eastAsia" w:ascii="仿宋" w:hAnsi="仿宋" w:eastAsia="仿宋" w:cs="仿宋"/>
          <w:sz w:val="21"/>
          <w:szCs w:val="21"/>
        </w:rPr>
        <w:t>（一）</w:t>
      </w:r>
      <w:bookmarkEnd w:id="118"/>
      <w:r>
        <w:rPr>
          <w:rFonts w:hint="eastAsia" w:ascii="仿宋" w:hAnsi="仿宋" w:eastAsia="仿宋" w:cs="仿宋"/>
          <w:sz w:val="21"/>
          <w:szCs w:val="21"/>
        </w:rPr>
        <w:t>中小企业声明函（工程）</w:t>
      </w:r>
    </w:p>
    <w:p>
      <w:pPr>
        <w:spacing w:line="360" w:lineRule="auto"/>
        <w:jc w:val="center"/>
        <w:rPr>
          <w:rFonts w:hint="eastAsia" w:ascii="仿宋" w:hAnsi="仿宋" w:eastAsia="仿宋" w:cs="仿宋"/>
          <w:sz w:val="21"/>
          <w:szCs w:val="21"/>
        </w:rPr>
      </w:pPr>
      <w:r>
        <w:rPr>
          <w:rFonts w:hint="eastAsia" w:ascii="仿宋" w:hAnsi="仿宋" w:eastAsia="仿宋" w:cs="仿宋"/>
          <w:sz w:val="21"/>
          <w:szCs w:val="21"/>
        </w:rPr>
        <w:t>（注：符合中小企业划型标准的企业请提供本函，不符合的不提供本函）</w:t>
      </w:r>
    </w:p>
    <w:p>
      <w:pPr>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本公司（联合体）郑重声明，根据《政府采购促进中小企业发展管理办法》（财库﹝2020﹞46 号）的规定，本公司（联合体）参加</w:t>
      </w:r>
      <w:r>
        <w:rPr>
          <w:rFonts w:hint="eastAsia" w:ascii="仿宋" w:hAnsi="仿宋" w:eastAsia="仿宋" w:cs="仿宋"/>
          <w:sz w:val="21"/>
          <w:szCs w:val="21"/>
          <w:u w:val="single"/>
        </w:rPr>
        <w:t>（单位名称）</w:t>
      </w:r>
      <w:r>
        <w:rPr>
          <w:rFonts w:hint="eastAsia" w:ascii="仿宋" w:hAnsi="仿宋" w:eastAsia="仿宋" w:cs="仿宋"/>
          <w:sz w:val="21"/>
          <w:szCs w:val="21"/>
        </w:rPr>
        <w:t>的</w:t>
      </w:r>
      <w:r>
        <w:rPr>
          <w:rFonts w:hint="eastAsia" w:ascii="仿宋" w:hAnsi="仿宋" w:eastAsia="仿宋" w:cs="仿宋"/>
          <w:sz w:val="21"/>
          <w:szCs w:val="21"/>
          <w:u w:val="single"/>
        </w:rPr>
        <w:t>（项目名称）</w:t>
      </w:r>
      <w:r>
        <w:rPr>
          <w:rFonts w:hint="eastAsia" w:ascii="仿宋" w:hAnsi="仿宋" w:eastAsia="仿宋" w:cs="仿宋"/>
          <w:sz w:val="21"/>
          <w:szCs w:val="21"/>
        </w:rPr>
        <w:t>采购活动，提供的货物全部由符合政策要求的中小企业制造。相关企业（含联合体中的中小企业、签订分包意向协议的中小企业） 的具体情况如下：</w:t>
      </w:r>
    </w:p>
    <w:p>
      <w:pPr>
        <w:spacing w:line="360" w:lineRule="auto"/>
        <w:ind w:firstLine="630" w:firstLineChars="300"/>
        <w:rPr>
          <w:rFonts w:hint="eastAsia" w:ascii="仿宋" w:hAnsi="仿宋" w:eastAsia="仿宋" w:cs="仿宋"/>
          <w:sz w:val="21"/>
          <w:szCs w:val="21"/>
        </w:rPr>
      </w:pPr>
      <w:r>
        <w:rPr>
          <w:rFonts w:hint="eastAsia" w:ascii="仿宋" w:hAnsi="仿宋" w:eastAsia="仿宋" w:cs="仿宋"/>
          <w:sz w:val="21"/>
          <w:szCs w:val="21"/>
        </w:rPr>
        <w:t xml:space="preserve">1. </w:t>
      </w:r>
      <w:r>
        <w:rPr>
          <w:rFonts w:hint="eastAsia" w:ascii="仿宋" w:hAnsi="仿宋" w:eastAsia="仿宋" w:cs="仿宋"/>
          <w:sz w:val="21"/>
          <w:szCs w:val="21"/>
          <w:u w:val="single"/>
        </w:rPr>
        <w:t>（ 标 的 名 称 ）</w:t>
      </w:r>
      <w:r>
        <w:rPr>
          <w:rFonts w:hint="eastAsia" w:ascii="仿宋" w:hAnsi="仿宋" w:eastAsia="仿宋" w:cs="仿宋"/>
          <w:sz w:val="21"/>
          <w:szCs w:val="21"/>
        </w:rPr>
        <w:t xml:space="preserve"> ， 属 于</w:t>
      </w:r>
      <w:r>
        <w:rPr>
          <w:rFonts w:hint="eastAsia" w:ascii="仿宋" w:hAnsi="仿宋" w:eastAsia="仿宋" w:cs="仿宋"/>
          <w:sz w:val="21"/>
          <w:szCs w:val="21"/>
          <w:u w:val="single"/>
        </w:rPr>
        <w:t>建筑业</w:t>
      </w:r>
      <w:r>
        <w:rPr>
          <w:rFonts w:hint="eastAsia" w:ascii="仿宋" w:hAnsi="仿宋" w:eastAsia="仿宋" w:cs="仿宋"/>
          <w:sz w:val="21"/>
          <w:szCs w:val="21"/>
        </w:rPr>
        <w:t>行业；承建（承接）</w:t>
      </w:r>
      <w:r>
        <w:rPr>
          <w:rFonts w:hint="eastAsia" w:ascii="仿宋" w:hAnsi="仿宋" w:eastAsia="仿宋" w:cs="仿宋"/>
          <w:sz w:val="21"/>
          <w:szCs w:val="21"/>
          <w:u w:val="single"/>
        </w:rPr>
        <w:t>（企业名称）</w:t>
      </w:r>
      <w:r>
        <w:rPr>
          <w:rFonts w:hint="eastAsia" w:ascii="仿宋" w:hAnsi="仿宋" w:eastAsia="仿宋" w:cs="仿宋"/>
          <w:sz w:val="21"/>
          <w:szCs w:val="21"/>
        </w:rPr>
        <w:t>，从业人员</w:t>
      </w:r>
      <w:r>
        <w:rPr>
          <w:rFonts w:hint="eastAsia" w:ascii="仿宋" w:hAnsi="仿宋" w:eastAsia="仿宋" w:cs="仿宋"/>
          <w:sz w:val="21"/>
          <w:szCs w:val="21"/>
          <w:u w:val="single"/>
        </w:rPr>
        <w:tab/>
      </w:r>
      <w:r>
        <w:rPr>
          <w:rFonts w:hint="eastAsia" w:ascii="仿宋" w:hAnsi="仿宋" w:eastAsia="仿宋" w:cs="仿宋"/>
          <w:sz w:val="21"/>
          <w:szCs w:val="21"/>
        </w:rPr>
        <w:t>人，营业收入为</w:t>
      </w:r>
      <w:r>
        <w:rPr>
          <w:rFonts w:hint="eastAsia" w:ascii="仿宋" w:hAnsi="仿宋" w:eastAsia="仿宋" w:cs="仿宋"/>
          <w:sz w:val="21"/>
          <w:szCs w:val="21"/>
          <w:u w:val="single"/>
        </w:rPr>
        <w:tab/>
      </w:r>
      <w:r>
        <w:rPr>
          <w:rFonts w:hint="eastAsia" w:ascii="仿宋" w:hAnsi="仿宋" w:eastAsia="仿宋" w:cs="仿宋"/>
          <w:sz w:val="21"/>
          <w:szCs w:val="21"/>
        </w:rPr>
        <w:t xml:space="preserve">万元，资产总额为 </w:t>
      </w:r>
      <w:r>
        <w:rPr>
          <w:rFonts w:hint="eastAsia" w:ascii="仿宋" w:hAnsi="仿宋" w:eastAsia="仿宋" w:cs="仿宋"/>
          <w:sz w:val="21"/>
          <w:szCs w:val="21"/>
        </w:rPr>
        <w:tab/>
      </w:r>
      <w:r>
        <w:rPr>
          <w:rFonts w:hint="eastAsia" w:ascii="仿宋" w:hAnsi="仿宋" w:eastAsia="仿宋" w:cs="仿宋"/>
          <w:sz w:val="21"/>
          <w:szCs w:val="21"/>
        </w:rPr>
        <w:t>万元，属于</w:t>
      </w:r>
      <w:r>
        <w:rPr>
          <w:rFonts w:hint="eastAsia" w:ascii="仿宋" w:hAnsi="仿宋" w:eastAsia="仿宋" w:cs="仿宋"/>
          <w:sz w:val="21"/>
          <w:szCs w:val="21"/>
          <w:u w:val="single"/>
        </w:rPr>
        <w:t>（中型企业、小型企业、微型企业）</w:t>
      </w:r>
      <w:r>
        <w:rPr>
          <w:rFonts w:hint="eastAsia" w:ascii="仿宋" w:hAnsi="仿宋" w:eastAsia="仿宋" w:cs="仿宋"/>
          <w:sz w:val="21"/>
          <w:szCs w:val="21"/>
        </w:rPr>
        <w:t>；</w:t>
      </w:r>
    </w:p>
    <w:p>
      <w:pPr>
        <w:spacing w:line="360" w:lineRule="auto"/>
        <w:ind w:firstLine="630" w:firstLineChars="300"/>
        <w:rPr>
          <w:rFonts w:hint="eastAsia" w:ascii="仿宋" w:hAnsi="仿宋" w:eastAsia="仿宋" w:cs="仿宋"/>
          <w:sz w:val="21"/>
          <w:szCs w:val="21"/>
        </w:rPr>
      </w:pPr>
      <w:r>
        <w:rPr>
          <w:rFonts w:hint="eastAsia" w:ascii="仿宋" w:hAnsi="仿宋" w:eastAsia="仿宋" w:cs="仿宋"/>
          <w:sz w:val="21"/>
          <w:szCs w:val="21"/>
        </w:rPr>
        <w:t xml:space="preserve">2. </w:t>
      </w:r>
      <w:r>
        <w:rPr>
          <w:rFonts w:hint="eastAsia" w:ascii="仿宋" w:hAnsi="仿宋" w:eastAsia="仿宋" w:cs="仿宋"/>
          <w:sz w:val="21"/>
          <w:szCs w:val="21"/>
          <w:u w:val="single"/>
        </w:rPr>
        <w:t>（ 标 的 名 称 ）</w:t>
      </w:r>
      <w:r>
        <w:rPr>
          <w:rFonts w:hint="eastAsia" w:ascii="仿宋" w:hAnsi="仿宋" w:eastAsia="仿宋" w:cs="仿宋"/>
          <w:sz w:val="21"/>
          <w:szCs w:val="21"/>
        </w:rPr>
        <w:t xml:space="preserve"> ， 属 于 </w:t>
      </w:r>
      <w:r>
        <w:rPr>
          <w:rFonts w:hint="eastAsia" w:ascii="仿宋" w:hAnsi="仿宋" w:eastAsia="仿宋" w:cs="仿宋"/>
          <w:sz w:val="21"/>
          <w:szCs w:val="21"/>
          <w:u w:val="single"/>
        </w:rPr>
        <w:t>（ 采 购 文 件 中 明 确 的 所 属 行 业 ） 行业</w:t>
      </w:r>
      <w:r>
        <w:rPr>
          <w:rFonts w:hint="eastAsia" w:ascii="仿宋" w:hAnsi="仿宋" w:eastAsia="仿宋" w:cs="仿宋"/>
          <w:sz w:val="21"/>
          <w:szCs w:val="21"/>
        </w:rPr>
        <w:t>；承建（承接）</w:t>
      </w:r>
      <w:r>
        <w:rPr>
          <w:rFonts w:hint="eastAsia" w:ascii="仿宋" w:hAnsi="仿宋" w:eastAsia="仿宋" w:cs="仿宋"/>
          <w:sz w:val="21"/>
          <w:szCs w:val="21"/>
          <w:u w:val="single"/>
        </w:rPr>
        <w:t>（企业名称）</w:t>
      </w:r>
      <w:r>
        <w:rPr>
          <w:rFonts w:hint="eastAsia" w:ascii="仿宋" w:hAnsi="仿宋" w:eastAsia="仿宋" w:cs="仿宋"/>
          <w:sz w:val="21"/>
          <w:szCs w:val="21"/>
        </w:rPr>
        <w:t>，从业人员</w:t>
      </w:r>
      <w:r>
        <w:rPr>
          <w:rFonts w:hint="eastAsia" w:ascii="仿宋" w:hAnsi="仿宋" w:eastAsia="仿宋" w:cs="仿宋"/>
          <w:sz w:val="21"/>
          <w:szCs w:val="21"/>
          <w:u w:val="single"/>
        </w:rPr>
        <w:tab/>
      </w:r>
      <w:r>
        <w:rPr>
          <w:rFonts w:hint="eastAsia" w:ascii="仿宋" w:hAnsi="仿宋" w:eastAsia="仿宋" w:cs="仿宋"/>
          <w:sz w:val="21"/>
          <w:szCs w:val="21"/>
        </w:rPr>
        <w:t>人，营业收入为</w:t>
      </w:r>
      <w:r>
        <w:rPr>
          <w:rFonts w:hint="eastAsia" w:ascii="仿宋" w:hAnsi="仿宋" w:eastAsia="仿宋" w:cs="仿宋"/>
          <w:sz w:val="21"/>
          <w:szCs w:val="21"/>
          <w:u w:val="single"/>
        </w:rPr>
        <w:tab/>
      </w:r>
      <w:r>
        <w:rPr>
          <w:rFonts w:hint="eastAsia" w:ascii="仿宋" w:hAnsi="仿宋" w:eastAsia="仿宋" w:cs="仿宋"/>
          <w:sz w:val="21"/>
          <w:szCs w:val="21"/>
        </w:rPr>
        <w:t xml:space="preserve">万元，资产总额为   </w:t>
      </w:r>
      <w:r>
        <w:rPr>
          <w:rFonts w:hint="eastAsia" w:ascii="仿宋" w:hAnsi="仿宋" w:eastAsia="仿宋" w:cs="仿宋"/>
          <w:sz w:val="21"/>
          <w:szCs w:val="21"/>
        </w:rPr>
        <w:tab/>
      </w:r>
      <w:r>
        <w:rPr>
          <w:rFonts w:hint="eastAsia" w:ascii="仿宋" w:hAnsi="仿宋" w:eastAsia="仿宋" w:cs="仿宋"/>
          <w:sz w:val="21"/>
          <w:szCs w:val="21"/>
        </w:rPr>
        <w:t>万元，属于</w:t>
      </w:r>
      <w:r>
        <w:rPr>
          <w:rFonts w:hint="eastAsia" w:ascii="仿宋" w:hAnsi="仿宋" w:eastAsia="仿宋" w:cs="仿宋"/>
          <w:sz w:val="21"/>
          <w:szCs w:val="21"/>
          <w:u w:val="single"/>
        </w:rPr>
        <w:t>（中型企业、小型企业、微型企业）</w:t>
      </w:r>
      <w:r>
        <w:rPr>
          <w:rFonts w:hint="eastAsia" w:ascii="仿宋" w:hAnsi="仿宋" w:eastAsia="仿宋" w:cs="仿宋"/>
          <w:sz w:val="21"/>
          <w:szCs w:val="21"/>
        </w:rPr>
        <w:t>；</w:t>
      </w:r>
    </w:p>
    <w:p>
      <w:pPr>
        <w:spacing w:line="360" w:lineRule="auto"/>
        <w:ind w:firstLine="630" w:firstLineChars="300"/>
        <w:rPr>
          <w:rFonts w:hint="eastAsia" w:ascii="仿宋" w:hAnsi="仿宋" w:eastAsia="仿宋" w:cs="仿宋"/>
          <w:sz w:val="21"/>
          <w:szCs w:val="21"/>
        </w:rPr>
      </w:pPr>
      <w:r>
        <w:rPr>
          <w:rFonts w:hint="eastAsia" w:ascii="仿宋" w:hAnsi="仿宋" w:eastAsia="仿宋" w:cs="仿宋"/>
          <w:sz w:val="21"/>
          <w:szCs w:val="21"/>
        </w:rPr>
        <w:t>……</w:t>
      </w:r>
    </w:p>
    <w:p>
      <w:pPr>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以上企业，不属于大企业的分支机构，不存在控股股东为大企业的情形，也不存在与大企业的负责人为同一人的情形。</w:t>
      </w:r>
    </w:p>
    <w:p>
      <w:pPr>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本企业对上述声明内容的真实性负责。如有虚假，将依法承担相应责任。</w:t>
      </w:r>
    </w:p>
    <w:p>
      <w:pPr>
        <w:spacing w:line="360" w:lineRule="auto"/>
        <w:rPr>
          <w:rFonts w:hint="eastAsia" w:ascii="仿宋" w:hAnsi="仿宋" w:eastAsia="仿宋" w:cs="仿宋"/>
          <w:sz w:val="21"/>
          <w:szCs w:val="21"/>
        </w:rPr>
      </w:pPr>
    </w:p>
    <w:p>
      <w:pPr>
        <w:spacing w:line="360" w:lineRule="auto"/>
        <w:ind w:firstLine="840" w:firstLineChars="400"/>
        <w:rPr>
          <w:rFonts w:hint="eastAsia" w:ascii="仿宋" w:hAnsi="仿宋" w:eastAsia="仿宋" w:cs="仿宋"/>
          <w:sz w:val="21"/>
          <w:szCs w:val="21"/>
        </w:rPr>
      </w:pPr>
      <w:r>
        <w:rPr>
          <w:rFonts w:hint="eastAsia" w:ascii="仿宋" w:hAnsi="仿宋" w:eastAsia="仿宋" w:cs="仿宋"/>
          <w:sz w:val="21"/>
          <w:szCs w:val="21"/>
        </w:rPr>
        <w:t>企业名称（盖单位电子印章）：</w:t>
      </w:r>
    </w:p>
    <w:p>
      <w:pPr>
        <w:spacing w:line="360" w:lineRule="auto"/>
        <w:ind w:firstLine="840" w:firstLineChars="400"/>
        <w:rPr>
          <w:rFonts w:hint="eastAsia" w:ascii="仿宋" w:hAnsi="仿宋" w:eastAsia="仿宋" w:cs="仿宋"/>
          <w:sz w:val="24"/>
          <w:szCs w:val="24"/>
        </w:rPr>
      </w:pPr>
      <w:r>
        <w:rPr>
          <w:rFonts w:hint="eastAsia" w:ascii="仿宋" w:hAnsi="仿宋" w:eastAsia="仿宋" w:cs="仿宋"/>
          <w:sz w:val="21"/>
          <w:szCs w:val="21"/>
        </w:rPr>
        <w:t>日期：</w:t>
      </w:r>
    </w:p>
    <w:p>
      <w:pPr>
        <w:pStyle w:val="29"/>
        <w:spacing w:line="240" w:lineRule="auto"/>
        <w:ind w:firstLine="0" w:firstLineChars="0"/>
        <w:sectPr>
          <w:footerReference r:id="rId9" w:type="default"/>
          <w:pgSz w:w="11900" w:h="16838"/>
          <w:pgMar w:top="1440" w:right="1440" w:bottom="936" w:left="1440" w:header="0" w:footer="567" w:gutter="0"/>
          <w:cols w:space="720" w:num="1"/>
        </w:sectPr>
      </w:pPr>
    </w:p>
    <w:p>
      <w:pPr>
        <w:spacing w:line="360" w:lineRule="auto"/>
        <w:jc w:val="center"/>
        <w:outlineLvl w:val="2"/>
        <w:rPr>
          <w:rFonts w:ascii="仿宋" w:hAnsi="仿宋" w:eastAsia="仿宋" w:cs="仿宋"/>
          <w:sz w:val="21"/>
          <w:szCs w:val="21"/>
        </w:rPr>
      </w:pPr>
      <w:bookmarkStart w:id="119" w:name="_Toc12522"/>
      <w:r>
        <w:rPr>
          <w:rFonts w:hint="eastAsia" w:ascii="仿宋" w:hAnsi="仿宋" w:eastAsia="仿宋" w:cs="仿宋"/>
          <w:sz w:val="21"/>
          <w:szCs w:val="21"/>
        </w:rPr>
        <w:t>（二）监狱企业证明</w:t>
      </w:r>
      <w:bookmarkEnd w:id="119"/>
    </w:p>
    <w:p>
      <w:pPr>
        <w:spacing w:line="360" w:lineRule="auto"/>
        <w:jc w:val="center"/>
        <w:rPr>
          <w:rFonts w:ascii="仿宋" w:hAnsi="仿宋" w:eastAsia="仿宋" w:cs="仿宋"/>
          <w:sz w:val="21"/>
          <w:szCs w:val="21"/>
        </w:rPr>
      </w:pPr>
      <w:r>
        <w:rPr>
          <w:rFonts w:hint="eastAsia" w:ascii="仿宋" w:hAnsi="仿宋" w:eastAsia="仿宋" w:cs="仿宋"/>
          <w:sz w:val="21"/>
          <w:szCs w:val="21"/>
        </w:rPr>
        <w:t>（注：符合条件的监狱企业请提供本函，不符合的不提供本函）</w:t>
      </w:r>
    </w:p>
    <w:p>
      <w:pPr>
        <w:pStyle w:val="72"/>
        <w:snapToGrid w:val="0"/>
        <w:spacing w:before="156" w:beforeLines="50" w:line="360" w:lineRule="auto"/>
        <w:rPr>
          <w:rFonts w:hAnsi="宋体" w:eastAsia="黑体"/>
          <w:b/>
          <w:bCs/>
          <w:sz w:val="21"/>
          <w:szCs w:val="21"/>
        </w:rPr>
      </w:pPr>
      <w:r>
        <w:rPr>
          <w:rFonts w:hint="eastAsia" w:ascii="仿宋" w:hAnsi="仿宋" w:eastAsia="仿宋" w:cs="仿宋"/>
          <w:sz w:val="21"/>
          <w:szCs w:val="21"/>
        </w:rPr>
        <w:t>省级以上监狱管理局、戒毒管理局（含新疆生产建设兵团）出具的属于监狱企业的证明文件。</w:t>
      </w:r>
    </w:p>
    <w:p>
      <w:pPr>
        <w:spacing w:line="360" w:lineRule="auto"/>
        <w:jc w:val="center"/>
        <w:outlineLvl w:val="2"/>
        <w:rPr>
          <w:rFonts w:ascii="仿宋" w:hAnsi="仿宋" w:eastAsia="仿宋" w:cs="仿宋"/>
          <w:sz w:val="21"/>
          <w:szCs w:val="21"/>
        </w:rPr>
      </w:pPr>
      <w:bookmarkStart w:id="120" w:name="_Toc23737"/>
    </w:p>
    <w:p>
      <w:pPr>
        <w:spacing w:line="360" w:lineRule="auto"/>
        <w:jc w:val="center"/>
        <w:outlineLvl w:val="2"/>
        <w:rPr>
          <w:rFonts w:ascii="仿宋" w:hAnsi="仿宋" w:eastAsia="仿宋" w:cs="仿宋"/>
          <w:sz w:val="21"/>
          <w:szCs w:val="21"/>
        </w:rPr>
      </w:pPr>
      <w:r>
        <w:rPr>
          <w:rFonts w:hint="eastAsia" w:ascii="仿宋" w:hAnsi="仿宋" w:eastAsia="仿宋" w:cs="仿宋"/>
          <w:sz w:val="21"/>
          <w:szCs w:val="21"/>
        </w:rPr>
        <w:t>（三）残疾人福利性单位声明函</w:t>
      </w:r>
      <w:bookmarkEnd w:id="120"/>
    </w:p>
    <w:p>
      <w:pPr>
        <w:spacing w:line="360" w:lineRule="auto"/>
        <w:jc w:val="center"/>
        <w:rPr>
          <w:rFonts w:ascii="仿宋" w:hAnsi="仿宋" w:eastAsia="仿宋" w:cs="仿宋"/>
          <w:sz w:val="21"/>
          <w:szCs w:val="21"/>
        </w:rPr>
      </w:pPr>
      <w:r>
        <w:rPr>
          <w:rFonts w:hint="eastAsia" w:ascii="仿宋" w:hAnsi="仿宋" w:eastAsia="仿宋" w:cs="仿宋"/>
          <w:sz w:val="21"/>
          <w:szCs w:val="21"/>
        </w:rPr>
        <w:t>（注：符合条件的残疾人福利性单位请提供本函，不符合的不提供本函）</w:t>
      </w:r>
    </w:p>
    <w:p>
      <w:pPr>
        <w:spacing w:line="360" w:lineRule="auto"/>
        <w:rPr>
          <w:rFonts w:ascii="仿宋" w:hAnsi="仿宋" w:eastAsia="仿宋" w:cs="仿宋"/>
          <w:sz w:val="21"/>
          <w:szCs w:val="21"/>
        </w:rPr>
      </w:pPr>
    </w:p>
    <w:p>
      <w:pPr>
        <w:spacing w:line="360" w:lineRule="auto"/>
        <w:rPr>
          <w:rFonts w:ascii="仿宋" w:hAnsi="仿宋" w:eastAsia="仿宋" w:cs="仿宋"/>
          <w:sz w:val="21"/>
          <w:szCs w:val="21"/>
        </w:rPr>
      </w:pPr>
      <w:r>
        <w:rPr>
          <w:rFonts w:hint="eastAsia" w:ascii="仿宋" w:hAnsi="仿宋" w:eastAsia="仿宋" w:cs="仿宋"/>
          <w:sz w:val="21"/>
          <w:szCs w:val="21"/>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rPr>
          <w:rFonts w:ascii="仿宋" w:hAnsi="仿宋" w:eastAsia="仿宋" w:cs="仿宋"/>
          <w:sz w:val="21"/>
          <w:szCs w:val="21"/>
        </w:rPr>
      </w:pPr>
    </w:p>
    <w:p>
      <w:pPr>
        <w:spacing w:line="360" w:lineRule="auto"/>
        <w:rPr>
          <w:rFonts w:ascii="仿宋" w:hAnsi="仿宋" w:eastAsia="仿宋" w:cs="仿宋"/>
          <w:sz w:val="21"/>
          <w:szCs w:val="21"/>
        </w:rPr>
      </w:pPr>
      <w:r>
        <w:rPr>
          <w:rFonts w:hint="eastAsia" w:ascii="仿宋" w:hAnsi="仿宋" w:eastAsia="仿宋" w:cs="仿宋"/>
          <w:sz w:val="21"/>
          <w:szCs w:val="21"/>
        </w:rPr>
        <w:t>本单位对上述声明的真实性负责。如有虚假，将依法承担相应责任。</w:t>
      </w:r>
    </w:p>
    <w:p>
      <w:pPr>
        <w:spacing w:line="360" w:lineRule="auto"/>
        <w:rPr>
          <w:rFonts w:ascii="仿宋" w:hAnsi="仿宋" w:eastAsia="仿宋" w:cs="仿宋"/>
          <w:sz w:val="21"/>
          <w:szCs w:val="21"/>
        </w:rPr>
      </w:pPr>
      <w:r>
        <w:rPr>
          <w:rFonts w:hint="eastAsia" w:ascii="仿宋" w:hAnsi="仿宋" w:eastAsia="仿宋" w:cs="仿宋"/>
          <w:sz w:val="21"/>
          <w:szCs w:val="21"/>
        </w:rPr>
        <w:t>单位名称（盖单位电子印章）：</w:t>
      </w:r>
    </w:p>
    <w:p>
      <w:pPr>
        <w:spacing w:line="360" w:lineRule="auto"/>
        <w:rPr>
          <w:rFonts w:ascii="仿宋" w:hAnsi="仿宋" w:eastAsia="仿宋" w:cs="仿宋"/>
          <w:sz w:val="21"/>
          <w:szCs w:val="21"/>
        </w:rPr>
      </w:pPr>
      <w:r>
        <w:rPr>
          <w:rFonts w:hint="eastAsia" w:ascii="仿宋" w:hAnsi="仿宋" w:eastAsia="仿宋" w:cs="仿宋"/>
          <w:sz w:val="21"/>
          <w:szCs w:val="21"/>
        </w:rPr>
        <w:t>日  期：</w:t>
      </w:r>
    </w:p>
    <w:p>
      <w:pPr>
        <w:rPr>
          <w:rFonts w:hAnsi="宋体" w:eastAsia="黑体"/>
          <w:b/>
          <w:bCs/>
          <w:sz w:val="21"/>
          <w:szCs w:val="21"/>
        </w:rPr>
      </w:pPr>
    </w:p>
    <w:p>
      <w:pPr>
        <w:jc w:val="center"/>
        <w:rPr>
          <w:rFonts w:eastAsia="隶书"/>
          <w:b/>
          <w:sz w:val="32"/>
          <w:szCs w:val="32"/>
        </w:rPr>
      </w:pPr>
    </w:p>
    <w:p>
      <w:pPr>
        <w:rPr>
          <w:rFonts w:ascii="仿宋_GB2312" w:hAnsi="仿宋_GB2312" w:eastAsia="仿宋_GB2312" w:cs="仿宋_GB2312"/>
        </w:rPr>
      </w:pPr>
      <w:r>
        <w:rPr>
          <w:rFonts w:hint="eastAsia" w:ascii="仿宋_GB2312" w:hAnsi="仿宋_GB2312" w:eastAsia="仿宋_GB2312" w:cs="仿宋_GB2312"/>
        </w:rPr>
        <w:br w:type="page"/>
      </w:r>
    </w:p>
    <w:p>
      <w:pPr>
        <w:spacing w:line="360" w:lineRule="auto"/>
        <w:jc w:val="center"/>
        <w:rPr>
          <w:rFonts w:ascii="仿宋" w:hAnsi="仿宋" w:eastAsia="仿宋" w:cs="仿宋"/>
          <w:sz w:val="21"/>
          <w:szCs w:val="21"/>
        </w:rPr>
      </w:pPr>
      <w:r>
        <w:rPr>
          <w:rFonts w:hint="eastAsia" w:ascii="仿宋" w:hAnsi="仿宋" w:eastAsia="仿宋" w:cs="仿宋"/>
          <w:sz w:val="21"/>
          <w:szCs w:val="21"/>
        </w:rPr>
        <w:t>（四）、政府采购节能、环保产品汇总表</w:t>
      </w:r>
    </w:p>
    <w:p>
      <w:pPr>
        <w:spacing w:line="360" w:lineRule="auto"/>
        <w:rPr>
          <w:rFonts w:ascii="仿宋" w:hAnsi="仿宋" w:eastAsia="仿宋" w:cs="仿宋"/>
          <w:sz w:val="21"/>
          <w:szCs w:val="21"/>
        </w:rPr>
      </w:pPr>
    </w:p>
    <w:tbl>
      <w:tblPr>
        <w:tblStyle w:val="30"/>
        <w:tblW w:w="873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8"/>
        <w:gridCol w:w="1001"/>
        <w:gridCol w:w="1259"/>
        <w:gridCol w:w="544"/>
        <w:gridCol w:w="1381"/>
        <w:gridCol w:w="1655"/>
        <w:gridCol w:w="1461"/>
        <w:gridCol w:w="8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578" w:type="dxa"/>
            <w:vMerge w:val="restart"/>
            <w:tcBorders>
              <w:top w:val="single" w:color="000000" w:sz="2" w:space="0"/>
              <w:left w:val="single" w:color="000000" w:sz="2" w:space="0"/>
              <w:bottom w:val="nil"/>
              <w:right w:val="single" w:color="000000" w:sz="2" w:space="0"/>
              <w:tl2br w:val="nil"/>
              <w:tr2bl w:val="nil"/>
            </w:tcBorders>
            <w:textDirection w:val="tbRlV"/>
          </w:tcPr>
          <w:p>
            <w:pPr>
              <w:spacing w:line="360" w:lineRule="auto"/>
              <w:rPr>
                <w:rFonts w:ascii="仿宋" w:hAnsi="仿宋" w:eastAsia="仿宋" w:cs="仿宋"/>
                <w:sz w:val="21"/>
                <w:szCs w:val="21"/>
              </w:rPr>
            </w:pPr>
            <w:r>
              <w:rPr>
                <w:rFonts w:hint="eastAsia" w:ascii="仿宋" w:hAnsi="仿宋" w:eastAsia="仿宋" w:cs="仿宋"/>
                <w:sz w:val="21"/>
                <w:szCs w:val="21"/>
              </w:rPr>
              <w:t>序 号</w:t>
            </w:r>
          </w:p>
        </w:tc>
        <w:tc>
          <w:tcPr>
            <w:tcW w:w="1001" w:type="dxa"/>
            <w:vMerge w:val="restart"/>
            <w:tcBorders>
              <w:top w:val="single" w:color="000000" w:sz="2" w:space="0"/>
              <w:left w:val="single" w:color="000000" w:sz="2" w:space="0"/>
              <w:bottom w:val="nil"/>
              <w:right w:val="single" w:color="000000" w:sz="2" w:space="0"/>
              <w:tl2br w:val="nil"/>
              <w:tr2bl w:val="nil"/>
            </w:tcBorders>
          </w:tcPr>
          <w:p>
            <w:pPr>
              <w:spacing w:line="360" w:lineRule="auto"/>
              <w:rPr>
                <w:rFonts w:ascii="仿宋" w:hAnsi="仿宋" w:eastAsia="仿宋" w:cs="仿宋"/>
                <w:sz w:val="21"/>
                <w:szCs w:val="21"/>
              </w:rPr>
            </w:pPr>
            <w:r>
              <w:rPr>
                <w:rFonts w:hint="eastAsia" w:ascii="仿宋" w:hAnsi="仿宋" w:eastAsia="仿宋" w:cs="仿宋"/>
                <w:sz w:val="21"/>
                <w:szCs w:val="21"/>
              </w:rPr>
              <w:t>投报产品 名称</w:t>
            </w:r>
          </w:p>
        </w:tc>
        <w:tc>
          <w:tcPr>
            <w:tcW w:w="1259" w:type="dxa"/>
            <w:vMerge w:val="restart"/>
            <w:tcBorders>
              <w:top w:val="single" w:color="000000" w:sz="2" w:space="0"/>
              <w:left w:val="single" w:color="000000" w:sz="2" w:space="0"/>
              <w:bottom w:val="nil"/>
              <w:right w:val="single" w:color="000000" w:sz="2" w:space="0"/>
              <w:tl2br w:val="nil"/>
              <w:tr2bl w:val="nil"/>
            </w:tcBorders>
          </w:tcPr>
          <w:p>
            <w:pPr>
              <w:spacing w:line="360" w:lineRule="auto"/>
              <w:rPr>
                <w:rFonts w:ascii="仿宋" w:hAnsi="仿宋" w:eastAsia="仿宋" w:cs="仿宋"/>
                <w:sz w:val="21"/>
                <w:szCs w:val="21"/>
              </w:rPr>
            </w:pPr>
          </w:p>
          <w:p>
            <w:pPr>
              <w:spacing w:line="360" w:lineRule="auto"/>
              <w:rPr>
                <w:rFonts w:ascii="仿宋" w:hAnsi="仿宋" w:eastAsia="仿宋" w:cs="仿宋"/>
                <w:sz w:val="21"/>
                <w:szCs w:val="21"/>
              </w:rPr>
            </w:pPr>
            <w:r>
              <w:rPr>
                <w:rFonts w:hint="eastAsia" w:ascii="仿宋" w:hAnsi="仿宋" w:eastAsia="仿宋" w:cs="仿宋"/>
                <w:sz w:val="21"/>
                <w:szCs w:val="21"/>
              </w:rPr>
              <w:t>制造商</w:t>
            </w:r>
          </w:p>
        </w:tc>
        <w:tc>
          <w:tcPr>
            <w:tcW w:w="544" w:type="dxa"/>
            <w:vMerge w:val="restart"/>
            <w:tcBorders>
              <w:top w:val="single" w:color="000000" w:sz="2" w:space="0"/>
              <w:left w:val="single" w:color="000000" w:sz="2" w:space="0"/>
              <w:bottom w:val="nil"/>
              <w:right w:val="single" w:color="000000" w:sz="2" w:space="0"/>
              <w:tl2br w:val="nil"/>
              <w:tr2bl w:val="nil"/>
            </w:tcBorders>
            <w:textDirection w:val="tbRlV"/>
          </w:tcPr>
          <w:p>
            <w:pPr>
              <w:spacing w:line="360" w:lineRule="auto"/>
              <w:rPr>
                <w:rFonts w:ascii="仿宋" w:hAnsi="仿宋" w:eastAsia="仿宋" w:cs="仿宋"/>
                <w:sz w:val="21"/>
                <w:szCs w:val="21"/>
              </w:rPr>
            </w:pPr>
            <w:r>
              <w:rPr>
                <w:rFonts w:hint="eastAsia" w:ascii="仿宋" w:hAnsi="仿宋" w:eastAsia="仿宋" w:cs="仿宋"/>
                <w:sz w:val="21"/>
                <w:szCs w:val="21"/>
              </w:rPr>
              <w:t>品 牌</w:t>
            </w:r>
          </w:p>
        </w:tc>
        <w:tc>
          <w:tcPr>
            <w:tcW w:w="1381" w:type="dxa"/>
            <w:vMerge w:val="restart"/>
            <w:tcBorders>
              <w:top w:val="single" w:color="000000" w:sz="2" w:space="0"/>
              <w:left w:val="single" w:color="000000" w:sz="2" w:space="0"/>
              <w:bottom w:val="nil"/>
              <w:right w:val="single" w:color="000000" w:sz="2" w:space="0"/>
              <w:tl2br w:val="nil"/>
              <w:tr2bl w:val="nil"/>
            </w:tcBorders>
          </w:tcPr>
          <w:p>
            <w:pPr>
              <w:spacing w:line="360" w:lineRule="auto"/>
              <w:rPr>
                <w:rFonts w:ascii="仿宋" w:hAnsi="仿宋" w:eastAsia="仿宋" w:cs="仿宋"/>
                <w:sz w:val="21"/>
                <w:szCs w:val="21"/>
              </w:rPr>
            </w:pPr>
            <w:r>
              <w:rPr>
                <w:rFonts w:hint="eastAsia" w:ascii="仿宋" w:hAnsi="仿宋" w:eastAsia="仿宋" w:cs="仿宋"/>
                <w:sz w:val="21"/>
                <w:szCs w:val="21"/>
              </w:rPr>
              <w:t>型号</w:t>
            </w:r>
          </w:p>
          <w:p>
            <w:pPr>
              <w:spacing w:line="360" w:lineRule="auto"/>
              <w:rPr>
                <w:rFonts w:ascii="仿宋" w:hAnsi="仿宋" w:eastAsia="仿宋" w:cs="仿宋"/>
                <w:sz w:val="21"/>
                <w:szCs w:val="21"/>
              </w:rPr>
            </w:pPr>
            <w:r>
              <w:rPr>
                <w:rFonts w:hint="eastAsia" w:ascii="仿宋" w:hAnsi="仿宋" w:eastAsia="仿宋" w:cs="仿宋"/>
                <w:sz w:val="21"/>
                <w:szCs w:val="21"/>
              </w:rPr>
              <w:t>(应和清单内的 完全一致)</w:t>
            </w:r>
          </w:p>
        </w:tc>
        <w:tc>
          <w:tcPr>
            <w:tcW w:w="3116" w:type="dxa"/>
            <w:gridSpan w:val="2"/>
            <w:tcBorders>
              <w:top w:val="single" w:color="000000" w:sz="2" w:space="0"/>
              <w:left w:val="single" w:color="000000" w:sz="2" w:space="0"/>
              <w:bottom w:val="single" w:color="000000" w:sz="2" w:space="0"/>
              <w:right w:val="single" w:color="000000" w:sz="2" w:space="0"/>
              <w:tl2br w:val="nil"/>
              <w:tr2bl w:val="nil"/>
            </w:tcBorders>
          </w:tcPr>
          <w:p>
            <w:pPr>
              <w:spacing w:line="360" w:lineRule="auto"/>
              <w:rPr>
                <w:rFonts w:ascii="仿宋" w:hAnsi="仿宋" w:eastAsia="仿宋" w:cs="仿宋"/>
                <w:sz w:val="21"/>
                <w:szCs w:val="21"/>
              </w:rPr>
            </w:pPr>
            <w:r>
              <w:rPr>
                <w:rFonts w:hint="eastAsia" w:ascii="仿宋" w:hAnsi="仿宋" w:eastAsia="仿宋" w:cs="仿宋"/>
                <w:sz w:val="21"/>
                <w:szCs w:val="21"/>
              </w:rPr>
              <w:t>节能产品</w:t>
            </w:r>
          </w:p>
        </w:tc>
        <w:tc>
          <w:tcPr>
            <w:tcW w:w="855" w:type="dxa"/>
            <w:vMerge w:val="restart"/>
            <w:tcBorders>
              <w:top w:val="single" w:color="000000" w:sz="2" w:space="0"/>
              <w:left w:val="single" w:color="000000" w:sz="2" w:space="0"/>
              <w:bottom w:val="nil"/>
              <w:right w:val="single" w:color="000000" w:sz="2" w:space="0"/>
              <w:tl2br w:val="nil"/>
              <w:tr2bl w:val="nil"/>
            </w:tcBorders>
          </w:tcPr>
          <w:p>
            <w:pPr>
              <w:spacing w:line="360" w:lineRule="auto"/>
              <w:rPr>
                <w:rFonts w:ascii="仿宋" w:hAnsi="仿宋" w:eastAsia="仿宋" w:cs="仿宋"/>
                <w:sz w:val="21"/>
                <w:szCs w:val="21"/>
              </w:rPr>
            </w:pPr>
            <w:r>
              <w:rPr>
                <w:rFonts w:hint="eastAsia" w:ascii="仿宋" w:hAnsi="仿宋" w:eastAsia="仿宋" w:cs="仿宋"/>
                <w:sz w:val="21"/>
                <w:szCs w:val="21"/>
              </w:rPr>
              <w:t>环境标志产品 认证证书编号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578" w:type="dxa"/>
            <w:vMerge w:val="continue"/>
            <w:tcBorders>
              <w:top w:val="nil"/>
              <w:left w:val="single" w:color="000000" w:sz="2" w:space="0"/>
              <w:bottom w:val="single" w:color="000000" w:sz="2" w:space="0"/>
              <w:right w:val="single" w:color="000000" w:sz="2" w:space="0"/>
              <w:tl2br w:val="nil"/>
              <w:tr2bl w:val="nil"/>
            </w:tcBorders>
            <w:textDirection w:val="tbRlV"/>
          </w:tcPr>
          <w:p>
            <w:pPr>
              <w:spacing w:line="360" w:lineRule="auto"/>
              <w:rPr>
                <w:rFonts w:ascii="仿宋" w:hAnsi="仿宋" w:eastAsia="仿宋" w:cs="仿宋"/>
                <w:sz w:val="21"/>
                <w:szCs w:val="21"/>
              </w:rPr>
            </w:pPr>
          </w:p>
        </w:tc>
        <w:tc>
          <w:tcPr>
            <w:tcW w:w="1001" w:type="dxa"/>
            <w:vMerge w:val="continue"/>
            <w:tcBorders>
              <w:top w:val="nil"/>
              <w:left w:val="single" w:color="000000" w:sz="2" w:space="0"/>
              <w:bottom w:val="single" w:color="000000" w:sz="2" w:space="0"/>
              <w:right w:val="single" w:color="000000" w:sz="2" w:space="0"/>
              <w:tl2br w:val="nil"/>
              <w:tr2bl w:val="nil"/>
            </w:tcBorders>
          </w:tcPr>
          <w:p>
            <w:pPr>
              <w:spacing w:line="360" w:lineRule="auto"/>
              <w:rPr>
                <w:rFonts w:ascii="仿宋" w:hAnsi="仿宋" w:eastAsia="仿宋" w:cs="仿宋"/>
                <w:sz w:val="21"/>
                <w:szCs w:val="21"/>
              </w:rPr>
            </w:pPr>
          </w:p>
        </w:tc>
        <w:tc>
          <w:tcPr>
            <w:tcW w:w="1259" w:type="dxa"/>
            <w:vMerge w:val="continue"/>
            <w:tcBorders>
              <w:top w:val="nil"/>
              <w:left w:val="single" w:color="000000" w:sz="2" w:space="0"/>
              <w:bottom w:val="single" w:color="000000" w:sz="2" w:space="0"/>
              <w:right w:val="single" w:color="000000" w:sz="2" w:space="0"/>
              <w:tl2br w:val="nil"/>
              <w:tr2bl w:val="nil"/>
            </w:tcBorders>
          </w:tcPr>
          <w:p>
            <w:pPr>
              <w:spacing w:line="360" w:lineRule="auto"/>
              <w:rPr>
                <w:rFonts w:ascii="仿宋" w:hAnsi="仿宋" w:eastAsia="仿宋" w:cs="仿宋"/>
                <w:sz w:val="21"/>
                <w:szCs w:val="21"/>
              </w:rPr>
            </w:pPr>
          </w:p>
        </w:tc>
        <w:tc>
          <w:tcPr>
            <w:tcW w:w="544" w:type="dxa"/>
            <w:vMerge w:val="continue"/>
            <w:tcBorders>
              <w:top w:val="nil"/>
              <w:left w:val="single" w:color="000000" w:sz="2" w:space="0"/>
              <w:bottom w:val="single" w:color="000000" w:sz="2" w:space="0"/>
              <w:right w:val="single" w:color="000000" w:sz="2" w:space="0"/>
              <w:tl2br w:val="nil"/>
              <w:tr2bl w:val="nil"/>
            </w:tcBorders>
            <w:textDirection w:val="tbRlV"/>
          </w:tcPr>
          <w:p>
            <w:pPr>
              <w:spacing w:line="360" w:lineRule="auto"/>
              <w:rPr>
                <w:rFonts w:ascii="仿宋" w:hAnsi="仿宋" w:eastAsia="仿宋" w:cs="仿宋"/>
                <w:sz w:val="21"/>
                <w:szCs w:val="21"/>
              </w:rPr>
            </w:pPr>
          </w:p>
        </w:tc>
        <w:tc>
          <w:tcPr>
            <w:tcW w:w="1381" w:type="dxa"/>
            <w:vMerge w:val="continue"/>
            <w:tcBorders>
              <w:top w:val="nil"/>
              <w:left w:val="single" w:color="000000" w:sz="2" w:space="0"/>
              <w:bottom w:val="single" w:color="000000" w:sz="2" w:space="0"/>
              <w:right w:val="single" w:color="000000" w:sz="2" w:space="0"/>
              <w:tl2br w:val="nil"/>
              <w:tr2bl w:val="nil"/>
            </w:tcBorders>
          </w:tcPr>
          <w:p>
            <w:pPr>
              <w:spacing w:line="360" w:lineRule="auto"/>
              <w:rPr>
                <w:rFonts w:ascii="仿宋" w:hAnsi="仿宋" w:eastAsia="仿宋" w:cs="仿宋"/>
                <w:sz w:val="21"/>
                <w:szCs w:val="21"/>
              </w:rPr>
            </w:pPr>
          </w:p>
        </w:tc>
        <w:tc>
          <w:tcPr>
            <w:tcW w:w="1655" w:type="dxa"/>
            <w:tcBorders>
              <w:top w:val="single" w:color="000000" w:sz="2" w:space="0"/>
              <w:left w:val="single" w:color="000000" w:sz="2" w:space="0"/>
              <w:bottom w:val="single" w:color="000000" w:sz="2" w:space="0"/>
              <w:right w:val="single" w:color="000000" w:sz="2" w:space="0"/>
              <w:tl2br w:val="nil"/>
              <w:tr2bl w:val="nil"/>
            </w:tcBorders>
          </w:tcPr>
          <w:p>
            <w:pPr>
              <w:spacing w:line="360" w:lineRule="auto"/>
              <w:rPr>
                <w:rFonts w:ascii="仿宋" w:hAnsi="仿宋" w:eastAsia="仿宋" w:cs="仿宋"/>
                <w:sz w:val="21"/>
                <w:szCs w:val="21"/>
              </w:rPr>
            </w:pPr>
            <w:r>
              <w:rPr>
                <w:rFonts w:hint="eastAsia" w:ascii="仿宋" w:hAnsi="仿宋" w:eastAsia="仿宋" w:cs="仿宋"/>
                <w:sz w:val="21"/>
                <w:szCs w:val="21"/>
              </w:rPr>
              <w:t>是否属于强制 采购产品</w:t>
            </w:r>
          </w:p>
        </w:tc>
        <w:tc>
          <w:tcPr>
            <w:tcW w:w="1461" w:type="dxa"/>
            <w:tcBorders>
              <w:top w:val="single" w:color="000000" w:sz="2" w:space="0"/>
              <w:left w:val="single" w:color="000000" w:sz="2" w:space="0"/>
              <w:bottom w:val="single" w:color="000000" w:sz="2" w:space="0"/>
              <w:right w:val="single" w:color="000000" w:sz="2" w:space="0"/>
              <w:tl2br w:val="nil"/>
              <w:tr2bl w:val="nil"/>
            </w:tcBorders>
          </w:tcPr>
          <w:p>
            <w:pPr>
              <w:spacing w:line="360" w:lineRule="auto"/>
              <w:rPr>
                <w:rFonts w:ascii="仿宋" w:hAnsi="仿宋" w:eastAsia="仿宋" w:cs="仿宋"/>
                <w:sz w:val="21"/>
                <w:szCs w:val="21"/>
              </w:rPr>
            </w:pPr>
            <w:r>
              <w:rPr>
                <w:rFonts w:hint="eastAsia" w:ascii="仿宋" w:hAnsi="仿宋" w:eastAsia="仿宋" w:cs="仿宋"/>
                <w:sz w:val="21"/>
                <w:szCs w:val="21"/>
              </w:rPr>
              <w:t>节能标志 认证证书号</w:t>
            </w:r>
          </w:p>
        </w:tc>
        <w:tc>
          <w:tcPr>
            <w:tcW w:w="855" w:type="dxa"/>
            <w:vMerge w:val="continue"/>
            <w:tcBorders>
              <w:top w:val="nil"/>
              <w:left w:val="single" w:color="000000" w:sz="2" w:space="0"/>
              <w:bottom w:val="single" w:color="000000" w:sz="2" w:space="0"/>
              <w:right w:val="single" w:color="000000" w:sz="2" w:space="0"/>
              <w:tl2br w:val="nil"/>
              <w:tr2bl w:val="nil"/>
            </w:tcBorders>
          </w:tcPr>
          <w:p>
            <w:pPr>
              <w:spacing w:line="360" w:lineRule="auto"/>
              <w:rPr>
                <w:rFonts w:ascii="仿宋" w:hAnsi="仿宋" w:eastAsia="仿宋" w:cs="仿宋"/>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578" w:type="dxa"/>
            <w:tcBorders>
              <w:top w:val="single" w:color="000000" w:sz="2" w:space="0"/>
              <w:left w:val="single" w:color="000000" w:sz="2" w:space="0"/>
              <w:bottom w:val="single" w:color="000000" w:sz="2" w:space="0"/>
              <w:right w:val="single" w:color="000000" w:sz="2" w:space="0"/>
              <w:tl2br w:val="nil"/>
              <w:tr2bl w:val="nil"/>
            </w:tcBorders>
          </w:tcPr>
          <w:p>
            <w:pPr>
              <w:spacing w:line="360" w:lineRule="auto"/>
              <w:rPr>
                <w:rFonts w:ascii="仿宋" w:hAnsi="仿宋" w:eastAsia="仿宋" w:cs="仿宋"/>
                <w:sz w:val="21"/>
                <w:szCs w:val="21"/>
              </w:rPr>
            </w:pPr>
          </w:p>
        </w:tc>
        <w:tc>
          <w:tcPr>
            <w:tcW w:w="1001" w:type="dxa"/>
            <w:tcBorders>
              <w:top w:val="single" w:color="000000" w:sz="2" w:space="0"/>
              <w:left w:val="single" w:color="000000" w:sz="2" w:space="0"/>
              <w:bottom w:val="single" w:color="000000" w:sz="2" w:space="0"/>
              <w:right w:val="single" w:color="000000" w:sz="2" w:space="0"/>
              <w:tl2br w:val="nil"/>
              <w:tr2bl w:val="nil"/>
            </w:tcBorders>
          </w:tcPr>
          <w:p>
            <w:pPr>
              <w:spacing w:line="360" w:lineRule="auto"/>
              <w:rPr>
                <w:rFonts w:ascii="仿宋" w:hAnsi="仿宋" w:eastAsia="仿宋" w:cs="仿宋"/>
                <w:sz w:val="21"/>
                <w:szCs w:val="21"/>
              </w:rPr>
            </w:pPr>
          </w:p>
        </w:tc>
        <w:tc>
          <w:tcPr>
            <w:tcW w:w="1259" w:type="dxa"/>
            <w:tcBorders>
              <w:top w:val="single" w:color="000000" w:sz="2" w:space="0"/>
              <w:left w:val="single" w:color="000000" w:sz="2" w:space="0"/>
              <w:bottom w:val="single" w:color="000000" w:sz="2" w:space="0"/>
              <w:right w:val="single" w:color="000000" w:sz="2" w:space="0"/>
              <w:tl2br w:val="nil"/>
              <w:tr2bl w:val="nil"/>
            </w:tcBorders>
          </w:tcPr>
          <w:p>
            <w:pPr>
              <w:spacing w:line="360" w:lineRule="auto"/>
              <w:rPr>
                <w:rFonts w:ascii="仿宋" w:hAnsi="仿宋" w:eastAsia="仿宋" w:cs="仿宋"/>
                <w:sz w:val="21"/>
                <w:szCs w:val="21"/>
              </w:rPr>
            </w:pPr>
          </w:p>
        </w:tc>
        <w:tc>
          <w:tcPr>
            <w:tcW w:w="544" w:type="dxa"/>
            <w:tcBorders>
              <w:top w:val="single" w:color="000000" w:sz="2" w:space="0"/>
              <w:left w:val="single" w:color="000000" w:sz="2" w:space="0"/>
              <w:bottom w:val="single" w:color="000000" w:sz="2" w:space="0"/>
              <w:right w:val="single" w:color="000000" w:sz="2" w:space="0"/>
              <w:tl2br w:val="nil"/>
              <w:tr2bl w:val="nil"/>
            </w:tcBorders>
          </w:tcPr>
          <w:p>
            <w:pPr>
              <w:spacing w:line="360" w:lineRule="auto"/>
              <w:rPr>
                <w:rFonts w:ascii="仿宋" w:hAnsi="仿宋" w:eastAsia="仿宋" w:cs="仿宋"/>
                <w:sz w:val="21"/>
                <w:szCs w:val="21"/>
              </w:rPr>
            </w:pPr>
          </w:p>
        </w:tc>
        <w:tc>
          <w:tcPr>
            <w:tcW w:w="1381" w:type="dxa"/>
            <w:tcBorders>
              <w:top w:val="single" w:color="000000" w:sz="2" w:space="0"/>
              <w:left w:val="single" w:color="000000" w:sz="2" w:space="0"/>
              <w:bottom w:val="single" w:color="000000" w:sz="2" w:space="0"/>
              <w:right w:val="single" w:color="000000" w:sz="2" w:space="0"/>
              <w:tl2br w:val="nil"/>
              <w:tr2bl w:val="nil"/>
            </w:tcBorders>
          </w:tcPr>
          <w:p>
            <w:pPr>
              <w:spacing w:line="360" w:lineRule="auto"/>
              <w:rPr>
                <w:rFonts w:ascii="仿宋" w:hAnsi="仿宋" w:eastAsia="仿宋" w:cs="仿宋"/>
                <w:sz w:val="21"/>
                <w:szCs w:val="21"/>
              </w:rPr>
            </w:pPr>
          </w:p>
        </w:tc>
        <w:tc>
          <w:tcPr>
            <w:tcW w:w="1655" w:type="dxa"/>
            <w:tcBorders>
              <w:top w:val="single" w:color="000000" w:sz="2" w:space="0"/>
              <w:left w:val="single" w:color="000000" w:sz="2" w:space="0"/>
              <w:bottom w:val="single" w:color="000000" w:sz="2" w:space="0"/>
              <w:right w:val="single" w:color="000000" w:sz="2" w:space="0"/>
              <w:tl2br w:val="nil"/>
              <w:tr2bl w:val="nil"/>
            </w:tcBorders>
          </w:tcPr>
          <w:p>
            <w:pPr>
              <w:spacing w:line="360" w:lineRule="auto"/>
              <w:rPr>
                <w:rFonts w:ascii="仿宋" w:hAnsi="仿宋" w:eastAsia="仿宋" w:cs="仿宋"/>
                <w:sz w:val="21"/>
                <w:szCs w:val="21"/>
              </w:rPr>
            </w:pPr>
          </w:p>
        </w:tc>
        <w:tc>
          <w:tcPr>
            <w:tcW w:w="1461" w:type="dxa"/>
            <w:tcBorders>
              <w:top w:val="single" w:color="000000" w:sz="2" w:space="0"/>
              <w:left w:val="single" w:color="000000" w:sz="2" w:space="0"/>
              <w:bottom w:val="single" w:color="000000" w:sz="2" w:space="0"/>
              <w:right w:val="single" w:color="000000" w:sz="2" w:space="0"/>
              <w:tl2br w:val="nil"/>
              <w:tr2bl w:val="nil"/>
            </w:tcBorders>
          </w:tcPr>
          <w:p>
            <w:pPr>
              <w:spacing w:line="360" w:lineRule="auto"/>
              <w:rPr>
                <w:rFonts w:ascii="仿宋" w:hAnsi="仿宋" w:eastAsia="仿宋" w:cs="仿宋"/>
                <w:sz w:val="21"/>
                <w:szCs w:val="21"/>
              </w:rPr>
            </w:pPr>
          </w:p>
        </w:tc>
        <w:tc>
          <w:tcPr>
            <w:tcW w:w="855" w:type="dxa"/>
            <w:tcBorders>
              <w:top w:val="single" w:color="000000" w:sz="2" w:space="0"/>
              <w:left w:val="single" w:color="000000" w:sz="2" w:space="0"/>
              <w:bottom w:val="single" w:color="000000" w:sz="2" w:space="0"/>
              <w:right w:val="single" w:color="000000" w:sz="2" w:space="0"/>
              <w:tl2br w:val="nil"/>
              <w:tr2bl w:val="nil"/>
            </w:tcBorders>
          </w:tcPr>
          <w:p>
            <w:pPr>
              <w:spacing w:line="360" w:lineRule="auto"/>
              <w:rPr>
                <w:rFonts w:ascii="仿宋" w:hAnsi="仿宋" w:eastAsia="仿宋" w:cs="仿宋"/>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578" w:type="dxa"/>
            <w:tcBorders>
              <w:top w:val="single" w:color="000000" w:sz="2" w:space="0"/>
              <w:left w:val="single" w:color="000000" w:sz="2" w:space="0"/>
              <w:bottom w:val="single" w:color="000000" w:sz="2" w:space="0"/>
              <w:right w:val="single" w:color="000000" w:sz="2" w:space="0"/>
              <w:tl2br w:val="nil"/>
              <w:tr2bl w:val="nil"/>
            </w:tcBorders>
          </w:tcPr>
          <w:p>
            <w:pPr>
              <w:spacing w:line="360" w:lineRule="auto"/>
              <w:rPr>
                <w:rFonts w:ascii="仿宋" w:hAnsi="仿宋" w:eastAsia="仿宋" w:cs="仿宋"/>
                <w:sz w:val="21"/>
                <w:szCs w:val="21"/>
              </w:rPr>
            </w:pPr>
          </w:p>
        </w:tc>
        <w:tc>
          <w:tcPr>
            <w:tcW w:w="1001" w:type="dxa"/>
            <w:tcBorders>
              <w:top w:val="single" w:color="000000" w:sz="2" w:space="0"/>
              <w:left w:val="single" w:color="000000" w:sz="2" w:space="0"/>
              <w:bottom w:val="single" w:color="000000" w:sz="2" w:space="0"/>
              <w:right w:val="single" w:color="000000" w:sz="2" w:space="0"/>
              <w:tl2br w:val="nil"/>
              <w:tr2bl w:val="nil"/>
            </w:tcBorders>
          </w:tcPr>
          <w:p>
            <w:pPr>
              <w:spacing w:line="360" w:lineRule="auto"/>
              <w:rPr>
                <w:rFonts w:ascii="仿宋" w:hAnsi="仿宋" w:eastAsia="仿宋" w:cs="仿宋"/>
                <w:sz w:val="21"/>
                <w:szCs w:val="21"/>
              </w:rPr>
            </w:pPr>
          </w:p>
        </w:tc>
        <w:tc>
          <w:tcPr>
            <w:tcW w:w="1259" w:type="dxa"/>
            <w:tcBorders>
              <w:top w:val="single" w:color="000000" w:sz="2" w:space="0"/>
              <w:left w:val="single" w:color="000000" w:sz="2" w:space="0"/>
              <w:bottom w:val="single" w:color="000000" w:sz="2" w:space="0"/>
              <w:right w:val="single" w:color="000000" w:sz="2" w:space="0"/>
              <w:tl2br w:val="nil"/>
              <w:tr2bl w:val="nil"/>
            </w:tcBorders>
          </w:tcPr>
          <w:p>
            <w:pPr>
              <w:spacing w:line="360" w:lineRule="auto"/>
              <w:rPr>
                <w:rFonts w:ascii="仿宋" w:hAnsi="仿宋" w:eastAsia="仿宋" w:cs="仿宋"/>
                <w:sz w:val="21"/>
                <w:szCs w:val="21"/>
              </w:rPr>
            </w:pPr>
          </w:p>
        </w:tc>
        <w:tc>
          <w:tcPr>
            <w:tcW w:w="544" w:type="dxa"/>
            <w:tcBorders>
              <w:top w:val="single" w:color="000000" w:sz="2" w:space="0"/>
              <w:left w:val="single" w:color="000000" w:sz="2" w:space="0"/>
              <w:bottom w:val="single" w:color="000000" w:sz="2" w:space="0"/>
              <w:right w:val="single" w:color="000000" w:sz="2" w:space="0"/>
              <w:tl2br w:val="nil"/>
              <w:tr2bl w:val="nil"/>
            </w:tcBorders>
          </w:tcPr>
          <w:p>
            <w:pPr>
              <w:spacing w:line="360" w:lineRule="auto"/>
              <w:rPr>
                <w:rFonts w:ascii="仿宋" w:hAnsi="仿宋" w:eastAsia="仿宋" w:cs="仿宋"/>
                <w:sz w:val="21"/>
                <w:szCs w:val="21"/>
              </w:rPr>
            </w:pPr>
          </w:p>
        </w:tc>
        <w:tc>
          <w:tcPr>
            <w:tcW w:w="1381" w:type="dxa"/>
            <w:tcBorders>
              <w:top w:val="single" w:color="000000" w:sz="2" w:space="0"/>
              <w:left w:val="single" w:color="000000" w:sz="2" w:space="0"/>
              <w:bottom w:val="single" w:color="000000" w:sz="2" w:space="0"/>
              <w:right w:val="single" w:color="000000" w:sz="2" w:space="0"/>
              <w:tl2br w:val="nil"/>
              <w:tr2bl w:val="nil"/>
            </w:tcBorders>
          </w:tcPr>
          <w:p>
            <w:pPr>
              <w:spacing w:line="360" w:lineRule="auto"/>
              <w:rPr>
                <w:rFonts w:ascii="仿宋" w:hAnsi="仿宋" w:eastAsia="仿宋" w:cs="仿宋"/>
                <w:sz w:val="21"/>
                <w:szCs w:val="21"/>
              </w:rPr>
            </w:pPr>
          </w:p>
        </w:tc>
        <w:tc>
          <w:tcPr>
            <w:tcW w:w="1655" w:type="dxa"/>
            <w:tcBorders>
              <w:top w:val="single" w:color="000000" w:sz="2" w:space="0"/>
              <w:left w:val="single" w:color="000000" w:sz="2" w:space="0"/>
              <w:bottom w:val="single" w:color="000000" w:sz="2" w:space="0"/>
              <w:right w:val="single" w:color="000000" w:sz="2" w:space="0"/>
              <w:tl2br w:val="nil"/>
              <w:tr2bl w:val="nil"/>
            </w:tcBorders>
          </w:tcPr>
          <w:p>
            <w:pPr>
              <w:spacing w:line="360" w:lineRule="auto"/>
              <w:rPr>
                <w:rFonts w:ascii="仿宋" w:hAnsi="仿宋" w:eastAsia="仿宋" w:cs="仿宋"/>
                <w:sz w:val="21"/>
                <w:szCs w:val="21"/>
              </w:rPr>
            </w:pPr>
          </w:p>
        </w:tc>
        <w:tc>
          <w:tcPr>
            <w:tcW w:w="1461" w:type="dxa"/>
            <w:tcBorders>
              <w:top w:val="single" w:color="000000" w:sz="2" w:space="0"/>
              <w:left w:val="single" w:color="000000" w:sz="2" w:space="0"/>
              <w:bottom w:val="single" w:color="000000" w:sz="2" w:space="0"/>
              <w:right w:val="single" w:color="000000" w:sz="2" w:space="0"/>
              <w:tl2br w:val="nil"/>
              <w:tr2bl w:val="nil"/>
            </w:tcBorders>
          </w:tcPr>
          <w:p>
            <w:pPr>
              <w:spacing w:line="360" w:lineRule="auto"/>
              <w:rPr>
                <w:rFonts w:ascii="仿宋" w:hAnsi="仿宋" w:eastAsia="仿宋" w:cs="仿宋"/>
                <w:sz w:val="21"/>
                <w:szCs w:val="21"/>
              </w:rPr>
            </w:pPr>
          </w:p>
        </w:tc>
        <w:tc>
          <w:tcPr>
            <w:tcW w:w="855" w:type="dxa"/>
            <w:tcBorders>
              <w:top w:val="single" w:color="000000" w:sz="2" w:space="0"/>
              <w:left w:val="single" w:color="000000" w:sz="2" w:space="0"/>
              <w:bottom w:val="single" w:color="000000" w:sz="2" w:space="0"/>
              <w:right w:val="single" w:color="000000" w:sz="2" w:space="0"/>
              <w:tl2br w:val="nil"/>
              <w:tr2bl w:val="nil"/>
            </w:tcBorders>
          </w:tcPr>
          <w:p>
            <w:pPr>
              <w:spacing w:line="360" w:lineRule="auto"/>
              <w:rPr>
                <w:rFonts w:ascii="仿宋" w:hAnsi="仿宋" w:eastAsia="仿宋" w:cs="仿宋"/>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78" w:type="dxa"/>
            <w:tcBorders>
              <w:top w:val="single" w:color="000000" w:sz="2" w:space="0"/>
              <w:left w:val="single" w:color="000000" w:sz="2" w:space="0"/>
              <w:bottom w:val="single" w:color="000000" w:sz="2" w:space="0"/>
              <w:right w:val="single" w:color="000000" w:sz="2" w:space="0"/>
              <w:tl2br w:val="nil"/>
              <w:tr2bl w:val="nil"/>
            </w:tcBorders>
          </w:tcPr>
          <w:p>
            <w:pPr>
              <w:spacing w:line="360" w:lineRule="auto"/>
              <w:rPr>
                <w:rFonts w:ascii="仿宋" w:hAnsi="仿宋" w:eastAsia="仿宋" w:cs="仿宋"/>
                <w:sz w:val="21"/>
                <w:szCs w:val="21"/>
              </w:rPr>
            </w:pPr>
          </w:p>
        </w:tc>
        <w:tc>
          <w:tcPr>
            <w:tcW w:w="1001" w:type="dxa"/>
            <w:tcBorders>
              <w:top w:val="single" w:color="000000" w:sz="2" w:space="0"/>
              <w:left w:val="single" w:color="000000" w:sz="2" w:space="0"/>
              <w:bottom w:val="single" w:color="000000" w:sz="2" w:space="0"/>
              <w:right w:val="single" w:color="000000" w:sz="2" w:space="0"/>
              <w:tl2br w:val="nil"/>
              <w:tr2bl w:val="nil"/>
            </w:tcBorders>
          </w:tcPr>
          <w:p>
            <w:pPr>
              <w:spacing w:line="360" w:lineRule="auto"/>
              <w:rPr>
                <w:rFonts w:ascii="仿宋" w:hAnsi="仿宋" w:eastAsia="仿宋" w:cs="仿宋"/>
                <w:sz w:val="21"/>
                <w:szCs w:val="21"/>
              </w:rPr>
            </w:pPr>
          </w:p>
        </w:tc>
        <w:tc>
          <w:tcPr>
            <w:tcW w:w="1259" w:type="dxa"/>
            <w:tcBorders>
              <w:top w:val="single" w:color="000000" w:sz="2" w:space="0"/>
              <w:left w:val="single" w:color="000000" w:sz="2" w:space="0"/>
              <w:bottom w:val="single" w:color="000000" w:sz="2" w:space="0"/>
              <w:right w:val="single" w:color="000000" w:sz="2" w:space="0"/>
              <w:tl2br w:val="nil"/>
              <w:tr2bl w:val="nil"/>
            </w:tcBorders>
          </w:tcPr>
          <w:p>
            <w:pPr>
              <w:spacing w:line="360" w:lineRule="auto"/>
              <w:rPr>
                <w:rFonts w:ascii="仿宋" w:hAnsi="仿宋" w:eastAsia="仿宋" w:cs="仿宋"/>
                <w:sz w:val="21"/>
                <w:szCs w:val="21"/>
              </w:rPr>
            </w:pPr>
          </w:p>
        </w:tc>
        <w:tc>
          <w:tcPr>
            <w:tcW w:w="544" w:type="dxa"/>
            <w:tcBorders>
              <w:top w:val="single" w:color="000000" w:sz="2" w:space="0"/>
              <w:left w:val="single" w:color="000000" w:sz="2" w:space="0"/>
              <w:bottom w:val="single" w:color="000000" w:sz="2" w:space="0"/>
              <w:right w:val="single" w:color="000000" w:sz="2" w:space="0"/>
              <w:tl2br w:val="nil"/>
              <w:tr2bl w:val="nil"/>
            </w:tcBorders>
          </w:tcPr>
          <w:p>
            <w:pPr>
              <w:spacing w:line="360" w:lineRule="auto"/>
              <w:rPr>
                <w:rFonts w:ascii="仿宋" w:hAnsi="仿宋" w:eastAsia="仿宋" w:cs="仿宋"/>
                <w:sz w:val="21"/>
                <w:szCs w:val="21"/>
              </w:rPr>
            </w:pPr>
          </w:p>
        </w:tc>
        <w:tc>
          <w:tcPr>
            <w:tcW w:w="1381" w:type="dxa"/>
            <w:tcBorders>
              <w:top w:val="single" w:color="000000" w:sz="2" w:space="0"/>
              <w:left w:val="single" w:color="000000" w:sz="2" w:space="0"/>
              <w:bottom w:val="single" w:color="000000" w:sz="2" w:space="0"/>
              <w:right w:val="single" w:color="000000" w:sz="2" w:space="0"/>
              <w:tl2br w:val="nil"/>
              <w:tr2bl w:val="nil"/>
            </w:tcBorders>
          </w:tcPr>
          <w:p>
            <w:pPr>
              <w:spacing w:line="360" w:lineRule="auto"/>
              <w:rPr>
                <w:rFonts w:ascii="仿宋" w:hAnsi="仿宋" w:eastAsia="仿宋" w:cs="仿宋"/>
                <w:sz w:val="21"/>
                <w:szCs w:val="21"/>
              </w:rPr>
            </w:pPr>
          </w:p>
        </w:tc>
        <w:tc>
          <w:tcPr>
            <w:tcW w:w="1655" w:type="dxa"/>
            <w:tcBorders>
              <w:top w:val="single" w:color="000000" w:sz="2" w:space="0"/>
              <w:left w:val="single" w:color="000000" w:sz="2" w:space="0"/>
              <w:bottom w:val="single" w:color="000000" w:sz="2" w:space="0"/>
              <w:right w:val="single" w:color="000000" w:sz="2" w:space="0"/>
              <w:tl2br w:val="nil"/>
              <w:tr2bl w:val="nil"/>
            </w:tcBorders>
          </w:tcPr>
          <w:p>
            <w:pPr>
              <w:spacing w:line="360" w:lineRule="auto"/>
              <w:rPr>
                <w:rFonts w:ascii="仿宋" w:hAnsi="仿宋" w:eastAsia="仿宋" w:cs="仿宋"/>
                <w:sz w:val="21"/>
                <w:szCs w:val="21"/>
              </w:rPr>
            </w:pPr>
          </w:p>
        </w:tc>
        <w:tc>
          <w:tcPr>
            <w:tcW w:w="1461" w:type="dxa"/>
            <w:tcBorders>
              <w:top w:val="single" w:color="000000" w:sz="2" w:space="0"/>
              <w:left w:val="single" w:color="000000" w:sz="2" w:space="0"/>
              <w:bottom w:val="single" w:color="000000" w:sz="2" w:space="0"/>
              <w:right w:val="single" w:color="000000" w:sz="2" w:space="0"/>
              <w:tl2br w:val="nil"/>
              <w:tr2bl w:val="nil"/>
            </w:tcBorders>
          </w:tcPr>
          <w:p>
            <w:pPr>
              <w:spacing w:line="360" w:lineRule="auto"/>
              <w:rPr>
                <w:rFonts w:ascii="仿宋" w:hAnsi="仿宋" w:eastAsia="仿宋" w:cs="仿宋"/>
                <w:sz w:val="21"/>
                <w:szCs w:val="21"/>
              </w:rPr>
            </w:pPr>
          </w:p>
        </w:tc>
        <w:tc>
          <w:tcPr>
            <w:tcW w:w="855" w:type="dxa"/>
            <w:tcBorders>
              <w:top w:val="single" w:color="000000" w:sz="2" w:space="0"/>
              <w:left w:val="single" w:color="000000" w:sz="2" w:space="0"/>
              <w:bottom w:val="single" w:color="000000" w:sz="2" w:space="0"/>
              <w:right w:val="single" w:color="000000" w:sz="2" w:space="0"/>
              <w:tl2br w:val="nil"/>
              <w:tr2bl w:val="nil"/>
            </w:tcBorders>
          </w:tcPr>
          <w:p>
            <w:pPr>
              <w:spacing w:line="360" w:lineRule="auto"/>
              <w:rPr>
                <w:rFonts w:ascii="仿宋" w:hAnsi="仿宋" w:eastAsia="仿宋" w:cs="仿宋"/>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78" w:type="dxa"/>
            <w:tcBorders>
              <w:top w:val="single" w:color="000000" w:sz="2" w:space="0"/>
              <w:left w:val="single" w:color="000000" w:sz="2" w:space="0"/>
              <w:bottom w:val="single" w:color="000000" w:sz="2" w:space="0"/>
              <w:right w:val="single" w:color="000000" w:sz="2" w:space="0"/>
              <w:tl2br w:val="nil"/>
              <w:tr2bl w:val="nil"/>
            </w:tcBorders>
          </w:tcPr>
          <w:p>
            <w:pPr>
              <w:spacing w:line="360" w:lineRule="auto"/>
              <w:rPr>
                <w:rFonts w:ascii="仿宋" w:hAnsi="仿宋" w:eastAsia="仿宋" w:cs="仿宋"/>
                <w:sz w:val="21"/>
                <w:szCs w:val="21"/>
              </w:rPr>
            </w:pPr>
          </w:p>
        </w:tc>
        <w:tc>
          <w:tcPr>
            <w:tcW w:w="1001" w:type="dxa"/>
            <w:tcBorders>
              <w:top w:val="single" w:color="000000" w:sz="2" w:space="0"/>
              <w:left w:val="single" w:color="000000" w:sz="2" w:space="0"/>
              <w:bottom w:val="single" w:color="000000" w:sz="2" w:space="0"/>
              <w:right w:val="single" w:color="000000" w:sz="2" w:space="0"/>
              <w:tl2br w:val="nil"/>
              <w:tr2bl w:val="nil"/>
            </w:tcBorders>
          </w:tcPr>
          <w:p>
            <w:pPr>
              <w:spacing w:line="360" w:lineRule="auto"/>
              <w:rPr>
                <w:rFonts w:ascii="仿宋" w:hAnsi="仿宋" w:eastAsia="仿宋" w:cs="仿宋"/>
                <w:sz w:val="21"/>
                <w:szCs w:val="21"/>
              </w:rPr>
            </w:pPr>
          </w:p>
        </w:tc>
        <w:tc>
          <w:tcPr>
            <w:tcW w:w="1259" w:type="dxa"/>
            <w:tcBorders>
              <w:top w:val="single" w:color="000000" w:sz="2" w:space="0"/>
              <w:left w:val="single" w:color="000000" w:sz="2" w:space="0"/>
              <w:bottom w:val="single" w:color="000000" w:sz="2" w:space="0"/>
              <w:right w:val="single" w:color="000000" w:sz="2" w:space="0"/>
              <w:tl2br w:val="nil"/>
              <w:tr2bl w:val="nil"/>
            </w:tcBorders>
          </w:tcPr>
          <w:p>
            <w:pPr>
              <w:spacing w:line="360" w:lineRule="auto"/>
              <w:rPr>
                <w:rFonts w:ascii="仿宋" w:hAnsi="仿宋" w:eastAsia="仿宋" w:cs="仿宋"/>
                <w:sz w:val="21"/>
                <w:szCs w:val="21"/>
              </w:rPr>
            </w:pPr>
          </w:p>
        </w:tc>
        <w:tc>
          <w:tcPr>
            <w:tcW w:w="544" w:type="dxa"/>
            <w:tcBorders>
              <w:top w:val="single" w:color="000000" w:sz="2" w:space="0"/>
              <w:left w:val="single" w:color="000000" w:sz="2" w:space="0"/>
              <w:bottom w:val="single" w:color="000000" w:sz="2" w:space="0"/>
              <w:right w:val="single" w:color="000000" w:sz="2" w:space="0"/>
              <w:tl2br w:val="nil"/>
              <w:tr2bl w:val="nil"/>
            </w:tcBorders>
          </w:tcPr>
          <w:p>
            <w:pPr>
              <w:spacing w:line="360" w:lineRule="auto"/>
              <w:rPr>
                <w:rFonts w:ascii="仿宋" w:hAnsi="仿宋" w:eastAsia="仿宋" w:cs="仿宋"/>
                <w:sz w:val="21"/>
                <w:szCs w:val="21"/>
              </w:rPr>
            </w:pPr>
          </w:p>
        </w:tc>
        <w:tc>
          <w:tcPr>
            <w:tcW w:w="1381" w:type="dxa"/>
            <w:tcBorders>
              <w:top w:val="single" w:color="000000" w:sz="2" w:space="0"/>
              <w:left w:val="single" w:color="000000" w:sz="2" w:space="0"/>
              <w:bottom w:val="single" w:color="000000" w:sz="2" w:space="0"/>
              <w:right w:val="single" w:color="000000" w:sz="2" w:space="0"/>
              <w:tl2br w:val="nil"/>
              <w:tr2bl w:val="nil"/>
            </w:tcBorders>
          </w:tcPr>
          <w:p>
            <w:pPr>
              <w:spacing w:line="360" w:lineRule="auto"/>
              <w:rPr>
                <w:rFonts w:ascii="仿宋" w:hAnsi="仿宋" w:eastAsia="仿宋" w:cs="仿宋"/>
                <w:sz w:val="21"/>
                <w:szCs w:val="21"/>
              </w:rPr>
            </w:pPr>
          </w:p>
        </w:tc>
        <w:tc>
          <w:tcPr>
            <w:tcW w:w="1655" w:type="dxa"/>
            <w:tcBorders>
              <w:top w:val="single" w:color="000000" w:sz="2" w:space="0"/>
              <w:left w:val="single" w:color="000000" w:sz="2" w:space="0"/>
              <w:bottom w:val="single" w:color="000000" w:sz="2" w:space="0"/>
              <w:right w:val="single" w:color="000000" w:sz="2" w:space="0"/>
              <w:tl2br w:val="nil"/>
              <w:tr2bl w:val="nil"/>
            </w:tcBorders>
          </w:tcPr>
          <w:p>
            <w:pPr>
              <w:spacing w:line="360" w:lineRule="auto"/>
              <w:rPr>
                <w:rFonts w:ascii="仿宋" w:hAnsi="仿宋" w:eastAsia="仿宋" w:cs="仿宋"/>
                <w:sz w:val="21"/>
                <w:szCs w:val="21"/>
              </w:rPr>
            </w:pPr>
          </w:p>
        </w:tc>
        <w:tc>
          <w:tcPr>
            <w:tcW w:w="1461" w:type="dxa"/>
            <w:tcBorders>
              <w:top w:val="single" w:color="000000" w:sz="2" w:space="0"/>
              <w:left w:val="single" w:color="000000" w:sz="2" w:space="0"/>
              <w:bottom w:val="single" w:color="000000" w:sz="2" w:space="0"/>
              <w:right w:val="single" w:color="000000" w:sz="2" w:space="0"/>
              <w:tl2br w:val="nil"/>
              <w:tr2bl w:val="nil"/>
            </w:tcBorders>
          </w:tcPr>
          <w:p>
            <w:pPr>
              <w:spacing w:line="360" w:lineRule="auto"/>
              <w:rPr>
                <w:rFonts w:ascii="仿宋" w:hAnsi="仿宋" w:eastAsia="仿宋" w:cs="仿宋"/>
                <w:sz w:val="21"/>
                <w:szCs w:val="21"/>
              </w:rPr>
            </w:pPr>
          </w:p>
        </w:tc>
        <w:tc>
          <w:tcPr>
            <w:tcW w:w="855" w:type="dxa"/>
            <w:tcBorders>
              <w:top w:val="single" w:color="000000" w:sz="2" w:space="0"/>
              <w:left w:val="single" w:color="000000" w:sz="2" w:space="0"/>
              <w:bottom w:val="single" w:color="000000" w:sz="2" w:space="0"/>
              <w:right w:val="single" w:color="000000" w:sz="2" w:space="0"/>
              <w:tl2br w:val="nil"/>
              <w:tr2bl w:val="nil"/>
            </w:tcBorders>
          </w:tcPr>
          <w:p>
            <w:pPr>
              <w:spacing w:line="360" w:lineRule="auto"/>
              <w:rPr>
                <w:rFonts w:ascii="仿宋" w:hAnsi="仿宋" w:eastAsia="仿宋" w:cs="仿宋"/>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578" w:type="dxa"/>
            <w:tcBorders>
              <w:top w:val="single" w:color="000000" w:sz="2" w:space="0"/>
              <w:left w:val="single" w:color="000000" w:sz="2" w:space="0"/>
              <w:bottom w:val="single" w:color="000000" w:sz="2" w:space="0"/>
              <w:right w:val="single" w:color="000000" w:sz="2" w:space="0"/>
              <w:tl2br w:val="nil"/>
              <w:tr2bl w:val="nil"/>
            </w:tcBorders>
          </w:tcPr>
          <w:p>
            <w:pPr>
              <w:spacing w:line="360" w:lineRule="auto"/>
              <w:rPr>
                <w:rFonts w:ascii="仿宋" w:hAnsi="仿宋" w:eastAsia="仿宋" w:cs="仿宋"/>
                <w:sz w:val="21"/>
                <w:szCs w:val="21"/>
              </w:rPr>
            </w:pPr>
          </w:p>
        </w:tc>
        <w:tc>
          <w:tcPr>
            <w:tcW w:w="1001" w:type="dxa"/>
            <w:tcBorders>
              <w:top w:val="single" w:color="000000" w:sz="2" w:space="0"/>
              <w:left w:val="single" w:color="000000" w:sz="2" w:space="0"/>
              <w:bottom w:val="single" w:color="000000" w:sz="2" w:space="0"/>
              <w:right w:val="single" w:color="000000" w:sz="2" w:space="0"/>
              <w:tl2br w:val="nil"/>
              <w:tr2bl w:val="nil"/>
            </w:tcBorders>
          </w:tcPr>
          <w:p>
            <w:pPr>
              <w:spacing w:line="360" w:lineRule="auto"/>
              <w:rPr>
                <w:rFonts w:ascii="仿宋" w:hAnsi="仿宋" w:eastAsia="仿宋" w:cs="仿宋"/>
                <w:sz w:val="21"/>
                <w:szCs w:val="21"/>
              </w:rPr>
            </w:pPr>
          </w:p>
        </w:tc>
        <w:tc>
          <w:tcPr>
            <w:tcW w:w="1259" w:type="dxa"/>
            <w:tcBorders>
              <w:top w:val="single" w:color="000000" w:sz="2" w:space="0"/>
              <w:left w:val="single" w:color="000000" w:sz="2" w:space="0"/>
              <w:bottom w:val="single" w:color="000000" w:sz="2" w:space="0"/>
              <w:right w:val="single" w:color="000000" w:sz="2" w:space="0"/>
              <w:tl2br w:val="nil"/>
              <w:tr2bl w:val="nil"/>
            </w:tcBorders>
          </w:tcPr>
          <w:p>
            <w:pPr>
              <w:spacing w:line="360" w:lineRule="auto"/>
              <w:rPr>
                <w:rFonts w:ascii="仿宋" w:hAnsi="仿宋" w:eastAsia="仿宋" w:cs="仿宋"/>
                <w:sz w:val="21"/>
                <w:szCs w:val="21"/>
              </w:rPr>
            </w:pPr>
          </w:p>
        </w:tc>
        <w:tc>
          <w:tcPr>
            <w:tcW w:w="544" w:type="dxa"/>
            <w:tcBorders>
              <w:top w:val="single" w:color="000000" w:sz="2" w:space="0"/>
              <w:left w:val="single" w:color="000000" w:sz="2" w:space="0"/>
              <w:bottom w:val="single" w:color="000000" w:sz="2" w:space="0"/>
              <w:right w:val="single" w:color="000000" w:sz="2" w:space="0"/>
              <w:tl2br w:val="nil"/>
              <w:tr2bl w:val="nil"/>
            </w:tcBorders>
          </w:tcPr>
          <w:p>
            <w:pPr>
              <w:spacing w:line="360" w:lineRule="auto"/>
              <w:rPr>
                <w:rFonts w:ascii="仿宋" w:hAnsi="仿宋" w:eastAsia="仿宋" w:cs="仿宋"/>
                <w:sz w:val="21"/>
                <w:szCs w:val="21"/>
              </w:rPr>
            </w:pPr>
          </w:p>
        </w:tc>
        <w:tc>
          <w:tcPr>
            <w:tcW w:w="1381" w:type="dxa"/>
            <w:tcBorders>
              <w:top w:val="single" w:color="000000" w:sz="2" w:space="0"/>
              <w:left w:val="single" w:color="000000" w:sz="2" w:space="0"/>
              <w:bottom w:val="single" w:color="000000" w:sz="2" w:space="0"/>
              <w:right w:val="single" w:color="000000" w:sz="2" w:space="0"/>
              <w:tl2br w:val="nil"/>
              <w:tr2bl w:val="nil"/>
            </w:tcBorders>
          </w:tcPr>
          <w:p>
            <w:pPr>
              <w:spacing w:line="360" w:lineRule="auto"/>
              <w:rPr>
                <w:rFonts w:ascii="仿宋" w:hAnsi="仿宋" w:eastAsia="仿宋" w:cs="仿宋"/>
                <w:sz w:val="21"/>
                <w:szCs w:val="21"/>
              </w:rPr>
            </w:pPr>
          </w:p>
        </w:tc>
        <w:tc>
          <w:tcPr>
            <w:tcW w:w="1655" w:type="dxa"/>
            <w:tcBorders>
              <w:top w:val="single" w:color="000000" w:sz="2" w:space="0"/>
              <w:left w:val="single" w:color="000000" w:sz="2" w:space="0"/>
              <w:bottom w:val="single" w:color="000000" w:sz="2" w:space="0"/>
              <w:right w:val="single" w:color="000000" w:sz="2" w:space="0"/>
              <w:tl2br w:val="nil"/>
              <w:tr2bl w:val="nil"/>
            </w:tcBorders>
          </w:tcPr>
          <w:p>
            <w:pPr>
              <w:spacing w:line="360" w:lineRule="auto"/>
              <w:rPr>
                <w:rFonts w:ascii="仿宋" w:hAnsi="仿宋" w:eastAsia="仿宋" w:cs="仿宋"/>
                <w:sz w:val="21"/>
                <w:szCs w:val="21"/>
              </w:rPr>
            </w:pPr>
          </w:p>
        </w:tc>
        <w:tc>
          <w:tcPr>
            <w:tcW w:w="1461" w:type="dxa"/>
            <w:tcBorders>
              <w:top w:val="single" w:color="000000" w:sz="2" w:space="0"/>
              <w:left w:val="single" w:color="000000" w:sz="2" w:space="0"/>
              <w:bottom w:val="single" w:color="000000" w:sz="2" w:space="0"/>
              <w:right w:val="single" w:color="000000" w:sz="2" w:space="0"/>
              <w:tl2br w:val="nil"/>
              <w:tr2bl w:val="nil"/>
            </w:tcBorders>
          </w:tcPr>
          <w:p>
            <w:pPr>
              <w:spacing w:line="360" w:lineRule="auto"/>
              <w:rPr>
                <w:rFonts w:ascii="仿宋" w:hAnsi="仿宋" w:eastAsia="仿宋" w:cs="仿宋"/>
                <w:sz w:val="21"/>
                <w:szCs w:val="21"/>
              </w:rPr>
            </w:pPr>
          </w:p>
        </w:tc>
        <w:tc>
          <w:tcPr>
            <w:tcW w:w="855" w:type="dxa"/>
            <w:tcBorders>
              <w:top w:val="single" w:color="000000" w:sz="2" w:space="0"/>
              <w:left w:val="single" w:color="000000" w:sz="2" w:space="0"/>
              <w:bottom w:val="single" w:color="000000" w:sz="2" w:space="0"/>
              <w:right w:val="single" w:color="000000" w:sz="2" w:space="0"/>
              <w:tl2br w:val="nil"/>
              <w:tr2bl w:val="nil"/>
            </w:tcBorders>
          </w:tcPr>
          <w:p>
            <w:pPr>
              <w:spacing w:line="360" w:lineRule="auto"/>
              <w:rPr>
                <w:rFonts w:ascii="仿宋" w:hAnsi="仿宋" w:eastAsia="仿宋" w:cs="仿宋"/>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578" w:type="dxa"/>
            <w:tcBorders>
              <w:top w:val="single" w:color="000000" w:sz="2" w:space="0"/>
              <w:left w:val="single" w:color="000000" w:sz="2" w:space="0"/>
              <w:bottom w:val="single" w:color="000000" w:sz="2" w:space="0"/>
              <w:right w:val="single" w:color="000000" w:sz="2" w:space="0"/>
              <w:tl2br w:val="nil"/>
              <w:tr2bl w:val="nil"/>
            </w:tcBorders>
            <w:textDirection w:val="tbRlV"/>
          </w:tcPr>
          <w:p>
            <w:pPr>
              <w:spacing w:line="360" w:lineRule="auto"/>
              <w:rPr>
                <w:rFonts w:ascii="仿宋" w:hAnsi="仿宋" w:eastAsia="仿宋" w:cs="仿宋"/>
                <w:sz w:val="21"/>
                <w:szCs w:val="21"/>
              </w:rPr>
            </w:pPr>
            <w:r>
              <w:rPr>
                <w:rFonts w:hint="eastAsia" w:ascii="仿宋" w:hAnsi="仿宋" w:eastAsia="仿宋" w:cs="仿宋"/>
                <w:sz w:val="21"/>
                <w:szCs w:val="21"/>
              </w:rPr>
              <w:t>说 明</w:t>
            </w:r>
          </w:p>
        </w:tc>
        <w:tc>
          <w:tcPr>
            <w:tcW w:w="8156" w:type="dxa"/>
            <w:gridSpan w:val="7"/>
            <w:tcBorders>
              <w:top w:val="single" w:color="000000" w:sz="2" w:space="0"/>
              <w:left w:val="single" w:color="000000" w:sz="2" w:space="0"/>
              <w:bottom w:val="single" w:color="000000" w:sz="2" w:space="0"/>
              <w:right w:val="single" w:color="000000" w:sz="2" w:space="0"/>
              <w:tl2br w:val="nil"/>
              <w:tr2bl w:val="nil"/>
            </w:tcBorders>
          </w:tcPr>
          <w:p>
            <w:pPr>
              <w:spacing w:line="360" w:lineRule="auto"/>
              <w:rPr>
                <w:rFonts w:ascii="仿宋" w:hAnsi="仿宋" w:eastAsia="仿宋" w:cs="仿宋"/>
                <w:sz w:val="21"/>
                <w:szCs w:val="21"/>
              </w:rPr>
            </w:pPr>
            <w:r>
              <w:rPr>
                <w:rFonts w:hint="eastAsia" w:ascii="仿宋" w:hAnsi="仿宋" w:eastAsia="仿宋" w:cs="仿宋"/>
                <w:sz w:val="21"/>
                <w:szCs w:val="21"/>
              </w:rPr>
              <w:t>我方提供的节能产品为第   期《节能产品政府采购清单》内的产品；我方提供的环境标 志产品为第  期《环境标志产品政府采购清单》内的产品。</w:t>
            </w:r>
          </w:p>
        </w:tc>
      </w:tr>
    </w:tbl>
    <w:p>
      <w:pPr>
        <w:spacing w:line="360" w:lineRule="auto"/>
        <w:rPr>
          <w:rFonts w:ascii="仿宋" w:hAnsi="仿宋" w:eastAsia="仿宋" w:cs="仿宋"/>
          <w:sz w:val="21"/>
          <w:szCs w:val="21"/>
        </w:rPr>
      </w:pPr>
    </w:p>
    <w:p>
      <w:pPr>
        <w:spacing w:line="360" w:lineRule="auto"/>
        <w:rPr>
          <w:rFonts w:ascii="仿宋" w:hAnsi="仿宋" w:eastAsia="仿宋" w:cs="仿宋"/>
          <w:sz w:val="21"/>
          <w:szCs w:val="21"/>
        </w:rPr>
      </w:pPr>
      <w:r>
        <w:rPr>
          <w:rFonts w:hint="eastAsia" w:ascii="仿宋" w:hAnsi="仿宋" w:eastAsia="仿宋" w:cs="仿宋"/>
          <w:sz w:val="21"/>
          <w:szCs w:val="21"/>
        </w:rPr>
        <w:t>供应商单位名称：                     （盖单位电子印章）</w:t>
      </w:r>
    </w:p>
    <w:p>
      <w:pPr>
        <w:spacing w:line="360" w:lineRule="auto"/>
        <w:rPr>
          <w:rFonts w:ascii="仿宋" w:hAnsi="仿宋" w:eastAsia="仿宋" w:cs="仿宋"/>
          <w:sz w:val="21"/>
          <w:szCs w:val="21"/>
        </w:rPr>
      </w:pPr>
      <w:r>
        <w:rPr>
          <w:rFonts w:hint="eastAsia" w:ascii="仿宋" w:hAnsi="仿宋" w:eastAsia="仿宋" w:cs="仿宋"/>
          <w:sz w:val="21"/>
          <w:szCs w:val="21"/>
        </w:rPr>
        <w:t>法定代表人或其委托代理人：                （签字或加盖电子签名章）</w:t>
      </w:r>
    </w:p>
    <w:p>
      <w:pPr>
        <w:spacing w:line="360" w:lineRule="auto"/>
        <w:rPr>
          <w:rFonts w:ascii="仿宋" w:hAnsi="仿宋" w:eastAsia="仿宋" w:cs="仿宋"/>
          <w:sz w:val="21"/>
          <w:szCs w:val="21"/>
        </w:rPr>
      </w:pPr>
      <w:r>
        <w:rPr>
          <w:rFonts w:hint="eastAsia" w:ascii="仿宋" w:hAnsi="仿宋" w:eastAsia="仿宋" w:cs="仿宋"/>
          <w:sz w:val="21"/>
          <w:szCs w:val="21"/>
        </w:rPr>
        <w:t>日  期：     年   月   日</w:t>
      </w:r>
    </w:p>
    <w:p>
      <w:pPr>
        <w:spacing w:line="360" w:lineRule="auto"/>
        <w:rPr>
          <w:rFonts w:ascii="仿宋" w:hAnsi="仿宋" w:eastAsia="仿宋" w:cs="仿宋"/>
          <w:sz w:val="21"/>
          <w:szCs w:val="21"/>
        </w:rPr>
      </w:pPr>
    </w:p>
    <w:p>
      <w:pPr>
        <w:spacing w:line="360" w:lineRule="auto"/>
        <w:rPr>
          <w:rFonts w:ascii="仿宋" w:hAnsi="仿宋" w:eastAsia="仿宋" w:cs="仿宋"/>
          <w:sz w:val="21"/>
          <w:szCs w:val="21"/>
        </w:rPr>
      </w:pPr>
      <w:r>
        <w:rPr>
          <w:rFonts w:hint="eastAsia" w:ascii="仿宋" w:hAnsi="仿宋" w:eastAsia="仿宋" w:cs="仿宋"/>
          <w:sz w:val="21"/>
          <w:szCs w:val="21"/>
        </w:rPr>
        <w:t>注：1．本表只填写属于政府采购节能或环保产品的投标产品，无相应产品的本表可以不填。</w:t>
      </w:r>
    </w:p>
    <w:p>
      <w:pPr>
        <w:spacing w:line="360" w:lineRule="auto"/>
        <w:rPr>
          <w:rFonts w:ascii="仿宋" w:hAnsi="仿宋" w:eastAsia="仿宋" w:cs="仿宋"/>
          <w:sz w:val="21"/>
          <w:szCs w:val="21"/>
        </w:rPr>
      </w:pPr>
      <w:r>
        <w:rPr>
          <w:rFonts w:hint="eastAsia" w:ascii="仿宋" w:hAnsi="仿宋" w:eastAsia="仿宋" w:cs="仿宋"/>
          <w:sz w:val="21"/>
          <w:szCs w:val="21"/>
        </w:rPr>
        <w:t>2．认证证书编号必须填写《节能产品政府采购清单》中的节字标志认证证书号、或《环境标志产 品政府采购清单》中的认证证书编号，否则评委会不予认可。</w:t>
      </w:r>
    </w:p>
    <w:p>
      <w:pPr>
        <w:spacing w:line="360" w:lineRule="auto"/>
        <w:rPr>
          <w:rFonts w:eastAsia="隶书"/>
          <w:b/>
          <w:sz w:val="21"/>
          <w:szCs w:val="21"/>
        </w:rPr>
      </w:pPr>
      <w:r>
        <w:rPr>
          <w:rFonts w:hint="eastAsia" w:ascii="仿宋" w:hAnsi="仿宋" w:eastAsia="仿宋" w:cs="仿宋"/>
          <w:sz w:val="21"/>
          <w:szCs w:val="21"/>
        </w:rPr>
        <w:t>3．《节能产品政府采购清单》、《环境标志产品政府采购清单》均以国家有关部门公布的有效期内的内容为准，否则评委会不予认可。</w:t>
      </w:r>
    </w:p>
    <w:p>
      <w:pPr>
        <w:pStyle w:val="9"/>
      </w:pPr>
    </w:p>
    <w:p/>
    <w:p/>
    <w:p>
      <w:pPr>
        <w:rPr>
          <w:rFonts w:ascii="仿宋" w:hAnsi="仿宋" w:eastAsia="仿宋" w:cs="仿宋"/>
          <w:b/>
          <w:kern w:val="0"/>
          <w:sz w:val="24"/>
        </w:rPr>
      </w:pPr>
      <w:r>
        <w:rPr>
          <w:rFonts w:hint="eastAsia" w:ascii="仿宋" w:hAnsi="仿宋" w:eastAsia="仿宋" w:cs="仿宋"/>
          <w:b/>
          <w:kern w:val="0"/>
          <w:sz w:val="24"/>
        </w:rPr>
        <w:br w:type="page"/>
      </w:r>
    </w:p>
    <w:p>
      <w:pPr>
        <w:jc w:val="center"/>
      </w:pPr>
      <w:r>
        <w:rPr>
          <w:rFonts w:hint="eastAsia" w:ascii="仿宋" w:hAnsi="仿宋" w:eastAsia="仿宋" w:cs="仿宋"/>
          <w:b/>
          <w:kern w:val="0"/>
          <w:sz w:val="24"/>
        </w:rPr>
        <w:t>4、其他与磋商有关的响应材料</w:t>
      </w:r>
    </w:p>
    <w:p/>
    <w:p>
      <w:r>
        <w:rPr>
          <w:rFonts w:hint="eastAsia"/>
        </w:rPr>
        <w:t>供应商认为与此次评审及评分有关的非强制要求提供的材料，如设备业绩合同等。</w:t>
      </w:r>
    </w:p>
    <w:p>
      <w:pPr>
        <w:pStyle w:val="9"/>
      </w:pPr>
    </w:p>
    <w:p>
      <w:pPr>
        <w:pStyle w:val="71"/>
        <w:spacing w:beforeLines="0" w:afterLines="0"/>
        <w:ind w:firstLine="0" w:firstLineChars="0"/>
        <w:jc w:val="center"/>
        <w:rPr>
          <w:rFonts w:hint="eastAsia" w:ascii="仿宋" w:hAnsi="仿宋" w:eastAsia="仿宋" w:cs="仿宋"/>
          <w:sz w:val="21"/>
          <w:szCs w:val="21"/>
        </w:rPr>
      </w:pPr>
      <w:bookmarkStart w:id="121" w:name="_Toc32451"/>
      <w:bookmarkStart w:id="122" w:name="_Toc23642"/>
      <w:bookmarkStart w:id="123" w:name="_Toc16378"/>
      <w:bookmarkStart w:id="124" w:name="_Toc13798"/>
      <w:bookmarkStart w:id="125" w:name="_Toc247527850"/>
      <w:bookmarkStart w:id="126" w:name="_Toc247514302"/>
      <w:bookmarkStart w:id="127" w:name="_Toc144974878"/>
      <w:bookmarkStart w:id="128" w:name="_Toc152045810"/>
      <w:bookmarkStart w:id="129" w:name="_Toc152042599"/>
      <w:r>
        <w:rPr>
          <w:rFonts w:hint="eastAsia" w:ascii="仿宋" w:hAnsi="仿宋" w:eastAsia="仿宋" w:cs="仿宋"/>
          <w:sz w:val="21"/>
          <w:szCs w:val="21"/>
        </w:rPr>
        <w:t>（三） 业绩项目表</w:t>
      </w:r>
      <w:bookmarkEnd w:id="121"/>
      <w:bookmarkEnd w:id="122"/>
      <w:bookmarkEnd w:id="123"/>
      <w:bookmarkEnd w:id="124"/>
    </w:p>
    <w:p>
      <w:pPr>
        <w:pStyle w:val="71"/>
        <w:spacing w:beforeLines="0" w:afterLines="0"/>
        <w:ind w:firstLine="0" w:firstLineChars="0"/>
        <w:jc w:val="center"/>
        <w:rPr>
          <w:rFonts w:hint="eastAsia" w:ascii="仿宋" w:hAnsi="仿宋" w:eastAsia="仿宋" w:cs="仿宋"/>
          <w:sz w:val="21"/>
          <w:szCs w:val="21"/>
        </w:rPr>
      </w:pPr>
      <w:bookmarkStart w:id="130" w:name="_Toc32572"/>
      <w:bookmarkStart w:id="131" w:name="_Toc24118"/>
      <w:bookmarkStart w:id="132" w:name="_Toc13547"/>
      <w:bookmarkStart w:id="133" w:name="_Toc18377"/>
      <w:bookmarkStart w:id="134" w:name="_Toc21097"/>
      <w:r>
        <w:rPr>
          <w:rFonts w:hint="eastAsia" w:ascii="仿宋" w:hAnsi="仿宋" w:eastAsia="仿宋" w:cs="仿宋"/>
          <w:sz w:val="21"/>
          <w:szCs w:val="21"/>
        </w:rPr>
        <w:t>业绩项目表</w:t>
      </w:r>
      <w:bookmarkEnd w:id="125"/>
      <w:bookmarkEnd w:id="126"/>
      <w:bookmarkEnd w:id="127"/>
      <w:bookmarkEnd w:id="128"/>
      <w:bookmarkEnd w:id="129"/>
      <w:bookmarkEnd w:id="130"/>
      <w:bookmarkEnd w:id="131"/>
      <w:bookmarkEnd w:id="132"/>
      <w:bookmarkEnd w:id="133"/>
      <w:bookmarkEnd w:id="134"/>
    </w:p>
    <w:tbl>
      <w:tblPr>
        <w:tblStyle w:val="30"/>
        <w:tblW w:w="78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5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26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1"/>
              <w:spacing w:beforeLines="0" w:afterLines="0" w:line="240" w:lineRule="auto"/>
              <w:ind w:firstLine="0" w:firstLineChars="0"/>
              <w:jc w:val="center"/>
              <w:rPr>
                <w:rFonts w:hint="eastAsia" w:ascii="仿宋" w:hAnsi="仿宋" w:eastAsia="仿宋" w:cs="仿宋"/>
                <w:sz w:val="21"/>
                <w:szCs w:val="21"/>
              </w:rPr>
            </w:pPr>
            <w:bookmarkStart w:id="135" w:name="_Toc4613"/>
            <w:bookmarkStart w:id="136" w:name="_Toc32015"/>
            <w:bookmarkStart w:id="137" w:name="_Toc20443"/>
            <w:bookmarkStart w:id="138" w:name="_Toc25684"/>
            <w:r>
              <w:rPr>
                <w:rFonts w:hint="eastAsia" w:ascii="仿宋" w:hAnsi="仿宋" w:eastAsia="仿宋" w:cs="仿宋"/>
                <w:sz w:val="21"/>
                <w:szCs w:val="21"/>
              </w:rPr>
              <w:t>项目名称</w:t>
            </w:r>
          </w:p>
        </w:tc>
        <w:tc>
          <w:tcPr>
            <w:tcW w:w="5624" w:type="dxa"/>
            <w:tcBorders>
              <w:top w:val="single" w:color="auto" w:sz="4" w:space="0"/>
              <w:left w:val="nil"/>
              <w:bottom w:val="single" w:color="auto" w:sz="4" w:space="0"/>
              <w:right w:val="single" w:color="auto" w:sz="4" w:space="0"/>
              <w:tl2br w:val="nil"/>
              <w:tr2bl w:val="nil"/>
            </w:tcBorders>
            <w:noWrap w:val="0"/>
            <w:vAlign w:val="top"/>
          </w:tcPr>
          <w:p>
            <w:pPr>
              <w:pStyle w:val="71"/>
              <w:spacing w:beforeLines="0" w:afterLines="0" w:line="240" w:lineRule="auto"/>
              <w:ind w:firstLine="0" w:firstLineChars="0"/>
              <w:jc w:val="cente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226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1"/>
              <w:spacing w:beforeLines="0" w:afterLines="0"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项目所在地</w:t>
            </w:r>
          </w:p>
        </w:tc>
        <w:tc>
          <w:tcPr>
            <w:tcW w:w="5624" w:type="dxa"/>
            <w:tcBorders>
              <w:top w:val="single" w:color="auto" w:sz="4" w:space="0"/>
              <w:left w:val="nil"/>
              <w:bottom w:val="single" w:color="auto" w:sz="4" w:space="0"/>
              <w:right w:val="single" w:color="auto" w:sz="4" w:space="0"/>
              <w:tl2br w:val="nil"/>
              <w:tr2bl w:val="nil"/>
            </w:tcBorders>
            <w:noWrap w:val="0"/>
            <w:vAlign w:val="top"/>
          </w:tcPr>
          <w:p>
            <w:pPr>
              <w:pStyle w:val="71"/>
              <w:spacing w:beforeLines="0" w:afterLines="0" w:line="240" w:lineRule="auto"/>
              <w:ind w:firstLine="0" w:firstLineChars="0"/>
              <w:jc w:val="cente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26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1"/>
              <w:spacing w:beforeLines="0" w:afterLines="0"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发包人名称</w:t>
            </w:r>
          </w:p>
        </w:tc>
        <w:tc>
          <w:tcPr>
            <w:tcW w:w="5624" w:type="dxa"/>
            <w:tcBorders>
              <w:top w:val="single" w:color="auto" w:sz="4" w:space="0"/>
              <w:left w:val="nil"/>
              <w:bottom w:val="single" w:color="auto" w:sz="4" w:space="0"/>
              <w:right w:val="single" w:color="auto" w:sz="4" w:space="0"/>
              <w:tl2br w:val="nil"/>
              <w:tr2bl w:val="nil"/>
            </w:tcBorders>
            <w:noWrap w:val="0"/>
            <w:vAlign w:val="top"/>
          </w:tcPr>
          <w:p>
            <w:pPr>
              <w:pStyle w:val="71"/>
              <w:spacing w:beforeLines="0" w:afterLines="0" w:line="240" w:lineRule="auto"/>
              <w:ind w:firstLine="0" w:firstLineChars="0"/>
              <w:jc w:val="cente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26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1"/>
              <w:spacing w:beforeLines="0" w:afterLines="0"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发包人地址</w:t>
            </w:r>
          </w:p>
        </w:tc>
        <w:tc>
          <w:tcPr>
            <w:tcW w:w="5624" w:type="dxa"/>
            <w:tcBorders>
              <w:top w:val="single" w:color="auto" w:sz="4" w:space="0"/>
              <w:left w:val="nil"/>
              <w:bottom w:val="single" w:color="auto" w:sz="4" w:space="0"/>
              <w:right w:val="single" w:color="auto" w:sz="4" w:space="0"/>
              <w:tl2br w:val="nil"/>
              <w:tr2bl w:val="nil"/>
            </w:tcBorders>
            <w:noWrap w:val="0"/>
            <w:vAlign w:val="top"/>
          </w:tcPr>
          <w:p>
            <w:pPr>
              <w:pStyle w:val="71"/>
              <w:spacing w:beforeLines="0" w:afterLines="0" w:line="240" w:lineRule="auto"/>
              <w:ind w:firstLine="0" w:firstLineChars="0"/>
              <w:jc w:val="cente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26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1"/>
              <w:spacing w:beforeLines="0" w:afterLines="0"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发包人电话</w:t>
            </w:r>
          </w:p>
        </w:tc>
        <w:tc>
          <w:tcPr>
            <w:tcW w:w="5624" w:type="dxa"/>
            <w:tcBorders>
              <w:top w:val="single" w:color="auto" w:sz="4" w:space="0"/>
              <w:left w:val="nil"/>
              <w:bottom w:val="single" w:color="auto" w:sz="4" w:space="0"/>
              <w:right w:val="single" w:color="auto" w:sz="4" w:space="0"/>
              <w:tl2br w:val="nil"/>
              <w:tr2bl w:val="nil"/>
            </w:tcBorders>
            <w:noWrap w:val="0"/>
            <w:vAlign w:val="top"/>
          </w:tcPr>
          <w:p>
            <w:pPr>
              <w:pStyle w:val="71"/>
              <w:spacing w:beforeLines="0" w:afterLines="0" w:line="240" w:lineRule="auto"/>
              <w:ind w:firstLine="0" w:firstLineChars="0"/>
              <w:jc w:val="cente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26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1"/>
              <w:spacing w:beforeLines="0" w:afterLines="0"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合同价格</w:t>
            </w:r>
          </w:p>
        </w:tc>
        <w:tc>
          <w:tcPr>
            <w:tcW w:w="5624" w:type="dxa"/>
            <w:tcBorders>
              <w:top w:val="single" w:color="auto" w:sz="4" w:space="0"/>
              <w:left w:val="nil"/>
              <w:bottom w:val="single" w:color="auto" w:sz="4" w:space="0"/>
              <w:right w:val="single" w:color="auto" w:sz="4" w:space="0"/>
              <w:tl2br w:val="nil"/>
              <w:tr2bl w:val="nil"/>
            </w:tcBorders>
            <w:noWrap w:val="0"/>
            <w:vAlign w:val="top"/>
          </w:tcPr>
          <w:p>
            <w:pPr>
              <w:pStyle w:val="71"/>
              <w:spacing w:beforeLines="0" w:afterLines="0" w:line="240" w:lineRule="auto"/>
              <w:ind w:firstLine="0" w:firstLineChars="0"/>
              <w:jc w:val="cente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26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1"/>
              <w:spacing w:beforeLines="0" w:afterLines="0"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开工日期</w:t>
            </w:r>
          </w:p>
        </w:tc>
        <w:tc>
          <w:tcPr>
            <w:tcW w:w="5624" w:type="dxa"/>
            <w:tcBorders>
              <w:top w:val="single" w:color="auto" w:sz="4" w:space="0"/>
              <w:left w:val="nil"/>
              <w:bottom w:val="single" w:color="auto" w:sz="4" w:space="0"/>
              <w:right w:val="single" w:color="auto" w:sz="4" w:space="0"/>
              <w:tl2br w:val="nil"/>
              <w:tr2bl w:val="nil"/>
            </w:tcBorders>
            <w:noWrap w:val="0"/>
            <w:vAlign w:val="top"/>
          </w:tcPr>
          <w:p>
            <w:pPr>
              <w:pStyle w:val="71"/>
              <w:spacing w:beforeLines="0" w:afterLines="0" w:line="240" w:lineRule="auto"/>
              <w:ind w:firstLine="0" w:firstLineChars="0"/>
              <w:jc w:val="cente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226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1"/>
              <w:spacing w:beforeLines="0" w:afterLines="0"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竣工日期</w:t>
            </w:r>
          </w:p>
        </w:tc>
        <w:tc>
          <w:tcPr>
            <w:tcW w:w="5624" w:type="dxa"/>
            <w:tcBorders>
              <w:top w:val="single" w:color="auto" w:sz="4" w:space="0"/>
              <w:left w:val="nil"/>
              <w:bottom w:val="single" w:color="auto" w:sz="4" w:space="0"/>
              <w:right w:val="single" w:color="auto" w:sz="4" w:space="0"/>
              <w:tl2br w:val="nil"/>
              <w:tr2bl w:val="nil"/>
            </w:tcBorders>
            <w:noWrap w:val="0"/>
            <w:vAlign w:val="top"/>
          </w:tcPr>
          <w:p>
            <w:pPr>
              <w:pStyle w:val="71"/>
              <w:spacing w:beforeLines="0" w:afterLines="0" w:line="240" w:lineRule="auto"/>
              <w:ind w:firstLine="0" w:firstLineChars="0"/>
              <w:jc w:val="cente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26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1"/>
              <w:spacing w:beforeLines="0" w:afterLines="0"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承担的工作</w:t>
            </w:r>
          </w:p>
        </w:tc>
        <w:tc>
          <w:tcPr>
            <w:tcW w:w="5624" w:type="dxa"/>
            <w:tcBorders>
              <w:top w:val="single" w:color="auto" w:sz="4" w:space="0"/>
              <w:left w:val="nil"/>
              <w:bottom w:val="single" w:color="auto" w:sz="4" w:space="0"/>
              <w:right w:val="single" w:color="auto" w:sz="4" w:space="0"/>
              <w:tl2br w:val="nil"/>
              <w:tr2bl w:val="nil"/>
            </w:tcBorders>
            <w:noWrap w:val="0"/>
            <w:vAlign w:val="top"/>
          </w:tcPr>
          <w:p>
            <w:pPr>
              <w:pStyle w:val="71"/>
              <w:spacing w:beforeLines="0" w:afterLines="0" w:line="240" w:lineRule="auto"/>
              <w:ind w:firstLine="0" w:firstLineChars="0"/>
              <w:jc w:val="cente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26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1"/>
              <w:spacing w:beforeLines="0" w:afterLines="0"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工程质量</w:t>
            </w:r>
          </w:p>
        </w:tc>
        <w:tc>
          <w:tcPr>
            <w:tcW w:w="5624" w:type="dxa"/>
            <w:tcBorders>
              <w:top w:val="single" w:color="auto" w:sz="4" w:space="0"/>
              <w:left w:val="nil"/>
              <w:bottom w:val="single" w:color="auto" w:sz="4" w:space="0"/>
              <w:right w:val="single" w:color="auto" w:sz="4" w:space="0"/>
              <w:tl2br w:val="nil"/>
              <w:tr2bl w:val="nil"/>
            </w:tcBorders>
            <w:noWrap w:val="0"/>
            <w:vAlign w:val="top"/>
          </w:tcPr>
          <w:p>
            <w:pPr>
              <w:pStyle w:val="71"/>
              <w:spacing w:beforeLines="0" w:afterLines="0" w:line="240" w:lineRule="auto"/>
              <w:ind w:firstLine="0" w:firstLineChars="0"/>
              <w:jc w:val="cente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226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1"/>
              <w:spacing w:beforeLines="0" w:afterLines="0"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项目经理</w:t>
            </w:r>
          </w:p>
        </w:tc>
        <w:tc>
          <w:tcPr>
            <w:tcW w:w="5624" w:type="dxa"/>
            <w:tcBorders>
              <w:top w:val="single" w:color="auto" w:sz="4" w:space="0"/>
              <w:left w:val="nil"/>
              <w:bottom w:val="single" w:color="auto" w:sz="4" w:space="0"/>
              <w:right w:val="single" w:color="auto" w:sz="4" w:space="0"/>
              <w:tl2br w:val="nil"/>
              <w:tr2bl w:val="nil"/>
            </w:tcBorders>
            <w:noWrap w:val="0"/>
            <w:vAlign w:val="top"/>
          </w:tcPr>
          <w:p>
            <w:pPr>
              <w:pStyle w:val="71"/>
              <w:spacing w:beforeLines="0" w:afterLines="0" w:line="240" w:lineRule="auto"/>
              <w:ind w:firstLine="0" w:firstLineChars="0"/>
              <w:jc w:val="cente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26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1"/>
              <w:spacing w:beforeLines="0" w:afterLines="0"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技术负责人</w:t>
            </w:r>
          </w:p>
        </w:tc>
        <w:tc>
          <w:tcPr>
            <w:tcW w:w="5624" w:type="dxa"/>
            <w:tcBorders>
              <w:top w:val="single" w:color="auto" w:sz="4" w:space="0"/>
              <w:left w:val="nil"/>
              <w:bottom w:val="single" w:color="auto" w:sz="4" w:space="0"/>
              <w:right w:val="single" w:color="auto" w:sz="4" w:space="0"/>
              <w:tl2br w:val="nil"/>
              <w:tr2bl w:val="nil"/>
            </w:tcBorders>
            <w:noWrap w:val="0"/>
            <w:vAlign w:val="top"/>
          </w:tcPr>
          <w:p>
            <w:pPr>
              <w:pStyle w:val="71"/>
              <w:spacing w:beforeLines="0" w:afterLines="0" w:line="240" w:lineRule="auto"/>
              <w:ind w:firstLine="0" w:firstLineChars="0"/>
              <w:jc w:val="cente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26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1"/>
              <w:spacing w:beforeLines="0" w:afterLines="0"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项目描述</w:t>
            </w:r>
          </w:p>
        </w:tc>
        <w:tc>
          <w:tcPr>
            <w:tcW w:w="5624" w:type="dxa"/>
            <w:tcBorders>
              <w:top w:val="single" w:color="auto" w:sz="4" w:space="0"/>
              <w:left w:val="nil"/>
              <w:bottom w:val="single" w:color="auto" w:sz="4" w:space="0"/>
              <w:right w:val="single" w:color="auto" w:sz="4" w:space="0"/>
              <w:tl2br w:val="nil"/>
              <w:tr2bl w:val="nil"/>
            </w:tcBorders>
            <w:noWrap w:val="0"/>
            <w:vAlign w:val="top"/>
          </w:tcPr>
          <w:p>
            <w:pPr>
              <w:pStyle w:val="71"/>
              <w:spacing w:beforeLines="0" w:afterLines="0" w:line="240" w:lineRule="auto"/>
              <w:ind w:firstLine="0" w:firstLineChars="0"/>
              <w:jc w:val="center"/>
              <w:rPr>
                <w:rFonts w:hint="eastAsia" w:ascii="仿宋" w:hAnsi="仿宋" w:eastAsia="仿宋" w:cs="仿宋"/>
                <w:sz w:val="21"/>
                <w:szCs w:val="21"/>
              </w:rPr>
            </w:pPr>
          </w:p>
          <w:p>
            <w:pPr>
              <w:pStyle w:val="71"/>
              <w:spacing w:beforeLines="0" w:afterLines="0" w:line="240" w:lineRule="auto"/>
              <w:ind w:firstLine="0" w:firstLineChars="0"/>
              <w:jc w:val="center"/>
              <w:rPr>
                <w:rFonts w:hint="eastAsia" w:ascii="仿宋" w:hAnsi="仿宋" w:eastAsia="仿宋" w:cs="仿宋"/>
                <w:sz w:val="21"/>
                <w:szCs w:val="21"/>
              </w:rPr>
            </w:pPr>
          </w:p>
          <w:p>
            <w:pPr>
              <w:pStyle w:val="71"/>
              <w:spacing w:beforeLines="0" w:afterLines="0" w:line="240" w:lineRule="auto"/>
              <w:ind w:firstLine="0" w:firstLineChars="0"/>
              <w:jc w:val="center"/>
              <w:rPr>
                <w:rFonts w:hint="eastAsia" w:ascii="仿宋" w:hAnsi="仿宋" w:eastAsia="仿宋" w:cs="仿宋"/>
                <w:sz w:val="21"/>
                <w:szCs w:val="21"/>
              </w:rPr>
            </w:pPr>
          </w:p>
          <w:p>
            <w:pPr>
              <w:pStyle w:val="71"/>
              <w:spacing w:beforeLines="0" w:afterLines="0" w:line="240" w:lineRule="auto"/>
              <w:ind w:firstLine="0" w:firstLineChars="0"/>
              <w:jc w:val="center"/>
              <w:rPr>
                <w:rFonts w:hint="eastAsia" w:ascii="仿宋" w:hAnsi="仿宋" w:eastAsia="仿宋" w:cs="仿宋"/>
                <w:sz w:val="21"/>
                <w:szCs w:val="21"/>
              </w:rPr>
            </w:pPr>
          </w:p>
          <w:p>
            <w:pPr>
              <w:pStyle w:val="71"/>
              <w:spacing w:beforeLines="0" w:afterLines="0" w:line="240" w:lineRule="auto"/>
              <w:ind w:firstLine="0" w:firstLineChars="0"/>
              <w:jc w:val="center"/>
              <w:rPr>
                <w:rFonts w:hint="eastAsia" w:ascii="仿宋" w:hAnsi="仿宋" w:eastAsia="仿宋" w:cs="仿宋"/>
                <w:sz w:val="21"/>
                <w:szCs w:val="21"/>
              </w:rPr>
            </w:pPr>
          </w:p>
          <w:p>
            <w:pPr>
              <w:pStyle w:val="71"/>
              <w:spacing w:beforeLines="0" w:afterLines="0" w:line="240" w:lineRule="auto"/>
              <w:ind w:firstLine="0" w:firstLineChars="0"/>
              <w:jc w:val="center"/>
              <w:rPr>
                <w:rFonts w:hint="eastAsia" w:ascii="仿宋" w:hAnsi="仿宋" w:eastAsia="仿宋" w:cs="仿宋"/>
                <w:sz w:val="21"/>
                <w:szCs w:val="21"/>
              </w:rPr>
            </w:pPr>
          </w:p>
          <w:p>
            <w:pPr>
              <w:pStyle w:val="71"/>
              <w:spacing w:beforeLines="0" w:afterLines="0" w:line="240" w:lineRule="auto"/>
              <w:ind w:firstLine="0" w:firstLineChars="0"/>
              <w:jc w:val="cente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26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1"/>
              <w:spacing w:beforeLines="0" w:afterLines="0"/>
              <w:ind w:firstLine="0" w:firstLineChars="0"/>
              <w:jc w:val="center"/>
              <w:rPr>
                <w:rFonts w:hint="eastAsia" w:ascii="仿宋" w:hAnsi="仿宋" w:eastAsia="仿宋" w:cs="仿宋"/>
                <w:sz w:val="21"/>
                <w:szCs w:val="21"/>
              </w:rPr>
            </w:pPr>
            <w:r>
              <w:rPr>
                <w:rFonts w:hint="eastAsia" w:ascii="仿宋" w:hAnsi="仿宋" w:eastAsia="仿宋" w:cs="仿宋"/>
                <w:sz w:val="21"/>
                <w:szCs w:val="21"/>
              </w:rPr>
              <w:t>备注</w:t>
            </w:r>
          </w:p>
        </w:tc>
        <w:tc>
          <w:tcPr>
            <w:tcW w:w="5624" w:type="dxa"/>
            <w:tcBorders>
              <w:top w:val="single" w:color="auto" w:sz="4" w:space="0"/>
              <w:left w:val="nil"/>
              <w:bottom w:val="single" w:color="auto" w:sz="4" w:space="0"/>
              <w:right w:val="single" w:color="auto" w:sz="4" w:space="0"/>
              <w:tl2br w:val="nil"/>
              <w:tr2bl w:val="nil"/>
            </w:tcBorders>
            <w:noWrap w:val="0"/>
            <w:vAlign w:val="top"/>
          </w:tcPr>
          <w:p>
            <w:pPr>
              <w:pStyle w:val="71"/>
              <w:spacing w:beforeLines="0" w:afterLines="0"/>
              <w:ind w:firstLine="0" w:firstLineChars="0"/>
              <w:jc w:val="center"/>
              <w:rPr>
                <w:rFonts w:hint="eastAsia" w:ascii="仿宋" w:hAnsi="仿宋" w:eastAsia="仿宋" w:cs="仿宋"/>
                <w:sz w:val="21"/>
                <w:szCs w:val="21"/>
              </w:rPr>
            </w:pPr>
          </w:p>
        </w:tc>
      </w:tr>
    </w:tbl>
    <w:p>
      <w:pPr>
        <w:pStyle w:val="71"/>
        <w:spacing w:beforeLines="0" w:afterLines="0"/>
        <w:ind w:firstLine="0" w:firstLineChars="0"/>
        <w:jc w:val="both"/>
        <w:rPr>
          <w:sz w:val="21"/>
          <w:szCs w:val="21"/>
        </w:rPr>
      </w:pPr>
      <w:r>
        <w:rPr>
          <w:rFonts w:hint="eastAsia" w:ascii="仿宋" w:hAnsi="仿宋" w:eastAsia="仿宋" w:cs="仿宋"/>
          <w:sz w:val="21"/>
          <w:szCs w:val="21"/>
        </w:rPr>
        <w:t>（须后附中标通知书或合同协议书原件扫描件，具体要求见投标人须知的有关规定）</w:t>
      </w:r>
      <w:bookmarkEnd w:id="135"/>
      <w:bookmarkEnd w:id="136"/>
      <w:bookmarkEnd w:id="137"/>
      <w:bookmarkEnd w:id="138"/>
      <w:r>
        <w:rPr>
          <w:sz w:val="21"/>
          <w:szCs w:val="21"/>
        </w:rPr>
        <w:br w:type="page"/>
      </w:r>
    </w:p>
    <w:p>
      <w:pPr>
        <w:widowControl/>
        <w:jc w:val="center"/>
        <w:outlineLvl w:val="0"/>
        <w:rPr>
          <w:rFonts w:ascii="宋体" w:hAnsi="宋体" w:cs="宋体"/>
          <w:b/>
          <w:sz w:val="30"/>
          <w:szCs w:val="30"/>
        </w:rPr>
      </w:pPr>
      <w:bookmarkStart w:id="139" w:name="_Toc12007"/>
      <w:bookmarkStart w:id="140" w:name="_Toc3617"/>
      <w:r>
        <w:rPr>
          <w:rFonts w:ascii="宋体" w:hAnsi="宋体" w:cs="宋体"/>
          <w:b/>
          <w:sz w:val="30"/>
          <w:szCs w:val="30"/>
        </w:rPr>
        <w:t>第七章  政府采购政策</w:t>
      </w:r>
      <w:bookmarkEnd w:id="139"/>
      <w:bookmarkEnd w:id="140"/>
    </w:p>
    <w:p>
      <w:pPr>
        <w:widowControl/>
        <w:spacing w:line="500" w:lineRule="exact"/>
        <w:jc w:val="center"/>
        <w:rPr>
          <w:rFonts w:ascii="宋体" w:hAnsi="宋体" w:cs="宋体"/>
          <w:b/>
          <w:szCs w:val="21"/>
        </w:rPr>
      </w:pPr>
      <w:bookmarkStart w:id="141" w:name="一、关于小微企业及产品"/>
      <w:bookmarkEnd w:id="141"/>
      <w:r>
        <w:rPr>
          <w:rFonts w:ascii="宋体" w:hAnsi="宋体" w:cs="宋体"/>
          <w:b/>
          <w:kern w:val="0"/>
          <w:szCs w:val="21"/>
        </w:rPr>
        <w:t>一、关于小微企业及产品</w:t>
      </w:r>
    </w:p>
    <w:p>
      <w:pPr>
        <w:widowControl/>
        <w:spacing w:line="500" w:lineRule="exact"/>
        <w:jc w:val="left"/>
        <w:rPr>
          <w:rFonts w:ascii="仿宋" w:hAnsi="仿宋" w:eastAsia="仿宋" w:cs="仿宋"/>
          <w:szCs w:val="21"/>
        </w:rPr>
      </w:pPr>
      <w:r>
        <w:rPr>
          <w:rFonts w:hint="eastAsia" w:ascii="仿宋" w:hAnsi="仿宋" w:eastAsia="仿宋" w:cs="仿宋"/>
          <w:b/>
          <w:kern w:val="0"/>
          <w:szCs w:val="21"/>
        </w:rPr>
        <w:t xml:space="preserve">1、政府采购政策： </w:t>
      </w:r>
    </w:p>
    <w:p>
      <w:pPr>
        <w:widowControl/>
        <w:spacing w:line="500" w:lineRule="exact"/>
        <w:jc w:val="left"/>
        <w:rPr>
          <w:rFonts w:ascii="仿宋" w:hAnsi="仿宋" w:eastAsia="仿宋" w:cs="仿宋"/>
          <w:kern w:val="0"/>
          <w:szCs w:val="21"/>
        </w:rPr>
      </w:pPr>
      <w:r>
        <w:rPr>
          <w:rFonts w:hint="eastAsia" w:ascii="仿宋" w:hAnsi="仿宋" w:eastAsia="仿宋" w:cs="仿宋"/>
          <w:kern w:val="0"/>
          <w:szCs w:val="21"/>
        </w:rPr>
        <w:t xml:space="preserve">1.1《政府采购促进中小企业发展管理办法》（财库﹝2020﹞46 号） </w:t>
      </w:r>
    </w:p>
    <w:p>
      <w:pPr>
        <w:widowControl/>
        <w:spacing w:line="500" w:lineRule="exact"/>
        <w:jc w:val="left"/>
        <w:rPr>
          <w:rFonts w:ascii="仿宋" w:hAnsi="仿宋" w:eastAsia="仿宋" w:cs="仿宋"/>
          <w:kern w:val="0"/>
          <w:szCs w:val="21"/>
        </w:rPr>
      </w:pPr>
      <w:r>
        <w:rPr>
          <w:rFonts w:hint="eastAsia" w:ascii="仿宋" w:hAnsi="仿宋" w:eastAsia="仿宋" w:cs="仿宋"/>
          <w:kern w:val="0"/>
          <w:szCs w:val="21"/>
        </w:rPr>
        <w:t xml:space="preserve">1.2《关于印发中小企业划型标准规定的通知》（工信部联企业[2011]300 号） </w:t>
      </w:r>
    </w:p>
    <w:p>
      <w:pPr>
        <w:widowControl/>
        <w:spacing w:line="500" w:lineRule="exact"/>
        <w:jc w:val="left"/>
        <w:rPr>
          <w:rFonts w:ascii="仿宋" w:hAnsi="仿宋" w:eastAsia="仿宋" w:cs="仿宋"/>
          <w:kern w:val="0"/>
          <w:szCs w:val="21"/>
        </w:rPr>
      </w:pPr>
      <w:r>
        <w:rPr>
          <w:rFonts w:hint="eastAsia" w:ascii="仿宋" w:hAnsi="仿宋" w:eastAsia="仿宋" w:cs="仿宋"/>
          <w:kern w:val="0"/>
          <w:szCs w:val="21"/>
        </w:rPr>
        <w:t>1.3《关于进一步加大政府采购支持中小企业力度的通知》（财库〔2022〕19号）</w:t>
      </w:r>
    </w:p>
    <w:p>
      <w:pPr>
        <w:widowControl/>
        <w:spacing w:line="500" w:lineRule="exact"/>
        <w:jc w:val="left"/>
        <w:rPr>
          <w:rFonts w:ascii="仿宋" w:hAnsi="仿宋" w:eastAsia="仿宋" w:cs="仿宋"/>
          <w:b/>
          <w:kern w:val="0"/>
          <w:szCs w:val="21"/>
        </w:rPr>
      </w:pPr>
      <w:r>
        <w:rPr>
          <w:rFonts w:hint="eastAsia" w:ascii="仿宋" w:hAnsi="仿宋" w:eastAsia="仿宋" w:cs="仿宋"/>
          <w:b/>
          <w:kern w:val="0"/>
          <w:szCs w:val="21"/>
        </w:rPr>
        <w:t>2、证明材料</w:t>
      </w:r>
    </w:p>
    <w:p>
      <w:pPr>
        <w:widowControl/>
        <w:spacing w:line="500" w:lineRule="exact"/>
        <w:jc w:val="left"/>
        <w:rPr>
          <w:rFonts w:ascii="仿宋" w:hAnsi="仿宋" w:eastAsia="仿宋" w:cs="仿宋"/>
          <w:szCs w:val="21"/>
        </w:rPr>
      </w:pPr>
      <w:r>
        <w:rPr>
          <w:rFonts w:hint="eastAsia" w:ascii="仿宋" w:hAnsi="仿宋" w:eastAsia="仿宋" w:cs="仿宋"/>
          <w:kern w:val="0"/>
          <w:szCs w:val="21"/>
        </w:rPr>
        <w:t>提供《中小企业声明函》，否则评审时不得享受相关中小企业扶持政策。</w:t>
      </w:r>
      <w:r>
        <w:rPr>
          <w:rFonts w:hint="eastAsia" w:ascii="仿宋" w:hAnsi="仿宋" w:eastAsia="仿宋" w:cs="仿宋"/>
          <w:b/>
          <w:kern w:val="0"/>
          <w:szCs w:val="21"/>
        </w:rPr>
        <w:t xml:space="preserve"> </w:t>
      </w:r>
    </w:p>
    <w:p>
      <w:pPr>
        <w:widowControl/>
        <w:spacing w:line="500" w:lineRule="exact"/>
        <w:jc w:val="left"/>
        <w:rPr>
          <w:rFonts w:ascii="宋体" w:hAnsi="宋体" w:cs="宋体"/>
          <w:b/>
          <w:kern w:val="0"/>
          <w:szCs w:val="21"/>
        </w:rPr>
      </w:pPr>
    </w:p>
    <w:p>
      <w:pPr>
        <w:widowControl/>
        <w:spacing w:line="500" w:lineRule="exact"/>
        <w:jc w:val="center"/>
        <w:rPr>
          <w:rFonts w:ascii="宋体" w:hAnsi="宋体" w:cs="宋体"/>
          <w:b/>
          <w:kern w:val="0"/>
          <w:szCs w:val="21"/>
        </w:rPr>
      </w:pPr>
      <w:r>
        <w:rPr>
          <w:rFonts w:ascii="宋体" w:hAnsi="宋体" w:cs="宋体"/>
          <w:b/>
          <w:kern w:val="0"/>
          <w:szCs w:val="21"/>
        </w:rPr>
        <w:t>二、关于监狱企业</w:t>
      </w:r>
    </w:p>
    <w:p>
      <w:pPr>
        <w:widowControl/>
        <w:spacing w:line="500" w:lineRule="exact"/>
        <w:jc w:val="left"/>
        <w:rPr>
          <w:rFonts w:ascii="仿宋" w:hAnsi="仿宋" w:eastAsia="仿宋" w:cs="仿宋"/>
          <w:b/>
          <w:kern w:val="0"/>
          <w:szCs w:val="21"/>
        </w:rPr>
      </w:pPr>
      <w:r>
        <w:rPr>
          <w:rFonts w:hint="eastAsia" w:ascii="仿宋" w:hAnsi="仿宋" w:eastAsia="仿宋" w:cs="仿宋"/>
          <w:b/>
          <w:kern w:val="0"/>
          <w:szCs w:val="21"/>
        </w:rPr>
        <w:t xml:space="preserve">1、政府采购政策 </w:t>
      </w:r>
    </w:p>
    <w:p>
      <w:pPr>
        <w:widowControl/>
        <w:spacing w:line="500" w:lineRule="exact"/>
        <w:jc w:val="left"/>
        <w:rPr>
          <w:rFonts w:ascii="仿宋" w:hAnsi="仿宋" w:eastAsia="仿宋" w:cs="仿宋"/>
          <w:kern w:val="0"/>
          <w:szCs w:val="21"/>
        </w:rPr>
      </w:pPr>
      <w:r>
        <w:rPr>
          <w:rFonts w:hint="eastAsia" w:ascii="仿宋" w:hAnsi="仿宋" w:eastAsia="仿宋" w:cs="仿宋"/>
          <w:kern w:val="0"/>
          <w:szCs w:val="21"/>
        </w:rPr>
        <w:t xml:space="preserve">《财政部、司法部关于政府采购支持监狱企业发展有关问题的通知》（财库【2014】68 号）关于监狱企业：视同小微企业。 </w:t>
      </w:r>
    </w:p>
    <w:p>
      <w:pPr>
        <w:widowControl/>
        <w:spacing w:line="500" w:lineRule="exact"/>
        <w:jc w:val="left"/>
        <w:rPr>
          <w:rFonts w:ascii="仿宋" w:hAnsi="仿宋" w:eastAsia="仿宋" w:cs="仿宋"/>
          <w:b/>
          <w:kern w:val="0"/>
          <w:szCs w:val="21"/>
        </w:rPr>
      </w:pPr>
      <w:r>
        <w:rPr>
          <w:rFonts w:hint="eastAsia" w:ascii="仿宋" w:hAnsi="仿宋" w:eastAsia="仿宋" w:cs="仿宋"/>
          <w:b/>
          <w:kern w:val="0"/>
          <w:szCs w:val="21"/>
        </w:rPr>
        <w:t xml:space="preserve">2、证明材料 </w:t>
      </w:r>
    </w:p>
    <w:p>
      <w:pPr>
        <w:widowControl/>
        <w:spacing w:line="500" w:lineRule="exact"/>
        <w:jc w:val="left"/>
        <w:rPr>
          <w:rFonts w:ascii="宋体" w:hAnsi="宋体" w:cs="宋体"/>
          <w:kern w:val="0"/>
          <w:szCs w:val="21"/>
        </w:rPr>
      </w:pPr>
      <w:r>
        <w:rPr>
          <w:rFonts w:hint="eastAsia" w:ascii="仿宋" w:hAnsi="仿宋" w:eastAsia="仿宋" w:cs="仿宋"/>
          <w:kern w:val="0"/>
          <w:szCs w:val="21"/>
        </w:rPr>
        <w:t xml:space="preserve">提供由省级以上监狱管理局、戒毒管理局（含新疆生产建设兵团）出具的属于监狱企业的证明文件，否则评审时不予价格扣除优惠。 </w:t>
      </w:r>
    </w:p>
    <w:p>
      <w:pPr>
        <w:widowControl/>
        <w:spacing w:line="500" w:lineRule="exact"/>
        <w:jc w:val="center"/>
        <w:rPr>
          <w:rFonts w:ascii="宋体" w:hAnsi="宋体" w:cs="宋体"/>
          <w:kern w:val="0"/>
          <w:szCs w:val="21"/>
        </w:rPr>
      </w:pPr>
    </w:p>
    <w:p>
      <w:pPr>
        <w:spacing w:line="500" w:lineRule="exact"/>
        <w:rPr>
          <w:rFonts w:ascii="宋体" w:hAnsi="宋体" w:cs="宋体"/>
          <w:kern w:val="0"/>
          <w:szCs w:val="21"/>
        </w:rPr>
      </w:pPr>
    </w:p>
    <w:p>
      <w:pPr>
        <w:widowControl/>
        <w:spacing w:line="500" w:lineRule="exact"/>
        <w:jc w:val="center"/>
        <w:rPr>
          <w:rFonts w:ascii="宋体" w:hAnsi="宋体" w:cs="宋体"/>
          <w:b/>
          <w:kern w:val="0"/>
          <w:szCs w:val="21"/>
        </w:rPr>
      </w:pPr>
      <w:r>
        <w:rPr>
          <w:rFonts w:ascii="宋体" w:hAnsi="宋体" w:cs="宋体"/>
          <w:b/>
          <w:kern w:val="0"/>
          <w:szCs w:val="21"/>
        </w:rPr>
        <w:t>三、关于促进残疾人就业</w:t>
      </w:r>
    </w:p>
    <w:p>
      <w:pPr>
        <w:widowControl/>
        <w:spacing w:line="500" w:lineRule="exact"/>
        <w:jc w:val="left"/>
        <w:rPr>
          <w:rFonts w:ascii="仿宋" w:hAnsi="仿宋" w:eastAsia="仿宋" w:cs="仿宋"/>
          <w:b/>
          <w:kern w:val="0"/>
          <w:szCs w:val="21"/>
        </w:rPr>
      </w:pPr>
      <w:r>
        <w:rPr>
          <w:rFonts w:hint="eastAsia" w:ascii="仿宋" w:hAnsi="仿宋" w:eastAsia="仿宋" w:cs="仿宋"/>
          <w:b/>
          <w:kern w:val="0"/>
          <w:szCs w:val="21"/>
        </w:rPr>
        <w:t xml:space="preserve">1、政府采购政策 </w:t>
      </w:r>
    </w:p>
    <w:p>
      <w:pPr>
        <w:widowControl/>
        <w:spacing w:line="500" w:lineRule="exact"/>
        <w:jc w:val="left"/>
        <w:rPr>
          <w:rFonts w:ascii="仿宋" w:hAnsi="仿宋" w:eastAsia="仿宋" w:cs="仿宋"/>
          <w:kern w:val="0"/>
          <w:szCs w:val="21"/>
        </w:rPr>
      </w:pPr>
      <w:r>
        <w:rPr>
          <w:rFonts w:hint="eastAsia" w:ascii="仿宋" w:hAnsi="仿宋" w:eastAsia="仿宋" w:cs="仿宋"/>
          <w:kern w:val="0"/>
          <w:szCs w:val="21"/>
        </w:rPr>
        <w:t xml:space="preserve">《关于促进残疾人就业政府采购政策的通知》（财库〔2017〕141 号） </w:t>
      </w:r>
    </w:p>
    <w:p>
      <w:pPr>
        <w:widowControl/>
        <w:spacing w:line="500" w:lineRule="exact"/>
        <w:jc w:val="left"/>
        <w:rPr>
          <w:rFonts w:ascii="仿宋" w:hAnsi="仿宋" w:eastAsia="仿宋" w:cs="仿宋"/>
          <w:kern w:val="0"/>
          <w:szCs w:val="21"/>
        </w:rPr>
      </w:pPr>
      <w:r>
        <w:rPr>
          <w:rFonts w:hint="eastAsia" w:ascii="仿宋" w:hAnsi="仿宋" w:eastAsia="仿宋" w:cs="仿宋"/>
          <w:kern w:val="0"/>
          <w:szCs w:val="21"/>
        </w:rPr>
        <w:t>关于残疾人福利性单位：视同小微企业。残疾人福利性单位属于小型、微型企业的，不重复享受政策。</w:t>
      </w:r>
    </w:p>
    <w:p>
      <w:pPr>
        <w:widowControl/>
        <w:spacing w:line="500" w:lineRule="exact"/>
        <w:jc w:val="left"/>
        <w:rPr>
          <w:rFonts w:ascii="仿宋" w:hAnsi="仿宋" w:eastAsia="仿宋" w:cs="仿宋"/>
          <w:b/>
          <w:kern w:val="0"/>
          <w:szCs w:val="21"/>
        </w:rPr>
      </w:pPr>
      <w:r>
        <w:rPr>
          <w:rFonts w:hint="eastAsia" w:ascii="仿宋" w:hAnsi="仿宋" w:eastAsia="仿宋" w:cs="仿宋"/>
          <w:b/>
          <w:kern w:val="0"/>
          <w:szCs w:val="21"/>
        </w:rPr>
        <w:t>2、证明材料</w:t>
      </w:r>
    </w:p>
    <w:p>
      <w:pPr>
        <w:rPr>
          <w:rFonts w:ascii="仿宋" w:hAnsi="仿宋" w:eastAsia="仿宋" w:cs="仿宋"/>
          <w:szCs w:val="21"/>
        </w:rPr>
      </w:pPr>
      <w:r>
        <w:rPr>
          <w:rFonts w:hint="eastAsia" w:ascii="仿宋" w:hAnsi="仿宋" w:eastAsia="仿宋" w:cs="仿宋"/>
          <w:kern w:val="0"/>
          <w:szCs w:val="21"/>
        </w:rPr>
        <w:t>提供《残疾人福利性单位声明函》，否则评审时不予价格扣除优惠。</w:t>
      </w:r>
    </w:p>
    <w:p>
      <w:pPr>
        <w:rPr>
          <w:rFonts w:ascii="仿宋" w:hAnsi="仿宋" w:eastAsia="仿宋" w:cs="仿宋"/>
          <w:szCs w:val="21"/>
        </w:rPr>
      </w:pPr>
    </w:p>
    <w:p>
      <w:pPr>
        <w:widowControl/>
        <w:spacing w:line="500" w:lineRule="exact"/>
        <w:jc w:val="center"/>
        <w:rPr>
          <w:rFonts w:ascii="宋体" w:hAnsi="宋体" w:cs="宋体"/>
          <w:b/>
          <w:kern w:val="0"/>
          <w:szCs w:val="21"/>
        </w:rPr>
      </w:pPr>
      <w:r>
        <w:rPr>
          <w:rFonts w:ascii="宋体" w:hAnsi="宋体" w:cs="宋体"/>
          <w:b/>
          <w:kern w:val="0"/>
          <w:szCs w:val="21"/>
        </w:rPr>
        <w:br w:type="page"/>
      </w:r>
      <w:r>
        <w:rPr>
          <w:rFonts w:ascii="宋体" w:hAnsi="宋体" w:cs="宋体"/>
          <w:b/>
          <w:kern w:val="0"/>
          <w:szCs w:val="21"/>
        </w:rPr>
        <w:t>四、关于节能产品</w:t>
      </w:r>
    </w:p>
    <w:p>
      <w:pPr>
        <w:widowControl/>
        <w:spacing w:line="500" w:lineRule="exact"/>
        <w:jc w:val="left"/>
        <w:rPr>
          <w:rFonts w:ascii="仿宋" w:hAnsi="仿宋" w:eastAsia="仿宋" w:cs="仿宋"/>
          <w:szCs w:val="21"/>
        </w:rPr>
      </w:pPr>
      <w:r>
        <w:rPr>
          <w:rFonts w:hint="eastAsia" w:ascii="仿宋" w:hAnsi="仿宋" w:eastAsia="仿宋" w:cs="仿宋"/>
          <w:b/>
          <w:kern w:val="0"/>
          <w:szCs w:val="21"/>
        </w:rPr>
        <w:t xml:space="preserve">1、政府采购政策： </w:t>
      </w:r>
    </w:p>
    <w:p>
      <w:pPr>
        <w:widowControl/>
        <w:spacing w:line="500" w:lineRule="exact"/>
        <w:jc w:val="left"/>
        <w:rPr>
          <w:rFonts w:ascii="仿宋" w:hAnsi="仿宋" w:eastAsia="仿宋" w:cs="仿宋"/>
          <w:szCs w:val="21"/>
        </w:rPr>
      </w:pPr>
      <w:r>
        <w:rPr>
          <w:rFonts w:hint="eastAsia" w:ascii="仿宋" w:hAnsi="仿宋" w:eastAsia="仿宋" w:cs="仿宋"/>
          <w:kern w:val="0"/>
          <w:szCs w:val="21"/>
        </w:rPr>
        <w:t xml:space="preserve">1.1《关于调整优化节能产品环境标志产品政府采购执行机制的通知》（财库〔2019〕9号） </w:t>
      </w:r>
    </w:p>
    <w:p>
      <w:pPr>
        <w:widowControl/>
        <w:spacing w:line="500" w:lineRule="exact"/>
        <w:jc w:val="left"/>
        <w:rPr>
          <w:rFonts w:ascii="仿宋" w:hAnsi="仿宋" w:eastAsia="仿宋" w:cs="仿宋"/>
          <w:szCs w:val="21"/>
        </w:rPr>
      </w:pPr>
      <w:r>
        <w:rPr>
          <w:rFonts w:hint="eastAsia" w:ascii="仿宋" w:hAnsi="仿宋" w:eastAsia="仿宋" w:cs="仿宋"/>
          <w:kern w:val="0"/>
          <w:szCs w:val="21"/>
        </w:rPr>
        <w:t xml:space="preserve">1.2《关于印发节能产品政府采购品目清单的通知》（财库〔2019〕19号） </w:t>
      </w:r>
    </w:p>
    <w:p>
      <w:pPr>
        <w:widowControl/>
        <w:spacing w:line="500" w:lineRule="exact"/>
        <w:jc w:val="left"/>
        <w:rPr>
          <w:rFonts w:ascii="仿宋" w:hAnsi="仿宋" w:eastAsia="仿宋" w:cs="仿宋"/>
          <w:b/>
          <w:kern w:val="0"/>
          <w:szCs w:val="21"/>
        </w:rPr>
      </w:pPr>
      <w:r>
        <w:rPr>
          <w:rFonts w:hint="eastAsia" w:ascii="仿宋" w:hAnsi="仿宋" w:eastAsia="仿宋" w:cs="仿宋"/>
          <w:b/>
          <w:kern w:val="0"/>
          <w:szCs w:val="21"/>
        </w:rPr>
        <w:t>2、证明材料</w:t>
      </w:r>
    </w:p>
    <w:p>
      <w:pPr>
        <w:pStyle w:val="8"/>
        <w:spacing w:line="500" w:lineRule="exact"/>
        <w:rPr>
          <w:rFonts w:ascii="仿宋" w:hAnsi="仿宋" w:eastAsia="仿宋" w:cs="仿宋"/>
          <w:szCs w:val="21"/>
        </w:rPr>
      </w:pPr>
      <w:r>
        <w:rPr>
          <w:rFonts w:hint="eastAsia" w:ascii="仿宋" w:hAnsi="仿宋" w:eastAsia="仿宋" w:cs="仿宋"/>
          <w:szCs w:val="21"/>
        </w:rPr>
        <w:t>2.1品目清单中“★”标注的为政府强制采购产品，如采购人所采购产品为政府强制采购节能产品的，供应商应提供国家确定的认证机构出具的、处于有效期之内的节能产品认证证书，否则其投标将被认定为投标无效。</w:t>
      </w:r>
    </w:p>
    <w:p>
      <w:pPr>
        <w:pStyle w:val="8"/>
        <w:spacing w:line="500" w:lineRule="exact"/>
        <w:rPr>
          <w:rFonts w:ascii="仿宋" w:hAnsi="仿宋" w:eastAsia="仿宋" w:cs="仿宋"/>
          <w:szCs w:val="21"/>
        </w:rPr>
      </w:pPr>
      <w:r>
        <w:rPr>
          <w:rFonts w:hint="eastAsia" w:ascii="仿宋" w:hAnsi="仿宋" w:eastAsia="仿宋" w:cs="仿宋"/>
          <w:szCs w:val="21"/>
        </w:rPr>
        <w:t>2.2品目清单中非“★”标注的为政府优先采购产品，如采购人所采购产品为政府优先采购节能产品的，供应商应提供国家确定的认证机构出具的、处于有效期之内的节能产品认证证书，否则将不给于优先采购体现。</w:t>
      </w:r>
    </w:p>
    <w:p>
      <w:pPr>
        <w:pStyle w:val="8"/>
        <w:spacing w:line="500" w:lineRule="exact"/>
        <w:rPr>
          <w:szCs w:val="21"/>
        </w:rPr>
      </w:pPr>
    </w:p>
    <w:p>
      <w:pPr>
        <w:widowControl/>
        <w:spacing w:line="500" w:lineRule="exact"/>
        <w:jc w:val="center"/>
        <w:rPr>
          <w:rFonts w:ascii="宋体" w:hAnsi="宋体" w:cs="宋体"/>
          <w:b/>
          <w:kern w:val="0"/>
          <w:szCs w:val="21"/>
        </w:rPr>
      </w:pPr>
      <w:r>
        <w:rPr>
          <w:rFonts w:ascii="宋体" w:hAnsi="宋体" w:cs="宋体"/>
          <w:b/>
          <w:kern w:val="0"/>
          <w:szCs w:val="21"/>
        </w:rPr>
        <w:t>五、关于环境标志产品</w:t>
      </w:r>
    </w:p>
    <w:p>
      <w:pPr>
        <w:widowControl/>
        <w:spacing w:line="500" w:lineRule="exact"/>
        <w:jc w:val="left"/>
        <w:rPr>
          <w:rFonts w:ascii="仿宋" w:hAnsi="仿宋" w:eastAsia="仿宋" w:cs="仿宋"/>
          <w:szCs w:val="21"/>
        </w:rPr>
      </w:pPr>
      <w:r>
        <w:rPr>
          <w:rFonts w:hint="eastAsia" w:ascii="仿宋" w:hAnsi="仿宋" w:eastAsia="仿宋" w:cs="仿宋"/>
          <w:b/>
          <w:kern w:val="0"/>
          <w:szCs w:val="21"/>
        </w:rPr>
        <w:t xml:space="preserve">1、政府采购政策： </w:t>
      </w:r>
    </w:p>
    <w:p>
      <w:pPr>
        <w:widowControl/>
        <w:spacing w:line="500" w:lineRule="exact"/>
        <w:jc w:val="left"/>
        <w:rPr>
          <w:rFonts w:ascii="仿宋" w:hAnsi="仿宋" w:eastAsia="仿宋" w:cs="仿宋"/>
          <w:szCs w:val="21"/>
        </w:rPr>
      </w:pPr>
      <w:r>
        <w:rPr>
          <w:rFonts w:hint="eastAsia" w:ascii="仿宋" w:hAnsi="仿宋" w:eastAsia="仿宋" w:cs="仿宋"/>
          <w:kern w:val="0"/>
          <w:szCs w:val="21"/>
        </w:rPr>
        <w:t xml:space="preserve">1.1《关于调整优化节能产品环境标志产品政府采购执行机制的通知》（财库〔2019〕9号） </w:t>
      </w:r>
    </w:p>
    <w:p>
      <w:pPr>
        <w:widowControl/>
        <w:spacing w:line="500" w:lineRule="exact"/>
        <w:jc w:val="left"/>
        <w:rPr>
          <w:rFonts w:ascii="仿宋" w:hAnsi="仿宋" w:eastAsia="仿宋" w:cs="仿宋"/>
          <w:szCs w:val="21"/>
        </w:rPr>
      </w:pPr>
      <w:r>
        <w:rPr>
          <w:rFonts w:hint="eastAsia" w:ascii="仿宋" w:hAnsi="仿宋" w:eastAsia="仿宋" w:cs="仿宋"/>
          <w:kern w:val="0"/>
          <w:szCs w:val="21"/>
        </w:rPr>
        <w:t xml:space="preserve">1.2《关于印发环境标志产品政府采购品目清单的通知》（财库〔2019〕18号） </w:t>
      </w:r>
    </w:p>
    <w:p>
      <w:pPr>
        <w:widowControl/>
        <w:spacing w:line="500" w:lineRule="exact"/>
        <w:jc w:val="left"/>
        <w:rPr>
          <w:rFonts w:ascii="仿宋" w:hAnsi="仿宋" w:eastAsia="仿宋" w:cs="仿宋"/>
          <w:b/>
          <w:kern w:val="0"/>
          <w:szCs w:val="21"/>
        </w:rPr>
      </w:pPr>
      <w:r>
        <w:rPr>
          <w:rFonts w:hint="eastAsia" w:ascii="仿宋" w:hAnsi="仿宋" w:eastAsia="仿宋" w:cs="仿宋"/>
          <w:b/>
          <w:kern w:val="0"/>
          <w:szCs w:val="21"/>
        </w:rPr>
        <w:t>2、证明材料</w:t>
      </w:r>
    </w:p>
    <w:p>
      <w:pPr>
        <w:pStyle w:val="8"/>
        <w:spacing w:line="500" w:lineRule="exact"/>
        <w:rPr>
          <w:rFonts w:ascii="仿宋" w:hAnsi="仿宋" w:eastAsia="仿宋" w:cs="仿宋"/>
          <w:szCs w:val="21"/>
        </w:rPr>
      </w:pPr>
      <w:r>
        <w:rPr>
          <w:rFonts w:hint="eastAsia" w:ascii="仿宋" w:hAnsi="仿宋" w:eastAsia="仿宋" w:cs="仿宋"/>
          <w:szCs w:val="21"/>
        </w:rPr>
        <w:t>2.1品目清单中“★”标注的为政府强制采购产品，如采购人所采购产品为政府强制采购环境标志产品的，供应商应提供国家确定的认证机构出具的、处于有效期之内的环境标志产品认证证书，否则其投标将被认定为投标无效。</w:t>
      </w:r>
    </w:p>
    <w:p>
      <w:pPr>
        <w:pStyle w:val="8"/>
        <w:spacing w:line="500" w:lineRule="exact"/>
        <w:rPr>
          <w:sz w:val="28"/>
        </w:rPr>
      </w:pPr>
      <w:r>
        <w:rPr>
          <w:rFonts w:hint="eastAsia" w:ascii="仿宋" w:hAnsi="仿宋" w:eastAsia="仿宋" w:cs="仿宋"/>
          <w:szCs w:val="21"/>
        </w:rPr>
        <w:t>2.2品目清单中非“★”标注的为政府优先采购产品，如采购人所采购产品为政府优先采购环境标志产品的，供应商应提供国家确定的认证机构出具的、处于有效期之内的环境标志产品认证证书，否则将不给于优先采购体现。</w:t>
      </w:r>
    </w:p>
    <w:p>
      <w:pPr>
        <w:widowControl/>
        <w:spacing w:before="150" w:after="150" w:line="500" w:lineRule="exact"/>
        <w:ind w:left="150" w:right="150"/>
        <w:jc w:val="center"/>
        <w:rPr>
          <w:rFonts w:ascii="宋体" w:hAnsi="宋体" w:cs="宋体"/>
          <w:b/>
          <w:szCs w:val="21"/>
        </w:rPr>
      </w:pPr>
      <w:r>
        <w:rPr>
          <w:rFonts w:ascii="宋体" w:hAnsi="宋体" w:cs="宋体"/>
          <w:b/>
          <w:szCs w:val="21"/>
          <w:shd w:val="clear" w:color="auto" w:fill="FFFFFF"/>
        </w:rPr>
        <w:br w:type="page"/>
      </w:r>
      <w:r>
        <w:rPr>
          <w:rFonts w:ascii="宋体" w:hAnsi="宋体" w:cs="宋体"/>
          <w:b/>
          <w:szCs w:val="21"/>
          <w:shd w:val="clear" w:color="auto" w:fill="FFFFFF"/>
        </w:rPr>
        <w:t>财政部 发展改革委 生态环境部 市场监管总局</w:t>
      </w:r>
    </w:p>
    <w:p>
      <w:pPr>
        <w:widowControl/>
        <w:spacing w:before="150" w:after="150" w:line="500" w:lineRule="exact"/>
        <w:ind w:left="150" w:right="150"/>
        <w:jc w:val="center"/>
        <w:rPr>
          <w:rFonts w:ascii="宋体" w:hAnsi="宋体" w:cs="宋体"/>
          <w:b/>
          <w:szCs w:val="21"/>
        </w:rPr>
      </w:pPr>
      <w:r>
        <w:rPr>
          <w:rFonts w:ascii="宋体" w:hAnsi="宋体" w:cs="宋体"/>
          <w:b/>
          <w:szCs w:val="21"/>
          <w:shd w:val="clear" w:color="auto" w:fill="FFFFFF"/>
        </w:rPr>
        <w:t>关于调整优化节能产品、环境标志产品政府采购执行机制的通知</w:t>
      </w:r>
    </w:p>
    <w:p>
      <w:pPr>
        <w:widowControl/>
        <w:spacing w:line="500" w:lineRule="exact"/>
        <w:ind w:firstLine="3990" w:firstLineChars="1900"/>
        <w:rPr>
          <w:szCs w:val="21"/>
        </w:rPr>
      </w:pPr>
      <w:r>
        <w:rPr>
          <w:rFonts w:ascii="宋体"/>
          <w:szCs w:val="21"/>
          <w:shd w:val="clear" w:color="auto" w:fill="FFFFFF"/>
        </w:rPr>
        <w:t>财库〔2019〕9号</w:t>
      </w:r>
    </w:p>
    <w:p>
      <w:pPr>
        <w:pStyle w:val="26"/>
        <w:spacing w:beforeAutospacing="0" w:afterAutospacing="0" w:line="500" w:lineRule="exact"/>
        <w:jc w:val="both"/>
        <w:rPr>
          <w:rFonts w:cs="宋体"/>
          <w:sz w:val="21"/>
          <w:szCs w:val="21"/>
        </w:rPr>
      </w:pPr>
      <w:r>
        <w:rPr>
          <w:rFonts w:cs="宋体"/>
          <w:sz w:val="21"/>
          <w:szCs w:val="21"/>
          <w:shd w:val="clear" w:color="auto" w:fill="FFFFFF"/>
        </w:rPr>
        <w:t>　　</w:t>
      </w:r>
    </w:p>
    <w:p>
      <w:pPr>
        <w:pStyle w:val="26"/>
        <w:spacing w:beforeAutospacing="0" w:afterAutospacing="0" w:line="500" w:lineRule="exact"/>
        <w:jc w:val="both"/>
        <w:rPr>
          <w:rFonts w:ascii="仿宋" w:hAnsi="仿宋" w:eastAsia="仿宋" w:cs="仿宋"/>
          <w:sz w:val="21"/>
          <w:szCs w:val="21"/>
        </w:rPr>
      </w:pPr>
      <w:r>
        <w:rPr>
          <w:rFonts w:hint="eastAsia" w:ascii="仿宋" w:hAnsi="仿宋" w:eastAsia="仿宋" w:cs="仿宋"/>
          <w:sz w:val="21"/>
          <w:szCs w:val="21"/>
          <w:shd w:val="clear" w:color="auto" w:fill="FFFFFF"/>
        </w:rPr>
        <w:t>有关中央预算单位，各省、自治区、直辖市、计划单列市财政厅（局）、发展改革委（经信委、工信委、工信厅、经信局）、生态环境厅（局）、市场监管部门，新疆生产建设兵团财政局、发展改革委、工信委、环境保护局、市场监管局：</w:t>
      </w:r>
    </w:p>
    <w:p>
      <w:pPr>
        <w:pStyle w:val="26"/>
        <w:spacing w:beforeAutospacing="0" w:afterAutospacing="0" w:line="500" w:lineRule="exact"/>
        <w:jc w:val="both"/>
        <w:rPr>
          <w:rFonts w:ascii="仿宋" w:hAnsi="仿宋" w:eastAsia="仿宋" w:cs="仿宋"/>
          <w:sz w:val="21"/>
          <w:szCs w:val="21"/>
        </w:rPr>
      </w:pPr>
      <w:r>
        <w:rPr>
          <w:rFonts w:hint="eastAsia" w:ascii="仿宋" w:hAnsi="仿宋" w:eastAsia="仿宋" w:cs="仿宋"/>
          <w:sz w:val="21"/>
          <w:szCs w:val="21"/>
          <w:shd w:val="clear" w:color="auto" w:fill="FFFFFF"/>
        </w:rPr>
        <w:t>　　为落实“放管服”改革要求，完善政府绿色采购政策，简化节能（节水）产品、环境标志产品政府采购执行机制，优化供应商参与政府采购活动的市场环境，现就节能产品、环境标志产品政府采购有关事项通知如下：</w:t>
      </w:r>
    </w:p>
    <w:p>
      <w:pPr>
        <w:pStyle w:val="26"/>
        <w:spacing w:beforeAutospacing="0" w:afterAutospacing="0" w:line="500" w:lineRule="exact"/>
        <w:jc w:val="both"/>
        <w:rPr>
          <w:rFonts w:ascii="仿宋" w:hAnsi="仿宋" w:eastAsia="仿宋" w:cs="仿宋"/>
          <w:sz w:val="21"/>
          <w:szCs w:val="21"/>
        </w:rPr>
      </w:pPr>
      <w:r>
        <w:rPr>
          <w:rFonts w:hint="eastAsia" w:ascii="仿宋" w:hAnsi="仿宋" w:eastAsia="仿宋" w:cs="仿宋"/>
          <w:sz w:val="21"/>
          <w:szCs w:val="21"/>
          <w:shd w:val="clear" w:color="auto" w:fill="FFFFFF"/>
        </w:rPr>
        <w:t>　　一、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不再发布“节能产品政府采购清单”和“环境标志产品政府采购清单”。</w:t>
      </w:r>
    </w:p>
    <w:p>
      <w:pPr>
        <w:pStyle w:val="26"/>
        <w:spacing w:beforeAutospacing="0" w:afterAutospacing="0" w:line="500" w:lineRule="exact"/>
        <w:jc w:val="both"/>
        <w:rPr>
          <w:rFonts w:ascii="仿宋" w:hAnsi="仿宋" w:eastAsia="仿宋" w:cs="仿宋"/>
          <w:sz w:val="21"/>
          <w:szCs w:val="21"/>
        </w:rPr>
      </w:pPr>
      <w:r>
        <w:rPr>
          <w:rFonts w:hint="eastAsia" w:ascii="仿宋" w:hAnsi="仿宋" w:eastAsia="仿宋" w:cs="仿宋"/>
          <w:sz w:val="21"/>
          <w:szCs w:val="21"/>
          <w:shd w:val="clear" w:color="auto" w:fill="FFFFFF"/>
        </w:rPr>
        <w:t>　　二、依据品目清单和认证证书实施政府优先采购和强制采购。采购人拟采购的产品属于品目清单范围的，采购人及其委托的招标代理机构应当依据国家确定的认证机构出具的、处于有效期之内的节能产品、环境标志产品认证证书，对获得证书的产品实施政府优先采购或强制采购。</w:t>
      </w:r>
    </w:p>
    <w:p>
      <w:pPr>
        <w:pStyle w:val="26"/>
        <w:spacing w:beforeAutospacing="0" w:afterAutospacing="0" w:line="500" w:lineRule="exact"/>
        <w:jc w:val="both"/>
        <w:rPr>
          <w:rFonts w:ascii="仿宋" w:hAnsi="仿宋" w:eastAsia="仿宋" w:cs="仿宋"/>
          <w:sz w:val="21"/>
          <w:szCs w:val="21"/>
        </w:rPr>
      </w:pPr>
      <w:r>
        <w:rPr>
          <w:rFonts w:hint="eastAsia" w:ascii="仿宋" w:hAnsi="仿宋" w:eastAsia="仿宋" w:cs="仿宋"/>
          <w:sz w:val="21"/>
          <w:szCs w:val="21"/>
          <w:shd w:val="clear" w:color="auto" w:fill="FFFFFF"/>
        </w:rPr>
        <w:t>　　三、逐步扩大节能产品、环境标志产品认证机构范围。根据认证机构发展状况，市场监管总局商有关部门按照试点先行、逐步放开、有序竞争的原则，逐步增加实施节能产品、环境标志产品认证的机构。加强对相关认证市场监管力度，推行“双随机、一公开”监管，建立认证机构信用监管机制，严厉打击认证违法行为。</w:t>
      </w:r>
    </w:p>
    <w:p>
      <w:pPr>
        <w:pStyle w:val="26"/>
        <w:spacing w:beforeAutospacing="0" w:afterAutospacing="0" w:line="500" w:lineRule="exact"/>
        <w:jc w:val="both"/>
        <w:rPr>
          <w:rFonts w:ascii="仿宋" w:hAnsi="仿宋" w:eastAsia="仿宋" w:cs="仿宋"/>
          <w:sz w:val="21"/>
          <w:szCs w:val="21"/>
        </w:rPr>
      </w:pPr>
      <w:r>
        <w:rPr>
          <w:rFonts w:hint="eastAsia" w:ascii="仿宋" w:hAnsi="仿宋" w:eastAsia="仿宋" w:cs="仿宋"/>
          <w:sz w:val="21"/>
          <w:szCs w:val="21"/>
          <w:shd w:val="clear" w:color="auto" w:fill="FFFFFF"/>
        </w:rPr>
        <w:t>　　四、发布认证机构和获证产品信息。市场监管总局组织建立节能产品、环境标志产品认证结果信息发布平台，公布相关认证机构和获证产品信息。节能产品、环境标志产品认证机构应当建立健全数据共享机制，及时向认证结果信息发布平台提供相关信息。中国政府采购网（www.ccgp.gov.cn）建立与认证结果信息发布平台的链接，方便采购人和招标代理机构查询、了解认证机构和获证产品相关情况。</w:t>
      </w:r>
    </w:p>
    <w:p>
      <w:pPr>
        <w:pStyle w:val="26"/>
        <w:spacing w:beforeAutospacing="0" w:afterAutospacing="0" w:line="500" w:lineRule="exact"/>
        <w:jc w:val="both"/>
        <w:rPr>
          <w:rFonts w:ascii="仿宋" w:hAnsi="仿宋" w:eastAsia="仿宋" w:cs="仿宋"/>
          <w:sz w:val="21"/>
          <w:szCs w:val="21"/>
        </w:rPr>
      </w:pPr>
      <w:r>
        <w:rPr>
          <w:rFonts w:hint="eastAsia" w:ascii="仿宋" w:hAnsi="仿宋" w:eastAsia="仿宋" w:cs="仿宋"/>
          <w:sz w:val="21"/>
          <w:szCs w:val="21"/>
          <w:shd w:val="clear" w:color="auto" w:fill="FFFFFF"/>
        </w:rPr>
        <w:t>　　五、加大政府绿色采购力度。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pPr>
        <w:pStyle w:val="26"/>
        <w:spacing w:beforeAutospacing="0" w:afterAutospacing="0" w:line="500" w:lineRule="exact"/>
        <w:jc w:val="both"/>
        <w:rPr>
          <w:rFonts w:ascii="仿宋" w:hAnsi="仿宋" w:eastAsia="仿宋" w:cs="仿宋"/>
          <w:sz w:val="21"/>
          <w:szCs w:val="21"/>
        </w:rPr>
      </w:pPr>
      <w:r>
        <w:rPr>
          <w:rFonts w:hint="eastAsia" w:ascii="仿宋" w:hAnsi="仿宋" w:eastAsia="仿宋" w:cs="仿宋"/>
          <w:sz w:val="21"/>
          <w:szCs w:val="21"/>
          <w:shd w:val="clear" w:color="auto" w:fill="FFFFFF"/>
        </w:rPr>
        <w:t>　　六、本通知自2019年4月1日起执行。《财政部 生态环境部关于调整公布第二十二期环境标志产品政府采购清单的通知》（财库〔2018〕70号）和《财政部 国家发展改革委关于调整公布第二十四期节能产品政府采购清单的通知》（财库〔2018〕73号）同时停止执行。</w:t>
      </w:r>
    </w:p>
    <w:p>
      <w:pPr>
        <w:pStyle w:val="26"/>
        <w:spacing w:beforeAutospacing="0" w:afterAutospacing="0" w:line="500" w:lineRule="exact"/>
        <w:jc w:val="both"/>
        <w:rPr>
          <w:rFonts w:ascii="仿宋" w:hAnsi="仿宋" w:eastAsia="仿宋" w:cs="仿宋"/>
          <w:sz w:val="21"/>
          <w:szCs w:val="21"/>
        </w:rPr>
      </w:pPr>
      <w:r>
        <w:rPr>
          <w:rFonts w:hint="eastAsia" w:ascii="仿宋" w:hAnsi="仿宋" w:eastAsia="仿宋" w:cs="仿宋"/>
          <w:sz w:val="21"/>
          <w:szCs w:val="21"/>
          <w:shd w:val="clear" w:color="auto" w:fill="FFFFFF"/>
        </w:rPr>
        <w:t> </w:t>
      </w:r>
    </w:p>
    <w:p>
      <w:pPr>
        <w:pStyle w:val="26"/>
        <w:spacing w:beforeAutospacing="0" w:afterAutospacing="0" w:line="500" w:lineRule="exact"/>
        <w:jc w:val="both"/>
        <w:rPr>
          <w:rFonts w:ascii="仿宋" w:hAnsi="仿宋" w:eastAsia="仿宋" w:cs="仿宋"/>
          <w:sz w:val="21"/>
          <w:szCs w:val="21"/>
        </w:rPr>
      </w:pPr>
      <w:r>
        <w:rPr>
          <w:rFonts w:hint="eastAsia" w:ascii="仿宋" w:hAnsi="仿宋" w:eastAsia="仿宋" w:cs="仿宋"/>
          <w:sz w:val="21"/>
          <w:szCs w:val="21"/>
          <w:shd w:val="clear" w:color="auto" w:fill="FFFFFF"/>
        </w:rPr>
        <w:t> </w:t>
      </w:r>
    </w:p>
    <w:p>
      <w:pPr>
        <w:pStyle w:val="26"/>
        <w:spacing w:beforeAutospacing="0" w:afterAutospacing="0" w:line="500" w:lineRule="exact"/>
        <w:jc w:val="right"/>
        <w:rPr>
          <w:rFonts w:ascii="仿宋" w:hAnsi="仿宋" w:eastAsia="仿宋" w:cs="仿宋"/>
          <w:sz w:val="21"/>
          <w:szCs w:val="21"/>
        </w:rPr>
      </w:pPr>
      <w:r>
        <w:rPr>
          <w:rFonts w:hint="eastAsia" w:ascii="仿宋" w:hAnsi="仿宋" w:eastAsia="仿宋" w:cs="仿宋"/>
          <w:sz w:val="21"/>
          <w:szCs w:val="21"/>
          <w:shd w:val="clear" w:color="auto" w:fill="FFFFFF"/>
        </w:rPr>
        <w:t>　　财政部 发展改革委 生态环境部 市场监管总局</w:t>
      </w:r>
    </w:p>
    <w:p>
      <w:pPr>
        <w:pStyle w:val="26"/>
        <w:spacing w:beforeAutospacing="0" w:afterAutospacing="0" w:line="500" w:lineRule="exact"/>
        <w:ind w:firstLine="420"/>
        <w:jc w:val="right"/>
        <w:rPr>
          <w:rFonts w:cs="宋体"/>
          <w:sz w:val="21"/>
          <w:szCs w:val="21"/>
          <w:shd w:val="clear" w:color="auto" w:fill="FFFFFF"/>
        </w:rPr>
      </w:pPr>
      <w:r>
        <w:rPr>
          <w:rFonts w:hint="eastAsia" w:ascii="仿宋" w:hAnsi="仿宋" w:eastAsia="仿宋" w:cs="仿宋"/>
          <w:sz w:val="21"/>
          <w:szCs w:val="21"/>
          <w:shd w:val="clear" w:color="auto" w:fill="FFFFFF"/>
        </w:rPr>
        <w:t>2019年2月1日</w:t>
      </w:r>
    </w:p>
    <w:p>
      <w:pPr>
        <w:pStyle w:val="26"/>
        <w:spacing w:beforeAutospacing="0" w:afterAutospacing="0" w:line="500" w:lineRule="exact"/>
        <w:ind w:firstLine="420"/>
        <w:jc w:val="center"/>
        <w:rPr>
          <w:rFonts w:cs="宋体"/>
          <w:b/>
          <w:sz w:val="21"/>
          <w:szCs w:val="21"/>
          <w:shd w:val="clear" w:color="auto" w:fill="FFFFFF"/>
        </w:rPr>
      </w:pPr>
    </w:p>
    <w:p>
      <w:pPr>
        <w:pStyle w:val="26"/>
        <w:spacing w:beforeAutospacing="0" w:afterAutospacing="0" w:line="500" w:lineRule="exact"/>
        <w:ind w:firstLine="420"/>
        <w:jc w:val="center"/>
        <w:rPr>
          <w:rFonts w:cs="宋体"/>
          <w:b/>
          <w:sz w:val="21"/>
          <w:szCs w:val="21"/>
          <w:shd w:val="clear" w:color="auto" w:fill="FFFFFF"/>
        </w:rPr>
      </w:pPr>
    </w:p>
    <w:p>
      <w:pPr>
        <w:rPr>
          <w:rFonts w:ascii="宋体" w:hAnsi="宋体" w:cs="宋体"/>
          <w:b/>
          <w:kern w:val="0"/>
          <w:szCs w:val="21"/>
          <w:shd w:val="clear" w:color="auto" w:fill="FFFFFF"/>
        </w:rPr>
      </w:pPr>
      <w:r>
        <w:rPr>
          <w:rFonts w:ascii="宋体" w:hAnsi="宋体" w:cs="宋体"/>
          <w:b/>
          <w:kern w:val="0"/>
          <w:szCs w:val="21"/>
          <w:shd w:val="clear" w:color="auto" w:fill="FFFFFF"/>
        </w:rPr>
        <w:br w:type="page"/>
      </w:r>
    </w:p>
    <w:p>
      <w:pPr>
        <w:pStyle w:val="26"/>
        <w:spacing w:beforeAutospacing="0" w:afterAutospacing="0" w:line="500" w:lineRule="exact"/>
        <w:ind w:firstLine="420"/>
        <w:jc w:val="center"/>
        <w:rPr>
          <w:rFonts w:cs="宋体"/>
          <w:b/>
          <w:sz w:val="21"/>
          <w:szCs w:val="21"/>
          <w:shd w:val="clear" w:color="auto" w:fill="FFFFFF"/>
        </w:rPr>
      </w:pPr>
      <w:r>
        <w:rPr>
          <w:rFonts w:cs="宋体"/>
          <w:b/>
          <w:sz w:val="21"/>
          <w:szCs w:val="21"/>
          <w:shd w:val="clear" w:color="auto" w:fill="FFFFFF"/>
        </w:rPr>
        <w:t>关于印发节能产品政府采购品目清单的通知</w:t>
      </w:r>
    </w:p>
    <w:p>
      <w:pPr>
        <w:widowControl/>
        <w:spacing w:line="500" w:lineRule="exact"/>
        <w:ind w:firstLine="3780" w:firstLineChars="1800"/>
        <w:rPr>
          <w:szCs w:val="21"/>
          <w:shd w:val="clear" w:color="auto" w:fill="FFFFFF"/>
        </w:rPr>
      </w:pPr>
      <w:r>
        <w:rPr>
          <w:rFonts w:ascii="宋体"/>
          <w:szCs w:val="21"/>
          <w:shd w:val="clear" w:color="auto" w:fill="FFFFFF"/>
        </w:rPr>
        <w:t>财库〔2019〕19号</w:t>
      </w:r>
    </w:p>
    <w:p>
      <w:pPr>
        <w:pStyle w:val="26"/>
        <w:spacing w:beforeAutospacing="0" w:after="280" w:afterAutospacing="0" w:line="500" w:lineRule="exact"/>
        <w:textAlignment w:val="baseline"/>
        <w:rPr>
          <w:rFonts w:ascii="仿宋" w:hAnsi="仿宋" w:eastAsia="仿宋" w:cs="仿宋"/>
          <w:sz w:val="21"/>
          <w:szCs w:val="21"/>
          <w:shd w:val="clear" w:color="auto" w:fill="FFFFFF"/>
        </w:rPr>
      </w:pPr>
      <w:r>
        <w:rPr>
          <w:rFonts w:hint="eastAsia" w:ascii="仿宋" w:hAnsi="仿宋" w:eastAsia="仿宋" w:cs="仿宋"/>
          <w:sz w:val="21"/>
          <w:szCs w:val="21"/>
          <w:shd w:val="clear" w:color="auto" w:fill="FFFFFF"/>
        </w:rPr>
        <w:t>有关中央预算单位，各省、自治区、直辖市、计划单列市财政厅（局）、发展改革委（经信委、工信委、工信厅、经信局），新疆生产建设兵团财政局、发展改革委：</w:t>
      </w:r>
    </w:p>
    <w:p>
      <w:pPr>
        <w:pStyle w:val="26"/>
        <w:spacing w:beforeAutospacing="0" w:after="280" w:afterAutospacing="0" w:line="500" w:lineRule="exact"/>
        <w:textAlignment w:val="baseline"/>
        <w:rPr>
          <w:rFonts w:ascii="仿宋" w:hAnsi="仿宋" w:eastAsia="仿宋" w:cs="仿宋"/>
          <w:sz w:val="21"/>
          <w:szCs w:val="21"/>
          <w:shd w:val="clear" w:color="auto" w:fill="FFFFFF"/>
        </w:rPr>
      </w:pPr>
      <w:r>
        <w:rPr>
          <w:rFonts w:hint="eastAsia" w:ascii="仿宋" w:hAnsi="仿宋" w:eastAsia="仿宋" w:cs="仿宋"/>
          <w:sz w:val="21"/>
          <w:szCs w:val="21"/>
          <w:shd w:val="clear" w:color="auto" w:fill="FFFFFF"/>
        </w:rPr>
        <w:t>　　根据《财政部 发展改革委 生态环境部 市场监管总局关于调整优化节能产品 环境标志产品政府采购执行机制的通知》（财库〔2019〕9号）， 我们研究制定节能产品政府采购品目清单，现印发给你们，请遵照执行。</w:t>
      </w:r>
    </w:p>
    <w:p>
      <w:pPr>
        <w:pStyle w:val="26"/>
        <w:spacing w:beforeAutospacing="0" w:after="280" w:afterAutospacing="0" w:line="500" w:lineRule="exact"/>
        <w:textAlignment w:val="baseline"/>
        <w:rPr>
          <w:rFonts w:ascii="仿宋" w:hAnsi="仿宋" w:eastAsia="仿宋" w:cs="仿宋"/>
          <w:sz w:val="21"/>
          <w:szCs w:val="21"/>
          <w:shd w:val="clear" w:color="auto" w:fill="FFFFFF"/>
        </w:rPr>
      </w:pPr>
      <w:r>
        <w:rPr>
          <w:rFonts w:hint="eastAsia" w:ascii="仿宋" w:hAnsi="仿宋" w:eastAsia="仿宋" w:cs="仿宋"/>
          <w:sz w:val="21"/>
          <w:szCs w:val="21"/>
          <w:shd w:val="clear" w:color="auto" w:fill="FFFFFF"/>
        </w:rPr>
        <w:t>　　附件：</w:t>
      </w:r>
      <w:r>
        <w:fldChar w:fldCharType="begin"/>
      </w:r>
      <w:r>
        <w:instrText xml:space="preserve"> HYPERLINK "http://gks.mof.gov.cn/zhengfucaigouguanli/201904/P020190404409422168443.pdf" </w:instrText>
      </w:r>
      <w:r>
        <w:fldChar w:fldCharType="separate"/>
      </w:r>
      <w:r>
        <w:rPr>
          <w:rFonts w:hint="eastAsia" w:ascii="仿宋" w:hAnsi="仿宋" w:eastAsia="仿宋" w:cs="仿宋"/>
          <w:sz w:val="21"/>
          <w:szCs w:val="21"/>
          <w:shd w:val="clear" w:color="auto" w:fill="FFFFFF"/>
        </w:rPr>
        <w:t>节能产品政府采购品目清单</w:t>
      </w:r>
      <w:r>
        <w:rPr>
          <w:rFonts w:hint="eastAsia" w:ascii="仿宋" w:hAnsi="仿宋" w:eastAsia="仿宋" w:cs="仿宋"/>
          <w:sz w:val="21"/>
          <w:szCs w:val="21"/>
          <w:shd w:val="clear" w:color="auto" w:fill="FFFFFF"/>
        </w:rPr>
        <w:fldChar w:fldCharType="end"/>
      </w:r>
    </w:p>
    <w:p>
      <w:pPr>
        <w:pStyle w:val="26"/>
        <w:spacing w:beforeAutospacing="0" w:afterAutospacing="0" w:line="500" w:lineRule="exact"/>
        <w:jc w:val="right"/>
        <w:textAlignment w:val="baseline"/>
        <w:rPr>
          <w:rFonts w:ascii="仿宋" w:hAnsi="仿宋" w:eastAsia="仿宋" w:cs="仿宋"/>
          <w:sz w:val="21"/>
          <w:szCs w:val="21"/>
          <w:shd w:val="clear" w:color="auto" w:fill="FFFFFF"/>
        </w:rPr>
      </w:pPr>
      <w:r>
        <w:rPr>
          <w:rFonts w:hint="eastAsia" w:ascii="仿宋" w:hAnsi="仿宋" w:eastAsia="仿宋" w:cs="仿宋"/>
          <w:sz w:val="21"/>
          <w:szCs w:val="21"/>
          <w:shd w:val="clear" w:color="auto" w:fill="FFFFFF"/>
        </w:rPr>
        <w:t>财政部 发展改革委</w:t>
      </w:r>
    </w:p>
    <w:p>
      <w:pPr>
        <w:pStyle w:val="26"/>
        <w:spacing w:beforeAutospacing="0" w:afterAutospacing="0" w:line="500" w:lineRule="exact"/>
        <w:jc w:val="right"/>
        <w:textAlignment w:val="baseline"/>
        <w:rPr>
          <w:rFonts w:cs="宋体"/>
          <w:sz w:val="21"/>
          <w:szCs w:val="21"/>
        </w:rPr>
      </w:pPr>
      <w:r>
        <w:rPr>
          <w:rFonts w:cs="宋体"/>
          <w:sz w:val="21"/>
          <w:szCs w:val="21"/>
          <w:shd w:val="clear" w:color="auto" w:fill="FFFFFF"/>
        </w:rPr>
        <w:t>2019年4月2日</w:t>
      </w:r>
    </w:p>
    <w:p>
      <w:pPr>
        <w:spacing w:line="500" w:lineRule="exact"/>
        <w:rPr>
          <w:rFonts w:ascii="宋体" w:hAnsi="宋体" w:cs="宋体"/>
          <w:b/>
          <w:szCs w:val="24"/>
        </w:rPr>
      </w:pPr>
    </w:p>
    <w:p>
      <w:pPr>
        <w:rPr>
          <w:szCs w:val="24"/>
        </w:rPr>
      </w:pPr>
      <w:r>
        <w:rPr>
          <w:rFonts w:ascii="宋体" w:hAnsi="宋体" w:cs="宋体"/>
          <w:szCs w:val="24"/>
        </w:rPr>
        <w:drawing>
          <wp:inline distT="0" distB="0" distL="114300" distR="114300">
            <wp:extent cx="5947410" cy="7753985"/>
            <wp:effectExtent l="0" t="0" r="15240" b="1841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4"/>
                    <a:stretch>
                      <a:fillRect/>
                    </a:stretch>
                  </pic:blipFill>
                  <pic:spPr>
                    <a:xfrm>
                      <a:off x="0" y="0"/>
                      <a:ext cx="5947410" cy="7753985"/>
                    </a:xfrm>
                    <a:prstGeom prst="rect">
                      <a:avLst/>
                    </a:prstGeom>
                    <a:noFill/>
                    <a:ln>
                      <a:noFill/>
                    </a:ln>
                  </pic:spPr>
                </pic:pic>
              </a:graphicData>
            </a:graphic>
          </wp:inline>
        </w:drawing>
      </w:r>
      <w:r>
        <w:rPr>
          <w:szCs w:val="24"/>
        </w:rPr>
        <w:drawing>
          <wp:inline distT="0" distB="0" distL="114300" distR="114300">
            <wp:extent cx="5929630" cy="7974965"/>
            <wp:effectExtent l="0" t="0" r="1397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5929630" cy="7974965"/>
                    </a:xfrm>
                    <a:prstGeom prst="rect">
                      <a:avLst/>
                    </a:prstGeom>
                    <a:noFill/>
                    <a:ln>
                      <a:noFill/>
                    </a:ln>
                  </pic:spPr>
                </pic:pic>
              </a:graphicData>
            </a:graphic>
          </wp:inline>
        </w:drawing>
      </w:r>
      <w:r>
        <w:rPr>
          <w:szCs w:val="24"/>
        </w:rPr>
        <w:drawing>
          <wp:inline distT="0" distB="0" distL="114300" distR="114300">
            <wp:extent cx="5995035" cy="8036560"/>
            <wp:effectExtent l="0" t="0" r="5715" b="254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6"/>
                    <a:stretch>
                      <a:fillRect/>
                    </a:stretch>
                  </pic:blipFill>
                  <pic:spPr>
                    <a:xfrm>
                      <a:off x="0" y="0"/>
                      <a:ext cx="5995035" cy="8036560"/>
                    </a:xfrm>
                    <a:prstGeom prst="rect">
                      <a:avLst/>
                    </a:prstGeom>
                    <a:noFill/>
                    <a:ln>
                      <a:noFill/>
                    </a:ln>
                  </pic:spPr>
                </pic:pic>
              </a:graphicData>
            </a:graphic>
          </wp:inline>
        </w:drawing>
      </w:r>
      <w:r>
        <w:rPr>
          <w:szCs w:val="24"/>
        </w:rPr>
        <w:drawing>
          <wp:inline distT="0" distB="0" distL="114300" distR="114300">
            <wp:extent cx="6259195" cy="5417185"/>
            <wp:effectExtent l="0" t="0" r="8255" b="1206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7"/>
                    <a:stretch>
                      <a:fillRect/>
                    </a:stretch>
                  </pic:blipFill>
                  <pic:spPr>
                    <a:xfrm>
                      <a:off x="0" y="0"/>
                      <a:ext cx="6259195" cy="5417185"/>
                    </a:xfrm>
                    <a:prstGeom prst="rect">
                      <a:avLst/>
                    </a:prstGeom>
                    <a:noFill/>
                    <a:ln>
                      <a:noFill/>
                    </a:ln>
                  </pic:spPr>
                </pic:pic>
              </a:graphicData>
            </a:graphic>
          </wp:inline>
        </w:drawing>
      </w:r>
    </w:p>
    <w:p>
      <w:pPr>
        <w:rPr>
          <w:szCs w:val="24"/>
        </w:rPr>
      </w:pPr>
      <w:r>
        <w:rPr>
          <w:szCs w:val="24"/>
        </w:rPr>
        <w:br w:type="page"/>
      </w:r>
    </w:p>
    <w:p>
      <w:pPr>
        <w:jc w:val="center"/>
        <w:rPr>
          <w:b/>
          <w:szCs w:val="18"/>
        </w:rPr>
      </w:pPr>
      <w:r>
        <w:rPr>
          <w:rFonts w:ascii="宋体"/>
          <w:b/>
          <w:szCs w:val="18"/>
        </w:rPr>
        <w:t>关于印发环境标志产品政府采购品目清单的通知</w:t>
      </w:r>
    </w:p>
    <w:p>
      <w:pPr>
        <w:pStyle w:val="8"/>
        <w:jc w:val="center"/>
        <w:rPr>
          <w:szCs w:val="18"/>
        </w:rPr>
      </w:pPr>
      <w:r>
        <w:rPr>
          <w:b/>
          <w:szCs w:val="18"/>
        </w:rPr>
        <w:t>财库〔2019〕18号</w:t>
      </w:r>
    </w:p>
    <w:p>
      <w:pPr>
        <w:pStyle w:val="8"/>
        <w:rPr>
          <w:rFonts w:ascii="仿宋" w:hAnsi="仿宋" w:eastAsia="仿宋" w:cs="仿宋"/>
          <w:szCs w:val="18"/>
        </w:rPr>
      </w:pPr>
      <w:r>
        <w:rPr>
          <w:rFonts w:hint="eastAsia" w:ascii="仿宋" w:hAnsi="仿宋" w:eastAsia="仿宋" w:cs="仿宋"/>
          <w:szCs w:val="18"/>
        </w:rPr>
        <w:t>有关中央预算单位，各省、自治区、直辖市、计划单列市财政厅（局）、生态环境厅（局），新疆生产建设兵团财政局、环境保护局：</w:t>
      </w:r>
    </w:p>
    <w:p>
      <w:pPr>
        <w:pStyle w:val="8"/>
        <w:rPr>
          <w:rFonts w:ascii="仿宋" w:hAnsi="仿宋" w:eastAsia="仿宋" w:cs="仿宋"/>
          <w:szCs w:val="18"/>
        </w:rPr>
      </w:pPr>
      <w:r>
        <w:rPr>
          <w:rFonts w:hint="eastAsia" w:ascii="仿宋" w:hAnsi="仿宋" w:eastAsia="仿宋" w:cs="仿宋"/>
          <w:szCs w:val="18"/>
        </w:rPr>
        <w:t>　　根据《财政部发展改革委 生态环境部 市场监管总局关于调整优化节能产品 环境标志产品政府采购执行机制的通知》（财库〔2019〕9号）， 我们研究制定了环境标志产品政府采购品目清单，现印发给你们，请遵照执行。</w:t>
      </w:r>
    </w:p>
    <w:p>
      <w:pPr>
        <w:pStyle w:val="8"/>
        <w:rPr>
          <w:rFonts w:ascii="仿宋" w:hAnsi="仿宋" w:eastAsia="仿宋" w:cs="仿宋"/>
          <w:szCs w:val="18"/>
        </w:rPr>
      </w:pPr>
      <w:r>
        <w:rPr>
          <w:rFonts w:hint="eastAsia" w:ascii="仿宋" w:hAnsi="仿宋" w:eastAsia="仿宋" w:cs="仿宋"/>
          <w:szCs w:val="18"/>
        </w:rPr>
        <w:t>　　附件：</w:t>
      </w:r>
      <w:r>
        <w:fldChar w:fldCharType="begin"/>
      </w:r>
      <w:r>
        <w:instrText xml:space="preserve"> HYPERLINK "http://gks.mof.gov.cn/zhengfucaigouguanli/201903/P020190329702478575295.pdf" </w:instrText>
      </w:r>
      <w:r>
        <w:fldChar w:fldCharType="separate"/>
      </w:r>
      <w:r>
        <w:rPr>
          <w:rFonts w:hint="eastAsia" w:ascii="仿宋" w:hAnsi="仿宋" w:eastAsia="仿宋" w:cs="仿宋"/>
          <w:szCs w:val="18"/>
        </w:rPr>
        <w:t>环境标志产品政府采购品目清单</w:t>
      </w:r>
      <w:r>
        <w:rPr>
          <w:rFonts w:hint="eastAsia" w:ascii="仿宋" w:hAnsi="仿宋" w:eastAsia="仿宋" w:cs="仿宋"/>
          <w:szCs w:val="18"/>
        </w:rPr>
        <w:fldChar w:fldCharType="end"/>
      </w:r>
    </w:p>
    <w:p>
      <w:pPr>
        <w:pStyle w:val="8"/>
        <w:jc w:val="right"/>
        <w:rPr>
          <w:rFonts w:ascii="仿宋" w:hAnsi="仿宋" w:eastAsia="仿宋" w:cs="仿宋"/>
          <w:szCs w:val="18"/>
        </w:rPr>
      </w:pPr>
      <w:r>
        <w:rPr>
          <w:rFonts w:hint="eastAsia" w:ascii="仿宋" w:hAnsi="仿宋" w:eastAsia="仿宋" w:cs="仿宋"/>
          <w:szCs w:val="18"/>
        </w:rPr>
        <w:t>财政部 生态环境部</w:t>
      </w:r>
    </w:p>
    <w:p>
      <w:pPr>
        <w:pStyle w:val="8"/>
        <w:jc w:val="right"/>
        <w:rPr>
          <w:szCs w:val="18"/>
        </w:rPr>
      </w:pPr>
      <w:r>
        <w:rPr>
          <w:rFonts w:hint="eastAsia" w:ascii="仿宋" w:hAnsi="仿宋" w:eastAsia="仿宋" w:cs="仿宋"/>
          <w:szCs w:val="18"/>
        </w:rPr>
        <w:t>2019年3月29日</w:t>
      </w:r>
    </w:p>
    <w:p>
      <w:pPr>
        <w:rPr>
          <w:szCs w:val="24"/>
        </w:rPr>
      </w:pPr>
      <w:r>
        <w:rPr>
          <w:szCs w:val="24"/>
        </w:rPr>
        <w:drawing>
          <wp:inline distT="0" distB="0" distL="114300" distR="114300">
            <wp:extent cx="5670550" cy="8750300"/>
            <wp:effectExtent l="0" t="0" r="6350" b="1270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8"/>
                    <a:stretch>
                      <a:fillRect/>
                    </a:stretch>
                  </pic:blipFill>
                  <pic:spPr>
                    <a:xfrm>
                      <a:off x="0" y="0"/>
                      <a:ext cx="5670550" cy="8750300"/>
                    </a:xfrm>
                    <a:prstGeom prst="rect">
                      <a:avLst/>
                    </a:prstGeom>
                    <a:noFill/>
                    <a:ln>
                      <a:noFill/>
                    </a:ln>
                  </pic:spPr>
                </pic:pic>
              </a:graphicData>
            </a:graphic>
          </wp:inline>
        </w:drawing>
      </w:r>
      <w:r>
        <w:rPr>
          <w:szCs w:val="24"/>
        </w:rPr>
        <w:drawing>
          <wp:inline distT="0" distB="0" distL="114300" distR="114300">
            <wp:extent cx="5574030" cy="8588375"/>
            <wp:effectExtent l="0" t="0" r="7620" b="317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9"/>
                    <a:stretch>
                      <a:fillRect/>
                    </a:stretch>
                  </pic:blipFill>
                  <pic:spPr>
                    <a:xfrm>
                      <a:off x="0" y="0"/>
                      <a:ext cx="5574030" cy="8588375"/>
                    </a:xfrm>
                    <a:prstGeom prst="rect">
                      <a:avLst/>
                    </a:prstGeom>
                    <a:noFill/>
                    <a:ln>
                      <a:noFill/>
                    </a:ln>
                  </pic:spPr>
                </pic:pic>
              </a:graphicData>
            </a:graphic>
          </wp:inline>
        </w:drawing>
      </w:r>
      <w:r>
        <w:rPr>
          <w:szCs w:val="24"/>
        </w:rPr>
        <w:drawing>
          <wp:inline distT="0" distB="0" distL="114300" distR="114300">
            <wp:extent cx="5591810" cy="7192010"/>
            <wp:effectExtent l="0" t="0" r="8890" b="889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0"/>
                    <a:stretch>
                      <a:fillRect/>
                    </a:stretch>
                  </pic:blipFill>
                  <pic:spPr>
                    <a:xfrm>
                      <a:off x="0" y="0"/>
                      <a:ext cx="5591810" cy="7192010"/>
                    </a:xfrm>
                    <a:prstGeom prst="rect">
                      <a:avLst/>
                    </a:prstGeom>
                    <a:noFill/>
                    <a:ln>
                      <a:noFill/>
                    </a:ln>
                  </pic:spPr>
                </pic:pic>
              </a:graphicData>
            </a:graphic>
          </wp:inline>
        </w:drawing>
      </w:r>
      <w:r>
        <w:rPr>
          <w:szCs w:val="24"/>
        </w:rPr>
        <w:drawing>
          <wp:inline distT="0" distB="0" distL="114300" distR="114300">
            <wp:extent cx="5574030" cy="4324350"/>
            <wp:effectExtent l="0" t="0" r="7620" b="0"/>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21"/>
                    <a:stretch>
                      <a:fillRect/>
                    </a:stretch>
                  </pic:blipFill>
                  <pic:spPr>
                    <a:xfrm>
                      <a:off x="0" y="0"/>
                      <a:ext cx="5574030" cy="4324350"/>
                    </a:xfrm>
                    <a:prstGeom prst="rect">
                      <a:avLst/>
                    </a:prstGeom>
                    <a:noFill/>
                    <a:ln>
                      <a:noFill/>
                    </a:ln>
                  </pic:spPr>
                </pic:pic>
              </a:graphicData>
            </a:graphic>
          </wp:inline>
        </w:drawing>
      </w:r>
    </w:p>
    <w:p>
      <w:pPr>
        <w:pStyle w:val="28"/>
        <w:ind w:firstLine="320"/>
        <w:rPr>
          <w:szCs w:val="20"/>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rFonts w:ascii="宋体" w:hAnsi="宋体" w:cs="宋体"/>
          <w:szCs w:val="21"/>
        </w:rPr>
      </w:pPr>
      <w:r>
        <w:rPr>
          <w:rFonts w:ascii="宋体" w:hAnsi="宋体" w:cs="宋体"/>
          <w:szCs w:val="21"/>
        </w:rPr>
        <w:br w:type="page"/>
      </w:r>
      <w:r>
        <w:rPr>
          <w:rFonts w:ascii="宋体" w:hAnsi="宋体" w:cs="宋体"/>
          <w:szCs w:val="21"/>
        </w:rPr>
        <w:t xml:space="preserve">                                     </w:t>
      </w:r>
      <w:r>
        <w:rPr>
          <w:rFonts w:ascii="宋体" w:hAnsi="宋体" w:cs="宋体"/>
          <w:b/>
          <w:szCs w:val="21"/>
        </w:rPr>
        <w:t>六、关于进口产品</w:t>
      </w:r>
    </w:p>
    <w:p>
      <w:pPr>
        <w:pStyle w:val="28"/>
        <w:ind w:firstLine="210"/>
        <w:rPr>
          <w:rFonts w:ascii="仿宋" w:hAnsi="仿宋" w:eastAsia="仿宋" w:cs="仿宋"/>
          <w:sz w:val="21"/>
          <w:szCs w:val="21"/>
        </w:rPr>
      </w:pPr>
    </w:p>
    <w:p>
      <w:pPr>
        <w:numPr>
          <w:ilvl w:val="0"/>
          <w:numId w:val="18"/>
        </w:numPr>
        <w:spacing w:line="360" w:lineRule="auto"/>
        <w:rPr>
          <w:rFonts w:ascii="仿宋" w:hAnsi="仿宋" w:eastAsia="仿宋" w:cs="仿宋"/>
          <w:b/>
          <w:szCs w:val="21"/>
        </w:rPr>
      </w:pPr>
      <w:r>
        <w:rPr>
          <w:rFonts w:hint="eastAsia" w:ascii="仿宋" w:hAnsi="仿宋" w:eastAsia="仿宋" w:cs="仿宋"/>
          <w:b/>
          <w:szCs w:val="21"/>
        </w:rPr>
        <w:t>政府采购政策：</w:t>
      </w:r>
    </w:p>
    <w:p>
      <w:pPr>
        <w:spacing w:line="360" w:lineRule="auto"/>
        <w:rPr>
          <w:rFonts w:ascii="仿宋" w:hAnsi="仿宋" w:eastAsia="仿宋" w:cs="仿宋"/>
          <w:szCs w:val="21"/>
        </w:rPr>
      </w:pPr>
      <w:r>
        <w:rPr>
          <w:rFonts w:hint="eastAsia" w:ascii="仿宋" w:hAnsi="仿宋" w:eastAsia="仿宋" w:cs="仿宋"/>
          <w:szCs w:val="21"/>
        </w:rPr>
        <w:t>1.1《政府采购进口产品管理办法》（财库[2007]119 号）</w:t>
      </w:r>
    </w:p>
    <w:p>
      <w:pPr>
        <w:pStyle w:val="28"/>
        <w:ind w:firstLine="0"/>
        <w:rPr>
          <w:rFonts w:ascii="仿宋" w:hAnsi="仿宋" w:eastAsia="仿宋" w:cs="仿宋"/>
          <w:sz w:val="21"/>
          <w:szCs w:val="21"/>
        </w:rPr>
      </w:pPr>
      <w:r>
        <w:rPr>
          <w:rFonts w:hint="eastAsia" w:ascii="仿宋" w:hAnsi="仿宋" w:eastAsia="仿宋" w:cs="仿宋"/>
          <w:sz w:val="21"/>
          <w:szCs w:val="21"/>
        </w:rPr>
        <w:t>1.2《财政部办公厅关于政府采购进口产品管理有关问题的通知》（财办库[2008]248号</w:t>
      </w:r>
    </w:p>
    <w:p>
      <w:pPr>
        <w:spacing w:line="360" w:lineRule="auto"/>
        <w:rPr>
          <w:rFonts w:ascii="仿宋" w:hAnsi="仿宋" w:eastAsia="仿宋" w:cs="仿宋"/>
          <w:b/>
          <w:szCs w:val="21"/>
        </w:rPr>
      </w:pPr>
      <w:r>
        <w:rPr>
          <w:rFonts w:hint="eastAsia" w:ascii="仿宋" w:hAnsi="仿宋" w:eastAsia="仿宋" w:cs="仿宋"/>
          <w:b/>
          <w:szCs w:val="21"/>
        </w:rPr>
        <w:t>2、备注</w:t>
      </w:r>
    </w:p>
    <w:p>
      <w:pPr>
        <w:pStyle w:val="82"/>
        <w:spacing w:line="360" w:lineRule="auto"/>
        <w:ind w:firstLine="0" w:firstLineChars="0"/>
        <w:rPr>
          <w:rFonts w:ascii="仿宋" w:hAnsi="仿宋" w:eastAsia="仿宋" w:cs="仿宋"/>
          <w:szCs w:val="21"/>
        </w:rPr>
      </w:pPr>
      <w:r>
        <w:rPr>
          <w:rFonts w:hint="eastAsia" w:ascii="仿宋" w:hAnsi="仿宋" w:eastAsia="仿宋" w:cs="仿宋"/>
          <w:szCs w:val="21"/>
        </w:rPr>
        <w:t>2.1政府采购应当采购本国产品，不允许采购进口产品，确需采购进口产品的，实行审核管理。</w:t>
      </w:r>
    </w:p>
    <w:p>
      <w:pPr>
        <w:pStyle w:val="82"/>
        <w:spacing w:line="360" w:lineRule="auto"/>
        <w:ind w:firstLine="0" w:firstLineChars="0"/>
        <w:rPr>
          <w:rFonts w:ascii="仿宋" w:hAnsi="仿宋" w:eastAsia="仿宋" w:cs="仿宋"/>
          <w:szCs w:val="21"/>
        </w:rPr>
      </w:pPr>
      <w:r>
        <w:rPr>
          <w:rFonts w:hint="eastAsia" w:ascii="仿宋" w:hAnsi="仿宋" w:eastAsia="仿宋" w:cs="仿宋"/>
          <w:szCs w:val="21"/>
        </w:rPr>
        <w:t>2.2经财政部门审核同意，允许采购进口产品；优先采购向我国企业转让技术、与我国企业签订消化吸收再创新方案的供应商的进口产品。</w:t>
      </w:r>
    </w:p>
    <w:p>
      <w:pPr>
        <w:pStyle w:val="82"/>
        <w:spacing w:line="360" w:lineRule="auto"/>
        <w:ind w:firstLine="0" w:firstLineChars="0"/>
        <w:rPr>
          <w:rFonts w:ascii="仿宋" w:hAnsi="仿宋" w:eastAsia="仿宋" w:cs="仿宋"/>
          <w:szCs w:val="21"/>
        </w:rPr>
      </w:pPr>
      <w:r>
        <w:rPr>
          <w:rFonts w:hint="eastAsia" w:ascii="仿宋" w:hAnsi="仿宋" w:eastAsia="仿宋" w:cs="仿宋"/>
          <w:szCs w:val="21"/>
        </w:rPr>
        <w:t>2.2根据财库[2007]119 号进口产品是指通过中国海关报关验放进入中国境内且产自关境外的产品。</w:t>
      </w:r>
    </w:p>
    <w:p>
      <w:pPr>
        <w:spacing w:line="360" w:lineRule="auto"/>
        <w:jc w:val="left"/>
        <w:rPr>
          <w:rFonts w:ascii="仿宋" w:hAnsi="仿宋" w:eastAsia="仿宋" w:cs="仿宋"/>
          <w:szCs w:val="21"/>
        </w:rPr>
      </w:pPr>
      <w:r>
        <w:rPr>
          <w:rFonts w:hint="eastAsia" w:ascii="仿宋" w:hAnsi="仿宋" w:eastAsia="仿宋" w:cs="仿宋"/>
          <w:szCs w:val="21"/>
        </w:rPr>
        <w:t>2.3根据《财政部办公厅关于政府采购进口产品管理有关问题的通知》（财办库[2008]248号）规定，凡在海关特殊监管区域内企业生产或加工（包括从境外进口料件）销往境内其他地区的产品，不作为政府采购项下进口产品。对从境外进入海关特殊监管区域，再经办理报关手续后从海关特殊监管区进入境内其他地区的产品，应当设定为进口产品。</w:t>
      </w:r>
    </w:p>
    <w:p>
      <w:pPr>
        <w:rPr>
          <w:szCs w:val="21"/>
          <w:highlight w:val="green"/>
        </w:rPr>
      </w:pPr>
    </w:p>
    <w:p>
      <w:pPr>
        <w:rPr>
          <w:szCs w:val="21"/>
        </w:rPr>
      </w:pPr>
      <w:r>
        <w:rPr>
          <w:rFonts w:ascii="宋体"/>
          <w:szCs w:val="21"/>
        </w:rPr>
        <w:br w:type="page"/>
      </w:r>
    </w:p>
    <w:p>
      <w:pPr>
        <w:jc w:val="center"/>
        <w:rPr>
          <w:szCs w:val="21"/>
        </w:rPr>
      </w:pPr>
      <w:r>
        <w:rPr>
          <w:rFonts w:ascii="宋体"/>
          <w:szCs w:val="21"/>
        </w:rPr>
        <w:t>七、招标代理服务费收费标准</w:t>
      </w:r>
    </w:p>
    <w:p>
      <w:pPr>
        <w:rPr>
          <w:szCs w:val="21"/>
        </w:rPr>
      </w:pPr>
    </w:p>
    <w:p>
      <w:pPr>
        <w:ind w:firstLine="420" w:firstLineChars="200"/>
        <w:rPr>
          <w:szCs w:val="24"/>
        </w:rPr>
      </w:pPr>
      <w:r>
        <w:rPr>
          <w:rFonts w:hint="eastAsia"/>
          <w:szCs w:val="24"/>
        </w:rPr>
        <w:t>河南省招标投标协会豫招协[2023]002 号文件规定标准收取</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35"/>
        <w:gridCol w:w="1350"/>
        <w:gridCol w:w="1270"/>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5" w:type="dxa"/>
          </w:tcPr>
          <w:p>
            <w:pPr>
              <w:pStyle w:val="28"/>
              <w:ind w:firstLine="840" w:firstLineChars="4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项目类型</w:t>
            </w:r>
          </w:p>
          <w:p>
            <w:pPr>
              <w:pStyle w:val="28"/>
              <w:ind w:left="0" w:leftChars="0" w:firstLine="0" w:firstLineChars="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费率预算金额(万元)</w:t>
            </w:r>
          </w:p>
        </w:tc>
        <w:tc>
          <w:tcPr>
            <w:tcW w:w="1350" w:type="dxa"/>
            <w:vAlign w:val="top"/>
          </w:tcPr>
          <w:p>
            <w:pPr>
              <w:pStyle w:val="28"/>
              <w:ind w:left="0" w:leftChars="0" w:firstLine="0" w:firstLineChars="0"/>
              <w:jc w:val="both"/>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工程</w:t>
            </w:r>
          </w:p>
        </w:tc>
        <w:tc>
          <w:tcPr>
            <w:tcW w:w="1270" w:type="dxa"/>
            <w:vAlign w:val="top"/>
          </w:tcPr>
          <w:p>
            <w:pPr>
              <w:pStyle w:val="28"/>
              <w:ind w:left="0" w:leftChars="0" w:firstLine="0" w:firstLineChars="0"/>
              <w:jc w:val="both"/>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货物</w:t>
            </w:r>
          </w:p>
        </w:tc>
        <w:tc>
          <w:tcPr>
            <w:tcW w:w="1530" w:type="dxa"/>
            <w:vAlign w:val="top"/>
          </w:tcPr>
          <w:p>
            <w:pPr>
              <w:pStyle w:val="28"/>
              <w:ind w:left="0" w:leftChars="0" w:firstLine="0" w:firstLineChars="0"/>
              <w:jc w:val="both"/>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5" w:type="dxa"/>
          </w:tcPr>
          <w:p>
            <w:pPr>
              <w:pStyle w:val="28"/>
              <w:ind w:left="0" w:leftChars="0" w:firstLine="0" w:firstLineChars="0"/>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100万元以下 (含100万元)</w:t>
            </w:r>
          </w:p>
        </w:tc>
        <w:tc>
          <w:tcPr>
            <w:tcW w:w="1350" w:type="dxa"/>
            <w:vAlign w:val="top"/>
          </w:tcPr>
          <w:p>
            <w:pPr>
              <w:pStyle w:val="28"/>
              <w:ind w:left="0" w:leftChars="0" w:firstLine="0" w:firstLineChars="0"/>
              <w:jc w:val="both"/>
              <w:rPr>
                <w:rFonts w:hint="default" w:ascii="Times New Roman" w:hAnsi="Times New Roman" w:eastAsia="宋体" w:cs="Times New Roman"/>
                <w:kern w:val="2"/>
                <w:sz w:val="21"/>
                <w:szCs w:val="24"/>
                <w:lang w:val="en-US" w:eastAsia="zh-CN" w:bidi="ar-SA"/>
              </w:rPr>
            </w:pPr>
            <w:r>
              <w:rPr>
                <w:rFonts w:hint="eastAsia" w:eastAsia="宋体" w:cs="Times New Roman"/>
                <w:kern w:val="2"/>
                <w:sz w:val="21"/>
                <w:szCs w:val="24"/>
                <w:lang w:val="en-US" w:eastAsia="zh-CN" w:bidi="ar-SA"/>
              </w:rPr>
              <w:t>1.2%</w:t>
            </w:r>
          </w:p>
        </w:tc>
        <w:tc>
          <w:tcPr>
            <w:tcW w:w="1270" w:type="dxa"/>
            <w:vAlign w:val="top"/>
          </w:tcPr>
          <w:p>
            <w:pPr>
              <w:pStyle w:val="28"/>
              <w:ind w:left="0" w:leftChars="0" w:firstLine="0" w:firstLineChars="0"/>
              <w:jc w:val="both"/>
              <w:rPr>
                <w:rFonts w:hint="default" w:ascii="Times New Roman" w:hAnsi="Times New Roman" w:eastAsia="宋体" w:cs="Times New Roman"/>
                <w:kern w:val="2"/>
                <w:sz w:val="21"/>
                <w:szCs w:val="24"/>
                <w:lang w:val="en-US" w:eastAsia="zh-CN" w:bidi="ar-SA"/>
              </w:rPr>
            </w:pPr>
            <w:r>
              <w:rPr>
                <w:rFonts w:hint="eastAsia" w:eastAsia="宋体" w:cs="Times New Roman"/>
                <w:kern w:val="2"/>
                <w:sz w:val="21"/>
                <w:szCs w:val="24"/>
                <w:lang w:val="en-US" w:eastAsia="zh-CN" w:bidi="ar-SA"/>
              </w:rPr>
              <w:t>1.7%</w:t>
            </w:r>
          </w:p>
        </w:tc>
        <w:tc>
          <w:tcPr>
            <w:tcW w:w="1530" w:type="dxa"/>
            <w:vAlign w:val="top"/>
          </w:tcPr>
          <w:p>
            <w:pPr>
              <w:pStyle w:val="28"/>
              <w:ind w:left="0" w:leftChars="0" w:firstLine="0" w:firstLineChars="0"/>
              <w:jc w:val="both"/>
              <w:rPr>
                <w:rFonts w:hint="default" w:ascii="Times New Roman" w:hAnsi="Times New Roman" w:eastAsia="宋体" w:cs="Times New Roman"/>
                <w:kern w:val="2"/>
                <w:sz w:val="21"/>
                <w:szCs w:val="24"/>
                <w:lang w:val="en-US" w:eastAsia="zh-CN" w:bidi="ar-SA"/>
              </w:rPr>
            </w:pPr>
            <w:r>
              <w:rPr>
                <w:rFonts w:hint="eastAsia" w:eastAsia="宋体" w:cs="Times New Roman"/>
                <w:kern w:val="2"/>
                <w:sz w:val="21"/>
                <w:szCs w:val="24"/>
                <w:lang w:val="en-US" w:eastAsia="zh-CN" w:bidi="ar-SA"/>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5" w:type="dxa"/>
          </w:tcPr>
          <w:p>
            <w:pPr>
              <w:pStyle w:val="28"/>
              <w:ind w:left="0" w:leftChars="0" w:firstLine="0" w:firstLineChars="0"/>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100-500万元(含500万元)</w:t>
            </w:r>
          </w:p>
        </w:tc>
        <w:tc>
          <w:tcPr>
            <w:tcW w:w="1350" w:type="dxa"/>
            <w:vAlign w:val="top"/>
          </w:tcPr>
          <w:p>
            <w:pPr>
              <w:ind w:left="0" w:leftChars="0" w:firstLine="0" w:firstLineChars="0"/>
              <w:jc w:val="both"/>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1.0</w:t>
            </w:r>
            <w:r>
              <w:rPr>
                <w:rFonts w:hint="eastAsia" w:eastAsia="宋体" w:cs="Times New Roman"/>
                <w:kern w:val="2"/>
                <w:sz w:val="21"/>
                <w:szCs w:val="24"/>
                <w:lang w:val="en-US" w:eastAsia="zh-CN" w:bidi="ar-SA"/>
              </w:rPr>
              <w:t>%</w:t>
            </w:r>
          </w:p>
        </w:tc>
        <w:tc>
          <w:tcPr>
            <w:tcW w:w="1270" w:type="dxa"/>
            <w:vAlign w:val="top"/>
          </w:tcPr>
          <w:p>
            <w:pPr>
              <w:ind w:left="0" w:leftChars="0" w:firstLine="0" w:firstLineChars="0"/>
              <w:jc w:val="both"/>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1.2</w:t>
            </w:r>
            <w:r>
              <w:rPr>
                <w:rFonts w:hint="eastAsia" w:eastAsia="宋体" w:cs="Times New Roman"/>
                <w:kern w:val="2"/>
                <w:sz w:val="21"/>
                <w:szCs w:val="24"/>
                <w:lang w:val="en-US" w:eastAsia="zh-CN" w:bidi="ar-SA"/>
              </w:rPr>
              <w:t>%</w:t>
            </w:r>
          </w:p>
        </w:tc>
        <w:tc>
          <w:tcPr>
            <w:tcW w:w="1530" w:type="dxa"/>
            <w:vAlign w:val="top"/>
          </w:tcPr>
          <w:p>
            <w:pPr>
              <w:ind w:left="0" w:leftChars="0" w:firstLine="0" w:firstLineChars="0"/>
              <w:jc w:val="both"/>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1.2</w:t>
            </w:r>
            <w:r>
              <w:rPr>
                <w:rFonts w:hint="eastAsia" w:eastAsia="宋体" w:cs="Times New Roman"/>
                <w:kern w:val="2"/>
                <w:sz w:val="21"/>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5" w:type="dxa"/>
          </w:tcPr>
          <w:p>
            <w:pPr>
              <w:pStyle w:val="28"/>
              <w:ind w:left="0" w:leftChars="0" w:firstLine="0" w:firstLineChars="0"/>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500-1000万元(含1000万元)</w:t>
            </w:r>
          </w:p>
        </w:tc>
        <w:tc>
          <w:tcPr>
            <w:tcW w:w="1350" w:type="dxa"/>
            <w:vAlign w:val="top"/>
          </w:tcPr>
          <w:p>
            <w:pPr>
              <w:ind w:left="0" w:leftChars="0" w:firstLine="0" w:firstLineChars="0"/>
              <w:jc w:val="both"/>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0.7</w:t>
            </w:r>
            <w:r>
              <w:rPr>
                <w:rFonts w:hint="eastAsia" w:eastAsia="宋体" w:cs="Times New Roman"/>
                <w:kern w:val="2"/>
                <w:sz w:val="21"/>
                <w:szCs w:val="24"/>
                <w:lang w:val="en-US" w:eastAsia="zh-CN" w:bidi="ar-SA"/>
              </w:rPr>
              <w:t>%</w:t>
            </w:r>
          </w:p>
        </w:tc>
        <w:tc>
          <w:tcPr>
            <w:tcW w:w="1270" w:type="dxa"/>
            <w:vAlign w:val="top"/>
          </w:tcPr>
          <w:p>
            <w:pPr>
              <w:ind w:left="0" w:leftChars="0" w:firstLine="0" w:firstLineChars="0"/>
              <w:jc w:val="both"/>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0.8</w:t>
            </w:r>
            <w:r>
              <w:rPr>
                <w:rFonts w:hint="eastAsia" w:eastAsia="宋体" w:cs="Times New Roman"/>
                <w:kern w:val="2"/>
                <w:sz w:val="21"/>
                <w:szCs w:val="24"/>
                <w:lang w:val="en-US" w:eastAsia="zh-CN" w:bidi="ar-SA"/>
              </w:rPr>
              <w:t>%</w:t>
            </w:r>
          </w:p>
        </w:tc>
        <w:tc>
          <w:tcPr>
            <w:tcW w:w="1530" w:type="dxa"/>
            <w:vAlign w:val="top"/>
          </w:tcPr>
          <w:p>
            <w:pPr>
              <w:ind w:left="0" w:leftChars="0" w:firstLine="0" w:firstLineChars="0"/>
              <w:jc w:val="both"/>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0.7</w:t>
            </w:r>
            <w:r>
              <w:rPr>
                <w:rFonts w:hint="eastAsia" w:eastAsia="宋体" w:cs="Times New Roman"/>
                <w:kern w:val="2"/>
                <w:sz w:val="21"/>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5" w:type="dxa"/>
          </w:tcPr>
          <w:p>
            <w:pPr>
              <w:pStyle w:val="28"/>
              <w:ind w:left="0" w:leftChars="0" w:firstLine="0" w:firstLineChars="0"/>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1000-5000万元(含5000万元)</w:t>
            </w:r>
          </w:p>
        </w:tc>
        <w:tc>
          <w:tcPr>
            <w:tcW w:w="1350" w:type="dxa"/>
            <w:vAlign w:val="top"/>
          </w:tcPr>
          <w:p>
            <w:pPr>
              <w:ind w:left="0" w:leftChars="0" w:firstLine="0" w:firstLineChars="0"/>
              <w:jc w:val="both"/>
              <w:rPr>
                <w:vertAlign w:val="baseline"/>
              </w:rPr>
            </w:pPr>
            <w:r>
              <w:rPr>
                <w:rFonts w:hint="eastAsia" w:cs="Times New Roman"/>
                <w:kern w:val="2"/>
                <w:sz w:val="21"/>
                <w:szCs w:val="24"/>
                <w:lang w:val="en-US" w:eastAsia="zh-CN" w:bidi="ar-SA"/>
              </w:rPr>
              <w:t>0.4</w:t>
            </w:r>
            <w:r>
              <w:rPr>
                <w:rFonts w:hint="eastAsia" w:eastAsia="宋体" w:cs="Times New Roman"/>
                <w:kern w:val="2"/>
                <w:sz w:val="21"/>
                <w:szCs w:val="24"/>
                <w:lang w:val="en-US" w:eastAsia="zh-CN" w:bidi="ar-SA"/>
              </w:rPr>
              <w:t>%</w:t>
            </w:r>
          </w:p>
        </w:tc>
        <w:tc>
          <w:tcPr>
            <w:tcW w:w="1270" w:type="dxa"/>
            <w:vAlign w:val="top"/>
          </w:tcPr>
          <w:p>
            <w:pPr>
              <w:ind w:left="0" w:leftChars="0" w:firstLine="0" w:firstLineChars="0"/>
              <w:jc w:val="both"/>
              <w:rPr>
                <w:vertAlign w:val="baseline"/>
              </w:rPr>
            </w:pPr>
            <w:r>
              <w:rPr>
                <w:rFonts w:hint="eastAsia" w:cs="Times New Roman"/>
                <w:kern w:val="2"/>
                <w:sz w:val="21"/>
                <w:szCs w:val="24"/>
                <w:lang w:val="en-US" w:eastAsia="zh-CN" w:bidi="ar-SA"/>
              </w:rPr>
              <w:t>0.5</w:t>
            </w:r>
            <w:r>
              <w:rPr>
                <w:rFonts w:hint="eastAsia" w:eastAsia="宋体" w:cs="Times New Roman"/>
                <w:kern w:val="2"/>
                <w:sz w:val="21"/>
                <w:szCs w:val="24"/>
                <w:lang w:val="en-US" w:eastAsia="zh-CN" w:bidi="ar-SA"/>
              </w:rPr>
              <w:t>%</w:t>
            </w:r>
          </w:p>
        </w:tc>
        <w:tc>
          <w:tcPr>
            <w:tcW w:w="1530" w:type="dxa"/>
            <w:vAlign w:val="top"/>
          </w:tcPr>
          <w:p>
            <w:pPr>
              <w:ind w:left="0" w:leftChars="0" w:firstLine="0" w:firstLineChars="0"/>
              <w:jc w:val="both"/>
              <w:rPr>
                <w:vertAlign w:val="baseline"/>
              </w:rPr>
            </w:pPr>
            <w:r>
              <w:rPr>
                <w:rFonts w:hint="eastAsia" w:cs="Times New Roman"/>
                <w:kern w:val="2"/>
                <w:sz w:val="21"/>
                <w:szCs w:val="24"/>
                <w:lang w:val="en-US" w:eastAsia="zh-CN" w:bidi="ar-SA"/>
              </w:rPr>
              <w:t>0.4</w:t>
            </w:r>
            <w:r>
              <w:rPr>
                <w:rFonts w:hint="eastAsia" w:eastAsia="宋体" w:cs="Times New Roman"/>
                <w:kern w:val="2"/>
                <w:sz w:val="21"/>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5" w:type="dxa"/>
          </w:tcPr>
          <w:p>
            <w:pPr>
              <w:pStyle w:val="28"/>
              <w:ind w:left="0" w:leftChars="0" w:firstLine="0" w:firstLineChars="0"/>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5000万元-1亿元(含1亿元)</w:t>
            </w:r>
          </w:p>
        </w:tc>
        <w:tc>
          <w:tcPr>
            <w:tcW w:w="1350" w:type="dxa"/>
            <w:vAlign w:val="top"/>
          </w:tcPr>
          <w:p>
            <w:pPr>
              <w:ind w:left="0" w:leftChars="0" w:firstLine="0" w:firstLineChars="0"/>
              <w:jc w:val="both"/>
              <w:rPr>
                <w:vertAlign w:val="baseline"/>
              </w:rPr>
            </w:pPr>
            <w:r>
              <w:rPr>
                <w:rFonts w:hint="eastAsia" w:cs="Times New Roman"/>
                <w:kern w:val="2"/>
                <w:sz w:val="21"/>
                <w:szCs w:val="24"/>
                <w:lang w:val="en-US" w:eastAsia="zh-CN" w:bidi="ar-SA"/>
              </w:rPr>
              <w:t>0.25</w:t>
            </w:r>
            <w:r>
              <w:rPr>
                <w:rFonts w:hint="eastAsia" w:eastAsia="宋体" w:cs="Times New Roman"/>
                <w:kern w:val="2"/>
                <w:sz w:val="21"/>
                <w:szCs w:val="24"/>
                <w:lang w:val="en-US" w:eastAsia="zh-CN" w:bidi="ar-SA"/>
              </w:rPr>
              <w:t>%</w:t>
            </w:r>
          </w:p>
        </w:tc>
        <w:tc>
          <w:tcPr>
            <w:tcW w:w="1270" w:type="dxa"/>
            <w:vAlign w:val="top"/>
          </w:tcPr>
          <w:p>
            <w:pPr>
              <w:ind w:left="0" w:leftChars="0" w:firstLine="0" w:firstLineChars="0"/>
              <w:jc w:val="both"/>
              <w:rPr>
                <w:vertAlign w:val="baseline"/>
              </w:rPr>
            </w:pPr>
            <w:r>
              <w:rPr>
                <w:rFonts w:hint="eastAsia" w:cs="Times New Roman"/>
                <w:kern w:val="2"/>
                <w:sz w:val="21"/>
                <w:szCs w:val="24"/>
                <w:lang w:val="en-US" w:eastAsia="zh-CN" w:bidi="ar-SA"/>
              </w:rPr>
              <w:t>0.30</w:t>
            </w:r>
            <w:r>
              <w:rPr>
                <w:rFonts w:hint="eastAsia" w:eastAsia="宋体" w:cs="Times New Roman"/>
                <w:kern w:val="2"/>
                <w:sz w:val="21"/>
                <w:szCs w:val="24"/>
                <w:lang w:val="en-US" w:eastAsia="zh-CN" w:bidi="ar-SA"/>
              </w:rPr>
              <w:t>%</w:t>
            </w:r>
          </w:p>
        </w:tc>
        <w:tc>
          <w:tcPr>
            <w:tcW w:w="1530" w:type="dxa"/>
            <w:vAlign w:val="top"/>
          </w:tcPr>
          <w:p>
            <w:pPr>
              <w:ind w:left="0" w:leftChars="0" w:firstLine="0" w:firstLineChars="0"/>
              <w:jc w:val="both"/>
              <w:rPr>
                <w:vertAlign w:val="baseline"/>
              </w:rPr>
            </w:pPr>
            <w:r>
              <w:rPr>
                <w:rFonts w:hint="eastAsia" w:cs="Times New Roman"/>
                <w:kern w:val="2"/>
                <w:sz w:val="21"/>
                <w:szCs w:val="24"/>
                <w:lang w:val="en-US" w:eastAsia="zh-CN" w:bidi="ar-SA"/>
              </w:rPr>
              <w:t>0.250</w:t>
            </w:r>
            <w:r>
              <w:rPr>
                <w:rFonts w:hint="eastAsia" w:eastAsia="宋体" w:cs="Times New Roman"/>
                <w:kern w:val="2"/>
                <w:sz w:val="21"/>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5" w:type="dxa"/>
          </w:tcPr>
          <w:p>
            <w:pPr>
              <w:pStyle w:val="28"/>
              <w:ind w:left="0" w:leftChars="0" w:firstLine="0" w:firstLineChars="0"/>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1-5亿元 (含5亿元)</w:t>
            </w:r>
          </w:p>
        </w:tc>
        <w:tc>
          <w:tcPr>
            <w:tcW w:w="1350" w:type="dxa"/>
            <w:vAlign w:val="top"/>
          </w:tcPr>
          <w:p>
            <w:pPr>
              <w:ind w:left="0" w:leftChars="0" w:firstLine="0" w:firstLineChars="0"/>
              <w:jc w:val="both"/>
              <w:rPr>
                <w:vertAlign w:val="baseline"/>
              </w:rPr>
            </w:pPr>
            <w:r>
              <w:rPr>
                <w:rFonts w:hint="eastAsia" w:cs="Times New Roman"/>
                <w:kern w:val="2"/>
                <w:sz w:val="21"/>
                <w:szCs w:val="24"/>
                <w:lang w:val="en-US" w:eastAsia="zh-CN" w:bidi="ar-SA"/>
              </w:rPr>
              <w:t>0.10</w:t>
            </w:r>
            <w:r>
              <w:rPr>
                <w:rFonts w:hint="eastAsia" w:eastAsia="宋体" w:cs="Times New Roman"/>
                <w:kern w:val="2"/>
                <w:sz w:val="21"/>
                <w:szCs w:val="24"/>
                <w:lang w:val="en-US" w:eastAsia="zh-CN" w:bidi="ar-SA"/>
              </w:rPr>
              <w:t>%</w:t>
            </w:r>
          </w:p>
        </w:tc>
        <w:tc>
          <w:tcPr>
            <w:tcW w:w="1270" w:type="dxa"/>
            <w:vAlign w:val="top"/>
          </w:tcPr>
          <w:p>
            <w:pPr>
              <w:ind w:left="0" w:leftChars="0" w:firstLine="0" w:firstLineChars="0"/>
              <w:jc w:val="both"/>
              <w:rPr>
                <w:vertAlign w:val="baseline"/>
              </w:rPr>
            </w:pPr>
            <w:r>
              <w:rPr>
                <w:rFonts w:hint="eastAsia" w:cs="Times New Roman"/>
                <w:kern w:val="2"/>
                <w:sz w:val="21"/>
                <w:szCs w:val="24"/>
                <w:lang w:val="en-US" w:eastAsia="zh-CN" w:bidi="ar-SA"/>
              </w:rPr>
              <w:t>0.10</w:t>
            </w:r>
            <w:r>
              <w:rPr>
                <w:rFonts w:hint="eastAsia" w:eastAsia="宋体" w:cs="Times New Roman"/>
                <w:kern w:val="2"/>
                <w:sz w:val="21"/>
                <w:szCs w:val="24"/>
                <w:lang w:val="en-US" w:eastAsia="zh-CN" w:bidi="ar-SA"/>
              </w:rPr>
              <w:t>%</w:t>
            </w:r>
          </w:p>
        </w:tc>
        <w:tc>
          <w:tcPr>
            <w:tcW w:w="1530" w:type="dxa"/>
            <w:vAlign w:val="top"/>
          </w:tcPr>
          <w:p>
            <w:pPr>
              <w:ind w:left="0" w:leftChars="0" w:firstLine="0" w:firstLineChars="0"/>
              <w:jc w:val="both"/>
              <w:rPr>
                <w:rFonts w:hint="default"/>
                <w:vertAlign w:val="baseline"/>
                <w:lang w:val="en-US"/>
              </w:rPr>
            </w:pPr>
            <w:r>
              <w:rPr>
                <w:rFonts w:hint="eastAsia" w:cs="Times New Roman"/>
                <w:kern w:val="2"/>
                <w:sz w:val="21"/>
                <w:szCs w:val="24"/>
                <w:lang w:val="en-US" w:eastAsia="zh-CN" w:bidi="ar-SA"/>
              </w:rPr>
              <w:t>0.10</w:t>
            </w:r>
            <w:r>
              <w:rPr>
                <w:rFonts w:hint="eastAsia" w:eastAsia="宋体" w:cs="Times New Roman"/>
                <w:kern w:val="2"/>
                <w:sz w:val="21"/>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5" w:type="dxa"/>
          </w:tcPr>
          <w:p>
            <w:pPr>
              <w:pStyle w:val="28"/>
              <w:ind w:left="0" w:leftChars="0" w:firstLine="0" w:firstLineChars="0"/>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5-10亿元 (含10亿元)</w:t>
            </w:r>
          </w:p>
        </w:tc>
        <w:tc>
          <w:tcPr>
            <w:tcW w:w="1350" w:type="dxa"/>
            <w:vAlign w:val="top"/>
          </w:tcPr>
          <w:p>
            <w:pPr>
              <w:ind w:left="0" w:leftChars="0" w:firstLine="0" w:firstLineChars="0"/>
              <w:jc w:val="both"/>
              <w:rPr>
                <w:vertAlign w:val="baseline"/>
              </w:rPr>
            </w:pPr>
            <w:r>
              <w:rPr>
                <w:rFonts w:hint="eastAsia" w:cs="Times New Roman"/>
                <w:kern w:val="2"/>
                <w:sz w:val="21"/>
                <w:szCs w:val="24"/>
                <w:lang w:val="en-US" w:eastAsia="zh-CN" w:bidi="ar-SA"/>
              </w:rPr>
              <w:t>0.045</w:t>
            </w:r>
            <w:r>
              <w:rPr>
                <w:rFonts w:hint="eastAsia" w:eastAsia="宋体" w:cs="Times New Roman"/>
                <w:kern w:val="2"/>
                <w:sz w:val="21"/>
                <w:szCs w:val="24"/>
                <w:lang w:val="en-US" w:eastAsia="zh-CN" w:bidi="ar-SA"/>
              </w:rPr>
              <w:t>%</w:t>
            </w:r>
          </w:p>
        </w:tc>
        <w:tc>
          <w:tcPr>
            <w:tcW w:w="1270" w:type="dxa"/>
            <w:vAlign w:val="top"/>
          </w:tcPr>
          <w:p>
            <w:pPr>
              <w:ind w:left="0" w:leftChars="0" w:firstLine="0" w:firstLineChars="0"/>
              <w:jc w:val="both"/>
              <w:rPr>
                <w:vertAlign w:val="baseline"/>
              </w:rPr>
            </w:pPr>
            <w:r>
              <w:rPr>
                <w:rFonts w:hint="eastAsia" w:cs="Times New Roman"/>
                <w:kern w:val="2"/>
                <w:sz w:val="21"/>
                <w:szCs w:val="24"/>
                <w:lang w:val="en-US" w:eastAsia="zh-CN" w:bidi="ar-SA"/>
              </w:rPr>
              <w:t>0.045</w:t>
            </w:r>
            <w:r>
              <w:rPr>
                <w:rFonts w:hint="eastAsia" w:eastAsia="宋体" w:cs="Times New Roman"/>
                <w:kern w:val="2"/>
                <w:sz w:val="21"/>
                <w:szCs w:val="24"/>
                <w:lang w:val="en-US" w:eastAsia="zh-CN" w:bidi="ar-SA"/>
              </w:rPr>
              <w:t>%</w:t>
            </w:r>
          </w:p>
        </w:tc>
        <w:tc>
          <w:tcPr>
            <w:tcW w:w="1530" w:type="dxa"/>
            <w:vAlign w:val="top"/>
          </w:tcPr>
          <w:p>
            <w:pPr>
              <w:ind w:left="0" w:leftChars="0" w:firstLine="0" w:firstLineChars="0"/>
              <w:jc w:val="both"/>
              <w:rPr>
                <w:vertAlign w:val="baseline"/>
              </w:rPr>
            </w:pPr>
            <w:r>
              <w:rPr>
                <w:rFonts w:hint="eastAsia" w:cs="Times New Roman"/>
                <w:kern w:val="2"/>
                <w:sz w:val="21"/>
                <w:szCs w:val="24"/>
                <w:lang w:val="en-US" w:eastAsia="zh-CN" w:bidi="ar-SA"/>
              </w:rPr>
              <w:t>0.045</w:t>
            </w:r>
            <w:r>
              <w:rPr>
                <w:rFonts w:hint="eastAsia" w:eastAsia="宋体" w:cs="Times New Roman"/>
                <w:kern w:val="2"/>
                <w:sz w:val="21"/>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5" w:type="dxa"/>
          </w:tcPr>
          <w:p>
            <w:pPr>
              <w:pStyle w:val="28"/>
              <w:ind w:left="0" w:leftChars="0" w:firstLine="0" w:firstLineChars="0"/>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10-50亿元 (含50亿元)</w:t>
            </w:r>
          </w:p>
        </w:tc>
        <w:tc>
          <w:tcPr>
            <w:tcW w:w="1350" w:type="dxa"/>
            <w:vAlign w:val="top"/>
          </w:tcPr>
          <w:p>
            <w:pPr>
              <w:ind w:left="0" w:leftChars="0" w:firstLine="0" w:firstLineChars="0"/>
              <w:jc w:val="both"/>
              <w:rPr>
                <w:vertAlign w:val="baseline"/>
              </w:rPr>
            </w:pPr>
            <w:r>
              <w:rPr>
                <w:rFonts w:hint="eastAsia" w:cs="Times New Roman"/>
                <w:kern w:val="2"/>
                <w:sz w:val="21"/>
                <w:szCs w:val="24"/>
                <w:lang w:val="en-US" w:eastAsia="zh-CN" w:bidi="ar-SA"/>
              </w:rPr>
              <w:t>0.010</w:t>
            </w:r>
            <w:r>
              <w:rPr>
                <w:rFonts w:hint="eastAsia" w:eastAsia="宋体" w:cs="Times New Roman"/>
                <w:kern w:val="2"/>
                <w:sz w:val="21"/>
                <w:szCs w:val="24"/>
                <w:lang w:val="en-US" w:eastAsia="zh-CN" w:bidi="ar-SA"/>
              </w:rPr>
              <w:t>%</w:t>
            </w:r>
          </w:p>
        </w:tc>
        <w:tc>
          <w:tcPr>
            <w:tcW w:w="1270" w:type="dxa"/>
            <w:vAlign w:val="top"/>
          </w:tcPr>
          <w:p>
            <w:pPr>
              <w:ind w:left="0" w:leftChars="0" w:firstLine="0" w:firstLineChars="0"/>
              <w:jc w:val="both"/>
              <w:rPr>
                <w:vertAlign w:val="baseline"/>
              </w:rPr>
            </w:pPr>
            <w:r>
              <w:rPr>
                <w:rFonts w:hint="eastAsia" w:cs="Times New Roman"/>
                <w:kern w:val="2"/>
                <w:sz w:val="21"/>
                <w:szCs w:val="24"/>
                <w:lang w:val="en-US" w:eastAsia="zh-CN" w:bidi="ar-SA"/>
              </w:rPr>
              <w:t>0.01</w:t>
            </w:r>
            <w:r>
              <w:rPr>
                <w:rFonts w:hint="eastAsia" w:eastAsia="宋体" w:cs="Times New Roman"/>
                <w:kern w:val="2"/>
                <w:sz w:val="21"/>
                <w:szCs w:val="24"/>
                <w:lang w:val="en-US" w:eastAsia="zh-CN" w:bidi="ar-SA"/>
              </w:rPr>
              <w:t>%</w:t>
            </w:r>
          </w:p>
        </w:tc>
        <w:tc>
          <w:tcPr>
            <w:tcW w:w="1530" w:type="dxa"/>
            <w:vAlign w:val="top"/>
          </w:tcPr>
          <w:p>
            <w:pPr>
              <w:ind w:left="0" w:leftChars="0" w:firstLine="0" w:firstLineChars="0"/>
              <w:jc w:val="both"/>
              <w:rPr>
                <w:vertAlign w:val="baseline"/>
              </w:rPr>
            </w:pPr>
            <w:r>
              <w:rPr>
                <w:rFonts w:hint="eastAsia" w:cs="Times New Roman"/>
                <w:kern w:val="2"/>
                <w:sz w:val="21"/>
                <w:szCs w:val="24"/>
                <w:lang w:val="en-US" w:eastAsia="zh-CN" w:bidi="ar-SA"/>
              </w:rPr>
              <w:t>0.010</w:t>
            </w:r>
            <w:r>
              <w:rPr>
                <w:rFonts w:hint="eastAsia" w:eastAsia="宋体" w:cs="Times New Roman"/>
                <w:kern w:val="2"/>
                <w:sz w:val="21"/>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5" w:type="dxa"/>
          </w:tcPr>
          <w:p>
            <w:pPr>
              <w:pStyle w:val="28"/>
              <w:ind w:left="0" w:leftChars="0" w:firstLine="0" w:firstLineChars="0"/>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50-100亿元(含100亿元)</w:t>
            </w:r>
          </w:p>
        </w:tc>
        <w:tc>
          <w:tcPr>
            <w:tcW w:w="1350" w:type="dxa"/>
            <w:vAlign w:val="top"/>
          </w:tcPr>
          <w:p>
            <w:pPr>
              <w:ind w:left="0" w:leftChars="0" w:firstLine="0" w:firstLineChars="0"/>
              <w:jc w:val="both"/>
              <w:rPr>
                <w:vertAlign w:val="baseline"/>
              </w:rPr>
            </w:pPr>
            <w:r>
              <w:rPr>
                <w:rFonts w:hint="eastAsia" w:cs="Times New Roman"/>
                <w:kern w:val="2"/>
                <w:sz w:val="21"/>
                <w:szCs w:val="24"/>
                <w:lang w:val="en-US" w:eastAsia="zh-CN" w:bidi="ar-SA"/>
              </w:rPr>
              <w:t>0.008</w:t>
            </w:r>
            <w:r>
              <w:rPr>
                <w:rFonts w:hint="eastAsia" w:eastAsia="宋体" w:cs="Times New Roman"/>
                <w:kern w:val="2"/>
                <w:sz w:val="21"/>
                <w:szCs w:val="24"/>
                <w:lang w:val="en-US" w:eastAsia="zh-CN" w:bidi="ar-SA"/>
              </w:rPr>
              <w:t>%</w:t>
            </w:r>
          </w:p>
        </w:tc>
        <w:tc>
          <w:tcPr>
            <w:tcW w:w="1270" w:type="dxa"/>
            <w:vAlign w:val="top"/>
          </w:tcPr>
          <w:p>
            <w:pPr>
              <w:ind w:left="0" w:leftChars="0" w:firstLine="0" w:firstLineChars="0"/>
              <w:jc w:val="both"/>
              <w:rPr>
                <w:vertAlign w:val="baseline"/>
              </w:rPr>
            </w:pPr>
            <w:r>
              <w:rPr>
                <w:rFonts w:hint="eastAsia" w:cs="Times New Roman"/>
                <w:kern w:val="2"/>
                <w:sz w:val="21"/>
                <w:szCs w:val="24"/>
                <w:lang w:val="en-US" w:eastAsia="zh-CN" w:bidi="ar-SA"/>
              </w:rPr>
              <w:t>0.008</w:t>
            </w:r>
            <w:r>
              <w:rPr>
                <w:rFonts w:hint="eastAsia" w:eastAsia="宋体" w:cs="Times New Roman"/>
                <w:kern w:val="2"/>
                <w:sz w:val="21"/>
                <w:szCs w:val="24"/>
                <w:lang w:val="en-US" w:eastAsia="zh-CN" w:bidi="ar-SA"/>
              </w:rPr>
              <w:t>%</w:t>
            </w:r>
          </w:p>
        </w:tc>
        <w:tc>
          <w:tcPr>
            <w:tcW w:w="1530" w:type="dxa"/>
            <w:vAlign w:val="top"/>
          </w:tcPr>
          <w:p>
            <w:pPr>
              <w:ind w:left="0" w:leftChars="0" w:firstLine="0" w:firstLineChars="0"/>
              <w:jc w:val="both"/>
              <w:rPr>
                <w:vertAlign w:val="baseline"/>
              </w:rPr>
            </w:pPr>
            <w:r>
              <w:rPr>
                <w:rFonts w:hint="eastAsia" w:cs="Times New Roman"/>
                <w:kern w:val="2"/>
                <w:sz w:val="21"/>
                <w:szCs w:val="24"/>
                <w:lang w:val="en-US" w:eastAsia="zh-CN" w:bidi="ar-SA"/>
              </w:rPr>
              <w:t>0.008</w:t>
            </w:r>
            <w:r>
              <w:rPr>
                <w:rFonts w:hint="eastAsia" w:eastAsia="宋体" w:cs="Times New Roman"/>
                <w:kern w:val="2"/>
                <w:sz w:val="21"/>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5" w:type="dxa"/>
          </w:tcPr>
          <w:p>
            <w:pPr>
              <w:pStyle w:val="28"/>
              <w:ind w:left="0" w:leftChars="0" w:firstLine="0" w:firstLineChars="0"/>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100亿元以上</w:t>
            </w:r>
          </w:p>
        </w:tc>
        <w:tc>
          <w:tcPr>
            <w:tcW w:w="1350" w:type="dxa"/>
            <w:vAlign w:val="top"/>
          </w:tcPr>
          <w:p>
            <w:pPr>
              <w:ind w:left="0" w:leftChars="0" w:firstLine="0" w:firstLineChars="0"/>
              <w:jc w:val="both"/>
              <w:rPr>
                <w:vertAlign w:val="baseline"/>
              </w:rPr>
            </w:pPr>
            <w:r>
              <w:rPr>
                <w:rFonts w:hint="eastAsia" w:cs="Times New Roman"/>
                <w:kern w:val="2"/>
                <w:sz w:val="21"/>
                <w:szCs w:val="24"/>
                <w:lang w:val="en-US" w:eastAsia="zh-CN" w:bidi="ar-SA"/>
              </w:rPr>
              <w:t>0.004</w:t>
            </w:r>
            <w:r>
              <w:rPr>
                <w:rFonts w:hint="eastAsia" w:eastAsia="宋体" w:cs="Times New Roman"/>
                <w:kern w:val="2"/>
                <w:sz w:val="21"/>
                <w:szCs w:val="24"/>
                <w:lang w:val="en-US" w:eastAsia="zh-CN" w:bidi="ar-SA"/>
              </w:rPr>
              <w:t>%</w:t>
            </w:r>
          </w:p>
        </w:tc>
        <w:tc>
          <w:tcPr>
            <w:tcW w:w="1270" w:type="dxa"/>
            <w:vAlign w:val="top"/>
          </w:tcPr>
          <w:p>
            <w:pPr>
              <w:ind w:left="0" w:leftChars="0" w:firstLine="0" w:firstLineChars="0"/>
              <w:jc w:val="both"/>
              <w:rPr>
                <w:vertAlign w:val="baseline"/>
              </w:rPr>
            </w:pPr>
            <w:r>
              <w:rPr>
                <w:rFonts w:hint="eastAsia" w:cs="Times New Roman"/>
                <w:kern w:val="2"/>
                <w:sz w:val="21"/>
                <w:szCs w:val="24"/>
                <w:lang w:val="en-US" w:eastAsia="zh-CN" w:bidi="ar-SA"/>
              </w:rPr>
              <w:t>0.004</w:t>
            </w:r>
            <w:r>
              <w:rPr>
                <w:rFonts w:hint="eastAsia" w:eastAsia="宋体" w:cs="Times New Roman"/>
                <w:kern w:val="2"/>
                <w:sz w:val="21"/>
                <w:szCs w:val="24"/>
                <w:lang w:val="en-US" w:eastAsia="zh-CN" w:bidi="ar-SA"/>
              </w:rPr>
              <w:t>%</w:t>
            </w:r>
          </w:p>
        </w:tc>
        <w:tc>
          <w:tcPr>
            <w:tcW w:w="1530" w:type="dxa"/>
            <w:vAlign w:val="top"/>
          </w:tcPr>
          <w:p>
            <w:pPr>
              <w:ind w:left="0" w:leftChars="0" w:firstLine="0" w:firstLineChars="0"/>
              <w:jc w:val="both"/>
              <w:rPr>
                <w:vertAlign w:val="baseline"/>
              </w:rPr>
            </w:pPr>
            <w:r>
              <w:rPr>
                <w:rFonts w:hint="eastAsia" w:cs="Times New Roman"/>
                <w:kern w:val="2"/>
                <w:sz w:val="21"/>
                <w:szCs w:val="24"/>
                <w:lang w:val="en-US" w:eastAsia="zh-CN" w:bidi="ar-SA"/>
              </w:rPr>
              <w:t>0.004</w:t>
            </w:r>
            <w:r>
              <w:rPr>
                <w:rFonts w:hint="eastAsia" w:eastAsia="宋体" w:cs="Times New Roman"/>
                <w:kern w:val="2"/>
                <w:sz w:val="21"/>
                <w:szCs w:val="24"/>
                <w:lang w:val="en-US" w:eastAsia="zh-CN" w:bidi="ar-SA"/>
              </w:rPr>
              <w:t>%</w:t>
            </w:r>
          </w:p>
        </w:tc>
      </w:tr>
    </w:tbl>
    <w:p>
      <w:pPr>
        <w:pStyle w:val="28"/>
      </w:pPr>
    </w:p>
    <w:p>
      <w:pPr>
        <w:pStyle w:val="28"/>
        <w:ind w:firstLine="360" w:firstLineChars="150"/>
        <w:rPr>
          <w:szCs w:val="20"/>
        </w:rPr>
      </w:pPr>
      <w:r>
        <w:rPr>
          <w:rFonts w:ascii="宋体"/>
          <w:sz w:val="24"/>
          <w:szCs w:val="20"/>
        </w:rPr>
        <w:t>注：</w:t>
      </w:r>
      <w:r>
        <w:rPr>
          <w:rFonts w:ascii="宋体" w:hAnsi="宋体"/>
          <w:kern w:val="0"/>
          <w:sz w:val="24"/>
          <w:szCs w:val="20"/>
        </w:rPr>
        <w:t>招标代理服务收费按差额定率累进法计算。</w:t>
      </w:r>
    </w:p>
    <w:p>
      <w:pPr>
        <w:rPr>
          <w:b/>
          <w:color w:val="333333"/>
          <w:spacing w:val="8"/>
          <w:sz w:val="28"/>
          <w:szCs w:val="28"/>
          <w:shd w:val="clear" w:color="auto" w:fill="FFFFFF"/>
        </w:rPr>
      </w:pPr>
      <w:r>
        <w:rPr>
          <w:rFonts w:ascii="宋体"/>
          <w:b/>
          <w:color w:val="333333"/>
          <w:spacing w:val="8"/>
          <w:sz w:val="28"/>
          <w:szCs w:val="28"/>
          <w:shd w:val="clear" w:color="auto" w:fill="FFFFFF"/>
        </w:rPr>
        <w:br w:type="page"/>
      </w:r>
    </w:p>
    <w:p>
      <w:pPr>
        <w:pStyle w:val="26"/>
        <w:shd w:val="clear" w:color="auto" w:fill="FFFFFF"/>
        <w:spacing w:beforeAutospacing="0" w:afterAutospacing="0" w:line="330" w:lineRule="atLeast"/>
        <w:jc w:val="center"/>
        <w:rPr>
          <w:b/>
          <w:color w:val="333333"/>
          <w:spacing w:val="8"/>
          <w:sz w:val="28"/>
          <w:szCs w:val="28"/>
          <w:shd w:val="clear" w:color="auto" w:fill="FFFFFF"/>
        </w:rPr>
      </w:pPr>
      <w:r>
        <w:rPr>
          <w:b/>
          <w:color w:val="333333"/>
          <w:spacing w:val="8"/>
          <w:shd w:val="clear" w:color="auto" w:fill="FFFFFF"/>
        </w:rPr>
        <w:t>八、统计上大中小微型企业划分标准</w:t>
      </w:r>
    </w:p>
    <w:p>
      <w:pPr>
        <w:pStyle w:val="26"/>
        <w:shd w:val="clear" w:color="auto" w:fill="FFFFFF"/>
        <w:spacing w:beforeAutospacing="0" w:afterAutospacing="0" w:line="330" w:lineRule="atLeast"/>
        <w:jc w:val="center"/>
        <w:rPr>
          <w:b/>
          <w:color w:val="333333"/>
          <w:spacing w:val="8"/>
          <w:sz w:val="28"/>
          <w:szCs w:val="28"/>
          <w:shd w:val="clear" w:color="auto" w:fill="FFFFFF"/>
        </w:rPr>
      </w:pPr>
    </w:p>
    <w:tbl>
      <w:tblPr>
        <w:tblStyle w:val="30"/>
        <w:tblW w:w="10155" w:type="dxa"/>
        <w:jc w:val="center"/>
        <w:tblLayout w:type="autofit"/>
        <w:tblCellMar>
          <w:top w:w="0" w:type="dxa"/>
          <w:left w:w="0" w:type="dxa"/>
          <w:bottom w:w="0" w:type="dxa"/>
          <w:right w:w="0" w:type="dxa"/>
        </w:tblCellMar>
      </w:tblPr>
      <w:tblGrid>
        <w:gridCol w:w="2257"/>
        <w:gridCol w:w="1457"/>
        <w:gridCol w:w="752"/>
        <w:gridCol w:w="1301"/>
        <w:gridCol w:w="1809"/>
        <w:gridCol w:w="1521"/>
        <w:gridCol w:w="1058"/>
      </w:tblGrid>
      <w:tr>
        <w:tblPrEx>
          <w:tblCellMar>
            <w:top w:w="0" w:type="dxa"/>
            <w:left w:w="0" w:type="dxa"/>
            <w:bottom w:w="0" w:type="dxa"/>
            <w:right w:w="0" w:type="dxa"/>
          </w:tblCellMar>
        </w:tblPrEx>
        <w:trPr>
          <w:trHeight w:val="615" w:hRule="atLeast"/>
          <w:jc w:val="center"/>
        </w:trPr>
        <w:tc>
          <w:tcPr>
            <w:tcW w:w="2115" w:type="dxa"/>
            <w:tcBorders>
              <w:top w:val="single" w:color="808080" w:sz="6" w:space="0"/>
              <w:left w:val="single" w:color="808080" w:sz="6" w:space="0"/>
              <w:bottom w:val="single" w:color="FFFFFF" w:sz="18" w:space="0"/>
              <w:right w:val="single" w:color="808080" w:sz="6" w:space="0"/>
              <w:tl2br w:val="nil"/>
              <w:tr2bl w:val="nil"/>
            </w:tcBorders>
            <w:shd w:val="clear" w:color="auto" w:fill="4F81BD"/>
            <w:tcMar>
              <w:left w:w="105" w:type="dxa"/>
              <w:right w:w="105" w:type="dxa"/>
            </w:tcMar>
            <w:vAlign w:val="center"/>
          </w:tcPr>
          <w:p>
            <w:pPr>
              <w:pStyle w:val="26"/>
              <w:spacing w:beforeAutospacing="0" w:afterAutospacing="0" w:line="240" w:lineRule="atLeast"/>
              <w:jc w:val="center"/>
              <w:rPr>
                <w:sz w:val="21"/>
                <w:szCs w:val="21"/>
              </w:rPr>
            </w:pPr>
            <w:r>
              <w:rPr>
                <w:rStyle w:val="33"/>
                <w:color w:val="FFFFFF"/>
                <w:spacing w:val="8"/>
                <w:sz w:val="21"/>
              </w:rPr>
              <w:t>行业名称</w:t>
            </w:r>
          </w:p>
        </w:tc>
        <w:tc>
          <w:tcPr>
            <w:tcW w:w="1365" w:type="dxa"/>
            <w:tcBorders>
              <w:top w:val="single" w:color="808080" w:sz="6" w:space="0"/>
              <w:left w:val="nil"/>
              <w:bottom w:val="single" w:color="FFFFFF" w:sz="18" w:space="0"/>
              <w:right w:val="single" w:color="808080" w:sz="6" w:space="0"/>
              <w:tl2br w:val="nil"/>
              <w:tr2bl w:val="nil"/>
            </w:tcBorders>
            <w:shd w:val="clear" w:color="auto" w:fill="4F81BD"/>
            <w:tcMar>
              <w:left w:w="105" w:type="dxa"/>
              <w:right w:w="105" w:type="dxa"/>
            </w:tcMar>
            <w:vAlign w:val="center"/>
          </w:tcPr>
          <w:p>
            <w:pPr>
              <w:pStyle w:val="26"/>
              <w:spacing w:beforeAutospacing="0" w:afterAutospacing="0"/>
              <w:jc w:val="center"/>
              <w:rPr>
                <w:sz w:val="21"/>
                <w:szCs w:val="21"/>
              </w:rPr>
            </w:pPr>
            <w:r>
              <w:rPr>
                <w:rStyle w:val="33"/>
                <w:color w:val="FFFFFF"/>
                <w:spacing w:val="8"/>
                <w:sz w:val="21"/>
              </w:rPr>
              <w:t>指标名称</w:t>
            </w:r>
          </w:p>
        </w:tc>
        <w:tc>
          <w:tcPr>
            <w:tcW w:w="705" w:type="dxa"/>
            <w:tcBorders>
              <w:top w:val="single" w:color="808080" w:sz="6" w:space="0"/>
              <w:left w:val="nil"/>
              <w:bottom w:val="single" w:color="FFFFFF" w:sz="18" w:space="0"/>
              <w:right w:val="single" w:color="808080" w:sz="6" w:space="0"/>
              <w:tl2br w:val="nil"/>
              <w:tr2bl w:val="nil"/>
            </w:tcBorders>
            <w:shd w:val="clear" w:color="auto" w:fill="4F81BD"/>
            <w:tcMar>
              <w:left w:w="105" w:type="dxa"/>
              <w:right w:w="105" w:type="dxa"/>
            </w:tcMar>
            <w:vAlign w:val="center"/>
          </w:tcPr>
          <w:p>
            <w:pPr>
              <w:pStyle w:val="26"/>
              <w:spacing w:beforeAutospacing="0" w:afterAutospacing="0"/>
              <w:jc w:val="center"/>
              <w:rPr>
                <w:sz w:val="21"/>
                <w:szCs w:val="21"/>
              </w:rPr>
            </w:pPr>
            <w:r>
              <w:rPr>
                <w:rStyle w:val="33"/>
                <w:color w:val="FFFFFF"/>
                <w:spacing w:val="8"/>
                <w:sz w:val="21"/>
              </w:rPr>
              <w:t>计量单位</w:t>
            </w:r>
          </w:p>
        </w:tc>
        <w:tc>
          <w:tcPr>
            <w:tcW w:w="1125" w:type="dxa"/>
            <w:tcBorders>
              <w:top w:val="single" w:color="808080" w:sz="6" w:space="0"/>
              <w:left w:val="nil"/>
              <w:bottom w:val="single" w:color="FFFFFF" w:sz="18" w:space="0"/>
              <w:right w:val="single" w:color="808080" w:sz="6" w:space="0"/>
              <w:tl2br w:val="nil"/>
              <w:tr2bl w:val="nil"/>
            </w:tcBorders>
            <w:shd w:val="clear" w:color="auto" w:fill="4F81BD"/>
            <w:tcMar>
              <w:left w:w="105" w:type="dxa"/>
              <w:right w:w="105" w:type="dxa"/>
            </w:tcMar>
            <w:vAlign w:val="center"/>
          </w:tcPr>
          <w:p>
            <w:pPr>
              <w:pStyle w:val="26"/>
              <w:spacing w:beforeAutospacing="0" w:afterAutospacing="0"/>
              <w:jc w:val="center"/>
              <w:rPr>
                <w:sz w:val="21"/>
                <w:szCs w:val="21"/>
              </w:rPr>
            </w:pPr>
            <w:r>
              <w:rPr>
                <w:rStyle w:val="33"/>
                <w:color w:val="FFFFFF"/>
                <w:spacing w:val="8"/>
                <w:sz w:val="21"/>
              </w:rPr>
              <w:t>大型</w:t>
            </w:r>
          </w:p>
        </w:tc>
        <w:tc>
          <w:tcPr>
            <w:tcW w:w="1695" w:type="dxa"/>
            <w:tcBorders>
              <w:top w:val="single" w:color="808080" w:sz="6" w:space="0"/>
              <w:left w:val="nil"/>
              <w:bottom w:val="single" w:color="FFFFFF" w:sz="18" w:space="0"/>
              <w:right w:val="single" w:color="808080" w:sz="6" w:space="0"/>
              <w:tl2br w:val="nil"/>
              <w:tr2bl w:val="nil"/>
            </w:tcBorders>
            <w:shd w:val="clear" w:color="auto" w:fill="4F81BD"/>
            <w:tcMar>
              <w:left w:w="105" w:type="dxa"/>
              <w:right w:w="105" w:type="dxa"/>
            </w:tcMar>
            <w:vAlign w:val="center"/>
          </w:tcPr>
          <w:p>
            <w:pPr>
              <w:pStyle w:val="26"/>
              <w:spacing w:beforeAutospacing="0" w:afterAutospacing="0"/>
              <w:jc w:val="center"/>
              <w:rPr>
                <w:sz w:val="21"/>
                <w:szCs w:val="21"/>
              </w:rPr>
            </w:pPr>
            <w:r>
              <w:rPr>
                <w:rStyle w:val="33"/>
                <w:color w:val="FFFFFF"/>
                <w:spacing w:val="8"/>
                <w:sz w:val="21"/>
              </w:rPr>
              <w:t>中型</w:t>
            </w:r>
          </w:p>
        </w:tc>
        <w:tc>
          <w:tcPr>
            <w:tcW w:w="1425" w:type="dxa"/>
            <w:tcBorders>
              <w:top w:val="single" w:color="808080" w:sz="6" w:space="0"/>
              <w:left w:val="nil"/>
              <w:bottom w:val="single" w:color="FFFFFF" w:sz="18" w:space="0"/>
              <w:right w:val="single" w:color="808080" w:sz="6" w:space="0"/>
              <w:tl2br w:val="nil"/>
              <w:tr2bl w:val="nil"/>
            </w:tcBorders>
            <w:shd w:val="clear" w:color="auto" w:fill="4F81BD"/>
            <w:tcMar>
              <w:left w:w="105" w:type="dxa"/>
              <w:right w:w="105" w:type="dxa"/>
            </w:tcMar>
            <w:vAlign w:val="center"/>
          </w:tcPr>
          <w:p>
            <w:pPr>
              <w:pStyle w:val="26"/>
              <w:spacing w:beforeAutospacing="0" w:afterAutospacing="0"/>
              <w:jc w:val="center"/>
              <w:rPr>
                <w:sz w:val="21"/>
                <w:szCs w:val="21"/>
              </w:rPr>
            </w:pPr>
            <w:r>
              <w:rPr>
                <w:rStyle w:val="33"/>
                <w:color w:val="FFFFFF"/>
                <w:spacing w:val="8"/>
                <w:sz w:val="21"/>
              </w:rPr>
              <w:t>小型</w:t>
            </w:r>
          </w:p>
        </w:tc>
        <w:tc>
          <w:tcPr>
            <w:tcW w:w="990" w:type="dxa"/>
            <w:tcBorders>
              <w:top w:val="single" w:color="808080" w:sz="6" w:space="0"/>
              <w:left w:val="nil"/>
              <w:bottom w:val="single" w:color="FFFFFF" w:sz="18" w:space="0"/>
              <w:right w:val="single" w:color="808080" w:sz="6" w:space="0"/>
              <w:tl2br w:val="nil"/>
              <w:tr2bl w:val="nil"/>
            </w:tcBorders>
            <w:shd w:val="clear" w:color="auto" w:fill="4F81BD"/>
            <w:tcMar>
              <w:left w:w="105" w:type="dxa"/>
              <w:right w:w="105" w:type="dxa"/>
            </w:tcMar>
            <w:vAlign w:val="center"/>
          </w:tcPr>
          <w:p>
            <w:pPr>
              <w:pStyle w:val="26"/>
              <w:spacing w:beforeAutospacing="0" w:afterAutospacing="0"/>
              <w:jc w:val="center"/>
              <w:rPr>
                <w:sz w:val="21"/>
                <w:szCs w:val="21"/>
              </w:rPr>
            </w:pPr>
            <w:r>
              <w:rPr>
                <w:rStyle w:val="33"/>
                <w:color w:val="FFFFFF"/>
                <w:spacing w:val="8"/>
                <w:sz w:val="21"/>
              </w:rPr>
              <w:t>微型</w:t>
            </w:r>
          </w:p>
        </w:tc>
      </w:tr>
      <w:tr>
        <w:tblPrEx>
          <w:tblCellMar>
            <w:top w:w="0" w:type="dxa"/>
            <w:left w:w="0" w:type="dxa"/>
            <w:bottom w:w="0" w:type="dxa"/>
            <w:right w:w="0" w:type="dxa"/>
          </w:tblCellMar>
        </w:tblPrEx>
        <w:trPr>
          <w:trHeight w:val="390" w:hRule="atLeast"/>
          <w:jc w:val="center"/>
        </w:trPr>
        <w:tc>
          <w:tcPr>
            <w:tcW w:w="2115" w:type="dxa"/>
            <w:tcBorders>
              <w:top w:val="nil"/>
              <w:left w:val="single" w:color="808080" w:sz="6" w:space="0"/>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line="240" w:lineRule="atLeast"/>
              <w:jc w:val="both"/>
              <w:rPr>
                <w:sz w:val="21"/>
                <w:szCs w:val="21"/>
              </w:rPr>
            </w:pPr>
            <w:r>
              <w:rPr>
                <w:color w:val="000000"/>
                <w:spacing w:val="8"/>
                <w:sz w:val="21"/>
                <w:szCs w:val="21"/>
              </w:rPr>
              <w:t>农、林、牧、渔业</w:t>
            </w:r>
          </w:p>
        </w:tc>
        <w:tc>
          <w:tcPr>
            <w:tcW w:w="136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营业收入(Y)</w:t>
            </w:r>
          </w:p>
        </w:tc>
        <w:tc>
          <w:tcPr>
            <w:tcW w:w="70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万元</w:t>
            </w:r>
          </w:p>
        </w:tc>
        <w:tc>
          <w:tcPr>
            <w:tcW w:w="112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Y≥20000</w:t>
            </w:r>
          </w:p>
        </w:tc>
        <w:tc>
          <w:tcPr>
            <w:tcW w:w="169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 500≤Y＜20000</w:t>
            </w:r>
          </w:p>
        </w:tc>
        <w:tc>
          <w:tcPr>
            <w:tcW w:w="142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 50≤Y＜500</w:t>
            </w:r>
          </w:p>
        </w:tc>
        <w:tc>
          <w:tcPr>
            <w:tcW w:w="990"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Y＜50</w:t>
            </w:r>
          </w:p>
        </w:tc>
      </w:tr>
      <w:tr>
        <w:tblPrEx>
          <w:tblCellMar>
            <w:top w:w="0" w:type="dxa"/>
            <w:left w:w="0" w:type="dxa"/>
            <w:bottom w:w="0" w:type="dxa"/>
            <w:right w:w="0" w:type="dxa"/>
          </w:tblCellMar>
        </w:tblPrEx>
        <w:trPr>
          <w:trHeight w:val="390" w:hRule="atLeast"/>
          <w:jc w:val="center"/>
        </w:trPr>
        <w:tc>
          <w:tcPr>
            <w:tcW w:w="2115" w:type="dxa"/>
            <w:vMerge w:val="restart"/>
            <w:tcBorders>
              <w:top w:val="nil"/>
              <w:left w:val="single" w:color="808080" w:sz="6" w:space="0"/>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line="240" w:lineRule="atLeast"/>
              <w:jc w:val="both"/>
              <w:rPr>
                <w:sz w:val="21"/>
                <w:szCs w:val="21"/>
              </w:rPr>
            </w:pPr>
            <w:r>
              <w:rPr>
                <w:color w:val="000000"/>
                <w:spacing w:val="8"/>
                <w:sz w:val="21"/>
                <w:szCs w:val="21"/>
              </w:rPr>
              <w:t>工业 *</w:t>
            </w:r>
          </w:p>
        </w:tc>
        <w:tc>
          <w:tcPr>
            <w:tcW w:w="136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从业人员(X)</w:t>
            </w:r>
          </w:p>
        </w:tc>
        <w:tc>
          <w:tcPr>
            <w:tcW w:w="70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人</w:t>
            </w:r>
          </w:p>
        </w:tc>
        <w:tc>
          <w:tcPr>
            <w:tcW w:w="112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X≥1000</w:t>
            </w:r>
          </w:p>
        </w:tc>
        <w:tc>
          <w:tcPr>
            <w:tcW w:w="169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300≤X＜1000</w:t>
            </w:r>
          </w:p>
        </w:tc>
        <w:tc>
          <w:tcPr>
            <w:tcW w:w="142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 20≤X＜300</w:t>
            </w:r>
          </w:p>
        </w:tc>
        <w:tc>
          <w:tcPr>
            <w:tcW w:w="990"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X＜20</w:t>
            </w:r>
          </w:p>
        </w:tc>
      </w:tr>
      <w:tr>
        <w:tblPrEx>
          <w:tblCellMar>
            <w:top w:w="0" w:type="dxa"/>
            <w:left w:w="0" w:type="dxa"/>
            <w:bottom w:w="0" w:type="dxa"/>
            <w:right w:w="0" w:type="dxa"/>
          </w:tblCellMar>
        </w:tblPrEx>
        <w:trPr>
          <w:trHeight w:val="390" w:hRule="atLeast"/>
          <w:jc w:val="center"/>
        </w:trPr>
        <w:tc>
          <w:tcPr>
            <w:tcW w:w="2115" w:type="dxa"/>
            <w:vMerge w:val="continue"/>
            <w:tcBorders>
              <w:top w:val="nil"/>
              <w:left w:val="single" w:color="808080" w:sz="6" w:space="0"/>
              <w:bottom w:val="single" w:color="808080" w:sz="6" w:space="0"/>
              <w:right w:val="single" w:color="808080" w:sz="6" w:space="0"/>
              <w:tl2br w:val="nil"/>
              <w:tr2bl w:val="nil"/>
            </w:tcBorders>
            <w:shd w:val="clear" w:color="auto" w:fill="FFFFFF"/>
            <w:tcMar>
              <w:left w:w="105" w:type="dxa"/>
              <w:right w:w="105" w:type="dxa"/>
            </w:tcMar>
            <w:vAlign w:val="center"/>
          </w:tcPr>
          <w:p>
            <w:pPr>
              <w:rPr>
                <w:color w:val="333333"/>
                <w:spacing w:val="8"/>
                <w:szCs w:val="24"/>
              </w:rPr>
            </w:pPr>
          </w:p>
        </w:tc>
        <w:tc>
          <w:tcPr>
            <w:tcW w:w="136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line="240" w:lineRule="atLeast"/>
              <w:jc w:val="center"/>
              <w:rPr>
                <w:sz w:val="21"/>
                <w:szCs w:val="21"/>
              </w:rPr>
            </w:pPr>
            <w:r>
              <w:rPr>
                <w:color w:val="000000"/>
                <w:spacing w:val="8"/>
                <w:sz w:val="21"/>
                <w:szCs w:val="21"/>
              </w:rPr>
              <w:t>营业收入(Y)</w:t>
            </w:r>
          </w:p>
        </w:tc>
        <w:tc>
          <w:tcPr>
            <w:tcW w:w="70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万元</w:t>
            </w:r>
          </w:p>
        </w:tc>
        <w:tc>
          <w:tcPr>
            <w:tcW w:w="112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Y≥40000</w:t>
            </w:r>
          </w:p>
        </w:tc>
        <w:tc>
          <w:tcPr>
            <w:tcW w:w="169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2000≤Y＜40000</w:t>
            </w:r>
          </w:p>
        </w:tc>
        <w:tc>
          <w:tcPr>
            <w:tcW w:w="142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 300≤Y＜2000</w:t>
            </w:r>
          </w:p>
        </w:tc>
        <w:tc>
          <w:tcPr>
            <w:tcW w:w="990"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Y＜300</w:t>
            </w:r>
          </w:p>
        </w:tc>
      </w:tr>
      <w:tr>
        <w:tblPrEx>
          <w:tblCellMar>
            <w:top w:w="0" w:type="dxa"/>
            <w:left w:w="0" w:type="dxa"/>
            <w:bottom w:w="0" w:type="dxa"/>
            <w:right w:w="0" w:type="dxa"/>
          </w:tblCellMar>
        </w:tblPrEx>
        <w:trPr>
          <w:trHeight w:val="390" w:hRule="atLeast"/>
          <w:jc w:val="center"/>
        </w:trPr>
        <w:tc>
          <w:tcPr>
            <w:tcW w:w="2115" w:type="dxa"/>
            <w:vMerge w:val="restart"/>
            <w:tcBorders>
              <w:top w:val="nil"/>
              <w:left w:val="single" w:color="808080" w:sz="6" w:space="0"/>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line="240" w:lineRule="atLeast"/>
              <w:jc w:val="both"/>
              <w:rPr>
                <w:sz w:val="21"/>
                <w:szCs w:val="21"/>
              </w:rPr>
            </w:pPr>
            <w:r>
              <w:rPr>
                <w:color w:val="000000"/>
                <w:spacing w:val="8"/>
                <w:sz w:val="21"/>
                <w:szCs w:val="21"/>
              </w:rPr>
              <w:t>建筑业</w:t>
            </w:r>
          </w:p>
        </w:tc>
        <w:tc>
          <w:tcPr>
            <w:tcW w:w="136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营业收入(Y)</w:t>
            </w:r>
          </w:p>
        </w:tc>
        <w:tc>
          <w:tcPr>
            <w:tcW w:w="70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万元</w:t>
            </w:r>
          </w:p>
        </w:tc>
        <w:tc>
          <w:tcPr>
            <w:tcW w:w="112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Y≥80000</w:t>
            </w:r>
          </w:p>
        </w:tc>
        <w:tc>
          <w:tcPr>
            <w:tcW w:w="169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6000≤Y＜80000</w:t>
            </w:r>
          </w:p>
        </w:tc>
        <w:tc>
          <w:tcPr>
            <w:tcW w:w="142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 300≤Y＜6000</w:t>
            </w:r>
          </w:p>
        </w:tc>
        <w:tc>
          <w:tcPr>
            <w:tcW w:w="990"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Y＜300</w:t>
            </w:r>
          </w:p>
        </w:tc>
      </w:tr>
      <w:tr>
        <w:tblPrEx>
          <w:tblCellMar>
            <w:top w:w="0" w:type="dxa"/>
            <w:left w:w="0" w:type="dxa"/>
            <w:bottom w:w="0" w:type="dxa"/>
            <w:right w:w="0" w:type="dxa"/>
          </w:tblCellMar>
        </w:tblPrEx>
        <w:trPr>
          <w:trHeight w:val="390" w:hRule="atLeast"/>
          <w:jc w:val="center"/>
        </w:trPr>
        <w:tc>
          <w:tcPr>
            <w:tcW w:w="2115" w:type="dxa"/>
            <w:vMerge w:val="continue"/>
            <w:tcBorders>
              <w:top w:val="nil"/>
              <w:left w:val="single" w:color="808080" w:sz="6" w:space="0"/>
              <w:bottom w:val="single" w:color="808080" w:sz="6" w:space="0"/>
              <w:right w:val="single" w:color="808080" w:sz="6" w:space="0"/>
              <w:tl2br w:val="nil"/>
              <w:tr2bl w:val="nil"/>
            </w:tcBorders>
            <w:shd w:val="clear" w:color="auto" w:fill="FFFFFF"/>
            <w:tcMar>
              <w:left w:w="105" w:type="dxa"/>
              <w:right w:w="105" w:type="dxa"/>
            </w:tcMar>
            <w:vAlign w:val="center"/>
          </w:tcPr>
          <w:p>
            <w:pPr>
              <w:rPr>
                <w:color w:val="333333"/>
                <w:spacing w:val="8"/>
                <w:szCs w:val="24"/>
              </w:rPr>
            </w:pPr>
          </w:p>
        </w:tc>
        <w:tc>
          <w:tcPr>
            <w:tcW w:w="136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line="240" w:lineRule="atLeast"/>
              <w:jc w:val="center"/>
              <w:rPr>
                <w:sz w:val="21"/>
                <w:szCs w:val="21"/>
              </w:rPr>
            </w:pPr>
            <w:r>
              <w:rPr>
                <w:color w:val="000000"/>
                <w:spacing w:val="8"/>
                <w:sz w:val="21"/>
                <w:szCs w:val="21"/>
              </w:rPr>
              <w:t>资产总额(Z)</w:t>
            </w:r>
          </w:p>
        </w:tc>
        <w:tc>
          <w:tcPr>
            <w:tcW w:w="70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万元</w:t>
            </w:r>
          </w:p>
        </w:tc>
        <w:tc>
          <w:tcPr>
            <w:tcW w:w="112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Z≥80000</w:t>
            </w:r>
          </w:p>
        </w:tc>
        <w:tc>
          <w:tcPr>
            <w:tcW w:w="169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5000≤Z＜80000</w:t>
            </w:r>
          </w:p>
        </w:tc>
        <w:tc>
          <w:tcPr>
            <w:tcW w:w="142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 300≤Z＜5000</w:t>
            </w:r>
          </w:p>
        </w:tc>
        <w:tc>
          <w:tcPr>
            <w:tcW w:w="990"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Z＜300</w:t>
            </w:r>
          </w:p>
        </w:tc>
      </w:tr>
      <w:tr>
        <w:tblPrEx>
          <w:tblCellMar>
            <w:top w:w="0" w:type="dxa"/>
            <w:left w:w="0" w:type="dxa"/>
            <w:bottom w:w="0" w:type="dxa"/>
            <w:right w:w="0" w:type="dxa"/>
          </w:tblCellMar>
        </w:tblPrEx>
        <w:trPr>
          <w:trHeight w:val="390" w:hRule="atLeast"/>
          <w:jc w:val="center"/>
        </w:trPr>
        <w:tc>
          <w:tcPr>
            <w:tcW w:w="2115" w:type="dxa"/>
            <w:vMerge w:val="restart"/>
            <w:tcBorders>
              <w:top w:val="nil"/>
              <w:left w:val="single" w:color="808080" w:sz="6" w:space="0"/>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line="240" w:lineRule="atLeast"/>
              <w:jc w:val="both"/>
              <w:rPr>
                <w:sz w:val="21"/>
                <w:szCs w:val="21"/>
              </w:rPr>
            </w:pPr>
            <w:r>
              <w:rPr>
                <w:color w:val="000000"/>
                <w:spacing w:val="8"/>
                <w:sz w:val="21"/>
                <w:szCs w:val="21"/>
              </w:rPr>
              <w:t>批发业</w:t>
            </w:r>
          </w:p>
        </w:tc>
        <w:tc>
          <w:tcPr>
            <w:tcW w:w="136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从业人员(X)</w:t>
            </w:r>
          </w:p>
        </w:tc>
        <w:tc>
          <w:tcPr>
            <w:tcW w:w="70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人</w:t>
            </w:r>
          </w:p>
        </w:tc>
        <w:tc>
          <w:tcPr>
            <w:tcW w:w="112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X≥200</w:t>
            </w:r>
          </w:p>
        </w:tc>
        <w:tc>
          <w:tcPr>
            <w:tcW w:w="169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20≤X＜200</w:t>
            </w:r>
          </w:p>
        </w:tc>
        <w:tc>
          <w:tcPr>
            <w:tcW w:w="142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 5≤X＜20</w:t>
            </w:r>
          </w:p>
        </w:tc>
        <w:tc>
          <w:tcPr>
            <w:tcW w:w="990"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X＜5</w:t>
            </w:r>
          </w:p>
        </w:tc>
      </w:tr>
      <w:tr>
        <w:tblPrEx>
          <w:tblCellMar>
            <w:top w:w="0" w:type="dxa"/>
            <w:left w:w="0" w:type="dxa"/>
            <w:bottom w:w="0" w:type="dxa"/>
            <w:right w:w="0" w:type="dxa"/>
          </w:tblCellMar>
        </w:tblPrEx>
        <w:trPr>
          <w:trHeight w:val="390" w:hRule="atLeast"/>
          <w:jc w:val="center"/>
        </w:trPr>
        <w:tc>
          <w:tcPr>
            <w:tcW w:w="2115" w:type="dxa"/>
            <w:vMerge w:val="continue"/>
            <w:tcBorders>
              <w:top w:val="nil"/>
              <w:left w:val="single" w:color="808080" w:sz="6" w:space="0"/>
              <w:bottom w:val="single" w:color="808080" w:sz="6" w:space="0"/>
              <w:right w:val="single" w:color="808080" w:sz="6" w:space="0"/>
              <w:tl2br w:val="nil"/>
              <w:tr2bl w:val="nil"/>
            </w:tcBorders>
            <w:shd w:val="clear" w:color="auto" w:fill="FFFFFF"/>
            <w:tcMar>
              <w:left w:w="105" w:type="dxa"/>
              <w:right w:w="105" w:type="dxa"/>
            </w:tcMar>
            <w:vAlign w:val="center"/>
          </w:tcPr>
          <w:p>
            <w:pPr>
              <w:rPr>
                <w:color w:val="333333"/>
                <w:spacing w:val="8"/>
                <w:szCs w:val="24"/>
              </w:rPr>
            </w:pPr>
          </w:p>
        </w:tc>
        <w:tc>
          <w:tcPr>
            <w:tcW w:w="136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line="240" w:lineRule="atLeast"/>
              <w:jc w:val="center"/>
              <w:rPr>
                <w:sz w:val="21"/>
                <w:szCs w:val="21"/>
              </w:rPr>
            </w:pPr>
            <w:r>
              <w:rPr>
                <w:color w:val="000000"/>
                <w:spacing w:val="8"/>
                <w:sz w:val="21"/>
                <w:szCs w:val="21"/>
              </w:rPr>
              <w:t>营业收入(Y)</w:t>
            </w:r>
          </w:p>
        </w:tc>
        <w:tc>
          <w:tcPr>
            <w:tcW w:w="70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万元</w:t>
            </w:r>
          </w:p>
        </w:tc>
        <w:tc>
          <w:tcPr>
            <w:tcW w:w="112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Y≥40000</w:t>
            </w:r>
          </w:p>
        </w:tc>
        <w:tc>
          <w:tcPr>
            <w:tcW w:w="169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5000≤Y＜40000</w:t>
            </w:r>
          </w:p>
        </w:tc>
        <w:tc>
          <w:tcPr>
            <w:tcW w:w="142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1000≤Y＜5000</w:t>
            </w:r>
          </w:p>
        </w:tc>
        <w:tc>
          <w:tcPr>
            <w:tcW w:w="990"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Y＜1000</w:t>
            </w:r>
          </w:p>
        </w:tc>
      </w:tr>
      <w:tr>
        <w:tblPrEx>
          <w:tblCellMar>
            <w:top w:w="0" w:type="dxa"/>
            <w:left w:w="0" w:type="dxa"/>
            <w:bottom w:w="0" w:type="dxa"/>
            <w:right w:w="0" w:type="dxa"/>
          </w:tblCellMar>
        </w:tblPrEx>
        <w:trPr>
          <w:trHeight w:val="390" w:hRule="atLeast"/>
          <w:jc w:val="center"/>
        </w:trPr>
        <w:tc>
          <w:tcPr>
            <w:tcW w:w="2115" w:type="dxa"/>
            <w:vMerge w:val="restart"/>
            <w:tcBorders>
              <w:top w:val="nil"/>
              <w:left w:val="single" w:color="808080" w:sz="6" w:space="0"/>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line="240" w:lineRule="atLeast"/>
              <w:jc w:val="both"/>
              <w:rPr>
                <w:sz w:val="21"/>
                <w:szCs w:val="21"/>
              </w:rPr>
            </w:pPr>
            <w:r>
              <w:rPr>
                <w:color w:val="000000"/>
                <w:spacing w:val="8"/>
                <w:sz w:val="21"/>
                <w:szCs w:val="21"/>
              </w:rPr>
              <w:t>零售业</w:t>
            </w:r>
          </w:p>
        </w:tc>
        <w:tc>
          <w:tcPr>
            <w:tcW w:w="136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从业人员(X)</w:t>
            </w:r>
          </w:p>
        </w:tc>
        <w:tc>
          <w:tcPr>
            <w:tcW w:w="70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人</w:t>
            </w:r>
          </w:p>
        </w:tc>
        <w:tc>
          <w:tcPr>
            <w:tcW w:w="112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X≥300</w:t>
            </w:r>
          </w:p>
        </w:tc>
        <w:tc>
          <w:tcPr>
            <w:tcW w:w="169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50≤X＜300</w:t>
            </w:r>
          </w:p>
        </w:tc>
        <w:tc>
          <w:tcPr>
            <w:tcW w:w="142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10≤X＜50</w:t>
            </w:r>
          </w:p>
        </w:tc>
        <w:tc>
          <w:tcPr>
            <w:tcW w:w="990"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X＜10</w:t>
            </w:r>
          </w:p>
        </w:tc>
      </w:tr>
      <w:tr>
        <w:tblPrEx>
          <w:tblCellMar>
            <w:top w:w="0" w:type="dxa"/>
            <w:left w:w="0" w:type="dxa"/>
            <w:bottom w:w="0" w:type="dxa"/>
            <w:right w:w="0" w:type="dxa"/>
          </w:tblCellMar>
        </w:tblPrEx>
        <w:trPr>
          <w:trHeight w:val="390" w:hRule="atLeast"/>
          <w:jc w:val="center"/>
        </w:trPr>
        <w:tc>
          <w:tcPr>
            <w:tcW w:w="2115" w:type="dxa"/>
            <w:vMerge w:val="continue"/>
            <w:tcBorders>
              <w:top w:val="nil"/>
              <w:left w:val="single" w:color="808080" w:sz="6" w:space="0"/>
              <w:bottom w:val="single" w:color="808080" w:sz="6" w:space="0"/>
              <w:right w:val="single" w:color="808080" w:sz="6" w:space="0"/>
              <w:tl2br w:val="nil"/>
              <w:tr2bl w:val="nil"/>
            </w:tcBorders>
            <w:shd w:val="clear" w:color="auto" w:fill="FFFFFF"/>
            <w:tcMar>
              <w:left w:w="105" w:type="dxa"/>
              <w:right w:w="105" w:type="dxa"/>
            </w:tcMar>
            <w:vAlign w:val="center"/>
          </w:tcPr>
          <w:p>
            <w:pPr>
              <w:rPr>
                <w:color w:val="333333"/>
                <w:spacing w:val="8"/>
                <w:szCs w:val="24"/>
              </w:rPr>
            </w:pPr>
          </w:p>
        </w:tc>
        <w:tc>
          <w:tcPr>
            <w:tcW w:w="136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line="240" w:lineRule="atLeast"/>
              <w:jc w:val="center"/>
              <w:rPr>
                <w:sz w:val="21"/>
                <w:szCs w:val="21"/>
              </w:rPr>
            </w:pPr>
            <w:r>
              <w:rPr>
                <w:color w:val="000000"/>
                <w:spacing w:val="8"/>
                <w:sz w:val="21"/>
                <w:szCs w:val="21"/>
              </w:rPr>
              <w:t>营业收入(Y)</w:t>
            </w:r>
          </w:p>
        </w:tc>
        <w:tc>
          <w:tcPr>
            <w:tcW w:w="70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万元</w:t>
            </w:r>
          </w:p>
        </w:tc>
        <w:tc>
          <w:tcPr>
            <w:tcW w:w="112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Y≥20000</w:t>
            </w:r>
          </w:p>
        </w:tc>
        <w:tc>
          <w:tcPr>
            <w:tcW w:w="169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 500≤Y＜20000</w:t>
            </w:r>
          </w:p>
        </w:tc>
        <w:tc>
          <w:tcPr>
            <w:tcW w:w="142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100≤Y＜500</w:t>
            </w:r>
          </w:p>
        </w:tc>
        <w:tc>
          <w:tcPr>
            <w:tcW w:w="990"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Y＜100</w:t>
            </w:r>
          </w:p>
        </w:tc>
      </w:tr>
      <w:tr>
        <w:tblPrEx>
          <w:tblCellMar>
            <w:top w:w="0" w:type="dxa"/>
            <w:left w:w="0" w:type="dxa"/>
            <w:bottom w:w="0" w:type="dxa"/>
            <w:right w:w="0" w:type="dxa"/>
          </w:tblCellMar>
        </w:tblPrEx>
        <w:trPr>
          <w:trHeight w:val="390" w:hRule="atLeast"/>
          <w:jc w:val="center"/>
        </w:trPr>
        <w:tc>
          <w:tcPr>
            <w:tcW w:w="2115" w:type="dxa"/>
            <w:vMerge w:val="restart"/>
            <w:tcBorders>
              <w:top w:val="nil"/>
              <w:left w:val="single" w:color="808080" w:sz="6" w:space="0"/>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line="240" w:lineRule="atLeast"/>
              <w:jc w:val="both"/>
              <w:rPr>
                <w:sz w:val="21"/>
                <w:szCs w:val="21"/>
              </w:rPr>
            </w:pPr>
            <w:r>
              <w:rPr>
                <w:color w:val="000000"/>
                <w:spacing w:val="8"/>
                <w:sz w:val="21"/>
                <w:szCs w:val="21"/>
              </w:rPr>
              <w:t>交通运输业 *</w:t>
            </w:r>
          </w:p>
        </w:tc>
        <w:tc>
          <w:tcPr>
            <w:tcW w:w="136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从业人员(X)</w:t>
            </w:r>
          </w:p>
        </w:tc>
        <w:tc>
          <w:tcPr>
            <w:tcW w:w="70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人</w:t>
            </w:r>
          </w:p>
        </w:tc>
        <w:tc>
          <w:tcPr>
            <w:tcW w:w="112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X≥1000</w:t>
            </w:r>
          </w:p>
        </w:tc>
        <w:tc>
          <w:tcPr>
            <w:tcW w:w="169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300≤X＜1000</w:t>
            </w:r>
          </w:p>
        </w:tc>
        <w:tc>
          <w:tcPr>
            <w:tcW w:w="142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 20≤X＜300</w:t>
            </w:r>
          </w:p>
        </w:tc>
        <w:tc>
          <w:tcPr>
            <w:tcW w:w="990"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X＜20</w:t>
            </w:r>
          </w:p>
        </w:tc>
      </w:tr>
      <w:tr>
        <w:tblPrEx>
          <w:tblCellMar>
            <w:top w:w="0" w:type="dxa"/>
            <w:left w:w="0" w:type="dxa"/>
            <w:bottom w:w="0" w:type="dxa"/>
            <w:right w:w="0" w:type="dxa"/>
          </w:tblCellMar>
        </w:tblPrEx>
        <w:trPr>
          <w:trHeight w:val="390" w:hRule="atLeast"/>
          <w:jc w:val="center"/>
        </w:trPr>
        <w:tc>
          <w:tcPr>
            <w:tcW w:w="2115" w:type="dxa"/>
            <w:vMerge w:val="continue"/>
            <w:tcBorders>
              <w:top w:val="nil"/>
              <w:left w:val="single" w:color="808080" w:sz="6" w:space="0"/>
              <w:bottom w:val="single" w:color="808080" w:sz="6" w:space="0"/>
              <w:right w:val="single" w:color="808080" w:sz="6" w:space="0"/>
              <w:tl2br w:val="nil"/>
              <w:tr2bl w:val="nil"/>
            </w:tcBorders>
            <w:shd w:val="clear" w:color="auto" w:fill="FFFFFF"/>
            <w:tcMar>
              <w:left w:w="105" w:type="dxa"/>
              <w:right w:w="105" w:type="dxa"/>
            </w:tcMar>
            <w:vAlign w:val="center"/>
          </w:tcPr>
          <w:p>
            <w:pPr>
              <w:rPr>
                <w:color w:val="333333"/>
                <w:spacing w:val="8"/>
                <w:szCs w:val="24"/>
              </w:rPr>
            </w:pPr>
          </w:p>
        </w:tc>
        <w:tc>
          <w:tcPr>
            <w:tcW w:w="136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line="240" w:lineRule="atLeast"/>
              <w:jc w:val="center"/>
              <w:rPr>
                <w:sz w:val="21"/>
                <w:szCs w:val="21"/>
              </w:rPr>
            </w:pPr>
            <w:r>
              <w:rPr>
                <w:color w:val="000000"/>
                <w:spacing w:val="8"/>
                <w:sz w:val="21"/>
                <w:szCs w:val="21"/>
              </w:rPr>
              <w:t>营业收入(Y)</w:t>
            </w:r>
          </w:p>
        </w:tc>
        <w:tc>
          <w:tcPr>
            <w:tcW w:w="70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万元</w:t>
            </w:r>
          </w:p>
        </w:tc>
        <w:tc>
          <w:tcPr>
            <w:tcW w:w="112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Y≥30000</w:t>
            </w:r>
          </w:p>
        </w:tc>
        <w:tc>
          <w:tcPr>
            <w:tcW w:w="169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3000≤Y＜30000</w:t>
            </w:r>
          </w:p>
        </w:tc>
        <w:tc>
          <w:tcPr>
            <w:tcW w:w="142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 200≤Y＜3000</w:t>
            </w:r>
          </w:p>
        </w:tc>
        <w:tc>
          <w:tcPr>
            <w:tcW w:w="990"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Y＜200</w:t>
            </w:r>
          </w:p>
        </w:tc>
      </w:tr>
      <w:tr>
        <w:tblPrEx>
          <w:tblCellMar>
            <w:top w:w="0" w:type="dxa"/>
            <w:left w:w="0" w:type="dxa"/>
            <w:bottom w:w="0" w:type="dxa"/>
            <w:right w:w="0" w:type="dxa"/>
          </w:tblCellMar>
        </w:tblPrEx>
        <w:trPr>
          <w:trHeight w:val="390" w:hRule="atLeast"/>
          <w:jc w:val="center"/>
        </w:trPr>
        <w:tc>
          <w:tcPr>
            <w:tcW w:w="2115" w:type="dxa"/>
            <w:vMerge w:val="restart"/>
            <w:tcBorders>
              <w:top w:val="nil"/>
              <w:left w:val="single" w:color="808080" w:sz="6" w:space="0"/>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line="240" w:lineRule="atLeast"/>
              <w:jc w:val="both"/>
              <w:rPr>
                <w:sz w:val="21"/>
                <w:szCs w:val="21"/>
              </w:rPr>
            </w:pPr>
            <w:r>
              <w:rPr>
                <w:color w:val="000000"/>
                <w:spacing w:val="8"/>
                <w:sz w:val="21"/>
                <w:szCs w:val="21"/>
              </w:rPr>
              <w:t>仓储业*</w:t>
            </w:r>
          </w:p>
        </w:tc>
        <w:tc>
          <w:tcPr>
            <w:tcW w:w="136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从业人员(X)</w:t>
            </w:r>
          </w:p>
        </w:tc>
        <w:tc>
          <w:tcPr>
            <w:tcW w:w="70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人</w:t>
            </w:r>
          </w:p>
        </w:tc>
        <w:tc>
          <w:tcPr>
            <w:tcW w:w="112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X≥200</w:t>
            </w:r>
          </w:p>
        </w:tc>
        <w:tc>
          <w:tcPr>
            <w:tcW w:w="169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100≤X＜200</w:t>
            </w:r>
          </w:p>
        </w:tc>
        <w:tc>
          <w:tcPr>
            <w:tcW w:w="142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 20≤X＜100</w:t>
            </w:r>
          </w:p>
        </w:tc>
        <w:tc>
          <w:tcPr>
            <w:tcW w:w="990"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X＜20</w:t>
            </w:r>
          </w:p>
        </w:tc>
      </w:tr>
      <w:tr>
        <w:tblPrEx>
          <w:tblCellMar>
            <w:top w:w="0" w:type="dxa"/>
            <w:left w:w="0" w:type="dxa"/>
            <w:bottom w:w="0" w:type="dxa"/>
            <w:right w:w="0" w:type="dxa"/>
          </w:tblCellMar>
        </w:tblPrEx>
        <w:trPr>
          <w:trHeight w:val="390" w:hRule="atLeast"/>
          <w:jc w:val="center"/>
        </w:trPr>
        <w:tc>
          <w:tcPr>
            <w:tcW w:w="2115" w:type="dxa"/>
            <w:vMerge w:val="continue"/>
            <w:tcBorders>
              <w:top w:val="nil"/>
              <w:left w:val="single" w:color="808080" w:sz="6" w:space="0"/>
              <w:bottom w:val="single" w:color="808080" w:sz="6" w:space="0"/>
              <w:right w:val="single" w:color="808080" w:sz="6" w:space="0"/>
              <w:tl2br w:val="nil"/>
              <w:tr2bl w:val="nil"/>
            </w:tcBorders>
            <w:shd w:val="clear" w:color="auto" w:fill="FFFFFF"/>
            <w:tcMar>
              <w:left w:w="105" w:type="dxa"/>
              <w:right w:w="105" w:type="dxa"/>
            </w:tcMar>
            <w:vAlign w:val="center"/>
          </w:tcPr>
          <w:p>
            <w:pPr>
              <w:rPr>
                <w:color w:val="333333"/>
                <w:spacing w:val="8"/>
                <w:szCs w:val="24"/>
              </w:rPr>
            </w:pPr>
          </w:p>
        </w:tc>
        <w:tc>
          <w:tcPr>
            <w:tcW w:w="136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line="240" w:lineRule="atLeast"/>
              <w:jc w:val="center"/>
              <w:rPr>
                <w:sz w:val="21"/>
                <w:szCs w:val="21"/>
              </w:rPr>
            </w:pPr>
            <w:r>
              <w:rPr>
                <w:color w:val="000000"/>
                <w:spacing w:val="8"/>
                <w:sz w:val="21"/>
                <w:szCs w:val="21"/>
              </w:rPr>
              <w:t>营业收入(Y)</w:t>
            </w:r>
          </w:p>
        </w:tc>
        <w:tc>
          <w:tcPr>
            <w:tcW w:w="70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万元</w:t>
            </w:r>
          </w:p>
        </w:tc>
        <w:tc>
          <w:tcPr>
            <w:tcW w:w="112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Y≥30000</w:t>
            </w:r>
          </w:p>
        </w:tc>
        <w:tc>
          <w:tcPr>
            <w:tcW w:w="169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1000≤Y＜30000</w:t>
            </w:r>
          </w:p>
        </w:tc>
        <w:tc>
          <w:tcPr>
            <w:tcW w:w="142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 100≤Y＜1000</w:t>
            </w:r>
          </w:p>
        </w:tc>
        <w:tc>
          <w:tcPr>
            <w:tcW w:w="990"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Y＜100</w:t>
            </w:r>
          </w:p>
        </w:tc>
      </w:tr>
      <w:tr>
        <w:tblPrEx>
          <w:tblCellMar>
            <w:top w:w="0" w:type="dxa"/>
            <w:left w:w="0" w:type="dxa"/>
            <w:bottom w:w="0" w:type="dxa"/>
            <w:right w:w="0" w:type="dxa"/>
          </w:tblCellMar>
        </w:tblPrEx>
        <w:trPr>
          <w:trHeight w:val="390" w:hRule="atLeast"/>
          <w:jc w:val="center"/>
        </w:trPr>
        <w:tc>
          <w:tcPr>
            <w:tcW w:w="2115" w:type="dxa"/>
            <w:vMerge w:val="restart"/>
            <w:tcBorders>
              <w:top w:val="nil"/>
              <w:left w:val="single" w:color="808080" w:sz="6" w:space="0"/>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line="240" w:lineRule="atLeast"/>
              <w:jc w:val="both"/>
              <w:rPr>
                <w:sz w:val="21"/>
                <w:szCs w:val="21"/>
              </w:rPr>
            </w:pPr>
            <w:r>
              <w:rPr>
                <w:color w:val="000000"/>
                <w:spacing w:val="8"/>
                <w:sz w:val="21"/>
                <w:szCs w:val="21"/>
              </w:rPr>
              <w:t>邮政业</w:t>
            </w:r>
          </w:p>
        </w:tc>
        <w:tc>
          <w:tcPr>
            <w:tcW w:w="136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从业人员(X)</w:t>
            </w:r>
          </w:p>
        </w:tc>
        <w:tc>
          <w:tcPr>
            <w:tcW w:w="70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人</w:t>
            </w:r>
          </w:p>
        </w:tc>
        <w:tc>
          <w:tcPr>
            <w:tcW w:w="112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X≥1000</w:t>
            </w:r>
          </w:p>
        </w:tc>
        <w:tc>
          <w:tcPr>
            <w:tcW w:w="169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300≤X＜1000</w:t>
            </w:r>
          </w:p>
        </w:tc>
        <w:tc>
          <w:tcPr>
            <w:tcW w:w="142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 20≤X＜300</w:t>
            </w:r>
          </w:p>
        </w:tc>
        <w:tc>
          <w:tcPr>
            <w:tcW w:w="990"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X＜20</w:t>
            </w:r>
          </w:p>
        </w:tc>
      </w:tr>
      <w:tr>
        <w:tblPrEx>
          <w:tblCellMar>
            <w:top w:w="0" w:type="dxa"/>
            <w:left w:w="0" w:type="dxa"/>
            <w:bottom w:w="0" w:type="dxa"/>
            <w:right w:w="0" w:type="dxa"/>
          </w:tblCellMar>
        </w:tblPrEx>
        <w:trPr>
          <w:trHeight w:val="390" w:hRule="atLeast"/>
          <w:jc w:val="center"/>
        </w:trPr>
        <w:tc>
          <w:tcPr>
            <w:tcW w:w="2115" w:type="dxa"/>
            <w:vMerge w:val="continue"/>
            <w:tcBorders>
              <w:top w:val="nil"/>
              <w:left w:val="single" w:color="808080" w:sz="6" w:space="0"/>
              <w:bottom w:val="single" w:color="808080" w:sz="6" w:space="0"/>
              <w:right w:val="single" w:color="808080" w:sz="6" w:space="0"/>
              <w:tl2br w:val="nil"/>
              <w:tr2bl w:val="nil"/>
            </w:tcBorders>
            <w:shd w:val="clear" w:color="auto" w:fill="FFFFFF"/>
            <w:tcMar>
              <w:left w:w="105" w:type="dxa"/>
              <w:right w:w="105" w:type="dxa"/>
            </w:tcMar>
            <w:vAlign w:val="center"/>
          </w:tcPr>
          <w:p>
            <w:pPr>
              <w:rPr>
                <w:color w:val="333333"/>
                <w:spacing w:val="8"/>
                <w:szCs w:val="24"/>
              </w:rPr>
            </w:pPr>
          </w:p>
        </w:tc>
        <w:tc>
          <w:tcPr>
            <w:tcW w:w="136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line="240" w:lineRule="atLeast"/>
              <w:jc w:val="center"/>
              <w:rPr>
                <w:sz w:val="21"/>
                <w:szCs w:val="21"/>
              </w:rPr>
            </w:pPr>
            <w:r>
              <w:rPr>
                <w:color w:val="000000"/>
                <w:spacing w:val="8"/>
                <w:sz w:val="21"/>
                <w:szCs w:val="21"/>
              </w:rPr>
              <w:t>营业收入(Y)</w:t>
            </w:r>
          </w:p>
        </w:tc>
        <w:tc>
          <w:tcPr>
            <w:tcW w:w="70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万元</w:t>
            </w:r>
          </w:p>
        </w:tc>
        <w:tc>
          <w:tcPr>
            <w:tcW w:w="112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Y≥30000</w:t>
            </w:r>
          </w:p>
        </w:tc>
        <w:tc>
          <w:tcPr>
            <w:tcW w:w="169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2000≤Y＜30000</w:t>
            </w:r>
          </w:p>
        </w:tc>
        <w:tc>
          <w:tcPr>
            <w:tcW w:w="142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 100≤Y＜2000</w:t>
            </w:r>
          </w:p>
        </w:tc>
        <w:tc>
          <w:tcPr>
            <w:tcW w:w="990"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Y＜100</w:t>
            </w:r>
          </w:p>
        </w:tc>
      </w:tr>
      <w:tr>
        <w:tblPrEx>
          <w:tblCellMar>
            <w:top w:w="0" w:type="dxa"/>
            <w:left w:w="0" w:type="dxa"/>
            <w:bottom w:w="0" w:type="dxa"/>
            <w:right w:w="0" w:type="dxa"/>
          </w:tblCellMar>
        </w:tblPrEx>
        <w:trPr>
          <w:trHeight w:val="390" w:hRule="atLeast"/>
          <w:jc w:val="center"/>
        </w:trPr>
        <w:tc>
          <w:tcPr>
            <w:tcW w:w="2115" w:type="dxa"/>
            <w:vMerge w:val="restart"/>
            <w:tcBorders>
              <w:top w:val="nil"/>
              <w:left w:val="single" w:color="808080" w:sz="6" w:space="0"/>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line="240" w:lineRule="atLeast"/>
              <w:jc w:val="both"/>
              <w:rPr>
                <w:sz w:val="21"/>
                <w:szCs w:val="21"/>
              </w:rPr>
            </w:pPr>
            <w:r>
              <w:rPr>
                <w:color w:val="000000"/>
                <w:spacing w:val="8"/>
                <w:sz w:val="21"/>
                <w:szCs w:val="21"/>
              </w:rPr>
              <w:t>住宿业</w:t>
            </w:r>
          </w:p>
        </w:tc>
        <w:tc>
          <w:tcPr>
            <w:tcW w:w="136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从业人员(X)</w:t>
            </w:r>
          </w:p>
        </w:tc>
        <w:tc>
          <w:tcPr>
            <w:tcW w:w="70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人</w:t>
            </w:r>
          </w:p>
        </w:tc>
        <w:tc>
          <w:tcPr>
            <w:tcW w:w="112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X≥300</w:t>
            </w:r>
          </w:p>
        </w:tc>
        <w:tc>
          <w:tcPr>
            <w:tcW w:w="169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100≤X＜300</w:t>
            </w:r>
          </w:p>
        </w:tc>
        <w:tc>
          <w:tcPr>
            <w:tcW w:w="142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 10≤X＜100</w:t>
            </w:r>
          </w:p>
        </w:tc>
        <w:tc>
          <w:tcPr>
            <w:tcW w:w="990"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X＜10</w:t>
            </w:r>
          </w:p>
        </w:tc>
      </w:tr>
      <w:tr>
        <w:tblPrEx>
          <w:tblCellMar>
            <w:top w:w="0" w:type="dxa"/>
            <w:left w:w="0" w:type="dxa"/>
            <w:bottom w:w="0" w:type="dxa"/>
            <w:right w:w="0" w:type="dxa"/>
          </w:tblCellMar>
        </w:tblPrEx>
        <w:trPr>
          <w:trHeight w:val="390" w:hRule="atLeast"/>
          <w:jc w:val="center"/>
        </w:trPr>
        <w:tc>
          <w:tcPr>
            <w:tcW w:w="2115" w:type="dxa"/>
            <w:vMerge w:val="continue"/>
            <w:tcBorders>
              <w:top w:val="nil"/>
              <w:left w:val="single" w:color="808080" w:sz="6" w:space="0"/>
              <w:bottom w:val="single" w:color="808080" w:sz="6" w:space="0"/>
              <w:right w:val="single" w:color="808080" w:sz="6" w:space="0"/>
              <w:tl2br w:val="nil"/>
              <w:tr2bl w:val="nil"/>
            </w:tcBorders>
            <w:shd w:val="clear" w:color="auto" w:fill="FFFFFF"/>
            <w:tcMar>
              <w:left w:w="105" w:type="dxa"/>
              <w:right w:w="105" w:type="dxa"/>
            </w:tcMar>
            <w:vAlign w:val="center"/>
          </w:tcPr>
          <w:p>
            <w:pPr>
              <w:rPr>
                <w:color w:val="333333"/>
                <w:spacing w:val="8"/>
                <w:szCs w:val="24"/>
              </w:rPr>
            </w:pPr>
          </w:p>
        </w:tc>
        <w:tc>
          <w:tcPr>
            <w:tcW w:w="136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line="240" w:lineRule="atLeast"/>
              <w:jc w:val="center"/>
              <w:rPr>
                <w:sz w:val="21"/>
                <w:szCs w:val="21"/>
              </w:rPr>
            </w:pPr>
            <w:r>
              <w:rPr>
                <w:color w:val="000000"/>
                <w:spacing w:val="8"/>
                <w:sz w:val="21"/>
                <w:szCs w:val="21"/>
              </w:rPr>
              <w:t>营业收入(Y)</w:t>
            </w:r>
          </w:p>
        </w:tc>
        <w:tc>
          <w:tcPr>
            <w:tcW w:w="70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万元</w:t>
            </w:r>
          </w:p>
        </w:tc>
        <w:tc>
          <w:tcPr>
            <w:tcW w:w="112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Y≥10000</w:t>
            </w:r>
          </w:p>
        </w:tc>
        <w:tc>
          <w:tcPr>
            <w:tcW w:w="169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2000≤Y＜10000</w:t>
            </w:r>
          </w:p>
        </w:tc>
        <w:tc>
          <w:tcPr>
            <w:tcW w:w="142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 100≤Y＜2000</w:t>
            </w:r>
          </w:p>
        </w:tc>
        <w:tc>
          <w:tcPr>
            <w:tcW w:w="990"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Y＜100</w:t>
            </w:r>
          </w:p>
        </w:tc>
      </w:tr>
      <w:tr>
        <w:tblPrEx>
          <w:tblCellMar>
            <w:top w:w="0" w:type="dxa"/>
            <w:left w:w="0" w:type="dxa"/>
            <w:bottom w:w="0" w:type="dxa"/>
            <w:right w:w="0" w:type="dxa"/>
          </w:tblCellMar>
        </w:tblPrEx>
        <w:trPr>
          <w:trHeight w:val="390" w:hRule="atLeast"/>
          <w:jc w:val="center"/>
        </w:trPr>
        <w:tc>
          <w:tcPr>
            <w:tcW w:w="2115" w:type="dxa"/>
            <w:vMerge w:val="restart"/>
            <w:tcBorders>
              <w:top w:val="nil"/>
              <w:left w:val="single" w:color="808080" w:sz="6" w:space="0"/>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line="240" w:lineRule="atLeast"/>
              <w:jc w:val="both"/>
              <w:rPr>
                <w:sz w:val="21"/>
                <w:szCs w:val="21"/>
              </w:rPr>
            </w:pPr>
            <w:r>
              <w:rPr>
                <w:color w:val="000000"/>
                <w:spacing w:val="8"/>
                <w:sz w:val="21"/>
                <w:szCs w:val="21"/>
              </w:rPr>
              <w:t>餐饮业</w:t>
            </w:r>
          </w:p>
        </w:tc>
        <w:tc>
          <w:tcPr>
            <w:tcW w:w="136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从业人员(X)</w:t>
            </w:r>
          </w:p>
        </w:tc>
        <w:tc>
          <w:tcPr>
            <w:tcW w:w="70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人</w:t>
            </w:r>
          </w:p>
        </w:tc>
        <w:tc>
          <w:tcPr>
            <w:tcW w:w="112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X≥300</w:t>
            </w:r>
          </w:p>
        </w:tc>
        <w:tc>
          <w:tcPr>
            <w:tcW w:w="169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100≤X＜300</w:t>
            </w:r>
          </w:p>
        </w:tc>
        <w:tc>
          <w:tcPr>
            <w:tcW w:w="142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 10≤X＜100</w:t>
            </w:r>
          </w:p>
        </w:tc>
        <w:tc>
          <w:tcPr>
            <w:tcW w:w="990"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X＜10</w:t>
            </w:r>
          </w:p>
        </w:tc>
      </w:tr>
      <w:tr>
        <w:tblPrEx>
          <w:tblCellMar>
            <w:top w:w="0" w:type="dxa"/>
            <w:left w:w="0" w:type="dxa"/>
            <w:bottom w:w="0" w:type="dxa"/>
            <w:right w:w="0" w:type="dxa"/>
          </w:tblCellMar>
        </w:tblPrEx>
        <w:trPr>
          <w:trHeight w:val="390" w:hRule="atLeast"/>
          <w:jc w:val="center"/>
        </w:trPr>
        <w:tc>
          <w:tcPr>
            <w:tcW w:w="2115" w:type="dxa"/>
            <w:vMerge w:val="continue"/>
            <w:tcBorders>
              <w:top w:val="nil"/>
              <w:left w:val="single" w:color="808080" w:sz="6" w:space="0"/>
              <w:bottom w:val="single" w:color="808080" w:sz="6" w:space="0"/>
              <w:right w:val="single" w:color="808080" w:sz="6" w:space="0"/>
              <w:tl2br w:val="nil"/>
              <w:tr2bl w:val="nil"/>
            </w:tcBorders>
            <w:shd w:val="clear" w:color="auto" w:fill="FFFFFF"/>
            <w:tcMar>
              <w:left w:w="105" w:type="dxa"/>
              <w:right w:w="105" w:type="dxa"/>
            </w:tcMar>
            <w:vAlign w:val="center"/>
          </w:tcPr>
          <w:p>
            <w:pPr>
              <w:rPr>
                <w:color w:val="333333"/>
                <w:spacing w:val="8"/>
                <w:szCs w:val="24"/>
              </w:rPr>
            </w:pPr>
          </w:p>
        </w:tc>
        <w:tc>
          <w:tcPr>
            <w:tcW w:w="136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line="240" w:lineRule="atLeast"/>
              <w:jc w:val="center"/>
              <w:rPr>
                <w:sz w:val="21"/>
                <w:szCs w:val="21"/>
              </w:rPr>
            </w:pPr>
            <w:r>
              <w:rPr>
                <w:color w:val="000000"/>
                <w:spacing w:val="8"/>
                <w:sz w:val="21"/>
                <w:szCs w:val="21"/>
              </w:rPr>
              <w:t>营业收入(Y)</w:t>
            </w:r>
          </w:p>
        </w:tc>
        <w:tc>
          <w:tcPr>
            <w:tcW w:w="70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万元</w:t>
            </w:r>
          </w:p>
        </w:tc>
        <w:tc>
          <w:tcPr>
            <w:tcW w:w="112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Y≥10000</w:t>
            </w:r>
          </w:p>
        </w:tc>
        <w:tc>
          <w:tcPr>
            <w:tcW w:w="169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2000≤Y＜10000</w:t>
            </w:r>
          </w:p>
        </w:tc>
        <w:tc>
          <w:tcPr>
            <w:tcW w:w="142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 100≤Y＜2000</w:t>
            </w:r>
          </w:p>
        </w:tc>
        <w:tc>
          <w:tcPr>
            <w:tcW w:w="990"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Y＜100</w:t>
            </w:r>
          </w:p>
        </w:tc>
      </w:tr>
      <w:tr>
        <w:tblPrEx>
          <w:tblCellMar>
            <w:top w:w="0" w:type="dxa"/>
            <w:left w:w="0" w:type="dxa"/>
            <w:bottom w:w="0" w:type="dxa"/>
            <w:right w:w="0" w:type="dxa"/>
          </w:tblCellMar>
        </w:tblPrEx>
        <w:trPr>
          <w:trHeight w:val="390" w:hRule="atLeast"/>
          <w:jc w:val="center"/>
        </w:trPr>
        <w:tc>
          <w:tcPr>
            <w:tcW w:w="2115" w:type="dxa"/>
            <w:vMerge w:val="restart"/>
            <w:tcBorders>
              <w:top w:val="nil"/>
              <w:left w:val="single" w:color="808080" w:sz="6" w:space="0"/>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line="240" w:lineRule="atLeast"/>
              <w:jc w:val="both"/>
              <w:rPr>
                <w:sz w:val="21"/>
                <w:szCs w:val="21"/>
              </w:rPr>
            </w:pPr>
            <w:r>
              <w:rPr>
                <w:color w:val="000000"/>
                <w:spacing w:val="8"/>
                <w:sz w:val="21"/>
                <w:szCs w:val="21"/>
              </w:rPr>
              <w:t xml:space="preserve">信息传输业 </w:t>
            </w:r>
          </w:p>
        </w:tc>
        <w:tc>
          <w:tcPr>
            <w:tcW w:w="136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从业人员(X)</w:t>
            </w:r>
          </w:p>
        </w:tc>
        <w:tc>
          <w:tcPr>
            <w:tcW w:w="70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人</w:t>
            </w:r>
          </w:p>
        </w:tc>
        <w:tc>
          <w:tcPr>
            <w:tcW w:w="112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X≥2000</w:t>
            </w:r>
          </w:p>
        </w:tc>
        <w:tc>
          <w:tcPr>
            <w:tcW w:w="169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100≤X＜2000</w:t>
            </w:r>
          </w:p>
        </w:tc>
        <w:tc>
          <w:tcPr>
            <w:tcW w:w="142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 10≤X＜100</w:t>
            </w:r>
          </w:p>
        </w:tc>
        <w:tc>
          <w:tcPr>
            <w:tcW w:w="990"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X＜10</w:t>
            </w:r>
          </w:p>
        </w:tc>
      </w:tr>
      <w:tr>
        <w:tblPrEx>
          <w:tblCellMar>
            <w:top w:w="0" w:type="dxa"/>
            <w:left w:w="0" w:type="dxa"/>
            <w:bottom w:w="0" w:type="dxa"/>
            <w:right w:w="0" w:type="dxa"/>
          </w:tblCellMar>
        </w:tblPrEx>
        <w:trPr>
          <w:trHeight w:val="390" w:hRule="atLeast"/>
          <w:jc w:val="center"/>
        </w:trPr>
        <w:tc>
          <w:tcPr>
            <w:tcW w:w="2115" w:type="dxa"/>
            <w:vMerge w:val="continue"/>
            <w:tcBorders>
              <w:top w:val="nil"/>
              <w:left w:val="single" w:color="808080" w:sz="6" w:space="0"/>
              <w:bottom w:val="single" w:color="808080" w:sz="6" w:space="0"/>
              <w:right w:val="single" w:color="808080" w:sz="6" w:space="0"/>
              <w:tl2br w:val="nil"/>
              <w:tr2bl w:val="nil"/>
            </w:tcBorders>
            <w:shd w:val="clear" w:color="auto" w:fill="FFFFFF"/>
            <w:tcMar>
              <w:left w:w="105" w:type="dxa"/>
              <w:right w:w="105" w:type="dxa"/>
            </w:tcMar>
            <w:vAlign w:val="center"/>
          </w:tcPr>
          <w:p>
            <w:pPr>
              <w:rPr>
                <w:color w:val="333333"/>
                <w:spacing w:val="8"/>
                <w:szCs w:val="24"/>
              </w:rPr>
            </w:pPr>
          </w:p>
        </w:tc>
        <w:tc>
          <w:tcPr>
            <w:tcW w:w="136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line="240" w:lineRule="atLeast"/>
              <w:jc w:val="center"/>
              <w:rPr>
                <w:sz w:val="21"/>
                <w:szCs w:val="21"/>
              </w:rPr>
            </w:pPr>
            <w:r>
              <w:rPr>
                <w:color w:val="000000"/>
                <w:spacing w:val="8"/>
                <w:sz w:val="21"/>
                <w:szCs w:val="21"/>
              </w:rPr>
              <w:t>营业收入(Y)</w:t>
            </w:r>
          </w:p>
        </w:tc>
        <w:tc>
          <w:tcPr>
            <w:tcW w:w="70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万元</w:t>
            </w:r>
          </w:p>
        </w:tc>
        <w:tc>
          <w:tcPr>
            <w:tcW w:w="112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Y≥100000</w:t>
            </w:r>
          </w:p>
        </w:tc>
        <w:tc>
          <w:tcPr>
            <w:tcW w:w="169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 1000≤Y＜100000</w:t>
            </w:r>
          </w:p>
        </w:tc>
        <w:tc>
          <w:tcPr>
            <w:tcW w:w="142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 100≤Y＜1000</w:t>
            </w:r>
          </w:p>
        </w:tc>
        <w:tc>
          <w:tcPr>
            <w:tcW w:w="990"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Y＜100</w:t>
            </w:r>
          </w:p>
        </w:tc>
      </w:tr>
      <w:tr>
        <w:tblPrEx>
          <w:tblCellMar>
            <w:top w:w="0" w:type="dxa"/>
            <w:left w:w="0" w:type="dxa"/>
            <w:bottom w:w="0" w:type="dxa"/>
            <w:right w:w="0" w:type="dxa"/>
          </w:tblCellMar>
        </w:tblPrEx>
        <w:trPr>
          <w:trHeight w:val="345" w:hRule="atLeast"/>
          <w:jc w:val="center"/>
        </w:trPr>
        <w:tc>
          <w:tcPr>
            <w:tcW w:w="2115" w:type="dxa"/>
            <w:vMerge w:val="restart"/>
            <w:tcBorders>
              <w:top w:val="nil"/>
              <w:left w:val="single" w:color="808080" w:sz="6" w:space="0"/>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line="240" w:lineRule="atLeast"/>
              <w:jc w:val="both"/>
              <w:rPr>
                <w:sz w:val="21"/>
                <w:szCs w:val="21"/>
              </w:rPr>
            </w:pPr>
            <w:r>
              <w:rPr>
                <w:color w:val="000000"/>
                <w:spacing w:val="-15"/>
                <w:sz w:val="21"/>
                <w:szCs w:val="21"/>
              </w:rPr>
              <w:t>软件和信息技术服</w:t>
            </w:r>
            <w:r>
              <w:rPr>
                <w:color w:val="000000"/>
                <w:spacing w:val="8"/>
                <w:sz w:val="21"/>
                <w:szCs w:val="21"/>
              </w:rPr>
              <w:t>务业*</w:t>
            </w:r>
          </w:p>
        </w:tc>
        <w:tc>
          <w:tcPr>
            <w:tcW w:w="136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从业人员(X)</w:t>
            </w:r>
          </w:p>
        </w:tc>
        <w:tc>
          <w:tcPr>
            <w:tcW w:w="70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人</w:t>
            </w:r>
          </w:p>
        </w:tc>
        <w:tc>
          <w:tcPr>
            <w:tcW w:w="112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X≥300</w:t>
            </w:r>
          </w:p>
        </w:tc>
        <w:tc>
          <w:tcPr>
            <w:tcW w:w="169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100≤X＜300</w:t>
            </w:r>
          </w:p>
        </w:tc>
        <w:tc>
          <w:tcPr>
            <w:tcW w:w="142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 10≤X＜100</w:t>
            </w:r>
          </w:p>
        </w:tc>
        <w:tc>
          <w:tcPr>
            <w:tcW w:w="990"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X＜10</w:t>
            </w:r>
          </w:p>
        </w:tc>
      </w:tr>
      <w:tr>
        <w:tblPrEx>
          <w:tblCellMar>
            <w:top w:w="0" w:type="dxa"/>
            <w:left w:w="0" w:type="dxa"/>
            <w:bottom w:w="0" w:type="dxa"/>
            <w:right w:w="0" w:type="dxa"/>
          </w:tblCellMar>
        </w:tblPrEx>
        <w:trPr>
          <w:trHeight w:val="345" w:hRule="atLeast"/>
          <w:jc w:val="center"/>
        </w:trPr>
        <w:tc>
          <w:tcPr>
            <w:tcW w:w="2115" w:type="dxa"/>
            <w:vMerge w:val="continue"/>
            <w:tcBorders>
              <w:top w:val="nil"/>
              <w:left w:val="single" w:color="808080" w:sz="6" w:space="0"/>
              <w:bottom w:val="single" w:color="808080" w:sz="6" w:space="0"/>
              <w:right w:val="single" w:color="808080" w:sz="6" w:space="0"/>
              <w:tl2br w:val="nil"/>
              <w:tr2bl w:val="nil"/>
            </w:tcBorders>
            <w:shd w:val="clear" w:color="auto" w:fill="FFFFFF"/>
            <w:tcMar>
              <w:left w:w="105" w:type="dxa"/>
              <w:right w:w="105" w:type="dxa"/>
            </w:tcMar>
            <w:vAlign w:val="center"/>
          </w:tcPr>
          <w:p>
            <w:pPr>
              <w:rPr>
                <w:color w:val="333333"/>
                <w:spacing w:val="8"/>
                <w:szCs w:val="24"/>
              </w:rPr>
            </w:pPr>
          </w:p>
        </w:tc>
        <w:tc>
          <w:tcPr>
            <w:tcW w:w="136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营业收入(Y)</w:t>
            </w:r>
          </w:p>
        </w:tc>
        <w:tc>
          <w:tcPr>
            <w:tcW w:w="70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万元</w:t>
            </w:r>
          </w:p>
        </w:tc>
        <w:tc>
          <w:tcPr>
            <w:tcW w:w="112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Y≥10000</w:t>
            </w:r>
          </w:p>
        </w:tc>
        <w:tc>
          <w:tcPr>
            <w:tcW w:w="169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1000≤Y＜10000</w:t>
            </w:r>
          </w:p>
        </w:tc>
        <w:tc>
          <w:tcPr>
            <w:tcW w:w="142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  50≤Y＜1000</w:t>
            </w:r>
          </w:p>
        </w:tc>
        <w:tc>
          <w:tcPr>
            <w:tcW w:w="990"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Y＜50</w:t>
            </w:r>
          </w:p>
        </w:tc>
      </w:tr>
      <w:tr>
        <w:tblPrEx>
          <w:tblCellMar>
            <w:top w:w="0" w:type="dxa"/>
            <w:left w:w="0" w:type="dxa"/>
            <w:bottom w:w="0" w:type="dxa"/>
            <w:right w:w="0" w:type="dxa"/>
          </w:tblCellMar>
        </w:tblPrEx>
        <w:trPr>
          <w:trHeight w:val="345" w:hRule="atLeast"/>
          <w:jc w:val="center"/>
        </w:trPr>
        <w:tc>
          <w:tcPr>
            <w:tcW w:w="2115" w:type="dxa"/>
            <w:vMerge w:val="restart"/>
            <w:tcBorders>
              <w:top w:val="nil"/>
              <w:left w:val="single" w:color="808080" w:sz="6" w:space="0"/>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line="240" w:lineRule="atLeast"/>
              <w:jc w:val="both"/>
              <w:rPr>
                <w:sz w:val="21"/>
                <w:szCs w:val="21"/>
              </w:rPr>
            </w:pPr>
            <w:r>
              <w:rPr>
                <w:color w:val="000000"/>
                <w:spacing w:val="8"/>
                <w:sz w:val="21"/>
                <w:szCs w:val="21"/>
              </w:rPr>
              <w:t>房地产开发经营</w:t>
            </w:r>
          </w:p>
        </w:tc>
        <w:tc>
          <w:tcPr>
            <w:tcW w:w="136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营业收入(Y)</w:t>
            </w:r>
          </w:p>
        </w:tc>
        <w:tc>
          <w:tcPr>
            <w:tcW w:w="70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万元</w:t>
            </w:r>
          </w:p>
        </w:tc>
        <w:tc>
          <w:tcPr>
            <w:tcW w:w="112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Y≥200000</w:t>
            </w:r>
          </w:p>
        </w:tc>
        <w:tc>
          <w:tcPr>
            <w:tcW w:w="169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 1000≤Y＜200000</w:t>
            </w:r>
          </w:p>
        </w:tc>
        <w:tc>
          <w:tcPr>
            <w:tcW w:w="142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 100≤Y＜1000</w:t>
            </w:r>
          </w:p>
        </w:tc>
        <w:tc>
          <w:tcPr>
            <w:tcW w:w="990"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Y＜100</w:t>
            </w:r>
          </w:p>
        </w:tc>
      </w:tr>
      <w:tr>
        <w:tblPrEx>
          <w:tblCellMar>
            <w:top w:w="0" w:type="dxa"/>
            <w:left w:w="0" w:type="dxa"/>
            <w:bottom w:w="0" w:type="dxa"/>
            <w:right w:w="0" w:type="dxa"/>
          </w:tblCellMar>
        </w:tblPrEx>
        <w:trPr>
          <w:trHeight w:val="345" w:hRule="atLeast"/>
          <w:jc w:val="center"/>
        </w:trPr>
        <w:tc>
          <w:tcPr>
            <w:tcW w:w="2115" w:type="dxa"/>
            <w:vMerge w:val="continue"/>
            <w:tcBorders>
              <w:top w:val="nil"/>
              <w:left w:val="single" w:color="808080" w:sz="6" w:space="0"/>
              <w:bottom w:val="single" w:color="808080" w:sz="6" w:space="0"/>
              <w:right w:val="single" w:color="808080" w:sz="6" w:space="0"/>
              <w:tl2br w:val="nil"/>
              <w:tr2bl w:val="nil"/>
            </w:tcBorders>
            <w:shd w:val="clear" w:color="auto" w:fill="FFFFFF"/>
            <w:tcMar>
              <w:left w:w="105" w:type="dxa"/>
              <w:right w:w="105" w:type="dxa"/>
            </w:tcMar>
            <w:vAlign w:val="center"/>
          </w:tcPr>
          <w:p>
            <w:pPr>
              <w:rPr>
                <w:color w:val="333333"/>
                <w:spacing w:val="8"/>
                <w:szCs w:val="24"/>
              </w:rPr>
            </w:pPr>
          </w:p>
        </w:tc>
        <w:tc>
          <w:tcPr>
            <w:tcW w:w="136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line="240" w:lineRule="atLeast"/>
              <w:jc w:val="center"/>
              <w:rPr>
                <w:sz w:val="21"/>
                <w:szCs w:val="21"/>
              </w:rPr>
            </w:pPr>
            <w:r>
              <w:rPr>
                <w:color w:val="000000"/>
                <w:spacing w:val="8"/>
                <w:sz w:val="21"/>
                <w:szCs w:val="21"/>
              </w:rPr>
              <w:t>资产总额(Z)</w:t>
            </w:r>
          </w:p>
        </w:tc>
        <w:tc>
          <w:tcPr>
            <w:tcW w:w="70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万元</w:t>
            </w:r>
          </w:p>
        </w:tc>
        <w:tc>
          <w:tcPr>
            <w:tcW w:w="112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Z≥10000</w:t>
            </w:r>
          </w:p>
        </w:tc>
        <w:tc>
          <w:tcPr>
            <w:tcW w:w="169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5000≤Z＜10000</w:t>
            </w:r>
          </w:p>
        </w:tc>
        <w:tc>
          <w:tcPr>
            <w:tcW w:w="142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2000≤Z＜5000   </w:t>
            </w:r>
          </w:p>
        </w:tc>
        <w:tc>
          <w:tcPr>
            <w:tcW w:w="990"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Z＜2000</w:t>
            </w:r>
          </w:p>
        </w:tc>
      </w:tr>
      <w:tr>
        <w:tblPrEx>
          <w:tblCellMar>
            <w:top w:w="0" w:type="dxa"/>
            <w:left w:w="0" w:type="dxa"/>
            <w:bottom w:w="0" w:type="dxa"/>
            <w:right w:w="0" w:type="dxa"/>
          </w:tblCellMar>
        </w:tblPrEx>
        <w:trPr>
          <w:trHeight w:val="345" w:hRule="atLeast"/>
          <w:jc w:val="center"/>
        </w:trPr>
        <w:tc>
          <w:tcPr>
            <w:tcW w:w="2115" w:type="dxa"/>
            <w:vMerge w:val="restart"/>
            <w:tcBorders>
              <w:top w:val="nil"/>
              <w:left w:val="single" w:color="808080" w:sz="6" w:space="0"/>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line="240" w:lineRule="atLeast"/>
              <w:jc w:val="both"/>
              <w:rPr>
                <w:sz w:val="21"/>
                <w:szCs w:val="21"/>
              </w:rPr>
            </w:pPr>
            <w:r>
              <w:rPr>
                <w:color w:val="000000"/>
                <w:spacing w:val="8"/>
                <w:sz w:val="21"/>
                <w:szCs w:val="21"/>
              </w:rPr>
              <w:t>物业管理</w:t>
            </w:r>
          </w:p>
        </w:tc>
        <w:tc>
          <w:tcPr>
            <w:tcW w:w="136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从业人员(X)</w:t>
            </w:r>
          </w:p>
        </w:tc>
        <w:tc>
          <w:tcPr>
            <w:tcW w:w="70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人</w:t>
            </w:r>
          </w:p>
        </w:tc>
        <w:tc>
          <w:tcPr>
            <w:tcW w:w="112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X≥1000</w:t>
            </w:r>
          </w:p>
        </w:tc>
        <w:tc>
          <w:tcPr>
            <w:tcW w:w="169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300≤X＜1000</w:t>
            </w:r>
          </w:p>
        </w:tc>
        <w:tc>
          <w:tcPr>
            <w:tcW w:w="142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100≤X＜300</w:t>
            </w:r>
          </w:p>
        </w:tc>
        <w:tc>
          <w:tcPr>
            <w:tcW w:w="990"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X＜100</w:t>
            </w:r>
          </w:p>
        </w:tc>
      </w:tr>
      <w:tr>
        <w:tblPrEx>
          <w:tblCellMar>
            <w:top w:w="0" w:type="dxa"/>
            <w:left w:w="0" w:type="dxa"/>
            <w:bottom w:w="0" w:type="dxa"/>
            <w:right w:w="0" w:type="dxa"/>
          </w:tblCellMar>
        </w:tblPrEx>
        <w:trPr>
          <w:trHeight w:val="345" w:hRule="atLeast"/>
          <w:jc w:val="center"/>
        </w:trPr>
        <w:tc>
          <w:tcPr>
            <w:tcW w:w="2115" w:type="dxa"/>
            <w:vMerge w:val="continue"/>
            <w:tcBorders>
              <w:top w:val="nil"/>
              <w:left w:val="single" w:color="808080" w:sz="6" w:space="0"/>
              <w:bottom w:val="single" w:color="808080" w:sz="6" w:space="0"/>
              <w:right w:val="single" w:color="808080" w:sz="6" w:space="0"/>
              <w:tl2br w:val="nil"/>
              <w:tr2bl w:val="nil"/>
            </w:tcBorders>
            <w:shd w:val="clear" w:color="auto" w:fill="FFFFFF"/>
            <w:tcMar>
              <w:left w:w="105" w:type="dxa"/>
              <w:right w:w="105" w:type="dxa"/>
            </w:tcMar>
            <w:vAlign w:val="center"/>
          </w:tcPr>
          <w:p>
            <w:pPr>
              <w:rPr>
                <w:color w:val="333333"/>
                <w:spacing w:val="8"/>
                <w:szCs w:val="24"/>
              </w:rPr>
            </w:pPr>
          </w:p>
        </w:tc>
        <w:tc>
          <w:tcPr>
            <w:tcW w:w="136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line="240" w:lineRule="atLeast"/>
              <w:jc w:val="center"/>
              <w:rPr>
                <w:sz w:val="21"/>
                <w:szCs w:val="21"/>
              </w:rPr>
            </w:pPr>
            <w:r>
              <w:rPr>
                <w:color w:val="000000"/>
                <w:spacing w:val="8"/>
                <w:sz w:val="21"/>
                <w:szCs w:val="21"/>
              </w:rPr>
              <w:t>营业收入(Y)</w:t>
            </w:r>
          </w:p>
        </w:tc>
        <w:tc>
          <w:tcPr>
            <w:tcW w:w="70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万元</w:t>
            </w:r>
          </w:p>
        </w:tc>
        <w:tc>
          <w:tcPr>
            <w:tcW w:w="112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Y≥5000</w:t>
            </w:r>
          </w:p>
        </w:tc>
        <w:tc>
          <w:tcPr>
            <w:tcW w:w="169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1000≤Y＜5000</w:t>
            </w:r>
          </w:p>
        </w:tc>
        <w:tc>
          <w:tcPr>
            <w:tcW w:w="142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 500≤Y＜1000</w:t>
            </w:r>
          </w:p>
        </w:tc>
        <w:tc>
          <w:tcPr>
            <w:tcW w:w="990"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Y＜500</w:t>
            </w:r>
          </w:p>
        </w:tc>
      </w:tr>
      <w:tr>
        <w:tblPrEx>
          <w:tblCellMar>
            <w:top w:w="0" w:type="dxa"/>
            <w:left w:w="0" w:type="dxa"/>
            <w:bottom w:w="0" w:type="dxa"/>
            <w:right w:w="0" w:type="dxa"/>
          </w:tblCellMar>
        </w:tblPrEx>
        <w:trPr>
          <w:trHeight w:val="345" w:hRule="atLeast"/>
          <w:jc w:val="center"/>
        </w:trPr>
        <w:tc>
          <w:tcPr>
            <w:tcW w:w="2115" w:type="dxa"/>
            <w:vMerge w:val="restart"/>
            <w:tcBorders>
              <w:top w:val="nil"/>
              <w:left w:val="single" w:color="808080" w:sz="6" w:space="0"/>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line="240" w:lineRule="atLeast"/>
              <w:jc w:val="both"/>
              <w:rPr>
                <w:sz w:val="21"/>
                <w:szCs w:val="21"/>
              </w:rPr>
            </w:pPr>
            <w:r>
              <w:rPr>
                <w:color w:val="000000"/>
                <w:spacing w:val="8"/>
                <w:sz w:val="21"/>
                <w:szCs w:val="21"/>
              </w:rPr>
              <w:t>租赁和商务服务业</w:t>
            </w:r>
          </w:p>
        </w:tc>
        <w:tc>
          <w:tcPr>
            <w:tcW w:w="136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从业人员(X)</w:t>
            </w:r>
          </w:p>
        </w:tc>
        <w:tc>
          <w:tcPr>
            <w:tcW w:w="70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人</w:t>
            </w:r>
          </w:p>
        </w:tc>
        <w:tc>
          <w:tcPr>
            <w:tcW w:w="112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X≥300</w:t>
            </w:r>
          </w:p>
        </w:tc>
        <w:tc>
          <w:tcPr>
            <w:tcW w:w="169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100≤X＜300</w:t>
            </w:r>
          </w:p>
        </w:tc>
        <w:tc>
          <w:tcPr>
            <w:tcW w:w="142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 10≤X＜100</w:t>
            </w:r>
          </w:p>
        </w:tc>
        <w:tc>
          <w:tcPr>
            <w:tcW w:w="990"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X＜10</w:t>
            </w:r>
          </w:p>
        </w:tc>
      </w:tr>
      <w:tr>
        <w:tblPrEx>
          <w:tblCellMar>
            <w:top w:w="0" w:type="dxa"/>
            <w:left w:w="0" w:type="dxa"/>
            <w:bottom w:w="0" w:type="dxa"/>
            <w:right w:w="0" w:type="dxa"/>
          </w:tblCellMar>
        </w:tblPrEx>
        <w:trPr>
          <w:trHeight w:val="345" w:hRule="atLeast"/>
          <w:jc w:val="center"/>
        </w:trPr>
        <w:tc>
          <w:tcPr>
            <w:tcW w:w="2115" w:type="dxa"/>
            <w:vMerge w:val="continue"/>
            <w:tcBorders>
              <w:top w:val="nil"/>
              <w:left w:val="single" w:color="808080" w:sz="6" w:space="0"/>
              <w:bottom w:val="single" w:color="808080" w:sz="6" w:space="0"/>
              <w:right w:val="single" w:color="808080" w:sz="6" w:space="0"/>
              <w:tl2br w:val="nil"/>
              <w:tr2bl w:val="nil"/>
            </w:tcBorders>
            <w:shd w:val="clear" w:color="auto" w:fill="FFFFFF"/>
            <w:tcMar>
              <w:left w:w="105" w:type="dxa"/>
              <w:right w:w="105" w:type="dxa"/>
            </w:tcMar>
            <w:vAlign w:val="center"/>
          </w:tcPr>
          <w:p>
            <w:pPr>
              <w:rPr>
                <w:color w:val="333333"/>
                <w:spacing w:val="8"/>
                <w:szCs w:val="24"/>
              </w:rPr>
            </w:pPr>
          </w:p>
        </w:tc>
        <w:tc>
          <w:tcPr>
            <w:tcW w:w="136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line="240" w:lineRule="atLeast"/>
              <w:jc w:val="center"/>
              <w:rPr>
                <w:sz w:val="21"/>
                <w:szCs w:val="21"/>
              </w:rPr>
            </w:pPr>
            <w:r>
              <w:rPr>
                <w:color w:val="000000"/>
                <w:spacing w:val="8"/>
                <w:sz w:val="21"/>
                <w:szCs w:val="21"/>
              </w:rPr>
              <w:t>资产总额(Z)</w:t>
            </w:r>
          </w:p>
        </w:tc>
        <w:tc>
          <w:tcPr>
            <w:tcW w:w="70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万元</w:t>
            </w:r>
          </w:p>
        </w:tc>
        <w:tc>
          <w:tcPr>
            <w:tcW w:w="112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Z≥120000</w:t>
            </w:r>
          </w:p>
        </w:tc>
        <w:tc>
          <w:tcPr>
            <w:tcW w:w="169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 8000≤Z＜120000</w:t>
            </w:r>
          </w:p>
        </w:tc>
        <w:tc>
          <w:tcPr>
            <w:tcW w:w="1425"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 100≤Z＜8000</w:t>
            </w:r>
          </w:p>
        </w:tc>
        <w:tc>
          <w:tcPr>
            <w:tcW w:w="990" w:type="dxa"/>
            <w:tcBorders>
              <w:top w:val="nil"/>
              <w:left w:val="nil"/>
              <w:bottom w:val="single" w:color="808080" w:sz="6" w:space="0"/>
              <w:right w:val="single" w:color="808080" w:sz="6" w:space="0"/>
              <w:tl2br w:val="nil"/>
              <w:tr2bl w:val="nil"/>
            </w:tcBorders>
            <w:shd w:val="clear" w:color="auto" w:fill="B8CCE4"/>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Z＜100</w:t>
            </w:r>
          </w:p>
        </w:tc>
      </w:tr>
      <w:tr>
        <w:tblPrEx>
          <w:tblCellMar>
            <w:top w:w="0" w:type="dxa"/>
            <w:left w:w="0" w:type="dxa"/>
            <w:bottom w:w="0" w:type="dxa"/>
            <w:right w:w="0" w:type="dxa"/>
          </w:tblCellMar>
        </w:tblPrEx>
        <w:trPr>
          <w:trHeight w:val="390" w:hRule="atLeast"/>
          <w:jc w:val="center"/>
        </w:trPr>
        <w:tc>
          <w:tcPr>
            <w:tcW w:w="2115" w:type="dxa"/>
            <w:tcBorders>
              <w:top w:val="nil"/>
              <w:left w:val="single" w:color="808080" w:sz="6" w:space="0"/>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line="240" w:lineRule="atLeast"/>
              <w:jc w:val="both"/>
              <w:rPr>
                <w:sz w:val="21"/>
                <w:szCs w:val="21"/>
              </w:rPr>
            </w:pPr>
            <w:r>
              <w:rPr>
                <w:color w:val="000000"/>
                <w:spacing w:val="8"/>
                <w:sz w:val="21"/>
                <w:szCs w:val="21"/>
              </w:rPr>
              <w:t>其他未列明行业 *</w:t>
            </w:r>
          </w:p>
        </w:tc>
        <w:tc>
          <w:tcPr>
            <w:tcW w:w="136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从业人员(X)</w:t>
            </w:r>
          </w:p>
        </w:tc>
        <w:tc>
          <w:tcPr>
            <w:tcW w:w="70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人</w:t>
            </w:r>
          </w:p>
        </w:tc>
        <w:tc>
          <w:tcPr>
            <w:tcW w:w="112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X≥300</w:t>
            </w:r>
          </w:p>
        </w:tc>
        <w:tc>
          <w:tcPr>
            <w:tcW w:w="169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100≤X＜300</w:t>
            </w:r>
          </w:p>
        </w:tc>
        <w:tc>
          <w:tcPr>
            <w:tcW w:w="1425"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 10≤X＜100</w:t>
            </w:r>
          </w:p>
        </w:tc>
        <w:tc>
          <w:tcPr>
            <w:tcW w:w="990" w:type="dxa"/>
            <w:tcBorders>
              <w:top w:val="nil"/>
              <w:left w:val="nil"/>
              <w:bottom w:val="single" w:color="808080" w:sz="6" w:space="0"/>
              <w:right w:val="single" w:color="808080" w:sz="6" w:space="0"/>
              <w:tl2br w:val="nil"/>
              <w:tr2bl w:val="nil"/>
            </w:tcBorders>
            <w:shd w:val="clear" w:color="auto" w:fill="FFFFFF"/>
            <w:tcMar>
              <w:left w:w="105" w:type="dxa"/>
              <w:right w:w="105" w:type="dxa"/>
            </w:tcMar>
            <w:vAlign w:val="center"/>
          </w:tcPr>
          <w:p>
            <w:pPr>
              <w:pStyle w:val="26"/>
              <w:spacing w:beforeAutospacing="0" w:afterAutospacing="0"/>
              <w:jc w:val="center"/>
              <w:rPr>
                <w:sz w:val="21"/>
                <w:szCs w:val="21"/>
              </w:rPr>
            </w:pPr>
            <w:r>
              <w:rPr>
                <w:color w:val="000000"/>
                <w:spacing w:val="8"/>
                <w:sz w:val="21"/>
                <w:szCs w:val="21"/>
              </w:rPr>
              <w:t>X＜10</w:t>
            </w:r>
          </w:p>
        </w:tc>
      </w:tr>
    </w:tbl>
    <w:p>
      <w:pPr>
        <w:rPr>
          <w:color w:val="000000"/>
          <w:spacing w:val="15"/>
          <w:szCs w:val="24"/>
        </w:rPr>
      </w:pPr>
    </w:p>
    <w:p>
      <w:pPr>
        <w:spacing w:line="360" w:lineRule="auto"/>
        <w:rPr>
          <w:rFonts w:ascii="仿宋" w:hAnsi="仿宋" w:eastAsia="仿宋" w:cs="仿宋"/>
          <w:szCs w:val="24"/>
        </w:rPr>
      </w:pPr>
      <w:r>
        <w:rPr>
          <w:rFonts w:hint="eastAsia" w:ascii="仿宋" w:hAnsi="仿宋" w:eastAsia="仿宋" w:cs="仿宋"/>
          <w:szCs w:val="24"/>
        </w:rPr>
        <w:t>说明：1.大型、中型和小型企业须同时满足所列指标的下限，否则下划一档；微型企业只须满足所列指标中的一项即可。</w:t>
      </w:r>
    </w:p>
    <w:p>
      <w:pPr>
        <w:spacing w:line="360" w:lineRule="auto"/>
        <w:rPr>
          <w:rFonts w:ascii="仿宋" w:hAnsi="仿宋" w:eastAsia="仿宋" w:cs="仿宋"/>
          <w:szCs w:val="24"/>
        </w:rPr>
      </w:pPr>
      <w:r>
        <w:rPr>
          <w:rFonts w:hint="eastAsia" w:ascii="仿宋" w:hAnsi="仿宋" w:eastAsia="仿宋" w:cs="仿宋"/>
          <w:szCs w:val="24"/>
        </w:rPr>
        <w:t>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pPr>
        <w:spacing w:line="360" w:lineRule="auto"/>
        <w:rPr>
          <w:rFonts w:ascii="仿宋" w:hAnsi="仿宋" w:eastAsia="仿宋" w:cs="仿宋"/>
          <w:szCs w:val="24"/>
        </w:rPr>
      </w:pPr>
      <w:r>
        <w:rPr>
          <w:rFonts w:hint="eastAsia" w:ascii="仿宋" w:hAnsi="仿宋" w:eastAsia="仿宋" w:cs="仿宋"/>
          <w:szCs w:val="24"/>
        </w:rPr>
        <w:t>企业划分指标以现行统计制度为准。</w:t>
      </w:r>
    </w:p>
    <w:p>
      <w:pPr>
        <w:spacing w:line="360" w:lineRule="auto"/>
        <w:rPr>
          <w:rFonts w:ascii="仿宋" w:hAnsi="仿宋" w:eastAsia="仿宋" w:cs="仿宋"/>
          <w:szCs w:val="24"/>
        </w:rPr>
      </w:pPr>
      <w:r>
        <w:rPr>
          <w:rFonts w:hint="eastAsia" w:ascii="仿宋" w:hAnsi="仿宋" w:eastAsia="仿宋" w:cs="仿宋"/>
          <w:szCs w:val="24"/>
        </w:rPr>
        <w:t>（1）从业人员，是指期末从业人员数，没有期末从业人员数的，采用全年平均人员数代替。</w:t>
      </w:r>
    </w:p>
    <w:p>
      <w:pPr>
        <w:spacing w:line="360" w:lineRule="auto"/>
        <w:rPr>
          <w:rFonts w:ascii="仿宋" w:hAnsi="仿宋" w:eastAsia="仿宋" w:cs="仿宋"/>
          <w:szCs w:val="24"/>
        </w:rPr>
      </w:pPr>
      <w:r>
        <w:rPr>
          <w:rFonts w:hint="eastAsia" w:ascii="仿宋" w:hAnsi="仿宋" w:eastAsia="仿宋" w:cs="仿宋"/>
          <w:szCs w:val="24"/>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spacing w:line="360" w:lineRule="auto"/>
        <w:rPr>
          <w:rFonts w:ascii="仿宋" w:hAnsi="仿宋" w:eastAsia="仿宋" w:cs="仿宋"/>
          <w:szCs w:val="24"/>
        </w:rPr>
      </w:pPr>
      <w:r>
        <w:rPr>
          <w:rFonts w:hint="eastAsia" w:ascii="仿宋" w:hAnsi="仿宋" w:eastAsia="仿宋" w:cs="仿宋"/>
          <w:szCs w:val="24"/>
        </w:rPr>
        <w:t>（3）资产总额，采用资产总计代替。</w:t>
      </w:r>
    </w:p>
    <w:p>
      <w:pPr>
        <w:pStyle w:val="82"/>
        <w:spacing w:line="360" w:lineRule="auto"/>
        <w:ind w:firstLine="0" w:firstLineChars="0"/>
        <w:rPr>
          <w:rFonts w:ascii="宋体" w:hAnsi="宋体" w:cs="宋体"/>
          <w:sz w:val="24"/>
        </w:rPr>
      </w:pPr>
    </w:p>
    <w:p>
      <w:pPr>
        <w:rPr>
          <w:rFonts w:hAnsi="宋体" w:eastAsia="黑体"/>
          <w:b/>
          <w:sz w:val="30"/>
          <w:szCs w:val="28"/>
        </w:rPr>
      </w:pPr>
    </w:p>
    <w:p/>
    <w:sectPr>
      <w:headerReference r:id="rId10" w:type="default"/>
      <w:footerReference r:id="rId11"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0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幼圆">
    <w:altName w:val="宋体"/>
    <w:panose1 w:val="0201050906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pict>
        <v:shape id="_x0000_s2049" o:spid="_x0000_s2049"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path/>
          <v:fill on="f" focussize="0,0"/>
          <v:stroke on="f" weight="0.5pt" joinstyle="miter"/>
          <v:imagedata o:title=""/>
          <o:lock v:ext="edit"/>
          <v:textbox inset="0mm,0mm,0mm,0mm" style="mso-fit-shape-to-text:t;">
            <w:txbxContent>
              <w:p>
                <w:pPr>
                  <w:pStyle w:val="20"/>
                </w:pPr>
                <w:r>
                  <w:fldChar w:fldCharType="begin"/>
                </w:r>
                <w:r>
                  <w:instrText xml:space="preserve"> PAGE  \* MERGEFORMAT </w:instrText>
                </w:r>
                <w:r>
                  <w:fldChar w:fldCharType="separate"/>
                </w:r>
                <w:r>
                  <w:t>10</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pict>
        <v:shape id="_x0000_s2050" o:spid="_x0000_s2050"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&#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hpgkvTAAAABQEAAA8AAAAAAAAAAQAgAAAAIgAAAGRy&#10;cy9kb3ducmV2LnhtbFBLAQIUABQAAAAIAIdO4kDm5NvJ0QEAAKUDAAAOAAAAAAAAAAEAIAAAACIB&#10;AABkcnMvZTJvRG9jLnhtbFBLBQYAAAAABgAGAFkBAABlBQAAAAA=&#10;">
          <v:path/>
          <v:fill on="f" focussize="0,0"/>
          <v:stroke on="f" weight="1.25pt" joinstyle="miter"/>
          <v:imagedata o:title=""/>
          <o:lock v:ext="edit"/>
          <v:textbox inset="0mm,0mm,0mm,0mm" style="mso-fit-shape-to-text:t;">
            <w:txbxContent>
              <w:p>
                <w:pPr>
                  <w:pStyle w:val="20"/>
                </w:pPr>
                <w:r>
                  <w:fldChar w:fldCharType="begin"/>
                </w:r>
                <w:r>
                  <w:instrText xml:space="preserve"> PAGE  \* MERGEFORMAT </w:instrText>
                </w:r>
                <w:r>
                  <w:fldChar w:fldCharType="separate"/>
                </w:r>
                <w:r>
                  <w:t>43</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w:pict>
        <v:shape id="_x0000_s2052" o:spid="_x0000_s2052"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FyM8y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cXIzzICAABlBAAADgAAAAAAAAABACAAAAAfAQAAZHJzL2Uyb0RvYy54bWxQSwUG&#10;AAAAAAYABgBZAQAAwwUAAAAA&#10;">
          <v:path/>
          <v:fill on="f" focussize="0,0"/>
          <v:stroke on="f" weight="0.5pt" joinstyle="miter"/>
          <v:imagedata o:title=""/>
          <o:lock v:ext="edit"/>
          <v:textbox inset="0mm,0mm,0mm,0mm" style="mso-fit-shape-to-text:t;">
            <w:txbxContent>
              <w:p>
                <w:pPr>
                  <w:pStyle w:val="20"/>
                </w:pPr>
                <w:r>
                  <w:fldChar w:fldCharType="begin"/>
                </w:r>
                <w:r>
                  <w:instrText xml:space="preserve"> PAGE  \* MERGEFORMAT </w:instrText>
                </w:r>
                <w:r>
                  <w:fldChar w:fldCharType="separate"/>
                </w:r>
                <w:r>
                  <w:t>44</w:t>
                </w:r>
                <w:r>
                  <w:fldChar w:fldCharType="end"/>
                </w:r>
              </w:p>
            </w:txbxContent>
          </v:textbox>
        </v:shape>
      </w:pict>
    </w:r>
    <w:r>
      <w:pict>
        <v:shape id="文本框 13" o:spid="_x0000_s2053" o:spt="202" type="#_x0000_t202" style="position:absolute;left:0pt;margin-left:253.15pt;margin-top:782.7pt;height:11pt;width:11pt;mso-position-horizontal-relative:page;mso-position-vertical-relative:page;z-index:-251655168;mso-width-relative:page;mso-height-relative:page;" filled="f" stroked="f" coordsize="21600,21600" o:gfxdata="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Jg6odoAAAANAQAADwAAAAAAAAABACAAAAAiAAAAZHJzL2Rvd25yZXYueG1sUEsB&#10;AhQAFAAAAAgAh07iQC0TXt+6AQAAgQMAAA4AAAAAAAAAAQAgAAAAKQEAAGRycy9lMm9Eb2MueG1s&#10;UEsFBgAAAAAGAAYAWQEAAFUFAAAAAA==&#10;">
          <v:path/>
          <v:fill on="f" focussize="0,0"/>
          <v:stroke on="f" joinstyle="miter"/>
          <v:imagedata o:title=""/>
          <o:lock v:ext="edit"/>
          <v:textbox inset="0mm,0mm,0mm,0mm">
            <w:txbxContent>
              <w:p>
                <w:pPr>
                  <w:spacing w:line="220" w:lineRule="exact"/>
                  <w:ind w:left="20"/>
                  <w:jc w:val="left"/>
                  <w:rPr>
                    <w:sz w:val="18"/>
                  </w:rPr>
                </w:pPr>
              </w:p>
            </w:txbxContent>
          </v:textbox>
        </v:shape>
      </w:pict>
    </w:r>
    <w:r>
      <w:pict>
        <v:shape id="文本框 14" o:spid="_x0000_s2054" o:spt="202" type="#_x0000_t202" style="position:absolute;left:0pt;margin-left:290.6pt;margin-top:782.7pt;height:11pt;width:11pt;mso-position-horizontal-relative:page;mso-position-vertical-relative:page;z-index:-251654144;mso-width-relative:page;mso-height-relative:page;" filled="f" stroked="f" coordsize="21600,21600" o:gfxdata="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vVRPt9oAAAANAQAADwAAAAAAAAABACAAAAAiAAAAZHJzL2Rvd25yZXYueG1sUEsB&#10;AhQAFAAAAAgAh07iQBQDsVy6AQAAgQMAAA4AAAAAAAAAAQAgAAAAKQEAAGRycy9lMm9Eb2MueG1s&#10;UEsFBgAAAAAGAAYAWQEAAFUFAAAAAA==&#10;">
          <v:path/>
          <v:fill on="f" focussize="0,0"/>
          <v:stroke on="f" joinstyle="miter"/>
          <v:imagedata o:title=""/>
          <o:lock v:ext="edit"/>
          <v:textbox inset="0mm,0mm,0mm,0mm">
            <w:txbxContent>
              <w:p>
                <w:pPr>
                  <w:spacing w:line="220" w:lineRule="exact"/>
                  <w:ind w:left="20"/>
                  <w:jc w:val="left"/>
                  <w:rPr>
                    <w:sz w:val="18"/>
                  </w:rPr>
                </w:pPr>
              </w:p>
            </w:txbxContent>
          </v:textbox>
        </v:shape>
      </w:pict>
    </w:r>
    <w:r>
      <w:pict>
        <v:shape id="文本框 15" o:spid="_x0000_s2055" o:spt="202" type="#_x0000_t202" style="position:absolute;left:0pt;margin-left:304.15pt;margin-top:782.7pt;height:11pt;width:11pt;mso-position-horizontal-relative:page;mso-position-vertical-relative:page;z-index:-251653120;mso-width-relative:page;mso-height-relative:page;" filled="f" stroked="f" coordsize="21600,21600" o:gfxdata="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2fdT79oAAAANAQAADwAAAAAAAAABACAAAAAiAAAAZHJzL2Rvd25yZXYueG1sUEsB&#10;AhQAFAAAAAgAh07iQPFcEnK6AQAAgQMAAA4AAAAAAAAAAQAgAAAAKQEAAGRycy9lMm9Eb2MueG1s&#10;UEsFBgAAAAAGAAYAWQEAAFUFAAAAAA==&#10;">
          <v:path/>
          <v:fill on="f" focussize="0,0"/>
          <v:stroke on="f" joinstyle="miter"/>
          <v:imagedata o:title=""/>
          <o:lock v:ext="edit"/>
          <v:textbox inset="0mm,0mm,0mm,0mm">
            <w:txbxContent>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w:pict>
        <v:shape id="文本框 10" o:spid="_x0000_s2051" o:spt="202" type="#_x0000_t202" style="position:absolute;left:0pt;margin-left:378.3pt;margin-top:42.9pt;height:11pt;width:128pt;mso-position-horizontal-relative:page;mso-position-vertical-relative:page;z-index:-251656192;mso-width-relative:page;mso-height-relative:page;" filled="f" stroked="f" coordsize="21600,21600" o:gfxdata="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g/7KANkAAAALAQAADwAAAAAAAAABACAAAAAiAAAAZHJzL2Rvd25yZXYueG1s&#10;UEsBAhQAFAAAAAgAh07iQKYVqcO+AQAAggMAAA4AAAAAAAAAAQAgAAAAKAEAAGRycy9lMm9Eb2Mu&#10;eG1sUEsFBgAAAAAGAAYAWQEAAFgFAAAAAA==&#10;">
          <v:path/>
          <v:fill on="f" focussize="0,0"/>
          <v:stroke on="f" joinstyle="miter"/>
          <v:imagedata o:title=""/>
          <o:lock v:ext="edit"/>
          <v:textbox inset="0mm,0mm,0mm,0mm">
            <w:txbxContent>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CEC5E9"/>
    <w:multiLevelType w:val="multilevel"/>
    <w:tmpl w:val="96CEC5E9"/>
    <w:lvl w:ilvl="0" w:tentative="0">
      <w:start w:val="1"/>
      <w:numFmt w:val="decimal"/>
      <w:suff w:val="nothing"/>
      <w:lvlText w:val="%1．"/>
      <w:lvlJc w:val="left"/>
      <w:pPr>
        <w:ind w:left="0" w:firstLine="400"/>
      </w:pPr>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
    <w:nsid w:val="9AF9AECF"/>
    <w:multiLevelType w:val="multilevel"/>
    <w:tmpl w:val="9AF9AECF"/>
    <w:lvl w:ilvl="0" w:tentative="0">
      <w:start w:val="1"/>
      <w:numFmt w:val="decimal"/>
      <w:suff w:val="nothing"/>
      <w:lvlText w:val="%1．"/>
      <w:lvlJc w:val="left"/>
      <w:pPr>
        <w:ind w:left="0" w:firstLine="400"/>
      </w:pPr>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2">
    <w:nsid w:val="C2C3E666"/>
    <w:multiLevelType w:val="multilevel"/>
    <w:tmpl w:val="C2C3E666"/>
    <w:lvl w:ilvl="0" w:tentative="0">
      <w:start w:val="1"/>
      <w:numFmt w:val="decimal"/>
      <w:suff w:val="nothing"/>
      <w:lvlText w:val="%1．"/>
      <w:lvlJc w:val="left"/>
      <w:pPr>
        <w:ind w:left="0" w:firstLine="400"/>
      </w:pPr>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3">
    <w:nsid w:val="C9664E72"/>
    <w:multiLevelType w:val="multilevel"/>
    <w:tmpl w:val="C9664E72"/>
    <w:lvl w:ilvl="0" w:tentative="0">
      <w:start w:val="1"/>
      <w:numFmt w:val="decimal"/>
      <w:lvlText w:val="(%1)"/>
      <w:lvlJc w:val="left"/>
      <w:pPr>
        <w:ind w:left="425" w:hanging="425"/>
      </w:pPr>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4">
    <w:nsid w:val="C9DE204C"/>
    <w:multiLevelType w:val="multilevel"/>
    <w:tmpl w:val="C9DE204C"/>
    <w:lvl w:ilvl="0" w:tentative="0">
      <w:start w:val="1"/>
      <w:numFmt w:val="decimal"/>
      <w:suff w:val="nothing"/>
      <w:lvlText w:val="%1．"/>
      <w:lvlJc w:val="left"/>
      <w:pPr>
        <w:ind w:left="0" w:firstLine="400"/>
      </w:pPr>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5">
    <w:nsid w:val="CD434B2D"/>
    <w:multiLevelType w:val="multilevel"/>
    <w:tmpl w:val="CD434B2D"/>
    <w:lvl w:ilvl="0" w:tentative="0">
      <w:start w:val="1"/>
      <w:numFmt w:val="decimal"/>
      <w:suff w:val="nothing"/>
      <w:lvlText w:val="%1、"/>
      <w:lvlJc w:val="left"/>
      <w:rPr>
        <w:rFonts w:hint="default"/>
        <w:u w:val="none"/>
      </w:rPr>
    </w:lvl>
    <w:lvl w:ilvl="1" w:tentative="0">
      <w:start w:val="1"/>
      <w:numFmt w:val="decimal"/>
      <w:lvlText w:val=""/>
      <w:lvlJc w:val="left"/>
      <w:rPr>
        <w:rFonts w:hint="default"/>
        <w:u w:val="none"/>
      </w:rPr>
    </w:lvl>
    <w:lvl w:ilvl="2" w:tentative="0">
      <w:start w:val="1"/>
      <w:numFmt w:val="decimal"/>
      <w:lvlText w:val=""/>
      <w:lvlJc w:val="left"/>
      <w:rPr>
        <w:rFonts w:hint="default"/>
        <w:u w:val="none"/>
      </w:rPr>
    </w:lvl>
    <w:lvl w:ilvl="3" w:tentative="0">
      <w:start w:val="1"/>
      <w:numFmt w:val="decimal"/>
      <w:lvlText w:val=""/>
      <w:lvlJc w:val="left"/>
      <w:rPr>
        <w:rFonts w:hint="default"/>
        <w:u w:val="none"/>
      </w:rPr>
    </w:lvl>
    <w:lvl w:ilvl="4" w:tentative="0">
      <w:start w:val="1"/>
      <w:numFmt w:val="decimal"/>
      <w:lvlText w:val=""/>
      <w:lvlJc w:val="left"/>
      <w:rPr>
        <w:rFonts w:hint="default"/>
        <w:u w:val="none"/>
      </w:rPr>
    </w:lvl>
    <w:lvl w:ilvl="5" w:tentative="0">
      <w:start w:val="1"/>
      <w:numFmt w:val="decimal"/>
      <w:lvlText w:val=""/>
      <w:lvlJc w:val="left"/>
      <w:rPr>
        <w:rFonts w:hint="default"/>
        <w:u w:val="none"/>
      </w:rPr>
    </w:lvl>
    <w:lvl w:ilvl="6" w:tentative="0">
      <w:start w:val="1"/>
      <w:numFmt w:val="decimal"/>
      <w:lvlText w:val=""/>
      <w:lvlJc w:val="left"/>
      <w:rPr>
        <w:rFonts w:hint="default"/>
        <w:u w:val="none"/>
      </w:rPr>
    </w:lvl>
    <w:lvl w:ilvl="7" w:tentative="0">
      <w:start w:val="1"/>
      <w:numFmt w:val="decimal"/>
      <w:lvlText w:val=""/>
      <w:lvlJc w:val="left"/>
      <w:rPr>
        <w:rFonts w:hint="default"/>
        <w:u w:val="none"/>
      </w:rPr>
    </w:lvl>
    <w:lvl w:ilvl="8" w:tentative="0">
      <w:start w:val="1"/>
      <w:numFmt w:val="decimal"/>
      <w:lvlText w:val=""/>
      <w:lvlJc w:val="left"/>
      <w:rPr>
        <w:rFonts w:hint="default"/>
        <w:u w:val="none"/>
      </w:rPr>
    </w:lvl>
  </w:abstractNum>
  <w:abstractNum w:abstractNumId="6">
    <w:nsid w:val="DBA9F8B0"/>
    <w:multiLevelType w:val="multilevel"/>
    <w:tmpl w:val="DBA9F8B0"/>
    <w:lvl w:ilvl="0" w:tentative="0">
      <w:start w:val="1"/>
      <w:numFmt w:val="decimal"/>
      <w:suff w:val="nothing"/>
      <w:lvlText w:val="%1．"/>
      <w:lvlJc w:val="left"/>
      <w:pPr>
        <w:ind w:left="80" w:firstLine="400"/>
      </w:pPr>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7">
    <w:nsid w:val="DD728C5E"/>
    <w:multiLevelType w:val="multilevel"/>
    <w:tmpl w:val="DD728C5E"/>
    <w:lvl w:ilvl="0" w:tentative="0">
      <w:start w:val="1"/>
      <w:numFmt w:val="decimal"/>
      <w:suff w:val="nothing"/>
      <w:lvlText w:val="%1．"/>
      <w:lvlJc w:val="left"/>
      <w:pPr>
        <w:ind w:left="80" w:firstLine="400"/>
      </w:pPr>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8">
    <w:nsid w:val="DDA16649"/>
    <w:multiLevelType w:val="singleLevel"/>
    <w:tmpl w:val="DDA16649"/>
    <w:lvl w:ilvl="0" w:tentative="0">
      <w:start w:val="4"/>
      <w:numFmt w:val="chineseCounting"/>
      <w:suff w:val="space"/>
      <w:lvlText w:val="第%1章"/>
      <w:lvlJc w:val="left"/>
      <w:rPr>
        <w:rFonts w:hint="eastAsia"/>
      </w:rPr>
    </w:lvl>
  </w:abstractNum>
  <w:abstractNum w:abstractNumId="9">
    <w:nsid w:val="E4FFEF5C"/>
    <w:multiLevelType w:val="multilevel"/>
    <w:tmpl w:val="E4FFEF5C"/>
    <w:lvl w:ilvl="0" w:tentative="0">
      <w:start w:val="1"/>
      <w:numFmt w:val="decimal"/>
      <w:lvlText w:val="(%1)"/>
      <w:lvlJc w:val="left"/>
      <w:pPr>
        <w:ind w:left="425" w:hanging="425"/>
      </w:pPr>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0">
    <w:nsid w:val="08EFC046"/>
    <w:multiLevelType w:val="multilevel"/>
    <w:tmpl w:val="08EFC046"/>
    <w:lvl w:ilvl="0" w:tentative="0">
      <w:start w:val="1"/>
      <w:numFmt w:val="decimal"/>
      <w:lvlText w:val="(%1)"/>
      <w:lvlJc w:val="left"/>
      <w:pPr>
        <w:ind w:left="425" w:hanging="425"/>
      </w:pPr>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1">
    <w:nsid w:val="2703F215"/>
    <w:multiLevelType w:val="multilevel"/>
    <w:tmpl w:val="2703F215"/>
    <w:lvl w:ilvl="0" w:tentative="0">
      <w:start w:val="1"/>
      <w:numFmt w:val="decimal"/>
      <w:lvlText w:val="(%1)"/>
      <w:lvlJc w:val="left"/>
      <w:pPr>
        <w:ind w:left="425" w:hanging="425"/>
      </w:pPr>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2">
    <w:nsid w:val="302065E1"/>
    <w:multiLevelType w:val="multilevel"/>
    <w:tmpl w:val="302065E1"/>
    <w:lvl w:ilvl="0" w:tentative="0">
      <w:start w:val="1"/>
      <w:numFmt w:val="japaneseCounting"/>
      <w:lvlText w:val="（%1）"/>
      <w:lvlJc w:val="left"/>
      <w:pPr>
        <w:ind w:left="1560" w:hanging="72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3">
    <w:nsid w:val="335FAD0E"/>
    <w:multiLevelType w:val="multilevel"/>
    <w:tmpl w:val="335FAD0E"/>
    <w:lvl w:ilvl="0" w:tentative="0">
      <w:start w:val="1"/>
      <w:numFmt w:val="decimal"/>
      <w:suff w:val="nothing"/>
      <w:lvlText w:val="%1．"/>
      <w:lvlJc w:val="left"/>
      <w:pPr>
        <w:ind w:left="0" w:firstLine="400"/>
      </w:pPr>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4">
    <w:nsid w:val="535778F6"/>
    <w:multiLevelType w:val="multilevel"/>
    <w:tmpl w:val="535778F6"/>
    <w:lvl w:ilvl="0" w:tentative="0">
      <w:start w:val="1"/>
      <w:numFmt w:val="chineseCountingThousand"/>
      <w:pStyle w:val="2"/>
      <w:suff w:val="nothing"/>
      <w:lvlText w:val="%1、"/>
      <w:lvlJc w:val="left"/>
      <w:rPr>
        <w:rFonts w:hint="eastAsia"/>
        <w:b/>
        <w:i w:val="0"/>
        <w:sz w:val="24"/>
      </w:rPr>
    </w:lvl>
    <w:lvl w:ilvl="1" w:tentative="0">
      <w:start w:val="1"/>
      <w:numFmt w:val="decimal"/>
      <w:suff w:val="nothing"/>
      <w:lvlText w:val="%2. "/>
      <w:lvlJc w:val="left"/>
      <w:rPr>
        <w:rFonts w:hint="eastAsia"/>
        <w:b w:val="0"/>
        <w:i w:val="0"/>
        <w:sz w:val="24"/>
      </w:rPr>
    </w:lvl>
    <w:lvl w:ilvl="2" w:tentative="0">
      <w:start w:val="1"/>
      <w:numFmt w:val="none"/>
      <w:suff w:val="nothing"/>
      <w:lvlText w:val=""/>
      <w:lvlJc w:val="left"/>
      <w:rPr>
        <w:rFonts w:hint="eastAsia"/>
      </w:rPr>
    </w:lvl>
    <w:lvl w:ilvl="3" w:tentative="0">
      <w:start w:val="1"/>
      <w:numFmt w:val="none"/>
      <w:suff w:val="nothing"/>
      <w:lvlText w:val=""/>
      <w:lvlJc w:val="left"/>
      <w:rPr>
        <w:rFonts w:hint="eastAsia"/>
      </w:rPr>
    </w:lvl>
    <w:lvl w:ilvl="4" w:tentative="0">
      <w:start w:val="1"/>
      <w:numFmt w:val="none"/>
      <w:suff w:val="nothing"/>
      <w:lvlText w:val=""/>
      <w:lvlJc w:val="left"/>
      <w:rPr>
        <w:rFonts w:hint="eastAsia"/>
      </w:rPr>
    </w:lvl>
    <w:lvl w:ilvl="5" w:tentative="0">
      <w:start w:val="1"/>
      <w:numFmt w:val="none"/>
      <w:suff w:val="nothing"/>
      <w:lvlText w:val=""/>
      <w:lvlJc w:val="left"/>
      <w:rPr>
        <w:rFonts w:hint="eastAsia"/>
      </w:rPr>
    </w:lvl>
    <w:lvl w:ilvl="6" w:tentative="0">
      <w:start w:val="1"/>
      <w:numFmt w:val="none"/>
      <w:suff w:val="nothing"/>
      <w:lvlText w:val=""/>
      <w:lvlJc w:val="left"/>
      <w:rPr>
        <w:rFonts w:hint="eastAsia"/>
      </w:rPr>
    </w:lvl>
    <w:lvl w:ilvl="7" w:tentative="0">
      <w:start w:val="1"/>
      <w:numFmt w:val="none"/>
      <w:suff w:val="nothing"/>
      <w:lvlText w:val=""/>
      <w:lvlJc w:val="left"/>
      <w:rPr>
        <w:rFonts w:hint="eastAsia"/>
      </w:rPr>
    </w:lvl>
    <w:lvl w:ilvl="8" w:tentative="0">
      <w:start w:val="1"/>
      <w:numFmt w:val="none"/>
      <w:suff w:val="nothing"/>
      <w:lvlText w:val=""/>
      <w:lvlJc w:val="left"/>
      <w:rPr>
        <w:rFonts w:hint="eastAsia"/>
      </w:rPr>
    </w:lvl>
  </w:abstractNum>
  <w:abstractNum w:abstractNumId="15">
    <w:nsid w:val="564ED0BA"/>
    <w:multiLevelType w:val="singleLevel"/>
    <w:tmpl w:val="564ED0BA"/>
    <w:lvl w:ilvl="0" w:tentative="0">
      <w:start w:val="3"/>
      <w:numFmt w:val="decimal"/>
      <w:lvlText w:val="%1."/>
      <w:lvlJc w:val="left"/>
      <w:pPr>
        <w:tabs>
          <w:tab w:val="left" w:pos="312"/>
        </w:tabs>
      </w:pPr>
    </w:lvl>
  </w:abstractNum>
  <w:abstractNum w:abstractNumId="16">
    <w:nsid w:val="66615F01"/>
    <w:multiLevelType w:val="multilevel"/>
    <w:tmpl w:val="66615F01"/>
    <w:lvl w:ilvl="0" w:tentative="0">
      <w:start w:val="2"/>
      <w:numFmt w:val="decimal"/>
      <w:suff w:val="nothing"/>
      <w:lvlText w:val="%1、"/>
      <w:lvlJc w:val="left"/>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17">
    <w:nsid w:val="79860B7A"/>
    <w:multiLevelType w:val="singleLevel"/>
    <w:tmpl w:val="79860B7A"/>
    <w:lvl w:ilvl="0" w:tentative="0">
      <w:start w:val="1"/>
      <w:numFmt w:val="chineseCounting"/>
      <w:suff w:val="nothing"/>
      <w:lvlText w:val="%1、"/>
      <w:lvlJc w:val="left"/>
      <w:rPr>
        <w:rFonts w:hint="eastAsia"/>
      </w:rPr>
    </w:lvl>
  </w:abstractNum>
  <w:num w:numId="1">
    <w:abstractNumId w:val="14"/>
  </w:num>
  <w:num w:numId="2">
    <w:abstractNumId w:val="17"/>
  </w:num>
  <w:num w:numId="3">
    <w:abstractNumId w:val="16"/>
  </w:num>
  <w:num w:numId="4">
    <w:abstractNumId w:val="8"/>
  </w:num>
  <w:num w:numId="5">
    <w:abstractNumId w:val="7"/>
  </w:num>
  <w:num w:numId="6">
    <w:abstractNumId w:val="0"/>
  </w:num>
  <w:num w:numId="7">
    <w:abstractNumId w:val="6"/>
  </w:num>
  <w:num w:numId="8">
    <w:abstractNumId w:val="11"/>
  </w:num>
  <w:num w:numId="9">
    <w:abstractNumId w:val="9"/>
  </w:num>
  <w:num w:numId="10">
    <w:abstractNumId w:val="3"/>
  </w:num>
  <w:num w:numId="11">
    <w:abstractNumId w:val="10"/>
  </w:num>
  <w:num w:numId="12">
    <w:abstractNumId w:val="13"/>
  </w:num>
  <w:num w:numId="13">
    <w:abstractNumId w:val="4"/>
  </w:num>
  <w:num w:numId="14">
    <w:abstractNumId w:val="2"/>
  </w:num>
  <w:num w:numId="15">
    <w:abstractNumId w:val="1"/>
  </w:num>
  <w:num w:numId="16">
    <w:abstractNumId w:val="12"/>
  </w:num>
  <w:num w:numId="17">
    <w:abstractNumId w:val="15"/>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DM0YzQzMGFjMjUzMGYwODMwZjhmZTEzMTA0N2U0NTcifQ=="/>
  </w:docVars>
  <w:rsids>
    <w:rsidRoot w:val="00172A27"/>
    <w:rsid w:val="000139FE"/>
    <w:rsid w:val="000805ED"/>
    <w:rsid w:val="000C396A"/>
    <w:rsid w:val="00172A27"/>
    <w:rsid w:val="001B51CA"/>
    <w:rsid w:val="001D5FB4"/>
    <w:rsid w:val="0022665D"/>
    <w:rsid w:val="003930FE"/>
    <w:rsid w:val="003B7070"/>
    <w:rsid w:val="003C0266"/>
    <w:rsid w:val="003E7241"/>
    <w:rsid w:val="00422C0C"/>
    <w:rsid w:val="00486360"/>
    <w:rsid w:val="00494FFB"/>
    <w:rsid w:val="004C2A67"/>
    <w:rsid w:val="004D19DE"/>
    <w:rsid w:val="004E0D0C"/>
    <w:rsid w:val="00753B57"/>
    <w:rsid w:val="007A7CB6"/>
    <w:rsid w:val="00815915"/>
    <w:rsid w:val="00834FAE"/>
    <w:rsid w:val="008368F8"/>
    <w:rsid w:val="00941028"/>
    <w:rsid w:val="00B34642"/>
    <w:rsid w:val="00B60F16"/>
    <w:rsid w:val="00B838B3"/>
    <w:rsid w:val="00BE5396"/>
    <w:rsid w:val="00C31D8B"/>
    <w:rsid w:val="00C4253E"/>
    <w:rsid w:val="00CE2934"/>
    <w:rsid w:val="00DC19CB"/>
    <w:rsid w:val="00DC53C5"/>
    <w:rsid w:val="00DD2329"/>
    <w:rsid w:val="00E0528D"/>
    <w:rsid w:val="00E110C6"/>
    <w:rsid w:val="00EF18CE"/>
    <w:rsid w:val="00FB180D"/>
    <w:rsid w:val="00FB3C7D"/>
    <w:rsid w:val="01341807"/>
    <w:rsid w:val="014557C2"/>
    <w:rsid w:val="01852063"/>
    <w:rsid w:val="01C6628B"/>
    <w:rsid w:val="02344013"/>
    <w:rsid w:val="02F079B0"/>
    <w:rsid w:val="033308D4"/>
    <w:rsid w:val="0344657A"/>
    <w:rsid w:val="03A43941"/>
    <w:rsid w:val="03C27E29"/>
    <w:rsid w:val="045B3CC8"/>
    <w:rsid w:val="04815783"/>
    <w:rsid w:val="04E672BC"/>
    <w:rsid w:val="04F419D9"/>
    <w:rsid w:val="05834B0B"/>
    <w:rsid w:val="061E6485"/>
    <w:rsid w:val="06581AF4"/>
    <w:rsid w:val="07267E44"/>
    <w:rsid w:val="073C31C4"/>
    <w:rsid w:val="08393BA7"/>
    <w:rsid w:val="08800364"/>
    <w:rsid w:val="08BF22FE"/>
    <w:rsid w:val="08E7610C"/>
    <w:rsid w:val="09FE0EBC"/>
    <w:rsid w:val="0A9E7CF1"/>
    <w:rsid w:val="0AE74918"/>
    <w:rsid w:val="0B167B54"/>
    <w:rsid w:val="0B8C3FDF"/>
    <w:rsid w:val="0BCA5242"/>
    <w:rsid w:val="0C003740"/>
    <w:rsid w:val="0C1F122F"/>
    <w:rsid w:val="0C292D5E"/>
    <w:rsid w:val="0C3C5A14"/>
    <w:rsid w:val="0CB84EB9"/>
    <w:rsid w:val="0CD44F76"/>
    <w:rsid w:val="0CD619C5"/>
    <w:rsid w:val="0CDE6770"/>
    <w:rsid w:val="0D243EB5"/>
    <w:rsid w:val="0D715BDB"/>
    <w:rsid w:val="0D8B27AF"/>
    <w:rsid w:val="0E4B129D"/>
    <w:rsid w:val="0F7C46DE"/>
    <w:rsid w:val="10150A56"/>
    <w:rsid w:val="10A818CA"/>
    <w:rsid w:val="10AA3E70"/>
    <w:rsid w:val="11FF551A"/>
    <w:rsid w:val="12176D07"/>
    <w:rsid w:val="126D6927"/>
    <w:rsid w:val="12766FDA"/>
    <w:rsid w:val="13671899"/>
    <w:rsid w:val="14011A1D"/>
    <w:rsid w:val="140C6870"/>
    <w:rsid w:val="14125D56"/>
    <w:rsid w:val="141525F1"/>
    <w:rsid w:val="15CE3B81"/>
    <w:rsid w:val="167D17D4"/>
    <w:rsid w:val="168801D3"/>
    <w:rsid w:val="179F6914"/>
    <w:rsid w:val="17B47BC0"/>
    <w:rsid w:val="17C9098C"/>
    <w:rsid w:val="185B78B3"/>
    <w:rsid w:val="19510D51"/>
    <w:rsid w:val="19805192"/>
    <w:rsid w:val="19C01A32"/>
    <w:rsid w:val="19F416DC"/>
    <w:rsid w:val="1A02029D"/>
    <w:rsid w:val="1A9C1D11"/>
    <w:rsid w:val="1AA25997"/>
    <w:rsid w:val="1AE93CEC"/>
    <w:rsid w:val="1B530684"/>
    <w:rsid w:val="1B657E2B"/>
    <w:rsid w:val="1C8B5C51"/>
    <w:rsid w:val="1CC42E5F"/>
    <w:rsid w:val="1D1D719C"/>
    <w:rsid w:val="1DBE0762"/>
    <w:rsid w:val="1EF65EF6"/>
    <w:rsid w:val="1F3F164B"/>
    <w:rsid w:val="1F416E3D"/>
    <w:rsid w:val="1F7D1043"/>
    <w:rsid w:val="1F903C55"/>
    <w:rsid w:val="20845B20"/>
    <w:rsid w:val="20995AD2"/>
    <w:rsid w:val="20A82B13"/>
    <w:rsid w:val="218B53EB"/>
    <w:rsid w:val="21EC25D4"/>
    <w:rsid w:val="228F429F"/>
    <w:rsid w:val="22E449E3"/>
    <w:rsid w:val="230474F0"/>
    <w:rsid w:val="23385178"/>
    <w:rsid w:val="23C12F77"/>
    <w:rsid w:val="23D72AF1"/>
    <w:rsid w:val="2401226D"/>
    <w:rsid w:val="241C0E93"/>
    <w:rsid w:val="243472A5"/>
    <w:rsid w:val="2494717A"/>
    <w:rsid w:val="2538103A"/>
    <w:rsid w:val="262219EF"/>
    <w:rsid w:val="26832B24"/>
    <w:rsid w:val="26CD1C32"/>
    <w:rsid w:val="26CF3504"/>
    <w:rsid w:val="26F62F37"/>
    <w:rsid w:val="27054F28"/>
    <w:rsid w:val="27082C6B"/>
    <w:rsid w:val="2758774E"/>
    <w:rsid w:val="279938C3"/>
    <w:rsid w:val="27B8714E"/>
    <w:rsid w:val="28406266"/>
    <w:rsid w:val="285A37EB"/>
    <w:rsid w:val="29842DB8"/>
    <w:rsid w:val="29B260CA"/>
    <w:rsid w:val="2A4979FE"/>
    <w:rsid w:val="2AFB200E"/>
    <w:rsid w:val="2D4A6466"/>
    <w:rsid w:val="2D99461C"/>
    <w:rsid w:val="2D9E76CF"/>
    <w:rsid w:val="2DB679EE"/>
    <w:rsid w:val="2DBF3C7A"/>
    <w:rsid w:val="2E496043"/>
    <w:rsid w:val="2EBE10E7"/>
    <w:rsid w:val="2F2C75F9"/>
    <w:rsid w:val="2FAF6379"/>
    <w:rsid w:val="30295511"/>
    <w:rsid w:val="317B29B7"/>
    <w:rsid w:val="31D106F9"/>
    <w:rsid w:val="31EF1FFF"/>
    <w:rsid w:val="31FC1192"/>
    <w:rsid w:val="322B724D"/>
    <w:rsid w:val="330E4109"/>
    <w:rsid w:val="33405582"/>
    <w:rsid w:val="339B31A9"/>
    <w:rsid w:val="33B971A6"/>
    <w:rsid w:val="33FB393B"/>
    <w:rsid w:val="35657B77"/>
    <w:rsid w:val="36251143"/>
    <w:rsid w:val="36543AE7"/>
    <w:rsid w:val="36A007CA"/>
    <w:rsid w:val="36C15F36"/>
    <w:rsid w:val="372667B6"/>
    <w:rsid w:val="37766A32"/>
    <w:rsid w:val="37C16C4A"/>
    <w:rsid w:val="38E56968"/>
    <w:rsid w:val="3A1F5EA9"/>
    <w:rsid w:val="3A6A181A"/>
    <w:rsid w:val="3A744447"/>
    <w:rsid w:val="3A786976"/>
    <w:rsid w:val="3A8D5509"/>
    <w:rsid w:val="3A8E0E84"/>
    <w:rsid w:val="3A9E3272"/>
    <w:rsid w:val="3B323AF4"/>
    <w:rsid w:val="3BBD1E1E"/>
    <w:rsid w:val="3BC136BC"/>
    <w:rsid w:val="3BDC6748"/>
    <w:rsid w:val="3C6F7D6A"/>
    <w:rsid w:val="3C731553"/>
    <w:rsid w:val="3CD56576"/>
    <w:rsid w:val="3CF63839"/>
    <w:rsid w:val="3D0700EF"/>
    <w:rsid w:val="3D0F2205"/>
    <w:rsid w:val="3D4A2484"/>
    <w:rsid w:val="3DDF3B97"/>
    <w:rsid w:val="3E9810FD"/>
    <w:rsid w:val="3ED5122D"/>
    <w:rsid w:val="3F0538C0"/>
    <w:rsid w:val="3F2301EA"/>
    <w:rsid w:val="3FE2235E"/>
    <w:rsid w:val="40610FCA"/>
    <w:rsid w:val="41AD2EA1"/>
    <w:rsid w:val="41F93484"/>
    <w:rsid w:val="42024A2E"/>
    <w:rsid w:val="4224333B"/>
    <w:rsid w:val="42404D69"/>
    <w:rsid w:val="42546696"/>
    <w:rsid w:val="42AC04F6"/>
    <w:rsid w:val="432F1853"/>
    <w:rsid w:val="438A2377"/>
    <w:rsid w:val="43C1666A"/>
    <w:rsid w:val="448156A1"/>
    <w:rsid w:val="448636F5"/>
    <w:rsid w:val="448D03FE"/>
    <w:rsid w:val="449B04C7"/>
    <w:rsid w:val="44AE0B65"/>
    <w:rsid w:val="44D53DD8"/>
    <w:rsid w:val="44E83CF9"/>
    <w:rsid w:val="455C26A8"/>
    <w:rsid w:val="45601733"/>
    <w:rsid w:val="45D70611"/>
    <w:rsid w:val="46717A8D"/>
    <w:rsid w:val="46816F17"/>
    <w:rsid w:val="46B14AC6"/>
    <w:rsid w:val="46CD455E"/>
    <w:rsid w:val="47817C3B"/>
    <w:rsid w:val="47BB2A9D"/>
    <w:rsid w:val="47EB386F"/>
    <w:rsid w:val="48631747"/>
    <w:rsid w:val="486A0C38"/>
    <w:rsid w:val="487321E2"/>
    <w:rsid w:val="4A845D01"/>
    <w:rsid w:val="4AE81183"/>
    <w:rsid w:val="4AF55130"/>
    <w:rsid w:val="4B7122DD"/>
    <w:rsid w:val="4B8244EA"/>
    <w:rsid w:val="4B8B339F"/>
    <w:rsid w:val="4C1E2465"/>
    <w:rsid w:val="4C563213"/>
    <w:rsid w:val="4C6E709A"/>
    <w:rsid w:val="4CD358DF"/>
    <w:rsid w:val="4D0C050F"/>
    <w:rsid w:val="4D0D52A8"/>
    <w:rsid w:val="4DBA61BD"/>
    <w:rsid w:val="4DEA6AA2"/>
    <w:rsid w:val="4EB470B0"/>
    <w:rsid w:val="4EC13957"/>
    <w:rsid w:val="4ECF7A46"/>
    <w:rsid w:val="4F431266"/>
    <w:rsid w:val="4F4C0518"/>
    <w:rsid w:val="4FB07878"/>
    <w:rsid w:val="50253BE0"/>
    <w:rsid w:val="506B7C43"/>
    <w:rsid w:val="515406D7"/>
    <w:rsid w:val="51D9009E"/>
    <w:rsid w:val="51ED77F8"/>
    <w:rsid w:val="51F83C97"/>
    <w:rsid w:val="526B5CD8"/>
    <w:rsid w:val="53805127"/>
    <w:rsid w:val="53EB1D3B"/>
    <w:rsid w:val="54E05E2C"/>
    <w:rsid w:val="55A43581"/>
    <w:rsid w:val="55AE7D70"/>
    <w:rsid w:val="55B321D5"/>
    <w:rsid w:val="55C02912"/>
    <w:rsid w:val="561A3E82"/>
    <w:rsid w:val="568C327E"/>
    <w:rsid w:val="56B934B6"/>
    <w:rsid w:val="56D46032"/>
    <w:rsid w:val="574B5A5E"/>
    <w:rsid w:val="57857269"/>
    <w:rsid w:val="57BF23BE"/>
    <w:rsid w:val="57E731A2"/>
    <w:rsid w:val="580246F7"/>
    <w:rsid w:val="58323731"/>
    <w:rsid w:val="58496ABB"/>
    <w:rsid w:val="584E2F48"/>
    <w:rsid w:val="586E207E"/>
    <w:rsid w:val="58C35ABF"/>
    <w:rsid w:val="58E93DFA"/>
    <w:rsid w:val="59B24BBB"/>
    <w:rsid w:val="59BA483A"/>
    <w:rsid w:val="59C60768"/>
    <w:rsid w:val="59EC0167"/>
    <w:rsid w:val="5A24333C"/>
    <w:rsid w:val="5A637DDC"/>
    <w:rsid w:val="5A840DA9"/>
    <w:rsid w:val="5A9F0C15"/>
    <w:rsid w:val="5AAA46F7"/>
    <w:rsid w:val="5B04634E"/>
    <w:rsid w:val="5B28696E"/>
    <w:rsid w:val="5B394FE4"/>
    <w:rsid w:val="5B4530A0"/>
    <w:rsid w:val="5B596270"/>
    <w:rsid w:val="5C0C07DD"/>
    <w:rsid w:val="5C86202D"/>
    <w:rsid w:val="5CC90473"/>
    <w:rsid w:val="5CD4627D"/>
    <w:rsid w:val="5D52137B"/>
    <w:rsid w:val="5DE15A3A"/>
    <w:rsid w:val="5DF50B4C"/>
    <w:rsid w:val="5EFD415C"/>
    <w:rsid w:val="5F295256"/>
    <w:rsid w:val="5F2A0B3D"/>
    <w:rsid w:val="5F645F89"/>
    <w:rsid w:val="5F770BFC"/>
    <w:rsid w:val="5F937CC8"/>
    <w:rsid w:val="5F9F3465"/>
    <w:rsid w:val="5FEB2206"/>
    <w:rsid w:val="60911D97"/>
    <w:rsid w:val="61630BEE"/>
    <w:rsid w:val="6220263B"/>
    <w:rsid w:val="622668B9"/>
    <w:rsid w:val="62606EDB"/>
    <w:rsid w:val="62704CA4"/>
    <w:rsid w:val="63134F77"/>
    <w:rsid w:val="634A2B7C"/>
    <w:rsid w:val="63A252D2"/>
    <w:rsid w:val="63B26D4B"/>
    <w:rsid w:val="63D053E1"/>
    <w:rsid w:val="64373EEA"/>
    <w:rsid w:val="64634A61"/>
    <w:rsid w:val="64790728"/>
    <w:rsid w:val="64A706F2"/>
    <w:rsid w:val="64B82FFF"/>
    <w:rsid w:val="65111D7C"/>
    <w:rsid w:val="655C6080"/>
    <w:rsid w:val="66342969"/>
    <w:rsid w:val="666A72B0"/>
    <w:rsid w:val="66AD3F83"/>
    <w:rsid w:val="67587D40"/>
    <w:rsid w:val="67950E0C"/>
    <w:rsid w:val="67B778FE"/>
    <w:rsid w:val="683F776E"/>
    <w:rsid w:val="684E3DC9"/>
    <w:rsid w:val="686B2A07"/>
    <w:rsid w:val="68E27ED1"/>
    <w:rsid w:val="6A1C5DDE"/>
    <w:rsid w:val="6A2C10EE"/>
    <w:rsid w:val="6A2E3D63"/>
    <w:rsid w:val="6A593A48"/>
    <w:rsid w:val="6ADA5335"/>
    <w:rsid w:val="6B1C3BBC"/>
    <w:rsid w:val="6B39299D"/>
    <w:rsid w:val="6B4D04A6"/>
    <w:rsid w:val="6B987B3B"/>
    <w:rsid w:val="6BA918F3"/>
    <w:rsid w:val="6C9A51D1"/>
    <w:rsid w:val="6D087D5B"/>
    <w:rsid w:val="6D583538"/>
    <w:rsid w:val="6DA648F8"/>
    <w:rsid w:val="6DC42A14"/>
    <w:rsid w:val="6E6F7323"/>
    <w:rsid w:val="6F7C0B30"/>
    <w:rsid w:val="6F8953BE"/>
    <w:rsid w:val="6FA523D2"/>
    <w:rsid w:val="6FDC1B6B"/>
    <w:rsid w:val="70512559"/>
    <w:rsid w:val="706202C3"/>
    <w:rsid w:val="70D0347E"/>
    <w:rsid w:val="71092E34"/>
    <w:rsid w:val="71282AC0"/>
    <w:rsid w:val="71347EB1"/>
    <w:rsid w:val="71E73B5B"/>
    <w:rsid w:val="71F32FA3"/>
    <w:rsid w:val="721146F5"/>
    <w:rsid w:val="728A40F6"/>
    <w:rsid w:val="72EE408F"/>
    <w:rsid w:val="73330476"/>
    <w:rsid w:val="73AB1F81"/>
    <w:rsid w:val="73CD6E05"/>
    <w:rsid w:val="74393A30"/>
    <w:rsid w:val="74793E2D"/>
    <w:rsid w:val="74956EB9"/>
    <w:rsid w:val="75734D20"/>
    <w:rsid w:val="76BE0A22"/>
    <w:rsid w:val="76EF6628"/>
    <w:rsid w:val="76FD0D45"/>
    <w:rsid w:val="771875F1"/>
    <w:rsid w:val="774E2098"/>
    <w:rsid w:val="7789082B"/>
    <w:rsid w:val="77936844"/>
    <w:rsid w:val="77F21341"/>
    <w:rsid w:val="78104AA8"/>
    <w:rsid w:val="786C7F30"/>
    <w:rsid w:val="78EC1071"/>
    <w:rsid w:val="791451C8"/>
    <w:rsid w:val="7956473D"/>
    <w:rsid w:val="797D4C25"/>
    <w:rsid w:val="798C50E3"/>
    <w:rsid w:val="79B0209F"/>
    <w:rsid w:val="7A7E219D"/>
    <w:rsid w:val="7A7E721E"/>
    <w:rsid w:val="7A8C54AA"/>
    <w:rsid w:val="7AA53BCD"/>
    <w:rsid w:val="7AB00D58"/>
    <w:rsid w:val="7AC34F5C"/>
    <w:rsid w:val="7B6B47CE"/>
    <w:rsid w:val="7BE35A96"/>
    <w:rsid w:val="7C276DD8"/>
    <w:rsid w:val="7D432465"/>
    <w:rsid w:val="7DAB14FB"/>
    <w:rsid w:val="7E722019"/>
    <w:rsid w:val="7E7318ED"/>
    <w:rsid w:val="7EB048EF"/>
    <w:rsid w:val="7F264BB1"/>
    <w:rsid w:val="7F73429A"/>
    <w:rsid w:val="7FB27487"/>
    <w:rsid w:val="7FF0769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qFormat="1" w:unhideWhenUsed="0" w:uiPriority="0" w:semiHidden="0" w:name="List"/>
    <w:lsdException w:unhideWhenUsed="0" w:uiPriority="0" w:semiHidden="0" w:name="List Bullet"/>
    <w:lsdException w:unhideWhenUsed="0" w:uiPriority="0" w:semiHidden="0" w:name="List Number"/>
    <w:lsdException w:qFormat="1" w:uiPriority="99"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iPriority="0" w:semiHidden="0" w:name="Normal (Web)"/>
    <w:lsdException w:qFormat="1" w:uiPriority="0" w:name="HTML Acronym"/>
    <w:lsdException w:uiPriority="0" w:name="HTML Address"/>
    <w:lsdException w:qFormat="1" w:uiPriority="0" w:name="HTML Cite"/>
    <w:lsdException w:qFormat="1" w:uiPriority="0" w:name="HTML Code"/>
    <w:lsdException w:qFormat="1" w:uiPriority="0" w:name="HTML Definition"/>
    <w:lsdException w:qFormat="1" w:uiPriority="0" w:name="HTML Keyboard"/>
    <w:lsdException w:uiPriority="0" w:name="HTML Preformatted"/>
    <w:lsdException w:qFormat="1" w:uiPriority="0" w:name="HTML Sample"/>
    <w:lsdException w:qFormat="1" w:uiPriority="0" w:name="HTML Typewriter"/>
    <w:lsdException w:qFormat="1"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numPr>
        <w:ilvl w:val="0"/>
        <w:numId w:val="1"/>
      </w:numPr>
      <w:spacing w:before="340" w:after="330" w:line="578" w:lineRule="auto"/>
      <w:outlineLvl w:val="0"/>
    </w:pPr>
    <w:rPr>
      <w:b/>
      <w:kern w:val="44"/>
      <w:sz w:val="44"/>
    </w:rPr>
  </w:style>
  <w:style w:type="paragraph" w:styleId="3">
    <w:name w:val="heading 2"/>
    <w:basedOn w:val="1"/>
    <w:next w:val="1"/>
    <w:qFormat/>
    <w:uiPriority w:val="0"/>
    <w:pPr>
      <w:keepNext/>
      <w:keepLines/>
      <w:spacing w:line="413" w:lineRule="auto"/>
      <w:outlineLvl w:val="1"/>
    </w:pPr>
    <w:rPr>
      <w:rFonts w:ascii="Arial" w:hAnsi="Arial" w:eastAsia="黑体"/>
      <w:b/>
      <w:sz w:val="32"/>
    </w:rPr>
  </w:style>
  <w:style w:type="paragraph" w:styleId="4">
    <w:name w:val="heading 3"/>
    <w:basedOn w:val="1"/>
    <w:next w:val="1"/>
    <w:qFormat/>
    <w:uiPriority w:val="0"/>
    <w:pPr>
      <w:keepNext/>
      <w:keepLines/>
      <w:spacing w:before="200" w:after="200"/>
      <w:outlineLvl w:val="2"/>
    </w:pPr>
    <w:rPr>
      <w:rFonts w:ascii="Times New Roman" w:hAnsi="Times New Roman" w:eastAsia="黑体" w:cs="Times New Roman"/>
      <w:bCs/>
      <w:sz w:val="30"/>
      <w:szCs w:val="32"/>
    </w:rPr>
  </w:style>
  <w:style w:type="paragraph" w:styleId="5">
    <w:name w:val="heading 4"/>
    <w:basedOn w:val="1"/>
    <w:next w:val="1"/>
    <w:unhideWhenUsed/>
    <w:qFormat/>
    <w:uiPriority w:val="0"/>
    <w:pPr>
      <w:spacing w:before="100" w:beforeAutospacing="1" w:after="100" w:afterAutospacing="1"/>
      <w:jc w:val="left"/>
      <w:outlineLvl w:val="3"/>
    </w:pPr>
    <w:rPr>
      <w:rFonts w:ascii="宋体" w:hAnsi="宋体"/>
      <w:b/>
      <w:kern w:val="0"/>
      <w:sz w:val="24"/>
      <w:szCs w:val="24"/>
    </w:rPr>
  </w:style>
  <w:style w:type="paragraph" w:styleId="6">
    <w:name w:val="heading 5"/>
    <w:basedOn w:val="1"/>
    <w:next w:val="1"/>
    <w:qFormat/>
    <w:uiPriority w:val="1"/>
    <w:pPr>
      <w:ind w:left="1024" w:hanging="483"/>
      <w:outlineLvl w:val="4"/>
    </w:pPr>
    <w:rPr>
      <w:rFonts w:ascii="宋体" w:hAnsi="宋体" w:cs="宋体"/>
      <w:b/>
      <w:bCs/>
      <w:sz w:val="24"/>
      <w:szCs w:val="24"/>
      <w:lang w:val="zh-CN" w:bidi="zh-CN"/>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Normal Indent"/>
    <w:basedOn w:val="1"/>
    <w:next w:val="8"/>
    <w:qFormat/>
    <w:uiPriority w:val="0"/>
    <w:pPr>
      <w:ind w:firstLine="420"/>
    </w:pPr>
  </w:style>
  <w:style w:type="paragraph" w:styleId="8">
    <w:name w:val="Body Text 2"/>
    <w:basedOn w:val="1"/>
    <w:next w:val="9"/>
    <w:qFormat/>
    <w:uiPriority w:val="0"/>
    <w:pPr>
      <w:spacing w:line="480" w:lineRule="auto"/>
    </w:pPr>
  </w:style>
  <w:style w:type="paragraph" w:styleId="9">
    <w:name w:val="Body Text"/>
    <w:basedOn w:val="1"/>
    <w:next w:val="10"/>
    <w:qFormat/>
    <w:uiPriority w:val="0"/>
    <w:rPr>
      <w:sz w:val="30"/>
    </w:rPr>
  </w:style>
  <w:style w:type="paragraph" w:customStyle="1" w:styleId="10">
    <w:name w:val="标书正文居左"/>
    <w:next w:val="11"/>
    <w:qFormat/>
    <w:uiPriority w:val="0"/>
    <w:pPr>
      <w:widowControl w:val="0"/>
      <w:spacing w:before="50" w:line="480" w:lineRule="exact"/>
      <w:jc w:val="both"/>
    </w:pPr>
    <w:rPr>
      <w:rFonts w:ascii="Calibri" w:hAnsi="Calibri" w:eastAsia="黑体" w:cs="Times New Roman"/>
      <w:b/>
      <w:sz w:val="28"/>
      <w:lang w:val="en-US" w:eastAsia="zh-CN" w:bidi="ar-SA"/>
    </w:rPr>
  </w:style>
  <w:style w:type="paragraph" w:customStyle="1" w:styleId="11">
    <w:name w:val="xl63"/>
    <w:basedOn w:val="1"/>
    <w:next w:val="12"/>
    <w:qFormat/>
    <w:uiPriority w:val="0"/>
    <w:pPr>
      <w:widowControl/>
      <w:shd w:val="clear" w:color="000000" w:fill="FFFFFF"/>
      <w:spacing w:before="280" w:after="280"/>
      <w:jc w:val="center"/>
    </w:pPr>
    <w:rPr>
      <w:rFonts w:ascii="宋体"/>
      <w:color w:val="000000"/>
      <w:sz w:val="24"/>
    </w:rPr>
  </w:style>
  <w:style w:type="paragraph" w:customStyle="1" w:styleId="12">
    <w:name w:val="xl64"/>
    <w:basedOn w:val="1"/>
    <w:next w:val="1"/>
    <w:qFormat/>
    <w:uiPriority w:val="0"/>
    <w:pPr>
      <w:widowControl/>
      <w:shd w:val="clear" w:color="000000" w:fill="FFFFFF"/>
      <w:spacing w:before="280" w:after="280"/>
    </w:pPr>
    <w:rPr>
      <w:rFonts w:ascii="宋体"/>
      <w:color w:val="000000"/>
      <w:sz w:val="24"/>
    </w:rPr>
  </w:style>
  <w:style w:type="paragraph" w:styleId="13">
    <w:name w:val="annotation text"/>
    <w:basedOn w:val="1"/>
    <w:link w:val="73"/>
    <w:qFormat/>
    <w:uiPriority w:val="0"/>
    <w:pPr>
      <w:jc w:val="left"/>
    </w:pPr>
  </w:style>
  <w:style w:type="paragraph" w:styleId="14">
    <w:name w:val="Body Text Indent"/>
    <w:basedOn w:val="1"/>
    <w:qFormat/>
    <w:uiPriority w:val="0"/>
    <w:pPr>
      <w:spacing w:line="420" w:lineRule="exact"/>
      <w:ind w:firstLine="732" w:firstLineChars="300"/>
    </w:pPr>
    <w:rPr>
      <w:spacing w:val="2"/>
      <w:sz w:val="24"/>
    </w:rPr>
  </w:style>
  <w:style w:type="paragraph" w:styleId="15">
    <w:name w:val="List 2"/>
    <w:basedOn w:val="1"/>
    <w:unhideWhenUsed/>
    <w:qFormat/>
    <w:uiPriority w:val="99"/>
    <w:pPr>
      <w:ind w:left="100" w:leftChars="200" w:hanging="200" w:hangingChars="200"/>
      <w:contextualSpacing/>
    </w:pPr>
  </w:style>
  <w:style w:type="paragraph" w:styleId="16">
    <w:name w:val="Plain Text"/>
    <w:basedOn w:val="1"/>
    <w:qFormat/>
    <w:uiPriority w:val="0"/>
    <w:rPr>
      <w:rFonts w:ascii="宋体" w:hAnsi="Courier New"/>
    </w:rPr>
  </w:style>
  <w:style w:type="paragraph" w:styleId="17">
    <w:name w:val="Date"/>
    <w:basedOn w:val="1"/>
    <w:next w:val="1"/>
    <w:link w:val="52"/>
    <w:qFormat/>
    <w:uiPriority w:val="0"/>
  </w:style>
  <w:style w:type="paragraph" w:styleId="18">
    <w:name w:val="Body Text Indent 2"/>
    <w:basedOn w:val="1"/>
    <w:qFormat/>
    <w:uiPriority w:val="0"/>
    <w:pPr>
      <w:adjustRightInd w:val="0"/>
      <w:snapToGrid w:val="0"/>
      <w:spacing w:line="360" w:lineRule="auto"/>
      <w:ind w:firstLine="602" w:firstLineChars="200"/>
      <w:jc w:val="center"/>
    </w:pPr>
    <w:rPr>
      <w:b/>
      <w:sz w:val="30"/>
    </w:rPr>
  </w:style>
  <w:style w:type="paragraph" w:styleId="19">
    <w:name w:val="Balloon Text"/>
    <w:basedOn w:val="1"/>
    <w:link w:val="75"/>
    <w:qFormat/>
    <w:uiPriority w:val="0"/>
    <w:rPr>
      <w:sz w:val="18"/>
      <w:szCs w:val="18"/>
    </w:rPr>
  </w:style>
  <w:style w:type="paragraph" w:styleId="20">
    <w:name w:val="footer"/>
    <w:basedOn w:val="1"/>
    <w:qFormat/>
    <w:uiPriority w:val="0"/>
    <w:pPr>
      <w:tabs>
        <w:tab w:val="center" w:pos="4153"/>
        <w:tab w:val="right" w:pos="8306"/>
      </w:tabs>
      <w:snapToGrid w:val="0"/>
      <w:jc w:val="left"/>
    </w:pPr>
    <w:rPr>
      <w:sz w:val="18"/>
    </w:rPr>
  </w:style>
  <w:style w:type="paragraph" w:styleId="2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tabs>
        <w:tab w:val="right" w:leader="dot" w:pos="9060"/>
      </w:tabs>
      <w:spacing w:line="400" w:lineRule="exact"/>
      <w:jc w:val="center"/>
    </w:pPr>
  </w:style>
  <w:style w:type="paragraph" w:styleId="23">
    <w:name w:val="List"/>
    <w:basedOn w:val="1"/>
    <w:qFormat/>
    <w:uiPriority w:val="0"/>
    <w:pPr>
      <w:ind w:left="420" w:hanging="420"/>
    </w:pPr>
    <w:rPr>
      <w:rFonts w:eastAsia="楷体_GB2312"/>
      <w:sz w:val="32"/>
    </w:rPr>
  </w:style>
  <w:style w:type="paragraph" w:styleId="24">
    <w:name w:val="toc 2"/>
    <w:basedOn w:val="1"/>
    <w:next w:val="1"/>
    <w:qFormat/>
    <w:uiPriority w:val="39"/>
    <w:pPr>
      <w:tabs>
        <w:tab w:val="right" w:leader="dot" w:pos="9060"/>
      </w:tabs>
      <w:spacing w:line="380" w:lineRule="exact"/>
      <w:ind w:left="420" w:leftChars="200"/>
    </w:pPr>
  </w:style>
  <w:style w:type="paragraph" w:styleId="25">
    <w:name w:val="List Continue 2"/>
    <w:basedOn w:val="1"/>
    <w:qFormat/>
    <w:uiPriority w:val="0"/>
    <w:pPr>
      <w:ind w:left="840" w:leftChars="400"/>
    </w:pPr>
  </w:style>
  <w:style w:type="paragraph" w:styleId="26">
    <w:name w:val="Normal (Web)"/>
    <w:basedOn w:val="1"/>
    <w:unhideWhenUsed/>
    <w:qFormat/>
    <w:uiPriority w:val="0"/>
    <w:pPr>
      <w:widowControl/>
      <w:spacing w:before="100" w:beforeAutospacing="1" w:after="100" w:afterAutospacing="1"/>
      <w:jc w:val="left"/>
    </w:pPr>
    <w:rPr>
      <w:rFonts w:ascii="宋体" w:hAnsi="宋体"/>
      <w:kern w:val="0"/>
      <w:sz w:val="24"/>
      <w:szCs w:val="24"/>
    </w:rPr>
  </w:style>
  <w:style w:type="paragraph" w:styleId="27">
    <w:name w:val="annotation subject"/>
    <w:basedOn w:val="13"/>
    <w:next w:val="13"/>
    <w:link w:val="74"/>
    <w:qFormat/>
    <w:uiPriority w:val="0"/>
    <w:rPr>
      <w:b/>
      <w:bCs/>
    </w:rPr>
  </w:style>
  <w:style w:type="paragraph" w:styleId="28">
    <w:name w:val="Body Text First Indent"/>
    <w:basedOn w:val="9"/>
    <w:next w:val="29"/>
    <w:qFormat/>
    <w:uiPriority w:val="0"/>
    <w:pPr>
      <w:ind w:firstLine="420"/>
    </w:pPr>
    <w:rPr>
      <w:rFonts w:eastAsia="楷体_GB2312"/>
      <w:sz w:val="32"/>
      <w:szCs w:val="32"/>
    </w:rPr>
  </w:style>
  <w:style w:type="paragraph" w:styleId="29">
    <w:name w:val="Body Text First Indent 2"/>
    <w:basedOn w:val="14"/>
    <w:next w:val="1"/>
    <w:unhideWhenUsed/>
    <w:qFormat/>
    <w:uiPriority w:val="99"/>
    <w:pPr>
      <w:ind w:firstLine="420" w:firstLineChars="200"/>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0"/>
    <w:rPr>
      <w:b/>
      <w:bCs/>
    </w:rPr>
  </w:style>
  <w:style w:type="character" w:styleId="34">
    <w:name w:val="page number"/>
    <w:basedOn w:val="32"/>
    <w:qFormat/>
    <w:uiPriority w:val="0"/>
  </w:style>
  <w:style w:type="character" w:styleId="35">
    <w:name w:val="FollowedHyperlink"/>
    <w:basedOn w:val="32"/>
    <w:qFormat/>
    <w:uiPriority w:val="0"/>
    <w:rPr>
      <w:color w:val="444444"/>
      <w:sz w:val="21"/>
      <w:szCs w:val="21"/>
      <w:u w:val="none"/>
    </w:rPr>
  </w:style>
  <w:style w:type="character" w:styleId="36">
    <w:name w:val="Emphasis"/>
    <w:basedOn w:val="32"/>
    <w:qFormat/>
    <w:uiPriority w:val="0"/>
    <w:rPr>
      <w:b/>
      <w:bCs/>
    </w:rPr>
  </w:style>
  <w:style w:type="character" w:styleId="37">
    <w:name w:val="HTML Definition"/>
    <w:basedOn w:val="32"/>
    <w:semiHidden/>
    <w:unhideWhenUsed/>
    <w:qFormat/>
    <w:uiPriority w:val="0"/>
  </w:style>
  <w:style w:type="character" w:styleId="38">
    <w:name w:val="HTML Typewriter"/>
    <w:basedOn w:val="32"/>
    <w:semiHidden/>
    <w:unhideWhenUsed/>
    <w:qFormat/>
    <w:uiPriority w:val="0"/>
    <w:rPr>
      <w:rFonts w:hint="default" w:ascii="monospace" w:hAnsi="monospace" w:eastAsia="monospace" w:cs="monospace"/>
      <w:sz w:val="20"/>
    </w:rPr>
  </w:style>
  <w:style w:type="character" w:styleId="39">
    <w:name w:val="HTML Acronym"/>
    <w:basedOn w:val="32"/>
    <w:semiHidden/>
    <w:unhideWhenUsed/>
    <w:qFormat/>
    <w:uiPriority w:val="0"/>
  </w:style>
  <w:style w:type="character" w:styleId="40">
    <w:name w:val="HTML Variable"/>
    <w:basedOn w:val="32"/>
    <w:semiHidden/>
    <w:unhideWhenUsed/>
    <w:qFormat/>
    <w:uiPriority w:val="0"/>
  </w:style>
  <w:style w:type="character" w:styleId="41">
    <w:name w:val="Hyperlink"/>
    <w:basedOn w:val="32"/>
    <w:qFormat/>
    <w:uiPriority w:val="0"/>
    <w:rPr>
      <w:color w:val="444444"/>
      <w:sz w:val="21"/>
      <w:szCs w:val="21"/>
      <w:u w:val="none"/>
    </w:rPr>
  </w:style>
  <w:style w:type="character" w:styleId="42">
    <w:name w:val="HTML Code"/>
    <w:basedOn w:val="32"/>
    <w:semiHidden/>
    <w:unhideWhenUsed/>
    <w:qFormat/>
    <w:uiPriority w:val="0"/>
    <w:rPr>
      <w:rFonts w:hint="default" w:ascii="monospace" w:hAnsi="monospace" w:eastAsia="monospace" w:cs="monospace"/>
      <w:sz w:val="20"/>
    </w:rPr>
  </w:style>
  <w:style w:type="character" w:styleId="43">
    <w:name w:val="annotation reference"/>
    <w:basedOn w:val="32"/>
    <w:qFormat/>
    <w:uiPriority w:val="0"/>
    <w:rPr>
      <w:sz w:val="21"/>
      <w:szCs w:val="21"/>
    </w:rPr>
  </w:style>
  <w:style w:type="character" w:styleId="44">
    <w:name w:val="HTML Cite"/>
    <w:basedOn w:val="32"/>
    <w:semiHidden/>
    <w:unhideWhenUsed/>
    <w:qFormat/>
    <w:uiPriority w:val="0"/>
  </w:style>
  <w:style w:type="character" w:styleId="45">
    <w:name w:val="HTML Keyboard"/>
    <w:basedOn w:val="32"/>
    <w:semiHidden/>
    <w:unhideWhenUsed/>
    <w:qFormat/>
    <w:uiPriority w:val="0"/>
    <w:rPr>
      <w:rFonts w:hint="default" w:ascii="monospace" w:hAnsi="monospace" w:eastAsia="monospace" w:cs="monospace"/>
      <w:sz w:val="20"/>
    </w:rPr>
  </w:style>
  <w:style w:type="character" w:styleId="46">
    <w:name w:val="HTML Sample"/>
    <w:basedOn w:val="32"/>
    <w:semiHidden/>
    <w:unhideWhenUsed/>
    <w:qFormat/>
    <w:uiPriority w:val="0"/>
    <w:rPr>
      <w:rFonts w:ascii="monospace" w:hAnsi="monospace" w:eastAsia="monospace" w:cs="monospace"/>
    </w:rPr>
  </w:style>
  <w:style w:type="paragraph" w:customStyle="1" w:styleId="47">
    <w:name w:val="样式 标题 2 + Times New Roman 四号 非加粗 段前: 5 磅 段后: 0 磅 行距: 固定值 20..."/>
    <w:basedOn w:val="3"/>
    <w:next w:val="1"/>
    <w:qFormat/>
    <w:uiPriority w:val="0"/>
    <w:pPr>
      <w:spacing w:line="400" w:lineRule="exact"/>
    </w:pPr>
    <w:rPr>
      <w:rFonts w:ascii="Times New Roman" w:hAnsi="Times New Roman"/>
      <w:b w:val="0"/>
      <w:sz w:val="28"/>
    </w:rPr>
  </w:style>
  <w:style w:type="paragraph" w:customStyle="1" w:styleId="48">
    <w:name w:val="Default"/>
    <w:next w:val="49"/>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49">
    <w:name w:val="Char Char10 Char Char Char Char"/>
    <w:basedOn w:val="1"/>
    <w:next w:val="50"/>
    <w:unhideWhenUsed/>
    <w:qFormat/>
    <w:uiPriority w:val="0"/>
    <w:rPr>
      <w:rFonts w:hint="eastAsia" w:eastAsia="Times New Roman"/>
      <w:szCs w:val="24"/>
    </w:rPr>
  </w:style>
  <w:style w:type="paragraph" w:customStyle="1" w:styleId="50">
    <w:name w:val="xl87"/>
    <w:basedOn w:val="1"/>
    <w:next w:val="51"/>
    <w:unhideWhenUsed/>
    <w:qFormat/>
    <w:uiPriority w:val="99"/>
    <w:pPr>
      <w:widowControl/>
      <w:shd w:val="clear" w:color="FFFFFF" w:fill="FFFFFF"/>
      <w:spacing w:before="280" w:after="280"/>
      <w:jc w:val="right"/>
    </w:pPr>
    <w:rPr>
      <w:rFonts w:hint="eastAsia" w:ascii="宋体"/>
      <w:kern w:val="0"/>
      <w:sz w:val="24"/>
      <w:szCs w:val="24"/>
    </w:rPr>
  </w:style>
  <w:style w:type="paragraph" w:customStyle="1" w:styleId="51">
    <w:name w:val="xl72"/>
    <w:basedOn w:val="1"/>
    <w:next w:val="17"/>
    <w:unhideWhenUsed/>
    <w:qFormat/>
    <w:uiPriority w:val="99"/>
    <w:pPr>
      <w:widowControl/>
      <w:shd w:val="clear" w:color="FFFFFF" w:fill="FFFFFF"/>
      <w:spacing w:before="280" w:after="280"/>
      <w:jc w:val="right"/>
    </w:pPr>
    <w:rPr>
      <w:rFonts w:hint="eastAsia" w:ascii="宋体"/>
      <w:kern w:val="0"/>
      <w:sz w:val="24"/>
      <w:szCs w:val="24"/>
    </w:rPr>
  </w:style>
  <w:style w:type="character" w:customStyle="1" w:styleId="52">
    <w:name w:val="日期 字符"/>
    <w:link w:val="17"/>
    <w:qFormat/>
    <w:uiPriority w:val="0"/>
    <w:rPr>
      <w:szCs w:val="20"/>
    </w:rPr>
  </w:style>
  <w:style w:type="paragraph" w:customStyle="1" w:styleId="53">
    <w:name w:val="Char"/>
    <w:basedOn w:val="1"/>
    <w:qFormat/>
    <w:uiPriority w:val="0"/>
    <w:pPr>
      <w:widowControl/>
      <w:jc w:val="left"/>
    </w:pPr>
  </w:style>
  <w:style w:type="character" w:customStyle="1" w:styleId="54">
    <w:name w:val="font21"/>
    <w:basedOn w:val="32"/>
    <w:qFormat/>
    <w:uiPriority w:val="0"/>
    <w:rPr>
      <w:rFonts w:hint="eastAsia" w:ascii="宋体" w:hAnsi="宋体" w:eastAsia="宋体" w:cs="宋体"/>
      <w:color w:val="000000"/>
      <w:sz w:val="22"/>
      <w:szCs w:val="22"/>
      <w:u w:val="none"/>
    </w:rPr>
  </w:style>
  <w:style w:type="character" w:customStyle="1" w:styleId="55">
    <w:name w:val="font31"/>
    <w:basedOn w:val="32"/>
    <w:qFormat/>
    <w:uiPriority w:val="0"/>
    <w:rPr>
      <w:rFonts w:hint="eastAsia" w:ascii="宋体" w:hAnsi="宋体" w:eastAsia="宋体" w:cs="宋体"/>
      <w:color w:val="000000"/>
      <w:sz w:val="21"/>
      <w:szCs w:val="21"/>
      <w:u w:val="none"/>
    </w:rPr>
  </w:style>
  <w:style w:type="character" w:customStyle="1" w:styleId="56">
    <w:name w:val="font221"/>
    <w:basedOn w:val="32"/>
    <w:qFormat/>
    <w:uiPriority w:val="0"/>
    <w:rPr>
      <w:rFonts w:hint="eastAsia" w:ascii="宋体" w:hAnsi="宋体" w:eastAsia="宋体" w:cs="宋体"/>
      <w:b/>
      <w:color w:val="000000"/>
      <w:sz w:val="20"/>
      <w:szCs w:val="20"/>
      <w:u w:val="none"/>
    </w:rPr>
  </w:style>
  <w:style w:type="character" w:customStyle="1" w:styleId="57">
    <w:name w:val="font01"/>
    <w:basedOn w:val="32"/>
    <w:qFormat/>
    <w:uiPriority w:val="0"/>
    <w:rPr>
      <w:rFonts w:hint="eastAsia" w:ascii="宋体" w:hAnsi="宋体" w:eastAsia="宋体" w:cs="宋体"/>
      <w:color w:val="000000"/>
      <w:sz w:val="20"/>
      <w:szCs w:val="20"/>
      <w:u w:val="none"/>
    </w:rPr>
  </w:style>
  <w:style w:type="character" w:customStyle="1" w:styleId="58">
    <w:name w:val="font191"/>
    <w:basedOn w:val="32"/>
    <w:qFormat/>
    <w:uiPriority w:val="0"/>
    <w:rPr>
      <w:rFonts w:hint="eastAsia" w:ascii="宋体" w:hAnsi="宋体" w:eastAsia="宋体" w:cs="宋体"/>
      <w:b/>
      <w:color w:val="000000"/>
      <w:sz w:val="24"/>
      <w:szCs w:val="24"/>
      <w:u w:val="none"/>
    </w:rPr>
  </w:style>
  <w:style w:type="character" w:customStyle="1" w:styleId="59">
    <w:name w:val="font41"/>
    <w:basedOn w:val="32"/>
    <w:qFormat/>
    <w:uiPriority w:val="0"/>
    <w:rPr>
      <w:rFonts w:hint="eastAsia" w:ascii="宋体" w:hAnsi="宋体" w:eastAsia="宋体" w:cs="宋体"/>
      <w:color w:val="000000"/>
      <w:sz w:val="22"/>
      <w:szCs w:val="22"/>
      <w:u w:val="none"/>
    </w:rPr>
  </w:style>
  <w:style w:type="character" w:customStyle="1" w:styleId="60">
    <w:name w:val="font91"/>
    <w:basedOn w:val="32"/>
    <w:qFormat/>
    <w:uiPriority w:val="0"/>
    <w:rPr>
      <w:rFonts w:hint="eastAsia" w:ascii="宋体" w:hAnsi="宋体" w:eastAsia="宋体" w:cs="宋体"/>
      <w:color w:val="000000"/>
      <w:sz w:val="28"/>
      <w:szCs w:val="28"/>
      <w:u w:val="none"/>
    </w:rPr>
  </w:style>
  <w:style w:type="character" w:customStyle="1" w:styleId="61">
    <w:name w:val="font81"/>
    <w:basedOn w:val="32"/>
    <w:qFormat/>
    <w:uiPriority w:val="0"/>
    <w:rPr>
      <w:rFonts w:hint="eastAsia" w:ascii="宋体" w:hAnsi="宋体" w:eastAsia="宋体" w:cs="宋体"/>
      <w:b/>
      <w:color w:val="000000"/>
      <w:sz w:val="28"/>
      <w:szCs w:val="28"/>
      <w:u w:val="none"/>
    </w:rPr>
  </w:style>
  <w:style w:type="character" w:customStyle="1" w:styleId="62">
    <w:name w:val="font51"/>
    <w:basedOn w:val="32"/>
    <w:qFormat/>
    <w:uiPriority w:val="0"/>
    <w:rPr>
      <w:rFonts w:hint="eastAsia" w:ascii="宋体" w:hAnsi="宋体" w:eastAsia="宋体" w:cs="宋体"/>
      <w:color w:val="000000"/>
      <w:sz w:val="24"/>
      <w:szCs w:val="24"/>
      <w:u w:val="none"/>
    </w:rPr>
  </w:style>
  <w:style w:type="paragraph" w:styleId="63">
    <w:name w:val="List Paragraph"/>
    <w:basedOn w:val="1"/>
    <w:qFormat/>
    <w:uiPriority w:val="34"/>
    <w:pPr>
      <w:ind w:firstLine="420" w:firstLineChars="200"/>
    </w:pPr>
  </w:style>
  <w:style w:type="paragraph" w:customStyle="1" w:styleId="64">
    <w:name w:val="_Style 1"/>
    <w:basedOn w:val="1"/>
    <w:qFormat/>
    <w:uiPriority w:val="34"/>
    <w:pPr>
      <w:ind w:firstLine="420" w:firstLineChars="200"/>
    </w:pPr>
  </w:style>
  <w:style w:type="character" w:customStyle="1" w:styleId="65">
    <w:name w:val="NormalCharacter"/>
    <w:semiHidden/>
    <w:qFormat/>
    <w:uiPriority w:val="0"/>
  </w:style>
  <w:style w:type="paragraph" w:customStyle="1" w:styleId="66">
    <w:name w:val="Table Paragraph"/>
    <w:basedOn w:val="1"/>
    <w:qFormat/>
    <w:uiPriority w:val="1"/>
    <w:rPr>
      <w:rFonts w:ascii="宋体" w:hAnsi="宋体" w:cs="宋体"/>
      <w:lang w:val="zh-CN" w:bidi="zh-CN"/>
    </w:rPr>
  </w:style>
  <w:style w:type="character" w:customStyle="1" w:styleId="67">
    <w:name w:val="hover17"/>
    <w:basedOn w:val="32"/>
    <w:qFormat/>
    <w:uiPriority w:val="0"/>
  </w:style>
  <w:style w:type="character" w:customStyle="1" w:styleId="68">
    <w:name w:val="hover"/>
    <w:basedOn w:val="32"/>
    <w:qFormat/>
    <w:uiPriority w:val="0"/>
  </w:style>
  <w:style w:type="character" w:customStyle="1" w:styleId="69">
    <w:name w:val="hover15"/>
    <w:basedOn w:val="32"/>
    <w:qFormat/>
    <w:uiPriority w:val="0"/>
  </w:style>
  <w:style w:type="character" w:customStyle="1" w:styleId="70">
    <w:name w:val="hover16"/>
    <w:basedOn w:val="32"/>
    <w:qFormat/>
    <w:uiPriority w:val="0"/>
  </w:style>
  <w:style w:type="paragraph" w:customStyle="1" w:styleId="71">
    <w:name w:val="文档正文"/>
    <w:basedOn w:val="1"/>
    <w:qFormat/>
    <w:uiPriority w:val="0"/>
    <w:pPr>
      <w:spacing w:line="360" w:lineRule="auto"/>
      <w:ind w:firstLine="200" w:firstLineChars="200"/>
    </w:pPr>
    <w:rPr>
      <w:rFonts w:ascii="宋体" w:hAnsi="宋体"/>
      <w:sz w:val="24"/>
    </w:rPr>
  </w:style>
  <w:style w:type="paragraph" w:customStyle="1" w:styleId="72">
    <w:name w:val="纯文本1"/>
    <w:basedOn w:val="1"/>
    <w:qFormat/>
    <w:uiPriority w:val="0"/>
    <w:rPr>
      <w:rFonts w:ascii="宋体" w:hAnsi="Courier New" w:cs="Courier New"/>
      <w:szCs w:val="21"/>
    </w:rPr>
  </w:style>
  <w:style w:type="character" w:customStyle="1" w:styleId="73">
    <w:name w:val="批注文字 字符"/>
    <w:basedOn w:val="32"/>
    <w:link w:val="13"/>
    <w:qFormat/>
    <w:uiPriority w:val="0"/>
    <w:rPr>
      <w:rFonts w:ascii="Times New Roman" w:hAnsi="Times New Roman" w:eastAsia="宋体" w:cs="Times New Roman"/>
      <w:kern w:val="2"/>
      <w:sz w:val="21"/>
    </w:rPr>
  </w:style>
  <w:style w:type="character" w:customStyle="1" w:styleId="74">
    <w:name w:val="批注主题 字符"/>
    <w:basedOn w:val="73"/>
    <w:link w:val="27"/>
    <w:qFormat/>
    <w:uiPriority w:val="0"/>
    <w:rPr>
      <w:rFonts w:ascii="Times New Roman" w:hAnsi="Times New Roman" w:eastAsia="宋体" w:cs="Times New Roman"/>
      <w:kern w:val="2"/>
      <w:sz w:val="21"/>
    </w:rPr>
  </w:style>
  <w:style w:type="character" w:customStyle="1" w:styleId="75">
    <w:name w:val="批注框文本 字符"/>
    <w:basedOn w:val="32"/>
    <w:link w:val="19"/>
    <w:qFormat/>
    <w:uiPriority w:val="0"/>
    <w:rPr>
      <w:rFonts w:ascii="Times New Roman" w:hAnsi="Times New Roman" w:eastAsia="宋体" w:cs="Times New Roman"/>
      <w:kern w:val="2"/>
      <w:sz w:val="18"/>
      <w:szCs w:val="18"/>
    </w:rPr>
  </w:style>
  <w:style w:type="paragraph" w:customStyle="1" w:styleId="76">
    <w:name w:val="纯文本11"/>
    <w:basedOn w:val="1"/>
    <w:unhideWhenUsed/>
    <w:qFormat/>
    <w:uiPriority w:val="0"/>
    <w:pPr>
      <w:adjustRightInd w:val="0"/>
      <w:spacing w:line="312" w:lineRule="atLeast"/>
      <w:ind w:firstLine="567" w:firstLineChars="200"/>
      <w:jc w:val="left"/>
      <w:textAlignment w:val="baseline"/>
    </w:pPr>
    <w:rPr>
      <w:rFonts w:ascii="宋体" w:hAnsi="Courier New"/>
      <w:color w:val="7030A0"/>
      <w:kern w:val="0"/>
      <w:sz w:val="28"/>
      <w:szCs w:val="24"/>
    </w:rPr>
  </w:style>
  <w:style w:type="paragraph" w:customStyle="1" w:styleId="77">
    <w:name w:val="样式 WG标题2 + 行距: 固定值 18 磅"/>
    <w:basedOn w:val="78"/>
    <w:unhideWhenUsed/>
    <w:qFormat/>
    <w:uiPriority w:val="0"/>
    <w:pPr>
      <w:spacing w:line="360" w:lineRule="exact"/>
    </w:pPr>
  </w:style>
  <w:style w:type="paragraph" w:customStyle="1" w:styleId="78">
    <w:name w:val="WG标题2"/>
    <w:basedOn w:val="1"/>
    <w:unhideWhenUsed/>
    <w:qFormat/>
    <w:uiPriority w:val="0"/>
    <w:pPr>
      <w:autoSpaceDE w:val="0"/>
      <w:autoSpaceDN w:val="0"/>
      <w:adjustRightInd w:val="0"/>
      <w:textAlignment w:val="baseline"/>
      <w:outlineLvl w:val="1"/>
    </w:pPr>
    <w:rPr>
      <w:rFonts w:hint="eastAsia" w:ascii="仿宋_GB2312" w:hAnsi="宋体" w:eastAsia="仿宋_GB2312" w:cs="宋体"/>
      <w:b/>
      <w:color w:val="000000"/>
      <w:kern w:val="20"/>
      <w:sz w:val="24"/>
    </w:rPr>
  </w:style>
  <w:style w:type="character" w:customStyle="1" w:styleId="79">
    <w:name w:val="hover1"/>
    <w:basedOn w:val="32"/>
    <w:qFormat/>
    <w:uiPriority w:val="0"/>
    <w:rPr>
      <w:color w:val="2590EB"/>
    </w:rPr>
  </w:style>
  <w:style w:type="character" w:customStyle="1" w:styleId="80">
    <w:name w:val="hover2"/>
    <w:basedOn w:val="32"/>
    <w:qFormat/>
    <w:uiPriority w:val="0"/>
  </w:style>
  <w:style w:type="character" w:customStyle="1" w:styleId="81">
    <w:name w:val="hover3"/>
    <w:basedOn w:val="32"/>
    <w:qFormat/>
    <w:uiPriority w:val="0"/>
    <w:rPr>
      <w:color w:val="2590EB"/>
      <w:shd w:val="clear" w:color="auto" w:fill="E9F4FD"/>
    </w:rPr>
  </w:style>
  <w:style w:type="paragraph" w:customStyle="1" w:styleId="82">
    <w:name w:val="列表段落1"/>
    <w:basedOn w:val="1"/>
    <w:unhideWhenUsed/>
    <w:qFormat/>
    <w:uiPriority w:val="34"/>
    <w:pPr>
      <w:ind w:firstLine="420" w:firstLineChars="200"/>
    </w:pPr>
    <w:rPr>
      <w:szCs w:val="24"/>
    </w:rPr>
  </w:style>
  <w:style w:type="character" w:customStyle="1" w:styleId="83">
    <w:name w:val="mini-outputtext1"/>
    <w:basedOn w:val="32"/>
    <w:qFormat/>
    <w:uiPriority w:val="0"/>
  </w:style>
  <w:style w:type="character" w:customStyle="1" w:styleId="84">
    <w:name w:val="hover4"/>
    <w:basedOn w:val="32"/>
    <w:qFormat/>
    <w:uiPriority w:val="0"/>
    <w:rPr>
      <w:color w:val="2590EB"/>
      <w:shd w:val="clear" w:fill="E9F4FD"/>
    </w:rPr>
  </w:style>
  <w:style w:type="paragraph" w:customStyle="1" w:styleId="85">
    <w:name w:val="无间隔1"/>
    <w:basedOn w:val="1"/>
    <w:unhideWhenUsed/>
    <w:qFormat/>
    <w:uiPriority w:val="1"/>
    <w:pPr>
      <w:spacing w:line="400" w:lineRule="exact"/>
    </w:pPr>
    <w:rPr>
      <w:rFonts w:hint="default"/>
      <w:sz w:val="24"/>
      <w:szCs w:val="24"/>
    </w:rPr>
  </w:style>
  <w:style w:type="paragraph" w:customStyle="1" w:styleId="86">
    <w:name w:val="Body text|1"/>
    <w:basedOn w:val="1"/>
    <w:unhideWhenUsed/>
    <w:qFormat/>
    <w:uiPriority w:val="0"/>
    <w:pPr>
      <w:spacing w:beforeLines="0" w:after="200" w:afterLines="0" w:line="317" w:lineRule="auto"/>
      <w:ind w:firstLine="400" w:firstLineChars="200"/>
      <w:jc w:val="left"/>
    </w:pPr>
    <w:rPr>
      <w:rFonts w:hint="eastAsia" w:ascii="宋体" w:hAnsi="宋体" w:cs="宋体"/>
      <w:sz w:val="24"/>
      <w:szCs w:val="2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微软公司</Company>
  <Pages>67</Pages>
  <Words>29556</Words>
  <Characters>31937</Characters>
  <Lines>248</Lines>
  <Paragraphs>69</Paragraphs>
  <TotalTime>0</TotalTime>
  <ScaleCrop>false</ScaleCrop>
  <LinksUpToDate>false</LinksUpToDate>
  <CharactersWithSpaces>32832</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2020-10-19T02:18:00Z</dcterms:created>
  <dc:creator>Administrator</dc:creator>
  <cp:lastModifiedBy>hn</cp:lastModifiedBy>
  <cp:lastPrinted>2022-10-11T03:26:00Z</cp:lastPrinted>
  <dcterms:modified xsi:type="dcterms:W3CDTF">2023-12-03T07:34:48Z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F02A4FFC290749C5B6028283BE1A4B44</vt:lpwstr>
  </property>
</Properties>
</file>