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8"/>
        <w:rPr>
          <w:rFonts w:ascii="Times New Roman" w:hAnsi="Times New Roman" w:cs="Times New Roman"/>
          <w:sz w:val="28"/>
          <w:szCs w:val="28"/>
        </w:rPr>
      </w:pPr>
    </w:p>
    <w:p>
      <w:pPr>
        <w:jc w:val="center"/>
        <w:rPr>
          <w:rFonts w:hint="default" w:ascii="Times New Roman" w:hAnsi="Times New Roman" w:eastAsia="宋体" w:cs="Times New Roman"/>
          <w:b/>
          <w:color w:val="auto"/>
          <w:sz w:val="72"/>
          <w:szCs w:val="72"/>
          <w:lang w:val="en-US" w:eastAsia="zh-CN"/>
        </w:rPr>
      </w:pPr>
      <w:r>
        <w:rPr>
          <w:rFonts w:hint="default" w:ascii="Times New Roman" w:hAnsi="Times New Roman" w:eastAsia="宋体" w:cs="Times New Roman"/>
          <w:b/>
          <w:color w:val="auto"/>
          <w:sz w:val="72"/>
          <w:szCs w:val="72"/>
          <w:lang w:val="en-US" w:eastAsia="zh-CN"/>
        </w:rPr>
        <w:t xml:space="preserve"> 河南省文物考古研究院2024年度安保服务招标采购项目 </w:t>
      </w: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pPr>
        <w:tabs>
          <w:tab w:val="left" w:pos="1950"/>
        </w:tabs>
        <w:jc w:val="left"/>
        <w:rPr>
          <w:rFonts w:hint="default" w:ascii="Times New Roman" w:hAnsi="Times New Roman" w:eastAsia="宋体" w:cs="Times New Roman"/>
          <w:b/>
          <w:bCs/>
          <w:color w:val="auto"/>
          <w:lang w:val="en-US" w:eastAsia="zh-CN"/>
        </w:rPr>
      </w:pPr>
    </w:p>
    <w:p>
      <w:pPr>
        <w:jc w:val="center"/>
        <w:rPr>
          <w:rFonts w:hint="default" w:ascii="Times New Roman" w:hAnsi="Times New Roman" w:eastAsia="宋体" w:cs="Times New Roman"/>
          <w:b/>
          <w:bCs/>
          <w:color w:val="auto"/>
          <w:sz w:val="96"/>
          <w:szCs w:val="96"/>
          <w:lang w:eastAsia="zh-CN"/>
        </w:rPr>
      </w:pPr>
      <w:r>
        <w:rPr>
          <w:rFonts w:hint="default" w:ascii="Times New Roman" w:hAnsi="Times New Roman" w:eastAsia="宋体" w:cs="Times New Roman"/>
          <w:b/>
          <w:color w:val="auto"/>
          <w:sz w:val="96"/>
          <w:szCs w:val="96"/>
          <w:lang w:eastAsia="zh-CN"/>
        </w:rPr>
        <w:t>竞争性磋商文件</w:t>
      </w:r>
    </w:p>
    <w:p>
      <w:pPr>
        <w:jc w:val="center"/>
        <w:rPr>
          <w:rFonts w:hint="default" w:ascii="Times New Roman" w:hAnsi="Times New Roman" w:eastAsia="宋体" w:cs="Times New Roman"/>
          <w:b/>
          <w:color w:val="auto"/>
          <w:sz w:val="36"/>
          <w:szCs w:val="36"/>
          <w:lang w:eastAsia="zh-CN"/>
        </w:rPr>
      </w:pPr>
    </w:p>
    <w:p>
      <w:pPr>
        <w:jc w:val="center"/>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US" w:eastAsia="zh-CN"/>
        </w:rPr>
        <w:t xml:space="preserve">  豫财磋商采购-2023-1338  </w:t>
      </w:r>
    </w:p>
    <w:p>
      <w:pPr>
        <w:pStyle w:val="218"/>
        <w:rPr>
          <w:rFonts w:ascii="Times New Roman" w:hAnsi="Times New Roman" w:cs="Times New Roman"/>
          <w:b/>
          <w:color w:val="auto"/>
          <w:sz w:val="36"/>
          <w:szCs w:val="36"/>
        </w:rPr>
      </w:pPr>
    </w:p>
    <w:p>
      <w:pPr>
        <w:pStyle w:val="36"/>
        <w:ind w:left="840" w:hanging="420"/>
        <w:rPr>
          <w:rFonts w:hint="default" w:cs="Times New Roman"/>
          <w:lang w:val="en-US" w:eastAsia="zh-CN"/>
        </w:rPr>
      </w:pPr>
    </w:p>
    <w:p>
      <w:pPr>
        <w:spacing w:line="240" w:lineRule="atLeast"/>
        <w:ind w:left="1080" w:hanging="540"/>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lang w:val="en-US" w:eastAsia="zh-CN"/>
        </w:rPr>
        <w:drawing>
          <wp:inline distT="0" distB="0" distL="0" distR="0">
            <wp:extent cx="1397000" cy="1397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97000" cy="1397000"/>
                    </a:xfrm>
                    <a:prstGeom prst="rect">
                      <a:avLst/>
                    </a:prstGeom>
                    <a:noFill/>
                    <a:ln>
                      <a:noFill/>
                    </a:ln>
                  </pic:spPr>
                </pic:pic>
              </a:graphicData>
            </a:graphic>
          </wp:inline>
        </w:drawing>
      </w: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tabs>
          <w:tab w:val="left" w:pos="360"/>
        </w:tabs>
        <w:ind w:firstLine="720" w:firstLineChars="200"/>
        <w:rPr>
          <w:rFonts w:hint="default" w:ascii="Times New Roman" w:hAnsi="Times New Roman" w:cs="Times New Roman"/>
          <w:b/>
          <w:sz w:val="36"/>
          <w:szCs w:val="36"/>
          <w:lang w:val="en-US" w:eastAsia="zh-CN"/>
        </w:rPr>
      </w:pPr>
      <w:r>
        <w:rPr>
          <w:rFonts w:hint="default" w:ascii="Times New Roman" w:hAnsi="Times New Roman" w:cs="Times New Roman"/>
          <w:b/>
          <w:sz w:val="36"/>
          <w:szCs w:val="36"/>
          <w:lang w:eastAsia="zh-CN"/>
        </w:rPr>
        <w:t>采   购   人：</w:t>
      </w:r>
      <w:r>
        <w:rPr>
          <w:rFonts w:hint="default" w:ascii="Times New Roman" w:hAnsi="Times New Roman" w:cs="Times New Roman"/>
          <w:b/>
          <w:sz w:val="36"/>
          <w:szCs w:val="36"/>
          <w:lang w:val="en-US" w:eastAsia="zh-CN"/>
        </w:rPr>
        <w:t xml:space="preserve"> 河南省文物考古研究院</w:t>
      </w:r>
    </w:p>
    <w:p>
      <w:pPr>
        <w:tabs>
          <w:tab w:val="left" w:pos="360"/>
        </w:tabs>
        <w:ind w:firstLine="720" w:firstLineChars="200"/>
        <w:rPr>
          <w:rFonts w:hint="default" w:ascii="Times New Roman" w:hAnsi="Times New Roman" w:cs="Times New Roman"/>
          <w:b/>
          <w:sz w:val="36"/>
          <w:szCs w:val="36"/>
          <w:lang w:eastAsia="zh-CN"/>
        </w:rPr>
      </w:pPr>
    </w:p>
    <w:p>
      <w:pPr>
        <w:tabs>
          <w:tab w:val="left" w:pos="360"/>
        </w:tabs>
        <w:ind w:firstLine="720" w:firstLineChars="200"/>
        <w:rPr>
          <w:rFonts w:hint="default" w:ascii="Times New Roman" w:hAnsi="Times New Roman" w:cs="Times New Roman"/>
          <w:b/>
          <w:sz w:val="36"/>
          <w:szCs w:val="36"/>
          <w:lang w:eastAsia="zh-CN"/>
        </w:rPr>
      </w:pPr>
      <w:r>
        <w:rPr>
          <w:rFonts w:hint="default" w:ascii="Times New Roman" w:hAnsi="Times New Roman" w:cs="Times New Roman"/>
          <w:b/>
          <w:sz w:val="36"/>
          <w:szCs w:val="36"/>
          <w:lang w:eastAsia="zh-CN"/>
        </w:rPr>
        <w:t>集中采购机构：河南省公共资源交易中心</w:t>
      </w:r>
    </w:p>
    <w:p>
      <w:pPr>
        <w:spacing w:line="360" w:lineRule="auto"/>
        <w:jc w:val="center"/>
        <w:rPr>
          <w:rFonts w:hint="default" w:ascii="Times New Roman" w:hAnsi="Times New Roman" w:cs="Times New Roman"/>
          <w:b/>
          <w:sz w:val="36"/>
          <w:szCs w:val="36"/>
          <w:lang w:eastAsia="zh-CN"/>
        </w:rPr>
      </w:pPr>
    </w:p>
    <w:p>
      <w:pPr>
        <w:spacing w:line="240" w:lineRule="atLeast"/>
        <w:jc w:val="center"/>
        <w:rPr>
          <w:rFonts w:hint="default" w:ascii="Times New Roman" w:hAnsi="Times New Roman" w:eastAsia="宋体" w:cs="Times New Roman"/>
          <w:b/>
          <w:color w:val="auto"/>
          <w:sz w:val="36"/>
          <w:szCs w:val="36"/>
        </w:rPr>
      </w:pPr>
      <w:r>
        <w:rPr>
          <w:rFonts w:hint="default" w:ascii="Times New Roman" w:hAnsi="Times New Roman" w:cs="Times New Roman"/>
          <w:b/>
          <w:sz w:val="36"/>
          <w:szCs w:val="36"/>
        </w:rPr>
        <w:t>202</w:t>
      </w:r>
      <w:r>
        <w:rPr>
          <w:rFonts w:hint="default" w:ascii="Times New Roman" w:hAnsi="Times New Roman" w:cs="Times New Roman"/>
          <w:b/>
          <w:sz w:val="36"/>
          <w:szCs w:val="36"/>
          <w:lang w:val="en-US"/>
        </w:rPr>
        <w:t>4</w:t>
      </w:r>
      <w:r>
        <w:rPr>
          <w:rFonts w:hint="default" w:ascii="Times New Roman" w:hAnsi="Times New Roman" w:cs="Times New Roman"/>
          <w:b/>
          <w:sz w:val="36"/>
          <w:szCs w:val="36"/>
        </w:rPr>
        <w:t>年</w:t>
      </w:r>
      <w:r>
        <w:rPr>
          <w:rFonts w:hint="default" w:ascii="Times New Roman" w:hAnsi="Times New Roman" w:cs="Times New Roman"/>
          <w:b/>
          <w:sz w:val="36"/>
          <w:szCs w:val="36"/>
          <w:lang w:val="en-US"/>
        </w:rPr>
        <w:t>1</w:t>
      </w:r>
      <w:r>
        <w:rPr>
          <w:rFonts w:hint="default" w:ascii="Times New Roman" w:hAnsi="Times New Roman" w:cs="Times New Roman"/>
          <w:b/>
          <w:sz w:val="36"/>
          <w:szCs w:val="36"/>
        </w:rPr>
        <w:t>月</w:t>
      </w:r>
    </w:p>
    <w:p>
      <w:pPr>
        <w:rPr>
          <w:rFonts w:hint="default" w:ascii="Times New Roman" w:hAnsi="Times New Roman" w:cs="Times New Roman"/>
        </w:rPr>
      </w:pPr>
    </w:p>
    <w:p>
      <w:pPr>
        <w:keepNext/>
        <w:keepLines/>
        <w:jc w:val="center"/>
        <w:rPr>
          <w:rFonts w:hint="default" w:ascii="Times New Roman" w:hAnsi="Times New Roman" w:eastAsia="宋体" w:cs="Times New Roman"/>
          <w:b/>
          <w:bCs/>
          <w:color w:val="auto"/>
          <w:sz w:val="52"/>
          <w:szCs w:val="52"/>
          <w:lang w:val="en-US" w:eastAsia="zh-CN"/>
        </w:rPr>
      </w:pPr>
      <w:r>
        <w:rPr>
          <w:rFonts w:hint="default" w:ascii="Times New Roman" w:hAnsi="Times New Roman" w:eastAsia="宋体" w:cs="Times New Roman"/>
          <w:b/>
          <w:bCs/>
          <w:color w:val="auto"/>
          <w:sz w:val="48"/>
          <w:szCs w:val="48"/>
          <w:lang w:val="en-US" w:eastAsia="zh-CN"/>
        </w:rPr>
        <w:t>目 录</w:t>
      </w:r>
    </w:p>
    <w:p>
      <w:pPr>
        <w:pStyle w:val="29"/>
        <w:tabs>
          <w:tab w:val="right" w:leader="dot" w:pos="8296"/>
        </w:tabs>
        <w:rPr>
          <w:rFonts w:ascii="Times New Roman" w:hAnsi="Times New Roman"/>
          <w:sz w:val="28"/>
          <w:szCs w:val="28"/>
        </w:rPr>
      </w:pPr>
      <w:bookmarkStart w:id="0" w:name="_Toc349457307"/>
      <w:r>
        <w:rPr>
          <w:rFonts w:ascii="Times New Roman" w:hAnsi="Times New Roman"/>
          <w:sz w:val="28"/>
          <w:szCs w:val="28"/>
        </w:rPr>
        <w:fldChar w:fldCharType="begin"/>
      </w:r>
      <w:r>
        <w:rPr>
          <w:rFonts w:ascii="Times New Roman" w:hAnsi="Times New Roman"/>
          <w:sz w:val="28"/>
          <w:szCs w:val="28"/>
        </w:rPr>
        <w:instrText xml:space="preserve">TOC \o "1-1" \h \u </w:instrText>
      </w:r>
      <w:r>
        <w:rPr>
          <w:rFonts w:ascii="Times New Roman" w:hAnsi="Times New Roman"/>
          <w:sz w:val="28"/>
          <w:szCs w:val="28"/>
        </w:rPr>
        <w:fldChar w:fldCharType="separate"/>
      </w:r>
      <w:r>
        <w:fldChar w:fldCharType="begin"/>
      </w:r>
      <w:r>
        <w:instrText xml:space="preserve"> HYPERLINK \l "_Toc140822543" </w:instrText>
      </w:r>
      <w:r>
        <w:fldChar w:fldCharType="separate"/>
      </w:r>
      <w:r>
        <w:rPr>
          <w:sz w:val="28"/>
          <w:szCs w:val="28"/>
        </w:rPr>
        <w:t>第一章 竞争性磋商邀请</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_Toc140822543 \h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fldChar w:fldCharType="end"/>
      </w:r>
    </w:p>
    <w:p>
      <w:pPr>
        <w:pStyle w:val="29"/>
        <w:tabs>
          <w:tab w:val="right" w:leader="dot" w:pos="8296"/>
        </w:tabs>
        <w:rPr>
          <w:rFonts w:ascii="Times New Roman" w:hAnsi="Times New Roman"/>
          <w:sz w:val="28"/>
          <w:szCs w:val="28"/>
        </w:rPr>
      </w:pPr>
      <w:r>
        <w:fldChar w:fldCharType="begin"/>
      </w:r>
      <w:r>
        <w:instrText xml:space="preserve"> HYPERLINK \l "_Toc140822544" </w:instrText>
      </w:r>
      <w:r>
        <w:fldChar w:fldCharType="separate"/>
      </w:r>
      <w:r>
        <w:rPr>
          <w:sz w:val="28"/>
          <w:szCs w:val="28"/>
        </w:rPr>
        <w:t>第二章 供应商须知前附表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_Toc140822544 \h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fldChar w:fldCharType="end"/>
      </w:r>
    </w:p>
    <w:p>
      <w:pPr>
        <w:pStyle w:val="29"/>
        <w:tabs>
          <w:tab w:val="right" w:leader="dot" w:pos="8296"/>
        </w:tabs>
        <w:rPr>
          <w:rFonts w:ascii="Times New Roman" w:hAnsi="Times New Roman"/>
          <w:sz w:val="28"/>
          <w:szCs w:val="28"/>
        </w:rPr>
      </w:pPr>
      <w:r>
        <w:fldChar w:fldCharType="begin"/>
      </w:r>
      <w:r>
        <w:instrText xml:space="preserve"> HYPERLINK \l "_Toc140822545" </w:instrText>
      </w:r>
      <w:r>
        <w:fldChar w:fldCharType="separate"/>
      </w:r>
      <w:r>
        <w:rPr>
          <w:sz w:val="28"/>
          <w:szCs w:val="28"/>
        </w:rPr>
        <w:t>第三章 供应商须知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_Toc140822545 \h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ascii="Times New Roman" w:hAnsi="Times New Roman"/>
          <w:sz w:val="28"/>
          <w:szCs w:val="28"/>
        </w:rPr>
        <w:fldChar w:fldCharType="end"/>
      </w:r>
    </w:p>
    <w:p>
      <w:pPr>
        <w:pStyle w:val="29"/>
        <w:tabs>
          <w:tab w:val="right" w:leader="dot" w:pos="8296"/>
        </w:tabs>
        <w:rPr>
          <w:rFonts w:ascii="Times New Roman" w:hAnsi="Times New Roman"/>
          <w:sz w:val="28"/>
          <w:szCs w:val="28"/>
        </w:rPr>
      </w:pPr>
      <w:r>
        <w:fldChar w:fldCharType="begin"/>
      </w:r>
      <w:r>
        <w:instrText xml:space="preserve"> HYPERLINK \l "_Toc140822546" </w:instrText>
      </w:r>
      <w:r>
        <w:fldChar w:fldCharType="separate"/>
      </w:r>
      <w:r>
        <w:rPr>
          <w:sz w:val="28"/>
          <w:szCs w:val="28"/>
        </w:rPr>
        <w:t>第四章 竞争性磋商响应文件格式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_Toc140822546 \h </w:instrText>
      </w:r>
      <w:r>
        <w:rPr>
          <w:rFonts w:ascii="Times New Roman" w:hAnsi="Times New Roman"/>
          <w:sz w:val="28"/>
          <w:szCs w:val="28"/>
        </w:rPr>
        <w:fldChar w:fldCharType="separate"/>
      </w:r>
      <w:r>
        <w:rPr>
          <w:rFonts w:ascii="Times New Roman" w:hAnsi="Times New Roman"/>
          <w:sz w:val="28"/>
          <w:szCs w:val="28"/>
        </w:rPr>
        <w:t>26</w:t>
      </w:r>
      <w:r>
        <w:rPr>
          <w:rFonts w:ascii="Times New Roman" w:hAnsi="Times New Roman"/>
          <w:sz w:val="28"/>
          <w:szCs w:val="28"/>
        </w:rPr>
        <w:fldChar w:fldCharType="end"/>
      </w:r>
      <w:r>
        <w:rPr>
          <w:rFonts w:ascii="Times New Roman" w:hAnsi="Times New Roman"/>
          <w:sz w:val="28"/>
          <w:szCs w:val="28"/>
        </w:rPr>
        <w:fldChar w:fldCharType="end"/>
      </w:r>
    </w:p>
    <w:p>
      <w:pPr>
        <w:pStyle w:val="29"/>
        <w:tabs>
          <w:tab w:val="right" w:leader="dot" w:pos="8296"/>
        </w:tabs>
        <w:rPr>
          <w:rFonts w:ascii="Times New Roman" w:hAnsi="Times New Roman"/>
          <w:sz w:val="28"/>
          <w:szCs w:val="28"/>
        </w:rPr>
      </w:pPr>
      <w:r>
        <w:fldChar w:fldCharType="begin"/>
      </w:r>
      <w:r>
        <w:instrText xml:space="preserve"> HYPERLINK \l "_Toc140822547" </w:instrText>
      </w:r>
      <w:r>
        <w:fldChar w:fldCharType="separate"/>
      </w:r>
      <w:r>
        <w:rPr>
          <w:sz w:val="28"/>
          <w:szCs w:val="28"/>
        </w:rPr>
        <w:t>第五章 项目需求及技术要求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_Toc140822547 \h </w:instrText>
      </w:r>
      <w:r>
        <w:rPr>
          <w:rFonts w:ascii="Times New Roman" w:hAnsi="Times New Roman"/>
          <w:sz w:val="28"/>
          <w:szCs w:val="28"/>
        </w:rPr>
        <w:fldChar w:fldCharType="separate"/>
      </w:r>
      <w:r>
        <w:rPr>
          <w:rFonts w:ascii="Times New Roman" w:hAnsi="Times New Roman"/>
          <w:sz w:val="28"/>
          <w:szCs w:val="28"/>
        </w:rPr>
        <w:t>45</w:t>
      </w:r>
      <w:r>
        <w:rPr>
          <w:rFonts w:ascii="Times New Roman" w:hAnsi="Times New Roman"/>
          <w:sz w:val="28"/>
          <w:szCs w:val="28"/>
        </w:rPr>
        <w:fldChar w:fldCharType="end"/>
      </w:r>
      <w:r>
        <w:rPr>
          <w:rFonts w:ascii="Times New Roman" w:hAnsi="Times New Roman"/>
          <w:sz w:val="28"/>
          <w:szCs w:val="28"/>
        </w:rPr>
        <w:fldChar w:fldCharType="end"/>
      </w:r>
    </w:p>
    <w:p>
      <w:pPr>
        <w:pStyle w:val="29"/>
        <w:tabs>
          <w:tab w:val="right" w:leader="dot" w:pos="8296"/>
        </w:tabs>
        <w:rPr>
          <w:rFonts w:ascii="Times New Roman" w:hAnsi="Times New Roman"/>
          <w:sz w:val="28"/>
          <w:szCs w:val="28"/>
        </w:rPr>
      </w:pPr>
      <w:r>
        <w:fldChar w:fldCharType="begin"/>
      </w:r>
      <w:r>
        <w:instrText xml:space="preserve"> HYPERLINK \l "_Toc140822548" </w:instrText>
      </w:r>
      <w:r>
        <w:fldChar w:fldCharType="separate"/>
      </w:r>
      <w:r>
        <w:rPr>
          <w:sz w:val="28"/>
          <w:szCs w:val="28"/>
        </w:rPr>
        <w:t>第六章 磋商方法和标准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_Toc140822548 \h </w:instrText>
      </w:r>
      <w:r>
        <w:rPr>
          <w:rFonts w:ascii="Times New Roman" w:hAnsi="Times New Roman"/>
          <w:sz w:val="28"/>
          <w:szCs w:val="28"/>
        </w:rPr>
        <w:fldChar w:fldCharType="separate"/>
      </w:r>
      <w:r>
        <w:rPr>
          <w:rFonts w:ascii="Times New Roman" w:hAnsi="Times New Roman"/>
          <w:sz w:val="28"/>
          <w:szCs w:val="28"/>
        </w:rPr>
        <w:t>49</w:t>
      </w:r>
      <w:r>
        <w:rPr>
          <w:rFonts w:ascii="Times New Roman" w:hAnsi="Times New Roman"/>
          <w:sz w:val="28"/>
          <w:szCs w:val="28"/>
        </w:rPr>
        <w:fldChar w:fldCharType="end"/>
      </w:r>
      <w:r>
        <w:rPr>
          <w:rFonts w:ascii="Times New Roman" w:hAnsi="Times New Roman"/>
          <w:sz w:val="28"/>
          <w:szCs w:val="28"/>
        </w:rPr>
        <w:fldChar w:fldCharType="end"/>
      </w:r>
    </w:p>
    <w:p>
      <w:pPr>
        <w:pStyle w:val="29"/>
        <w:tabs>
          <w:tab w:val="right" w:leader="dot" w:pos="8296"/>
        </w:tabs>
        <w:rPr>
          <w:rFonts w:ascii="Times New Roman" w:hAnsi="Times New Roman"/>
          <w:sz w:val="28"/>
          <w:szCs w:val="28"/>
        </w:rPr>
      </w:pPr>
      <w:r>
        <w:fldChar w:fldCharType="begin"/>
      </w:r>
      <w:r>
        <w:instrText xml:space="preserve"> HYPERLINK \l "_Toc140822549" </w:instrText>
      </w:r>
      <w:r>
        <w:fldChar w:fldCharType="separate"/>
      </w:r>
      <w:r>
        <w:rPr>
          <w:sz w:val="28"/>
          <w:szCs w:val="28"/>
        </w:rPr>
        <w:t>第七章 政府采购合同</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_Toc140822549 \h </w:instrText>
      </w:r>
      <w:r>
        <w:rPr>
          <w:rFonts w:ascii="Times New Roman" w:hAnsi="Times New Roman"/>
          <w:sz w:val="28"/>
          <w:szCs w:val="28"/>
        </w:rPr>
        <w:fldChar w:fldCharType="separate"/>
      </w:r>
      <w:r>
        <w:rPr>
          <w:rFonts w:ascii="Times New Roman" w:hAnsi="Times New Roman"/>
          <w:sz w:val="28"/>
          <w:szCs w:val="28"/>
        </w:rPr>
        <w:t>55</w:t>
      </w:r>
      <w:r>
        <w:rPr>
          <w:rFonts w:ascii="Times New Roman" w:hAnsi="Times New Roman"/>
          <w:sz w:val="28"/>
          <w:szCs w:val="28"/>
        </w:rPr>
        <w:fldChar w:fldCharType="end"/>
      </w:r>
      <w:r>
        <w:rPr>
          <w:rFonts w:ascii="Times New Roman" w:hAnsi="Times New Roman"/>
          <w:sz w:val="28"/>
          <w:szCs w:val="28"/>
        </w:rPr>
        <w:fldChar w:fldCharType="end"/>
      </w:r>
    </w:p>
    <w:p>
      <w:pPr>
        <w:pStyle w:val="29"/>
        <w:tabs>
          <w:tab w:val="right" w:leader="dot" w:pos="8296"/>
        </w:tabs>
        <w:rPr>
          <w:rFonts w:ascii="Times New Roman" w:hAnsi="Times New Roman"/>
          <w:sz w:val="28"/>
          <w:szCs w:val="28"/>
        </w:rPr>
      </w:pPr>
      <w:r>
        <w:fldChar w:fldCharType="begin"/>
      </w:r>
      <w:r>
        <w:instrText xml:space="preserve"> HYPERLINK \l "_Toc140822550" </w:instrText>
      </w:r>
      <w:r>
        <w:fldChar w:fldCharType="separate"/>
      </w:r>
      <w:r>
        <w:rPr>
          <w:rFonts w:ascii="Times New Roman" w:hAnsi="Times New Roman"/>
          <w:sz w:val="28"/>
          <w:szCs w:val="28"/>
        </w:rPr>
        <w:t>第八章 附件</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_Toc140822550 \h </w:instrText>
      </w:r>
      <w:r>
        <w:rPr>
          <w:rFonts w:ascii="Times New Roman" w:hAnsi="Times New Roman"/>
          <w:sz w:val="28"/>
          <w:szCs w:val="28"/>
        </w:rPr>
        <w:fldChar w:fldCharType="separate"/>
      </w:r>
      <w:r>
        <w:rPr>
          <w:rFonts w:ascii="Times New Roman" w:hAnsi="Times New Roman"/>
          <w:sz w:val="28"/>
          <w:szCs w:val="28"/>
        </w:rPr>
        <w:t>65</w:t>
      </w:r>
      <w:r>
        <w:rPr>
          <w:rFonts w:ascii="Times New Roman" w:hAnsi="Times New Roman"/>
          <w:sz w:val="28"/>
          <w:szCs w:val="28"/>
        </w:rPr>
        <w:fldChar w:fldCharType="end"/>
      </w:r>
      <w:r>
        <w:rPr>
          <w:rFonts w:ascii="Times New Roman" w:hAnsi="Times New Roman"/>
          <w:sz w:val="28"/>
          <w:szCs w:val="28"/>
        </w:rPr>
        <w:fldChar w:fldCharType="end"/>
      </w:r>
    </w:p>
    <w:p>
      <w:pPr>
        <w:spacing w:line="480" w:lineRule="auto"/>
        <w:rPr>
          <w:rFonts w:hint="default" w:ascii="Times New Roman" w:hAnsi="Times New Roman" w:eastAsia="仿宋_GB2312" w:cs="Times New Roman"/>
          <w:sz w:val="28"/>
          <w:szCs w:val="28"/>
        </w:rPr>
      </w:pPr>
      <w:r>
        <w:rPr>
          <w:rFonts w:hint="default" w:ascii="Times New Roman" w:hAnsi="Times New Roman" w:eastAsia="宋体" w:cs="Times New Roman"/>
          <w:color w:val="auto"/>
          <w:kern w:val="0"/>
          <w:sz w:val="28"/>
          <w:szCs w:val="28"/>
          <w:lang w:val="en-US" w:eastAsia="zh-CN"/>
        </w:rPr>
        <w:fldChar w:fldCharType="end"/>
      </w:r>
    </w:p>
    <w:p>
      <w:pPr>
        <w:pStyle w:val="4"/>
        <w:spacing w:before="0" w:after="0" w:line="360" w:lineRule="auto"/>
        <w:jc w:val="center"/>
        <w:rPr>
          <w:rFonts w:hint="default" w:ascii="Times New Roman" w:hAnsi="Times New Roman" w:eastAsia="宋体" w:cs="Times New Roman"/>
          <w:color w:val="auto"/>
          <w:sz w:val="36"/>
          <w:szCs w:val="36"/>
          <w:lang w:eastAsia="zh-CN"/>
        </w:rPr>
      </w:pPr>
      <w:r>
        <w:rPr>
          <w:rFonts w:hint="default" w:ascii="Times New Roman" w:hAnsi="Times New Roman" w:eastAsia="宋体" w:cs="Times New Roman"/>
          <w:color w:val="auto"/>
          <w:sz w:val="24"/>
          <w:szCs w:val="24"/>
          <w:lang w:eastAsia="zh-CN"/>
        </w:rPr>
        <w:br w:type="page"/>
      </w:r>
      <w:bookmarkEnd w:id="0"/>
      <w:bookmarkStart w:id="1" w:name="_Toc140822543"/>
      <w:bookmarkStart w:id="2" w:name="_Toc1390283293"/>
      <w:r>
        <w:rPr>
          <w:rFonts w:hint="default" w:ascii="Times New Roman" w:hAnsi="Times New Roman" w:eastAsia="宋体" w:cs="Times New Roman"/>
          <w:color w:val="auto"/>
          <w:sz w:val="36"/>
          <w:szCs w:val="36"/>
          <w:lang w:eastAsia="zh-CN"/>
        </w:rPr>
        <w:t>第一章</w:t>
      </w:r>
      <w:r>
        <w:rPr>
          <w:rFonts w:hint="default" w:ascii="Times New Roman" w:hAnsi="Times New Roman" w:eastAsia="宋体" w:cs="Times New Roman"/>
          <w:color w:val="auto"/>
          <w:sz w:val="36"/>
          <w:szCs w:val="36"/>
          <w:lang w:val="en-US" w:eastAsia="zh-CN"/>
        </w:rPr>
        <w:t xml:space="preserve"> </w:t>
      </w:r>
      <w:r>
        <w:rPr>
          <w:rFonts w:hint="default" w:ascii="Times New Roman" w:hAnsi="Times New Roman" w:eastAsia="宋体" w:cs="Times New Roman"/>
          <w:color w:val="auto"/>
          <w:sz w:val="36"/>
          <w:szCs w:val="36"/>
          <w:lang w:eastAsia="zh-CN"/>
        </w:rPr>
        <w:t>竞争性磋商邀请</w:t>
      </w:r>
      <w:bookmarkEnd w:id="1"/>
      <w:bookmarkEnd w:id="2"/>
    </w:p>
    <w:p>
      <w:pPr>
        <w:spacing w:beforeLines="100" w:line="400" w:lineRule="exact"/>
        <w:jc w:val="center"/>
        <w:rPr>
          <w:rFonts w:hint="default" w:ascii="Times New Roman" w:hAnsi="Times New Roman" w:cs="Times New Roman"/>
          <w:b/>
          <w:kern w:val="0"/>
          <w:sz w:val="32"/>
          <w:szCs w:val="32"/>
          <w:lang w:eastAsia="zh-CN"/>
        </w:rPr>
      </w:pPr>
      <w:bookmarkStart w:id="3" w:name="OLE_LINK2"/>
      <w:bookmarkStart w:id="4" w:name="OLE_LINK4"/>
      <w:r>
        <w:rPr>
          <w:rFonts w:ascii="微软雅黑" w:hAnsi="微软雅黑" w:eastAsia="微软雅黑" w:cs="微软雅黑"/>
          <w:b/>
          <w:kern w:val="0"/>
          <w:sz w:val="32"/>
          <w:szCs w:val="32"/>
          <w:lang w:val="en-US" w:eastAsia="zh-CN"/>
        </w:rPr>
        <w:t xml:space="preserve"> 河南省文物考古研究院2024年度安保服务招标采购项目 </w:t>
      </w:r>
      <w:r>
        <w:rPr>
          <w:rFonts w:hint="default" w:ascii="Times New Roman" w:hAnsi="Times New Roman" w:cs="Times New Roman"/>
          <w:b/>
          <w:kern w:val="0"/>
          <w:sz w:val="32"/>
          <w:szCs w:val="32"/>
          <w:lang w:eastAsia="zh-CN"/>
        </w:rPr>
        <w:t>-竞争性磋商公告</w:t>
      </w:r>
    </w:p>
    <w:bookmarkEnd w:id="3"/>
    <w:bookmarkEnd w:id="4"/>
    <w:p>
      <w:pPr>
        <w:rPr>
          <w:rFonts w:hint="default" w:ascii="Times New Roman" w:hAnsi="Times New Roman" w:cs="Times New Roman"/>
          <w:lang w:eastAsia="zh-CN"/>
        </w:rPr>
      </w:pPr>
    </w:p>
    <w:p>
      <w:pPr>
        <w:spacing w:line="500" w:lineRule="exact"/>
        <w:ind w:firstLine="562"/>
        <w:jc w:val="center"/>
        <w:rPr>
          <w:rFonts w:hint="default" w:ascii="Times New Roman" w:hAnsi="Times New Roman" w:eastAsia="仿宋_GB2312" w:cs="Times New Roman"/>
          <w:b/>
          <w:color w:val="auto"/>
          <w:sz w:val="28"/>
          <w:szCs w:val="28"/>
          <w:lang w:eastAsia="zh-CN"/>
        </w:rPr>
      </w:pPr>
      <w:r>
        <w:rPr>
          <w:rFonts w:hint="default"/>
        </w:rPr>
        <w:pict>
          <v:shape id="文本框 4" o:spid="_x0000_s1026" o:spt="202" type="#_x0000_t202" style="position:absolute;left:0pt;margin-left:-11.1pt;margin-top:5.7pt;height:136.6pt;width:432.75pt;z-index:251661312;mso-width-relative:page;mso-height-relative:page;" coordsize="21600,21600" o:gfxdata="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apn2stkA&#10;AAAKAQAADwAAAAAAAAABACAAAAA4AAAAZHJzL2Rvd25yZXYueG1sUEsBAhQAFAAAAAgAh07iQLRS&#10;n59BAgAAiAQAAA4AAAAAAAAAAQAgAAAAPgEAAGRycy9lMm9Eb2MueG1sUEsFBgAAAAAGAAYAWQEA&#10;APEFAAAAAA==&#10;">
            <v:path/>
            <v:fill focussize="0,0"/>
            <v:stroke joinstyle="miter"/>
            <v:imagedata o:title=""/>
            <o:lock v:ext="edit"/>
            <v:textbox>
              <w:txbxContent>
                <w:p>
                  <w:pPr>
                    <w:pStyle w:val="153"/>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153"/>
                    <w:spacing w:line="360" w:lineRule="auto"/>
                    <w:ind w:firstLine="562" w:firstLineChars="200"/>
                    <w:jc w:val="both"/>
                  </w:pPr>
                  <w:r>
                    <w:rPr>
                      <w:rFonts w:ascii="Times New Roman" w:hAnsi="Times New Roman" w:eastAsia="仿宋_GB2312" w:cs="Times New Roman"/>
                      <w:b/>
                      <w:bCs/>
                      <w:sz w:val="28"/>
                      <w:szCs w:val="28"/>
                    </w:rPr>
                    <w:t xml:space="preserve"> 河南省文物考古研究院2024年度安保服务招标采购项目 </w:t>
                  </w:r>
                  <w:r>
                    <w:rPr>
                      <w:rFonts w:hint="eastAsia" w:ascii="仿宋_GB2312" w:hAnsi="仿宋_GB2312" w:eastAsia="仿宋_GB2312" w:cs="仿宋_GB2312"/>
                      <w:sz w:val="28"/>
                      <w:szCs w:val="28"/>
                    </w:rPr>
                    <w:t>的潜在投标人应在</w:t>
                  </w:r>
                  <w:r>
                    <w:rPr>
                      <w:rFonts w:hint="eastAsia" w:ascii="仿宋_GB2312" w:hAnsi="仿宋_GB2312" w:eastAsia="仿宋_GB2312" w:cs="仿宋_GB2312"/>
                      <w:b/>
                      <w:bCs/>
                      <w:sz w:val="28"/>
                      <w:szCs w:val="28"/>
                      <w:u w:val="single"/>
                    </w:rPr>
                    <w:t>河南省公共资源交易中心网（</w:t>
                  </w:r>
                  <w:r>
                    <w:fldChar w:fldCharType="begin"/>
                  </w:r>
                  <w:r>
                    <w:instrText xml:space="preserve"> HYPERLINK "http://www.hnggzy.net）获取招标文件，并于2023年8月" </w:instrText>
                  </w:r>
                  <w:r>
                    <w:fldChar w:fldCharType="separate"/>
                  </w:r>
                  <w:r>
                    <w:rPr>
                      <w:rStyle w:val="54"/>
                      <w:rFonts w:hint="eastAsia" w:ascii="仿宋_GB2312" w:hAnsi="仿宋_GB2312" w:eastAsia="仿宋_GB2312" w:cs="仿宋_GB2312"/>
                      <w:b/>
                      <w:bCs/>
                      <w:sz w:val="28"/>
                      <w:szCs w:val="28"/>
                    </w:rPr>
                    <w:t>http://www.hnggzy.net）</w:t>
                  </w:r>
                  <w:r>
                    <w:rPr>
                      <w:rStyle w:val="54"/>
                      <w:rFonts w:hint="eastAsia" w:ascii="仿宋_GB2312" w:hAnsi="仿宋_GB2312" w:eastAsia="仿宋_GB2312" w:cs="仿宋_GB2312"/>
                      <w:sz w:val="28"/>
                      <w:szCs w:val="28"/>
                    </w:rPr>
                    <w:t>获取招标文件，并于</w:t>
                  </w:r>
                  <w:r>
                    <w:rPr>
                      <w:rStyle w:val="54"/>
                      <w:rFonts w:ascii="仿宋_GB2312" w:hAnsi="仿宋_GB2312" w:eastAsia="仿宋_GB2312" w:cs="仿宋_GB2312"/>
                      <w:b/>
                      <w:bCs/>
                      <w:sz w:val="28"/>
                      <w:szCs w:val="28"/>
                    </w:rPr>
                    <w:t>2024年1月</w:t>
                  </w:r>
                  <w:r>
                    <w:rPr>
                      <w:rStyle w:val="54"/>
                      <w:rFonts w:ascii="仿宋_GB2312" w:hAnsi="仿宋_GB2312" w:eastAsia="仿宋_GB2312" w:cs="仿宋_GB2312"/>
                      <w:b/>
                      <w:bCs/>
                      <w:sz w:val="28"/>
                      <w:szCs w:val="28"/>
                    </w:rPr>
                    <w:fldChar w:fldCharType="end"/>
                  </w:r>
                  <w:r>
                    <w:rPr>
                      <w:rFonts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u w:val="single"/>
                    </w:rPr>
                    <w:t>日</w:t>
                  </w:r>
                  <w:r>
                    <w:rPr>
                      <w:rFonts w:hint="eastAsia" w:ascii="仿宋_GB2312" w:hAnsi="仿宋_GB2312" w:eastAsia="仿宋_GB2312" w:cs="仿宋_GB2312"/>
                      <w:sz w:val="28"/>
                      <w:szCs w:val="28"/>
                    </w:rPr>
                    <w:t>09时00分（北京时间）前递交响应文件。</w:t>
                  </w:r>
                </w:p>
              </w:txbxContent>
            </v:textbox>
          </v:shape>
        </w:pict>
      </w:r>
      <w:r>
        <w:rPr>
          <w:rFonts w:hint="default"/>
        </w:rPr>
        <w:pict>
          <v:shape id="_x0000_s2050" o:spid="_x0000_s2050" o:spt="202" type="#_x0000_t202" style="position:absolute;left:0pt;margin-left:-11.1pt;margin-top:5.7pt;height:147.3pt;width:432.75pt;z-index:251662336;mso-width-relative:page;mso-height-relative:page;" coordsize="21600,21600" o:gfxdata="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EOJPtfZAAAACgEAAA8AAAAAAAAAAQAgAAAAOAAAAGRycy9kb3ducmV2LnhtbFBLAQIUABQAAAAI&#10;AIdO4kDy9EoESAIAAJEEAAAOAAAAAAAAAAEAIAAAAD4BAABkcnMvZTJvRG9jLnhtbFBLBQYAAAAA&#10;BgAGAFkBAAD4BQAAAAA=&#10;">
            <v:path/>
            <v:fill focussize="0,0"/>
            <v:stroke joinstyle="miter"/>
            <v:imagedata o:title=""/>
            <o:lock v:ext="edit"/>
            <v:textbox>
              <w:txbxContent>
                <w:p>
                  <w:pPr>
                    <w:pStyle w:val="153"/>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153"/>
                    <w:spacing w:line="360" w:lineRule="auto"/>
                    <w:ind w:firstLine="562" w:firstLineChars="200"/>
                    <w:jc w:val="both"/>
                  </w:pPr>
                  <w:r>
                    <w:rPr>
                      <w:rFonts w:ascii="Times New Roman" w:hAnsi="Times New Roman" w:eastAsia="仿宋_GB2312" w:cs="Times New Roman"/>
                      <w:b/>
                      <w:bCs/>
                      <w:sz w:val="28"/>
                      <w:szCs w:val="28"/>
                    </w:rPr>
                    <w:t xml:space="preserve"> 河南省文物考古研究院2024年度安保服务招标采购项目 </w:t>
                  </w:r>
                  <w:r>
                    <w:rPr>
                      <w:rFonts w:hint="eastAsia" w:ascii="仿宋_GB2312" w:hAnsi="仿宋_GB2312" w:eastAsia="仿宋_GB2312" w:cs="仿宋_GB2312"/>
                      <w:sz w:val="28"/>
                      <w:szCs w:val="28"/>
                    </w:rPr>
                    <w:t>的潜在投标人应在</w:t>
                  </w:r>
                  <w:r>
                    <w:rPr>
                      <w:rFonts w:hint="eastAsia" w:ascii="仿宋_GB2312" w:hAnsi="仿宋_GB2312" w:eastAsia="仿宋_GB2312" w:cs="仿宋_GB2312"/>
                      <w:b/>
                      <w:bCs/>
                      <w:sz w:val="28"/>
                      <w:szCs w:val="28"/>
                      <w:u w:val="single"/>
                    </w:rPr>
                    <w:t>河南省公共资源交易中心网（</w:t>
                  </w:r>
                  <w:r>
                    <w:fldChar w:fldCharType="begin"/>
                  </w:r>
                  <w:r>
                    <w:instrText xml:space="preserve"> HYPERLINK "http://www.hnggzy.net）获取招标文件，并于2023年8月" </w:instrText>
                  </w:r>
                  <w:r>
                    <w:fldChar w:fldCharType="separate"/>
                  </w:r>
                  <w:r>
                    <w:rPr>
                      <w:rStyle w:val="54"/>
                      <w:rFonts w:hint="eastAsia" w:ascii="仿宋_GB2312" w:hAnsi="仿宋_GB2312" w:eastAsia="仿宋_GB2312" w:cs="仿宋_GB2312"/>
                      <w:b/>
                      <w:bCs/>
                      <w:sz w:val="28"/>
                      <w:szCs w:val="28"/>
                    </w:rPr>
                    <w:t>http://www.hnggzy.net）</w:t>
                  </w:r>
                  <w:r>
                    <w:rPr>
                      <w:rStyle w:val="54"/>
                      <w:rFonts w:hint="eastAsia" w:ascii="仿宋_GB2312" w:hAnsi="仿宋_GB2312" w:eastAsia="仿宋_GB2312" w:cs="仿宋_GB2312"/>
                      <w:sz w:val="28"/>
                      <w:szCs w:val="28"/>
                    </w:rPr>
                    <w:t>获取招标文件，并于</w:t>
                  </w:r>
                  <w:r>
                    <w:rPr>
                      <w:rStyle w:val="54"/>
                      <w:rFonts w:ascii="仿宋_GB2312" w:hAnsi="仿宋_GB2312" w:eastAsia="仿宋_GB2312" w:cs="仿宋_GB2312"/>
                      <w:b/>
                      <w:bCs/>
                      <w:sz w:val="28"/>
                      <w:szCs w:val="28"/>
                    </w:rPr>
                    <w:t>2024年1月</w:t>
                  </w:r>
                  <w:r>
                    <w:rPr>
                      <w:rStyle w:val="54"/>
                      <w:rFonts w:ascii="仿宋_GB2312" w:hAnsi="仿宋_GB2312" w:eastAsia="仿宋_GB2312" w:cs="仿宋_GB2312"/>
                      <w:b/>
                      <w:bCs/>
                      <w:sz w:val="28"/>
                      <w:szCs w:val="28"/>
                    </w:rPr>
                    <w:fldChar w:fldCharType="end"/>
                  </w:r>
                  <w:r>
                    <w:rPr>
                      <w:rFonts w:hint="default" w:ascii="仿宋_GB2312" w:hAnsi="仿宋_GB2312" w:eastAsia="仿宋_GB2312" w:cs="仿宋_GB2312"/>
                      <w:b/>
                      <w:bCs/>
                      <w:sz w:val="28"/>
                      <w:szCs w:val="28"/>
                      <w:u w:val="single"/>
                      <w:lang w:val="en-US"/>
                    </w:rPr>
                    <w:t>23</w:t>
                  </w:r>
                  <w:r>
                    <w:rPr>
                      <w:rFonts w:hint="eastAsia" w:ascii="仿宋_GB2312" w:hAnsi="仿宋_GB2312" w:eastAsia="仿宋_GB2312" w:cs="仿宋_GB2312"/>
                      <w:b/>
                      <w:bCs/>
                      <w:sz w:val="28"/>
                      <w:szCs w:val="28"/>
                      <w:u w:val="single"/>
                    </w:rPr>
                    <w:t>日</w:t>
                  </w:r>
                  <w:r>
                    <w:rPr>
                      <w:rFonts w:hint="eastAsia" w:ascii="仿宋_GB2312" w:hAnsi="仿宋_GB2312" w:eastAsia="仿宋_GB2312" w:cs="仿宋_GB2312"/>
                      <w:sz w:val="28"/>
                      <w:szCs w:val="28"/>
                    </w:rPr>
                    <w:t>09时00分（北京时间）前递交响应文件。</w:t>
                  </w:r>
                </w:p>
                <w:p>
                  <w:pPr>
                    <w:rPr>
                      <w:rFonts w:hint="default"/>
                    </w:rPr>
                  </w:pPr>
                </w:p>
              </w:txbxContent>
            </v:textbox>
          </v:shape>
        </w:pict>
      </w:r>
    </w:p>
    <w:p>
      <w:pPr>
        <w:spacing w:line="500" w:lineRule="exact"/>
        <w:ind w:firstLine="562"/>
        <w:jc w:val="center"/>
        <w:rPr>
          <w:rFonts w:hint="default" w:ascii="Times New Roman" w:hAnsi="Times New Roman" w:eastAsia="仿宋_GB2312" w:cs="Times New Roman"/>
          <w:b/>
          <w:color w:val="auto"/>
          <w:sz w:val="28"/>
          <w:szCs w:val="28"/>
          <w:lang w:eastAsia="zh-CN"/>
        </w:rPr>
      </w:pPr>
    </w:p>
    <w:p>
      <w:pPr>
        <w:spacing w:line="500" w:lineRule="exact"/>
        <w:ind w:firstLine="562"/>
        <w:jc w:val="center"/>
        <w:rPr>
          <w:rFonts w:hint="default" w:ascii="Times New Roman" w:hAnsi="Times New Roman" w:eastAsia="仿宋_GB2312" w:cs="Times New Roman"/>
          <w:b/>
          <w:bCs/>
          <w:color w:val="auto"/>
          <w:sz w:val="28"/>
          <w:szCs w:val="28"/>
          <w:lang w:eastAsia="zh-CN"/>
        </w:rPr>
      </w:pPr>
    </w:p>
    <w:p>
      <w:pPr>
        <w:spacing w:line="500" w:lineRule="exact"/>
        <w:ind w:firstLine="480"/>
        <w:jc w:val="left"/>
        <w:rPr>
          <w:rFonts w:hint="default" w:ascii="Times New Roman" w:hAnsi="Times New Roman" w:eastAsia="仿宋_GB2312" w:cs="Times New Roman"/>
          <w:color w:val="auto"/>
          <w:sz w:val="28"/>
          <w:szCs w:val="28"/>
          <w:lang w:eastAsia="zh-CN"/>
        </w:rPr>
      </w:pPr>
    </w:p>
    <w:p>
      <w:pPr>
        <w:spacing w:line="500" w:lineRule="exact"/>
        <w:jc w:val="left"/>
        <w:rPr>
          <w:rFonts w:hint="default" w:ascii="Times New Roman" w:hAnsi="Times New Roman" w:eastAsia="方正小标宋_GBK" w:cs="Times New Roman"/>
          <w:b/>
          <w:bCs/>
          <w:color w:val="auto"/>
          <w:sz w:val="28"/>
          <w:szCs w:val="28"/>
          <w:lang w:val="en-US" w:eastAsia="zh-CN"/>
        </w:rPr>
      </w:pPr>
      <w:bookmarkStart w:id="5" w:name="_Toc1853601844_WPSOffice_Level2"/>
      <w:bookmarkStart w:id="6" w:name="_Toc1456310841_WPSOffice_Level2"/>
      <w:bookmarkStart w:id="7" w:name="_Toc2031125453_WPSOffice_Level2"/>
      <w:r>
        <w:rPr>
          <w:rFonts w:hint="default" w:ascii="Times New Roman" w:hAnsi="Times New Roman" w:eastAsia="方正小标宋_GBK" w:cs="Times New Roman"/>
          <w:b/>
          <w:bCs/>
          <w:color w:val="auto"/>
          <w:sz w:val="28"/>
          <w:szCs w:val="28"/>
          <w:lang w:val="en-US" w:eastAsia="zh-CN"/>
        </w:rPr>
        <w:t xml:space="preserve">    </w:t>
      </w:r>
      <w:bookmarkStart w:id="8" w:name="_Toc1811351892_WPSOffice_Level2"/>
    </w:p>
    <w:p>
      <w:pPr>
        <w:spacing w:line="500" w:lineRule="exact"/>
        <w:jc w:val="left"/>
        <w:rPr>
          <w:rFonts w:hint="default" w:ascii="Times New Roman" w:hAnsi="Times New Roman" w:eastAsia="方正小标宋_GBK" w:cs="Times New Roman"/>
          <w:b/>
          <w:bCs/>
          <w:color w:val="auto"/>
          <w:sz w:val="28"/>
          <w:szCs w:val="28"/>
          <w:lang w:val="en-US" w:eastAsia="zh-CN"/>
        </w:rPr>
      </w:pPr>
      <w:r>
        <w:rPr>
          <w:rFonts w:hint="default" w:ascii="Times New Roman" w:hAnsi="Times New Roman" w:eastAsia="方正小标宋_GBK" w:cs="Times New Roman"/>
          <w:b/>
          <w:bCs/>
          <w:color w:val="auto"/>
          <w:sz w:val="28"/>
          <w:szCs w:val="28"/>
          <w:lang w:val="en-US" w:eastAsia="zh-CN"/>
        </w:rPr>
        <w:t xml:space="preserve">   </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一、项目基本情况</w:t>
      </w:r>
    </w:p>
    <w:p>
      <w:pPr>
        <w:spacing w:line="500" w:lineRule="exact"/>
        <w:ind w:firstLine="560" w:firstLineChars="200"/>
        <w:jc w:val="left"/>
        <w:rPr>
          <w:rFonts w:hint="default" w:ascii="Times New Roman" w:hAnsi="Times New Roman" w:eastAsia="仿宋_GB2312" w:cs="Times New Roman"/>
          <w:strike/>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1、项目编号：豫财磋商采购-2023-1338  </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2、项目名称：河南省文物考古研究院2024年度安保服务招标采购项目 </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3、采购方式：竞争性磋商</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4、预算金额：1121400  元</w:t>
      </w:r>
    </w:p>
    <w:p>
      <w:pPr>
        <w:spacing w:line="500" w:lineRule="exact"/>
        <w:ind w:firstLine="980" w:firstLineChars="35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最高限价：1121400  元</w:t>
      </w:r>
    </w:p>
    <w:tbl>
      <w:tblPr>
        <w:tblStyle w:val="48"/>
        <w:tblW w:w="9476" w:type="dxa"/>
        <w:tblInd w:w="-67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4"/>
        <w:gridCol w:w="2742"/>
        <w:gridCol w:w="2135"/>
        <w:gridCol w:w="2001"/>
        <w:gridCol w:w="215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序号</w:t>
            </w:r>
          </w:p>
        </w:tc>
        <w:tc>
          <w:tcPr>
            <w:tcW w:w="27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包号</w:t>
            </w:r>
          </w:p>
        </w:tc>
        <w:tc>
          <w:tcPr>
            <w:tcW w:w="2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包名称</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包预算（元）</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包最高限价（元）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val="en-US" w:eastAsia="zh-CN"/>
              </w:rPr>
              <w:t>1</w:t>
            </w:r>
          </w:p>
        </w:tc>
        <w:tc>
          <w:tcPr>
            <w:tcW w:w="27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豫政采(1)20240005-1</w:t>
            </w:r>
          </w:p>
        </w:tc>
        <w:tc>
          <w:tcPr>
            <w:tcW w:w="2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lang w:eastAsia="zh-CN"/>
              </w:rPr>
            </w:pPr>
            <w:r>
              <w:rPr>
                <w:rFonts w:ascii="Times New Roman" w:hAnsi="Times New Roman" w:eastAsia="仿宋_GB2312" w:cs="Times New Roman"/>
                <w:color w:val="auto"/>
                <w:kern w:val="0"/>
                <w:sz w:val="24"/>
                <w:szCs w:val="24"/>
                <w:lang w:val="en-US" w:eastAsia="zh-CN"/>
              </w:rPr>
              <w:t xml:space="preserve"> 河南省文物考古研究院2024年度安保服务招标采购项目 </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lang w:val="en-US" w:eastAsia="zh-CN"/>
              </w:rPr>
            </w:pPr>
            <w:r>
              <w:rPr>
                <w:rFonts w:ascii="Times New Roman" w:hAnsi="Times New Roman" w:eastAsia="仿宋_GB2312" w:cs="Times New Roman"/>
                <w:color w:val="auto"/>
                <w:kern w:val="0"/>
                <w:sz w:val="24"/>
                <w:szCs w:val="24"/>
                <w:lang w:val="en-US" w:eastAsia="zh-CN"/>
              </w:rPr>
              <w:t xml:space="preserve">  1121400  </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lang w:val="en-US" w:eastAsia="zh-CN"/>
              </w:rPr>
            </w:pPr>
            <w:r>
              <w:rPr>
                <w:rFonts w:ascii="Times New Roman" w:hAnsi="Times New Roman" w:eastAsia="仿宋_GB2312" w:cs="Times New Roman"/>
                <w:color w:val="auto"/>
                <w:kern w:val="0"/>
                <w:sz w:val="24"/>
                <w:szCs w:val="24"/>
                <w:lang w:val="en-US" w:eastAsia="zh-CN"/>
              </w:rPr>
              <w:t xml:space="preserve">  1121400  </w:t>
            </w:r>
          </w:p>
        </w:tc>
      </w:tr>
    </w:tbl>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5、采购需求（包括但不限于标的的名称、数量、简要技术需求或服务要求等）</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（1）本项目共分1个包</w:t>
      </w:r>
      <w:r>
        <w:rPr>
          <w:rFonts w:ascii="Times New Roman" w:hAnsi="Times New Roman" w:eastAsia="仿宋_GB2312" w:cs="Times New Roman"/>
          <w:color w:val="auto"/>
          <w:sz w:val="28"/>
          <w:szCs w:val="28"/>
          <w:lang w:val="en-US" w:eastAsia="zh-CN"/>
        </w:rPr>
        <w:t>；</w:t>
      </w:r>
    </w:p>
    <w:p>
      <w:pPr>
        <w:spacing w:line="500" w:lineRule="exact"/>
        <w:ind w:left="559" w:leftChars="266"/>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（2）采购内容：</w:t>
      </w:r>
      <w:r>
        <w:rPr>
          <w:rFonts w:ascii="Times New Roman" w:hAnsi="Times New Roman" w:eastAsia="仿宋_GB2312" w:cs="Times New Roman"/>
          <w:color w:val="auto"/>
          <w:sz w:val="28"/>
          <w:szCs w:val="28"/>
          <w:lang w:val="en-US" w:eastAsia="zh-CN"/>
        </w:rPr>
        <w:t xml:space="preserve"> 河南省文物考古研究院2024年度安保服务招标采购项目 </w:t>
      </w:r>
      <w:r>
        <w:rPr>
          <w:rFonts w:ascii="Times New Roman" w:hAnsi="Times New Roman" w:eastAsia="仿宋_GB2312" w:cs="Times New Roman"/>
          <w:color w:val="auto"/>
          <w:sz w:val="28"/>
          <w:szCs w:val="28"/>
          <w:lang w:eastAsia="zh-CN"/>
        </w:rPr>
        <w:t>；</w:t>
      </w:r>
    </w:p>
    <w:p>
      <w:pPr>
        <w:spacing w:line="500" w:lineRule="exact"/>
        <w:ind w:left="559" w:leftChars="266"/>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（3）服务期限：1年</w:t>
      </w:r>
      <w:r>
        <w:rPr>
          <w:rFonts w:ascii="Times New Roman" w:hAnsi="Times New Roman" w:eastAsia="仿宋_GB2312" w:cs="Times New Roman"/>
          <w:color w:val="auto"/>
          <w:sz w:val="28"/>
          <w:szCs w:val="28"/>
          <w:lang w:val="en-US" w:eastAsia="zh-CN"/>
        </w:rPr>
        <w:t>；</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（4）服务地点：采购人指定地点</w:t>
      </w:r>
      <w:r>
        <w:rPr>
          <w:rFonts w:ascii="Times New Roman" w:hAnsi="Times New Roman" w:eastAsia="仿宋_GB2312" w:cs="Times New Roman"/>
          <w:color w:val="auto"/>
          <w:sz w:val="28"/>
          <w:szCs w:val="28"/>
          <w:lang w:val="en-US" w:eastAsia="zh-CN"/>
        </w:rPr>
        <w:t>；</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（5）服务质量：满足采购人需求</w:t>
      </w:r>
      <w:r>
        <w:rPr>
          <w:rFonts w:ascii="Times New Roman" w:hAnsi="Times New Roman" w:eastAsia="仿宋_GB2312" w:cs="Times New Roman"/>
          <w:color w:val="auto"/>
          <w:sz w:val="28"/>
          <w:szCs w:val="28"/>
          <w:lang w:val="en-US" w:eastAsia="zh-CN"/>
        </w:rPr>
        <w:t>。</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6、合同履行期限：同服务期限</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7、本项目是否接受联合体投标：否</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8、是否接受进口产品：否</w:t>
      </w:r>
    </w:p>
    <w:p>
      <w:pPr>
        <w:spacing w:line="500" w:lineRule="exact"/>
        <w:ind w:firstLine="560" w:firstLineChars="200"/>
        <w:jc w:val="left"/>
        <w:rPr>
          <w:rFonts w:hint="default" w:ascii="Times New Roman" w:hAnsi="Times New Roman" w:cs="Times New Roman"/>
          <w:lang w:val="en-US" w:eastAsia="zh-CN"/>
        </w:rPr>
      </w:pPr>
      <w:r>
        <w:rPr>
          <w:rFonts w:hint="default" w:ascii="Times New Roman" w:hAnsi="Times New Roman" w:eastAsia="仿宋_GB2312" w:cs="Times New Roman"/>
          <w:color w:val="auto"/>
          <w:sz w:val="28"/>
          <w:szCs w:val="28"/>
          <w:lang w:val="en-US" w:eastAsia="zh-CN"/>
        </w:rPr>
        <w:t>9、是否专门面向中小企业：</w:t>
      </w:r>
      <w:r>
        <w:rPr>
          <w:rFonts w:ascii="Times New Roman" w:hAnsi="Times New Roman" w:eastAsia="仿宋_GB2312" w:cs="Times New Roman"/>
          <w:color w:val="auto"/>
          <w:sz w:val="28"/>
          <w:szCs w:val="28"/>
          <w:lang w:val="en-US" w:eastAsia="zh-CN"/>
        </w:rPr>
        <w:t>否</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二、申请人资格要求：</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1、满足《中华人民共和国政府采购法》第二十二条规定；</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2、落实政府采购政策满足的资格要求：</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3、本项目的特定资格要求</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须具有公安机关颁发的有效《保安服务许可证》。</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三、获取采购文件</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eastAsia="zh-CN"/>
        </w:rPr>
        <w:t>202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年</w:t>
      </w:r>
      <w:r>
        <w:rPr>
          <w:rFonts w:ascii="Times New Roman" w:hAnsi="Times New Roman" w:eastAsia="仿宋_GB2312" w:cs="Times New Roman"/>
          <w:color w:val="auto"/>
          <w:sz w:val="28"/>
          <w:szCs w:val="28"/>
          <w:lang w:eastAsia="zh-CN"/>
        </w:rPr>
        <w:t xml:space="preserve"> </w:t>
      </w:r>
      <w:r>
        <w:rPr>
          <w:rFonts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lang w:val="en-US" w:eastAsia="zh-CN"/>
        </w:rPr>
        <w:t>12日至</w:t>
      </w:r>
      <w:r>
        <w:rPr>
          <w:rFonts w:hint="default" w:ascii="Times New Roman" w:hAnsi="Times New Roman" w:eastAsia="仿宋_GB2312" w:cs="Times New Roman"/>
          <w:color w:val="auto"/>
          <w:sz w:val="28"/>
          <w:szCs w:val="28"/>
          <w:lang w:eastAsia="zh-CN"/>
        </w:rPr>
        <w:t>202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年</w:t>
      </w:r>
      <w:r>
        <w:rPr>
          <w:rFonts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lang w:val="en-US" w:eastAsia="zh-CN"/>
        </w:rPr>
        <w:t>19日，每天上午00:00至12:00，下午12:00至23:59（北京时间，法定节假日除外。）</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2.地点：河南省公共资源交易中心网站（http://www.hnggzy.net）</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3.方式：供应商</w:t>
      </w:r>
      <w:r>
        <w:rPr>
          <w:rFonts w:hint="default" w:ascii="Times New Roman" w:hAnsi="Times New Roman" w:eastAsia="仿宋" w:cs="Times New Roman"/>
          <w:sz w:val="28"/>
          <w:szCs w:val="28"/>
        </w:rPr>
        <w:t>使用</w:t>
      </w:r>
      <w:r>
        <w:rPr>
          <w:rFonts w:hint="default" w:ascii="Times New Roman" w:hAnsi="Times New Roman" w:eastAsia="仿宋" w:cs="Times New Roman"/>
          <w:sz w:val="28"/>
          <w:szCs w:val="28"/>
          <w:lang w:val="en-US"/>
        </w:rPr>
        <w:t>CA</w:t>
      </w:r>
      <w:r>
        <w:rPr>
          <w:rFonts w:hint="default" w:ascii="Times New Roman" w:hAnsi="Times New Roman" w:eastAsia="仿宋" w:cs="Times New Roman"/>
          <w:sz w:val="28"/>
          <w:szCs w:val="28"/>
        </w:rPr>
        <w:t>数字证书登录</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河南省公共资源交易中心</w:t>
      </w:r>
      <w:r>
        <w:rPr>
          <w:rFonts w:hint="default" w:ascii="Times New Roman" w:hAnsi="Times New Roman" w:eastAsia="仿宋" w:cs="Times New Roman"/>
          <w:sz w:val="28"/>
          <w:szCs w:val="28"/>
          <w:lang w:val="en-US"/>
        </w:rPr>
        <w:t>（http://www.hnggzy.net）”</w:t>
      </w:r>
      <w:r>
        <w:rPr>
          <w:rFonts w:hint="default" w:ascii="Times New Roman" w:hAnsi="Times New Roman" w:eastAsia="仿宋" w:cs="Times New Roman"/>
          <w:sz w:val="28"/>
          <w:szCs w:val="28"/>
        </w:rPr>
        <w:t>网</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并按网上提示下载</w:t>
      </w:r>
      <w:r>
        <w:rPr>
          <w:rFonts w:hint="default" w:ascii="Times New Roman" w:hAnsi="Times New Roman" w:eastAsia="仿宋" w:cs="Times New Roman"/>
          <w:sz w:val="28"/>
          <w:szCs w:val="28"/>
          <w:lang w:eastAsia="zh-CN"/>
        </w:rPr>
        <w:t>采购</w:t>
      </w:r>
      <w:r>
        <w:rPr>
          <w:rFonts w:hint="default" w:ascii="Times New Roman" w:hAnsi="Times New Roman" w:eastAsia="仿宋" w:cs="Times New Roman"/>
          <w:sz w:val="28"/>
          <w:szCs w:val="28"/>
        </w:rPr>
        <w:t>项目所含格式</w:t>
      </w:r>
      <w:r>
        <w:rPr>
          <w:rFonts w:hint="default" w:ascii="Times New Roman" w:hAnsi="Times New Roman" w:eastAsia="仿宋" w:cs="Times New Roman"/>
          <w:sz w:val="28"/>
          <w:szCs w:val="28"/>
          <w:lang w:val="en-US"/>
        </w:rPr>
        <w:t>(.hnzf)</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lang w:eastAsia="zh-CN"/>
        </w:rPr>
        <w:t>竞争性磋商文件</w:t>
      </w:r>
      <w:r>
        <w:rPr>
          <w:rFonts w:hint="default" w:ascii="Times New Roman" w:hAnsi="Times New Roman" w:eastAsia="仿宋" w:cs="Times New Roman"/>
          <w:sz w:val="28"/>
          <w:szCs w:val="28"/>
        </w:rPr>
        <w:t>及资料。</w:t>
      </w:r>
      <w:r>
        <w:rPr>
          <w:rFonts w:hint="default" w:ascii="Times New Roman" w:hAnsi="Times New Roman" w:eastAsia="仿宋" w:cs="Times New Roman"/>
          <w:sz w:val="28"/>
          <w:szCs w:val="28"/>
          <w:lang w:eastAsia="zh-CN"/>
        </w:rPr>
        <w:t>注册、登录、下载等</w:t>
      </w:r>
      <w:r>
        <w:rPr>
          <w:rFonts w:hint="default" w:ascii="Times New Roman" w:hAnsi="Times New Roman" w:eastAsia="仿宋" w:cs="Times New Roman"/>
          <w:sz w:val="28"/>
          <w:szCs w:val="28"/>
          <w:lang w:val="en-US" w:eastAsia="zh-CN"/>
        </w:rPr>
        <w:t>具体事宜请查阅河南省公共资源交易中心网站“公共服务”→“办事指南”。</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4.售价：0元</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四、响应文件提交</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eastAsia="zh-CN"/>
        </w:rPr>
        <w:t>20</w:t>
      </w:r>
      <w:r>
        <w:rPr>
          <w:rFonts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eastAsia="zh-CN"/>
        </w:rPr>
        <w:t>年</w:t>
      </w:r>
      <w:r>
        <w:rPr>
          <w:rFonts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lang w:val="en-US" w:eastAsia="zh-CN"/>
        </w:rPr>
        <w:t>23日09时00分（北京时间）</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2.地点：河南省公共资源交易中心（http://www.hnggzy.net）</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五、响应文件开启</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eastAsia="zh-CN"/>
        </w:rPr>
        <w:t>202</w:t>
      </w:r>
      <w:r>
        <w:rPr>
          <w:rFonts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年</w:t>
      </w:r>
      <w:r>
        <w:rPr>
          <w:rFonts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lang w:val="en-US" w:eastAsia="zh-CN"/>
        </w:rPr>
        <w:t>23日09时00分（北京时间）</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2.地点：河南省公共资源交易中心远程开标室</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“河南省公共资源交易中心（http://www.hnggzy.net）。</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六、发布公告的媒介及招标公告期限</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本次招标公告在《河南省政府采购网》《河南省公共资源交易中心网》上发布，招标公告期限为三个工作日。</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七、其他补充事宜</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八、凡对本次招标提出询问，请按照以下方式联系</w:t>
      </w:r>
    </w:p>
    <w:bookmarkEnd w:id="5"/>
    <w:bookmarkEnd w:id="6"/>
    <w:bookmarkEnd w:id="7"/>
    <w:bookmarkEnd w:id="8"/>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1.采购人信息</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 河南省文物考古研究院</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w:t>
      </w:r>
      <w:r>
        <w:rPr>
          <w:rFonts w:ascii="Times New Roman" w:hAnsi="Times New Roman" w:eastAsia="仿宋_GB2312" w:cs="Times New Roman"/>
          <w:color w:val="auto"/>
          <w:sz w:val="28"/>
          <w:szCs w:val="28"/>
          <w:lang w:val="en-US" w:eastAsia="zh-CN"/>
        </w:rPr>
        <w:t>郑州市陇海北三街9号</w:t>
      </w:r>
    </w:p>
    <w:p>
      <w:pPr>
        <w:tabs>
          <w:tab w:val="left" w:pos="3189"/>
        </w:tabs>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w:t>
      </w:r>
      <w:r>
        <w:rPr>
          <w:rFonts w:ascii="Times New Roman" w:hAnsi="Times New Roman" w:eastAsia="仿宋_GB2312" w:cs="Times New Roman"/>
          <w:color w:val="auto"/>
          <w:sz w:val="28"/>
          <w:szCs w:val="28"/>
          <w:lang w:val="en-US" w:eastAsia="zh-CN"/>
        </w:rPr>
        <w:t>朱老师</w:t>
      </w:r>
    </w:p>
    <w:p>
      <w:pPr>
        <w:spacing w:line="500" w:lineRule="exact"/>
        <w:ind w:firstLine="560" w:firstLineChars="200"/>
        <w:rPr>
          <w:rFonts w:hint="default" w:ascii="Times New Roman" w:hAnsi="Times New Roman"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w:t>
      </w:r>
      <w:r>
        <w:rPr>
          <w:rFonts w:ascii="Times New Roman" w:hAnsi="Times New Roman" w:eastAsia="仿宋_GB2312" w:cs="Times New Roman"/>
          <w:color w:val="auto"/>
          <w:sz w:val="28"/>
          <w:szCs w:val="28"/>
          <w:lang w:val="en-US" w:eastAsia="zh-CN"/>
        </w:rPr>
        <w:t>0371-66383865</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2.采购代理机构信息（如有）</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联系人：郭老师、余老师、沈老师</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联系方式：0371-65915560、65915563</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3.项目联系方式</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项目联系人：</w:t>
      </w:r>
      <w:r>
        <w:rPr>
          <w:rFonts w:ascii="Times New Roman" w:hAnsi="Times New Roman" w:eastAsia="仿宋_GB2312" w:cs="Times New Roman"/>
          <w:color w:val="auto"/>
          <w:sz w:val="28"/>
          <w:szCs w:val="28"/>
          <w:lang w:val="en-US" w:eastAsia="zh-CN"/>
        </w:rPr>
        <w:t>朱老师</w:t>
      </w:r>
    </w:p>
    <w:p>
      <w:pPr>
        <w:spacing w:line="500" w:lineRule="exact"/>
        <w:ind w:firstLine="560" w:firstLineChars="200"/>
        <w:rPr>
          <w:rFonts w:hint="default" w:ascii="Times New Roman" w:hAnsi="Times New Roman"/>
          <w:lang w:val="en-US" w:eastAsia="zh-CN"/>
        </w:rPr>
        <w:sectPr>
          <w:footerReference r:id="rId3" w:type="default"/>
          <w:pgSz w:w="11900" w:h="16840"/>
          <w:pgMar w:top="1440" w:right="1797" w:bottom="1440" w:left="1797" w:header="851" w:footer="992" w:gutter="0"/>
          <w:pgNumType w:start="0"/>
          <w:cols w:space="720" w:num="1"/>
          <w:titlePg/>
          <w:docGrid w:linePitch="286" w:charSpace="0"/>
        </w:sectPr>
      </w:pPr>
      <w:r>
        <w:rPr>
          <w:rFonts w:hint="default" w:ascii="Times New Roman" w:hAnsi="Times New Roman" w:eastAsia="仿宋_GB2312" w:cs="Times New Roman"/>
          <w:color w:val="auto"/>
          <w:sz w:val="28"/>
          <w:szCs w:val="28"/>
          <w:lang w:val="en-US" w:eastAsia="zh-CN"/>
        </w:rPr>
        <w:t>联系方式：</w:t>
      </w:r>
      <w:r>
        <w:rPr>
          <w:rFonts w:ascii="Times New Roman" w:hAnsi="Times New Roman" w:eastAsia="仿宋_GB2312" w:cs="Times New Roman"/>
          <w:color w:val="auto"/>
          <w:sz w:val="28"/>
          <w:szCs w:val="28"/>
          <w:lang w:val="en-US" w:eastAsia="zh-CN"/>
        </w:rPr>
        <w:t>0371-66383865</w:t>
      </w:r>
    </w:p>
    <w:p>
      <w:pPr>
        <w:pStyle w:val="4"/>
        <w:spacing w:before="0" w:after="0" w:line="360" w:lineRule="auto"/>
        <w:jc w:val="center"/>
        <w:rPr>
          <w:rFonts w:hint="default" w:ascii="Times New Roman" w:hAnsi="Times New Roman" w:eastAsia="宋体" w:cs="Times New Roman"/>
          <w:color w:val="auto"/>
          <w:sz w:val="36"/>
          <w:szCs w:val="36"/>
          <w:lang w:eastAsia="zh-CN"/>
        </w:rPr>
      </w:pPr>
      <w:bookmarkStart w:id="9" w:name="_Toc403451568"/>
      <w:bookmarkStart w:id="10" w:name="_Toc140822544"/>
      <w:bookmarkStart w:id="11" w:name="_Toc1676461300"/>
      <w:bookmarkStart w:id="12" w:name="_Toc1158409811_WPSOffice_Level1"/>
      <w:bookmarkStart w:id="13" w:name="_Toc1520451966"/>
      <w:bookmarkStart w:id="14" w:name="_Toc1378990171"/>
      <w:bookmarkStart w:id="15" w:name="_Toc894622228"/>
      <w:bookmarkStart w:id="16" w:name="_Toc1932859446_WPSOffice_Level1"/>
      <w:bookmarkStart w:id="17" w:name="_Toc337485847"/>
      <w:bookmarkStart w:id="18" w:name="_Toc339222953_WPSOffice_Level1"/>
      <w:bookmarkStart w:id="19" w:name="_Toc719882491_WPSOffice_Level1"/>
      <w:bookmarkStart w:id="20" w:name="_Toc969346985"/>
      <w:bookmarkStart w:id="21" w:name="_Toc1655321927"/>
      <w:bookmarkStart w:id="22" w:name="_Toc2032132179"/>
      <w:r>
        <w:rPr>
          <w:rFonts w:hint="default" w:ascii="Times New Roman" w:hAnsi="Times New Roman" w:eastAsia="宋体" w:cs="Times New Roman"/>
          <w:color w:val="auto"/>
          <w:sz w:val="36"/>
          <w:szCs w:val="36"/>
          <w:lang w:eastAsia="zh-CN"/>
        </w:rPr>
        <w:t>第二章 供应商须知前附表</w:t>
      </w:r>
      <w:bookmarkEnd w:id="9"/>
      <w:bookmarkEnd w:id="10"/>
      <w:bookmarkEnd w:id="11"/>
      <w:bookmarkEnd w:id="12"/>
      <w:bookmarkEnd w:id="13"/>
      <w:bookmarkEnd w:id="14"/>
      <w:bookmarkEnd w:id="15"/>
      <w:bookmarkEnd w:id="16"/>
      <w:bookmarkEnd w:id="17"/>
      <w:bookmarkEnd w:id="18"/>
      <w:bookmarkEnd w:id="19"/>
      <w:bookmarkEnd w:id="20"/>
      <w:bookmarkEnd w:id="21"/>
      <w:bookmarkEnd w:id="22"/>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本表是对供应商须知的具体补充和修改，如有矛盾，应以本表为准。</w:t>
      </w:r>
    </w:p>
    <w:tbl>
      <w:tblPr>
        <w:tblStyle w:val="48"/>
        <w:tblW w:w="0" w:type="auto"/>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9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0" w:hRule="atLeast"/>
          <w:tblHeader/>
        </w:trPr>
        <w:tc>
          <w:tcPr>
            <w:tcW w:w="952" w:type="dxa"/>
            <w:vAlign w:val="center"/>
          </w:tcPr>
          <w:p>
            <w:pPr>
              <w:spacing w:line="50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条款号</w:t>
            </w:r>
          </w:p>
        </w:tc>
        <w:tc>
          <w:tcPr>
            <w:tcW w:w="7967" w:type="dxa"/>
            <w:vAlign w:val="center"/>
          </w:tcPr>
          <w:p>
            <w:pPr>
              <w:spacing w:line="50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w:t>
            </w:r>
          </w:p>
        </w:tc>
        <w:tc>
          <w:tcPr>
            <w:tcW w:w="7967" w:type="dxa"/>
            <w:vAlign w:val="center"/>
          </w:tcPr>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采购项目：</w:t>
            </w:r>
            <w:r>
              <w:rPr>
                <w:rFonts w:hint="default" w:ascii="Times New Roman" w:hAnsi="Times New Roman" w:eastAsia="仿宋_GB2312" w:cs="Times New Roman"/>
                <w:color w:val="auto"/>
                <w:sz w:val="24"/>
                <w:szCs w:val="24"/>
                <w:lang w:val="en-US" w:eastAsia="zh-CN"/>
              </w:rPr>
              <w:t xml:space="preserve"> 河南省文物考古研究院2024年度安保服务招标采购项目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9"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w:t>
            </w:r>
          </w:p>
        </w:tc>
        <w:tc>
          <w:tcPr>
            <w:tcW w:w="7967" w:type="dxa"/>
            <w:vAlign w:val="center"/>
          </w:tcPr>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采购编号：</w:t>
            </w:r>
            <w:r>
              <w:rPr>
                <w:rFonts w:hint="default" w:ascii="Times New Roman" w:hAnsi="Times New Roman" w:eastAsia="仿宋_GB2312" w:cs="Times New Roman"/>
                <w:sz w:val="24"/>
                <w:szCs w:val="24"/>
                <w:lang w:val="en-US" w:eastAsia="zh-CN"/>
              </w:rPr>
              <w:t xml:space="preserve">  豫财磋商采购-2023-1338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w:t>
            </w:r>
          </w:p>
        </w:tc>
        <w:tc>
          <w:tcPr>
            <w:tcW w:w="7967" w:type="dxa"/>
            <w:vAlign w:val="center"/>
          </w:tcPr>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采购项目简要说明：</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eastAsia="zh-CN"/>
              </w:rPr>
              <w:t>预算金额和最高限价：详见“第一章 竞争性磋商邀请”</w:t>
            </w:r>
          </w:p>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2.采购</w:t>
            </w:r>
            <w:r>
              <w:rPr>
                <w:rFonts w:hint="default" w:ascii="Times New Roman" w:hAnsi="Times New Roman" w:eastAsia="仿宋_GB2312" w:cs="Times New Roman"/>
                <w:sz w:val="24"/>
                <w:szCs w:val="24"/>
                <w:lang w:eastAsia="zh-CN"/>
              </w:rPr>
              <w:t>内容：</w:t>
            </w:r>
            <w:r>
              <w:rPr>
                <w:rFonts w:hint="default" w:ascii="Times New Roman" w:hAnsi="Times New Roman" w:eastAsia="仿宋_GB2312" w:cs="Times New Roman"/>
                <w:color w:val="auto"/>
                <w:sz w:val="24"/>
                <w:szCs w:val="24"/>
                <w:lang w:val="en-US" w:eastAsia="zh-CN"/>
              </w:rPr>
              <w:t xml:space="preserve"> 河南省文物考古研究院2024年度安保服务招标采购项目 </w:t>
            </w:r>
          </w:p>
          <w:p>
            <w:pPr>
              <w:spacing w:line="50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3.服务期限：</w:t>
            </w:r>
            <w:r>
              <w:rPr>
                <w:rFonts w:hint="default" w:ascii="Times New Roman" w:hAnsi="Times New Roman" w:eastAsia="仿宋_GB2312" w:cs="Times New Roman"/>
                <w:sz w:val="24"/>
                <w:szCs w:val="24"/>
                <w:lang w:val="en-US" w:eastAsia="zh-CN"/>
              </w:rPr>
              <w:t>1年</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4.服务地点：采购人指定地点</w:t>
            </w:r>
          </w:p>
          <w:p>
            <w:pPr>
              <w:spacing w:line="500" w:lineRule="exact"/>
              <w:jc w:val="left"/>
              <w:rPr>
                <w:rFonts w:hint="default" w:ascii="Times New Roman" w:hAnsi="Times New Roman" w:cs="Times New Roman"/>
                <w:lang w:eastAsia="zh-CN"/>
              </w:rPr>
            </w:pPr>
            <w:r>
              <w:rPr>
                <w:rFonts w:hint="default" w:ascii="Times New Roman" w:hAnsi="Times New Roman" w:eastAsia="仿宋_GB2312" w:cs="Times New Roman"/>
                <w:sz w:val="24"/>
                <w:szCs w:val="24"/>
                <w:lang w:eastAsia="zh-CN"/>
              </w:rPr>
              <w:t>5.服务质量：满足采购人需求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w:t>
            </w:r>
          </w:p>
        </w:tc>
        <w:tc>
          <w:tcPr>
            <w:tcW w:w="7967" w:type="dxa"/>
            <w:vAlign w:val="center"/>
          </w:tcPr>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Cs/>
                <w:kern w:val="0"/>
                <w:sz w:val="24"/>
                <w:szCs w:val="24"/>
                <w:lang w:eastAsia="zh-CN"/>
              </w:rPr>
              <w:t>采</w:t>
            </w:r>
            <w:r>
              <w:rPr>
                <w:rFonts w:hint="default" w:ascii="Times New Roman" w:hAnsi="Times New Roman" w:eastAsia="仿宋_GB2312" w:cs="Times New Roman"/>
                <w:sz w:val="24"/>
                <w:szCs w:val="24"/>
                <w:lang w:eastAsia="zh-CN"/>
              </w:rPr>
              <w:t>购人：</w:t>
            </w:r>
            <w:r>
              <w:rPr>
                <w:rFonts w:hint="default" w:ascii="Times New Roman" w:hAnsi="Times New Roman" w:eastAsia="仿宋_GB2312" w:cs="Times New Roman"/>
                <w:sz w:val="24"/>
                <w:szCs w:val="24"/>
                <w:lang w:val="en-US" w:eastAsia="zh-CN"/>
              </w:rPr>
              <w:t xml:space="preserve"> 河南省文物考古研究院</w:t>
            </w:r>
          </w:p>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地址：</w:t>
            </w:r>
            <w:r>
              <w:rPr>
                <w:rFonts w:ascii="Times New Roman" w:hAnsi="Times New Roman" w:eastAsia="仿宋_GB2312" w:cs="Times New Roman"/>
                <w:sz w:val="24"/>
                <w:szCs w:val="24"/>
                <w:lang w:eastAsia="zh-CN"/>
              </w:rPr>
              <w:t>郑州市陇海北三街</w:t>
            </w:r>
            <w:r>
              <w:rPr>
                <w:rFonts w:ascii="Times New Roman" w:hAnsi="Times New Roman" w:eastAsia="仿宋_GB2312" w:cs="Times New Roman"/>
                <w:sz w:val="24"/>
                <w:szCs w:val="24"/>
                <w:lang w:val="en-US" w:eastAsia="zh-CN"/>
              </w:rPr>
              <w:t>9号</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联系人：</w:t>
            </w:r>
            <w:r>
              <w:rPr>
                <w:rFonts w:ascii="Times New Roman" w:hAnsi="Times New Roman" w:eastAsia="仿宋_GB2312" w:cs="Times New Roman"/>
                <w:sz w:val="24"/>
                <w:szCs w:val="24"/>
                <w:lang w:eastAsia="zh-CN"/>
              </w:rPr>
              <w:t>朱老师</w:t>
            </w:r>
          </w:p>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联系方式：</w:t>
            </w:r>
            <w:r>
              <w:rPr>
                <w:rFonts w:ascii="Times New Roman" w:hAnsi="Times New Roman" w:eastAsia="仿宋_GB2312" w:cs="Times New Roman"/>
                <w:sz w:val="24"/>
                <w:szCs w:val="24"/>
                <w:lang w:val="en-US" w:eastAsia="zh-CN"/>
              </w:rPr>
              <w:t>0371-66383865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w:t>
            </w:r>
          </w:p>
        </w:tc>
        <w:tc>
          <w:tcPr>
            <w:tcW w:w="7967" w:type="dxa"/>
            <w:vAlign w:val="center"/>
          </w:tcPr>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集中采购机构：河南省公共资源交易中心</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地址：郑州市经二路12号</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联系人：郭老师、余老师、沈老师</w:t>
            </w:r>
          </w:p>
          <w:p>
            <w:pPr>
              <w:spacing w:line="500" w:lineRule="exact"/>
              <w:jc w:val="left"/>
              <w:rPr>
                <w:rFonts w:hint="default" w:ascii="Times New Roman" w:hAnsi="Times New Roman" w:eastAsia="PMingLiU" w:cs="Times New Roman"/>
                <w:sz w:val="24"/>
                <w:szCs w:val="24"/>
              </w:rPr>
            </w:pPr>
            <w:r>
              <w:rPr>
                <w:rFonts w:hint="default" w:ascii="Times New Roman" w:hAnsi="Times New Roman" w:eastAsia="仿宋_GB2312" w:cs="Times New Roman"/>
                <w:sz w:val="24"/>
                <w:szCs w:val="24"/>
              </w:rPr>
              <w:t>联系方式：0371-65915560、65915563</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邮箱：hnggzyzfcg@163.com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4"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2.5.1</w:t>
            </w:r>
          </w:p>
        </w:tc>
        <w:tc>
          <w:tcPr>
            <w:tcW w:w="7967" w:type="dxa"/>
            <w:vAlign w:val="center"/>
          </w:tcPr>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color w:val="auto"/>
                <w:sz w:val="24"/>
                <w:szCs w:val="24"/>
                <w:lang w:val="en-US" w:eastAsia="zh-CN"/>
              </w:rPr>
              <w:t>是否为专门面向中小企业采购：</w:t>
            </w:r>
            <w:r>
              <w:rPr>
                <w:rFonts w:ascii="Times New Roman" w:hAnsi="Times New Roman" w:eastAsia="仿宋_GB2312" w:cs="Times New Roman"/>
                <w:b/>
                <w:bCs/>
                <w:color w:val="auto"/>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9"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2.5.2</w:t>
            </w:r>
          </w:p>
        </w:tc>
        <w:tc>
          <w:tcPr>
            <w:tcW w:w="7967" w:type="dxa"/>
            <w:vAlign w:val="center"/>
          </w:tcPr>
          <w:p>
            <w:pPr>
              <w:spacing w:line="500" w:lineRule="exac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是否允许采购进口产品：</w:t>
            </w:r>
            <w:r>
              <w:rPr>
                <w:rFonts w:hint="default" w:ascii="Times New Roman" w:hAnsi="Times New Roman" w:eastAsia="仿宋_GB2312" w:cs="Times New Roman"/>
                <w:b/>
                <w:bCs/>
                <w:color w:val="auto"/>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24"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4.1</w:t>
            </w:r>
          </w:p>
        </w:tc>
        <w:tc>
          <w:tcPr>
            <w:tcW w:w="7967" w:type="dxa"/>
            <w:vAlign w:val="center"/>
          </w:tcPr>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踏勘现场：</w:t>
            </w:r>
          </w:p>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bCs/>
                <w:sz w:val="24"/>
                <w:szCs w:val="24"/>
              </w:rPr>
              <w:fldChar w:fldCharType="begin"/>
            </w:r>
            <w:r>
              <w:rPr>
                <w:rFonts w:hint="default" w:ascii="Times New Roman" w:hAnsi="Times New Roman" w:eastAsia="仿宋_GB2312" w:cs="Times New Roman"/>
                <w:b/>
                <w:bCs/>
                <w:sz w:val="24"/>
                <w:szCs w:val="24"/>
                <w:lang w:eastAsia="zh-CN"/>
              </w:rPr>
              <w:instrText xml:space="preserve"> eq \o\ac(</w:instrText>
            </w:r>
            <w:r>
              <w:rPr>
                <w:rFonts w:hint="default" w:ascii="Times New Roman" w:hAnsi="Times New Roman" w:eastAsia="仿宋_GB2312" w:cs="Times New Roman"/>
                <w:b/>
                <w:bCs/>
                <w:position w:val="-4"/>
                <w:sz w:val="36"/>
                <w:szCs w:val="24"/>
                <w:lang w:eastAsia="zh-CN"/>
              </w:rPr>
              <w:instrText xml:space="preserve">□</w:instrText>
            </w:r>
            <w:r>
              <w:rPr>
                <w:rFonts w:hint="default" w:ascii="Times New Roman" w:hAnsi="Times New Roman" w:eastAsia="仿宋_GB2312" w:cs="Times New Roman"/>
                <w:b/>
                <w:bCs/>
                <w:sz w:val="24"/>
                <w:szCs w:val="24"/>
                <w:lang w:eastAsia="zh-CN"/>
              </w:rPr>
              <w:instrText xml:space="preserve">,√)</w:instrText>
            </w:r>
            <w:r>
              <w:rPr>
                <w:rFonts w:hint="default" w:ascii="Times New Roman" w:hAnsi="Times New Roman" w:eastAsia="仿宋_GB2312" w:cs="Times New Roman"/>
                <w:b/>
                <w:bCs/>
                <w:sz w:val="24"/>
                <w:szCs w:val="24"/>
              </w:rPr>
              <w:fldChar w:fldCharType="end"/>
            </w:r>
            <w:r>
              <w:rPr>
                <w:rFonts w:hint="default" w:ascii="Times New Roman" w:hAnsi="Times New Roman" w:eastAsia="仿宋_GB2312" w:cs="Times New Roman"/>
                <w:b/>
                <w:bCs/>
                <w:sz w:val="24"/>
                <w:szCs w:val="24"/>
                <w:lang w:eastAsia="zh-CN"/>
              </w:rPr>
              <w:t>不组织</w:t>
            </w:r>
            <w:r>
              <w:rPr>
                <w:rFonts w:hint="default" w:ascii="Times New Roman" w:hAnsi="Times New Roman" w:eastAsia="仿宋_GB2312" w:cs="Times New Roman"/>
                <w:sz w:val="24"/>
                <w:szCs w:val="24"/>
                <w:lang w:eastAsia="zh-CN"/>
              </w:rPr>
              <w:t>，供应商可自行对项目现场和周围环境进行踏勘，踏勘现场所发生的费用由供应商自己承担。出现事故，责任由供应商自行承担。</w:t>
            </w:r>
          </w:p>
          <w:p>
            <w:pPr>
              <w:spacing w:line="500" w:lineRule="exact"/>
              <w:rPr>
                <w:rFonts w:hint="default" w:ascii="Times New Roman" w:hAnsi="Times New Roman" w:eastAsia="仿宋_GB2312" w:cs="Times New Roman"/>
                <w:sz w:val="24"/>
                <w:szCs w:val="24"/>
                <w:u w:val="single"/>
                <w:lang w:eastAsia="zh-CN"/>
              </w:rPr>
            </w:pPr>
            <w:r>
              <w:rPr>
                <w:rFonts w:hint="default" w:ascii="Times New Roman" w:hAnsi="Times New Roman" w:eastAsia="仿宋_GB2312" w:cs="Times New Roman"/>
                <w:b/>
                <w:bCs/>
                <w:sz w:val="24"/>
                <w:szCs w:val="24"/>
                <w:lang w:eastAsia="zh-CN"/>
              </w:rPr>
              <w:t>□组织</w:t>
            </w:r>
            <w:r>
              <w:rPr>
                <w:rFonts w:hint="default" w:ascii="Times New Roman" w:hAnsi="Times New Roman" w:eastAsia="仿宋_GB2312" w:cs="Times New Roman"/>
                <w:sz w:val="24"/>
                <w:szCs w:val="24"/>
                <w:lang w:eastAsia="zh-CN"/>
              </w:rPr>
              <w:t>，踏勘时间：</w:t>
            </w:r>
            <w:r>
              <w:rPr>
                <w:rFonts w:hint="default" w:ascii="Times New Roman" w:hAnsi="Times New Roman" w:eastAsia="仿宋_GB2312" w:cs="Times New Roman"/>
                <w:sz w:val="24"/>
                <w:szCs w:val="24"/>
                <w:u w:val="single"/>
                <w:lang w:eastAsia="zh-CN"/>
              </w:rPr>
              <w:t xml:space="preserve">  /  </w:t>
            </w:r>
          </w:p>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 xml:space="preserve">        踏勘集中地点：</w:t>
            </w:r>
            <w:r>
              <w:rPr>
                <w:rFonts w:hint="default" w:ascii="Times New Roman" w:hAnsi="Times New Roman" w:eastAsia="仿宋_GB2312" w:cs="Times New Roman"/>
                <w:sz w:val="24"/>
                <w:szCs w:val="24"/>
                <w:u w:val="single"/>
                <w:lang w:eastAsia="zh-CN"/>
              </w:rPr>
              <w:t xml:space="preserve">  /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52" w:type="dxa"/>
            <w:vAlign w:val="center"/>
          </w:tcPr>
          <w:p>
            <w:pPr>
              <w:spacing w:line="50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6.6</w:t>
            </w:r>
          </w:p>
        </w:tc>
        <w:tc>
          <w:tcPr>
            <w:tcW w:w="7967" w:type="dxa"/>
            <w:vAlign w:val="center"/>
          </w:tcPr>
          <w:p>
            <w:pPr>
              <w:spacing w:line="500" w:lineRule="exac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是否允许联合体磋商：</w:t>
            </w:r>
            <w:r>
              <w:rPr>
                <w:rFonts w:hint="default" w:ascii="Times New Roman" w:hAnsi="Times New Roman" w:eastAsia="仿宋_GB2312" w:cs="Times New Roman"/>
                <w:b/>
                <w:bCs/>
                <w:color w:val="auto"/>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16</w:t>
            </w:r>
          </w:p>
        </w:tc>
        <w:tc>
          <w:tcPr>
            <w:tcW w:w="7967" w:type="dxa"/>
            <w:vAlign w:val="center"/>
          </w:tcPr>
          <w:p>
            <w:pPr>
              <w:widowControl w:val="0"/>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color w:val="auto"/>
                <w:sz w:val="24"/>
                <w:szCs w:val="24"/>
                <w:lang w:val="en-US" w:eastAsia="zh-CN"/>
              </w:rPr>
              <w:t>如供应商对多个分包进行磋商响应，按照分包顺序可以成交：</w:t>
            </w:r>
            <w:r>
              <w:rPr>
                <w:rFonts w:hint="default" w:ascii="Times New Roman" w:hAnsi="Times New Roman" w:eastAsia="仿宋_GB2312" w:cs="Times New Roman"/>
                <w:b/>
                <w:bCs/>
                <w:color w:val="auto"/>
                <w:sz w:val="24"/>
                <w:szCs w:val="24"/>
                <w:lang w:val="en-US" w:eastAsia="zh-CN"/>
              </w:rPr>
              <w:t>一个包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0"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18.2</w:t>
            </w:r>
          </w:p>
        </w:tc>
        <w:tc>
          <w:tcPr>
            <w:tcW w:w="7967" w:type="dxa"/>
            <w:vAlign w:val="center"/>
          </w:tcPr>
          <w:p>
            <w:pPr>
              <w:spacing w:line="500" w:lineRule="exact"/>
              <w:rPr>
                <w:rFonts w:hint="default" w:ascii="Times New Roman" w:hAnsi="Times New Roman" w:eastAsia="仿宋_GB2312" w:cs="Times New Roman"/>
                <w:b/>
                <w:bCs/>
                <w:color w:val="auto"/>
                <w:kern w:val="0"/>
                <w:sz w:val="24"/>
                <w:szCs w:val="24"/>
                <w:lang w:val="en-US" w:eastAsia="zh-CN"/>
              </w:rPr>
            </w:pPr>
            <w:r>
              <w:rPr>
                <w:rFonts w:hint="default" w:ascii="Times New Roman" w:hAnsi="Times New Roman" w:eastAsia="仿宋_GB2312" w:cs="Times New Roman"/>
                <w:b/>
                <w:bCs/>
                <w:color w:val="auto"/>
                <w:kern w:val="0"/>
                <w:sz w:val="24"/>
                <w:szCs w:val="24"/>
                <w:lang w:val="en-US" w:eastAsia="zh-CN"/>
              </w:rPr>
              <w:t>报价次数：二次，第二次报价为最后报价。</w:t>
            </w:r>
          </w:p>
          <w:p>
            <w:pPr>
              <w:spacing w:line="50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color w:val="auto"/>
                <w:kern w:val="0"/>
                <w:sz w:val="24"/>
                <w:szCs w:val="24"/>
                <w:lang w:val="en-US" w:eastAsia="zh-CN"/>
              </w:rPr>
              <w:t>地点（方式）：河南省公共资源交易中心网站（http://www.hnggzy.net）——市场主体登陆。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18.3</w:t>
            </w:r>
          </w:p>
        </w:tc>
        <w:tc>
          <w:tcPr>
            <w:tcW w:w="7967" w:type="dxa"/>
            <w:vAlign w:val="center"/>
          </w:tcPr>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eastAsia="zh-CN"/>
              </w:rPr>
              <w:t>）磋商响应报价：完成采购文件规定的服务范围的所有费用，包括本次采购项目的所有成本、管理费、利润、税金、人员工资、加班费、服装费、工具费、培训费、消耗品、交通、工具、办公费、国家相关规定的保险费以及供应商按有关规定应在报价中考虑的费用等。</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eastAsia="zh-CN"/>
              </w:rPr>
              <w:t>）磋商响应报价相关说明：</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①最低工资标准按《</w:t>
            </w:r>
            <w:r>
              <w:rPr>
                <w:rFonts w:hint="default" w:ascii="Times New Roman" w:hAnsi="Times New Roman" w:eastAsia="仿宋_GB2312" w:cs="Times New Roman"/>
                <w:sz w:val="24"/>
                <w:szCs w:val="24"/>
                <w:lang w:val="en-US" w:eastAsia="zh-CN"/>
              </w:rPr>
              <w:t>河南省人民政府关于调整河南省最低工资标准的通知</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豫政〔2023〕43号</w:t>
            </w:r>
            <w:r>
              <w:rPr>
                <w:rFonts w:hint="default" w:ascii="Times New Roman" w:hAnsi="Times New Roman" w:eastAsia="仿宋_GB2312" w:cs="Times New Roman"/>
                <w:sz w:val="24"/>
                <w:szCs w:val="24"/>
                <w:lang w:eastAsia="zh-CN"/>
              </w:rPr>
              <w:t>）文执行。</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②岗位人员工资、社会保险费、税金取费不得低于国家规定的最低标准。</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③若有特殊情况，请予以备注说明并提供相关证明。</w:t>
            </w:r>
          </w:p>
          <w:p>
            <w:pPr>
              <w:spacing w:line="360" w:lineRule="auto"/>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lang w:eastAsia="zh-CN"/>
              </w:rPr>
              <w:t>）供应商各轮次总报价均不能超过最高限价，否则其磋商响应文件按无效处理。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napToGrid w:val="0"/>
                <w:sz w:val="24"/>
                <w:szCs w:val="24"/>
              </w:rPr>
              <w:t>19</w:t>
            </w:r>
          </w:p>
        </w:tc>
        <w:tc>
          <w:tcPr>
            <w:tcW w:w="7967" w:type="dxa"/>
            <w:vAlign w:val="center"/>
          </w:tcPr>
          <w:p>
            <w:pPr>
              <w:spacing w:line="500" w:lineRule="exact"/>
              <w:rPr>
                <w:rFonts w:hint="default" w:ascii="Times New Roman" w:hAnsi="Times New Roman" w:eastAsia="仿宋_GB2312" w:cs="Times New Roman"/>
                <w:sz w:val="24"/>
                <w:szCs w:val="24"/>
                <w:u w:val="single"/>
                <w:lang w:eastAsia="zh-CN"/>
              </w:rPr>
            </w:pPr>
            <w:r>
              <w:rPr>
                <w:rFonts w:hint="default" w:ascii="Times New Roman" w:hAnsi="Times New Roman" w:eastAsia="仿宋_GB2312" w:cs="Times New Roman"/>
                <w:sz w:val="24"/>
                <w:szCs w:val="24"/>
                <w:lang w:eastAsia="zh-CN"/>
              </w:rPr>
              <w:t>磋商响应货币：人民币。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.1</w:t>
            </w:r>
          </w:p>
        </w:tc>
        <w:tc>
          <w:tcPr>
            <w:tcW w:w="7967" w:type="dxa"/>
            <w:vAlign w:val="center"/>
          </w:tcPr>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bCs/>
                <w:sz w:val="24"/>
                <w:szCs w:val="24"/>
                <w:lang w:eastAsia="zh-CN"/>
              </w:rPr>
              <w:t>响应文件有效期</w:t>
            </w:r>
            <w:r>
              <w:rPr>
                <w:rFonts w:hint="default" w:ascii="Times New Roman" w:hAnsi="Times New Roman" w:eastAsia="仿宋_GB2312" w:cs="Times New Roman"/>
                <w:sz w:val="24"/>
                <w:szCs w:val="24"/>
                <w:lang w:eastAsia="zh-CN"/>
              </w:rPr>
              <w:t>：自响应文件提交截止时间起60日历日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.1</w:t>
            </w:r>
          </w:p>
        </w:tc>
        <w:tc>
          <w:tcPr>
            <w:tcW w:w="7967" w:type="dxa"/>
            <w:vAlign w:val="center"/>
          </w:tcPr>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加密电子竞争性磋商响应文件的上传：加密电子竞争性磋商响应文件须在响应文件提交截止时间前通过“河南省公共资源交易中心（http://www.hnggzy.net）”电子交易平台加密上传。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.1</w:t>
            </w:r>
          </w:p>
        </w:tc>
        <w:tc>
          <w:tcPr>
            <w:tcW w:w="7967" w:type="dxa"/>
            <w:vAlign w:val="center"/>
          </w:tcPr>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响应文件提交截止时间：</w:t>
            </w:r>
            <w:r>
              <w:rPr>
                <w:rFonts w:hint="default" w:ascii="Times New Roman" w:hAnsi="Times New Roman" w:eastAsia="仿宋_GB2312" w:cs="Times New Roman"/>
                <w:sz w:val="24"/>
                <w:szCs w:val="24"/>
                <w:highlight w:val="none"/>
                <w:lang w:eastAsia="zh-CN"/>
              </w:rPr>
              <w:t>202</w:t>
            </w:r>
            <w:r>
              <w:rPr>
                <w:rFonts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lang w:eastAsia="zh-CN"/>
              </w:rPr>
              <w:t xml:space="preserve">年 </w:t>
            </w:r>
            <w:r>
              <w:rPr>
                <w:rFonts w:ascii="Times New Roman" w:hAnsi="Times New Roman" w:eastAsia="仿宋_GB2312" w:cs="Times New Roman"/>
                <w:sz w:val="24"/>
                <w:szCs w:val="24"/>
                <w:highlight w:val="none"/>
                <w:lang w:val="en-US" w:eastAsia="zh-CN"/>
              </w:rPr>
              <w:t xml:space="preserve">1 </w:t>
            </w:r>
            <w:r>
              <w:rPr>
                <w:rFonts w:hint="default" w:ascii="Times New Roman" w:hAnsi="Times New Roman" w:eastAsia="仿宋_GB2312" w:cs="Times New Roman"/>
                <w:sz w:val="24"/>
                <w:szCs w:val="24"/>
                <w:highlight w:val="none"/>
                <w:lang w:eastAsia="zh-CN"/>
              </w:rPr>
              <w:t>月</w:t>
            </w:r>
            <w:r>
              <w:rPr>
                <w:rFonts w:hint="default" w:ascii="Times New Roman" w:hAnsi="Times New Roman" w:eastAsia="仿宋_GB2312" w:cs="Times New Roman"/>
                <w:sz w:val="24"/>
                <w:szCs w:val="24"/>
                <w:highlight w:val="none"/>
                <w:lang w:val="en-US" w:eastAsia="zh-CN"/>
              </w:rPr>
              <w:t>23</w:t>
            </w:r>
            <w:r>
              <w:rPr>
                <w:rFonts w:hint="default" w:ascii="Times New Roman" w:hAnsi="Times New Roman" w:eastAsia="仿宋_GB2312" w:cs="Times New Roman"/>
                <w:sz w:val="24"/>
                <w:szCs w:val="24"/>
                <w:highlight w:val="none"/>
                <w:lang w:eastAsia="zh-CN"/>
              </w:rPr>
              <w:t>日</w:t>
            </w:r>
            <w:r>
              <w:rPr>
                <w:rFonts w:hint="default" w:ascii="Times New Roman" w:hAnsi="Times New Roman" w:eastAsia="仿宋_GB2312" w:cs="Times New Roman"/>
                <w:sz w:val="24"/>
                <w:szCs w:val="24"/>
                <w:lang w:eastAsia="zh-CN"/>
              </w:rPr>
              <w:t>09时00分（北京时间）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.1</w:t>
            </w:r>
          </w:p>
        </w:tc>
        <w:tc>
          <w:tcPr>
            <w:tcW w:w="7967" w:type="dxa"/>
            <w:vAlign w:val="center"/>
          </w:tcPr>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开启及解密方式：“远程不见面”开启方式，供应商无需到河南省公共资源交易中心现场参加开启会议。在响应文件提交截止时间前，供应商登陆不见面开标大厅，在线准时参加开启活动并进行文件解密。未在规定时间内解密竞争性磋商响应文件的供应商，其竞争性磋商响应文件不予接受并退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.2</w:t>
            </w:r>
          </w:p>
        </w:tc>
        <w:tc>
          <w:tcPr>
            <w:tcW w:w="7967" w:type="dxa"/>
            <w:vAlign w:val="center"/>
          </w:tcPr>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远程开标大厅网址：河南省公共资源交易中心” （http://www.hnggzy.net）——不见面开标大厅。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.3</w:t>
            </w:r>
          </w:p>
        </w:tc>
        <w:tc>
          <w:tcPr>
            <w:tcW w:w="7967" w:type="dxa"/>
            <w:vAlign w:val="center"/>
          </w:tcPr>
          <w:p>
            <w:pPr>
              <w:widowControl w:val="0"/>
              <w:spacing w:line="500" w:lineRule="exact"/>
              <w:rPr>
                <w:rFonts w:hint="default" w:ascii="Times New Roman" w:hAnsi="Times New Roman" w:eastAsia="仿宋_GB2312" w:cs="Times New Roman"/>
                <w:color w:val="auto"/>
                <w:sz w:val="24"/>
                <w:szCs w:val="24"/>
                <w:u w:val="single"/>
                <w:lang w:val="en-US" w:eastAsia="zh-CN"/>
              </w:rPr>
            </w:pPr>
            <w:r>
              <w:rPr>
                <w:rFonts w:hint="default" w:ascii="Times New Roman" w:hAnsi="Times New Roman" w:eastAsia="仿宋_GB2312" w:cs="Times New Roman"/>
                <w:color w:val="auto"/>
                <w:sz w:val="24"/>
                <w:szCs w:val="24"/>
                <w:lang w:val="en-US" w:eastAsia="zh-CN"/>
              </w:rPr>
              <w:t>开启时间：</w:t>
            </w:r>
            <w:r>
              <w:rPr>
                <w:rFonts w:hint="default" w:ascii="Times New Roman" w:hAnsi="Times New Roman" w:eastAsia="仿宋_GB2312" w:cs="Times New Roman"/>
                <w:sz w:val="24"/>
                <w:szCs w:val="24"/>
                <w:lang w:eastAsia="zh-CN"/>
              </w:rPr>
              <w:t>详见“第一章 竞争性磋商邀请”</w:t>
            </w:r>
          </w:p>
          <w:p>
            <w:pPr>
              <w:spacing w:line="500" w:lineRule="exact"/>
              <w:jc w:val="left"/>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color w:val="auto"/>
                <w:sz w:val="24"/>
                <w:szCs w:val="24"/>
                <w:lang w:val="en-US" w:eastAsia="zh-CN"/>
              </w:rPr>
              <w:t>开启地点：</w:t>
            </w:r>
            <w:r>
              <w:rPr>
                <w:rFonts w:hint="default" w:ascii="Times New Roman" w:hAnsi="Times New Roman" w:eastAsia="仿宋_GB2312" w:cs="Times New Roman"/>
                <w:sz w:val="24"/>
                <w:szCs w:val="24"/>
                <w:lang w:eastAsia="zh-CN"/>
              </w:rPr>
              <w:t>详见“第一章 竞争性磋商邀请”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1</w:t>
            </w:r>
          </w:p>
        </w:tc>
        <w:tc>
          <w:tcPr>
            <w:tcW w:w="7967" w:type="dxa"/>
            <w:vAlign w:val="center"/>
          </w:tcPr>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信用记录:</w:t>
            </w:r>
            <w:r>
              <w:rPr>
                <w:rFonts w:hint="default" w:ascii="Times New Roman" w:hAnsi="Times New Roman" w:eastAsia="仿宋_GB2312" w:cs="Times New Roman"/>
                <w:sz w:val="24"/>
                <w:szCs w:val="24"/>
                <w:lang w:val="en-US" w:eastAsia="zh-CN"/>
              </w:rPr>
              <w:t>根据《关于在政府采购活动中查询及使用信用记录有关问题的通知》(财库〔2016〕125号)文的要求，采购人将在</w:t>
            </w:r>
            <w:r>
              <w:rPr>
                <w:rFonts w:hint="default" w:ascii="Times New Roman" w:hAnsi="Times New Roman" w:eastAsia="仿宋_GB2312" w:cs="Times New Roman"/>
                <w:sz w:val="24"/>
                <w:szCs w:val="24"/>
                <w:lang w:eastAsia="zh-CN"/>
              </w:rPr>
              <w:t>响应文件提交截止时间</w:t>
            </w:r>
            <w:r>
              <w:rPr>
                <w:rFonts w:hint="default" w:ascii="Times New Roman" w:hAnsi="Times New Roman" w:eastAsia="仿宋_GB2312" w:cs="Times New Roman"/>
                <w:sz w:val="24"/>
                <w:szCs w:val="24"/>
                <w:lang w:val="en-US" w:eastAsia="zh-CN"/>
              </w:rPr>
              <w:t>后在“信用中国”网站查询供应商“失信被执行人”和“重大税收违法案件当事人名单”，在“中国政府采购网”站查询供应商“政府采购严重违法失信行为记录名单”；供应商被列入失信被执行人、重大税收违法案件当事人名单、政府采购严重违法失信行为记录名单的，其响应文件作为无效处理。</w:t>
            </w:r>
          </w:p>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bCs/>
                <w:sz w:val="24"/>
                <w:szCs w:val="24"/>
                <w:lang w:val="en-US" w:eastAsia="zh-CN"/>
              </w:rPr>
              <w:t>查询及记录方式：</w:t>
            </w:r>
            <w:r>
              <w:rPr>
                <w:rFonts w:hint="default" w:ascii="Times New Roman" w:hAnsi="Times New Roman" w:eastAsia="仿宋_GB2312" w:cs="Times New Roman"/>
                <w:sz w:val="24"/>
                <w:szCs w:val="24"/>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5"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.1</w:t>
            </w:r>
          </w:p>
        </w:tc>
        <w:tc>
          <w:tcPr>
            <w:tcW w:w="7967" w:type="dxa"/>
            <w:vAlign w:val="center"/>
          </w:tcPr>
          <w:p>
            <w:pPr>
              <w:spacing w:line="500" w:lineRule="exact"/>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sz w:val="24"/>
                <w:szCs w:val="24"/>
                <w:lang w:eastAsia="zh-CN"/>
              </w:rPr>
              <w:t>竞争性磋商小组负责具体评审事务。竞争性磋商小组由采购人代表和评审专家组成，成员人数应当为</w:t>
            </w:r>
            <w:r>
              <w:rPr>
                <w:rFonts w:hint="default" w:ascii="Times New Roman" w:hAnsi="Times New Roman" w:eastAsia="仿宋_GB2312" w:cs="Times New Roman"/>
                <w:sz w:val="24"/>
                <w:szCs w:val="24"/>
                <w:u w:val="single"/>
                <w:lang w:val="en-US" w:eastAsia="zh-CN"/>
              </w:rPr>
              <w:t>3</w:t>
            </w:r>
            <w:r>
              <w:rPr>
                <w:rFonts w:hint="default" w:ascii="Times New Roman" w:hAnsi="Times New Roman" w:eastAsia="仿宋_GB2312" w:cs="Times New Roman"/>
                <w:sz w:val="24"/>
                <w:szCs w:val="24"/>
                <w:lang w:eastAsia="zh-CN"/>
              </w:rPr>
              <w:t>人，其中评审专家不得少于成员总数的三分之二。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7"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.1</w:t>
            </w:r>
          </w:p>
        </w:tc>
        <w:tc>
          <w:tcPr>
            <w:tcW w:w="7967" w:type="dxa"/>
            <w:vAlign w:val="center"/>
          </w:tcPr>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1</w:t>
            </w:r>
            <w:r>
              <w:rPr>
                <w:rFonts w:hint="default" w:ascii="Times New Roman" w:hAnsi="Times New Roman" w:eastAsia="仿宋_GB2312" w:cs="Times New Roman"/>
                <w:sz w:val="24"/>
                <w:szCs w:val="24"/>
                <w:lang w:val="en-US" w:eastAsia="zh-CN"/>
              </w:rPr>
              <w:t>.</w:t>
            </w:r>
            <w:r>
              <w:rPr>
                <w:rFonts w:ascii="Times New Roman" w:hAnsi="Times New Roman" w:eastAsia="仿宋_GB2312" w:cs="Times New Roman"/>
                <w:sz w:val="24"/>
                <w:szCs w:val="24"/>
                <w:lang w:val="en-US" w:eastAsia="zh-CN"/>
              </w:rPr>
              <w:t>中小</w:t>
            </w:r>
            <w:r>
              <w:rPr>
                <w:rFonts w:hint="default" w:ascii="Times New Roman" w:hAnsi="Times New Roman" w:eastAsia="仿宋_GB2312" w:cs="Times New Roman"/>
                <w:sz w:val="24"/>
                <w:szCs w:val="24"/>
                <w:lang w:val="en-US" w:eastAsia="zh-CN"/>
              </w:rPr>
              <w:t>企业扶持</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根据《政府采购促进中小企业发展管理办法》：价格评审优惠（未预留采购份额的采购项目），对小型和微型企业报价给予10%的扣除，用扣除后的价格参与评审。小型和微型企业的认定根据投标人提供的《中小企业声明函》（</w:t>
            </w:r>
            <w:r>
              <w:rPr>
                <w:rFonts w:ascii="Times New Roman" w:hAnsi="Times New Roman" w:eastAsia="仿宋_GB2312" w:cs="Times New Roman"/>
                <w:sz w:val="24"/>
                <w:szCs w:val="24"/>
                <w:lang w:val="en-US" w:eastAsia="zh-CN"/>
              </w:rPr>
              <w:t>第四章</w:t>
            </w:r>
            <w:r>
              <w:rPr>
                <w:rFonts w:hint="default" w:ascii="Times New Roman" w:hAnsi="Times New Roman" w:eastAsia="仿宋_GB2312" w:cs="Times New Roman"/>
                <w:sz w:val="24"/>
                <w:szCs w:val="24"/>
                <w:lang w:val="en-US" w:eastAsia="zh-CN"/>
              </w:rPr>
              <w:t xml:space="preserve"> 竞争性磋商响应文件格式）进行。</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本采购项目所属行业：</w:t>
            </w:r>
            <w:r>
              <w:rPr>
                <w:rFonts w:ascii="Times New Roman" w:hAnsi="Times New Roman" w:eastAsia="仿宋_GB2312" w:cs="Times New Roman"/>
                <w:b/>
                <w:bCs/>
                <w:sz w:val="24"/>
                <w:szCs w:val="24"/>
                <w:u w:val="single"/>
                <w:lang w:val="en-US" w:eastAsia="zh-CN"/>
              </w:rPr>
              <w:t>商务服务业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94"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1</w:t>
            </w:r>
          </w:p>
        </w:tc>
        <w:tc>
          <w:tcPr>
            <w:tcW w:w="7967" w:type="dxa"/>
            <w:vAlign w:val="center"/>
          </w:tcPr>
          <w:p>
            <w:pPr>
              <w:spacing w:line="500" w:lineRule="exact"/>
              <w:jc w:val="left"/>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磋商方法：</w:t>
            </w:r>
          </w:p>
          <w:p>
            <w:pPr>
              <w:spacing w:line="50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竞争性磋商小组对满足</w:t>
            </w:r>
            <w:r>
              <w:rPr>
                <w:rFonts w:hint="default" w:ascii="Times New Roman" w:hAnsi="Times New Roman" w:eastAsia="仿宋_GB2312" w:cs="Times New Roman"/>
                <w:sz w:val="24"/>
                <w:szCs w:val="24"/>
                <w:lang w:eastAsia="zh-CN"/>
              </w:rPr>
              <w:t>竞争性磋商文件</w:t>
            </w:r>
            <w:r>
              <w:rPr>
                <w:rFonts w:hint="default" w:ascii="Times New Roman" w:hAnsi="Times New Roman" w:eastAsia="仿宋_GB2312" w:cs="Times New Roman"/>
                <w:sz w:val="24"/>
                <w:szCs w:val="24"/>
                <w:lang w:val="en-US" w:eastAsia="zh-CN"/>
              </w:rPr>
              <w:t>全部实质性要求的竞争性磋商响应文件，按照竞争性磋商文件规定的评审因素的量化指标进行评审打分，以综合评审得分从高到低顺序确定成交候选供应商。</w:t>
            </w:r>
            <w:r>
              <w:rPr>
                <w:rFonts w:hint="default" w:ascii="Times New Roman" w:hAnsi="Times New Roman" w:eastAsia="仿宋_GB2312" w:cs="Times New Roman"/>
                <w:sz w:val="24"/>
                <w:szCs w:val="24"/>
                <w:lang w:eastAsia="zh-CN"/>
              </w:rPr>
              <w:t>（如综合评审得分相同的，</w:t>
            </w:r>
            <w:r>
              <w:rPr>
                <w:rFonts w:hint="default" w:ascii="Times New Roman" w:hAnsi="Times New Roman" w:eastAsia="仿宋_GB2312" w:cs="Times New Roman"/>
                <w:color w:val="auto"/>
                <w:sz w:val="24"/>
                <w:szCs w:val="24"/>
                <w:lang w:eastAsia="zh-CN"/>
              </w:rPr>
              <w:t>按最后磋商响应报价由低到高顺序推荐排名；综合</w:t>
            </w:r>
            <w:r>
              <w:rPr>
                <w:rFonts w:hint="default" w:ascii="Times New Roman" w:hAnsi="Times New Roman" w:eastAsia="仿宋_GB2312" w:cs="Times New Roman"/>
                <w:sz w:val="24"/>
                <w:szCs w:val="24"/>
                <w:lang w:eastAsia="zh-CN"/>
              </w:rPr>
              <w:t>评审</w:t>
            </w:r>
            <w:r>
              <w:rPr>
                <w:rFonts w:hint="default" w:ascii="Times New Roman" w:hAnsi="Times New Roman" w:eastAsia="仿宋_GB2312" w:cs="Times New Roman"/>
                <w:color w:val="auto"/>
                <w:sz w:val="24"/>
                <w:szCs w:val="24"/>
                <w:lang w:eastAsia="zh-CN"/>
              </w:rPr>
              <w:t>得分且最后磋商响应报价相同的，按技术指标等优劣顺序推荐排名。</w:t>
            </w:r>
            <w:r>
              <w:rPr>
                <w:rFonts w:hint="default" w:ascii="Times New Roman" w:hAnsi="Times New Roman" w:eastAsia="仿宋_GB2312" w:cs="Times New Roman"/>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38</w:t>
            </w:r>
          </w:p>
        </w:tc>
        <w:tc>
          <w:tcPr>
            <w:tcW w:w="7967" w:type="dxa"/>
            <w:vAlign w:val="center"/>
          </w:tcPr>
          <w:p>
            <w:pPr>
              <w:spacing w:line="500" w:lineRule="exact"/>
              <w:jc w:val="left"/>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推荐成交候选供应商的数量：3名【符合财库〔2014〕214号第二十一条第三款情形的，或以竞争性磋商方式采购的政府购买服务项目（含政府和社会资本合作项目），合格供应商只有2家时，可以推荐2家成交候选供应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vAlign w:val="center"/>
          </w:tcPr>
          <w:p>
            <w:pPr>
              <w:spacing w:line="50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41.1</w:t>
            </w:r>
          </w:p>
        </w:tc>
        <w:tc>
          <w:tcPr>
            <w:tcW w:w="7967" w:type="dxa"/>
            <w:vAlign w:val="center"/>
          </w:tcPr>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成交结果公告媒介：《河南省政府采购网》《河南省公共资源交易中心网》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61" w:hRule="atLeast"/>
        </w:trPr>
        <w:tc>
          <w:tcPr>
            <w:tcW w:w="952" w:type="dxa"/>
            <w:vAlign w:val="center"/>
          </w:tcPr>
          <w:p>
            <w:pPr>
              <w:spacing w:line="50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4</w:t>
            </w:r>
            <w:r>
              <w:rPr>
                <w:rFonts w:hint="default" w:ascii="Times New Roman" w:hAnsi="Times New Roman" w:eastAsia="仿宋_GB2312" w:cs="Times New Roman"/>
                <w:sz w:val="24"/>
                <w:szCs w:val="24"/>
                <w:lang w:val="en-US" w:eastAsia="zh-CN"/>
              </w:rPr>
              <w:t>4</w:t>
            </w:r>
          </w:p>
        </w:tc>
        <w:tc>
          <w:tcPr>
            <w:tcW w:w="7967" w:type="dxa"/>
            <w:vAlign w:val="center"/>
          </w:tcPr>
          <w:p>
            <w:pPr>
              <w:spacing w:line="500" w:lineRule="exact"/>
              <w:rPr>
                <w:rFonts w:hint="default"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追加</w:t>
            </w:r>
            <w:r>
              <w:rPr>
                <w:rFonts w:hint="default" w:ascii="Times New Roman" w:hAnsi="Times New Roman" w:eastAsia="仿宋_GB2312" w:cs="Times New Roman"/>
                <w:sz w:val="24"/>
                <w:szCs w:val="24"/>
                <w:lang w:eastAsia="zh-CN"/>
              </w:rPr>
              <w:t>范围：采购人需追加与合同标的相同的服务的，在不改变合同其它条款的前提下，可以与供应商</w:t>
            </w:r>
            <w:r>
              <w:rPr>
                <w:rFonts w:ascii="Times New Roman" w:hAnsi="Times New Roman" w:eastAsia="仿宋_GB2312" w:cs="Times New Roman"/>
                <w:sz w:val="24"/>
                <w:szCs w:val="24"/>
                <w:lang w:eastAsia="zh-CN"/>
              </w:rPr>
              <w:t>协商</w:t>
            </w:r>
            <w:r>
              <w:rPr>
                <w:rFonts w:hint="default" w:ascii="Times New Roman" w:hAnsi="Times New Roman" w:eastAsia="仿宋_GB2312" w:cs="Times New Roman"/>
                <w:sz w:val="24"/>
                <w:szCs w:val="24"/>
                <w:lang w:eastAsia="zh-CN"/>
              </w:rPr>
              <w:t>签订补充合同，但所有补充合同的采购金额不得超过原合同金额的百分之十。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48</w:t>
            </w:r>
          </w:p>
        </w:tc>
        <w:tc>
          <w:tcPr>
            <w:tcW w:w="7967" w:type="dxa"/>
            <w:vAlign w:val="center"/>
          </w:tcPr>
          <w:p>
            <w:pPr>
              <w:spacing w:line="50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招标代理费</w:t>
            </w:r>
            <w:r>
              <w:rPr>
                <w:rFonts w:hint="default" w:ascii="Times New Roman" w:hAnsi="Times New Roman" w:eastAsia="仿宋_GB2312" w:cs="Times New Roman"/>
                <w:sz w:val="24"/>
                <w:szCs w:val="24"/>
              </w:rPr>
              <w:t>：免费。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49.2</w:t>
            </w:r>
          </w:p>
        </w:tc>
        <w:tc>
          <w:tcPr>
            <w:tcW w:w="7967" w:type="dxa"/>
            <w:vAlign w:val="center"/>
          </w:tcPr>
          <w:p>
            <w:pPr>
              <w:spacing w:line="50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供应商应在法定质疑期内针对同一采购程序环节的质疑次数：</w:t>
            </w:r>
          </w:p>
          <w:p>
            <w:pPr>
              <w:spacing w:line="500" w:lineRule="exact"/>
              <w:jc w:val="left"/>
              <w:rPr>
                <w:rFonts w:hint="default" w:ascii="Times New Roman" w:hAnsi="Times New Roman" w:cs="Times New Roman"/>
                <w:sz w:val="24"/>
                <w:szCs w:val="24"/>
              </w:rPr>
            </w:pPr>
            <w:r>
              <w:rPr>
                <w:rFonts w:hint="default" w:ascii="Times New Roman" w:hAnsi="Times New Roman" w:eastAsia="仿宋_GB2312" w:cs="Times New Roman"/>
                <w:sz w:val="24"/>
                <w:szCs w:val="24"/>
                <w:lang w:val="en-US" w:eastAsia="zh-CN"/>
              </w:rPr>
              <w:sym w:font="Wingdings" w:char="F0FE"/>
            </w:r>
            <w:r>
              <w:rPr>
                <w:rFonts w:hint="default" w:ascii="Times New Roman" w:hAnsi="Times New Roman" w:eastAsia="仿宋_GB2312" w:cs="Times New Roman"/>
                <w:sz w:val="24"/>
                <w:szCs w:val="24"/>
                <w:lang w:val="en-US" w:eastAsia="zh-CN"/>
              </w:rPr>
              <w:t xml:space="preserve">一次性提出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50</w:t>
            </w:r>
          </w:p>
        </w:tc>
        <w:tc>
          <w:tcPr>
            <w:tcW w:w="7967"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46"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50.1</w:t>
            </w:r>
          </w:p>
        </w:tc>
        <w:tc>
          <w:tcPr>
            <w:tcW w:w="7967" w:type="dxa"/>
            <w:vAlign w:val="center"/>
          </w:tcPr>
          <w:p>
            <w:pPr>
              <w:spacing w:line="500" w:lineRule="exact"/>
              <w:jc w:val="left"/>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kern w:val="0"/>
                <w:sz w:val="24"/>
                <w:szCs w:val="24"/>
                <w:lang w:val="en-US" w:eastAsia="zh-CN"/>
              </w:rPr>
              <w:t>市场主体拨打0371-61335566即可咨询河南省公共资源交易中心业务的相关问题。</w:t>
            </w:r>
          </w:p>
        </w:tc>
      </w:tr>
    </w:tbl>
    <w:p>
      <w:pPr>
        <w:spacing w:line="520" w:lineRule="exact"/>
        <w:ind w:left="1077" w:hanging="539"/>
        <w:rPr>
          <w:rFonts w:hint="default" w:ascii="Times New Roman" w:hAnsi="Times New Roman" w:eastAsia="宋体" w:cs="Times New Roman"/>
          <w:color w:val="auto"/>
          <w:lang w:eastAsia="zh-CN"/>
        </w:rPr>
        <w:sectPr>
          <w:pgSz w:w="11900" w:h="16840"/>
          <w:pgMar w:top="1440" w:right="1797" w:bottom="1440" w:left="1797" w:header="851" w:footer="992" w:gutter="0"/>
          <w:cols w:space="720" w:num="1"/>
        </w:sectPr>
      </w:pPr>
    </w:p>
    <w:p>
      <w:pPr>
        <w:pStyle w:val="4"/>
        <w:spacing w:before="0" w:after="0" w:line="360" w:lineRule="auto"/>
        <w:jc w:val="center"/>
        <w:rPr>
          <w:rFonts w:hint="default" w:ascii="Times New Roman" w:hAnsi="Times New Roman" w:eastAsia="宋体" w:cs="Times New Roman"/>
          <w:color w:val="auto"/>
          <w:sz w:val="36"/>
          <w:szCs w:val="36"/>
          <w:lang w:val="en-US" w:eastAsia="zh-CN"/>
        </w:rPr>
      </w:pPr>
      <w:bookmarkStart w:id="23" w:name="_Toc511855247"/>
      <w:bookmarkStart w:id="24" w:name="_Toc580298809"/>
      <w:bookmarkStart w:id="25" w:name="_Toc2118786865_WPSOffice_Level1"/>
      <w:bookmarkStart w:id="26" w:name="_Toc672784450_WPSOffice_Level1"/>
      <w:bookmarkStart w:id="27" w:name="_Toc1484219635"/>
      <w:bookmarkStart w:id="28" w:name="_Toc194396107"/>
      <w:bookmarkStart w:id="29" w:name="_Toc916069044"/>
      <w:bookmarkStart w:id="30" w:name="_Toc754728636"/>
      <w:bookmarkStart w:id="31" w:name="_Toc653624039"/>
      <w:bookmarkStart w:id="32" w:name="_Toc309192439"/>
      <w:bookmarkStart w:id="33" w:name="_Toc140822545"/>
      <w:bookmarkStart w:id="34" w:name="_Toc32711936"/>
      <w:bookmarkStart w:id="35" w:name="_Toc540794793"/>
      <w:bookmarkStart w:id="36" w:name="_Toc1341383622_WPSOffice_Level1"/>
      <w:bookmarkStart w:id="37" w:name="_Toc457436968_WPSOffice_Level1"/>
      <w:r>
        <w:rPr>
          <w:rFonts w:hint="default" w:ascii="Times New Roman" w:hAnsi="Times New Roman" w:eastAsia="宋体" w:cs="Times New Roman"/>
          <w:color w:val="auto"/>
          <w:sz w:val="36"/>
          <w:szCs w:val="36"/>
          <w:lang w:val="en-US" w:eastAsia="zh-CN"/>
        </w:rPr>
        <w:t xml:space="preserve">第三章 </w:t>
      </w:r>
      <w:r>
        <w:rPr>
          <w:rFonts w:hint="default" w:ascii="Times New Roman" w:hAnsi="Times New Roman" w:eastAsia="宋体" w:cs="Times New Roman"/>
          <w:color w:val="auto"/>
          <w:sz w:val="36"/>
          <w:szCs w:val="36"/>
          <w:lang w:eastAsia="zh-CN"/>
        </w:rPr>
        <w:t>供应商须知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8" w:name="_Toc587412607"/>
      <w:bookmarkStart w:id="39" w:name="_Toc927394720"/>
      <w:bookmarkStart w:id="40" w:name="_Toc1875035149"/>
      <w:bookmarkStart w:id="41" w:name="_Toc1420306246"/>
      <w:bookmarkStart w:id="42" w:name="_Toc1605126531"/>
      <w:bookmarkStart w:id="43" w:name="_Toc1724158210_WPSOffice_Level2"/>
      <w:bookmarkStart w:id="44" w:name="_Toc795505054"/>
      <w:bookmarkStart w:id="45" w:name="_Toc753331058"/>
      <w:bookmarkStart w:id="46" w:name="_Toc1698066625"/>
      <w:bookmarkStart w:id="47" w:name="_Toc1820077040_WPSOffice_Level2"/>
      <w:bookmarkStart w:id="48" w:name="_Toc1468903291"/>
      <w:bookmarkStart w:id="49" w:name="_Toc72595909_WPSOffice_Level2"/>
      <w:bookmarkStart w:id="50" w:name="_Toc1053718759_WPSOffice_Level2"/>
      <w:bookmarkStart w:id="51" w:name="_Toc225324457"/>
      <w:bookmarkStart w:id="52" w:name="_Toc6348"/>
      <w:r>
        <w:rPr>
          <w:rFonts w:hint="default" w:ascii="Times New Roman" w:hAnsi="Times New Roman" w:eastAsia="方正小标宋_GBK" w:cs="Times New Roman"/>
          <w:bCs/>
          <w:color w:val="auto"/>
          <w:kern w:val="0"/>
          <w:sz w:val="30"/>
          <w:szCs w:val="30"/>
          <w:lang w:val="en-US" w:eastAsia="zh-CN"/>
        </w:rPr>
        <w:t>一、说明</w:t>
      </w:r>
      <w:bookmarkEnd w:id="38"/>
      <w:bookmarkEnd w:id="39"/>
      <w:bookmarkEnd w:id="40"/>
      <w:bookmarkEnd w:id="41"/>
      <w:bookmarkEnd w:id="42"/>
      <w:bookmarkEnd w:id="43"/>
      <w:bookmarkEnd w:id="44"/>
      <w:bookmarkEnd w:id="45"/>
      <w:bookmarkEnd w:id="46"/>
      <w:bookmarkEnd w:id="47"/>
      <w:bookmarkEnd w:id="48"/>
      <w:bookmarkEnd w:id="49"/>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适用范围</w:t>
      </w:r>
    </w:p>
    <w:p>
      <w:pPr>
        <w:spacing w:line="360" w:lineRule="auto"/>
        <w:rPr>
          <w:rFonts w:hint="default" w:ascii="Times New Roman" w:hAnsi="Times New Roman" w:eastAsia="仿宋_GB2312" w:cs="Times New Roman"/>
          <w:sz w:val="28"/>
          <w:szCs w:val="28"/>
          <w:lang w:eastAsia="zh-CN"/>
        </w:rPr>
      </w:pPr>
      <w:bookmarkStart w:id="53" w:name="_Toc532150620_WPSOffice_Level3"/>
      <w:bookmarkStart w:id="54" w:name="_Toc196648728_WPSOffice_Level3"/>
      <w:r>
        <w:rPr>
          <w:rFonts w:hint="default" w:ascii="Times New Roman" w:hAnsi="Times New Roman" w:eastAsia="仿宋_GB2312" w:cs="Times New Roman"/>
          <w:sz w:val="28"/>
          <w:szCs w:val="28"/>
          <w:lang w:eastAsia="zh-CN"/>
        </w:rPr>
        <w:t>1.1本竞争性磋商文件仅适用于本次竞争性磋商所述的服务。</w:t>
      </w:r>
      <w:bookmarkEnd w:id="53"/>
      <w:bookmarkEnd w:id="54"/>
    </w:p>
    <w:p>
      <w:pPr>
        <w:spacing w:line="360" w:lineRule="auto"/>
        <w:rPr>
          <w:rFonts w:hint="default" w:ascii="Times New Roman" w:hAnsi="Times New Roman" w:eastAsia="仿宋_GB2312" w:cs="Times New Roman"/>
          <w:sz w:val="28"/>
          <w:szCs w:val="28"/>
          <w:lang w:eastAsia="zh-CN"/>
        </w:rPr>
      </w:pPr>
      <w:bookmarkStart w:id="55" w:name="_Toc1359847161_WPSOffice_Level3"/>
      <w:bookmarkStart w:id="56" w:name="_Toc900722191_WPSOffice_Level3"/>
      <w:r>
        <w:rPr>
          <w:rFonts w:hint="default" w:ascii="Times New Roman" w:hAnsi="Times New Roman" w:eastAsia="仿宋_GB2312" w:cs="Times New Roman"/>
          <w:sz w:val="28"/>
          <w:szCs w:val="28"/>
          <w:lang w:eastAsia="zh-CN"/>
        </w:rPr>
        <w:t>1.2采购项目：见“供应商须知前附表”。</w:t>
      </w:r>
      <w:bookmarkEnd w:id="55"/>
      <w:bookmarkEnd w:id="56"/>
    </w:p>
    <w:p>
      <w:pPr>
        <w:spacing w:line="360" w:lineRule="auto"/>
        <w:rPr>
          <w:rFonts w:hint="default" w:ascii="Times New Roman" w:hAnsi="Times New Roman" w:eastAsia="仿宋_GB2312" w:cs="Times New Roman"/>
          <w:sz w:val="28"/>
          <w:szCs w:val="28"/>
          <w:lang w:eastAsia="zh-CN"/>
        </w:rPr>
      </w:pPr>
      <w:bookmarkStart w:id="57" w:name="_Toc334765003_WPSOffice_Level3"/>
      <w:bookmarkStart w:id="58" w:name="_Toc1512585633_WPSOffice_Level3"/>
      <w:r>
        <w:rPr>
          <w:rFonts w:hint="default" w:ascii="Times New Roman" w:hAnsi="Times New Roman" w:eastAsia="仿宋_GB2312" w:cs="Times New Roman"/>
          <w:sz w:val="28"/>
          <w:szCs w:val="28"/>
          <w:lang w:eastAsia="zh-CN"/>
        </w:rPr>
        <w:t>1.3采购编号：见“供应商须知前附表”。</w:t>
      </w:r>
      <w:bookmarkEnd w:id="57"/>
      <w:bookmarkEnd w:id="58"/>
    </w:p>
    <w:p>
      <w:pPr>
        <w:spacing w:line="360" w:lineRule="auto"/>
        <w:rPr>
          <w:rFonts w:hint="default" w:ascii="Times New Roman" w:hAnsi="Times New Roman" w:eastAsia="仿宋_GB2312" w:cs="Times New Roman"/>
          <w:sz w:val="28"/>
          <w:szCs w:val="28"/>
          <w:lang w:eastAsia="zh-CN"/>
        </w:rPr>
      </w:pPr>
      <w:bookmarkStart w:id="59" w:name="_Toc2062433103_WPSOffice_Level3"/>
      <w:bookmarkStart w:id="60" w:name="_Toc1513112147_WPSOffice_Level3"/>
      <w:r>
        <w:rPr>
          <w:rFonts w:hint="default" w:ascii="Times New Roman" w:hAnsi="Times New Roman" w:eastAsia="仿宋_GB2312" w:cs="Times New Roman"/>
          <w:sz w:val="28"/>
          <w:szCs w:val="28"/>
          <w:lang w:eastAsia="zh-CN"/>
        </w:rPr>
        <w:t>1.4采购项目简要说明：见“供应商须知前附表”。</w:t>
      </w:r>
      <w:bookmarkEnd w:id="59"/>
      <w:bookmarkEnd w:id="60"/>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定义</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2.1政府采购监督管理部门：河南省财政厅。</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是指依法进行政府采购的国家机关、事业单位、团体组织。本项目的采购人见供应商须知前附表。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2.3集中采购机构：“供应商须知前附表”中所述的受采购人委托组织集中采购的代理机构。</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2.4集中采购：是指政府集中采购目录及限额标准规定的集中采购项目的采购活动。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2.5合格供应商：提供证明材料并通过初步审查的供应商。</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2.5.1若供应商须知前附表中写明专门面向中小企业采购的，如供应商为非中小企业，其磋商响应将被认定为响应无效。</w:t>
      </w:r>
    </w:p>
    <w:p>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lang w:eastAsia="zh-CN"/>
        </w:rPr>
        <w:t>若供应商须知前附表中写明允许采购进口产品，但不限制满足竞争性磋商文件要求的国内产品参与采购活动，供应商应保证所投产品可履行合法报通关手续进入中国关境内。若供应商须知前附表中未写明允许采购进口产品，如供应商提供产品为进口产品，其竞争性磋商响应文件将被认定为无效竞争性磋商响应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2.6竞争性磋商响应文件：指供应商根据竞争性磋商文件提交的所有文件。</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磋商响应费用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供应商须自行承担所有与参加磋商响应有关的费用，无论磋商结果如何，采购人和集中采购机构在任何情况下均无义务和责任承担这些费用。</w:t>
      </w:r>
    </w:p>
    <w:p>
      <w:pPr>
        <w:spacing w:line="360" w:lineRule="auto"/>
        <w:rPr>
          <w:rFonts w:hint="default" w:ascii="Times New Roman" w:hAnsi="Times New Roman" w:eastAsia="仿宋_GB2312" w:cs="Times New Roman"/>
          <w:b/>
          <w:bCs/>
          <w:sz w:val="28"/>
          <w:szCs w:val="28"/>
          <w:lang w:eastAsia="zh-CN"/>
        </w:rPr>
      </w:pPr>
      <w:bookmarkStart w:id="61" w:name="_Toc284337471"/>
      <w:bookmarkStart w:id="62" w:name="_Toc441214089"/>
      <w:bookmarkStart w:id="63" w:name="_Toc337225031"/>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踏勘现场</w:t>
      </w:r>
      <w:bookmarkEnd w:id="61"/>
      <w:bookmarkEnd w:id="62"/>
      <w:bookmarkEnd w:id="63"/>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 “供应商须知前附表”规定组织踏勘现场的，采购人按“供应商须知前附表”规定的时间、地点组织供应商踏勘项目现场。</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4.2 供应商踏勘现场发生的费用自理。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4.3 除采购人的原因外，供应商自行负责在踏勘现场中所发生的人员伤亡和财产损失。</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4.4 采购人在踏勘现场中介绍的项目现场和相关的周边环境情况，供供应商在编制竞争性磋商响应文件时参考，采购人不对供应商据此作出的判断和决策负责。</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5.</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知识产权</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GB" w:eastAsia="zh-CN"/>
        </w:rPr>
        <w:t>所有涉及知识产权的成果，</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承担。</w:t>
      </w:r>
    </w:p>
    <w:p>
      <w:pPr>
        <w:numPr>
          <w:ilvl w:val="0"/>
          <w:numId w:val="1"/>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联合体</w:t>
      </w:r>
      <w:r>
        <w:rPr>
          <w:rFonts w:hint="default" w:ascii="Times New Roman" w:hAnsi="Times New Roman" w:eastAsia="仿宋_GB2312" w:cs="Times New Roman"/>
          <w:b/>
          <w:bCs/>
          <w:sz w:val="28"/>
          <w:szCs w:val="28"/>
          <w:lang w:eastAsia="zh-CN"/>
        </w:rPr>
        <w:t>磋商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6.1除非本项目明确要求不接受联合体形式磋商外，两个或两个以上供应商可以组成一个联合体，以一个供应商的身份共同参加磋商。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6.2以联合体形式参加磋商的，联合体各方均应当符合《政府采购法》第二十二条第规定的条件，并应当向采购人提交联合协议，载明联合体各方承担的工作和义务。根据采购项目的特殊要求规定供应商特定条件的，联合体各方中至少应当有一方符合。</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6.3联合体中有同类资质的供应商按照联合体分工承担相同工作的，应当按照资质等级较低的供应商确定资质等级。</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6.4联合体磋商的，可以由联合体中的牵头人或者共同提交承诺函，以牵头人名义提交承诺函的，对联合体各方均具有约束力。</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6.5以联合体形式参加政府采购活动的，联合体各方不得再单独参加或者与其他供应商另外组成联合体参加同一合同项下的政府采购活动。</w:t>
      </w:r>
    </w:p>
    <w:p>
      <w:pPr>
        <w:pStyle w:val="15"/>
        <w:spacing w:line="360" w:lineRule="auto"/>
        <w:rPr>
          <w:rFonts w:ascii="Times New Roman" w:hAnsi="Times New Roman"/>
        </w:rPr>
      </w:pPr>
      <w:r>
        <w:rPr>
          <w:rFonts w:ascii="Times New Roman" w:hAnsi="Times New Roman" w:eastAsia="仿宋_GB2312"/>
          <w:sz w:val="28"/>
          <w:szCs w:val="28"/>
        </w:rPr>
        <w:t>6.6是否允许联合体磋商见供应商须知前附表。</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7. 保密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活动的各方应对竞争性磋商文件和竞争性磋商响应文件中的商业和技术等秘密保密，违者应对由此造成的后果承担法律责任。</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8. 市场主体信息库</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（1）供应商应及时对入库信息进行补充、更新，若供应商提供虚假信息或未及时对入库信息进行补充、更新，由供应商承担全部责任。</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（2）供应商可将本项目评审涉及到的资质、业绩、人员、获奖、证书、纳税、社保等信息补充到其市场主体信息库中。</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9.</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采购信息的发布</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与本次采购活动相关的信息，将在《河南省政府采购网》《河南省公共资源交易中心网》上及时发布。</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eastAsia="zh-CN"/>
        </w:rPr>
      </w:pPr>
      <w:bookmarkStart w:id="64" w:name="_Toc812246970"/>
      <w:bookmarkStart w:id="65" w:name="_Toc601554517"/>
      <w:bookmarkStart w:id="66" w:name="_Toc1045699149"/>
      <w:bookmarkStart w:id="67" w:name="_Toc923512225_WPSOffice_Level2"/>
      <w:bookmarkStart w:id="68" w:name="_Toc1035752825"/>
      <w:bookmarkStart w:id="69" w:name="_Toc1225442179_WPSOffice_Level2"/>
      <w:bookmarkStart w:id="70" w:name="_Toc2021756318"/>
      <w:bookmarkStart w:id="71" w:name="_Toc1613525329"/>
      <w:bookmarkStart w:id="72" w:name="_Toc1090042493_WPSOffice_Level2"/>
      <w:bookmarkStart w:id="73" w:name="_Toc28660129"/>
      <w:bookmarkStart w:id="74" w:name="_Toc171756762"/>
      <w:bookmarkStart w:id="75" w:name="_Toc670231393"/>
      <w:r>
        <w:rPr>
          <w:rFonts w:hint="default" w:ascii="Times New Roman" w:hAnsi="Times New Roman" w:eastAsia="方正小标宋_GBK" w:cs="Times New Roman"/>
          <w:bCs/>
          <w:color w:val="auto"/>
          <w:kern w:val="0"/>
          <w:sz w:val="30"/>
          <w:szCs w:val="30"/>
          <w:lang w:val="en-US" w:eastAsia="zh-CN"/>
        </w:rPr>
        <w:t>二、</w:t>
      </w:r>
      <w:bookmarkEnd w:id="64"/>
      <w:bookmarkEnd w:id="65"/>
      <w:bookmarkEnd w:id="66"/>
      <w:bookmarkEnd w:id="67"/>
      <w:bookmarkEnd w:id="68"/>
      <w:bookmarkEnd w:id="69"/>
      <w:bookmarkEnd w:id="70"/>
      <w:bookmarkEnd w:id="71"/>
      <w:bookmarkEnd w:id="72"/>
      <w:bookmarkEnd w:id="73"/>
      <w:r>
        <w:rPr>
          <w:rFonts w:hint="default" w:ascii="Times New Roman" w:hAnsi="Times New Roman" w:eastAsia="方正小标宋_GBK" w:cs="Times New Roman"/>
          <w:bCs/>
          <w:color w:val="auto"/>
          <w:kern w:val="0"/>
          <w:sz w:val="30"/>
          <w:szCs w:val="30"/>
          <w:lang w:eastAsia="zh-CN"/>
        </w:rPr>
        <w:t>竞争性磋商文件</w:t>
      </w:r>
      <w:bookmarkEnd w:id="74"/>
      <w:bookmarkEnd w:id="75"/>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10. 竞争性磋商文件的组成</w:t>
      </w:r>
    </w:p>
    <w:p>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bookmarkStart w:id="76" w:name="_Hlk136015010"/>
      <w:r>
        <w:rPr>
          <w:rFonts w:hint="default" w:ascii="Times New Roman" w:hAnsi="Times New Roman" w:eastAsia="仿宋_GB2312" w:cs="Times New Roman"/>
          <w:color w:val="auto"/>
          <w:sz w:val="28"/>
          <w:szCs w:val="28"/>
          <w:lang w:val="en-US" w:eastAsia="zh-CN"/>
        </w:rPr>
        <w:t xml:space="preserve">10.1   </w:t>
      </w:r>
      <w:r>
        <w:rPr>
          <w:rFonts w:hint="default" w:ascii="Times New Roman" w:hAnsi="Times New Roman" w:eastAsia="仿宋_GB2312" w:cs="Times New Roman"/>
          <w:color w:val="auto"/>
          <w:sz w:val="28"/>
          <w:szCs w:val="28"/>
          <w:lang w:eastAsia="zh-CN"/>
        </w:rPr>
        <w:t>竞争性磋商文件</w:t>
      </w:r>
      <w:r>
        <w:rPr>
          <w:rFonts w:hint="default" w:ascii="Times New Roman" w:hAnsi="Times New Roman" w:eastAsia="仿宋_GB2312" w:cs="Times New Roman"/>
          <w:color w:val="auto"/>
          <w:sz w:val="28"/>
          <w:szCs w:val="28"/>
          <w:lang w:val="en-US" w:eastAsia="zh-CN"/>
        </w:rPr>
        <w:t>共</w:t>
      </w:r>
      <w:r>
        <w:rPr>
          <w:rFonts w:hint="default" w:ascii="Times New Roman" w:hAnsi="Times New Roman" w:eastAsia="仿宋_GB2312" w:cs="Times New Roman"/>
          <w:color w:val="auto"/>
          <w:sz w:val="28"/>
          <w:szCs w:val="28"/>
          <w:lang w:eastAsia="zh-CN"/>
        </w:rPr>
        <w:t>七</w:t>
      </w:r>
      <w:r>
        <w:rPr>
          <w:rFonts w:hint="default" w:ascii="Times New Roman" w:hAnsi="Times New Roman" w:eastAsia="仿宋_GB2312" w:cs="Times New Roman"/>
          <w:color w:val="auto"/>
          <w:sz w:val="28"/>
          <w:szCs w:val="28"/>
          <w:lang w:val="en-US" w:eastAsia="zh-CN"/>
        </w:rPr>
        <w:t>章，构成如下：</w:t>
      </w:r>
    </w:p>
    <w:p>
      <w:pPr>
        <w:widowControl w:val="0"/>
        <w:numPr>
          <w:ilvl w:val="0"/>
          <w:numId w:val="2"/>
        </w:numPr>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竞争性磋商邀请</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第二章  供应商须知前附表</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第三章  供应商须知</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第四章  </w:t>
      </w:r>
      <w:r>
        <w:rPr>
          <w:rFonts w:hint="default" w:ascii="Times New Roman" w:hAnsi="Times New Roman" w:eastAsia="仿宋_GB2312" w:cs="Times New Roman"/>
          <w:color w:val="auto"/>
          <w:sz w:val="28"/>
          <w:szCs w:val="28"/>
          <w:lang w:eastAsia="zh-CN"/>
        </w:rPr>
        <w:t>竞争性磋商响应文件</w:t>
      </w:r>
      <w:r>
        <w:rPr>
          <w:rFonts w:hint="default" w:ascii="Times New Roman" w:hAnsi="Times New Roman" w:eastAsia="仿宋_GB2312" w:cs="Times New Roman"/>
          <w:color w:val="auto"/>
          <w:sz w:val="28"/>
          <w:szCs w:val="28"/>
          <w:lang w:val="en-US" w:eastAsia="zh-CN"/>
        </w:rPr>
        <w:t>格式</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eastAsia="zh-CN"/>
        </w:rPr>
        <w:t>五</w:t>
      </w:r>
      <w:r>
        <w:rPr>
          <w:rFonts w:hint="default" w:ascii="Times New Roman" w:hAnsi="Times New Roman" w:eastAsia="仿宋_GB2312" w:cs="Times New Roman"/>
          <w:color w:val="auto"/>
          <w:sz w:val="28"/>
          <w:szCs w:val="28"/>
          <w:lang w:val="en-US" w:eastAsia="zh-CN"/>
        </w:rPr>
        <w:t>章  项目需求及技术要求</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eastAsia="zh-CN"/>
        </w:rPr>
        <w:t>六</w:t>
      </w:r>
      <w:r>
        <w:rPr>
          <w:rFonts w:hint="default" w:ascii="Times New Roman" w:hAnsi="Times New Roman" w:eastAsia="仿宋_GB2312" w:cs="Times New Roman"/>
          <w:color w:val="auto"/>
          <w:sz w:val="28"/>
          <w:szCs w:val="28"/>
          <w:lang w:val="en-US" w:eastAsia="zh-CN"/>
        </w:rPr>
        <w:t>章  磋商方法和标准</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eastAsia="zh-CN"/>
        </w:rPr>
        <w:t>七</w:t>
      </w:r>
      <w:r>
        <w:rPr>
          <w:rFonts w:hint="default" w:ascii="Times New Roman" w:hAnsi="Times New Roman" w:eastAsia="仿宋_GB2312" w:cs="Times New Roman"/>
          <w:color w:val="auto"/>
          <w:sz w:val="28"/>
          <w:szCs w:val="28"/>
          <w:lang w:val="en-US" w:eastAsia="zh-CN"/>
        </w:rPr>
        <w:t>章  政府采购合同</w:t>
      </w:r>
    </w:p>
    <w:bookmarkEnd w:id="76"/>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10.2</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中有不一致的，有澄清的部分以最终的澄清更正内容为准；未澄清的，以供应商须知前附表为准；供应商须知前附表不涉及的内容，以编排在后的描述为准。</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  供应商应认真阅读</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所有的事项、格式、条款和技术规范等。如供应商没有按照</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要求提交全部资料，或者</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没有对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的实质性要求做出响应，其磋商响应无效。</w:t>
      </w:r>
    </w:p>
    <w:p>
      <w:pPr>
        <w:numPr>
          <w:ilvl w:val="0"/>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竞争性磋商文件的澄清</w:t>
      </w:r>
      <w:r>
        <w:rPr>
          <w:rFonts w:hint="default" w:ascii="Times New Roman" w:hAnsi="Times New Roman" w:eastAsia="仿宋_GB2312" w:cs="Times New Roman"/>
          <w:b/>
          <w:bCs/>
          <w:sz w:val="28"/>
          <w:szCs w:val="28"/>
          <w:lang w:val="en-US" w:eastAsia="zh-CN"/>
        </w:rPr>
        <w:t>与修改</w:t>
      </w:r>
    </w:p>
    <w:p>
      <w:pPr>
        <w:numPr>
          <w:ilvl w:val="1"/>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供应商应仔细阅读和检查</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的全部内容。如有疑问，应及时向采购人或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w:t>
      </w:r>
    </w:p>
    <w:p>
      <w:pPr>
        <w:numPr>
          <w:ilvl w:val="1"/>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可主动地或在解答供应商提出的澄清问题时对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进行澄清（更正）或修改。将以发布澄清（更正）公告的方式，澄清（更正）或修改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，澄清（更正）或修改的内容作为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的组成部分。澄清（更正）或者修改的内容可能影响竞争性磋商响应文件编制的，将在原公告发布媒体上发布变更（更正）公告（或澄清公告）。</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11.3  </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的澄清（更正）或修改在交易平台上公布给供应商，但不指明澄清问题的来源。</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  对已发出的</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进行的澄清、更正或修改，澄清、更正或修改的内容将作为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sz w:val="28"/>
          <w:szCs w:val="28"/>
          <w:lang w:val="en-US" w:eastAsia="zh-CN"/>
        </w:rPr>
        <w:t>河南省政府采购网”（http:/www.hngp.gov.cn/）“河南省公共资源交易网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”（www.hnggzy.</w:t>
      </w:r>
      <w:r>
        <w:rPr>
          <w:rFonts w:hint="default" w:ascii="Times New Roman" w:hAnsi="Times New Roman" w:eastAsia="仿宋_GB2312" w:cs="Times New Roman"/>
          <w:sz w:val="28"/>
          <w:szCs w:val="28"/>
          <w:lang w:eastAsia="zh-CN"/>
        </w:rPr>
        <w:t>net</w:t>
      </w:r>
      <w:r>
        <w:rPr>
          <w:rFonts w:hint="default" w:ascii="Times New Roman" w:hAnsi="Times New Roman" w:eastAsia="仿宋_GB2312" w:cs="Times New Roman"/>
          <w:sz w:val="28"/>
          <w:szCs w:val="28"/>
          <w:lang w:val="en-US" w:eastAsia="zh-CN"/>
        </w:rPr>
        <w:t>）网站“变更（澄清或更正）公告”和系统内部“答疑文件”告知供应商，各供应商重新下载最新的答疑、变更（澄清或更正）文件，以此编制</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77" w:name="_Hlk86850585"/>
      <w:r>
        <w:rPr>
          <w:rFonts w:hint="default" w:ascii="Times New Roman" w:hAnsi="Times New Roman" w:eastAsia="仿宋_GB2312" w:cs="Times New Roman"/>
          <w:sz w:val="28"/>
          <w:szCs w:val="28"/>
          <w:lang w:val="en-US" w:eastAsia="zh-CN"/>
        </w:rPr>
        <w:t xml:space="preserve">  《河南省公共资源交易中心》</w:t>
      </w:r>
      <w:bookmarkEnd w:id="77"/>
      <w:r>
        <w:rPr>
          <w:rFonts w:hint="default" w:ascii="Times New Roman" w:hAnsi="Times New Roman" w:eastAsia="仿宋_GB2312" w:cs="Times New Roman"/>
          <w:sz w:val="28"/>
          <w:szCs w:val="28"/>
          <w:lang w:val="en-US" w:eastAsia="zh-CN"/>
        </w:rPr>
        <w:t>交易平台供应商信息在提交首次磋商响应文件截止时间前具有保密性，供应商应当自行查看项目进展、答疑、变更（澄清或更正）通知、澄清及回复</w:t>
      </w:r>
      <w:bookmarkStart w:id="78" w:name="_Hlk86850663"/>
      <w:r>
        <w:rPr>
          <w:rFonts w:hint="default" w:ascii="Times New Roman" w:hAnsi="Times New Roman" w:eastAsia="仿宋_GB2312" w:cs="Times New Roman"/>
          <w:sz w:val="28"/>
          <w:szCs w:val="28"/>
          <w:lang w:val="en-US" w:eastAsia="zh-CN"/>
        </w:rPr>
        <w:t>。</w:t>
      </w:r>
    </w:p>
    <w:bookmarkEnd w:id="78"/>
    <w:p>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eastAsia="zh-CN"/>
        </w:rPr>
        <w:t>12.</w:t>
      </w:r>
      <w:r>
        <w:rPr>
          <w:rFonts w:hint="default" w:ascii="Times New Roman" w:hAnsi="Times New Roman" w:eastAsia="仿宋_GB2312" w:cs="Times New Roman"/>
          <w:b/>
          <w:bCs/>
          <w:sz w:val="28"/>
          <w:szCs w:val="28"/>
          <w:lang w:val="en-US" w:eastAsia="zh-CN"/>
        </w:rPr>
        <w:t xml:space="preserve"> 响应文件提交截止时间的顺延</w:t>
      </w:r>
    </w:p>
    <w:p>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为使供应商有足够的时间对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的澄清或者修改部分进行研究而准备磋商响应或因其他原因，采购人将依法决定是否顺延响应文件提交截止时间。</w:t>
      </w: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79" w:name="_Toc299123171"/>
      <w:bookmarkStart w:id="80" w:name="_Toc868408535"/>
      <w:bookmarkStart w:id="81" w:name="_Toc1078664286_WPSOffice_Level2"/>
      <w:bookmarkStart w:id="82" w:name="_Toc395976497"/>
      <w:bookmarkStart w:id="83" w:name="_Toc1869850325"/>
      <w:bookmarkStart w:id="84" w:name="_Toc1317763722"/>
      <w:bookmarkStart w:id="85" w:name="_Toc587380469_WPSOffice_Level2"/>
      <w:bookmarkStart w:id="86" w:name="_Toc1060332415"/>
      <w:bookmarkStart w:id="87" w:name="_Toc1106273699"/>
      <w:bookmarkStart w:id="88" w:name="_Toc933740821_WPSOffice_Level2"/>
      <w:bookmarkStart w:id="89" w:name="_Toc1289807408"/>
      <w:bookmarkStart w:id="90" w:name="_Toc760401867"/>
      <w:r>
        <w:rPr>
          <w:rFonts w:hint="default" w:ascii="Times New Roman" w:hAnsi="Times New Roman" w:eastAsia="方正小标宋_GBK" w:cs="Times New Roman"/>
          <w:bCs/>
          <w:color w:val="auto"/>
          <w:kern w:val="0"/>
          <w:sz w:val="30"/>
          <w:szCs w:val="30"/>
          <w:lang w:val="en-US" w:eastAsia="zh-CN"/>
        </w:rPr>
        <w:t>三、</w:t>
      </w:r>
      <w:r>
        <w:rPr>
          <w:rFonts w:hint="default" w:ascii="Times New Roman" w:hAnsi="Times New Roman" w:eastAsia="方正小标宋_GBK" w:cs="Times New Roman"/>
          <w:bCs/>
          <w:color w:val="auto"/>
          <w:kern w:val="0"/>
          <w:sz w:val="30"/>
          <w:szCs w:val="30"/>
          <w:lang w:eastAsia="zh-CN"/>
        </w:rPr>
        <w:t>竞争性磋商响应文件</w:t>
      </w:r>
      <w:r>
        <w:rPr>
          <w:rFonts w:hint="default" w:ascii="Times New Roman" w:hAnsi="Times New Roman" w:eastAsia="方正小标宋_GBK" w:cs="Times New Roman"/>
          <w:bCs/>
          <w:color w:val="auto"/>
          <w:kern w:val="0"/>
          <w:sz w:val="30"/>
          <w:szCs w:val="30"/>
          <w:lang w:val="en-US" w:eastAsia="zh-CN"/>
        </w:rPr>
        <w:t>的编制</w:t>
      </w:r>
      <w:bookmarkEnd w:id="79"/>
      <w:bookmarkEnd w:id="80"/>
      <w:bookmarkEnd w:id="81"/>
      <w:bookmarkEnd w:id="82"/>
      <w:bookmarkEnd w:id="83"/>
      <w:bookmarkEnd w:id="84"/>
      <w:bookmarkEnd w:id="85"/>
      <w:bookmarkEnd w:id="86"/>
      <w:bookmarkEnd w:id="87"/>
      <w:bookmarkEnd w:id="88"/>
      <w:bookmarkEnd w:id="89"/>
      <w:bookmarkEnd w:id="90"/>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磋商响应语言</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竞争性磋商响应文件以及供应商所有与采购人及集中采购机构就磋商响应来往的函电均使用中文。供应商提供的外文资料应附有相应的中文译本，并以中文译本为准。</w:t>
      </w:r>
    </w:p>
    <w:p>
      <w:pPr>
        <w:numPr>
          <w:ilvl w:val="0"/>
          <w:numId w:val="4"/>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竞争性磋商响应文件计量单位</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中有特殊要求外，</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中所使用的计量单位，应采用中华人民共和国法定计量单位。</w:t>
      </w:r>
    </w:p>
    <w:p>
      <w:pPr>
        <w:numPr>
          <w:ilvl w:val="0"/>
          <w:numId w:val="4"/>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竞争性磋商响应文件的组成</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供应商应完整地按照</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提供的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格式及要求编写</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中初步审查涉及的事项不满足</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要求的，其磋商响应无效。</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16. </w:t>
      </w:r>
      <w:r>
        <w:rPr>
          <w:rFonts w:hint="default" w:ascii="Times New Roman" w:hAnsi="Times New Roman" w:eastAsia="仿宋_GB2312" w:cs="Times New Roman"/>
          <w:sz w:val="28"/>
          <w:szCs w:val="28"/>
          <w:lang w:eastAsia="zh-CN"/>
        </w:rPr>
        <w:t>竞争性磋商文件中的每个分包，是项目</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不可拆分的最小磋商响应单元。供应商必须按各包分别编制各包的竞争性磋商响应文件，并按各包分别提交相应的文件资料，拆包磋商响应将视为漏项或非实质性响应，将承担其磋商响应无效的风险。</w:t>
      </w:r>
      <w:r>
        <w:rPr>
          <w:rFonts w:hint="default" w:ascii="Times New Roman" w:hAnsi="Times New Roman" w:eastAsia="仿宋_GB2312" w:cs="Times New Roman"/>
          <w:sz w:val="28"/>
          <w:szCs w:val="28"/>
          <w:lang w:val="en-US" w:eastAsia="zh-CN"/>
        </w:rPr>
        <w:t>供应商可对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中一个或几个分包进行磋商响应，除供应商须知前附表中另有规定。</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17.</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竞争性磋商响应文件编制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竞争性磋商响应文件应按竞争性磋商文件要求的内容编制竞争性磋商响应文件，应当对竞争性磋商文件提出的实质性要求和条件做出响应。</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lang w:eastAsia="zh-CN"/>
        </w:rPr>
        <w:t>响应报价</w:t>
      </w:r>
    </w:p>
    <w:p>
      <w:pPr>
        <w:pStyle w:val="218"/>
        <w:spacing w:line="360" w:lineRule="auto"/>
        <w:rPr>
          <w:rFonts w:ascii="Times New Roman" w:hAnsi="Times New Roman" w:eastAsia="仿宋_GB2312" w:cs="Times New Roman"/>
          <w:kern w:val="2"/>
          <w:sz w:val="28"/>
          <w:szCs w:val="28"/>
          <w:lang w:val="zh-TW"/>
        </w:rPr>
      </w:pPr>
      <w:r>
        <w:rPr>
          <w:rFonts w:ascii="Times New Roman" w:hAnsi="Times New Roman" w:eastAsia="仿宋_GB2312" w:cs="Times New Roman"/>
          <w:sz w:val="28"/>
          <w:szCs w:val="28"/>
        </w:rPr>
        <w:t>18.1</w:t>
      </w:r>
      <w:r>
        <w:rPr>
          <w:rFonts w:ascii="Times New Roman" w:hAnsi="Times New Roman" w:eastAsia="仿宋_GB2312" w:cs="Times New Roman"/>
          <w:kern w:val="2"/>
          <w:sz w:val="28"/>
          <w:szCs w:val="28"/>
          <w:lang w:val="zh-TW"/>
        </w:rPr>
        <w:t>供应商报价超过</w:t>
      </w:r>
      <w:r>
        <w:rPr>
          <w:rFonts w:ascii="Times New Roman" w:hAnsi="Times New Roman" w:eastAsia="仿宋_GB2312" w:cs="Times New Roman"/>
          <w:kern w:val="2"/>
          <w:sz w:val="28"/>
          <w:szCs w:val="28"/>
        </w:rPr>
        <w:t>竞争性磋商文件</w:t>
      </w:r>
      <w:r>
        <w:rPr>
          <w:rFonts w:ascii="Times New Roman" w:hAnsi="Times New Roman" w:eastAsia="仿宋_GB2312" w:cs="Times New Roman"/>
          <w:kern w:val="2"/>
          <w:sz w:val="28"/>
          <w:szCs w:val="28"/>
          <w:lang w:val="zh-TW"/>
        </w:rPr>
        <w:t>规定的预算金额或者分项、分包最高限价的，其磋商响应将被认定为无效。</w:t>
      </w:r>
    </w:p>
    <w:p>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sz w:val="28"/>
          <w:szCs w:val="28"/>
          <w:lang w:eastAsia="zh-CN"/>
        </w:rPr>
        <w:t>18.2</w:t>
      </w:r>
      <w:r>
        <w:rPr>
          <w:rFonts w:hint="default" w:ascii="Times New Roman" w:hAnsi="Times New Roman" w:eastAsia="仿宋_GB2312" w:cs="Times New Roman"/>
          <w:kern w:val="1"/>
          <w:sz w:val="28"/>
          <w:szCs w:val="28"/>
          <w:lang w:eastAsia="zh-CN"/>
        </w:rPr>
        <w:t>报价次数：见“供应商须知前附表”。</w:t>
      </w:r>
    </w:p>
    <w:p>
      <w:pPr>
        <w:spacing w:line="560" w:lineRule="exact"/>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.4除非“供应商须知前附表”明确规定允许多方案报价外，初次竞争性磋商响应只允许有一个方案报价，多方案报价的磋商响应文件将不被接受。</w:t>
      </w:r>
    </w:p>
    <w:p>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.5供应商各轮次总报价均不能超过最高限价，否则其磋商响应文件按无效处理。最高限价见“供应商须知前附表”。</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19  </w:t>
      </w:r>
      <w:r>
        <w:rPr>
          <w:rFonts w:hint="default" w:ascii="Times New Roman" w:hAnsi="Times New Roman" w:eastAsia="仿宋_GB2312" w:cs="Times New Roman"/>
          <w:b/>
          <w:bCs/>
          <w:sz w:val="28"/>
          <w:szCs w:val="28"/>
          <w:lang w:eastAsia="zh-CN"/>
        </w:rPr>
        <w:t>磋商响应货币</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除非“供应商须知前附表”另有规定，供应商提供的所有服务用人民币报价。</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20  </w:t>
      </w:r>
      <w:r>
        <w:rPr>
          <w:rFonts w:hint="default" w:ascii="Times New Roman" w:hAnsi="Times New Roman" w:eastAsia="仿宋_GB2312" w:cs="Times New Roman"/>
          <w:b/>
          <w:bCs/>
          <w:sz w:val="28"/>
          <w:szCs w:val="28"/>
          <w:lang w:eastAsia="zh-CN"/>
        </w:rPr>
        <w:t>供应商</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lang w:eastAsia="zh-CN"/>
        </w:rPr>
        <w:t>证明文件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规定。</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 xml:space="preserve"> 供应商技术证明文件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21.1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规定。</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磋商响应函</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22.1供应商应按竞争性磋商文件规定的格式和内容提交磋商响应函。</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22.2下列任何情况发生时，按国家有关法律法规进行处理并按磋商响应函的约定向采购人支付违约赔偿金：</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）供应商在竞争性磋商文件规定的响应文件有效期内实质上修改或撤回其磋商响应文件；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）在竞争性磋商响应文件中有意提供虚假材料；</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）成交供应商拒绝在成交通知书规定的时间内签订合同。</w:t>
      </w:r>
    </w:p>
    <w:p>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eastAsia="zh-CN"/>
        </w:rPr>
        <w:t>23</w:t>
      </w:r>
      <w:r>
        <w:rPr>
          <w:rFonts w:hint="default" w:ascii="Times New Roman" w:hAnsi="Times New Roman" w:eastAsia="仿宋_GB2312" w:cs="Times New Roman"/>
          <w:b/>
          <w:bCs/>
          <w:sz w:val="28"/>
          <w:szCs w:val="28"/>
          <w:lang w:val="en-US" w:eastAsia="zh-CN"/>
        </w:rPr>
        <w:t>.磋商</w:t>
      </w:r>
      <w:r>
        <w:rPr>
          <w:rFonts w:hint="default" w:ascii="Times New Roman" w:hAnsi="Times New Roman" w:eastAsia="仿宋_GB2312" w:cs="Times New Roman"/>
          <w:b/>
          <w:color w:val="auto"/>
          <w:kern w:val="0"/>
          <w:sz w:val="28"/>
          <w:szCs w:val="28"/>
          <w:lang w:val="en-US" w:eastAsia="zh-CN"/>
        </w:rPr>
        <w:t>保证金</w:t>
      </w:r>
    </w:p>
    <w:p>
      <w:pPr>
        <w:spacing w:line="360" w:lineRule="auto"/>
        <w:rPr>
          <w:rFonts w:hint="default" w:ascii="Times New Roman" w:hAnsi="Times New Roman" w:eastAsia="仿宋_GB2312" w:cs="Times New Roman"/>
          <w:b/>
          <w:bCs/>
          <w:sz w:val="28"/>
          <w:szCs w:val="28"/>
          <w:lang w:val="en-US" w:eastAsia="zh-CN"/>
        </w:rPr>
      </w:pPr>
      <w:bookmarkStart w:id="91" w:name="_Toc975469575_WPSOffice_Level3"/>
      <w:r>
        <w:rPr>
          <w:rFonts w:hint="default" w:ascii="Times New Roman" w:hAnsi="Times New Roman" w:eastAsia="仿宋_GB2312" w:cs="Times New Roman"/>
          <w:bCs/>
          <w:color w:val="auto"/>
          <w:sz w:val="28"/>
          <w:szCs w:val="28"/>
          <w:lang w:val="en-US" w:eastAsia="zh-CN"/>
        </w:rPr>
        <w:t>本项目供应商无需提交磋商保证金。</w:t>
      </w:r>
      <w:bookmarkEnd w:id="91"/>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24.响应文件有</w:t>
      </w:r>
      <w:r>
        <w:rPr>
          <w:rFonts w:hint="default" w:ascii="Times New Roman" w:hAnsi="Times New Roman" w:eastAsia="仿宋_GB2312" w:cs="Times New Roman"/>
          <w:b/>
          <w:bCs/>
          <w:sz w:val="28"/>
          <w:szCs w:val="28"/>
          <w:lang w:eastAsia="zh-CN"/>
        </w:rPr>
        <w:t>效期</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.1竞争性磋商响应文件在“供应商须知前附表”规定的时间内保持有效。响应文件有效期不足的</w:t>
      </w:r>
      <w:r>
        <w:rPr>
          <w:rFonts w:ascii="Times New Roman" w:hAnsi="Times New Roman" w:eastAsia="仿宋_GB2312" w:cs="Times New Roman"/>
          <w:sz w:val="28"/>
          <w:szCs w:val="28"/>
          <w:lang w:eastAsia="zh-CN"/>
        </w:rPr>
        <w:t>响应文件无效</w:t>
      </w:r>
      <w:r>
        <w:rPr>
          <w:rFonts w:hint="default" w:ascii="Times New Roman" w:hAnsi="Times New Roman" w:eastAsia="仿宋_GB2312" w:cs="Times New Roman"/>
          <w:sz w:val="28"/>
          <w:szCs w:val="28"/>
          <w:lang w:eastAsia="zh-CN"/>
        </w:rPr>
        <w:t>。</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.2在特殊情况下，采购人可征求供应商同意延长竞争性磋商响应文件的有效期。这种要求与答复均应以书面形式提交。供应商可以拒绝这种要求，原有效期到期后</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zh-CN" w:eastAsia="zh-CN"/>
        </w:rPr>
        <w:t>失效</w:t>
      </w:r>
      <w:r>
        <w:rPr>
          <w:rFonts w:hint="default" w:ascii="Times New Roman" w:hAnsi="Times New Roman" w:eastAsia="仿宋_GB2312" w:cs="Times New Roman"/>
          <w:sz w:val="28"/>
          <w:szCs w:val="28"/>
          <w:lang w:eastAsia="zh-CN"/>
        </w:rPr>
        <w:t>。同意延期的供应商将不会被要求也不允许修改其竞争性磋商响应文件，</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eastAsia="zh-CN"/>
        </w:rPr>
        <w:t>竞争性磋商响应文件相应延长到新的有效期。</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25  </w:t>
      </w:r>
      <w:r>
        <w:rPr>
          <w:rFonts w:hint="default" w:ascii="Times New Roman" w:hAnsi="Times New Roman" w:eastAsia="仿宋_GB2312" w:cs="Times New Roman"/>
          <w:b/>
          <w:bCs/>
          <w:sz w:val="28"/>
          <w:szCs w:val="28"/>
          <w:lang w:eastAsia="zh-CN"/>
        </w:rPr>
        <w:t>竞争性磋商响应文件形式和签署</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.1供应商须在</w:t>
      </w:r>
      <w:r>
        <w:rPr>
          <w:rFonts w:hint="default" w:ascii="Times New Roman" w:hAnsi="Times New Roman" w:eastAsia="仿宋_GB2312" w:cs="Times New Roman"/>
          <w:sz w:val="28"/>
          <w:szCs w:val="28"/>
          <w:lang w:val="en-US" w:eastAsia="zh-CN"/>
        </w:rPr>
        <w:t>提交首次磋商响应文件</w:t>
      </w:r>
      <w:r>
        <w:rPr>
          <w:rFonts w:hint="default" w:ascii="Times New Roman" w:hAnsi="Times New Roman" w:eastAsia="仿宋_GB2312" w:cs="Times New Roman"/>
          <w:sz w:val="28"/>
          <w:szCs w:val="28"/>
          <w:lang w:eastAsia="zh-CN"/>
        </w:rPr>
        <w:t>截止时间前制作并提交加密的电子竞争性磋商响应文件。</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供应商可登录“河南省公共资源交易中心（http://www.hnggzy.net）”网站查看公共服务—办事指南—</w:t>
      </w:r>
      <w:r>
        <w:rPr>
          <w:rFonts w:hint="default" w:ascii="Times New Roman" w:hAnsi="Times New Roman" w:eastAsia="仿宋_GB2312" w:cs="Times New Roman"/>
          <w:sz w:val="28"/>
          <w:szCs w:val="28"/>
          <w:lang w:val="en-US"/>
        </w:rPr>
        <w:t>新交易平台使用手册（培训资料）</w:t>
      </w:r>
      <w:r>
        <w:rPr>
          <w:rFonts w:hint="default" w:ascii="Times New Roman" w:hAnsi="Times New Roman" w:eastAsia="仿宋_GB2312" w:cs="Times New Roman"/>
          <w:sz w:val="28"/>
          <w:szCs w:val="28"/>
        </w:rPr>
        <w:t>。</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eastAsia="zh-CN"/>
        </w:rPr>
        <w:t>供应商在制作电子</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zh-CN" w:eastAsia="zh-CN"/>
        </w:rPr>
        <w:t>时，按格式内容要求进行电子签章（包括企业电子签章、个人电子签章）</w:t>
      </w:r>
      <w:r>
        <w:rPr>
          <w:rFonts w:hint="default" w:ascii="Times New Roman" w:hAnsi="Times New Roman" w:eastAsia="仿宋_GB2312" w:cs="Times New Roman"/>
          <w:sz w:val="28"/>
          <w:szCs w:val="28"/>
          <w:lang w:eastAsia="zh-CN"/>
        </w:rPr>
        <w:t>。</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竞争性磋商响应文件以外的任何资料采购人和集中采购机构将拒收。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其他形式的竞争性磋商响应文件一律不接受。</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92" w:name="_Toc633358860"/>
      <w:bookmarkStart w:id="93" w:name="_Toc1958475392"/>
      <w:bookmarkStart w:id="94" w:name="_Toc269831806"/>
      <w:bookmarkStart w:id="95" w:name="_Toc1517317572"/>
      <w:bookmarkStart w:id="96" w:name="_Toc99139981"/>
      <w:bookmarkStart w:id="97" w:name="_Toc340063481"/>
      <w:bookmarkStart w:id="98" w:name="_Toc19454396"/>
      <w:bookmarkStart w:id="99" w:name="_Toc1602167768_WPSOffice_Level2"/>
      <w:bookmarkStart w:id="100" w:name="_Toc99171812"/>
      <w:bookmarkStart w:id="101" w:name="_Toc814900001_WPSOffice_Level2"/>
      <w:bookmarkStart w:id="102" w:name="_Toc689398289_WPSOffice_Level2"/>
      <w:bookmarkStart w:id="103" w:name="_Toc1446727086"/>
      <w:r>
        <w:rPr>
          <w:rFonts w:hint="default" w:ascii="Times New Roman" w:hAnsi="Times New Roman" w:eastAsia="方正小标宋_GBK" w:cs="Times New Roman"/>
          <w:bCs/>
          <w:color w:val="auto"/>
          <w:kern w:val="0"/>
          <w:sz w:val="30"/>
          <w:szCs w:val="30"/>
          <w:lang w:val="en-US" w:eastAsia="zh-CN"/>
        </w:rPr>
        <w:t>四、</w:t>
      </w:r>
      <w:r>
        <w:rPr>
          <w:rFonts w:hint="default" w:ascii="Times New Roman" w:hAnsi="Times New Roman" w:eastAsia="方正小标宋_GBK" w:cs="Times New Roman"/>
          <w:bCs/>
          <w:color w:val="auto"/>
          <w:kern w:val="0"/>
          <w:sz w:val="30"/>
          <w:szCs w:val="30"/>
          <w:lang w:eastAsia="zh-CN"/>
        </w:rPr>
        <w:t>竞争性磋商响应文件</w:t>
      </w:r>
      <w:r>
        <w:rPr>
          <w:rFonts w:hint="default" w:ascii="Times New Roman" w:hAnsi="Times New Roman" w:eastAsia="方正小标宋_GBK" w:cs="Times New Roman"/>
          <w:bCs/>
          <w:color w:val="auto"/>
          <w:kern w:val="0"/>
          <w:sz w:val="30"/>
          <w:szCs w:val="30"/>
          <w:lang w:val="en-US" w:eastAsia="zh-CN"/>
        </w:rPr>
        <w:t>的上传</w:t>
      </w:r>
      <w:bookmarkEnd w:id="92"/>
      <w:bookmarkEnd w:id="93"/>
      <w:bookmarkEnd w:id="94"/>
      <w:bookmarkEnd w:id="95"/>
      <w:bookmarkEnd w:id="96"/>
      <w:bookmarkEnd w:id="97"/>
      <w:bookmarkEnd w:id="98"/>
      <w:bookmarkEnd w:id="99"/>
      <w:bookmarkEnd w:id="100"/>
      <w:bookmarkEnd w:id="101"/>
      <w:bookmarkEnd w:id="102"/>
      <w:bookmarkEnd w:id="103"/>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竞争性磋商响应文件的上传</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.1加密电子竞争性磋商响应文件的上传：见“供应商须知前附表”。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.2供应商在上传时认真检查上传竞争性磋商响应文件是否完整、正确。供应商因交易中心交易系统问题无法上传电子竞争性磋商响应文件时，请在工作时间与河南省公共资源交易中心联系，联系电话：0371-65915501。</w:t>
      </w:r>
    </w:p>
    <w:p>
      <w:pPr>
        <w:numPr>
          <w:ilvl w:val="0"/>
          <w:numId w:val="5"/>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响应文件提交截止时间</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.1供应商应在“供应商须知前附表”规定的响应文件提交截止时间前上传竞争性磋商响应文件。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.2采购人和集中采购机构可以按本章第12条规定，通过修改竞争性磋商文件自行决定酌情延长响应文件提交截止时间。</w:t>
      </w:r>
    </w:p>
    <w:p>
      <w:pPr>
        <w:numPr>
          <w:ilvl w:val="0"/>
          <w:numId w:val="6"/>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迟交的竞争性磋商响应文件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供应商在响应文件提交截止时间后上传的竞争性磋商响应文件，将被拒绝。</w:t>
      </w:r>
    </w:p>
    <w:p>
      <w:pPr>
        <w:numPr>
          <w:ilvl w:val="0"/>
          <w:numId w:val="6"/>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竞争性磋商响应文件的修改和撤回</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.1在响应文件提交截止时间前，供应商可以修改或撤回已上传的竞争性磋商响应文件。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.2在响应文件提交截止时间后，供应商不得修改或撤回其竞争性磋商响应文件。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.3在竞争性磋商文件规定的响应文件有效期内，供应商不得实质上修改或撤回其磋商响应文件。</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04" w:name="_Toc1550393937_WPSOffice_Level2"/>
      <w:bookmarkStart w:id="105" w:name="_Toc516757662_WPSOffice_Level2"/>
      <w:bookmarkStart w:id="106" w:name="_Toc1130786219"/>
      <w:bookmarkStart w:id="107" w:name="_Toc1109071882"/>
      <w:bookmarkStart w:id="108" w:name="_Toc960388964"/>
      <w:bookmarkStart w:id="109" w:name="_Toc516778272"/>
      <w:bookmarkStart w:id="110" w:name="_Toc874621790"/>
      <w:bookmarkStart w:id="111" w:name="_Toc1288741030"/>
      <w:bookmarkStart w:id="112" w:name="_Toc229139457"/>
      <w:bookmarkStart w:id="113" w:name="_Toc1744903856_WPSOffice_Level2"/>
      <w:bookmarkStart w:id="114" w:name="_Toc1590266156"/>
      <w:bookmarkStart w:id="115" w:name="_Toc1305351518"/>
      <w:r>
        <w:rPr>
          <w:rFonts w:hint="default" w:ascii="Times New Roman" w:hAnsi="Times New Roman" w:eastAsia="方正小标宋_GBK" w:cs="Times New Roman"/>
          <w:bCs/>
          <w:color w:val="auto"/>
          <w:kern w:val="0"/>
          <w:sz w:val="30"/>
          <w:szCs w:val="30"/>
          <w:lang w:val="en-US" w:eastAsia="zh-CN"/>
        </w:rPr>
        <w:t>五、开启与</w:t>
      </w:r>
      <w:bookmarkEnd w:id="104"/>
      <w:bookmarkEnd w:id="105"/>
      <w:bookmarkEnd w:id="106"/>
      <w:bookmarkEnd w:id="107"/>
      <w:bookmarkEnd w:id="108"/>
      <w:bookmarkEnd w:id="109"/>
      <w:bookmarkEnd w:id="110"/>
      <w:bookmarkEnd w:id="111"/>
      <w:bookmarkEnd w:id="112"/>
      <w:bookmarkEnd w:id="113"/>
      <w:r>
        <w:rPr>
          <w:rFonts w:hint="default" w:ascii="Times New Roman" w:hAnsi="Times New Roman" w:eastAsia="方正小标宋_GBK" w:cs="Times New Roman"/>
          <w:bCs/>
          <w:color w:val="auto"/>
          <w:kern w:val="0"/>
          <w:sz w:val="30"/>
          <w:szCs w:val="30"/>
          <w:lang w:val="en-US" w:eastAsia="zh-CN"/>
        </w:rPr>
        <w:t>评审</w:t>
      </w:r>
      <w:bookmarkEnd w:id="114"/>
      <w:bookmarkEnd w:id="115"/>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开启</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.1开启及解密方式：见“供应商须知前附表”。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.2不见面开标大厅网址：见“供应商须知前附表”。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.3磋商开启时间和地点：见“供应商须知前附表”。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.4开启时，集中采购机构将通过网上开标系统公布供应商名称。</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31.  </w:t>
      </w:r>
      <w:r>
        <w:rPr>
          <w:rFonts w:hint="default" w:ascii="Times New Roman" w:hAnsi="Times New Roman" w:eastAsia="仿宋_GB2312" w:cs="Times New Roman"/>
          <w:b/>
          <w:bCs/>
          <w:sz w:val="28"/>
          <w:szCs w:val="28"/>
          <w:lang w:eastAsia="zh-CN"/>
        </w:rPr>
        <w:t>信用查询</w:t>
      </w:r>
    </w:p>
    <w:p>
      <w:pPr>
        <w:spacing w:line="360" w:lineRule="auto"/>
        <w:rPr>
          <w:rFonts w:hint="default" w:ascii="Times New Roman" w:hAnsi="Times New Roman" w:eastAsia="仿宋_GB2312" w:cs="Times New Roman"/>
          <w:sz w:val="28"/>
          <w:szCs w:val="28"/>
          <w:lang w:eastAsia="zh-CN"/>
        </w:rPr>
      </w:pPr>
      <w:bookmarkStart w:id="116" w:name="_Toc468577997_WPSOffice_Level3"/>
      <w:bookmarkStart w:id="117" w:name="_Toc1102086292_WPSOffice_Level3"/>
      <w:r>
        <w:rPr>
          <w:rFonts w:hint="default" w:ascii="Times New Roman" w:hAnsi="Times New Roman" w:eastAsia="仿宋_GB2312" w:cs="Times New Roman"/>
          <w:sz w:val="28"/>
          <w:szCs w:val="28"/>
          <w:lang w:eastAsia="zh-CN"/>
        </w:rPr>
        <w:t>信用记录的查询方法：见“供应商须知前附表”。</w:t>
      </w:r>
      <w:bookmarkEnd w:id="116"/>
      <w:bookmarkEnd w:id="117"/>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竞争性磋商小组</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1评审由竞争性磋商小组负责，竞争性磋商小组由采购人代表和有关技术、经济等方面的专家组成，成员人数见“供应商须知前附表”。其中技术、经济等方面的专家不少于成员总数的三分之二。评审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lang w:eastAsia="zh-CN"/>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lang w:eastAsia="zh-CN"/>
        </w:rPr>
        <w:t>，有关人员对竞争性磋商小组成员名单须严格保密。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.2与供应商有利害关系的人员不得进入竞争性磋商小组。</w:t>
      </w:r>
    </w:p>
    <w:p>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竞争性磋商响应文件的澄清</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.1为了有助于对竞争性磋商响应文件进行审查、评估和比较，竞争性磋商小组有权向供应商</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lang w:eastAsia="zh-CN"/>
        </w:rPr>
        <w:t>，请供应商澄清其磋商响应内容。</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.2澄清的答复应加盖供应商公章（或企业电子签章）或由法定代表人（或其委托代理人）签字或签章（或个人电子签章）。</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.3供应商的澄清文件是竞争性磋商响应文件的组成部分。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.4竞争性磋商响应文件的澄清不得对磋商响应内容进行实质性修改。</w:t>
      </w:r>
    </w:p>
    <w:p>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竞争性磋商响应文件的初步审查</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.1竞争性磋商小组将审查竞争性磋商响应文件是否实质上响应竞争性磋商文件。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.2允许修正竞争性磋商响应文件中不构成重大偏离的、微小的、非正规的、不一致或不规则的地方。</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.3在对竞争性磋商响应文件进行详细评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之前，竞争性磋商小组将确定</w:t>
      </w:r>
      <w:r>
        <w:rPr>
          <w:rFonts w:hint="default" w:ascii="Times New Roman" w:hAnsi="Times New Roman" w:eastAsia="仿宋_GB2312" w:cs="Times New Roman"/>
          <w:sz w:val="28"/>
          <w:szCs w:val="28"/>
          <w:lang w:val="en-US" w:eastAsia="zh-CN"/>
        </w:rPr>
        <w:t>竞争性磋商响应文件</w:t>
      </w:r>
      <w:r>
        <w:rPr>
          <w:rFonts w:hint="default" w:ascii="Times New Roman" w:hAnsi="Times New Roman" w:eastAsia="仿宋_GB2312" w:cs="Times New Roman"/>
          <w:sz w:val="28"/>
          <w:szCs w:val="28"/>
          <w:lang w:eastAsia="zh-CN"/>
        </w:rPr>
        <w:t>是否对竞争性磋商文件的要求做出了实质性的响应，而没有重大偏离。实质性响应是指</w:t>
      </w:r>
      <w:r>
        <w:rPr>
          <w:rFonts w:hint="default" w:ascii="Times New Roman" w:hAnsi="Times New Roman" w:eastAsia="仿宋_GB2312" w:cs="Times New Roman"/>
          <w:sz w:val="28"/>
          <w:szCs w:val="28"/>
          <w:lang w:val="en-US" w:eastAsia="zh-CN"/>
        </w:rPr>
        <w:t>提交磋商响应文件</w:t>
      </w:r>
      <w:r>
        <w:rPr>
          <w:rFonts w:hint="default" w:ascii="Times New Roman" w:hAnsi="Times New Roman" w:eastAsia="仿宋_GB2312" w:cs="Times New Roman"/>
          <w:sz w:val="28"/>
          <w:szCs w:val="28"/>
          <w:lang w:eastAsia="zh-CN"/>
        </w:rPr>
        <w:t>符合竞争性磋商文件的实质性条款、条件和规定且没有重大偏离和保留。重大偏离和保留是指对竞争性磋商文件规定的采购需求、</w:t>
      </w:r>
      <w:r>
        <w:rPr>
          <w:rFonts w:ascii="Times New Roman" w:hAnsi="Times New Roman" w:eastAsia="仿宋_GB2312" w:cs="Times New Roman"/>
          <w:sz w:val="28"/>
          <w:szCs w:val="28"/>
          <w:lang w:eastAsia="zh-CN"/>
        </w:rPr>
        <w:t>服务期限</w:t>
      </w:r>
      <w:r>
        <w:rPr>
          <w:rFonts w:hint="default" w:ascii="Times New Roman" w:hAnsi="Times New Roman" w:eastAsia="仿宋_GB2312" w:cs="Times New Roman"/>
          <w:sz w:val="28"/>
          <w:szCs w:val="28"/>
          <w:lang w:eastAsia="zh-CN"/>
        </w:rPr>
        <w:t>、</w:t>
      </w:r>
      <w:r>
        <w:rPr>
          <w:rFonts w:ascii="Times New Roman" w:hAnsi="Times New Roman" w:eastAsia="仿宋_GB2312" w:cs="Times New Roman"/>
          <w:sz w:val="28"/>
          <w:szCs w:val="28"/>
          <w:lang w:eastAsia="zh-CN"/>
        </w:rPr>
        <w:t>服务质量</w:t>
      </w:r>
      <w:r>
        <w:rPr>
          <w:rFonts w:hint="default" w:ascii="Times New Roman" w:hAnsi="Times New Roman" w:eastAsia="仿宋_GB2312" w:cs="Times New Roman"/>
          <w:sz w:val="28"/>
          <w:szCs w:val="28"/>
          <w:lang w:eastAsia="zh-CN"/>
        </w:rPr>
        <w:t>、响应文件有效期、付款方式等产生重大或不可接受的偏差，或限制了集中采购机构、采购人的权利和供应商的义务的规定，而纠正这些偏离将影响到其它提交实质性磋商响应文件的供应商的公平竞争地位。</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.4竞争性磋商小组判断竞争性磋商响应文件的有效响应仅基于竞争性磋商响应文件本身内容而不靠外部证据。</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.5实质上没有响应竞争性磋商文件要求的磋商响应将</w:t>
      </w:r>
      <w:r>
        <w:rPr>
          <w:rFonts w:ascii="Times New Roman" w:hAnsi="Times New Roman" w:eastAsia="仿宋_GB2312" w:cs="Times New Roman"/>
          <w:sz w:val="28"/>
          <w:szCs w:val="28"/>
          <w:lang w:eastAsia="zh-CN"/>
        </w:rPr>
        <w:t>按无效响应文件处理</w:t>
      </w:r>
      <w:r>
        <w:rPr>
          <w:rFonts w:hint="default" w:ascii="Times New Roman" w:hAnsi="Times New Roman" w:eastAsia="仿宋_GB2312" w:cs="Times New Roman"/>
          <w:sz w:val="28"/>
          <w:szCs w:val="28"/>
          <w:lang w:eastAsia="zh-CN"/>
        </w:rPr>
        <w:t>，供应商不得通过修正或撤消不符之处而使其磋商响应成为实质上响应。</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 xml:space="preserve">  参与同一个标段（包）的供应商存在下列情形之一的，其投标（响应）文件无效：</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（1）不同供应商的电子投标（响应）文件上传计算机的网卡MAC地址、CPU序列号和硬盘序列号等硬件信息相同的；</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（2）不同供应商的投标（响应）文件由同一电子设备编制、加密或者上传；</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（3）不同供应商的投标（响应）文件由同一人送达或者分发，或者不同供应商联系人为同一人或不同联系人的联系电话一致的；</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（4）不同供应商的投标（响应）文件的内容存在两处以上专有细节错误一致；</w:t>
      </w:r>
    </w:p>
    <w:p>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 有下列情形之一的，视为供应商串通磋商响应，其磋商响应无效：</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（1）不同供应商的竞争性磋商响应文件由同一单位或者个人编制；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（2）不同供应商委托同一单位或者个人办理磋商响应事宜；</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（3）不同供应商的竞争性磋商响应文件载明的项目管理成员或者联系人员为同一人；</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（4）不同供应商的竞争性磋商响应文件异常一致或者磋商响应报价呈规律性差异；</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（5）不同供应商的竞争性磋商响应文件相互混装；</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（6）不同供应商的磋商保证金从同一单位或者个人的账户转出。</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磋商响应的评价</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.1竞争性磋商响应文件报价出现前后不一致的，按照下列规定修正：</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）大写金额和小写金额不一致的，以大写金额为准；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同时出现两种以上不一致的，按照前款规定的顺序修正。修正后的报价经供应商确认后产生约束力，供应商不确认的，其磋商响应无效。</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竞争性磋商小组认为供应商的报价明显低于其他通过初步审查供应商的报价，有可能影响服务质量或者不能诚信履约的，应当要求其在合理的时间内提供书面说明，必要时提交相关证明材料；供应商不能证明其报价合理性的，竞争性磋商小组应当将其作为无效磋商响应处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.3竞争性磋商小组只对已判定为实质性响应的竞争性磋商响应文件进行评价和比较。</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评审价的确定</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 根据《政府采购促进中小企业发展管理办法》（财库〔2020〕46号）和《财政部关于进一步加大政府采购支持中小企业力度的通知》（财库〔2022〕19号）的的规定，采购人在政府采购活动中支持中小企业发展：</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（1）采购项目或采购包预留采购份额专门面向中小企业采购；</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（2）未预留份额专门面向中小企业采购的采购项目，以及预留份额项目中的非预留部分采购包，对小微企业报价给予</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0%的扣除，用扣除后的价格参加评审。中小企业扶持政策：见“供应商须知前附表”。</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（4）监狱企业视同小型、微型企业，供应商应提供省级及以上监狱管理局、戒毒管理局（含新疆生产建设兵团）出具的属于监狱企业的证明文件。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36.2 </w:t>
      </w:r>
      <w:r>
        <w:rPr>
          <w:rFonts w:hint="default" w:ascii="Times New Roman" w:hAnsi="Times New Roman" w:eastAsia="仿宋_GB2312" w:cs="Times New Roman"/>
          <w:sz w:val="28"/>
          <w:szCs w:val="28"/>
          <w:lang w:eastAsia="zh-CN"/>
        </w:rPr>
        <w:t>评审价不作为成交金额和合同签约价，成交金额和合同签约价仍以其磋商响应文件中的报价为准。</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lang w:eastAsia="zh-CN"/>
        </w:rPr>
        <w:t>.评审结果</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.1竞争性磋商小组按照竞争性磋商文件中规定的磋商方法和标准，对初步审查合格的竞争性磋商响应文件进行商务和技术评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，综合比较与评价。</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.2供应商的评审得分为所有评委评审得分的算术平均值，评审得分取至小数点后两位（第三位四舍五入）。</w:t>
      </w:r>
    </w:p>
    <w:p>
      <w:pPr>
        <w:pStyle w:val="218"/>
        <w:spacing w:line="360" w:lineRule="auto"/>
        <w:rPr>
          <w:rFonts w:ascii="Times New Roman" w:hAnsi="Times New Roman" w:eastAsia="仿宋_GB2312" w:cs="Times New Roman"/>
        </w:rPr>
      </w:pPr>
      <w:r>
        <w:rPr>
          <w:rFonts w:ascii="Times New Roman" w:hAnsi="Times New Roman" w:eastAsia="仿宋_GB2312" w:cs="Times New Roman"/>
          <w:b/>
          <w:bCs/>
          <w:sz w:val="28"/>
          <w:szCs w:val="28"/>
        </w:rPr>
        <w:t>38.</w:t>
      </w:r>
      <w:r>
        <w:rPr>
          <w:rFonts w:ascii="Times New Roman" w:hAnsi="Times New Roman" w:eastAsia="仿宋_GB2312" w:cs="Times New Roman"/>
          <w:b/>
          <w:color w:val="auto"/>
          <w:sz w:val="28"/>
          <w:szCs w:val="28"/>
        </w:rPr>
        <w:t>成交候选供应商的确定原则及标准</w:t>
      </w:r>
    </w:p>
    <w:p>
      <w:pPr>
        <w:widowControl w:val="0"/>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除非“供应商须知前附表”有特殊约定，否则竞争性磋商小组按评审后得分由高到低顺序</w:t>
      </w:r>
      <w:r>
        <w:rPr>
          <w:rFonts w:hint="default" w:ascii="Times New Roman" w:hAnsi="Times New Roman" w:eastAsia="仿宋_GB2312" w:cs="Times New Roman"/>
          <w:color w:val="auto"/>
          <w:sz w:val="28"/>
          <w:szCs w:val="28"/>
          <w:lang w:val="en-US" w:eastAsia="zh-CN"/>
        </w:rPr>
        <w:t>排列。按供应商须知前附表中规定数量推荐成交候选供应商。</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lang w:eastAsia="zh-CN"/>
        </w:rPr>
        <w:t>.保密及其它注意事项</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.1评审是竞争性磋商工作的重要环节，评审工作在竞争性磋商小组内独立进行。</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.2竞争性磋商小组将遵照规定的磋商方法，公正、平等地对待所有供应商。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.3在评审期间，供应商不得向评委询问评审情况，不得进行旨在影响评审结果的活动。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.4为保证评审的公正性，开启后直至授予供应商合同，评委不得与供应商私下交换意见。</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.5在评审工作结束后，凡与评审情况有接触的任何人不得擅自将评审情况扩散出评审人员之外。</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.6评审结束后，概不退还竞争性磋商响应文件。</w:t>
      </w:r>
    </w:p>
    <w:p>
      <w:pPr>
        <w:pStyle w:val="15"/>
        <w:rPr>
          <w:rFonts w:ascii="Times New Roman" w:hAnsi="Times New Roma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eastAsia="zh-CN"/>
        </w:rPr>
      </w:pPr>
      <w:bookmarkStart w:id="118" w:name="_Toc57506616"/>
      <w:bookmarkStart w:id="119" w:name="_Toc2899487"/>
      <w:bookmarkStart w:id="120" w:name="_Toc1199683400_WPSOffice_Level2"/>
      <w:bookmarkStart w:id="121" w:name="_Toc1781574470_WPSOffice_Level2"/>
      <w:bookmarkStart w:id="122" w:name="_Toc469259728"/>
      <w:bookmarkStart w:id="123" w:name="_Toc1542593003"/>
      <w:bookmarkStart w:id="124" w:name="_Toc1052785819"/>
      <w:bookmarkStart w:id="125" w:name="_Toc825115381"/>
      <w:bookmarkStart w:id="126" w:name="_Toc1092967952_WPSOffice_Level2"/>
      <w:bookmarkStart w:id="127" w:name="_Toc69887890"/>
      <w:bookmarkStart w:id="128" w:name="_Toc1764974099"/>
      <w:bookmarkStart w:id="129" w:name="_Toc1482364743"/>
      <w:r>
        <w:rPr>
          <w:rFonts w:hint="default" w:ascii="Times New Roman" w:hAnsi="Times New Roman" w:eastAsia="方正小标宋_GBK" w:cs="Times New Roman"/>
          <w:bCs/>
          <w:color w:val="auto"/>
          <w:kern w:val="0"/>
          <w:sz w:val="30"/>
          <w:szCs w:val="30"/>
          <w:lang w:val="en-US" w:eastAsia="zh-CN"/>
        </w:rPr>
        <w:t>六、确定</w:t>
      </w:r>
      <w:bookmarkEnd w:id="118"/>
      <w:bookmarkEnd w:id="119"/>
      <w:bookmarkEnd w:id="120"/>
      <w:bookmarkEnd w:id="121"/>
      <w:bookmarkEnd w:id="122"/>
      <w:bookmarkEnd w:id="123"/>
      <w:bookmarkEnd w:id="124"/>
      <w:bookmarkEnd w:id="125"/>
      <w:bookmarkEnd w:id="126"/>
      <w:bookmarkEnd w:id="127"/>
      <w:r>
        <w:rPr>
          <w:rFonts w:hint="default" w:ascii="Times New Roman" w:hAnsi="Times New Roman" w:eastAsia="方正小标宋_GBK" w:cs="Times New Roman"/>
          <w:bCs/>
          <w:color w:val="auto"/>
          <w:kern w:val="0"/>
          <w:sz w:val="30"/>
          <w:szCs w:val="30"/>
          <w:lang w:eastAsia="zh-CN"/>
        </w:rPr>
        <w:t>成交</w:t>
      </w:r>
      <w:bookmarkEnd w:id="128"/>
      <w:bookmarkEnd w:id="129"/>
    </w:p>
    <w:p>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color w:val="auto"/>
          <w:kern w:val="0"/>
          <w:sz w:val="28"/>
          <w:szCs w:val="28"/>
          <w:lang w:val="en-US" w:eastAsia="zh-CN"/>
        </w:rPr>
        <w:t>确定成交供应商</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1采购代理机构应当在评审结束后2个工作日内将评审报告送采购人确认。</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  发布成交结果公告及发出成交通知书</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采购人按规定确定成交供应商后，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集中采购机构应将成交结果在</w:t>
      </w:r>
      <w:r>
        <w:rPr>
          <w:rFonts w:ascii="Times New Roman" w:hAnsi="Times New Roman" w:eastAsia="仿宋_GB2312" w:cs="Times New Roman"/>
          <w:sz w:val="28"/>
          <w:szCs w:val="28"/>
          <w:lang w:eastAsia="zh-CN"/>
        </w:rPr>
        <w:t>采购文件</w:t>
      </w:r>
      <w:r>
        <w:rPr>
          <w:rFonts w:hint="default" w:ascii="Times New Roman" w:hAnsi="Times New Roman" w:eastAsia="仿宋_GB2312" w:cs="Times New Roman"/>
          <w:sz w:val="28"/>
          <w:szCs w:val="28"/>
          <w:lang w:eastAsia="zh-CN"/>
        </w:rPr>
        <w:t>规定的媒介上予以公告，成交结果公告期限为1个工作日。</w:t>
      </w:r>
    </w:p>
    <w:p>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41.2发布成交结果公告同时向成交供应商发出成交通知书。</w:t>
      </w:r>
    </w:p>
    <w:p>
      <w:pPr>
        <w:pStyle w:val="15"/>
        <w:spacing w:before="0" w:line="360" w:lineRule="auto"/>
        <w:rPr>
          <w:rFonts w:ascii="Times New Roman" w:hAnsi="Times New Roman"/>
        </w:rPr>
      </w:pPr>
      <w:r>
        <w:rPr>
          <w:rFonts w:ascii="Times New Roman" w:hAnsi="Times New Roman" w:eastAsia="仿宋_GB2312"/>
          <w:sz w:val="28"/>
          <w:szCs w:val="28"/>
        </w:rPr>
        <w:t>41.3</w:t>
      </w:r>
      <w:r>
        <w:rPr>
          <w:rFonts w:ascii="Times New Roman" w:hAnsi="Times New Roman" w:eastAsia="仿宋_GB2312"/>
          <w:kern w:val="1"/>
          <w:sz w:val="28"/>
          <w:szCs w:val="28"/>
        </w:rPr>
        <w:t>成交通知书发出后，采购人不得违法改变成交结果，成交供应商无正当理由不得放弃成交。</w:t>
      </w:r>
    </w:p>
    <w:p>
      <w:pPr>
        <w:widowControl w:val="0"/>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接受和拒绝任何或所有磋商响应的权利</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如出现重大变故，采购任务取消情况，集中采购机构和采购人保留因此原因在授标之前任何时候接受或拒绝任何磋商响应、以及宣布竞争性磋商无效或拒绝所有磋商响应的权利，对受影响的供应商不承担任何责任。</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0" w:name="_Toc289293782"/>
      <w:bookmarkStart w:id="131" w:name="_Toc574236286"/>
      <w:bookmarkStart w:id="132" w:name="_Toc1835231440"/>
      <w:bookmarkStart w:id="133" w:name="_Toc285838294"/>
      <w:bookmarkStart w:id="134" w:name="_Toc1194929028_WPSOffice_Level2"/>
      <w:bookmarkStart w:id="135" w:name="_Toc353764292"/>
      <w:bookmarkStart w:id="136" w:name="_Toc155496134_WPSOffice_Level2"/>
      <w:bookmarkStart w:id="137" w:name="_Toc2132928082"/>
      <w:bookmarkStart w:id="138" w:name="_Toc834194952"/>
      <w:bookmarkStart w:id="139" w:name="_Toc1674499174"/>
      <w:bookmarkStart w:id="140" w:name="_Toc1253526278"/>
      <w:bookmarkStart w:id="141" w:name="_Toc212998948_WPSOffice_Level2"/>
      <w:r>
        <w:rPr>
          <w:rFonts w:hint="default" w:ascii="Times New Roman" w:hAnsi="Times New Roman" w:eastAsia="方正小标宋_GBK" w:cs="Times New Roman"/>
          <w:bCs/>
          <w:color w:val="auto"/>
          <w:kern w:val="0"/>
          <w:sz w:val="30"/>
          <w:szCs w:val="30"/>
          <w:lang w:val="en-US" w:eastAsia="zh-CN"/>
        </w:rPr>
        <w:t>七、授予合同</w:t>
      </w:r>
      <w:bookmarkEnd w:id="130"/>
      <w:bookmarkEnd w:id="131"/>
      <w:bookmarkEnd w:id="132"/>
      <w:bookmarkEnd w:id="133"/>
      <w:bookmarkEnd w:id="134"/>
      <w:bookmarkEnd w:id="135"/>
      <w:bookmarkEnd w:id="136"/>
      <w:bookmarkEnd w:id="137"/>
      <w:bookmarkEnd w:id="138"/>
      <w:bookmarkEnd w:id="139"/>
      <w:bookmarkEnd w:id="140"/>
      <w:bookmarkEnd w:id="141"/>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lang w:eastAsia="zh-CN"/>
        </w:rPr>
        <w:t>.合同授予标准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条、</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lang w:eastAsia="zh-CN"/>
        </w:rPr>
        <w:t>的规定之外，采购人将把合同授予被确定为实质上响应竞争性磋商文件要求并有履行合同能力的评审后综合得分最高的供应商。</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lang w:eastAsia="zh-CN"/>
        </w:rPr>
        <w:t>.合同授予时</w:t>
      </w:r>
      <w:r>
        <w:rPr>
          <w:rFonts w:ascii="Times New Roman" w:hAnsi="Times New Roman" w:eastAsia="仿宋_GB2312" w:cs="Times New Roman"/>
          <w:b/>
          <w:bCs/>
          <w:sz w:val="28"/>
          <w:szCs w:val="28"/>
          <w:lang w:eastAsia="zh-CN"/>
        </w:rPr>
        <w:t>追加</w:t>
      </w:r>
      <w:r>
        <w:rPr>
          <w:rFonts w:hint="default" w:ascii="Times New Roman" w:hAnsi="Times New Roman" w:eastAsia="仿宋_GB2312" w:cs="Times New Roman"/>
          <w:b/>
          <w:bCs/>
          <w:sz w:val="28"/>
          <w:szCs w:val="28"/>
          <w:lang w:eastAsia="zh-CN"/>
        </w:rPr>
        <w:t>采购服务数量的权利</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采购人在授予合同时有权在“供应商须知前附表”规定的范围内，对项目需求中规定的服务的数量予以增加，但不得服务内容或其它实质性的条款和条件做任何改变。</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lang w:eastAsia="zh-CN"/>
        </w:rPr>
        <w:t>签订合同</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采购人应当自成交通知书发出之日起15日内，按照竞争性磋商文件和成交供应商竞争性磋商响应文件的规定，与成交供应商签订书面合同。所签订的合同不得对竞争性磋商文件确定的事项和成交供应商竞争性磋商响应文件作实质性修改。</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.2竞争性磋商文件、成交供应商的竞争性磋商响应文件和澄清文件等，均应作为签约的合同文本的基础。</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.3如采购人对成交供应商拒签合同，依照《中华人民共和国政府采购法》《中华人民共和国政府采购法实施条例》《政府采购竞争性磋商采购方式管理暂行办法》（财库〔2014〕214号）等规定承担相应的违约责任。</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46.</w:t>
      </w:r>
      <w:r>
        <w:rPr>
          <w:rFonts w:hint="default" w:ascii="Times New Roman" w:hAnsi="Times New Roman" w:eastAsia="仿宋_GB2312" w:cs="Times New Roman"/>
          <w:b/>
          <w:bCs/>
          <w:sz w:val="28"/>
          <w:szCs w:val="28"/>
          <w:lang w:eastAsia="zh-CN"/>
        </w:rPr>
        <w:t>履约保证金</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成交供应商应按</w:t>
      </w:r>
      <w:r>
        <w:rPr>
          <w:rFonts w:ascii="Times New Roman" w:hAnsi="Times New Roman" w:eastAsia="仿宋_GB2312" w:cs="Times New Roman"/>
          <w:sz w:val="28"/>
          <w:szCs w:val="28"/>
          <w:lang w:val="en-US" w:eastAsia="zh-CN"/>
        </w:rPr>
        <w:t>采购文件</w:t>
      </w:r>
      <w:r>
        <w:rPr>
          <w:rFonts w:hint="default" w:ascii="Times New Roman" w:hAnsi="Times New Roman" w:eastAsia="仿宋_GB2312" w:cs="Times New Roman"/>
          <w:sz w:val="28"/>
          <w:szCs w:val="28"/>
          <w:lang w:eastAsia="zh-CN"/>
        </w:rPr>
        <w:t>的规定向采购人提交履约保证金。采购人不得以成交供应商事先缴纳履约保证金作为签订合同的条件,并应在成交供应商履行完合同约定义务事项后及时退还。</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lang w:eastAsia="zh-CN"/>
        </w:rPr>
        <w:t>如成交供应商不按本章第4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条约定签订合同，依照《中华人民共和国政府采购法》《中华人民共和国政府采购法实施条例》《政府采购竞争性磋商采购方式管理暂行办法》（财库〔2014〕214号）等规定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lang w:eastAsia="zh-CN"/>
        </w:rPr>
        <w:t>担相应的违约责任）。采购人可在按照磋商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报告推荐的成交候选供应商名单排序，确定下一成效候选供应商为成交供应商，也可以重新开展政府采购活动。</w:t>
      </w:r>
    </w:p>
    <w:p>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 招标代理费</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本项目是否由成交供应商向</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支付招标代理费，按照供应商须知前附表规定执行。</w:t>
      </w:r>
    </w:p>
    <w:p>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 质疑的提出与接收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  供应商认为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、竞争性磋商过程和成交结果使自己的权益受到损害的，可以根据《中华人民共和国政府采购法》《中华人民共和国政府采购法实施条例》《政府采购质疑和投诉办法》的有关规定，依法向采购人或其委托的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提出书面质疑。</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  质疑供应商应按照《政府采购质疑和投诉办法》的要求，在法定质疑期内以书面形式提出质疑，针对同一采购程序环节的质疑次数应符合供应商须知前附表的规定。</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42" w:name="_Toc1108985532"/>
      <w:bookmarkStart w:id="143" w:name="_Toc2050602757_WPSOffice_Level2"/>
      <w:bookmarkStart w:id="144" w:name="_Toc1766978063_WPSOffice_Level2"/>
      <w:bookmarkStart w:id="145" w:name="_Toc691566780"/>
      <w:bookmarkStart w:id="146" w:name="_Toc1930043233"/>
      <w:bookmarkStart w:id="147" w:name="_Toc2106161628_WPSOffice_Level2"/>
      <w:bookmarkStart w:id="148" w:name="_Toc65811364"/>
      <w:bookmarkStart w:id="149" w:name="_Toc80847557"/>
      <w:bookmarkStart w:id="150" w:name="_Toc1615377744"/>
      <w:bookmarkStart w:id="151" w:name="_Toc1226187921"/>
      <w:bookmarkStart w:id="152" w:name="_Toc512476358"/>
      <w:bookmarkStart w:id="153" w:name="_Toc2042622906"/>
      <w:r>
        <w:rPr>
          <w:rFonts w:hint="default" w:ascii="Times New Roman" w:hAnsi="Times New Roman" w:eastAsia="方正小标宋_GBK" w:cs="Times New Roman"/>
          <w:bCs/>
          <w:color w:val="auto"/>
          <w:kern w:val="0"/>
          <w:sz w:val="30"/>
          <w:szCs w:val="30"/>
          <w:lang w:val="en-US" w:eastAsia="zh-CN"/>
        </w:rPr>
        <w:t>八、需要补充的其他内容</w:t>
      </w:r>
      <w:bookmarkEnd w:id="142"/>
      <w:bookmarkEnd w:id="143"/>
      <w:bookmarkEnd w:id="144"/>
      <w:bookmarkEnd w:id="145"/>
      <w:bookmarkEnd w:id="146"/>
      <w:bookmarkEnd w:id="147"/>
      <w:bookmarkEnd w:id="148"/>
      <w:bookmarkEnd w:id="149"/>
      <w:bookmarkEnd w:id="150"/>
      <w:bookmarkEnd w:id="151"/>
      <w:bookmarkEnd w:id="152"/>
      <w:bookmarkEnd w:id="153"/>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sz w:val="28"/>
          <w:szCs w:val="28"/>
          <w:lang w:eastAsia="zh-CN"/>
        </w:rPr>
        <w:t>需要补充的其他内容：见“供应商须知前附表”。</w:t>
      </w:r>
    </w:p>
    <w:p>
      <w:pPr>
        <w:pStyle w:val="4"/>
        <w:jc w:val="center"/>
        <w:rPr>
          <w:rFonts w:hint="default" w:ascii="Times New Roman" w:hAnsi="Times New Roman" w:eastAsia="宋体" w:cs="Times New Roman"/>
          <w:color w:val="auto"/>
          <w:lang w:eastAsia="zh-CN"/>
        </w:rPr>
      </w:pPr>
      <w:r>
        <w:rPr>
          <w:rFonts w:hint="default" w:ascii="Times New Roman" w:hAnsi="Times New Roman" w:cs="Times New Roman"/>
          <w:lang w:eastAsia="zh-CN"/>
        </w:rPr>
        <w:br w:type="page"/>
      </w:r>
      <w:bookmarkEnd w:id="50"/>
      <w:bookmarkEnd w:id="51"/>
      <w:bookmarkEnd w:id="52"/>
      <w:bookmarkStart w:id="154" w:name="_Toc1644299675"/>
      <w:bookmarkStart w:id="155" w:name="_Toc2024009066"/>
      <w:bookmarkStart w:id="156" w:name="_Toc1839196008_WPSOffice_Level1"/>
      <w:bookmarkStart w:id="157" w:name="_Toc2100027940"/>
      <w:bookmarkStart w:id="158" w:name="_Toc764191523_WPSOffice_Level1"/>
      <w:bookmarkStart w:id="159" w:name="_Toc308141697"/>
      <w:bookmarkStart w:id="160" w:name="_Toc839610870"/>
      <w:bookmarkStart w:id="161" w:name="_Toc335147862_WPSOffice_Level1"/>
      <w:bookmarkStart w:id="162" w:name="_Toc237350522_WPSOffice_Level1"/>
      <w:bookmarkStart w:id="163" w:name="_Toc1340807913"/>
      <w:bookmarkStart w:id="164" w:name="_Toc1415346380_WPSOffice_Level1"/>
      <w:bookmarkStart w:id="165" w:name="_Toc300363790"/>
      <w:bookmarkStart w:id="166" w:name="_Toc63558279_WPSOffice_Level1"/>
      <w:bookmarkStart w:id="167" w:name="_Toc140667688"/>
      <w:bookmarkStart w:id="168" w:name="_Toc310774132_WPSOffice_Level1"/>
      <w:bookmarkStart w:id="169" w:name="_Toc1224265812"/>
      <w:bookmarkStart w:id="170" w:name="_Toc140822546"/>
      <w:bookmarkStart w:id="171" w:name="_Toc71178543"/>
      <w:r>
        <w:rPr>
          <w:rFonts w:hint="default" w:ascii="Times New Roman" w:hAnsi="Times New Roman" w:eastAsia="宋体" w:cs="Times New Roman"/>
          <w:color w:val="auto"/>
          <w:sz w:val="36"/>
          <w:szCs w:val="36"/>
          <w:lang w:val="en-US" w:eastAsia="zh-CN"/>
        </w:rPr>
        <w:t xml:space="preserve">第四章 </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hint="default" w:ascii="Times New Roman" w:hAnsi="Times New Roman" w:eastAsia="宋体" w:cs="Times New Roman"/>
          <w:color w:val="auto"/>
          <w:sz w:val="36"/>
          <w:szCs w:val="36"/>
          <w:lang w:val="en-US" w:eastAsia="zh-CN"/>
        </w:rPr>
        <w:t>竞争性磋商响应文件格式</w:t>
      </w:r>
      <w:bookmarkEnd w:id="169"/>
      <w:bookmarkEnd w:id="170"/>
      <w:bookmarkEnd w:id="171"/>
    </w:p>
    <w:p>
      <w:pPr>
        <w:tabs>
          <w:tab w:val="left" w:pos="1950"/>
        </w:tabs>
        <w:jc w:val="center"/>
        <w:rPr>
          <w:rFonts w:hint="default" w:ascii="Times New Roman" w:hAnsi="Times New Roman" w:eastAsia="宋体" w:cs="Times New Roman"/>
          <w:b/>
          <w:color w:val="auto"/>
          <w:sz w:val="32"/>
          <w:szCs w:val="32"/>
          <w:lang w:val="en-US" w:eastAsia="zh-CN"/>
        </w:rPr>
      </w:pPr>
      <w:r>
        <w:rPr>
          <w:rFonts w:hint="default" w:ascii="Times New Roman" w:hAnsi="Times New Roman" w:eastAsia="宋体" w:cs="Times New Roman"/>
          <w:b/>
          <w:color w:val="auto"/>
          <w:sz w:val="56"/>
          <w:szCs w:val="56"/>
          <w:lang w:val="en-US" w:eastAsia="zh-CN"/>
        </w:rPr>
        <w:t xml:space="preserve"> 河南省文物考古研究院2024年度安保服务招标采购项目 </w:t>
      </w: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jc w:val="center"/>
        <w:rPr>
          <w:rFonts w:hint="default" w:ascii="Times New Roman" w:hAnsi="Times New Roman" w:eastAsia="宋体" w:cs="Times New Roman"/>
          <w:b/>
          <w:bCs/>
          <w:color w:val="auto"/>
          <w:sz w:val="90"/>
          <w:szCs w:val="90"/>
          <w:lang w:eastAsia="zh-CN"/>
        </w:rPr>
      </w:pPr>
      <w:r>
        <w:rPr>
          <w:rFonts w:hint="default" w:ascii="Times New Roman" w:hAnsi="Times New Roman" w:eastAsia="宋体" w:cs="Times New Roman"/>
          <w:b/>
          <w:color w:val="auto"/>
          <w:sz w:val="90"/>
          <w:szCs w:val="90"/>
          <w:lang w:eastAsia="zh-CN"/>
        </w:rPr>
        <w:t>竞争性磋商响应文件</w:t>
      </w:r>
    </w:p>
    <w:p>
      <w:pPr>
        <w:widowControl w:val="0"/>
        <w:tabs>
          <w:tab w:val="left" w:pos="1950"/>
        </w:tabs>
        <w:jc w:val="center"/>
        <w:rPr>
          <w:rFonts w:hint="default" w:ascii="Times New Roman" w:hAnsi="Times New Roman" w:eastAsia="宋体" w:cs="Times New Roman"/>
          <w:b/>
          <w:color w:val="auto"/>
          <w:sz w:val="36"/>
          <w:szCs w:val="36"/>
          <w:lang w:eastAsia="zh-CN"/>
        </w:rPr>
      </w:pPr>
    </w:p>
    <w:p>
      <w:pPr>
        <w:widowControl w:val="0"/>
        <w:tabs>
          <w:tab w:val="left" w:pos="1950"/>
        </w:tabs>
        <w:jc w:val="center"/>
        <w:rPr>
          <w:rFonts w:hint="default" w:ascii="Times New Roman" w:hAnsi="Times New Roman" w:eastAsia="宋体" w:cs="Times New Roman"/>
          <w:b/>
          <w:color w:val="auto"/>
          <w:spacing w:val="20"/>
          <w:w w:val="150"/>
          <w:sz w:val="36"/>
          <w:szCs w:val="52"/>
          <w:lang w:val="en-US"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US" w:eastAsia="zh-CN"/>
        </w:rPr>
        <w:t xml:space="preserve">  豫财磋商采购-2023-1338  </w:t>
      </w: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pPr>
        <w:pStyle w:val="218"/>
        <w:rPr>
          <w:rFonts w:ascii="Times New Roman" w:hAnsi="Times New Roman" w:cs="Times New Roman"/>
        </w:rPr>
      </w:pPr>
    </w:p>
    <w:p>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供应商（企业电子签章）：</w:t>
      </w:r>
    </w:p>
    <w:p>
      <w:pPr>
        <w:pStyle w:val="156"/>
        <w:ind w:firstLine="0"/>
        <w:rPr>
          <w:rFonts w:hint="default" w:ascii="Times New Roman" w:hAnsi="Times New Roman" w:eastAsia="宋体" w:cs="Times New Roman"/>
          <w:color w:val="auto"/>
          <w:sz w:val="36"/>
          <w:szCs w:val="36"/>
          <w:lang w:val="en-US" w:eastAsia="zh-CN"/>
        </w:rPr>
      </w:pPr>
    </w:p>
    <w:p>
      <w:pPr>
        <w:pStyle w:val="156"/>
        <w:ind w:firstLine="0"/>
        <w:rPr>
          <w:rFonts w:hint="default" w:ascii="Times New Roman" w:hAnsi="Times New Roman" w:eastAsia="宋体" w:cs="Times New Roman"/>
          <w:color w:val="auto"/>
          <w:lang w:eastAsia="zh-CN"/>
        </w:rPr>
      </w:pPr>
    </w:p>
    <w:p>
      <w:pPr>
        <w:pStyle w:val="204"/>
        <w:spacing w:line="360" w:lineRule="auto"/>
        <w:jc w:val="center"/>
        <w:rPr>
          <w:rFonts w:ascii="Times New Roman" w:hAnsi="Times New Roman" w:eastAsia="仿宋_GB2312" w:cs="Times New Roman"/>
          <w:b/>
          <w:bCs/>
          <w:color w:val="auto"/>
          <w:sz w:val="44"/>
          <w:szCs w:val="44"/>
        </w:rPr>
      </w:pPr>
      <w:r>
        <w:rPr>
          <w:rFonts w:ascii="Times New Roman" w:hAnsi="Times New Roman" w:cs="Times New Roman"/>
          <w:color w:val="auto"/>
          <w:sz w:val="28"/>
          <w:szCs w:val="28"/>
        </w:rPr>
        <w:br w:type="page"/>
      </w:r>
      <w:r>
        <w:rPr>
          <w:rFonts w:ascii="Times New Roman" w:hAnsi="Times New Roman" w:eastAsia="仿宋_GB2312" w:cs="Times New Roman"/>
          <w:b/>
          <w:bCs/>
          <w:color w:val="auto"/>
          <w:sz w:val="44"/>
          <w:szCs w:val="44"/>
        </w:rPr>
        <w:t>目  录</w:t>
      </w:r>
    </w:p>
    <w:p>
      <w:pPr>
        <w:tabs>
          <w:tab w:val="left" w:pos="5580"/>
        </w:tabs>
        <w:spacing w:line="440" w:lineRule="exact"/>
        <w:rPr>
          <w:rFonts w:hint="default" w:ascii="Times New Roman" w:hAnsi="Times New Roman" w:eastAsia="仿宋_GB2312" w:cs="Times New Roman"/>
          <w:color w:val="auto"/>
          <w:sz w:val="28"/>
          <w:szCs w:val="28"/>
          <w:lang w:val="en-US" w:eastAsia="zh-CN"/>
        </w:rPr>
      </w:pPr>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eastAsia="zh-CN"/>
        </w:rPr>
        <w:t>一、法人或者非法人组织的营业执照等证明文件或自然人的身份证明</w:t>
      </w:r>
      <w:bookmarkStart w:id="172" w:name="_Toc835682095_WPSOffice_Level3"/>
      <w:bookmarkStart w:id="173" w:name="_Toc371659587_WPSOffice_Level3"/>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172"/>
      <w:bookmarkEnd w:id="173"/>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4" w:name="_Toc1104501183_WPSOffice_Level3"/>
      <w:bookmarkStart w:id="175" w:name="_Toc1150235750_WPSOffice_Level3"/>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174"/>
      <w:bookmarkEnd w:id="175"/>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6" w:name="_Toc281235268_WPSOffice_Level3"/>
      <w:bookmarkStart w:id="177" w:name="_Toc2065680076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176"/>
      <w:bookmarkEnd w:id="177"/>
      <w:r>
        <w:rPr>
          <w:rFonts w:hint="default" w:ascii="Times New Roman" w:hAnsi="Times New Roman" w:eastAsia="仿宋_GB2312" w:cs="Times New Roman"/>
          <w:color w:val="auto"/>
          <w:kern w:val="0"/>
          <w:sz w:val="28"/>
          <w:szCs w:val="28"/>
          <w:lang w:eastAsia="zh-CN"/>
        </w:rPr>
        <w:t>声明</w:t>
      </w:r>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8" w:name="_Toc765241243_WPSOffice_Level3"/>
      <w:bookmarkStart w:id="179" w:name="_Toc568308316_WPSOffice_Level3"/>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具有履行合同所必需的设备和专业技术能力</w:t>
      </w:r>
      <w:bookmarkEnd w:id="178"/>
      <w:bookmarkEnd w:id="179"/>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80" w:name="_Toc141596040_WPSOffice_Level3"/>
      <w:bookmarkStart w:id="181" w:name="_Toc2005223374_WPSOffice_Level3"/>
      <w:r>
        <w:rPr>
          <w:rFonts w:hint="default" w:ascii="Times New Roman" w:hAnsi="Times New Roman" w:eastAsia="仿宋_GB2312" w:cs="Times New Roman"/>
          <w:color w:val="auto"/>
          <w:kern w:val="0"/>
          <w:sz w:val="28"/>
          <w:szCs w:val="28"/>
          <w:lang w:val="en-US" w:eastAsia="zh-CN"/>
        </w:rPr>
        <w:t>六、</w:t>
      </w:r>
      <w:r>
        <w:rPr>
          <w:rFonts w:hint="default" w:ascii="Times New Roman" w:hAnsi="Times New Roman" w:eastAsia="仿宋_GB2312" w:cs="Times New Roman"/>
          <w:color w:val="auto"/>
          <w:kern w:val="0"/>
          <w:sz w:val="28"/>
          <w:szCs w:val="28"/>
          <w:lang w:eastAsia="zh-CN"/>
        </w:rPr>
        <w:t>其他资格证明文件</w:t>
      </w:r>
      <w:bookmarkEnd w:id="180"/>
      <w:bookmarkEnd w:id="181"/>
    </w:p>
    <w:p>
      <w:pPr>
        <w:pStyle w:val="204"/>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七、磋商响应函</w:t>
      </w:r>
    </w:p>
    <w:p>
      <w:pPr>
        <w:pStyle w:val="204"/>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八、法定代表人身份证明书</w:t>
      </w:r>
    </w:p>
    <w:p>
      <w:pPr>
        <w:pStyle w:val="204"/>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九、磋商响应报价表格</w:t>
      </w:r>
    </w:p>
    <w:p>
      <w:pPr>
        <w:pStyle w:val="204"/>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1</w:t>
      </w:r>
      <w:r>
        <w:rPr>
          <w:rFonts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lang w:val="zh-TW"/>
        </w:rPr>
        <w:t>磋商响应主要内容汇总表</w:t>
      </w:r>
    </w:p>
    <w:p>
      <w:pPr>
        <w:pStyle w:val="204"/>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 xml:space="preserve">2. </w:t>
      </w:r>
      <w:r>
        <w:rPr>
          <w:rFonts w:ascii="Times New Roman" w:hAnsi="Times New Roman" w:eastAsia="仿宋_GB2312" w:cs="Times New Roman"/>
          <w:color w:val="auto"/>
          <w:sz w:val="28"/>
          <w:szCs w:val="28"/>
          <w:lang w:val="zh-TW"/>
        </w:rPr>
        <w:t>磋商响应分项报价表</w:t>
      </w:r>
    </w:p>
    <w:p>
      <w:pPr>
        <w:pStyle w:val="204"/>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十、综合证明文件</w:t>
      </w:r>
    </w:p>
    <w:p>
      <w:pPr>
        <w:pStyle w:val="204"/>
        <w:spacing w:line="44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十一、企业声明函</w:t>
      </w:r>
    </w:p>
    <w:p>
      <w:pPr>
        <w:pStyle w:val="204"/>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十二、供应商关联单位的说明</w:t>
      </w:r>
    </w:p>
    <w:p>
      <w:pPr>
        <w:pStyle w:val="204"/>
        <w:spacing w:line="44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十三、服务方案</w:t>
      </w:r>
    </w:p>
    <w:p>
      <w:pPr>
        <w:pStyle w:val="204"/>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十四、</w:t>
      </w:r>
      <w:r>
        <w:rPr>
          <w:rFonts w:ascii="Times New Roman" w:hAnsi="Times New Roman" w:eastAsia="仿宋_GB2312" w:cs="Times New Roman"/>
          <w:color w:val="auto"/>
          <w:sz w:val="28"/>
          <w:szCs w:val="28"/>
          <w:lang w:val="zh-TW"/>
        </w:rPr>
        <w:t>其他文件</w:t>
      </w:r>
    </w:p>
    <w:p>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pPr>
        <w:jc w:val="left"/>
        <w:rPr>
          <w:rFonts w:hint="default" w:ascii="Times New Roman" w:hAnsi="Times New Roman" w:eastAsia="宋体" w:cs="Times New Roman"/>
          <w:color w:val="auto"/>
          <w:sz w:val="28"/>
          <w:szCs w:val="28"/>
          <w:lang w:eastAsia="zh-CN"/>
        </w:rPr>
      </w:pPr>
      <w:bookmarkStart w:id="182" w:name="_Toc740001715"/>
      <w:bookmarkStart w:id="183" w:name="_Toc1666758381"/>
      <w:bookmarkStart w:id="184" w:name="_Toc442868323"/>
      <w:bookmarkStart w:id="185" w:name="_Toc1892257381_WPSOffice_Level3"/>
      <w:r>
        <w:rPr>
          <w:rFonts w:hint="default" w:ascii="Times New Roman" w:hAnsi="Times New Roman" w:eastAsia="黑体" w:cs="Times New Roman"/>
          <w:b/>
          <w:bCs/>
          <w:color w:val="auto"/>
          <w:sz w:val="28"/>
          <w:szCs w:val="28"/>
          <w:lang w:eastAsia="zh-CN"/>
        </w:rPr>
        <w:br w:type="page"/>
      </w:r>
      <w:bookmarkEnd w:id="182"/>
      <w:bookmarkEnd w:id="183"/>
      <w:bookmarkEnd w:id="184"/>
      <w:bookmarkEnd w:id="185"/>
    </w:p>
    <w:p>
      <w:pPr>
        <w:pStyle w:val="2"/>
        <w:spacing w:before="0" w:after="0" w:line="360" w:lineRule="auto"/>
        <w:jc w:val="center"/>
        <w:rPr>
          <w:rFonts w:hint="default" w:ascii="Times New Roman" w:hAnsi="Times New Roman" w:eastAsia="黑体"/>
          <w:b w:val="0"/>
          <w:bCs w:val="0"/>
          <w:color w:val="auto"/>
          <w:sz w:val="28"/>
          <w:szCs w:val="28"/>
          <w:lang w:eastAsia="zh-CN"/>
        </w:rPr>
      </w:pPr>
      <w:bookmarkStart w:id="186" w:name="_Toc1727898814"/>
      <w:bookmarkStart w:id="187" w:name="_Toc262140077"/>
      <w:bookmarkStart w:id="188" w:name="_Toc1793820901_WPSOffice_Level3"/>
      <w:bookmarkStart w:id="189" w:name="_Toc730361247"/>
      <w:bookmarkStart w:id="190" w:name="_Toc1876865389"/>
      <w:bookmarkStart w:id="191" w:name="_Toc1274130635"/>
      <w:bookmarkStart w:id="192" w:name="_Toc831756679"/>
      <w:bookmarkStart w:id="193" w:name="_Toc1950934252"/>
      <w:bookmarkStart w:id="194" w:name="_Toc1480748811"/>
      <w:bookmarkStart w:id="195" w:name="_Toc1541909372_WPSOffice_Level3"/>
      <w:bookmarkStart w:id="196" w:name="_Toc1970836454"/>
      <w:r>
        <w:rPr>
          <w:rFonts w:hint="default" w:ascii="Times New Roman" w:hAnsi="Times New Roman" w:eastAsia="黑体"/>
          <w:b w:val="0"/>
          <w:bCs w:val="0"/>
          <w:color w:val="auto"/>
          <w:sz w:val="28"/>
          <w:szCs w:val="28"/>
          <w:lang w:val="en-US" w:eastAsia="zh-CN"/>
        </w:rPr>
        <w:t>一、</w:t>
      </w:r>
      <w:r>
        <w:rPr>
          <w:rFonts w:hint="default" w:ascii="Times New Roman" w:hAnsi="Times New Roman" w:eastAsia="黑体"/>
          <w:b w:val="0"/>
          <w:bCs w:val="0"/>
          <w:color w:val="auto"/>
          <w:sz w:val="28"/>
          <w:szCs w:val="28"/>
          <w:lang w:eastAsia="zh-CN"/>
        </w:rPr>
        <w:t>法人或者非法人组织的营业执照等证明文件或自然人的身份证明</w:t>
      </w:r>
      <w:bookmarkEnd w:id="186"/>
      <w:bookmarkEnd w:id="187"/>
      <w:bookmarkEnd w:id="188"/>
      <w:bookmarkEnd w:id="189"/>
      <w:bookmarkEnd w:id="190"/>
      <w:bookmarkEnd w:id="191"/>
      <w:bookmarkEnd w:id="192"/>
      <w:bookmarkEnd w:id="193"/>
      <w:bookmarkEnd w:id="194"/>
      <w:bookmarkEnd w:id="195"/>
      <w:bookmarkEnd w:id="196"/>
    </w:p>
    <w:p>
      <w:pPr>
        <w:rPr>
          <w:rFonts w:hint="default" w:ascii="Times New Roman" w:hAnsi="Times New Roman" w:cs="Times New Roman"/>
          <w:lang w:eastAsia="zh-CN"/>
        </w:rPr>
      </w:pPr>
    </w:p>
    <w:p>
      <w:pPr>
        <w:pStyle w:val="204"/>
        <w:tabs>
          <w:tab w:val="left" w:pos="5580"/>
        </w:tabs>
        <w:spacing w:line="360" w:lineRule="auto"/>
        <w:ind w:left="540" w:firstLine="480"/>
        <w:jc w:val="center"/>
        <w:rPr>
          <w:rFonts w:ascii="Times New Roman" w:hAnsi="Times New Roman" w:cs="Times New Roman"/>
          <w:b/>
          <w:bCs/>
          <w:color w:val="auto"/>
          <w:sz w:val="24"/>
          <w:szCs w:val="24"/>
        </w:rPr>
      </w:pPr>
    </w:p>
    <w:p>
      <w:pPr>
        <w:pStyle w:val="204"/>
        <w:tabs>
          <w:tab w:val="left" w:pos="5580"/>
        </w:tabs>
        <w:spacing w:line="360" w:lineRule="auto"/>
        <w:ind w:left="540" w:firstLine="480"/>
        <w:rPr>
          <w:rFonts w:ascii="Times New Roman" w:hAnsi="Times New Roman" w:cs="Times New Roman"/>
          <w:b/>
          <w:bCs/>
          <w:color w:val="auto"/>
          <w:sz w:val="24"/>
          <w:szCs w:val="24"/>
        </w:rPr>
      </w:pPr>
    </w:p>
    <w:p>
      <w:pPr>
        <w:pStyle w:val="204"/>
        <w:tabs>
          <w:tab w:val="left" w:pos="5580"/>
        </w:tabs>
        <w:spacing w:line="360" w:lineRule="auto"/>
        <w:ind w:left="540" w:firstLine="480"/>
        <w:rPr>
          <w:rFonts w:ascii="Times New Roman" w:hAnsi="Times New Roman" w:cs="Times New Roman"/>
          <w:b/>
          <w:bCs/>
          <w:color w:val="auto"/>
          <w:sz w:val="24"/>
          <w:szCs w:val="24"/>
        </w:rPr>
      </w:pPr>
    </w:p>
    <w:p>
      <w:pPr>
        <w:pStyle w:val="204"/>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说明：</w:t>
      </w: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提供有效的营业执照等证明文件原件或复印件的扫描件。</w:t>
      </w:r>
    </w:p>
    <w:p>
      <w:pPr>
        <w:pStyle w:val="204"/>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197" w:name="_Toc2081420463_WPSOffice_Level3"/>
      <w:bookmarkStart w:id="198" w:name="_Toc67715126_WPSOffice_Level3"/>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供应商为自然人的，应提供身份证明原件或复印件的扫描件。</w:t>
      </w:r>
      <w:bookmarkEnd w:id="197"/>
      <w:bookmarkEnd w:id="198"/>
    </w:p>
    <w:p>
      <w:pPr>
        <w:pStyle w:val="204"/>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199" w:name="_Toc1215272460_WPSOffice_Level3"/>
      <w:bookmarkStart w:id="200" w:name="_Toc781251951_WPSOffice_Level3"/>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联合体磋商应提供联合体各方满足以上要求的证明文件。</w:t>
      </w:r>
      <w:bookmarkEnd w:id="199"/>
      <w:bookmarkEnd w:id="200"/>
    </w:p>
    <w:p>
      <w:pPr>
        <w:pStyle w:val="204"/>
        <w:tabs>
          <w:tab w:val="left" w:pos="5580"/>
        </w:tabs>
        <w:spacing w:line="360" w:lineRule="auto"/>
        <w:rPr>
          <w:rFonts w:ascii="Times New Roman" w:hAnsi="Times New Roman" w:eastAsia="仿宋_GB2312" w:cs="Times New Roman"/>
          <w:color w:val="auto"/>
          <w:sz w:val="28"/>
          <w:szCs w:val="28"/>
        </w:rPr>
      </w:pPr>
    </w:p>
    <w:p>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201" w:name="_Toc456633459_WPSOffice_Level3"/>
      <w:bookmarkStart w:id="202" w:name="_Toc1557063548"/>
      <w:bookmarkStart w:id="203" w:name="_Toc868984799"/>
      <w:bookmarkStart w:id="204" w:name="_Toc1319467764"/>
      <w:bookmarkStart w:id="205" w:name="_Toc1215314597"/>
    </w:p>
    <w:p>
      <w:pPr>
        <w:pStyle w:val="2"/>
        <w:spacing w:before="0" w:after="0" w:line="360" w:lineRule="auto"/>
        <w:jc w:val="center"/>
        <w:rPr>
          <w:rFonts w:hint="default" w:ascii="Times New Roman" w:hAnsi="Times New Roman" w:eastAsia="黑体"/>
          <w:b w:val="0"/>
          <w:bCs w:val="0"/>
          <w:color w:val="auto"/>
          <w:sz w:val="28"/>
          <w:szCs w:val="28"/>
          <w:lang w:val="en-US" w:eastAsia="zh-CN"/>
        </w:rPr>
      </w:pPr>
      <w:bookmarkStart w:id="206" w:name="_Toc1521751422"/>
      <w:bookmarkStart w:id="207" w:name="_Toc86417259"/>
      <w:bookmarkStart w:id="208" w:name="_Toc937091873"/>
      <w:bookmarkStart w:id="209" w:name="_Toc1494493586"/>
      <w:bookmarkStart w:id="210" w:name="_Toc574791252"/>
      <w:r>
        <w:rPr>
          <w:rFonts w:hint="default" w:ascii="Times New Roman" w:hAnsi="Times New Roman" w:eastAsia="黑体"/>
          <w:b w:val="0"/>
          <w:bCs w:val="0"/>
          <w:color w:val="auto"/>
          <w:sz w:val="28"/>
          <w:szCs w:val="28"/>
          <w:lang w:val="en-US" w:eastAsia="zh-CN"/>
        </w:rPr>
        <w:t>二、具有良好的商业信誉和健全的财务会计制度</w:t>
      </w:r>
      <w:bookmarkEnd w:id="201"/>
      <w:bookmarkEnd w:id="202"/>
      <w:bookmarkEnd w:id="203"/>
      <w:bookmarkEnd w:id="204"/>
      <w:bookmarkEnd w:id="205"/>
      <w:bookmarkEnd w:id="206"/>
      <w:bookmarkEnd w:id="207"/>
      <w:bookmarkEnd w:id="208"/>
      <w:bookmarkEnd w:id="209"/>
      <w:bookmarkEnd w:id="210"/>
    </w:p>
    <w:p>
      <w:pPr>
        <w:spacing w:line="360" w:lineRule="auto"/>
        <w:jc w:val="center"/>
        <w:rPr>
          <w:rFonts w:hint="default" w:ascii="Times New Roman" w:hAnsi="Times New Roman" w:eastAsia="宋体" w:cs="Times New Roman"/>
          <w:color w:val="auto"/>
          <w:sz w:val="28"/>
          <w:szCs w:val="28"/>
          <w:lang w:eastAsia="zh-CN"/>
        </w:rPr>
      </w:pPr>
    </w:p>
    <w:p>
      <w:pPr>
        <w:rPr>
          <w:rFonts w:hint="default" w:ascii="Times New Roman" w:hAnsi="Times New Roman" w:cs="Times New Roman"/>
          <w:lang w:eastAsia="zh-CN"/>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1.提供供应商</w:t>
      </w:r>
      <w:r>
        <w:rPr>
          <w:rFonts w:ascii="Times New Roman" w:hAnsi="Times New Roman" w:eastAsia="仿宋_GB2312" w:cs="Times New Roman"/>
          <w:color w:val="auto"/>
          <w:sz w:val="28"/>
          <w:szCs w:val="28"/>
          <w:lang w:val="en-US" w:eastAsia="zh-CN"/>
        </w:rPr>
        <w:t>2022年</w:t>
      </w:r>
      <w:r>
        <w:rPr>
          <w:rFonts w:hint="default" w:ascii="Times New Roman" w:hAnsi="Times New Roman" w:eastAsia="仿宋_GB2312" w:cs="Times New Roman"/>
          <w:color w:val="auto"/>
          <w:sz w:val="28"/>
          <w:szCs w:val="28"/>
          <w:lang w:val="en-US" w:eastAsia="zh-CN"/>
        </w:rPr>
        <w:t>财务审计报告，要求注册会计师签字并加盖会计师印章；</w:t>
      </w:r>
      <w:r>
        <w:rPr>
          <w:rFonts w:hint="default" w:ascii="Times New Roman" w:hAnsi="Times New Roman" w:eastAsia="仿宋_GB2312" w:cs="Times New Roman"/>
          <w:sz w:val="28"/>
          <w:szCs w:val="28"/>
          <w:lang w:val="en-US" w:eastAsia="zh-CN"/>
        </w:rPr>
        <w:t>截止到响应文件开启时间，供应商成立时间不足要求时限的，可提供银行资信证明材料</w:t>
      </w:r>
      <w:r>
        <w:rPr>
          <w:rFonts w:hint="default" w:ascii="Times New Roman" w:hAnsi="Times New Roman" w:eastAsia="仿宋_GB2312" w:cs="Times New Roman"/>
          <w:color w:val="auto"/>
          <w:sz w:val="28"/>
          <w:szCs w:val="28"/>
          <w:lang w:val="en-US" w:eastAsia="zh-CN"/>
        </w:rPr>
        <w:t>。</w:t>
      </w:r>
    </w:p>
    <w:p>
      <w:pPr>
        <w:pStyle w:val="2"/>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4"/>
          <w:szCs w:val="24"/>
          <w:lang w:eastAsia="zh-CN"/>
        </w:rPr>
        <w:br w:type="page"/>
      </w:r>
      <w:bookmarkStart w:id="211" w:name="_Toc1968479748"/>
      <w:bookmarkStart w:id="212" w:name="_Toc1998858666"/>
      <w:bookmarkStart w:id="213" w:name="_Toc1030212309"/>
      <w:bookmarkStart w:id="214" w:name="_Toc1079740645"/>
      <w:bookmarkStart w:id="215" w:name="_Toc1125237527"/>
      <w:bookmarkStart w:id="216" w:name="_Toc224741966"/>
      <w:bookmarkStart w:id="217" w:name="_Toc436443482"/>
      <w:bookmarkStart w:id="218" w:name="_Toc942688044_WPSOffice_Level3"/>
      <w:bookmarkStart w:id="219" w:name="_Toc1656782056"/>
      <w:bookmarkStart w:id="220" w:name="_Toc840223094"/>
      <w:bookmarkStart w:id="221" w:name="_Toc2082821673"/>
      <w:r>
        <w:rPr>
          <w:rFonts w:hint="default" w:ascii="Times New Roman" w:hAnsi="Times New Roman" w:eastAsia="黑体"/>
          <w:b w:val="0"/>
          <w:bCs w:val="0"/>
          <w:color w:val="auto"/>
          <w:sz w:val="28"/>
          <w:szCs w:val="28"/>
          <w:lang w:val="en-US" w:eastAsia="zh-CN"/>
        </w:rPr>
        <w:t>三、依法</w:t>
      </w:r>
      <w:bookmarkEnd w:id="211"/>
      <w:r>
        <w:rPr>
          <w:rFonts w:hint="default" w:ascii="Times New Roman" w:hAnsi="Times New Roman" w:eastAsia="黑体"/>
          <w:b w:val="0"/>
          <w:bCs w:val="0"/>
          <w:color w:val="auto"/>
          <w:sz w:val="28"/>
          <w:szCs w:val="28"/>
          <w:lang w:val="en-US" w:eastAsia="zh-CN"/>
        </w:rPr>
        <w:t>缴纳税收和社会保障资金的良好记录</w:t>
      </w:r>
      <w:bookmarkEnd w:id="212"/>
      <w:bookmarkEnd w:id="213"/>
      <w:bookmarkEnd w:id="214"/>
      <w:bookmarkEnd w:id="215"/>
      <w:bookmarkEnd w:id="216"/>
      <w:bookmarkEnd w:id="217"/>
      <w:bookmarkEnd w:id="218"/>
      <w:bookmarkEnd w:id="219"/>
      <w:bookmarkEnd w:id="220"/>
      <w:bookmarkEnd w:id="221"/>
    </w:p>
    <w:p>
      <w:pPr>
        <w:pStyle w:val="204"/>
        <w:tabs>
          <w:tab w:val="left" w:pos="5580"/>
        </w:tabs>
        <w:spacing w:line="360" w:lineRule="auto"/>
        <w:ind w:left="1080" w:hanging="540"/>
        <w:jc w:val="center"/>
        <w:rPr>
          <w:rFonts w:ascii="Times New Roman" w:hAnsi="Times New Roman" w:cs="Times New Roman"/>
          <w:b/>
          <w:bCs/>
          <w:color w:val="auto"/>
          <w:sz w:val="24"/>
          <w:szCs w:val="24"/>
        </w:rPr>
      </w:pPr>
    </w:p>
    <w:p>
      <w:pPr>
        <w:pStyle w:val="204"/>
        <w:tabs>
          <w:tab w:val="left" w:pos="5580"/>
        </w:tabs>
        <w:spacing w:line="360" w:lineRule="auto"/>
        <w:ind w:left="840"/>
        <w:rPr>
          <w:rFonts w:ascii="Times New Roman" w:hAnsi="Times New Roman" w:cs="Times New Roman"/>
          <w:b/>
          <w:bCs/>
          <w:color w:val="auto"/>
          <w:sz w:val="24"/>
          <w:szCs w:val="24"/>
        </w:rPr>
      </w:pPr>
    </w:p>
    <w:p>
      <w:pPr>
        <w:pStyle w:val="204"/>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1.</w:t>
      </w:r>
      <w:r>
        <w:rPr>
          <w:rFonts w:hint="default" w:ascii="Times New Roman" w:hAnsi="Times New Roman" w:eastAsia="仿宋_GB2312" w:cs="Times New Roman"/>
          <w:color w:val="auto"/>
          <w:kern w:val="0"/>
          <w:sz w:val="28"/>
          <w:szCs w:val="28"/>
          <w:lang w:eastAsia="zh-CN"/>
        </w:rPr>
        <w:t>供应商</w:t>
      </w:r>
      <w:r>
        <w:rPr>
          <w:rFonts w:hint="default" w:ascii="Times New Roman" w:hAnsi="Times New Roman" w:eastAsia="仿宋_GB2312" w:cs="Times New Roman"/>
          <w:color w:val="auto"/>
          <w:sz w:val="28"/>
          <w:szCs w:val="28"/>
          <w:lang w:val="en-US" w:eastAsia="zh-CN"/>
        </w:rPr>
        <w:t>提供自2023年1月1日以来至少一个月的纳税证明和社保缴纳证明，依法免税或不需要缴纳社会保障资金的，应提供相应文件证明其依法免税或不需要缴纳。</w:t>
      </w:r>
    </w:p>
    <w:p>
      <w:pPr>
        <w:tabs>
          <w:tab w:val="left" w:pos="5580"/>
        </w:tabs>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2.如果是联合体磋商，联合体各方均需提供相关材料。</w:t>
      </w:r>
    </w:p>
    <w:p>
      <w:pPr>
        <w:pStyle w:val="204"/>
        <w:tabs>
          <w:tab w:val="left" w:pos="5580"/>
        </w:tabs>
        <w:spacing w:line="360" w:lineRule="auto"/>
        <w:ind w:left="840"/>
        <w:rPr>
          <w:rFonts w:ascii="Times New Roman" w:hAnsi="Times New Roman" w:cs="Times New Roman"/>
          <w:color w:val="auto"/>
          <w:sz w:val="24"/>
          <w:szCs w:val="24"/>
        </w:rPr>
      </w:pPr>
    </w:p>
    <w:p>
      <w:pPr>
        <w:pStyle w:val="2"/>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8"/>
          <w:szCs w:val="28"/>
          <w:lang w:eastAsia="zh-CN"/>
        </w:rPr>
        <w:br w:type="page"/>
      </w:r>
      <w:bookmarkStart w:id="222" w:name="_Toc1989881438"/>
      <w:bookmarkStart w:id="223" w:name="_Toc1625950936"/>
      <w:bookmarkStart w:id="224" w:name="_Toc897167010_WPSOffice_Level3"/>
      <w:bookmarkStart w:id="225" w:name="_Toc2058865505"/>
      <w:bookmarkStart w:id="226" w:name="_Toc2139213640"/>
      <w:bookmarkStart w:id="227" w:name="_Toc1835514155"/>
      <w:bookmarkStart w:id="228" w:name="_Toc288533216"/>
      <w:bookmarkStart w:id="229" w:name="_Toc242026376"/>
      <w:bookmarkStart w:id="230" w:name="_Toc2070828746"/>
      <w:bookmarkStart w:id="231" w:name="_Toc1206650936"/>
      <w:bookmarkStart w:id="232" w:name="_Toc289243999"/>
      <w:r>
        <w:rPr>
          <w:rFonts w:hint="default" w:ascii="Times New Roman" w:hAnsi="Times New Roman" w:eastAsia="黑体"/>
          <w:b w:val="0"/>
          <w:bCs w:val="0"/>
          <w:color w:val="auto"/>
          <w:sz w:val="28"/>
          <w:szCs w:val="28"/>
          <w:lang w:val="en-US" w:eastAsia="zh-CN"/>
        </w:rPr>
        <w:t>四、参加政府采购活动前3年内在经营活动中没有重大违法记录的</w:t>
      </w:r>
      <w:bookmarkEnd w:id="222"/>
      <w:bookmarkEnd w:id="223"/>
      <w:bookmarkEnd w:id="224"/>
      <w:bookmarkEnd w:id="225"/>
      <w:bookmarkEnd w:id="226"/>
      <w:bookmarkEnd w:id="227"/>
      <w:r>
        <w:rPr>
          <w:rFonts w:hint="default" w:ascii="Times New Roman" w:hAnsi="Times New Roman" w:eastAsia="黑体"/>
          <w:b w:val="0"/>
          <w:bCs w:val="0"/>
          <w:color w:val="auto"/>
          <w:sz w:val="28"/>
          <w:szCs w:val="28"/>
          <w:lang w:val="en-US" w:eastAsia="zh-CN"/>
        </w:rPr>
        <w:t>声明</w:t>
      </w:r>
      <w:bookmarkEnd w:id="228"/>
      <w:bookmarkEnd w:id="229"/>
      <w:bookmarkEnd w:id="230"/>
      <w:bookmarkEnd w:id="231"/>
      <w:bookmarkEnd w:id="232"/>
    </w:p>
    <w:p>
      <w:pPr>
        <w:spacing w:line="360" w:lineRule="auto"/>
        <w:rPr>
          <w:rFonts w:hint="default" w:ascii="Times New Roman" w:hAnsi="Times New Roman" w:eastAsia="仿宋_GB2312" w:cs="Times New Roman"/>
          <w:sz w:val="28"/>
          <w:szCs w:val="28"/>
          <w:u w:val="single"/>
          <w:lang w:val="en-US" w:eastAsia="zh-CN"/>
        </w:rPr>
      </w:pPr>
      <w:bookmarkStart w:id="233" w:name="_Hlk103703179"/>
      <w:r>
        <w:rPr>
          <w:rFonts w:hint="default" w:ascii="Times New Roman" w:hAnsi="Times New Roman" w:eastAsia="仿宋_GB2312" w:cs="Times New Roman"/>
          <w:sz w:val="28"/>
          <w:szCs w:val="28"/>
          <w:lang w:eastAsia="zh-CN"/>
        </w:rPr>
        <w:t>致：</w:t>
      </w:r>
      <w:r>
        <w:rPr>
          <w:rFonts w:hint="default" w:ascii="Times New Roman" w:hAnsi="Times New Roman" w:eastAsia="仿宋_GB2312" w:cs="Times New Roman"/>
          <w:sz w:val="28"/>
          <w:szCs w:val="28"/>
          <w:u w:val="single"/>
          <w:lang w:val="en-US" w:eastAsia="zh-CN"/>
        </w:rPr>
        <w:t xml:space="preserve"> 河南省文物考古研究院</w:t>
      </w:r>
      <w:r>
        <w:rPr>
          <w:rFonts w:hint="default" w:ascii="Times New Roman" w:hAnsi="Times New Roman" w:eastAsia="仿宋_GB2312" w:cs="Times New Roman"/>
          <w:sz w:val="28"/>
          <w:szCs w:val="28"/>
          <w:u w:val="single"/>
          <w:lang w:eastAsia="zh-CN"/>
        </w:rPr>
        <w:t xml:space="preserve"> </w:t>
      </w:r>
    </w:p>
    <w:p>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我（单位/本人，以下统称我单位）自愿参加采购项目编号为</w:t>
      </w:r>
      <w:r>
        <w:rPr>
          <w:rFonts w:hint="default" w:ascii="Times New Roman" w:hAnsi="Times New Roman" w:eastAsia="仿宋_GB2312" w:cs="Times New Roman"/>
          <w:sz w:val="28"/>
          <w:szCs w:val="28"/>
          <w:u w:val="single"/>
          <w:lang w:val="en-US" w:eastAsia="zh-CN"/>
        </w:rPr>
        <w:t xml:space="preserve">  豫财磋商采购-2023-1338  </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u w:val="single"/>
          <w:lang w:val="en-US" w:eastAsia="zh-CN"/>
        </w:rPr>
        <w:t xml:space="preserve"> 河南省文物考古研究院2024年度安保服务招标采购项目 </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lang w:eastAsia="zh-CN"/>
        </w:rPr>
        <w:t>的</w:t>
      </w:r>
      <w:r>
        <w:rPr>
          <w:rFonts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lang w:eastAsia="zh-CN"/>
        </w:rPr>
        <w:t>,并做出如下承诺：</w:t>
      </w:r>
    </w:p>
    <w:bookmarkEnd w:id="233"/>
    <w:p>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我公司信誉良好，参加政府采购活动前</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sz w:val="28"/>
          <w:szCs w:val="28"/>
          <w:lang w:eastAsia="zh-CN"/>
        </w:rPr>
        <w:t>”网站（www.creditchina.gov.cn）未被列入失信被执行人、重大税收违法案件当事人名单；在 “中国政府采购网” （www.ccgp.gov.cn）未被列入政府采购严重违法失信行为记录名单。</w:t>
      </w:r>
    </w:p>
    <w:p>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pPr>
        <w:tabs>
          <w:tab w:val="left" w:pos="6300"/>
        </w:tabs>
        <w:snapToGrid w:val="0"/>
        <w:spacing w:line="360" w:lineRule="auto"/>
        <w:ind w:firstLine="277" w:firstLineChars="99"/>
        <w:rPr>
          <w:rFonts w:hint="default" w:ascii="Times New Roman" w:hAnsi="Times New Roman" w:eastAsia="仿宋_GB2312" w:cs="Times New Roman"/>
          <w:sz w:val="28"/>
          <w:szCs w:val="28"/>
          <w:lang w:eastAsia="zh-CN"/>
        </w:rPr>
      </w:pPr>
    </w:p>
    <w:p>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供应商（企业电子签章）：</w:t>
      </w:r>
    </w:p>
    <w:p>
      <w:pPr>
        <w:spacing w:line="360" w:lineRule="exact"/>
        <w:ind w:firstLine="420"/>
        <w:jc w:val="right"/>
        <w:rPr>
          <w:rFonts w:hint="default" w:ascii="Times New Roman" w:hAnsi="Times New Roman" w:eastAsia="仿宋_GB2312" w:cs="Times New Roman"/>
          <w:sz w:val="28"/>
          <w:szCs w:val="28"/>
          <w:lang w:eastAsia="zh-CN"/>
        </w:rPr>
      </w:pPr>
    </w:p>
    <w:p>
      <w:pPr>
        <w:spacing w:line="360" w:lineRule="auto"/>
        <w:ind w:firstLine="556"/>
        <w:jc w:val="right"/>
        <w:rPr>
          <w:rFonts w:hint="default" w:ascii="Times New Roman" w:hAnsi="Times New Roman" w:eastAsia="仿宋_GB2312" w:cs="Times New Roman"/>
          <w:sz w:val="28"/>
          <w:szCs w:val="28"/>
          <w:lang w:eastAsia="zh-CN"/>
        </w:rPr>
      </w:pPr>
    </w:p>
    <w:p>
      <w:pPr>
        <w:tabs>
          <w:tab w:val="left" w:pos="6300"/>
        </w:tabs>
        <w:snapToGrid w:val="0"/>
        <w:spacing w:line="360" w:lineRule="auto"/>
        <w:ind w:firstLine="277" w:firstLineChars="99"/>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日</w:t>
      </w:r>
    </w:p>
    <w:p>
      <w:pPr>
        <w:pStyle w:val="204"/>
        <w:tabs>
          <w:tab w:val="left" w:pos="5580"/>
        </w:tabs>
        <w:spacing w:line="360" w:lineRule="auto"/>
        <w:rPr>
          <w:rFonts w:ascii="Times New Roman" w:hAnsi="Times New Roman" w:cs="Times New Roman"/>
          <w:color w:val="auto"/>
          <w:sz w:val="24"/>
          <w:szCs w:val="24"/>
        </w:rPr>
      </w:pPr>
    </w:p>
    <w:p>
      <w:pPr>
        <w:pStyle w:val="204"/>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cs="Times New Roman"/>
          <w:color w:val="auto"/>
          <w:sz w:val="24"/>
          <w:szCs w:val="24"/>
        </w:rPr>
        <w:t xml:space="preserve">  </w:t>
      </w:r>
      <w:r>
        <w:rPr>
          <w:rFonts w:ascii="Times New Roman" w:hAnsi="Times New Roman" w:eastAsia="仿宋_GB2312" w:cs="Times New Roman"/>
          <w:color w:val="auto"/>
          <w:sz w:val="28"/>
          <w:szCs w:val="28"/>
          <w:lang w:val="zh-TW"/>
        </w:rPr>
        <w:t>说明：</w:t>
      </w:r>
    </w:p>
    <w:p>
      <w:pPr>
        <w:pStyle w:val="204"/>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1.</w:t>
      </w:r>
      <w:r>
        <w:rPr>
          <w:rFonts w:ascii="Times New Roman" w:hAnsi="Times New Roman" w:eastAsia="仿宋_GB2312" w:cs="Times New Roman"/>
          <w:color w:val="auto"/>
          <w:sz w:val="28"/>
          <w:szCs w:val="28"/>
          <w:lang w:val="zh-TW"/>
        </w:rPr>
        <w:t>供应商应按照相关法规规定如实做出说明。</w:t>
      </w:r>
    </w:p>
    <w:p>
      <w:pPr>
        <w:pStyle w:val="204"/>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2</w:t>
      </w:r>
      <w:r>
        <w:rPr>
          <w:rFonts w:ascii="Times New Roman" w:hAnsi="Times New Roman" w:eastAsia="仿宋_GB2312" w:cs="Times New Roman"/>
          <w:color w:val="auto"/>
          <w:sz w:val="28"/>
          <w:szCs w:val="28"/>
          <w:lang w:val="zh-TW"/>
        </w:rPr>
        <w:t>．按照</w:t>
      </w:r>
      <w:r>
        <w:rPr>
          <w:rFonts w:ascii="Times New Roman" w:hAnsi="Times New Roman" w:eastAsia="仿宋_GB2312" w:cs="Times New Roman"/>
          <w:color w:val="auto"/>
          <w:sz w:val="28"/>
          <w:szCs w:val="28"/>
        </w:rPr>
        <w:t>竞争性磋商文件</w:t>
      </w:r>
      <w:r>
        <w:rPr>
          <w:rFonts w:ascii="Times New Roman" w:hAnsi="Times New Roman" w:eastAsia="仿宋_GB2312" w:cs="Times New Roman"/>
          <w:color w:val="auto"/>
          <w:sz w:val="28"/>
          <w:szCs w:val="28"/>
          <w:lang w:val="zh-TW"/>
        </w:rPr>
        <w:t>的规定企业电子签章（自然人磋商响应的无需盖章，需要签字）。</w:t>
      </w:r>
    </w:p>
    <w:p>
      <w:pPr>
        <w:pStyle w:val="204"/>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 xml:space="preserve">  3.</w:t>
      </w:r>
      <w:r>
        <w:rPr>
          <w:rFonts w:ascii="Times New Roman" w:hAnsi="Times New Roman" w:eastAsia="仿宋_GB2312" w:cs="Times New Roman"/>
          <w:color w:val="auto"/>
          <w:sz w:val="28"/>
          <w:szCs w:val="28"/>
          <w:lang w:val="zh-TW"/>
        </w:rPr>
        <w:t>如果是联合体磋商，联合体各方均需提供上述证明。</w:t>
      </w:r>
    </w:p>
    <w:p>
      <w:pPr>
        <w:pStyle w:val="2"/>
        <w:jc w:val="center"/>
        <w:rPr>
          <w:rFonts w:hint="default" w:ascii="Times New Roman" w:hAnsi="Times New Roman" w:eastAsia="仿宋_GB2312"/>
          <w:color w:val="auto"/>
          <w:sz w:val="28"/>
          <w:szCs w:val="28"/>
          <w:lang w:val="en-US" w:eastAsia="zh-CN"/>
        </w:rPr>
      </w:pPr>
      <w:r>
        <w:rPr>
          <w:rFonts w:hint="default" w:ascii="Times New Roman" w:hAnsi="Times New Roman"/>
          <w:color w:val="auto"/>
          <w:sz w:val="24"/>
          <w:szCs w:val="24"/>
          <w:lang w:eastAsia="zh-CN"/>
        </w:rPr>
        <w:br w:type="page"/>
      </w:r>
      <w:bookmarkStart w:id="234" w:name="_Toc231434114"/>
      <w:bookmarkStart w:id="235" w:name="_Toc1152943509"/>
      <w:bookmarkStart w:id="236" w:name="_Toc642483276"/>
      <w:bookmarkStart w:id="237" w:name="_Toc937672964"/>
      <w:bookmarkStart w:id="238" w:name="_Toc1764692433"/>
      <w:bookmarkStart w:id="239" w:name="_Toc148345819_WPSOffice_Level3"/>
      <w:bookmarkStart w:id="240" w:name="_Toc408587608"/>
      <w:bookmarkStart w:id="241" w:name="_Toc883013156"/>
      <w:bookmarkStart w:id="242" w:name="_Toc29306536"/>
      <w:bookmarkStart w:id="243" w:name="_Toc634123008"/>
      <w:bookmarkStart w:id="244" w:name="_Toc173874035"/>
      <w:r>
        <w:rPr>
          <w:rFonts w:hint="default" w:ascii="Times New Roman" w:hAnsi="Times New Roman" w:eastAsia="黑体"/>
          <w:b w:val="0"/>
          <w:bCs w:val="0"/>
          <w:color w:val="auto"/>
          <w:sz w:val="28"/>
          <w:szCs w:val="28"/>
          <w:lang w:val="en-US" w:eastAsia="zh-CN"/>
        </w:rPr>
        <w:t>五、具有履行合同所必需的设备和专业技术能力</w:t>
      </w:r>
      <w:bookmarkEnd w:id="234"/>
      <w:bookmarkEnd w:id="235"/>
      <w:bookmarkEnd w:id="236"/>
      <w:bookmarkEnd w:id="237"/>
      <w:bookmarkEnd w:id="238"/>
      <w:bookmarkEnd w:id="239"/>
      <w:bookmarkEnd w:id="240"/>
      <w:bookmarkEnd w:id="241"/>
      <w:bookmarkEnd w:id="242"/>
      <w:bookmarkEnd w:id="243"/>
      <w:bookmarkEnd w:id="244"/>
    </w:p>
    <w:p>
      <w:pPr>
        <w:spacing w:line="360" w:lineRule="auto"/>
        <w:ind w:left="42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①</w:t>
      </w:r>
      <w:r>
        <w:rPr>
          <w:rFonts w:hint="default" w:ascii="Times New Roman" w:hAnsi="Times New Roman" w:eastAsia="仿宋_GB2312" w:cs="Times New Roman"/>
          <w:color w:val="auto"/>
          <w:sz w:val="28"/>
          <w:szCs w:val="28"/>
          <w:lang w:eastAsia="zh-CN"/>
        </w:rPr>
        <w:t>履行合同所必</w:t>
      </w:r>
      <w:r>
        <w:rPr>
          <w:rFonts w:ascii="Times New Roman" w:hAnsi="Times New Roman" w:eastAsia="仿宋_GB2312" w:cs="Times New Roman"/>
          <w:color w:val="auto"/>
          <w:sz w:val="28"/>
          <w:szCs w:val="28"/>
          <w:lang w:eastAsia="zh-CN"/>
        </w:rPr>
        <w:t>需</w:t>
      </w:r>
      <w:r>
        <w:rPr>
          <w:rFonts w:hint="default" w:ascii="Times New Roman" w:hAnsi="Times New Roman" w:eastAsia="仿宋_GB2312" w:cs="Times New Roman"/>
          <w:color w:val="auto"/>
          <w:sz w:val="28"/>
          <w:szCs w:val="28"/>
          <w:lang w:eastAsia="zh-CN"/>
        </w:rPr>
        <w:t>的主要设备、工具</w:t>
      </w:r>
    </w:p>
    <w:tbl>
      <w:tblPr>
        <w:tblStyle w:val="48"/>
        <w:tblW w:w="875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630"/>
        <w:gridCol w:w="2032"/>
        <w:gridCol w:w="2032"/>
        <w:gridCol w:w="2031"/>
        <w:gridCol w:w="203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83"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名称</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数量</w:t>
            </w:r>
          </w:p>
        </w:tc>
        <w:tc>
          <w:tcPr>
            <w:tcW w:w="2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用途</w:t>
            </w: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8"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8"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8"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03"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bl>
    <w:p>
      <w:pPr>
        <w:rPr>
          <w:rFonts w:hint="default" w:ascii="Times New Roman" w:hAnsi="Times New Roman" w:eastAsia="仿宋_GB2312" w:cs="Times New Roman"/>
          <w:color w:val="auto"/>
          <w:sz w:val="28"/>
          <w:szCs w:val="28"/>
          <w:lang w:val="en-US"/>
        </w:rPr>
      </w:pPr>
    </w:p>
    <w:p>
      <w:pPr>
        <w:rPr>
          <w:rFonts w:hint="default" w:ascii="Times New Roman" w:hAnsi="Times New Roman" w:eastAsia="仿宋_GB2312" w:cs="Times New Roman"/>
          <w:color w:val="auto"/>
          <w:sz w:val="28"/>
          <w:szCs w:val="28"/>
          <w:lang w:val="en-US"/>
        </w:rPr>
      </w:pPr>
    </w:p>
    <w:p>
      <w:pP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②</w:t>
      </w:r>
      <w:r>
        <w:rPr>
          <w:rFonts w:hint="default" w:ascii="Times New Roman" w:hAnsi="Times New Roman" w:eastAsia="仿宋_GB2312" w:cs="Times New Roman"/>
          <w:color w:val="auto"/>
          <w:sz w:val="28"/>
          <w:szCs w:val="28"/>
          <w:lang w:eastAsia="zh-CN"/>
        </w:rPr>
        <w:t>履行合同所必</w:t>
      </w:r>
      <w:r>
        <w:rPr>
          <w:rFonts w:ascii="Times New Roman" w:hAnsi="Times New Roman" w:eastAsia="仿宋_GB2312" w:cs="Times New Roman"/>
          <w:color w:val="auto"/>
          <w:sz w:val="28"/>
          <w:szCs w:val="28"/>
          <w:lang w:eastAsia="zh-CN"/>
        </w:rPr>
        <w:t>需</w:t>
      </w:r>
      <w:r>
        <w:rPr>
          <w:rFonts w:hint="default" w:ascii="Times New Roman" w:hAnsi="Times New Roman" w:eastAsia="仿宋_GB2312" w:cs="Times New Roman"/>
          <w:color w:val="auto"/>
          <w:sz w:val="28"/>
          <w:szCs w:val="28"/>
          <w:lang w:eastAsia="zh-CN"/>
        </w:rPr>
        <w:t>的主要人员</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本表后附相关职称或职业资格证书原件或复印件扫描件（如有）</w:t>
      </w:r>
      <w:r>
        <w:rPr>
          <w:rFonts w:hint="default" w:ascii="Times New Roman" w:hAnsi="Times New Roman" w:eastAsia="仿宋_GB2312" w:cs="Times New Roman"/>
          <w:color w:val="auto"/>
          <w:sz w:val="28"/>
          <w:szCs w:val="28"/>
          <w:lang w:val="en-US" w:eastAsia="zh-CN"/>
        </w:rPr>
        <w:t>]</w:t>
      </w:r>
    </w:p>
    <w:tbl>
      <w:tblPr>
        <w:tblStyle w:val="48"/>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779"/>
        <w:gridCol w:w="755"/>
        <w:gridCol w:w="2417"/>
        <w:gridCol w:w="907"/>
        <w:gridCol w:w="1209"/>
        <w:gridCol w:w="1358"/>
        <w:gridCol w:w="848"/>
        <w:gridCol w:w="6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81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序号</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姓名</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身份证号</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年龄</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学历</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职称或职业资格（如有）</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工作职责</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3</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5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bl>
    <w:p>
      <w:pPr>
        <w:pStyle w:val="204"/>
        <w:tabs>
          <w:tab w:val="left" w:pos="5580"/>
        </w:tabs>
        <w:spacing w:line="360" w:lineRule="auto"/>
        <w:rPr>
          <w:rFonts w:ascii="Times New Roman" w:hAnsi="Times New Roman" w:cs="Times New Roman"/>
          <w:b/>
          <w:bCs/>
          <w:color w:val="auto"/>
          <w:sz w:val="24"/>
          <w:szCs w:val="24"/>
        </w:rPr>
      </w:pPr>
    </w:p>
    <w:p>
      <w:pPr>
        <w:pStyle w:val="204"/>
        <w:tabs>
          <w:tab w:val="left" w:pos="5580"/>
        </w:tabs>
        <w:spacing w:line="360" w:lineRule="auto"/>
        <w:ind w:left="1080" w:hanging="540"/>
        <w:jc w:val="center"/>
        <w:rPr>
          <w:rFonts w:ascii="Times New Roman" w:hAnsi="Times New Roman" w:cs="Times New Roman"/>
          <w:b/>
          <w:bCs/>
          <w:color w:val="auto"/>
          <w:sz w:val="24"/>
          <w:szCs w:val="24"/>
        </w:rPr>
      </w:pPr>
    </w:p>
    <w:p>
      <w:pPr>
        <w:pStyle w:val="2"/>
        <w:numPr>
          <w:ilvl w:val="0"/>
          <w:numId w:val="8"/>
        </w:numPr>
        <w:spacing w:before="0" w:after="0" w:line="360" w:lineRule="auto"/>
        <w:jc w:val="center"/>
        <w:rPr>
          <w:rFonts w:hint="default" w:ascii="Times New Roman" w:hAnsi="Times New Roman" w:eastAsia="黑体"/>
          <w:b w:val="0"/>
          <w:bCs w:val="0"/>
          <w:color w:val="auto"/>
          <w:sz w:val="28"/>
          <w:szCs w:val="28"/>
          <w:lang w:val="en-US" w:eastAsia="zh-CN"/>
        </w:rPr>
      </w:pPr>
      <w:bookmarkStart w:id="245" w:name="_Toc1614236527"/>
      <w:bookmarkStart w:id="246" w:name="_Toc1237822054"/>
      <w:bookmarkStart w:id="247" w:name="_Toc474620139"/>
      <w:bookmarkStart w:id="248" w:name="_Toc1462517689"/>
      <w:bookmarkStart w:id="249" w:name="_Toc1412570441"/>
      <w:bookmarkStart w:id="250" w:name="_Toc1971926637"/>
      <w:bookmarkStart w:id="251" w:name="_Toc1360762617"/>
      <w:bookmarkStart w:id="252" w:name="_Toc1938095027"/>
      <w:bookmarkStart w:id="253" w:name="_Toc996756161"/>
      <w:bookmarkStart w:id="254" w:name="_Toc2073666225_WPSOffice_Level3"/>
      <w:bookmarkStart w:id="255" w:name="_Toc1267967234"/>
      <w:r>
        <w:rPr>
          <w:rFonts w:hint="default" w:ascii="Times New Roman" w:hAnsi="Times New Roman" w:eastAsia="黑体"/>
          <w:b w:val="0"/>
          <w:bCs w:val="0"/>
          <w:color w:val="auto"/>
          <w:sz w:val="28"/>
          <w:szCs w:val="28"/>
          <w:lang w:val="en-US" w:eastAsia="zh-CN"/>
        </w:rPr>
        <w:t>其他资格证明文件</w:t>
      </w:r>
      <w:bookmarkEnd w:id="245"/>
      <w:bookmarkEnd w:id="246"/>
      <w:bookmarkEnd w:id="247"/>
      <w:bookmarkEnd w:id="248"/>
      <w:bookmarkEnd w:id="249"/>
      <w:bookmarkEnd w:id="250"/>
      <w:bookmarkEnd w:id="251"/>
      <w:bookmarkEnd w:id="252"/>
      <w:bookmarkEnd w:id="253"/>
      <w:bookmarkEnd w:id="254"/>
      <w:bookmarkEnd w:id="255"/>
    </w:p>
    <w:p>
      <w:pPr>
        <w:pStyle w:val="3"/>
        <w:ind w:firstLine="0"/>
        <w:jc w:val="center"/>
        <w:rPr>
          <w:rFonts w:ascii="Times New Roman" w:hAnsi="Times New Roman" w:eastAsia="仿宋_GB2312"/>
          <w:sz w:val="28"/>
          <w:szCs w:val="28"/>
        </w:rPr>
      </w:pPr>
    </w:p>
    <w:p>
      <w:pPr>
        <w:pStyle w:val="3"/>
        <w:ind w:firstLine="0"/>
        <w:jc w:val="center"/>
      </w:pPr>
      <w:r>
        <w:rPr>
          <w:rFonts w:hint="eastAsia" w:ascii="Times New Roman" w:hAnsi="Times New Roman" w:eastAsia="仿宋_GB2312"/>
          <w:sz w:val="28"/>
          <w:szCs w:val="28"/>
        </w:rPr>
        <w:t>提供</w:t>
      </w:r>
      <w:r>
        <w:rPr>
          <w:rFonts w:ascii="Times New Roman" w:hAnsi="Times New Roman" w:eastAsia="仿宋_GB2312"/>
          <w:sz w:val="28"/>
          <w:szCs w:val="28"/>
        </w:rPr>
        <w:t>公安机关颁发的有效《保安服务许可证》</w:t>
      </w:r>
    </w:p>
    <w:p>
      <w:pPr>
        <w:spacing w:line="360" w:lineRule="auto"/>
        <w:ind w:left="1080" w:hanging="540"/>
        <w:jc w:val="center"/>
        <w:rPr>
          <w:rFonts w:hint="default" w:ascii="Times New Roman" w:hAnsi="Times New Roman" w:eastAsia="宋体" w:cs="Times New Roman"/>
          <w:b/>
          <w:bCs/>
          <w:color w:val="auto"/>
          <w:sz w:val="24"/>
          <w:szCs w:val="24"/>
          <w:lang w:val="en-US"/>
        </w:rPr>
      </w:pPr>
    </w:p>
    <w:p>
      <w:pPr>
        <w:spacing w:line="360" w:lineRule="auto"/>
        <w:ind w:left="1080" w:hanging="540"/>
        <w:jc w:val="center"/>
        <w:rPr>
          <w:rFonts w:hint="default" w:ascii="Times New Roman" w:hAnsi="Times New Roman" w:eastAsia="宋体" w:cs="Times New Roman"/>
          <w:b/>
          <w:bCs/>
          <w:color w:val="auto"/>
          <w:sz w:val="24"/>
          <w:szCs w:val="24"/>
          <w:lang w:val="en-US"/>
        </w:rPr>
      </w:pPr>
    </w:p>
    <w:p>
      <w:pPr>
        <w:spacing w:line="360" w:lineRule="auto"/>
        <w:ind w:left="1080" w:hanging="540"/>
        <w:jc w:val="center"/>
        <w:rPr>
          <w:rFonts w:hint="default" w:ascii="Times New Roman" w:hAnsi="Times New Roman" w:eastAsia="宋体" w:cs="Times New Roman"/>
          <w:b/>
          <w:bCs/>
          <w:color w:val="auto"/>
          <w:sz w:val="24"/>
          <w:szCs w:val="24"/>
          <w:lang w:val="en-US"/>
        </w:rPr>
      </w:pPr>
    </w:p>
    <w:p>
      <w:pPr>
        <w:pStyle w:val="204"/>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说明：1.应提供</w:t>
      </w:r>
      <w:r>
        <w:rPr>
          <w:rFonts w:ascii="Times New Roman" w:hAnsi="Times New Roman" w:eastAsia="仿宋_GB2312" w:cs="Times New Roman"/>
          <w:color w:val="auto"/>
          <w:sz w:val="28"/>
          <w:szCs w:val="28"/>
        </w:rPr>
        <w:t>竞争性磋商文件</w:t>
      </w:r>
      <w:r>
        <w:rPr>
          <w:rFonts w:ascii="Times New Roman" w:hAnsi="Times New Roman" w:eastAsia="仿宋_GB2312" w:cs="Times New Roman"/>
          <w:color w:val="auto"/>
          <w:sz w:val="28"/>
          <w:szCs w:val="28"/>
          <w:lang w:val="zh-TW"/>
        </w:rPr>
        <w:t>要求的其他资格证明文件。</w:t>
      </w:r>
    </w:p>
    <w:p>
      <w:pPr>
        <w:pStyle w:val="204"/>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 xml:space="preserve">      2.原件或复印件的扫描件上应加盖企业电子签章（自然人磋商响应的无需盖章，需要签字）。</w:t>
      </w:r>
    </w:p>
    <w:p>
      <w:pPr>
        <w:pStyle w:val="204"/>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3. 如果是联合体磋商，联合体各方需提供的满足</w:t>
      </w:r>
      <w:r>
        <w:rPr>
          <w:rFonts w:ascii="Times New Roman" w:hAnsi="Times New Roman" w:eastAsia="仿宋_GB2312" w:cs="Times New Roman"/>
          <w:color w:val="auto"/>
          <w:sz w:val="28"/>
          <w:szCs w:val="28"/>
        </w:rPr>
        <w:t>竞争性磋商文件</w:t>
      </w:r>
      <w:r>
        <w:rPr>
          <w:rFonts w:ascii="Times New Roman" w:hAnsi="Times New Roman" w:eastAsia="仿宋_GB2312" w:cs="Times New Roman"/>
          <w:color w:val="auto"/>
          <w:sz w:val="28"/>
          <w:szCs w:val="28"/>
          <w:lang w:val="zh-TW"/>
        </w:rPr>
        <w:t>要求的其他资格证明文件。</w:t>
      </w:r>
    </w:p>
    <w:p>
      <w:pPr>
        <w:pStyle w:val="204"/>
        <w:tabs>
          <w:tab w:val="left" w:pos="5580"/>
        </w:tabs>
        <w:spacing w:line="360" w:lineRule="auto"/>
        <w:ind w:firstLine="840" w:firstLineChars="300"/>
        <w:rPr>
          <w:rFonts w:ascii="Times New Roman" w:hAnsi="Times New Roman" w:eastAsia="仿宋_GB2312" w:cs="Times New Roman"/>
          <w:color w:val="auto"/>
          <w:sz w:val="28"/>
          <w:szCs w:val="28"/>
          <w:lang w:val="zh-TW"/>
        </w:rPr>
      </w:pPr>
    </w:p>
    <w:p>
      <w:pPr>
        <w:pStyle w:val="2"/>
        <w:spacing w:before="0" w:after="0" w:line="360" w:lineRule="auto"/>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4"/>
          <w:szCs w:val="24"/>
          <w:lang w:val="en-US" w:eastAsia="zh-CN"/>
        </w:rPr>
        <w:br w:type="page"/>
      </w:r>
      <w:bookmarkStart w:id="256" w:name="_Toc1004533822"/>
      <w:bookmarkStart w:id="257" w:name="_Toc1358550999"/>
      <w:bookmarkStart w:id="258" w:name="_Toc1032668283"/>
      <w:bookmarkStart w:id="259" w:name="_Toc653176911"/>
      <w:bookmarkStart w:id="260" w:name="_Toc1795185313"/>
      <w:bookmarkStart w:id="261" w:name="_Toc343930138"/>
      <w:bookmarkStart w:id="262" w:name="_Toc796765497"/>
      <w:bookmarkStart w:id="263" w:name="_Toc520566279"/>
      <w:bookmarkStart w:id="264" w:name="_Toc1383476989"/>
      <w:r>
        <w:rPr>
          <w:rFonts w:hint="default" w:ascii="Times New Roman" w:hAnsi="Times New Roman" w:eastAsia="黑体"/>
          <w:b w:val="0"/>
          <w:bCs w:val="0"/>
          <w:color w:val="auto"/>
          <w:sz w:val="28"/>
          <w:szCs w:val="28"/>
          <w:lang w:eastAsia="zh-CN"/>
        </w:rPr>
        <w:t>七、磋商响应函</w:t>
      </w:r>
      <w:bookmarkEnd w:id="256"/>
      <w:bookmarkEnd w:id="257"/>
      <w:bookmarkEnd w:id="258"/>
      <w:bookmarkEnd w:id="259"/>
      <w:bookmarkEnd w:id="260"/>
      <w:bookmarkEnd w:id="261"/>
      <w:bookmarkEnd w:id="262"/>
      <w:bookmarkEnd w:id="263"/>
      <w:bookmarkEnd w:id="264"/>
    </w:p>
    <w:p>
      <w:pPr>
        <w:spacing w:line="360" w:lineRule="auto"/>
        <w:ind w:firstLine="480"/>
        <w:rPr>
          <w:rFonts w:hint="default" w:ascii="Times New Roman" w:hAnsi="Times New Roman" w:cs="Times New Roman"/>
          <w:lang w:eastAsia="zh-CN"/>
        </w:rPr>
      </w:pPr>
    </w:p>
    <w:p>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河南省文物考古研究院</w:t>
      </w:r>
      <w:r>
        <w:rPr>
          <w:rFonts w:hint="default" w:ascii="Times New Roman" w:hAnsi="Times New Roman" w:eastAsia="仿宋_GB2312" w:cs="Times New Roman"/>
          <w:color w:val="auto"/>
          <w:sz w:val="28"/>
          <w:szCs w:val="28"/>
          <w:u w:val="single"/>
          <w:lang w:eastAsia="zh-CN"/>
        </w:rPr>
        <w:t xml:space="preserve"> </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US" w:eastAsia="zh-CN"/>
        </w:rPr>
        <w:t xml:space="preserve">  豫财磋商采购-2023-1338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US" w:eastAsia="zh-CN"/>
        </w:rPr>
        <w:t xml:space="preserve"> 河南省文物考古研究院2024年度安保服务招标采购项目 </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采购文件，经详细研究，我们决定参加该项目的竞争性磋商活动并按要求提交竞争性磋商响应文件。我们郑重声明以下诸点并负法律责任</w:t>
      </w:r>
      <w:r>
        <w:rPr>
          <w:rFonts w:hint="default" w:ascii="Times New Roman" w:hAnsi="Times New Roman" w:eastAsia="仿宋_GB2312" w:cs="Times New Roman"/>
          <w:color w:val="auto"/>
          <w:sz w:val="28"/>
          <w:szCs w:val="28"/>
          <w:lang w:val="en-US" w:eastAsia="zh-CN"/>
        </w:rPr>
        <w:t>:</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愿按照采购文件中规定的条款和要求，提供完成采购文件规定的全部工作，首次磋商响应总报价为（大写）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如果我们的竞争性磋商响应文件被接受，我们将履行竞争性磋商文件中规定的各项要求。</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eastAsia="zh-CN"/>
        </w:rPr>
        <w:t>我们同意本竞争性磋商文件中有关响应文件有效期的规定。如果成交，有效期延长至合同终止日止。</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(4) </w:t>
      </w:r>
      <w:r>
        <w:rPr>
          <w:rFonts w:hint="default" w:ascii="Times New Roman" w:hAnsi="Times New Roman" w:eastAsia="仿宋_GB2312" w:cs="Times New Roman"/>
          <w:color w:val="auto"/>
          <w:sz w:val="28"/>
          <w:szCs w:val="28"/>
          <w:lang w:eastAsia="zh-CN"/>
        </w:rPr>
        <w:t>我们愿提供竞争性磋商文件中要求的所有文件资料。</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(5) </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(7) </w:t>
      </w:r>
      <w:r>
        <w:rPr>
          <w:rFonts w:hint="default" w:ascii="Times New Roman" w:hAnsi="Times New Roman" w:eastAsia="仿宋_GB2312" w:cs="Times New Roman"/>
          <w:color w:val="auto"/>
          <w:sz w:val="28"/>
          <w:szCs w:val="28"/>
          <w:lang w:eastAsia="zh-CN"/>
        </w:rPr>
        <w:t>我公司同意提供按照采购人可能要求的与其磋商响应有关的一切数据或资料，完全理解采购人不一定接受最低价的磋商响应或收到的任何磋商响应。</w:t>
      </w:r>
    </w:p>
    <w:p>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 </w:t>
      </w:r>
      <w:r>
        <w:rPr>
          <w:rFonts w:hint="default" w:ascii="Times New Roman" w:hAnsi="Times New Roman" w:eastAsia="仿宋_GB2312" w:cs="Times New Roman"/>
          <w:sz w:val="28"/>
          <w:szCs w:val="28"/>
          <w:lang w:eastAsia="zh-CN"/>
        </w:rPr>
        <w:t>如果我们的竞争性磋商响应文件被接受，我们将按竞争性磋商文件的规定签订并严格履行合同中的责任和义务。</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竞争性磋商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 xml:space="preserve">   (10)</w:t>
      </w:r>
      <w:r>
        <w:rPr>
          <w:rFonts w:hint="default" w:ascii="Times New Roman" w:hAnsi="Times New Roman" w:eastAsia="仿宋_GB2312" w:cs="Times New Roman"/>
          <w:sz w:val="28"/>
          <w:szCs w:val="28"/>
          <w:lang w:eastAsia="zh-CN"/>
        </w:rPr>
        <w:t>我公司独立参加采购项目，未组成联合体参加磋商响应。</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除不可抗力外，我公司如果发生以下行为，将在行为发生的10个工作日内，向贵方支付本竞争性磋商文件公布的最高限价的2%作为违约赔偿金。</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在竞争性磋商文件规定的响应文件有效期内实质上修改或撤回磋商响应文件；</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成交后不依法与采购人签订合同；</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在竞争性磋商响应文件中提供虚假材料。</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pPr>
        <w:spacing w:line="360" w:lineRule="auto"/>
        <w:ind w:firstLine="560"/>
        <w:rPr>
          <w:rFonts w:hint="default" w:ascii="Times New Roman" w:hAnsi="Times New Roman" w:eastAsia="仿宋_GB2312" w:cs="Times New Roman"/>
          <w:color w:val="auto"/>
          <w:sz w:val="28"/>
          <w:szCs w:val="28"/>
          <w:lang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与本磋商响应有关的正式通讯地址：</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pPr>
        <w:spacing w:line="360" w:lineRule="auto"/>
        <w:ind w:firstLine="465"/>
        <w:rPr>
          <w:rFonts w:hint="default" w:ascii="Times New Roman" w:hAnsi="Times New Roman" w:eastAsia="仿宋_GB2312" w:cs="Times New Roman"/>
          <w:color w:val="auto"/>
          <w:sz w:val="28"/>
          <w:szCs w:val="28"/>
          <w:lang w:eastAsia="zh-CN"/>
        </w:rPr>
      </w:pPr>
    </w:p>
    <w:p>
      <w:pPr>
        <w:spacing w:line="360" w:lineRule="auto"/>
        <w:ind w:firstLine="465"/>
        <w:rPr>
          <w:rFonts w:hint="default" w:ascii="Times New Roman" w:hAnsi="Times New Roman" w:eastAsia="仿宋_GB2312" w:cs="Times New Roman"/>
          <w:color w:val="auto"/>
          <w:sz w:val="28"/>
          <w:szCs w:val="28"/>
          <w:lang w:eastAsia="zh-CN"/>
        </w:rPr>
      </w:pPr>
    </w:p>
    <w:p>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pPr>
        <w:spacing w:line="360" w:lineRule="auto"/>
        <w:ind w:firstLine="465"/>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 xml:space="preserve">法定代表人（个人电子签章）：                                                                                </w:t>
      </w:r>
      <w:r>
        <w:rPr>
          <w:rFonts w:hint="default" w:ascii="Times New Roman" w:hAnsi="Times New Roman" w:eastAsia="仿宋_GB2312" w:cs="Times New Roman"/>
          <w:color w:val="auto"/>
          <w:sz w:val="28"/>
          <w:szCs w:val="28"/>
          <w:lang w:val="en-US" w:eastAsia="zh-CN"/>
        </w:rPr>
        <w:t xml:space="preserve">                </w:t>
      </w:r>
    </w:p>
    <w:p>
      <w:pPr>
        <w:spacing w:line="400" w:lineRule="exact"/>
        <w:ind w:firstLine="465"/>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p>
    <w:p>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pPr>
        <w:pStyle w:val="2"/>
        <w:spacing w:before="0" w:after="0" w:line="360" w:lineRule="auto"/>
        <w:jc w:val="center"/>
        <w:rPr>
          <w:rFonts w:hint="default" w:ascii="Times New Roman" w:hAnsi="Times New Roman" w:eastAsia="黑体"/>
          <w:b w:val="0"/>
          <w:bCs w:val="0"/>
          <w:color w:val="auto"/>
          <w:sz w:val="28"/>
          <w:szCs w:val="28"/>
          <w:lang w:val="en-US" w:eastAsia="zh-CN"/>
        </w:rPr>
      </w:pPr>
      <w:bookmarkStart w:id="265" w:name="_Toc2582321"/>
      <w:bookmarkStart w:id="266" w:name="_Toc74240237"/>
      <w:bookmarkStart w:id="267" w:name="_Toc1881"/>
      <w:bookmarkStart w:id="268" w:name="_Toc515647818"/>
      <w:bookmarkStart w:id="269" w:name="_Toc20897"/>
      <w:bookmarkStart w:id="270" w:name="_Toc532473507"/>
      <w:r>
        <w:rPr>
          <w:rFonts w:hint="default" w:ascii="Times New Roman" w:hAnsi="Times New Roman" w:eastAsia="黑体"/>
          <w:color w:val="auto"/>
          <w:sz w:val="28"/>
          <w:szCs w:val="28"/>
          <w:highlight w:val="green"/>
          <w:lang w:val="en-US" w:eastAsia="zh-CN"/>
        </w:rPr>
        <w:br w:type="page"/>
      </w:r>
      <w:bookmarkStart w:id="271" w:name="_Toc942115178"/>
      <w:bookmarkStart w:id="272" w:name="_Toc1552610899"/>
      <w:bookmarkStart w:id="273" w:name="_Toc1050158208"/>
      <w:bookmarkStart w:id="274" w:name="_Toc1472753336"/>
      <w:bookmarkStart w:id="275" w:name="_Toc607874351"/>
      <w:r>
        <w:rPr>
          <w:rFonts w:hint="default" w:ascii="Times New Roman" w:hAnsi="Times New Roman" w:eastAsia="黑体"/>
          <w:b w:val="0"/>
          <w:bCs w:val="0"/>
          <w:color w:val="auto"/>
          <w:sz w:val="28"/>
          <w:szCs w:val="28"/>
          <w:lang w:val="en-US" w:eastAsia="zh-CN"/>
        </w:rPr>
        <w:t>八、</w:t>
      </w:r>
      <w:r>
        <w:rPr>
          <w:rFonts w:hint="default" w:ascii="Times New Roman" w:hAnsi="Times New Roman" w:eastAsia="黑体"/>
          <w:b w:val="0"/>
          <w:bCs w:val="0"/>
          <w:color w:val="auto"/>
          <w:sz w:val="28"/>
          <w:szCs w:val="28"/>
          <w:lang w:eastAsia="zh-CN"/>
        </w:rPr>
        <w:t>法定代表人身份证明书</w:t>
      </w:r>
      <w:bookmarkEnd w:id="271"/>
      <w:bookmarkEnd w:id="272"/>
      <w:bookmarkEnd w:id="273"/>
      <w:bookmarkEnd w:id="274"/>
      <w:bookmarkEnd w:id="275"/>
    </w:p>
    <w:p>
      <w:pPr>
        <w:spacing w:line="360" w:lineRule="auto"/>
        <w:rPr>
          <w:rFonts w:hint="default" w:ascii="Times New Roman" w:hAnsi="Times New Roman" w:eastAsia="宋体" w:cs="Times New Roman"/>
          <w:color w:val="auto"/>
          <w:sz w:val="28"/>
          <w:szCs w:val="28"/>
          <w:lang w:val="en-US" w:eastAsia="zh-CN"/>
        </w:rPr>
      </w:pPr>
    </w:p>
    <w:p>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val="en-US" w:eastAsia="zh-CN"/>
        </w:rPr>
        <w:t xml:space="preserve">  河南省文物考古研究院</w:t>
      </w:r>
      <w:r>
        <w:rPr>
          <w:rFonts w:hint="default" w:ascii="Times New Roman" w:hAnsi="Times New Roman" w:eastAsia="仿宋_GB2312" w:cs="Times New Roman"/>
          <w:color w:val="auto"/>
          <w:sz w:val="28"/>
          <w:szCs w:val="28"/>
          <w:u w:val="single"/>
          <w:lang w:eastAsia="zh-CN"/>
        </w:rPr>
        <w:t xml:space="preserve"> </w:t>
      </w:r>
    </w:p>
    <w:p>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val="en-US" w:eastAsia="zh-CN"/>
        </w:rPr>
      </w:pPr>
    </w:p>
    <w:p>
      <w:pPr>
        <w:pStyle w:val="204"/>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供应商（企业电子签章）：</w:t>
      </w:r>
      <w:r>
        <w:rPr>
          <w:rFonts w:ascii="Times New Roman" w:hAnsi="Times New Roman" w:eastAsia="仿宋_GB2312" w:cs="Times New Roman"/>
          <w:color w:val="auto"/>
          <w:sz w:val="28"/>
          <w:szCs w:val="28"/>
          <w:u w:val="single"/>
        </w:rPr>
        <w:t xml:space="preserve">                             </w:t>
      </w:r>
    </w:p>
    <w:p>
      <w:pPr>
        <w:pStyle w:val="204"/>
        <w:tabs>
          <w:tab w:val="left" w:pos="5580"/>
        </w:tabs>
        <w:spacing w:line="360" w:lineRule="auto"/>
        <w:ind w:left="269" w:firstLine="1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详细通讯地址：</w:t>
      </w:r>
      <w:r>
        <w:rPr>
          <w:rFonts w:ascii="Times New Roman" w:hAnsi="Times New Roman" w:eastAsia="仿宋_GB2312" w:cs="Times New Roman"/>
          <w:color w:val="auto"/>
          <w:sz w:val="28"/>
          <w:szCs w:val="28"/>
          <w:u w:val="single"/>
        </w:rPr>
        <w:t xml:space="preserve">                                </w:t>
      </w:r>
    </w:p>
    <w:p>
      <w:pPr>
        <w:pStyle w:val="204"/>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邮 政 编 码 ：</w:t>
      </w:r>
      <w:r>
        <w:rPr>
          <w:rFonts w:ascii="Times New Roman" w:hAnsi="Times New Roman" w:eastAsia="仿宋_GB2312" w:cs="Times New Roman"/>
          <w:color w:val="auto"/>
          <w:sz w:val="28"/>
          <w:szCs w:val="28"/>
          <w:u w:val="single"/>
        </w:rPr>
        <w:t xml:space="preserve">                                </w:t>
      </w:r>
    </w:p>
    <w:p>
      <w:pPr>
        <w:pStyle w:val="204"/>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传　　　　真：</w:t>
      </w:r>
      <w:r>
        <w:rPr>
          <w:rFonts w:ascii="Times New Roman" w:hAnsi="Times New Roman" w:eastAsia="仿宋_GB2312" w:cs="Times New Roman"/>
          <w:color w:val="auto"/>
          <w:sz w:val="28"/>
          <w:szCs w:val="28"/>
          <w:u w:val="single"/>
        </w:rPr>
        <w:t xml:space="preserve">                                </w:t>
      </w:r>
    </w:p>
    <w:p>
      <w:pPr>
        <w:pStyle w:val="204"/>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电　　　　话：</w:t>
      </w:r>
      <w:r>
        <w:rPr>
          <w:rFonts w:ascii="Times New Roman" w:hAnsi="Times New Roman" w:eastAsia="仿宋_GB2312" w:cs="Times New Roman"/>
          <w:color w:val="auto"/>
          <w:sz w:val="28"/>
          <w:szCs w:val="28"/>
          <w:u w:val="single"/>
        </w:rPr>
        <w:t xml:space="preserve">                                </w:t>
      </w:r>
    </w:p>
    <w:tbl>
      <w:tblPr>
        <w:tblStyle w:val="48"/>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84"/>
        <w:gridCol w:w="448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注：自然人磋商响应的无需提供。</w:t>
      </w:r>
    </w:p>
    <w:p>
      <w:pPr>
        <w:rPr>
          <w:rFonts w:hint="default" w:ascii="Times New Roman" w:hAnsi="Times New Roman" w:cs="Times New Roman"/>
          <w:lang w:eastAsia="zh-CN"/>
        </w:rPr>
      </w:pPr>
    </w:p>
    <w:p>
      <w:pPr>
        <w:pStyle w:val="15"/>
        <w:rPr>
          <w:rFonts w:ascii="Times New Roman" w:hAnsi="Times New Roman"/>
          <w:color w:val="000000"/>
        </w:rPr>
      </w:pPr>
    </w:p>
    <w:p>
      <w:pPr>
        <w:pStyle w:val="15"/>
        <w:rPr>
          <w:rFonts w:ascii="Times New Roman" w:hAnsi="Times New Roman"/>
          <w:color w:val="000000"/>
        </w:rPr>
      </w:pPr>
    </w:p>
    <w:p>
      <w:pPr>
        <w:pStyle w:val="36"/>
        <w:ind w:left="840" w:hanging="420"/>
        <w:rPr>
          <w:rFonts w:hint="default" w:cs="Times New Roman"/>
          <w:lang w:eastAsia="zh-CN"/>
        </w:rPr>
        <w:sectPr>
          <w:headerReference r:id="rId4" w:type="default"/>
          <w:pgSz w:w="11906" w:h="16838"/>
          <w:pgMar w:top="1440" w:right="1797" w:bottom="1440" w:left="1797" w:header="851" w:footer="992" w:gutter="0"/>
          <w:cols w:space="720" w:num="1"/>
          <w:docGrid w:linePitch="312" w:charSpace="0"/>
        </w:sectPr>
      </w:pPr>
    </w:p>
    <w:p>
      <w:pPr>
        <w:pStyle w:val="2"/>
        <w:spacing w:before="0" w:after="0" w:line="360" w:lineRule="auto"/>
        <w:jc w:val="center"/>
        <w:rPr>
          <w:rFonts w:hint="default" w:ascii="Times New Roman" w:hAnsi="Times New Roman" w:eastAsia="黑体"/>
          <w:b w:val="0"/>
          <w:bCs w:val="0"/>
          <w:color w:val="auto"/>
          <w:sz w:val="28"/>
          <w:szCs w:val="28"/>
          <w:lang w:eastAsia="zh-CN"/>
        </w:rPr>
      </w:pPr>
      <w:bookmarkStart w:id="276" w:name="_Toc320103337"/>
      <w:bookmarkStart w:id="277" w:name="_Toc828720957"/>
      <w:bookmarkStart w:id="278" w:name="_Toc1046173163"/>
      <w:bookmarkStart w:id="279" w:name="_Toc1255393211"/>
      <w:bookmarkStart w:id="280" w:name="_Toc169296229"/>
      <w:r>
        <w:rPr>
          <w:rFonts w:hint="default" w:ascii="Times New Roman" w:hAnsi="Times New Roman" w:eastAsia="黑体"/>
          <w:b w:val="0"/>
          <w:bCs w:val="0"/>
          <w:color w:val="auto"/>
          <w:sz w:val="28"/>
          <w:szCs w:val="28"/>
          <w:lang w:eastAsia="zh-CN"/>
        </w:rPr>
        <w:t>九、磋商响应报价表格</w:t>
      </w:r>
      <w:bookmarkEnd w:id="276"/>
      <w:bookmarkEnd w:id="277"/>
      <w:bookmarkEnd w:id="278"/>
      <w:bookmarkEnd w:id="279"/>
      <w:bookmarkEnd w:id="280"/>
    </w:p>
    <w:p>
      <w:pPr>
        <w:spacing w:line="480" w:lineRule="auto"/>
        <w:jc w:val="center"/>
        <w:outlineLvl w:val="2"/>
        <w:rPr>
          <w:rFonts w:hint="default" w:ascii="Times New Roman" w:hAnsi="Times New Roman" w:eastAsia="黑体" w:cs="Times New Roman"/>
          <w:sz w:val="28"/>
          <w:szCs w:val="28"/>
          <w:lang w:eastAsia="zh-CN"/>
        </w:rPr>
      </w:pPr>
      <w:bookmarkStart w:id="281" w:name="_Toc1320150736"/>
      <w:bookmarkStart w:id="282" w:name="_Toc562840553"/>
      <w:bookmarkStart w:id="283" w:name="_Toc55824951"/>
      <w:bookmarkStart w:id="284" w:name="_Toc1289935819"/>
      <w:r>
        <w:rPr>
          <w:rFonts w:hint="default" w:ascii="Times New Roman" w:hAnsi="Times New Roman" w:eastAsia="黑体" w:cs="Times New Roman"/>
          <w:sz w:val="28"/>
          <w:szCs w:val="28"/>
          <w:lang w:eastAsia="zh-CN"/>
        </w:rPr>
        <w:t>1</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lang w:eastAsia="zh-CN"/>
        </w:rPr>
        <w:t>磋商响应主要内容汇总表</w:t>
      </w:r>
      <w:bookmarkEnd w:id="281"/>
      <w:bookmarkEnd w:id="282"/>
      <w:bookmarkEnd w:id="283"/>
      <w:bookmarkEnd w:id="284"/>
    </w:p>
    <w:p>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default" w:ascii="Times New Roman" w:hAnsi="Times New Roman" w:eastAsia="仿宋_GB2312" w:cs="Times New Roman"/>
          <w:color w:val="auto"/>
          <w:sz w:val="28"/>
          <w:szCs w:val="28"/>
          <w:u w:val="single"/>
          <w:lang w:val="en-US" w:eastAsia="zh-CN"/>
        </w:rPr>
        <w:t xml:space="preserve">  豫财磋商采购-2023-1338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金额单位：元人民币</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52"/>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p>
        </w:tc>
        <w:tc>
          <w:tcPr>
            <w:tcW w:w="6843" w:type="dxa"/>
            <w:vAlign w:val="center"/>
          </w:tcPr>
          <w:p>
            <w:pPr>
              <w:spacing w:line="360" w:lineRule="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 xml:space="preserve"> 河南省文物考古研究院2024年度安保服务招标采购项目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供应商名称</w:t>
            </w:r>
          </w:p>
        </w:tc>
        <w:tc>
          <w:tcPr>
            <w:tcW w:w="6843" w:type="dxa"/>
            <w:vAlign w:val="center"/>
          </w:tcPr>
          <w:p>
            <w:pPr>
              <w:spacing w:line="360" w:lineRule="auto"/>
              <w:ind w:firstLine="280" w:firstLineChars="10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Merge w:val="restart"/>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首次报价</w:t>
            </w:r>
          </w:p>
        </w:tc>
        <w:tc>
          <w:tcPr>
            <w:tcW w:w="6843" w:type="dxa"/>
            <w:vAlign w:val="center"/>
          </w:tcPr>
          <w:p>
            <w:pPr>
              <w:spacing w:line="360" w:lineRule="auto"/>
              <w:ind w:firstLine="280" w:firstLineChars="1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大写：</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Merge w:val="continue"/>
            <w:vAlign w:val="center"/>
          </w:tcPr>
          <w:p>
            <w:pPr>
              <w:spacing w:line="360" w:lineRule="auto"/>
              <w:jc w:val="center"/>
              <w:rPr>
                <w:rFonts w:hint="default" w:ascii="Times New Roman" w:hAnsi="Times New Roman" w:eastAsia="仿宋_GB2312" w:cs="Times New Roman"/>
                <w:bCs/>
                <w:sz w:val="28"/>
                <w:szCs w:val="28"/>
              </w:rPr>
            </w:pPr>
          </w:p>
        </w:tc>
        <w:tc>
          <w:tcPr>
            <w:tcW w:w="6843" w:type="dxa"/>
            <w:vAlign w:val="center"/>
          </w:tcPr>
          <w:p>
            <w:pPr>
              <w:spacing w:line="360" w:lineRule="auto"/>
              <w:ind w:firstLine="280" w:firstLineChars="1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小写：</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采购范围</w:t>
            </w:r>
          </w:p>
        </w:tc>
        <w:tc>
          <w:tcPr>
            <w:tcW w:w="6843" w:type="dxa"/>
            <w:vAlign w:val="center"/>
          </w:tcPr>
          <w:p>
            <w:pPr>
              <w:spacing w:line="360" w:lineRule="auto"/>
              <w:ind w:left="105" w:leftChars="50"/>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 xml:space="preserve"> 河南省文物考古研究院2024年度安保服务招标采购项目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服务期限</w:t>
            </w:r>
          </w:p>
        </w:tc>
        <w:tc>
          <w:tcPr>
            <w:tcW w:w="6843" w:type="dxa"/>
            <w:vAlign w:val="center"/>
          </w:tcPr>
          <w:p>
            <w:pPr>
              <w:spacing w:line="360" w:lineRule="auto"/>
              <w:rPr>
                <w:rFonts w:hint="default" w:ascii="Times New Roman" w:hAnsi="Times New Roman" w:eastAsia="仿宋_GB2312" w:cs="Times New Roman"/>
                <w:bCs/>
                <w:sz w:val="28"/>
                <w:szCs w:val="28"/>
                <w:lang w:val="en-US"/>
              </w:rPr>
            </w:pPr>
            <w:r>
              <w:rPr>
                <w:rFonts w:hint="default" w:ascii="Times New Roman" w:hAnsi="Times New Roman" w:eastAsia="仿宋_GB2312" w:cs="Times New Roman"/>
                <w:bCs/>
                <w:sz w:val="28"/>
                <w:szCs w:val="28"/>
                <w:lang w:val="en-US"/>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vAlign w:val="center"/>
          </w:tcPr>
          <w:p>
            <w:pPr>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服务地点</w:t>
            </w:r>
          </w:p>
        </w:tc>
        <w:tc>
          <w:tcPr>
            <w:tcW w:w="6843" w:type="dxa"/>
            <w:vAlign w:val="center"/>
          </w:tcPr>
          <w:p>
            <w:pPr>
              <w:ind w:firstLine="140" w:firstLineChars="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Align w:val="center"/>
          </w:tcPr>
          <w:p>
            <w:pPr>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服务质量</w:t>
            </w:r>
          </w:p>
        </w:tc>
        <w:tc>
          <w:tcPr>
            <w:tcW w:w="6843" w:type="dxa"/>
            <w:vAlign w:val="center"/>
          </w:tcPr>
          <w:p>
            <w:pPr>
              <w:ind w:firstLine="140" w:firstLineChars="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Align w:val="center"/>
          </w:tcPr>
          <w:p>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响应文件有效期</w:t>
            </w:r>
          </w:p>
        </w:tc>
        <w:tc>
          <w:tcPr>
            <w:tcW w:w="6843" w:type="dxa"/>
            <w:vAlign w:val="center"/>
          </w:tcPr>
          <w:p>
            <w:pPr>
              <w:ind w:firstLine="140" w:firstLineChars="50"/>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lang w:eastAsia="zh-CN"/>
              </w:rPr>
              <w:t>自响应文件提交截止时间起60日历日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付款方式</w:t>
            </w:r>
          </w:p>
        </w:tc>
        <w:tc>
          <w:tcPr>
            <w:tcW w:w="6843" w:type="dxa"/>
            <w:vAlign w:val="center"/>
          </w:tcPr>
          <w:p>
            <w:pPr>
              <w:spacing w:line="360" w:lineRule="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合同条款</w:t>
            </w:r>
          </w:p>
        </w:tc>
        <w:tc>
          <w:tcPr>
            <w:tcW w:w="6843" w:type="dxa"/>
            <w:vAlign w:val="center"/>
          </w:tcPr>
          <w:p>
            <w:pPr>
              <w:spacing w:line="360" w:lineRule="auto"/>
              <w:ind w:firstLine="140" w:firstLineChars="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备   注</w:t>
            </w:r>
          </w:p>
        </w:tc>
        <w:tc>
          <w:tcPr>
            <w:tcW w:w="6843" w:type="dxa"/>
            <w:vAlign w:val="center"/>
          </w:tcPr>
          <w:p>
            <w:pPr>
              <w:spacing w:line="360" w:lineRule="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w:t>
            </w:r>
          </w:p>
        </w:tc>
      </w:tr>
    </w:tbl>
    <w:p>
      <w:pPr>
        <w:widowControl w:val="0"/>
        <w:jc w:val="center"/>
        <w:rPr>
          <w:rFonts w:hint="default" w:ascii="Times New Roman" w:hAnsi="Times New Roman" w:eastAsia="仿宋_GB2312" w:cs="Times New Roman"/>
          <w:color w:val="auto"/>
          <w:sz w:val="28"/>
          <w:szCs w:val="28"/>
        </w:rPr>
      </w:pPr>
    </w:p>
    <w:p>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pPr>
        <w:spacing w:line="440" w:lineRule="exact"/>
        <w:rPr>
          <w:rFonts w:hint="default" w:ascii="Times New Roman" w:hAnsi="Times New Roman" w:eastAsia="仿宋_GB2312" w:cs="Times New Roman"/>
          <w:color w:val="auto"/>
          <w:sz w:val="28"/>
          <w:szCs w:val="28"/>
          <w:lang w:val="en-US" w:eastAsia="zh-CN"/>
        </w:rPr>
      </w:pPr>
    </w:p>
    <w:p>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p>
    <w:p>
      <w:pPr>
        <w:pStyle w:val="5"/>
        <w:spacing w:before="0" w:after="0" w:line="360" w:lineRule="auto"/>
        <w:jc w:val="center"/>
        <w:rPr>
          <w:rFonts w:hint="default" w:ascii="Times New Roman" w:hAnsi="Times New Roman" w:eastAsia="黑体" w:cs="Times New Roman"/>
          <w:sz w:val="28"/>
          <w:szCs w:val="28"/>
          <w:lang w:val="en-US" w:eastAsia="zh-CN"/>
        </w:rPr>
        <w:sectPr>
          <w:headerReference r:id="rId5" w:type="default"/>
          <w:footerReference r:id="rId6" w:type="default"/>
          <w:pgSz w:w="11900" w:h="16840"/>
          <w:pgMar w:top="1440" w:right="1800" w:bottom="1440" w:left="1800" w:header="851" w:footer="992" w:gutter="0"/>
          <w:cols w:space="720" w:num="1"/>
        </w:sectPr>
      </w:pPr>
      <w:bookmarkStart w:id="285" w:name="_Toc1752312956"/>
      <w:bookmarkStart w:id="286" w:name="_Toc1593252031"/>
      <w:bookmarkStart w:id="287" w:name="_Toc145274497"/>
      <w:bookmarkStart w:id="288" w:name="_Toc1901647701"/>
    </w:p>
    <w:p>
      <w:pPr>
        <w:pStyle w:val="5"/>
        <w:spacing w:before="0" w:after="0" w:line="360" w:lineRule="auto"/>
        <w:jc w:val="center"/>
        <w:rPr>
          <w:rFonts w:hint="default" w:ascii="Times New Roman" w:hAnsi="Times New Roman" w:eastAsia="黑体" w:cs="Times New Roman"/>
          <w:sz w:val="28"/>
          <w:szCs w:val="28"/>
          <w:lang w:eastAsia="zh-CN"/>
        </w:rPr>
      </w:pPr>
      <w:bookmarkStart w:id="289" w:name="_Toc2036135302"/>
      <w:bookmarkStart w:id="290" w:name="_Toc842364303"/>
      <w:bookmarkStart w:id="291" w:name="_Toc189277313"/>
      <w:bookmarkStart w:id="292" w:name="_Toc517460750"/>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lang w:eastAsia="zh-CN"/>
        </w:rPr>
        <w:t xml:space="preserve"> </w:t>
      </w:r>
      <w:bookmarkEnd w:id="265"/>
      <w:bookmarkEnd w:id="266"/>
      <w:bookmarkEnd w:id="285"/>
      <w:bookmarkEnd w:id="286"/>
      <w:bookmarkEnd w:id="287"/>
      <w:bookmarkEnd w:id="288"/>
      <w:bookmarkEnd w:id="289"/>
      <w:bookmarkEnd w:id="290"/>
      <w:bookmarkEnd w:id="291"/>
      <w:bookmarkEnd w:id="292"/>
      <w:r>
        <w:rPr>
          <w:rFonts w:hint="default" w:ascii="Times New Roman" w:hAnsi="Times New Roman" w:eastAsia="黑体" w:cs="Times New Roman"/>
          <w:sz w:val="28"/>
          <w:szCs w:val="28"/>
          <w:lang w:eastAsia="zh-CN"/>
        </w:rPr>
        <w:t>磋商响应分项报价表</w:t>
      </w:r>
    </w:p>
    <w:bookmarkEnd w:id="267"/>
    <w:bookmarkEnd w:id="268"/>
    <w:bookmarkEnd w:id="269"/>
    <w:bookmarkEnd w:id="270"/>
    <w:p>
      <w:pPr>
        <w:pStyle w:val="21"/>
        <w:spacing w:line="360" w:lineRule="auto"/>
        <w:rPr>
          <w:rFonts w:ascii="Times New Roman" w:hAnsi="Times New Roman" w:eastAsia="仿宋_GB2312"/>
          <w:sz w:val="24"/>
          <w:szCs w:val="24"/>
        </w:rPr>
      </w:pPr>
      <w:r>
        <w:rPr>
          <w:rFonts w:ascii="Times New Roman" w:hAnsi="Times New Roman" w:eastAsia="仿宋_GB2312"/>
          <w:sz w:val="24"/>
          <w:szCs w:val="24"/>
        </w:rPr>
        <w:t xml:space="preserve">采购编号： </w:t>
      </w:r>
      <w:r>
        <w:rPr>
          <w:rFonts w:ascii="Times New Roman" w:hAnsi="Times New Roman" w:eastAsia="仿宋_GB2312"/>
          <w:sz w:val="24"/>
          <w:szCs w:val="24"/>
          <w:u w:val="single"/>
        </w:rPr>
        <w:t xml:space="preserve"> 豫财磋商采购-2023-1338     </w:t>
      </w:r>
      <w:r>
        <w:rPr>
          <w:rFonts w:ascii="Times New Roman" w:hAnsi="Times New Roman" w:eastAsia="仿宋_GB2312"/>
          <w:sz w:val="24"/>
          <w:szCs w:val="24"/>
        </w:rPr>
        <w:t xml:space="preserve">          报价单位：人民币元</w:t>
      </w:r>
    </w:p>
    <w:tbl>
      <w:tblPr>
        <w:tblStyle w:val="48"/>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235"/>
        <w:gridCol w:w="1417"/>
        <w:gridCol w:w="1314"/>
        <w:gridCol w:w="1825"/>
        <w:gridCol w:w="11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名称</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数量</w:t>
            </w: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月费用</w:t>
            </w: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服务期费用</w:t>
            </w: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备注说明</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岗位人员工资</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rPr>
            </w:pPr>
            <w:r>
              <w:rPr>
                <w:rFonts w:hint="default" w:ascii="Times New Roman" w:hAnsi="Times New Roman" w:eastAsia="仿宋_GB2312" w:cs="Times New Roman"/>
                <w:sz w:val="24"/>
                <w:szCs w:val="24"/>
              </w:rPr>
              <w:t>社会保险</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税金</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总计</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bl>
    <w:p>
      <w:pPr>
        <w:spacing w:line="360" w:lineRule="auto"/>
        <w:ind w:firstLine="420" w:firstLineChars="200"/>
        <w:rPr>
          <w:rFonts w:hint="default" w:ascii="Times New Roman" w:hAnsi="Times New Roman" w:cs="Times New Roman"/>
        </w:rPr>
      </w:pPr>
    </w:p>
    <w:p>
      <w:pPr>
        <w:spacing w:line="400" w:lineRule="exact"/>
        <w:rPr>
          <w:rFonts w:hint="default" w:ascii="Times New Roman" w:hAnsi="Times New Roman" w:cs="Times New Roman"/>
          <w:sz w:val="24"/>
          <w:lang w:eastAsia="zh-CN"/>
        </w:rPr>
      </w:pPr>
      <w:r>
        <w:rPr>
          <w:rFonts w:hint="default" w:ascii="Times New Roman" w:hAnsi="Times New Roman" w:cs="Times New Roman"/>
          <w:sz w:val="24"/>
          <w:lang w:eastAsia="zh-CN"/>
        </w:rPr>
        <w:t>供应商（企业电子签章）：</w:t>
      </w:r>
    </w:p>
    <w:p>
      <w:pPr>
        <w:spacing w:line="400" w:lineRule="exact"/>
        <w:rPr>
          <w:rFonts w:hint="default" w:ascii="Times New Roman" w:hAnsi="Times New Roman" w:cs="Times New Roman"/>
          <w:sz w:val="24"/>
          <w:lang w:eastAsia="zh-CN"/>
        </w:rPr>
      </w:pPr>
    </w:p>
    <w:p>
      <w:pPr>
        <w:spacing w:line="400" w:lineRule="exact"/>
        <w:rPr>
          <w:rFonts w:hint="default" w:ascii="Times New Roman" w:hAnsi="Times New Roman" w:cs="Times New Roman"/>
          <w:sz w:val="24"/>
          <w:lang w:eastAsia="zh-CN"/>
        </w:rPr>
      </w:pPr>
      <w:r>
        <w:rPr>
          <w:rFonts w:hint="default" w:ascii="Times New Roman" w:hAnsi="Times New Roman" w:cs="Times New Roman"/>
          <w:sz w:val="24"/>
          <w:lang w:eastAsia="zh-CN"/>
        </w:rPr>
        <w:t>法定代表人（个人电子签章）：</w:t>
      </w:r>
    </w:p>
    <w:p>
      <w:pPr>
        <w:spacing w:line="400" w:lineRule="exact"/>
        <w:jc w:val="center"/>
        <w:rPr>
          <w:rFonts w:hint="default" w:ascii="Times New Roman" w:hAnsi="Times New Roman" w:cs="Times New Roman"/>
          <w:lang w:eastAsia="zh-CN"/>
        </w:rPr>
      </w:pPr>
      <w:r>
        <w:rPr>
          <w:rFonts w:hint="default" w:ascii="Times New Roman" w:hAnsi="Times New Roman" w:cs="Times New Roman"/>
          <w:lang w:eastAsia="zh-CN"/>
        </w:rPr>
        <w:t xml:space="preserve">          日期：</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年</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月</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日</w:t>
      </w:r>
    </w:p>
    <w:p>
      <w:pPr>
        <w:pStyle w:val="15"/>
        <w:spacing w:line="240" w:lineRule="auto"/>
        <w:rPr>
          <w:rFonts w:ascii="Times New Roman" w:hAnsi="Times New Roman" w:eastAsia="仿宋_GB2312"/>
          <w:color w:val="000000"/>
        </w:rPr>
      </w:pPr>
      <w:r>
        <w:rPr>
          <w:rFonts w:ascii="Times New Roman" w:hAnsi="Times New Roman" w:eastAsia="仿宋_GB2312"/>
          <w:color w:val="000000"/>
        </w:rPr>
        <w:t>备注：</w:t>
      </w:r>
    </w:p>
    <w:p>
      <w:pPr>
        <w:pStyle w:val="15"/>
        <w:spacing w:line="240" w:lineRule="auto"/>
        <w:rPr>
          <w:rFonts w:ascii="Times New Roman" w:hAnsi="Times New Roman" w:eastAsia="仿宋_GB2312"/>
          <w:color w:val="000000"/>
        </w:rPr>
      </w:pPr>
      <w:r>
        <w:rPr>
          <w:rFonts w:ascii="Times New Roman" w:hAnsi="Times New Roman" w:eastAsia="仿宋_GB2312"/>
          <w:color w:val="000000"/>
        </w:rPr>
        <w:t>1、最低工资标准按《河南省人民政府关于调整河南省最低工资标准的通知》（豫政〔2023〕43号）文执行。</w:t>
      </w:r>
    </w:p>
    <w:p>
      <w:pPr>
        <w:pStyle w:val="15"/>
        <w:spacing w:line="240" w:lineRule="auto"/>
        <w:rPr>
          <w:rFonts w:ascii="Times New Roman" w:hAnsi="Times New Roman" w:eastAsia="仿宋_GB2312"/>
          <w:color w:val="000000"/>
        </w:rPr>
      </w:pPr>
      <w:r>
        <w:rPr>
          <w:rFonts w:ascii="Times New Roman" w:hAnsi="Times New Roman" w:eastAsia="仿宋_GB2312"/>
          <w:color w:val="000000"/>
        </w:rPr>
        <w:t>2、岗位人员工资、社会保险费、税金取费不得低于国家规定的最低标准。</w:t>
      </w:r>
    </w:p>
    <w:p>
      <w:pPr>
        <w:pStyle w:val="15"/>
        <w:spacing w:line="240" w:lineRule="auto"/>
        <w:rPr>
          <w:rFonts w:ascii="Times New Roman" w:hAnsi="Times New Roman" w:eastAsia="仿宋_GB2312"/>
          <w:color w:val="000000"/>
        </w:rPr>
      </w:pPr>
      <w:r>
        <w:rPr>
          <w:rFonts w:ascii="Times New Roman" w:hAnsi="Times New Roman" w:eastAsia="仿宋_GB2312"/>
          <w:color w:val="000000"/>
        </w:rPr>
        <w:t>3、若有特殊情况，请予以备注说明并提供相关证明材料。</w:t>
      </w:r>
    </w:p>
    <w:p>
      <w:pPr>
        <w:pStyle w:val="15"/>
        <w:spacing w:line="240" w:lineRule="auto"/>
        <w:rPr>
          <w:rFonts w:ascii="Times New Roman" w:hAnsi="Times New Roman" w:eastAsia="仿宋_GB2312"/>
          <w:b/>
          <w:bCs/>
          <w:color w:val="000000"/>
          <w:sz w:val="28"/>
          <w:szCs w:val="28"/>
          <w:highlight w:val="red"/>
        </w:rPr>
      </w:pPr>
      <w:r>
        <w:rPr>
          <w:rFonts w:ascii="Times New Roman" w:hAnsi="Times New Roman" w:eastAsia="仿宋_GB2312"/>
          <w:color w:val="000000"/>
        </w:rPr>
        <w:t>4、格式供参考，不做统一规定，可由供应商自行设计。</w:t>
      </w:r>
      <w:bookmarkStart w:id="293" w:name="_Toc585133884"/>
      <w:bookmarkStart w:id="294" w:name="_Toc74240239"/>
      <w:bookmarkStart w:id="295" w:name="_Toc1973880807"/>
      <w:bookmarkStart w:id="296" w:name="_Toc2582323"/>
      <w:bookmarkStart w:id="297" w:name="_Toc893708091"/>
      <w:bookmarkStart w:id="298" w:name="_Toc299604904"/>
      <w:bookmarkStart w:id="299" w:name="_Toc643738620"/>
    </w:p>
    <w:p>
      <w:pPr>
        <w:pStyle w:val="21"/>
        <w:ind w:left="540" w:leftChars="257" w:firstLine="480"/>
        <w:rPr>
          <w:rFonts w:ascii="Times New Roman" w:hAnsi="Times New Roman" w:eastAsia="仿宋_GB2312"/>
          <w:b/>
          <w:bCs/>
          <w:color w:val="000000"/>
          <w:kern w:val="2"/>
          <w:sz w:val="28"/>
          <w:szCs w:val="28"/>
          <w:highlight w:val="red"/>
        </w:rPr>
        <w:sectPr>
          <w:pgSz w:w="11900" w:h="16840"/>
          <w:pgMar w:top="1440" w:right="1800" w:bottom="1440" w:left="1800" w:header="851" w:footer="992" w:gutter="0"/>
          <w:cols w:space="720" w:num="1"/>
        </w:sectPr>
      </w:pPr>
    </w:p>
    <w:bookmarkEnd w:id="293"/>
    <w:bookmarkEnd w:id="294"/>
    <w:bookmarkEnd w:id="295"/>
    <w:bookmarkEnd w:id="296"/>
    <w:bookmarkEnd w:id="297"/>
    <w:bookmarkEnd w:id="298"/>
    <w:bookmarkEnd w:id="299"/>
    <w:p>
      <w:pPr>
        <w:pStyle w:val="2"/>
        <w:spacing w:before="0" w:after="0" w:line="360" w:lineRule="auto"/>
        <w:jc w:val="center"/>
        <w:rPr>
          <w:rFonts w:hint="default" w:ascii="Times New Roman" w:hAnsi="Times New Roman" w:eastAsia="黑体"/>
          <w:b w:val="0"/>
          <w:bCs w:val="0"/>
          <w:color w:val="auto"/>
          <w:sz w:val="28"/>
          <w:szCs w:val="28"/>
          <w:lang w:val="en-US" w:eastAsia="zh-CN"/>
        </w:rPr>
      </w:pPr>
      <w:bookmarkStart w:id="300" w:name="_Toc42148613"/>
      <w:bookmarkStart w:id="301" w:name="_Toc1407304042"/>
      <w:bookmarkStart w:id="302" w:name="_Toc1531555161"/>
      <w:bookmarkStart w:id="303" w:name="_Toc2003907413"/>
      <w:bookmarkStart w:id="304" w:name="_Toc1191518010"/>
      <w:bookmarkStart w:id="305" w:name="_Toc1783728506"/>
      <w:bookmarkStart w:id="306" w:name="_Toc2049974436"/>
      <w:bookmarkStart w:id="307" w:name="_Toc71543325"/>
      <w:bookmarkStart w:id="308" w:name="_Toc813965440"/>
      <w:bookmarkStart w:id="309" w:name="_Toc642155508"/>
      <w:r>
        <w:rPr>
          <w:rFonts w:hint="default" w:ascii="Times New Roman" w:hAnsi="Times New Roman" w:eastAsia="黑体"/>
          <w:b w:val="0"/>
          <w:bCs w:val="0"/>
          <w:color w:val="auto"/>
          <w:sz w:val="28"/>
          <w:szCs w:val="28"/>
          <w:lang w:val="en-US" w:eastAsia="zh-CN"/>
        </w:rPr>
        <w:t>十、</w:t>
      </w:r>
      <w:bookmarkEnd w:id="300"/>
      <w:bookmarkEnd w:id="301"/>
      <w:bookmarkEnd w:id="302"/>
      <w:bookmarkEnd w:id="303"/>
      <w:bookmarkStart w:id="310" w:name="_Toc960541360"/>
      <w:bookmarkStart w:id="311" w:name="_Toc447654087"/>
      <w:bookmarkStart w:id="312" w:name="_Toc1279155327"/>
      <w:bookmarkStart w:id="313" w:name="_Toc89037649"/>
      <w:r>
        <w:rPr>
          <w:rFonts w:hint="default" w:ascii="Times New Roman" w:hAnsi="Times New Roman" w:eastAsia="黑体"/>
          <w:b w:val="0"/>
          <w:bCs w:val="0"/>
          <w:color w:val="auto"/>
          <w:sz w:val="28"/>
          <w:szCs w:val="28"/>
          <w:lang w:eastAsia="zh-CN"/>
        </w:rPr>
        <w:t>综合证明文件</w:t>
      </w:r>
      <w:bookmarkEnd w:id="304"/>
      <w:bookmarkEnd w:id="305"/>
      <w:bookmarkEnd w:id="306"/>
      <w:bookmarkEnd w:id="307"/>
      <w:bookmarkEnd w:id="308"/>
      <w:bookmarkEnd w:id="309"/>
      <w:bookmarkEnd w:id="310"/>
      <w:bookmarkEnd w:id="311"/>
      <w:bookmarkEnd w:id="312"/>
      <w:bookmarkEnd w:id="313"/>
    </w:p>
    <w:p>
      <w:pPr>
        <w:pStyle w:val="5"/>
        <w:spacing w:line="360" w:lineRule="exact"/>
        <w:rPr>
          <w:rFonts w:hint="default" w:ascii="Times New Roman" w:hAnsi="Times New Roman" w:eastAsia="仿宋_GB2312" w:cs="Times New Roman"/>
          <w:bCs w:val="0"/>
          <w:color w:val="auto"/>
          <w:kern w:val="0"/>
          <w:sz w:val="28"/>
          <w:szCs w:val="28"/>
          <w:lang w:eastAsia="zh-CN"/>
        </w:rPr>
      </w:pPr>
      <w:bookmarkStart w:id="314" w:name="_Toc1325819456_WPSOffice_Level3"/>
      <w:bookmarkStart w:id="315" w:name="_Toc71543326"/>
      <w:bookmarkStart w:id="316" w:name="_Toc947281468"/>
      <w:bookmarkStart w:id="317" w:name="_Toc765014490"/>
      <w:bookmarkStart w:id="318" w:name="_Toc1974888321"/>
      <w:bookmarkStart w:id="319" w:name="_Toc751864404"/>
      <w:bookmarkStart w:id="320" w:name="_Toc1984592160"/>
      <w:r>
        <w:rPr>
          <w:rFonts w:hint="default" w:ascii="Times New Roman" w:hAnsi="Times New Roman" w:eastAsia="仿宋_GB2312" w:cs="Times New Roman"/>
          <w:bCs w:val="0"/>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bCs w:val="0"/>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综合实力</w:t>
      </w:r>
      <w:bookmarkEnd w:id="314"/>
      <w:bookmarkEnd w:id="315"/>
      <w:bookmarkEnd w:id="316"/>
      <w:bookmarkEnd w:id="317"/>
      <w:bookmarkEnd w:id="318"/>
      <w:bookmarkEnd w:id="319"/>
      <w:bookmarkEnd w:id="320"/>
    </w:p>
    <w:p>
      <w:pPr>
        <w:spacing w:line="360" w:lineRule="auto"/>
        <w:ind w:firstLine="482"/>
        <w:jc w:val="left"/>
        <w:rPr>
          <w:rFonts w:hint="default" w:ascii="Times New Roman" w:hAnsi="Times New Roman" w:eastAsia="仿宋_GB2312" w:cs="Times New Roman"/>
          <w:color w:val="auto"/>
          <w:kern w:val="0"/>
          <w:sz w:val="28"/>
          <w:szCs w:val="28"/>
          <w:lang w:eastAsia="zh-CN"/>
        </w:rPr>
      </w:pPr>
    </w:p>
    <w:p>
      <w:pPr>
        <w:spacing w:line="360" w:lineRule="auto"/>
        <w:ind w:firstLine="482"/>
        <w:jc w:val="left"/>
        <w:rPr>
          <w:rFonts w:hint="default" w:ascii="Times New Roman" w:hAnsi="Times New Roman" w:eastAsia="仿宋_GB2312" w:cs="Times New Roman"/>
          <w:color w:val="auto"/>
          <w:kern w:val="0"/>
          <w:sz w:val="28"/>
          <w:szCs w:val="28"/>
          <w:lang w:eastAsia="zh-CN"/>
        </w:rPr>
      </w:pPr>
    </w:p>
    <w:p>
      <w:pPr>
        <w:spacing w:line="360" w:lineRule="auto"/>
        <w:ind w:firstLine="482"/>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根据竞争性磋商文件要求，提供供应商认证等证书。（提供认证</w:t>
      </w:r>
      <w:r>
        <w:rPr>
          <w:rFonts w:hint="default" w:ascii="Times New Roman" w:hAnsi="Times New Roman" w:eastAsia="仿宋_GB2312" w:cs="Times New Roman"/>
          <w:color w:val="auto"/>
          <w:sz w:val="28"/>
          <w:szCs w:val="28"/>
          <w:lang w:eastAsia="zh-CN"/>
        </w:rPr>
        <w:t>原件扫描件</w:t>
      </w:r>
      <w:r>
        <w:rPr>
          <w:rFonts w:hint="default" w:ascii="Times New Roman" w:hAnsi="Times New Roman" w:eastAsia="仿宋_GB2312" w:cs="Times New Roman"/>
          <w:color w:val="auto"/>
          <w:kern w:val="0"/>
          <w:sz w:val="28"/>
          <w:szCs w:val="28"/>
          <w:lang w:eastAsia="zh-CN"/>
        </w:rPr>
        <w:t>，扫描不清晰的不得分，竞争性磋商文件未要求的不需要提供）</w:t>
      </w:r>
    </w:p>
    <w:p>
      <w:pPr>
        <w:pStyle w:val="5"/>
        <w:spacing w:line="360" w:lineRule="exact"/>
        <w:rPr>
          <w:rFonts w:hint="default" w:ascii="Times New Roman" w:hAnsi="Times New Roman" w:eastAsia="仿宋_GB2312" w:cs="Times New Roman"/>
          <w:bCs w:val="0"/>
          <w:color w:val="auto"/>
          <w:kern w:val="0"/>
          <w:sz w:val="28"/>
          <w:szCs w:val="28"/>
          <w:lang w:eastAsia="zh-CN"/>
        </w:rPr>
      </w:pPr>
      <w:bookmarkStart w:id="321" w:name="_Toc619505013"/>
      <w:bookmarkStart w:id="322" w:name="_Toc2110045194"/>
      <w:bookmarkStart w:id="323" w:name="_Toc1281816136"/>
      <w:bookmarkStart w:id="324" w:name="_Toc1849820970"/>
      <w:bookmarkStart w:id="325" w:name="_Toc799340312_WPSOffice_Level3"/>
      <w:bookmarkStart w:id="326" w:name="_Toc973020382"/>
      <w:bookmarkStart w:id="327" w:name="_Toc71543327"/>
      <w:r>
        <w:rPr>
          <w:rFonts w:hint="default" w:ascii="Times New Roman" w:hAnsi="Times New Roman" w:eastAsia="仿宋_GB2312" w:cs="Times New Roman"/>
          <w:bCs w:val="0"/>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bCs w:val="0"/>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类似项目业绩</w:t>
      </w:r>
      <w:bookmarkEnd w:id="321"/>
      <w:bookmarkEnd w:id="322"/>
      <w:bookmarkEnd w:id="323"/>
      <w:bookmarkEnd w:id="324"/>
      <w:bookmarkEnd w:id="325"/>
      <w:bookmarkEnd w:id="326"/>
      <w:bookmarkEnd w:id="327"/>
    </w:p>
    <w:p>
      <w:pPr>
        <w:spacing w:line="36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附表：相关项目业绩一览表</w:t>
      </w:r>
    </w:p>
    <w:tbl>
      <w:tblPr>
        <w:tblStyle w:val="48"/>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23"/>
        <w:gridCol w:w="2524"/>
        <w:gridCol w:w="1788"/>
        <w:gridCol w:w="162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项目金额</w:t>
            </w:r>
          </w:p>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项目单位</w:t>
            </w:r>
          </w:p>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联系电话</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bl>
    <w:p>
      <w:pPr>
        <w:widowControl w:val="0"/>
        <w:rPr>
          <w:rFonts w:hint="default" w:ascii="Times New Roman" w:hAnsi="Times New Roman" w:eastAsia="仿宋_GB2312" w:cs="Times New Roman"/>
          <w:color w:val="auto"/>
          <w:sz w:val="28"/>
          <w:szCs w:val="28"/>
        </w:rPr>
      </w:pPr>
    </w:p>
    <w:p>
      <w:pPr>
        <w:spacing w:line="360" w:lineRule="auto"/>
        <w:ind w:left="282"/>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注：（</w:t>
      </w:r>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lang w:eastAsia="zh-CN"/>
        </w:rPr>
        <w:t>）供应商可按上述的格式自行编制，后附扫描件。</w:t>
      </w:r>
    </w:p>
    <w:p>
      <w:pPr>
        <w:numPr>
          <w:ilvl w:val="0"/>
          <w:numId w:val="9"/>
        </w:num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业绩扫描不清楚或合同总金额不明确的不予认可，虚假业绩将自行承担相关责任。</w:t>
      </w:r>
    </w:p>
    <w:p>
      <w:pPr>
        <w:numPr>
          <w:ilvl w:val="0"/>
          <w:numId w:val="9"/>
        </w:numPr>
        <w:spacing w:line="360" w:lineRule="auto"/>
        <w:rPr>
          <w:rFonts w:hint="default" w:ascii="Times New Roman" w:hAnsi="Times New Roman" w:eastAsia="仿宋_GB2312" w:cs="Times New Roman"/>
          <w:b/>
          <w:sz w:val="28"/>
          <w:szCs w:val="28"/>
          <w:lang w:eastAsia="zh-CN"/>
        </w:rPr>
      </w:pPr>
      <w:r>
        <w:rPr>
          <w:rFonts w:ascii="Times New Roman" w:hAnsi="Times New Roman" w:eastAsia="仿宋_GB2312" w:cs="Times New Roman"/>
          <w:b/>
          <w:sz w:val="28"/>
          <w:szCs w:val="28"/>
          <w:lang w:val="en-US" w:eastAsia="zh-CN"/>
        </w:rPr>
        <w:t>采购文件未要求提供业绩证明文件的，供应商可不提供。</w:t>
      </w:r>
    </w:p>
    <w:p>
      <w:pPr>
        <w:spacing w:line="440" w:lineRule="exact"/>
        <w:rPr>
          <w:rFonts w:hint="default" w:ascii="Times New Roman" w:hAnsi="Times New Roman" w:eastAsia="仿宋_GB2312" w:cs="Times New Roman"/>
          <w:color w:val="auto"/>
          <w:sz w:val="28"/>
          <w:szCs w:val="28"/>
          <w:lang w:val="en-US" w:eastAsia="zh-CN"/>
        </w:rPr>
      </w:pPr>
    </w:p>
    <w:p>
      <w:pPr>
        <w:pStyle w:val="2"/>
        <w:jc w:val="center"/>
        <w:rPr>
          <w:rFonts w:hint="default" w:ascii="Times New Roman" w:hAnsi="Times New Roman" w:eastAsia="黑体"/>
          <w:b w:val="0"/>
          <w:bCs w:val="0"/>
          <w:color w:val="auto"/>
          <w:sz w:val="28"/>
          <w:szCs w:val="28"/>
          <w:lang w:val="en-US" w:eastAsia="zh-CN"/>
        </w:rPr>
      </w:pPr>
      <w:r>
        <w:rPr>
          <w:rFonts w:hint="default" w:ascii="Times New Roman" w:hAnsi="Times New Roman"/>
          <w:lang w:val="en-US" w:eastAsia="zh-CN"/>
        </w:rPr>
        <w:br w:type="page"/>
      </w:r>
      <w:bookmarkStart w:id="328" w:name="_Toc1497172548"/>
      <w:bookmarkStart w:id="329" w:name="_Toc1184533414"/>
      <w:bookmarkStart w:id="330" w:name="_Toc973052495"/>
      <w:bookmarkStart w:id="331" w:name="_Toc2114111239"/>
      <w:bookmarkStart w:id="332" w:name="_Toc1439922488"/>
      <w:bookmarkStart w:id="333" w:name="_Toc2035786603"/>
      <w:bookmarkStart w:id="334" w:name="_Toc1323492610"/>
      <w:bookmarkStart w:id="335" w:name="_Toc1999724387"/>
      <w:bookmarkStart w:id="336" w:name="_Toc2046346837"/>
      <w:r>
        <w:rPr>
          <w:rFonts w:hint="default" w:ascii="Times New Roman" w:hAnsi="Times New Roman" w:eastAsia="黑体"/>
          <w:b w:val="0"/>
          <w:bCs w:val="0"/>
          <w:color w:val="auto"/>
          <w:sz w:val="28"/>
          <w:szCs w:val="28"/>
          <w:lang w:eastAsia="zh-CN"/>
        </w:rPr>
        <w:t>十一</w:t>
      </w:r>
      <w:r>
        <w:rPr>
          <w:rFonts w:hint="default" w:ascii="Times New Roman" w:hAnsi="Times New Roman" w:eastAsia="黑体"/>
          <w:b w:val="0"/>
          <w:bCs w:val="0"/>
          <w:color w:val="auto"/>
          <w:sz w:val="28"/>
          <w:szCs w:val="28"/>
          <w:lang w:val="en-US" w:eastAsia="zh-CN"/>
        </w:rPr>
        <w:t>、</w:t>
      </w:r>
      <w:bookmarkEnd w:id="328"/>
      <w:bookmarkEnd w:id="329"/>
      <w:bookmarkEnd w:id="330"/>
      <w:bookmarkEnd w:id="331"/>
      <w:bookmarkEnd w:id="332"/>
      <w:bookmarkEnd w:id="333"/>
      <w:bookmarkEnd w:id="334"/>
      <w:bookmarkEnd w:id="335"/>
      <w:bookmarkEnd w:id="336"/>
      <w:r>
        <w:rPr>
          <w:rFonts w:hint="default" w:ascii="Times New Roman" w:hAnsi="Times New Roman" w:eastAsia="黑体"/>
          <w:b w:val="0"/>
          <w:bCs w:val="0"/>
          <w:color w:val="auto"/>
          <w:sz w:val="28"/>
          <w:szCs w:val="28"/>
          <w:lang w:val="en-US" w:eastAsia="zh-CN"/>
        </w:rPr>
        <w:t>企业声明函</w:t>
      </w:r>
    </w:p>
    <w:p>
      <w:pPr>
        <w:pStyle w:val="134"/>
        <w:jc w:val="center"/>
        <w:rPr>
          <w:rFonts w:hint="default" w:cs="Times New Roman"/>
          <w:sz w:val="28"/>
          <w:szCs w:val="28"/>
          <w:lang w:eastAsia="zh-CN"/>
        </w:rPr>
      </w:pPr>
      <w:r>
        <w:rPr>
          <w:rFonts w:hint="default" w:cs="Times New Roman"/>
          <w:sz w:val="28"/>
          <w:szCs w:val="28"/>
          <w:lang w:eastAsia="zh-CN"/>
        </w:rPr>
        <w:t>中小企业声明函（工程、服务）</w:t>
      </w:r>
    </w:p>
    <w:p>
      <w:pPr>
        <w:spacing w:line="360" w:lineRule="auto"/>
        <w:jc w:val="center"/>
        <w:rPr>
          <w:rFonts w:hint="default" w:ascii="Times New Roman" w:hAnsi="Times New Roman" w:cs="Times New Roman"/>
          <w:kern w:val="0"/>
          <w:sz w:val="24"/>
          <w:szCs w:val="24"/>
          <w:lang w:eastAsia="zh-CN" w:bidi="zh-TW"/>
        </w:rPr>
      </w:pPr>
    </w:p>
    <w:p>
      <w:pPr>
        <w:spacing w:line="360" w:lineRule="auto"/>
        <w:jc w:val="center"/>
        <w:rPr>
          <w:rFonts w:hint="default" w:ascii="Times New Roman" w:hAnsi="Times New Roman" w:cs="Times New Roman"/>
          <w:kern w:val="0"/>
          <w:sz w:val="24"/>
          <w:szCs w:val="24"/>
          <w:lang w:eastAsia="zh-CN" w:bidi="zh-TW"/>
        </w:rPr>
      </w:pPr>
      <w:r>
        <w:rPr>
          <w:rFonts w:hint="default" w:ascii="Times New Roman" w:hAnsi="Times New Roman" w:cs="Times New Roman"/>
          <w:kern w:val="0"/>
          <w:sz w:val="24"/>
          <w:szCs w:val="24"/>
          <w:lang w:eastAsia="zh-CN" w:bidi="zh-TW"/>
        </w:rPr>
        <w:t>（供应商属于小微企业的填写，不属于的无需填写或不提供此项内容）</w:t>
      </w:r>
    </w:p>
    <w:p>
      <w:pPr>
        <w:pStyle w:val="171"/>
        <w:spacing w:line="522" w:lineRule="exact"/>
        <w:ind w:firstLine="660"/>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本公司（联合体）郑重声明，根据《政府采购促进中小企业发展管理办法》（财库〔2020〕46号）的规定，本公司（联合体）参加</w:t>
      </w:r>
      <w:r>
        <w:rPr>
          <w:rFonts w:hint="default" w:ascii="Times New Roman" w:hAnsi="Times New Roman" w:eastAsia="仿宋_GB2312" w:cs="Times New Roman"/>
          <w:sz w:val="24"/>
          <w:szCs w:val="24"/>
          <w:u w:val="single"/>
          <w:lang w:val="en-US" w:eastAsia="zh-CN"/>
        </w:rPr>
        <w:t xml:space="preserve"> 河南省文物考古研究院</w:t>
      </w:r>
      <w:r>
        <w:rPr>
          <w:rFonts w:hint="default" w:ascii="Times New Roman" w:hAnsi="Times New Roman" w:eastAsia="仿宋_GB2312" w:cs="Times New Roman"/>
          <w:sz w:val="24"/>
          <w:szCs w:val="24"/>
          <w:lang w:eastAsia="zh-CN"/>
        </w:rPr>
        <w:t>的</w:t>
      </w:r>
      <w:r>
        <w:rPr>
          <w:rFonts w:hint="default" w:ascii="Times New Roman" w:hAnsi="Times New Roman" w:eastAsia="仿宋_GB2312" w:cs="Times New Roman"/>
          <w:sz w:val="24"/>
          <w:szCs w:val="24"/>
          <w:u w:val="single"/>
          <w:lang w:val="en-US" w:eastAsia="zh-CN"/>
        </w:rPr>
        <w:t xml:space="preserve"> 河南省文物考古研究院2024年度安保服务招标采购项目 </w:t>
      </w:r>
      <w:r>
        <w:rPr>
          <w:rFonts w:hint="default" w:ascii="Times New Roman" w:hAnsi="Times New Roman" w:eastAsia="仿宋_GB2312" w:cs="Times New Roman"/>
          <w:sz w:val="24"/>
          <w:szCs w:val="24"/>
          <w:lang w:eastAsia="zh-CN"/>
        </w:rPr>
        <w:t>招标项采购活动,服务全部由符合政策要求的中小企业承接。相关企业（含联合体中的中小企业、签订分包意向协议的中小企业）的具体情况如下：</w:t>
      </w:r>
    </w:p>
    <w:p>
      <w:pPr>
        <w:pStyle w:val="171"/>
        <w:numPr>
          <w:ilvl w:val="0"/>
          <w:numId w:val="10"/>
        </w:numPr>
        <w:tabs>
          <w:tab w:val="left" w:pos="1234"/>
          <w:tab w:val="left" w:pos="4104"/>
        </w:tabs>
        <w:spacing w:line="515" w:lineRule="exact"/>
        <w:ind w:firstLine="660"/>
        <w:jc w:val="both"/>
        <w:rPr>
          <w:rFonts w:hint="default" w:ascii="Times New Roman" w:hAnsi="Times New Roman" w:eastAsia="仿宋_GB2312" w:cs="Times New Roman"/>
          <w:sz w:val="24"/>
          <w:szCs w:val="24"/>
          <w:lang w:eastAsia="zh-CN"/>
        </w:rPr>
      </w:pPr>
      <w:bookmarkStart w:id="337" w:name="bookmark26"/>
      <w:bookmarkEnd w:id="337"/>
      <w:r>
        <w:rPr>
          <w:rFonts w:hint="default" w:ascii="Times New Roman" w:hAnsi="Times New Roman" w:eastAsia="仿宋_GB2312" w:cs="Times New Roman"/>
          <w:i/>
          <w:iCs/>
          <w:sz w:val="24"/>
          <w:szCs w:val="24"/>
          <w:u w:val="single"/>
          <w:lang w:eastAsia="zh-CN"/>
        </w:rPr>
        <w:t>（标的名称）</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eastAsia="zh-CN"/>
        </w:rPr>
        <w:t>,属于</w:t>
      </w:r>
      <w:r>
        <w:rPr>
          <w:rFonts w:ascii="仿宋_GB2312" w:hAnsi="仿宋_GB2312" w:eastAsia="仿宋_GB2312" w:cs="仿宋_GB2312"/>
          <w:i/>
          <w:sz w:val="24"/>
          <w:szCs w:val="24"/>
          <w:u w:val="single"/>
        </w:rPr>
        <w:t>（采购文件中明确的所属行业）</w:t>
      </w:r>
      <w:r>
        <w:rPr>
          <w:rFonts w:hint="default" w:ascii="Times New Roman" w:hAnsi="Times New Roman" w:eastAsia="仿宋_GB2312" w:cs="Times New Roman"/>
          <w:i/>
          <w:iCs/>
          <w:sz w:val="24"/>
          <w:szCs w:val="24"/>
          <w:lang w:val="zh-CN" w:eastAsia="zh-CN" w:bidi="zh-CN"/>
        </w:rPr>
        <w:t>；</w:t>
      </w:r>
      <w:r>
        <w:rPr>
          <w:rFonts w:hint="default" w:ascii="Times New Roman" w:hAnsi="Times New Roman" w:eastAsia="仿宋_GB2312" w:cs="Times New Roman"/>
          <w:sz w:val="24"/>
          <w:szCs w:val="24"/>
          <w:lang w:eastAsia="zh-CN"/>
        </w:rPr>
        <w:t>承建（承接）企业为</w:t>
      </w:r>
      <w:r>
        <w:rPr>
          <w:rFonts w:hint="default" w:ascii="Times New Roman" w:hAnsi="Times New Roman" w:eastAsia="仿宋_GB2312" w:cs="Times New Roman"/>
          <w:i/>
          <w:iCs/>
          <w:sz w:val="24"/>
          <w:szCs w:val="24"/>
          <w:u w:val="single"/>
          <w:lang w:eastAsia="zh-CN"/>
        </w:rPr>
        <w:t>（企业名称）</w:t>
      </w:r>
      <w:r>
        <w:rPr>
          <w:rFonts w:hint="default" w:ascii="Times New Roman" w:hAnsi="Times New Roman" w:eastAsia="仿宋_GB2312" w:cs="Times New Roman"/>
          <w:i/>
          <w:iCs/>
          <w:sz w:val="24"/>
          <w:szCs w:val="24"/>
          <w:lang w:eastAsia="zh-CN"/>
        </w:rPr>
        <w:t>,</w:t>
      </w:r>
      <w:r>
        <w:rPr>
          <w:rFonts w:hint="default" w:ascii="Times New Roman" w:hAnsi="Times New Roman" w:eastAsia="仿宋_GB2312" w:cs="Times New Roman"/>
          <w:sz w:val="24"/>
          <w:szCs w:val="24"/>
          <w:lang w:eastAsia="zh-CN"/>
        </w:rPr>
        <w:t>从业人员</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lang w:eastAsia="zh-CN"/>
        </w:rPr>
        <w:t>人，营业收入为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w:t>
      </w:r>
      <w:r>
        <w:rPr>
          <w:rFonts w:hint="default" w:ascii="Times New Roman" w:hAnsi="Times New Roman" w:eastAsia="仿宋_GB2312" w:cs="Times New Roman"/>
          <w:sz w:val="24"/>
          <w:szCs w:val="24"/>
          <w:vertAlign w:val="superscript"/>
          <w:lang w:eastAsia="zh-CN"/>
        </w:rPr>
        <w:t>1</w:t>
      </w:r>
      <w:r>
        <w:rPr>
          <w:rFonts w:hint="default" w:ascii="Times New Roman" w:hAnsi="Times New Roman" w:eastAsia="仿宋_GB2312" w:cs="Times New Roman"/>
          <w:sz w:val="24"/>
          <w:szCs w:val="24"/>
          <w:lang w:eastAsia="zh-CN"/>
        </w:rPr>
        <w:t>，资产总额为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w:t>
      </w:r>
      <w:r>
        <w:rPr>
          <w:rFonts w:hint="default" w:ascii="Times New Roman" w:hAnsi="Times New Roman" w:eastAsia="仿宋_GB2312" w:cs="Times New Roman"/>
          <w:sz w:val="24"/>
          <w:szCs w:val="24"/>
          <w:vertAlign w:val="superscript"/>
          <w:lang w:eastAsia="zh-CN"/>
        </w:rPr>
        <w:t>1</w:t>
      </w:r>
      <w:r>
        <w:rPr>
          <w:rFonts w:hint="default" w:ascii="Times New Roman" w:hAnsi="Times New Roman" w:eastAsia="仿宋_GB2312" w:cs="Times New Roman"/>
          <w:sz w:val="24"/>
          <w:szCs w:val="24"/>
          <w:lang w:val="en-US" w:eastAsia="zh-CN" w:bidi="en-US"/>
        </w:rPr>
        <w:t>，</w:t>
      </w:r>
      <w:r>
        <w:rPr>
          <w:rFonts w:hint="default" w:ascii="Times New Roman" w:hAnsi="Times New Roman" w:eastAsia="仿宋_GB2312" w:cs="Times New Roman"/>
          <w:sz w:val="24"/>
          <w:szCs w:val="24"/>
          <w:lang w:eastAsia="zh-CN"/>
        </w:rPr>
        <w:t>属于</w:t>
      </w:r>
      <w:r>
        <w:rPr>
          <w:rFonts w:hint="default" w:ascii="Times New Roman" w:hAnsi="Times New Roman" w:eastAsia="仿宋_GB2312" w:cs="Times New Roman"/>
          <w:i/>
          <w:iCs/>
          <w:sz w:val="24"/>
          <w:szCs w:val="24"/>
          <w:u w:val="single"/>
          <w:lang w:eastAsia="zh-CN"/>
        </w:rPr>
        <w:t>（中型企业、 小型企业、微型企业）</w:t>
      </w:r>
      <w:r>
        <w:rPr>
          <w:rFonts w:hint="default" w:ascii="Times New Roman" w:hAnsi="Times New Roman" w:eastAsia="仿宋_GB2312" w:cs="Times New Roman"/>
          <w:i/>
          <w:iCs/>
          <w:sz w:val="24"/>
          <w:szCs w:val="24"/>
          <w:lang w:eastAsia="zh-CN"/>
        </w:rPr>
        <w:t>；</w:t>
      </w:r>
    </w:p>
    <w:p>
      <w:pPr>
        <w:pStyle w:val="171"/>
        <w:numPr>
          <w:ilvl w:val="0"/>
          <w:numId w:val="10"/>
        </w:numPr>
        <w:tabs>
          <w:tab w:val="left" w:pos="1234"/>
          <w:tab w:val="left" w:pos="4588"/>
        </w:tabs>
        <w:spacing w:line="517" w:lineRule="exact"/>
        <w:ind w:firstLine="660"/>
        <w:jc w:val="both"/>
        <w:rPr>
          <w:rFonts w:hint="default" w:ascii="Times New Roman" w:hAnsi="Times New Roman" w:eastAsia="仿宋_GB2312" w:cs="Times New Roman"/>
          <w:sz w:val="24"/>
          <w:szCs w:val="24"/>
          <w:lang w:eastAsia="zh-CN"/>
        </w:rPr>
      </w:pPr>
      <w:bookmarkStart w:id="338" w:name="bookmark27"/>
      <w:bookmarkEnd w:id="338"/>
      <w:r>
        <w:rPr>
          <w:rFonts w:hint="default" w:ascii="Times New Roman" w:hAnsi="Times New Roman" w:eastAsia="仿宋_GB2312" w:cs="Times New Roman"/>
          <w:i/>
          <w:iCs/>
          <w:sz w:val="24"/>
          <w:szCs w:val="24"/>
          <w:u w:val="single"/>
          <w:lang w:eastAsia="zh-CN"/>
        </w:rPr>
        <w:t>（标的名称）</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eastAsia="zh-CN"/>
        </w:rPr>
        <w:t>,属于</w:t>
      </w:r>
      <w:r>
        <w:rPr>
          <w:rFonts w:ascii="Times New Roman" w:hAnsi="Times New Roman" w:eastAsia="仿宋_GB2312" w:cs="Times New Roman"/>
          <w:i/>
          <w:iCs/>
          <w:sz w:val="24"/>
          <w:szCs w:val="24"/>
          <w:u w:val="single"/>
          <w:lang w:val="en-US" w:eastAsia="zh-CN"/>
        </w:rPr>
        <w:t xml:space="preserve"> </w:t>
      </w:r>
      <w:r>
        <w:rPr>
          <w:rFonts w:ascii="仿宋_GB2312" w:hAnsi="仿宋_GB2312" w:eastAsia="仿宋_GB2312" w:cs="仿宋_GB2312"/>
          <w:i/>
          <w:sz w:val="24"/>
          <w:szCs w:val="24"/>
          <w:u w:val="single"/>
        </w:rPr>
        <w:t>（采购文件中明确的所属行业）</w:t>
      </w:r>
      <w:r>
        <w:rPr>
          <w:rFonts w:hint="default" w:ascii="Times New Roman" w:hAnsi="Times New Roman" w:eastAsia="仿宋_GB2312" w:cs="Times New Roman"/>
          <w:i/>
          <w:iCs/>
          <w:sz w:val="24"/>
          <w:szCs w:val="24"/>
          <w:lang w:val="zh-CN" w:eastAsia="zh-CN" w:bidi="zh-CN"/>
        </w:rPr>
        <w:t>；</w:t>
      </w:r>
      <w:r>
        <w:rPr>
          <w:rFonts w:hint="default" w:ascii="Times New Roman" w:hAnsi="Times New Roman" w:eastAsia="仿宋_GB2312" w:cs="Times New Roman"/>
          <w:sz w:val="24"/>
          <w:szCs w:val="24"/>
          <w:lang w:eastAsia="zh-CN"/>
        </w:rPr>
        <w:t>承建（承接）企业为</w:t>
      </w:r>
      <w:r>
        <w:rPr>
          <w:rFonts w:hint="default" w:ascii="Times New Roman" w:hAnsi="Times New Roman" w:eastAsia="仿宋_GB2312" w:cs="Times New Roman"/>
          <w:i/>
          <w:iCs/>
          <w:sz w:val="24"/>
          <w:szCs w:val="24"/>
          <w:u w:val="single"/>
          <w:lang w:eastAsia="zh-CN"/>
        </w:rPr>
        <w:t>（企业名称）</w:t>
      </w:r>
      <w:r>
        <w:rPr>
          <w:rFonts w:hint="default" w:ascii="Times New Roman" w:hAnsi="Times New Roman" w:eastAsia="仿宋_GB2312" w:cs="Times New Roman"/>
          <w:i/>
          <w:iCs/>
          <w:sz w:val="24"/>
          <w:szCs w:val="24"/>
          <w:lang w:eastAsia="zh-CN"/>
        </w:rPr>
        <w:t>,</w:t>
      </w:r>
      <w:r>
        <w:rPr>
          <w:rFonts w:hint="default" w:ascii="Times New Roman" w:hAnsi="Times New Roman" w:eastAsia="仿宋_GB2312" w:cs="Times New Roman"/>
          <w:sz w:val="24"/>
          <w:szCs w:val="24"/>
          <w:lang w:eastAsia="zh-CN"/>
        </w:rPr>
        <w:t>从业人员</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lang w:eastAsia="zh-CN"/>
        </w:rPr>
        <w:t>人，营业收入为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万元，资产总额为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w:t>
      </w:r>
      <w:r>
        <w:rPr>
          <w:rFonts w:hint="default" w:ascii="Times New Roman" w:hAnsi="Times New Roman" w:eastAsia="仿宋_GB2312" w:cs="Times New Roman"/>
          <w:sz w:val="24"/>
          <w:szCs w:val="24"/>
          <w:lang w:val="en-US" w:eastAsia="zh-CN" w:bidi="en-US"/>
        </w:rPr>
        <w:t>，</w:t>
      </w:r>
      <w:r>
        <w:rPr>
          <w:rFonts w:hint="default" w:ascii="Times New Roman" w:hAnsi="Times New Roman" w:eastAsia="仿宋_GB2312" w:cs="Times New Roman"/>
          <w:sz w:val="24"/>
          <w:szCs w:val="24"/>
          <w:lang w:eastAsia="zh-CN"/>
        </w:rPr>
        <w:t>属于</w:t>
      </w:r>
      <w:r>
        <w:rPr>
          <w:rFonts w:hint="default" w:ascii="Times New Roman" w:hAnsi="Times New Roman" w:eastAsia="仿宋_GB2312" w:cs="Times New Roman"/>
          <w:i/>
          <w:iCs/>
          <w:sz w:val="24"/>
          <w:szCs w:val="24"/>
          <w:u w:val="single"/>
          <w:lang w:eastAsia="zh-CN"/>
        </w:rPr>
        <w:t>（中型企业、 小型企业、微型企业）</w:t>
      </w:r>
      <w:r>
        <w:rPr>
          <w:rFonts w:hint="default" w:ascii="Times New Roman" w:hAnsi="Times New Roman" w:eastAsia="仿宋_GB2312" w:cs="Times New Roman"/>
          <w:i/>
          <w:iCs/>
          <w:sz w:val="24"/>
          <w:szCs w:val="24"/>
          <w:lang w:eastAsia="zh-CN"/>
        </w:rPr>
        <w:t>；</w:t>
      </w:r>
    </w:p>
    <w:p>
      <w:pPr>
        <w:pStyle w:val="171"/>
        <w:tabs>
          <w:tab w:val="left" w:pos="1234"/>
          <w:tab w:val="left" w:pos="7008"/>
        </w:tabs>
        <w:spacing w:line="517"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p>
    <w:p>
      <w:pPr>
        <w:pStyle w:val="171"/>
        <w:spacing w:line="522" w:lineRule="exact"/>
        <w:ind w:firstLine="660"/>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以上企业，不属于大企业的分支机构，不存在控股股东为大企业的情形，也不存在与大企业的负责人为同一人的情形。</w:t>
      </w:r>
    </w:p>
    <w:p>
      <w:pPr>
        <w:pStyle w:val="205"/>
        <w:spacing w:line="400" w:lineRule="exact"/>
        <w:ind w:left="473"/>
        <w:rPr>
          <w:rFonts w:hint="default" w:ascii="Times New Roman" w:hAnsi="Times New Roman" w:cs="Times New Roman"/>
          <w:sz w:val="22"/>
          <w:szCs w:val="22"/>
          <w:lang w:eastAsia="zh-CN"/>
        </w:rPr>
      </w:pPr>
      <w:r>
        <w:rPr>
          <w:rFonts w:hint="default" w:ascii="Times New Roman" w:hAnsi="Times New Roman" w:cs="Times New Roman"/>
          <w:lang w:eastAsia="zh-CN"/>
        </w:rPr>
        <w:t>本企业对上述声明内容的真实性负责。如有虚假，将依法承担相应责任。</w:t>
      </w:r>
    </w:p>
    <w:p>
      <w:pPr>
        <w:pStyle w:val="205"/>
        <w:spacing w:line="400" w:lineRule="exact"/>
        <w:ind w:left="473" w:firstLine="495"/>
        <w:rPr>
          <w:rFonts w:hint="default" w:ascii="Times New Roman" w:hAnsi="Times New Roman" w:cs="Times New Roman"/>
          <w:sz w:val="22"/>
          <w:szCs w:val="22"/>
          <w:lang w:eastAsia="zh-CN"/>
        </w:rPr>
      </w:pPr>
    </w:p>
    <w:p>
      <w:pPr>
        <w:spacing w:line="400" w:lineRule="exact"/>
        <w:ind w:firstLine="3360" w:firstLineChars="1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供应商（企业电子签章）：</w:t>
      </w:r>
    </w:p>
    <w:p>
      <w:pPr>
        <w:pBdr>
          <w:bottom w:val="single" w:color="auto" w:sz="6" w:space="1"/>
        </w:pBdr>
        <w:spacing w:line="400" w:lineRule="exact"/>
        <w:ind w:firstLine="3360" w:firstLineChars="1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w:t>
      </w:r>
    </w:p>
    <w:p>
      <w:pPr>
        <w:pBdr>
          <w:bottom w:val="single" w:color="auto" w:sz="6" w:space="1"/>
        </w:pBdr>
        <w:spacing w:line="400" w:lineRule="exact"/>
        <w:rPr>
          <w:rFonts w:hint="default" w:ascii="Times New Roman" w:hAnsi="Times New Roman" w:eastAsia="仿宋_GB2312" w:cs="Times New Roman"/>
          <w:sz w:val="28"/>
          <w:szCs w:val="28"/>
          <w:lang w:eastAsia="zh-CN"/>
        </w:rPr>
      </w:pPr>
    </w:p>
    <w:p>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从业人员、营业收入、资产总额填报上一年度数据，无上一年度数据的新成立企业可不填报。</w:t>
      </w:r>
    </w:p>
    <w:p>
      <w:pPr>
        <w:spacing w:line="588"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4"/>
          <w:lang w:eastAsia="zh-CN"/>
        </w:rPr>
        <w:br w:type="page"/>
      </w:r>
      <w:bookmarkStart w:id="339" w:name="OLE_LINK13"/>
      <w:bookmarkStart w:id="340" w:name="OLE_LINK14"/>
      <w:r>
        <w:rPr>
          <w:rFonts w:hint="default" w:ascii="Times New Roman" w:hAnsi="Times New Roman" w:eastAsia="仿宋_GB2312" w:cs="Times New Roman"/>
          <w:b/>
          <w:sz w:val="28"/>
          <w:szCs w:val="28"/>
          <w:lang w:eastAsia="zh-CN"/>
        </w:rPr>
        <w:t>残疾人福利性单位声明函</w:t>
      </w:r>
    </w:p>
    <w:bookmarkEnd w:id="339"/>
    <w:bookmarkEnd w:id="340"/>
    <w:p>
      <w:pPr>
        <w:spacing w:line="360" w:lineRule="auto"/>
        <w:jc w:val="center"/>
        <w:rPr>
          <w:rFonts w:hint="default" w:ascii="Times New Roman" w:hAnsi="Times New Roman" w:eastAsia="仿宋_GB2312" w:cs="Times New Roman"/>
          <w:lang w:eastAsia="zh-CN"/>
        </w:rPr>
      </w:pPr>
    </w:p>
    <w:p>
      <w:pPr>
        <w:spacing w:line="36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lang w:eastAsia="zh-CN"/>
        </w:rPr>
        <w:t>（供应商属于残疾人福利性单位的填写，不属于的无需填写此项内容）</w:t>
      </w:r>
    </w:p>
    <w:p>
      <w:pPr>
        <w:spacing w:line="588" w:lineRule="exact"/>
        <w:rPr>
          <w:rFonts w:hint="default" w:ascii="Times New Roman" w:hAnsi="Times New Roman" w:eastAsia="仿宋_GB2312" w:cs="Times New Roman"/>
          <w:b/>
          <w:spacing w:val="6"/>
          <w:sz w:val="30"/>
          <w:szCs w:val="30"/>
          <w:lang w:eastAsia="zh-CN"/>
        </w:rPr>
      </w:pPr>
    </w:p>
    <w:p>
      <w:pPr>
        <w:spacing w:line="360" w:lineRule="auto"/>
        <w:ind w:firstLine="720" w:firstLineChars="300"/>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本单位对上述声明的真实性负责。如有虚假，将依法承担相应责任。</w:t>
      </w:r>
    </w:p>
    <w:p>
      <w:pPr>
        <w:spacing w:line="360" w:lineRule="auto"/>
        <w:rPr>
          <w:rFonts w:hint="default" w:ascii="Times New Roman" w:hAnsi="Times New Roman" w:eastAsia="仿宋_GB2312" w:cs="Times New Roman"/>
          <w:sz w:val="24"/>
          <w:szCs w:val="28"/>
          <w:lang w:eastAsia="zh-CN"/>
        </w:rPr>
      </w:pPr>
    </w:p>
    <w:p>
      <w:pPr>
        <w:spacing w:line="360" w:lineRule="auto"/>
        <w:jc w:val="right"/>
        <w:rPr>
          <w:rFonts w:hint="default" w:ascii="Times New Roman" w:hAnsi="Times New Roman" w:eastAsia="仿宋_GB2312" w:cs="Times New Roman"/>
          <w:sz w:val="24"/>
          <w:szCs w:val="28"/>
          <w:lang w:eastAsia="zh-CN"/>
        </w:rPr>
      </w:pPr>
    </w:p>
    <w:p>
      <w:pPr>
        <w:spacing w:line="360" w:lineRule="auto"/>
        <w:ind w:firstLine="480"/>
        <w:jc w:val="left"/>
        <w:textAlignment w:val="baseline"/>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供应商（企业电子签章）：</w:t>
      </w:r>
    </w:p>
    <w:p>
      <w:pPr>
        <w:spacing w:line="360" w:lineRule="auto"/>
        <w:ind w:firstLine="480"/>
        <w:jc w:val="left"/>
        <w:textAlignment w:val="baseline"/>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lang w:eastAsia="zh-CN"/>
        </w:rPr>
        <w:t>日期：</w:t>
      </w:r>
      <w:r>
        <w:rPr>
          <w:rFonts w:hint="default" w:ascii="Times New Roman" w:hAnsi="Times New Roman" w:eastAsia="仿宋_GB2312" w:cs="Times New Roman"/>
          <w:sz w:val="24"/>
          <w:szCs w:val="24"/>
          <w:lang w:eastAsia="zh-CN"/>
        </w:rPr>
        <w:t xml:space="preserve">      年   月   日</w:t>
      </w:r>
    </w:p>
    <w:p>
      <w:pPr>
        <w:spacing w:line="360" w:lineRule="auto"/>
        <w:ind w:firstLine="480"/>
        <w:jc w:val="left"/>
        <w:textAlignment w:val="baseline"/>
        <w:rPr>
          <w:rFonts w:hint="default" w:ascii="Times New Roman" w:hAnsi="Times New Roman" w:eastAsia="仿宋_GB2312" w:cs="Times New Roman"/>
          <w:sz w:val="24"/>
          <w:szCs w:val="24"/>
          <w:lang w:eastAsia="zh-CN"/>
        </w:rPr>
      </w:pPr>
    </w:p>
    <w:p>
      <w:pPr>
        <w:spacing w:line="360" w:lineRule="auto"/>
        <w:ind w:firstLine="480"/>
        <w:jc w:val="left"/>
        <w:textAlignment w:val="baseline"/>
        <w:rPr>
          <w:rFonts w:hint="default" w:ascii="Times New Roman" w:hAnsi="Times New Roman" w:eastAsia="仿宋_GB2312" w:cs="Times New Roman"/>
          <w:sz w:val="24"/>
          <w:szCs w:val="24"/>
          <w:lang w:eastAsia="zh-CN"/>
        </w:rPr>
      </w:pPr>
    </w:p>
    <w:p>
      <w:pPr>
        <w:spacing w:line="360" w:lineRule="auto"/>
        <w:ind w:firstLine="480"/>
        <w:jc w:val="left"/>
        <w:textAlignment w:val="baseline"/>
        <w:rPr>
          <w:rFonts w:hint="default" w:ascii="Times New Roman" w:hAnsi="Times New Roman" w:eastAsia="仿宋_GB2312" w:cs="Times New Roman"/>
          <w:sz w:val="24"/>
          <w:szCs w:val="24"/>
          <w:lang w:eastAsia="zh-CN"/>
        </w:rPr>
      </w:pPr>
    </w:p>
    <w:p>
      <w:pPr>
        <w:spacing w:line="360" w:lineRule="auto"/>
        <w:ind w:firstLine="480"/>
        <w:jc w:val="left"/>
        <w:textAlignment w:val="baseline"/>
        <w:rPr>
          <w:rFonts w:hint="default" w:ascii="Times New Roman" w:hAnsi="Times New Roman" w:eastAsia="仿宋_GB2312" w:cs="Times New Roman"/>
          <w:b/>
          <w:sz w:val="30"/>
          <w:szCs w:val="30"/>
          <w:lang w:eastAsia="zh-CN"/>
        </w:rPr>
      </w:pPr>
    </w:p>
    <w:p>
      <w:pPr>
        <w:pStyle w:val="42"/>
        <w:shd w:val="clear" w:color="auto" w:fill="FFFFFF"/>
        <w:spacing w:before="0" w:beforeAutospacing="0" w:after="0" w:afterAutospacing="0" w:line="560" w:lineRule="atLeast"/>
        <w:ind w:firstLine="420" w:firstLineChars="200"/>
        <w:jc w:val="both"/>
        <w:textAlignment w:val="baseline"/>
        <w:rPr>
          <w:rFonts w:ascii="Times New Roman" w:hAnsi="Times New Roman" w:eastAsia="仿宋_GB2312" w:cs="Times New Roman"/>
          <w:color w:val="000000"/>
          <w:kern w:val="2"/>
          <w:sz w:val="21"/>
          <w:szCs w:val="21"/>
        </w:rPr>
      </w:pPr>
      <w:r>
        <w:rPr>
          <w:rFonts w:ascii="Times New Roman" w:hAnsi="Times New Roman" w:eastAsia="仿宋_GB2312" w:cs="Times New Roman"/>
          <w:color w:val="000000"/>
          <w:kern w:val="2"/>
          <w:sz w:val="21"/>
          <w:szCs w:val="21"/>
        </w:rPr>
        <w:t>注：1、中标、成交供应商为残疾人福利性单位的，采购人或者集采机构将随中标、成交结果同时公告其《残疾人福利性单位声明函》，接受社会监督。</w:t>
      </w:r>
    </w:p>
    <w:p>
      <w:pPr>
        <w:pStyle w:val="42"/>
        <w:shd w:val="clear" w:color="auto" w:fill="FFFFFF"/>
        <w:spacing w:before="0" w:beforeAutospacing="0" w:after="0" w:afterAutospacing="0" w:line="560" w:lineRule="atLeast"/>
        <w:ind w:firstLine="420"/>
        <w:jc w:val="both"/>
        <w:textAlignment w:val="baseline"/>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2"/>
          <w:sz w:val="21"/>
          <w:szCs w:val="21"/>
        </w:rPr>
        <w:t>2、供应商提供的《残疾人福利性单位声明函》与事实不符的，依照《政府采购法》第七十七条第一款的规定追究法律责任</w:t>
      </w:r>
      <w:r>
        <w:rPr>
          <w:rFonts w:ascii="Times New Roman" w:hAnsi="Times New Roman" w:eastAsia="仿宋_GB2312" w:cs="Times New Roman"/>
          <w:color w:val="000000"/>
          <w:sz w:val="28"/>
          <w:szCs w:val="28"/>
          <w:shd w:val="clear" w:color="auto" w:fill="FFFFFF"/>
        </w:rPr>
        <w:t>。</w:t>
      </w:r>
    </w:p>
    <w:p>
      <w:pPr>
        <w:pStyle w:val="2"/>
        <w:jc w:val="center"/>
        <w:rPr>
          <w:rFonts w:hint="default" w:ascii="Times New Roman" w:hAnsi="Times New Roman" w:eastAsia="黑体"/>
          <w:b w:val="0"/>
          <w:bCs w:val="0"/>
          <w:color w:val="auto"/>
          <w:sz w:val="28"/>
          <w:szCs w:val="28"/>
          <w:lang w:val="en-US" w:eastAsia="zh-CN"/>
        </w:rPr>
      </w:pPr>
      <w:r>
        <w:rPr>
          <w:rFonts w:hint="default" w:ascii="Times New Roman" w:hAnsi="Times New Roman" w:eastAsia="仿宋_GB2312"/>
          <w:sz w:val="24"/>
          <w:lang w:eastAsia="zh-CN"/>
        </w:rPr>
        <w:br w:type="page"/>
      </w:r>
      <w:bookmarkStart w:id="341" w:name="_Toc1179847034"/>
      <w:bookmarkStart w:id="342" w:name="_Toc952520719"/>
      <w:bookmarkStart w:id="343" w:name="_Toc237482121"/>
      <w:bookmarkStart w:id="344" w:name="_Toc1306770718"/>
      <w:bookmarkStart w:id="345" w:name="_Toc807820015"/>
      <w:bookmarkStart w:id="346" w:name="_Toc1712283003"/>
      <w:bookmarkStart w:id="347" w:name="_Toc1888555944"/>
      <w:bookmarkStart w:id="348" w:name="_Toc1929226479"/>
      <w:bookmarkStart w:id="349" w:name="_Toc1562600580"/>
      <w:r>
        <w:rPr>
          <w:rFonts w:hint="default" w:ascii="Times New Roman" w:hAnsi="Times New Roman" w:eastAsia="黑体"/>
          <w:b w:val="0"/>
          <w:bCs w:val="0"/>
          <w:color w:val="auto"/>
          <w:sz w:val="28"/>
          <w:szCs w:val="28"/>
          <w:lang w:eastAsia="zh-CN"/>
        </w:rPr>
        <w:t>十二</w:t>
      </w:r>
      <w:r>
        <w:rPr>
          <w:rFonts w:hint="default" w:ascii="Times New Roman" w:hAnsi="Times New Roman" w:eastAsia="黑体"/>
          <w:b w:val="0"/>
          <w:bCs w:val="0"/>
          <w:color w:val="auto"/>
          <w:sz w:val="28"/>
          <w:szCs w:val="28"/>
          <w:lang w:val="en-US" w:eastAsia="zh-CN"/>
        </w:rPr>
        <w:t>、</w:t>
      </w:r>
      <w:r>
        <w:rPr>
          <w:rFonts w:hint="default" w:ascii="Times New Roman" w:hAnsi="Times New Roman" w:eastAsia="黑体"/>
          <w:b w:val="0"/>
          <w:bCs w:val="0"/>
          <w:color w:val="auto"/>
          <w:sz w:val="28"/>
          <w:szCs w:val="28"/>
          <w:lang w:eastAsia="zh-CN"/>
        </w:rPr>
        <w:t>供应商关联单位的说明</w:t>
      </w:r>
      <w:bookmarkEnd w:id="341"/>
      <w:bookmarkEnd w:id="342"/>
      <w:bookmarkEnd w:id="343"/>
      <w:bookmarkEnd w:id="344"/>
      <w:bookmarkEnd w:id="345"/>
      <w:bookmarkEnd w:id="346"/>
      <w:bookmarkEnd w:id="347"/>
      <w:bookmarkEnd w:id="348"/>
      <w:bookmarkEnd w:id="349"/>
    </w:p>
    <w:p>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sz w:val="30"/>
          <w:szCs w:val="30"/>
          <w:lang w:val="en-US" w:eastAsia="zh-CN"/>
        </w:rPr>
        <w:t>我单位作为本次采购项目的供应商，根据</w:t>
      </w:r>
      <w:r>
        <w:rPr>
          <w:rFonts w:hint="default" w:ascii="Times New Roman" w:hAnsi="Times New Roman" w:eastAsia="仿宋_GB2312" w:cs="Times New Roman"/>
          <w:color w:val="auto"/>
          <w:sz w:val="30"/>
          <w:szCs w:val="30"/>
          <w:lang w:eastAsia="zh-CN"/>
        </w:rPr>
        <w:t>竞争性磋商文件</w:t>
      </w:r>
      <w:r>
        <w:rPr>
          <w:rFonts w:hint="default" w:ascii="Times New Roman" w:hAnsi="Times New Roman" w:eastAsia="仿宋_GB2312" w:cs="Times New Roman"/>
          <w:color w:val="auto"/>
          <w:sz w:val="30"/>
          <w:szCs w:val="30"/>
          <w:lang w:val="en-US" w:eastAsia="zh-CN"/>
        </w:rPr>
        <w:t>要求，现郑重承诺如下：</w:t>
      </w:r>
    </w:p>
    <w:p>
      <w:pPr>
        <w:shd w:val="clear" w:color="auto" w:fill="FFFFFF"/>
        <w:spacing w:line="360" w:lineRule="auto"/>
        <w:ind w:firstLine="480"/>
        <w:jc w:val="left"/>
        <w:rPr>
          <w:rFonts w:hint="default" w:ascii="Times New Roman" w:hAnsi="Times New Roman" w:cs="Times New Roman"/>
          <w:spacing w:val="8"/>
          <w:kern w:val="0"/>
          <w:sz w:val="24"/>
          <w:lang w:eastAsia="zh-CN"/>
        </w:rPr>
      </w:pPr>
      <w:r>
        <w:rPr>
          <w:rFonts w:hint="default" w:ascii="Times New Roman" w:hAnsi="Times New Roman" w:eastAsia="仿宋_GB2312" w:cs="Times New Roman"/>
          <w:color w:val="auto"/>
          <w:sz w:val="28"/>
          <w:szCs w:val="28"/>
          <w:lang w:val="en-US" w:eastAsia="zh-CN"/>
        </w:rPr>
        <w:t>我单位参加本次</w:t>
      </w:r>
      <w:r>
        <w:rPr>
          <w:rFonts w:hint="default" w:ascii="Times New Roman" w:hAnsi="Times New Roman" w:eastAsia="仿宋_GB2312" w:cs="Times New Roman"/>
          <w:color w:val="auto"/>
          <w:sz w:val="28"/>
          <w:szCs w:val="28"/>
          <w:lang w:eastAsia="zh-CN"/>
        </w:rPr>
        <w:t>竞争性磋商</w:t>
      </w:r>
      <w:r>
        <w:rPr>
          <w:rFonts w:hint="default" w:ascii="Times New Roman" w:hAnsi="Times New Roman" w:eastAsia="仿宋_GB2312" w:cs="Times New Roman"/>
          <w:color w:val="auto"/>
          <w:sz w:val="28"/>
          <w:szCs w:val="28"/>
          <w:lang w:val="en-US" w:eastAsia="zh-CN"/>
        </w:rPr>
        <w:t>采购活动，</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（填写“存在”或“不存在”）与单位负责人为同一人或者存在直接控股、管理关系的其他供应商参与同一合同项下的磋商响应活动行为。</w:t>
      </w:r>
    </w:p>
    <w:p>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 xml:space="preserve">  </w:t>
      </w:r>
    </w:p>
    <w:p>
      <w:pPr>
        <w:pStyle w:val="15"/>
        <w:rPr>
          <w:rFonts w:ascii="Times New Roman" w:hAnsi="Times New Roman"/>
        </w:rPr>
      </w:pP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供应商（企业电子签章）：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pStyle w:val="2"/>
        <w:jc w:val="center"/>
        <w:rPr>
          <w:rFonts w:hint="default" w:ascii="Times New Roman" w:hAnsi="Times New Roman" w:eastAsia="黑体"/>
          <w:b w:val="0"/>
          <w:bCs w:val="0"/>
          <w:color w:val="auto"/>
          <w:sz w:val="28"/>
          <w:szCs w:val="28"/>
          <w:lang w:val="en-US" w:eastAsia="zh-CN"/>
        </w:rPr>
      </w:pPr>
      <w:r>
        <w:rPr>
          <w:rFonts w:hint="default" w:ascii="Times New Roman" w:hAnsi="Times New Roman"/>
          <w:lang w:eastAsia="zh-CN"/>
        </w:rPr>
        <w:br w:type="page"/>
      </w:r>
      <w:bookmarkStart w:id="350" w:name="_Toc741327320"/>
      <w:bookmarkStart w:id="351" w:name="_Toc1361997140"/>
      <w:bookmarkStart w:id="352" w:name="_Toc995149200"/>
      <w:bookmarkStart w:id="353" w:name="_Toc2003764980"/>
      <w:bookmarkStart w:id="354" w:name="_Toc1642658699"/>
      <w:bookmarkStart w:id="355" w:name="_Toc71543334"/>
      <w:bookmarkStart w:id="356" w:name="_Toc297277348"/>
      <w:bookmarkStart w:id="357" w:name="_Toc1027952896"/>
      <w:bookmarkStart w:id="358" w:name="_Toc1405132080"/>
      <w:bookmarkStart w:id="359" w:name="_Toc203536082"/>
      <w:bookmarkStart w:id="360" w:name="_Toc1342357120"/>
      <w:r>
        <w:rPr>
          <w:rFonts w:hint="default" w:ascii="Times New Roman" w:hAnsi="Times New Roman" w:eastAsia="黑体"/>
          <w:b w:val="0"/>
          <w:bCs w:val="0"/>
          <w:color w:val="auto"/>
          <w:sz w:val="28"/>
          <w:szCs w:val="28"/>
          <w:lang w:eastAsia="zh-CN"/>
        </w:rPr>
        <w:t>十三</w:t>
      </w:r>
      <w:r>
        <w:rPr>
          <w:rFonts w:hint="default" w:ascii="Times New Roman" w:hAnsi="Times New Roman" w:eastAsia="黑体"/>
          <w:b w:val="0"/>
          <w:bCs w:val="0"/>
          <w:color w:val="auto"/>
          <w:sz w:val="28"/>
          <w:szCs w:val="28"/>
          <w:lang w:val="en-US" w:eastAsia="zh-CN"/>
        </w:rPr>
        <w:t>、</w:t>
      </w:r>
      <w:r>
        <w:rPr>
          <w:rFonts w:hint="default" w:ascii="Times New Roman" w:hAnsi="Times New Roman" w:eastAsia="黑体"/>
          <w:b w:val="0"/>
          <w:bCs w:val="0"/>
          <w:color w:val="auto"/>
          <w:sz w:val="28"/>
          <w:szCs w:val="28"/>
          <w:lang w:eastAsia="zh-CN"/>
        </w:rPr>
        <w:t>服务方案</w:t>
      </w:r>
    </w:p>
    <w:p>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pPr>
        <w:pStyle w:val="2"/>
        <w:jc w:val="center"/>
        <w:rPr>
          <w:rFonts w:hint="default" w:ascii="Times New Roman" w:hAnsi="Times New Roman" w:eastAsia="黑体"/>
          <w:b w:val="0"/>
          <w:bCs w:val="0"/>
          <w:color w:val="auto"/>
          <w:sz w:val="28"/>
          <w:szCs w:val="28"/>
          <w:lang w:eastAsia="zh-CN"/>
        </w:rPr>
      </w:pPr>
      <w:r>
        <w:rPr>
          <w:rFonts w:hint="default" w:ascii="Times New Roman" w:hAnsi="Times New Roman"/>
          <w:lang w:eastAsia="zh-CN"/>
        </w:rPr>
        <w:br w:type="page"/>
      </w:r>
      <w:r>
        <w:rPr>
          <w:rFonts w:hint="default" w:ascii="Times New Roman" w:hAnsi="Times New Roman" w:eastAsia="黑体"/>
          <w:b w:val="0"/>
          <w:bCs w:val="0"/>
          <w:color w:val="auto"/>
          <w:sz w:val="28"/>
          <w:szCs w:val="28"/>
          <w:lang w:eastAsia="zh-CN"/>
        </w:rPr>
        <w:t>十四、其他文件</w:t>
      </w:r>
      <w:bookmarkEnd w:id="350"/>
      <w:bookmarkEnd w:id="351"/>
      <w:bookmarkEnd w:id="352"/>
      <w:bookmarkEnd w:id="353"/>
      <w:bookmarkEnd w:id="354"/>
      <w:bookmarkEnd w:id="355"/>
      <w:bookmarkEnd w:id="356"/>
      <w:bookmarkEnd w:id="357"/>
      <w:bookmarkEnd w:id="358"/>
      <w:bookmarkEnd w:id="359"/>
      <w:bookmarkEnd w:id="360"/>
    </w:p>
    <w:p>
      <w:pPr>
        <w:pStyle w:val="156"/>
        <w:rPr>
          <w:rFonts w:hint="default" w:ascii="Times New Roman" w:hAnsi="Times New Roman" w:eastAsia="宋体" w:cs="Times New Roman"/>
          <w:color w:val="auto"/>
          <w:kern w:val="0"/>
          <w:lang w:eastAsia="zh-CN"/>
        </w:rPr>
      </w:pPr>
    </w:p>
    <w:p>
      <w:pPr>
        <w:pStyle w:val="156"/>
        <w:rPr>
          <w:rFonts w:hint="default" w:ascii="Times New Roman" w:hAnsi="Times New Roman" w:eastAsia="宋体" w:cs="Times New Roman"/>
          <w:color w:val="auto"/>
          <w:kern w:val="0"/>
          <w:lang w:eastAsia="zh-CN"/>
        </w:rPr>
      </w:pPr>
    </w:p>
    <w:p>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pPr>
        <w:pStyle w:val="4"/>
        <w:numPr>
          <w:ilvl w:val="0"/>
          <w:numId w:val="11"/>
        </w:numPr>
        <w:spacing w:before="0" w:after="0" w:line="360" w:lineRule="auto"/>
        <w:jc w:val="center"/>
        <w:rPr>
          <w:rFonts w:hint="default" w:ascii="Times New Roman" w:hAnsi="Times New Roman" w:eastAsia="宋体" w:cs="Times New Roman"/>
          <w:color w:val="auto"/>
          <w:sz w:val="36"/>
          <w:szCs w:val="36"/>
          <w:lang w:eastAsia="zh-CN"/>
        </w:rPr>
      </w:pPr>
      <w:bookmarkStart w:id="361" w:name="_Toc55447974"/>
      <w:bookmarkStart w:id="362" w:name="_Toc602951741"/>
      <w:bookmarkStart w:id="363" w:name="_Toc1681859708"/>
      <w:bookmarkStart w:id="364" w:name="_Toc140822547"/>
      <w:bookmarkStart w:id="365" w:name="_Toc245603268"/>
      <w:bookmarkStart w:id="366" w:name="_Toc2147291260"/>
      <w:r>
        <w:rPr>
          <w:rFonts w:hint="default" w:ascii="Times New Roman" w:hAnsi="Times New Roman" w:eastAsia="宋体" w:cs="Times New Roman"/>
          <w:color w:val="auto"/>
          <w:sz w:val="36"/>
          <w:szCs w:val="36"/>
          <w:lang w:eastAsia="zh-CN"/>
        </w:rPr>
        <w:t>项目需求及技术要求</w:t>
      </w:r>
      <w:bookmarkEnd w:id="361"/>
      <w:bookmarkEnd w:id="362"/>
      <w:bookmarkEnd w:id="363"/>
      <w:bookmarkEnd w:id="364"/>
      <w:bookmarkEnd w:id="365"/>
      <w:bookmarkEnd w:id="366"/>
    </w:p>
    <w:p>
      <w:pPr>
        <w:outlineLvl w:val="2"/>
        <w:rPr>
          <w:rFonts w:hint="default" w:ascii="仿宋_GB2312" w:hAnsi="仿宋_GB2312" w:eastAsia="仿宋_GB2312" w:cs="仿宋_GB2312"/>
          <w:b/>
          <w:bCs/>
          <w:sz w:val="28"/>
          <w:szCs w:val="28"/>
          <w:lang w:val="en-US" w:eastAsia="zh-CN"/>
        </w:rPr>
      </w:pPr>
      <w:r>
        <w:rPr>
          <w:rFonts w:ascii="仿宋_GB2312" w:hAnsi="仿宋_GB2312" w:eastAsia="仿宋_GB2312" w:cs="仿宋_GB2312"/>
          <w:b/>
          <w:bCs/>
          <w:sz w:val="28"/>
          <w:szCs w:val="28"/>
          <w:lang w:val="en-US" w:eastAsia="zh-CN"/>
        </w:rPr>
        <w:t>（一）人员需求概况</w:t>
      </w:r>
    </w:p>
    <w:tbl>
      <w:tblPr>
        <w:tblStyle w:val="49"/>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3"/>
        <w:gridCol w:w="643"/>
        <w:gridCol w:w="1617"/>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83" w:type="dxa"/>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岗位设置</w:t>
            </w:r>
          </w:p>
        </w:tc>
        <w:tc>
          <w:tcPr>
            <w:tcW w:w="2260" w:type="dxa"/>
            <w:gridSpan w:val="2"/>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数量</w:t>
            </w:r>
          </w:p>
        </w:tc>
        <w:tc>
          <w:tcPr>
            <w:tcW w:w="3915" w:type="dxa"/>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安保人员总数（人）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58" w:type="dxa"/>
            <w:gridSpan w:val="4"/>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院内办公区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83" w:type="dxa"/>
            <w:vAlign w:val="center"/>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监控室/门卫值班室</w:t>
            </w:r>
          </w:p>
        </w:tc>
        <w:tc>
          <w:tcPr>
            <w:tcW w:w="2260" w:type="dxa"/>
            <w:gridSpan w:val="2"/>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w:t>
            </w:r>
          </w:p>
        </w:tc>
        <w:tc>
          <w:tcPr>
            <w:tcW w:w="3915" w:type="dxa"/>
            <w:vAlign w:val="center"/>
          </w:tcPr>
          <w:p>
            <w:pPr>
              <w:tabs>
                <w:tab w:val="left" w:pos="1302"/>
              </w:tabs>
              <w:ind w:firstLine="1120" w:firstLineChars="4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58" w:type="dxa"/>
            <w:gridSpan w:val="4"/>
            <w:vAlign w:val="center"/>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院文物科技保护中心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83" w:type="dxa"/>
            <w:vAlign w:val="center"/>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监控室/门卫值班室</w:t>
            </w:r>
          </w:p>
        </w:tc>
        <w:tc>
          <w:tcPr>
            <w:tcW w:w="2260" w:type="dxa"/>
            <w:gridSpan w:val="2"/>
            <w:vAlign w:val="center"/>
          </w:tcPr>
          <w:p>
            <w:pPr>
              <w:ind w:firstLine="840" w:firstLineChars="3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8</w:t>
            </w:r>
          </w:p>
        </w:tc>
        <w:tc>
          <w:tcPr>
            <w:tcW w:w="3915" w:type="dxa"/>
            <w:vAlign w:val="center"/>
          </w:tcPr>
          <w:p>
            <w:pPr>
              <w:ind w:firstLine="1120" w:firstLineChars="400"/>
              <w:jc w:val="left"/>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58" w:type="dxa"/>
            <w:gridSpan w:val="4"/>
            <w:vAlign w:val="center"/>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院豫东考古研究中心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783" w:type="dxa"/>
            <w:vAlign w:val="center"/>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监控室/门卫值班室</w:t>
            </w:r>
            <w:r>
              <w:rPr>
                <w:rFonts w:hint="default" w:ascii="仿宋_GB2312" w:hAnsi="仿宋_GB2312" w:eastAsia="仿宋_GB2312" w:cs="仿宋_GB2312"/>
                <w:sz w:val="28"/>
                <w:szCs w:val="28"/>
                <w:lang w:val="en-US" w:eastAsia="zh-CN"/>
              </w:rPr>
              <w:t>(</w:t>
            </w:r>
            <w:r>
              <w:rPr>
                <w:rFonts w:ascii="仿宋_GB2312" w:hAnsi="仿宋_GB2312" w:eastAsia="仿宋_GB2312" w:cs="仿宋_GB2312"/>
                <w:sz w:val="28"/>
                <w:szCs w:val="28"/>
                <w:lang w:val="en-US" w:eastAsia="zh-CN"/>
              </w:rPr>
              <w:t>含保安队长1人）</w:t>
            </w:r>
          </w:p>
        </w:tc>
        <w:tc>
          <w:tcPr>
            <w:tcW w:w="2260" w:type="dxa"/>
            <w:gridSpan w:val="2"/>
          </w:tcPr>
          <w:p>
            <w:pPr>
              <w:jc w:val="center"/>
              <w:rPr>
                <w:rFonts w:hint="default" w:ascii="仿宋_GB2312" w:hAnsi="仿宋_GB2312" w:eastAsia="仿宋_GB2312" w:cs="仿宋_GB2312"/>
                <w:sz w:val="28"/>
                <w:szCs w:val="28"/>
                <w:lang w:val="en-US" w:eastAsia="zh-CN"/>
              </w:rPr>
            </w:pPr>
          </w:p>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8</w:t>
            </w:r>
          </w:p>
        </w:tc>
        <w:tc>
          <w:tcPr>
            <w:tcW w:w="3915" w:type="dxa"/>
            <w:vMerge w:val="restart"/>
            <w:vAlign w:val="center"/>
          </w:tcPr>
          <w:p>
            <w:pPr>
              <w:ind w:firstLine="1120" w:firstLineChars="400"/>
              <w:jc w:val="center"/>
              <w:rPr>
                <w:rFonts w:hint="default" w:ascii="仿宋_GB2312" w:hAnsi="仿宋_GB2312" w:eastAsia="仿宋_GB2312" w:cs="仿宋_GB2312"/>
                <w:sz w:val="28"/>
                <w:szCs w:val="28"/>
                <w:lang w:val="en-US" w:eastAsia="zh-CN"/>
              </w:rPr>
            </w:pPr>
          </w:p>
          <w:p>
            <w:pPr>
              <w:ind w:firstLine="1120" w:firstLineChars="4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10</w:t>
            </w:r>
          </w:p>
          <w:p>
            <w:pPr>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83" w:type="dxa"/>
            <w:vAlign w:val="center"/>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巡逻岗/微型消防站</w:t>
            </w:r>
          </w:p>
        </w:tc>
        <w:tc>
          <w:tcPr>
            <w:tcW w:w="2260" w:type="dxa"/>
            <w:gridSpan w:val="2"/>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w:t>
            </w:r>
          </w:p>
        </w:tc>
        <w:tc>
          <w:tcPr>
            <w:tcW w:w="3915" w:type="dxa"/>
            <w:vMerge w:val="continue"/>
          </w:tcPr>
          <w:p>
            <w:pPr>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426" w:type="dxa"/>
            <w:gridSpan w:val="2"/>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合计安保人员</w:t>
            </w:r>
          </w:p>
        </w:tc>
        <w:tc>
          <w:tcPr>
            <w:tcW w:w="5532" w:type="dxa"/>
            <w:gridSpan w:val="2"/>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21（人）</w:t>
            </w:r>
          </w:p>
        </w:tc>
      </w:tr>
    </w:tbl>
    <w:p>
      <w:pPr>
        <w:outlineLvl w:val="2"/>
        <w:rPr>
          <w:rFonts w:hint="default" w:ascii="仿宋_GB2312" w:hAnsi="仿宋_GB2312" w:eastAsia="仿宋_GB2312" w:cs="仿宋_GB2312"/>
          <w:b/>
          <w:bCs/>
          <w:sz w:val="28"/>
          <w:szCs w:val="28"/>
          <w:lang w:val="en-US" w:eastAsia="zh-CN"/>
        </w:rPr>
      </w:pPr>
      <w:r>
        <w:rPr>
          <w:rFonts w:ascii="仿宋_GB2312" w:hAnsi="仿宋_GB2312" w:eastAsia="仿宋_GB2312" w:cs="仿宋_GB2312"/>
          <w:b/>
          <w:bCs/>
          <w:sz w:val="28"/>
          <w:szCs w:val="28"/>
          <w:lang w:val="en-US" w:eastAsia="zh-CN"/>
        </w:rPr>
        <w:t>（二）安保岗位职责：</w:t>
      </w:r>
    </w:p>
    <w:p>
      <w:pPr>
        <w:kinsoku w:val="0"/>
        <w:autoSpaceDE w:val="0"/>
        <w:autoSpaceDN w:val="0"/>
        <w:adjustRightInd w:val="0"/>
        <w:snapToGrid w:val="0"/>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1.监控室：熟练掌握各项监控系统的操作和应用及各区域基本状况及监控布点情况，时刻注意云台画面，注意画面异常现象或有警情等意外情况发生，时刻注意可疑人员或其他不安全因素出现。</w:t>
      </w:r>
    </w:p>
    <w:p>
      <w:pPr>
        <w:kinsoku w:val="0"/>
        <w:autoSpaceDE w:val="0"/>
        <w:autoSpaceDN w:val="0"/>
        <w:adjustRightInd w:val="0"/>
        <w:snapToGrid w:val="0"/>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2.门卫值班室：负责进出人员管理、车辆管理、巡逻检查、突发事件处理。</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微型消防站岗位：负责微型消防站值班，实施火灾扑救，开展防火巡查和消防宣传教育，定期开展灭火、救援演练；（负责反恐、处突的应急处置，开放期停车场管理，临时任务的警卫，突发事件的增援。）微型消防站队员集中食宿在本院，要求准军事化管理。</w:t>
      </w:r>
    </w:p>
    <w:p>
      <w:pPr>
        <w:spacing w:line="360" w:lineRule="auto"/>
        <w:ind w:firstLine="560" w:firstLineChars="200"/>
        <w:rPr>
          <w:rFonts w:hint="default" w:ascii="华文仿宋" w:hAnsi="华文仿宋" w:eastAsia="华文仿宋" w:cs="华文仿宋"/>
          <w:b/>
          <w:bCs/>
          <w:color w:val="auto"/>
          <w:sz w:val="28"/>
          <w:szCs w:val="28"/>
          <w:lang w:val="en-US" w:eastAsia="zh-CN"/>
        </w:rPr>
      </w:pPr>
      <w:r>
        <w:rPr>
          <w:rFonts w:ascii="仿宋_GB2312" w:hAnsi="仿宋_GB2312" w:eastAsia="仿宋_GB2312" w:cs="仿宋_GB2312"/>
          <w:sz w:val="28"/>
          <w:szCs w:val="28"/>
          <w:lang w:val="en-US" w:eastAsia="zh-CN"/>
        </w:rPr>
        <w:t>4.保安队长：巡查岗位，对监控室、门卫值班室、巡逻岗及微型消防站岗位进行巡查。负责对安保人员监督管理，排班定岗，维护正常工作纪律等，参加监控室值班。</w:t>
      </w:r>
      <w:r>
        <w:rPr>
          <w:rFonts w:ascii="华文仿宋" w:hAnsi="华文仿宋" w:eastAsia="华文仿宋" w:cs="华文仿宋"/>
          <w:b/>
          <w:bCs/>
          <w:color w:val="auto"/>
          <w:sz w:val="28"/>
          <w:szCs w:val="28"/>
          <w:lang w:val="en-US" w:eastAsia="zh-CN"/>
        </w:rPr>
        <w:br w:type="page"/>
      </w:r>
    </w:p>
    <w:p>
      <w:pPr>
        <w:outlineLvl w:val="2"/>
        <w:rPr>
          <w:rFonts w:hint="default" w:ascii="仿宋_GB2312" w:hAnsi="仿宋_GB2312" w:eastAsia="仿宋_GB2312" w:cs="仿宋_GB2312"/>
          <w:b/>
          <w:bCs/>
          <w:sz w:val="28"/>
          <w:szCs w:val="28"/>
          <w:lang w:val="en-US" w:eastAsia="zh-CN"/>
        </w:rPr>
      </w:pPr>
      <w:r>
        <w:rPr>
          <w:rFonts w:ascii="仿宋_GB2312" w:hAnsi="仿宋_GB2312" w:eastAsia="仿宋_GB2312" w:cs="仿宋_GB2312"/>
          <w:b/>
          <w:bCs/>
          <w:sz w:val="28"/>
          <w:szCs w:val="28"/>
          <w:lang w:val="en-US" w:eastAsia="zh-CN"/>
        </w:rPr>
        <w:t>（三）安保服务</w:t>
      </w:r>
    </w:p>
    <w:p>
      <w:pPr>
        <w:spacing w:line="560" w:lineRule="exact"/>
        <w:ind w:firstLine="562" w:firstLineChars="200"/>
        <w:rPr>
          <w:rFonts w:hint="default"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1</w:t>
      </w:r>
      <w:r>
        <w:rPr>
          <w:rFonts w:hint="default" w:ascii="Times New Roman" w:hAnsi="Times New Roman" w:eastAsia="仿宋_GB2312" w:cs="Times New Roman"/>
          <w:b/>
          <w:bCs/>
          <w:sz w:val="28"/>
          <w:szCs w:val="28"/>
          <w:lang w:val="en-US" w:eastAsia="zh-CN"/>
        </w:rPr>
        <w:t>.</w:t>
      </w:r>
      <w:r>
        <w:rPr>
          <w:rFonts w:ascii="Times New Roman" w:hAnsi="Times New Roman" w:eastAsia="仿宋_GB2312" w:cs="Times New Roman"/>
          <w:b/>
          <w:bCs/>
          <w:sz w:val="28"/>
          <w:szCs w:val="28"/>
          <w:lang w:val="en-US" w:eastAsia="zh-CN"/>
        </w:rPr>
        <w:t>服务方式：本项目实行大包，达到采购人满意。</w:t>
      </w:r>
    </w:p>
    <w:p>
      <w:pPr>
        <w:spacing w:line="560" w:lineRule="exact"/>
        <w:ind w:firstLine="562" w:firstLineChars="200"/>
        <w:rPr>
          <w:rFonts w:hint="default"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val="en-US" w:eastAsia="zh-CN"/>
        </w:rPr>
        <w:t>.</w:t>
      </w:r>
      <w:r>
        <w:rPr>
          <w:rFonts w:ascii="Times New Roman" w:hAnsi="Times New Roman" w:eastAsia="仿宋_GB2312" w:cs="Times New Roman"/>
          <w:b/>
          <w:bCs/>
          <w:sz w:val="28"/>
          <w:szCs w:val="28"/>
          <w:lang w:val="en-US" w:eastAsia="zh-CN"/>
        </w:rPr>
        <w:t>服务期限：安保服务1年</w:t>
      </w:r>
    </w:p>
    <w:p>
      <w:pPr>
        <w:spacing w:line="560" w:lineRule="exact"/>
        <w:ind w:firstLine="562" w:firstLineChars="200"/>
        <w:rPr>
          <w:rFonts w:hint="default"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lang w:val="en-US" w:eastAsia="zh-CN"/>
        </w:rPr>
        <w:t>.</w:t>
      </w:r>
      <w:r>
        <w:rPr>
          <w:rFonts w:ascii="Times New Roman" w:hAnsi="Times New Roman" w:eastAsia="仿宋_GB2312" w:cs="Times New Roman"/>
          <w:b/>
          <w:bCs/>
          <w:sz w:val="28"/>
          <w:szCs w:val="28"/>
          <w:lang w:val="en-US" w:eastAsia="zh-CN"/>
        </w:rPr>
        <w:t>服务内容：</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包括但不限于对①院区全方位日常安全管理工作； ②日常治安；③车辆停放管理工作；④做好院区治安、刑事案件的处置工作，降低治安事件发案率；⑤协助做好院区突发事件的处置工作，⑥完成院、处交待的其他工作任务和临时性值班、执勤工作；⑦院区各类活动的安保工作；⑧按省市反恐工作要求 能够积极进行反恐应急演练、宣传教育工作。（包括但不限于具体满足采购人要求）</w:t>
      </w:r>
    </w:p>
    <w:p>
      <w:pPr>
        <w:spacing w:before="149" w:line="218" w:lineRule="auto"/>
        <w:ind w:left="644"/>
        <w:rPr>
          <w:rFonts w:hint="default" w:ascii="仿宋_GB2312" w:hAnsi="仿宋_GB2312" w:eastAsia="仿宋_GB2312" w:cs="仿宋_GB2312"/>
          <w:b/>
          <w:bCs/>
          <w:sz w:val="28"/>
          <w:szCs w:val="28"/>
          <w:lang w:val="en-US" w:eastAsia="zh-CN"/>
        </w:rPr>
      </w:pPr>
      <w:r>
        <w:rPr>
          <w:rFonts w:ascii="仿宋_GB2312" w:hAnsi="仿宋_GB2312" w:eastAsia="仿宋_GB2312" w:cs="仿宋_GB2312"/>
          <w:b/>
          <w:bCs/>
          <w:sz w:val="28"/>
          <w:szCs w:val="28"/>
          <w:lang w:val="en-US" w:eastAsia="zh-CN"/>
        </w:rPr>
        <w:t>4.技术服务要求</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仿宋_GB2312" w:hAnsi="仿宋_GB2312" w:eastAsia="仿宋_GB2312" w:cs="仿宋_GB2312"/>
          <w:sz w:val="28"/>
          <w:szCs w:val="28"/>
          <w:lang w:val="en-US" w:eastAsia="zh-CN"/>
        </w:rPr>
        <w:t>（</w:t>
      </w:r>
      <w:r>
        <w:rPr>
          <w:rFonts w:ascii="Times New Roman" w:hAnsi="Times New Roman" w:eastAsia="仿宋_GB2312" w:cs="Times New Roman"/>
          <w:sz w:val="28"/>
          <w:szCs w:val="28"/>
          <w:lang w:val="en-US" w:eastAsia="zh-CN"/>
        </w:rPr>
        <w:t>1）保安队员经过消防部门统一培训，能熟练掌握消防巡查及灭火处置能力。</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（2）保安员具有公安机关核发的《保安员证》，微型消防站人员必须具有建(构)筑物消防员证或消防设施操作员证，派驻保安持有上岗资格证人数要达配置保安岗位的百分之百。</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（3）采购人有特殊需求时，能够在一小时内能集结不小于 20 人安保力量。</w:t>
      </w:r>
    </w:p>
    <w:p>
      <w:pPr>
        <w:spacing w:line="560" w:lineRule="exact"/>
        <w:ind w:firstLine="562" w:firstLineChars="200"/>
        <w:rPr>
          <w:rFonts w:hint="default"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lang w:val="en-US" w:eastAsia="zh-CN"/>
        </w:rPr>
        <w:t>.</w:t>
      </w:r>
      <w:r>
        <w:rPr>
          <w:rFonts w:ascii="Times New Roman" w:hAnsi="Times New Roman" w:eastAsia="仿宋_GB2312" w:cs="Times New Roman"/>
          <w:b/>
          <w:bCs/>
          <w:sz w:val="28"/>
          <w:szCs w:val="28"/>
          <w:lang w:val="en-US" w:eastAsia="zh-CN"/>
        </w:rPr>
        <w:t>具体工作要求</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1.保安队实行准军事化管理，不得出现不服从管理、不听从安排的情况。</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2.所有保安人员上岗前、后接受本院开放服务相关教育、培训。不得在服务期内因工作原因对河南省文物考古研究院声誉造成影响。</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3.在工作时间必须着统一的保安制服，不宜或者不需要着装的情形除外。着保安制服时，要按规定佩戴保安标志；保安制服不准与便服混穿，不同季节的保安制服不准混穿；着保安制服应干净整洁，不准披衣、敞怀、挽袖、卷裤腿、歪戴帽子、穿拖鞋或赤足。</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4.姿态端正，动作规范，举止文明，礼貌用语；着装外出工作、 执勤和出入公共场所时，不准袖手或将手插入衣兜，不准搭肩、挽臂、边走边吸烟、吃东西、嬉笑打闹 ；不准随地吐痰、乱扔废弃物。</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5.其他基本要求：热情服务观众；认真填写值班记录，做好交接班工作；严格履行岗位职责，上岗期间不做与保安服务无关的事情；有重要情况要妥善处置并及时上报，不准迟报、漏报、隐瞒不报；严禁岗上抽烟、饮酒或酒后上岗；严禁脱岗、空岗、睡觉。</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6.巡逻人员按照巡逻方案实施不间断巡逻；及时排查院区内存在的安全隐患，防止盗窃、火灾、爆炸等案事件发生，确保巡防区域秩序良好；</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7.保安服务公司派遣驻场经理轮班驻守。</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8.按相关法律法规为保安队员交纳社保费用 ，购买人身意外保险。</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9.各项工作应遵守国家法律、法规，并接受采购方监督。</w:t>
      </w:r>
    </w:p>
    <w:p>
      <w:pPr>
        <w:spacing w:line="560" w:lineRule="exact"/>
        <w:ind w:firstLine="562" w:firstLineChars="200"/>
        <w:rPr>
          <w:rFonts w:hint="default"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val="en-US" w:eastAsia="zh-CN"/>
        </w:rPr>
        <w:t>.</w:t>
      </w:r>
      <w:r>
        <w:rPr>
          <w:rFonts w:ascii="Times New Roman" w:hAnsi="Times New Roman" w:eastAsia="仿宋_GB2312" w:cs="Times New Roman"/>
          <w:b/>
          <w:bCs/>
          <w:sz w:val="28"/>
          <w:szCs w:val="28"/>
          <w:lang w:val="en-US" w:eastAsia="zh-CN"/>
        </w:rPr>
        <w:t>人员要求</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投入的服务人员不得少于21人。</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在保证服务内容按标准完成、服务质量符合要求和身体健康的前提下，拟派保安队长1名，年龄45周岁以下，应具有大专及以上学历，</w:t>
      </w:r>
      <w:r>
        <w:rPr>
          <w:rFonts w:hint="eastAsia" w:ascii="Times New Roman" w:hAnsi="Times New Roman" w:eastAsia="仿宋_GB2312" w:cs="Times New Roman"/>
          <w:sz w:val="28"/>
          <w:szCs w:val="28"/>
          <w:lang w:val="en-US" w:eastAsia="zh-CN"/>
        </w:rPr>
        <w:t>三年及以上类似项目管理经验，</w:t>
      </w:r>
      <w:r>
        <w:rPr>
          <w:rFonts w:ascii="Times New Roman" w:hAnsi="Times New Roman" w:eastAsia="仿宋_GB2312" w:cs="Times New Roman"/>
          <w:sz w:val="28"/>
          <w:szCs w:val="28"/>
          <w:lang w:val="en-US" w:eastAsia="zh-CN"/>
        </w:rPr>
        <w:t>退</w:t>
      </w:r>
      <w:r>
        <w:rPr>
          <w:rFonts w:hint="eastAsia" w:ascii="Times New Roman" w:hAnsi="Times New Roman" w:eastAsia="仿宋_GB2312" w:cs="Times New Roman"/>
          <w:sz w:val="28"/>
          <w:szCs w:val="28"/>
          <w:lang w:val="en-US" w:eastAsia="zh-CN"/>
        </w:rPr>
        <w:t>转</w:t>
      </w:r>
      <w:r>
        <w:rPr>
          <w:rFonts w:ascii="Times New Roman" w:hAnsi="Times New Roman" w:eastAsia="仿宋_GB2312" w:cs="Times New Roman"/>
          <w:sz w:val="28"/>
          <w:szCs w:val="28"/>
          <w:lang w:val="en-US" w:eastAsia="zh-CN"/>
        </w:rPr>
        <w:t>军人优先。全部保安人员年龄55周岁以下 ，持证上岗。</w:t>
      </w:r>
    </w:p>
    <w:p>
      <w:pPr>
        <w:spacing w:line="560" w:lineRule="exact"/>
        <w:ind w:firstLine="562" w:firstLineChars="200"/>
        <w:rPr>
          <w:rFonts w:hint="default"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lang w:val="en-US" w:eastAsia="zh-CN"/>
        </w:rPr>
        <w:t>.</w:t>
      </w:r>
      <w:r>
        <w:rPr>
          <w:rFonts w:ascii="Times New Roman" w:hAnsi="Times New Roman" w:eastAsia="仿宋_GB2312" w:cs="Times New Roman"/>
          <w:b/>
          <w:bCs/>
          <w:sz w:val="28"/>
          <w:szCs w:val="28"/>
          <w:lang w:val="en-US" w:eastAsia="zh-CN"/>
        </w:rPr>
        <w:t>安保装备</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供应商需配备专业的安保装备，包含但不限于通讯工具、防爆器材、执法记录仪等。</w:t>
      </w:r>
    </w:p>
    <w:p>
      <w:pPr>
        <w:spacing w:line="560" w:lineRule="exact"/>
        <w:ind w:firstLine="562" w:firstLineChars="200"/>
        <w:rPr>
          <w:rFonts w:hint="default"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8.其他条款</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lang w:val="en-US" w:eastAsia="zh-CN"/>
        </w:rPr>
        <w:t>1、管理过程中，如发生人员伤亡等安全事故，均由成交供应商方自行负责。</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lang w:val="en-US" w:eastAsia="zh-CN"/>
        </w:rPr>
        <w:t>2、服务方不得将本项服务转包、分包，否则，我方有权单方解除合同，由此造成的一切损失由服务方承担。</w:t>
      </w:r>
    </w:p>
    <w:p>
      <w:pPr>
        <w:spacing w:line="560" w:lineRule="exact"/>
        <w:outlineLvl w:val="2"/>
        <w:rPr>
          <w:rFonts w:hint="default" w:ascii="仿宋_GB2312" w:hAnsi="仿宋_GB2312" w:eastAsia="仿宋_GB2312" w:cs="仿宋_GB2312"/>
          <w:b/>
          <w:bCs/>
          <w:sz w:val="28"/>
          <w:szCs w:val="28"/>
          <w:lang w:val="en-US" w:eastAsia="zh-CN"/>
        </w:rPr>
      </w:pPr>
      <w:bookmarkStart w:id="367" w:name="_Toc1658402222_WPSOffice_Level1"/>
      <w:bookmarkStart w:id="368" w:name="_Toc1364277335"/>
      <w:bookmarkStart w:id="369" w:name="_Toc1220109555_WPSOffice_Level1"/>
      <w:bookmarkStart w:id="370" w:name="_Toc2103487907_WPSOffice_Level1"/>
      <w:bookmarkStart w:id="371" w:name="_Toc235030748"/>
      <w:bookmarkStart w:id="372" w:name="_Toc1203796512"/>
      <w:bookmarkStart w:id="373" w:name="_Toc1278987015"/>
      <w:bookmarkStart w:id="374" w:name="_Toc450869757"/>
      <w:bookmarkStart w:id="375" w:name="_Toc577545602"/>
      <w:bookmarkStart w:id="376" w:name="_Toc342626813"/>
      <w:bookmarkStart w:id="377" w:name="_Toc1228469917"/>
      <w:bookmarkStart w:id="378" w:name="_Toc725760307"/>
      <w:bookmarkStart w:id="379" w:name="_Toc1281126177_WPSOffice_Level1"/>
      <w:r>
        <w:rPr>
          <w:rFonts w:ascii="仿宋_GB2312" w:hAnsi="仿宋_GB2312" w:eastAsia="仿宋_GB2312" w:cs="仿宋_GB2312"/>
          <w:b/>
          <w:bCs/>
          <w:sz w:val="28"/>
          <w:szCs w:val="28"/>
          <w:lang w:val="en-US" w:eastAsia="zh-CN"/>
        </w:rPr>
        <w:t>（四）</w:t>
      </w:r>
      <w:r>
        <w:rPr>
          <w:rFonts w:hint="default" w:ascii="仿宋_GB2312" w:hAnsi="仿宋_GB2312" w:eastAsia="仿宋_GB2312" w:cs="仿宋_GB2312"/>
          <w:b/>
          <w:bCs/>
          <w:sz w:val="28"/>
          <w:szCs w:val="28"/>
          <w:lang w:val="en-US" w:eastAsia="zh-CN"/>
        </w:rPr>
        <w:t>其他要求</w:t>
      </w:r>
    </w:p>
    <w:p>
      <w:pPr>
        <w:spacing w:line="560" w:lineRule="exact"/>
        <w:ind w:firstLine="560" w:firstLineChars="200"/>
        <w:rPr>
          <w:rFonts w:hint="default" w:ascii="Times New Roman" w:hAnsi="Times New Roman" w:eastAsia="仿宋_GB2312" w:cs="Times New Roman"/>
          <w:sz w:val="28"/>
          <w:szCs w:val="28"/>
          <w:lang w:eastAsia="zh-CN"/>
        </w:rPr>
      </w:pPr>
      <w:r>
        <w:rPr>
          <w:rFonts w:ascii="Times New Roman" w:hAnsi="Times New Roman" w:eastAsia="仿宋_GB2312" w:cs="Times New Roman"/>
          <w:sz w:val="28"/>
          <w:szCs w:val="28"/>
          <w:lang w:val="en-US" w:eastAsia="zh-CN"/>
        </w:rPr>
        <w:t>供应商应在磋商响应文件中提供类似项目业绩、服务承诺、拟投入装备证明材料，针对本项目提供详细可行的项目服务管理保障的整体思路、人员配备、内部管理制度、档案管 理方案、培训方案、安全管理方案、秩序维护方案、应急方案等与</w:t>
      </w:r>
      <w:r>
        <w:rPr>
          <w:rFonts w:ascii="Times New Roman" w:hAnsi="Times New Roman" w:eastAsia="仿宋_GB2312" w:cs="Times New Roman"/>
          <w:sz w:val="28"/>
          <w:szCs w:val="28"/>
          <w:lang w:eastAsia="zh-CN"/>
        </w:rPr>
        <w:t>本采购项目相关的其他必要具体内容。</w:t>
      </w:r>
    </w:p>
    <w:p>
      <w:pPr>
        <w:spacing w:line="560" w:lineRule="exact"/>
        <w:ind w:firstLine="560" w:firstLineChars="200"/>
        <w:rPr>
          <w:rFonts w:hint="default" w:ascii="Times New Roman" w:hAnsi="Times New Roman" w:eastAsia="仿宋_GB2312" w:cs="Times New Roman"/>
          <w:sz w:val="28"/>
          <w:szCs w:val="28"/>
          <w:lang w:eastAsia="zh-CN"/>
        </w:rPr>
      </w:pPr>
    </w:p>
    <w:p>
      <w:pPr>
        <w:jc w:val="left"/>
        <w:rPr>
          <w:rFonts w:hint="default" w:ascii="Times New Roman" w:hAnsi="Times New Roman" w:eastAsia="宋体" w:cs="Times New Roman"/>
          <w:color w:val="auto"/>
          <w:sz w:val="36"/>
          <w:szCs w:val="36"/>
          <w:lang w:eastAsia="zh-CN"/>
        </w:rPr>
      </w:pPr>
      <w:r>
        <w:rPr>
          <w:rFonts w:hint="default" w:ascii="Times New Roman" w:hAnsi="Times New Roman" w:eastAsia="宋体" w:cs="Times New Roman"/>
          <w:color w:val="auto"/>
          <w:sz w:val="36"/>
          <w:szCs w:val="36"/>
          <w:lang w:eastAsia="zh-CN"/>
        </w:rPr>
        <w:br w:type="page"/>
      </w:r>
    </w:p>
    <w:p>
      <w:pPr>
        <w:pStyle w:val="4"/>
        <w:jc w:val="center"/>
        <w:rPr>
          <w:rFonts w:hint="default" w:ascii="Times New Roman" w:hAnsi="Times New Roman" w:cs="Times New Roman"/>
          <w:lang w:eastAsia="zh-CN"/>
        </w:rPr>
      </w:pPr>
      <w:bookmarkStart w:id="380" w:name="_Toc140822548"/>
      <w:r>
        <w:rPr>
          <w:rFonts w:hint="default" w:ascii="Times New Roman" w:hAnsi="Times New Roman" w:eastAsia="宋体" w:cs="Times New Roman"/>
          <w:color w:val="auto"/>
          <w:sz w:val="36"/>
          <w:szCs w:val="36"/>
          <w:lang w:eastAsia="zh-CN"/>
        </w:rPr>
        <w:t xml:space="preserve">第六章 </w:t>
      </w:r>
      <w:bookmarkStart w:id="381" w:name="_Hlk136015083"/>
      <w:r>
        <w:rPr>
          <w:rFonts w:hint="default" w:ascii="Times New Roman" w:hAnsi="Times New Roman" w:eastAsia="宋体" w:cs="Times New Roman"/>
          <w:color w:val="auto"/>
          <w:sz w:val="36"/>
          <w:szCs w:val="36"/>
          <w:lang w:eastAsia="zh-CN"/>
        </w:rPr>
        <w:t>磋商方法和标准</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82" w:name="_Toc1270934164_WPSOffice_Level2"/>
      <w:bookmarkStart w:id="383" w:name="_Toc421828923_WPSOffice_Level2"/>
      <w:bookmarkStart w:id="384" w:name="_Toc682913791_WPSOffice_Level2"/>
      <w:bookmarkStart w:id="385" w:name="_Toc1595179162_WPSOffice_Level2"/>
      <w:r>
        <w:rPr>
          <w:rFonts w:hint="default" w:ascii="Times New Roman" w:hAnsi="Times New Roman" w:eastAsia="仿宋_GB2312" w:cs="Times New Roman"/>
          <w:b/>
          <w:color w:val="auto"/>
          <w:sz w:val="28"/>
          <w:szCs w:val="28"/>
          <w:lang w:eastAsia="zh-CN"/>
        </w:rPr>
        <w:t>一、</w:t>
      </w:r>
      <w:bookmarkEnd w:id="382"/>
      <w:bookmarkEnd w:id="383"/>
      <w:bookmarkEnd w:id="384"/>
      <w:bookmarkEnd w:id="385"/>
      <w:r>
        <w:rPr>
          <w:rFonts w:hint="default" w:ascii="Times New Roman" w:hAnsi="Times New Roman" w:eastAsia="仿宋_GB2312" w:cs="Times New Roman"/>
          <w:b/>
          <w:color w:val="auto"/>
          <w:sz w:val="28"/>
          <w:szCs w:val="28"/>
          <w:lang w:eastAsia="zh-CN"/>
        </w:rPr>
        <w:t xml:space="preserve">磋商方法 </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386" w:name="_Toc35230229_WPSOffice_Level2"/>
      <w:r>
        <w:rPr>
          <w:rFonts w:hint="default" w:ascii="Times New Roman" w:hAnsi="Times New Roman" w:eastAsia="仿宋_GB2312" w:cs="Times New Roman"/>
          <w:color w:val="auto"/>
          <w:sz w:val="28"/>
          <w:szCs w:val="28"/>
          <w:lang w:eastAsia="zh-CN"/>
        </w:rPr>
        <w:t>竞争性磋商小组对各供应商的竞争性磋商响应文件进行初步审查、详细评审后，按综合评审得分由高到低顺序推荐排名。</w:t>
      </w:r>
      <w:r>
        <w:rPr>
          <w:rFonts w:hint="default" w:ascii="Times New Roman" w:hAnsi="Times New Roman" w:eastAsia="仿宋_GB2312" w:cs="Times New Roman"/>
          <w:sz w:val="28"/>
          <w:szCs w:val="28"/>
          <w:lang w:eastAsia="zh-CN"/>
        </w:rPr>
        <w:t>如综合评审得分相同的，</w:t>
      </w:r>
      <w:r>
        <w:rPr>
          <w:rFonts w:hint="default" w:ascii="Times New Roman" w:hAnsi="Times New Roman" w:eastAsia="仿宋_GB2312" w:cs="Times New Roman"/>
          <w:color w:val="auto"/>
          <w:sz w:val="28"/>
          <w:szCs w:val="28"/>
          <w:lang w:eastAsia="zh-CN"/>
        </w:rPr>
        <w:t>按最后磋商响应报价由低到高顺序推荐排名；综合</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color w:val="auto"/>
          <w:sz w:val="28"/>
          <w:szCs w:val="28"/>
          <w:lang w:eastAsia="zh-CN"/>
        </w:rPr>
        <w:t>得分且最后磋商响应报价相同的，按技术指标等优劣顺序推荐排名。</w:t>
      </w:r>
    </w:p>
    <w:p>
      <w:pPr>
        <w:pStyle w:val="36"/>
        <w:spacing w:line="360" w:lineRule="auto"/>
        <w:ind w:left="0" w:leftChars="0" w:firstLine="560" w:firstLineChars="200"/>
        <w:rPr>
          <w:rFonts w:hint="default" w:eastAsia="仿宋_GB2312" w:cs="Times New Roman"/>
          <w:sz w:val="28"/>
          <w:szCs w:val="28"/>
          <w:u w:val="single"/>
          <w:lang w:val="en-US" w:eastAsia="zh-CN"/>
        </w:rPr>
      </w:pPr>
      <w:r>
        <w:rPr>
          <w:rFonts w:hint="default" w:eastAsia="仿宋_GB2312" w:cs="Times New Roman"/>
          <w:sz w:val="28"/>
          <w:szCs w:val="28"/>
          <w:lang w:eastAsia="zh-CN"/>
        </w:rPr>
        <w:t>其他：</w:t>
      </w:r>
      <w:r>
        <w:rPr>
          <w:rFonts w:hint="default" w:eastAsia="仿宋_GB2312" w:cs="Times New Roman"/>
          <w:sz w:val="28"/>
          <w:szCs w:val="28"/>
          <w:u w:val="single"/>
          <w:lang w:val="en-US" w:eastAsia="zh-CN"/>
        </w:rPr>
        <w:t xml:space="preserve">                 </w:t>
      </w:r>
      <w:r>
        <w:rPr>
          <w:rFonts w:hint="default" w:eastAsia="仿宋_GB2312" w:cs="Times New Roman"/>
          <w:sz w:val="28"/>
          <w:szCs w:val="28"/>
          <w:lang w:val="en-US" w:eastAsia="zh-CN"/>
        </w:rPr>
        <w:t>。</w:t>
      </w:r>
    </w:p>
    <w:bookmarkEnd w:id="386"/>
    <w:p>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87" w:name="_Toc1410113626_WPSOffice_Level3"/>
      <w:bookmarkStart w:id="388" w:name="_Toc333611415_WPSOffice_Level3"/>
      <w:r>
        <w:rPr>
          <w:rFonts w:hint="default" w:ascii="Times New Roman" w:hAnsi="Times New Roman" w:eastAsia="仿宋_GB2312" w:cs="Times New Roman"/>
          <w:b/>
          <w:color w:val="auto"/>
          <w:sz w:val="28"/>
          <w:szCs w:val="28"/>
          <w:lang w:eastAsia="zh-CN"/>
        </w:rPr>
        <w:t>（一）</w:t>
      </w:r>
      <w:bookmarkEnd w:id="387"/>
      <w:bookmarkEnd w:id="388"/>
      <w:r>
        <w:rPr>
          <w:rFonts w:hint="default" w:ascii="Times New Roman" w:hAnsi="Times New Roman" w:eastAsia="仿宋_GB2312" w:cs="Times New Roman"/>
          <w:b/>
          <w:color w:val="auto"/>
          <w:sz w:val="28"/>
          <w:szCs w:val="28"/>
          <w:lang w:eastAsia="zh-CN"/>
        </w:rPr>
        <w:t>初步审查</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lang w:eastAsia="zh-CN"/>
        </w:rPr>
        <w:t>竞争性磋商小组对各供应商的竞争性磋商响应文件进行初步审查，以确定其是否满足竞争性磋商文件的实质性要求。</w:t>
      </w:r>
      <w:r>
        <w:rPr>
          <w:rFonts w:hint="default" w:ascii="Times New Roman" w:hAnsi="Times New Roman" w:eastAsia="仿宋_GB2312" w:cs="Times New Roman"/>
          <w:sz w:val="28"/>
          <w:szCs w:val="28"/>
          <w:lang w:val="en-US" w:eastAsia="zh-CN"/>
        </w:rPr>
        <w:t>依据以下标准对供应商进行审查，有一项不符合初步审查标准的，该供应商为不合格。</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1.雷同性分析：投标（响应）文件制作机器码和文件创建标识码不能一致；</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2.具有有效的</w:t>
      </w:r>
      <w:bookmarkStart w:id="439" w:name="_GoBack"/>
      <w:bookmarkEnd w:id="439"/>
      <w:r>
        <w:rPr>
          <w:rFonts w:hint="default" w:ascii="Times New Roman" w:hAnsi="Times New Roman" w:eastAsia="仿宋_GB2312" w:cs="Times New Roman"/>
          <w:sz w:val="28"/>
          <w:szCs w:val="28"/>
          <w:lang w:val="en-US" w:eastAsia="zh-CN"/>
        </w:rPr>
        <w:t>法人或者非法人组织的营业执照等证明文件或自然人的身份证明；</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3.具有良好的商业信誉和健全的财务会计制度的证明（提供</w:t>
      </w:r>
      <w:r>
        <w:rPr>
          <w:rFonts w:ascii="Times New Roman" w:hAnsi="Times New Roman" w:eastAsia="仿宋_GB2312" w:cs="Times New Roman"/>
          <w:sz w:val="28"/>
          <w:szCs w:val="28"/>
          <w:lang w:val="en-US" w:eastAsia="zh-CN"/>
        </w:rPr>
        <w:t>2022年度</w:t>
      </w:r>
      <w:r>
        <w:rPr>
          <w:rFonts w:hint="default" w:ascii="Times New Roman" w:hAnsi="Times New Roman" w:eastAsia="仿宋_GB2312" w:cs="Times New Roman"/>
          <w:sz w:val="28"/>
          <w:szCs w:val="28"/>
          <w:lang w:val="en-US" w:eastAsia="zh-CN"/>
        </w:rPr>
        <w:t>财务审计报告，要求注册会计师签字并加盖会计师印章；截止到响应文件开启时间，供应商成立时间不足要求时限的，可提供银行资信证明材料）；</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4.依法缴纳税收和社会保障资金的良好记录（</w:t>
      </w:r>
      <w:r>
        <w:rPr>
          <w:rFonts w:hint="default" w:ascii="Times New Roman" w:hAnsi="Times New Roman" w:eastAsia="仿宋_GB2312" w:cs="Times New Roman"/>
          <w:color w:val="auto"/>
          <w:sz w:val="28"/>
          <w:szCs w:val="28"/>
          <w:lang w:val="en-US" w:eastAsia="zh-CN"/>
        </w:rPr>
        <w:t>提供自2023年1月1日以来至少一个月的纳税证明和社保缴纳证明，依法免税或不需</w:t>
      </w:r>
      <w:r>
        <w:rPr>
          <w:rFonts w:hint="default" w:ascii="Times New Roman" w:hAnsi="Times New Roman" w:eastAsia="仿宋_GB2312" w:cs="Times New Roman"/>
          <w:sz w:val="28"/>
          <w:szCs w:val="28"/>
          <w:lang w:val="en-US" w:eastAsia="zh-CN"/>
        </w:rPr>
        <w:t>要缴纳社会保障资金的，应提供相应文件证明其依法免税或不需要缴纳）。</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5.具有履行合同所必</w:t>
      </w:r>
      <w:r>
        <w:rPr>
          <w:rFonts w:ascii="Times New Roman" w:hAnsi="Times New Roman" w:eastAsia="仿宋_GB2312" w:cs="Times New Roman"/>
          <w:sz w:val="28"/>
          <w:szCs w:val="28"/>
          <w:lang w:val="en-US" w:eastAsia="zh-CN"/>
        </w:rPr>
        <w:t>需</w:t>
      </w:r>
      <w:r>
        <w:rPr>
          <w:rFonts w:hint="default" w:ascii="Times New Roman" w:hAnsi="Times New Roman" w:eastAsia="仿宋_GB2312" w:cs="Times New Roman"/>
          <w:sz w:val="28"/>
          <w:szCs w:val="28"/>
          <w:lang w:val="en-US" w:eastAsia="zh-CN"/>
        </w:rPr>
        <w:t>的</w:t>
      </w:r>
      <w:r>
        <w:rPr>
          <w:rFonts w:ascii="Times New Roman" w:hAnsi="Times New Roman" w:eastAsia="仿宋_GB2312" w:cs="Times New Roman"/>
          <w:sz w:val="28"/>
          <w:szCs w:val="28"/>
          <w:lang w:val="en-US" w:eastAsia="zh-CN"/>
        </w:rPr>
        <w:t>设备</w:t>
      </w:r>
      <w:r>
        <w:rPr>
          <w:rFonts w:hint="default" w:ascii="Times New Roman" w:hAnsi="Times New Roman" w:eastAsia="仿宋_GB2312" w:cs="Times New Roman"/>
          <w:sz w:val="28"/>
          <w:szCs w:val="28"/>
          <w:lang w:val="en-US" w:eastAsia="zh-CN"/>
        </w:rPr>
        <w:t>和专业技术能力；</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6.参加政府采购活动前3年内在经营活动中没有重大违法记录的书面声明；</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7.信用查询记录符合竞争性磋商文件规定;</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8.签章或盖章或签字符合竞争性磋商文件要求；</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9.磋商响应文件有效期符合竞争性磋商文件规定；</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10.磋商响应文件无重大或不可接受的偏差；</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11.供应商首轮报价未超过最高限价；</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12.磋商响应文件未附有采购人不能接受的条件；</w:t>
      </w:r>
    </w:p>
    <w:p>
      <w:pPr>
        <w:spacing w:line="360" w:lineRule="auto"/>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13.须具有公安机关颁发的有效《保安服务许可证》；</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.竞争性磋商文件及法律法规规定的其他情形。</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（以上要求中，如有供应商成立时限不足要求时限的，由供应商根据自身成立时间提供证明资料。）</w:t>
      </w:r>
    </w:p>
    <w:p>
      <w:pPr>
        <w:pStyle w:val="218"/>
        <w:spacing w:line="360" w:lineRule="auto"/>
        <w:ind w:firstLine="562" w:firstLineChars="200"/>
        <w:rPr>
          <w:rFonts w:ascii="Times New Roman" w:hAnsi="Times New Roman" w:eastAsia="仿宋_GB2312" w:cs="Times New Roman"/>
          <w:b/>
          <w:color w:val="auto"/>
          <w:kern w:val="2"/>
          <w:sz w:val="28"/>
          <w:szCs w:val="28"/>
          <w:lang w:val="zh-TW"/>
        </w:rPr>
      </w:pPr>
      <w:r>
        <w:rPr>
          <w:rFonts w:ascii="Times New Roman" w:hAnsi="Times New Roman" w:eastAsia="仿宋_GB2312" w:cs="Times New Roman"/>
          <w:b/>
          <w:color w:val="auto"/>
          <w:kern w:val="2"/>
          <w:sz w:val="28"/>
          <w:szCs w:val="28"/>
          <w:lang w:val="zh-TW"/>
        </w:rPr>
        <w:t>（二）详细评审</w:t>
      </w:r>
    </w:p>
    <w:p>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89" w:name="_Toc278923003_WPSOffice_Level3"/>
      <w:bookmarkStart w:id="390" w:name="_Toc1716909242_WPSOffice_Level3"/>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bookmarkEnd w:id="389"/>
      <w:bookmarkEnd w:id="390"/>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对于竞争性磋商响应文件中含义不明确、同类问题表述不一致或者有明显文字和计算错误的内容，竞争性磋商小组应当以书面形式要求供应商作出必要的澄清、说明或者补正。</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供应商的澄清、说明或者补正不得超出竞争性磋商响应文件的范围或者改变竞争性磋商响应文件的实质性内容。</w:t>
      </w:r>
    </w:p>
    <w:p>
      <w:pPr>
        <w:pStyle w:val="205"/>
        <w:ind w:left="0" w:leftChars="0" w:firstLine="560" w:firstLineChars="200"/>
        <w:rPr>
          <w:rFonts w:hint="default" w:ascii="Times New Roman" w:hAnsi="Times New Roman" w:eastAsia="宋体" w:cs="Times New Roman"/>
          <w:lang w:val="en-US" w:eastAsia="zh-CN"/>
        </w:rPr>
      </w:pPr>
      <w:r>
        <w:rPr>
          <w:rFonts w:hint="default" w:ascii="Times New Roman" w:hAnsi="Times New Roman" w:cs="Times New Roman"/>
          <w:color w:val="auto"/>
          <w:kern w:val="2"/>
          <w:sz w:val="28"/>
          <w:szCs w:val="28"/>
          <w:lang w:val="en-US" w:eastAsia="zh-CN"/>
        </w:rPr>
        <w:t>1.3</w:t>
      </w:r>
      <w:r>
        <w:rPr>
          <w:rFonts w:hint="default" w:ascii="Times New Roman" w:hAnsi="Times New Roman" w:cs="Times New Roman"/>
          <w:color w:val="auto"/>
          <w:kern w:val="2"/>
          <w:sz w:val="28"/>
          <w:szCs w:val="28"/>
          <w:lang w:eastAsia="zh-CN"/>
        </w:rPr>
        <w:t>磋商小组所有成员应当集中与单一供应商分别进行磋商，并给予所有参加</w:t>
      </w:r>
      <w:r>
        <w:rPr>
          <w:rFonts w:hint="default" w:ascii="Times New Roman" w:hAnsi="Times New Roman" w:cs="Times New Roman"/>
          <w:sz w:val="28"/>
          <w:szCs w:val="28"/>
          <w:lang w:eastAsia="zh-CN"/>
        </w:rPr>
        <w:t>磋商的供应商平等的磋商机会。</w:t>
      </w:r>
    </w:p>
    <w:p>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91" w:name="_Toc2074264070_WPSOffice_Level3"/>
      <w:bookmarkStart w:id="392" w:name="_Toc577657209_WPSOffice_Level3"/>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eastAsia="zh-CN"/>
        </w:rPr>
        <w:t>．综合比较与评价</w:t>
      </w:r>
      <w:bookmarkEnd w:id="391"/>
      <w:bookmarkEnd w:id="392"/>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eastAsia="zh-CN"/>
        </w:rPr>
        <w:t>竞争性磋商小组按照竞争性磋商文件中规定的磋商方法和标准，对初步审查合格的竞争性磋商响应文件进行商务和技术评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pPr>
        <w:pStyle w:val="93"/>
        <w:ind w:firstLine="560"/>
        <w:rPr>
          <w:rFonts w:ascii="Times New Roman" w:hAnsi="Times New Roman" w:eastAsia="仿宋_GB2312"/>
          <w:sz w:val="28"/>
          <w:szCs w:val="28"/>
        </w:rPr>
      </w:pPr>
      <w:r>
        <w:rPr>
          <w:rFonts w:ascii="Times New Roman" w:hAnsi="Times New Roman" w:eastAsia="仿宋_GB2312"/>
          <w:sz w:val="28"/>
          <w:szCs w:val="28"/>
        </w:rPr>
        <w:t>2.2磋商及最后报价：</w:t>
      </w:r>
    </w:p>
    <w:p>
      <w:pPr>
        <w:pStyle w:val="93"/>
        <w:ind w:firstLine="560"/>
        <w:rPr>
          <w:rFonts w:ascii="Times New Roman" w:hAnsi="Times New Roman" w:eastAsia="仿宋_GB2312"/>
          <w:sz w:val="28"/>
          <w:szCs w:val="28"/>
        </w:rPr>
      </w:pPr>
      <w:r>
        <w:rPr>
          <w:rFonts w:ascii="Times New Roman" w:hAnsi="Times New Roman" w:eastAsia="仿宋_GB2312"/>
          <w:sz w:val="28"/>
          <w:szCs w:val="28"/>
        </w:rPr>
        <w:t>2.3.1</w:t>
      </w:r>
      <w:r>
        <w:rPr>
          <w:rFonts w:ascii="Times New Roman" w:hAnsi="Times New Roman" w:eastAsia="仿宋_GB2312"/>
          <w:b/>
          <w:bCs/>
          <w:sz w:val="28"/>
          <w:szCs w:val="28"/>
        </w:rPr>
        <w:t>磋商文件能够详细列明采购标的的技术、服务要求的</w:t>
      </w:r>
      <w:r>
        <w:rPr>
          <w:rFonts w:ascii="Times New Roman" w:hAnsi="Times New Roman" w:eastAsia="仿宋_GB2312"/>
          <w:sz w:val="28"/>
          <w:szCs w:val="28"/>
        </w:rPr>
        <w:t>，磋商结束后，磋商小组要求所有实质性响应的供应商在规定时间内提交最后报价，最后报价是供应商磋商响应文件的有效组成部分。因逾期或超时报价，将默认初次报价为最后报价。</w:t>
      </w:r>
    </w:p>
    <w:p>
      <w:pPr>
        <w:pStyle w:val="93"/>
        <w:ind w:firstLine="560"/>
        <w:rPr>
          <w:rFonts w:ascii="Times New Roman" w:hAnsi="Times New Roman" w:eastAsia="仿宋_GB2312"/>
          <w:sz w:val="28"/>
          <w:szCs w:val="28"/>
        </w:rPr>
      </w:pPr>
      <w:r>
        <w:rPr>
          <w:rFonts w:ascii="Times New Roman" w:hAnsi="Times New Roman" w:eastAsia="仿宋_GB2312"/>
          <w:sz w:val="28"/>
          <w:szCs w:val="28"/>
        </w:rPr>
        <w:t>2.3.2</w:t>
      </w:r>
      <w:r>
        <w:rPr>
          <w:rFonts w:ascii="Times New Roman" w:hAnsi="Times New Roman" w:eastAsia="仿宋_GB2312"/>
          <w:b/>
          <w:bCs/>
          <w:sz w:val="28"/>
          <w:szCs w:val="28"/>
        </w:rPr>
        <w:t>磋商文件不能详细列明采购标的的技术、服务要求</w:t>
      </w:r>
      <w:r>
        <w:rPr>
          <w:rFonts w:ascii="Times New Roman" w:hAnsi="Times New Roman" w:eastAsia="仿宋_GB2312"/>
          <w:sz w:val="28"/>
          <w:szCs w:val="28"/>
        </w:rPr>
        <w:t>，需经磋商由供应商提供最终设计方案或解决方案的，磋商结束后，磋商小组应当按照少数服从多数的原则投票推荐3家以上供应商的设计方案或者解决方案，并要求其在规定时间内提交最后报价。</w:t>
      </w:r>
    </w:p>
    <w:p>
      <w:pPr>
        <w:tabs>
          <w:tab w:val="left" w:pos="720"/>
        </w:tabs>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2.3.3</w:t>
      </w:r>
      <w:r>
        <w:rPr>
          <w:rFonts w:hint="default" w:ascii="Times New Roman" w:hAnsi="Times New Roman" w:eastAsia="仿宋_GB2312" w:cs="Times New Roman"/>
          <w:b/>
          <w:bCs/>
          <w:sz w:val="28"/>
          <w:szCs w:val="28"/>
          <w:lang w:eastAsia="zh-CN"/>
        </w:rPr>
        <w:t>最后报价</w:t>
      </w:r>
      <w:r>
        <w:rPr>
          <w:rFonts w:hint="default" w:ascii="Times New Roman" w:hAnsi="Times New Roman" w:eastAsia="仿宋_GB2312" w:cs="Times New Roman"/>
          <w:sz w:val="28"/>
          <w:szCs w:val="28"/>
          <w:lang w:eastAsia="zh-CN"/>
        </w:rPr>
        <w:t>是供应商响应文件的有效组成部分。竞争性磋商小组在线向初步审查通过的供应商发起竞争性磋商响应最后（二次）报价，供应商也将予以远程报价。供应商登录远程采购项目，在评审过程中收到远程报价通知时，即可远程在线报价，如采购需求及合同条款未变更或未发生实质性变更的，供应商未提交最终报价的，将默认初次报价为最后报价；如采购需求及合同条款发生实质性变更的，供应商未提交最终报价的，供应商视为退出磋商，其响应文件无效。</w:t>
      </w:r>
    </w:p>
    <w:p>
      <w:pPr>
        <w:pStyle w:val="93"/>
        <w:ind w:firstLine="560"/>
        <w:rPr>
          <w:rFonts w:ascii="Times New Roman" w:hAnsi="Times New Roman" w:eastAsia="仿宋_GB2312"/>
          <w:sz w:val="28"/>
          <w:szCs w:val="28"/>
        </w:rPr>
      </w:pPr>
      <w:r>
        <w:rPr>
          <w:rFonts w:ascii="Times New Roman" w:hAnsi="Times New Roman" w:eastAsia="仿宋_GB2312"/>
          <w:sz w:val="28"/>
          <w:szCs w:val="28"/>
        </w:rPr>
        <w:t>2.3.4经磋商确定最终采购需求和提交最后报价的供应商后，由磋商小组采用综合评分法对提交最后报价的供应商的响应文件和最后报价进行综合评分。</w:t>
      </w:r>
    </w:p>
    <w:p>
      <w:pPr>
        <w:pStyle w:val="93"/>
        <w:ind w:firstLine="560"/>
        <w:rPr>
          <w:rFonts w:ascii="Times New Roman" w:hAnsi="Times New Roman" w:eastAsia="仿宋_GB2312"/>
          <w:sz w:val="28"/>
          <w:szCs w:val="28"/>
        </w:rPr>
      </w:pPr>
      <w:r>
        <w:rPr>
          <w:rFonts w:ascii="Times New Roman" w:hAnsi="Times New Roman" w:eastAsia="仿宋_GB2312"/>
          <w:sz w:val="28"/>
          <w:szCs w:val="28"/>
        </w:rPr>
        <w:t>2.4磋商文件中没有规定的评审标准不得作为评审依据。</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竞争性磋商小组完成评审后，应当出具书面磋商评审报告。</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2.6</w:t>
      </w:r>
      <w:r>
        <w:rPr>
          <w:rFonts w:hint="default" w:ascii="Times New Roman" w:hAnsi="Times New Roman" w:eastAsia="仿宋_GB2312" w:cs="Times New Roman"/>
          <w:color w:val="auto"/>
          <w:sz w:val="28"/>
          <w:szCs w:val="28"/>
          <w:lang w:eastAsia="zh-CN"/>
        </w:rPr>
        <w:t>竞争性磋商小组成员对需要共同认定的事项存在争议的，应当按照少数服从多数的原则作出结论。持不同意见的竞争性磋商小组成员应当在磋商</w:t>
      </w:r>
      <w:r>
        <w:rPr>
          <w:rFonts w:ascii="Times New Roman" w:hAnsi="Times New Roman" w:eastAsia="仿宋_GB2312" w:cs="Times New Roman"/>
          <w:color w:val="auto"/>
          <w:sz w:val="28"/>
          <w:szCs w:val="28"/>
          <w:lang w:eastAsia="zh-CN"/>
        </w:rPr>
        <w:t>评审</w:t>
      </w:r>
      <w:r>
        <w:rPr>
          <w:rFonts w:hint="default" w:ascii="Times New Roman" w:hAnsi="Times New Roman" w:eastAsia="仿宋_GB2312" w:cs="Times New Roman"/>
          <w:color w:val="auto"/>
          <w:sz w:val="28"/>
          <w:szCs w:val="28"/>
          <w:lang w:eastAsia="zh-CN"/>
        </w:rPr>
        <w:t>报告上签署不同意见及理由，否则视为同意磋商评审报告。</w:t>
      </w:r>
    </w:p>
    <w:p>
      <w:pPr>
        <w:numPr>
          <w:ilvl w:val="0"/>
          <w:numId w:val="12"/>
        </w:numPr>
        <w:spacing w:line="360" w:lineRule="auto"/>
        <w:ind w:firstLine="562" w:firstLineChars="200"/>
        <w:outlineLvl w:val="1"/>
        <w:rPr>
          <w:rFonts w:hint="default" w:ascii="Times New Roman" w:hAnsi="Times New Roman" w:eastAsia="仿宋_GB2312" w:cs="Times New Roman"/>
          <w:b/>
          <w:color w:val="auto"/>
          <w:sz w:val="28"/>
          <w:szCs w:val="28"/>
        </w:rPr>
      </w:pPr>
      <w:bookmarkStart w:id="393" w:name="_Toc1647555423_WPSOffice_Level3"/>
      <w:bookmarkStart w:id="394" w:name="_Toc75126242_WPSOffice_Level3"/>
      <w:r>
        <w:rPr>
          <w:rFonts w:hint="default" w:ascii="Times New Roman" w:hAnsi="Times New Roman" w:eastAsia="仿宋_GB2312" w:cs="Times New Roman"/>
          <w:b/>
          <w:color w:val="auto"/>
          <w:sz w:val="28"/>
          <w:szCs w:val="28"/>
          <w:lang w:val="en-US" w:eastAsia="zh-CN"/>
        </w:rPr>
        <w:br w:type="page"/>
      </w:r>
      <w:bookmarkEnd w:id="393"/>
      <w:bookmarkEnd w:id="394"/>
      <w:bookmarkStart w:id="395" w:name="_Toc131500600_WPSOffice_Level3"/>
      <w:bookmarkStart w:id="396" w:name="_Toc648016321_WPSOffice_Level3"/>
      <w:r>
        <w:rPr>
          <w:rFonts w:hint="default" w:ascii="Times New Roman" w:hAnsi="Times New Roman" w:eastAsia="仿宋_GB2312" w:cs="Times New Roman"/>
          <w:b/>
          <w:color w:val="auto"/>
          <w:sz w:val="28"/>
          <w:szCs w:val="28"/>
        </w:rPr>
        <w:t>评</w:t>
      </w:r>
      <w:r>
        <w:rPr>
          <w:rFonts w:hint="default" w:ascii="Times New Roman" w:hAnsi="Times New Roman" w:eastAsia="仿宋_GB2312" w:cs="Times New Roman"/>
          <w:b/>
          <w:color w:val="auto"/>
          <w:sz w:val="28"/>
          <w:szCs w:val="28"/>
          <w:lang w:eastAsia="zh-CN"/>
        </w:rPr>
        <w:t>分</w:t>
      </w:r>
      <w:r>
        <w:rPr>
          <w:rFonts w:hint="default" w:ascii="Times New Roman" w:hAnsi="Times New Roman" w:eastAsia="仿宋_GB2312" w:cs="Times New Roman"/>
          <w:b/>
          <w:color w:val="auto"/>
          <w:sz w:val="28"/>
          <w:szCs w:val="28"/>
        </w:rPr>
        <w:t>标准（满分100分）</w:t>
      </w:r>
      <w:bookmarkEnd w:id="395"/>
      <w:bookmarkEnd w:id="396"/>
    </w:p>
    <w:tbl>
      <w:tblPr>
        <w:tblStyle w:val="48"/>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285"/>
        <w:gridCol w:w="6471"/>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黑体_GBK" w:hAnsi="方正黑体_GBK" w:eastAsia="方正黑体_GBK" w:cs="方正黑体_GBK"/>
              </w:rPr>
            </w:pPr>
            <w:r>
              <w:rPr>
                <w:rFonts w:ascii="方正黑体_GBK" w:hAnsi="方正黑体_GBK" w:eastAsia="方正黑体_GBK" w:cs="方正黑体_GBK"/>
                <w:b/>
              </w:rPr>
              <w:t>评分内容</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黑体_GBK" w:hAnsi="方正黑体_GBK" w:eastAsia="方正黑体_GBK" w:cs="方正黑体_GBK"/>
              </w:rPr>
            </w:pPr>
            <w:r>
              <w:rPr>
                <w:rFonts w:ascii="方正黑体_GBK" w:hAnsi="方正黑体_GBK" w:eastAsia="方正黑体_GBK" w:cs="方正黑体_GBK"/>
                <w:b/>
              </w:rPr>
              <w:t>评分因素</w:t>
            </w:r>
          </w:p>
        </w:tc>
        <w:tc>
          <w:tcPr>
            <w:tcW w:w="64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黑体_GBK" w:hAnsi="方正黑体_GBK" w:eastAsia="方正黑体_GBK" w:cs="方正黑体_GBK"/>
              </w:rPr>
            </w:pPr>
            <w:r>
              <w:rPr>
                <w:rFonts w:ascii="方正黑体_GBK" w:hAnsi="方正黑体_GBK" w:eastAsia="方正黑体_GBK" w:cs="方正黑体_GBK"/>
                <w:b/>
              </w:rPr>
              <w:t>评分标准</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黑体_GBK" w:hAnsi="方正黑体_GBK" w:eastAsia="方正黑体_GBK" w:cs="方正黑体_GBK"/>
                <w:b/>
              </w:rPr>
            </w:pPr>
            <w:r>
              <w:rPr>
                <w:rFonts w:ascii="方正黑体_GBK" w:hAnsi="方正黑体_GBK" w:eastAsia="方正黑体_GBK" w:cs="方正黑体_GBK"/>
                <w:b/>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_GB2312" w:eastAsia="仿宋_GB2312" w:cs="仿宋_GB2312"/>
              </w:rPr>
            </w:pPr>
            <w:r>
              <w:rPr>
                <w:rFonts w:ascii="仿宋_GB2312" w:hAnsi="仿宋_GB2312" w:eastAsia="仿宋_GB2312" w:cs="仿宋_GB2312"/>
              </w:rPr>
              <w:t>价格部分</w:t>
            </w:r>
          </w:p>
          <w:p>
            <w:pPr>
              <w:jc w:val="center"/>
              <w:rPr>
                <w:rFonts w:hint="default" w:ascii="仿宋_GB2312" w:hAnsi="仿宋_GB2312" w:eastAsia="仿宋_GB2312" w:cs="仿宋_GB2312"/>
              </w:rPr>
            </w:pPr>
            <w:r>
              <w:rPr>
                <w:rFonts w:ascii="仿宋_GB2312" w:hAnsi="仿宋_GB2312" w:eastAsia="仿宋_GB2312" w:cs="仿宋_GB2312"/>
              </w:rPr>
              <w:t>（</w:t>
            </w:r>
            <w:r>
              <w:rPr>
                <w:rFonts w:ascii="仿宋_GB2312" w:hAnsi="仿宋_GB2312" w:eastAsia="仿宋_GB2312" w:cs="仿宋_GB2312"/>
                <w:lang w:val="en-US" w:eastAsia="zh-CN"/>
              </w:rPr>
              <w:t>10</w:t>
            </w:r>
            <w:r>
              <w:rPr>
                <w:rFonts w:ascii="仿宋_GB2312" w:hAnsi="仿宋_GB2312" w:eastAsia="仿宋_GB2312" w:cs="仿宋_GB2312"/>
              </w:rPr>
              <w:t>分）</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_GB2312" w:eastAsia="仿宋_GB2312" w:cs="仿宋_GB2312"/>
              </w:rPr>
            </w:pPr>
            <w:r>
              <w:rPr>
                <w:rFonts w:ascii="仿宋_GB2312" w:hAnsi="仿宋_GB2312" w:eastAsia="仿宋_GB2312" w:cs="仿宋_GB2312"/>
              </w:rPr>
              <w:t>报价</w:t>
            </w:r>
          </w:p>
        </w:tc>
        <w:tc>
          <w:tcPr>
            <w:tcW w:w="6471"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_GB2312" w:eastAsia="仿宋_GB2312" w:cs="仿宋_GB2312"/>
                <w:lang w:eastAsia="zh-CN"/>
              </w:rPr>
            </w:pPr>
            <w:r>
              <w:rPr>
                <w:rFonts w:hint="default" w:ascii="仿宋_GB2312" w:hAnsi="仿宋_GB2312" w:eastAsia="仿宋_GB2312" w:cs="仿宋_GB2312"/>
                <w:lang w:eastAsia="zh-CN"/>
              </w:rPr>
              <w:t>满足磋商文件要求且最后报价最低的供应商的价格为磋商基准价，其价格为满分。其他供应商的价格分统一按照下列公式计算：</w:t>
            </w:r>
          </w:p>
          <w:p>
            <w:pPr>
              <w:rPr>
                <w:rFonts w:hint="default" w:ascii="仿宋_GB2312" w:hAnsi="仿宋_GB2312" w:eastAsia="仿宋_GB2312" w:cs="仿宋_GB2312"/>
                <w:lang w:eastAsia="zh-CN"/>
              </w:rPr>
            </w:pPr>
            <w:r>
              <w:rPr>
                <w:rFonts w:hint="default" w:ascii="仿宋_GB2312" w:hAnsi="仿宋_GB2312" w:eastAsia="仿宋_GB2312" w:cs="仿宋_GB2312"/>
                <w:lang w:eastAsia="zh-CN"/>
              </w:rPr>
              <w:t>磋商报价得分=（磋商基准价/最后磋商报价）×1</w:t>
            </w:r>
            <w:r>
              <w:rPr>
                <w:rFonts w:ascii="仿宋_GB2312" w:hAnsi="仿宋_GB2312" w:eastAsia="仿宋_GB2312" w:cs="仿宋_GB2312"/>
                <w:lang w:val="en-US" w:eastAsia="zh-CN"/>
              </w:rPr>
              <w:t>0</w:t>
            </w:r>
            <w:r>
              <w:rPr>
                <w:rFonts w:hint="default" w:ascii="仿宋_GB2312" w:hAnsi="仿宋_GB2312" w:eastAsia="仿宋_GB2312" w:cs="仿宋_GB2312"/>
                <w:lang w:eastAsia="zh-CN"/>
              </w:rPr>
              <w:t>×100%</w:t>
            </w:r>
          </w:p>
          <w:p>
            <w:pPr>
              <w:rPr>
                <w:rFonts w:hint="default" w:ascii="仿宋_GB2312" w:hAnsi="仿宋_GB2312" w:eastAsia="仿宋_GB2312" w:cs="仿宋_GB2312"/>
                <w:lang w:eastAsia="zh-CN"/>
              </w:rPr>
            </w:pPr>
            <w:r>
              <w:rPr>
                <w:rFonts w:hint="default" w:ascii="仿宋_GB2312" w:hAnsi="仿宋_GB2312" w:eastAsia="仿宋_GB2312" w:cs="仿宋_GB2312"/>
                <w:lang w:eastAsia="zh-CN"/>
              </w:rPr>
              <w:t>因落实政府采购政策进行价格调整的，以调整后的价格计算磋商基准价和磋商报价得分。</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w:t>
            </w:r>
            <w:r>
              <w:rPr>
                <w:rFonts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313" w:type="dxa"/>
            <w:vMerge w:val="restart"/>
            <w:tcBorders>
              <w:top w:val="single" w:color="auto" w:sz="4" w:space="0"/>
              <w:left w:val="single" w:color="auto" w:sz="4" w:space="0"/>
              <w:right w:val="single" w:color="auto" w:sz="4" w:space="0"/>
            </w:tcBorders>
            <w:vAlign w:val="center"/>
          </w:tcPr>
          <w:p>
            <w:pPr>
              <w:jc w:val="center"/>
              <w:rPr>
                <w:rFonts w:hint="default" w:ascii="仿宋_GB2312" w:hAnsi="仿宋_GB2312" w:eastAsia="仿宋_GB2312" w:cs="仿宋_GB2312"/>
              </w:rPr>
            </w:pPr>
            <w:r>
              <w:rPr>
                <w:rFonts w:ascii="仿宋_GB2312" w:hAnsi="仿宋_GB2312" w:eastAsia="仿宋_GB2312" w:cs="仿宋_GB2312"/>
              </w:rPr>
              <w:t>综合部分</w:t>
            </w:r>
          </w:p>
          <w:p>
            <w:pPr>
              <w:jc w:val="center"/>
              <w:rPr>
                <w:rFonts w:hint="default" w:ascii="仿宋_GB2312" w:hAnsi="仿宋_GB2312" w:eastAsia="仿宋_GB2312" w:cs="仿宋_GB2312"/>
              </w:rPr>
            </w:pPr>
            <w:r>
              <w:rPr>
                <w:rFonts w:ascii="仿宋_GB2312" w:hAnsi="仿宋_GB2312" w:eastAsia="仿宋_GB2312" w:cs="仿宋_GB2312"/>
                <w:color w:val="auto"/>
              </w:rPr>
              <w:t>（</w:t>
            </w:r>
            <w:r>
              <w:rPr>
                <w:rFonts w:ascii="仿宋_GB2312" w:hAnsi="仿宋_GB2312" w:eastAsia="仿宋_GB2312" w:cs="仿宋_GB2312"/>
                <w:color w:val="auto"/>
                <w:lang w:val="en-US" w:eastAsia="zh-CN"/>
              </w:rPr>
              <w:t>20</w:t>
            </w:r>
            <w:r>
              <w:rPr>
                <w:rFonts w:ascii="仿宋_GB2312" w:hAnsi="仿宋_GB2312" w:eastAsia="仿宋_GB2312" w:cs="仿宋_GB2312"/>
                <w:color w:val="auto"/>
              </w:rPr>
              <w:t>分）</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_GB2312" w:eastAsia="仿宋_GB2312" w:cs="仿宋_GB2312"/>
              </w:rPr>
            </w:pPr>
            <w:r>
              <w:rPr>
                <w:rFonts w:ascii="仿宋_GB2312" w:hAnsi="仿宋_GB2312" w:eastAsia="仿宋_GB2312" w:cs="仿宋_GB2312"/>
                <w:color w:val="auto"/>
              </w:rPr>
              <w:t>业绩</w:t>
            </w:r>
          </w:p>
        </w:tc>
        <w:tc>
          <w:tcPr>
            <w:tcW w:w="6471"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_GB2312" w:eastAsia="PMingLiU" w:cs="仿宋_GB2312"/>
                <w:b/>
                <w:bCs/>
              </w:rPr>
            </w:pPr>
            <w:r>
              <w:rPr>
                <w:rFonts w:ascii="仿宋_GB2312" w:hAnsi="仿宋_GB2312" w:eastAsia="仿宋_GB2312" w:cs="仿宋_GB2312"/>
                <w:lang w:val="en-US" w:eastAsia="zh-CN"/>
              </w:rPr>
              <w:t>提供供应商自2020 年1月1日以来的类似项目业绩合同，每提供一份得2分，最高得10分。(提供业绩合同扫描件,不清楚、不完整或无法辨认的不予认可，虚假业绩将自行承担相关责任。）</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val="en-US" w:eastAsia="zh-CN"/>
              </w:rPr>
            </w:pPr>
            <w:r>
              <w:rPr>
                <w:rFonts w:ascii="Times New Roman" w:hAnsi="Times New Roman" w:eastAsia="仿宋_GB2312" w:cs="Times New Roman"/>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1" w:hRule="atLeas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vMerge w:val="restart"/>
            <w:tcBorders>
              <w:top w:val="single" w:color="auto" w:sz="4" w:space="0"/>
              <w:left w:val="single" w:color="auto" w:sz="4" w:space="0"/>
              <w:right w:val="single" w:color="auto" w:sz="4" w:space="0"/>
            </w:tcBorders>
            <w:vAlign w:val="center"/>
          </w:tcPr>
          <w:p>
            <w:pPr>
              <w:jc w:val="center"/>
              <w:rPr>
                <w:rFonts w:hint="default" w:ascii="仿宋_GB2312" w:hAnsi="仿宋_GB2312" w:eastAsia="仿宋_GB2312" w:cs="仿宋_GB2312"/>
              </w:rPr>
            </w:pPr>
            <w:r>
              <w:rPr>
                <w:rFonts w:ascii="仿宋_GB2312" w:hAnsi="仿宋_GB2312" w:eastAsia="仿宋_GB2312" w:cs="仿宋_GB2312"/>
              </w:rPr>
              <w:t>服务承诺</w:t>
            </w:r>
          </w:p>
        </w:tc>
        <w:tc>
          <w:tcPr>
            <w:tcW w:w="6471"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_GB2312" w:eastAsia="仿宋_GB2312" w:cs="仿宋_GB2312"/>
                <w:lang w:eastAsia="zh-CN"/>
              </w:rPr>
            </w:pPr>
            <w:r>
              <w:rPr>
                <w:rFonts w:ascii="仿宋_GB2312" w:hAnsi="仿宋_GB2312" w:eastAsia="仿宋_GB2312" w:cs="仿宋_GB2312"/>
                <w:lang w:eastAsia="zh-CN"/>
              </w:rPr>
              <w:t>根据供应商提供的服务承诺、实质性优惠(比如重大活动或者突击性任务需要增加安保人员数量时，无条件按照采购人要求和安排落实等)的</w:t>
            </w:r>
            <w:r>
              <w:rPr>
                <w:rFonts w:ascii="仿宋_GB2312" w:hAnsi="仿宋_GB2312" w:eastAsia="仿宋_GB2312" w:cs="仿宋_GB2312"/>
                <w:color w:val="auto"/>
                <w:lang w:eastAsia="zh-CN"/>
              </w:rPr>
              <w:t>全面性、合理性、采购人受益程度评分。全面、合理、受益程度高得</w:t>
            </w:r>
            <w:r>
              <w:rPr>
                <w:rFonts w:ascii="仿宋_GB2312" w:hAnsi="仿宋_GB2312" w:eastAsia="仿宋_GB2312" w:cs="仿宋_GB2312"/>
                <w:color w:val="auto"/>
                <w:lang w:val="en-US" w:eastAsia="zh-CN"/>
              </w:rPr>
              <w:t>5</w:t>
            </w:r>
            <w:r>
              <w:rPr>
                <w:rFonts w:ascii="仿宋_GB2312" w:hAnsi="仿宋_GB2312" w:eastAsia="仿宋_GB2312" w:cs="仿宋_GB2312"/>
                <w:color w:val="auto"/>
                <w:lang w:eastAsia="zh-CN"/>
              </w:rPr>
              <w:t>分；较全面、较合理、受益程度较高得</w:t>
            </w:r>
            <w:r>
              <w:rPr>
                <w:rFonts w:ascii="仿宋_GB2312" w:hAnsi="仿宋_GB2312" w:eastAsia="仿宋_GB2312" w:cs="仿宋_GB2312"/>
                <w:color w:val="auto"/>
                <w:lang w:val="en-US" w:eastAsia="zh-CN"/>
              </w:rPr>
              <w:t>3</w:t>
            </w:r>
            <w:r>
              <w:rPr>
                <w:rFonts w:ascii="仿宋_GB2312" w:hAnsi="仿宋_GB2312" w:eastAsia="仿宋_GB2312" w:cs="仿宋_GB2312"/>
                <w:color w:val="auto"/>
                <w:lang w:eastAsia="zh-CN"/>
              </w:rPr>
              <w:t>分；不全面、不合理、受益程度不高得</w:t>
            </w:r>
            <w:r>
              <w:rPr>
                <w:rFonts w:ascii="仿宋_GB2312" w:hAnsi="仿宋_GB2312" w:eastAsia="仿宋_GB2312" w:cs="仿宋_GB2312"/>
                <w:color w:val="auto"/>
                <w:lang w:val="en-US" w:eastAsia="zh-CN"/>
              </w:rPr>
              <w:t>1</w:t>
            </w:r>
            <w:r>
              <w:rPr>
                <w:rFonts w:ascii="仿宋_GB2312" w:hAnsi="仿宋_GB2312" w:eastAsia="仿宋_GB2312" w:cs="仿宋_GB2312"/>
                <w:color w:val="auto"/>
                <w:lang w:eastAsia="zh-CN"/>
              </w:rPr>
              <w:t>分；缺项按0分计。</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val="en-US" w:eastAsia="zh-CN"/>
              </w:rPr>
            </w:pPr>
            <w:r>
              <w:rPr>
                <w:rFonts w:ascii="Times New Roman" w:hAnsi="Times New Roman" w:eastAsia="仿宋_GB2312" w:cs="Times New Roman"/>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3" w:type="dxa"/>
            <w:vMerge w:val="continue"/>
            <w:tcBorders>
              <w:left w:val="single" w:color="auto" w:sz="4" w:space="0"/>
              <w:bottom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vMerge w:val="continue"/>
            <w:tcBorders>
              <w:left w:val="single" w:color="auto" w:sz="4" w:space="0"/>
              <w:bottom w:val="single" w:color="auto" w:sz="4" w:space="0"/>
              <w:right w:val="single" w:color="auto" w:sz="4" w:space="0"/>
            </w:tcBorders>
            <w:vAlign w:val="center"/>
          </w:tcPr>
          <w:p>
            <w:pPr>
              <w:jc w:val="center"/>
              <w:rPr>
                <w:rFonts w:hint="default" w:ascii="仿宋_GB2312" w:hAnsi="仿宋_GB2312" w:eastAsia="仿宋_GB2312" w:cs="仿宋_GB2312"/>
              </w:rPr>
            </w:pPr>
          </w:p>
        </w:tc>
        <w:tc>
          <w:tcPr>
            <w:tcW w:w="6471"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_GB2312" w:eastAsia="仿宋_GB2312" w:cs="仿宋_GB2312"/>
                <w:lang w:eastAsia="zh-CN"/>
              </w:rPr>
            </w:pPr>
            <w:r>
              <w:rPr>
                <w:rFonts w:ascii="仿宋_GB2312" w:hAnsi="仿宋_GB2312" w:eastAsia="仿宋_GB2312" w:cs="仿宋_GB2312"/>
                <w:lang w:val="en-US" w:eastAsia="zh-CN"/>
              </w:rPr>
              <w:t>供应商根据项目实际情况，编制合同到期后的承诺(包括但不限于时间安排、工作流程、资料交接、岗位交接等），承诺内容</w:t>
            </w:r>
            <w:r>
              <w:rPr>
                <w:rFonts w:ascii="仿宋_GB2312" w:hAnsi="仿宋_GB2312" w:eastAsia="仿宋_GB2312" w:cs="仿宋_GB2312"/>
                <w:lang w:eastAsia="zh-CN"/>
              </w:rPr>
              <w:t>全面、合理、可行得</w:t>
            </w:r>
            <w:r>
              <w:rPr>
                <w:rFonts w:ascii="仿宋_GB2312" w:hAnsi="仿宋_GB2312" w:eastAsia="仿宋_GB2312" w:cs="仿宋_GB2312"/>
                <w:lang w:val="en-US" w:eastAsia="zh-CN"/>
              </w:rPr>
              <w:t>5</w:t>
            </w:r>
            <w:r>
              <w:rPr>
                <w:rFonts w:ascii="仿宋_GB2312" w:hAnsi="仿宋_GB2312" w:eastAsia="仿宋_GB2312" w:cs="仿宋_GB2312"/>
                <w:lang w:eastAsia="zh-CN"/>
              </w:rPr>
              <w:t>分；</w:t>
            </w:r>
            <w:r>
              <w:rPr>
                <w:rFonts w:ascii="仿宋_GB2312" w:hAnsi="仿宋_GB2312" w:eastAsia="仿宋_GB2312" w:cs="仿宋_GB2312"/>
                <w:lang w:val="en-US" w:eastAsia="zh-CN"/>
              </w:rPr>
              <w:t>承诺</w:t>
            </w:r>
            <w:r>
              <w:rPr>
                <w:rFonts w:ascii="仿宋_GB2312" w:hAnsi="仿宋_GB2312" w:eastAsia="仿宋_GB2312" w:cs="仿宋_GB2312"/>
                <w:lang w:eastAsia="zh-CN"/>
              </w:rPr>
              <w:t>较全面、较合理、较可行得</w:t>
            </w:r>
            <w:r>
              <w:rPr>
                <w:rFonts w:ascii="仿宋_GB2312" w:hAnsi="仿宋_GB2312" w:eastAsia="仿宋_GB2312" w:cs="仿宋_GB2312"/>
                <w:lang w:val="en-US" w:eastAsia="zh-CN"/>
              </w:rPr>
              <w:t>3</w:t>
            </w:r>
            <w:r>
              <w:rPr>
                <w:rFonts w:ascii="仿宋_GB2312" w:hAnsi="仿宋_GB2312" w:eastAsia="仿宋_GB2312" w:cs="仿宋_GB2312"/>
                <w:lang w:eastAsia="zh-CN"/>
              </w:rPr>
              <w:t>分；承诺不全面、不合理、不可行得</w:t>
            </w:r>
            <w:r>
              <w:rPr>
                <w:rFonts w:hint="default" w:ascii="仿宋_GB2312" w:hAnsi="仿宋_GB2312" w:eastAsia="仿宋_GB2312" w:cs="仿宋_GB2312"/>
                <w:lang w:val="en-US" w:eastAsia="zh-CN"/>
              </w:rPr>
              <w:t>1</w:t>
            </w:r>
            <w:r>
              <w:rPr>
                <w:rFonts w:ascii="仿宋_GB2312" w:hAnsi="仿宋_GB2312" w:eastAsia="仿宋_GB2312" w:cs="仿宋_GB2312"/>
                <w:lang w:eastAsia="zh-CN"/>
              </w:rPr>
              <w:t>分；缺项按0分计。</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val="en-US" w:eastAsia="zh-CN"/>
              </w:rPr>
            </w:pPr>
            <w:r>
              <w:rPr>
                <w:rFonts w:ascii="Times New Roman" w:hAnsi="Times New Roman" w:eastAsia="仿宋_GB2312" w:cs="Times New Roman"/>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1313" w:type="dxa"/>
            <w:vMerge w:val="restart"/>
            <w:tcBorders>
              <w:top w:val="single" w:color="auto" w:sz="4" w:space="0"/>
              <w:left w:val="single" w:color="auto" w:sz="4" w:space="0"/>
              <w:right w:val="single" w:color="auto" w:sz="4" w:space="0"/>
            </w:tcBorders>
            <w:vAlign w:val="center"/>
          </w:tcPr>
          <w:p>
            <w:pPr>
              <w:jc w:val="center"/>
              <w:rPr>
                <w:rFonts w:hint="default" w:ascii="仿宋_GB2312" w:hAnsi="仿宋_GB2312" w:eastAsia="仿宋_GB2312" w:cs="仿宋_GB2312"/>
              </w:rPr>
            </w:pPr>
            <w:r>
              <w:rPr>
                <w:rFonts w:ascii="仿宋_GB2312" w:hAnsi="仿宋_GB2312" w:eastAsia="仿宋_GB2312" w:cs="仿宋_GB2312"/>
              </w:rPr>
              <w:t>技术部分</w:t>
            </w:r>
          </w:p>
          <w:p>
            <w:pPr>
              <w:jc w:val="center"/>
              <w:rPr>
                <w:rFonts w:hint="default" w:ascii="仿宋_GB2312" w:hAnsi="仿宋_GB2312" w:eastAsia="仿宋_GB2312" w:cs="仿宋_GB2312"/>
              </w:rPr>
            </w:pPr>
            <w:r>
              <w:rPr>
                <w:rFonts w:ascii="仿宋_GB2312" w:hAnsi="仿宋_GB2312" w:eastAsia="仿宋_GB2312" w:cs="仿宋_GB2312"/>
              </w:rPr>
              <w:t>（</w:t>
            </w:r>
            <w:r>
              <w:rPr>
                <w:rFonts w:ascii="仿宋_GB2312" w:hAnsi="仿宋_GB2312" w:eastAsia="仿宋_GB2312" w:cs="仿宋_GB2312"/>
                <w:lang w:val="en-US" w:eastAsia="zh-CN"/>
              </w:rPr>
              <w:t>70</w:t>
            </w:r>
            <w:r>
              <w:rPr>
                <w:rFonts w:ascii="仿宋_GB2312" w:hAnsi="仿宋_GB2312" w:eastAsia="仿宋_GB2312" w:cs="仿宋_GB2312"/>
              </w:rPr>
              <w:t>分）</w:t>
            </w:r>
          </w:p>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项目服务管理保障的整体思路</w:t>
            </w:r>
          </w:p>
        </w:tc>
        <w:tc>
          <w:tcPr>
            <w:tcW w:w="6471"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_GB2312" w:eastAsia="仿宋_GB2312" w:cs="仿宋_GB2312"/>
                <w:lang w:val="en-US" w:eastAsia="zh-CN"/>
              </w:rPr>
            </w:pPr>
            <w:r>
              <w:rPr>
                <w:rFonts w:ascii="仿宋_GB2312" w:hAnsi="仿宋_GB2312" w:eastAsia="仿宋_GB2312" w:cs="仿宋_GB2312"/>
                <w:lang w:val="en-US" w:eastAsia="zh-CN"/>
              </w:rPr>
              <w:t>磋商小组根据供应商对本项目安保服务、相关配合、员工待遇保障、危机处理等需求的分析理解，以及为做好本项目所采取和提出的指导思想、总体原则、服务定位、方式方法、加强主动监管等措施进行综合评价。分析理解透彻、逻辑思维严谨、采取措施科学合理的为优，得9 分；分析理解较透彻、逻辑思维比较严谨、采取措施比较科学合理的为良，得 6 分；分析理解不到位、逻辑思维不严谨、采取措施不科学不合理的，得 3 分；缺项按0分计。</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val="en-US" w:eastAsia="zh-CN"/>
              </w:rPr>
            </w:pPr>
            <w:r>
              <w:rPr>
                <w:rFonts w:ascii="Times New Roman" w:hAnsi="Times New Roman" w:eastAsia="仿宋_GB2312" w:cs="Times New Roman"/>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rPr>
            </w:pPr>
            <w:r>
              <w:rPr>
                <w:rFonts w:ascii="仿宋_GB2312" w:hAnsi="仿宋_GB2312" w:eastAsia="仿宋_GB2312" w:cs="仿宋_GB2312"/>
                <w:lang w:val="en-US" w:eastAsia="zh-CN"/>
              </w:rPr>
              <w:t>人员配备</w:t>
            </w:r>
          </w:p>
        </w:tc>
        <w:tc>
          <w:tcPr>
            <w:tcW w:w="647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1.拟派保安队长，为</w:t>
            </w:r>
            <w:r>
              <w:rPr>
                <w:rFonts w:hint="eastAsia" w:ascii="仿宋_GB2312" w:hAnsi="仿宋_GB2312" w:eastAsia="仿宋_GB2312" w:cs="仿宋_GB2312"/>
                <w:lang w:val="en-US" w:eastAsia="zh-CN"/>
              </w:rPr>
              <w:t>退转</w:t>
            </w:r>
            <w:r>
              <w:rPr>
                <w:rFonts w:ascii="仿宋_GB2312" w:hAnsi="仿宋_GB2312" w:eastAsia="仿宋_GB2312" w:cs="仿宋_GB2312"/>
                <w:lang w:val="en-US" w:eastAsia="zh-CN"/>
              </w:rPr>
              <w:t>军人得1分；年龄在45周岁以下得1分；大专及以上学历得1分；</w:t>
            </w:r>
            <w:r>
              <w:rPr>
                <w:rFonts w:ascii="仿宋_GB2312" w:hAnsi="仿宋_GB2312" w:eastAsia="仿宋_GB2312" w:cs="仿宋_GB2312"/>
                <w:color w:val="auto"/>
                <w:lang w:val="en-US" w:eastAsia="zh-CN"/>
              </w:rPr>
              <w:t>具有三年及以上类似项目管理经验</w:t>
            </w:r>
            <w:r>
              <w:rPr>
                <w:rFonts w:ascii="仿宋_GB2312" w:hAnsi="仿宋_GB2312" w:eastAsia="仿宋_GB2312" w:cs="仿宋_GB2312"/>
                <w:lang w:val="en-US" w:eastAsia="zh-CN"/>
              </w:rPr>
              <w:t>得1分；最高得4分。</w:t>
            </w:r>
          </w:p>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（保安队长需提供最近六个月（其中任一个月）依法缴纳社会保险费的凭证，否则不得分。）</w:t>
            </w:r>
          </w:p>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2.拟派本项目的保安人员，含有退伍军人或转业军人人员，承诺占拟派保安总人数20%的，得2分；承诺占拟派保安总人数25%及以上的，得3分（承诺函格式自拟）；最高得3分。</w:t>
            </w:r>
          </w:p>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3.供应商承诺向本项目拟派的安保服务人员（含保安队长，不低于21人），均持有《国家保安员资格证》的得3分（承诺函格式自拟）。</w:t>
            </w:r>
          </w:p>
          <w:p>
            <w:pPr>
              <w:widowControl w:val="0"/>
              <w:autoSpaceDE w:val="0"/>
              <w:autoSpaceDN w:val="0"/>
              <w:adjustRightInd w:val="0"/>
              <w:ind w:right="210"/>
              <w:rPr>
                <w:rFonts w:hint="default"/>
                <w:lang w:val="en-US" w:eastAsia="zh-CN"/>
              </w:rPr>
            </w:pPr>
            <w:r>
              <w:rPr>
                <w:rFonts w:hint="default" w:ascii="仿宋_GB2312" w:hAnsi="仿宋_GB2312" w:eastAsia="仿宋_GB2312" w:cs="仿宋_GB2312"/>
                <w:b/>
                <w:bCs/>
                <w:lang w:val="en-US" w:eastAsia="zh-CN"/>
              </w:rPr>
              <w:t>以上拟派人员不得重复任职，同一人多份证书只计1次分。</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val="en-US" w:eastAsia="zh-CN"/>
              </w:rPr>
            </w:pPr>
            <w:r>
              <w:rPr>
                <w:rFonts w:ascii="Times New Roman" w:hAnsi="Times New Roman" w:eastAsia="仿宋_GB2312" w:cs="Times New Roman"/>
                <w:color w:va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2" w:hRule="exac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内部管理制度</w:t>
            </w:r>
          </w:p>
        </w:tc>
        <w:tc>
          <w:tcPr>
            <w:tcW w:w="647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lang w:eastAsia="zh-CN"/>
              </w:rPr>
            </w:pPr>
            <w:r>
              <w:rPr>
                <w:rFonts w:hint="default" w:ascii="仿宋_GB2312" w:hAnsi="仿宋_GB2312" w:eastAsia="仿宋_GB2312" w:cs="仿宋_GB2312"/>
                <w:lang w:val="en-US" w:eastAsia="zh-CN"/>
              </w:rPr>
              <w:t>根据</w:t>
            </w:r>
            <w:r>
              <w:rPr>
                <w:rFonts w:ascii="仿宋_GB2312" w:hAnsi="仿宋_GB2312" w:eastAsia="仿宋_GB2312" w:cs="仿宋_GB2312"/>
                <w:lang w:val="en-US" w:eastAsia="zh-CN"/>
              </w:rPr>
              <w:t>供应商提供的</w:t>
            </w:r>
            <w:r>
              <w:rPr>
                <w:rFonts w:hint="default" w:ascii="仿宋_GB2312" w:hAnsi="仿宋_GB2312" w:eastAsia="仿宋_GB2312" w:cs="仿宋_GB2312"/>
                <w:lang w:val="en-US" w:eastAsia="zh-CN"/>
              </w:rPr>
              <w:t>项目管理架构、主要人员职责、巡查、日常管理制度、奖惩办法等内部管理制度评分</w:t>
            </w:r>
            <w:r>
              <w:rPr>
                <w:rFonts w:ascii="仿宋_GB2312" w:hAnsi="仿宋_GB2312" w:eastAsia="仿宋_GB2312" w:cs="仿宋_GB2312"/>
                <w:lang w:val="en-US" w:eastAsia="zh-CN"/>
              </w:rPr>
              <w:t>，</w:t>
            </w:r>
            <w:r>
              <w:rPr>
                <w:rFonts w:hint="default" w:ascii="仿宋_GB2312" w:hAnsi="仿宋_GB2312" w:eastAsia="仿宋_GB2312" w:cs="仿宋_GB2312"/>
                <w:lang w:val="en-US" w:eastAsia="zh-CN"/>
              </w:rPr>
              <w:t>内部管理</w:t>
            </w:r>
            <w:r>
              <w:rPr>
                <w:rFonts w:ascii="仿宋_GB2312" w:hAnsi="仿宋_GB2312" w:eastAsia="仿宋_GB2312" w:cs="仿宋_GB2312"/>
                <w:lang w:val="en-US" w:eastAsia="zh-CN"/>
              </w:rPr>
              <w:t>制度全面、切合实际、科学合理可行</w:t>
            </w:r>
            <w:r>
              <w:rPr>
                <w:rFonts w:hint="default" w:ascii="仿宋_GB2312" w:hAnsi="仿宋_GB2312" w:eastAsia="仿宋_GB2312" w:cs="仿宋_GB2312"/>
                <w:lang w:val="en-US" w:eastAsia="zh-CN"/>
              </w:rPr>
              <w:t>得</w:t>
            </w:r>
            <w:r>
              <w:rPr>
                <w:rFonts w:ascii="仿宋_GB2312" w:hAnsi="仿宋_GB2312" w:eastAsia="仿宋_GB2312" w:cs="仿宋_GB2312"/>
                <w:lang w:val="en-US" w:eastAsia="zh-CN"/>
              </w:rPr>
              <w:t>7</w:t>
            </w:r>
            <w:r>
              <w:rPr>
                <w:rFonts w:hint="default" w:ascii="仿宋_GB2312" w:hAnsi="仿宋_GB2312" w:eastAsia="仿宋_GB2312" w:cs="仿宋_GB2312"/>
                <w:lang w:val="en-US" w:eastAsia="zh-CN"/>
              </w:rPr>
              <w:t>分；内部管理</w:t>
            </w:r>
            <w:r>
              <w:rPr>
                <w:rFonts w:ascii="仿宋_GB2312" w:hAnsi="仿宋_GB2312" w:eastAsia="仿宋_GB2312" w:cs="仿宋_GB2312"/>
                <w:lang w:val="en-US" w:eastAsia="zh-CN"/>
              </w:rPr>
              <w:t>制度较全面、较切合实际、较科学合理可行</w:t>
            </w:r>
            <w:r>
              <w:rPr>
                <w:rFonts w:hint="default" w:ascii="仿宋_GB2312" w:hAnsi="仿宋_GB2312" w:eastAsia="仿宋_GB2312" w:cs="仿宋_GB2312"/>
                <w:lang w:val="en-US" w:eastAsia="zh-CN"/>
              </w:rPr>
              <w:t>得</w:t>
            </w:r>
            <w:r>
              <w:rPr>
                <w:rFonts w:ascii="仿宋_GB2312" w:hAnsi="仿宋_GB2312" w:eastAsia="仿宋_GB2312" w:cs="仿宋_GB2312"/>
                <w:lang w:val="en-US" w:eastAsia="zh-CN"/>
              </w:rPr>
              <w:t>4</w:t>
            </w:r>
            <w:r>
              <w:rPr>
                <w:rFonts w:hint="default" w:ascii="仿宋_GB2312" w:hAnsi="仿宋_GB2312" w:eastAsia="仿宋_GB2312" w:cs="仿宋_GB2312"/>
                <w:lang w:val="en-US" w:eastAsia="zh-CN"/>
              </w:rPr>
              <w:t>分；内部管理</w:t>
            </w:r>
            <w:r>
              <w:rPr>
                <w:rFonts w:ascii="仿宋_GB2312" w:hAnsi="仿宋_GB2312" w:eastAsia="仿宋_GB2312" w:cs="仿宋_GB2312"/>
                <w:lang w:val="en-US" w:eastAsia="zh-CN"/>
              </w:rPr>
              <w:t>制度</w:t>
            </w:r>
            <w:r>
              <w:rPr>
                <w:rFonts w:hint="default" w:ascii="仿宋_GB2312" w:hAnsi="仿宋_GB2312" w:eastAsia="仿宋_GB2312" w:cs="仿宋_GB2312"/>
                <w:lang w:val="en-US" w:eastAsia="zh-CN"/>
              </w:rPr>
              <w:t>不全面、不合理、不可行得</w:t>
            </w:r>
            <w:r>
              <w:rPr>
                <w:rFonts w:ascii="仿宋_GB2312" w:hAnsi="仿宋_GB2312" w:eastAsia="仿宋_GB2312" w:cs="仿宋_GB2312"/>
                <w:lang w:val="en-US" w:eastAsia="zh-CN"/>
              </w:rPr>
              <w:t>1</w:t>
            </w:r>
            <w:r>
              <w:rPr>
                <w:rFonts w:hint="default" w:ascii="仿宋_GB2312" w:hAnsi="仿宋_GB2312" w:eastAsia="仿宋_GB2312" w:cs="仿宋_GB2312"/>
                <w:lang w:val="en-US" w:eastAsia="zh-CN"/>
              </w:rPr>
              <w:t>分；缺项按0分计。</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exac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档案管理方案</w:t>
            </w:r>
          </w:p>
        </w:tc>
        <w:tc>
          <w:tcPr>
            <w:tcW w:w="647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供应商需</w:t>
            </w:r>
            <w:r>
              <w:rPr>
                <w:rFonts w:hint="default" w:ascii="仿宋_GB2312" w:hAnsi="仿宋_GB2312" w:eastAsia="仿宋_GB2312" w:cs="仿宋_GB2312"/>
                <w:lang w:val="en-US" w:eastAsia="zh-CN"/>
              </w:rPr>
              <w:t>根据采购需求提供针对本项目的档案管理方案，方案应包括： 档案建立、人员及物资等档案类别、档案日常管理、档案接收移交管理或采购人认为需要的其他内容等。</w:t>
            </w:r>
          </w:p>
          <w:p>
            <w:pPr>
              <w:widowControl w:val="0"/>
              <w:autoSpaceDE w:val="0"/>
              <w:autoSpaceDN w:val="0"/>
              <w:adjustRightInd w:val="0"/>
              <w:ind w:right="210"/>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方案合理、全面、具体详实、可行性强，针对性强的得</w:t>
            </w:r>
            <w:r>
              <w:rPr>
                <w:rFonts w:ascii="仿宋_GB2312" w:hAnsi="仿宋_GB2312" w:eastAsia="仿宋_GB2312" w:cs="仿宋_GB2312"/>
                <w:lang w:val="en-US" w:eastAsia="zh-CN"/>
              </w:rPr>
              <w:t>7</w:t>
            </w:r>
            <w:r>
              <w:rPr>
                <w:rFonts w:hint="default" w:ascii="仿宋_GB2312" w:hAnsi="仿宋_GB2312" w:eastAsia="仿宋_GB2312" w:cs="仿宋_GB2312"/>
                <w:lang w:val="en-US" w:eastAsia="zh-CN"/>
              </w:rPr>
              <w:t>分；方案合理、全面，比较可行，针对性较强的得</w:t>
            </w:r>
            <w:r>
              <w:rPr>
                <w:rFonts w:ascii="仿宋_GB2312" w:hAnsi="仿宋_GB2312" w:eastAsia="仿宋_GB2312" w:cs="仿宋_GB2312"/>
                <w:lang w:val="en-US" w:eastAsia="zh-CN"/>
              </w:rPr>
              <w:t>4</w:t>
            </w:r>
            <w:r>
              <w:rPr>
                <w:rFonts w:hint="default" w:ascii="仿宋_GB2312" w:hAnsi="仿宋_GB2312" w:eastAsia="仿宋_GB2312" w:cs="仿宋_GB2312"/>
                <w:lang w:val="en-US" w:eastAsia="zh-CN"/>
              </w:rPr>
              <w:t>分；方案不合理、不全面，无针对性的得</w:t>
            </w:r>
            <w:r>
              <w:rPr>
                <w:rFonts w:ascii="仿宋_GB2312" w:hAnsi="仿宋_GB2312" w:eastAsia="仿宋_GB2312" w:cs="仿宋_GB2312"/>
                <w:lang w:val="en-US" w:eastAsia="zh-CN"/>
              </w:rPr>
              <w:t>1</w:t>
            </w:r>
            <w:r>
              <w:rPr>
                <w:rFonts w:hint="default" w:ascii="仿宋_GB2312" w:hAnsi="仿宋_GB2312" w:eastAsia="仿宋_GB2312" w:cs="仿宋_GB2312"/>
                <w:lang w:val="en-US" w:eastAsia="zh-CN"/>
              </w:rPr>
              <w:t>分；缺项按0分计</w:t>
            </w:r>
            <w:r>
              <w:rPr>
                <w:rFonts w:ascii="仿宋_GB2312" w:hAnsi="仿宋_GB2312" w:eastAsia="仿宋_GB2312" w:cs="仿宋_GB2312"/>
                <w:lang w:val="en-US" w:eastAsia="zh-CN"/>
              </w:rPr>
              <w:t>。</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val="en-US" w:eastAsia="zh-CN"/>
              </w:rPr>
            </w:pPr>
            <w:r>
              <w:rPr>
                <w:rFonts w:ascii="Times New Roman" w:hAnsi="Times New Roman" w:eastAsia="仿宋_GB2312" w:cs="Times New Roman"/>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exac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培训方案</w:t>
            </w:r>
          </w:p>
        </w:tc>
        <w:tc>
          <w:tcPr>
            <w:tcW w:w="6471"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_GB2312" w:eastAsia="仿宋_GB2312" w:cs="仿宋_GB2312"/>
                <w:lang w:eastAsia="zh-CN"/>
              </w:rPr>
            </w:pPr>
            <w:r>
              <w:rPr>
                <w:rFonts w:ascii="仿宋_GB2312" w:hAnsi="仿宋_GB2312" w:eastAsia="仿宋_GB2312" w:cs="仿宋_GB2312"/>
                <w:color w:val="auto"/>
                <w:kern w:val="0"/>
                <w:lang w:eastAsia="zh-CN"/>
              </w:rPr>
              <w:t>供应商</w:t>
            </w:r>
            <w:r>
              <w:rPr>
                <w:rFonts w:ascii="Times New Roman" w:hAnsi="Times New Roman" w:eastAsia="仿宋_GB2312" w:cs="Times New Roman"/>
                <w:color w:val="auto"/>
                <w:lang w:val="en-US" w:eastAsia="zh-CN"/>
              </w:rPr>
              <w:t>结合实际，</w:t>
            </w:r>
            <w:r>
              <w:rPr>
                <w:rFonts w:ascii="仿宋_GB2312" w:hAnsi="仿宋_GB2312" w:eastAsia="仿宋_GB2312" w:cs="仿宋_GB2312"/>
                <w:color w:val="auto"/>
                <w:kern w:val="0"/>
                <w:lang w:eastAsia="zh-CN"/>
              </w:rPr>
              <w:t>提供针对本项目的日常培训计划及方案，根据是否安排得当、培训内容是否符合全面且符合项目需求评分。安排得当、培训内容全面且符合项目需求、合理、可行得</w:t>
            </w:r>
            <w:r>
              <w:rPr>
                <w:rFonts w:ascii="仿宋_GB2312" w:hAnsi="仿宋_GB2312" w:eastAsia="仿宋_GB2312" w:cs="仿宋_GB2312"/>
                <w:color w:val="auto"/>
                <w:kern w:val="0"/>
                <w:lang w:val="en-US" w:eastAsia="zh-CN"/>
              </w:rPr>
              <w:t>7</w:t>
            </w:r>
            <w:r>
              <w:rPr>
                <w:rFonts w:ascii="仿宋_GB2312" w:hAnsi="仿宋_GB2312" w:eastAsia="仿宋_GB2312" w:cs="仿宋_GB2312"/>
                <w:color w:val="auto"/>
                <w:kern w:val="0"/>
                <w:lang w:eastAsia="zh-CN"/>
              </w:rPr>
              <w:t>分；安排较得当、培训内容较全面且符合项目需求、较合理、较可行得</w:t>
            </w:r>
            <w:r>
              <w:rPr>
                <w:rFonts w:ascii="仿宋_GB2312" w:hAnsi="仿宋_GB2312" w:eastAsia="仿宋_GB2312" w:cs="仿宋_GB2312"/>
                <w:color w:val="auto"/>
                <w:kern w:val="0"/>
                <w:lang w:val="en-US" w:eastAsia="zh-CN"/>
              </w:rPr>
              <w:t>4</w:t>
            </w:r>
            <w:r>
              <w:rPr>
                <w:rFonts w:ascii="仿宋_GB2312" w:hAnsi="仿宋_GB2312" w:eastAsia="仿宋_GB2312" w:cs="仿宋_GB2312"/>
                <w:color w:val="auto"/>
                <w:kern w:val="0"/>
                <w:lang w:eastAsia="zh-CN"/>
              </w:rPr>
              <w:t>分；不全面、不合理、不可行得</w:t>
            </w:r>
            <w:r>
              <w:rPr>
                <w:rFonts w:ascii="仿宋_GB2312" w:hAnsi="仿宋_GB2312" w:eastAsia="仿宋_GB2312" w:cs="仿宋_GB2312"/>
                <w:color w:val="auto"/>
                <w:kern w:val="0"/>
                <w:lang w:val="en-US" w:eastAsia="zh-CN"/>
              </w:rPr>
              <w:t>1</w:t>
            </w:r>
            <w:r>
              <w:rPr>
                <w:rFonts w:ascii="仿宋_GB2312" w:hAnsi="仿宋_GB2312" w:eastAsia="仿宋_GB2312" w:cs="仿宋_GB2312"/>
                <w:color w:val="auto"/>
                <w:kern w:val="0"/>
                <w:lang w:eastAsia="zh-CN"/>
              </w:rPr>
              <w:t>分；缺项按0分计</w:t>
            </w:r>
            <w:r>
              <w:rPr>
                <w:rFonts w:ascii="仿宋_GB2312" w:hAnsi="仿宋_GB2312" w:eastAsia="仿宋_GB2312" w:cs="仿宋_GB2312"/>
                <w:lang w:eastAsia="zh-CN"/>
              </w:rPr>
              <w:t>。</w:t>
            </w:r>
          </w:p>
          <w:p>
            <w:pPr>
              <w:pStyle w:val="15"/>
            </w:pP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eastAsia="zh-CN"/>
              </w:rPr>
            </w:pPr>
            <w:r>
              <w:rPr>
                <w:rFonts w:ascii="Times New Roman" w:hAnsi="Times New Roman" w:eastAsia="仿宋_GB2312" w:cs="Times New Roman"/>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exac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安全管理方案</w:t>
            </w:r>
          </w:p>
        </w:tc>
        <w:tc>
          <w:tcPr>
            <w:tcW w:w="647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 xml:space="preserve">供应商根据采购需求提供针对本项目的安全管理方案，方案应包括：文物安全、消防安全、公共设备设施安全、人员安全、信息安全或采购人认为需要的其他安全保卫措施等。 </w:t>
            </w:r>
          </w:p>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 xml:space="preserve">根据要求的分项内容及对应的方案完善性、针对性、详实性、可行性，进行分值对应量化。 </w:t>
            </w:r>
          </w:p>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方案合理、全面、具体详实、可行性强，针对性强的得7 分；</w:t>
            </w:r>
          </w:p>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 xml:space="preserve">方案较合理、全面，比较可行，针对性较强的得4 分； </w:t>
            </w:r>
          </w:p>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方案不合理、不全面，没有可行性，无针对性的得 1 分；</w:t>
            </w:r>
          </w:p>
          <w:p>
            <w:pPr>
              <w:widowControl w:val="0"/>
              <w:autoSpaceDE w:val="0"/>
              <w:autoSpaceDN w:val="0"/>
              <w:adjustRightInd w:val="0"/>
              <w:ind w:right="210"/>
              <w:rPr>
                <w:rFonts w:hint="default"/>
                <w:lang w:eastAsia="zh-CN"/>
              </w:rPr>
            </w:pPr>
            <w:r>
              <w:rPr>
                <w:rFonts w:ascii="仿宋_GB2312" w:hAnsi="仿宋_GB2312" w:eastAsia="仿宋_GB2312" w:cs="仿宋_GB2312"/>
                <w:lang w:val="en-US" w:eastAsia="zh-CN"/>
              </w:rPr>
              <w:t>无方案不得分。</w:t>
            </w:r>
          </w:p>
        </w:tc>
        <w:tc>
          <w:tcPr>
            <w:tcW w:w="71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jc w:val="right"/>
              <w:rPr>
                <w:rFonts w:hint="default" w:ascii="Times New Roman" w:hAnsi="Times New Roman" w:eastAsia="仿宋_GB2312" w:cs="Times New Roman"/>
                <w:lang w:val="en-US" w:eastAsia="zh-CN"/>
              </w:rPr>
            </w:pPr>
            <w:r>
              <w:rPr>
                <w:rFonts w:ascii="Times New Roman" w:hAnsi="Times New Roman" w:eastAsia="仿宋_GB2312" w:cs="Times New Roman"/>
                <w:kern w:val="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6" w:hRule="exac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lang w:val="en-US" w:eastAsia="zh-CN"/>
              </w:rPr>
            </w:pPr>
            <w:r>
              <w:rPr>
                <w:rFonts w:ascii="仿宋_GB2312" w:hAnsi="仿宋_GB2312" w:eastAsia="仿宋_GB2312" w:cs="仿宋_GB2312"/>
                <w:lang w:val="en-US" w:eastAsia="zh-CN"/>
              </w:rPr>
              <w:t>秩序维护方案</w:t>
            </w:r>
          </w:p>
          <w:p>
            <w:pPr>
              <w:widowControl w:val="0"/>
              <w:autoSpaceDE w:val="0"/>
              <w:autoSpaceDN w:val="0"/>
              <w:adjustRightInd w:val="0"/>
              <w:ind w:right="210"/>
              <w:rPr>
                <w:rFonts w:hint="default" w:ascii="仿宋_GB2312" w:hAnsi="仿宋_GB2312" w:eastAsia="仿宋_GB2312" w:cs="仿宋_GB2312"/>
                <w:lang w:val="en-US" w:eastAsia="zh-CN"/>
              </w:rPr>
            </w:pPr>
          </w:p>
        </w:tc>
        <w:tc>
          <w:tcPr>
            <w:tcW w:w="647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jc w:val="left"/>
              <w:rPr>
                <w:rFonts w:hint="default" w:ascii="仿宋_GB2312" w:hAnsi="仿宋_GB2312" w:eastAsia="仿宋_GB2312" w:cs="仿宋_GB2312"/>
                <w:lang w:val="en-US" w:eastAsia="zh-CN"/>
              </w:rPr>
            </w:pPr>
            <w:r>
              <w:rPr>
                <w:rFonts w:ascii="仿宋_GB2312" w:hAnsi="仿宋_GB2312" w:eastAsia="仿宋_GB2312" w:cs="仿宋_GB2312"/>
                <w:lang w:val="en-US" w:eastAsia="zh-CN"/>
              </w:rPr>
              <w:t xml:space="preserve">供应商根据采购需求提供针对本项目的秩序维护方案，方案应包括： 岗位值班值守、 安全巡查、 重大活动秩序维护或采购人认为需要的其他内容等。根据要求的分项内容及对应的方案完善性、针对性、详实性、可行性，进行分值对应量化。 </w:t>
            </w:r>
          </w:p>
          <w:p>
            <w:pPr>
              <w:widowControl w:val="0"/>
              <w:autoSpaceDE w:val="0"/>
              <w:autoSpaceDN w:val="0"/>
              <w:adjustRightInd w:val="0"/>
              <w:ind w:right="210"/>
              <w:jc w:val="left"/>
              <w:rPr>
                <w:rFonts w:hint="default" w:ascii="仿宋_GB2312" w:hAnsi="仿宋_GB2312" w:eastAsia="仿宋_GB2312" w:cs="仿宋_GB2312"/>
                <w:lang w:val="en-US" w:eastAsia="zh-CN"/>
              </w:rPr>
            </w:pPr>
            <w:r>
              <w:rPr>
                <w:rFonts w:ascii="仿宋_GB2312" w:hAnsi="仿宋_GB2312" w:eastAsia="仿宋_GB2312" w:cs="仿宋_GB2312"/>
                <w:lang w:val="en-US" w:eastAsia="zh-CN"/>
              </w:rPr>
              <w:t xml:space="preserve">方案合理、全面、具体详实、可行性强，针对性强的得8 分； </w:t>
            </w:r>
          </w:p>
          <w:p>
            <w:pPr>
              <w:widowControl w:val="0"/>
              <w:autoSpaceDE w:val="0"/>
              <w:autoSpaceDN w:val="0"/>
              <w:adjustRightInd w:val="0"/>
              <w:ind w:right="210"/>
              <w:jc w:val="left"/>
              <w:rPr>
                <w:rFonts w:hint="default" w:ascii="仿宋_GB2312" w:hAnsi="仿宋_GB2312" w:eastAsia="仿宋_GB2312" w:cs="仿宋_GB2312"/>
                <w:lang w:val="en-US" w:eastAsia="zh-CN"/>
              </w:rPr>
            </w:pPr>
            <w:r>
              <w:rPr>
                <w:rFonts w:ascii="仿宋_GB2312" w:hAnsi="仿宋_GB2312" w:eastAsia="仿宋_GB2312" w:cs="仿宋_GB2312"/>
                <w:lang w:val="en-US" w:eastAsia="zh-CN"/>
              </w:rPr>
              <w:t>方案</w:t>
            </w:r>
            <w:r>
              <w:rPr>
                <w:rFonts w:ascii="仿宋_GB2312" w:hAnsi="仿宋_GB2312" w:eastAsia="仿宋_GB2312" w:cs="仿宋_GB2312"/>
                <w:color w:val="auto"/>
                <w:lang w:val="en-US" w:eastAsia="zh-CN"/>
              </w:rPr>
              <w:t>较</w:t>
            </w:r>
            <w:r>
              <w:rPr>
                <w:rFonts w:ascii="仿宋_GB2312" w:hAnsi="仿宋_GB2312" w:eastAsia="仿宋_GB2312" w:cs="仿宋_GB2312"/>
                <w:lang w:val="en-US" w:eastAsia="zh-CN"/>
              </w:rPr>
              <w:t xml:space="preserve">合理、全面，比较可行，针对性较强的得 </w:t>
            </w:r>
            <w:r>
              <w:rPr>
                <w:rFonts w:hint="default" w:ascii="仿宋_GB2312" w:hAnsi="仿宋_GB2312" w:eastAsia="仿宋_GB2312" w:cs="仿宋_GB2312"/>
                <w:lang w:val="en-US" w:eastAsia="zh-CN"/>
              </w:rPr>
              <w:t>5</w:t>
            </w:r>
            <w:r>
              <w:rPr>
                <w:rFonts w:ascii="仿宋_GB2312" w:hAnsi="仿宋_GB2312" w:eastAsia="仿宋_GB2312" w:cs="仿宋_GB2312"/>
                <w:lang w:val="en-US" w:eastAsia="zh-CN"/>
              </w:rPr>
              <w:t xml:space="preserve">分； </w:t>
            </w:r>
          </w:p>
          <w:p>
            <w:pPr>
              <w:widowControl w:val="0"/>
              <w:autoSpaceDE w:val="0"/>
              <w:autoSpaceDN w:val="0"/>
              <w:adjustRightInd w:val="0"/>
              <w:ind w:right="210"/>
              <w:jc w:val="left"/>
              <w:rPr>
                <w:rFonts w:hint="default" w:ascii="仿宋_GB2312" w:hAnsi="仿宋_GB2312" w:eastAsia="仿宋_GB2312" w:cs="仿宋_GB2312"/>
                <w:lang w:val="en-US" w:eastAsia="zh-CN"/>
              </w:rPr>
            </w:pPr>
            <w:r>
              <w:rPr>
                <w:rFonts w:ascii="仿宋_GB2312" w:hAnsi="仿宋_GB2312" w:eastAsia="仿宋_GB2312" w:cs="仿宋_GB2312"/>
                <w:lang w:val="en-US" w:eastAsia="zh-CN"/>
              </w:rPr>
              <w:t xml:space="preserve">方案不合理、不全面，没有可行性，无针对性的得 2 分； </w:t>
            </w:r>
          </w:p>
          <w:p>
            <w:pPr>
              <w:widowControl w:val="0"/>
              <w:autoSpaceDE w:val="0"/>
              <w:autoSpaceDN w:val="0"/>
              <w:adjustRightInd w:val="0"/>
              <w:ind w:right="210"/>
              <w:jc w:val="left"/>
              <w:rPr>
                <w:rFonts w:hint="default" w:ascii="仿宋_GB2312" w:hAnsi="仿宋_GB2312" w:eastAsia="仿宋_GB2312" w:cs="仿宋_GB2312"/>
                <w:lang w:val="en-US" w:eastAsia="zh-CN"/>
              </w:rPr>
            </w:pPr>
            <w:r>
              <w:rPr>
                <w:rFonts w:ascii="仿宋_GB2312" w:hAnsi="仿宋_GB2312" w:eastAsia="仿宋_GB2312" w:cs="仿宋_GB2312"/>
                <w:lang w:val="en-US" w:eastAsia="zh-CN"/>
              </w:rPr>
              <w:t>无方案不得分。</w:t>
            </w:r>
          </w:p>
        </w:tc>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lang w:val="en-US" w:eastAsia="zh-CN"/>
              </w:rPr>
            </w:pPr>
            <w:r>
              <w:rPr>
                <w:rFonts w:ascii="仿宋_GB2312" w:hAnsi="仿宋_GB2312" w:eastAsia="仿宋_GB2312" w:cs="仿宋_GB231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exac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rPr>
            </w:pPr>
            <w:r>
              <w:rPr>
                <w:rFonts w:ascii="仿宋_GB2312" w:hAnsi="仿宋_GB2312" w:eastAsia="仿宋_GB2312" w:cs="仿宋_GB2312"/>
                <w:lang w:val="en-US" w:eastAsia="zh-CN"/>
              </w:rPr>
              <w:t>应急方案</w:t>
            </w:r>
          </w:p>
        </w:tc>
        <w:tc>
          <w:tcPr>
            <w:tcW w:w="6471" w:type="dxa"/>
            <w:tcBorders>
              <w:top w:val="single" w:color="auto" w:sz="4" w:space="0"/>
              <w:left w:val="single" w:color="auto" w:sz="4" w:space="0"/>
              <w:bottom w:val="single" w:color="auto" w:sz="4" w:space="0"/>
              <w:right w:val="single" w:color="auto" w:sz="4" w:space="0"/>
            </w:tcBorders>
            <w:vAlign w:val="center"/>
          </w:tcPr>
          <w:p>
            <w:pPr>
              <w:pStyle w:val="15"/>
            </w:pPr>
            <w:r>
              <w:rPr>
                <w:rFonts w:hint="eastAsia" w:ascii="仿宋_GB2312" w:hAnsi="仿宋_GB2312" w:eastAsia="仿宋_GB2312" w:cs="仿宋_GB2312"/>
                <w:kern w:val="0"/>
                <w:sz w:val="21"/>
                <w:szCs w:val="21"/>
                <w:lang w:val="zh-TW"/>
              </w:rPr>
              <w:t>供应商结合本项目特点，提供针对本项目的应急管理方案，方案应包括： 消防应急、 自然灾害、 公共卫生事件、 群体事件或采购人认为需要的其他应急内容等。,根据方案全面性、合理性、可行性评分。全面、合理、可行得</w:t>
            </w:r>
            <w:r>
              <w:rPr>
                <w:rFonts w:hint="eastAsia" w:ascii="仿宋_GB2312" w:hAnsi="仿宋_GB2312" w:eastAsia="仿宋_GB2312" w:cs="仿宋_GB2312"/>
                <w:kern w:val="0"/>
                <w:sz w:val="21"/>
                <w:szCs w:val="21"/>
              </w:rPr>
              <w:t>8</w:t>
            </w:r>
            <w:r>
              <w:rPr>
                <w:rFonts w:hint="eastAsia" w:ascii="仿宋_GB2312" w:hAnsi="仿宋_GB2312" w:eastAsia="仿宋_GB2312" w:cs="仿宋_GB2312"/>
                <w:kern w:val="0"/>
                <w:sz w:val="21"/>
                <w:szCs w:val="21"/>
                <w:lang w:val="zh-TW"/>
              </w:rPr>
              <w:t>分；较全面、较合理、较可行得</w:t>
            </w:r>
            <w:r>
              <w:rPr>
                <w:rFonts w:ascii="仿宋_GB2312" w:hAnsi="仿宋_GB2312" w:eastAsia="仿宋_GB2312" w:cs="仿宋_GB2312"/>
                <w:kern w:val="0"/>
                <w:sz w:val="21"/>
                <w:szCs w:val="21"/>
              </w:rPr>
              <w:t>5</w:t>
            </w:r>
            <w:r>
              <w:rPr>
                <w:rFonts w:hint="eastAsia" w:ascii="仿宋_GB2312" w:hAnsi="仿宋_GB2312" w:eastAsia="仿宋_GB2312" w:cs="仿宋_GB2312"/>
                <w:kern w:val="0"/>
                <w:sz w:val="21"/>
                <w:szCs w:val="21"/>
                <w:lang w:val="zh-TW"/>
              </w:rPr>
              <w:t>分；不全面、不合理、不可行得</w:t>
            </w:r>
            <w:r>
              <w:rPr>
                <w:rFonts w:ascii="仿宋_GB2312" w:hAnsi="仿宋_GB2312" w:eastAsia="仿宋_GB2312" w:cs="仿宋_GB2312"/>
                <w:kern w:val="0"/>
                <w:sz w:val="21"/>
                <w:szCs w:val="21"/>
              </w:rPr>
              <w:t>2</w:t>
            </w:r>
            <w:r>
              <w:rPr>
                <w:rFonts w:hint="eastAsia" w:ascii="仿宋_GB2312" w:hAnsi="仿宋_GB2312" w:eastAsia="仿宋_GB2312" w:cs="仿宋_GB2312"/>
                <w:kern w:val="0"/>
                <w:sz w:val="21"/>
                <w:szCs w:val="21"/>
                <w:lang w:val="zh-TW"/>
              </w:rPr>
              <w:t>分；缺项按0分计。</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val="en-US" w:eastAsia="zh-CN"/>
              </w:rPr>
            </w:pPr>
            <w:r>
              <w:rPr>
                <w:rFonts w:ascii="Times New Roman" w:hAnsi="Times New Roman" w:eastAsia="仿宋_GB2312" w:cs="Times New Roman"/>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color w:val="auto"/>
                <w:kern w:val="0"/>
                <w:lang w:val="en-US" w:eastAsia="zh-CN"/>
              </w:rPr>
            </w:pPr>
            <w:r>
              <w:rPr>
                <w:rFonts w:ascii="仿宋_GB2312" w:hAnsi="仿宋_GB2312" w:eastAsia="仿宋_GB2312" w:cs="仿宋_GB2312"/>
                <w:color w:val="auto"/>
                <w:kern w:val="0"/>
                <w:lang w:val="en-US" w:eastAsia="zh-CN"/>
              </w:rPr>
              <w:t>拟投入装备</w:t>
            </w:r>
          </w:p>
        </w:tc>
        <w:tc>
          <w:tcPr>
            <w:tcW w:w="6471"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_GB2312" w:eastAsia="仿宋_GB2312" w:cs="仿宋_GB2312"/>
                <w:color w:val="auto"/>
                <w:kern w:val="0"/>
                <w:lang w:eastAsia="zh-CN"/>
              </w:rPr>
            </w:pPr>
            <w:r>
              <w:rPr>
                <w:rFonts w:ascii="仿宋_GB2312" w:hAnsi="仿宋_GB2312" w:eastAsia="仿宋_GB2312" w:cs="仿宋_GB2312"/>
                <w:color w:val="auto"/>
                <w:kern w:val="0"/>
                <w:lang w:val="en-US" w:eastAsia="zh-CN"/>
              </w:rPr>
              <w:t>根据拟投入本项目的主要设备、材料、通讯及保安装备等进行赋分。装备齐全、配置合理，配备精良得7分。装备基本齐全、配置基本合理，配备基本精良得4 分。装备不齐全、配置不合理得 1 分；缺项不得分。</w:t>
            </w:r>
          </w:p>
        </w:tc>
        <w:tc>
          <w:tcPr>
            <w:tcW w:w="71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jc w:val="right"/>
              <w:rPr>
                <w:rFonts w:hint="default" w:ascii="Times New Roman" w:hAnsi="Times New Roman" w:eastAsia="仿宋_GB2312" w:cs="Times New Roman"/>
                <w:lang w:val="en-US" w:eastAsia="zh-CN"/>
              </w:rPr>
            </w:pPr>
            <w:r>
              <w:rPr>
                <w:rFonts w:ascii="Times New Roman" w:hAnsi="Times New Roman" w:eastAsia="仿宋_GB2312" w:cs="Times New Roman"/>
                <w:kern w:val="0"/>
                <w:lang w:val="en-US" w:eastAsia="zh-CN"/>
              </w:rPr>
              <w:t>7</w:t>
            </w:r>
          </w:p>
        </w:tc>
      </w:tr>
    </w:tbl>
    <w:p>
      <w:pPr>
        <w:spacing w:line="360" w:lineRule="auto"/>
        <w:rPr>
          <w:rFonts w:hint="default" w:ascii="Times New Roman" w:hAnsi="Times New Roman" w:cs="Times New Roman"/>
        </w:rPr>
      </w:pPr>
    </w:p>
    <w:p>
      <w:pPr>
        <w:rPr>
          <w:rFonts w:hint="default" w:ascii="Times New Roman" w:hAnsi="Times New Roman" w:eastAsia="宋体" w:cs="Times New Roman"/>
          <w:b/>
          <w:bCs/>
          <w:color w:val="auto"/>
          <w:kern w:val="44"/>
          <w:sz w:val="36"/>
          <w:szCs w:val="36"/>
          <w:lang w:val="en-US" w:eastAsia="zh-CN"/>
        </w:rPr>
      </w:pPr>
      <w:bookmarkStart w:id="397" w:name="_Toc937079805"/>
      <w:bookmarkStart w:id="398" w:name="_Toc1252040209_WPSOffice_Level1"/>
      <w:bookmarkStart w:id="399" w:name="_Toc1076969064"/>
      <w:bookmarkStart w:id="400" w:name="_Toc1027165614"/>
      <w:bookmarkStart w:id="401" w:name="_Toc555660728_WPSOffice_Level1"/>
      <w:bookmarkStart w:id="402" w:name="_Toc816670296"/>
      <w:bookmarkStart w:id="403" w:name="_Toc1424279934_WPSOffice_Level1"/>
      <w:bookmarkStart w:id="404" w:name="_Toc1871798156"/>
      <w:bookmarkStart w:id="405" w:name="_Toc1357609763"/>
      <w:bookmarkStart w:id="406" w:name="_Toc717515878"/>
      <w:bookmarkStart w:id="407" w:name="_Toc170276657"/>
      <w:bookmarkStart w:id="408" w:name="_Toc140822549"/>
      <w:bookmarkStart w:id="409" w:name="_Toc2046937450_WPSOffice_Level1"/>
      <w:r>
        <w:rPr>
          <w:rFonts w:hint="default" w:ascii="Times New Roman" w:hAnsi="Times New Roman" w:eastAsia="宋体" w:cs="Times New Roman"/>
          <w:b/>
          <w:bCs/>
          <w:color w:val="auto"/>
          <w:kern w:val="44"/>
          <w:sz w:val="36"/>
          <w:szCs w:val="36"/>
          <w:lang w:val="en-US" w:eastAsia="zh-CN"/>
        </w:rPr>
        <w:br w:type="page"/>
      </w:r>
    </w:p>
    <w:p>
      <w:pPr>
        <w:jc w:val="center"/>
        <w:outlineLvl w:val="0"/>
        <w:rPr>
          <w:rFonts w:hint="default" w:ascii="Times New Roman" w:hAnsi="Times New Roman" w:eastAsia="宋体" w:cs="Times New Roman"/>
          <w:b/>
          <w:bCs/>
          <w:color w:val="auto"/>
          <w:kern w:val="44"/>
          <w:sz w:val="36"/>
          <w:szCs w:val="36"/>
          <w:lang w:eastAsia="zh-CN"/>
        </w:rPr>
      </w:pPr>
      <w:r>
        <w:rPr>
          <w:rFonts w:hint="default" w:ascii="Times New Roman" w:hAnsi="Times New Roman" w:eastAsia="宋体" w:cs="Times New Roman"/>
          <w:b/>
          <w:bCs/>
          <w:color w:val="auto"/>
          <w:kern w:val="44"/>
          <w:sz w:val="36"/>
          <w:szCs w:val="36"/>
          <w:lang w:val="en-US" w:eastAsia="zh-CN"/>
        </w:rPr>
        <w:t xml:space="preserve">第七章 </w:t>
      </w:r>
      <w:r>
        <w:rPr>
          <w:rFonts w:hint="default" w:ascii="Times New Roman" w:hAnsi="Times New Roman" w:eastAsia="宋体" w:cs="Times New Roman"/>
          <w:b/>
          <w:bCs/>
          <w:color w:val="auto"/>
          <w:kern w:val="44"/>
          <w:sz w:val="36"/>
          <w:szCs w:val="36"/>
          <w:lang w:eastAsia="zh-CN"/>
        </w:rPr>
        <w:t>政府采购合同</w:t>
      </w:r>
      <w:bookmarkEnd w:id="397"/>
      <w:bookmarkEnd w:id="398"/>
      <w:bookmarkEnd w:id="399"/>
      <w:bookmarkEnd w:id="400"/>
      <w:bookmarkEnd w:id="401"/>
      <w:bookmarkEnd w:id="402"/>
      <w:bookmarkEnd w:id="403"/>
      <w:bookmarkEnd w:id="404"/>
      <w:bookmarkEnd w:id="405"/>
      <w:bookmarkEnd w:id="406"/>
      <w:bookmarkEnd w:id="407"/>
      <w:bookmarkEnd w:id="408"/>
      <w:bookmarkEnd w:id="409"/>
    </w:p>
    <w:p>
      <w:pPr>
        <w:pStyle w:val="2"/>
        <w:jc w:val="center"/>
        <w:rPr>
          <w:rFonts w:hint="default" w:ascii="Times New Roman" w:hAnsi="Times New Roman" w:eastAsia="黑体"/>
          <w:b w:val="0"/>
          <w:bCs w:val="0"/>
          <w:color w:val="auto"/>
          <w:sz w:val="28"/>
          <w:szCs w:val="28"/>
          <w:lang w:eastAsia="zh-CN"/>
        </w:rPr>
      </w:pPr>
      <w:bookmarkStart w:id="410" w:name="_Toc368584862"/>
      <w:r>
        <w:rPr>
          <w:rFonts w:hint="default" w:ascii="Times New Roman" w:hAnsi="Times New Roman" w:eastAsia="黑体"/>
          <w:b w:val="0"/>
          <w:bCs w:val="0"/>
          <w:color w:val="auto"/>
          <w:sz w:val="28"/>
          <w:szCs w:val="28"/>
          <w:lang w:eastAsia="zh-CN"/>
        </w:rPr>
        <w:t>一、合同条款资料表</w:t>
      </w:r>
      <w:bookmarkEnd w:id="410"/>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条款号</w:t>
            </w:r>
          </w:p>
        </w:tc>
        <w:tc>
          <w:tcPr>
            <w:tcW w:w="7200" w:type="dxa"/>
            <w:vAlign w:val="center"/>
          </w:tcPr>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7200" w:type="dxa"/>
            <w:vAlign w:val="center"/>
          </w:tcPr>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需方名称、地址：</w:t>
            </w:r>
            <w:r>
              <w:rPr>
                <w:rFonts w:hint="default" w:ascii="Times New Roman" w:hAnsi="Times New Roman" w:eastAsia="仿宋_GB2312" w:cs="Times New Roman"/>
                <w:sz w:val="28"/>
                <w:szCs w:val="28"/>
                <w:lang w:val="en-US" w:eastAsia="zh-CN"/>
              </w:rPr>
              <w:t xml:space="preserve"> 河南省文物考古研究院</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供方名称、地址：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7200" w:type="dxa"/>
            <w:vAlign w:val="center"/>
          </w:tcPr>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项目现场：</w:t>
            </w:r>
            <w:r>
              <w:rPr>
                <w:rFonts w:hint="default" w:ascii="Times New Roman" w:hAnsi="Times New Roman" w:eastAsia="仿宋_GB2312" w:cs="Times New Roman"/>
                <w:bCs/>
                <w:kern w:val="0"/>
                <w:sz w:val="28"/>
                <w:szCs w:val="28"/>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08"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7200" w:type="dxa"/>
            <w:vAlign w:val="center"/>
          </w:tcPr>
          <w:p>
            <w:pPr>
              <w:spacing w:line="360" w:lineRule="auto"/>
              <w:rPr>
                <w:rFonts w:hint="default" w:ascii="Times New Roman" w:hAnsi="Times New Roman" w:eastAsia="仿宋_GB2312" w:cs="Times New Roman"/>
                <w:sz w:val="28"/>
                <w:szCs w:val="28"/>
                <w:highlight w:val="yellow"/>
                <w:lang w:eastAsia="zh-CN"/>
              </w:rPr>
            </w:pPr>
            <w:r>
              <w:rPr>
                <w:rFonts w:hint="default" w:ascii="Times New Roman" w:hAnsi="Times New Roman" w:eastAsia="仿宋_GB2312" w:cs="Times New Roman"/>
                <w:sz w:val="28"/>
                <w:szCs w:val="28"/>
                <w:lang w:eastAsia="zh-CN"/>
              </w:rPr>
              <w:t>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08"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7200" w:type="dxa"/>
            <w:vAlign w:val="center"/>
          </w:tcPr>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付款方式：按照实际</w:t>
            </w:r>
            <w:r>
              <w:rPr>
                <w:rFonts w:ascii="Times New Roman" w:hAnsi="Times New Roman" w:eastAsia="仿宋_GB2312" w:cs="Times New Roman"/>
                <w:sz w:val="28"/>
                <w:szCs w:val="28"/>
                <w:lang w:eastAsia="zh-CN"/>
              </w:rPr>
              <w:t>成交</w:t>
            </w:r>
            <w:r>
              <w:rPr>
                <w:rFonts w:hint="default" w:ascii="Times New Roman" w:hAnsi="Times New Roman" w:eastAsia="仿宋_GB2312" w:cs="Times New Roman"/>
                <w:sz w:val="28"/>
                <w:szCs w:val="28"/>
                <w:lang w:eastAsia="zh-CN"/>
              </w:rPr>
              <w:t>价格，每</w:t>
            </w:r>
            <w:r>
              <w:rPr>
                <w:rFonts w:ascii="Times New Roman" w:hAnsi="Times New Roman" w:eastAsia="仿宋_GB2312" w:cs="Times New Roman"/>
                <w:sz w:val="28"/>
                <w:szCs w:val="28"/>
                <w:lang w:val="en-US" w:eastAsia="zh-CN"/>
              </w:rPr>
              <w:t>半年度支付一次服务费用。</w:t>
            </w:r>
            <w:r>
              <w:rPr>
                <w:rFonts w:ascii="Times New Roman" w:hAnsi="Times New Roman" w:eastAsia="仿宋_GB2312" w:cs="Times New Roman"/>
                <w:sz w:val="28"/>
                <w:szCs w:val="28"/>
                <w:lang w:eastAsia="zh-CN"/>
              </w:rPr>
              <w:t>服务半年后，</w:t>
            </w:r>
            <w:r>
              <w:rPr>
                <w:rFonts w:hint="default" w:ascii="Times New Roman" w:hAnsi="Times New Roman" w:eastAsia="仿宋_GB2312" w:cs="Times New Roman"/>
                <w:sz w:val="28"/>
                <w:szCs w:val="28"/>
                <w:lang w:eastAsia="zh-CN"/>
              </w:rPr>
              <w:t>根据</w:t>
            </w:r>
            <w:r>
              <w:rPr>
                <w:rFonts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lang w:eastAsia="zh-CN"/>
              </w:rPr>
              <w:t>考核</w:t>
            </w:r>
            <w:r>
              <w:rPr>
                <w:rFonts w:ascii="Times New Roman" w:hAnsi="Times New Roman" w:eastAsia="仿宋_GB2312" w:cs="Times New Roman"/>
                <w:sz w:val="28"/>
                <w:szCs w:val="28"/>
                <w:lang w:eastAsia="zh-CN"/>
              </w:rPr>
              <w:t>结果与成交供应商</w:t>
            </w:r>
            <w:r>
              <w:rPr>
                <w:rFonts w:hint="default" w:ascii="Times New Roman" w:hAnsi="Times New Roman" w:eastAsia="仿宋_GB2312" w:cs="Times New Roman"/>
                <w:sz w:val="28"/>
                <w:szCs w:val="28"/>
                <w:lang w:eastAsia="zh-CN"/>
              </w:rPr>
              <w:t>向</w:t>
            </w:r>
            <w:r>
              <w:rPr>
                <w:rFonts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lang w:eastAsia="zh-CN"/>
              </w:rPr>
              <w:t>提供服务费用相关合法票据，以转账的方式支付服务费用。合同期内后</w:t>
            </w:r>
            <w:r>
              <w:rPr>
                <w:rFonts w:ascii="Times New Roman" w:hAnsi="Times New Roman" w:eastAsia="仿宋_GB2312" w:cs="Times New Roman"/>
                <w:sz w:val="28"/>
                <w:szCs w:val="28"/>
                <w:lang w:val="en-US" w:eastAsia="zh-CN"/>
              </w:rPr>
              <w:t>半年度</w:t>
            </w:r>
            <w:r>
              <w:rPr>
                <w:rFonts w:hint="default" w:ascii="Times New Roman" w:hAnsi="Times New Roman" w:eastAsia="仿宋_GB2312" w:cs="Times New Roman"/>
                <w:sz w:val="28"/>
                <w:szCs w:val="28"/>
                <w:lang w:eastAsia="zh-CN"/>
              </w:rPr>
              <w:t>的服务费用待双方交接手续办理完毕后，无遗留问题，由采购人无息支付给</w:t>
            </w:r>
            <w:r>
              <w:rPr>
                <w:rFonts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908"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7200" w:type="dxa"/>
            <w:vAlign w:val="center"/>
          </w:tcPr>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合同价和分项报价：</w:t>
            </w:r>
          </w:p>
        </w:tc>
      </w:tr>
    </w:tbl>
    <w:p>
      <w:pPr>
        <w:pStyle w:val="46"/>
        <w:rPr>
          <w:rFonts w:ascii="Times New Roman" w:hAnsi="Times New Roman"/>
        </w:rPr>
      </w:pPr>
    </w:p>
    <w:p>
      <w:pPr>
        <w:pStyle w:val="47"/>
        <w:rPr>
          <w:rFonts w:ascii="Times New Roman" w:hAnsi="Times New Roman"/>
        </w:rPr>
      </w:pPr>
    </w:p>
    <w:p>
      <w:pPr>
        <w:pStyle w:val="47"/>
        <w:rPr>
          <w:rFonts w:ascii="Times New Roman" w:hAnsi="Times New Roman"/>
        </w:rPr>
      </w:pPr>
    </w:p>
    <w:p>
      <w:pPr>
        <w:rPr>
          <w:rFonts w:hint="default" w:ascii="Times New Roman" w:hAnsi="Times New Roman" w:cs="Times New Roman"/>
        </w:rPr>
      </w:pPr>
    </w:p>
    <w:p>
      <w:pPr>
        <w:pStyle w:val="2"/>
        <w:jc w:val="center"/>
        <w:rPr>
          <w:rFonts w:hint="default" w:ascii="Times New Roman" w:hAnsi="Times New Roman" w:eastAsia="黑体"/>
          <w:b w:val="0"/>
          <w:bCs w:val="0"/>
          <w:color w:val="auto"/>
          <w:sz w:val="28"/>
          <w:szCs w:val="28"/>
          <w:lang w:eastAsia="zh-CN"/>
        </w:rPr>
      </w:pPr>
      <w:r>
        <w:rPr>
          <w:rFonts w:hint="default" w:ascii="Times New Roman" w:hAnsi="Times New Roman" w:eastAsia="黑体"/>
          <w:b w:val="0"/>
          <w:bCs w:val="0"/>
          <w:color w:val="auto"/>
          <w:sz w:val="28"/>
          <w:szCs w:val="28"/>
          <w:lang w:eastAsia="zh-CN"/>
        </w:rPr>
        <w:br w:type="page"/>
      </w:r>
      <w:r>
        <w:rPr>
          <w:rFonts w:hint="default" w:ascii="Times New Roman" w:hAnsi="Times New Roman" w:eastAsia="黑体"/>
          <w:b w:val="0"/>
          <w:bCs w:val="0"/>
          <w:color w:val="auto"/>
          <w:sz w:val="28"/>
          <w:szCs w:val="28"/>
          <w:lang w:eastAsia="zh-CN"/>
        </w:rPr>
        <w:t>二、</w:t>
      </w:r>
      <w:bookmarkStart w:id="411" w:name="_Toc299604895"/>
      <w:r>
        <w:rPr>
          <w:rFonts w:hint="default" w:ascii="Times New Roman" w:hAnsi="Times New Roman" w:eastAsia="黑体"/>
          <w:b w:val="0"/>
          <w:bCs w:val="0"/>
          <w:color w:val="auto"/>
          <w:sz w:val="28"/>
          <w:szCs w:val="28"/>
          <w:lang w:eastAsia="zh-CN"/>
        </w:rPr>
        <w:t>合同主要条款</w:t>
      </w:r>
      <w:bookmarkEnd w:id="411"/>
    </w:p>
    <w:p>
      <w:pPr>
        <w:widowControl w:val="0"/>
        <w:spacing w:line="360" w:lineRule="auto"/>
        <w:jc w:val="center"/>
        <w:rPr>
          <w:rFonts w:hint="default" w:ascii="仿宋_GB2312" w:hAnsi="仿宋_GB2312" w:eastAsia="仿宋_GB2312" w:cs="仿宋_GB2312"/>
          <w:b/>
          <w:bCs/>
          <w:color w:val="auto"/>
          <w:sz w:val="32"/>
          <w:szCs w:val="32"/>
          <w:lang w:val="en-US" w:eastAsia="zh-CN"/>
        </w:rPr>
      </w:pPr>
      <w:r>
        <w:rPr>
          <w:rFonts w:hint="default" w:ascii="宋体" w:hAnsi="宋体" w:eastAsia="宋体" w:cs="宋体"/>
          <w:b/>
          <w:sz w:val="32"/>
          <w:szCs w:val="32"/>
          <w:lang w:val="en-US" w:eastAsia="zh-CN"/>
        </w:rPr>
        <w:t xml:space="preserve"> </w:t>
      </w:r>
      <w:r>
        <w:rPr>
          <w:rFonts w:hint="default" w:ascii="仿宋_GB2312" w:hAnsi="仿宋_GB2312" w:eastAsia="仿宋_GB2312" w:cs="仿宋_GB2312"/>
          <w:b/>
          <w:bCs/>
          <w:color w:val="auto"/>
          <w:sz w:val="32"/>
          <w:szCs w:val="32"/>
          <w:lang w:val="en-US" w:eastAsia="zh-CN"/>
        </w:rPr>
        <w:t>河南省文物考古研究院2024年度安保服务招标采购项目</w:t>
      </w:r>
      <w:r>
        <w:rPr>
          <w:rFonts w:ascii="仿宋_GB2312" w:hAnsi="仿宋_GB2312" w:eastAsia="仿宋_GB2312" w:cs="仿宋_GB2312"/>
          <w:b/>
          <w:bCs/>
          <w:color w:val="auto"/>
          <w:sz w:val="32"/>
          <w:szCs w:val="32"/>
          <w:lang w:val="en-US" w:eastAsia="zh-CN"/>
        </w:rPr>
        <w:t>合同</w:t>
      </w:r>
    </w:p>
    <w:p>
      <w:pPr>
        <w:jc w:val="center"/>
        <w:rPr>
          <w:rFonts w:hint="default"/>
          <w:b/>
          <w:bCs/>
          <w:lang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根据《中华人民共和国民法典》《保安服务管理条例》及有关法律法规规定，甲、乙双方在平等自愿、诚实信用、互利互惠原则的基础上，经友好协商，就甲方委托乙方提供保安服务事宜签订本合同，共同信守履行。</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一、服务范围</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1.1 乙方选派21名常驻保安人员为甲方每天提供24小时全天候服务，负责甲方（院内办公区3名、院文物科技保护中心8名、院豫东考古研究中心10名）日常安全保卫工作任务，包括两个固定岗位的值勤值班、停车管理、办公楼夜间巡逻、临时警卫任务、突发事件响应及处置等。</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1.2 乙方应全面负责甲方院内办公区与文物科技保护中心与豫东考古研究中心门卫值班室、监控室管理，进出单位人员和物资的临检工作；</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1.3 乙方应完成好甲方院内办公区与文物科技保护中心与豫东考古研究中心的安全生产和消防安全工作，及时发现和消除安全隐患，维持正常工作秩序；</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1.4 乙方负责甲方重点防护目标的值守和巡逻；</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1.5 乙方在甲方保卫科的组织领导下，做好内部治安综合治理工作；</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1.6 乙方应妥善处置各种应急突发事件，提供紧急防卫工作；</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1.7 乙方应配合公安机关查处、打击甲方单位周边的违法犯罪活动；</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1.8 完成甲方院内办公区与文物科技保护中心与豫东考古研究中心相关领导交办的其他工作任务。</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二、服务内容</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2.1 乙方应遵守甲方各项安全管理制度，负责甲方院内办公区与文物科技保护中心与豫东考古研究中心六个固定岗位（门卫值班室、技防中央控制室）24小时值勤；夜间巡逻岗位两个，巡逻时间：每日18点到次日8点。同时，乙方负责甲方办公楼周边安全管理、临时任务的警卫工作与甲方各微型消防站管理工作任务。安保人员集中食宿在单位指定地点，要求准军事化管理。</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2.2 乙方服务包括院内办公区与文物科技保护中心与豫东考古研究中心的治安防范、消防安全、停车管理、安全稳定、重大活动保障、治安刑事案件的现场保护及警戒、门岗秩序维护、闲杂人员出入控制、大楼内开落锁、携带重要物品的出入、突发事件的响应与处置等安全保卫工作。</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2.3 确保甲方院内办公区与文物科技保护中心与豫东考古研究中心秩序井然、各类安全隐患及时排除，无安全事故发生，突发事件能够及时响应并妥善处置，做到安全、和谐、有序、稳定。</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三、服务期限</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服务期限为1年，自**年**月**日起至**年**月**日止。服务期满，本合同自动终止。</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服务质量规范和标准</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乙方提供保安服务质量须满足《保安服务操作规程与质量控制》、《保安岗位标准》和甲方要求。</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五、服务费用及付款方式</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5.1 乙方按时按质按量向甲方提供本合同项下保安服务工作，甲方向乙方支付服务费用总额（以下简称“合同总价”）人民币   （小写：¥   ）。</w:t>
      </w:r>
      <w:r>
        <w:rPr>
          <w:rFonts w:hint="default" w:ascii="仿宋_GB2312" w:hAnsi="仿宋_GB2312" w:eastAsia="仿宋_GB2312" w:cs="仿宋_GB2312"/>
          <w:color w:val="auto"/>
          <w:sz w:val="28"/>
          <w:szCs w:val="28"/>
          <w:lang w:val="en-US" w:eastAsia="zh-CN"/>
        </w:rPr>
        <w:t>本合同系固定总价合同</w:t>
      </w:r>
      <w:r>
        <w:rPr>
          <w:rFonts w:ascii="仿宋_GB2312" w:hAnsi="仿宋_GB2312" w:eastAsia="仿宋_GB2312" w:cs="仿宋_GB2312"/>
          <w:color w:val="auto"/>
          <w:sz w:val="28"/>
          <w:szCs w:val="28"/>
          <w:lang w:val="en-US" w:eastAsia="zh-CN"/>
        </w:rPr>
        <w:t>，除此之外，甲方不再向乙方支付其他任何费用。</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5.2 本合同第5.1条约定的合同总价系乙方向甲方委派21名常驻保安人员，并按照本合同约定的服务范围和服务内容提供安保服务工作，达到服务质量规范和标准的全部费用，包括但不限于保安员的工资奖金、加班加点工资、津贴补贴、特殊情况下支付的工资、住宿费、伙食补助费、交通费、装备折旧费、服装被褥费、洗涤费、值班补助费、社会保险费、意外伤害保险费、教育培训费、企业管理费、利润、税金等实现甲方合同目的的所有直接费用和间接费用。</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5.3 付款方式</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按照实际成交价格，每半年度支付一次服务费用。服务半年后，根据采购人考核结果与成交供应商向采购人提供服务费用相关合法票据，以转账的方式支付服务费用。合同期内后半年度的服务费用待双方交接手续办理完毕后，无遗留问题，由采购人无息支付给成交供应商。</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5.3.1 甲方于**年**月**日前对乙方提供的保安服务进行上半年度考核，经考核合格后30日内，甲方向乙方支付上半年度安保服务费用，即人民币       ，（小写：¥       ）；</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5.3.2 甲方于**年**月**日前对乙方提供保安服务进行下半年度考核，经考核合格后30日内，甲方向乙方支付下半年度安保服务费用，即人民币      ，（小写：¥      ）。</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5.4 本合同总价系含税价，在上述付款条件成就后，乙方应当按照甲方的要求向甲方提供相等数额合法有效的符合甲方财务人员要求的增值税发票。甲方收到符合前述约定的正式发票后5个工作日内完成付款。乙方延迟提供符合前述约定的正式发票的，甲方有权迟延付款并不承担违约责任，乙方对此无异议。</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5.5 乙方同意甲方将合同价款支付至乙方指定的如下银行账户：</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户  名：</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开户行：</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账  号：</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5.6 如上述银行账户发生变更，乙方应在甲方每次付款5日前书面通知甲方。因乙方变更银行账户通知不及时造成的损失，由乙方自行承担。</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六、管理使用</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乙方派出为甲方服务的保安人员实行甲、乙双方双重领导（以甲方为主）。乙方应做好对</w:t>
      </w:r>
      <w:r>
        <w:rPr>
          <w:rFonts w:hint="default" w:ascii="仿宋_GB2312" w:hAnsi="仿宋_GB2312" w:eastAsia="仿宋_GB2312" w:cs="仿宋_GB2312"/>
          <w:color w:val="auto"/>
          <w:sz w:val="28"/>
          <w:szCs w:val="28"/>
          <w:lang w:val="en-US" w:eastAsia="zh-CN"/>
        </w:rPr>
        <w:t>保安</w:t>
      </w:r>
      <w:r>
        <w:rPr>
          <w:rFonts w:ascii="仿宋_GB2312" w:hAnsi="仿宋_GB2312" w:eastAsia="仿宋_GB2312" w:cs="仿宋_GB2312"/>
          <w:color w:val="auto"/>
          <w:sz w:val="28"/>
          <w:szCs w:val="28"/>
          <w:lang w:val="en-US" w:eastAsia="zh-CN"/>
        </w:rPr>
        <w:t>人员遵纪守法、依法履职、爱岗敬业、恪尽职守的队伍建设，完成保安人员的管理、教育、勤务和监督检查工作，互通情况，切实加强管理，确保安保服务区域内的安全、稳定。</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七、甲方的权利和义务</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7.1 甲方有权要求乙方提供已选派保安人员的任职岗位职业资格证明。</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7.2 甲方有权对乙方安保服务工作进行监督、检查和指导，有权要求乙方调换不合格的保安人员。</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7.3 甲方若发现乙方保安人员不尽其责，违反保安人员工作制度及其他相关规章制度，经教育仍不改正者，甲方有权退还乙方，并重新选定保安人员。</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7.4 甲方不得安排乙方保安人员做与保安身份、职责不相符的工作，不得违反《保安服务管理条例》的规定。</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7.5 如果乙方保安人员违反甲方的管理规定，甲方有权按照有关规定在向乙方支付安保服务费用时直接扣除罚款。</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7.6 甲方应按时、足额支付乙方服务费用。</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八、乙方的权利和义务</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8.1 乙方应严格按照《保安服务操作规程与质量控制》（GA/T 594-2006）、《保安岗位标准》和甲方要求的服务质量标准和考核办法开展工作，服从甲方领导，为甲方提供合格的安保服务。</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8.2 本合同签订后，乙方应于**年**月**日晚11时前将选派的保安人员派送至甲方指定工作岗位履行职责。</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8.3 为保护文物及相关人员安全，便于检查来访人员及车辆，院内办公区与文物科技保护中心与豫东考古研究中心区域大门实行定岗执勤（夜班除外），乙方应严格履行保安职责，遵守甲方各项规章制度，密切配合用人单位做好保安人员职责范围内的工作。</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8.4 乙方严格履行《保安服务管理条例》，加强对保安人员的管理，定时、不定时对保安人员履职情况进行抽查检查，发现问题及时整改，抽查检查时应当告知甲方参加或指定专人参加。</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8.5 因保安服务人员未认真履行职责发生事故，造成甲方工作秩序混乱或保安所管辖区域内发生安全事故、安全事件和损失，乙方应承担全部的责任。</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8.5 乙方提供的保安人员违反甲方规章制度，甲方有权提出更换，乙方在接到甲方通知3日内未对相关人员作出处理，甲方有权通知乙方，提前解除合同。</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8.6 乙方向甲方派驻各执勤点的保安，执勤过程中出现脱岗、睡岗、串岗等影响管理服务的行为时，每次扣减乙方服务费100元；值班室严禁闲杂人员进入，发现一次扣减乙方服务费100元；来访人员未进行登记的，发现一次扣减乙方服务费100元；如因执勤保安的失职行为给甲方造成的损失除由乙方负责赔偿外，甲方可从服务费中扣除500至1000元，如保安发生监守自盗行为，甲方以所盗窃物品价值10倍扣除乙方的服务费。</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九、赔偿责任</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9.1 对于发生在甲方的伤害职工或打架斗殴滋事行为，乙方保安必须及时制止，制止不了的应及时逐级汇报相关科室/部门处理。</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9.1.1 由于乙方保安人员不作为，导致甲方工作不能正常开展，或者甲方内部职工受到不法侵害，乙方承担所造成的全部损失。</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9.1.2 保安已经作为，由于力量悬殊无法制止，在许可的情况下又未按有关规定及时向相关部门汇报，乙方承担所造成全部损失的50%。</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9.1.3 乙方保安在工作中认真履行职责，由于力量悬殊或者在保安权限范围内无法制止和控制事态进一步发展，已经及时报警，或者发生保安人员在制止过程中受到伤害等客观情况无法报警的，乙方不承担所造成的损失。</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9.2 保安人员监守自盗，乙方承担一切法律责任，因此给甲方造成损失的，乙方应双倍赔偿。</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9.3 保安人员在服务期限内履行职责时，因工伤残、死亡的，除社会保险机构支付的工伤保险待遇外，乙方应承担因发生工伤事故引起的所有费用。因乙方故意或过失未为保安人员办理或缴纳社会保险，乙方应承担因发生工伤事故引起的所有费用，包括应由社会保险机构支付的工伤保险待遇。</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9.4 甲方与保安人员不存在劳动关系，若保安人员与乙方发生劳动争议，由乙方负责处理并承担全部法律责任。</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9.5 因乙方不履行或不完全履行本合同项下义务和责任，导致甲方或第三方遭受人身损害或财产损失的，乙方应承担甲方因此遭受的全部损失</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十、违约责任</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10.1 本合同一经签署，双方均应严格履行合同义务。任何不履行或不完全履行本合同项下义务的行为构成违约，违约方应向守约方赔偿因违约引起的全部损失。</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10.2 乙方未履行本合同项下安保服务内容，或乙方提供的安保服务不符合本合同第四条约定服务质量规范和标准，或乙方人员违反甲方的规章制度或不服从甲方管理，每发生一次，乙方应支付甲方合同总价百分之二的违约金。同时甲方有权要求乙方限期改正，逾期未改正或该等违约情形累计发生三次及以上的，甲方有权解除合同。甲方解除合同的，乙方应退还未履行期间的服务费用，并向甲方支付合同总价百分之二十的违约金。</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10.3 保安人员因履行本合同遭受人身伤亡、财产损失或造成他人人身伤亡、财产损失的，乙方负责处理并承担全部法律责任。因此造成甲方损失的，乙方应双倍赔偿甲方损失。</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10.4 本合同生效后，乙方无正当理由擅自终止或解除本合同，应当退还未履行期间的服务费用，并向甲方支付合同总价百分之二十的违约金。</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10.5 因一方违约，另一方通过诉讼方式实现其债权，因此产生的律师费（按照《河南省律师协会律师服务收费行业指导意见》执行）、诉讼费、保全费、公告费、鉴定费、评估费等相关费用，由违约方承担。</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十一、其他</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11.1  本合同自双方法定代表人（或授权代理人）签字或加盖公章（或合同专用章）之日起生效。本合同一式陆份，双方各执叁份，均具有同等法律效力。</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11.2 在本合同执行过程中，若出现与本合同有关的争议，合同双方应尽量本着友好协商的精神予以协商解决；若协商不能解决，则任何一方有权向甲方住所地有管辖权的人民法院提起诉讼。</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11.3 本合同中未尽事宜，或者新增事宜，可以由双方各自协商后增订补充合同。对本合同的任何修改、补充和变更，应由本合同双方同意并以双方签署相应书面文件的形式做出。</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11.4 本合同约定的书面通知可以当面递交、邮寄送达或电子邮箱送达。当面递交通知的，接收人应当签收回执；邮寄送达的通知，其送达地址应为本合同首部载明的地址；电子邮箱送达的通知，到达电子邮箱即视为送达。上述地址均可用于法院司法诉讼文书的送达，一经送达即视为签收，一方拒收不影响送达的效力。如联系地址或电话改变的，一方须在变更后3日内将更改后的联系地址以书面形式通知另一方，否则由此造成的一切后果由变更方自行承担，另一方在收到该变更通知前已发出的通知仍视为有效送达。</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11.5 本合同在各方完全履行本合同所确定的各方义务及责任后失效。但本合同中具有特殊含义的条款（如违约责任条款、争议解决条款等）根据其性质在本合同履行完毕后仍然继续有效。</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（以下无正文）</w:t>
      </w:r>
    </w:p>
    <w:p>
      <w:pPr>
        <w:jc w:val="left"/>
        <w:rPr>
          <w:rFonts w:hint="default" w:asciiTheme="minorEastAsia" w:hAnsiTheme="minorEastAsia"/>
          <w:sz w:val="28"/>
          <w:szCs w:val="28"/>
        </w:rPr>
      </w:pPr>
      <w:r>
        <w:rPr>
          <w:rFonts w:asciiTheme="minorEastAsia" w:hAnsiTheme="minorEastAsia"/>
          <w:sz w:val="28"/>
          <w:szCs w:val="28"/>
        </w:rPr>
        <w:br w:type="page"/>
      </w:r>
    </w:p>
    <w:p>
      <w:pPr>
        <w:widowControl w:val="0"/>
        <w:spacing w:line="360" w:lineRule="auto"/>
        <w:ind w:firstLine="562" w:firstLineChars="200"/>
        <w:rPr>
          <w:rFonts w:hint="default" w:ascii="仿宋_GB2312" w:hAnsi="仿宋_GB2312" w:eastAsia="仿宋_GB2312" w:cs="仿宋_GB2312"/>
          <w:b/>
          <w:bCs/>
          <w:color w:val="auto"/>
          <w:sz w:val="28"/>
          <w:szCs w:val="28"/>
          <w:lang w:val="en-US" w:eastAsia="zh-CN"/>
        </w:rPr>
      </w:pPr>
      <w:r>
        <w:rPr>
          <w:rFonts w:ascii="仿宋_GB2312" w:hAnsi="仿宋_GB2312" w:eastAsia="仿宋_GB2312" w:cs="仿宋_GB2312"/>
          <w:b/>
          <w:bCs/>
          <w:color w:val="auto"/>
          <w:sz w:val="28"/>
          <w:szCs w:val="28"/>
          <w:lang w:val="en-US" w:eastAsia="zh-CN"/>
        </w:rPr>
        <w:t>【本页无正文，为《安保服务合同》签署页】</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甲方：河南省文物考古研究院</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法定代表人或授权代理人（签字）：</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签署时间：    年    月    日</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 xml:space="preserve">乙方：                     </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法定代表人或授权代理人（签字）：</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签署时间：    年    月    日</w:t>
      </w:r>
    </w:p>
    <w:p>
      <w:pPr>
        <w:widowControl w:val="0"/>
        <w:adjustRightInd w:val="0"/>
        <w:snapToGrid w:val="0"/>
        <w:spacing w:line="360" w:lineRule="auto"/>
        <w:ind w:firstLine="420" w:firstLineChars="200"/>
        <w:rPr>
          <w:rFonts w:hint="default"/>
          <w:b/>
          <w:bCs/>
          <w:lang w:val="en-US"/>
        </w:rPr>
      </w:pPr>
    </w:p>
    <w:p>
      <w:pPr>
        <w:spacing w:line="360" w:lineRule="auto"/>
        <w:ind w:firstLine="3640" w:firstLineChars="1300"/>
        <w:rPr>
          <w:rFonts w:hint="default" w:ascii="Times New Roman" w:hAnsi="Times New Roman" w:eastAsia="仿宋_GB2312" w:cs="Times New Roman"/>
          <w:kern w:val="1"/>
          <w:sz w:val="28"/>
          <w:szCs w:val="28"/>
          <w:lang w:eastAsia="zh-CN"/>
        </w:rPr>
      </w:pPr>
    </w:p>
    <w:p>
      <w:pPr>
        <w:widowControl w:val="0"/>
        <w:spacing w:before="240" w:after="60"/>
        <w:jc w:val="left"/>
        <w:rPr>
          <w:rFonts w:hint="default" w:ascii="Times New Roman" w:hAnsi="Times New Roman" w:eastAsia="宋体" w:cs="Times New Roman"/>
          <w:b/>
          <w:bCs/>
          <w:sz w:val="30"/>
          <w:szCs w:val="30"/>
          <w:lang w:val="en-US" w:eastAsia="zh-CN"/>
        </w:rPr>
        <w:sectPr>
          <w:headerReference r:id="rId7" w:type="default"/>
          <w:footerReference r:id="rId8" w:type="default"/>
          <w:pgSz w:w="11900" w:h="16840"/>
          <w:pgMar w:top="1440" w:right="1514" w:bottom="1440" w:left="1514" w:header="851" w:footer="992" w:gutter="0"/>
          <w:cols w:space="720" w:num="1"/>
          <w:docGrid w:linePitch="286" w:charSpace="0"/>
        </w:sectPr>
      </w:pPr>
      <w:bookmarkStart w:id="412" w:name="_Toc1351594660_WPSOffice_Level2"/>
      <w:bookmarkStart w:id="413" w:name="_Toc2021117886"/>
      <w:bookmarkStart w:id="414" w:name="_Toc1554580408"/>
      <w:bookmarkStart w:id="415" w:name="_Toc339295120"/>
      <w:bookmarkStart w:id="416" w:name="_Toc1887969822_WPSOffice_Level2"/>
      <w:bookmarkStart w:id="417" w:name="_Toc1331652897_WPSOffice_Level2"/>
      <w:bookmarkStart w:id="418" w:name="_Toc1047604175"/>
      <w:bookmarkStart w:id="419" w:name="_Toc2146371347"/>
      <w:bookmarkStart w:id="420" w:name="_Toc505697850"/>
      <w:bookmarkStart w:id="421" w:name="_Toc1216028725_WPSOffice_Level2"/>
      <w:bookmarkStart w:id="422" w:name="_Toc694927784"/>
      <w:bookmarkStart w:id="423" w:name="_Toc667407289"/>
    </w:p>
    <w:bookmarkEnd w:id="412"/>
    <w:bookmarkEnd w:id="413"/>
    <w:bookmarkEnd w:id="414"/>
    <w:bookmarkEnd w:id="415"/>
    <w:bookmarkEnd w:id="416"/>
    <w:bookmarkEnd w:id="417"/>
    <w:bookmarkEnd w:id="418"/>
    <w:bookmarkEnd w:id="419"/>
    <w:bookmarkEnd w:id="420"/>
    <w:bookmarkEnd w:id="421"/>
    <w:bookmarkEnd w:id="422"/>
    <w:bookmarkEnd w:id="423"/>
    <w:p>
      <w:pPr>
        <w:jc w:val="center"/>
        <w:outlineLvl w:val="0"/>
        <w:rPr>
          <w:rFonts w:hint="default" w:ascii="Times New Roman" w:hAnsi="Times New Roman" w:eastAsia="宋体" w:cs="Times New Roman"/>
          <w:b/>
          <w:bCs/>
          <w:color w:val="auto"/>
          <w:kern w:val="44"/>
          <w:sz w:val="36"/>
          <w:szCs w:val="36"/>
          <w:lang w:val="en-US" w:eastAsia="zh-CN"/>
        </w:rPr>
      </w:pPr>
      <w:bookmarkStart w:id="424" w:name="_Toc140822550"/>
      <w:r>
        <w:rPr>
          <w:rFonts w:hint="default" w:ascii="Times New Roman" w:hAnsi="Times New Roman" w:eastAsia="宋体" w:cs="Times New Roman"/>
          <w:b/>
          <w:bCs/>
          <w:color w:val="auto"/>
          <w:kern w:val="44"/>
          <w:sz w:val="36"/>
          <w:szCs w:val="36"/>
          <w:lang w:val="en-US" w:eastAsia="zh-CN"/>
        </w:rPr>
        <w:t>第八章 附件</w:t>
      </w:r>
      <w:bookmarkEnd w:id="424"/>
    </w:p>
    <w:p>
      <w:pPr>
        <w:keepNext/>
        <w:keepLines/>
        <w:widowControl w:val="0"/>
        <w:autoSpaceDE w:val="0"/>
        <w:autoSpaceDN w:val="0"/>
        <w:adjustRightInd w:val="0"/>
        <w:spacing w:line="360" w:lineRule="auto"/>
        <w:outlineLvl w:val="1"/>
        <w:rPr>
          <w:rFonts w:hint="default" w:ascii="仿宋_GB2312" w:hAnsi="仿宋_GB2312" w:eastAsia="仿宋_GB2312" w:cs="仿宋_GB2312"/>
          <w:bCs/>
          <w:color w:val="auto"/>
          <w:kern w:val="0"/>
          <w:sz w:val="28"/>
          <w:szCs w:val="28"/>
          <w:lang w:val="en-US" w:eastAsia="zh-CN"/>
        </w:rPr>
      </w:pPr>
      <w:bookmarkStart w:id="425" w:name="_Toc1681897155"/>
      <w:bookmarkStart w:id="426" w:name="_Toc1250555939_WPSOffice_Level1"/>
      <w:r>
        <w:rPr>
          <w:rFonts w:ascii="仿宋_GB2312" w:hAnsi="仿宋_GB2312" w:eastAsia="仿宋_GB2312" w:cs="仿宋_GB2312"/>
          <w:bCs/>
          <w:color w:val="auto"/>
          <w:kern w:val="0"/>
          <w:sz w:val="28"/>
          <w:szCs w:val="28"/>
          <w:lang w:val="en-US" w:eastAsia="zh-CN"/>
        </w:rPr>
        <w:t>附件1：河南省政府采购合同融资政策告知函</w:t>
      </w:r>
      <w:bookmarkEnd w:id="425"/>
      <w:bookmarkEnd w:id="426"/>
    </w:p>
    <w:p>
      <w:pPr>
        <w:jc w:val="center"/>
        <w:rPr>
          <w:rFonts w:hint="default" w:ascii="仿宋_GB2312" w:hAnsi="仿宋_GB2312" w:eastAsia="仿宋_GB2312" w:cs="仿宋_GB2312"/>
          <w:b/>
          <w:bCs/>
          <w:color w:val="auto"/>
          <w:sz w:val="28"/>
          <w:szCs w:val="28"/>
          <w:lang w:val="en-US" w:eastAsia="zh-CN"/>
        </w:rPr>
      </w:pPr>
      <w:bookmarkStart w:id="427" w:name="_Toc495162933_WPSOffice_Level2"/>
      <w:bookmarkStart w:id="428" w:name="_Toc587059936_WPSOffice_Level2"/>
      <w:bookmarkStart w:id="429" w:name="_Toc285380293_WPSOffice_Level1"/>
      <w:bookmarkStart w:id="430" w:name="_Toc1775221587_WPSOffice_Level1"/>
      <w:bookmarkStart w:id="431" w:name="_Toc1740618990_WPSOffice_Level1"/>
      <w:bookmarkStart w:id="432" w:name="_Toc898079186_WPSOffice_Level3"/>
      <w:r>
        <w:rPr>
          <w:rFonts w:ascii="仿宋_GB2312" w:hAnsi="仿宋_GB2312" w:eastAsia="仿宋_GB2312" w:cs="仿宋_GB2312"/>
          <w:b/>
          <w:bCs/>
          <w:color w:val="auto"/>
          <w:sz w:val="28"/>
          <w:szCs w:val="28"/>
          <w:lang w:val="en-US" w:eastAsia="zh-CN"/>
        </w:rPr>
        <w:t>河南省政府采购合同融资政策告知函</w:t>
      </w:r>
      <w:bookmarkEnd w:id="427"/>
      <w:bookmarkEnd w:id="428"/>
      <w:bookmarkEnd w:id="429"/>
      <w:bookmarkEnd w:id="430"/>
      <w:bookmarkEnd w:id="431"/>
    </w:p>
    <w:p>
      <w:pPr>
        <w:widowControl w:val="0"/>
        <w:rPr>
          <w:rFonts w:hint="default" w:ascii="仿宋_GB2312" w:hAnsi="仿宋_GB2312" w:eastAsia="仿宋_GB2312" w:cs="仿宋_GB2312"/>
          <w:color w:val="auto"/>
          <w:sz w:val="28"/>
          <w:szCs w:val="28"/>
          <w:lang w:val="en-US" w:eastAsia="zh-CN"/>
        </w:rPr>
      </w:pPr>
    </w:p>
    <w:p>
      <w:pPr>
        <w:widowControl w:val="0"/>
        <w:spacing w:line="360" w:lineRule="auto"/>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各供应商：</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欢迎贵公司参与河南省政府采购活动！</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42"/>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贷款渠道和提供贷款的金融机构，可在河南省政府采购网“河南省政府采购合同融资平台”查询联系。</w:t>
      </w:r>
    </w:p>
    <w:p>
      <w:pPr>
        <w:rPr>
          <w:rFonts w:hint="default" w:ascii="仿宋_GB2312" w:hAnsi="仿宋_GB2312" w:eastAsia="仿宋_GB2312" w:cs="仿宋_GB2312"/>
          <w:bCs/>
          <w:color w:val="auto"/>
          <w:kern w:val="0"/>
          <w:sz w:val="28"/>
          <w:szCs w:val="28"/>
          <w:lang w:val="en-US" w:eastAsia="zh-CN"/>
        </w:rPr>
      </w:pPr>
      <w:r>
        <w:rPr>
          <w:rFonts w:ascii="仿宋_GB2312" w:hAnsi="仿宋_GB2312" w:eastAsia="仿宋_GB2312" w:cs="仿宋_GB2312"/>
          <w:bCs/>
          <w:color w:val="auto"/>
          <w:kern w:val="0"/>
          <w:sz w:val="28"/>
          <w:szCs w:val="28"/>
          <w:lang w:val="en-US" w:eastAsia="zh-CN"/>
        </w:rPr>
        <w:br w:type="page"/>
      </w:r>
    </w:p>
    <w:p>
      <w:pPr>
        <w:jc w:val="center"/>
        <w:outlineLvl w:val="1"/>
        <w:rPr>
          <w:rFonts w:hint="default" w:ascii="宋体" w:hAnsi="宋体" w:cs="宋体"/>
          <w:b/>
          <w:bCs/>
          <w:sz w:val="32"/>
          <w:szCs w:val="32"/>
          <w:lang w:eastAsia="zh-CN"/>
        </w:rPr>
      </w:pPr>
      <w:r>
        <w:rPr>
          <w:rFonts w:ascii="仿宋_GB2312" w:hAnsi="仿宋_GB2312" w:eastAsia="仿宋_GB2312" w:cs="仿宋_GB2312"/>
          <w:bCs/>
          <w:color w:val="auto"/>
          <w:kern w:val="0"/>
          <w:sz w:val="28"/>
          <w:szCs w:val="28"/>
          <w:lang w:val="en-US" w:eastAsia="zh-CN"/>
        </w:rPr>
        <w:t>附件2：</w:t>
      </w:r>
      <w:bookmarkEnd w:id="432"/>
      <w:bookmarkStart w:id="433" w:name="_Toc853194655"/>
      <w:bookmarkStart w:id="434" w:name="_Toc658018444_WPSOffice_Level2"/>
      <w:bookmarkStart w:id="435" w:name="_Toc347624563"/>
      <w:bookmarkStart w:id="436" w:name="_Toc1587242122"/>
      <w:r>
        <w:rPr>
          <w:rFonts w:ascii="宋体" w:hAnsi="宋体" w:cs="宋体"/>
          <w:b/>
          <w:bCs/>
          <w:sz w:val="32"/>
          <w:szCs w:val="32"/>
          <w:lang w:eastAsia="zh-CN"/>
        </w:rPr>
        <w:t>关于印发中小企业划型标准规定的通知</w:t>
      </w:r>
      <w:bookmarkEnd w:id="433"/>
      <w:bookmarkEnd w:id="434"/>
      <w:bookmarkEnd w:id="435"/>
      <w:bookmarkEnd w:id="436"/>
    </w:p>
    <w:p>
      <w:pPr>
        <w:pStyle w:val="42"/>
        <w:spacing w:line="480" w:lineRule="exact"/>
        <w:jc w:val="center"/>
        <w:rPr>
          <w:rFonts w:ascii="仿宋_GB2312" w:hAnsi="仿宋_GB2312" w:eastAsia="仿宋_GB2312" w:cs="仿宋_GB2312"/>
          <w:color w:val="000000"/>
          <w:sz w:val="28"/>
          <w:szCs w:val="28"/>
        </w:rPr>
      </w:pPr>
      <w:bookmarkStart w:id="437" w:name="_Toc1413325678_WPSOffice_Level3"/>
      <w:r>
        <w:rPr>
          <w:rFonts w:hint="eastAsia" w:ascii="仿宋_GB2312" w:hAnsi="仿宋_GB2312" w:eastAsia="仿宋_GB2312" w:cs="仿宋_GB2312"/>
          <w:color w:val="000000"/>
          <w:sz w:val="28"/>
          <w:szCs w:val="28"/>
        </w:rPr>
        <w:t>工信部联企业[2011]300号</w:t>
      </w:r>
      <w:bookmarkEnd w:id="437"/>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各省、自治区、直辖市人民政府，国务院各部委、各直属机构及有关单位：</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2"/>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工业和信息化部　国家统计局</w:t>
      </w:r>
    </w:p>
    <w:p>
      <w:pPr>
        <w:pStyle w:val="42"/>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国家发展和改革委员会　财政部</w:t>
      </w:r>
    </w:p>
    <w:p>
      <w:pPr>
        <w:pStyle w:val="42"/>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二〇一一年六月十八日</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附件： </w:t>
      </w:r>
    </w:p>
    <w:p>
      <w:pPr>
        <w:pStyle w:val="42"/>
        <w:spacing w:line="480" w:lineRule="exact"/>
        <w:jc w:val="center"/>
        <w:rPr>
          <w:rFonts w:ascii="仿宋_GB2312" w:hAnsi="仿宋_GB2312" w:eastAsia="仿宋_GB2312" w:cs="仿宋_GB2312"/>
          <w:color w:val="000000"/>
          <w:sz w:val="28"/>
          <w:szCs w:val="28"/>
        </w:rPr>
      </w:pPr>
      <w:bookmarkStart w:id="438" w:name="_Toc1817875417_WPSOffice_Level2"/>
      <w:r>
        <w:rPr>
          <w:rStyle w:val="51"/>
          <w:rFonts w:hint="eastAsia" w:ascii="仿宋_GB2312" w:hAnsi="仿宋_GB2312" w:eastAsia="仿宋_GB2312" w:cs="仿宋_GB2312"/>
          <w:color w:val="000000"/>
          <w:sz w:val="28"/>
          <w:szCs w:val="28"/>
        </w:rPr>
        <w:t>中小企业划型标准规定</w:t>
      </w:r>
      <w:bookmarkEnd w:id="438"/>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一、根据《中华人民共和国中小企业促进法》和《国务院关于进一步促进中小企业发展的若干意见》(国发〔2009〕36号)，制定本规定。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二、中小企业划分为中型、小型、微型三种类型，具体标准根据企业从业人员、营业收入、资产总额等指标，结合行业特点制定。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四、各行业划型标准为：</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（十六）其他未列明行业。从业人员300人以下的为中小微型企业。其中，从业人员100人及以上的为中型企业；从业人员10人及以上的为小型企业；从业人员10人以下的为微型企业。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五、企业类型的划分以统计部门的统计数据为依据。</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六、本规定适用于在中华人民共和国境内依法设立的各类所有制和各种组织形式的企业。个体工商户和本规定以外的行业，参照本规定进行划型。</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八、本规定由工业和信息化部、国家统计局会同有关部门根据《国民经济行业分类》修订情况和企业发展变化情况适时修订。</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九、本规定由工业和信息化部、国家统计局会同有关部门负责解释。</w:t>
      </w:r>
    </w:p>
    <w:p>
      <w:pPr>
        <w:pStyle w:val="42"/>
        <w:spacing w:line="480" w:lineRule="exact"/>
      </w:pPr>
      <w:r>
        <w:rPr>
          <w:rFonts w:hint="eastAsia" w:ascii="仿宋_GB2312" w:hAnsi="仿宋_GB2312" w:eastAsia="仿宋_GB2312" w:cs="仿宋_GB2312"/>
          <w:color w:val="000000"/>
          <w:sz w:val="28"/>
          <w:szCs w:val="28"/>
        </w:rPr>
        <w:t>　　十、本规定自发布之日起执行，原国家经贸委、原国家计委、财政部和国家统计局2003年颁布的《中小企业标准暂行规定》同时废止。</w:t>
      </w:r>
    </w:p>
    <w:sectPr>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003F01FF"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altName w:val="Droid Sans"/>
    <w:panose1 w:val="020B0604030504040204"/>
    <w:charset w:val="00"/>
    <w:family w:val="swiss"/>
    <w:pitch w:val="default"/>
    <w:sig w:usb0="00000000" w:usb1="00000000" w:usb2="00000029" w:usb3="00000000" w:csb0="000101FF" w:csb1="00000000"/>
  </w:font>
  <w:font w:name="Droid Sans">
    <w:panose1 w:val="020B0606030804020204"/>
    <w:charset w:val="00"/>
    <w:family w:val="auto"/>
    <w:pitch w:val="default"/>
    <w:sig w:usb0="E00002EF" w:usb1="4000205B" w:usb2="00000028" w:usb3="00000000" w:csb0="2000019F" w:csb1="00000000"/>
  </w:font>
  <w:font w:name="Helvetica Neue">
    <w:altName w:val="DejaVu Math TeX Gyre"/>
    <w:panose1 w:val="00000000000000000000"/>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 w:name="微软雅黑">
    <w:altName w:val="黑体"/>
    <w:panose1 w:val="020B0503020204020204"/>
    <w:charset w:val="86"/>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Droid Sans Fallback"/>
    <w:panose1 w:val="02020500000000000000"/>
    <w:charset w:val="88"/>
    <w:family w:val="auto"/>
    <w:pitch w:val="default"/>
    <w:sig w:usb0="00000000" w:usb1="00000000" w:usb2="00000010" w:usb3="00000000" w:csb0="00100000" w:csb1="00000000"/>
  </w:font>
  <w:font w:name="Droid Sans Fallback">
    <w:panose1 w:val="020B0502000000000001"/>
    <w:charset w:val="86"/>
    <w:family w:val="auto"/>
    <w:pitch w:val="default"/>
    <w:sig w:usb0="910002FF" w:usb1="2BDFFCFB" w:usb2="00000036" w:usb3="00000000" w:csb0="203F01FF" w:csb1="D7FF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等线">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default"/>
      </w:rPr>
    </w:pPr>
    <w:r>
      <w:rPr>
        <w:rFonts w:hint="default"/>
      </w:rPr>
      <w:pict>
        <v:shape id="文本框 3" o:spid="_x0000_s3074" o:spt="202" type="#_x0000_t202" style="position:absolute;left:0pt;margin-top:0pt;height:11.65pt;width:4.55pt;mso-position-horizontal:right;mso-position-horizontal-relative:margin;mso-wrap-style:none;z-index:251659264;mso-width-relative:page;mso-height-relative:page;" filled="f" stroked="f" coordsize="21600,21600" o:gfxdata="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nyxwC0QAA&#10;AAIBAAAPAAAAAAAAAAEAIAAAADgAAABkcnMvZG93bnJldi54bWxQSwECFAAUAAAACACHTuJACDOv&#10;qg8CAAAIBAAADgAAAAAAAAABACAAAAA2AQAAZHJzL2Uyb0RvYy54bWxQSwUGAAAAAAYABgBZAQAA&#10;twUAAAAA&#10;">
          <v:path/>
          <v:fill on="f" focussize="0,0"/>
          <v:stroke on="f" joinstyle="miter"/>
          <v:imagedata o:title=""/>
          <o:lock v:ext="edit"/>
          <v:textbox inset="0mm,0mm,0mm,0mm" style="mso-fit-shape-to-text:t;">
            <w:txbxContent>
              <w:p>
                <w:pPr>
                  <w:pStyle w:val="26"/>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default"/>
      </w:rPr>
    </w:pPr>
    <w:r>
      <w:rPr>
        <w:rFonts w:hint="default"/>
      </w:rPr>
      <w:pict>
        <v:shape id="文本框 2" o:spid="_x0000_s3073" o:spt="202" type="#_x0000_t202" style="position:absolute;left:0pt;margin-top:0pt;height:11.65pt;width:9.05pt;mso-position-horizontal:right;mso-position-horizontal-relative:margin;mso-wrap-style:none;z-index:251660288;mso-width-relative:page;mso-height-relative:page;" filled="f" stroked="f" coordsize="21600,21600"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rpb8P&#10;0QAAAAMBAAAPAAAAAAAAAAEAIAAAADgAAABkcnMvZG93bnJldi54bWxQSwECFAAUAAAACACHTuJA&#10;G3tnRxICAAALBAAADgAAAAAAAAABACAAAAA2AQAAZHJzL2Uyb0RvYy54bWxQSwUGAAAAAAYABgBZ&#10;AQAAugUAAAAA&#10;">
          <v:path/>
          <v:fill on="f" focussize="0,0"/>
          <v:stroke on="f" joinstyle="miter"/>
          <v:imagedata o:title=""/>
          <o:lock v:ext="edit"/>
          <v:textbox inset="0mm,0mm,0mm,0mm" style="mso-fit-shape-to-text:t;">
            <w:txbxContent>
              <w:p>
                <w:pPr>
                  <w:pStyle w:val="26"/>
                  <w:rPr>
                    <w:rFonts w:hint="default"/>
                  </w:rPr>
                </w:pPr>
                <w:r>
                  <w:fldChar w:fldCharType="begin"/>
                </w:r>
                <w:r>
                  <w:instrText xml:space="preserve"> PAGE  \* MERGEFORMAT </w:instrText>
                </w:r>
                <w:r>
                  <w:fldChar w:fldCharType="separate"/>
                </w:r>
                <w:r>
                  <w:rPr>
                    <w:rFonts w:hint="default"/>
                  </w:rPr>
                  <w:t>44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26"/>
          <w:ind w:left="3086"/>
          <w:jc w:val="right"/>
          <w:rPr>
            <w:rFonts w:hint="default"/>
          </w:rPr>
        </w:pPr>
        <w:r>
          <w:fldChar w:fldCharType="begin"/>
        </w:r>
        <w:r>
          <w:instrText xml:space="preserve">PAGE   \* MERGEFORMAT</w:instrText>
        </w:r>
        <w:r>
          <w:fldChar w:fldCharType="separate"/>
        </w:r>
        <w:r>
          <w:rPr>
            <w:rFonts w:hint="default"/>
            <w:lang w:val="zh-CN"/>
          </w:rPr>
          <w:t>52</w:t>
        </w:r>
        <w:r>
          <w:fldChar w:fldCharType="end"/>
        </w:r>
      </w:p>
    </w:sdtContent>
  </w:sdt>
  <w:p>
    <w:pPr>
      <w:pStyle w:val="26"/>
      <w:ind w:right="360"/>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1A143"/>
    <w:multiLevelType w:val="singleLevel"/>
    <w:tmpl w:val="9DA1A143"/>
    <w:lvl w:ilvl="0" w:tentative="0">
      <w:start w:val="5"/>
      <w:numFmt w:val="chineseCounting"/>
      <w:suff w:val="space"/>
      <w:lvlText w:val="第%1章"/>
      <w:lvlJc w:val="left"/>
      <w:rPr>
        <w:rFonts w:hint="eastAsia"/>
      </w:rPr>
    </w:lvl>
  </w:abstractNum>
  <w:abstractNum w:abstractNumId="1">
    <w:nsid w:val="9E6FF891"/>
    <w:multiLevelType w:val="singleLevel"/>
    <w:tmpl w:val="9E6FF891"/>
    <w:lvl w:ilvl="0" w:tentative="0">
      <w:start w:val="6"/>
      <w:numFmt w:val="chineseCounting"/>
      <w:suff w:val="nothing"/>
      <w:lvlText w:val="%1、"/>
      <w:lvlJc w:val="left"/>
      <w:rPr>
        <w:rFonts w:hint="eastAsia"/>
      </w:rPr>
    </w:lvl>
  </w:abstractNum>
  <w:abstractNum w:abstractNumId="2">
    <w:nsid w:val="CDB61949"/>
    <w:multiLevelType w:val="singleLevel"/>
    <w:tmpl w:val="CDB61949"/>
    <w:lvl w:ilvl="0" w:tentative="0">
      <w:start w:val="6"/>
      <w:numFmt w:val="decimal"/>
      <w:suff w:val="space"/>
      <w:lvlText w:val="%1."/>
      <w:lvlJc w:val="left"/>
    </w:lvl>
  </w:abstractNum>
  <w:abstractNum w:abstractNumId="3">
    <w:nsid w:val="F6FB636C"/>
    <w:multiLevelType w:val="singleLevel"/>
    <w:tmpl w:val="F6FB636C"/>
    <w:lvl w:ilvl="0" w:tentative="0">
      <w:start w:val="28"/>
      <w:numFmt w:val="decimal"/>
      <w:suff w:val="space"/>
      <w:lvlText w:val="%1."/>
      <w:lvlJc w:val="left"/>
    </w:lvl>
  </w:abstractNum>
  <w:abstractNum w:abstractNumId="4">
    <w:nsid w:val="F7F65B83"/>
    <w:multiLevelType w:val="singleLevel"/>
    <w:tmpl w:val="F7F65B83"/>
    <w:lvl w:ilvl="0" w:tentative="0">
      <w:start w:val="33"/>
      <w:numFmt w:val="decimal"/>
      <w:suff w:val="space"/>
      <w:lvlText w:val="%1."/>
      <w:lvlJc w:val="left"/>
    </w:lvl>
  </w:abstractNum>
  <w:abstractNum w:abstractNumId="5">
    <w:nsid w:val="FFBC1A21"/>
    <w:multiLevelType w:val="singleLevel"/>
    <w:tmpl w:val="FFBC1A21"/>
    <w:lvl w:ilvl="0" w:tentative="0">
      <w:start w:val="14"/>
      <w:numFmt w:val="decimal"/>
      <w:suff w:val="space"/>
      <w:lvlText w:val="%1."/>
      <w:lvlJc w:val="left"/>
    </w:lvl>
  </w:abstractNum>
  <w:abstractNum w:abstractNumId="6">
    <w:nsid w:val="FFDE3151"/>
    <w:multiLevelType w:val="singleLevel"/>
    <w:tmpl w:val="FFDE3151"/>
    <w:lvl w:ilvl="0" w:tentative="0">
      <w:start w:val="2"/>
      <w:numFmt w:val="chineseCounting"/>
      <w:suff w:val="space"/>
      <w:lvlText w:val="%1、"/>
      <w:lvlJc w:val="left"/>
      <w:rPr>
        <w:rFonts w:hint="eastAsia"/>
      </w:rPr>
    </w:lvl>
  </w:abstractNum>
  <w:abstractNum w:abstractNumId="7">
    <w:nsid w:val="32C14742"/>
    <w:multiLevelType w:val="multilevel"/>
    <w:tmpl w:val="32C14742"/>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30"/>
        <w:szCs w:val="30"/>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7BFFE9E6"/>
    <w:multiLevelType w:val="singleLevel"/>
    <w:tmpl w:val="7BFFE9E6"/>
    <w:lvl w:ilvl="0" w:tentative="0">
      <w:start w:val="27"/>
      <w:numFmt w:val="decimal"/>
      <w:suff w:val="space"/>
      <w:lvlText w:val="%1."/>
      <w:lvlJc w:val="left"/>
    </w:lvl>
  </w:abstractNum>
  <w:abstractNum w:abstractNumId="10">
    <w:nsid w:val="7F7BE2C3"/>
    <w:multiLevelType w:val="singleLevel"/>
    <w:tmpl w:val="7F7BE2C3"/>
    <w:lvl w:ilvl="0" w:tentative="0">
      <w:start w:val="1"/>
      <w:numFmt w:val="chineseCounting"/>
      <w:suff w:val="space"/>
      <w:lvlText w:val="第%1章"/>
      <w:lvlJc w:val="left"/>
      <w:rPr>
        <w:rFonts w:hint="eastAsia"/>
      </w:rPr>
    </w:lvl>
  </w:abstractNum>
  <w:abstractNum w:abstractNumId="11">
    <w:nsid w:val="7FE55FC2"/>
    <w:multiLevelType w:val="singleLevel"/>
    <w:tmpl w:val="7FE55FC2"/>
    <w:lvl w:ilvl="0" w:tentative="0">
      <w:start w:val="2"/>
      <w:numFmt w:val="decimal"/>
      <w:suff w:val="nothing"/>
      <w:lvlText w:val="（%1）"/>
      <w:lvlJc w:val="left"/>
      <w:pPr>
        <w:ind w:left="282" w:firstLine="0"/>
      </w:pPr>
    </w:lvl>
  </w:abstractNum>
  <w:num w:numId="1">
    <w:abstractNumId w:val="2"/>
  </w:num>
  <w:num w:numId="2">
    <w:abstractNumId w:val="10"/>
  </w:num>
  <w:num w:numId="3">
    <w:abstractNumId w:val="8"/>
  </w:num>
  <w:num w:numId="4">
    <w:abstractNumId w:val="5"/>
  </w:num>
  <w:num w:numId="5">
    <w:abstractNumId w:val="9"/>
  </w:num>
  <w:num w:numId="6">
    <w:abstractNumId w:val="3"/>
  </w:num>
  <w:num w:numId="7">
    <w:abstractNumId w:val="4"/>
  </w:num>
  <w:num w:numId="8">
    <w:abstractNumId w:val="1"/>
  </w:num>
  <w:num w:numId="9">
    <w:abstractNumId w:val="11"/>
  </w:num>
  <w:num w:numId="10">
    <w:abstractNumId w:val="7"/>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MjgxMTQ3ZDljYzc1MGRhOTMyNDJkMmEwN2RmMjQwMjkifQ=="/>
  </w:docVars>
  <w:rsids>
    <w:rsidRoot w:val="00172A27"/>
    <w:rsid w:val="00004A51"/>
    <w:rsid w:val="00024A4A"/>
    <w:rsid w:val="00043935"/>
    <w:rsid w:val="000867ED"/>
    <w:rsid w:val="000A77F2"/>
    <w:rsid w:val="000B1F7F"/>
    <w:rsid w:val="000B7BA4"/>
    <w:rsid w:val="000C1C41"/>
    <w:rsid w:val="000D3710"/>
    <w:rsid w:val="000E4CBB"/>
    <w:rsid w:val="00123C14"/>
    <w:rsid w:val="00137FF8"/>
    <w:rsid w:val="00144538"/>
    <w:rsid w:val="001459AF"/>
    <w:rsid w:val="00172A27"/>
    <w:rsid w:val="00175725"/>
    <w:rsid w:val="001933BA"/>
    <w:rsid w:val="001C1FD7"/>
    <w:rsid w:val="001E34D5"/>
    <w:rsid w:val="00201600"/>
    <w:rsid w:val="00216C26"/>
    <w:rsid w:val="00222D01"/>
    <w:rsid w:val="00232312"/>
    <w:rsid w:val="00245A16"/>
    <w:rsid w:val="00250C90"/>
    <w:rsid w:val="00260B9B"/>
    <w:rsid w:val="00267D0C"/>
    <w:rsid w:val="00277359"/>
    <w:rsid w:val="002A47EE"/>
    <w:rsid w:val="002B3DCA"/>
    <w:rsid w:val="002B535A"/>
    <w:rsid w:val="002F231E"/>
    <w:rsid w:val="00340796"/>
    <w:rsid w:val="00346575"/>
    <w:rsid w:val="00352D17"/>
    <w:rsid w:val="00362C6B"/>
    <w:rsid w:val="0036441F"/>
    <w:rsid w:val="003650E1"/>
    <w:rsid w:val="003667D0"/>
    <w:rsid w:val="00374C3A"/>
    <w:rsid w:val="00375CB7"/>
    <w:rsid w:val="003834F1"/>
    <w:rsid w:val="003869E9"/>
    <w:rsid w:val="003B24BC"/>
    <w:rsid w:val="003C1945"/>
    <w:rsid w:val="003D0443"/>
    <w:rsid w:val="00405303"/>
    <w:rsid w:val="004070E5"/>
    <w:rsid w:val="00431614"/>
    <w:rsid w:val="00431C68"/>
    <w:rsid w:val="00432125"/>
    <w:rsid w:val="0043684A"/>
    <w:rsid w:val="0043715B"/>
    <w:rsid w:val="00474D53"/>
    <w:rsid w:val="004811BC"/>
    <w:rsid w:val="00495CD8"/>
    <w:rsid w:val="004A30DA"/>
    <w:rsid w:val="004F64EA"/>
    <w:rsid w:val="00504F42"/>
    <w:rsid w:val="005071CE"/>
    <w:rsid w:val="005205DF"/>
    <w:rsid w:val="0055177C"/>
    <w:rsid w:val="005544D1"/>
    <w:rsid w:val="005567C3"/>
    <w:rsid w:val="00593708"/>
    <w:rsid w:val="005B4CCC"/>
    <w:rsid w:val="005B507B"/>
    <w:rsid w:val="005C73FE"/>
    <w:rsid w:val="0060172F"/>
    <w:rsid w:val="00605747"/>
    <w:rsid w:val="00606E81"/>
    <w:rsid w:val="00611610"/>
    <w:rsid w:val="006142C4"/>
    <w:rsid w:val="00620FE1"/>
    <w:rsid w:val="006349C6"/>
    <w:rsid w:val="00634EF8"/>
    <w:rsid w:val="006379B9"/>
    <w:rsid w:val="00664563"/>
    <w:rsid w:val="006823F6"/>
    <w:rsid w:val="00685431"/>
    <w:rsid w:val="00691C35"/>
    <w:rsid w:val="006B38B3"/>
    <w:rsid w:val="006B4AAF"/>
    <w:rsid w:val="006E5DEE"/>
    <w:rsid w:val="0070456E"/>
    <w:rsid w:val="00725EAA"/>
    <w:rsid w:val="00735AFC"/>
    <w:rsid w:val="007413D6"/>
    <w:rsid w:val="007553A7"/>
    <w:rsid w:val="00761E32"/>
    <w:rsid w:val="007837A0"/>
    <w:rsid w:val="00785A3F"/>
    <w:rsid w:val="007A08D5"/>
    <w:rsid w:val="007B1748"/>
    <w:rsid w:val="007E2E7C"/>
    <w:rsid w:val="007F33C3"/>
    <w:rsid w:val="007F48B8"/>
    <w:rsid w:val="007F5B5F"/>
    <w:rsid w:val="0081490A"/>
    <w:rsid w:val="0081755F"/>
    <w:rsid w:val="0082689F"/>
    <w:rsid w:val="00843857"/>
    <w:rsid w:val="00853636"/>
    <w:rsid w:val="008551C7"/>
    <w:rsid w:val="008657FF"/>
    <w:rsid w:val="00882F65"/>
    <w:rsid w:val="00892664"/>
    <w:rsid w:val="008A165F"/>
    <w:rsid w:val="008C1121"/>
    <w:rsid w:val="008D4BA7"/>
    <w:rsid w:val="008E7334"/>
    <w:rsid w:val="00931BA4"/>
    <w:rsid w:val="00952408"/>
    <w:rsid w:val="00962419"/>
    <w:rsid w:val="00983345"/>
    <w:rsid w:val="00985E5C"/>
    <w:rsid w:val="00995471"/>
    <w:rsid w:val="009A4787"/>
    <w:rsid w:val="009B25D2"/>
    <w:rsid w:val="009D3B25"/>
    <w:rsid w:val="009F4FBE"/>
    <w:rsid w:val="00A06D33"/>
    <w:rsid w:val="00A1048F"/>
    <w:rsid w:val="00A37892"/>
    <w:rsid w:val="00A44016"/>
    <w:rsid w:val="00A4621D"/>
    <w:rsid w:val="00A63BD8"/>
    <w:rsid w:val="00A80365"/>
    <w:rsid w:val="00A81F91"/>
    <w:rsid w:val="00A877F0"/>
    <w:rsid w:val="00A91573"/>
    <w:rsid w:val="00A926DD"/>
    <w:rsid w:val="00AB59F8"/>
    <w:rsid w:val="00AC01C6"/>
    <w:rsid w:val="00B2502D"/>
    <w:rsid w:val="00B25E5A"/>
    <w:rsid w:val="00B31AE4"/>
    <w:rsid w:val="00B31F00"/>
    <w:rsid w:val="00B40354"/>
    <w:rsid w:val="00B45A79"/>
    <w:rsid w:val="00B538CB"/>
    <w:rsid w:val="00B55C8B"/>
    <w:rsid w:val="00B564B3"/>
    <w:rsid w:val="00B63F6A"/>
    <w:rsid w:val="00B71A30"/>
    <w:rsid w:val="00B91DAF"/>
    <w:rsid w:val="00B9324C"/>
    <w:rsid w:val="00B93DB8"/>
    <w:rsid w:val="00BD44CA"/>
    <w:rsid w:val="00BF35FC"/>
    <w:rsid w:val="00BF7253"/>
    <w:rsid w:val="00C1373F"/>
    <w:rsid w:val="00C34FE5"/>
    <w:rsid w:val="00C361BE"/>
    <w:rsid w:val="00C648C6"/>
    <w:rsid w:val="00C96878"/>
    <w:rsid w:val="00CA4618"/>
    <w:rsid w:val="00CD0EA6"/>
    <w:rsid w:val="00CF5448"/>
    <w:rsid w:val="00D001A4"/>
    <w:rsid w:val="00D02151"/>
    <w:rsid w:val="00D05B16"/>
    <w:rsid w:val="00D53BAB"/>
    <w:rsid w:val="00D54BF1"/>
    <w:rsid w:val="00D73E2B"/>
    <w:rsid w:val="00D859C9"/>
    <w:rsid w:val="00D91651"/>
    <w:rsid w:val="00D97D6F"/>
    <w:rsid w:val="00DA0271"/>
    <w:rsid w:val="00DF15FF"/>
    <w:rsid w:val="00E01D63"/>
    <w:rsid w:val="00E1175E"/>
    <w:rsid w:val="00E15F00"/>
    <w:rsid w:val="00E1691A"/>
    <w:rsid w:val="00E45FF6"/>
    <w:rsid w:val="00E92EEB"/>
    <w:rsid w:val="00EB2BDF"/>
    <w:rsid w:val="00EC5BD1"/>
    <w:rsid w:val="00EE6503"/>
    <w:rsid w:val="00EF7CD4"/>
    <w:rsid w:val="00F01468"/>
    <w:rsid w:val="00F10BEC"/>
    <w:rsid w:val="00F12F31"/>
    <w:rsid w:val="00F72CE5"/>
    <w:rsid w:val="00F73736"/>
    <w:rsid w:val="00F927B1"/>
    <w:rsid w:val="00FB56B3"/>
    <w:rsid w:val="00FB73EA"/>
    <w:rsid w:val="010B682E"/>
    <w:rsid w:val="07F97273"/>
    <w:rsid w:val="0B10541D"/>
    <w:rsid w:val="0F36499C"/>
    <w:rsid w:val="0FEB5B99"/>
    <w:rsid w:val="10C21C14"/>
    <w:rsid w:val="11223E5B"/>
    <w:rsid w:val="132A2F58"/>
    <w:rsid w:val="144C6A6C"/>
    <w:rsid w:val="151712B8"/>
    <w:rsid w:val="179120EF"/>
    <w:rsid w:val="1959082B"/>
    <w:rsid w:val="1B7B18F1"/>
    <w:rsid w:val="1CBB8913"/>
    <w:rsid w:val="1DAF72B0"/>
    <w:rsid w:val="1FA401FE"/>
    <w:rsid w:val="1FD37C82"/>
    <w:rsid w:val="205300E7"/>
    <w:rsid w:val="217A696B"/>
    <w:rsid w:val="245320F3"/>
    <w:rsid w:val="247A3E3F"/>
    <w:rsid w:val="25041F3B"/>
    <w:rsid w:val="25EF3505"/>
    <w:rsid w:val="27DF7B67"/>
    <w:rsid w:val="2DB22427"/>
    <w:rsid w:val="2DDEC7A8"/>
    <w:rsid w:val="304721D8"/>
    <w:rsid w:val="335861D0"/>
    <w:rsid w:val="35F7A616"/>
    <w:rsid w:val="35FF2CB3"/>
    <w:rsid w:val="36D964EB"/>
    <w:rsid w:val="373C30BC"/>
    <w:rsid w:val="37DF5F96"/>
    <w:rsid w:val="385D2177"/>
    <w:rsid w:val="394D21FA"/>
    <w:rsid w:val="3D76489C"/>
    <w:rsid w:val="3DED96A2"/>
    <w:rsid w:val="3EBF9C0F"/>
    <w:rsid w:val="3EFF71BF"/>
    <w:rsid w:val="3F7D55A6"/>
    <w:rsid w:val="3FC94E71"/>
    <w:rsid w:val="3FCF1362"/>
    <w:rsid w:val="45573DB2"/>
    <w:rsid w:val="47EB5293"/>
    <w:rsid w:val="4B7E4E94"/>
    <w:rsid w:val="4BAD3A07"/>
    <w:rsid w:val="4EDF4C73"/>
    <w:rsid w:val="4FFB6229"/>
    <w:rsid w:val="50331B85"/>
    <w:rsid w:val="507D06EF"/>
    <w:rsid w:val="53871C0B"/>
    <w:rsid w:val="555E6291"/>
    <w:rsid w:val="56984D38"/>
    <w:rsid w:val="56FF96EF"/>
    <w:rsid w:val="583365C2"/>
    <w:rsid w:val="5A1509A1"/>
    <w:rsid w:val="5C231E23"/>
    <w:rsid w:val="5C4773A6"/>
    <w:rsid w:val="5CFDE82E"/>
    <w:rsid w:val="5DEF12A0"/>
    <w:rsid w:val="5ED3615E"/>
    <w:rsid w:val="5F7DA137"/>
    <w:rsid w:val="5F7F1F6E"/>
    <w:rsid w:val="5FDBF99D"/>
    <w:rsid w:val="5FE10532"/>
    <w:rsid w:val="607448F1"/>
    <w:rsid w:val="649026E7"/>
    <w:rsid w:val="64A357A5"/>
    <w:rsid w:val="671A6FCD"/>
    <w:rsid w:val="672524A2"/>
    <w:rsid w:val="68252541"/>
    <w:rsid w:val="695F3FCA"/>
    <w:rsid w:val="6E4B2CA4"/>
    <w:rsid w:val="6EFB7924"/>
    <w:rsid w:val="729F75AC"/>
    <w:rsid w:val="737DCA80"/>
    <w:rsid w:val="73AB1F81"/>
    <w:rsid w:val="73F39D86"/>
    <w:rsid w:val="73FB50D7"/>
    <w:rsid w:val="75EFCDFF"/>
    <w:rsid w:val="75F1029F"/>
    <w:rsid w:val="764C52FC"/>
    <w:rsid w:val="767D3374"/>
    <w:rsid w:val="769B2271"/>
    <w:rsid w:val="76EFF9DC"/>
    <w:rsid w:val="76FF7248"/>
    <w:rsid w:val="77D40FDB"/>
    <w:rsid w:val="77EDA429"/>
    <w:rsid w:val="79CB66F5"/>
    <w:rsid w:val="79EA1E6A"/>
    <w:rsid w:val="7A6D61E2"/>
    <w:rsid w:val="7ADF3684"/>
    <w:rsid w:val="7B7F906F"/>
    <w:rsid w:val="7BF11409"/>
    <w:rsid w:val="7BF16B61"/>
    <w:rsid w:val="7BF5CC35"/>
    <w:rsid w:val="7BFD8CAA"/>
    <w:rsid w:val="7CFBD86B"/>
    <w:rsid w:val="7D624069"/>
    <w:rsid w:val="7DBD3AE2"/>
    <w:rsid w:val="7DF7B097"/>
    <w:rsid w:val="7DFE4DBC"/>
    <w:rsid w:val="7F0C3C13"/>
    <w:rsid w:val="7F6BB1DC"/>
    <w:rsid w:val="7F77FFED"/>
    <w:rsid w:val="7F7F7B35"/>
    <w:rsid w:val="7FDEC080"/>
    <w:rsid w:val="7FEE55A0"/>
    <w:rsid w:val="7FF7719A"/>
    <w:rsid w:val="7FFD0268"/>
    <w:rsid w:val="8FCF93BB"/>
    <w:rsid w:val="9DDF8261"/>
    <w:rsid w:val="A6D761FB"/>
    <w:rsid w:val="A7FAC2C9"/>
    <w:rsid w:val="BB33BAE9"/>
    <w:rsid w:val="BCB695D2"/>
    <w:rsid w:val="BDFBF9C1"/>
    <w:rsid w:val="BFF3EAD7"/>
    <w:rsid w:val="C43F01B0"/>
    <w:rsid w:val="CFEC2426"/>
    <w:rsid w:val="D1DE9796"/>
    <w:rsid w:val="D37738D3"/>
    <w:rsid w:val="D6FB57AB"/>
    <w:rsid w:val="DCFC9366"/>
    <w:rsid w:val="DF77FA0F"/>
    <w:rsid w:val="DFBB20FB"/>
    <w:rsid w:val="DFFBAF7B"/>
    <w:rsid w:val="DFFED023"/>
    <w:rsid w:val="EBFB42BF"/>
    <w:rsid w:val="EFB7C1AB"/>
    <w:rsid w:val="EFF57C18"/>
    <w:rsid w:val="F5E7AE1A"/>
    <w:rsid w:val="F7D7E5ED"/>
    <w:rsid w:val="F7EE4047"/>
    <w:rsid w:val="FBCF24D1"/>
    <w:rsid w:val="FBDD3501"/>
    <w:rsid w:val="FC2FAD0F"/>
    <w:rsid w:val="FDF7B642"/>
    <w:rsid w:val="FF6F0205"/>
    <w:rsid w:val="FF9D4773"/>
    <w:rsid w:val="FFB8B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1" w:name="index heading"/>
    <w:lsdException w:qFormat="1" w:uiPriority="1" w:name="caption"/>
    <w:lsdException w:qFormat="1" w:unhideWhenUsed="0" w:uiPriority="0" w:semiHidden="0" w:name="table of figures"/>
    <w:lsdException w:uiPriority="1"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qFormat="1" w:unhideWhenUsed="0" w:uiPriority="0" w:semiHidden="0" w:name="List"/>
    <w:lsdException w:uiPriority="1" w:name="List Bullet"/>
    <w:lsdException w:uiPriority="1" w:name="List Number"/>
    <w:lsdException w:uiPriority="1" w:name="List 2"/>
    <w:lsdException w:uiPriority="1" w:name="List 3"/>
    <w:lsdException w:qFormat="1" w:unhideWhenUsed="0" w:uiPriority="0" w:semiHidden="0" w:name="List 4"/>
    <w:lsdException w:qFormat="1" w:unhideWhenUsed="0" w:uiPriority="0" w:semiHidden="0"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1" w:name="List Continue 2"/>
    <w:lsdException w:uiPriority="1" w:name="List Continue 3"/>
    <w:lsdException w:uiPriority="1" w:name="List Continue 4"/>
    <w:lsdException w:uiPriority="1" w:name="List Continue 5"/>
    <w:lsdException w:qFormat="1" w:uiPriority="99" w:semiHidden="0" w:name="Message Header"/>
    <w:lsdException w:qFormat="1" w:unhideWhenUsed="0" w:uiPriority="1" w:semiHidden="0" w:name="Subtitle"/>
    <w:lsdException w:uiPriority="1"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1"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1" w:semiHidden="0" w:name="Emphasis"/>
    <w:lsdException w:uiPriority="1" w:name="Document Map"/>
    <w:lsdException w:qFormat="1" w:unhideWhenUsed="0" w:uiPriority="0" w:semiHidden="0" w:name="Plain Text"/>
    <w:lsdException w:uiPriority="1" w:name="E-mail Signature"/>
    <w:lsdException w:qFormat="1" w:unhideWhenUsed="0" w:uiPriority="99"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0" w:semiHidden="0" w:name="Balloon Text"/>
    <w:lsdException w:qFormat="1" w:unhideWhenUsed="0" w:uiPriority="59" w:semiHidden="0" w:name="Table Grid"/>
    <w:lsdException w:uiPriority="1"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4">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2">
    <w:name w:val="heading 2"/>
    <w:basedOn w:val="1"/>
    <w:next w:val="3"/>
    <w:link w:val="59"/>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61"/>
    <w:qFormat/>
    <w:uiPriority w:val="0"/>
    <w:pPr>
      <w:keepNext/>
      <w:keepLines/>
      <w:spacing w:before="260" w:after="260" w:line="416" w:lineRule="auto"/>
      <w:outlineLvl w:val="2"/>
    </w:pPr>
    <w:rPr>
      <w:b/>
      <w:bCs/>
      <w:sz w:val="32"/>
      <w:szCs w:val="32"/>
    </w:rPr>
  </w:style>
  <w:style w:type="paragraph" w:styleId="6">
    <w:name w:val="heading 4"/>
    <w:basedOn w:val="1"/>
    <w:next w:val="1"/>
    <w:link w:val="62"/>
    <w:qFormat/>
    <w:uiPriority w:val="0"/>
    <w:pPr>
      <w:keepNext/>
      <w:keepLines/>
      <w:widowControl w:val="0"/>
      <w:spacing w:before="280" w:after="290" w:line="372" w:lineRule="auto"/>
      <w:outlineLvl w:val="3"/>
    </w:pPr>
    <w:rPr>
      <w:rFonts w:hint="default" w:ascii="Arial" w:hAnsi="Arial" w:eastAsia="黑体" w:cs="Times New Roman"/>
      <w:b/>
      <w:color w:val="auto"/>
      <w:sz w:val="28"/>
      <w:szCs w:val="24"/>
      <w:lang w:val="en-US" w:eastAsia="zh-CN"/>
    </w:rPr>
  </w:style>
  <w:style w:type="paragraph" w:styleId="7">
    <w:name w:val="heading 5"/>
    <w:basedOn w:val="1"/>
    <w:next w:val="1"/>
    <w:link w:val="63"/>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lang w:val="en-US" w:eastAsia="zh-CN"/>
    </w:rPr>
  </w:style>
  <w:style w:type="paragraph" w:styleId="8">
    <w:name w:val="heading 6"/>
    <w:basedOn w:val="1"/>
    <w:next w:val="1"/>
    <w:link w:val="64"/>
    <w:qFormat/>
    <w:uiPriority w:val="0"/>
    <w:pPr>
      <w:keepNext/>
      <w:keepLines/>
      <w:widowControl w:val="0"/>
      <w:spacing w:line="317" w:lineRule="auto"/>
      <w:ind w:firstLine="402"/>
      <w:outlineLvl w:val="5"/>
    </w:pPr>
    <w:rPr>
      <w:rFonts w:hint="default" w:ascii="Arial" w:hAnsi="Arial" w:eastAsia="黑体" w:cs="Times New Roman"/>
      <w:b/>
      <w:color w:val="auto"/>
      <w:sz w:val="24"/>
      <w:szCs w:val="32"/>
      <w:lang w:val="en-US" w:eastAsia="zh-CN"/>
    </w:rPr>
  </w:style>
  <w:style w:type="paragraph" w:styleId="9">
    <w:name w:val="heading 7"/>
    <w:basedOn w:val="1"/>
    <w:next w:val="1"/>
    <w:link w:val="65"/>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lang w:val="en-US" w:eastAsia="zh-CN"/>
    </w:rPr>
  </w:style>
  <w:style w:type="paragraph" w:styleId="10">
    <w:name w:val="heading 8"/>
    <w:basedOn w:val="1"/>
    <w:next w:val="1"/>
    <w:link w:val="66"/>
    <w:qFormat/>
    <w:uiPriority w:val="0"/>
    <w:pPr>
      <w:keepNext/>
      <w:keepLines/>
      <w:widowControl w:val="0"/>
      <w:spacing w:line="317" w:lineRule="auto"/>
      <w:ind w:firstLine="402"/>
      <w:outlineLvl w:val="7"/>
    </w:pPr>
    <w:rPr>
      <w:rFonts w:hint="default" w:ascii="Arial" w:hAnsi="Arial" w:eastAsia="黑体" w:cs="Times New Roman"/>
      <w:color w:val="auto"/>
      <w:sz w:val="24"/>
      <w:szCs w:val="32"/>
      <w:lang w:val="en-US" w:eastAsia="zh-CN"/>
    </w:rPr>
  </w:style>
  <w:style w:type="paragraph" w:styleId="11">
    <w:name w:val="heading 9"/>
    <w:basedOn w:val="1"/>
    <w:next w:val="1"/>
    <w:link w:val="67"/>
    <w:qFormat/>
    <w:uiPriority w:val="0"/>
    <w:pPr>
      <w:keepNext/>
      <w:keepLines/>
      <w:widowControl w:val="0"/>
      <w:spacing w:line="317" w:lineRule="auto"/>
      <w:ind w:firstLine="402"/>
      <w:outlineLvl w:val="8"/>
    </w:pPr>
    <w:rPr>
      <w:rFonts w:hint="default" w:ascii="Arial" w:hAnsi="Arial" w:eastAsia="黑体" w:cs="Times New Roman"/>
      <w:color w:val="auto"/>
      <w:szCs w:val="32"/>
      <w:lang w:val="en-US" w:eastAsia="zh-CN"/>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60"/>
    <w:qFormat/>
    <w:uiPriority w:val="99"/>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paragraph" w:styleId="12">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3">
    <w:name w:val="annotation text"/>
    <w:basedOn w:val="1"/>
    <w:link w:val="68"/>
    <w:unhideWhenUsed/>
    <w:qFormat/>
    <w:uiPriority w:val="0"/>
    <w:pPr>
      <w:jc w:val="left"/>
    </w:pPr>
  </w:style>
  <w:style w:type="paragraph" w:styleId="14">
    <w:name w:val="Body Text 3"/>
    <w:basedOn w:val="1"/>
    <w:link w:val="69"/>
    <w:qFormat/>
    <w:uiPriority w:val="0"/>
    <w:pPr>
      <w:widowControl w:val="0"/>
      <w:spacing w:after="120"/>
    </w:pPr>
    <w:rPr>
      <w:rFonts w:hint="default" w:ascii="Calibri" w:hAnsi="Calibri" w:eastAsia="宋体" w:cs="Times New Roman"/>
      <w:color w:val="auto"/>
      <w:sz w:val="16"/>
      <w:szCs w:val="16"/>
      <w:lang w:val="en-US" w:eastAsia="zh-CN"/>
    </w:rPr>
  </w:style>
  <w:style w:type="paragraph" w:styleId="15">
    <w:name w:val="Body Text"/>
    <w:basedOn w:val="1"/>
    <w:next w:val="1"/>
    <w:link w:val="70"/>
    <w:qFormat/>
    <w:uiPriority w:val="0"/>
    <w:pPr>
      <w:widowControl w:val="0"/>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16">
    <w:name w:val="Body Text Indent"/>
    <w:basedOn w:val="1"/>
    <w:next w:val="1"/>
    <w:link w:val="71"/>
    <w:qFormat/>
    <w:uiPriority w:val="0"/>
    <w:pPr>
      <w:widowControl w:val="0"/>
      <w:spacing w:line="360" w:lineRule="auto"/>
      <w:ind w:firstLine="570"/>
    </w:pPr>
    <w:rPr>
      <w:rFonts w:hint="default" w:ascii="Calibri" w:hAnsi="Calibri" w:eastAsia="宋体" w:cs="Times New Roman"/>
      <w:color w:val="auto"/>
      <w:sz w:val="24"/>
      <w:szCs w:val="24"/>
      <w:lang w:val="en-US" w:eastAsia="zh-CN"/>
    </w:rPr>
  </w:style>
  <w:style w:type="paragraph" w:styleId="17">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18">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19">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0">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1">
    <w:name w:val="Plain Text"/>
    <w:basedOn w:val="1"/>
    <w:link w:val="72"/>
    <w:qFormat/>
    <w:uiPriority w:val="0"/>
    <w:pPr>
      <w:widowControl w:val="0"/>
    </w:pPr>
    <w:rPr>
      <w:rFonts w:hint="default" w:ascii="宋体" w:hAnsi="Courier New" w:eastAsia="宋体" w:cs="Times New Roman"/>
      <w:color w:val="auto"/>
      <w:kern w:val="0"/>
      <w:sz w:val="20"/>
      <w:szCs w:val="20"/>
      <w:lang w:val="en-US" w:eastAsia="zh-CN"/>
    </w:rPr>
  </w:style>
  <w:style w:type="paragraph" w:styleId="22">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3">
    <w:name w:val="Date"/>
    <w:basedOn w:val="1"/>
    <w:next w:val="1"/>
    <w:link w:val="73"/>
    <w:qFormat/>
    <w:uiPriority w:val="99"/>
    <w:pPr>
      <w:widowControl w:val="0"/>
      <w:ind w:left="100" w:leftChars="2500"/>
    </w:pPr>
    <w:rPr>
      <w:rFonts w:hint="default" w:ascii="仿宋_GB2312" w:hAnsi="宋体" w:eastAsia="仿宋_GB2312" w:cs="Times New Roman"/>
      <w:sz w:val="24"/>
      <w:szCs w:val="24"/>
      <w:lang w:val="en-US" w:eastAsia="zh-CN"/>
    </w:rPr>
  </w:style>
  <w:style w:type="paragraph" w:styleId="24">
    <w:name w:val="Body Text Indent 2"/>
    <w:basedOn w:val="1"/>
    <w:link w:val="74"/>
    <w:qFormat/>
    <w:uiPriority w:val="0"/>
    <w:pPr>
      <w:widowControl w:val="0"/>
      <w:ind w:firstLine="480" w:firstLineChars="200"/>
    </w:pPr>
    <w:rPr>
      <w:rFonts w:hint="default" w:ascii="仿宋_GB2312" w:hAnsi="Calibri" w:eastAsia="仿宋_GB2312" w:cs="Times New Roman"/>
      <w:color w:val="auto"/>
      <w:sz w:val="24"/>
      <w:szCs w:val="24"/>
      <w:lang w:val="en-US" w:eastAsia="zh-CN"/>
    </w:rPr>
  </w:style>
  <w:style w:type="paragraph" w:styleId="25">
    <w:name w:val="Balloon Text"/>
    <w:basedOn w:val="1"/>
    <w:link w:val="75"/>
    <w:unhideWhenUsed/>
    <w:qFormat/>
    <w:uiPriority w:val="0"/>
    <w:rPr>
      <w:sz w:val="18"/>
      <w:szCs w:val="18"/>
    </w:rPr>
  </w:style>
  <w:style w:type="paragraph" w:styleId="26">
    <w:name w:val="footer"/>
    <w:basedOn w:val="1"/>
    <w:link w:val="76"/>
    <w:qFormat/>
    <w:uiPriority w:val="99"/>
    <w:pPr>
      <w:tabs>
        <w:tab w:val="center" w:pos="4153"/>
        <w:tab w:val="right" w:pos="8306"/>
      </w:tabs>
    </w:pPr>
    <w:rPr>
      <w:rFonts w:ascii="宋体" w:hAnsi="宋体" w:cs="宋体"/>
      <w:sz w:val="18"/>
      <w:szCs w:val="18"/>
      <w:lang w:val="en-US" w:eastAsia="zh-CN"/>
    </w:rPr>
  </w:style>
  <w:style w:type="paragraph" w:styleId="27">
    <w:name w:val="envelope return"/>
    <w:basedOn w:val="1"/>
    <w:unhideWhenUsed/>
    <w:qFormat/>
    <w:uiPriority w:val="99"/>
    <w:pPr>
      <w:snapToGrid w:val="0"/>
    </w:pPr>
    <w:rPr>
      <w:rFonts w:ascii="Arial" w:hAnsi="Arial"/>
    </w:rPr>
  </w:style>
  <w:style w:type="paragraph" w:styleId="28">
    <w:name w:val="header"/>
    <w:basedOn w:val="1"/>
    <w:link w:val="77"/>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0">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1">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2">
    <w:name w:val="footnote text"/>
    <w:basedOn w:val="1"/>
    <w:link w:val="78"/>
    <w:qFormat/>
    <w:uiPriority w:val="0"/>
    <w:pPr>
      <w:widowControl w:val="0"/>
      <w:adjustRightInd w:val="0"/>
      <w:spacing w:line="312" w:lineRule="atLeast"/>
      <w:jc w:val="left"/>
      <w:textAlignment w:val="baseline"/>
    </w:pPr>
    <w:rPr>
      <w:rFonts w:hint="default" w:ascii="Calibri" w:hAnsi="Calibri" w:eastAsia="宋体" w:cs="Times New Roman"/>
      <w:color w:val="auto"/>
      <w:sz w:val="18"/>
      <w:szCs w:val="22"/>
      <w:lang w:val="en-US" w:eastAsia="zh-CN"/>
    </w:rPr>
  </w:style>
  <w:style w:type="paragraph" w:styleId="33">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4">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5">
    <w:name w:val="Body Text Indent 3"/>
    <w:basedOn w:val="1"/>
    <w:link w:val="79"/>
    <w:qFormat/>
    <w:uiPriority w:val="0"/>
    <w:pPr>
      <w:widowControl w:val="0"/>
      <w:autoSpaceDE w:val="0"/>
      <w:autoSpaceDN w:val="0"/>
      <w:adjustRightInd w:val="0"/>
      <w:spacing w:before="120" w:line="22" w:lineRule="atLeast"/>
      <w:ind w:left="720" w:firstLine="480"/>
      <w:jc w:val="left"/>
    </w:pPr>
    <w:rPr>
      <w:rFonts w:hint="default" w:ascii="宋体" w:hAnsi="Calibri" w:eastAsia="宋体" w:cs="Times New Roman"/>
      <w:color w:val="auto"/>
      <w:kern w:val="0"/>
      <w:sz w:val="24"/>
      <w:szCs w:val="20"/>
      <w:lang w:val="en-US" w:eastAsia="zh-CN"/>
    </w:rPr>
  </w:style>
  <w:style w:type="paragraph" w:styleId="36">
    <w:name w:val="table of figures"/>
    <w:basedOn w:val="1"/>
    <w:next w:val="1"/>
    <w:qFormat/>
    <w:uiPriority w:val="0"/>
    <w:pPr>
      <w:ind w:left="200" w:leftChars="200" w:hanging="200" w:hangingChars="200"/>
    </w:pPr>
    <w:rPr>
      <w:rFonts w:ascii="Times New Roman" w:hAnsi="Times New Roman"/>
    </w:rPr>
  </w:style>
  <w:style w:type="paragraph" w:styleId="37">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38">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39">
    <w:name w:val="Body Text 2"/>
    <w:basedOn w:val="1"/>
    <w:next w:val="1"/>
    <w:link w:val="57"/>
    <w:qFormat/>
    <w:uiPriority w:val="0"/>
    <w:pPr>
      <w:widowControl w:val="0"/>
      <w:spacing w:after="120" w:line="480" w:lineRule="auto"/>
    </w:pPr>
    <w:rPr>
      <w:rFonts w:hint="default" w:ascii="Calibri" w:hAnsi="Calibri" w:eastAsia="宋体" w:cs="Times New Roman"/>
      <w:color w:val="auto"/>
      <w:szCs w:val="24"/>
      <w:lang w:val="en-US" w:eastAsia="zh-CN"/>
    </w:rPr>
  </w:style>
  <w:style w:type="paragraph" w:styleId="40">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1">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2">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3">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4">
    <w:name w:val="Title"/>
    <w:link w:val="80"/>
    <w:qFormat/>
    <w:uiPriority w:val="0"/>
    <w:pPr>
      <w:spacing w:before="240" w:after="60"/>
      <w:jc w:val="center"/>
    </w:pPr>
    <w:rPr>
      <w:rFonts w:ascii="Arial" w:hAnsi="Arial" w:eastAsia="Arial" w:cs="Arial"/>
      <w:b/>
      <w:bCs/>
      <w:color w:val="000000"/>
      <w:kern w:val="2"/>
      <w:sz w:val="32"/>
      <w:szCs w:val="32"/>
      <w:lang w:val="en-US" w:eastAsia="zh-CN" w:bidi="ar-SA"/>
    </w:rPr>
  </w:style>
  <w:style w:type="paragraph" w:styleId="45">
    <w:name w:val="annotation subject"/>
    <w:basedOn w:val="13"/>
    <w:next w:val="13"/>
    <w:link w:val="81"/>
    <w:qFormat/>
    <w:uiPriority w:val="0"/>
    <w:pPr>
      <w:widowControl w:val="0"/>
    </w:pPr>
    <w:rPr>
      <w:rFonts w:hint="default" w:ascii="Calibri" w:hAnsi="Calibri" w:eastAsia="宋体" w:cs="Times New Roman"/>
      <w:b/>
      <w:bCs/>
      <w:color w:val="auto"/>
      <w:szCs w:val="24"/>
      <w:lang w:val="en-US" w:eastAsia="zh-CN"/>
    </w:rPr>
  </w:style>
  <w:style w:type="paragraph" w:styleId="46">
    <w:name w:val="Body Text First Indent"/>
    <w:basedOn w:val="15"/>
    <w:link w:val="82"/>
    <w:qFormat/>
    <w:uiPriority w:val="0"/>
    <w:pPr>
      <w:tabs>
        <w:tab w:val="clear" w:pos="567"/>
      </w:tabs>
      <w:spacing w:before="0" w:after="120" w:line="240" w:lineRule="auto"/>
      <w:ind w:firstLine="420"/>
    </w:pPr>
    <w:rPr>
      <w:rFonts w:ascii="Calibri" w:hAnsi="Calibri" w:eastAsia="楷体_GB2312"/>
      <w:sz w:val="32"/>
    </w:rPr>
  </w:style>
  <w:style w:type="paragraph" w:styleId="47">
    <w:name w:val="Body Text First Indent 2"/>
    <w:basedOn w:val="16"/>
    <w:next w:val="1"/>
    <w:link w:val="83"/>
    <w:unhideWhenUsed/>
    <w:qFormat/>
    <w:uiPriority w:val="99"/>
    <w:pPr>
      <w:spacing w:after="120" w:line="240" w:lineRule="auto"/>
      <w:ind w:left="420" w:leftChars="200" w:firstLine="420" w:firstLineChars="200"/>
    </w:pPr>
    <w:rPr>
      <w:rFonts w:ascii="Cambria" w:hAnsi="Cambria"/>
      <w:sz w:val="21"/>
    </w:rPr>
  </w:style>
  <w:style w:type="table" w:styleId="49">
    <w:name w:val="Table Grid"/>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0"/>
    <w:rPr>
      <w:color w:val="333333"/>
      <w:sz w:val="18"/>
      <w:szCs w:val="18"/>
      <w:u w:val="none"/>
    </w:rPr>
  </w:style>
  <w:style w:type="character" w:styleId="54">
    <w:name w:val="Hyperlink"/>
    <w:qFormat/>
    <w:uiPriority w:val="99"/>
    <w:rPr>
      <w:u w:val="single"/>
    </w:rPr>
  </w:style>
  <w:style w:type="character" w:styleId="55">
    <w:name w:val="annotation reference"/>
    <w:unhideWhenUsed/>
    <w:qFormat/>
    <w:uiPriority w:val="99"/>
    <w:rPr>
      <w:sz w:val="21"/>
      <w:szCs w:val="21"/>
    </w:rPr>
  </w:style>
  <w:style w:type="character" w:styleId="56">
    <w:name w:val="footnote reference"/>
    <w:qFormat/>
    <w:uiPriority w:val="0"/>
    <w:rPr>
      <w:vertAlign w:val="superscript"/>
    </w:rPr>
  </w:style>
  <w:style w:type="character" w:customStyle="1" w:styleId="57">
    <w:name w:val="正文文本 2 Char"/>
    <w:link w:val="39"/>
    <w:qFormat/>
    <w:uiPriority w:val="0"/>
    <w:rPr>
      <w:kern w:val="2"/>
      <w:sz w:val="21"/>
      <w:szCs w:val="24"/>
    </w:rPr>
  </w:style>
  <w:style w:type="character" w:customStyle="1" w:styleId="58">
    <w:name w:val="标题 1 Char"/>
    <w:link w:val="4"/>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59">
    <w:name w:val="标题 2 Char"/>
    <w:link w:val="2"/>
    <w:qFormat/>
    <w:uiPriority w:val="0"/>
    <w:rPr>
      <w:rFonts w:ascii="Cambria" w:hAnsi="Cambria" w:eastAsia="宋体" w:cs="Times New Roman"/>
      <w:b/>
      <w:bCs/>
      <w:color w:val="000000"/>
      <w:sz w:val="32"/>
      <w:szCs w:val="32"/>
      <w:lang w:val="zh-TW" w:eastAsia="zh-TW"/>
    </w:rPr>
  </w:style>
  <w:style w:type="character" w:customStyle="1" w:styleId="60">
    <w:name w:val="正文缩进 Char"/>
    <w:link w:val="3"/>
    <w:qFormat/>
    <w:uiPriority w:val="0"/>
    <w:rPr>
      <w:rFonts w:ascii="宋体"/>
      <w:sz w:val="24"/>
    </w:rPr>
  </w:style>
  <w:style w:type="character" w:customStyle="1" w:styleId="61">
    <w:name w:val="标题 3 Char"/>
    <w:link w:val="5"/>
    <w:qFormat/>
    <w:uiPriority w:val="0"/>
    <w:rPr>
      <w:rFonts w:ascii="Arial Unicode MS" w:hAnsi="Arial Unicode MS" w:eastAsia="Arial Unicode MS" w:cs="Arial Unicode MS"/>
      <w:b/>
      <w:bCs/>
      <w:color w:val="000000"/>
      <w:sz w:val="32"/>
      <w:szCs w:val="32"/>
      <w:lang w:val="zh-TW" w:eastAsia="zh-TW"/>
    </w:rPr>
  </w:style>
  <w:style w:type="character" w:customStyle="1" w:styleId="62">
    <w:name w:val="标题 4 Char"/>
    <w:link w:val="6"/>
    <w:qFormat/>
    <w:uiPriority w:val="0"/>
    <w:rPr>
      <w:rFonts w:ascii="Arial" w:hAnsi="Arial" w:eastAsia="黑体"/>
      <w:b/>
      <w:kern w:val="2"/>
      <w:sz w:val="28"/>
      <w:szCs w:val="24"/>
    </w:rPr>
  </w:style>
  <w:style w:type="character" w:customStyle="1" w:styleId="63">
    <w:name w:val="标题 5 Char"/>
    <w:link w:val="7"/>
    <w:qFormat/>
    <w:uiPriority w:val="0"/>
    <w:rPr>
      <w:rFonts w:ascii="仿宋_GB2312" w:hAnsi="Times New Roman" w:eastAsia="仿宋_GB2312"/>
      <w:b/>
      <w:kern w:val="2"/>
      <w:sz w:val="28"/>
      <w:szCs w:val="32"/>
    </w:rPr>
  </w:style>
  <w:style w:type="character" w:customStyle="1" w:styleId="64">
    <w:name w:val="标题 6 Char"/>
    <w:link w:val="8"/>
    <w:qFormat/>
    <w:uiPriority w:val="0"/>
    <w:rPr>
      <w:rFonts w:ascii="Arial" w:hAnsi="Arial" w:eastAsia="黑体"/>
      <w:b/>
      <w:kern w:val="2"/>
      <w:sz w:val="24"/>
      <w:szCs w:val="32"/>
    </w:rPr>
  </w:style>
  <w:style w:type="character" w:customStyle="1" w:styleId="65">
    <w:name w:val="标题 7 Char"/>
    <w:link w:val="9"/>
    <w:qFormat/>
    <w:uiPriority w:val="0"/>
    <w:rPr>
      <w:rFonts w:ascii="仿宋_GB2312" w:hAnsi="Times New Roman" w:eastAsia="仿宋_GB2312"/>
      <w:b/>
      <w:kern w:val="2"/>
      <w:sz w:val="24"/>
      <w:szCs w:val="32"/>
    </w:rPr>
  </w:style>
  <w:style w:type="character" w:customStyle="1" w:styleId="66">
    <w:name w:val="标题 8 Char"/>
    <w:link w:val="10"/>
    <w:qFormat/>
    <w:uiPriority w:val="0"/>
    <w:rPr>
      <w:rFonts w:ascii="Arial" w:hAnsi="Arial" w:eastAsia="黑体"/>
      <w:kern w:val="2"/>
      <w:sz w:val="24"/>
      <w:szCs w:val="32"/>
    </w:rPr>
  </w:style>
  <w:style w:type="character" w:customStyle="1" w:styleId="67">
    <w:name w:val="标题 9 Char"/>
    <w:link w:val="11"/>
    <w:qFormat/>
    <w:uiPriority w:val="0"/>
    <w:rPr>
      <w:rFonts w:ascii="Arial" w:hAnsi="Arial" w:eastAsia="黑体"/>
      <w:kern w:val="2"/>
      <w:sz w:val="21"/>
      <w:szCs w:val="32"/>
    </w:rPr>
  </w:style>
  <w:style w:type="character" w:customStyle="1" w:styleId="68">
    <w:name w:val="批注文字 Char"/>
    <w:link w:val="13"/>
    <w:qFormat/>
    <w:uiPriority w:val="0"/>
    <w:rPr>
      <w:rFonts w:ascii="Arial Unicode MS" w:hAnsi="Arial Unicode MS" w:eastAsia="Arial Unicode MS" w:cs="Arial Unicode MS"/>
      <w:color w:val="000000"/>
      <w:szCs w:val="21"/>
      <w:lang w:val="zh-TW" w:eastAsia="zh-TW"/>
    </w:rPr>
  </w:style>
  <w:style w:type="character" w:customStyle="1" w:styleId="69">
    <w:name w:val="正文文本 3 Char"/>
    <w:link w:val="14"/>
    <w:qFormat/>
    <w:uiPriority w:val="0"/>
    <w:rPr>
      <w:kern w:val="2"/>
      <w:sz w:val="16"/>
      <w:szCs w:val="16"/>
    </w:rPr>
  </w:style>
  <w:style w:type="character" w:customStyle="1" w:styleId="70">
    <w:name w:val="正文文本 Char"/>
    <w:link w:val="15"/>
    <w:qFormat/>
    <w:uiPriority w:val="0"/>
    <w:rPr>
      <w:rFonts w:ascii="宋体" w:hAnsi="宋体"/>
      <w:kern w:val="2"/>
      <w:sz w:val="24"/>
      <w:szCs w:val="24"/>
    </w:rPr>
  </w:style>
  <w:style w:type="character" w:customStyle="1" w:styleId="71">
    <w:name w:val="正文文本缩进 Char"/>
    <w:link w:val="16"/>
    <w:qFormat/>
    <w:uiPriority w:val="0"/>
    <w:rPr>
      <w:kern w:val="2"/>
      <w:sz w:val="24"/>
      <w:szCs w:val="24"/>
    </w:rPr>
  </w:style>
  <w:style w:type="character" w:customStyle="1" w:styleId="72">
    <w:name w:val="纯文本 Char1"/>
    <w:link w:val="21"/>
    <w:qFormat/>
    <w:uiPriority w:val="0"/>
    <w:rPr>
      <w:rFonts w:ascii="宋体" w:hAnsi="Courier New"/>
    </w:rPr>
  </w:style>
  <w:style w:type="character" w:customStyle="1" w:styleId="73">
    <w:name w:val="日期 Char"/>
    <w:link w:val="23"/>
    <w:qFormat/>
    <w:uiPriority w:val="99"/>
    <w:rPr>
      <w:rFonts w:ascii="仿宋_GB2312" w:hAnsi="宋体" w:eastAsia="仿宋_GB2312"/>
      <w:color w:val="000000"/>
      <w:kern w:val="2"/>
      <w:sz w:val="24"/>
      <w:szCs w:val="24"/>
    </w:rPr>
  </w:style>
  <w:style w:type="character" w:customStyle="1" w:styleId="74">
    <w:name w:val="正文文本缩进 2 Char"/>
    <w:link w:val="24"/>
    <w:qFormat/>
    <w:uiPriority w:val="0"/>
    <w:rPr>
      <w:rFonts w:ascii="仿宋_GB2312" w:eastAsia="仿宋_GB2312"/>
      <w:kern w:val="2"/>
      <w:sz w:val="24"/>
      <w:szCs w:val="24"/>
    </w:rPr>
  </w:style>
  <w:style w:type="character" w:customStyle="1" w:styleId="75">
    <w:name w:val="批注框文本 Char"/>
    <w:link w:val="25"/>
    <w:qFormat/>
    <w:uiPriority w:val="0"/>
    <w:rPr>
      <w:rFonts w:ascii="Arial Unicode MS" w:hAnsi="Arial Unicode MS" w:eastAsia="Arial Unicode MS" w:cs="Arial Unicode MS"/>
      <w:color w:val="000000"/>
      <w:sz w:val="18"/>
      <w:szCs w:val="18"/>
      <w:lang w:val="zh-TW" w:eastAsia="zh-TW"/>
    </w:rPr>
  </w:style>
  <w:style w:type="character" w:customStyle="1" w:styleId="76">
    <w:name w:val="页脚 Char"/>
    <w:link w:val="26"/>
    <w:qFormat/>
    <w:uiPriority w:val="99"/>
    <w:rPr>
      <w:rFonts w:ascii="宋体" w:hAnsi="宋体" w:eastAsia="宋体" w:cs="宋体"/>
      <w:color w:val="000000"/>
      <w:kern w:val="0"/>
      <w:sz w:val="18"/>
      <w:szCs w:val="18"/>
    </w:rPr>
  </w:style>
  <w:style w:type="character" w:customStyle="1" w:styleId="77">
    <w:name w:val="页眉 Char"/>
    <w:link w:val="28"/>
    <w:qFormat/>
    <w:uiPriority w:val="99"/>
    <w:rPr>
      <w:rFonts w:ascii="Arial Unicode MS" w:hAnsi="Arial Unicode MS" w:eastAsia="Arial Unicode MS" w:cs="Arial Unicode MS"/>
      <w:color w:val="000000"/>
      <w:sz w:val="18"/>
      <w:szCs w:val="18"/>
      <w:lang w:val="zh-TW" w:eastAsia="zh-TW"/>
    </w:rPr>
  </w:style>
  <w:style w:type="character" w:customStyle="1" w:styleId="78">
    <w:name w:val="脚注文本 Char"/>
    <w:link w:val="32"/>
    <w:qFormat/>
    <w:uiPriority w:val="0"/>
    <w:rPr>
      <w:kern w:val="2"/>
      <w:sz w:val="18"/>
      <w:szCs w:val="22"/>
    </w:rPr>
  </w:style>
  <w:style w:type="character" w:customStyle="1" w:styleId="79">
    <w:name w:val="正文文本缩进 3 Char"/>
    <w:link w:val="35"/>
    <w:qFormat/>
    <w:uiPriority w:val="0"/>
    <w:rPr>
      <w:rFonts w:ascii="宋体"/>
      <w:sz w:val="24"/>
    </w:rPr>
  </w:style>
  <w:style w:type="character" w:customStyle="1" w:styleId="80">
    <w:name w:val="标题 Char"/>
    <w:link w:val="44"/>
    <w:qFormat/>
    <w:uiPriority w:val="0"/>
    <w:rPr>
      <w:rFonts w:ascii="Arial" w:hAnsi="Arial" w:eastAsia="Arial" w:cs="Arial"/>
      <w:b/>
      <w:bCs/>
      <w:color w:val="000000"/>
      <w:sz w:val="32"/>
      <w:szCs w:val="32"/>
    </w:rPr>
  </w:style>
  <w:style w:type="character" w:customStyle="1" w:styleId="81">
    <w:name w:val="批注主题 Char"/>
    <w:link w:val="45"/>
    <w:qFormat/>
    <w:uiPriority w:val="0"/>
    <w:rPr>
      <w:b/>
      <w:bCs/>
      <w:kern w:val="2"/>
      <w:sz w:val="21"/>
      <w:szCs w:val="24"/>
    </w:rPr>
  </w:style>
  <w:style w:type="character" w:customStyle="1" w:styleId="82">
    <w:name w:val="正文首行缩进 Char"/>
    <w:link w:val="46"/>
    <w:qFormat/>
    <w:uiPriority w:val="0"/>
    <w:rPr>
      <w:rFonts w:eastAsia="楷体_GB2312"/>
      <w:kern w:val="2"/>
      <w:sz w:val="32"/>
      <w:szCs w:val="24"/>
    </w:rPr>
  </w:style>
  <w:style w:type="character" w:customStyle="1" w:styleId="83">
    <w:name w:val="正文首行缩进 2 Char"/>
    <w:link w:val="47"/>
    <w:qFormat/>
    <w:uiPriority w:val="99"/>
    <w:rPr>
      <w:rFonts w:ascii="Cambria" w:hAnsi="Cambria"/>
      <w:kern w:val="2"/>
      <w:sz w:val="21"/>
      <w:szCs w:val="24"/>
    </w:rPr>
  </w:style>
  <w:style w:type="character" w:customStyle="1" w:styleId="84">
    <w:name w:val="正文文本缩进 Char1"/>
    <w:semiHidden/>
    <w:qFormat/>
    <w:uiPriority w:val="99"/>
    <w:rPr>
      <w:rFonts w:ascii="Times New Roman" w:hAnsi="Times New Roman" w:eastAsia="宋体" w:cs="Times New Roman"/>
      <w:szCs w:val="24"/>
    </w:rPr>
  </w:style>
  <w:style w:type="character" w:customStyle="1" w:styleId="85">
    <w:name w:val="页眉 Char2"/>
    <w:semiHidden/>
    <w:qFormat/>
    <w:uiPriority w:val="99"/>
    <w:rPr>
      <w:kern w:val="2"/>
      <w:sz w:val="18"/>
      <w:szCs w:val="18"/>
    </w:rPr>
  </w:style>
  <w:style w:type="character" w:customStyle="1" w:styleId="86">
    <w:name w:val="pt91"/>
    <w:qFormat/>
    <w:uiPriority w:val="0"/>
    <w:rPr>
      <w:rFonts w:hint="default"/>
      <w:color w:val="333333"/>
      <w:sz w:val="18"/>
      <w:szCs w:val="18"/>
    </w:rPr>
  </w:style>
  <w:style w:type="character" w:customStyle="1" w:styleId="87">
    <w:name w:val="标题 Char1"/>
    <w:qFormat/>
    <w:uiPriority w:val="10"/>
    <w:rPr>
      <w:rFonts w:ascii="Cambria" w:hAnsi="Cambria" w:eastAsia="宋体" w:cs="Times New Roman"/>
      <w:b/>
      <w:bCs/>
      <w:sz w:val="32"/>
      <w:szCs w:val="32"/>
    </w:rPr>
  </w:style>
  <w:style w:type="character" w:customStyle="1" w:styleId="88">
    <w:name w:val="正文缩进 Char1"/>
    <w:link w:val="89"/>
    <w:qFormat/>
    <w:uiPriority w:val="0"/>
    <w:rPr>
      <w:rFonts w:ascii="宋体"/>
      <w:sz w:val="24"/>
    </w:rPr>
  </w:style>
  <w:style w:type="paragraph" w:customStyle="1" w:styleId="89">
    <w:name w:val="正文缩进1"/>
    <w:basedOn w:val="1"/>
    <w:link w:val="88"/>
    <w:qFormat/>
    <w:uiPriority w:val="0"/>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character" w:customStyle="1" w:styleId="90">
    <w:name w:val="正文文本 Char1"/>
    <w:semiHidden/>
    <w:qFormat/>
    <w:uiPriority w:val="99"/>
    <w:rPr>
      <w:rFonts w:ascii="Times New Roman" w:hAnsi="Times New Roman" w:eastAsia="宋体" w:cs="Times New Roman"/>
      <w:szCs w:val="24"/>
    </w:rPr>
  </w:style>
  <w:style w:type="character" w:customStyle="1" w:styleId="91">
    <w:name w:val="fontstyle01"/>
    <w:qFormat/>
    <w:uiPriority w:val="0"/>
    <w:rPr>
      <w:rFonts w:hint="default" w:ascii="Times New Roman" w:hAnsi="Times New Roman" w:cs="Times New Roman"/>
      <w:color w:val="000000"/>
      <w:sz w:val="24"/>
      <w:szCs w:val="24"/>
    </w:rPr>
  </w:style>
  <w:style w:type="character" w:customStyle="1" w:styleId="92">
    <w:name w:val="*正文 Char"/>
    <w:link w:val="93"/>
    <w:qFormat/>
    <w:uiPriority w:val="0"/>
    <w:rPr>
      <w:rFonts w:ascii="宋体" w:hAnsi="宋体"/>
      <w:sz w:val="22"/>
      <w:szCs w:val="24"/>
    </w:rPr>
  </w:style>
  <w:style w:type="paragraph" w:customStyle="1" w:styleId="93">
    <w:name w:val="*正文"/>
    <w:basedOn w:val="1"/>
    <w:link w:val="92"/>
    <w:qFormat/>
    <w:uiPriority w:val="0"/>
    <w:pPr>
      <w:widowControl w:val="0"/>
      <w:spacing w:line="360" w:lineRule="auto"/>
      <w:ind w:firstLine="200" w:firstLineChars="200"/>
    </w:pPr>
    <w:rPr>
      <w:rFonts w:hint="default" w:ascii="宋体" w:hAnsi="宋体" w:eastAsia="宋体" w:cs="Times New Roman"/>
      <w:color w:val="auto"/>
      <w:kern w:val="0"/>
      <w:sz w:val="22"/>
      <w:szCs w:val="24"/>
      <w:lang w:val="en-US" w:eastAsia="zh-CN"/>
    </w:rPr>
  </w:style>
  <w:style w:type="character" w:customStyle="1" w:styleId="94">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95">
    <w:name w:val="正文文本 字符"/>
    <w:qFormat/>
    <w:uiPriority w:val="0"/>
    <w:rPr>
      <w:rFonts w:ascii="宋体" w:hAnsi="宋体"/>
      <w:kern w:val="2"/>
      <w:sz w:val="24"/>
      <w:szCs w:val="24"/>
    </w:rPr>
  </w:style>
  <w:style w:type="character" w:customStyle="1" w:styleId="96">
    <w:name w:val="fontstyle21"/>
    <w:qFormat/>
    <w:uiPriority w:val="0"/>
    <w:rPr>
      <w:rFonts w:hint="eastAsia" w:ascii="宋体" w:hAnsi="宋体" w:eastAsia="宋体"/>
      <w:color w:val="000000"/>
      <w:sz w:val="24"/>
      <w:szCs w:val="24"/>
    </w:rPr>
  </w:style>
  <w:style w:type="character" w:customStyle="1" w:styleId="97">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98">
    <w:name w:val="批注主题 Char1"/>
    <w:semiHidden/>
    <w:qFormat/>
    <w:uiPriority w:val="99"/>
    <w:rPr>
      <w:b/>
      <w:bCs/>
      <w:kern w:val="2"/>
      <w:sz w:val="21"/>
      <w:szCs w:val="24"/>
    </w:rPr>
  </w:style>
  <w:style w:type="character" w:customStyle="1" w:styleId="99">
    <w:name w:val="NormalCharacter"/>
    <w:qFormat/>
    <w:uiPriority w:val="0"/>
    <w:rPr>
      <w:kern w:val="2"/>
      <w:sz w:val="21"/>
      <w:szCs w:val="24"/>
      <w:lang w:val="en-US" w:eastAsia="zh-CN" w:bidi="ar-SA"/>
    </w:rPr>
  </w:style>
  <w:style w:type="character" w:customStyle="1" w:styleId="100">
    <w:name w:val="纯文本 Char3"/>
    <w:semiHidden/>
    <w:qFormat/>
    <w:uiPriority w:val="99"/>
    <w:rPr>
      <w:rFonts w:ascii="宋体" w:hAnsi="Courier New" w:cs="Courier New"/>
      <w:kern w:val="2"/>
      <w:sz w:val="21"/>
      <w:szCs w:val="21"/>
    </w:rPr>
  </w:style>
  <w:style w:type="character" w:customStyle="1" w:styleId="101">
    <w:name w:val="正文首行缩进 Char1"/>
    <w:semiHidden/>
    <w:qFormat/>
    <w:uiPriority w:val="99"/>
    <w:rPr>
      <w:lang w:val="zh-TW" w:eastAsia="zh-TW"/>
    </w:rPr>
  </w:style>
  <w:style w:type="character" w:customStyle="1" w:styleId="102">
    <w:name w:val="font61"/>
    <w:qFormat/>
    <w:uiPriority w:val="0"/>
    <w:rPr>
      <w:rFonts w:hint="eastAsia" w:ascii="宋体" w:hAnsi="宋体" w:eastAsia="宋体" w:cs="宋体"/>
      <w:color w:val="auto"/>
      <w:sz w:val="20"/>
      <w:szCs w:val="20"/>
      <w:u w:val="none"/>
    </w:rPr>
  </w:style>
  <w:style w:type="character" w:customStyle="1" w:styleId="103">
    <w:name w:val="页脚 Char1"/>
    <w:semiHidden/>
    <w:qFormat/>
    <w:uiPriority w:val="99"/>
    <w:rPr>
      <w:kern w:val="2"/>
      <w:sz w:val="18"/>
      <w:szCs w:val="18"/>
    </w:rPr>
  </w:style>
  <w:style w:type="character" w:customStyle="1" w:styleId="104">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05">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6">
    <w:name w:val="批注文字 Char2"/>
    <w:semiHidden/>
    <w:qFormat/>
    <w:uiPriority w:val="99"/>
    <w:rPr>
      <w:kern w:val="2"/>
      <w:sz w:val="21"/>
      <w:szCs w:val="24"/>
    </w:rPr>
  </w:style>
  <w:style w:type="character" w:customStyle="1" w:styleId="107">
    <w:name w:val="脚注文本 Char1"/>
    <w:semiHidden/>
    <w:qFormat/>
    <w:uiPriority w:val="99"/>
    <w:rPr>
      <w:rFonts w:ascii="Times New Roman" w:hAnsi="Times New Roman" w:eastAsia="宋体" w:cs="Times New Roman"/>
      <w:sz w:val="18"/>
      <w:szCs w:val="18"/>
    </w:rPr>
  </w:style>
  <w:style w:type="character" w:customStyle="1" w:styleId="108">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9">
    <w:name w:val="批注框文本 Char1"/>
    <w:semiHidden/>
    <w:qFormat/>
    <w:uiPriority w:val="99"/>
    <w:rPr>
      <w:kern w:val="2"/>
      <w:sz w:val="18"/>
      <w:szCs w:val="18"/>
    </w:rPr>
  </w:style>
  <w:style w:type="character" w:customStyle="1" w:styleId="110">
    <w:name w:val="批注框文本 Char2"/>
    <w:semiHidden/>
    <w:qFormat/>
    <w:uiPriority w:val="99"/>
    <w:rPr>
      <w:kern w:val="2"/>
      <w:sz w:val="18"/>
      <w:szCs w:val="18"/>
    </w:rPr>
  </w:style>
  <w:style w:type="character" w:customStyle="1" w:styleId="111">
    <w:name w:val="wen11"/>
    <w:qFormat/>
    <w:uiPriority w:val="0"/>
    <w:rPr>
      <w:color w:val="000000"/>
      <w:sz w:val="21"/>
      <w:szCs w:val="21"/>
    </w:rPr>
  </w:style>
  <w:style w:type="character" w:customStyle="1" w:styleId="112">
    <w:name w:val="p12h15"/>
    <w:qFormat/>
    <w:uiPriority w:val="0"/>
  </w:style>
  <w:style w:type="character" w:customStyle="1" w:styleId="113">
    <w:name w:val="Char Char2"/>
    <w:qFormat/>
    <w:uiPriority w:val="0"/>
    <w:rPr>
      <w:rFonts w:ascii="宋体" w:hAnsi="Courier New" w:eastAsia="宋体" w:cs="Courier New"/>
      <w:kern w:val="2"/>
      <w:sz w:val="21"/>
      <w:szCs w:val="21"/>
      <w:lang w:val="en-US" w:eastAsia="zh-CN" w:bidi="ar-SA"/>
    </w:rPr>
  </w:style>
  <w:style w:type="character" w:customStyle="1" w:styleId="114">
    <w:name w:val="正文首行缩进 2 Char1"/>
    <w:semiHidden/>
    <w:qFormat/>
    <w:uiPriority w:val="99"/>
    <w:rPr>
      <w:lang w:val="zh-TW" w:eastAsia="zh-TW"/>
    </w:rPr>
  </w:style>
  <w:style w:type="character" w:customStyle="1" w:styleId="115">
    <w:name w:val="p141"/>
    <w:qFormat/>
    <w:uiPriority w:val="99"/>
    <w:rPr>
      <w:sz w:val="21"/>
      <w:szCs w:val="21"/>
    </w:rPr>
  </w:style>
  <w:style w:type="character" w:customStyle="1" w:styleId="116">
    <w:name w:val="日期 Char1"/>
    <w:semiHidden/>
    <w:qFormat/>
    <w:uiPriority w:val="99"/>
    <w:rPr>
      <w:rFonts w:ascii="Times New Roman" w:hAnsi="Times New Roman" w:eastAsia="宋体" w:cs="Times New Roman"/>
      <w:szCs w:val="24"/>
    </w:rPr>
  </w:style>
  <w:style w:type="character" w:customStyle="1" w:styleId="117">
    <w:name w:val="标题 Char2"/>
    <w:qFormat/>
    <w:uiPriority w:val="10"/>
    <w:rPr>
      <w:rFonts w:ascii="Cambria" w:hAnsi="Cambria" w:cs="Times New Roman"/>
      <w:b/>
      <w:bCs/>
      <w:kern w:val="2"/>
      <w:sz w:val="32"/>
      <w:szCs w:val="32"/>
    </w:rPr>
  </w:style>
  <w:style w:type="character" w:customStyle="1" w:styleId="118">
    <w:name w:val="unnamed11"/>
    <w:qFormat/>
    <w:uiPriority w:val="0"/>
    <w:rPr>
      <w:rFonts w:hint="default" w:ascii="Arial" w:hAnsi="Arial" w:cs="Arial"/>
      <w:color w:val="000000"/>
      <w:sz w:val="18"/>
      <w:szCs w:val="18"/>
      <w:u w:val="none"/>
    </w:rPr>
  </w:style>
  <w:style w:type="character" w:customStyle="1" w:styleId="119">
    <w:name w:val="正文文本缩进 2 Char1"/>
    <w:semiHidden/>
    <w:qFormat/>
    <w:uiPriority w:val="99"/>
    <w:rPr>
      <w:rFonts w:ascii="Times New Roman" w:hAnsi="Times New Roman" w:eastAsia="宋体" w:cs="Times New Roman"/>
      <w:szCs w:val="24"/>
    </w:rPr>
  </w:style>
  <w:style w:type="character" w:customStyle="1" w:styleId="120">
    <w:name w:val="dash6b63_6587__char1"/>
    <w:qFormat/>
    <w:uiPriority w:val="0"/>
    <w:rPr>
      <w:rFonts w:hint="default" w:ascii="Calibri" w:hAnsi="Calibri" w:cs="Calibri"/>
      <w:sz w:val="20"/>
      <w:szCs w:val="20"/>
    </w:rPr>
  </w:style>
  <w:style w:type="character" w:customStyle="1" w:styleId="121">
    <w:name w:val="正文文本缩进 3 Char1"/>
    <w:semiHidden/>
    <w:qFormat/>
    <w:uiPriority w:val="99"/>
    <w:rPr>
      <w:rFonts w:ascii="Times New Roman" w:hAnsi="Times New Roman" w:eastAsia="宋体" w:cs="Times New Roman"/>
      <w:sz w:val="16"/>
      <w:szCs w:val="16"/>
    </w:rPr>
  </w:style>
  <w:style w:type="character" w:customStyle="1" w:styleId="122">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3">
    <w:name w:val="页眉 Char1"/>
    <w:semiHidden/>
    <w:qFormat/>
    <w:uiPriority w:val="99"/>
    <w:rPr>
      <w:kern w:val="2"/>
      <w:sz w:val="18"/>
      <w:szCs w:val="18"/>
    </w:rPr>
  </w:style>
  <w:style w:type="character" w:customStyle="1" w:styleId="124">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5">
    <w:name w:val="_Style 88"/>
    <w:unhideWhenUsed/>
    <w:qFormat/>
    <w:uiPriority w:val="99"/>
    <w:rPr>
      <w:color w:val="605E5C"/>
      <w:shd w:val="clear" w:color="auto" w:fill="E1DFDD"/>
    </w:rPr>
  </w:style>
  <w:style w:type="character" w:customStyle="1" w:styleId="126">
    <w:name w:val="纯文本 Char"/>
    <w:qFormat/>
    <w:uiPriority w:val="0"/>
    <w:rPr>
      <w:rFonts w:ascii="宋体" w:hAnsi="Courier New" w:cs="Courier New"/>
      <w:color w:val="000000"/>
      <w:kern w:val="2"/>
      <w:sz w:val="21"/>
      <w:szCs w:val="21"/>
      <w:lang w:val="zh-TW" w:eastAsia="zh-TW"/>
    </w:rPr>
  </w:style>
  <w:style w:type="character" w:customStyle="1" w:styleId="127">
    <w:name w:val="纯文本 Char2"/>
    <w:semiHidden/>
    <w:qFormat/>
    <w:uiPriority w:val="99"/>
    <w:rPr>
      <w:rFonts w:ascii="宋体" w:hAnsi="Courier New" w:eastAsia="宋体" w:cs="Courier New"/>
      <w:szCs w:val="21"/>
    </w:rPr>
  </w:style>
  <w:style w:type="character" w:customStyle="1" w:styleId="128">
    <w:name w:val="apple-converted-space"/>
    <w:qFormat/>
    <w:uiPriority w:val="0"/>
  </w:style>
  <w:style w:type="character" w:customStyle="1" w:styleId="129">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30">
    <w:name w:val="批注文字 Char1"/>
    <w:semiHidden/>
    <w:qFormat/>
    <w:uiPriority w:val="99"/>
    <w:rPr>
      <w:kern w:val="2"/>
      <w:sz w:val="21"/>
      <w:szCs w:val="24"/>
    </w:rPr>
  </w:style>
  <w:style w:type="character" w:customStyle="1" w:styleId="131">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2">
    <w:name w:val="fontstyle11"/>
    <w:qFormat/>
    <w:uiPriority w:val="0"/>
    <w:rPr>
      <w:rFonts w:hint="default" w:ascii="Times New Roman" w:hAnsi="Times New Roman" w:cs="Times New Roman"/>
      <w:color w:val="000000"/>
      <w:sz w:val="18"/>
      <w:szCs w:val="18"/>
    </w:rPr>
  </w:style>
  <w:style w:type="character" w:customStyle="1" w:styleId="133">
    <w:name w:val="未处理的提及1"/>
    <w:unhideWhenUsed/>
    <w:qFormat/>
    <w:uiPriority w:val="99"/>
    <w:rPr>
      <w:color w:val="605E5C"/>
      <w:shd w:val="clear" w:color="auto" w:fill="E1DFDD"/>
    </w:rPr>
  </w:style>
  <w:style w:type="paragraph" w:customStyle="1" w:styleId="134">
    <w:name w:val="Header or footer|1"/>
    <w:basedOn w:val="1"/>
    <w:qFormat/>
    <w:uiPriority w:val="0"/>
    <w:pPr>
      <w:jc w:val="left"/>
    </w:pPr>
    <w:rPr>
      <w:rFonts w:ascii="Times New Roman" w:hAnsi="Times New Roman"/>
      <w:b/>
      <w:bCs/>
      <w:kern w:val="0"/>
      <w:sz w:val="17"/>
      <w:szCs w:val="17"/>
      <w:lang w:bidi="zh-TW"/>
    </w:rPr>
  </w:style>
  <w:style w:type="paragraph" w:customStyle="1" w:styleId="135">
    <w:name w:val="正文 New"/>
    <w:qFormat/>
    <w:uiPriority w:val="0"/>
    <w:pPr>
      <w:widowControl w:val="0"/>
      <w:shd w:val="clear" w:color="auto" w:fill="FFFFFF"/>
      <w:snapToGrid w:val="0"/>
      <w:spacing w:line="360" w:lineRule="auto"/>
      <w:jc w:val="both"/>
    </w:pPr>
    <w:rPr>
      <w:rFonts w:ascii="宋体" w:hAnsi="宋体" w:eastAsia="宋体" w:cs="宋体"/>
      <w:kern w:val="2"/>
      <w:sz w:val="21"/>
      <w:szCs w:val="21"/>
      <w:lang w:val="en-US" w:eastAsia="zh-CN" w:bidi="ar-SA"/>
    </w:rPr>
  </w:style>
  <w:style w:type="paragraph" w:customStyle="1" w:styleId="136">
    <w:name w:val="首行缩进"/>
    <w:basedOn w:val="1"/>
    <w:qFormat/>
    <w:uiPriority w:val="0"/>
    <w:pPr>
      <w:spacing w:line="360" w:lineRule="auto"/>
      <w:ind w:firstLine="480" w:firstLineChars="200"/>
      <w:jc w:val="left"/>
    </w:pPr>
    <w:rPr>
      <w:rFonts w:ascii="宋体" w:hAnsi="宋体"/>
      <w:sz w:val="24"/>
    </w:rPr>
  </w:style>
  <w:style w:type="paragraph" w:customStyle="1" w:styleId="13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3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40">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41">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42">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43">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44">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45">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146">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47">
    <w:name w:val="样式 目录 2 + 左侧:  2 字符"/>
    <w:basedOn w:val="37"/>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148">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49">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5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1">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2">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53">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154">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155">
    <w:name w:val="小标题 3"/>
    <w:next w:val="156"/>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56">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57">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8">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9">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61">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2">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3">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5">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styleId="16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6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9">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70">
    <w:name w:val="_Style 179"/>
    <w:basedOn w:val="4"/>
    <w:next w:val="1"/>
    <w:qFormat/>
    <w:uiPriority w:val="39"/>
    <w:pP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171">
    <w:name w:val="Body text|1"/>
    <w:basedOn w:val="1"/>
    <w:qFormat/>
    <w:uiPriority w:val="99"/>
    <w:pPr>
      <w:spacing w:line="394" w:lineRule="auto"/>
      <w:ind w:firstLine="400"/>
      <w:jc w:val="left"/>
    </w:pPr>
    <w:rPr>
      <w:rFonts w:ascii="宋体" w:hAnsi="宋体" w:cs="宋体"/>
      <w:kern w:val="0"/>
      <w:sz w:val="30"/>
      <w:szCs w:val="30"/>
    </w:rPr>
  </w:style>
  <w:style w:type="paragraph" w:customStyle="1" w:styleId="17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3">
    <w:name w:val="小标题 2"/>
    <w:next w:val="156"/>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74">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5">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6">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177">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78">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9">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80">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81">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83">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5">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6">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87">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88">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9">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90">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9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92">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93">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4">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95">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96">
    <w:name w:val="WPSOffice手动目录 1"/>
    <w:qFormat/>
    <w:uiPriority w:val="0"/>
    <w:rPr>
      <w:rFonts w:ascii="Times New Roman" w:hAnsi="Times New Roman" w:eastAsia="宋体" w:cs="Times New Roman"/>
      <w:lang w:val="en-US" w:eastAsia="zh-CN" w:bidi="ar-SA"/>
    </w:rPr>
  </w:style>
  <w:style w:type="paragraph" w:customStyle="1" w:styleId="197">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98">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9">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0">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styleId="201">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02">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203">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04">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205">
    <w:name w:val="1.正文"/>
    <w:basedOn w:val="1"/>
    <w:qFormat/>
    <w:uiPriority w:val="0"/>
    <w:pPr>
      <w:spacing w:line="360" w:lineRule="auto"/>
      <w:ind w:left="540" w:leftChars="225" w:firstLine="540" w:firstLineChars="225"/>
    </w:pPr>
    <w:rPr>
      <w:rFonts w:eastAsia="仿宋_GB2312"/>
      <w:kern w:val="0"/>
      <w:sz w:val="24"/>
      <w:szCs w:val="24"/>
    </w:rPr>
  </w:style>
  <w:style w:type="paragraph" w:customStyle="1" w:styleId="206">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8">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9">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211">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2">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13">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4">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15">
    <w:name w:val="style4"/>
    <w:basedOn w:val="1"/>
    <w:next w:val="216"/>
    <w:qFormat/>
    <w:uiPriority w:val="0"/>
    <w:pPr>
      <w:spacing w:before="280" w:after="280"/>
    </w:pPr>
    <w:rPr>
      <w:rFonts w:ascii="宋体"/>
      <w:sz w:val="18"/>
    </w:rPr>
  </w:style>
  <w:style w:type="paragraph" w:customStyle="1" w:styleId="21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17">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18">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19">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0">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1">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222">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3">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24">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6">
    <w:name w:val="修订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27">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table" w:customStyle="1" w:styleId="228">
    <w:name w:val="Table Normal1"/>
    <w:unhideWhenUsed/>
    <w:qFormat/>
    <w:uiPriority w:val="2"/>
    <w:tblPr>
      <w:tblCellMar>
        <w:top w:w="0" w:type="dxa"/>
        <w:left w:w="0" w:type="dxa"/>
        <w:bottom w:w="0" w:type="dxa"/>
        <w:right w:w="0" w:type="dxa"/>
      </w:tblCellMar>
    </w:tblPr>
  </w:style>
  <w:style w:type="table" w:customStyle="1" w:styleId="229">
    <w:name w:val="网格型2"/>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0">
    <w:name w:val="网格型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
    <w:name w:val="Table Normal"/>
    <w:qFormat/>
    <w:uiPriority w:val="0"/>
    <w:rPr>
      <w:rFonts w:eastAsia="Arial Unicode MS"/>
    </w:rPr>
    <w:tblPr>
      <w:tblCellMar>
        <w:top w:w="0" w:type="dxa"/>
        <w:left w:w="0" w:type="dxa"/>
        <w:bottom w:w="0" w:type="dxa"/>
        <w:right w:w="0" w:type="dxa"/>
      </w:tblCellMar>
    </w:tblPr>
  </w:style>
  <w:style w:type="character" w:customStyle="1" w:styleId="232">
    <w:name w:val="纯文本 字符1"/>
    <w:qFormat/>
    <w:uiPriority w:val="0"/>
    <w:rPr>
      <w:rFonts w:ascii="宋体" w:hAnsi="Courier New"/>
    </w:rPr>
  </w:style>
  <w:style w:type="paragraph" w:customStyle="1" w:styleId="233">
    <w:name w:val="修订2"/>
    <w:hidden/>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34">
    <w:name w:val="Unresolved Mention"/>
    <w:basedOn w:val="5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4"/>
    <customShpInfo spid="_x0000_s3073"/>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5032</Words>
  <Characters>28683</Characters>
  <Lines>239</Lines>
  <Paragraphs>67</Paragraphs>
  <TotalTime>56</TotalTime>
  <ScaleCrop>false</ScaleCrop>
  <LinksUpToDate>false</LinksUpToDate>
  <CharactersWithSpaces>33648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2024-01-12T16:37:00Z</dcterms:created>
  <dc:creator>NTKO</dc:creator>
  <cp:lastModifiedBy>huanghe</cp:lastModifiedBy>
  <cp:lastPrinted>2022-12-19T22:41:00Z</cp:lastPrinted>
  <dcterms:modified xsi:type="dcterms:W3CDTF">2024-01-12T16:52:20Z</dcterms:modified>
  <dc:title>河南应用技术职业学院开封校区（北院）保安服务公司招标项目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2355315C12DD4D938309C16557ECE571_13</vt:lpwstr>
  </property>
</Properties>
</file>