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oter25.xml" ContentType="application/vnd.openxmlformats-officedocument.wordprocessingml.footer+xml"/>
  <Override PartName="/word/footer26.xml" ContentType="application/vnd.openxmlformats-officedocument.wordprocessingml.footer+xml"/>
  <Override PartName="/word/footer27.xml" ContentType="application/vnd.openxmlformats-officedocument.wordprocessingml.footer+xml"/>
  <Override PartName="/word/footer28.xml" ContentType="application/vnd.openxmlformats-officedocument.wordprocessingml.footer+xml"/>
  <Override PartName="/word/footer29.xml" ContentType="application/vnd.openxmlformats-officedocument.wordprocessingml.footer+xml"/>
  <Override PartName="/word/footer3.xml" ContentType="application/vnd.openxmlformats-officedocument.wordprocessingml.footer+xml"/>
  <Override PartName="/word/footer30.xml" ContentType="application/vnd.openxmlformats-officedocument.wordprocessingml.footer+xml"/>
  <Override PartName="/word/footer31.xml" ContentType="application/vnd.openxmlformats-officedocument.wordprocessingml.footer+xml"/>
  <Override PartName="/word/footer32.xml" ContentType="application/vnd.openxmlformats-officedocument.wordprocessingml.footer+xml"/>
  <Override PartName="/word/footer33.xml" ContentType="application/vnd.openxmlformats-officedocument.wordprocessingml.footer+xml"/>
  <Override PartName="/word/footer34.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7"/>
        <w:spacing w:line="262" w:lineRule="auto"/>
        <w:rPr>
          <w:rFonts w:hint="eastAsia" w:ascii="宋体" w:hAnsi="宋体" w:eastAsia="宋体" w:cs="宋体"/>
          <w:highlight w:val="none"/>
        </w:rPr>
      </w:pPr>
    </w:p>
    <w:p>
      <w:pPr>
        <w:bidi w:val="0"/>
        <w:jc w:val="center"/>
        <w:rPr>
          <w:rFonts w:hint="eastAsia"/>
          <w:b/>
          <w:bCs/>
          <w:sz w:val="44"/>
          <w:szCs w:val="44"/>
          <w:highlight w:val="none"/>
          <w:lang w:val="en-US" w:eastAsia="en-US"/>
        </w:rPr>
      </w:pPr>
      <w:r>
        <w:rPr>
          <w:rFonts w:hint="eastAsia"/>
          <w:b/>
          <w:bCs/>
          <w:sz w:val="44"/>
          <w:szCs w:val="44"/>
          <w:highlight w:val="none"/>
          <w:lang w:val="en-US" w:eastAsia="en-US"/>
        </w:rPr>
        <w:t>河南省南水北调渠首生态环境监测应急中心</w:t>
      </w:r>
    </w:p>
    <w:p>
      <w:pPr>
        <w:bidi w:val="0"/>
        <w:jc w:val="center"/>
        <w:rPr>
          <w:rFonts w:hint="eastAsia"/>
          <w:b/>
          <w:bCs/>
          <w:sz w:val="44"/>
          <w:szCs w:val="44"/>
          <w:highlight w:val="none"/>
          <w:lang w:val="en-US" w:eastAsia="en-US"/>
        </w:rPr>
      </w:pPr>
      <w:r>
        <w:rPr>
          <w:rFonts w:hint="eastAsia"/>
          <w:b/>
          <w:bCs/>
          <w:sz w:val="44"/>
          <w:szCs w:val="44"/>
          <w:highlight w:val="none"/>
          <w:lang w:val="en-US" w:eastAsia="en-US"/>
        </w:rPr>
        <w:t>丹江口库区及上游重金属在线监测运行维护</w:t>
      </w:r>
    </w:p>
    <w:p>
      <w:pPr>
        <w:bidi w:val="0"/>
        <w:jc w:val="center"/>
        <w:rPr>
          <w:rFonts w:hint="eastAsia"/>
          <w:b/>
          <w:bCs/>
          <w:sz w:val="44"/>
          <w:szCs w:val="44"/>
          <w:highlight w:val="none"/>
          <w:lang w:val="en-US" w:eastAsia="en-US"/>
        </w:rPr>
      </w:pPr>
      <w:r>
        <w:rPr>
          <w:rFonts w:hint="eastAsia"/>
          <w:b/>
          <w:bCs/>
          <w:sz w:val="44"/>
          <w:szCs w:val="44"/>
          <w:highlight w:val="none"/>
          <w:lang w:val="en-US" w:eastAsia="en-US"/>
        </w:rPr>
        <w:t>项目</w:t>
      </w:r>
    </w:p>
    <w:p>
      <w:pPr>
        <w:pStyle w:val="7"/>
        <w:spacing w:line="262" w:lineRule="auto"/>
        <w:jc w:val="center"/>
        <w:rPr>
          <w:rFonts w:hint="eastAsia" w:ascii="宋体" w:hAnsi="宋体" w:eastAsia="宋体" w:cs="宋体"/>
          <w:b/>
          <w:bCs/>
          <w:snapToGrid w:val="0"/>
          <w:color w:val="000000"/>
          <w:spacing w:val="-17"/>
          <w:kern w:val="0"/>
          <w:sz w:val="40"/>
          <w:szCs w:val="40"/>
          <w:highlight w:val="none"/>
          <w:lang w:val="en-US" w:eastAsia="en-US" w:bidi="ar-SA"/>
        </w:rPr>
      </w:pPr>
    </w:p>
    <w:p>
      <w:pPr>
        <w:pStyle w:val="7"/>
        <w:spacing w:line="262" w:lineRule="auto"/>
        <w:jc w:val="center"/>
        <w:rPr>
          <w:rFonts w:hint="eastAsia" w:ascii="宋体" w:hAnsi="宋体" w:eastAsia="宋体" w:cs="宋体"/>
          <w:b/>
          <w:bCs/>
          <w:snapToGrid w:val="0"/>
          <w:color w:val="000000"/>
          <w:spacing w:val="-17"/>
          <w:kern w:val="0"/>
          <w:sz w:val="40"/>
          <w:szCs w:val="40"/>
          <w:highlight w:val="none"/>
          <w:lang w:val="en-US" w:eastAsia="en-US" w:bidi="ar-SA"/>
        </w:rPr>
      </w:pPr>
    </w:p>
    <w:p>
      <w:pPr>
        <w:pStyle w:val="7"/>
        <w:spacing w:line="262" w:lineRule="auto"/>
        <w:rPr>
          <w:rFonts w:hint="eastAsia" w:ascii="宋体" w:hAnsi="宋体" w:eastAsia="宋体" w:cs="宋体"/>
          <w:highlight w:val="none"/>
        </w:rPr>
      </w:pPr>
    </w:p>
    <w:p>
      <w:pPr>
        <w:pStyle w:val="7"/>
        <w:spacing w:line="263" w:lineRule="auto"/>
        <w:rPr>
          <w:rFonts w:hint="eastAsia" w:ascii="宋体" w:hAnsi="宋体" w:eastAsia="宋体" w:cs="宋体"/>
          <w:highlight w:val="none"/>
        </w:rPr>
      </w:pPr>
    </w:p>
    <w:p>
      <w:pPr>
        <w:bidi w:val="0"/>
        <w:jc w:val="center"/>
        <w:rPr>
          <w:rFonts w:hint="eastAsia" w:ascii="宋体" w:hAnsi="宋体" w:eastAsia="宋体" w:cs="宋体"/>
          <w:b/>
          <w:bCs/>
          <w:sz w:val="72"/>
          <w:szCs w:val="72"/>
          <w:highlight w:val="none"/>
          <w:lang w:val="en-US" w:eastAsia="zh-CN"/>
        </w:rPr>
      </w:pPr>
      <w:r>
        <w:rPr>
          <w:rFonts w:hint="eastAsia" w:ascii="宋体" w:hAnsi="宋体" w:eastAsia="宋体" w:cs="宋体"/>
          <w:b/>
          <w:bCs/>
          <w:sz w:val="72"/>
          <w:szCs w:val="72"/>
          <w:highlight w:val="none"/>
          <w:lang w:val="en-US" w:eastAsia="zh-CN"/>
        </w:rPr>
        <w:t>竞争性磋商文件</w:t>
      </w:r>
    </w:p>
    <w:p>
      <w:pPr>
        <w:pStyle w:val="7"/>
        <w:spacing w:line="269" w:lineRule="auto"/>
        <w:rPr>
          <w:rFonts w:hint="eastAsia" w:ascii="宋体" w:hAnsi="宋体" w:eastAsia="宋体" w:cs="宋体"/>
          <w:highlight w:val="none"/>
        </w:rPr>
      </w:pPr>
    </w:p>
    <w:p>
      <w:pPr>
        <w:pStyle w:val="7"/>
        <w:spacing w:line="269" w:lineRule="auto"/>
        <w:rPr>
          <w:rFonts w:hint="eastAsia" w:ascii="宋体" w:hAnsi="宋体" w:eastAsia="宋体" w:cs="宋体"/>
          <w:highlight w:val="none"/>
        </w:rPr>
      </w:pPr>
    </w:p>
    <w:p>
      <w:pPr>
        <w:pStyle w:val="7"/>
        <w:spacing w:line="269" w:lineRule="auto"/>
        <w:rPr>
          <w:rFonts w:hint="eastAsia" w:ascii="宋体" w:hAnsi="宋体" w:eastAsia="宋体" w:cs="宋体"/>
          <w:highlight w:val="none"/>
        </w:rPr>
      </w:pPr>
    </w:p>
    <w:p>
      <w:pPr>
        <w:pStyle w:val="7"/>
        <w:spacing w:line="269" w:lineRule="auto"/>
        <w:rPr>
          <w:rFonts w:hint="eastAsia" w:ascii="宋体" w:hAnsi="宋体" w:eastAsia="宋体" w:cs="宋体"/>
          <w:highlight w:val="none"/>
        </w:rPr>
      </w:pPr>
    </w:p>
    <w:p>
      <w:pPr>
        <w:pStyle w:val="7"/>
        <w:spacing w:line="270" w:lineRule="auto"/>
        <w:rPr>
          <w:rFonts w:hint="eastAsia" w:ascii="宋体" w:hAnsi="宋体" w:eastAsia="宋体" w:cs="宋体"/>
          <w:highlight w:val="none"/>
        </w:rPr>
      </w:pPr>
    </w:p>
    <w:p>
      <w:pPr>
        <w:pStyle w:val="7"/>
        <w:spacing w:line="279" w:lineRule="auto"/>
        <w:rPr>
          <w:rFonts w:hint="eastAsia" w:ascii="宋体" w:hAnsi="宋体" w:eastAsia="宋体" w:cs="宋体"/>
          <w:highlight w:val="none"/>
        </w:rPr>
      </w:pPr>
    </w:p>
    <w:p>
      <w:pPr>
        <w:pStyle w:val="7"/>
        <w:spacing w:line="250" w:lineRule="auto"/>
        <w:rPr>
          <w:rFonts w:hint="eastAsia" w:ascii="宋体" w:hAnsi="宋体" w:eastAsia="宋体" w:cs="宋体"/>
          <w:highlight w:val="none"/>
        </w:rPr>
      </w:pPr>
    </w:p>
    <w:p>
      <w:pPr>
        <w:pStyle w:val="7"/>
        <w:spacing w:line="250" w:lineRule="auto"/>
        <w:rPr>
          <w:rFonts w:hint="eastAsia" w:ascii="宋体" w:hAnsi="宋体" w:eastAsia="宋体" w:cs="宋体"/>
          <w:highlight w:val="none"/>
        </w:rPr>
      </w:pPr>
    </w:p>
    <w:p>
      <w:pPr>
        <w:pStyle w:val="7"/>
        <w:spacing w:line="250" w:lineRule="auto"/>
        <w:rPr>
          <w:rFonts w:hint="eastAsia" w:ascii="宋体" w:hAnsi="宋体" w:eastAsia="宋体" w:cs="宋体"/>
          <w:highlight w:val="none"/>
        </w:rPr>
      </w:pPr>
    </w:p>
    <w:p>
      <w:pPr>
        <w:pStyle w:val="7"/>
        <w:spacing w:line="250" w:lineRule="auto"/>
        <w:rPr>
          <w:rFonts w:hint="eastAsia" w:ascii="宋体" w:hAnsi="宋体" w:eastAsia="宋体" w:cs="宋体"/>
          <w:highlight w:val="none"/>
        </w:rPr>
      </w:pPr>
    </w:p>
    <w:p>
      <w:pPr>
        <w:pStyle w:val="7"/>
        <w:spacing w:line="250" w:lineRule="auto"/>
        <w:rPr>
          <w:rFonts w:hint="eastAsia" w:ascii="宋体" w:hAnsi="宋体" w:eastAsia="宋体" w:cs="宋体"/>
          <w:highlight w:val="none"/>
        </w:rPr>
      </w:pPr>
    </w:p>
    <w:p>
      <w:pPr>
        <w:pStyle w:val="7"/>
        <w:spacing w:line="250" w:lineRule="auto"/>
        <w:rPr>
          <w:rFonts w:hint="eastAsia" w:ascii="宋体" w:hAnsi="宋体" w:eastAsia="宋体" w:cs="宋体"/>
          <w:highlight w:val="none"/>
        </w:rPr>
      </w:pPr>
    </w:p>
    <w:p>
      <w:pPr>
        <w:pStyle w:val="7"/>
        <w:spacing w:line="250" w:lineRule="auto"/>
        <w:rPr>
          <w:rFonts w:hint="eastAsia" w:ascii="宋体" w:hAnsi="宋体" w:eastAsia="宋体" w:cs="宋体"/>
          <w:highlight w:val="none"/>
        </w:rPr>
      </w:pPr>
    </w:p>
    <w:p>
      <w:pPr>
        <w:pStyle w:val="7"/>
        <w:spacing w:line="250" w:lineRule="auto"/>
        <w:rPr>
          <w:rFonts w:hint="eastAsia" w:ascii="宋体" w:hAnsi="宋体" w:eastAsia="宋体" w:cs="宋体"/>
          <w:highlight w:val="none"/>
        </w:rPr>
      </w:pPr>
    </w:p>
    <w:p>
      <w:pPr>
        <w:pStyle w:val="7"/>
        <w:spacing w:line="250" w:lineRule="auto"/>
        <w:rPr>
          <w:rFonts w:hint="eastAsia" w:ascii="宋体" w:hAnsi="宋体" w:eastAsia="宋体" w:cs="宋体"/>
          <w:highlight w:val="none"/>
        </w:rPr>
      </w:pPr>
    </w:p>
    <w:p>
      <w:pPr>
        <w:pStyle w:val="7"/>
        <w:spacing w:line="250" w:lineRule="auto"/>
        <w:rPr>
          <w:rFonts w:hint="eastAsia" w:ascii="宋体" w:hAnsi="宋体" w:eastAsia="宋体" w:cs="宋体"/>
          <w:highlight w:val="none"/>
        </w:rPr>
      </w:pPr>
    </w:p>
    <w:p>
      <w:pPr>
        <w:pStyle w:val="7"/>
        <w:spacing w:line="250" w:lineRule="auto"/>
        <w:rPr>
          <w:rFonts w:hint="eastAsia" w:ascii="宋体" w:hAnsi="宋体" w:eastAsia="宋体" w:cs="宋体"/>
          <w:highlight w:val="none"/>
        </w:rPr>
      </w:pPr>
    </w:p>
    <w:p>
      <w:pPr>
        <w:pStyle w:val="7"/>
        <w:spacing w:line="250" w:lineRule="auto"/>
        <w:rPr>
          <w:rFonts w:hint="eastAsia" w:ascii="宋体" w:hAnsi="宋体" w:eastAsia="宋体" w:cs="宋体"/>
          <w:highlight w:val="none"/>
        </w:rPr>
      </w:pPr>
    </w:p>
    <w:p>
      <w:pPr>
        <w:pStyle w:val="7"/>
        <w:spacing w:line="251" w:lineRule="auto"/>
        <w:rPr>
          <w:rFonts w:hint="eastAsia" w:ascii="宋体" w:hAnsi="宋体" w:eastAsia="宋体" w:cs="宋体"/>
          <w:highlight w:val="none"/>
        </w:rPr>
      </w:pPr>
    </w:p>
    <w:p>
      <w:pPr>
        <w:pStyle w:val="7"/>
        <w:spacing w:line="251" w:lineRule="auto"/>
        <w:rPr>
          <w:rFonts w:hint="eastAsia" w:ascii="宋体" w:hAnsi="宋体" w:eastAsia="宋体" w:cs="宋体"/>
          <w:highlight w:val="none"/>
        </w:rPr>
      </w:pPr>
    </w:p>
    <w:p>
      <w:pPr>
        <w:pStyle w:val="7"/>
        <w:spacing w:line="251" w:lineRule="auto"/>
        <w:rPr>
          <w:rFonts w:hint="eastAsia" w:ascii="宋体" w:hAnsi="宋体" w:eastAsia="宋体" w:cs="宋体"/>
          <w:highlight w:val="none"/>
        </w:rPr>
      </w:pPr>
    </w:p>
    <w:p>
      <w:pPr>
        <w:pStyle w:val="7"/>
        <w:spacing w:line="251" w:lineRule="auto"/>
        <w:rPr>
          <w:rFonts w:hint="eastAsia" w:ascii="宋体" w:hAnsi="宋体" w:eastAsia="宋体" w:cs="宋体"/>
          <w:highlight w:val="none"/>
        </w:rPr>
      </w:pPr>
    </w:p>
    <w:p>
      <w:pPr>
        <w:pStyle w:val="7"/>
        <w:spacing w:line="251" w:lineRule="auto"/>
        <w:ind w:firstLine="909" w:firstLineChars="300"/>
        <w:rPr>
          <w:rFonts w:hint="eastAsia" w:ascii="宋体" w:hAnsi="宋体" w:eastAsia="宋体" w:cs="宋体"/>
          <w:b/>
          <w:bCs/>
          <w:snapToGrid w:val="0"/>
          <w:color w:val="000000"/>
          <w:spacing w:val="6"/>
          <w:kern w:val="0"/>
          <w:sz w:val="29"/>
          <w:szCs w:val="29"/>
          <w:highlight w:val="none"/>
          <w:lang w:val="en-US" w:eastAsia="zh-CN" w:bidi="ar-SA"/>
        </w:rPr>
      </w:pPr>
      <w:r>
        <w:rPr>
          <w:rFonts w:hint="eastAsia" w:ascii="宋体" w:hAnsi="宋体" w:eastAsia="宋体" w:cs="宋体"/>
          <w:b/>
          <w:bCs/>
          <w:snapToGrid w:val="0"/>
          <w:color w:val="000000"/>
          <w:spacing w:val="6"/>
          <w:kern w:val="0"/>
          <w:sz w:val="29"/>
          <w:szCs w:val="29"/>
          <w:highlight w:val="none"/>
          <w:lang w:val="en-US" w:eastAsia="en-US" w:bidi="ar-SA"/>
        </w:rPr>
        <w:t>采</w:t>
      </w:r>
      <w:r>
        <w:rPr>
          <w:rFonts w:hint="eastAsia" w:ascii="宋体" w:hAnsi="宋体" w:eastAsia="宋体" w:cs="宋体"/>
          <w:b/>
          <w:bCs/>
          <w:snapToGrid w:val="0"/>
          <w:color w:val="000000"/>
          <w:spacing w:val="6"/>
          <w:kern w:val="0"/>
          <w:sz w:val="29"/>
          <w:szCs w:val="29"/>
          <w:highlight w:val="none"/>
          <w:lang w:val="en-US" w:eastAsia="zh-CN" w:bidi="ar-SA"/>
        </w:rPr>
        <w:t xml:space="preserve">   </w:t>
      </w:r>
      <w:r>
        <w:rPr>
          <w:rFonts w:hint="eastAsia" w:ascii="宋体" w:hAnsi="宋体" w:eastAsia="宋体" w:cs="宋体"/>
          <w:b/>
          <w:bCs/>
          <w:snapToGrid w:val="0"/>
          <w:color w:val="000000"/>
          <w:spacing w:val="6"/>
          <w:kern w:val="0"/>
          <w:sz w:val="29"/>
          <w:szCs w:val="29"/>
          <w:highlight w:val="none"/>
          <w:lang w:val="en-US" w:eastAsia="en-US" w:bidi="ar-SA"/>
        </w:rPr>
        <w:t>购</w:t>
      </w:r>
      <w:r>
        <w:rPr>
          <w:rFonts w:hint="eastAsia" w:ascii="宋体" w:hAnsi="宋体" w:eastAsia="宋体" w:cs="宋体"/>
          <w:b/>
          <w:bCs/>
          <w:snapToGrid w:val="0"/>
          <w:color w:val="000000"/>
          <w:spacing w:val="6"/>
          <w:kern w:val="0"/>
          <w:sz w:val="29"/>
          <w:szCs w:val="29"/>
          <w:highlight w:val="none"/>
          <w:lang w:val="en-US" w:eastAsia="zh-CN" w:bidi="ar-SA"/>
        </w:rPr>
        <w:t xml:space="preserve">   </w:t>
      </w:r>
      <w:r>
        <w:rPr>
          <w:rFonts w:hint="eastAsia" w:ascii="宋体" w:hAnsi="宋体" w:eastAsia="宋体" w:cs="宋体"/>
          <w:b/>
          <w:bCs/>
          <w:snapToGrid w:val="0"/>
          <w:color w:val="000000"/>
          <w:spacing w:val="6"/>
          <w:kern w:val="0"/>
          <w:sz w:val="29"/>
          <w:szCs w:val="29"/>
          <w:highlight w:val="none"/>
          <w:lang w:val="en-US" w:eastAsia="en-US" w:bidi="ar-SA"/>
        </w:rPr>
        <w:t>人：</w:t>
      </w:r>
      <w:r>
        <w:rPr>
          <w:rFonts w:hint="eastAsia" w:ascii="宋体" w:hAnsi="宋体" w:eastAsia="宋体" w:cs="宋体"/>
          <w:b/>
          <w:bCs/>
          <w:snapToGrid w:val="0"/>
          <w:color w:val="000000"/>
          <w:spacing w:val="6"/>
          <w:kern w:val="0"/>
          <w:sz w:val="29"/>
          <w:szCs w:val="29"/>
          <w:highlight w:val="none"/>
          <w:lang w:val="en-US" w:eastAsia="zh-CN" w:bidi="ar-SA"/>
        </w:rPr>
        <w:t>河南省南水北调渠首生态环境监测应急中心</w:t>
      </w:r>
    </w:p>
    <w:p>
      <w:pPr>
        <w:pStyle w:val="7"/>
        <w:spacing w:line="251" w:lineRule="auto"/>
        <w:ind w:firstLine="909" w:firstLineChars="300"/>
        <w:rPr>
          <w:rFonts w:hint="eastAsia" w:ascii="宋体" w:hAnsi="宋体" w:eastAsia="宋体" w:cs="宋体"/>
          <w:b/>
          <w:bCs/>
          <w:snapToGrid w:val="0"/>
          <w:color w:val="000000"/>
          <w:spacing w:val="6"/>
          <w:kern w:val="0"/>
          <w:sz w:val="29"/>
          <w:szCs w:val="29"/>
          <w:highlight w:val="none"/>
          <w:lang w:val="en-US" w:eastAsia="zh-CN" w:bidi="ar-SA"/>
        </w:rPr>
      </w:pPr>
    </w:p>
    <w:p>
      <w:pPr>
        <w:spacing w:before="94" w:line="219" w:lineRule="auto"/>
        <w:ind w:left="957"/>
        <w:rPr>
          <w:rFonts w:hint="eastAsia" w:ascii="宋体" w:hAnsi="宋体" w:eastAsia="宋体" w:cs="宋体"/>
          <w:b/>
          <w:bCs/>
          <w:spacing w:val="6"/>
          <w:sz w:val="29"/>
          <w:szCs w:val="29"/>
          <w:highlight w:val="none"/>
          <w:lang w:eastAsia="zh-CN"/>
        </w:rPr>
      </w:pPr>
      <w:r>
        <w:rPr>
          <w:rFonts w:hint="eastAsia" w:ascii="宋体" w:hAnsi="宋体" w:eastAsia="宋体" w:cs="宋体"/>
          <w:b/>
          <w:bCs/>
          <w:spacing w:val="6"/>
          <w:sz w:val="29"/>
          <w:szCs w:val="29"/>
          <w:highlight w:val="none"/>
        </w:rPr>
        <w:t>采购代理机构：</w:t>
      </w:r>
      <w:r>
        <w:rPr>
          <w:rFonts w:hint="eastAsia" w:ascii="宋体" w:hAnsi="宋体" w:eastAsia="宋体" w:cs="宋体"/>
          <w:b/>
          <w:bCs/>
          <w:spacing w:val="6"/>
          <w:sz w:val="29"/>
          <w:szCs w:val="29"/>
          <w:highlight w:val="none"/>
          <w:lang w:eastAsia="zh-CN"/>
        </w:rPr>
        <w:t>河南省亿达工程管理咨询有限公司</w:t>
      </w:r>
    </w:p>
    <w:p>
      <w:pPr>
        <w:spacing w:before="94" w:line="219" w:lineRule="auto"/>
        <w:ind w:left="957"/>
        <w:rPr>
          <w:rFonts w:hint="eastAsia" w:ascii="宋体" w:hAnsi="宋体" w:eastAsia="宋体" w:cs="宋体"/>
          <w:b/>
          <w:bCs/>
          <w:spacing w:val="6"/>
          <w:sz w:val="29"/>
          <w:szCs w:val="29"/>
          <w:highlight w:val="none"/>
          <w:lang w:eastAsia="zh-CN"/>
        </w:rPr>
      </w:pPr>
    </w:p>
    <w:p>
      <w:pPr>
        <w:spacing w:before="237" w:line="219" w:lineRule="auto"/>
        <w:ind w:left="997"/>
        <w:rPr>
          <w:rFonts w:hint="eastAsia" w:ascii="宋体" w:hAnsi="宋体" w:eastAsia="宋体" w:cs="宋体"/>
          <w:sz w:val="29"/>
          <w:szCs w:val="29"/>
          <w:highlight w:val="none"/>
        </w:rPr>
      </w:pPr>
      <w:r>
        <w:rPr>
          <w:rFonts w:hint="eastAsia" w:ascii="宋体" w:hAnsi="宋体" w:eastAsia="宋体" w:cs="宋体"/>
          <w:b/>
          <w:bCs/>
          <w:spacing w:val="3"/>
          <w:sz w:val="29"/>
          <w:szCs w:val="29"/>
          <w:highlight w:val="none"/>
        </w:rPr>
        <w:t>日</w:t>
      </w:r>
      <w:r>
        <w:rPr>
          <w:rFonts w:hint="eastAsia" w:ascii="宋体" w:hAnsi="宋体" w:eastAsia="宋体" w:cs="宋体"/>
          <w:spacing w:val="3"/>
          <w:sz w:val="29"/>
          <w:szCs w:val="29"/>
          <w:highlight w:val="none"/>
        </w:rPr>
        <w:t xml:space="preserve">  </w:t>
      </w:r>
      <w:r>
        <w:rPr>
          <w:rFonts w:hint="eastAsia" w:ascii="宋体" w:hAnsi="宋体" w:eastAsia="宋体" w:cs="宋体"/>
          <w:spacing w:val="3"/>
          <w:sz w:val="29"/>
          <w:szCs w:val="29"/>
          <w:highlight w:val="none"/>
          <w:lang w:val="en-US" w:eastAsia="zh-CN"/>
        </w:rPr>
        <w:t xml:space="preserve">    </w:t>
      </w:r>
      <w:r>
        <w:rPr>
          <w:rFonts w:hint="eastAsia" w:ascii="宋体" w:hAnsi="宋体" w:eastAsia="宋体" w:cs="宋体"/>
          <w:spacing w:val="3"/>
          <w:sz w:val="29"/>
          <w:szCs w:val="29"/>
          <w:highlight w:val="none"/>
        </w:rPr>
        <w:t xml:space="preserve">  </w:t>
      </w:r>
      <w:r>
        <w:rPr>
          <w:rFonts w:hint="eastAsia" w:ascii="宋体" w:hAnsi="宋体" w:eastAsia="宋体" w:cs="宋体"/>
          <w:b/>
          <w:bCs/>
          <w:spacing w:val="3"/>
          <w:sz w:val="29"/>
          <w:szCs w:val="29"/>
          <w:highlight w:val="none"/>
        </w:rPr>
        <w:t>期：二〇二四年</w:t>
      </w:r>
      <w:r>
        <w:rPr>
          <w:rFonts w:hint="eastAsia" w:ascii="宋体" w:hAnsi="宋体" w:eastAsia="宋体" w:cs="宋体"/>
          <w:b/>
          <w:bCs/>
          <w:spacing w:val="3"/>
          <w:sz w:val="29"/>
          <w:szCs w:val="29"/>
          <w:highlight w:val="none"/>
          <w:lang w:val="en-US" w:eastAsia="zh-CN"/>
        </w:rPr>
        <w:t>四</w:t>
      </w:r>
      <w:r>
        <w:rPr>
          <w:rFonts w:hint="eastAsia" w:ascii="宋体" w:hAnsi="宋体" w:eastAsia="宋体" w:cs="宋体"/>
          <w:b/>
          <w:bCs/>
          <w:spacing w:val="3"/>
          <w:sz w:val="29"/>
          <w:szCs w:val="29"/>
          <w:highlight w:val="none"/>
        </w:rPr>
        <w:t>月</w:t>
      </w:r>
    </w:p>
    <w:p>
      <w:pPr>
        <w:spacing w:line="219" w:lineRule="auto"/>
        <w:rPr>
          <w:rFonts w:hint="eastAsia" w:ascii="宋体" w:hAnsi="宋体" w:eastAsia="宋体" w:cs="宋体"/>
          <w:sz w:val="29"/>
          <w:szCs w:val="29"/>
          <w:highlight w:val="none"/>
        </w:rPr>
        <w:sectPr>
          <w:footerReference r:id="rId5" w:type="default"/>
          <w:pgSz w:w="11910" w:h="16840"/>
          <w:pgMar w:top="1431" w:right="1251" w:bottom="0" w:left="1786" w:header="0" w:footer="0" w:gutter="0"/>
          <w:pgNumType w:fmt="decimal"/>
          <w:cols w:space="720" w:num="1"/>
        </w:sectPr>
      </w:pPr>
    </w:p>
    <w:sdt>
      <w:sdtPr>
        <w:rPr>
          <w:rFonts w:ascii="宋体" w:hAnsi="宋体" w:eastAsia="宋体" w:cs="Arial"/>
          <w:snapToGrid w:val="0"/>
          <w:color w:val="000000"/>
          <w:kern w:val="0"/>
          <w:sz w:val="21"/>
          <w:szCs w:val="21"/>
          <w:highlight w:val="none"/>
          <w:lang w:val="en-US" w:eastAsia="en-US" w:bidi="ar-SA"/>
        </w:rPr>
        <w:id w:val="147461994"/>
        <w15:color w:val="DBDBDB"/>
        <w:docPartObj>
          <w:docPartGallery w:val="Table of Contents"/>
          <w:docPartUnique/>
        </w:docPartObj>
      </w:sdtPr>
      <w:sdtEndPr>
        <w:rPr>
          <w:rFonts w:ascii="宋体" w:hAnsi="宋体" w:eastAsia="宋体" w:cs="Arial"/>
          <w:snapToGrid w:val="0"/>
          <w:color w:val="000000"/>
          <w:kern w:val="0"/>
          <w:sz w:val="21"/>
          <w:szCs w:val="21"/>
          <w:highlight w:val="none"/>
          <w:lang w:val="en-US" w:eastAsia="en-US" w:bidi="ar-SA"/>
        </w:rPr>
      </w:sdtEndPr>
      <w:sdtContent>
        <w:p>
          <w:pPr>
            <w:spacing w:before="0" w:beforeLines="0" w:after="0" w:afterLines="0" w:line="240" w:lineRule="auto"/>
            <w:ind w:left="0" w:leftChars="0" w:right="0" w:rightChars="0" w:firstLine="0" w:firstLineChars="0"/>
            <w:jc w:val="center"/>
            <w:rPr>
              <w:highlight w:val="none"/>
            </w:rPr>
          </w:pPr>
          <w:r>
            <w:rPr>
              <w:rFonts w:ascii="宋体" w:hAnsi="宋体" w:eastAsia="宋体"/>
              <w:sz w:val="21"/>
              <w:highlight w:val="none"/>
            </w:rPr>
            <w:t>目录</w:t>
          </w:r>
        </w:p>
        <w:p>
          <w:pPr>
            <w:pStyle w:val="12"/>
            <w:tabs>
              <w:tab w:val="right" w:leader="dot" w:pos="9456"/>
            </w:tabs>
            <w:rPr>
              <w:highlight w:val="none"/>
            </w:rPr>
          </w:pPr>
          <w:r>
            <w:rPr>
              <w:highlight w:val="none"/>
            </w:rPr>
            <w:fldChar w:fldCharType="begin"/>
          </w:r>
          <w:r>
            <w:rPr>
              <w:highlight w:val="none"/>
            </w:rPr>
            <w:instrText xml:space="preserve">TOC \o "1-3" \h \u </w:instrText>
          </w:r>
          <w:r>
            <w:rPr>
              <w:highlight w:val="none"/>
            </w:rPr>
            <w:fldChar w:fldCharType="separate"/>
          </w:r>
        </w:p>
        <w:p>
          <w:pPr>
            <w:pStyle w:val="12"/>
            <w:tabs>
              <w:tab w:val="right" w:leader="dot" w:pos="9456"/>
            </w:tabs>
            <w:rPr>
              <w:highlight w:val="none"/>
            </w:rPr>
          </w:pPr>
          <w:r>
            <w:rPr>
              <w:highlight w:val="none"/>
            </w:rPr>
            <w:fldChar w:fldCharType="begin"/>
          </w:r>
          <w:r>
            <w:rPr>
              <w:highlight w:val="none"/>
            </w:rPr>
            <w:instrText xml:space="preserve"> HYPERLINK \l _Toc23483 </w:instrText>
          </w:r>
          <w:r>
            <w:rPr>
              <w:highlight w:val="none"/>
            </w:rPr>
            <w:fldChar w:fldCharType="separate"/>
          </w:r>
          <w:r>
            <w:rPr>
              <w:rFonts w:hint="eastAsia"/>
              <w:highlight w:val="none"/>
            </w:rPr>
            <w:t>第一章 竞争性磋商公告</w:t>
          </w:r>
          <w:r>
            <w:rPr>
              <w:highlight w:val="none"/>
            </w:rPr>
            <w:tab/>
          </w:r>
          <w:r>
            <w:rPr>
              <w:highlight w:val="none"/>
            </w:rPr>
            <w:fldChar w:fldCharType="begin"/>
          </w:r>
          <w:r>
            <w:rPr>
              <w:highlight w:val="none"/>
            </w:rPr>
            <w:instrText xml:space="preserve"> PAGEREF _Toc23483 \h </w:instrText>
          </w:r>
          <w:r>
            <w:rPr>
              <w:highlight w:val="none"/>
            </w:rPr>
            <w:fldChar w:fldCharType="separate"/>
          </w:r>
          <w:r>
            <w:rPr>
              <w:highlight w:val="none"/>
            </w:rPr>
            <w:t>4</w:t>
          </w:r>
          <w:r>
            <w:rPr>
              <w:highlight w:val="none"/>
            </w:rPr>
            <w:fldChar w:fldCharType="end"/>
          </w:r>
          <w:r>
            <w:rPr>
              <w:highlight w:val="none"/>
            </w:rPr>
            <w:fldChar w:fldCharType="end"/>
          </w:r>
        </w:p>
        <w:p>
          <w:pPr>
            <w:pStyle w:val="12"/>
            <w:tabs>
              <w:tab w:val="right" w:leader="dot" w:pos="9456"/>
            </w:tabs>
            <w:rPr>
              <w:highlight w:val="none"/>
            </w:rPr>
          </w:pPr>
          <w:r>
            <w:rPr>
              <w:highlight w:val="none"/>
            </w:rPr>
            <w:fldChar w:fldCharType="begin"/>
          </w:r>
          <w:r>
            <w:rPr>
              <w:highlight w:val="none"/>
            </w:rPr>
            <w:instrText xml:space="preserve"> HYPERLINK \l _Toc31308 </w:instrText>
          </w:r>
          <w:r>
            <w:rPr>
              <w:highlight w:val="none"/>
            </w:rPr>
            <w:fldChar w:fldCharType="separate"/>
          </w:r>
          <w:r>
            <w:rPr>
              <w:rFonts w:hint="eastAsia"/>
              <w:highlight w:val="none"/>
            </w:rPr>
            <w:t>第二章 供应商须知</w:t>
          </w:r>
          <w:r>
            <w:rPr>
              <w:highlight w:val="none"/>
            </w:rPr>
            <w:tab/>
          </w:r>
          <w:r>
            <w:rPr>
              <w:highlight w:val="none"/>
            </w:rPr>
            <w:fldChar w:fldCharType="begin"/>
          </w:r>
          <w:r>
            <w:rPr>
              <w:highlight w:val="none"/>
            </w:rPr>
            <w:instrText xml:space="preserve"> PAGEREF _Toc31308 \h </w:instrText>
          </w:r>
          <w:r>
            <w:rPr>
              <w:highlight w:val="none"/>
            </w:rPr>
            <w:fldChar w:fldCharType="separate"/>
          </w:r>
          <w:r>
            <w:rPr>
              <w:highlight w:val="none"/>
            </w:rPr>
            <w:t>7</w:t>
          </w:r>
          <w:r>
            <w:rPr>
              <w:highlight w:val="none"/>
            </w:rPr>
            <w:fldChar w:fldCharType="end"/>
          </w:r>
          <w:r>
            <w:rPr>
              <w:highlight w:val="none"/>
            </w:rPr>
            <w:fldChar w:fldCharType="end"/>
          </w:r>
        </w:p>
        <w:p>
          <w:pPr>
            <w:pStyle w:val="12"/>
            <w:tabs>
              <w:tab w:val="right" w:leader="dot" w:pos="9456"/>
            </w:tabs>
            <w:rPr>
              <w:highlight w:val="none"/>
            </w:rPr>
          </w:pPr>
          <w:r>
            <w:rPr>
              <w:highlight w:val="none"/>
            </w:rPr>
            <w:fldChar w:fldCharType="begin"/>
          </w:r>
          <w:r>
            <w:rPr>
              <w:highlight w:val="none"/>
            </w:rPr>
            <w:instrText xml:space="preserve"> HYPERLINK \l _Toc24058 </w:instrText>
          </w:r>
          <w:r>
            <w:rPr>
              <w:highlight w:val="none"/>
            </w:rPr>
            <w:fldChar w:fldCharType="separate"/>
          </w:r>
          <w:r>
            <w:rPr>
              <w:rFonts w:hint="eastAsia"/>
              <w:highlight w:val="none"/>
            </w:rPr>
            <w:t>第三章 响应文件格式</w:t>
          </w:r>
          <w:r>
            <w:rPr>
              <w:highlight w:val="none"/>
            </w:rPr>
            <w:tab/>
          </w:r>
          <w:r>
            <w:rPr>
              <w:highlight w:val="none"/>
            </w:rPr>
            <w:fldChar w:fldCharType="begin"/>
          </w:r>
          <w:r>
            <w:rPr>
              <w:highlight w:val="none"/>
            </w:rPr>
            <w:instrText xml:space="preserve"> PAGEREF _Toc24058 \h </w:instrText>
          </w:r>
          <w:r>
            <w:rPr>
              <w:highlight w:val="none"/>
            </w:rPr>
            <w:fldChar w:fldCharType="separate"/>
          </w:r>
          <w:r>
            <w:rPr>
              <w:highlight w:val="none"/>
            </w:rPr>
            <w:t>16</w:t>
          </w:r>
          <w:r>
            <w:rPr>
              <w:highlight w:val="none"/>
            </w:rPr>
            <w:fldChar w:fldCharType="end"/>
          </w:r>
          <w:r>
            <w:rPr>
              <w:highlight w:val="none"/>
            </w:rPr>
            <w:fldChar w:fldCharType="end"/>
          </w:r>
        </w:p>
        <w:p>
          <w:pPr>
            <w:pStyle w:val="12"/>
            <w:tabs>
              <w:tab w:val="right" w:leader="dot" w:pos="9456"/>
            </w:tabs>
            <w:rPr>
              <w:highlight w:val="none"/>
            </w:rPr>
          </w:pPr>
          <w:r>
            <w:rPr>
              <w:highlight w:val="none"/>
            </w:rPr>
            <w:fldChar w:fldCharType="begin"/>
          </w:r>
          <w:r>
            <w:rPr>
              <w:highlight w:val="none"/>
            </w:rPr>
            <w:instrText xml:space="preserve"> HYPERLINK \l _Toc20637 </w:instrText>
          </w:r>
          <w:r>
            <w:rPr>
              <w:highlight w:val="none"/>
            </w:rPr>
            <w:fldChar w:fldCharType="separate"/>
          </w:r>
          <w:r>
            <w:rPr>
              <w:rFonts w:hint="eastAsia"/>
              <w:highlight w:val="none"/>
              <w:lang w:val="en-US" w:eastAsia="zh-CN"/>
            </w:rPr>
            <w:t xml:space="preserve">第四章 </w:t>
          </w:r>
          <w:r>
            <w:rPr>
              <w:rFonts w:hint="eastAsia"/>
              <w:highlight w:val="none"/>
            </w:rPr>
            <w:t>合同文本</w:t>
          </w:r>
          <w:r>
            <w:rPr>
              <w:highlight w:val="none"/>
            </w:rPr>
            <w:tab/>
          </w:r>
          <w:r>
            <w:rPr>
              <w:highlight w:val="none"/>
            </w:rPr>
            <w:fldChar w:fldCharType="begin"/>
          </w:r>
          <w:r>
            <w:rPr>
              <w:highlight w:val="none"/>
            </w:rPr>
            <w:instrText xml:space="preserve"> PAGEREF _Toc20637 \h </w:instrText>
          </w:r>
          <w:r>
            <w:rPr>
              <w:highlight w:val="none"/>
            </w:rPr>
            <w:fldChar w:fldCharType="separate"/>
          </w:r>
          <w:r>
            <w:rPr>
              <w:highlight w:val="none"/>
            </w:rPr>
            <w:t>39</w:t>
          </w:r>
          <w:r>
            <w:rPr>
              <w:highlight w:val="none"/>
            </w:rPr>
            <w:fldChar w:fldCharType="end"/>
          </w:r>
          <w:r>
            <w:rPr>
              <w:highlight w:val="none"/>
            </w:rPr>
            <w:fldChar w:fldCharType="end"/>
          </w:r>
        </w:p>
        <w:p>
          <w:pPr>
            <w:pStyle w:val="12"/>
            <w:tabs>
              <w:tab w:val="right" w:leader="dot" w:pos="9456"/>
            </w:tabs>
            <w:rPr>
              <w:highlight w:val="none"/>
            </w:rPr>
          </w:pPr>
          <w:r>
            <w:rPr>
              <w:highlight w:val="none"/>
            </w:rPr>
            <w:fldChar w:fldCharType="begin"/>
          </w:r>
          <w:r>
            <w:rPr>
              <w:highlight w:val="none"/>
            </w:rPr>
            <w:instrText xml:space="preserve"> HYPERLINK \l _Toc30835 </w:instrText>
          </w:r>
          <w:r>
            <w:rPr>
              <w:highlight w:val="none"/>
            </w:rPr>
            <w:fldChar w:fldCharType="separate"/>
          </w:r>
          <w:r>
            <w:rPr>
              <w:rFonts w:hint="eastAsia"/>
              <w:highlight w:val="none"/>
              <w:lang w:val="en-US" w:eastAsia="zh-CN"/>
            </w:rPr>
            <w:t>第五章 招标项目资料表</w:t>
          </w:r>
          <w:r>
            <w:rPr>
              <w:highlight w:val="none"/>
            </w:rPr>
            <w:tab/>
          </w:r>
          <w:r>
            <w:rPr>
              <w:highlight w:val="none"/>
            </w:rPr>
            <w:fldChar w:fldCharType="begin"/>
          </w:r>
          <w:r>
            <w:rPr>
              <w:highlight w:val="none"/>
            </w:rPr>
            <w:instrText xml:space="preserve"> PAGEREF _Toc30835 \h </w:instrText>
          </w:r>
          <w:r>
            <w:rPr>
              <w:highlight w:val="none"/>
            </w:rPr>
            <w:fldChar w:fldCharType="separate"/>
          </w:r>
          <w:r>
            <w:rPr>
              <w:highlight w:val="none"/>
            </w:rPr>
            <w:t>66</w:t>
          </w:r>
          <w:r>
            <w:rPr>
              <w:highlight w:val="none"/>
            </w:rPr>
            <w:fldChar w:fldCharType="end"/>
          </w:r>
          <w:r>
            <w:rPr>
              <w:highlight w:val="none"/>
            </w:rPr>
            <w:fldChar w:fldCharType="end"/>
          </w:r>
        </w:p>
        <w:p>
          <w:pPr>
            <w:pStyle w:val="12"/>
            <w:tabs>
              <w:tab w:val="right" w:leader="dot" w:pos="9456"/>
            </w:tabs>
            <w:rPr>
              <w:highlight w:val="none"/>
            </w:rPr>
          </w:pPr>
          <w:r>
            <w:rPr>
              <w:highlight w:val="none"/>
            </w:rPr>
            <w:fldChar w:fldCharType="begin"/>
          </w:r>
          <w:r>
            <w:rPr>
              <w:highlight w:val="none"/>
            </w:rPr>
            <w:instrText xml:space="preserve"> HYPERLINK \l _Toc16481 </w:instrText>
          </w:r>
          <w:r>
            <w:rPr>
              <w:highlight w:val="none"/>
            </w:rPr>
            <w:fldChar w:fldCharType="separate"/>
          </w:r>
          <w:r>
            <w:rPr>
              <w:rFonts w:hint="eastAsia"/>
              <w:highlight w:val="none"/>
              <w:lang w:val="en-US" w:eastAsia="zh-CN"/>
            </w:rPr>
            <w:t>第六章 招标项目需求及服务要求</w:t>
          </w:r>
          <w:r>
            <w:rPr>
              <w:highlight w:val="none"/>
            </w:rPr>
            <w:tab/>
          </w:r>
          <w:r>
            <w:rPr>
              <w:highlight w:val="none"/>
            </w:rPr>
            <w:fldChar w:fldCharType="begin"/>
          </w:r>
          <w:r>
            <w:rPr>
              <w:highlight w:val="none"/>
            </w:rPr>
            <w:instrText xml:space="preserve"> PAGEREF _Toc16481 \h </w:instrText>
          </w:r>
          <w:r>
            <w:rPr>
              <w:highlight w:val="none"/>
            </w:rPr>
            <w:fldChar w:fldCharType="separate"/>
          </w:r>
          <w:r>
            <w:rPr>
              <w:highlight w:val="none"/>
            </w:rPr>
            <w:t>70</w:t>
          </w:r>
          <w:r>
            <w:rPr>
              <w:highlight w:val="none"/>
            </w:rPr>
            <w:fldChar w:fldCharType="end"/>
          </w:r>
          <w:r>
            <w:rPr>
              <w:highlight w:val="none"/>
            </w:rPr>
            <w:fldChar w:fldCharType="end"/>
          </w:r>
        </w:p>
        <w:p>
          <w:pPr>
            <w:pStyle w:val="12"/>
            <w:tabs>
              <w:tab w:val="right" w:leader="dot" w:pos="9456"/>
            </w:tabs>
            <w:rPr>
              <w:highlight w:val="none"/>
            </w:rPr>
          </w:pPr>
          <w:r>
            <w:rPr>
              <w:highlight w:val="none"/>
            </w:rPr>
            <w:fldChar w:fldCharType="begin"/>
          </w:r>
          <w:r>
            <w:rPr>
              <w:highlight w:val="none"/>
            </w:rPr>
            <w:instrText xml:space="preserve"> HYPERLINK \l _Toc11832 </w:instrText>
          </w:r>
          <w:r>
            <w:rPr>
              <w:highlight w:val="none"/>
            </w:rPr>
            <w:fldChar w:fldCharType="separate"/>
          </w:r>
          <w:r>
            <w:rPr>
              <w:rFonts w:hint="eastAsia"/>
              <w:highlight w:val="none"/>
              <w:lang w:val="en-US" w:eastAsia="zh-CN"/>
            </w:rPr>
            <w:t>第七章 评审标准</w:t>
          </w:r>
          <w:r>
            <w:rPr>
              <w:highlight w:val="none"/>
            </w:rPr>
            <w:tab/>
          </w:r>
          <w:r>
            <w:rPr>
              <w:highlight w:val="none"/>
            </w:rPr>
            <w:fldChar w:fldCharType="begin"/>
          </w:r>
          <w:r>
            <w:rPr>
              <w:highlight w:val="none"/>
            </w:rPr>
            <w:instrText xml:space="preserve"> PAGEREF _Toc11832 \h </w:instrText>
          </w:r>
          <w:r>
            <w:rPr>
              <w:highlight w:val="none"/>
            </w:rPr>
            <w:fldChar w:fldCharType="separate"/>
          </w:r>
          <w:r>
            <w:rPr>
              <w:highlight w:val="none"/>
            </w:rPr>
            <w:t>101</w:t>
          </w:r>
          <w:r>
            <w:rPr>
              <w:highlight w:val="none"/>
            </w:rPr>
            <w:fldChar w:fldCharType="end"/>
          </w:r>
          <w:r>
            <w:rPr>
              <w:highlight w:val="none"/>
            </w:rPr>
            <w:fldChar w:fldCharType="end"/>
          </w:r>
        </w:p>
        <w:p>
          <w:pPr>
            <w:rPr>
              <w:highlight w:val="none"/>
            </w:rPr>
          </w:pPr>
          <w:r>
            <w:rPr>
              <w:highlight w:val="none"/>
            </w:rPr>
            <w:fldChar w:fldCharType="end"/>
          </w:r>
        </w:p>
      </w:sdtContent>
    </w:sdt>
    <w:p>
      <w:pPr>
        <w:rPr>
          <w:rFonts w:hint="eastAsia"/>
          <w:highlight w:val="none"/>
        </w:rPr>
      </w:pPr>
      <w:bookmarkStart w:id="0" w:name="_Toc1210"/>
      <w:r>
        <w:rPr>
          <w:rFonts w:hint="eastAsia"/>
          <w:highlight w:val="none"/>
        </w:rPr>
        <w:br w:type="page"/>
      </w:r>
    </w:p>
    <w:p>
      <w:pPr>
        <w:pStyle w:val="3"/>
        <w:bidi w:val="0"/>
        <w:jc w:val="center"/>
        <w:rPr>
          <w:rFonts w:hint="eastAsia"/>
          <w:highlight w:val="none"/>
        </w:rPr>
      </w:pPr>
      <w:r>
        <w:rPr>
          <w:rFonts w:hint="eastAsia"/>
          <w:highlight w:val="none"/>
        </w:rPr>
        <w:t>特 别 提 示</w:t>
      </w:r>
      <w:bookmarkEnd w:id="0"/>
    </w:p>
    <w:p>
      <w:pPr>
        <w:spacing w:before="140" w:line="219" w:lineRule="auto"/>
        <w:ind w:left="483"/>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1供应商初次登记注册</w:t>
      </w:r>
    </w:p>
    <w:p>
      <w:pPr>
        <w:spacing w:before="140" w:line="219" w:lineRule="auto"/>
        <w:ind w:left="483"/>
        <w:rPr>
          <w:rFonts w:hint="eastAsia" w:ascii="宋体" w:hAnsi="宋体" w:eastAsia="宋体" w:cs="宋体"/>
          <w:b/>
          <w:bCs/>
          <w:spacing w:val="-1"/>
          <w:sz w:val="24"/>
          <w:szCs w:val="24"/>
          <w:highlight w:val="none"/>
        </w:rPr>
      </w:pPr>
      <w:r>
        <w:rPr>
          <w:rFonts w:hint="eastAsia" w:ascii="宋体" w:hAnsi="宋体" w:eastAsia="宋体" w:cs="宋体"/>
          <w:b/>
          <w:bCs/>
          <w:spacing w:val="-1"/>
          <w:sz w:val="24"/>
          <w:szCs w:val="24"/>
          <w:highlight w:val="none"/>
        </w:rPr>
        <w:t>1.1注册用户名及密码</w:t>
      </w:r>
    </w:p>
    <w:p>
      <w:pPr>
        <w:spacing w:before="45" w:line="424" w:lineRule="exact"/>
        <w:ind w:right="29"/>
        <w:jc w:val="right"/>
        <w:rPr>
          <w:rFonts w:hint="eastAsia" w:ascii="宋体" w:hAnsi="宋体" w:eastAsia="宋体" w:cs="宋体"/>
          <w:sz w:val="24"/>
          <w:szCs w:val="24"/>
          <w:highlight w:val="none"/>
        </w:rPr>
      </w:pPr>
      <w:r>
        <w:rPr>
          <w:rFonts w:hint="eastAsia" w:ascii="宋体" w:hAnsi="宋体" w:eastAsia="宋体" w:cs="宋体"/>
          <w:spacing w:val="-1"/>
          <w:position w:val="13"/>
          <w:sz w:val="24"/>
          <w:szCs w:val="24"/>
          <w:highlight w:val="none"/>
        </w:rPr>
        <w:t>供应商首先办理 CA 数字证书及电子签章(具体详见河南省公共资源交易中心网站</w:t>
      </w:r>
      <w:r>
        <w:rPr>
          <w:rFonts w:hint="eastAsia" w:ascii="宋体" w:hAnsi="宋体" w:eastAsia="宋体" w:cs="宋体"/>
          <w:spacing w:val="-2"/>
          <w:position w:val="13"/>
          <w:sz w:val="24"/>
          <w:szCs w:val="24"/>
          <w:highlight w:val="none"/>
        </w:rPr>
        <w:t>“关</w:t>
      </w:r>
    </w:p>
    <w:p>
      <w:pPr>
        <w:spacing w:line="212"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于河南省公共资源交易平台数字证书</w:t>
      </w:r>
      <w:r>
        <w:rPr>
          <w:rFonts w:hint="eastAsia" w:ascii="宋体" w:hAnsi="宋体" w:eastAsia="宋体" w:cs="宋体"/>
          <w:spacing w:val="-30"/>
          <w:sz w:val="24"/>
          <w:szCs w:val="24"/>
          <w:highlight w:val="none"/>
        </w:rPr>
        <w:t xml:space="preserve"> </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CA</w:t>
      </w:r>
      <w:r>
        <w:rPr>
          <w:rFonts w:hint="eastAsia" w:ascii="宋体" w:hAnsi="宋体" w:eastAsia="宋体" w:cs="宋体"/>
          <w:spacing w:val="2"/>
          <w:sz w:val="24"/>
          <w:szCs w:val="24"/>
          <w:highlight w:val="none"/>
        </w:rPr>
        <w:t>)</w:t>
      </w:r>
      <w:r>
        <w:rPr>
          <w:rFonts w:hint="eastAsia" w:ascii="宋体" w:hAnsi="宋体" w:eastAsia="宋体" w:cs="宋体"/>
          <w:spacing w:val="57"/>
          <w:w w:val="101"/>
          <w:sz w:val="24"/>
          <w:szCs w:val="24"/>
          <w:highlight w:val="none"/>
        </w:rPr>
        <w:t xml:space="preserve"> </w:t>
      </w:r>
      <w:r>
        <w:rPr>
          <w:rFonts w:hint="eastAsia" w:ascii="宋体" w:hAnsi="宋体" w:eastAsia="宋体" w:cs="宋体"/>
          <w:spacing w:val="2"/>
          <w:sz w:val="24"/>
          <w:szCs w:val="24"/>
          <w:highlight w:val="none"/>
        </w:rPr>
        <w:t>互认系统正式上线运行的通知”)。</w:t>
      </w:r>
    </w:p>
    <w:p>
      <w:pPr>
        <w:spacing w:before="230" w:line="219" w:lineRule="auto"/>
        <w:ind w:left="480"/>
        <w:rPr>
          <w:rFonts w:hint="eastAsia" w:ascii="宋体" w:hAnsi="宋体" w:eastAsia="宋体" w:cs="宋体"/>
          <w:sz w:val="24"/>
          <w:szCs w:val="24"/>
          <w:highlight w:val="none"/>
        </w:rPr>
      </w:pPr>
      <w:r>
        <w:rPr>
          <w:rFonts w:hint="eastAsia" w:ascii="宋体" w:hAnsi="宋体" w:eastAsia="宋体" w:cs="宋体"/>
          <w:sz w:val="24"/>
          <w:szCs w:val="24"/>
          <w:highlight w:val="none"/>
        </w:rPr>
        <w:t>1.2登记基本信息</w:t>
      </w:r>
    </w:p>
    <w:p>
      <w:pPr>
        <w:spacing w:before="186" w:line="447" w:lineRule="exact"/>
        <w:ind w:right="59"/>
        <w:jc w:val="right"/>
        <w:rPr>
          <w:rFonts w:hint="eastAsia" w:ascii="宋体" w:hAnsi="宋体" w:eastAsia="宋体" w:cs="宋体"/>
          <w:sz w:val="24"/>
          <w:szCs w:val="24"/>
          <w:highlight w:val="none"/>
        </w:rPr>
      </w:pPr>
      <w:r>
        <w:rPr>
          <w:rFonts w:hint="eastAsia" w:ascii="宋体" w:hAnsi="宋体" w:eastAsia="宋体" w:cs="宋体"/>
          <w:spacing w:val="-1"/>
          <w:position w:val="15"/>
          <w:sz w:val="24"/>
          <w:szCs w:val="24"/>
          <w:highlight w:val="none"/>
        </w:rPr>
        <w:t>点击中心网站首页的【市场主体登录】按钮，使用CA数字证书登录</w:t>
      </w:r>
      <w:r>
        <w:rPr>
          <w:rFonts w:hint="eastAsia" w:ascii="宋体" w:hAnsi="宋体" w:eastAsia="宋体" w:cs="宋体"/>
          <w:spacing w:val="-2"/>
          <w:position w:val="15"/>
          <w:sz w:val="24"/>
          <w:szCs w:val="24"/>
          <w:highlight w:val="none"/>
        </w:rPr>
        <w:t>“河南省公共资源</w:t>
      </w:r>
    </w:p>
    <w:p>
      <w:pPr>
        <w:spacing w:line="216"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交易中心-市场主体系统”,录入基本信息并扫描上传相关证件。</w:t>
      </w:r>
    </w:p>
    <w:p>
      <w:pPr>
        <w:spacing w:before="176" w:line="496" w:lineRule="exact"/>
        <w:ind w:right="61"/>
        <w:jc w:val="right"/>
        <w:rPr>
          <w:rFonts w:hint="eastAsia" w:ascii="宋体" w:hAnsi="宋体" w:eastAsia="宋体" w:cs="宋体"/>
          <w:sz w:val="24"/>
          <w:szCs w:val="24"/>
          <w:highlight w:val="none"/>
        </w:rPr>
      </w:pPr>
      <w:r>
        <w:rPr>
          <w:rFonts w:hint="eastAsia" w:ascii="宋体" w:hAnsi="宋体" w:eastAsia="宋体" w:cs="宋体"/>
          <w:spacing w:val="-4"/>
          <w:position w:val="20"/>
          <w:sz w:val="24"/>
          <w:szCs w:val="24"/>
          <w:highlight w:val="none"/>
        </w:rPr>
        <w:t>1.3</w:t>
      </w:r>
      <w:r>
        <w:rPr>
          <w:rFonts w:hint="eastAsia" w:ascii="宋体" w:hAnsi="宋体" w:eastAsia="宋体" w:cs="宋体"/>
          <w:spacing w:val="-33"/>
          <w:position w:val="20"/>
          <w:sz w:val="24"/>
          <w:szCs w:val="24"/>
          <w:highlight w:val="none"/>
        </w:rPr>
        <w:t xml:space="preserve"> </w:t>
      </w:r>
      <w:r>
        <w:rPr>
          <w:rFonts w:hint="eastAsia" w:ascii="宋体" w:hAnsi="宋体" w:eastAsia="宋体" w:cs="宋体"/>
          <w:spacing w:val="-4"/>
          <w:position w:val="20"/>
          <w:sz w:val="24"/>
          <w:szCs w:val="24"/>
          <w:highlight w:val="none"/>
        </w:rPr>
        <w:t>数字证书(CA)办理：详情见河南省公共资源交易中心网站</w:t>
      </w:r>
      <w:r>
        <w:rPr>
          <w:rFonts w:hint="eastAsia" w:ascii="宋体" w:hAnsi="宋体" w:eastAsia="宋体" w:cs="宋体"/>
          <w:spacing w:val="-5"/>
          <w:position w:val="20"/>
          <w:sz w:val="24"/>
          <w:szCs w:val="24"/>
          <w:highlight w:val="none"/>
        </w:rPr>
        <w:t>办事指南“关于河南省公</w:t>
      </w:r>
    </w:p>
    <w:p>
      <w:pPr>
        <w:spacing w:before="1" w:line="218" w:lineRule="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共资源交易平台数字证书</w:t>
      </w:r>
      <w:r>
        <w:rPr>
          <w:rFonts w:hint="eastAsia" w:ascii="宋体" w:hAnsi="宋体" w:eastAsia="宋体" w:cs="宋体"/>
          <w:spacing w:val="-18"/>
          <w:sz w:val="24"/>
          <w:szCs w:val="24"/>
          <w:highlight w:val="none"/>
        </w:rPr>
        <w:t xml:space="preserve"> </w:t>
      </w:r>
      <w:r>
        <w:rPr>
          <w:rFonts w:hint="eastAsia" w:ascii="宋体" w:hAnsi="宋体" w:eastAsia="宋体" w:cs="宋体"/>
          <w:spacing w:val="-3"/>
          <w:sz w:val="24"/>
          <w:szCs w:val="24"/>
          <w:highlight w:val="none"/>
        </w:rPr>
        <w:t>(CA)</w:t>
      </w:r>
      <w:r>
        <w:rPr>
          <w:rFonts w:hint="eastAsia" w:ascii="宋体" w:hAnsi="宋体" w:eastAsia="宋体" w:cs="宋体"/>
          <w:spacing w:val="52"/>
          <w:sz w:val="24"/>
          <w:szCs w:val="24"/>
          <w:highlight w:val="none"/>
        </w:rPr>
        <w:t xml:space="preserve"> </w:t>
      </w:r>
      <w:r>
        <w:rPr>
          <w:rFonts w:hint="eastAsia" w:ascii="宋体" w:hAnsi="宋体" w:eastAsia="宋体" w:cs="宋体"/>
          <w:spacing w:val="-3"/>
          <w:sz w:val="24"/>
          <w:szCs w:val="24"/>
          <w:highlight w:val="none"/>
        </w:rPr>
        <w:t>互认系统正式上线运行的通知”。</w:t>
      </w:r>
    </w:p>
    <w:p>
      <w:pPr>
        <w:spacing w:before="283" w:line="219" w:lineRule="auto"/>
        <w:ind w:left="483"/>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2</w:t>
      </w:r>
      <w:r>
        <w:rPr>
          <w:rFonts w:hint="eastAsia" w:ascii="宋体" w:hAnsi="宋体" w:eastAsia="宋体" w:cs="宋体"/>
          <w:spacing w:val="-48"/>
          <w:sz w:val="24"/>
          <w:szCs w:val="24"/>
          <w:highlight w:val="none"/>
        </w:rPr>
        <w:t xml:space="preserve"> </w:t>
      </w:r>
      <w:r>
        <w:rPr>
          <w:rFonts w:hint="eastAsia" w:ascii="宋体" w:hAnsi="宋体" w:eastAsia="宋体" w:cs="宋体"/>
          <w:b/>
          <w:bCs/>
          <w:spacing w:val="-7"/>
          <w:sz w:val="24"/>
          <w:szCs w:val="24"/>
          <w:highlight w:val="none"/>
        </w:rPr>
        <w:t>响应文件制作</w:t>
      </w:r>
    </w:p>
    <w:p>
      <w:pPr>
        <w:spacing w:before="151" w:line="457" w:lineRule="exact"/>
        <w:ind w:right="40"/>
        <w:jc w:val="right"/>
        <w:rPr>
          <w:rFonts w:hint="eastAsia" w:ascii="宋体" w:hAnsi="宋体" w:eastAsia="宋体" w:cs="宋体"/>
          <w:sz w:val="24"/>
          <w:szCs w:val="24"/>
          <w:highlight w:val="none"/>
        </w:rPr>
      </w:pPr>
      <w:r>
        <w:rPr>
          <w:rFonts w:hint="eastAsia" w:ascii="宋体" w:hAnsi="宋体" w:eastAsia="宋体" w:cs="宋体"/>
          <w:b/>
          <w:bCs/>
          <w:position w:val="16"/>
          <w:sz w:val="24"/>
          <w:szCs w:val="24"/>
          <w:highlight w:val="none"/>
        </w:rPr>
        <w:t>2.1</w:t>
      </w:r>
      <w:r>
        <w:rPr>
          <w:rFonts w:hint="eastAsia" w:ascii="宋体" w:hAnsi="宋体" w:eastAsia="宋体" w:cs="宋体"/>
          <w:spacing w:val="-61"/>
          <w:position w:val="16"/>
          <w:sz w:val="24"/>
          <w:szCs w:val="24"/>
          <w:highlight w:val="none"/>
        </w:rPr>
        <w:t xml:space="preserve"> </w:t>
      </w:r>
      <w:r>
        <w:rPr>
          <w:rFonts w:hint="eastAsia" w:ascii="宋体" w:hAnsi="宋体" w:eastAsia="宋体" w:cs="宋体"/>
          <w:position w:val="16"/>
          <w:sz w:val="24"/>
          <w:szCs w:val="24"/>
          <w:highlight w:val="none"/>
        </w:rPr>
        <w:t>供应商通过“河南省公共资源交易中心(</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"http://www.hnggzy.net/" </w:instrText>
      </w:r>
      <w:r>
        <w:rPr>
          <w:rFonts w:hint="eastAsia" w:ascii="宋体" w:hAnsi="宋体" w:eastAsia="宋体" w:cs="宋体"/>
          <w:highlight w:val="none"/>
        </w:rPr>
        <w:fldChar w:fldCharType="separate"/>
      </w:r>
      <w:r>
        <w:rPr>
          <w:rFonts w:hint="eastAsia" w:ascii="宋体" w:hAnsi="宋体" w:eastAsia="宋体" w:cs="宋体"/>
          <w:position w:val="16"/>
          <w:sz w:val="24"/>
          <w:szCs w:val="24"/>
          <w:highlight w:val="none"/>
        </w:rPr>
        <w:t>http://www.hnggzy.net/</w:t>
      </w:r>
      <w:r>
        <w:rPr>
          <w:rFonts w:hint="eastAsia" w:ascii="宋体" w:hAnsi="宋体" w:eastAsia="宋体" w:cs="宋体"/>
          <w:position w:val="16"/>
          <w:sz w:val="24"/>
          <w:szCs w:val="24"/>
          <w:highlight w:val="none"/>
        </w:rPr>
        <w:fldChar w:fldCharType="end"/>
      </w:r>
      <w:r>
        <w:rPr>
          <w:rFonts w:hint="eastAsia" w:ascii="宋体" w:hAnsi="宋体" w:eastAsia="宋体" w:cs="宋体"/>
          <w:position w:val="16"/>
          <w:sz w:val="24"/>
          <w:szCs w:val="24"/>
          <w:highlight w:val="none"/>
        </w:rPr>
        <w:t>)” 网</w:t>
      </w:r>
      <w:r>
        <w:rPr>
          <w:rFonts w:hint="eastAsia" w:ascii="宋体" w:hAnsi="宋体" w:eastAsia="宋体" w:cs="宋体"/>
          <w:spacing w:val="-1"/>
          <w:position w:val="16"/>
          <w:sz w:val="24"/>
          <w:szCs w:val="24"/>
          <w:highlight w:val="none"/>
        </w:rPr>
        <w:t>站公共服</w:t>
      </w:r>
    </w:p>
    <w:p>
      <w:pPr>
        <w:spacing w:before="1" w:line="218" w:lineRule="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务(办事指南及下载专区):下载“投标文件制作工具安装包压缩文件下载”等。</w:t>
      </w:r>
    </w:p>
    <w:p>
      <w:pPr>
        <w:spacing w:before="119" w:line="212" w:lineRule="auto"/>
        <w:ind w:left="483"/>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2.2</w:t>
      </w:r>
      <w:r>
        <w:rPr>
          <w:rFonts w:hint="eastAsia" w:ascii="宋体" w:hAnsi="宋体" w:eastAsia="宋体" w:cs="宋体"/>
          <w:spacing w:val="-61"/>
          <w:sz w:val="24"/>
          <w:szCs w:val="24"/>
          <w:highlight w:val="none"/>
        </w:rPr>
        <w:t xml:space="preserve"> </w:t>
      </w:r>
      <w:r>
        <w:rPr>
          <w:rFonts w:hint="eastAsia" w:ascii="宋体" w:hAnsi="宋体" w:eastAsia="宋体" w:cs="宋体"/>
          <w:spacing w:val="-1"/>
          <w:sz w:val="24"/>
          <w:szCs w:val="24"/>
          <w:highlight w:val="none"/>
        </w:rPr>
        <w:t>供应商凭</w:t>
      </w:r>
      <w:r>
        <w:rPr>
          <w:rFonts w:hint="eastAsia" w:ascii="宋体" w:hAnsi="宋体" w:eastAsia="宋体" w:cs="宋体"/>
          <w:spacing w:val="-72"/>
          <w:sz w:val="24"/>
          <w:szCs w:val="24"/>
          <w:highlight w:val="none"/>
        </w:rPr>
        <w:t xml:space="preserve"> </w:t>
      </w:r>
      <w:r>
        <w:rPr>
          <w:rFonts w:hint="eastAsia" w:ascii="宋体" w:hAnsi="宋体" w:eastAsia="宋体" w:cs="宋体"/>
          <w:spacing w:val="-1"/>
          <w:sz w:val="24"/>
          <w:szCs w:val="24"/>
          <w:highlight w:val="none"/>
        </w:rPr>
        <w:t>CA</w:t>
      </w:r>
      <w:r>
        <w:rPr>
          <w:rFonts w:hint="eastAsia" w:ascii="宋体" w:hAnsi="宋体" w:eastAsia="宋体" w:cs="宋体"/>
          <w:spacing w:val="-12"/>
          <w:sz w:val="24"/>
          <w:szCs w:val="24"/>
          <w:highlight w:val="none"/>
        </w:rPr>
        <w:t xml:space="preserve"> </w:t>
      </w:r>
      <w:r>
        <w:rPr>
          <w:rFonts w:hint="eastAsia" w:ascii="宋体" w:hAnsi="宋体" w:eastAsia="宋体" w:cs="宋体"/>
          <w:spacing w:val="-1"/>
          <w:sz w:val="24"/>
          <w:szCs w:val="24"/>
          <w:highlight w:val="none"/>
        </w:rPr>
        <w:t>密钥登陆</w:t>
      </w:r>
      <w:r>
        <w:rPr>
          <w:rFonts w:hint="eastAsia" w:ascii="宋体" w:hAnsi="宋体" w:eastAsia="宋体" w:cs="宋体"/>
          <w:spacing w:val="-22"/>
          <w:sz w:val="24"/>
          <w:szCs w:val="24"/>
          <w:highlight w:val="none"/>
        </w:rPr>
        <w:t xml:space="preserve"> </w:t>
      </w:r>
      <w:r>
        <w:rPr>
          <w:rFonts w:hint="eastAsia" w:ascii="宋体" w:hAnsi="宋体" w:eastAsia="宋体" w:cs="宋体"/>
          <w:spacing w:val="-1"/>
          <w:sz w:val="24"/>
          <w:szCs w:val="24"/>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"http://www.hnggzy.net/" </w:instrText>
      </w:r>
      <w:r>
        <w:rPr>
          <w:rFonts w:hint="eastAsia" w:ascii="宋体" w:hAnsi="宋体" w:eastAsia="宋体" w:cs="宋体"/>
          <w:highlight w:val="none"/>
        </w:rPr>
        <w:fldChar w:fldCharType="separate"/>
      </w:r>
      <w:r>
        <w:rPr>
          <w:rFonts w:hint="eastAsia" w:ascii="宋体" w:hAnsi="宋体" w:eastAsia="宋体" w:cs="宋体"/>
          <w:spacing w:val="-1"/>
          <w:sz w:val="24"/>
          <w:szCs w:val="24"/>
          <w:highlight w:val="none"/>
        </w:rPr>
        <w:t>http://www.hnggzy.net/</w:t>
      </w:r>
      <w:r>
        <w:rPr>
          <w:rFonts w:hint="eastAsia" w:ascii="宋体" w:hAnsi="宋体" w:eastAsia="宋体" w:cs="宋体"/>
          <w:spacing w:val="-1"/>
          <w:sz w:val="24"/>
          <w:szCs w:val="24"/>
          <w:highlight w:val="none"/>
        </w:rPr>
        <w:fldChar w:fldCharType="end"/>
      </w:r>
      <w:r>
        <w:rPr>
          <w:rFonts w:hint="eastAsia" w:ascii="宋体" w:hAnsi="宋体" w:eastAsia="宋体" w:cs="宋体"/>
          <w:spacing w:val="-2"/>
          <w:sz w:val="24"/>
          <w:szCs w:val="24"/>
          <w:highlight w:val="none"/>
        </w:rPr>
        <w:t>) 市场主体系统并按网上提示</w:t>
      </w:r>
    </w:p>
    <w:p>
      <w:pPr>
        <w:spacing w:before="202" w:line="219" w:lineRule="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下载磋商文件(.hnzf</w:t>
      </w:r>
      <w:r>
        <w:rPr>
          <w:rFonts w:hint="eastAsia" w:ascii="宋体" w:hAnsi="宋体" w:eastAsia="宋体" w:cs="宋体"/>
          <w:spacing w:val="29"/>
          <w:sz w:val="24"/>
          <w:szCs w:val="24"/>
          <w:highlight w:val="none"/>
        </w:rPr>
        <w:t xml:space="preserve"> </w:t>
      </w:r>
      <w:r>
        <w:rPr>
          <w:rFonts w:hint="eastAsia" w:ascii="宋体" w:hAnsi="宋体" w:eastAsia="宋体" w:cs="宋体"/>
          <w:spacing w:val="-3"/>
          <w:sz w:val="24"/>
          <w:szCs w:val="24"/>
          <w:highlight w:val="none"/>
        </w:rPr>
        <w:t>格式)。</w:t>
      </w:r>
    </w:p>
    <w:p>
      <w:pPr>
        <w:spacing w:before="154" w:line="219" w:lineRule="auto"/>
        <w:ind w:left="483"/>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2.3</w:t>
      </w:r>
      <w:r>
        <w:rPr>
          <w:rFonts w:hint="eastAsia" w:ascii="宋体" w:hAnsi="宋体" w:eastAsia="宋体" w:cs="宋体"/>
          <w:spacing w:val="-34"/>
          <w:sz w:val="24"/>
          <w:szCs w:val="24"/>
          <w:highlight w:val="none"/>
        </w:rPr>
        <w:t xml:space="preserve"> </w:t>
      </w:r>
      <w:r>
        <w:rPr>
          <w:rFonts w:hint="eastAsia" w:ascii="宋体" w:hAnsi="宋体" w:eastAsia="宋体" w:cs="宋体"/>
          <w:spacing w:val="-4"/>
          <w:sz w:val="24"/>
          <w:szCs w:val="24"/>
          <w:highlight w:val="none"/>
        </w:rPr>
        <w:t>供应商须在响应文件递交截止时间前制作并提交：</w:t>
      </w:r>
    </w:p>
    <w:p>
      <w:pPr>
        <w:spacing w:before="152" w:line="417" w:lineRule="exact"/>
        <w:ind w:right="60"/>
        <w:jc w:val="right"/>
        <w:rPr>
          <w:rFonts w:hint="eastAsia" w:ascii="宋体" w:hAnsi="宋体" w:eastAsia="宋体" w:cs="宋体"/>
          <w:sz w:val="24"/>
          <w:szCs w:val="24"/>
          <w:highlight w:val="none"/>
        </w:rPr>
      </w:pPr>
      <w:r>
        <w:rPr>
          <w:rFonts w:hint="eastAsia" w:ascii="宋体" w:hAnsi="宋体" w:eastAsia="宋体" w:cs="宋体"/>
          <w:spacing w:val="8"/>
          <w:position w:val="13"/>
          <w:sz w:val="24"/>
          <w:szCs w:val="24"/>
          <w:highlight w:val="none"/>
        </w:rPr>
        <w:t>加密的电子响应文件(*.</w:t>
      </w:r>
      <w:r>
        <w:rPr>
          <w:rFonts w:hint="eastAsia" w:ascii="宋体" w:hAnsi="宋体" w:eastAsia="宋体" w:cs="宋体"/>
          <w:position w:val="13"/>
          <w:sz w:val="24"/>
          <w:szCs w:val="24"/>
          <w:highlight w:val="none"/>
        </w:rPr>
        <w:t>hntf</w:t>
      </w:r>
      <w:r>
        <w:rPr>
          <w:rFonts w:hint="eastAsia" w:ascii="宋体" w:hAnsi="宋体" w:eastAsia="宋体" w:cs="宋体"/>
          <w:spacing w:val="8"/>
          <w:position w:val="13"/>
          <w:sz w:val="24"/>
          <w:szCs w:val="24"/>
          <w:highlight w:val="none"/>
        </w:rPr>
        <w:t xml:space="preserve"> 格式),应在响应文件截止时间</w:t>
      </w:r>
      <w:r>
        <w:rPr>
          <w:rFonts w:hint="eastAsia" w:ascii="宋体" w:hAnsi="宋体" w:eastAsia="宋体" w:cs="宋体"/>
          <w:spacing w:val="7"/>
          <w:position w:val="13"/>
          <w:sz w:val="24"/>
          <w:szCs w:val="24"/>
          <w:highlight w:val="none"/>
        </w:rPr>
        <w:t>前通过“河南省公共资</w:t>
      </w:r>
    </w:p>
    <w:p>
      <w:pPr>
        <w:spacing w:line="212"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源交易中心 (</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"http://www.hnggzy.net/" </w:instrText>
      </w:r>
      <w:r>
        <w:rPr>
          <w:rFonts w:hint="eastAsia" w:ascii="宋体" w:hAnsi="宋体" w:eastAsia="宋体" w:cs="宋体"/>
          <w:highlight w:val="none"/>
        </w:rPr>
        <w:fldChar w:fldCharType="separate"/>
      </w:r>
      <w:r>
        <w:rPr>
          <w:rFonts w:hint="eastAsia" w:ascii="宋体" w:hAnsi="宋体" w:eastAsia="宋体" w:cs="宋体"/>
          <w:spacing w:val="-2"/>
          <w:sz w:val="24"/>
          <w:szCs w:val="24"/>
          <w:highlight w:val="none"/>
        </w:rPr>
        <w:t>http://www.hnggzy.net/</w:t>
      </w:r>
      <w:r>
        <w:rPr>
          <w:rFonts w:hint="eastAsia" w:ascii="宋体" w:hAnsi="宋体" w:eastAsia="宋体" w:cs="宋体"/>
          <w:spacing w:val="-2"/>
          <w:sz w:val="24"/>
          <w:szCs w:val="24"/>
          <w:highlight w:val="none"/>
        </w:rPr>
        <w:fldChar w:fldCharType="end"/>
      </w:r>
      <w:r>
        <w:rPr>
          <w:rFonts w:hint="eastAsia" w:ascii="宋体" w:hAnsi="宋体" w:eastAsia="宋体" w:cs="宋体"/>
          <w:spacing w:val="-2"/>
          <w:sz w:val="24"/>
          <w:szCs w:val="24"/>
          <w:highlight w:val="none"/>
        </w:rPr>
        <w:t>)”电子交易</w:t>
      </w:r>
      <w:r>
        <w:rPr>
          <w:rFonts w:hint="eastAsia" w:ascii="宋体" w:hAnsi="宋体" w:eastAsia="宋体" w:cs="宋体"/>
          <w:spacing w:val="-3"/>
          <w:sz w:val="24"/>
          <w:szCs w:val="24"/>
          <w:highlight w:val="none"/>
        </w:rPr>
        <w:t>平台内上传；</w:t>
      </w:r>
    </w:p>
    <w:p>
      <w:pPr>
        <w:spacing w:before="194" w:line="437" w:lineRule="exact"/>
        <w:jc w:val="right"/>
        <w:rPr>
          <w:rFonts w:hint="eastAsia" w:ascii="宋体" w:hAnsi="宋体" w:eastAsia="宋体" w:cs="宋体"/>
          <w:sz w:val="24"/>
          <w:szCs w:val="24"/>
          <w:highlight w:val="none"/>
        </w:rPr>
      </w:pPr>
      <w:r>
        <w:rPr>
          <w:rFonts w:hint="eastAsia" w:ascii="宋体" w:hAnsi="宋体" w:eastAsia="宋体" w:cs="宋体"/>
          <w:b/>
          <w:bCs/>
          <w:spacing w:val="5"/>
          <w:position w:val="15"/>
          <w:sz w:val="24"/>
          <w:szCs w:val="24"/>
          <w:highlight w:val="none"/>
        </w:rPr>
        <w:t>2.4</w:t>
      </w:r>
      <w:r>
        <w:rPr>
          <w:rFonts w:hint="eastAsia" w:ascii="宋体" w:hAnsi="宋体" w:eastAsia="宋体" w:cs="宋体"/>
          <w:spacing w:val="-71"/>
          <w:position w:val="15"/>
          <w:sz w:val="24"/>
          <w:szCs w:val="24"/>
          <w:highlight w:val="none"/>
        </w:rPr>
        <w:t xml:space="preserve"> </w:t>
      </w:r>
      <w:r>
        <w:rPr>
          <w:rFonts w:hint="eastAsia" w:ascii="宋体" w:hAnsi="宋体" w:eastAsia="宋体" w:cs="宋体"/>
          <w:spacing w:val="5"/>
          <w:position w:val="15"/>
          <w:sz w:val="24"/>
          <w:szCs w:val="24"/>
          <w:highlight w:val="none"/>
        </w:rPr>
        <w:t>加密的电子响应文件为“河南省公共资源交易中心(</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"http://www.hnggzy.net/" </w:instrText>
      </w:r>
      <w:r>
        <w:rPr>
          <w:rFonts w:hint="eastAsia" w:ascii="宋体" w:hAnsi="宋体" w:eastAsia="宋体" w:cs="宋体"/>
          <w:highlight w:val="none"/>
        </w:rPr>
        <w:fldChar w:fldCharType="separate"/>
      </w:r>
      <w:r>
        <w:rPr>
          <w:rFonts w:hint="eastAsia" w:ascii="宋体" w:hAnsi="宋体" w:eastAsia="宋体" w:cs="宋体"/>
          <w:position w:val="15"/>
          <w:sz w:val="24"/>
          <w:szCs w:val="24"/>
          <w:highlight w:val="none"/>
        </w:rPr>
        <w:t>http</w:t>
      </w:r>
      <w:r>
        <w:rPr>
          <w:rFonts w:hint="eastAsia" w:ascii="宋体" w:hAnsi="宋体" w:eastAsia="宋体" w:cs="宋体"/>
          <w:spacing w:val="5"/>
          <w:position w:val="15"/>
          <w:sz w:val="24"/>
          <w:szCs w:val="24"/>
          <w:highlight w:val="none"/>
        </w:rPr>
        <w:t>://</w:t>
      </w:r>
      <w:r>
        <w:rPr>
          <w:rFonts w:hint="eastAsia" w:ascii="宋体" w:hAnsi="宋体" w:eastAsia="宋体" w:cs="宋体"/>
          <w:position w:val="15"/>
          <w:sz w:val="24"/>
          <w:szCs w:val="24"/>
          <w:highlight w:val="none"/>
        </w:rPr>
        <w:t>www</w:t>
      </w:r>
      <w:r>
        <w:rPr>
          <w:rFonts w:hint="eastAsia" w:ascii="宋体" w:hAnsi="宋体" w:eastAsia="宋体" w:cs="宋体"/>
          <w:spacing w:val="5"/>
          <w:position w:val="15"/>
          <w:sz w:val="24"/>
          <w:szCs w:val="24"/>
          <w:highlight w:val="none"/>
        </w:rPr>
        <w:t>.</w:t>
      </w:r>
      <w:r>
        <w:rPr>
          <w:rFonts w:hint="eastAsia" w:ascii="宋体" w:hAnsi="宋体" w:eastAsia="宋体" w:cs="宋体"/>
          <w:position w:val="15"/>
          <w:sz w:val="24"/>
          <w:szCs w:val="24"/>
          <w:highlight w:val="none"/>
        </w:rPr>
        <w:t>hnggzy</w:t>
      </w:r>
      <w:r>
        <w:rPr>
          <w:rFonts w:hint="eastAsia" w:ascii="宋体" w:hAnsi="宋体" w:eastAsia="宋体" w:cs="宋体"/>
          <w:spacing w:val="5"/>
          <w:position w:val="15"/>
          <w:sz w:val="24"/>
          <w:szCs w:val="24"/>
          <w:highlight w:val="none"/>
        </w:rPr>
        <w:t>.</w:t>
      </w:r>
      <w:r>
        <w:rPr>
          <w:rFonts w:hint="eastAsia" w:ascii="宋体" w:hAnsi="宋体" w:eastAsia="宋体" w:cs="宋体"/>
          <w:position w:val="15"/>
          <w:sz w:val="24"/>
          <w:szCs w:val="24"/>
          <w:highlight w:val="none"/>
        </w:rPr>
        <w:t>net</w:t>
      </w:r>
      <w:r>
        <w:rPr>
          <w:rFonts w:hint="eastAsia" w:ascii="宋体" w:hAnsi="宋体" w:eastAsia="宋体" w:cs="宋体"/>
          <w:spacing w:val="4"/>
          <w:position w:val="15"/>
          <w:sz w:val="24"/>
          <w:szCs w:val="24"/>
          <w:highlight w:val="none"/>
        </w:rPr>
        <w:t>/</w:t>
      </w:r>
      <w:r>
        <w:rPr>
          <w:rFonts w:hint="eastAsia" w:ascii="宋体" w:hAnsi="宋体" w:eastAsia="宋体" w:cs="宋体"/>
          <w:spacing w:val="4"/>
          <w:position w:val="15"/>
          <w:sz w:val="24"/>
          <w:szCs w:val="24"/>
          <w:highlight w:val="none"/>
        </w:rPr>
        <w:fldChar w:fldCharType="end"/>
      </w:r>
      <w:r>
        <w:rPr>
          <w:rFonts w:hint="eastAsia" w:ascii="宋体" w:hAnsi="宋体" w:eastAsia="宋体" w:cs="宋体"/>
          <w:spacing w:val="4"/>
          <w:position w:val="15"/>
          <w:sz w:val="24"/>
          <w:szCs w:val="24"/>
          <w:highlight w:val="none"/>
        </w:rPr>
        <w:t>)”</w:t>
      </w:r>
    </w:p>
    <w:p>
      <w:pPr>
        <w:spacing w:before="1" w:line="218"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网站提供的“投标文件制作工具”软件制作生成的加密版响应文</w:t>
      </w:r>
      <w:r>
        <w:rPr>
          <w:rFonts w:hint="eastAsia" w:ascii="宋体" w:hAnsi="宋体" w:eastAsia="宋体" w:cs="宋体"/>
          <w:spacing w:val="-3"/>
          <w:sz w:val="24"/>
          <w:szCs w:val="24"/>
          <w:highlight w:val="none"/>
        </w:rPr>
        <w:t>件。</w:t>
      </w:r>
    </w:p>
    <w:p>
      <w:pPr>
        <w:spacing w:before="158" w:line="338" w:lineRule="auto"/>
        <w:ind w:right="40" w:firstLine="483"/>
        <w:rPr>
          <w:rFonts w:hint="eastAsia" w:ascii="宋体" w:hAnsi="宋体" w:eastAsia="宋体" w:cs="宋体"/>
          <w:sz w:val="24"/>
          <w:szCs w:val="24"/>
          <w:highlight w:val="none"/>
        </w:rPr>
      </w:pPr>
      <w:r>
        <w:rPr>
          <w:rFonts w:hint="eastAsia" w:ascii="宋体" w:hAnsi="宋体" w:eastAsia="宋体" w:cs="宋体"/>
          <w:b/>
          <w:bCs/>
          <w:spacing w:val="-8"/>
          <w:sz w:val="24"/>
          <w:szCs w:val="24"/>
          <w:highlight w:val="none"/>
        </w:rPr>
        <w:t>2.5</w:t>
      </w:r>
      <w:r>
        <w:rPr>
          <w:rFonts w:hint="eastAsia" w:ascii="宋体" w:hAnsi="宋体" w:eastAsia="宋体" w:cs="宋体"/>
          <w:spacing w:val="-56"/>
          <w:sz w:val="24"/>
          <w:szCs w:val="24"/>
          <w:highlight w:val="none"/>
        </w:rPr>
        <w:t xml:space="preserve"> </w:t>
      </w:r>
      <w:r>
        <w:rPr>
          <w:rFonts w:hint="eastAsia" w:ascii="宋体" w:hAnsi="宋体" w:eastAsia="宋体" w:cs="宋体"/>
          <w:spacing w:val="-8"/>
          <w:sz w:val="24"/>
          <w:szCs w:val="24"/>
          <w:highlight w:val="none"/>
        </w:rPr>
        <w:t>供应商在制作电子响应文件时，“投标文件制作工具”左侧栏目“封面”、</w:t>
      </w:r>
      <w:r>
        <w:rPr>
          <w:rFonts w:hint="eastAsia" w:ascii="宋体" w:hAnsi="宋体" w:eastAsia="宋体" w:cs="宋体"/>
          <w:spacing w:val="43"/>
          <w:sz w:val="24"/>
          <w:szCs w:val="24"/>
          <w:highlight w:val="none"/>
        </w:rPr>
        <w:t xml:space="preserve"> </w:t>
      </w:r>
      <w:r>
        <w:rPr>
          <w:rFonts w:hint="eastAsia" w:ascii="宋体" w:hAnsi="宋体" w:eastAsia="宋体" w:cs="宋体"/>
          <w:spacing w:val="-8"/>
          <w:sz w:val="24"/>
          <w:szCs w:val="24"/>
          <w:highlight w:val="none"/>
        </w:rPr>
        <w:t>“开标</w:t>
      </w:r>
      <w:r>
        <w:rPr>
          <w:rFonts w:hint="eastAsia" w:ascii="宋体" w:hAnsi="宋体" w:eastAsia="宋体" w:cs="宋体"/>
          <w:sz w:val="24"/>
          <w:szCs w:val="24"/>
          <w:highlight w:val="none"/>
        </w:rPr>
        <w:t xml:space="preserve"> </w:t>
      </w:r>
      <w:r>
        <w:rPr>
          <w:rFonts w:hint="eastAsia" w:ascii="宋体" w:hAnsi="宋体" w:eastAsia="宋体" w:cs="宋体"/>
          <w:spacing w:val="11"/>
          <w:sz w:val="24"/>
          <w:szCs w:val="24"/>
          <w:highlight w:val="none"/>
        </w:rPr>
        <w:t>一览表”制作完成后须签章(包括企业签章和个人签章);左侧栏目“投</w:t>
      </w:r>
      <w:r>
        <w:rPr>
          <w:rFonts w:hint="eastAsia" w:ascii="宋体" w:hAnsi="宋体" w:eastAsia="宋体" w:cs="宋体"/>
          <w:spacing w:val="10"/>
          <w:sz w:val="24"/>
          <w:szCs w:val="24"/>
          <w:highlight w:val="none"/>
        </w:rPr>
        <w:t>标正文”中的内</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容：响应文件商务部分格式、响应文件技术部分格式</w:t>
      </w:r>
      <w:r>
        <w:rPr>
          <w:rFonts w:hint="eastAsia" w:ascii="宋体" w:hAnsi="宋体" w:eastAsia="宋体" w:cs="宋体"/>
          <w:spacing w:val="4"/>
          <w:sz w:val="24"/>
          <w:szCs w:val="24"/>
          <w:highlight w:val="none"/>
        </w:rPr>
        <w:t>按格式要求签章(包括企业签章、个</w:t>
      </w:r>
      <w:r>
        <w:rPr>
          <w:rFonts w:hint="eastAsia" w:ascii="宋体" w:hAnsi="宋体" w:eastAsia="宋体" w:cs="宋体"/>
          <w:sz w:val="24"/>
          <w:szCs w:val="24"/>
          <w:highlight w:val="none"/>
        </w:rPr>
        <w:t xml:space="preserve"> </w:t>
      </w:r>
      <w:r>
        <w:rPr>
          <w:rFonts w:hint="eastAsia" w:ascii="宋体" w:hAnsi="宋体" w:eastAsia="宋体" w:cs="宋体"/>
          <w:spacing w:val="14"/>
          <w:sz w:val="24"/>
          <w:szCs w:val="24"/>
          <w:highlight w:val="none"/>
        </w:rPr>
        <w:t>人签章),并将所有扫描内容(包括营业执照、资质证书、财务报告、纳税凭证等)签章</w:t>
      </w:r>
      <w:r>
        <w:rPr>
          <w:rFonts w:hint="eastAsia" w:ascii="宋体" w:hAnsi="宋体" w:eastAsia="宋体" w:cs="宋体"/>
          <w:spacing w:val="7"/>
          <w:sz w:val="24"/>
          <w:szCs w:val="24"/>
          <w:highlight w:val="none"/>
        </w:rPr>
        <w:t>(企业签章)。</w:t>
      </w:r>
    </w:p>
    <w:p>
      <w:pPr>
        <w:spacing w:before="157" w:line="338" w:lineRule="auto"/>
        <w:ind w:right="48" w:firstLine="483"/>
        <w:jc w:val="both"/>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2.6</w:t>
      </w:r>
      <w:r>
        <w:rPr>
          <w:rFonts w:hint="eastAsia" w:ascii="宋体" w:hAnsi="宋体" w:eastAsia="宋体" w:cs="宋体"/>
          <w:spacing w:val="-71"/>
          <w:sz w:val="24"/>
          <w:szCs w:val="24"/>
          <w:highlight w:val="none"/>
        </w:rPr>
        <w:t xml:space="preserve"> </w:t>
      </w:r>
      <w:r>
        <w:rPr>
          <w:rFonts w:hint="eastAsia" w:ascii="宋体" w:hAnsi="宋体" w:eastAsia="宋体" w:cs="宋体"/>
          <w:spacing w:val="-3"/>
          <w:sz w:val="24"/>
          <w:szCs w:val="24"/>
          <w:highlight w:val="none"/>
        </w:rPr>
        <w:t>磋商文件格式所要求包含的全部资料应全部制作在响应文件内，严格按照</w:t>
      </w:r>
      <w:r>
        <w:rPr>
          <w:rFonts w:hint="eastAsia" w:ascii="宋体" w:hAnsi="宋体" w:eastAsia="宋体" w:cs="宋体"/>
          <w:spacing w:val="-4"/>
          <w:sz w:val="24"/>
          <w:szCs w:val="24"/>
          <w:highlight w:val="none"/>
        </w:rPr>
        <w:t>本项目磋</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 xml:space="preserve">商文件所有格式如实填写(不涉及的内容除外),不应存在漏项或缺项，否则将存在响应 </w:t>
      </w:r>
      <w:r>
        <w:rPr>
          <w:rFonts w:hint="eastAsia" w:ascii="宋体" w:hAnsi="宋体" w:eastAsia="宋体" w:cs="宋体"/>
          <w:spacing w:val="-1"/>
          <w:sz w:val="24"/>
          <w:szCs w:val="24"/>
          <w:highlight w:val="none"/>
        </w:rPr>
        <w:t>文件被拒绝的风险。投标函及开标一览表，须严格按照格式编辑，并作为电子开评标系统</w:t>
      </w:r>
      <w:r>
        <w:rPr>
          <w:rFonts w:hint="eastAsia" w:ascii="宋体" w:hAnsi="宋体" w:eastAsia="宋体" w:cs="宋体"/>
          <w:spacing w:val="-17"/>
          <w:sz w:val="24"/>
          <w:szCs w:val="24"/>
          <w:highlight w:val="none"/>
        </w:rPr>
        <w:t>上传的依据。</w:t>
      </w:r>
    </w:p>
    <w:p>
      <w:pPr>
        <w:spacing w:before="155" w:line="219" w:lineRule="auto"/>
        <w:ind w:left="483"/>
        <w:rPr>
          <w:rFonts w:hint="eastAsia" w:ascii="宋体" w:hAnsi="宋体" w:eastAsia="宋体" w:cs="宋体"/>
          <w:sz w:val="24"/>
          <w:szCs w:val="24"/>
          <w:highlight w:val="none"/>
        </w:rPr>
      </w:pPr>
      <w:r>
        <w:rPr>
          <w:rFonts w:hint="eastAsia" w:ascii="宋体" w:hAnsi="宋体" w:eastAsia="宋体" w:cs="宋体"/>
          <w:b/>
          <w:bCs/>
          <w:spacing w:val="-3"/>
          <w:sz w:val="24"/>
          <w:szCs w:val="24"/>
          <w:highlight w:val="none"/>
        </w:rPr>
        <w:t>2.7</w:t>
      </w:r>
      <w:r>
        <w:rPr>
          <w:rFonts w:hint="eastAsia" w:ascii="宋体" w:hAnsi="宋体" w:eastAsia="宋体" w:cs="宋体"/>
          <w:spacing w:val="-23"/>
          <w:sz w:val="24"/>
          <w:szCs w:val="24"/>
          <w:highlight w:val="none"/>
        </w:rPr>
        <w:t xml:space="preserve"> </w:t>
      </w:r>
      <w:r>
        <w:rPr>
          <w:rFonts w:hint="eastAsia" w:ascii="宋体" w:hAnsi="宋体" w:eastAsia="宋体" w:cs="宋体"/>
          <w:spacing w:val="-3"/>
          <w:sz w:val="24"/>
          <w:szCs w:val="24"/>
          <w:highlight w:val="none"/>
        </w:rPr>
        <w:t>响应文件以外的任何资料采购人和采购代理机构将拒收。</w:t>
      </w:r>
    </w:p>
    <w:p>
      <w:pPr>
        <w:spacing w:before="151" w:line="339" w:lineRule="auto"/>
        <w:ind w:right="22" w:firstLine="480"/>
        <w:jc w:val="both"/>
        <w:rPr>
          <w:rFonts w:hint="eastAsia" w:ascii="宋体" w:hAnsi="宋体" w:eastAsia="宋体" w:cs="宋体"/>
          <w:spacing w:val="2"/>
          <w:sz w:val="24"/>
          <w:szCs w:val="24"/>
          <w:highlight w:val="none"/>
        </w:rPr>
      </w:pPr>
      <w:r>
        <w:rPr>
          <w:rFonts w:hint="eastAsia" w:ascii="宋体" w:hAnsi="宋体" w:eastAsia="宋体" w:cs="宋体"/>
          <w:b/>
          <w:bCs/>
          <w:spacing w:val="2"/>
          <w:sz w:val="24"/>
          <w:szCs w:val="24"/>
          <w:highlight w:val="none"/>
        </w:rPr>
        <w:t>2.8</w:t>
      </w:r>
      <w:r>
        <w:rPr>
          <w:rFonts w:hint="eastAsia" w:ascii="宋体" w:hAnsi="宋体" w:eastAsia="宋体" w:cs="宋体"/>
          <w:spacing w:val="2"/>
          <w:sz w:val="24"/>
          <w:szCs w:val="24"/>
          <w:highlight w:val="none"/>
        </w:rPr>
        <w:t xml:space="preserve"> 供应商编辑电子响应文件时，根据磋商文件要求用法人CA 密钥和企业CA 密钥进行签章制作；最后一步生成电子响应文件(*.hntf 格式)时，只能用本单位的企业CA 密钥。</w:t>
      </w:r>
    </w:p>
    <w:p>
      <w:pPr>
        <w:spacing w:before="154" w:line="220" w:lineRule="auto"/>
        <w:ind w:left="483"/>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3澄清与变更</w:t>
      </w:r>
    </w:p>
    <w:p>
      <w:pPr>
        <w:spacing w:before="151" w:line="339" w:lineRule="auto"/>
        <w:ind w:right="22" w:firstLine="480"/>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采购人、采购代理机构对已发出的磋商文件进行的澄</w:t>
      </w:r>
      <w:r>
        <w:rPr>
          <w:rFonts w:hint="eastAsia" w:ascii="宋体" w:hAnsi="宋体" w:eastAsia="宋体" w:cs="宋体"/>
          <w:spacing w:val="1"/>
          <w:sz w:val="24"/>
          <w:szCs w:val="24"/>
          <w:highlight w:val="none"/>
        </w:rPr>
        <w:t>清、更正或更改，澄清、更正或</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更改的内容将作为磋商文件的组成部分。采购</w:t>
      </w:r>
      <w:r>
        <w:rPr>
          <w:rFonts w:hint="eastAsia" w:ascii="宋体" w:hAnsi="宋体" w:eastAsia="宋体" w:cs="宋体"/>
          <w:spacing w:val="1"/>
          <w:sz w:val="24"/>
          <w:szCs w:val="24"/>
          <w:highlight w:val="none"/>
        </w:rPr>
        <w:t>代理机构将通过系统内部“答疑文件”、变</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更公告等方式告知供应商，对于各项目中已经成功报名并下载磋商文件的</w:t>
      </w:r>
      <w:r>
        <w:rPr>
          <w:rFonts w:hint="eastAsia" w:ascii="宋体" w:hAnsi="宋体" w:eastAsia="宋体" w:cs="宋体"/>
          <w:spacing w:val="1"/>
          <w:sz w:val="24"/>
          <w:szCs w:val="24"/>
          <w:highlight w:val="none"/>
        </w:rPr>
        <w:t>项目供应商，系</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统将通过第三方短信群发方式提醒供应商进行</w:t>
      </w:r>
      <w:r>
        <w:rPr>
          <w:rFonts w:hint="eastAsia" w:ascii="宋体" w:hAnsi="宋体" w:eastAsia="宋体" w:cs="宋体"/>
          <w:spacing w:val="1"/>
          <w:sz w:val="24"/>
          <w:szCs w:val="24"/>
          <w:highlight w:val="none"/>
        </w:rPr>
        <w:t>查询。各供应商须重新下载最新的磋商文件</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和答疑文件，以此编制响应文件。供应商注</w:t>
      </w:r>
      <w:r>
        <w:rPr>
          <w:rFonts w:hint="eastAsia" w:ascii="宋体" w:hAnsi="宋体" w:eastAsia="宋体" w:cs="宋体"/>
          <w:spacing w:val="1"/>
          <w:sz w:val="24"/>
          <w:szCs w:val="24"/>
          <w:highlight w:val="none"/>
        </w:rPr>
        <w:t>册时所留手机联系方式要保持畅通，因联系方</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式变更而未及时更新系统内联系方式的，将会</w:t>
      </w:r>
      <w:r>
        <w:rPr>
          <w:rFonts w:hint="eastAsia" w:ascii="宋体" w:hAnsi="宋体" w:eastAsia="宋体" w:cs="宋体"/>
          <w:spacing w:val="1"/>
          <w:sz w:val="24"/>
          <w:szCs w:val="24"/>
          <w:highlight w:val="none"/>
        </w:rPr>
        <w:t>造成收不到短信。此短信仅系友情提示，并</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不具有任何约束性和必要性，采购代理机构不承担供应商未收到短</w:t>
      </w:r>
      <w:r>
        <w:rPr>
          <w:rFonts w:hint="eastAsia" w:ascii="宋体" w:hAnsi="宋体" w:eastAsia="宋体" w:cs="宋体"/>
          <w:spacing w:val="1"/>
          <w:sz w:val="24"/>
          <w:szCs w:val="24"/>
          <w:highlight w:val="none"/>
        </w:rPr>
        <w:t>信而引起的一切后果和</w:t>
      </w:r>
    </w:p>
    <w:p>
      <w:pPr>
        <w:spacing w:line="219" w:lineRule="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法律责任。</w:t>
      </w:r>
    </w:p>
    <w:p>
      <w:pPr>
        <w:spacing w:before="153" w:line="339" w:lineRule="auto"/>
        <w:ind w:right="24" w:firstLine="480"/>
        <w:jc w:val="both"/>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4因河南省公共资源交易中心平台在开标前</w:t>
      </w:r>
      <w:r>
        <w:rPr>
          <w:rFonts w:hint="eastAsia" w:ascii="宋体" w:hAnsi="宋体" w:eastAsia="宋体" w:cs="宋体"/>
          <w:spacing w:val="-2"/>
          <w:sz w:val="24"/>
          <w:szCs w:val="24"/>
          <w:highlight w:val="none"/>
        </w:rPr>
        <w:t>具有保密性，供应商在响应文件递交截止时</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间前须自行查看项目进展、变更通知、澄清及回复，因供应商未及时</w:t>
      </w:r>
      <w:r>
        <w:rPr>
          <w:rFonts w:hint="eastAsia" w:ascii="宋体" w:hAnsi="宋体" w:eastAsia="宋体" w:cs="宋体"/>
          <w:spacing w:val="1"/>
          <w:sz w:val="24"/>
          <w:szCs w:val="24"/>
          <w:highlight w:val="none"/>
        </w:rPr>
        <w:t>查看而造成的后果自</w:t>
      </w:r>
    </w:p>
    <w:p>
      <w:pPr>
        <w:spacing w:line="219" w:lineRule="auto"/>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负。</w:t>
      </w:r>
    </w:p>
    <w:p>
      <w:pPr>
        <w:spacing w:line="219" w:lineRule="auto"/>
        <w:rPr>
          <w:rFonts w:hint="eastAsia" w:ascii="宋体" w:hAnsi="宋体" w:eastAsia="宋体" w:cs="宋体"/>
          <w:sz w:val="24"/>
          <w:szCs w:val="24"/>
          <w:highlight w:val="none"/>
        </w:rPr>
        <w:sectPr>
          <w:footerReference r:id="rId6" w:type="default"/>
          <w:pgSz w:w="11910" w:h="16840"/>
          <w:pgMar w:top="1431" w:right="1215" w:bottom="1176" w:left="1239" w:header="0" w:footer="997" w:gutter="0"/>
          <w:pgNumType w:fmt="decimal" w:start="1"/>
          <w:cols w:space="720" w:num="1"/>
        </w:sectPr>
      </w:pPr>
    </w:p>
    <w:p>
      <w:pPr>
        <w:pStyle w:val="7"/>
        <w:spacing w:line="285" w:lineRule="auto"/>
        <w:rPr>
          <w:rFonts w:hint="eastAsia" w:ascii="宋体" w:hAnsi="宋体" w:eastAsia="宋体" w:cs="宋体"/>
          <w:highlight w:val="none"/>
        </w:rPr>
      </w:pPr>
      <w:bookmarkStart w:id="1" w:name="bookmark1"/>
      <w:bookmarkEnd w:id="1"/>
    </w:p>
    <w:p>
      <w:pPr>
        <w:pStyle w:val="3"/>
        <w:bidi w:val="0"/>
        <w:jc w:val="center"/>
        <w:rPr>
          <w:rFonts w:hint="eastAsia"/>
          <w:highlight w:val="none"/>
        </w:rPr>
      </w:pPr>
      <w:bookmarkStart w:id="2" w:name="_Toc23483"/>
      <w:r>
        <w:rPr>
          <w:rFonts w:hint="eastAsia"/>
          <w:highlight w:val="none"/>
        </w:rPr>
        <w:t>第一章  竞争性磋商公告</w:t>
      </w:r>
      <w:bookmarkEnd w:id="2"/>
    </w:p>
    <w:p>
      <w:pPr>
        <w:pStyle w:val="7"/>
        <w:spacing w:line="294" w:lineRule="auto"/>
        <w:rPr>
          <w:rFonts w:hint="eastAsia" w:ascii="宋体" w:hAnsi="宋体" w:eastAsia="宋体" w:cs="宋体"/>
          <w:highlight w:val="none"/>
        </w:rPr>
      </w:pPr>
    </w:p>
    <w:p>
      <w:pPr>
        <w:spacing w:before="78" w:line="219" w:lineRule="auto"/>
        <w:ind w:left="52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项目概况</w:t>
      </w:r>
    </w:p>
    <w:p>
      <w:pPr>
        <w:spacing w:before="184" w:line="354" w:lineRule="auto"/>
        <w:ind w:left="45" w:right="40" w:firstLine="479"/>
        <w:rPr>
          <w:rFonts w:hint="eastAsia" w:ascii="宋体" w:hAnsi="宋体" w:eastAsia="宋体" w:cs="宋体"/>
          <w:sz w:val="24"/>
          <w:szCs w:val="24"/>
          <w:highlight w:val="none"/>
        </w:rPr>
      </w:pPr>
      <w:r>
        <w:rPr>
          <w:rFonts w:hint="eastAsia" w:ascii="宋体" w:hAnsi="宋体" w:eastAsia="宋体" w:cs="宋体"/>
          <w:spacing w:val="4"/>
          <w:sz w:val="24"/>
          <w:szCs w:val="24"/>
          <w:highlight w:val="none"/>
          <w:lang w:eastAsia="zh-CN"/>
        </w:rPr>
        <w:t>河南省南水北调渠首生态环境监测应急中心丹江口库区及上游重金属在线监测运行维护项目</w:t>
      </w:r>
      <w:r>
        <w:rPr>
          <w:rFonts w:hint="eastAsia" w:ascii="宋体" w:hAnsi="宋体" w:eastAsia="宋体" w:cs="宋体"/>
          <w:spacing w:val="4"/>
          <w:sz w:val="24"/>
          <w:szCs w:val="24"/>
          <w:highlight w:val="none"/>
        </w:rPr>
        <w:t>的潜在投标人应在河南</w:t>
      </w:r>
      <w:r>
        <w:rPr>
          <w:rFonts w:hint="eastAsia" w:ascii="宋体" w:hAnsi="宋体" w:eastAsia="宋体" w:cs="宋体"/>
          <w:spacing w:val="11"/>
          <w:sz w:val="24"/>
          <w:szCs w:val="24"/>
          <w:highlight w:val="none"/>
        </w:rPr>
        <w:t>省公共资源交易中心</w:t>
      </w:r>
      <w:r>
        <w:rPr>
          <w:rFonts w:hint="eastAsia" w:ascii="宋体" w:hAnsi="宋体" w:eastAsia="宋体" w:cs="宋体"/>
          <w:spacing w:val="59"/>
          <w:sz w:val="24"/>
          <w:szCs w:val="24"/>
          <w:highlight w:val="none"/>
        </w:rPr>
        <w:t xml:space="preserve"> </w:t>
      </w:r>
      <w:r>
        <w:rPr>
          <w:rFonts w:hint="eastAsia" w:ascii="宋体" w:hAnsi="宋体" w:eastAsia="宋体" w:cs="宋体"/>
          <w:spacing w:val="11"/>
          <w:sz w:val="24"/>
          <w:szCs w:val="24"/>
          <w:highlight w:val="none"/>
          <w:u w:val="single" w:color="auto"/>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"http://www.hnggzy.net" </w:instrText>
      </w:r>
      <w:r>
        <w:rPr>
          <w:rFonts w:hint="eastAsia" w:ascii="宋体" w:hAnsi="宋体" w:eastAsia="宋体" w:cs="宋体"/>
          <w:highlight w:val="none"/>
        </w:rPr>
        <w:fldChar w:fldCharType="separate"/>
      </w:r>
      <w:r>
        <w:rPr>
          <w:rFonts w:hint="eastAsia" w:ascii="宋体" w:hAnsi="宋体" w:eastAsia="宋体" w:cs="宋体"/>
          <w:sz w:val="24"/>
          <w:szCs w:val="24"/>
          <w:highlight w:val="none"/>
          <w:u w:val="single" w:color="auto"/>
        </w:rPr>
        <w:t>http</w:t>
      </w:r>
      <w:r>
        <w:rPr>
          <w:rFonts w:hint="eastAsia" w:ascii="宋体" w:hAnsi="宋体" w:eastAsia="宋体" w:cs="宋体"/>
          <w:spacing w:val="11"/>
          <w:sz w:val="24"/>
          <w:szCs w:val="24"/>
          <w:highlight w:val="none"/>
          <w:u w:val="single" w:color="auto"/>
        </w:rPr>
        <w:t>://</w:t>
      </w:r>
      <w:r>
        <w:rPr>
          <w:rFonts w:hint="eastAsia" w:ascii="宋体" w:hAnsi="宋体" w:eastAsia="宋体" w:cs="宋体"/>
          <w:sz w:val="24"/>
          <w:szCs w:val="24"/>
          <w:highlight w:val="none"/>
          <w:u w:val="single" w:color="auto"/>
        </w:rPr>
        <w:t>www</w:t>
      </w:r>
      <w:r>
        <w:rPr>
          <w:rFonts w:hint="eastAsia" w:ascii="宋体" w:hAnsi="宋体" w:eastAsia="宋体" w:cs="宋体"/>
          <w:spacing w:val="11"/>
          <w:sz w:val="24"/>
          <w:szCs w:val="24"/>
          <w:highlight w:val="none"/>
          <w:u w:val="single" w:color="auto"/>
        </w:rPr>
        <w:t>.</w:t>
      </w:r>
      <w:r>
        <w:rPr>
          <w:rFonts w:hint="eastAsia" w:ascii="宋体" w:hAnsi="宋体" w:eastAsia="宋体" w:cs="宋体"/>
          <w:sz w:val="24"/>
          <w:szCs w:val="24"/>
          <w:highlight w:val="none"/>
          <w:u w:val="single" w:color="auto"/>
        </w:rPr>
        <w:t>hnggzy</w:t>
      </w:r>
      <w:r>
        <w:rPr>
          <w:rFonts w:hint="eastAsia" w:ascii="宋体" w:hAnsi="宋体" w:eastAsia="宋体" w:cs="宋体"/>
          <w:spacing w:val="11"/>
          <w:sz w:val="24"/>
          <w:szCs w:val="24"/>
          <w:highlight w:val="none"/>
          <w:u w:val="single" w:color="auto"/>
        </w:rPr>
        <w:t>.</w:t>
      </w:r>
      <w:r>
        <w:rPr>
          <w:rFonts w:hint="eastAsia" w:ascii="宋体" w:hAnsi="宋体" w:eastAsia="宋体" w:cs="宋体"/>
          <w:sz w:val="24"/>
          <w:szCs w:val="24"/>
          <w:highlight w:val="none"/>
          <w:u w:val="single" w:color="auto"/>
        </w:rPr>
        <w:t>net</w:t>
      </w:r>
      <w:r>
        <w:rPr>
          <w:rFonts w:hint="eastAsia" w:ascii="宋体" w:hAnsi="宋体" w:eastAsia="宋体" w:cs="宋体"/>
          <w:sz w:val="24"/>
          <w:szCs w:val="24"/>
          <w:highlight w:val="none"/>
          <w:u w:val="single" w:color="auto"/>
        </w:rPr>
        <w:fldChar w:fldCharType="end"/>
      </w:r>
      <w:r>
        <w:rPr>
          <w:rFonts w:hint="eastAsia" w:ascii="宋体" w:hAnsi="宋体" w:eastAsia="宋体" w:cs="宋体"/>
          <w:spacing w:val="11"/>
          <w:sz w:val="24"/>
          <w:szCs w:val="24"/>
          <w:highlight w:val="none"/>
          <w:u w:val="single" w:color="auto"/>
        </w:rPr>
        <w:t>)</w:t>
      </w:r>
      <w:r>
        <w:rPr>
          <w:rFonts w:hint="eastAsia" w:ascii="宋体" w:hAnsi="宋体" w:eastAsia="宋体" w:cs="宋体"/>
          <w:spacing w:val="11"/>
          <w:sz w:val="24"/>
          <w:szCs w:val="24"/>
          <w:highlight w:val="none"/>
        </w:rPr>
        <w:t xml:space="preserve">       获取招标文件，并于2024年</w:t>
      </w:r>
      <w:r>
        <w:rPr>
          <w:rFonts w:hint="eastAsia" w:ascii="宋体" w:hAnsi="宋体" w:eastAsia="宋体" w:cs="宋体"/>
          <w:spacing w:val="11"/>
          <w:sz w:val="24"/>
          <w:szCs w:val="24"/>
          <w:highlight w:val="none"/>
          <w:lang w:val="en-US" w:eastAsia="zh-CN"/>
        </w:rPr>
        <w:t>04</w:t>
      </w:r>
      <w:r>
        <w:rPr>
          <w:rFonts w:hint="eastAsia" w:ascii="宋体" w:hAnsi="宋体" w:eastAsia="宋体" w:cs="宋体"/>
          <w:spacing w:val="11"/>
          <w:sz w:val="24"/>
          <w:szCs w:val="24"/>
          <w:highlight w:val="none"/>
        </w:rPr>
        <w:t>月</w:t>
      </w:r>
      <w:r>
        <w:rPr>
          <w:rFonts w:hint="eastAsia" w:ascii="宋体" w:hAnsi="宋体" w:eastAsia="宋体" w:cs="宋体"/>
          <w:spacing w:val="11"/>
          <w:sz w:val="24"/>
          <w:szCs w:val="24"/>
          <w:highlight w:val="none"/>
          <w:lang w:val="en-US" w:eastAsia="zh-CN"/>
        </w:rPr>
        <w:t>12</w:t>
      </w:r>
      <w:r>
        <w:rPr>
          <w:rFonts w:hint="eastAsia" w:ascii="宋体" w:hAnsi="宋体" w:eastAsia="宋体" w:cs="宋体"/>
          <w:spacing w:val="19"/>
          <w:sz w:val="24"/>
          <w:szCs w:val="24"/>
          <w:highlight w:val="none"/>
        </w:rPr>
        <w:t>日09时00分(北京时间)前递交响应文件。</w:t>
      </w:r>
    </w:p>
    <w:p>
      <w:pPr>
        <w:spacing w:before="203" w:line="219" w:lineRule="auto"/>
        <w:ind w:left="52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一、项目基本情况</w:t>
      </w:r>
    </w:p>
    <w:p>
      <w:pPr>
        <w:spacing w:before="186" w:line="219" w:lineRule="auto"/>
        <w:ind w:left="524"/>
        <w:rPr>
          <w:rFonts w:hint="eastAsia" w:ascii="宋体" w:hAnsi="宋体" w:eastAsia="宋体" w:cs="宋体"/>
          <w:sz w:val="24"/>
          <w:szCs w:val="24"/>
          <w:highlight w:val="none"/>
          <w:lang w:eastAsia="zh-CN"/>
        </w:rPr>
      </w:pPr>
      <w:r>
        <w:rPr>
          <w:rFonts w:hint="eastAsia" w:ascii="宋体" w:hAnsi="宋体" w:eastAsia="宋体" w:cs="宋体"/>
          <w:spacing w:val="-3"/>
          <w:sz w:val="24"/>
          <w:szCs w:val="24"/>
          <w:highlight w:val="none"/>
        </w:rPr>
        <w:t>1.项目编号：豫财磋商采购-2024-</w:t>
      </w:r>
      <w:r>
        <w:rPr>
          <w:rFonts w:hint="eastAsia" w:ascii="宋体" w:hAnsi="宋体" w:eastAsia="宋体" w:cs="宋体"/>
          <w:spacing w:val="-3"/>
          <w:sz w:val="24"/>
          <w:szCs w:val="24"/>
          <w:highlight w:val="none"/>
          <w:lang w:val="en-US" w:eastAsia="zh-CN"/>
        </w:rPr>
        <w:t xml:space="preserve">146 </w:t>
      </w:r>
    </w:p>
    <w:p>
      <w:pPr>
        <w:spacing w:before="185" w:line="219" w:lineRule="auto"/>
        <w:ind w:left="524"/>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2.项目名称：</w:t>
      </w:r>
      <w:r>
        <w:rPr>
          <w:rFonts w:hint="eastAsia" w:ascii="宋体" w:hAnsi="宋体" w:eastAsia="宋体" w:cs="宋体"/>
          <w:spacing w:val="-1"/>
          <w:sz w:val="24"/>
          <w:szCs w:val="24"/>
          <w:highlight w:val="none"/>
          <w:lang w:eastAsia="zh-CN"/>
        </w:rPr>
        <w:t>河南省南水北调渠首生态环境监测应急中心丹江口库区及上游重金属在线监测运行维护项目</w:t>
      </w:r>
    </w:p>
    <w:p>
      <w:pPr>
        <w:spacing w:before="185" w:line="219" w:lineRule="auto"/>
        <w:ind w:left="52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3.采购方式：竞争性磋商</w:t>
      </w:r>
    </w:p>
    <w:p>
      <w:pPr>
        <w:spacing w:before="175" w:line="218" w:lineRule="auto"/>
        <w:ind w:left="52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4.预算金额：</w:t>
      </w:r>
      <w:r>
        <w:rPr>
          <w:rFonts w:hint="eastAsia" w:ascii="宋体" w:hAnsi="宋体" w:eastAsia="宋体" w:cs="宋体"/>
          <w:spacing w:val="3"/>
          <w:sz w:val="24"/>
          <w:szCs w:val="24"/>
          <w:highlight w:val="none"/>
          <w:lang w:val="en-US" w:eastAsia="zh-CN"/>
        </w:rPr>
        <w:t>1500000</w:t>
      </w:r>
      <w:r>
        <w:rPr>
          <w:rFonts w:hint="eastAsia" w:ascii="宋体" w:hAnsi="宋体" w:eastAsia="宋体" w:cs="宋体"/>
          <w:spacing w:val="3"/>
          <w:sz w:val="24"/>
          <w:szCs w:val="24"/>
          <w:highlight w:val="none"/>
        </w:rPr>
        <w:t>元，最高限价：</w:t>
      </w:r>
      <w:r>
        <w:rPr>
          <w:rFonts w:hint="eastAsia" w:ascii="宋体" w:hAnsi="宋体" w:eastAsia="宋体" w:cs="宋体"/>
          <w:spacing w:val="3"/>
          <w:sz w:val="24"/>
          <w:szCs w:val="24"/>
          <w:highlight w:val="none"/>
          <w:lang w:val="en-US" w:eastAsia="zh-CN"/>
        </w:rPr>
        <w:t>1500000</w:t>
      </w:r>
      <w:r>
        <w:rPr>
          <w:rFonts w:hint="eastAsia" w:ascii="宋体" w:hAnsi="宋体" w:eastAsia="宋体" w:cs="宋体"/>
          <w:spacing w:val="2"/>
          <w:sz w:val="24"/>
          <w:szCs w:val="24"/>
          <w:highlight w:val="none"/>
        </w:rPr>
        <w:t>元。</w:t>
      </w:r>
    </w:p>
    <w:p>
      <w:pPr>
        <w:spacing w:line="64" w:lineRule="exact"/>
        <w:rPr>
          <w:rFonts w:hint="eastAsia" w:ascii="宋体" w:hAnsi="宋体" w:eastAsia="宋体" w:cs="宋体"/>
          <w:highlight w:val="none"/>
        </w:rPr>
      </w:pPr>
    </w:p>
    <w:tbl>
      <w:tblPr>
        <w:tblStyle w:val="30"/>
        <w:tblW w:w="913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34"/>
        <w:gridCol w:w="1728"/>
        <w:gridCol w:w="3576"/>
        <w:gridCol w:w="1448"/>
        <w:gridCol w:w="175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62" w:hRule="atLeast"/>
        </w:trPr>
        <w:tc>
          <w:tcPr>
            <w:tcW w:w="634" w:type="dxa"/>
            <w:vAlign w:val="top"/>
          </w:tcPr>
          <w:p>
            <w:pPr>
              <w:pStyle w:val="31"/>
              <w:spacing w:before="184" w:line="221" w:lineRule="auto"/>
              <w:ind w:left="95"/>
              <w:jc w:val="center"/>
              <w:rPr>
                <w:rFonts w:hint="eastAsia" w:ascii="宋体" w:hAnsi="宋体" w:eastAsia="宋体" w:cs="宋体"/>
                <w:highlight w:val="none"/>
              </w:rPr>
            </w:pPr>
            <w:r>
              <w:rPr>
                <w:rFonts w:hint="eastAsia" w:ascii="宋体" w:hAnsi="宋体" w:eastAsia="宋体" w:cs="宋体"/>
                <w:spacing w:val="6"/>
                <w:highlight w:val="none"/>
              </w:rPr>
              <w:t>序号</w:t>
            </w:r>
          </w:p>
        </w:tc>
        <w:tc>
          <w:tcPr>
            <w:tcW w:w="1728" w:type="dxa"/>
            <w:vAlign w:val="top"/>
          </w:tcPr>
          <w:p>
            <w:pPr>
              <w:pStyle w:val="31"/>
              <w:spacing w:before="184" w:line="221" w:lineRule="auto"/>
              <w:ind w:left="640"/>
              <w:rPr>
                <w:rFonts w:hint="eastAsia" w:ascii="宋体" w:hAnsi="宋体" w:eastAsia="宋体" w:cs="宋体"/>
                <w:highlight w:val="none"/>
              </w:rPr>
            </w:pPr>
            <w:r>
              <w:rPr>
                <w:rFonts w:hint="eastAsia" w:ascii="宋体" w:hAnsi="宋体" w:eastAsia="宋体" w:cs="宋体"/>
                <w:spacing w:val="6"/>
                <w:highlight w:val="none"/>
              </w:rPr>
              <w:t>包号</w:t>
            </w:r>
          </w:p>
        </w:tc>
        <w:tc>
          <w:tcPr>
            <w:tcW w:w="3576" w:type="dxa"/>
            <w:vAlign w:val="top"/>
          </w:tcPr>
          <w:p>
            <w:pPr>
              <w:pStyle w:val="31"/>
              <w:spacing w:before="186" w:line="221" w:lineRule="auto"/>
              <w:ind w:left="1463"/>
              <w:rPr>
                <w:rFonts w:hint="eastAsia" w:ascii="宋体" w:hAnsi="宋体" w:eastAsia="宋体" w:cs="宋体"/>
                <w:highlight w:val="none"/>
              </w:rPr>
            </w:pPr>
            <w:r>
              <w:rPr>
                <w:rFonts w:hint="eastAsia" w:ascii="宋体" w:hAnsi="宋体" w:eastAsia="宋体" w:cs="宋体"/>
                <w:spacing w:val="-2"/>
                <w:highlight w:val="none"/>
              </w:rPr>
              <w:t>包名称</w:t>
            </w:r>
          </w:p>
        </w:tc>
        <w:tc>
          <w:tcPr>
            <w:tcW w:w="1448" w:type="dxa"/>
            <w:vAlign w:val="top"/>
          </w:tcPr>
          <w:p>
            <w:pPr>
              <w:pStyle w:val="31"/>
              <w:spacing w:before="183" w:line="219" w:lineRule="auto"/>
              <w:ind w:left="196"/>
              <w:rPr>
                <w:rFonts w:hint="eastAsia" w:ascii="宋体" w:hAnsi="宋体" w:eastAsia="宋体" w:cs="宋体"/>
                <w:highlight w:val="none"/>
              </w:rPr>
            </w:pPr>
            <w:r>
              <w:rPr>
                <w:rFonts w:hint="eastAsia" w:ascii="宋体" w:hAnsi="宋体" w:eastAsia="宋体" w:cs="宋体"/>
                <w:spacing w:val="7"/>
                <w:highlight w:val="none"/>
              </w:rPr>
              <w:t>包预算(元)</w:t>
            </w:r>
          </w:p>
        </w:tc>
        <w:tc>
          <w:tcPr>
            <w:tcW w:w="1753" w:type="dxa"/>
            <w:vAlign w:val="top"/>
          </w:tcPr>
          <w:p>
            <w:pPr>
              <w:pStyle w:val="31"/>
              <w:spacing w:before="181" w:line="218" w:lineRule="auto"/>
              <w:ind w:left="138"/>
              <w:rPr>
                <w:rFonts w:hint="eastAsia" w:ascii="宋体" w:hAnsi="宋体" w:eastAsia="宋体" w:cs="宋体"/>
                <w:highlight w:val="none"/>
              </w:rPr>
            </w:pPr>
            <w:r>
              <w:rPr>
                <w:rFonts w:hint="eastAsia" w:ascii="宋体" w:hAnsi="宋体" w:eastAsia="宋体" w:cs="宋体"/>
                <w:spacing w:val="5"/>
                <w:highlight w:val="none"/>
              </w:rPr>
              <w:t>包最高限价(元)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6" w:hRule="atLeast"/>
        </w:trPr>
        <w:tc>
          <w:tcPr>
            <w:tcW w:w="634" w:type="dxa"/>
            <w:vAlign w:val="center"/>
          </w:tcPr>
          <w:p>
            <w:pPr>
              <w:spacing w:before="184" w:line="362" w:lineRule="auto"/>
              <w:ind w:right="37"/>
              <w:jc w:val="center"/>
              <w:rPr>
                <w:rFonts w:hint="eastAsia" w:ascii="宋体" w:hAnsi="宋体" w:eastAsia="宋体" w:cs="宋体"/>
                <w:spacing w:val="11"/>
                <w:sz w:val="24"/>
                <w:szCs w:val="24"/>
                <w:highlight w:val="none"/>
                <w:lang w:val="en-US" w:eastAsia="zh-CN"/>
              </w:rPr>
            </w:pPr>
            <w:r>
              <w:rPr>
                <w:rFonts w:hint="eastAsia" w:ascii="宋体" w:hAnsi="宋体" w:eastAsia="宋体" w:cs="宋体"/>
                <w:spacing w:val="11"/>
                <w:sz w:val="24"/>
                <w:szCs w:val="24"/>
                <w:highlight w:val="none"/>
                <w:lang w:val="en-US" w:eastAsia="zh-CN"/>
              </w:rPr>
              <w:t>1</w:t>
            </w:r>
          </w:p>
        </w:tc>
        <w:tc>
          <w:tcPr>
            <w:tcW w:w="1728" w:type="dxa"/>
            <w:vAlign w:val="center"/>
          </w:tcPr>
          <w:p>
            <w:pPr>
              <w:spacing w:before="184" w:line="362" w:lineRule="auto"/>
              <w:ind w:right="37"/>
              <w:jc w:val="center"/>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豫政采(2)20240233-1</w:t>
            </w:r>
          </w:p>
        </w:tc>
        <w:tc>
          <w:tcPr>
            <w:tcW w:w="3576" w:type="dxa"/>
            <w:vAlign w:val="top"/>
          </w:tcPr>
          <w:p>
            <w:pPr>
              <w:spacing w:before="184" w:line="362" w:lineRule="auto"/>
              <w:ind w:right="37"/>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河南省南水北调渠首生态环境监测应急中心丹江口库区及上游重金属在线监测运行维护项目</w:t>
            </w:r>
          </w:p>
        </w:tc>
        <w:tc>
          <w:tcPr>
            <w:tcW w:w="1448" w:type="dxa"/>
            <w:vAlign w:val="center"/>
          </w:tcPr>
          <w:p>
            <w:pPr>
              <w:spacing w:before="184" w:line="362" w:lineRule="auto"/>
              <w:ind w:right="37"/>
              <w:jc w:val="center"/>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1500000</w:t>
            </w:r>
          </w:p>
        </w:tc>
        <w:tc>
          <w:tcPr>
            <w:tcW w:w="1753" w:type="dxa"/>
            <w:vAlign w:val="center"/>
          </w:tcPr>
          <w:p>
            <w:pPr>
              <w:spacing w:before="184" w:line="362" w:lineRule="auto"/>
              <w:ind w:left="45" w:right="37" w:firstLine="479"/>
              <w:jc w:val="both"/>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1500000</w:t>
            </w:r>
          </w:p>
        </w:tc>
      </w:tr>
    </w:tbl>
    <w:p>
      <w:pPr>
        <w:spacing w:before="196" w:line="219" w:lineRule="auto"/>
        <w:ind w:left="52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5.采购需求(包括但不限于标的的名称、数量、简要技术需求或服务要求等)</w:t>
      </w:r>
    </w:p>
    <w:p>
      <w:pPr>
        <w:spacing w:before="184" w:line="362" w:lineRule="auto"/>
        <w:ind w:left="45" w:right="37" w:firstLine="479"/>
        <w:rPr>
          <w:rFonts w:hint="eastAsia" w:ascii="宋体" w:hAnsi="宋体" w:eastAsia="宋体" w:cs="宋体"/>
          <w:spacing w:val="11"/>
          <w:sz w:val="24"/>
          <w:szCs w:val="24"/>
          <w:highlight w:val="none"/>
        </w:rPr>
      </w:pPr>
      <w:r>
        <w:rPr>
          <w:rFonts w:hint="eastAsia" w:ascii="宋体" w:hAnsi="宋体" w:eastAsia="宋体" w:cs="宋体"/>
          <w:spacing w:val="11"/>
          <w:sz w:val="24"/>
          <w:szCs w:val="24"/>
          <w:highlight w:val="none"/>
        </w:rPr>
        <w:t>5.1服务内容：丹江口库区及上游重金属在线监测运行维护，本项目包含安装在南阳市淅川县陶岔、五龙泉、张营、荆紫关及西峡县三道河5个国控水质自动监测站站房内的共5台重金属在线监测仪（ICP-MS）的日常运维，采购社会化第三方运维服务。</w:t>
      </w:r>
    </w:p>
    <w:p>
      <w:pPr>
        <w:spacing w:before="197" w:line="219" w:lineRule="auto"/>
        <w:ind w:left="524"/>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5.2服务期限：</w:t>
      </w:r>
      <w:r>
        <w:rPr>
          <w:rFonts w:hint="eastAsia" w:ascii="宋体" w:hAnsi="宋体" w:eastAsia="宋体" w:cs="宋体"/>
          <w:spacing w:val="4"/>
          <w:sz w:val="24"/>
          <w:szCs w:val="24"/>
          <w:highlight w:val="none"/>
          <w:lang w:val="en-US" w:eastAsia="zh-CN"/>
        </w:rPr>
        <w:t>12个月</w:t>
      </w:r>
      <w:r>
        <w:rPr>
          <w:rFonts w:hint="eastAsia" w:ascii="宋体" w:hAnsi="宋体" w:eastAsia="宋体" w:cs="宋体"/>
          <w:spacing w:val="4"/>
          <w:sz w:val="24"/>
          <w:szCs w:val="24"/>
          <w:highlight w:val="none"/>
        </w:rPr>
        <w:t>。</w:t>
      </w:r>
    </w:p>
    <w:p>
      <w:pPr>
        <w:spacing w:before="195" w:line="219" w:lineRule="auto"/>
        <w:ind w:left="524"/>
        <w:rPr>
          <w:rFonts w:hint="eastAsia" w:ascii="宋体" w:hAnsi="宋体" w:eastAsia="宋体" w:cs="宋体"/>
          <w:spacing w:val="-1"/>
          <w:position w:val="17"/>
          <w:sz w:val="24"/>
          <w:szCs w:val="24"/>
          <w:highlight w:val="none"/>
          <w:lang w:eastAsia="zh-CN"/>
        </w:rPr>
      </w:pPr>
      <w:r>
        <w:rPr>
          <w:rFonts w:hint="eastAsia" w:ascii="宋体" w:hAnsi="宋体" w:eastAsia="宋体" w:cs="宋体"/>
          <w:spacing w:val="-1"/>
          <w:position w:val="17"/>
          <w:sz w:val="24"/>
          <w:szCs w:val="24"/>
          <w:highlight w:val="none"/>
        </w:rPr>
        <w:t>5.3</w:t>
      </w:r>
      <w:r>
        <w:rPr>
          <w:rFonts w:hint="eastAsia" w:ascii="宋体" w:hAnsi="宋体" w:eastAsia="宋体" w:cs="宋体"/>
          <w:spacing w:val="-25"/>
          <w:position w:val="17"/>
          <w:sz w:val="24"/>
          <w:szCs w:val="24"/>
          <w:highlight w:val="none"/>
        </w:rPr>
        <w:t xml:space="preserve"> </w:t>
      </w:r>
      <w:r>
        <w:rPr>
          <w:rFonts w:hint="eastAsia" w:ascii="宋体" w:hAnsi="宋体" w:eastAsia="宋体" w:cs="宋体"/>
          <w:spacing w:val="-1"/>
          <w:position w:val="17"/>
          <w:sz w:val="24"/>
          <w:szCs w:val="24"/>
          <w:highlight w:val="none"/>
        </w:rPr>
        <w:t>质量标准：</w:t>
      </w:r>
      <w:r>
        <w:rPr>
          <w:rFonts w:hint="eastAsia" w:ascii="宋体" w:hAnsi="宋体" w:eastAsia="宋体" w:cs="宋体"/>
          <w:spacing w:val="-1"/>
          <w:position w:val="17"/>
          <w:sz w:val="24"/>
          <w:szCs w:val="24"/>
          <w:highlight w:val="none"/>
          <w:lang w:eastAsia="zh-CN"/>
        </w:rPr>
        <w:t>合格</w:t>
      </w:r>
    </w:p>
    <w:p>
      <w:pPr>
        <w:spacing w:before="195" w:line="219" w:lineRule="auto"/>
        <w:ind w:left="524"/>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5.4服务地点：采购人指定地点。</w:t>
      </w:r>
    </w:p>
    <w:p>
      <w:pPr>
        <w:spacing w:before="195" w:line="219" w:lineRule="auto"/>
        <w:ind w:left="524"/>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6.合同履行期限：同服务期</w:t>
      </w:r>
    </w:p>
    <w:p>
      <w:pPr>
        <w:spacing w:before="183" w:line="219" w:lineRule="auto"/>
        <w:ind w:left="48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7.本项目是否接受联合体投标：否</w:t>
      </w:r>
    </w:p>
    <w:p>
      <w:pPr>
        <w:spacing w:before="167" w:line="219" w:lineRule="auto"/>
        <w:ind w:left="48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8.是否接受进口产品：否</w:t>
      </w:r>
    </w:p>
    <w:p>
      <w:pPr>
        <w:spacing w:before="185" w:line="220" w:lineRule="auto"/>
        <w:ind w:left="48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9.是否专门面向中小企业：否</w:t>
      </w:r>
    </w:p>
    <w:p>
      <w:pPr>
        <w:spacing w:before="193" w:line="219" w:lineRule="auto"/>
        <w:ind w:left="480"/>
        <w:rPr>
          <w:rFonts w:hint="eastAsia" w:ascii="宋体" w:hAnsi="宋体" w:eastAsia="宋体" w:cs="宋体"/>
          <w:sz w:val="24"/>
          <w:szCs w:val="24"/>
          <w:highlight w:val="none"/>
        </w:rPr>
      </w:pPr>
      <w:r>
        <w:rPr>
          <w:rFonts w:hint="eastAsia" w:ascii="宋体" w:hAnsi="宋体" w:eastAsia="宋体" w:cs="宋体"/>
          <w:spacing w:val="-17"/>
          <w:sz w:val="24"/>
          <w:szCs w:val="24"/>
          <w:highlight w:val="none"/>
        </w:rPr>
        <w:t>二、</w:t>
      </w:r>
      <w:r>
        <w:rPr>
          <w:rFonts w:hint="eastAsia" w:ascii="宋体" w:hAnsi="宋体" w:eastAsia="宋体" w:cs="宋体"/>
          <w:spacing w:val="-55"/>
          <w:sz w:val="24"/>
          <w:szCs w:val="24"/>
          <w:highlight w:val="none"/>
        </w:rPr>
        <w:t xml:space="preserve"> </w:t>
      </w:r>
      <w:r>
        <w:rPr>
          <w:rFonts w:hint="eastAsia" w:ascii="宋体" w:hAnsi="宋体" w:eastAsia="宋体" w:cs="宋体"/>
          <w:spacing w:val="-17"/>
          <w:sz w:val="24"/>
          <w:szCs w:val="24"/>
          <w:highlight w:val="none"/>
        </w:rPr>
        <w:t>申请人资格要求：</w:t>
      </w:r>
    </w:p>
    <w:p>
      <w:pPr>
        <w:spacing w:before="184" w:line="219" w:lineRule="auto"/>
        <w:ind w:left="48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1.满足《中华人民共和国政府采购法》第二十二条规定；</w:t>
      </w:r>
    </w:p>
    <w:p>
      <w:pPr>
        <w:spacing w:before="185" w:line="219" w:lineRule="auto"/>
        <w:ind w:left="48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2.落实政府采购政策满足的资格要求：无；</w:t>
      </w:r>
    </w:p>
    <w:p>
      <w:pPr>
        <w:spacing w:before="165" w:line="219" w:lineRule="auto"/>
        <w:ind w:left="480"/>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3.本项目的特定资格要求</w:t>
      </w:r>
    </w:p>
    <w:p>
      <w:pPr>
        <w:spacing w:before="184" w:line="362" w:lineRule="auto"/>
        <w:ind w:right="98" w:firstLine="47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3.1单位负责人为同一人或者存在直接控股、管理关系的不同供应商，</w:t>
      </w:r>
      <w:r>
        <w:rPr>
          <w:rFonts w:hint="eastAsia" w:ascii="宋体" w:hAnsi="宋体" w:eastAsia="宋体" w:cs="宋体"/>
          <w:sz w:val="24"/>
          <w:szCs w:val="24"/>
          <w:highlight w:val="none"/>
        </w:rPr>
        <w:t xml:space="preserve">全部或者部 </w:t>
      </w:r>
      <w:r>
        <w:rPr>
          <w:rFonts w:hint="eastAsia" w:ascii="宋体" w:hAnsi="宋体" w:eastAsia="宋体" w:cs="宋体"/>
          <w:spacing w:val="4"/>
          <w:sz w:val="24"/>
          <w:szCs w:val="24"/>
          <w:highlight w:val="none"/>
        </w:rPr>
        <w:t>分股东(基金公司或者专业投资公司作为股东的除外)为同一法人、其他组织或者自然</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人的不同供应商，同一自然人在两个以上供应商任职的不同供应商，不得参加</w:t>
      </w:r>
      <w:r>
        <w:rPr>
          <w:rFonts w:hint="eastAsia" w:ascii="宋体" w:hAnsi="宋体" w:eastAsia="宋体" w:cs="宋体"/>
          <w:spacing w:val="-3"/>
          <w:sz w:val="24"/>
          <w:szCs w:val="24"/>
          <w:highlight w:val="none"/>
        </w:rPr>
        <w:t>同一合同</w:t>
      </w:r>
      <w:r>
        <w:rPr>
          <w:rFonts w:hint="eastAsia" w:ascii="宋体" w:hAnsi="宋体" w:eastAsia="宋体" w:cs="宋体"/>
          <w:sz w:val="24"/>
          <w:szCs w:val="24"/>
          <w:highlight w:val="none"/>
        </w:rPr>
        <w:t xml:space="preserve"> </w:t>
      </w:r>
      <w:r>
        <w:rPr>
          <w:rFonts w:hint="eastAsia" w:ascii="宋体" w:hAnsi="宋体" w:eastAsia="宋体" w:cs="宋体"/>
          <w:spacing w:val="-8"/>
          <w:sz w:val="24"/>
          <w:szCs w:val="24"/>
          <w:highlight w:val="none"/>
        </w:rPr>
        <w:t>项下的投标。</w:t>
      </w:r>
      <w:r>
        <w:rPr>
          <w:rFonts w:hint="eastAsia" w:ascii="宋体" w:hAnsi="宋体" w:eastAsia="宋体" w:cs="宋体"/>
          <w:spacing w:val="74"/>
          <w:sz w:val="24"/>
          <w:szCs w:val="24"/>
          <w:highlight w:val="none"/>
        </w:rPr>
        <w:t xml:space="preserve"> </w:t>
      </w:r>
      <w:r>
        <w:rPr>
          <w:rFonts w:hint="eastAsia" w:ascii="宋体" w:hAnsi="宋体" w:eastAsia="宋体" w:cs="宋体"/>
          <w:spacing w:val="-8"/>
          <w:sz w:val="24"/>
          <w:szCs w:val="24"/>
          <w:highlight w:val="none"/>
        </w:rPr>
        <w:t>【提供在“国家企业信用信息公示系统”中查询打印的相关材料并加盖公</w:t>
      </w:r>
    </w:p>
    <w:p>
      <w:pPr>
        <w:spacing w:line="218" w:lineRule="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章(需包含公司基础信息、股东信息及股权变更信息)】</w:t>
      </w:r>
    </w:p>
    <w:p>
      <w:pPr>
        <w:spacing w:before="195" w:line="354" w:lineRule="auto"/>
        <w:ind w:firstLine="480"/>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 xml:space="preserve">3.2 根据《关于在政府采购活动中查询及使用信用记录有关问题的通知》(财库  </w:t>
      </w:r>
      <w:r>
        <w:rPr>
          <w:rFonts w:hint="eastAsia" w:ascii="宋体" w:hAnsi="宋体" w:eastAsia="宋体" w:cs="宋体"/>
          <w:spacing w:val="4"/>
          <w:sz w:val="24"/>
          <w:szCs w:val="24"/>
          <w:highlight w:val="none"/>
        </w:rPr>
        <w:t>[2016]125号)和豫财购【2016</w:t>
      </w:r>
      <w:r>
        <w:rPr>
          <w:rFonts w:hint="eastAsia" w:ascii="宋体" w:hAnsi="宋体" w:eastAsia="宋体" w:cs="宋体"/>
          <w:spacing w:val="3"/>
          <w:sz w:val="24"/>
          <w:szCs w:val="24"/>
          <w:highlight w:val="none"/>
        </w:rPr>
        <w:t xml:space="preserve">】15号的规定，对列入失信被执行人、重大税收违法失 </w:t>
      </w:r>
      <w:r>
        <w:rPr>
          <w:rFonts w:hint="eastAsia" w:ascii="宋体" w:hAnsi="宋体" w:eastAsia="宋体" w:cs="宋体"/>
          <w:spacing w:val="-6"/>
          <w:sz w:val="24"/>
          <w:szCs w:val="24"/>
          <w:highlight w:val="none"/>
        </w:rPr>
        <w:t>信主体、政府采购严重违法失信行为记录名单的供应商，拒绝参与本项目政府采购活动。</w:t>
      </w:r>
      <w:r>
        <w:rPr>
          <w:rFonts w:hint="eastAsia" w:ascii="宋体" w:hAnsi="宋体" w:eastAsia="宋体" w:cs="宋体"/>
          <w:spacing w:val="12"/>
          <w:sz w:val="24"/>
          <w:szCs w:val="24"/>
          <w:highlight w:val="none"/>
        </w:rPr>
        <w:t xml:space="preserve"> </w:t>
      </w:r>
      <w:r>
        <w:rPr>
          <w:rFonts w:hint="eastAsia" w:ascii="宋体" w:hAnsi="宋体" w:eastAsia="宋体" w:cs="宋体"/>
          <w:spacing w:val="-1"/>
          <w:sz w:val="24"/>
          <w:szCs w:val="24"/>
          <w:highlight w:val="none"/>
        </w:rPr>
        <w:t>【查询渠道：“信用中国”网站</w:t>
      </w:r>
      <w:r>
        <w:rPr>
          <w:rFonts w:hint="eastAsia" w:ascii="宋体" w:hAnsi="宋体" w:eastAsia="宋体" w:cs="宋体"/>
          <w:spacing w:val="-28"/>
          <w:sz w:val="24"/>
          <w:szCs w:val="24"/>
          <w:highlight w:val="none"/>
        </w:rPr>
        <w:t xml:space="preserve"> </w:t>
      </w:r>
      <w:r>
        <w:rPr>
          <w:rFonts w:hint="eastAsia" w:ascii="宋体" w:hAnsi="宋体" w:eastAsia="宋体" w:cs="宋体"/>
          <w:spacing w:val="-1"/>
          <w:sz w:val="24"/>
          <w:szCs w:val="24"/>
          <w:highlight w:val="none"/>
        </w:rPr>
        <w:t>(www.cr</w:t>
      </w:r>
      <w:r>
        <w:rPr>
          <w:rFonts w:hint="eastAsia" w:ascii="宋体" w:hAnsi="宋体" w:eastAsia="宋体" w:cs="宋体"/>
          <w:spacing w:val="-2"/>
          <w:sz w:val="24"/>
          <w:szCs w:val="24"/>
          <w:highlight w:val="none"/>
        </w:rPr>
        <w:t>editchina.gov.cn)</w:t>
      </w:r>
      <w:r>
        <w:rPr>
          <w:rFonts w:hint="eastAsia" w:ascii="宋体" w:hAnsi="宋体" w:eastAsia="宋体" w:cs="宋体"/>
          <w:spacing w:val="51"/>
          <w:sz w:val="24"/>
          <w:szCs w:val="24"/>
          <w:highlight w:val="none"/>
        </w:rPr>
        <w:t xml:space="preserve"> </w:t>
      </w:r>
      <w:r>
        <w:rPr>
          <w:rFonts w:hint="eastAsia" w:ascii="宋体" w:hAnsi="宋体" w:eastAsia="宋体" w:cs="宋体"/>
          <w:spacing w:val="-2"/>
          <w:sz w:val="24"/>
          <w:szCs w:val="24"/>
          <w:highlight w:val="none"/>
        </w:rPr>
        <w:t>查询内容：重大税收违法</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失信主体、失信被执行人；2.中国政府采购网 (</w:t>
      </w:r>
      <w:r>
        <w:rPr>
          <w:rFonts w:hint="eastAsia" w:ascii="宋体" w:hAnsi="宋体" w:eastAsia="宋体" w:cs="宋体"/>
          <w:sz w:val="24"/>
          <w:szCs w:val="24"/>
          <w:highlight w:val="none"/>
        </w:rPr>
        <w:t>www</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ccgp</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gov</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cn</w:t>
      </w:r>
      <w:r>
        <w:rPr>
          <w:rFonts w:hint="eastAsia" w:ascii="宋体" w:hAnsi="宋体" w:eastAsia="宋体" w:cs="宋体"/>
          <w:spacing w:val="1"/>
          <w:sz w:val="24"/>
          <w:szCs w:val="24"/>
          <w:highlight w:val="none"/>
        </w:rPr>
        <w:t>)    查询内容为：政府</w:t>
      </w:r>
      <w:r>
        <w:rPr>
          <w:rFonts w:hint="eastAsia" w:ascii="宋体" w:hAnsi="宋体" w:eastAsia="宋体" w:cs="宋体"/>
          <w:spacing w:val="-1"/>
          <w:sz w:val="24"/>
          <w:szCs w:val="24"/>
          <w:highlight w:val="none"/>
        </w:rPr>
        <w:t>采购严重违法失信行为记录名单。查询时间</w:t>
      </w:r>
      <w:r>
        <w:rPr>
          <w:rFonts w:hint="eastAsia" w:ascii="宋体" w:hAnsi="宋体" w:eastAsia="宋体" w:cs="宋体"/>
          <w:spacing w:val="-2"/>
          <w:sz w:val="24"/>
          <w:szCs w:val="24"/>
          <w:highlight w:val="none"/>
        </w:rPr>
        <w:t>：本项目磋商结束之前】。</w:t>
      </w:r>
    </w:p>
    <w:p>
      <w:pPr>
        <w:spacing w:before="205" w:line="219" w:lineRule="auto"/>
        <w:ind w:left="480"/>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三</w:t>
      </w:r>
      <w:r>
        <w:rPr>
          <w:rFonts w:hint="eastAsia" w:ascii="宋体" w:hAnsi="宋体" w:eastAsia="宋体" w:cs="宋体"/>
          <w:spacing w:val="-45"/>
          <w:sz w:val="24"/>
          <w:szCs w:val="24"/>
          <w:highlight w:val="none"/>
        </w:rPr>
        <w:t xml:space="preserve"> </w:t>
      </w:r>
      <w:r>
        <w:rPr>
          <w:rFonts w:hint="eastAsia" w:ascii="宋体" w:hAnsi="宋体" w:eastAsia="宋体" w:cs="宋体"/>
          <w:spacing w:val="-15"/>
          <w:sz w:val="24"/>
          <w:szCs w:val="24"/>
          <w:highlight w:val="none"/>
        </w:rPr>
        <w:t>、获取采购文件</w:t>
      </w:r>
    </w:p>
    <w:p>
      <w:pPr>
        <w:spacing w:before="195" w:line="354" w:lineRule="auto"/>
        <w:ind w:firstLine="480"/>
        <w:rPr>
          <w:rFonts w:hint="eastAsia" w:ascii="宋体" w:hAnsi="宋体" w:eastAsia="宋体" w:cs="宋体"/>
          <w:spacing w:val="4"/>
          <w:sz w:val="24"/>
          <w:szCs w:val="24"/>
          <w:highlight w:val="none"/>
        </w:rPr>
      </w:pPr>
      <w:r>
        <w:rPr>
          <w:rFonts w:hint="eastAsia" w:ascii="宋体" w:hAnsi="宋体" w:eastAsia="宋体" w:cs="宋体"/>
          <w:spacing w:val="4"/>
          <w:sz w:val="24"/>
          <w:szCs w:val="24"/>
          <w:highlight w:val="none"/>
          <w:lang w:val="en-US" w:eastAsia="zh-CN"/>
        </w:rPr>
        <w:t>1.</w:t>
      </w:r>
      <w:r>
        <w:rPr>
          <w:rFonts w:hint="eastAsia" w:ascii="宋体" w:hAnsi="宋体" w:eastAsia="宋体" w:cs="宋体"/>
          <w:spacing w:val="4"/>
          <w:sz w:val="24"/>
          <w:szCs w:val="24"/>
          <w:highlight w:val="none"/>
        </w:rPr>
        <w:t>时间：2024年</w:t>
      </w:r>
      <w:r>
        <w:rPr>
          <w:rFonts w:hint="eastAsia" w:ascii="宋体" w:hAnsi="宋体" w:eastAsia="宋体" w:cs="宋体"/>
          <w:spacing w:val="4"/>
          <w:sz w:val="24"/>
          <w:szCs w:val="24"/>
          <w:highlight w:val="none"/>
          <w:lang w:val="en-US" w:eastAsia="zh-CN"/>
        </w:rPr>
        <w:t>04</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lang w:val="en-US" w:eastAsia="zh-CN"/>
        </w:rPr>
        <w:t>02</w:t>
      </w:r>
      <w:r>
        <w:rPr>
          <w:rFonts w:hint="eastAsia" w:ascii="宋体" w:hAnsi="宋体" w:eastAsia="宋体" w:cs="宋体"/>
          <w:spacing w:val="4"/>
          <w:sz w:val="24"/>
          <w:szCs w:val="24"/>
          <w:highlight w:val="none"/>
        </w:rPr>
        <w:t>日至2024年</w:t>
      </w:r>
      <w:r>
        <w:rPr>
          <w:rFonts w:hint="eastAsia" w:ascii="宋体" w:hAnsi="宋体" w:eastAsia="宋体" w:cs="宋体"/>
          <w:spacing w:val="4"/>
          <w:sz w:val="24"/>
          <w:szCs w:val="24"/>
          <w:highlight w:val="none"/>
          <w:lang w:val="en-US" w:eastAsia="zh-CN"/>
        </w:rPr>
        <w:t>04</w:t>
      </w:r>
      <w:r>
        <w:rPr>
          <w:rFonts w:hint="eastAsia" w:ascii="宋体" w:hAnsi="宋体" w:eastAsia="宋体" w:cs="宋体"/>
          <w:spacing w:val="4"/>
          <w:sz w:val="24"/>
          <w:szCs w:val="24"/>
          <w:highlight w:val="none"/>
        </w:rPr>
        <w:t>月</w:t>
      </w:r>
      <w:r>
        <w:rPr>
          <w:rFonts w:hint="eastAsia" w:ascii="宋体" w:hAnsi="宋体" w:eastAsia="宋体" w:cs="宋体"/>
          <w:spacing w:val="4"/>
          <w:sz w:val="24"/>
          <w:szCs w:val="24"/>
          <w:highlight w:val="none"/>
          <w:lang w:val="en-US" w:eastAsia="zh-CN"/>
        </w:rPr>
        <w:t>09</w:t>
      </w:r>
      <w:r>
        <w:rPr>
          <w:rFonts w:hint="eastAsia" w:ascii="宋体" w:hAnsi="宋体" w:eastAsia="宋体" w:cs="宋体"/>
          <w:spacing w:val="4"/>
          <w:sz w:val="24"/>
          <w:szCs w:val="24"/>
          <w:highlight w:val="none"/>
        </w:rPr>
        <w:t>日，每天上午00:00 至12:00,下午12:00至23:59(北京时间，法定节假日除外。)</w:t>
      </w:r>
    </w:p>
    <w:p>
      <w:pPr>
        <w:spacing w:before="159" w:line="212" w:lineRule="auto"/>
        <w:ind w:left="48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2.地点：河南省公共资源交易中心</w:t>
      </w:r>
      <w:r>
        <w:rPr>
          <w:rFonts w:hint="eastAsia" w:ascii="宋体" w:hAnsi="宋体" w:eastAsia="宋体" w:cs="宋体"/>
          <w:spacing w:val="-47"/>
          <w:sz w:val="24"/>
          <w:szCs w:val="24"/>
          <w:highlight w:val="none"/>
        </w:rPr>
        <w:t xml:space="preserve"> </w:t>
      </w:r>
      <w:r>
        <w:rPr>
          <w:rFonts w:hint="eastAsia" w:ascii="宋体" w:hAnsi="宋体" w:eastAsia="宋体" w:cs="宋体"/>
          <w:spacing w:val="1"/>
          <w:sz w:val="24"/>
          <w:szCs w:val="24"/>
          <w:highlight w:val="none"/>
        </w:rPr>
        <w:t>(</w:t>
      </w:r>
      <w:r>
        <w:rPr>
          <w:rFonts w:hint="eastAsia" w:ascii="宋体" w:hAnsi="宋体" w:eastAsia="宋体" w:cs="宋体"/>
          <w:highlight w:val="none"/>
        </w:rPr>
        <w:fldChar w:fldCharType="begin"/>
      </w:r>
      <w:r>
        <w:rPr>
          <w:rFonts w:hint="eastAsia" w:ascii="宋体" w:hAnsi="宋体" w:eastAsia="宋体" w:cs="宋体"/>
          <w:highlight w:val="none"/>
        </w:rPr>
        <w:instrText xml:space="preserve"> HYPERLINK "http://www.hnggzy.net/" </w:instrText>
      </w:r>
      <w:r>
        <w:rPr>
          <w:rFonts w:hint="eastAsia" w:ascii="宋体" w:hAnsi="宋体" w:eastAsia="宋体" w:cs="宋体"/>
          <w:highlight w:val="none"/>
        </w:rPr>
        <w:fldChar w:fldCharType="separate"/>
      </w:r>
      <w:r>
        <w:rPr>
          <w:rFonts w:hint="eastAsia" w:ascii="宋体" w:hAnsi="宋体" w:eastAsia="宋体" w:cs="宋体"/>
          <w:sz w:val="24"/>
          <w:szCs w:val="24"/>
          <w:highlight w:val="none"/>
        </w:rPr>
        <w:t>http</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www</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hnggzy</w:t>
      </w:r>
      <w:r>
        <w:rPr>
          <w:rFonts w:hint="eastAsia" w:ascii="宋体" w:hAnsi="宋体" w:eastAsia="宋体" w:cs="宋体"/>
          <w:spacing w:val="1"/>
          <w:sz w:val="24"/>
          <w:szCs w:val="24"/>
          <w:highlight w:val="none"/>
        </w:rPr>
        <w:t>.</w:t>
      </w:r>
      <w:r>
        <w:rPr>
          <w:rFonts w:hint="eastAsia" w:ascii="宋体" w:hAnsi="宋体" w:eastAsia="宋体" w:cs="宋体"/>
          <w:sz w:val="24"/>
          <w:szCs w:val="24"/>
          <w:highlight w:val="none"/>
        </w:rPr>
        <w:t>net</w:t>
      </w: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rPr>
        <w:fldChar w:fldCharType="end"/>
      </w:r>
      <w:r>
        <w:rPr>
          <w:rFonts w:hint="eastAsia" w:ascii="宋体" w:hAnsi="宋体" w:eastAsia="宋体" w:cs="宋体"/>
          <w:spacing w:val="1"/>
          <w:sz w:val="24"/>
          <w:szCs w:val="24"/>
          <w:highlight w:val="none"/>
        </w:rPr>
        <w:t>)</w:t>
      </w:r>
    </w:p>
    <w:p>
      <w:pPr>
        <w:spacing w:before="202" w:line="354" w:lineRule="auto"/>
        <w:ind w:right="67" w:firstLine="47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3.方式：市场主体需要完成</w:t>
      </w:r>
      <w:r>
        <w:rPr>
          <w:rFonts w:hint="eastAsia" w:ascii="宋体" w:hAnsi="宋体" w:eastAsia="宋体" w:cs="宋体"/>
          <w:spacing w:val="-70"/>
          <w:sz w:val="24"/>
          <w:szCs w:val="24"/>
          <w:highlight w:val="none"/>
        </w:rPr>
        <w:t xml:space="preserve"> </w:t>
      </w:r>
      <w:r>
        <w:rPr>
          <w:rFonts w:hint="eastAsia" w:ascii="宋体" w:hAnsi="宋体" w:eastAsia="宋体" w:cs="宋体"/>
          <w:spacing w:val="-2"/>
          <w:sz w:val="24"/>
          <w:szCs w:val="24"/>
          <w:highlight w:val="none"/>
        </w:rPr>
        <w:t>CA</w:t>
      </w:r>
      <w:r>
        <w:rPr>
          <w:rFonts w:hint="eastAsia" w:ascii="宋体" w:hAnsi="宋体" w:eastAsia="宋体" w:cs="宋体"/>
          <w:spacing w:val="-63"/>
          <w:sz w:val="24"/>
          <w:szCs w:val="24"/>
          <w:highlight w:val="none"/>
        </w:rPr>
        <w:t xml:space="preserve"> </w:t>
      </w:r>
      <w:r>
        <w:rPr>
          <w:rFonts w:hint="eastAsia" w:ascii="宋体" w:hAnsi="宋体" w:eastAsia="宋体" w:cs="宋体"/>
          <w:spacing w:val="-2"/>
          <w:sz w:val="24"/>
          <w:szCs w:val="24"/>
          <w:highlight w:val="none"/>
        </w:rPr>
        <w:t>数字证书办理，凭</w:t>
      </w:r>
      <w:r>
        <w:rPr>
          <w:rFonts w:hint="eastAsia" w:ascii="宋体" w:hAnsi="宋体" w:eastAsia="宋体" w:cs="宋体"/>
          <w:spacing w:val="-68"/>
          <w:sz w:val="24"/>
          <w:szCs w:val="24"/>
          <w:highlight w:val="none"/>
        </w:rPr>
        <w:t xml:space="preserve"> </w:t>
      </w:r>
      <w:r>
        <w:rPr>
          <w:rFonts w:hint="eastAsia" w:ascii="宋体" w:hAnsi="宋体" w:eastAsia="宋体" w:cs="宋体"/>
          <w:spacing w:val="-2"/>
          <w:sz w:val="24"/>
          <w:szCs w:val="24"/>
          <w:highlight w:val="none"/>
        </w:rPr>
        <w:t>CA</w:t>
      </w:r>
      <w:r>
        <w:rPr>
          <w:rFonts w:hint="eastAsia" w:ascii="宋体" w:hAnsi="宋体" w:eastAsia="宋体" w:cs="宋体"/>
          <w:spacing w:val="-53"/>
          <w:sz w:val="24"/>
          <w:szCs w:val="24"/>
          <w:highlight w:val="none"/>
        </w:rPr>
        <w:t xml:space="preserve"> </w:t>
      </w:r>
      <w:r>
        <w:rPr>
          <w:rFonts w:hint="eastAsia" w:ascii="宋体" w:hAnsi="宋体" w:eastAsia="宋体" w:cs="宋体"/>
          <w:spacing w:val="-2"/>
          <w:sz w:val="24"/>
          <w:szCs w:val="24"/>
          <w:highlight w:val="none"/>
        </w:rPr>
        <w:t>密钥登陆河南省公共资源</w:t>
      </w:r>
      <w:r>
        <w:rPr>
          <w:rFonts w:hint="eastAsia" w:ascii="宋体" w:hAnsi="宋体" w:eastAsia="宋体" w:cs="宋体"/>
          <w:spacing w:val="-3"/>
          <w:sz w:val="24"/>
          <w:szCs w:val="24"/>
          <w:highlight w:val="none"/>
        </w:rPr>
        <w:t>交易</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中心系统并在规定时间内按网上提示下载磋商文件，获取</w:t>
      </w:r>
      <w:r>
        <w:rPr>
          <w:rFonts w:hint="eastAsia" w:ascii="宋体" w:hAnsi="宋体" w:eastAsia="宋体" w:cs="宋体"/>
          <w:spacing w:val="-3"/>
          <w:sz w:val="24"/>
          <w:szCs w:val="24"/>
          <w:highlight w:val="none"/>
        </w:rPr>
        <w:t>磋商文件后，供应商请到河南</w:t>
      </w:r>
      <w:r>
        <w:rPr>
          <w:rFonts w:hint="eastAsia" w:ascii="宋体" w:hAnsi="宋体" w:eastAsia="宋体" w:cs="宋体"/>
          <w:sz w:val="24"/>
          <w:szCs w:val="24"/>
          <w:highlight w:val="none"/>
        </w:rPr>
        <w:t xml:space="preserve"> </w:t>
      </w:r>
      <w:r>
        <w:rPr>
          <w:rFonts w:hint="eastAsia" w:ascii="宋体" w:hAnsi="宋体" w:eastAsia="宋体" w:cs="宋体"/>
          <w:spacing w:val="-1"/>
          <w:sz w:val="24"/>
          <w:szCs w:val="24"/>
          <w:highlight w:val="none"/>
        </w:rPr>
        <w:t>省公共资源交易中心网站下载最新版本的投标文件制作工具安</w:t>
      </w:r>
      <w:r>
        <w:rPr>
          <w:rFonts w:hint="eastAsia" w:ascii="宋体" w:hAnsi="宋体" w:eastAsia="宋体" w:cs="宋体"/>
          <w:spacing w:val="-2"/>
          <w:sz w:val="24"/>
          <w:szCs w:val="24"/>
          <w:highlight w:val="none"/>
        </w:rPr>
        <w:t>装包，并使用安装后的最</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新版本投标文件制作工具制作电子响应文件。数字证书(CA)办理：详情见河南省公共资</w:t>
      </w:r>
      <w:r>
        <w:rPr>
          <w:rFonts w:hint="eastAsia" w:ascii="宋体" w:hAnsi="宋体" w:eastAsia="宋体" w:cs="宋体"/>
          <w:spacing w:val="1"/>
          <w:sz w:val="24"/>
          <w:szCs w:val="24"/>
          <w:highlight w:val="none"/>
        </w:rPr>
        <w:t xml:space="preserve"> </w:t>
      </w:r>
      <w:r>
        <w:rPr>
          <w:rFonts w:hint="eastAsia" w:ascii="宋体" w:hAnsi="宋体" w:eastAsia="宋体" w:cs="宋体"/>
          <w:spacing w:val="-1"/>
          <w:sz w:val="24"/>
          <w:szCs w:val="24"/>
          <w:highlight w:val="none"/>
        </w:rPr>
        <w:t>源交易中心网站办事指南“关于河南省公共资源交易平台数字证书</w:t>
      </w:r>
      <w:r>
        <w:rPr>
          <w:rFonts w:hint="eastAsia" w:ascii="宋体" w:hAnsi="宋体" w:eastAsia="宋体" w:cs="宋体"/>
          <w:spacing w:val="-34"/>
          <w:sz w:val="24"/>
          <w:szCs w:val="24"/>
          <w:highlight w:val="none"/>
        </w:rPr>
        <w:t xml:space="preserve"> </w:t>
      </w:r>
      <w:r>
        <w:rPr>
          <w:rFonts w:hint="eastAsia" w:ascii="宋体" w:hAnsi="宋体" w:eastAsia="宋体" w:cs="宋体"/>
          <w:spacing w:val="-1"/>
          <w:sz w:val="24"/>
          <w:szCs w:val="24"/>
          <w:highlight w:val="none"/>
        </w:rPr>
        <w:t>(CA)</w:t>
      </w:r>
      <w:r>
        <w:rPr>
          <w:rFonts w:hint="eastAsia" w:ascii="宋体" w:hAnsi="宋体" w:eastAsia="宋体" w:cs="宋体"/>
          <w:spacing w:val="37"/>
          <w:w w:val="101"/>
          <w:sz w:val="24"/>
          <w:szCs w:val="24"/>
          <w:highlight w:val="none"/>
        </w:rPr>
        <w:t xml:space="preserve"> </w:t>
      </w:r>
      <w:r>
        <w:rPr>
          <w:rFonts w:hint="eastAsia" w:ascii="宋体" w:hAnsi="宋体" w:eastAsia="宋体" w:cs="宋体"/>
          <w:spacing w:val="-1"/>
          <w:sz w:val="24"/>
          <w:szCs w:val="24"/>
          <w:highlight w:val="none"/>
        </w:rPr>
        <w:t>互认系统正式</w:t>
      </w:r>
      <w:r>
        <w:rPr>
          <w:rFonts w:hint="eastAsia" w:ascii="宋体" w:hAnsi="宋体" w:eastAsia="宋体" w:cs="宋体"/>
          <w:spacing w:val="-7"/>
          <w:sz w:val="24"/>
          <w:szCs w:val="24"/>
          <w:highlight w:val="none"/>
        </w:rPr>
        <w:t>上线运行的通知”。</w:t>
      </w:r>
    </w:p>
    <w:p>
      <w:pPr>
        <w:spacing w:before="221" w:line="218" w:lineRule="auto"/>
        <w:ind w:left="480"/>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4.售价：0元</w:t>
      </w:r>
    </w:p>
    <w:p>
      <w:pPr>
        <w:spacing w:line="218" w:lineRule="auto"/>
        <w:rPr>
          <w:rFonts w:hint="eastAsia" w:ascii="宋体" w:hAnsi="宋体" w:eastAsia="宋体" w:cs="宋体"/>
          <w:sz w:val="24"/>
          <w:szCs w:val="24"/>
          <w:highlight w:val="none"/>
        </w:rPr>
        <w:sectPr>
          <w:footerReference r:id="rId7" w:type="default"/>
          <w:pgSz w:w="11910" w:h="16840"/>
          <w:pgMar w:top="1431" w:right="1350" w:bottom="1169" w:left="1419" w:header="0" w:footer="973" w:gutter="0"/>
          <w:pgNumType w:fmt="decimal"/>
          <w:cols w:space="720" w:num="1"/>
        </w:sectPr>
      </w:pPr>
    </w:p>
    <w:p>
      <w:pPr>
        <w:spacing w:before="48" w:line="219" w:lineRule="auto"/>
        <w:ind w:left="449"/>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四、</w:t>
      </w:r>
      <w:r>
        <w:rPr>
          <w:rFonts w:hint="eastAsia" w:ascii="宋体" w:hAnsi="宋体" w:eastAsia="宋体" w:cs="宋体"/>
          <w:spacing w:val="-67"/>
          <w:sz w:val="24"/>
          <w:szCs w:val="24"/>
          <w:highlight w:val="none"/>
        </w:rPr>
        <w:t xml:space="preserve"> </w:t>
      </w:r>
      <w:r>
        <w:rPr>
          <w:rFonts w:hint="eastAsia" w:ascii="宋体" w:hAnsi="宋体" w:eastAsia="宋体" w:cs="宋体"/>
          <w:spacing w:val="-14"/>
          <w:sz w:val="24"/>
          <w:szCs w:val="24"/>
          <w:highlight w:val="none"/>
        </w:rPr>
        <w:t>响应文件提交</w:t>
      </w:r>
    </w:p>
    <w:p>
      <w:pPr>
        <w:spacing w:before="165" w:line="219" w:lineRule="auto"/>
        <w:ind w:left="449"/>
        <w:rPr>
          <w:rFonts w:hint="eastAsia" w:ascii="宋体" w:hAnsi="宋体" w:eastAsia="宋体" w:cs="宋体"/>
          <w:sz w:val="24"/>
          <w:szCs w:val="24"/>
          <w:highlight w:val="none"/>
        </w:rPr>
      </w:pPr>
      <w:r>
        <w:rPr>
          <w:rFonts w:hint="eastAsia" w:ascii="宋体" w:hAnsi="宋体" w:eastAsia="宋体" w:cs="宋体"/>
          <w:spacing w:val="23"/>
          <w:sz w:val="24"/>
          <w:szCs w:val="24"/>
          <w:highlight w:val="none"/>
        </w:rPr>
        <w:t>1.截止时间：2024年</w:t>
      </w:r>
      <w:r>
        <w:rPr>
          <w:rFonts w:hint="eastAsia" w:ascii="宋体" w:hAnsi="宋体" w:eastAsia="宋体" w:cs="宋体"/>
          <w:spacing w:val="23"/>
          <w:sz w:val="24"/>
          <w:szCs w:val="24"/>
          <w:highlight w:val="none"/>
          <w:lang w:val="en-US" w:eastAsia="zh-CN"/>
        </w:rPr>
        <w:t>04</w:t>
      </w:r>
      <w:r>
        <w:rPr>
          <w:rFonts w:hint="eastAsia" w:ascii="宋体" w:hAnsi="宋体" w:eastAsia="宋体" w:cs="宋体"/>
          <w:spacing w:val="23"/>
          <w:sz w:val="24"/>
          <w:szCs w:val="24"/>
          <w:highlight w:val="none"/>
        </w:rPr>
        <w:t>月</w:t>
      </w:r>
      <w:r>
        <w:rPr>
          <w:rFonts w:hint="eastAsia" w:ascii="宋体" w:hAnsi="宋体" w:eastAsia="宋体" w:cs="宋体"/>
          <w:spacing w:val="23"/>
          <w:sz w:val="24"/>
          <w:szCs w:val="24"/>
          <w:highlight w:val="none"/>
          <w:lang w:val="en-US" w:eastAsia="zh-CN"/>
        </w:rPr>
        <w:t>12</w:t>
      </w:r>
      <w:r>
        <w:rPr>
          <w:rFonts w:hint="eastAsia" w:ascii="宋体" w:hAnsi="宋体" w:eastAsia="宋体" w:cs="宋体"/>
          <w:spacing w:val="23"/>
          <w:sz w:val="24"/>
          <w:szCs w:val="24"/>
          <w:highlight w:val="none"/>
        </w:rPr>
        <w:t>日09时00分</w:t>
      </w:r>
      <w:r>
        <w:rPr>
          <w:rFonts w:hint="eastAsia" w:ascii="宋体" w:hAnsi="宋体" w:eastAsia="宋体" w:cs="宋体"/>
          <w:spacing w:val="22"/>
          <w:sz w:val="24"/>
          <w:szCs w:val="24"/>
          <w:highlight w:val="none"/>
        </w:rPr>
        <w:t>(北京时间)</w:t>
      </w:r>
    </w:p>
    <w:p>
      <w:pPr>
        <w:spacing w:before="167" w:line="212" w:lineRule="auto"/>
        <w:ind w:left="449"/>
        <w:rPr>
          <w:rFonts w:hint="eastAsia" w:ascii="宋体" w:hAnsi="宋体" w:eastAsia="宋体" w:cs="宋体"/>
          <w:sz w:val="24"/>
          <w:szCs w:val="24"/>
          <w:highlight w:val="none"/>
        </w:rPr>
      </w:pPr>
      <w:r>
        <w:rPr>
          <w:rFonts w:hint="eastAsia" w:ascii="宋体" w:hAnsi="宋体" w:eastAsia="宋体" w:cs="宋体"/>
          <w:sz w:val="24"/>
          <w:szCs w:val="24"/>
          <w:highlight w:val="none"/>
        </w:rPr>
        <w:t>2.地点：河南省公共资源交易中心</w:t>
      </w:r>
      <w:r>
        <w:rPr>
          <w:rFonts w:hint="eastAsia" w:ascii="宋体" w:hAnsi="宋体" w:eastAsia="宋体" w:cs="宋体"/>
          <w:spacing w:val="-22"/>
          <w:sz w:val="24"/>
          <w:szCs w:val="24"/>
          <w:highlight w:val="none"/>
        </w:rPr>
        <w:t xml:space="preserve"> </w:t>
      </w:r>
      <w:r>
        <w:rPr>
          <w:rFonts w:hint="eastAsia" w:ascii="宋体" w:hAnsi="宋体" w:eastAsia="宋体" w:cs="宋体"/>
          <w:sz w:val="24"/>
          <w:szCs w:val="24"/>
          <w:highlight w:val="none"/>
        </w:rPr>
        <w:t>(www.hnggzy.net)。</w:t>
      </w:r>
    </w:p>
    <w:p>
      <w:pPr>
        <w:spacing w:before="212" w:line="219" w:lineRule="auto"/>
        <w:ind w:left="449"/>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五</w:t>
      </w:r>
      <w:r>
        <w:rPr>
          <w:rFonts w:hint="eastAsia" w:ascii="宋体" w:hAnsi="宋体" w:eastAsia="宋体" w:cs="宋体"/>
          <w:spacing w:val="-53"/>
          <w:sz w:val="24"/>
          <w:szCs w:val="24"/>
          <w:highlight w:val="none"/>
        </w:rPr>
        <w:t xml:space="preserve"> </w:t>
      </w:r>
      <w:r>
        <w:rPr>
          <w:rFonts w:hint="eastAsia" w:ascii="宋体" w:hAnsi="宋体" w:eastAsia="宋体" w:cs="宋体"/>
          <w:spacing w:val="-15"/>
          <w:sz w:val="24"/>
          <w:szCs w:val="24"/>
          <w:highlight w:val="none"/>
        </w:rPr>
        <w:t>、响应文件开启</w:t>
      </w:r>
    </w:p>
    <w:p>
      <w:pPr>
        <w:spacing w:before="195" w:line="219" w:lineRule="auto"/>
        <w:ind w:left="449"/>
        <w:rPr>
          <w:rFonts w:hint="eastAsia" w:ascii="宋体" w:hAnsi="宋体" w:eastAsia="宋体" w:cs="宋体"/>
          <w:sz w:val="24"/>
          <w:szCs w:val="24"/>
          <w:highlight w:val="none"/>
        </w:rPr>
      </w:pPr>
      <w:r>
        <w:rPr>
          <w:rFonts w:hint="eastAsia" w:ascii="宋体" w:hAnsi="宋体" w:eastAsia="宋体" w:cs="宋体"/>
          <w:spacing w:val="25"/>
          <w:sz w:val="24"/>
          <w:szCs w:val="24"/>
          <w:highlight w:val="none"/>
        </w:rPr>
        <w:t>1.时间：2024年</w:t>
      </w:r>
      <w:r>
        <w:rPr>
          <w:rFonts w:hint="eastAsia" w:ascii="宋体" w:hAnsi="宋体" w:eastAsia="宋体" w:cs="宋体"/>
          <w:spacing w:val="25"/>
          <w:sz w:val="24"/>
          <w:szCs w:val="24"/>
          <w:highlight w:val="none"/>
          <w:lang w:val="en-US" w:eastAsia="zh-CN"/>
        </w:rPr>
        <w:t>04</w:t>
      </w:r>
      <w:r>
        <w:rPr>
          <w:rFonts w:hint="eastAsia" w:ascii="宋体" w:hAnsi="宋体" w:eastAsia="宋体" w:cs="宋体"/>
          <w:spacing w:val="25"/>
          <w:sz w:val="24"/>
          <w:szCs w:val="24"/>
          <w:highlight w:val="none"/>
        </w:rPr>
        <w:t>月</w:t>
      </w:r>
      <w:r>
        <w:rPr>
          <w:rFonts w:hint="eastAsia" w:ascii="宋体" w:hAnsi="宋体" w:eastAsia="宋体" w:cs="宋体"/>
          <w:spacing w:val="25"/>
          <w:sz w:val="24"/>
          <w:szCs w:val="24"/>
          <w:highlight w:val="none"/>
          <w:lang w:val="en-US" w:eastAsia="zh-CN"/>
        </w:rPr>
        <w:t>12</w:t>
      </w:r>
      <w:r>
        <w:rPr>
          <w:rFonts w:hint="eastAsia" w:ascii="宋体" w:hAnsi="宋体" w:eastAsia="宋体" w:cs="宋体"/>
          <w:spacing w:val="25"/>
          <w:sz w:val="24"/>
          <w:szCs w:val="24"/>
          <w:highlight w:val="none"/>
        </w:rPr>
        <w:t>日09时00分(北</w:t>
      </w:r>
      <w:r>
        <w:rPr>
          <w:rFonts w:hint="eastAsia" w:ascii="宋体" w:hAnsi="宋体" w:eastAsia="宋体" w:cs="宋体"/>
          <w:spacing w:val="24"/>
          <w:sz w:val="24"/>
          <w:szCs w:val="24"/>
          <w:highlight w:val="none"/>
        </w:rPr>
        <w:t>京时间)</w:t>
      </w:r>
    </w:p>
    <w:p>
      <w:pPr>
        <w:spacing w:before="151" w:line="483" w:lineRule="exact"/>
        <w:ind w:right="2"/>
        <w:jc w:val="right"/>
        <w:rPr>
          <w:rFonts w:hint="eastAsia" w:ascii="宋体" w:hAnsi="宋体" w:eastAsia="宋体" w:cs="宋体"/>
          <w:sz w:val="24"/>
          <w:szCs w:val="24"/>
          <w:highlight w:val="none"/>
        </w:rPr>
      </w:pPr>
      <w:r>
        <w:rPr>
          <w:rFonts w:hint="eastAsia" w:ascii="宋体" w:hAnsi="宋体" w:eastAsia="宋体" w:cs="宋体"/>
          <w:spacing w:val="8"/>
          <w:position w:val="18"/>
          <w:sz w:val="24"/>
          <w:szCs w:val="24"/>
          <w:highlight w:val="none"/>
        </w:rPr>
        <w:t>2.地点：</w:t>
      </w:r>
      <w:bookmarkStart w:id="50" w:name="_GoBack"/>
      <w:r>
        <w:rPr>
          <w:rFonts w:hint="eastAsia" w:ascii="宋体" w:hAnsi="宋体" w:eastAsia="宋体" w:cs="宋体"/>
          <w:spacing w:val="8"/>
          <w:position w:val="18"/>
          <w:sz w:val="24"/>
          <w:szCs w:val="24"/>
          <w:highlight w:val="none"/>
        </w:rPr>
        <w:t>河南省公共资源交易中心远程开标室(</w:t>
      </w:r>
      <w:r>
        <w:rPr>
          <w:rFonts w:hint="eastAsia" w:ascii="宋体" w:hAnsi="宋体" w:eastAsia="宋体" w:cs="宋体"/>
          <w:spacing w:val="7"/>
          <w:position w:val="18"/>
          <w:sz w:val="24"/>
          <w:szCs w:val="24"/>
          <w:highlight w:val="none"/>
        </w:rPr>
        <w:t>六)-</w:t>
      </w:r>
      <w:r>
        <w:rPr>
          <w:rFonts w:hint="eastAsia" w:ascii="宋体" w:hAnsi="宋体" w:eastAsia="宋体" w:cs="宋体"/>
          <w:spacing w:val="7"/>
          <w:position w:val="18"/>
          <w:sz w:val="24"/>
          <w:szCs w:val="24"/>
          <w:highlight w:val="none"/>
          <w:lang w:val="en-US" w:eastAsia="zh-CN"/>
        </w:rPr>
        <w:t>6</w:t>
      </w:r>
      <w:r>
        <w:rPr>
          <w:rFonts w:hint="eastAsia" w:ascii="宋体" w:hAnsi="宋体" w:eastAsia="宋体" w:cs="宋体"/>
          <w:spacing w:val="7"/>
          <w:position w:val="18"/>
          <w:sz w:val="24"/>
          <w:szCs w:val="24"/>
          <w:highlight w:val="none"/>
        </w:rPr>
        <w:t>,郑州市经二路12号(经二</w:t>
      </w:r>
    </w:p>
    <w:p>
      <w:pPr>
        <w:spacing w:before="1" w:line="219" w:lineRule="auto"/>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路与纬四路向南50米路西)。</w:t>
      </w:r>
      <w:bookmarkEnd w:id="50"/>
    </w:p>
    <w:p>
      <w:pPr>
        <w:spacing w:before="183" w:line="218" w:lineRule="auto"/>
        <w:ind w:left="44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六、发布公告的媒介及招标公告期限</w:t>
      </w:r>
    </w:p>
    <w:p>
      <w:pPr>
        <w:spacing w:before="173" w:line="354" w:lineRule="auto"/>
        <w:ind w:right="5" w:firstLine="449"/>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本次招标公告在《河南省政府采购网》</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 xml:space="preserve"> 《河南省公共资源交易中心网》</w:t>
      </w:r>
      <w:r>
        <w:rPr>
          <w:rFonts w:hint="eastAsia" w:ascii="宋体" w:hAnsi="宋体" w:eastAsia="宋体" w:cs="宋体"/>
          <w:spacing w:val="-1"/>
          <w:sz w:val="24"/>
          <w:szCs w:val="24"/>
          <w:highlight w:val="none"/>
          <w:lang w:eastAsia="zh-CN"/>
        </w:rPr>
        <w:t>、</w:t>
      </w:r>
      <w:r>
        <w:rPr>
          <w:rFonts w:hint="eastAsia" w:ascii="宋体" w:hAnsi="宋体" w:eastAsia="宋体" w:cs="宋体"/>
          <w:spacing w:val="-1"/>
          <w:sz w:val="24"/>
          <w:szCs w:val="24"/>
          <w:highlight w:val="none"/>
        </w:rPr>
        <w:t>《河南省电子招标投标公共服务平台》上发布，招标公告期限为三个工作日。</w:t>
      </w:r>
    </w:p>
    <w:p>
      <w:pPr>
        <w:spacing w:before="189" w:line="220" w:lineRule="auto"/>
        <w:ind w:left="44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七、其他补充事宜</w:t>
      </w:r>
    </w:p>
    <w:p>
      <w:pPr>
        <w:spacing w:before="173" w:line="354" w:lineRule="auto"/>
        <w:ind w:right="5" w:firstLine="44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7.1</w:t>
      </w:r>
      <w:r>
        <w:rPr>
          <w:rFonts w:hint="eastAsia" w:ascii="宋体" w:hAnsi="宋体" w:eastAsia="宋体" w:cs="宋体"/>
          <w:spacing w:val="-35"/>
          <w:sz w:val="24"/>
          <w:szCs w:val="24"/>
          <w:highlight w:val="none"/>
        </w:rPr>
        <w:t xml:space="preserve"> </w:t>
      </w:r>
      <w:r>
        <w:rPr>
          <w:rFonts w:hint="eastAsia" w:ascii="宋体" w:hAnsi="宋体" w:eastAsia="宋体" w:cs="宋体"/>
          <w:spacing w:val="-1"/>
          <w:sz w:val="24"/>
          <w:szCs w:val="24"/>
          <w:highlight w:val="none"/>
        </w:rPr>
        <w:t>本项目落实政府采购政策：政府强制采购节能产品、支持创新、绿色发展、鼓</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励环保产品、扶持福利企业、促进残疾人就业、促进</w:t>
      </w:r>
      <w:r>
        <w:rPr>
          <w:rFonts w:hint="eastAsia" w:ascii="宋体" w:hAnsi="宋体" w:eastAsia="宋体" w:cs="宋体"/>
          <w:spacing w:val="-3"/>
          <w:sz w:val="24"/>
          <w:szCs w:val="24"/>
          <w:highlight w:val="none"/>
        </w:rPr>
        <w:t>中小企业发展、支持监狱和戒毒企</w:t>
      </w:r>
    </w:p>
    <w:p>
      <w:pPr>
        <w:spacing w:line="219" w:lineRule="auto"/>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业等。</w:t>
      </w:r>
    </w:p>
    <w:p>
      <w:pPr>
        <w:spacing w:before="215" w:line="354" w:lineRule="auto"/>
        <w:ind w:firstLine="44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7.2本项目采用“远程不见面”开标方式，供应商应当在磋商文件确定的截止时间</w:t>
      </w:r>
      <w:r>
        <w:rPr>
          <w:rFonts w:hint="eastAsia" w:ascii="宋体" w:hAnsi="宋体" w:eastAsia="宋体" w:cs="宋体"/>
          <w:spacing w:val="15"/>
          <w:sz w:val="24"/>
          <w:szCs w:val="24"/>
          <w:highlight w:val="none"/>
        </w:rPr>
        <w:t xml:space="preserve"> </w:t>
      </w:r>
      <w:r>
        <w:rPr>
          <w:rFonts w:hint="eastAsia" w:ascii="宋体" w:hAnsi="宋体" w:eastAsia="宋体" w:cs="宋体"/>
          <w:spacing w:val="-2"/>
          <w:sz w:val="24"/>
          <w:szCs w:val="24"/>
          <w:highlight w:val="none"/>
        </w:rPr>
        <w:t>前，登录远程开标大厅，在线准时参加开标活动并进行文件解密</w:t>
      </w:r>
      <w:r>
        <w:rPr>
          <w:rFonts w:hint="eastAsia" w:ascii="宋体" w:hAnsi="宋体" w:eastAsia="宋体" w:cs="宋体"/>
          <w:spacing w:val="-3"/>
          <w:sz w:val="24"/>
          <w:szCs w:val="24"/>
          <w:highlight w:val="none"/>
        </w:rPr>
        <w:t>、答疑澄清等，供应商</w:t>
      </w:r>
    </w:p>
    <w:p>
      <w:pPr>
        <w:spacing w:before="1" w:line="220" w:lineRule="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无需到开标现场。</w:t>
      </w:r>
    </w:p>
    <w:p>
      <w:pPr>
        <w:spacing w:before="191" w:line="219" w:lineRule="auto"/>
        <w:ind w:left="44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八、凡对本次招标提出询问，请按照以下方式联系</w:t>
      </w:r>
    </w:p>
    <w:p>
      <w:pPr>
        <w:spacing w:before="166" w:line="219" w:lineRule="auto"/>
        <w:ind w:left="44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1、采购人信息</w:t>
      </w:r>
    </w:p>
    <w:p>
      <w:pPr>
        <w:spacing w:before="185" w:line="219" w:lineRule="auto"/>
        <w:ind w:left="449"/>
        <w:rPr>
          <w:rFonts w:hint="eastAsia" w:ascii="宋体" w:hAnsi="宋体" w:eastAsia="宋体" w:cs="宋体"/>
          <w:sz w:val="24"/>
          <w:szCs w:val="24"/>
          <w:highlight w:val="none"/>
          <w:lang w:eastAsia="zh-CN"/>
        </w:rPr>
      </w:pPr>
      <w:r>
        <w:rPr>
          <w:rFonts w:hint="eastAsia" w:ascii="宋体" w:hAnsi="宋体" w:eastAsia="宋体" w:cs="宋体"/>
          <w:spacing w:val="-4"/>
          <w:sz w:val="24"/>
          <w:szCs w:val="24"/>
          <w:highlight w:val="none"/>
        </w:rPr>
        <w:t>采购人：</w:t>
      </w:r>
      <w:r>
        <w:rPr>
          <w:rFonts w:hint="eastAsia" w:ascii="宋体" w:hAnsi="宋体" w:eastAsia="宋体" w:cs="宋体"/>
          <w:spacing w:val="-4"/>
          <w:sz w:val="24"/>
          <w:szCs w:val="24"/>
          <w:highlight w:val="none"/>
          <w:lang w:eastAsia="zh-CN"/>
        </w:rPr>
        <w:t>河南省南水北调渠首生态环境监测应急中心</w:t>
      </w:r>
    </w:p>
    <w:p>
      <w:pPr>
        <w:spacing w:before="187" w:line="219" w:lineRule="auto"/>
        <w:ind w:left="44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联系人：许</w:t>
      </w:r>
      <w:r>
        <w:rPr>
          <w:rFonts w:hint="eastAsia" w:ascii="宋体" w:hAnsi="宋体" w:eastAsia="宋体" w:cs="宋体"/>
          <w:spacing w:val="-3"/>
          <w:sz w:val="24"/>
          <w:szCs w:val="24"/>
          <w:highlight w:val="none"/>
          <w:lang w:val="en-US" w:eastAsia="zh-CN"/>
        </w:rPr>
        <w:t>老师</w:t>
      </w:r>
      <w:r>
        <w:rPr>
          <w:rFonts w:hint="eastAsia" w:ascii="宋体" w:hAnsi="宋体" w:eastAsia="宋体" w:cs="宋体"/>
          <w:spacing w:val="5"/>
          <w:sz w:val="24"/>
          <w:szCs w:val="24"/>
          <w:highlight w:val="none"/>
        </w:rPr>
        <w:t xml:space="preserve">               </w:t>
      </w:r>
      <w:r>
        <w:rPr>
          <w:rFonts w:hint="eastAsia" w:ascii="宋体" w:hAnsi="宋体" w:eastAsia="宋体" w:cs="宋体"/>
          <w:spacing w:val="-3"/>
          <w:sz w:val="24"/>
          <w:szCs w:val="24"/>
          <w:highlight w:val="none"/>
        </w:rPr>
        <w:t xml:space="preserve">联系方式：0377-69531607 </w:t>
      </w:r>
    </w:p>
    <w:p>
      <w:pPr>
        <w:spacing w:before="194" w:line="219" w:lineRule="auto"/>
        <w:ind w:left="44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地址：河南省南阳市</w:t>
      </w:r>
    </w:p>
    <w:p>
      <w:pPr>
        <w:spacing w:before="185" w:line="219" w:lineRule="auto"/>
        <w:ind w:left="44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2.采购代理机构信息(如有)</w:t>
      </w:r>
    </w:p>
    <w:p>
      <w:pPr>
        <w:spacing w:before="165" w:line="219" w:lineRule="auto"/>
        <w:ind w:left="449"/>
        <w:rPr>
          <w:rFonts w:hint="eastAsia" w:ascii="宋体" w:hAnsi="宋体" w:eastAsia="宋体" w:cs="宋体"/>
          <w:sz w:val="24"/>
          <w:szCs w:val="24"/>
          <w:highlight w:val="none"/>
          <w:lang w:eastAsia="zh-CN"/>
        </w:rPr>
      </w:pPr>
      <w:r>
        <w:rPr>
          <w:rFonts w:hint="eastAsia" w:ascii="宋体" w:hAnsi="宋体" w:eastAsia="宋体" w:cs="宋体"/>
          <w:spacing w:val="-1"/>
          <w:sz w:val="24"/>
          <w:szCs w:val="24"/>
          <w:highlight w:val="none"/>
        </w:rPr>
        <w:t>名称：</w:t>
      </w:r>
      <w:r>
        <w:rPr>
          <w:rFonts w:hint="eastAsia" w:ascii="宋体" w:hAnsi="宋体" w:eastAsia="宋体" w:cs="宋体"/>
          <w:spacing w:val="-1"/>
          <w:sz w:val="24"/>
          <w:szCs w:val="24"/>
          <w:highlight w:val="none"/>
          <w:lang w:eastAsia="zh-CN"/>
        </w:rPr>
        <w:t>河南省亿达工程管理咨询有限公司</w:t>
      </w:r>
    </w:p>
    <w:p>
      <w:pPr>
        <w:spacing w:before="185" w:line="219" w:lineRule="auto"/>
        <w:ind w:left="44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地址：郑州市玉凤路与郑汴路交叉口南500米环球升龙大厦26楼</w:t>
      </w:r>
    </w:p>
    <w:p>
      <w:pPr>
        <w:spacing w:before="187" w:line="219" w:lineRule="auto"/>
        <w:ind w:left="449"/>
        <w:rPr>
          <w:rFonts w:hint="eastAsia" w:ascii="宋体" w:hAnsi="宋体" w:eastAsia="宋体" w:cs="宋体"/>
          <w:sz w:val="24"/>
          <w:szCs w:val="24"/>
          <w:highlight w:val="none"/>
          <w:lang w:val="en-US" w:eastAsia="zh-CN"/>
        </w:rPr>
      </w:pPr>
      <w:r>
        <w:rPr>
          <w:rFonts w:hint="eastAsia" w:ascii="宋体" w:hAnsi="宋体" w:eastAsia="宋体" w:cs="宋体"/>
          <w:spacing w:val="-1"/>
          <w:sz w:val="24"/>
          <w:szCs w:val="24"/>
          <w:highlight w:val="none"/>
        </w:rPr>
        <w:t>联系人：</w:t>
      </w:r>
      <w:r>
        <w:rPr>
          <w:rFonts w:hint="eastAsia" w:ascii="宋体" w:hAnsi="宋体" w:eastAsia="宋体" w:cs="宋体"/>
          <w:spacing w:val="-1"/>
          <w:sz w:val="24"/>
          <w:szCs w:val="24"/>
          <w:highlight w:val="none"/>
          <w:lang w:val="en-US" w:eastAsia="zh-CN"/>
        </w:rPr>
        <w:t>郭森林</w:t>
      </w:r>
      <w:r>
        <w:rPr>
          <w:rFonts w:hint="eastAsia" w:ascii="宋体" w:hAnsi="宋体" w:eastAsia="宋体" w:cs="宋体"/>
          <w:spacing w:val="7"/>
          <w:sz w:val="24"/>
          <w:szCs w:val="24"/>
          <w:highlight w:val="none"/>
        </w:rPr>
        <w:t xml:space="preserve">       </w:t>
      </w:r>
      <w:r>
        <w:rPr>
          <w:rFonts w:hint="eastAsia" w:ascii="宋体" w:hAnsi="宋体" w:eastAsia="宋体" w:cs="宋体"/>
          <w:spacing w:val="-1"/>
          <w:sz w:val="24"/>
          <w:szCs w:val="24"/>
          <w:highlight w:val="none"/>
        </w:rPr>
        <w:t>联系方式：</w:t>
      </w:r>
      <w:r>
        <w:rPr>
          <w:rFonts w:hint="eastAsia" w:ascii="宋体" w:hAnsi="宋体" w:eastAsia="宋体" w:cs="宋体"/>
          <w:spacing w:val="-1"/>
          <w:sz w:val="24"/>
          <w:szCs w:val="24"/>
          <w:highlight w:val="none"/>
          <w:lang w:val="en-US" w:eastAsia="zh-CN"/>
        </w:rPr>
        <w:t>15839579715</w:t>
      </w:r>
    </w:p>
    <w:p>
      <w:pPr>
        <w:spacing w:before="196" w:line="220" w:lineRule="auto"/>
        <w:ind w:left="44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3.项目联系方式</w:t>
      </w:r>
    </w:p>
    <w:p>
      <w:pPr>
        <w:spacing w:before="184" w:line="470" w:lineRule="exact"/>
        <w:ind w:firstLine="468" w:firstLineChars="200"/>
        <w:rPr>
          <w:rFonts w:hint="eastAsia" w:ascii="宋体" w:hAnsi="宋体" w:eastAsia="宋体" w:cs="宋体"/>
          <w:spacing w:val="-3"/>
          <w:position w:val="17"/>
          <w:sz w:val="24"/>
          <w:szCs w:val="24"/>
          <w:highlight w:val="none"/>
        </w:rPr>
      </w:pPr>
      <w:r>
        <w:rPr>
          <w:rFonts w:hint="eastAsia" w:ascii="宋体" w:hAnsi="宋体" w:eastAsia="宋体" w:cs="宋体"/>
          <w:spacing w:val="-3"/>
          <w:position w:val="17"/>
          <w:sz w:val="24"/>
          <w:szCs w:val="24"/>
          <w:highlight w:val="none"/>
        </w:rPr>
        <w:t>联系人：郭森林       联系方式：15839579715</w:t>
      </w:r>
    </w:p>
    <w:p>
      <w:pPr>
        <w:spacing w:before="184" w:line="470" w:lineRule="exact"/>
        <w:ind w:firstLine="3510" w:firstLineChars="1500"/>
        <w:jc w:val="both"/>
        <w:rPr>
          <w:rFonts w:hint="eastAsia" w:ascii="宋体" w:hAnsi="宋体" w:eastAsia="宋体" w:cs="宋体"/>
          <w:sz w:val="24"/>
          <w:szCs w:val="24"/>
          <w:highlight w:val="none"/>
          <w:lang w:eastAsia="zh-CN"/>
        </w:rPr>
      </w:pPr>
      <w:r>
        <w:rPr>
          <w:rFonts w:hint="eastAsia" w:ascii="宋体" w:hAnsi="宋体" w:eastAsia="宋体" w:cs="宋体"/>
          <w:spacing w:val="-3"/>
          <w:position w:val="17"/>
          <w:sz w:val="24"/>
          <w:szCs w:val="24"/>
          <w:highlight w:val="none"/>
        </w:rPr>
        <w:t>发布人：</w:t>
      </w:r>
      <w:r>
        <w:rPr>
          <w:rFonts w:hint="eastAsia" w:ascii="宋体" w:hAnsi="宋体" w:eastAsia="宋体" w:cs="宋体"/>
          <w:spacing w:val="-3"/>
          <w:position w:val="17"/>
          <w:sz w:val="24"/>
          <w:szCs w:val="24"/>
          <w:highlight w:val="none"/>
          <w:lang w:eastAsia="zh-CN"/>
        </w:rPr>
        <w:t>河南省亿达工程管理咨询有限公司</w:t>
      </w:r>
    </w:p>
    <w:p>
      <w:pPr>
        <w:spacing w:before="1" w:line="218" w:lineRule="auto"/>
        <w:ind w:left="3499"/>
        <w:jc w:val="left"/>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发布时间：2024年</w:t>
      </w:r>
      <w:r>
        <w:rPr>
          <w:rFonts w:hint="eastAsia" w:ascii="宋体" w:hAnsi="宋体" w:eastAsia="宋体" w:cs="宋体"/>
          <w:spacing w:val="16"/>
          <w:sz w:val="24"/>
          <w:szCs w:val="24"/>
          <w:highlight w:val="none"/>
          <w:lang w:val="en-US" w:eastAsia="zh-CN"/>
        </w:rPr>
        <w:t>04</w:t>
      </w:r>
      <w:r>
        <w:rPr>
          <w:rFonts w:hint="eastAsia" w:ascii="宋体" w:hAnsi="宋体" w:eastAsia="宋体" w:cs="宋体"/>
          <w:spacing w:val="16"/>
          <w:sz w:val="24"/>
          <w:szCs w:val="24"/>
          <w:highlight w:val="none"/>
        </w:rPr>
        <w:t>月</w:t>
      </w:r>
      <w:r>
        <w:rPr>
          <w:rFonts w:hint="eastAsia" w:ascii="宋体" w:hAnsi="宋体" w:eastAsia="宋体" w:cs="宋体"/>
          <w:spacing w:val="16"/>
          <w:sz w:val="24"/>
          <w:szCs w:val="24"/>
          <w:highlight w:val="none"/>
          <w:lang w:val="en-US" w:eastAsia="zh-CN"/>
        </w:rPr>
        <w:t>01</w:t>
      </w:r>
      <w:r>
        <w:rPr>
          <w:rFonts w:hint="eastAsia" w:ascii="宋体" w:hAnsi="宋体" w:eastAsia="宋体" w:cs="宋体"/>
          <w:spacing w:val="16"/>
          <w:sz w:val="24"/>
          <w:szCs w:val="24"/>
          <w:highlight w:val="none"/>
        </w:rPr>
        <w:t>日</w:t>
      </w:r>
    </w:p>
    <w:p>
      <w:pPr>
        <w:spacing w:line="218" w:lineRule="auto"/>
        <w:jc w:val="left"/>
        <w:rPr>
          <w:rFonts w:hint="eastAsia" w:ascii="宋体" w:hAnsi="宋体" w:eastAsia="宋体" w:cs="宋体"/>
          <w:sz w:val="24"/>
          <w:szCs w:val="24"/>
          <w:highlight w:val="none"/>
        </w:rPr>
        <w:sectPr>
          <w:footerReference r:id="rId8" w:type="default"/>
          <w:pgSz w:w="11910" w:h="16840"/>
          <w:pgMar w:top="1431" w:right="1444" w:bottom="1171" w:left="1430" w:header="0" w:footer="973" w:gutter="0"/>
          <w:pgNumType w:fmt="decimal"/>
          <w:cols w:space="720" w:num="1"/>
        </w:sectPr>
      </w:pPr>
    </w:p>
    <w:p>
      <w:pPr>
        <w:pStyle w:val="3"/>
        <w:bidi w:val="0"/>
        <w:jc w:val="center"/>
        <w:rPr>
          <w:rFonts w:hint="eastAsia"/>
          <w:highlight w:val="none"/>
        </w:rPr>
      </w:pPr>
      <w:bookmarkStart w:id="3" w:name="bookmark2"/>
      <w:bookmarkEnd w:id="3"/>
      <w:bookmarkStart w:id="4" w:name="_Toc31308"/>
      <w:r>
        <w:rPr>
          <w:rFonts w:hint="eastAsia"/>
          <w:highlight w:val="none"/>
        </w:rPr>
        <w:t>第二章 供应商须知</w:t>
      </w:r>
      <w:bookmarkEnd w:id="4"/>
    </w:p>
    <w:p>
      <w:pPr>
        <w:pStyle w:val="7"/>
        <w:spacing w:line="251" w:lineRule="auto"/>
        <w:rPr>
          <w:rFonts w:hint="eastAsia" w:ascii="宋体" w:hAnsi="宋体" w:eastAsia="宋体" w:cs="宋体"/>
          <w:highlight w:val="none"/>
        </w:rPr>
      </w:pPr>
    </w:p>
    <w:p>
      <w:pPr>
        <w:pStyle w:val="7"/>
        <w:spacing w:line="251" w:lineRule="auto"/>
        <w:rPr>
          <w:rFonts w:hint="eastAsia" w:ascii="宋体" w:hAnsi="宋体" w:eastAsia="宋体" w:cs="宋体"/>
          <w:highlight w:val="none"/>
        </w:rPr>
      </w:pPr>
    </w:p>
    <w:p>
      <w:pPr>
        <w:spacing w:before="157" w:line="220" w:lineRule="auto"/>
        <w:ind w:left="3"/>
        <w:jc w:val="center"/>
        <w:outlineLvl w:val="2"/>
        <w:rPr>
          <w:rFonts w:hint="eastAsia" w:ascii="宋体" w:hAnsi="宋体" w:eastAsia="宋体" w:cs="宋体"/>
          <w:b/>
          <w:bCs/>
          <w:spacing w:val="3"/>
          <w:sz w:val="23"/>
          <w:szCs w:val="23"/>
          <w:highlight w:val="none"/>
        </w:rPr>
      </w:pPr>
      <w:bookmarkStart w:id="5" w:name="_Toc31241"/>
      <w:r>
        <w:rPr>
          <w:rFonts w:hint="eastAsia" w:ascii="宋体" w:hAnsi="宋体" w:eastAsia="宋体" w:cs="宋体"/>
          <w:b/>
          <w:bCs/>
          <w:spacing w:val="3"/>
          <w:sz w:val="23"/>
          <w:szCs w:val="23"/>
          <w:highlight w:val="none"/>
        </w:rPr>
        <w:t>一 .  说     明</w:t>
      </w:r>
      <w:bookmarkEnd w:id="5"/>
    </w:p>
    <w:p>
      <w:pPr>
        <w:spacing w:before="157" w:line="220" w:lineRule="auto"/>
        <w:ind w:left="3"/>
        <w:outlineLvl w:val="3"/>
        <w:rPr>
          <w:rFonts w:hint="eastAsia" w:ascii="宋体" w:hAnsi="宋体" w:eastAsia="宋体" w:cs="宋体"/>
          <w:sz w:val="23"/>
          <w:szCs w:val="23"/>
          <w:highlight w:val="none"/>
        </w:rPr>
      </w:pPr>
      <w:r>
        <w:rPr>
          <w:rFonts w:hint="eastAsia" w:ascii="宋体" w:hAnsi="宋体" w:eastAsia="宋体" w:cs="宋体"/>
          <w:b/>
          <w:bCs/>
          <w:spacing w:val="3"/>
          <w:sz w:val="23"/>
          <w:szCs w:val="23"/>
          <w:highlight w:val="none"/>
        </w:rPr>
        <w:t>1.</w:t>
      </w:r>
      <w:r>
        <w:rPr>
          <w:rFonts w:hint="eastAsia" w:ascii="宋体" w:hAnsi="宋体" w:eastAsia="宋体" w:cs="宋体"/>
          <w:spacing w:val="3"/>
          <w:sz w:val="23"/>
          <w:szCs w:val="23"/>
          <w:highlight w:val="none"/>
        </w:rPr>
        <w:t xml:space="preserve"> </w:t>
      </w:r>
      <w:r>
        <w:rPr>
          <w:rFonts w:hint="eastAsia" w:ascii="宋体" w:hAnsi="宋体" w:eastAsia="宋体" w:cs="宋体"/>
          <w:b/>
          <w:bCs/>
          <w:spacing w:val="3"/>
          <w:sz w:val="23"/>
          <w:szCs w:val="23"/>
          <w:highlight w:val="none"/>
        </w:rPr>
        <w:t>适用范围</w:t>
      </w:r>
    </w:p>
    <w:p>
      <w:pPr>
        <w:spacing w:before="184" w:line="452" w:lineRule="exact"/>
        <w:rPr>
          <w:rFonts w:hint="eastAsia" w:ascii="宋体" w:hAnsi="宋体" w:eastAsia="宋体" w:cs="宋体"/>
          <w:sz w:val="23"/>
          <w:szCs w:val="23"/>
          <w:highlight w:val="none"/>
        </w:rPr>
      </w:pPr>
      <w:r>
        <w:rPr>
          <w:rFonts w:hint="eastAsia" w:ascii="宋体" w:hAnsi="宋体" w:eastAsia="宋体" w:cs="宋体"/>
          <w:spacing w:val="16"/>
          <w:position w:val="17"/>
          <w:sz w:val="23"/>
          <w:szCs w:val="23"/>
          <w:highlight w:val="none"/>
        </w:rPr>
        <w:t>1.1 本次采购采用竞争性磋商方式(以下简称磋商),本竞争性磋商文件仅适用于竞争</w:t>
      </w:r>
    </w:p>
    <w:p>
      <w:pPr>
        <w:spacing w:before="1" w:line="217" w:lineRule="auto"/>
        <w:ind w:left="389"/>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性磋商公告中所述项目。</w:t>
      </w:r>
    </w:p>
    <w:p>
      <w:pPr>
        <w:spacing w:before="218" w:line="220" w:lineRule="auto"/>
        <w:ind w:left="3"/>
        <w:outlineLvl w:val="3"/>
        <w:rPr>
          <w:rFonts w:hint="eastAsia" w:ascii="宋体" w:hAnsi="宋体" w:eastAsia="宋体" w:cs="宋体"/>
          <w:sz w:val="23"/>
          <w:szCs w:val="23"/>
          <w:highlight w:val="none"/>
        </w:rPr>
      </w:pPr>
      <w:r>
        <w:rPr>
          <w:rFonts w:hint="eastAsia" w:ascii="宋体" w:hAnsi="宋体" w:eastAsia="宋体" w:cs="宋体"/>
          <w:b/>
          <w:bCs/>
          <w:spacing w:val="3"/>
          <w:sz w:val="23"/>
          <w:szCs w:val="23"/>
          <w:highlight w:val="none"/>
        </w:rPr>
        <w:t>2.</w:t>
      </w:r>
      <w:r>
        <w:rPr>
          <w:rFonts w:hint="eastAsia" w:ascii="宋体" w:hAnsi="宋体" w:eastAsia="宋体" w:cs="宋体"/>
          <w:spacing w:val="17"/>
          <w:sz w:val="23"/>
          <w:szCs w:val="23"/>
          <w:highlight w:val="none"/>
        </w:rPr>
        <w:t xml:space="preserve"> </w:t>
      </w:r>
      <w:r>
        <w:rPr>
          <w:rFonts w:hint="eastAsia" w:ascii="宋体" w:hAnsi="宋体" w:eastAsia="宋体" w:cs="宋体"/>
          <w:b/>
          <w:bCs/>
          <w:spacing w:val="3"/>
          <w:sz w:val="23"/>
          <w:szCs w:val="23"/>
          <w:highlight w:val="none"/>
        </w:rPr>
        <w:t>定义</w:t>
      </w:r>
    </w:p>
    <w:p>
      <w:pPr>
        <w:spacing w:before="187" w:line="219" w:lineRule="auto"/>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2.1 采购人：</w:t>
      </w:r>
      <w:r>
        <w:rPr>
          <w:rFonts w:hint="eastAsia" w:ascii="宋体" w:hAnsi="宋体" w:eastAsia="宋体" w:cs="宋体"/>
          <w:spacing w:val="4"/>
          <w:sz w:val="23"/>
          <w:szCs w:val="23"/>
          <w:highlight w:val="none"/>
          <w:lang w:eastAsia="zh-CN"/>
        </w:rPr>
        <w:t>河南省南水北调渠首生态环境监测应急中心</w:t>
      </w:r>
      <w:r>
        <w:rPr>
          <w:rFonts w:hint="eastAsia" w:ascii="宋体" w:hAnsi="宋体" w:eastAsia="宋体" w:cs="宋体"/>
          <w:spacing w:val="4"/>
          <w:sz w:val="23"/>
          <w:szCs w:val="23"/>
          <w:highlight w:val="none"/>
        </w:rPr>
        <w:t>。</w:t>
      </w:r>
    </w:p>
    <w:p>
      <w:pPr>
        <w:spacing w:before="197" w:line="219" w:lineRule="auto"/>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2.2 采购代理机构：</w:t>
      </w:r>
      <w:r>
        <w:rPr>
          <w:rFonts w:hint="eastAsia" w:ascii="宋体" w:hAnsi="宋体" w:eastAsia="宋体" w:cs="宋体"/>
          <w:spacing w:val="7"/>
          <w:sz w:val="23"/>
          <w:szCs w:val="23"/>
          <w:highlight w:val="none"/>
          <w:lang w:eastAsia="zh-CN"/>
        </w:rPr>
        <w:t>河南省亿达工程管理咨询有限公司</w:t>
      </w:r>
      <w:r>
        <w:rPr>
          <w:rFonts w:hint="eastAsia" w:ascii="宋体" w:hAnsi="宋体" w:eastAsia="宋体" w:cs="宋体"/>
          <w:spacing w:val="7"/>
          <w:sz w:val="23"/>
          <w:szCs w:val="23"/>
          <w:highlight w:val="none"/>
        </w:rPr>
        <w:t>。</w:t>
      </w:r>
    </w:p>
    <w:p>
      <w:pPr>
        <w:spacing w:before="187" w:line="219" w:lineRule="auto"/>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2.3 成交供应商：接到并接受成交通知</w:t>
      </w:r>
      <w:r>
        <w:rPr>
          <w:rFonts w:hint="eastAsia" w:ascii="宋体" w:hAnsi="宋体" w:eastAsia="宋体" w:cs="宋体"/>
          <w:spacing w:val="7"/>
          <w:sz w:val="23"/>
          <w:szCs w:val="23"/>
          <w:highlight w:val="none"/>
        </w:rPr>
        <w:t>，最终被授予合同的供应商。</w:t>
      </w:r>
    </w:p>
    <w:p>
      <w:pPr>
        <w:spacing w:before="208" w:line="219" w:lineRule="auto"/>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2.4 服务：系指根据本磋商文件规定供应商须承担的服务以及其他类似的义务等。</w:t>
      </w:r>
    </w:p>
    <w:p>
      <w:pPr>
        <w:spacing w:before="186" w:line="220" w:lineRule="auto"/>
        <w:ind w:left="3"/>
        <w:outlineLvl w:val="3"/>
        <w:rPr>
          <w:rFonts w:hint="eastAsia" w:ascii="宋体" w:hAnsi="宋体" w:eastAsia="宋体" w:cs="宋体"/>
          <w:sz w:val="23"/>
          <w:szCs w:val="23"/>
          <w:highlight w:val="none"/>
        </w:rPr>
      </w:pPr>
      <w:r>
        <w:rPr>
          <w:rFonts w:hint="eastAsia" w:ascii="宋体" w:hAnsi="宋体" w:eastAsia="宋体" w:cs="宋体"/>
          <w:b/>
          <w:bCs/>
          <w:spacing w:val="4"/>
          <w:sz w:val="23"/>
          <w:szCs w:val="23"/>
          <w:highlight w:val="none"/>
        </w:rPr>
        <w:t>3.</w:t>
      </w:r>
      <w:r>
        <w:rPr>
          <w:rFonts w:hint="eastAsia" w:ascii="宋体" w:hAnsi="宋体" w:eastAsia="宋体" w:cs="宋体"/>
          <w:spacing w:val="4"/>
          <w:sz w:val="23"/>
          <w:szCs w:val="23"/>
          <w:highlight w:val="none"/>
        </w:rPr>
        <w:t xml:space="preserve"> </w:t>
      </w:r>
      <w:r>
        <w:rPr>
          <w:rFonts w:hint="eastAsia" w:ascii="宋体" w:hAnsi="宋体" w:eastAsia="宋体" w:cs="宋体"/>
          <w:b/>
          <w:bCs/>
          <w:spacing w:val="4"/>
          <w:sz w:val="23"/>
          <w:szCs w:val="23"/>
          <w:highlight w:val="none"/>
        </w:rPr>
        <w:t>磋商费用</w:t>
      </w:r>
    </w:p>
    <w:p>
      <w:pPr>
        <w:spacing w:before="197" w:line="470" w:lineRule="exact"/>
        <w:rPr>
          <w:rFonts w:hint="eastAsia" w:ascii="宋体" w:hAnsi="宋体" w:eastAsia="宋体" w:cs="宋体"/>
          <w:sz w:val="23"/>
          <w:szCs w:val="23"/>
          <w:highlight w:val="none"/>
        </w:rPr>
      </w:pPr>
      <w:r>
        <w:rPr>
          <w:rFonts w:hint="eastAsia" w:ascii="宋体" w:hAnsi="宋体" w:eastAsia="宋体" w:cs="宋体"/>
          <w:spacing w:val="8"/>
          <w:position w:val="18"/>
          <w:sz w:val="23"/>
          <w:szCs w:val="23"/>
          <w:highlight w:val="none"/>
        </w:rPr>
        <w:t>3.1 无论磋商过程中的作法和结果如何，供</w:t>
      </w:r>
      <w:r>
        <w:rPr>
          <w:rFonts w:hint="eastAsia" w:ascii="宋体" w:hAnsi="宋体" w:eastAsia="宋体" w:cs="宋体"/>
          <w:spacing w:val="7"/>
          <w:position w:val="18"/>
          <w:sz w:val="23"/>
          <w:szCs w:val="23"/>
          <w:highlight w:val="none"/>
        </w:rPr>
        <w:t>应商应自行承担所有与参加磋商有关的全部</w:t>
      </w:r>
    </w:p>
    <w:p>
      <w:pPr>
        <w:spacing w:before="1" w:line="218" w:lineRule="auto"/>
        <w:ind w:left="389"/>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费用，采购人或采购代理机构在任何情况下均无义务和责任承担上述费用。</w:t>
      </w:r>
    </w:p>
    <w:p>
      <w:pPr>
        <w:spacing w:before="157" w:line="220" w:lineRule="auto"/>
        <w:ind w:left="3"/>
        <w:jc w:val="center"/>
        <w:outlineLvl w:val="2"/>
        <w:rPr>
          <w:rFonts w:hint="eastAsia" w:ascii="宋体" w:hAnsi="宋体" w:eastAsia="宋体" w:cs="宋体"/>
          <w:b/>
          <w:bCs/>
          <w:spacing w:val="3"/>
          <w:sz w:val="23"/>
          <w:szCs w:val="23"/>
          <w:highlight w:val="none"/>
        </w:rPr>
      </w:pPr>
      <w:bookmarkStart w:id="6" w:name="_Toc2355"/>
      <w:r>
        <w:rPr>
          <w:rFonts w:hint="eastAsia" w:ascii="宋体" w:hAnsi="宋体" w:eastAsia="宋体" w:cs="宋体"/>
          <w:b/>
          <w:bCs/>
          <w:spacing w:val="3"/>
          <w:sz w:val="23"/>
          <w:szCs w:val="23"/>
          <w:highlight w:val="none"/>
        </w:rPr>
        <w:t>二. 竞争性磋商文件</w:t>
      </w:r>
      <w:bookmarkEnd w:id="6"/>
    </w:p>
    <w:p>
      <w:pPr>
        <w:spacing w:before="186" w:line="220" w:lineRule="auto"/>
        <w:ind w:left="3"/>
        <w:outlineLvl w:val="3"/>
        <w:rPr>
          <w:rFonts w:hint="eastAsia" w:ascii="宋体" w:hAnsi="宋体" w:eastAsia="宋体" w:cs="宋体"/>
          <w:b/>
          <w:bCs/>
          <w:spacing w:val="4"/>
          <w:sz w:val="23"/>
          <w:szCs w:val="23"/>
          <w:highlight w:val="none"/>
        </w:rPr>
      </w:pPr>
      <w:r>
        <w:rPr>
          <w:rFonts w:hint="eastAsia" w:ascii="宋体" w:hAnsi="宋体" w:eastAsia="宋体" w:cs="宋体"/>
          <w:b/>
          <w:bCs/>
          <w:spacing w:val="4"/>
          <w:sz w:val="23"/>
          <w:szCs w:val="23"/>
          <w:highlight w:val="none"/>
        </w:rPr>
        <w:t>4. 竞争性磋商文件的构成</w:t>
      </w:r>
    </w:p>
    <w:p>
      <w:pPr>
        <w:spacing w:before="200" w:line="470" w:lineRule="exact"/>
        <w:rPr>
          <w:rFonts w:hint="eastAsia" w:ascii="宋体" w:hAnsi="宋体" w:eastAsia="宋体" w:cs="宋体"/>
          <w:sz w:val="23"/>
          <w:szCs w:val="23"/>
          <w:highlight w:val="none"/>
        </w:rPr>
      </w:pPr>
      <w:r>
        <w:rPr>
          <w:rFonts w:hint="eastAsia" w:ascii="宋体" w:hAnsi="宋体" w:eastAsia="宋体" w:cs="宋体"/>
          <w:spacing w:val="8"/>
          <w:position w:val="18"/>
          <w:sz w:val="23"/>
          <w:szCs w:val="23"/>
          <w:highlight w:val="none"/>
        </w:rPr>
        <w:t>4.1竞争性磋商文件用以阐明本次采购的服务</w:t>
      </w:r>
      <w:r>
        <w:rPr>
          <w:rFonts w:hint="eastAsia" w:ascii="宋体" w:hAnsi="宋体" w:eastAsia="宋体" w:cs="宋体"/>
          <w:spacing w:val="7"/>
          <w:position w:val="18"/>
          <w:sz w:val="23"/>
          <w:szCs w:val="23"/>
          <w:highlight w:val="none"/>
        </w:rPr>
        <w:t>要求、磋商程序和合同条件。</w:t>
      </w:r>
    </w:p>
    <w:p>
      <w:pPr>
        <w:spacing w:before="1" w:line="219" w:lineRule="auto"/>
        <w:ind w:left="739"/>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竞争性磋商文件由下述部分组成：</w:t>
      </w:r>
    </w:p>
    <w:p>
      <w:pPr>
        <w:spacing w:line="185" w:lineRule="exact"/>
        <w:rPr>
          <w:rFonts w:hint="eastAsia" w:ascii="宋体" w:hAnsi="宋体" w:eastAsia="宋体" w:cs="宋体"/>
          <w:highlight w:val="none"/>
        </w:rPr>
      </w:pPr>
    </w:p>
    <w:tbl>
      <w:tblPr>
        <w:tblStyle w:val="30"/>
        <w:tblW w:w="3860" w:type="dxa"/>
        <w:tblInd w:w="739" w:type="dxa"/>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Layout w:type="fixed"/>
        <w:tblCellMar>
          <w:top w:w="0" w:type="dxa"/>
          <w:left w:w="0" w:type="dxa"/>
          <w:bottom w:w="0" w:type="dxa"/>
          <w:right w:w="0" w:type="dxa"/>
        </w:tblCellMar>
      </w:tblPr>
      <w:tblGrid>
        <w:gridCol w:w="970"/>
        <w:gridCol w:w="2890"/>
      </w:tblGrid>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5" w:hRule="atLeast"/>
        </w:trPr>
        <w:tc>
          <w:tcPr>
            <w:tcW w:w="970" w:type="dxa"/>
            <w:vAlign w:val="top"/>
          </w:tcPr>
          <w:p>
            <w:pPr>
              <w:pStyle w:val="31"/>
              <w:spacing w:line="218" w:lineRule="auto"/>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第一章</w:t>
            </w:r>
          </w:p>
        </w:tc>
        <w:tc>
          <w:tcPr>
            <w:tcW w:w="2890" w:type="dxa"/>
            <w:vAlign w:val="top"/>
          </w:tcPr>
          <w:p>
            <w:pPr>
              <w:pStyle w:val="31"/>
              <w:spacing w:before="1" w:line="217" w:lineRule="auto"/>
              <w:ind w:left="289"/>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竞争性磋商公告</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0" w:hRule="atLeast"/>
        </w:trPr>
        <w:tc>
          <w:tcPr>
            <w:tcW w:w="970" w:type="dxa"/>
            <w:vAlign w:val="top"/>
          </w:tcPr>
          <w:p>
            <w:pPr>
              <w:pStyle w:val="31"/>
              <w:spacing w:before="115" w:line="219" w:lineRule="auto"/>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第二章</w:t>
            </w:r>
          </w:p>
        </w:tc>
        <w:tc>
          <w:tcPr>
            <w:tcW w:w="2890" w:type="dxa"/>
            <w:vAlign w:val="top"/>
          </w:tcPr>
          <w:p>
            <w:pPr>
              <w:pStyle w:val="31"/>
              <w:spacing w:before="115" w:line="219" w:lineRule="auto"/>
              <w:ind w:left="289"/>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供应商须知</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5" w:hRule="atLeast"/>
        </w:trPr>
        <w:tc>
          <w:tcPr>
            <w:tcW w:w="970" w:type="dxa"/>
            <w:vAlign w:val="top"/>
          </w:tcPr>
          <w:p>
            <w:pPr>
              <w:pStyle w:val="31"/>
              <w:spacing w:before="125" w:line="219" w:lineRule="auto"/>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第三章</w:t>
            </w:r>
          </w:p>
        </w:tc>
        <w:tc>
          <w:tcPr>
            <w:tcW w:w="2890" w:type="dxa"/>
            <w:vAlign w:val="top"/>
          </w:tcPr>
          <w:p>
            <w:pPr>
              <w:pStyle w:val="31"/>
              <w:spacing w:before="126" w:line="219" w:lineRule="auto"/>
              <w:ind w:left="289"/>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响应文件格式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0" w:hRule="atLeast"/>
        </w:trPr>
        <w:tc>
          <w:tcPr>
            <w:tcW w:w="970" w:type="dxa"/>
            <w:vAlign w:val="top"/>
          </w:tcPr>
          <w:p>
            <w:pPr>
              <w:pStyle w:val="31"/>
              <w:spacing w:before="120" w:line="219" w:lineRule="auto"/>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第四章</w:t>
            </w:r>
          </w:p>
        </w:tc>
        <w:tc>
          <w:tcPr>
            <w:tcW w:w="2890" w:type="dxa"/>
            <w:vAlign w:val="top"/>
          </w:tcPr>
          <w:p>
            <w:pPr>
              <w:pStyle w:val="31"/>
              <w:spacing w:before="121" w:line="219" w:lineRule="auto"/>
              <w:ind w:left="289"/>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合同格式</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70" w:hRule="atLeast"/>
        </w:trPr>
        <w:tc>
          <w:tcPr>
            <w:tcW w:w="970" w:type="dxa"/>
            <w:vAlign w:val="top"/>
          </w:tcPr>
          <w:p>
            <w:pPr>
              <w:pStyle w:val="31"/>
              <w:spacing w:before="120" w:line="219" w:lineRule="auto"/>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第五章</w:t>
            </w:r>
          </w:p>
        </w:tc>
        <w:tc>
          <w:tcPr>
            <w:tcW w:w="2890" w:type="dxa"/>
            <w:vAlign w:val="top"/>
          </w:tcPr>
          <w:p>
            <w:pPr>
              <w:pStyle w:val="31"/>
              <w:spacing w:before="121" w:line="220" w:lineRule="auto"/>
              <w:ind w:left="289"/>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招标项目资料表</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460" w:hRule="atLeast"/>
        </w:trPr>
        <w:tc>
          <w:tcPr>
            <w:tcW w:w="970" w:type="dxa"/>
            <w:vAlign w:val="top"/>
          </w:tcPr>
          <w:p>
            <w:pPr>
              <w:pStyle w:val="31"/>
              <w:spacing w:before="120" w:line="219" w:lineRule="auto"/>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第六章</w:t>
            </w:r>
          </w:p>
        </w:tc>
        <w:tc>
          <w:tcPr>
            <w:tcW w:w="2890" w:type="dxa"/>
            <w:vAlign w:val="top"/>
          </w:tcPr>
          <w:p>
            <w:pPr>
              <w:pStyle w:val="31"/>
              <w:spacing w:before="121" w:line="219" w:lineRule="auto"/>
              <w:jc w:val="right"/>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招标项目需求及服务要求</w:t>
            </w:r>
          </w:p>
        </w:tc>
      </w:tr>
      <w:tr>
        <w:tblPrEx>
          <w:tblBorders>
            <w:top w:val="none" w:color="000000" w:sz="0" w:space="0"/>
            <w:left w:val="none" w:color="000000" w:sz="0" w:space="0"/>
            <w:bottom w:val="none" w:color="000000" w:sz="0" w:space="0"/>
            <w:right w:val="none" w:color="000000" w:sz="0" w:space="0"/>
            <w:insideH w:val="none" w:color="000000" w:sz="0" w:space="0"/>
            <w:insideV w:val="none" w:color="000000" w:sz="0" w:space="0"/>
          </w:tblBorders>
          <w:tblCellMar>
            <w:top w:w="0" w:type="dxa"/>
            <w:left w:w="0" w:type="dxa"/>
            <w:bottom w:w="0" w:type="dxa"/>
            <w:right w:w="0" w:type="dxa"/>
          </w:tblCellMar>
        </w:tblPrEx>
        <w:trPr>
          <w:trHeight w:val="340" w:hRule="atLeast"/>
        </w:trPr>
        <w:tc>
          <w:tcPr>
            <w:tcW w:w="970" w:type="dxa"/>
            <w:vAlign w:val="top"/>
          </w:tcPr>
          <w:p>
            <w:pPr>
              <w:pStyle w:val="31"/>
              <w:spacing w:before="110" w:line="176" w:lineRule="auto"/>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第七章</w:t>
            </w:r>
          </w:p>
        </w:tc>
        <w:tc>
          <w:tcPr>
            <w:tcW w:w="2890" w:type="dxa"/>
            <w:vAlign w:val="top"/>
          </w:tcPr>
          <w:p>
            <w:pPr>
              <w:pStyle w:val="31"/>
              <w:spacing w:before="110" w:line="176" w:lineRule="auto"/>
              <w:ind w:left="289"/>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评审标准</w:t>
            </w:r>
          </w:p>
        </w:tc>
      </w:tr>
    </w:tbl>
    <w:p>
      <w:pPr>
        <w:spacing w:before="249" w:line="378" w:lineRule="auto"/>
        <w:ind w:left="389" w:hanging="389"/>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4.2供应商应仔细阅读竞争性磋商文件中供应商须知、</w:t>
      </w:r>
      <w:r>
        <w:rPr>
          <w:rFonts w:hint="eastAsia" w:ascii="宋体" w:hAnsi="宋体" w:eastAsia="宋体" w:cs="宋体"/>
          <w:spacing w:val="10"/>
          <w:sz w:val="23"/>
          <w:szCs w:val="23"/>
          <w:highlight w:val="none"/>
        </w:rPr>
        <w:t>合同条款的所有事项、格式要求</w:t>
      </w:r>
      <w:r>
        <w:rPr>
          <w:rFonts w:hint="eastAsia" w:ascii="宋体" w:hAnsi="宋体" w:eastAsia="宋体" w:cs="宋体"/>
          <w:sz w:val="23"/>
          <w:szCs w:val="23"/>
          <w:highlight w:val="none"/>
        </w:rPr>
        <w:t xml:space="preserve"> </w:t>
      </w:r>
      <w:r>
        <w:rPr>
          <w:rFonts w:hint="eastAsia" w:ascii="宋体" w:hAnsi="宋体" w:eastAsia="宋体" w:cs="宋体"/>
          <w:spacing w:val="12"/>
          <w:sz w:val="23"/>
          <w:szCs w:val="23"/>
          <w:highlight w:val="none"/>
        </w:rPr>
        <w:t>和技术规范，按竞争性磋商文件的要求提供响</w:t>
      </w:r>
      <w:r>
        <w:rPr>
          <w:rFonts w:hint="eastAsia" w:ascii="宋体" w:hAnsi="宋体" w:eastAsia="宋体" w:cs="宋体"/>
          <w:spacing w:val="11"/>
          <w:sz w:val="23"/>
          <w:szCs w:val="23"/>
          <w:highlight w:val="none"/>
        </w:rPr>
        <w:t>应文件，并保证所提供的全部资料的</w:t>
      </w:r>
    </w:p>
    <w:p>
      <w:pPr>
        <w:spacing w:line="219" w:lineRule="auto"/>
        <w:ind w:left="389"/>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真实性，以使其磋商对竞争性磋商文件做出实质性响应。</w:t>
      </w:r>
    </w:p>
    <w:p>
      <w:pPr>
        <w:spacing w:before="187" w:line="219" w:lineRule="auto"/>
        <w:rPr>
          <w:rFonts w:hint="eastAsia" w:ascii="宋体" w:hAnsi="宋体" w:eastAsia="宋体" w:cs="宋体"/>
          <w:spacing w:val="8"/>
          <w:sz w:val="23"/>
          <w:szCs w:val="23"/>
          <w:highlight w:val="none"/>
        </w:rPr>
      </w:pPr>
      <w:r>
        <w:rPr>
          <w:rFonts w:hint="eastAsia" w:ascii="宋体" w:hAnsi="宋体" w:eastAsia="宋体" w:cs="宋体"/>
          <w:spacing w:val="8"/>
          <w:sz w:val="23"/>
          <w:szCs w:val="23"/>
          <w:highlight w:val="none"/>
        </w:rPr>
        <w:t>4.3照抄或复制竞争性磋商文件技术及商务要求的、手写的响应文件将导致废</w:t>
      </w:r>
    </w:p>
    <w:p>
      <w:pPr>
        <w:spacing w:before="186" w:line="220" w:lineRule="auto"/>
        <w:ind w:left="3"/>
        <w:outlineLvl w:val="3"/>
        <w:rPr>
          <w:rFonts w:hint="eastAsia" w:ascii="宋体" w:hAnsi="宋体" w:eastAsia="宋体" w:cs="宋体"/>
          <w:b/>
          <w:bCs/>
          <w:spacing w:val="4"/>
          <w:sz w:val="23"/>
          <w:szCs w:val="23"/>
          <w:highlight w:val="none"/>
        </w:rPr>
      </w:pPr>
      <w:r>
        <w:rPr>
          <w:rFonts w:hint="eastAsia" w:ascii="宋体" w:hAnsi="宋体" w:eastAsia="宋体" w:cs="宋体"/>
          <w:b/>
          <w:bCs/>
          <w:spacing w:val="4"/>
          <w:sz w:val="23"/>
          <w:szCs w:val="23"/>
          <w:highlight w:val="none"/>
          <w:lang w:val="en-US" w:eastAsia="zh-CN"/>
        </w:rPr>
        <w:t>5</w:t>
      </w:r>
      <w:r>
        <w:rPr>
          <w:rFonts w:hint="eastAsia" w:ascii="宋体" w:hAnsi="宋体" w:eastAsia="宋体" w:cs="宋体"/>
          <w:b/>
          <w:bCs/>
          <w:spacing w:val="4"/>
          <w:sz w:val="23"/>
          <w:szCs w:val="23"/>
          <w:highlight w:val="none"/>
        </w:rPr>
        <w:t>.竞争性磋商文件的澄清</w:t>
      </w:r>
    </w:p>
    <w:p>
      <w:pPr>
        <w:spacing w:before="175" w:line="362" w:lineRule="auto"/>
        <w:ind w:left="359" w:right="19" w:hanging="35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5.1供应商应仔细阅读和检查竞争性磋商文件的全部内容。如发现缺页或附件不全，应</w:t>
      </w:r>
      <w:r>
        <w:rPr>
          <w:rFonts w:hint="eastAsia" w:ascii="宋体" w:hAnsi="宋体" w:eastAsia="宋体" w:cs="宋体"/>
          <w:spacing w:val="10"/>
          <w:sz w:val="24"/>
          <w:szCs w:val="24"/>
          <w:highlight w:val="none"/>
        </w:rPr>
        <w:t xml:space="preserve"> </w:t>
      </w:r>
      <w:r>
        <w:rPr>
          <w:rFonts w:hint="eastAsia" w:ascii="宋体" w:hAnsi="宋体" w:eastAsia="宋体" w:cs="宋体"/>
          <w:spacing w:val="1"/>
          <w:sz w:val="24"/>
          <w:szCs w:val="24"/>
          <w:highlight w:val="none"/>
        </w:rPr>
        <w:t>及时向采购人提出，以便补齐。如有疑问，应在提交响应文件截止时间5 日前以书</w:t>
      </w:r>
      <w:r>
        <w:rPr>
          <w:rFonts w:hint="eastAsia" w:ascii="宋体" w:hAnsi="宋体" w:eastAsia="宋体" w:cs="宋体"/>
          <w:spacing w:val="17"/>
          <w:sz w:val="24"/>
          <w:szCs w:val="24"/>
          <w:highlight w:val="none"/>
        </w:rPr>
        <w:t xml:space="preserve"> </w:t>
      </w:r>
      <w:r>
        <w:rPr>
          <w:rFonts w:hint="eastAsia" w:ascii="宋体" w:hAnsi="宋体" w:eastAsia="宋体" w:cs="宋体"/>
          <w:spacing w:val="5"/>
          <w:sz w:val="24"/>
          <w:szCs w:val="24"/>
          <w:highlight w:val="none"/>
        </w:rPr>
        <w:t>面形式(所提交的材料应包含营业执照复印件、法定代表人授</w:t>
      </w:r>
      <w:r>
        <w:rPr>
          <w:rFonts w:hint="eastAsia" w:ascii="宋体" w:hAnsi="宋体" w:eastAsia="宋体" w:cs="宋体"/>
          <w:spacing w:val="4"/>
          <w:sz w:val="24"/>
          <w:szCs w:val="24"/>
          <w:highlight w:val="none"/>
        </w:rPr>
        <w:t>权书原件及质疑内容</w:t>
      </w:r>
      <w:r>
        <w:rPr>
          <w:rFonts w:hint="eastAsia" w:ascii="宋体" w:hAnsi="宋体" w:eastAsia="宋体" w:cs="宋体"/>
          <w:sz w:val="24"/>
          <w:szCs w:val="24"/>
          <w:highlight w:val="none"/>
        </w:rPr>
        <w:t xml:space="preserve"> 和质疑依据并加盖单位公章)及电子邮件，要求采购人对竞争性磋商文件予以澄清，</w:t>
      </w:r>
    </w:p>
    <w:p>
      <w:pPr>
        <w:spacing w:line="218" w:lineRule="auto"/>
        <w:ind w:left="35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否则，将视为对本磋商文件要求无任何异议。</w:t>
      </w:r>
    </w:p>
    <w:p>
      <w:pPr>
        <w:spacing w:before="176" w:line="219" w:lineRule="auto"/>
        <w:jc w:val="right"/>
        <w:rPr>
          <w:rFonts w:hint="eastAsia" w:ascii="宋体" w:hAnsi="宋体" w:eastAsia="宋体" w:cs="宋体"/>
          <w:sz w:val="24"/>
          <w:szCs w:val="24"/>
          <w:highlight w:val="none"/>
        </w:rPr>
      </w:pPr>
      <w:r>
        <w:rPr>
          <w:rFonts w:hint="eastAsia" w:ascii="宋体" w:hAnsi="宋体" w:eastAsia="宋体" w:cs="宋体"/>
          <w:sz w:val="24"/>
          <w:szCs w:val="24"/>
          <w:highlight w:val="none"/>
        </w:rPr>
        <w:t>5.2竞争性磋商文件的澄清：响应文件截止时间5日前澄清，但不指明澄清问题的来源。</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6.竞争性磋商文件的修改</w:t>
      </w:r>
    </w:p>
    <w:p>
      <w:pPr>
        <w:spacing w:before="178" w:line="362" w:lineRule="auto"/>
        <w:ind w:left="359" w:right="84" w:hanging="35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6.1在磋商截止时间5天前，采购人可以书面形式修改竞争性磋商文件，并通知所有已</w:t>
      </w:r>
      <w:r>
        <w:rPr>
          <w:rFonts w:hint="eastAsia" w:ascii="宋体" w:hAnsi="宋体" w:eastAsia="宋体" w:cs="宋体"/>
          <w:spacing w:val="18"/>
          <w:sz w:val="24"/>
          <w:szCs w:val="24"/>
          <w:highlight w:val="none"/>
        </w:rPr>
        <w:t xml:space="preserve"> </w:t>
      </w:r>
      <w:r>
        <w:rPr>
          <w:rFonts w:hint="eastAsia" w:ascii="宋体" w:hAnsi="宋体" w:eastAsia="宋体" w:cs="宋体"/>
          <w:spacing w:val="5"/>
          <w:sz w:val="24"/>
          <w:szCs w:val="24"/>
          <w:highlight w:val="none"/>
        </w:rPr>
        <w:t>报名的供应商。如果修改竞争性磋商文件的时间距磋商截止时间</w:t>
      </w:r>
      <w:r>
        <w:rPr>
          <w:rFonts w:hint="eastAsia" w:ascii="宋体" w:hAnsi="宋体" w:eastAsia="宋体" w:cs="宋体"/>
          <w:spacing w:val="4"/>
          <w:sz w:val="24"/>
          <w:szCs w:val="24"/>
          <w:highlight w:val="none"/>
        </w:rPr>
        <w:t>不足5天，相应延</w:t>
      </w:r>
    </w:p>
    <w:p>
      <w:pPr>
        <w:spacing w:line="220" w:lineRule="auto"/>
        <w:ind w:left="359"/>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长磋商截止时间。</w:t>
      </w:r>
    </w:p>
    <w:p>
      <w:pPr>
        <w:spacing w:before="181" w:line="362" w:lineRule="auto"/>
        <w:ind w:left="359" w:right="81" w:hanging="35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6.2采购人一旦对竞争性磋商文件作出了澄清、修改，即刻发生效力，采购人有关的补</w:t>
      </w:r>
      <w:r>
        <w:rPr>
          <w:rFonts w:hint="eastAsia" w:ascii="宋体" w:hAnsi="宋体" w:eastAsia="宋体" w:cs="宋体"/>
          <w:spacing w:val="17"/>
          <w:sz w:val="24"/>
          <w:szCs w:val="24"/>
          <w:highlight w:val="none"/>
        </w:rPr>
        <w:t xml:space="preserve"> </w:t>
      </w:r>
      <w:r>
        <w:rPr>
          <w:rFonts w:hint="eastAsia" w:ascii="宋体" w:hAnsi="宋体" w:eastAsia="宋体" w:cs="宋体"/>
          <w:spacing w:val="8"/>
          <w:sz w:val="24"/>
          <w:szCs w:val="24"/>
          <w:highlight w:val="none"/>
        </w:rPr>
        <w:t>充文件，将作为竞争性磋商文件的组成部分，对所有现实的或潜在的竞(投)标人</w:t>
      </w:r>
      <w:r>
        <w:rPr>
          <w:rFonts w:hint="eastAsia" w:ascii="宋体" w:hAnsi="宋体" w:eastAsia="宋体" w:cs="宋体"/>
          <w:spacing w:val="1"/>
          <w:sz w:val="24"/>
          <w:szCs w:val="24"/>
          <w:highlight w:val="none"/>
        </w:rPr>
        <w:t xml:space="preserve"> 均具有约束力，而无论是否已经实际收到该澄清和修改文件。同时，采购人和供应</w:t>
      </w:r>
    </w:p>
    <w:p>
      <w:pPr>
        <w:spacing w:before="1" w:line="219" w:lineRule="auto"/>
        <w:ind w:left="35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商的权利及义务将受到新的截止期的约束。</w:t>
      </w:r>
    </w:p>
    <w:p>
      <w:pPr>
        <w:spacing w:before="173" w:line="219" w:lineRule="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6.3修改(更正)或补充文件将作为竞争性磋商文件的组成</w:t>
      </w:r>
      <w:r>
        <w:rPr>
          <w:rFonts w:hint="eastAsia" w:ascii="宋体" w:hAnsi="宋体" w:eastAsia="宋体" w:cs="宋体"/>
          <w:spacing w:val="7"/>
          <w:sz w:val="24"/>
          <w:szCs w:val="24"/>
          <w:highlight w:val="none"/>
        </w:rPr>
        <w:t>部分，对所有供应商具有约</w:t>
      </w:r>
    </w:p>
    <w:p>
      <w:pPr>
        <w:spacing w:before="176" w:line="461" w:lineRule="exact"/>
        <w:ind w:left="359"/>
        <w:rPr>
          <w:rFonts w:hint="eastAsia" w:ascii="宋体" w:hAnsi="宋体" w:eastAsia="宋体" w:cs="宋体"/>
          <w:sz w:val="24"/>
          <w:szCs w:val="24"/>
          <w:highlight w:val="none"/>
        </w:rPr>
      </w:pPr>
      <w:r>
        <w:rPr>
          <w:rFonts w:hint="eastAsia" w:ascii="宋体" w:hAnsi="宋体" w:eastAsia="宋体" w:cs="宋体"/>
          <w:spacing w:val="8"/>
          <w:position w:val="16"/>
          <w:sz w:val="24"/>
          <w:szCs w:val="24"/>
          <w:highlight w:val="none"/>
        </w:rPr>
        <w:t>束力。当竞争性磋商文件与修改(更正)或补充文件相矛盾时，以最后发出的修改</w:t>
      </w:r>
    </w:p>
    <w:p>
      <w:pPr>
        <w:spacing w:line="219" w:lineRule="auto"/>
        <w:ind w:left="499"/>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(更正)或补充文件为准。</w:t>
      </w:r>
    </w:p>
    <w:p>
      <w:pPr>
        <w:spacing w:before="157" w:line="220" w:lineRule="auto"/>
        <w:ind w:left="3"/>
        <w:jc w:val="center"/>
        <w:outlineLvl w:val="2"/>
        <w:rPr>
          <w:rFonts w:hint="eastAsia" w:ascii="宋体" w:hAnsi="宋体" w:eastAsia="宋体" w:cs="宋体"/>
          <w:b/>
          <w:bCs/>
          <w:spacing w:val="3"/>
          <w:sz w:val="23"/>
          <w:szCs w:val="23"/>
          <w:highlight w:val="none"/>
        </w:rPr>
      </w:pPr>
      <w:bookmarkStart w:id="7" w:name="_Toc3720"/>
      <w:r>
        <w:rPr>
          <w:rFonts w:hint="eastAsia" w:ascii="宋体" w:hAnsi="宋体" w:eastAsia="宋体" w:cs="宋体"/>
          <w:b/>
          <w:bCs/>
          <w:spacing w:val="3"/>
          <w:sz w:val="23"/>
          <w:szCs w:val="23"/>
          <w:highlight w:val="none"/>
        </w:rPr>
        <w:t>三.  响应文件的编写</w:t>
      </w:r>
      <w:bookmarkEnd w:id="7"/>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7. 磋商语言</w:t>
      </w:r>
    </w:p>
    <w:p>
      <w:pPr>
        <w:spacing w:before="186" w:line="354" w:lineRule="auto"/>
        <w:ind w:left="359" w:right="87" w:hanging="35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7.1供应商提交的响应文件以及供应商与采购人及采购代理机构就有关磋商的所有来往</w:t>
      </w:r>
      <w:r>
        <w:rPr>
          <w:rFonts w:hint="eastAsia" w:ascii="宋体" w:hAnsi="宋体" w:eastAsia="宋体" w:cs="宋体"/>
          <w:spacing w:val="10"/>
          <w:sz w:val="24"/>
          <w:szCs w:val="24"/>
          <w:highlight w:val="none"/>
        </w:rPr>
        <w:t xml:space="preserve"> </w:t>
      </w:r>
      <w:r>
        <w:rPr>
          <w:rFonts w:hint="eastAsia" w:ascii="宋体" w:hAnsi="宋体" w:eastAsia="宋体" w:cs="宋体"/>
          <w:spacing w:val="1"/>
          <w:sz w:val="24"/>
          <w:szCs w:val="24"/>
          <w:highlight w:val="none"/>
        </w:rPr>
        <w:t>通知、函件和文件均应使用简体中文。供应商提供的外文资料应附有相应的中文译</w:t>
      </w:r>
    </w:p>
    <w:p>
      <w:pPr>
        <w:spacing w:line="218" w:lineRule="auto"/>
        <w:ind w:left="35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本，并以中文译本为准。</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8. 响应文件计量单位</w:t>
      </w:r>
    </w:p>
    <w:p>
      <w:pPr>
        <w:spacing w:before="189" w:line="219" w:lineRule="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8.1 除在竞争性磋商文件的技术文件中另</w:t>
      </w:r>
      <w:r>
        <w:rPr>
          <w:rFonts w:hint="eastAsia" w:ascii="宋体" w:hAnsi="宋体" w:eastAsia="宋体" w:cs="宋体"/>
          <w:spacing w:val="-2"/>
          <w:sz w:val="24"/>
          <w:szCs w:val="24"/>
          <w:highlight w:val="none"/>
        </w:rPr>
        <w:t>有规定外，计量单位均使用公制计量单位。</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9. 响应文件的组成</w:t>
      </w:r>
    </w:p>
    <w:p>
      <w:pPr>
        <w:spacing w:before="177" w:line="480" w:lineRule="exact"/>
        <w:rPr>
          <w:rFonts w:hint="eastAsia" w:ascii="宋体" w:hAnsi="宋体" w:eastAsia="宋体" w:cs="宋体"/>
          <w:sz w:val="24"/>
          <w:szCs w:val="24"/>
          <w:highlight w:val="none"/>
        </w:rPr>
      </w:pPr>
      <w:r>
        <w:rPr>
          <w:rFonts w:hint="eastAsia" w:ascii="宋体" w:hAnsi="宋体" w:eastAsia="宋体" w:cs="宋体"/>
          <w:spacing w:val="-2"/>
          <w:position w:val="18"/>
          <w:sz w:val="24"/>
          <w:szCs w:val="24"/>
          <w:highlight w:val="none"/>
        </w:rPr>
        <w:t>9.1供应商应该按照竞争性磋商文件的要求编写响应文件。</w:t>
      </w:r>
    </w:p>
    <w:p>
      <w:pPr>
        <w:spacing w:before="1" w:line="218"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9.2供应商应将响应文件按顺序编制响应文件资料目录。</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10.证明供应商资格及符合竞争性磋商文件规定的文件</w:t>
      </w:r>
    </w:p>
    <w:p>
      <w:pPr>
        <w:spacing w:line="219" w:lineRule="auto"/>
        <w:rPr>
          <w:rFonts w:hint="eastAsia" w:ascii="宋体" w:hAnsi="宋体" w:eastAsia="宋体" w:cs="宋体"/>
          <w:sz w:val="24"/>
          <w:szCs w:val="24"/>
          <w:highlight w:val="none"/>
        </w:rPr>
        <w:sectPr>
          <w:footerReference r:id="rId9" w:type="default"/>
          <w:pgSz w:w="11910" w:h="16840"/>
          <w:pgMar w:top="1428" w:right="1350" w:bottom="1171" w:left="1420" w:header="0" w:footer="973" w:gutter="0"/>
          <w:pgNumType w:fmt="decimal"/>
          <w:cols w:space="720" w:num="1"/>
        </w:sectPr>
      </w:pPr>
    </w:p>
    <w:p>
      <w:pPr>
        <w:spacing w:before="47" w:line="219"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10.1 供应商应按要求提交资格证明文件及符合竞争性磋商文件规定的文件。</w:t>
      </w:r>
    </w:p>
    <w:p>
      <w:pPr>
        <w:spacing w:before="185" w:line="283" w:lineRule="auto"/>
        <w:ind w:left="359" w:hanging="35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10.2 供应商除必须具有履行合同所需提供的服务的能力外，还必须具备相应的财务、</w:t>
      </w:r>
      <w:r>
        <w:rPr>
          <w:rFonts w:hint="eastAsia" w:ascii="宋体" w:hAnsi="宋体" w:eastAsia="宋体" w:cs="宋体"/>
          <w:spacing w:val="15"/>
          <w:sz w:val="24"/>
          <w:szCs w:val="24"/>
          <w:highlight w:val="none"/>
        </w:rPr>
        <w:t xml:space="preserve"> </w:t>
      </w:r>
      <w:r>
        <w:rPr>
          <w:rFonts w:hint="eastAsia" w:ascii="宋体" w:hAnsi="宋体" w:eastAsia="宋体" w:cs="宋体"/>
          <w:spacing w:val="-8"/>
          <w:sz w:val="24"/>
          <w:szCs w:val="24"/>
          <w:highlight w:val="none"/>
        </w:rPr>
        <w:t>技术方面的能力。</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11.磋商报价一览表、分项报价表</w:t>
      </w:r>
    </w:p>
    <w:p>
      <w:pPr>
        <w:spacing w:before="180" w:line="219"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11.1 采购人需求的有关车辆运输服务费、技术服务费等。</w:t>
      </w:r>
    </w:p>
    <w:p>
      <w:pPr>
        <w:spacing w:before="198" w:line="220" w:lineRule="auto"/>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11.2</w:t>
      </w:r>
      <w:r>
        <w:rPr>
          <w:rFonts w:hint="eastAsia" w:ascii="宋体" w:hAnsi="宋体" w:eastAsia="宋体" w:cs="宋体"/>
          <w:spacing w:val="45"/>
          <w:sz w:val="24"/>
          <w:szCs w:val="24"/>
          <w:highlight w:val="none"/>
        </w:rPr>
        <w:t xml:space="preserve"> </w:t>
      </w:r>
      <w:r>
        <w:rPr>
          <w:rFonts w:hint="eastAsia" w:ascii="宋体" w:hAnsi="宋体" w:eastAsia="宋体" w:cs="宋体"/>
          <w:spacing w:val="-8"/>
          <w:sz w:val="24"/>
          <w:szCs w:val="24"/>
          <w:highlight w:val="none"/>
        </w:rPr>
        <w:t>有关费用处理：</w:t>
      </w:r>
    </w:p>
    <w:p>
      <w:pPr>
        <w:spacing w:before="157" w:line="362" w:lineRule="auto"/>
        <w:ind w:left="3" w:right="64" w:firstLine="489"/>
        <w:jc w:val="both"/>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竞争性磋商报价采用总承包方式，因此供应商</w:t>
      </w:r>
      <w:r>
        <w:rPr>
          <w:rFonts w:hint="eastAsia" w:ascii="宋体" w:hAnsi="宋体" w:eastAsia="宋体" w:cs="宋体"/>
          <w:b/>
          <w:bCs/>
          <w:spacing w:val="-5"/>
          <w:sz w:val="24"/>
          <w:szCs w:val="24"/>
          <w:highlight w:val="none"/>
        </w:rPr>
        <w:t>的报价应包括在规定合同期间发生的</w:t>
      </w:r>
      <w:r>
        <w:rPr>
          <w:rFonts w:hint="eastAsia" w:ascii="宋体" w:hAnsi="宋体" w:eastAsia="宋体" w:cs="宋体"/>
          <w:sz w:val="24"/>
          <w:szCs w:val="24"/>
          <w:highlight w:val="none"/>
        </w:rPr>
        <w:t xml:space="preserve"> </w:t>
      </w:r>
      <w:r>
        <w:rPr>
          <w:rFonts w:hint="eastAsia" w:ascii="宋体" w:hAnsi="宋体" w:eastAsia="宋体" w:cs="宋体"/>
          <w:b/>
          <w:bCs/>
          <w:spacing w:val="-5"/>
          <w:sz w:val="24"/>
          <w:szCs w:val="24"/>
          <w:highlight w:val="none"/>
        </w:rPr>
        <w:t>为完成本项目发生的所有有关费用。竞争性磋商文件中另有规定的除外。竞争性磋商文</w:t>
      </w:r>
      <w:r>
        <w:rPr>
          <w:rFonts w:hint="eastAsia" w:ascii="宋体" w:hAnsi="宋体" w:eastAsia="宋体" w:cs="宋体"/>
          <w:spacing w:val="4"/>
          <w:sz w:val="24"/>
          <w:szCs w:val="24"/>
          <w:highlight w:val="none"/>
        </w:rPr>
        <w:t xml:space="preserve">  </w:t>
      </w:r>
      <w:r>
        <w:rPr>
          <w:rFonts w:hint="eastAsia" w:ascii="宋体" w:hAnsi="宋体" w:eastAsia="宋体" w:cs="宋体"/>
          <w:b/>
          <w:bCs/>
          <w:spacing w:val="-5"/>
          <w:sz w:val="24"/>
          <w:szCs w:val="24"/>
          <w:highlight w:val="none"/>
        </w:rPr>
        <w:t>件未列明，而供应商认为必需执行合同的费用也需列入报价。供应商报价中应包含采购</w:t>
      </w:r>
    </w:p>
    <w:p>
      <w:pPr>
        <w:spacing w:before="1" w:line="219" w:lineRule="auto"/>
        <w:ind w:left="3"/>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代理服务费。</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12. 响应文件货币</w:t>
      </w:r>
    </w:p>
    <w:p>
      <w:pPr>
        <w:spacing w:before="178" w:line="452" w:lineRule="exact"/>
        <w:rPr>
          <w:rFonts w:hint="eastAsia" w:ascii="宋体" w:hAnsi="宋体" w:eastAsia="宋体" w:cs="宋体"/>
          <w:sz w:val="24"/>
          <w:szCs w:val="24"/>
          <w:highlight w:val="none"/>
        </w:rPr>
      </w:pPr>
      <w:r>
        <w:rPr>
          <w:rFonts w:hint="eastAsia" w:ascii="宋体" w:hAnsi="宋体" w:eastAsia="宋体" w:cs="宋体"/>
          <w:spacing w:val="1"/>
          <w:position w:val="16"/>
          <w:sz w:val="24"/>
          <w:szCs w:val="24"/>
          <w:highlight w:val="none"/>
        </w:rPr>
        <w:t>12.1响应文件中的报价无特殊规定的采用人民币报价，以元为单位标注。竞争性磋</w:t>
      </w:r>
    </w:p>
    <w:p>
      <w:pPr>
        <w:spacing w:line="219" w:lineRule="auto"/>
        <w:ind w:left="359"/>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商文件中另有规定的按规定执行。</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13.服务承诺及售后服务机构、人员的情况介绍</w:t>
      </w:r>
    </w:p>
    <w:p>
      <w:pPr>
        <w:spacing w:before="189" w:line="219"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13.1 供应商的服务承诺要按不低于竞争性磋商文件中商务要求的标</w:t>
      </w:r>
      <w:r>
        <w:rPr>
          <w:rFonts w:hint="eastAsia" w:ascii="宋体" w:hAnsi="宋体" w:eastAsia="宋体" w:cs="宋体"/>
          <w:spacing w:val="-3"/>
          <w:sz w:val="24"/>
          <w:szCs w:val="24"/>
          <w:highlight w:val="none"/>
        </w:rPr>
        <w:t>准。</w:t>
      </w:r>
    </w:p>
    <w:p>
      <w:pPr>
        <w:spacing w:before="185" w:line="287" w:lineRule="auto"/>
        <w:ind w:left="359" w:right="89" w:hanging="35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13.2提供供应商有关售后服务的管理制度、售后服务机构的分布情况、售后服务人</w:t>
      </w:r>
      <w:r>
        <w:rPr>
          <w:rFonts w:hint="eastAsia" w:ascii="宋体" w:hAnsi="宋体" w:eastAsia="宋体" w:cs="宋体"/>
          <w:spacing w:val="-4"/>
          <w:sz w:val="24"/>
          <w:szCs w:val="24"/>
          <w:highlight w:val="none"/>
        </w:rPr>
        <w:t>员的数量、素质、技术水平及售后服务的反应能力。</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14.参加竞争性磋商函</w:t>
      </w:r>
    </w:p>
    <w:p>
      <w:pPr>
        <w:spacing w:before="177" w:line="219"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14.1</w:t>
      </w:r>
      <w:r>
        <w:rPr>
          <w:rFonts w:hint="eastAsia" w:ascii="宋体" w:hAnsi="宋体" w:eastAsia="宋体" w:cs="宋体"/>
          <w:spacing w:val="53"/>
          <w:sz w:val="24"/>
          <w:szCs w:val="24"/>
          <w:highlight w:val="none"/>
        </w:rPr>
        <w:t xml:space="preserve"> </w:t>
      </w:r>
      <w:r>
        <w:rPr>
          <w:rFonts w:hint="eastAsia" w:ascii="宋体" w:hAnsi="宋体" w:eastAsia="宋体" w:cs="宋体"/>
          <w:spacing w:val="-2"/>
          <w:sz w:val="24"/>
          <w:szCs w:val="24"/>
          <w:highlight w:val="none"/>
        </w:rPr>
        <w:t>供应商按照竞争性磋商文件中提供的格式完整、正确填</w:t>
      </w:r>
      <w:r>
        <w:rPr>
          <w:rFonts w:hint="eastAsia" w:ascii="宋体" w:hAnsi="宋体" w:eastAsia="宋体" w:cs="宋体"/>
          <w:spacing w:val="-3"/>
          <w:sz w:val="24"/>
          <w:szCs w:val="24"/>
          <w:highlight w:val="none"/>
        </w:rPr>
        <w:t>写磋商函。</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15. 磋商承诺</w:t>
      </w:r>
    </w:p>
    <w:p>
      <w:pPr>
        <w:spacing w:before="187" w:line="219" w:lineRule="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15.1 供应商应提交的磋商承诺函。</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16.磋商有效期</w:t>
      </w:r>
    </w:p>
    <w:p>
      <w:pPr>
        <w:spacing w:before="187" w:line="283" w:lineRule="auto"/>
        <w:ind w:left="359" w:right="88" w:hanging="35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16.1响应文件应自规定的开标之日起60天内保持</w:t>
      </w:r>
      <w:r>
        <w:rPr>
          <w:rFonts w:hint="eastAsia" w:ascii="宋体" w:hAnsi="宋体" w:eastAsia="宋体" w:cs="宋体"/>
          <w:spacing w:val="1"/>
          <w:sz w:val="24"/>
          <w:szCs w:val="24"/>
          <w:highlight w:val="none"/>
        </w:rPr>
        <w:t xml:space="preserve">有效。磋商有效期不足的将被视为 </w:t>
      </w:r>
      <w:r>
        <w:rPr>
          <w:rFonts w:hint="eastAsia" w:ascii="宋体" w:hAnsi="宋体" w:eastAsia="宋体" w:cs="宋体"/>
          <w:spacing w:val="-7"/>
          <w:sz w:val="24"/>
          <w:szCs w:val="24"/>
          <w:highlight w:val="none"/>
        </w:rPr>
        <w:t>非实质性响应而予以拒绝。</w:t>
      </w:r>
    </w:p>
    <w:p>
      <w:pPr>
        <w:spacing w:before="192" w:line="314" w:lineRule="auto"/>
        <w:ind w:left="359" w:right="84" w:hanging="35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16.2在特殊情况下，采购人和采购代理机构可征求供应商同意延长磋商有效期。这种要求与答复均应以书面形式提交。供应商可以拒绝这种要求。同意延期的供应商</w:t>
      </w:r>
      <w:r>
        <w:rPr>
          <w:rFonts w:hint="eastAsia" w:ascii="宋体" w:hAnsi="宋体" w:eastAsia="宋体" w:cs="宋体"/>
          <w:spacing w:val="8"/>
          <w:sz w:val="24"/>
          <w:szCs w:val="24"/>
          <w:highlight w:val="none"/>
        </w:rPr>
        <w:t xml:space="preserve"> </w:t>
      </w:r>
      <w:r>
        <w:rPr>
          <w:rFonts w:hint="eastAsia" w:ascii="宋体" w:hAnsi="宋体" w:eastAsia="宋体" w:cs="宋体"/>
          <w:spacing w:val="-3"/>
          <w:sz w:val="24"/>
          <w:szCs w:val="24"/>
          <w:highlight w:val="none"/>
        </w:rPr>
        <w:t>将不会被要求也不允许修改其响应文件。</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17. 响应文件的式样和文件签署</w:t>
      </w:r>
    </w:p>
    <w:p>
      <w:pPr>
        <w:spacing w:before="198" w:line="459" w:lineRule="exact"/>
        <w:rPr>
          <w:rFonts w:hint="eastAsia" w:ascii="宋体" w:hAnsi="宋体" w:eastAsia="宋体" w:cs="宋体"/>
          <w:sz w:val="24"/>
          <w:szCs w:val="24"/>
          <w:highlight w:val="none"/>
        </w:rPr>
      </w:pPr>
      <w:r>
        <w:rPr>
          <w:rFonts w:hint="eastAsia" w:ascii="宋体" w:hAnsi="宋体" w:eastAsia="宋体" w:cs="宋体"/>
          <w:spacing w:val="1"/>
          <w:position w:val="16"/>
          <w:sz w:val="24"/>
          <w:szCs w:val="24"/>
          <w:highlight w:val="none"/>
        </w:rPr>
        <w:t>17.1响应文件的磋商函由供应商正式授权的代表按规定签字或盖章，授权代表若不</w:t>
      </w:r>
    </w:p>
    <w:p>
      <w:pPr>
        <w:spacing w:before="1" w:line="218" w:lineRule="auto"/>
        <w:ind w:left="35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是法定代表人则必须将以书面形式出具的“法定代表人</w:t>
      </w:r>
      <w:r>
        <w:rPr>
          <w:rFonts w:hint="eastAsia" w:ascii="宋体" w:hAnsi="宋体" w:eastAsia="宋体" w:cs="宋体"/>
          <w:spacing w:val="-2"/>
          <w:sz w:val="24"/>
          <w:szCs w:val="24"/>
          <w:highlight w:val="none"/>
        </w:rPr>
        <w:t>授权书”附在响应文件中。</w:t>
      </w:r>
    </w:p>
    <w:p>
      <w:pPr>
        <w:spacing w:line="218" w:lineRule="auto"/>
        <w:rPr>
          <w:rFonts w:hint="eastAsia" w:ascii="宋体" w:hAnsi="宋体" w:eastAsia="宋体" w:cs="宋体"/>
          <w:sz w:val="24"/>
          <w:szCs w:val="24"/>
          <w:highlight w:val="none"/>
        </w:rPr>
        <w:sectPr>
          <w:footerReference r:id="rId10" w:type="default"/>
          <w:pgSz w:w="11910" w:h="16840"/>
          <w:pgMar w:top="1430" w:right="1369" w:bottom="1170" w:left="1410" w:header="0" w:footer="971" w:gutter="0"/>
          <w:pgNumType w:fmt="decimal"/>
          <w:cols w:space="720" w:num="1"/>
        </w:sectPr>
      </w:pPr>
    </w:p>
    <w:p>
      <w:pPr>
        <w:spacing w:before="47" w:line="219"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17.2 电报、电传和传真响应文件</w:t>
      </w:r>
      <w:r>
        <w:rPr>
          <w:rFonts w:hint="eastAsia" w:ascii="宋体" w:hAnsi="宋体" w:eastAsia="宋体" w:cs="宋体"/>
          <w:spacing w:val="-3"/>
          <w:sz w:val="24"/>
          <w:szCs w:val="24"/>
          <w:highlight w:val="none"/>
        </w:rPr>
        <w:t>一律不接受。</w:t>
      </w:r>
    </w:p>
    <w:p>
      <w:pPr>
        <w:spacing w:before="157" w:line="220" w:lineRule="auto"/>
        <w:ind w:left="3"/>
        <w:jc w:val="center"/>
        <w:outlineLvl w:val="2"/>
        <w:rPr>
          <w:rFonts w:hint="eastAsia" w:ascii="宋体" w:hAnsi="宋体" w:eastAsia="宋体" w:cs="宋体"/>
          <w:b/>
          <w:bCs/>
          <w:spacing w:val="3"/>
          <w:sz w:val="23"/>
          <w:szCs w:val="23"/>
          <w:highlight w:val="none"/>
        </w:rPr>
      </w:pPr>
      <w:bookmarkStart w:id="8" w:name="_Toc3133"/>
      <w:r>
        <w:rPr>
          <w:rFonts w:hint="eastAsia" w:ascii="宋体" w:hAnsi="宋体" w:eastAsia="宋体" w:cs="宋体"/>
          <w:b/>
          <w:bCs/>
          <w:spacing w:val="3"/>
          <w:sz w:val="23"/>
          <w:szCs w:val="23"/>
          <w:highlight w:val="none"/>
        </w:rPr>
        <w:t>四.  响应文件的递交</w:t>
      </w:r>
      <w:bookmarkEnd w:id="8"/>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18. 响应文件的密封和标记：本项目采用远程开标，无纸质标书。</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19.磋商截止期</w:t>
      </w:r>
    </w:p>
    <w:p>
      <w:pPr>
        <w:spacing w:before="184" w:line="286" w:lineRule="auto"/>
        <w:ind w:left="369" w:right="66" w:hanging="36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19.1供应商应在不迟于“竞争性磋商公告”中规定的截止日期和时间将响应</w:t>
      </w:r>
      <w:r>
        <w:rPr>
          <w:rFonts w:hint="eastAsia" w:ascii="宋体" w:hAnsi="宋体" w:eastAsia="宋体" w:cs="宋体"/>
          <w:sz w:val="24"/>
          <w:szCs w:val="24"/>
          <w:highlight w:val="none"/>
        </w:rPr>
        <w:t>文件按</w:t>
      </w:r>
      <w:r>
        <w:rPr>
          <w:rFonts w:hint="eastAsia" w:ascii="宋体" w:hAnsi="宋体" w:eastAsia="宋体" w:cs="宋体"/>
          <w:spacing w:val="1"/>
          <w:sz w:val="24"/>
          <w:szCs w:val="24"/>
          <w:highlight w:val="none"/>
        </w:rPr>
        <w:t xml:space="preserve"> </w:t>
      </w:r>
      <w:r>
        <w:rPr>
          <w:rFonts w:hint="eastAsia" w:ascii="宋体" w:hAnsi="宋体" w:eastAsia="宋体" w:cs="宋体"/>
          <w:spacing w:val="-3"/>
          <w:sz w:val="24"/>
          <w:szCs w:val="24"/>
          <w:highlight w:val="none"/>
        </w:rPr>
        <w:t>照“竞争性磋商公告”中载明的方式递交。</w:t>
      </w:r>
    </w:p>
    <w:p>
      <w:pPr>
        <w:spacing w:before="188" w:line="314" w:lineRule="auto"/>
        <w:ind w:left="369" w:right="28" w:hanging="36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19.2采购人和采购代理机构可以按第6条规定，通过</w:t>
      </w:r>
      <w:r>
        <w:rPr>
          <w:rFonts w:hint="eastAsia" w:ascii="宋体" w:hAnsi="宋体" w:eastAsia="宋体" w:cs="宋体"/>
          <w:spacing w:val="4"/>
          <w:sz w:val="24"/>
          <w:szCs w:val="24"/>
          <w:highlight w:val="none"/>
        </w:rPr>
        <w:t>修改竞争性磋商文件自行决定</w:t>
      </w:r>
      <w:r>
        <w:rPr>
          <w:rFonts w:hint="eastAsia" w:ascii="宋体" w:hAnsi="宋体" w:eastAsia="宋体" w:cs="宋体"/>
          <w:spacing w:val="1"/>
          <w:sz w:val="24"/>
          <w:szCs w:val="24"/>
          <w:highlight w:val="none"/>
        </w:rPr>
        <w:t xml:space="preserve"> 酌情延长磋商截止期限。在此情况下，采购人、采购代理机构和供应商受磋商截止</w:t>
      </w:r>
      <w:r>
        <w:rPr>
          <w:rFonts w:hint="eastAsia" w:ascii="宋体" w:hAnsi="宋体" w:eastAsia="宋体" w:cs="宋体"/>
          <w:spacing w:val="14"/>
          <w:sz w:val="24"/>
          <w:szCs w:val="24"/>
          <w:highlight w:val="none"/>
        </w:rPr>
        <w:t xml:space="preserve"> </w:t>
      </w:r>
      <w:r>
        <w:rPr>
          <w:rFonts w:hint="eastAsia" w:ascii="宋体" w:hAnsi="宋体" w:eastAsia="宋体" w:cs="宋体"/>
          <w:spacing w:val="-2"/>
          <w:sz w:val="24"/>
          <w:szCs w:val="24"/>
          <w:highlight w:val="none"/>
        </w:rPr>
        <w:t>期制约的所有权利和义务均应延长至新的截止日期。</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20.迟交的响应文件</w:t>
      </w:r>
    </w:p>
    <w:p>
      <w:pPr>
        <w:spacing w:before="186" w:line="220" w:lineRule="auto"/>
        <w:ind w:left="3"/>
        <w:outlineLvl w:val="3"/>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20.1采购代理机构将拒绝在第21条规定的磋商截止期后收到的</w:t>
      </w:r>
      <w:r>
        <w:rPr>
          <w:rFonts w:hint="eastAsia" w:ascii="宋体" w:hAnsi="宋体" w:eastAsia="宋体" w:cs="宋体"/>
          <w:spacing w:val="1"/>
          <w:sz w:val="24"/>
          <w:szCs w:val="24"/>
          <w:highlight w:val="none"/>
        </w:rPr>
        <w:t>任何响应文件。</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21. 响应文件的修改和撤回</w:t>
      </w:r>
    </w:p>
    <w:p>
      <w:pPr>
        <w:spacing w:before="177" w:line="219" w:lineRule="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21.1 供应商在递交响应文件后，在磋商截止时间之前可以修改或撤回其响应</w:t>
      </w:r>
      <w:r>
        <w:rPr>
          <w:rFonts w:hint="eastAsia" w:ascii="宋体" w:hAnsi="宋体" w:eastAsia="宋体" w:cs="宋体"/>
          <w:spacing w:val="-2"/>
          <w:sz w:val="24"/>
          <w:szCs w:val="24"/>
          <w:highlight w:val="none"/>
        </w:rPr>
        <w:t>文件。</w:t>
      </w:r>
    </w:p>
    <w:p>
      <w:pPr>
        <w:spacing w:before="195" w:line="219" w:lineRule="auto"/>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21.2 在磋商截止期之后，供应商不得对其响应文件做任何修改。</w:t>
      </w:r>
    </w:p>
    <w:p>
      <w:pPr>
        <w:spacing w:before="176" w:line="290" w:lineRule="auto"/>
        <w:ind w:left="369" w:right="30" w:hanging="369"/>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21.3</w:t>
      </w:r>
      <w:r>
        <w:rPr>
          <w:rFonts w:hint="eastAsia" w:ascii="宋体" w:hAnsi="宋体" w:eastAsia="宋体" w:cs="宋体"/>
          <w:spacing w:val="6"/>
          <w:sz w:val="24"/>
          <w:szCs w:val="24"/>
          <w:highlight w:val="none"/>
        </w:rPr>
        <w:t xml:space="preserve"> </w:t>
      </w:r>
      <w:r>
        <w:rPr>
          <w:rFonts w:hint="eastAsia" w:ascii="宋体" w:hAnsi="宋体" w:eastAsia="宋体" w:cs="宋体"/>
          <w:spacing w:val="1"/>
          <w:sz w:val="24"/>
          <w:szCs w:val="24"/>
          <w:highlight w:val="none"/>
        </w:rPr>
        <w:t>从磋商截止期至供应商在响应文件中载明的磋商有效期满期间，供应商不得撤</w:t>
      </w:r>
      <w:r>
        <w:rPr>
          <w:rFonts w:hint="eastAsia" w:ascii="宋体" w:hAnsi="宋体" w:eastAsia="宋体" w:cs="宋体"/>
          <w:spacing w:val="2"/>
          <w:sz w:val="24"/>
          <w:szCs w:val="24"/>
          <w:highlight w:val="none"/>
        </w:rPr>
        <w:t xml:space="preserve"> </w:t>
      </w:r>
      <w:r>
        <w:rPr>
          <w:rFonts w:hint="eastAsia" w:ascii="宋体" w:hAnsi="宋体" w:eastAsia="宋体" w:cs="宋体"/>
          <w:spacing w:val="-3"/>
          <w:sz w:val="24"/>
          <w:szCs w:val="24"/>
          <w:highlight w:val="none"/>
        </w:rPr>
        <w:t>回其磋商，否则该供应商将被视为非诚信单位并列入黑名单。</w:t>
      </w:r>
    </w:p>
    <w:p>
      <w:pPr>
        <w:spacing w:before="157" w:line="220" w:lineRule="auto"/>
        <w:ind w:left="3"/>
        <w:jc w:val="center"/>
        <w:outlineLvl w:val="2"/>
        <w:rPr>
          <w:rFonts w:hint="eastAsia" w:ascii="宋体" w:hAnsi="宋体" w:eastAsia="宋体" w:cs="宋体"/>
          <w:b/>
          <w:bCs/>
          <w:spacing w:val="3"/>
          <w:sz w:val="23"/>
          <w:szCs w:val="23"/>
          <w:highlight w:val="none"/>
        </w:rPr>
      </w:pPr>
      <w:bookmarkStart w:id="9" w:name="_Toc14193"/>
      <w:r>
        <w:rPr>
          <w:rFonts w:hint="eastAsia" w:ascii="宋体" w:hAnsi="宋体" w:eastAsia="宋体" w:cs="宋体"/>
          <w:b/>
          <w:bCs/>
          <w:spacing w:val="3"/>
          <w:sz w:val="23"/>
          <w:szCs w:val="23"/>
          <w:highlight w:val="none"/>
        </w:rPr>
        <w:t>五 . 磋商与评审</w:t>
      </w:r>
      <w:bookmarkEnd w:id="9"/>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22.磋商仪式</w:t>
      </w:r>
    </w:p>
    <w:p>
      <w:pPr>
        <w:spacing w:before="177" w:line="219" w:lineRule="auto"/>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22.1 采购代理机构在“竞争性磋商公告”中规定的日期、时间和地点组织磋商。开 标时所有供应商应在开标时间参加远程开标、解密、答疑、二次报价。开标时，各 供应商应在规定时间内对本单位的加密响应文件远程解密；解密时间截止，若有供 应商因交易中心系统技术原因未解密成功，可延长一次解密时间；若延长解密时间 截止，供应商还未解密成功的视为放弃磋商。</w:t>
      </w:r>
    </w:p>
    <w:p>
      <w:pPr>
        <w:spacing w:before="177" w:line="219" w:lineRule="auto"/>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22.2 磋商仪式由采购代理机构主持，竞争性磋商小组成员、采购人代表及有关工作 人员参加。</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23.评审程序</w:t>
      </w:r>
    </w:p>
    <w:p>
      <w:pPr>
        <w:spacing w:before="177" w:line="219" w:lineRule="auto"/>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lang w:val="en-US" w:eastAsia="zh-CN"/>
        </w:rPr>
        <w:t>23.1 磋商仪式结束</w:t>
      </w:r>
      <w:r>
        <w:rPr>
          <w:rFonts w:hint="eastAsia" w:ascii="宋体" w:hAnsi="宋体" w:eastAsia="宋体" w:cs="宋体"/>
          <w:spacing w:val="-1"/>
          <w:sz w:val="24"/>
          <w:szCs w:val="24"/>
          <w:highlight w:val="none"/>
        </w:rPr>
        <w:t>后，磋商小组应当依法对供应商进行初步审查(包括资格性审查 和符合性审查),以确定供应商是否具备磋商资格。初步审查未通过的响应无效。</w:t>
      </w:r>
    </w:p>
    <w:p>
      <w:pPr>
        <w:spacing w:before="177" w:line="219" w:lineRule="auto"/>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23.2 磋商小组将按规定由采购人代表和评审专家共3人以上单数组成，从</w:t>
      </w:r>
      <w:r>
        <w:rPr>
          <w:rFonts w:hint="eastAsia" w:ascii="宋体" w:hAnsi="宋体" w:eastAsia="宋体" w:cs="宋体"/>
          <w:spacing w:val="-1"/>
          <w:sz w:val="24"/>
          <w:szCs w:val="24"/>
          <w:highlight w:val="none"/>
          <w:lang w:val="en-US" w:eastAsia="zh-CN"/>
        </w:rPr>
        <w:t>河南省政府</w:t>
      </w:r>
      <w:r>
        <w:rPr>
          <w:rFonts w:hint="eastAsia" w:ascii="宋体" w:hAnsi="宋体" w:eastAsia="宋体" w:cs="宋体"/>
          <w:spacing w:val="-1"/>
          <w:sz w:val="24"/>
          <w:szCs w:val="24"/>
          <w:highlight w:val="none"/>
        </w:rPr>
        <w:t>专家库中随机抽取，或经主管预算单位同意，按照《政府采购竞争性磋商采购方式管理暂行办法》第14条规定自行选定。</w:t>
      </w:r>
    </w:p>
    <w:p>
      <w:pPr>
        <w:spacing w:before="177" w:line="219" w:lineRule="auto"/>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23.3 磋商小组专家应当遵守评审工作纪律，不得泄露评审情况和评审中获悉的商业 秘密。</w:t>
      </w:r>
    </w:p>
    <w:p>
      <w:pPr>
        <w:spacing w:before="177" w:line="219" w:lineRule="auto"/>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23.4 磋商小组工作原则：磋商小组成员应当按照客观、公正、审慎的原则，根据竞 争性磋商文件规定的评审程序、评审方法和评审标准进行独立评审。竞争性磋商文件有不规范、不一致、不准确的地方应要求采购人或代理公司做出书面解释或澄清，不得擅自修改、释义、延伸竞争性磋商文件规定的方法和评审标准；竞争性磋商文 件未规定的评审方法和评审标准不得作为评审依据。未实质性响应竞争性磋商文件 的响应文件按无效响应处理，磋商小组应当告知提交响应文件的供应商。</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24. 响应文件的初审</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24.1 磋商小组在对响应文件的有效性、完整性、响应程度和响应文件一致性进行审 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25. 响应文件的澄清</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25.1 磋商小组要求供应商澄清、说明或者更正响应文件将以书面形式作出。供应商 的澄清、说明或者更正应当由法定代表人或其授权代表签字或者加盖公章。</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25.2 供应商未按磋商小组要求澄清、说明或者更正的响应文件，或澄清、说明或者 更正的响应文件有保留，可能产生影响对其他供应商不公平公正；或供应商资格条 件不符合竞争性磋商文件规定；或其他严重偏离，限制采购人权利无法接受的响应 文件将可能被拒绝。</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25.3 被拒绝响应文件的供应商不进入磋商程序。</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26. 磋商程序</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26.1  磋商小组所有成员应当集中与单一的通过资格审查的供应商分别进行磋商，并 给予所有参加磋商的供应商平等的磋商机会。对已判定为实质性响应的响应文件进</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行评价和比较。</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(1) 在磋商过程中，磋商小组可以根据竞争性磋商文件和磋商情况实质性变动采 购需求中的技术、服务要求以及合同草案条款，但不得变动采购人认定不得改动的竞争性磋商文件中的其他内</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（2）对竞争性磋商文件作出的实质性变动是竞争性磋商文件的有效组成部分，必须经采购人签字同意。</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(3) 竞争性磋商文件不能详细列明采购标的的技术、服务要求，需经磋商由供应商提供最终设计方案或解决方案的。供应商应当按照竞争性磋商文件的变动 情况和磋商小组的要求重新提交响应文件，并由其法定代表人或授权代表签字或者加盖公章。由授权代表签字的，应当附法定代表人授权书。</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(4) 由采购人确定最终解决方案和服务标准作为评审依据。磋商小组应当及时以 书面形式同时通知所有参加磋商的供应商竞争性磋商文件的变动情况和方 案选型、服务标准要求。不得对不同供应商提供有差别的信息，实行歧视性差别性待遇。</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27.落实政府采购政策</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27.1《政府采购促进中小企业发展管理办法》(财库(2020)46 号)及《关于 进一步加大政府采购支持中小企业力度的通知》(财库〔2022〕19 号)及豫财 购【2022】5号的规定，对于未预留份额专门面向中小企业采购的采购项目，以及预留份额项目中的非预留部分采购包，对符合中小企业扶持政策的小微企业报 价给予10%的扣除，大中型企业与小微企业组成联合体或者大中型企业向小微企 业分包的(联合协议或者分包意向协议约定小微企业的合同份额应占合同总金额 的30%以上),给予联合体或大中型企业4%的价格扣除优惠，用扣除后的价格参加评审。中小企业参加政府采购活动，应当出具《中小企业声明函》(见附件), 否则不得享受相关中小企业扶持政策。监狱企业视同小型、微型企业，投标人应 提供省级及以上监狱管理局、戒毒管理局(含新疆生产建设兵团)在磋商文件发 出时间至投标截止时间前出具的属于监狱企业的证明文件。</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27.2 残疾人福利性单位视同小型、微型企业，残疾人福利性单位须符合《财政部 民政部中国残疾人联合会关于促进残疾人就业政府采购政策的通知》(财库〔2017〕141号)要求，提供《残疾人福利性单位声明函》,提供的《残疾人福 利性单位声明函》与事实不符的，依照《政府采购法》第七十七条第一款的规定追究法律责任。</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27.3 小微企业产品和监狱企业产品及残疾人福利性单位产品只给予一次价格扣除，不重复给予价格扣除。</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27.4根据《关于调整优化节能产品环境标志产品政府采购执行机制的通知》(财库〔2019〕9 号)文件规定，本项目如涉及到品目清单范围内的产品，将依据国家确定的认证机构出具的、处于有效期之内的节能产品、环境标志产品认证证书，对获得证书的产品实施优先采购或强制采购。</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27.5 采购人拟采购的产品属于财库(2019)19号《节能产品政府采购品目清单》 范围内政府强制采购产品，其中以“★”标注的为政府强制采购产品。投标人应提供国家确定的认证机构出具的、处于有效期之内的节能产品认证证书扫描件，否则视为非实质性响应磋商文件要求。</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27.6 采购人拟采购的产品属于财库(2019)19号《节能产品政府采购品目清单》 和财库〔2019〕18 号《环境标志产品政府采购品目清单》范围内政府优先采购产品。投标人要提供国家确定的认证机构出具的、处于有效期之内的节能产品认证证书或环境标志产品认证证书扫描件，否则视为主动放弃被优先采购的权利。优先采购节能产品和环境标志产品在同等条件下属于优先采购范围(优先采购指 当出现排名并列情况时，优先采购投标报价低的，投标报价也相同的优先采购技 术标得分高的，技术标得分还相同时，优先采购节能产品和环境标志产品合计金额占自身投标报价比例大的，当比例也相同时，由采购人抽签决定优先顺序)。</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27.7 同等条件优先采购不发达地区和少数民族地区产品，优先采购国内生产自主创新产品，支持绿色发展政府采购政策要求。</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27.8 凡有进入国家强制认证 (CCC认证)产品目录中的产品，投标人所投产品必须通过CCC 认证，否则按无效标处理。</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27.9 根据《财政部工业和信息化部国家质检总局国家认监委关于信息安全产品实施政府采购的通知》财库〔2010〕48号文件要求，各潜在投标人在本次投标活动中投标货物中，如有涉及到安全操作系统产品、安全隔离与信息交换产品、安全路由器产品、安全审计产品、安全数据库系统产品、反垃圾邮件产品、防火墙产品、入侵检测系统产品、数据备份与恢复产品、网络安全隔离卡与线路选择器产品、网络脆弱性扫描产品、网站恢复产品、智能卡 cos 产品时，则所投涉及到上述货物的产品必须提供由中国信息安全认证中心颁发的有效认证证书。</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28.最后报价</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28.1 磋商结束后，磋商小组将要求所有实质性响应的供应商在规定时间内提交最后报价。最后报价是供应商响应文件的有效组成部分。</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28.2已提交响应文件的供应商，在提交最后报价之前，可以根据磋商情况退出磋商</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28.3最后报价是供应商响应文件的有效组成部分。符合市场竞争不充分的科研项目，以及需要扶持的科技成果转化项目情形的，提交最后报价的供应商可以为2家。</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28.4 评审时，磋商小组各成员独立对每个有效响应的文件进行评价。</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29.综合评分</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29.1采购人取得经磋商确定最终采购需求和提交最后报价的供应商后，由磋商小组采用综合评分法对提交最后报价的供应商的响应文件进行综合评分。</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29.2综合评分法，是指响应文件满足竞争性磋商文件全部实质性要求且按评审因素的量化指标评审得分最高的供应商为成交候选供应商的评审方法。</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29.3磋商小组根据评分细则综合评审后，按综合总得分由高至低顺序排出各有效磋商供应商的名次，推荐3名成交候选人，符合本章第30.3条情形的，可以推 荐2家成交候选供应商。综合总得分相同的，按最后磋商报价由低到高顺序排列。综合总得分且最后磋商报价相同的，按技术服务优劣顺序排列。出具评审报告。</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30. 响应无效和终止磋商活动条款</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30.1下列条款必须符合竞争性磋商文件要求，否则响应无效：</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(1)按要求提交磋商承诺函。</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(2)提供磋商代表身份证明。</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(3)服务期限及服务地点符合竞争性磋商文件要求。</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(4)投标有效期符合竞争性磋商文件。</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(5)供应商的报价没有超过采购预算和最高限价。</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(6)磋商报价合理(磋商小组认为供应商的报价明显低于其他通过符合性审查供 应商的报价，有可能影响产品质量或者不能诚信履约的，应当要求其在合理的时间内提 供书面说明，必要时提交相关证明材料；供应商不能证明其报价合理性的，磋商小组应</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当将其作为无效磋商处理)。</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(7)符合法律、法规和竞争性磋商文件中规定的其它实质性要求。</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31.确定成交、询问及质疑</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31.1  确定成交供应商</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(1)采购人在收到评审报告后5个工作日内，从评审报告提出的成交候选供应商</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中，按照排序由高到低的原则确定成交供应商。</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（2）采购代理机构在成交供应商确定后2个工作日内在《河南省政府采购网》《河</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南省公共资源交易中心网》《</w:t>
      </w:r>
      <w:r>
        <w:rPr>
          <w:rFonts w:hint="eastAsia" w:ascii="宋体" w:hAnsi="宋体" w:eastAsia="宋体" w:cs="宋体"/>
          <w:spacing w:val="-1"/>
          <w:sz w:val="24"/>
          <w:szCs w:val="24"/>
          <w:highlight w:val="none"/>
        </w:rPr>
        <w:t>河南省电子招标投标公共服务平台</w:t>
      </w:r>
      <w:r>
        <w:rPr>
          <w:rFonts w:hint="eastAsia" w:ascii="宋体" w:hAnsi="宋体" w:eastAsia="宋体" w:cs="宋体"/>
          <w:spacing w:val="-1"/>
          <w:sz w:val="24"/>
          <w:szCs w:val="24"/>
          <w:highlight w:val="none"/>
          <w:lang w:val="en-US" w:eastAsia="zh-CN"/>
        </w:rPr>
        <w:t>》公告成交结果。</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31.2询问及质疑</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询问及质疑依据《政府采购质疑和投诉办法》及相关法律法规处理。供应商对成交 结果提出质疑的，可以在成交结果公告期限届满之日起七个工作日内，由法人或其授权 代表以书面形式(采用“河南省政府采购网”上的政府采购供应商质疑函范本)同时向 采购人和采购代理机构质疑。供应商应在法定质疑期内一次性针对同一采购程序环节提 出质疑，否则针对再次提出质疑将不予接收。质疑时须提供营业执照副本原件和复印件、 质疑人身份证原件和复印件、质疑材料。供应商质疑应当有明确的请求和必要的证明材 料(质疑人捏造事实或是提供虚假质疑材料的，属于虚假、恶意质疑，被质疑人应当驳 回质疑，并向同级政府采购监督管理部门报告，核实后将其列入不良行为记录名单，并依法予以处罚)。未按要求提出质疑的不予受理。</w:t>
      </w:r>
    </w:p>
    <w:p>
      <w:pPr>
        <w:spacing w:before="157" w:line="220" w:lineRule="auto"/>
        <w:ind w:left="3"/>
        <w:jc w:val="center"/>
        <w:outlineLvl w:val="2"/>
        <w:rPr>
          <w:rFonts w:hint="eastAsia" w:ascii="宋体" w:hAnsi="宋体" w:eastAsia="宋体" w:cs="宋体"/>
          <w:b/>
          <w:bCs/>
          <w:spacing w:val="3"/>
          <w:sz w:val="23"/>
          <w:szCs w:val="23"/>
          <w:highlight w:val="none"/>
        </w:rPr>
      </w:pPr>
      <w:bookmarkStart w:id="10" w:name="_Toc8334"/>
      <w:r>
        <w:rPr>
          <w:rFonts w:hint="eastAsia" w:ascii="宋体" w:hAnsi="宋体" w:eastAsia="宋体" w:cs="宋体"/>
          <w:b/>
          <w:bCs/>
          <w:spacing w:val="3"/>
          <w:sz w:val="23"/>
          <w:szCs w:val="23"/>
          <w:highlight w:val="none"/>
        </w:rPr>
        <w:t>六 .授予合同</w:t>
      </w:r>
      <w:bookmarkEnd w:id="10"/>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32.合同签订</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32.1采购人与成交供应商应当在成交通知书发出之日起15日内，按照竞争性磋商文件确定的合同文本以及采购标的的技术和服务要求等事项签订合同。</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32.2采购人不得向成交供应商提出超出竞争性磋商文件以外的任何要求作为签订合同的条件，不得与成交供应商订立背离竞争性磋商文件确定的合同文本以及采购标的的技术和服务要求等实质性内容的协议。</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32.3成交供应商拒绝签订政府采购合同的，采购人可以按照从评审报告提出的成交候选供应商中，按照排序由高到低的原则重新确定其他供应商作为成交供应商并签订合同，也可以重新开展采购活动。拒绝签订政府采购合同的成交供应商不得参加对该项目重新开展的采购活动。</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32.4竞争性竞争性磋商文件、成交供应商的响应文件及竞争性磋商过程中有关澄 清、承诺文件均应作为合同附件。</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32.5签订合同后，成交供应商不得将相关服务进行转包。未经采购人同意，成交供应商也不得采用分包的形式履行合同，否则采购人有权终止合同，成交供应商 的履约保证金将不予退还。转包或分包造成采购人损失的，成交供应商应承担相 应赔偿责任。</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33.服务的追加、减少和添购</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33.1采购代理机构采购结束后，采购人若由于各种客观原因，必须对采购项目所牵涉的服务进行适当的减少时，在双方协商一致的前提下，可以按照竞争性磋商采购时的价格水平做相应的调减，并据此签订补充合同。</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33.2项目结束后，采购人若由于各种客观原因，必须对采购项目所牵涉的服务进行适当的添购时，由于须保证原有采购项目一致性或者服务配套的要求，经相关部门批准，可以继续从成交人处按照单一来源采购的方式进行添购但金额不超过 原合同金额的5%,且所牵涉的服务的价格水平不得超过本次竞争性磋商的水平 且低于当时的社会平均价。服务的添购，应在本次政府采购合同的基础上，另行签订服务的添购合同。</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34.履约保证金</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在签订合同前，成交供应商应按采购项目资料表规定的金额向采购人提交履约保证金。</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35.根据《河南省财政厅关于印发深入推进政府采购合同融资工作实施方案的通知》(豫  财办(2020)33号)规定，供应商中标后可以持政府采购合同向融资机构申请贷款。</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融资方式详见(河南省政府采购合同融资政策告知函)。</w:t>
      </w:r>
    </w:p>
    <w:p>
      <w:pPr>
        <w:spacing w:before="186" w:line="220" w:lineRule="auto"/>
        <w:ind w:left="3"/>
        <w:outlineLvl w:val="3"/>
        <w:rPr>
          <w:rFonts w:hint="eastAsia" w:ascii="宋体" w:hAnsi="宋体" w:eastAsia="宋体" w:cs="宋体"/>
          <w:b/>
          <w:bCs/>
          <w:spacing w:val="4"/>
          <w:sz w:val="23"/>
          <w:szCs w:val="23"/>
          <w:highlight w:val="none"/>
          <w:lang w:val="en-US" w:eastAsia="zh-CN"/>
        </w:rPr>
      </w:pPr>
      <w:r>
        <w:rPr>
          <w:rFonts w:hint="eastAsia" w:ascii="宋体" w:hAnsi="宋体" w:eastAsia="宋体" w:cs="宋体"/>
          <w:b/>
          <w:bCs/>
          <w:spacing w:val="4"/>
          <w:sz w:val="23"/>
          <w:szCs w:val="23"/>
          <w:highlight w:val="none"/>
          <w:lang w:val="en-US" w:eastAsia="zh-CN"/>
        </w:rPr>
        <w:t>36.河南省政府采购合同融资政策告知函</w:t>
      </w:r>
    </w:p>
    <w:p>
      <w:pPr>
        <w:spacing w:before="181" w:line="219" w:lineRule="auto"/>
        <w:ind w:left="5"/>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各供应商：</w:t>
      </w:r>
    </w:p>
    <w:p>
      <w:pPr>
        <w:spacing w:before="175" w:line="219" w:lineRule="auto"/>
        <w:ind w:left="504"/>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欢迎贵公司参与河南省政府采购活动!</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政府采购合同融资是河南省财政厅支持中小微企业发展，针对参与政府采购活动的 供应商融资难、融资贵问题推出的一项融资政策。贵公司若成为本次政府采购项目的中 标成交供应商，可持政府采购合同向金融机构申请贷款，无需抵押、担保，融资机构将 根据《河南省政府采购合同融资工作实施方案》 (豫财购〔2017〕10号),按照双方自愿的原则提供便捷、优惠的贷款服务。</w:t>
      </w:r>
    </w:p>
    <w:p>
      <w:pPr>
        <w:spacing w:before="177" w:line="219" w:lineRule="auto"/>
        <w:rPr>
          <w:rFonts w:hint="eastAsia" w:ascii="宋体" w:hAnsi="宋体" w:eastAsia="宋体" w:cs="宋体"/>
          <w:spacing w:val="-1"/>
          <w:sz w:val="24"/>
          <w:szCs w:val="24"/>
          <w:highlight w:val="none"/>
          <w:lang w:val="en-US" w:eastAsia="zh-CN"/>
        </w:rPr>
      </w:pPr>
      <w:r>
        <w:rPr>
          <w:rFonts w:hint="eastAsia" w:ascii="宋体" w:hAnsi="宋体" w:eastAsia="宋体" w:cs="宋体"/>
          <w:spacing w:val="-1"/>
          <w:sz w:val="24"/>
          <w:szCs w:val="24"/>
          <w:highlight w:val="none"/>
          <w:lang w:val="en-US" w:eastAsia="zh-CN"/>
        </w:rPr>
        <w:t>贷款渠道和提供贷款的金融机构，可在河南省政府采购网“河南省政府采购合同融资平台”查询联系。</w:t>
      </w:r>
    </w:p>
    <w:p>
      <w:pPr>
        <w:spacing w:before="169" w:line="219" w:lineRule="auto"/>
        <w:ind w:left="8"/>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温馨提示：</w:t>
      </w:r>
      <w:r>
        <w:rPr>
          <w:rFonts w:hint="eastAsia" w:ascii="宋体" w:hAnsi="宋体" w:eastAsia="宋体" w:cs="宋体"/>
          <w:spacing w:val="-6"/>
          <w:sz w:val="24"/>
          <w:szCs w:val="24"/>
          <w:highlight w:val="none"/>
        </w:rPr>
        <w:t xml:space="preserve"> 供应商开具发票需填写下表并加盖</w:t>
      </w:r>
      <w:r>
        <w:rPr>
          <w:rFonts w:hint="eastAsia" w:ascii="宋体" w:hAnsi="宋体" w:eastAsia="宋体" w:cs="宋体"/>
          <w:spacing w:val="-7"/>
          <w:sz w:val="24"/>
          <w:szCs w:val="24"/>
          <w:highlight w:val="none"/>
        </w:rPr>
        <w:t>公章</w:t>
      </w:r>
    </w:p>
    <w:p>
      <w:pPr>
        <w:spacing w:line="53" w:lineRule="exact"/>
        <w:rPr>
          <w:rFonts w:hint="eastAsia" w:ascii="宋体" w:hAnsi="宋体" w:eastAsia="宋体" w:cs="宋体"/>
          <w:highlight w:val="none"/>
        </w:rPr>
      </w:pPr>
    </w:p>
    <w:tbl>
      <w:tblPr>
        <w:tblStyle w:val="30"/>
        <w:tblW w:w="902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222"/>
        <w:gridCol w:w="3076"/>
        <w:gridCol w:w="3731"/>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0" w:hRule="atLeast"/>
        </w:trPr>
        <w:tc>
          <w:tcPr>
            <w:tcW w:w="9029" w:type="dxa"/>
            <w:gridSpan w:val="3"/>
            <w:vAlign w:val="top"/>
          </w:tcPr>
          <w:p>
            <w:pPr>
              <w:pStyle w:val="31"/>
              <w:spacing w:before="202" w:line="219" w:lineRule="auto"/>
              <w:ind w:left="3958"/>
              <w:rPr>
                <w:rFonts w:hint="eastAsia" w:ascii="宋体" w:hAnsi="宋体" w:eastAsia="宋体" w:cs="宋体"/>
                <w:sz w:val="28"/>
                <w:szCs w:val="28"/>
                <w:highlight w:val="none"/>
              </w:rPr>
            </w:pPr>
            <w:r>
              <w:rPr>
                <w:rFonts w:hint="eastAsia" w:ascii="宋体" w:hAnsi="宋体" w:eastAsia="宋体" w:cs="宋体"/>
                <w:b/>
                <w:bCs/>
                <w:spacing w:val="-6"/>
                <w:sz w:val="28"/>
                <w:szCs w:val="28"/>
                <w:highlight w:val="none"/>
              </w:rPr>
              <w:t>开票资料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0" w:hRule="atLeast"/>
        </w:trPr>
        <w:tc>
          <w:tcPr>
            <w:tcW w:w="2222" w:type="dxa"/>
            <w:vAlign w:val="top"/>
          </w:tcPr>
          <w:p>
            <w:pPr>
              <w:pStyle w:val="31"/>
              <w:spacing w:before="182" w:line="219" w:lineRule="auto"/>
              <w:ind w:left="35"/>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单位名称(加盖公章)</w:t>
            </w:r>
          </w:p>
        </w:tc>
        <w:tc>
          <w:tcPr>
            <w:tcW w:w="6807" w:type="dxa"/>
            <w:gridSpan w:val="2"/>
            <w:vAlign w:val="top"/>
          </w:tcPr>
          <w:p>
            <w:pPr>
              <w:rPr>
                <w:rFonts w:hint="eastAsia" w:ascii="宋体" w:hAnsi="宋体" w:eastAsia="宋体" w:cs="宋体"/>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2" w:hRule="atLeast"/>
        </w:trPr>
        <w:tc>
          <w:tcPr>
            <w:tcW w:w="2222" w:type="dxa"/>
            <w:vAlign w:val="top"/>
          </w:tcPr>
          <w:p>
            <w:pPr>
              <w:pStyle w:val="31"/>
              <w:spacing w:before="204" w:line="220" w:lineRule="auto"/>
              <w:ind w:left="244"/>
              <w:rPr>
                <w:rFonts w:hint="eastAsia" w:ascii="宋体" w:hAnsi="宋体" w:eastAsia="宋体" w:cs="宋体"/>
                <w:sz w:val="22"/>
                <w:szCs w:val="22"/>
                <w:highlight w:val="none"/>
              </w:rPr>
            </w:pPr>
            <w:r>
              <w:rPr>
                <w:rFonts w:hint="eastAsia" w:ascii="宋体" w:hAnsi="宋体" w:eastAsia="宋体" w:cs="宋体"/>
                <w:spacing w:val="2"/>
                <w:sz w:val="22"/>
                <w:szCs w:val="22"/>
                <w:highlight w:val="none"/>
              </w:rPr>
              <w:t>纳税人识别号</w:t>
            </w:r>
          </w:p>
        </w:tc>
        <w:tc>
          <w:tcPr>
            <w:tcW w:w="6807" w:type="dxa"/>
            <w:gridSpan w:val="2"/>
            <w:vAlign w:val="top"/>
          </w:tcPr>
          <w:p>
            <w:pPr>
              <w:rPr>
                <w:rFonts w:hint="eastAsia" w:ascii="宋体" w:hAnsi="宋体" w:eastAsia="宋体" w:cs="宋体"/>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2222" w:type="dxa"/>
            <w:vAlign w:val="top"/>
          </w:tcPr>
          <w:p>
            <w:pPr>
              <w:pStyle w:val="31"/>
              <w:spacing w:before="194" w:line="221" w:lineRule="auto"/>
              <w:ind w:left="244"/>
              <w:rPr>
                <w:rFonts w:hint="eastAsia" w:ascii="宋体" w:hAnsi="宋体" w:eastAsia="宋体" w:cs="宋体"/>
                <w:sz w:val="22"/>
                <w:szCs w:val="22"/>
                <w:highlight w:val="none"/>
              </w:rPr>
            </w:pPr>
            <w:r>
              <w:rPr>
                <w:rFonts w:hint="eastAsia" w:ascii="宋体" w:hAnsi="宋体" w:eastAsia="宋体" w:cs="宋体"/>
                <w:spacing w:val="-2"/>
                <w:sz w:val="22"/>
                <w:szCs w:val="22"/>
                <w:highlight w:val="none"/>
              </w:rPr>
              <w:t>地址、电话</w:t>
            </w:r>
          </w:p>
        </w:tc>
        <w:tc>
          <w:tcPr>
            <w:tcW w:w="6807" w:type="dxa"/>
            <w:gridSpan w:val="2"/>
            <w:vAlign w:val="top"/>
          </w:tcPr>
          <w:p>
            <w:pPr>
              <w:rPr>
                <w:rFonts w:hint="eastAsia" w:ascii="宋体" w:hAnsi="宋体" w:eastAsia="宋体" w:cs="宋体"/>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8" w:hRule="atLeast"/>
        </w:trPr>
        <w:tc>
          <w:tcPr>
            <w:tcW w:w="2222" w:type="dxa"/>
            <w:vAlign w:val="top"/>
          </w:tcPr>
          <w:p>
            <w:pPr>
              <w:pStyle w:val="31"/>
              <w:spacing w:before="194" w:line="220" w:lineRule="auto"/>
              <w:ind w:left="244"/>
              <w:rPr>
                <w:rFonts w:hint="eastAsia" w:ascii="宋体" w:hAnsi="宋体" w:eastAsia="宋体" w:cs="宋体"/>
                <w:sz w:val="22"/>
                <w:szCs w:val="22"/>
                <w:highlight w:val="none"/>
              </w:rPr>
            </w:pPr>
            <w:r>
              <w:rPr>
                <w:rFonts w:hint="eastAsia" w:ascii="宋体" w:hAnsi="宋体" w:eastAsia="宋体" w:cs="宋体"/>
                <w:spacing w:val="5"/>
                <w:sz w:val="22"/>
                <w:szCs w:val="22"/>
                <w:highlight w:val="none"/>
              </w:rPr>
              <w:t>开户行及账户</w:t>
            </w:r>
          </w:p>
        </w:tc>
        <w:tc>
          <w:tcPr>
            <w:tcW w:w="6807" w:type="dxa"/>
            <w:gridSpan w:val="2"/>
            <w:vAlign w:val="top"/>
          </w:tcPr>
          <w:p>
            <w:pPr>
              <w:rPr>
                <w:rFonts w:hint="eastAsia" w:ascii="宋体" w:hAnsi="宋体" w:eastAsia="宋体" w:cs="宋体"/>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8" w:hRule="atLeast"/>
        </w:trPr>
        <w:tc>
          <w:tcPr>
            <w:tcW w:w="5298" w:type="dxa"/>
            <w:gridSpan w:val="2"/>
            <w:vAlign w:val="top"/>
          </w:tcPr>
          <w:p>
            <w:pPr>
              <w:pStyle w:val="31"/>
              <w:spacing w:before="206" w:line="219" w:lineRule="auto"/>
              <w:ind w:left="234"/>
              <w:rPr>
                <w:rFonts w:hint="eastAsia" w:ascii="宋体" w:hAnsi="宋体" w:eastAsia="宋体" w:cs="宋体"/>
                <w:sz w:val="22"/>
                <w:szCs w:val="22"/>
                <w:highlight w:val="none"/>
              </w:rPr>
            </w:pPr>
            <w:r>
              <w:rPr>
                <w:rFonts w:hint="eastAsia" w:ascii="宋体" w:hAnsi="宋体" w:eastAsia="宋体" w:cs="宋体"/>
                <w:spacing w:val="-1"/>
                <w:sz w:val="22"/>
                <w:szCs w:val="22"/>
                <w:highlight w:val="none"/>
              </w:rPr>
              <w:t>开票金额：</w:t>
            </w:r>
          </w:p>
        </w:tc>
        <w:tc>
          <w:tcPr>
            <w:tcW w:w="3731" w:type="dxa"/>
            <w:vAlign w:val="top"/>
          </w:tcPr>
          <w:p>
            <w:pPr>
              <w:pStyle w:val="31"/>
              <w:spacing w:before="206" w:line="219" w:lineRule="auto"/>
              <w:ind w:left="256"/>
              <w:rPr>
                <w:rFonts w:hint="eastAsia" w:ascii="宋体" w:hAnsi="宋体" w:eastAsia="宋体" w:cs="宋体"/>
                <w:sz w:val="22"/>
                <w:szCs w:val="22"/>
                <w:highlight w:val="none"/>
              </w:rPr>
            </w:pPr>
            <w:r>
              <w:rPr>
                <w:rFonts w:hint="eastAsia" w:ascii="宋体" w:hAnsi="宋体" w:eastAsia="宋体" w:cs="宋体"/>
                <w:sz w:val="22"/>
                <w:szCs w:val="22"/>
                <w:highlight w:val="none"/>
              </w:rPr>
              <w:t>经办人及电话：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3" w:hRule="atLeast"/>
        </w:trPr>
        <w:tc>
          <w:tcPr>
            <w:tcW w:w="9029" w:type="dxa"/>
            <w:gridSpan w:val="3"/>
            <w:vAlign w:val="top"/>
          </w:tcPr>
          <w:p>
            <w:pPr>
              <w:pStyle w:val="31"/>
              <w:spacing w:before="198" w:line="219" w:lineRule="auto"/>
              <w:ind w:left="265"/>
              <w:rPr>
                <w:rFonts w:hint="eastAsia" w:ascii="宋体" w:hAnsi="宋体" w:eastAsia="宋体" w:cs="宋体"/>
                <w:sz w:val="22"/>
                <w:szCs w:val="22"/>
                <w:highlight w:val="none"/>
              </w:rPr>
            </w:pPr>
            <w:r>
              <w:rPr>
                <w:rFonts w:hint="eastAsia" w:ascii="宋体" w:hAnsi="宋体" w:eastAsia="宋体" w:cs="宋体"/>
                <w:spacing w:val="4"/>
                <w:sz w:val="22"/>
                <w:szCs w:val="22"/>
                <w:highlight w:val="none"/>
              </w:rPr>
              <w:t>备注(填写项目编号)</w:t>
            </w:r>
          </w:p>
        </w:tc>
      </w:tr>
    </w:tbl>
    <w:p>
      <w:pPr>
        <w:pStyle w:val="7"/>
        <w:rPr>
          <w:rFonts w:hint="eastAsia" w:ascii="宋体" w:hAnsi="宋体" w:eastAsia="宋体" w:cs="宋体"/>
          <w:highlight w:val="none"/>
        </w:rPr>
      </w:pPr>
    </w:p>
    <w:p>
      <w:pPr>
        <w:rPr>
          <w:rFonts w:hint="eastAsia" w:ascii="宋体" w:hAnsi="宋体" w:eastAsia="宋体" w:cs="宋体"/>
          <w:highlight w:val="none"/>
        </w:rPr>
        <w:sectPr>
          <w:footerReference r:id="rId11" w:type="default"/>
          <w:pgSz w:w="11910" w:h="16840"/>
          <w:pgMar w:top="1345" w:right="1475" w:bottom="1172" w:left="1395" w:header="0" w:footer="973" w:gutter="0"/>
          <w:pgNumType w:fmt="decimal"/>
          <w:cols w:space="720" w:num="1"/>
        </w:sectPr>
      </w:pPr>
    </w:p>
    <w:p>
      <w:pPr>
        <w:pStyle w:val="3"/>
        <w:bidi w:val="0"/>
        <w:jc w:val="center"/>
        <w:rPr>
          <w:rFonts w:hint="eastAsia"/>
          <w:highlight w:val="none"/>
        </w:rPr>
      </w:pPr>
      <w:bookmarkStart w:id="11" w:name="bookmark3"/>
      <w:bookmarkEnd w:id="11"/>
      <w:bookmarkStart w:id="12" w:name="_Toc24058"/>
      <w:r>
        <w:rPr>
          <w:rFonts w:hint="eastAsia"/>
          <w:highlight w:val="none"/>
        </w:rPr>
        <w:t>第三章    响应文件格式</w:t>
      </w:r>
      <w:bookmarkEnd w:id="12"/>
    </w:p>
    <w:p>
      <w:pPr>
        <w:spacing w:before="206" w:line="375" w:lineRule="auto"/>
        <w:ind w:left="10" w:firstLine="26"/>
        <w:jc w:val="both"/>
        <w:rPr>
          <w:rFonts w:hint="eastAsia" w:ascii="宋体" w:hAnsi="宋体" w:eastAsia="宋体" w:cs="宋体"/>
          <w:sz w:val="23"/>
          <w:szCs w:val="23"/>
          <w:highlight w:val="none"/>
        </w:rPr>
      </w:pPr>
      <w:r>
        <w:rPr>
          <w:rFonts w:hint="eastAsia" w:ascii="宋体" w:hAnsi="宋体" w:eastAsia="宋体" w:cs="宋体"/>
          <w:b/>
          <w:bCs/>
          <w:spacing w:val="12"/>
          <w:sz w:val="23"/>
          <w:szCs w:val="23"/>
          <w:highlight w:val="none"/>
        </w:rPr>
        <w:t>[本章格式仅供参考，除未实质性响应外，任何人不得以格式有偏差为由</w:t>
      </w:r>
      <w:r>
        <w:rPr>
          <w:rFonts w:hint="eastAsia" w:ascii="宋体" w:hAnsi="宋体" w:eastAsia="宋体" w:cs="宋体"/>
          <w:b/>
          <w:bCs/>
          <w:spacing w:val="11"/>
          <w:sz w:val="23"/>
          <w:szCs w:val="23"/>
          <w:highlight w:val="none"/>
        </w:rPr>
        <w:t>废标。(实质</w:t>
      </w:r>
      <w:r>
        <w:rPr>
          <w:rFonts w:hint="eastAsia" w:ascii="宋体" w:hAnsi="宋体" w:eastAsia="宋体" w:cs="宋体"/>
          <w:sz w:val="23"/>
          <w:szCs w:val="23"/>
          <w:highlight w:val="none"/>
        </w:rPr>
        <w:t xml:space="preserve"> </w:t>
      </w:r>
      <w:r>
        <w:rPr>
          <w:rFonts w:hint="eastAsia" w:ascii="宋体" w:hAnsi="宋体" w:eastAsia="宋体" w:cs="宋体"/>
          <w:b/>
          <w:bCs/>
          <w:spacing w:val="12"/>
          <w:sz w:val="23"/>
          <w:szCs w:val="23"/>
          <w:highlight w:val="none"/>
        </w:rPr>
        <w:t>性响应条款是指法律法规所规定的必须满足的条款和竞争性磋商文件中标注★的实质</w:t>
      </w:r>
    </w:p>
    <w:p>
      <w:pPr>
        <w:spacing w:line="219" w:lineRule="auto"/>
        <w:rPr>
          <w:rFonts w:hint="eastAsia" w:ascii="宋体" w:hAnsi="宋体" w:eastAsia="宋体" w:cs="宋体"/>
          <w:sz w:val="23"/>
          <w:szCs w:val="23"/>
          <w:highlight w:val="none"/>
        </w:rPr>
      </w:pPr>
      <w:r>
        <w:rPr>
          <w:rFonts w:hint="eastAsia" w:ascii="宋体" w:hAnsi="宋体" w:eastAsia="宋体" w:cs="宋体"/>
          <w:b/>
          <w:bCs/>
          <w:spacing w:val="27"/>
          <w:sz w:val="23"/>
          <w:szCs w:val="23"/>
          <w:highlight w:val="none"/>
        </w:rPr>
        <w:t>性条款)]</w:t>
      </w:r>
    </w:p>
    <w:p>
      <w:pPr>
        <w:pStyle w:val="7"/>
        <w:spacing w:line="261" w:lineRule="auto"/>
        <w:rPr>
          <w:rFonts w:hint="eastAsia" w:ascii="宋体" w:hAnsi="宋体" w:eastAsia="宋体" w:cs="宋体"/>
          <w:highlight w:val="none"/>
        </w:rPr>
      </w:pPr>
    </w:p>
    <w:p>
      <w:pPr>
        <w:pStyle w:val="7"/>
        <w:spacing w:line="261" w:lineRule="auto"/>
        <w:rPr>
          <w:rFonts w:hint="eastAsia" w:ascii="宋体" w:hAnsi="宋体" w:eastAsia="宋体" w:cs="宋体"/>
          <w:highlight w:val="none"/>
        </w:rPr>
      </w:pPr>
    </w:p>
    <w:p>
      <w:pPr>
        <w:spacing w:before="98" w:line="219" w:lineRule="auto"/>
        <w:ind w:left="3596"/>
        <w:rPr>
          <w:rFonts w:hint="eastAsia" w:ascii="宋体" w:hAnsi="宋体" w:eastAsia="宋体" w:cs="宋体"/>
          <w:sz w:val="30"/>
          <w:szCs w:val="30"/>
          <w:highlight w:val="none"/>
        </w:rPr>
      </w:pPr>
      <w:r>
        <w:rPr>
          <w:rFonts w:hint="eastAsia" w:ascii="宋体" w:hAnsi="宋体" w:eastAsia="宋体" w:cs="宋体"/>
          <w:spacing w:val="12"/>
          <w:sz w:val="30"/>
          <w:szCs w:val="30"/>
          <w:highlight w:val="none"/>
        </w:rPr>
        <w:t>响应文件目录</w:t>
      </w:r>
    </w:p>
    <w:p>
      <w:pPr>
        <w:pStyle w:val="7"/>
        <w:spacing w:line="364" w:lineRule="auto"/>
        <w:rPr>
          <w:rFonts w:hint="eastAsia" w:ascii="宋体" w:hAnsi="宋体" w:eastAsia="宋体" w:cs="宋体"/>
          <w:highlight w:val="none"/>
        </w:rPr>
      </w:pPr>
    </w:p>
    <w:p>
      <w:pPr>
        <w:spacing w:before="75" w:line="220" w:lineRule="auto"/>
        <w:ind w:right="20"/>
        <w:jc w:val="right"/>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1.  磋商函……………………………………………………………………………………页码</w:t>
      </w:r>
    </w:p>
    <w:p>
      <w:pPr>
        <w:spacing w:before="143" w:line="218" w:lineRule="auto"/>
        <w:ind w:right="20"/>
        <w:jc w:val="right"/>
        <w:rPr>
          <w:rFonts w:hint="eastAsia" w:ascii="宋体" w:hAnsi="宋体" w:eastAsia="宋体" w:cs="宋体"/>
          <w:sz w:val="23"/>
          <w:szCs w:val="23"/>
          <w:highlight w:val="none"/>
        </w:rPr>
      </w:pPr>
      <w:r>
        <w:rPr>
          <w:rFonts w:hint="eastAsia" w:ascii="宋体" w:hAnsi="宋体" w:eastAsia="宋体" w:cs="宋体"/>
          <w:sz w:val="23"/>
          <w:szCs w:val="23"/>
          <w:highlight w:val="none"/>
        </w:rPr>
        <w:t>2.</w:t>
      </w:r>
      <w:r>
        <w:rPr>
          <w:rFonts w:hint="eastAsia" w:ascii="宋体" w:hAnsi="宋体" w:eastAsia="宋体" w:cs="宋体"/>
          <w:spacing w:val="21"/>
          <w:w w:val="101"/>
          <w:sz w:val="23"/>
          <w:szCs w:val="23"/>
          <w:highlight w:val="none"/>
        </w:rPr>
        <w:t xml:space="preserve">  </w:t>
      </w:r>
      <w:r>
        <w:rPr>
          <w:rFonts w:hint="eastAsia" w:ascii="宋体" w:hAnsi="宋体" w:eastAsia="宋体" w:cs="宋体"/>
          <w:sz w:val="23"/>
          <w:szCs w:val="23"/>
          <w:highlight w:val="none"/>
        </w:rPr>
        <w:t>报价一览表………………………………………………………………………………页码</w:t>
      </w:r>
    </w:p>
    <w:p>
      <w:pPr>
        <w:spacing w:before="151" w:line="219" w:lineRule="auto"/>
        <w:ind w:right="12"/>
        <w:jc w:val="right"/>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3.</w:t>
      </w:r>
      <w:r>
        <w:rPr>
          <w:rFonts w:hint="eastAsia" w:ascii="宋体" w:hAnsi="宋体" w:eastAsia="宋体" w:cs="宋体"/>
          <w:spacing w:val="26"/>
          <w:sz w:val="23"/>
          <w:szCs w:val="23"/>
          <w:highlight w:val="none"/>
        </w:rPr>
        <w:t xml:space="preserve">  </w:t>
      </w:r>
      <w:r>
        <w:rPr>
          <w:rFonts w:hint="eastAsia" w:ascii="宋体" w:hAnsi="宋体" w:eastAsia="宋体" w:cs="宋体"/>
          <w:spacing w:val="3"/>
          <w:sz w:val="23"/>
          <w:szCs w:val="23"/>
          <w:highlight w:val="none"/>
        </w:rPr>
        <w:t>磋商代表身份证明………………………………………………………………</w:t>
      </w:r>
      <w:r>
        <w:rPr>
          <w:rFonts w:hint="eastAsia" w:ascii="宋体" w:hAnsi="宋体" w:eastAsia="宋体" w:cs="宋体"/>
          <w:spacing w:val="2"/>
          <w:sz w:val="23"/>
          <w:szCs w:val="23"/>
          <w:highlight w:val="none"/>
        </w:rPr>
        <w:t>…. 页 码</w:t>
      </w:r>
    </w:p>
    <w:p>
      <w:pPr>
        <w:spacing w:before="137" w:line="219" w:lineRule="auto"/>
        <w:ind w:right="20"/>
        <w:jc w:val="right"/>
        <w:rPr>
          <w:rFonts w:hint="eastAsia" w:ascii="宋体" w:hAnsi="宋体" w:eastAsia="宋体" w:cs="宋体"/>
          <w:sz w:val="23"/>
          <w:szCs w:val="23"/>
          <w:highlight w:val="none"/>
        </w:rPr>
      </w:pPr>
      <w:r>
        <w:rPr>
          <w:rFonts w:hint="eastAsia" w:ascii="宋体" w:hAnsi="宋体" w:eastAsia="宋体" w:cs="宋体"/>
          <w:sz w:val="23"/>
          <w:szCs w:val="23"/>
          <w:highlight w:val="none"/>
        </w:rPr>
        <w:t>4.</w:t>
      </w:r>
      <w:r>
        <w:rPr>
          <w:rFonts w:hint="eastAsia" w:ascii="宋体" w:hAnsi="宋体" w:eastAsia="宋体" w:cs="宋体"/>
          <w:spacing w:val="23"/>
          <w:w w:val="101"/>
          <w:sz w:val="23"/>
          <w:szCs w:val="23"/>
          <w:highlight w:val="none"/>
        </w:rPr>
        <w:t xml:space="preserve">  </w:t>
      </w:r>
      <w:r>
        <w:rPr>
          <w:rFonts w:hint="eastAsia" w:ascii="宋体" w:hAnsi="宋体" w:eastAsia="宋体" w:cs="宋体"/>
          <w:sz w:val="23"/>
          <w:szCs w:val="23"/>
          <w:highlight w:val="none"/>
        </w:rPr>
        <w:t>资格证明文件………………………………………………………………………</w:t>
      </w:r>
      <w:r>
        <w:rPr>
          <w:rFonts w:hint="eastAsia" w:ascii="宋体" w:hAnsi="宋体" w:eastAsia="宋体" w:cs="宋体"/>
          <w:spacing w:val="-1"/>
          <w:sz w:val="23"/>
          <w:szCs w:val="23"/>
          <w:highlight w:val="none"/>
        </w:rPr>
        <w:t>……页码</w:t>
      </w:r>
    </w:p>
    <w:p>
      <w:pPr>
        <w:spacing w:before="157" w:line="219" w:lineRule="auto"/>
        <w:ind w:right="20"/>
        <w:jc w:val="right"/>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4.1  营业执照……………………………………………………………………………… 页码</w:t>
      </w:r>
    </w:p>
    <w:p>
      <w:pPr>
        <w:spacing w:before="155" w:line="218" w:lineRule="auto"/>
        <w:ind w:right="20"/>
        <w:jc w:val="right"/>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4.2  财务状况报告…………………………………………………………………………</w:t>
      </w:r>
      <w:r>
        <w:rPr>
          <w:rFonts w:hint="eastAsia" w:ascii="宋体" w:hAnsi="宋体" w:eastAsia="宋体" w:cs="宋体"/>
          <w:spacing w:val="-39"/>
          <w:sz w:val="23"/>
          <w:szCs w:val="23"/>
          <w:highlight w:val="none"/>
        </w:rPr>
        <w:t xml:space="preserve"> </w:t>
      </w:r>
      <w:r>
        <w:rPr>
          <w:rFonts w:hint="eastAsia" w:ascii="宋体" w:hAnsi="宋体" w:eastAsia="宋体" w:cs="宋体"/>
          <w:spacing w:val="2"/>
          <w:sz w:val="23"/>
          <w:szCs w:val="23"/>
          <w:highlight w:val="none"/>
        </w:rPr>
        <w:t>页码</w:t>
      </w:r>
    </w:p>
    <w:p>
      <w:pPr>
        <w:spacing w:before="139" w:line="219" w:lineRule="auto"/>
        <w:ind w:right="20"/>
        <w:jc w:val="right"/>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4.3</w:t>
      </w:r>
      <w:r>
        <w:rPr>
          <w:rFonts w:hint="eastAsia" w:ascii="宋体" w:hAnsi="宋体" w:eastAsia="宋体" w:cs="宋体"/>
          <w:spacing w:val="59"/>
          <w:w w:val="101"/>
          <w:sz w:val="23"/>
          <w:szCs w:val="23"/>
          <w:highlight w:val="none"/>
        </w:rPr>
        <w:t xml:space="preserve"> </w:t>
      </w:r>
      <w:r>
        <w:rPr>
          <w:rFonts w:hint="eastAsia" w:ascii="宋体" w:hAnsi="宋体" w:eastAsia="宋体" w:cs="宋体"/>
          <w:spacing w:val="4"/>
          <w:sz w:val="23"/>
          <w:szCs w:val="23"/>
          <w:highlight w:val="none"/>
        </w:rPr>
        <w:t>依法缴纳税收和社会保障资金的相关材料…………………………………………页码</w:t>
      </w:r>
    </w:p>
    <w:p>
      <w:pPr>
        <w:spacing w:before="137" w:line="219" w:lineRule="auto"/>
        <w:ind w:right="20"/>
        <w:jc w:val="right"/>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4.4</w:t>
      </w:r>
      <w:r>
        <w:rPr>
          <w:rFonts w:hint="eastAsia" w:ascii="宋体" w:hAnsi="宋体" w:eastAsia="宋体" w:cs="宋体"/>
          <w:spacing w:val="2"/>
          <w:sz w:val="23"/>
          <w:szCs w:val="23"/>
          <w:highlight w:val="none"/>
        </w:rPr>
        <w:t xml:space="preserve">  </w:t>
      </w:r>
      <w:r>
        <w:rPr>
          <w:rFonts w:hint="eastAsia" w:ascii="宋体" w:hAnsi="宋体" w:eastAsia="宋体" w:cs="宋体"/>
          <w:spacing w:val="6"/>
          <w:sz w:val="23"/>
          <w:szCs w:val="23"/>
          <w:highlight w:val="none"/>
        </w:rPr>
        <w:t>具备履行合同所必需的设备和专业技术能力的证明材料</w:t>
      </w:r>
      <w:r>
        <w:rPr>
          <w:rFonts w:hint="eastAsia" w:ascii="宋体" w:hAnsi="宋体" w:eastAsia="宋体" w:cs="宋体"/>
          <w:spacing w:val="41"/>
          <w:sz w:val="23"/>
          <w:szCs w:val="23"/>
          <w:highlight w:val="none"/>
        </w:rPr>
        <w:t xml:space="preserve"> </w:t>
      </w:r>
      <w:r>
        <w:rPr>
          <w:rFonts w:hint="eastAsia" w:ascii="宋体" w:hAnsi="宋体" w:eastAsia="宋体" w:cs="宋体"/>
          <w:spacing w:val="6"/>
          <w:sz w:val="23"/>
          <w:szCs w:val="23"/>
          <w:highlight w:val="none"/>
        </w:rPr>
        <w:t>………………………页码</w:t>
      </w:r>
    </w:p>
    <w:p>
      <w:pPr>
        <w:spacing w:before="147" w:line="219" w:lineRule="auto"/>
        <w:ind w:right="20"/>
        <w:jc w:val="right"/>
        <w:rPr>
          <w:rFonts w:hint="eastAsia" w:ascii="宋体" w:hAnsi="宋体" w:eastAsia="宋体" w:cs="宋体"/>
          <w:sz w:val="23"/>
          <w:szCs w:val="23"/>
          <w:highlight w:val="none"/>
        </w:rPr>
      </w:pPr>
      <w:r>
        <w:rPr>
          <w:rFonts w:hint="eastAsia" w:ascii="宋体" w:hAnsi="宋体" w:eastAsia="宋体" w:cs="宋体"/>
          <w:spacing w:val="13"/>
          <w:sz w:val="23"/>
          <w:szCs w:val="23"/>
          <w:highlight w:val="none"/>
        </w:rPr>
        <w:t>4.5</w:t>
      </w:r>
      <w:r>
        <w:rPr>
          <w:rFonts w:hint="eastAsia" w:ascii="宋体" w:hAnsi="宋体" w:eastAsia="宋体" w:cs="宋体"/>
          <w:sz w:val="23"/>
          <w:szCs w:val="23"/>
          <w:highlight w:val="none"/>
        </w:rPr>
        <w:t xml:space="preserve">  </w:t>
      </w:r>
      <w:r>
        <w:rPr>
          <w:rFonts w:hint="eastAsia" w:ascii="宋体" w:hAnsi="宋体" w:eastAsia="宋体" w:cs="宋体"/>
          <w:spacing w:val="13"/>
          <w:sz w:val="23"/>
          <w:szCs w:val="23"/>
          <w:highlight w:val="none"/>
        </w:rPr>
        <w:t>参加政府采购活动前三年内，在经营活动中没有重大</w:t>
      </w:r>
      <w:r>
        <w:rPr>
          <w:rFonts w:hint="eastAsia" w:ascii="宋体" w:hAnsi="宋体" w:eastAsia="宋体" w:cs="宋体"/>
          <w:spacing w:val="12"/>
          <w:sz w:val="23"/>
          <w:szCs w:val="23"/>
          <w:highlight w:val="none"/>
        </w:rPr>
        <w:t>违法记录的书面声明.页码</w:t>
      </w:r>
    </w:p>
    <w:p>
      <w:pPr>
        <w:spacing w:before="159" w:line="219" w:lineRule="auto"/>
        <w:ind w:right="20"/>
        <w:jc w:val="right"/>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4.6“   国家企业信用信息公示系统”查询截图…………………………………………页码</w:t>
      </w:r>
    </w:p>
    <w:p>
      <w:pPr>
        <w:spacing w:before="137" w:line="219" w:lineRule="auto"/>
        <w:ind w:right="20"/>
        <w:jc w:val="right"/>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4.7</w:t>
      </w:r>
      <w:r>
        <w:rPr>
          <w:rFonts w:hint="eastAsia" w:ascii="宋体" w:hAnsi="宋体" w:eastAsia="宋体" w:cs="宋体"/>
          <w:spacing w:val="54"/>
          <w:sz w:val="23"/>
          <w:szCs w:val="23"/>
          <w:highlight w:val="none"/>
        </w:rPr>
        <w:t xml:space="preserve"> </w:t>
      </w:r>
      <w:r>
        <w:rPr>
          <w:rFonts w:hint="eastAsia" w:ascii="宋体" w:hAnsi="宋体" w:eastAsia="宋体" w:cs="宋体"/>
          <w:spacing w:val="2"/>
          <w:sz w:val="23"/>
          <w:szCs w:val="23"/>
          <w:highlight w:val="none"/>
        </w:rPr>
        <w:t>信用查询截图…………………………………………………………………………</w:t>
      </w:r>
      <w:r>
        <w:rPr>
          <w:rFonts w:hint="eastAsia" w:ascii="宋体" w:hAnsi="宋体" w:eastAsia="宋体" w:cs="宋体"/>
          <w:spacing w:val="-32"/>
          <w:sz w:val="23"/>
          <w:szCs w:val="23"/>
          <w:highlight w:val="none"/>
        </w:rPr>
        <w:t xml:space="preserve"> </w:t>
      </w:r>
      <w:r>
        <w:rPr>
          <w:rFonts w:hint="eastAsia" w:ascii="宋体" w:hAnsi="宋体" w:eastAsia="宋体" w:cs="宋体"/>
          <w:spacing w:val="2"/>
          <w:sz w:val="23"/>
          <w:szCs w:val="23"/>
          <w:highlight w:val="none"/>
        </w:rPr>
        <w:t>页码</w:t>
      </w:r>
    </w:p>
    <w:p>
      <w:pPr>
        <w:spacing w:before="148" w:line="219" w:lineRule="auto"/>
        <w:ind w:right="20"/>
        <w:jc w:val="right"/>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5.</w:t>
      </w:r>
      <w:r>
        <w:rPr>
          <w:rFonts w:hint="eastAsia" w:ascii="宋体" w:hAnsi="宋体" w:eastAsia="宋体" w:cs="宋体"/>
          <w:spacing w:val="22"/>
          <w:w w:val="101"/>
          <w:sz w:val="23"/>
          <w:szCs w:val="23"/>
          <w:highlight w:val="none"/>
        </w:rPr>
        <w:t xml:space="preserve"> </w:t>
      </w:r>
      <w:r>
        <w:rPr>
          <w:rFonts w:hint="eastAsia" w:ascii="宋体" w:hAnsi="宋体" w:eastAsia="宋体" w:cs="宋体"/>
          <w:spacing w:val="2"/>
          <w:sz w:val="23"/>
          <w:szCs w:val="23"/>
          <w:highlight w:val="none"/>
        </w:rPr>
        <w:t>磋商承诺函………………………………………………………………………………页码</w:t>
      </w:r>
    </w:p>
    <w:p>
      <w:pPr>
        <w:spacing w:before="155" w:line="219" w:lineRule="auto"/>
        <w:ind w:right="20"/>
        <w:jc w:val="right"/>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6. 反商业贿赂承诺书………………………</w:t>
      </w:r>
      <w:r>
        <w:rPr>
          <w:rFonts w:hint="eastAsia" w:ascii="宋体" w:hAnsi="宋体" w:eastAsia="宋体" w:cs="宋体"/>
          <w:spacing w:val="2"/>
          <w:sz w:val="23"/>
          <w:szCs w:val="23"/>
          <w:highlight w:val="none"/>
        </w:rPr>
        <w:t>………………………………………………页码</w:t>
      </w:r>
    </w:p>
    <w:p>
      <w:pPr>
        <w:spacing w:before="159" w:line="219" w:lineRule="auto"/>
        <w:ind w:right="20"/>
        <w:jc w:val="right"/>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7. 项目实施方案及服务方案………………</w:t>
      </w:r>
      <w:r>
        <w:rPr>
          <w:rFonts w:hint="eastAsia" w:ascii="宋体" w:hAnsi="宋体" w:eastAsia="宋体" w:cs="宋体"/>
          <w:spacing w:val="2"/>
          <w:sz w:val="23"/>
          <w:szCs w:val="23"/>
          <w:highlight w:val="none"/>
        </w:rPr>
        <w:t>………………………………………………页码</w:t>
      </w:r>
    </w:p>
    <w:p>
      <w:pPr>
        <w:spacing w:before="145" w:line="219" w:lineRule="auto"/>
        <w:ind w:right="20"/>
        <w:jc w:val="right"/>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8. 供应商已完成的与本项目类似的项目清</w:t>
      </w:r>
      <w:r>
        <w:rPr>
          <w:rFonts w:hint="eastAsia" w:ascii="宋体" w:hAnsi="宋体" w:eastAsia="宋体" w:cs="宋体"/>
          <w:spacing w:val="2"/>
          <w:sz w:val="23"/>
          <w:szCs w:val="23"/>
          <w:highlight w:val="none"/>
        </w:rPr>
        <w:t>单……………………………………………页码</w:t>
      </w:r>
    </w:p>
    <w:p>
      <w:pPr>
        <w:spacing w:before="137" w:line="219" w:lineRule="auto"/>
        <w:ind w:right="20"/>
        <w:jc w:val="right"/>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9.</w:t>
      </w:r>
      <w:r>
        <w:rPr>
          <w:rFonts w:hint="eastAsia" w:ascii="宋体" w:hAnsi="宋体" w:eastAsia="宋体" w:cs="宋体"/>
          <w:spacing w:val="22"/>
          <w:w w:val="101"/>
          <w:sz w:val="23"/>
          <w:szCs w:val="23"/>
          <w:highlight w:val="none"/>
        </w:rPr>
        <w:t xml:space="preserve"> </w:t>
      </w:r>
      <w:r>
        <w:rPr>
          <w:rFonts w:hint="eastAsia" w:ascii="宋体" w:hAnsi="宋体" w:eastAsia="宋体" w:cs="宋体"/>
          <w:spacing w:val="2"/>
          <w:sz w:val="23"/>
          <w:szCs w:val="23"/>
          <w:highlight w:val="none"/>
        </w:rPr>
        <w:t>供应商服务人员证书……………………………………………………………………页码</w:t>
      </w:r>
    </w:p>
    <w:p>
      <w:pPr>
        <w:spacing w:before="158" w:line="219" w:lineRule="auto"/>
        <w:ind w:left="196"/>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10. 落实政府采购政策………………………………………………………………………页码</w:t>
      </w:r>
    </w:p>
    <w:p>
      <w:pPr>
        <w:spacing w:before="148" w:line="219" w:lineRule="auto"/>
        <w:ind w:right="20"/>
        <w:jc w:val="right"/>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11.</w:t>
      </w:r>
      <w:r>
        <w:rPr>
          <w:rFonts w:hint="eastAsia" w:ascii="宋体" w:hAnsi="宋体" w:eastAsia="宋体" w:cs="宋体"/>
          <w:spacing w:val="25"/>
          <w:w w:val="101"/>
          <w:sz w:val="23"/>
          <w:szCs w:val="23"/>
          <w:highlight w:val="none"/>
        </w:rPr>
        <w:t xml:space="preserve"> </w:t>
      </w:r>
      <w:r>
        <w:rPr>
          <w:rFonts w:hint="eastAsia" w:ascii="宋体" w:hAnsi="宋体" w:eastAsia="宋体" w:cs="宋体"/>
          <w:spacing w:val="-1"/>
          <w:sz w:val="23"/>
          <w:szCs w:val="23"/>
          <w:highlight w:val="none"/>
        </w:rPr>
        <w:t>服务承诺…………………………………………………………………………………页码</w:t>
      </w:r>
    </w:p>
    <w:p>
      <w:pPr>
        <w:spacing w:before="136" w:line="219" w:lineRule="auto"/>
        <w:ind w:right="20"/>
        <w:jc w:val="right"/>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12. 供应商认为应该附的材料……………………………………………………………</w:t>
      </w:r>
      <w:r>
        <w:rPr>
          <w:rFonts w:hint="eastAsia" w:ascii="宋体" w:hAnsi="宋体" w:eastAsia="宋体" w:cs="宋体"/>
          <w:spacing w:val="-20"/>
          <w:sz w:val="23"/>
          <w:szCs w:val="23"/>
          <w:highlight w:val="none"/>
        </w:rPr>
        <w:t xml:space="preserve"> </w:t>
      </w:r>
      <w:r>
        <w:rPr>
          <w:rFonts w:hint="eastAsia" w:ascii="宋体" w:hAnsi="宋体" w:eastAsia="宋体" w:cs="宋体"/>
          <w:spacing w:val="3"/>
          <w:sz w:val="23"/>
          <w:szCs w:val="23"/>
          <w:highlight w:val="none"/>
        </w:rPr>
        <w:t>页码</w:t>
      </w:r>
    </w:p>
    <w:p>
      <w:pPr>
        <w:spacing w:line="219" w:lineRule="auto"/>
        <w:rPr>
          <w:rFonts w:hint="eastAsia" w:ascii="宋体" w:hAnsi="宋体" w:eastAsia="宋体" w:cs="宋体"/>
          <w:sz w:val="23"/>
          <w:szCs w:val="23"/>
          <w:highlight w:val="none"/>
        </w:rPr>
        <w:sectPr>
          <w:footerReference r:id="rId12" w:type="default"/>
          <w:pgSz w:w="11910" w:h="16840"/>
          <w:pgMar w:top="1431" w:right="1427" w:bottom="1127" w:left="1423" w:header="0" w:footer="1001" w:gutter="0"/>
          <w:pgNumType w:fmt="decimal"/>
          <w:cols w:space="720" w:num="1"/>
        </w:sectPr>
      </w:pPr>
    </w:p>
    <w:p>
      <w:pPr>
        <w:pStyle w:val="7"/>
        <w:spacing w:line="261" w:lineRule="auto"/>
        <w:rPr>
          <w:rFonts w:hint="eastAsia" w:ascii="宋体" w:hAnsi="宋体" w:eastAsia="宋体" w:cs="宋体"/>
          <w:highlight w:val="none"/>
        </w:rPr>
      </w:pPr>
    </w:p>
    <w:p>
      <w:pPr>
        <w:spacing w:before="94" w:line="220" w:lineRule="auto"/>
        <w:ind w:left="4264"/>
        <w:outlineLvl w:val="9"/>
        <w:rPr>
          <w:rFonts w:hint="eastAsia" w:ascii="宋体" w:hAnsi="宋体" w:eastAsia="宋体" w:cs="宋体"/>
          <w:sz w:val="29"/>
          <w:szCs w:val="29"/>
          <w:highlight w:val="none"/>
        </w:rPr>
      </w:pPr>
      <w:r>
        <w:rPr>
          <w:rFonts w:hint="eastAsia" w:ascii="宋体" w:hAnsi="宋体" w:eastAsia="宋体" w:cs="宋体"/>
          <w:b/>
          <w:bCs/>
          <w:spacing w:val="-15"/>
          <w:sz w:val="29"/>
          <w:szCs w:val="29"/>
          <w:highlight w:val="none"/>
        </w:rPr>
        <w:t>1.磋商函</w:t>
      </w:r>
    </w:p>
    <w:p>
      <w:pPr>
        <w:pStyle w:val="7"/>
        <w:spacing w:line="296" w:lineRule="auto"/>
        <w:rPr>
          <w:rFonts w:hint="eastAsia" w:ascii="宋体" w:hAnsi="宋体" w:eastAsia="宋体" w:cs="宋体"/>
          <w:highlight w:val="none"/>
        </w:rPr>
      </w:pPr>
    </w:p>
    <w:p>
      <w:pPr>
        <w:pStyle w:val="7"/>
        <w:spacing w:line="296" w:lineRule="auto"/>
        <w:rPr>
          <w:rFonts w:hint="eastAsia" w:ascii="宋体" w:hAnsi="宋体" w:eastAsia="宋体" w:cs="宋体"/>
          <w:highlight w:val="none"/>
        </w:rPr>
      </w:pPr>
    </w:p>
    <w:p>
      <w:pPr>
        <w:spacing w:before="74" w:line="219" w:lineRule="auto"/>
        <w:rPr>
          <w:rFonts w:hint="eastAsia" w:ascii="宋体" w:hAnsi="宋体" w:eastAsia="宋体" w:cs="宋体"/>
          <w:sz w:val="23"/>
          <w:szCs w:val="23"/>
          <w:highlight w:val="none"/>
          <w:lang w:eastAsia="zh-CN"/>
        </w:rPr>
      </w:pPr>
      <w:r>
        <w:rPr>
          <w:rFonts w:hint="eastAsia" w:ascii="宋体" w:hAnsi="宋体" w:eastAsia="宋体" w:cs="宋体"/>
          <w:spacing w:val="3"/>
          <w:sz w:val="23"/>
          <w:szCs w:val="23"/>
          <w:highlight w:val="none"/>
        </w:rPr>
        <w:t>致：</w:t>
      </w:r>
      <w:r>
        <w:rPr>
          <w:rFonts w:hint="eastAsia" w:ascii="宋体" w:hAnsi="宋体" w:eastAsia="宋体" w:cs="宋体"/>
          <w:spacing w:val="-46"/>
          <w:sz w:val="23"/>
          <w:szCs w:val="23"/>
          <w:highlight w:val="none"/>
        </w:rPr>
        <w:t xml:space="preserve"> </w:t>
      </w:r>
      <w:r>
        <w:rPr>
          <w:rFonts w:hint="eastAsia" w:ascii="宋体" w:hAnsi="宋体" w:eastAsia="宋体" w:cs="宋体"/>
          <w:b/>
          <w:bCs/>
          <w:spacing w:val="3"/>
          <w:sz w:val="23"/>
          <w:szCs w:val="23"/>
          <w:highlight w:val="none"/>
          <w:u w:val="single" w:color="auto"/>
          <w:lang w:eastAsia="zh-CN"/>
        </w:rPr>
        <w:t>河南省亿达工程管理咨询有限公司</w:t>
      </w:r>
    </w:p>
    <w:p>
      <w:pPr>
        <w:spacing w:before="298" w:line="484" w:lineRule="auto"/>
        <w:jc w:val="right"/>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根据贵方的竞争性磋商公告，</w:t>
      </w:r>
      <w:r>
        <w:rPr>
          <w:rFonts w:hint="eastAsia" w:ascii="宋体" w:hAnsi="宋体" w:eastAsia="宋体" w:cs="宋体"/>
          <w:spacing w:val="-95"/>
          <w:sz w:val="23"/>
          <w:szCs w:val="23"/>
          <w:highlight w:val="none"/>
        </w:rPr>
        <w:t xml:space="preserve"> </w:t>
      </w:r>
      <w:r>
        <w:rPr>
          <w:rFonts w:hint="eastAsia" w:ascii="宋体" w:hAnsi="宋体" w:eastAsia="宋体" w:cs="宋体"/>
          <w:spacing w:val="3"/>
          <w:sz w:val="24"/>
          <w:szCs w:val="24"/>
          <w:highlight w:val="none"/>
          <w:u w:val="single" w:color="auto"/>
        </w:rPr>
        <w:t xml:space="preserve">  </w:t>
      </w:r>
      <w:r>
        <w:rPr>
          <w:rFonts w:hint="eastAsia" w:ascii="宋体" w:hAnsi="宋体" w:eastAsia="宋体" w:cs="宋体"/>
          <w:i/>
          <w:iCs/>
          <w:spacing w:val="11"/>
          <w:sz w:val="24"/>
          <w:szCs w:val="24"/>
          <w:highlight w:val="none"/>
          <w:u w:val="single" w:color="auto"/>
        </w:rPr>
        <w:t>(项</w:t>
      </w:r>
      <w:r>
        <w:rPr>
          <w:rFonts w:hint="eastAsia" w:ascii="宋体" w:hAnsi="宋体" w:eastAsia="宋体" w:cs="宋体"/>
          <w:spacing w:val="-49"/>
          <w:sz w:val="24"/>
          <w:szCs w:val="24"/>
          <w:highlight w:val="none"/>
          <w:u w:val="single" w:color="auto"/>
        </w:rPr>
        <w:t xml:space="preserve"> </w:t>
      </w:r>
      <w:r>
        <w:rPr>
          <w:rFonts w:hint="eastAsia" w:ascii="宋体" w:hAnsi="宋体" w:eastAsia="宋体" w:cs="宋体"/>
          <w:i/>
          <w:iCs/>
          <w:spacing w:val="11"/>
          <w:sz w:val="24"/>
          <w:szCs w:val="24"/>
          <w:highlight w:val="none"/>
          <w:u w:val="single" w:color="auto"/>
        </w:rPr>
        <w:t>目编号</w:t>
      </w:r>
      <w:r>
        <w:rPr>
          <w:rFonts w:hint="eastAsia" w:ascii="宋体" w:hAnsi="宋体" w:eastAsia="宋体" w:cs="宋体"/>
          <w:i/>
          <w:iCs/>
          <w:spacing w:val="11"/>
          <w:sz w:val="24"/>
          <w:szCs w:val="24"/>
          <w:highlight w:val="none"/>
        </w:rPr>
        <w:t>)</w:t>
      </w:r>
      <w:r>
        <w:rPr>
          <w:rFonts w:hint="eastAsia" w:ascii="宋体" w:hAnsi="宋体" w:eastAsia="宋体" w:cs="宋体"/>
          <w:spacing w:val="11"/>
          <w:sz w:val="23"/>
          <w:szCs w:val="23"/>
          <w:highlight w:val="none"/>
        </w:rPr>
        <w:t>,签字代</w:t>
      </w:r>
      <w:r>
        <w:rPr>
          <w:rFonts w:hint="eastAsia" w:ascii="宋体" w:hAnsi="宋体" w:eastAsia="宋体" w:cs="宋体"/>
          <w:spacing w:val="10"/>
          <w:sz w:val="23"/>
          <w:szCs w:val="23"/>
          <w:highlight w:val="none"/>
        </w:rPr>
        <w:t>表</w:t>
      </w:r>
      <w:r>
        <w:rPr>
          <w:rFonts w:hint="eastAsia" w:ascii="宋体" w:hAnsi="宋体" w:eastAsia="宋体" w:cs="宋体"/>
          <w:spacing w:val="-92"/>
          <w:sz w:val="23"/>
          <w:szCs w:val="23"/>
          <w:highlight w:val="none"/>
        </w:rPr>
        <w:t xml:space="preserve"> </w:t>
      </w:r>
      <w:r>
        <w:rPr>
          <w:rFonts w:hint="eastAsia" w:ascii="宋体" w:hAnsi="宋体" w:eastAsia="宋体" w:cs="宋体"/>
          <w:spacing w:val="-66"/>
          <w:sz w:val="23"/>
          <w:szCs w:val="23"/>
          <w:highlight w:val="none"/>
          <w:u w:val="single" w:color="auto"/>
        </w:rPr>
        <w:t xml:space="preserve"> </w:t>
      </w:r>
      <w:r>
        <w:rPr>
          <w:rFonts w:hint="eastAsia" w:ascii="宋体" w:hAnsi="宋体" w:eastAsia="宋体" w:cs="宋体"/>
          <w:b/>
          <w:bCs/>
          <w:spacing w:val="10"/>
          <w:sz w:val="23"/>
          <w:szCs w:val="23"/>
          <w:highlight w:val="none"/>
          <w:u w:val="single" w:color="auto"/>
        </w:rPr>
        <w:t>(</w:t>
      </w:r>
      <w:r>
        <w:rPr>
          <w:rFonts w:hint="eastAsia" w:ascii="宋体" w:hAnsi="宋体" w:eastAsia="宋体" w:cs="宋体"/>
          <w:spacing w:val="-52"/>
          <w:sz w:val="23"/>
          <w:szCs w:val="23"/>
          <w:highlight w:val="none"/>
          <w:u w:val="single" w:color="auto"/>
        </w:rPr>
        <w:t xml:space="preserve"> </w:t>
      </w:r>
      <w:r>
        <w:rPr>
          <w:rFonts w:hint="eastAsia" w:ascii="宋体" w:hAnsi="宋体" w:eastAsia="宋体" w:cs="宋体"/>
          <w:b/>
          <w:bCs/>
          <w:spacing w:val="10"/>
          <w:sz w:val="23"/>
          <w:szCs w:val="23"/>
          <w:highlight w:val="none"/>
          <w:u w:val="single" w:color="auto"/>
        </w:rPr>
        <w:t>全</w:t>
      </w:r>
      <w:r>
        <w:rPr>
          <w:rFonts w:hint="eastAsia" w:ascii="宋体" w:hAnsi="宋体" w:eastAsia="宋体" w:cs="宋体"/>
          <w:spacing w:val="-49"/>
          <w:sz w:val="23"/>
          <w:szCs w:val="23"/>
          <w:highlight w:val="none"/>
          <w:u w:val="single" w:color="auto"/>
        </w:rPr>
        <w:t xml:space="preserve"> </w:t>
      </w:r>
      <w:r>
        <w:rPr>
          <w:rFonts w:hint="eastAsia" w:ascii="宋体" w:hAnsi="宋体" w:eastAsia="宋体" w:cs="宋体"/>
          <w:b/>
          <w:bCs/>
          <w:spacing w:val="10"/>
          <w:sz w:val="23"/>
          <w:szCs w:val="23"/>
          <w:highlight w:val="none"/>
          <w:u w:val="single" w:color="auto"/>
        </w:rPr>
        <w:t>名</w:t>
      </w:r>
      <w:r>
        <w:rPr>
          <w:rFonts w:hint="eastAsia" w:ascii="宋体" w:hAnsi="宋体" w:eastAsia="宋体" w:cs="宋体"/>
          <w:b/>
          <w:bCs/>
          <w:spacing w:val="10"/>
          <w:sz w:val="23"/>
          <w:szCs w:val="23"/>
          <w:highlight w:val="none"/>
        </w:rPr>
        <w:t>)</w:t>
      </w:r>
      <w:r>
        <w:rPr>
          <w:rFonts w:hint="eastAsia" w:ascii="宋体" w:hAnsi="宋体" w:eastAsia="宋体" w:cs="宋体"/>
          <w:spacing w:val="10"/>
          <w:sz w:val="23"/>
          <w:szCs w:val="23"/>
          <w:highlight w:val="none"/>
        </w:rPr>
        <w:t xml:space="preserve"> 经正式授权并代</w:t>
      </w:r>
    </w:p>
    <w:p>
      <w:pPr>
        <w:spacing w:line="218" w:lineRule="auto"/>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 xml:space="preserve">表供应商 </w:t>
      </w:r>
      <w:r>
        <w:rPr>
          <w:rFonts w:hint="eastAsia" w:ascii="宋体" w:hAnsi="宋体" w:eastAsia="宋体" w:cs="宋体"/>
          <w:b/>
          <w:bCs/>
          <w:spacing w:val="8"/>
          <w:sz w:val="23"/>
          <w:szCs w:val="23"/>
          <w:highlight w:val="none"/>
        </w:rPr>
        <w:t>(</w:t>
      </w:r>
      <w:r>
        <w:rPr>
          <w:rFonts w:hint="eastAsia" w:ascii="宋体" w:hAnsi="宋体" w:eastAsia="宋体" w:cs="宋体"/>
          <w:b/>
          <w:bCs/>
          <w:spacing w:val="8"/>
          <w:sz w:val="23"/>
          <w:szCs w:val="23"/>
          <w:highlight w:val="none"/>
          <w:u w:val="single" w:color="auto"/>
        </w:rPr>
        <w:t>供应商名称</w:t>
      </w:r>
      <w:r>
        <w:rPr>
          <w:rFonts w:hint="eastAsia" w:ascii="宋体" w:hAnsi="宋体" w:eastAsia="宋体" w:cs="宋体"/>
          <w:b/>
          <w:bCs/>
          <w:spacing w:val="8"/>
          <w:sz w:val="23"/>
          <w:szCs w:val="23"/>
          <w:highlight w:val="none"/>
        </w:rPr>
        <w:t>)</w:t>
      </w:r>
      <w:r>
        <w:rPr>
          <w:rFonts w:hint="eastAsia" w:ascii="宋体" w:hAnsi="宋体" w:eastAsia="宋体" w:cs="宋体"/>
          <w:spacing w:val="-43"/>
          <w:sz w:val="23"/>
          <w:szCs w:val="23"/>
          <w:highlight w:val="none"/>
        </w:rPr>
        <w:t xml:space="preserve"> </w:t>
      </w:r>
      <w:r>
        <w:rPr>
          <w:rFonts w:hint="eastAsia" w:ascii="宋体" w:hAnsi="宋体" w:eastAsia="宋体" w:cs="宋体"/>
          <w:spacing w:val="8"/>
          <w:sz w:val="23"/>
          <w:szCs w:val="23"/>
          <w:highlight w:val="none"/>
        </w:rPr>
        <w:t>提交响应文件一份，并对之负法律责任。</w:t>
      </w:r>
    </w:p>
    <w:p>
      <w:pPr>
        <w:pStyle w:val="7"/>
        <w:spacing w:line="243" w:lineRule="auto"/>
        <w:rPr>
          <w:rFonts w:hint="eastAsia" w:ascii="宋体" w:hAnsi="宋体" w:eastAsia="宋体" w:cs="宋体"/>
          <w:highlight w:val="none"/>
        </w:rPr>
      </w:pPr>
    </w:p>
    <w:p>
      <w:pPr>
        <w:spacing w:before="76" w:line="218" w:lineRule="auto"/>
        <w:ind w:left="749"/>
        <w:rPr>
          <w:rFonts w:hint="eastAsia" w:ascii="宋体" w:hAnsi="宋体" w:eastAsia="宋体" w:cs="宋体"/>
          <w:sz w:val="23"/>
          <w:szCs w:val="23"/>
          <w:highlight w:val="none"/>
        </w:rPr>
      </w:pPr>
      <w:r>
        <w:rPr>
          <w:rFonts w:hint="eastAsia" w:ascii="宋体" w:hAnsi="宋体" w:eastAsia="宋体" w:cs="宋体"/>
          <w:sz w:val="23"/>
          <w:szCs w:val="23"/>
          <w:highlight w:val="none"/>
        </w:rPr>
        <w:t>1)</w:t>
      </w:r>
      <w:r>
        <w:rPr>
          <w:rFonts w:hint="eastAsia" w:ascii="宋体" w:hAnsi="宋体" w:eastAsia="宋体" w:cs="宋体"/>
          <w:spacing w:val="74"/>
          <w:sz w:val="23"/>
          <w:szCs w:val="23"/>
          <w:highlight w:val="none"/>
        </w:rPr>
        <w:t xml:space="preserve"> </w:t>
      </w:r>
      <w:r>
        <w:rPr>
          <w:rFonts w:hint="eastAsia" w:ascii="宋体" w:hAnsi="宋体" w:eastAsia="宋体" w:cs="宋体"/>
          <w:sz w:val="23"/>
          <w:szCs w:val="23"/>
          <w:highlight w:val="none"/>
        </w:rPr>
        <w:t>报价一览表</w:t>
      </w:r>
    </w:p>
    <w:p>
      <w:pPr>
        <w:spacing w:before="309" w:line="219" w:lineRule="auto"/>
        <w:ind w:left="749"/>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2)</w:t>
      </w:r>
      <w:r>
        <w:rPr>
          <w:rFonts w:hint="eastAsia" w:ascii="宋体" w:hAnsi="宋体" w:eastAsia="宋体" w:cs="宋体"/>
          <w:spacing w:val="103"/>
          <w:sz w:val="23"/>
          <w:szCs w:val="23"/>
          <w:highlight w:val="none"/>
        </w:rPr>
        <w:t xml:space="preserve"> </w:t>
      </w:r>
      <w:r>
        <w:rPr>
          <w:rFonts w:hint="eastAsia" w:ascii="宋体" w:hAnsi="宋体" w:eastAsia="宋体" w:cs="宋体"/>
          <w:spacing w:val="8"/>
          <w:sz w:val="23"/>
          <w:szCs w:val="23"/>
          <w:highlight w:val="none"/>
        </w:rPr>
        <w:t>按竞争性磋商文件供应商须知和商务/技术条款要求提供的有关文件</w:t>
      </w:r>
    </w:p>
    <w:p>
      <w:pPr>
        <w:pStyle w:val="7"/>
        <w:spacing w:line="252" w:lineRule="auto"/>
        <w:rPr>
          <w:rFonts w:hint="eastAsia" w:ascii="宋体" w:hAnsi="宋体" w:eastAsia="宋体" w:cs="宋体"/>
          <w:highlight w:val="none"/>
        </w:rPr>
      </w:pPr>
    </w:p>
    <w:p>
      <w:pPr>
        <w:spacing w:before="75" w:line="219" w:lineRule="auto"/>
        <w:ind w:left="749"/>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3)</w:t>
      </w:r>
      <w:r>
        <w:rPr>
          <w:rFonts w:hint="eastAsia" w:ascii="宋体" w:hAnsi="宋体" w:eastAsia="宋体" w:cs="宋体"/>
          <w:spacing w:val="88"/>
          <w:sz w:val="23"/>
          <w:szCs w:val="23"/>
          <w:highlight w:val="none"/>
        </w:rPr>
        <w:t xml:space="preserve"> </w:t>
      </w:r>
      <w:r>
        <w:rPr>
          <w:rFonts w:hint="eastAsia" w:ascii="宋体" w:hAnsi="宋体" w:eastAsia="宋体" w:cs="宋体"/>
          <w:spacing w:val="3"/>
          <w:sz w:val="23"/>
          <w:szCs w:val="23"/>
          <w:highlight w:val="none"/>
        </w:rPr>
        <w:t>服务方案</w:t>
      </w:r>
    </w:p>
    <w:p>
      <w:pPr>
        <w:pStyle w:val="7"/>
        <w:spacing w:line="250" w:lineRule="auto"/>
        <w:rPr>
          <w:rFonts w:hint="eastAsia" w:ascii="宋体" w:hAnsi="宋体" w:eastAsia="宋体" w:cs="宋体"/>
          <w:highlight w:val="none"/>
        </w:rPr>
      </w:pPr>
    </w:p>
    <w:p>
      <w:pPr>
        <w:spacing w:before="75" w:line="600" w:lineRule="exact"/>
        <w:ind w:left="749"/>
        <w:rPr>
          <w:rFonts w:hint="eastAsia" w:ascii="宋体" w:hAnsi="宋体" w:eastAsia="宋体" w:cs="宋体"/>
          <w:sz w:val="23"/>
          <w:szCs w:val="23"/>
          <w:highlight w:val="none"/>
        </w:rPr>
      </w:pPr>
      <w:r>
        <w:rPr>
          <w:rFonts w:hint="eastAsia" w:ascii="宋体" w:hAnsi="宋体" w:eastAsia="宋体" w:cs="宋体"/>
          <w:spacing w:val="2"/>
          <w:position w:val="28"/>
          <w:sz w:val="23"/>
          <w:szCs w:val="23"/>
          <w:highlight w:val="none"/>
        </w:rPr>
        <w:t>4)</w:t>
      </w:r>
      <w:r>
        <w:rPr>
          <w:rFonts w:hint="eastAsia" w:ascii="宋体" w:hAnsi="宋体" w:eastAsia="宋体" w:cs="宋体"/>
          <w:spacing w:val="87"/>
          <w:position w:val="28"/>
          <w:sz w:val="23"/>
          <w:szCs w:val="23"/>
          <w:highlight w:val="none"/>
        </w:rPr>
        <w:t xml:space="preserve"> </w:t>
      </w:r>
      <w:r>
        <w:rPr>
          <w:rFonts w:hint="eastAsia" w:ascii="宋体" w:hAnsi="宋体" w:eastAsia="宋体" w:cs="宋体"/>
          <w:spacing w:val="2"/>
          <w:position w:val="28"/>
          <w:sz w:val="23"/>
          <w:szCs w:val="23"/>
          <w:highlight w:val="none"/>
        </w:rPr>
        <w:t>资格证明文件</w:t>
      </w:r>
    </w:p>
    <w:p>
      <w:pPr>
        <w:spacing w:line="219" w:lineRule="auto"/>
        <w:ind w:left="749"/>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5)</w:t>
      </w:r>
      <w:r>
        <w:rPr>
          <w:rFonts w:hint="eastAsia" w:ascii="宋体" w:hAnsi="宋体" w:eastAsia="宋体" w:cs="宋体"/>
          <w:spacing w:val="94"/>
          <w:sz w:val="23"/>
          <w:szCs w:val="23"/>
          <w:highlight w:val="none"/>
        </w:rPr>
        <w:t xml:space="preserve"> </w:t>
      </w:r>
      <w:r>
        <w:rPr>
          <w:rFonts w:hint="eastAsia" w:ascii="宋体" w:hAnsi="宋体" w:eastAsia="宋体" w:cs="宋体"/>
          <w:spacing w:val="2"/>
          <w:sz w:val="23"/>
          <w:szCs w:val="23"/>
          <w:highlight w:val="none"/>
        </w:rPr>
        <w:t>磋商承诺函</w:t>
      </w:r>
    </w:p>
    <w:p>
      <w:pPr>
        <w:pStyle w:val="7"/>
        <w:spacing w:line="269" w:lineRule="auto"/>
        <w:rPr>
          <w:rFonts w:hint="eastAsia" w:ascii="宋体" w:hAnsi="宋体" w:eastAsia="宋体" w:cs="宋体"/>
          <w:highlight w:val="none"/>
        </w:rPr>
      </w:pPr>
    </w:p>
    <w:p>
      <w:pPr>
        <w:spacing w:before="75" w:line="219" w:lineRule="auto"/>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据此函，签字代表宣布同意如下：</w:t>
      </w:r>
    </w:p>
    <w:p>
      <w:pPr>
        <w:pStyle w:val="7"/>
        <w:spacing w:line="371" w:lineRule="auto"/>
        <w:rPr>
          <w:rFonts w:hint="eastAsia" w:ascii="宋体" w:hAnsi="宋体" w:eastAsia="宋体" w:cs="宋体"/>
          <w:highlight w:val="none"/>
        </w:rPr>
      </w:pPr>
    </w:p>
    <w:p>
      <w:pPr>
        <w:spacing w:before="76" w:line="219" w:lineRule="auto"/>
        <w:ind w:right="22"/>
        <w:jc w:val="right"/>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1)如果我们的响应文件被接受，我们将按竞争性磋商文件的规定签订并严格履行合</w:t>
      </w:r>
    </w:p>
    <w:p>
      <w:pPr>
        <w:spacing w:before="307" w:line="219" w:lineRule="auto"/>
        <w:ind w:left="749"/>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同中的责任和义务。</w:t>
      </w:r>
    </w:p>
    <w:p>
      <w:pPr>
        <w:pStyle w:val="7"/>
        <w:spacing w:line="269" w:lineRule="auto"/>
        <w:rPr>
          <w:rFonts w:hint="eastAsia" w:ascii="宋体" w:hAnsi="宋体" w:eastAsia="宋体" w:cs="宋体"/>
          <w:highlight w:val="none"/>
        </w:rPr>
      </w:pPr>
    </w:p>
    <w:p>
      <w:pPr>
        <w:spacing w:before="75" w:line="600" w:lineRule="exact"/>
        <w:ind w:right="20"/>
        <w:jc w:val="right"/>
        <w:rPr>
          <w:rFonts w:hint="eastAsia" w:ascii="宋体" w:hAnsi="宋体" w:eastAsia="宋体" w:cs="宋体"/>
          <w:sz w:val="23"/>
          <w:szCs w:val="23"/>
          <w:highlight w:val="none"/>
        </w:rPr>
      </w:pPr>
      <w:r>
        <w:rPr>
          <w:rFonts w:hint="eastAsia" w:ascii="宋体" w:hAnsi="宋体" w:eastAsia="宋体" w:cs="宋体"/>
          <w:spacing w:val="11"/>
          <w:position w:val="28"/>
          <w:sz w:val="23"/>
          <w:szCs w:val="23"/>
          <w:highlight w:val="none"/>
        </w:rPr>
        <w:t>2)供应商已详细审查全部竞争性磋商文件，包括修改文件以及全部参考资料和有关</w:t>
      </w:r>
    </w:p>
    <w:p>
      <w:pPr>
        <w:spacing w:before="1" w:line="218" w:lineRule="auto"/>
        <w:ind w:left="429"/>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附件。我们完全理解并同意放弃对这方面有不明及误解的权力。</w:t>
      </w:r>
    </w:p>
    <w:p>
      <w:pPr>
        <w:pStyle w:val="7"/>
        <w:rPr>
          <w:rFonts w:hint="eastAsia" w:ascii="宋体" w:hAnsi="宋体" w:eastAsia="宋体" w:cs="宋体"/>
          <w:highlight w:val="none"/>
        </w:rPr>
      </w:pPr>
    </w:p>
    <w:p>
      <w:pPr>
        <w:spacing w:before="76" w:line="219" w:lineRule="auto"/>
        <w:ind w:left="359"/>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3)本磋商自开标日起有效期为</w:t>
      </w:r>
      <w:r>
        <w:rPr>
          <w:rFonts w:hint="eastAsia" w:ascii="宋体" w:hAnsi="宋体" w:eastAsia="宋体" w:cs="宋体"/>
          <w:spacing w:val="2"/>
          <w:sz w:val="23"/>
          <w:szCs w:val="23"/>
          <w:highlight w:val="none"/>
          <w:u w:val="single" w:color="auto"/>
        </w:rPr>
        <w:t xml:space="preserve">        </w:t>
      </w:r>
      <w:r>
        <w:rPr>
          <w:rFonts w:hint="eastAsia" w:ascii="宋体" w:hAnsi="宋体" w:eastAsia="宋体" w:cs="宋体"/>
          <w:spacing w:val="-74"/>
          <w:sz w:val="23"/>
          <w:szCs w:val="23"/>
          <w:highlight w:val="none"/>
        </w:rPr>
        <w:t xml:space="preserve"> </w:t>
      </w:r>
      <w:r>
        <w:rPr>
          <w:rFonts w:hint="eastAsia" w:ascii="宋体" w:hAnsi="宋体" w:eastAsia="宋体" w:cs="宋体"/>
          <w:spacing w:val="6"/>
          <w:sz w:val="23"/>
          <w:szCs w:val="23"/>
          <w:highlight w:val="none"/>
        </w:rPr>
        <w:t>日历</w:t>
      </w:r>
      <w:r>
        <w:rPr>
          <w:rFonts w:hint="eastAsia" w:ascii="宋体" w:hAnsi="宋体" w:eastAsia="宋体" w:cs="宋体"/>
          <w:spacing w:val="6"/>
          <w:sz w:val="23"/>
          <w:szCs w:val="23"/>
          <w:highlight w:val="none"/>
          <w:lang w:val="en-US" w:eastAsia="zh-CN"/>
        </w:rPr>
        <w:t>天</w:t>
      </w:r>
      <w:r>
        <w:rPr>
          <w:rFonts w:hint="eastAsia" w:ascii="宋体" w:hAnsi="宋体" w:eastAsia="宋体" w:cs="宋体"/>
          <w:spacing w:val="6"/>
          <w:sz w:val="23"/>
          <w:szCs w:val="23"/>
          <w:highlight w:val="none"/>
        </w:rPr>
        <w:t>。</w:t>
      </w:r>
    </w:p>
    <w:p>
      <w:pPr>
        <w:pStyle w:val="7"/>
        <w:spacing w:line="261" w:lineRule="auto"/>
        <w:rPr>
          <w:rFonts w:hint="eastAsia" w:ascii="宋体" w:hAnsi="宋体" w:eastAsia="宋体" w:cs="宋体"/>
          <w:highlight w:val="none"/>
        </w:rPr>
      </w:pPr>
    </w:p>
    <w:p>
      <w:pPr>
        <w:spacing w:before="75" w:line="600" w:lineRule="exact"/>
        <w:ind w:right="16"/>
        <w:jc w:val="right"/>
        <w:rPr>
          <w:rFonts w:hint="eastAsia" w:ascii="宋体" w:hAnsi="宋体" w:eastAsia="宋体" w:cs="宋体"/>
          <w:sz w:val="23"/>
          <w:szCs w:val="23"/>
          <w:highlight w:val="none"/>
        </w:rPr>
      </w:pPr>
      <w:r>
        <w:rPr>
          <w:rFonts w:hint="eastAsia" w:ascii="宋体" w:hAnsi="宋体" w:eastAsia="宋体" w:cs="宋体"/>
          <w:spacing w:val="11"/>
          <w:position w:val="28"/>
          <w:sz w:val="23"/>
          <w:szCs w:val="23"/>
          <w:highlight w:val="none"/>
        </w:rPr>
        <w:t>4)如果在规定的开标时间后，供应商在磋商有效期内撤回磋商响应文件，该供应商</w:t>
      </w:r>
    </w:p>
    <w:p>
      <w:pPr>
        <w:spacing w:before="1" w:line="219" w:lineRule="auto"/>
        <w:ind w:left="429"/>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将被视为非诚信单位并列入黑名单。</w:t>
      </w:r>
    </w:p>
    <w:p>
      <w:pPr>
        <w:pStyle w:val="7"/>
        <w:spacing w:line="249" w:lineRule="auto"/>
        <w:rPr>
          <w:rFonts w:hint="eastAsia" w:ascii="宋体" w:hAnsi="宋体" w:eastAsia="宋体" w:cs="宋体"/>
          <w:highlight w:val="none"/>
        </w:rPr>
      </w:pPr>
    </w:p>
    <w:p>
      <w:pPr>
        <w:spacing w:before="75" w:line="600" w:lineRule="exact"/>
        <w:ind w:right="26"/>
        <w:jc w:val="right"/>
        <w:rPr>
          <w:rFonts w:hint="eastAsia" w:ascii="宋体" w:hAnsi="宋体" w:eastAsia="宋体" w:cs="宋体"/>
          <w:sz w:val="23"/>
          <w:szCs w:val="23"/>
          <w:highlight w:val="none"/>
        </w:rPr>
      </w:pPr>
      <w:r>
        <w:rPr>
          <w:rFonts w:hint="eastAsia" w:ascii="宋体" w:hAnsi="宋体" w:eastAsia="宋体" w:cs="宋体"/>
          <w:spacing w:val="11"/>
          <w:position w:val="28"/>
          <w:sz w:val="23"/>
          <w:szCs w:val="23"/>
          <w:highlight w:val="none"/>
        </w:rPr>
        <w:t>5)供应商承诺，与采购方聘请的为此项目提供咨询服务及任何附属机构均无关联，</w:t>
      </w:r>
    </w:p>
    <w:p>
      <w:pPr>
        <w:spacing w:before="1" w:line="218" w:lineRule="auto"/>
        <w:ind w:left="429"/>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非采购方的附属机构。</w:t>
      </w:r>
    </w:p>
    <w:p>
      <w:pPr>
        <w:pStyle w:val="7"/>
        <w:spacing w:line="251" w:lineRule="auto"/>
        <w:rPr>
          <w:rFonts w:hint="eastAsia" w:ascii="宋体" w:hAnsi="宋体" w:eastAsia="宋体" w:cs="宋体"/>
          <w:highlight w:val="none"/>
        </w:rPr>
      </w:pPr>
    </w:p>
    <w:p>
      <w:pPr>
        <w:spacing w:before="75" w:line="482" w:lineRule="auto"/>
        <w:ind w:left="429" w:right="22" w:hanging="70"/>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6)供应商同意提供按照贵方可能要求的与其磋商有关的一切数据或资料，完全理解</w:t>
      </w:r>
      <w:r>
        <w:rPr>
          <w:rFonts w:hint="eastAsia" w:ascii="宋体" w:hAnsi="宋体" w:eastAsia="宋体" w:cs="宋体"/>
          <w:spacing w:val="10"/>
          <w:sz w:val="23"/>
          <w:szCs w:val="23"/>
          <w:highlight w:val="none"/>
        </w:rPr>
        <w:t xml:space="preserve"> 贵方不一定接受最低价的磋商或收到的任何磋商。若</w:t>
      </w:r>
      <w:r>
        <w:rPr>
          <w:rFonts w:hint="eastAsia" w:ascii="宋体" w:hAnsi="宋体" w:eastAsia="宋体" w:cs="宋体"/>
          <w:spacing w:val="9"/>
          <w:sz w:val="23"/>
          <w:szCs w:val="23"/>
          <w:highlight w:val="none"/>
        </w:rPr>
        <w:t>响应文件在偏差表上没有体现</w:t>
      </w:r>
    </w:p>
    <w:p>
      <w:pPr>
        <w:spacing w:line="219" w:lineRule="auto"/>
        <w:ind w:left="429"/>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的条款，我方完全同意按照竞争性磋商文件的要求执行。</w:t>
      </w:r>
    </w:p>
    <w:p>
      <w:pPr>
        <w:spacing w:line="219" w:lineRule="auto"/>
        <w:rPr>
          <w:rFonts w:hint="eastAsia" w:ascii="宋体" w:hAnsi="宋体" w:eastAsia="宋体" w:cs="宋体"/>
          <w:sz w:val="23"/>
          <w:szCs w:val="23"/>
          <w:highlight w:val="none"/>
        </w:rPr>
        <w:sectPr>
          <w:footerReference r:id="rId13" w:type="default"/>
          <w:pgSz w:w="11910" w:h="16840"/>
          <w:pgMar w:top="1431" w:right="1408" w:bottom="1203" w:left="1420" w:header="0" w:footer="974" w:gutter="0"/>
          <w:pgNumType w:fmt="decimal"/>
          <w:cols w:space="720" w:num="1"/>
        </w:sectPr>
      </w:pPr>
    </w:p>
    <w:p>
      <w:pPr>
        <w:spacing w:before="216" w:line="219" w:lineRule="auto"/>
        <w:ind w:left="369"/>
        <w:rPr>
          <w:rFonts w:hint="eastAsia" w:ascii="宋体" w:hAnsi="宋体" w:eastAsia="宋体" w:cs="宋体"/>
          <w:sz w:val="23"/>
          <w:szCs w:val="23"/>
          <w:highlight w:val="none"/>
        </w:rPr>
      </w:pPr>
      <w:r>
        <w:rPr>
          <w:rFonts w:hint="eastAsia" w:ascii="宋体" w:hAnsi="宋体" w:eastAsia="宋体" w:cs="宋体"/>
          <w:spacing w:val="10"/>
          <w:sz w:val="23"/>
          <w:szCs w:val="23"/>
          <w:highlight w:val="none"/>
        </w:rPr>
        <w:t>7)与本磋商有关的一切正式往来请寄：</w:t>
      </w:r>
    </w:p>
    <w:p>
      <w:pPr>
        <w:pStyle w:val="7"/>
        <w:spacing w:line="283" w:lineRule="auto"/>
        <w:rPr>
          <w:rFonts w:hint="eastAsia" w:ascii="宋体" w:hAnsi="宋体" w:eastAsia="宋体" w:cs="宋体"/>
          <w:highlight w:val="none"/>
        </w:rPr>
      </w:pPr>
    </w:p>
    <w:p>
      <w:pPr>
        <w:pStyle w:val="7"/>
        <w:spacing w:line="283" w:lineRule="auto"/>
        <w:rPr>
          <w:rFonts w:hint="eastAsia" w:ascii="宋体" w:hAnsi="宋体" w:eastAsia="宋体" w:cs="宋体"/>
          <w:highlight w:val="none"/>
        </w:rPr>
      </w:pPr>
    </w:p>
    <w:p>
      <w:pPr>
        <w:pStyle w:val="7"/>
        <w:spacing w:line="283" w:lineRule="auto"/>
        <w:rPr>
          <w:rFonts w:hint="eastAsia" w:ascii="宋体" w:hAnsi="宋体" w:eastAsia="宋体" w:cs="宋体"/>
          <w:highlight w:val="none"/>
        </w:rPr>
      </w:pPr>
    </w:p>
    <w:p>
      <w:pPr>
        <w:spacing w:before="75" w:line="229" w:lineRule="auto"/>
        <w:rPr>
          <w:rFonts w:hint="eastAsia" w:ascii="宋体" w:hAnsi="宋体" w:eastAsia="宋体" w:cs="宋体"/>
          <w:sz w:val="23"/>
          <w:szCs w:val="23"/>
          <w:highlight w:val="none"/>
        </w:rPr>
      </w:pPr>
      <w:r>
        <w:rPr>
          <w:rFonts w:hint="eastAsia" w:ascii="宋体" w:hAnsi="宋体" w:eastAsia="宋体" w:cs="宋体"/>
          <w:spacing w:val="-14"/>
          <w:sz w:val="23"/>
          <w:szCs w:val="23"/>
          <w:highlight w:val="none"/>
        </w:rPr>
        <w:t>地址：</w:t>
      </w:r>
    </w:p>
    <w:p>
      <w:pPr>
        <w:spacing w:before="303" w:line="226" w:lineRule="auto"/>
        <w:rPr>
          <w:rFonts w:hint="eastAsia" w:ascii="宋体" w:hAnsi="宋体" w:eastAsia="宋体" w:cs="宋体"/>
          <w:sz w:val="23"/>
          <w:szCs w:val="23"/>
          <w:highlight w:val="none"/>
        </w:rPr>
      </w:pPr>
      <w:r>
        <w:rPr>
          <w:rFonts w:hint="eastAsia" w:ascii="宋体" w:hAnsi="宋体" w:eastAsia="宋体" w:cs="宋体"/>
          <w:spacing w:val="-30"/>
          <w:sz w:val="23"/>
          <w:szCs w:val="23"/>
          <w:highlight w:val="none"/>
        </w:rPr>
        <w:t>邮政编码：</w:t>
      </w:r>
      <w:r>
        <w:rPr>
          <w:rFonts w:hint="eastAsia" w:ascii="宋体" w:hAnsi="宋体" w:eastAsia="宋体" w:cs="宋体"/>
          <w:spacing w:val="3"/>
          <w:sz w:val="23"/>
          <w:szCs w:val="23"/>
          <w:highlight w:val="none"/>
        </w:rPr>
        <w:t xml:space="preserve">                          </w:t>
      </w:r>
      <w:r>
        <w:rPr>
          <w:rFonts w:hint="eastAsia" w:ascii="宋体" w:hAnsi="宋体" w:eastAsia="宋体" w:cs="宋体"/>
          <w:spacing w:val="-30"/>
          <w:sz w:val="23"/>
          <w:szCs w:val="23"/>
          <w:highlight w:val="none"/>
        </w:rPr>
        <w:t>电话：</w:t>
      </w:r>
      <w:r>
        <w:rPr>
          <w:rFonts w:hint="eastAsia" w:ascii="宋体" w:hAnsi="宋体" w:eastAsia="宋体" w:cs="宋体"/>
          <w:spacing w:val="2"/>
          <w:sz w:val="23"/>
          <w:szCs w:val="23"/>
          <w:highlight w:val="none"/>
        </w:rPr>
        <w:t xml:space="preserve">                      </w:t>
      </w:r>
      <w:r>
        <w:rPr>
          <w:rFonts w:hint="eastAsia" w:ascii="宋体" w:hAnsi="宋体" w:eastAsia="宋体" w:cs="宋体"/>
          <w:spacing w:val="-30"/>
          <w:sz w:val="23"/>
          <w:szCs w:val="23"/>
          <w:highlight w:val="none"/>
        </w:rPr>
        <w:t>传真：</w:t>
      </w:r>
    </w:p>
    <w:p>
      <w:pPr>
        <w:pStyle w:val="7"/>
        <w:rPr>
          <w:rFonts w:hint="eastAsia" w:ascii="宋体" w:hAnsi="宋体" w:eastAsia="宋体" w:cs="宋体"/>
          <w:highlight w:val="none"/>
        </w:rPr>
      </w:pPr>
    </w:p>
    <w:p>
      <w:pPr>
        <w:pStyle w:val="7"/>
        <w:rPr>
          <w:rFonts w:hint="eastAsia" w:ascii="宋体" w:hAnsi="宋体" w:eastAsia="宋体" w:cs="宋体"/>
          <w:highlight w:val="none"/>
        </w:rPr>
      </w:pPr>
    </w:p>
    <w:p>
      <w:pPr>
        <w:pStyle w:val="7"/>
        <w:spacing w:line="241" w:lineRule="auto"/>
        <w:rPr>
          <w:rFonts w:hint="eastAsia" w:ascii="宋体" w:hAnsi="宋体" w:eastAsia="宋体" w:cs="宋体"/>
          <w:highlight w:val="none"/>
        </w:rPr>
      </w:pPr>
    </w:p>
    <w:p>
      <w:pPr>
        <w:pStyle w:val="7"/>
        <w:spacing w:line="241" w:lineRule="auto"/>
        <w:rPr>
          <w:rFonts w:hint="eastAsia" w:ascii="宋体" w:hAnsi="宋体" w:eastAsia="宋体" w:cs="宋体"/>
          <w:highlight w:val="none"/>
        </w:rPr>
      </w:pPr>
    </w:p>
    <w:p>
      <w:pPr>
        <w:pStyle w:val="7"/>
        <w:spacing w:line="241" w:lineRule="auto"/>
        <w:rPr>
          <w:rFonts w:hint="eastAsia" w:ascii="宋体" w:hAnsi="宋体" w:eastAsia="宋体" w:cs="宋体"/>
          <w:highlight w:val="none"/>
        </w:rPr>
      </w:pPr>
    </w:p>
    <w:p>
      <w:pPr>
        <w:pStyle w:val="7"/>
        <w:spacing w:line="241" w:lineRule="auto"/>
        <w:rPr>
          <w:rFonts w:hint="eastAsia" w:ascii="宋体" w:hAnsi="宋体" w:eastAsia="宋体" w:cs="宋体"/>
          <w:highlight w:val="none"/>
        </w:rPr>
      </w:pPr>
    </w:p>
    <w:p>
      <w:pPr>
        <w:spacing w:before="74" w:line="600" w:lineRule="exact"/>
        <w:rPr>
          <w:rFonts w:hint="eastAsia" w:ascii="宋体" w:hAnsi="宋体" w:eastAsia="宋体" w:cs="宋体"/>
          <w:sz w:val="23"/>
          <w:szCs w:val="23"/>
          <w:highlight w:val="none"/>
        </w:rPr>
      </w:pPr>
      <w:r>
        <w:rPr>
          <w:rFonts w:hint="eastAsia" w:ascii="宋体" w:hAnsi="宋体" w:eastAsia="宋体" w:cs="宋体"/>
          <w:spacing w:val="24"/>
          <w:position w:val="28"/>
          <w:sz w:val="23"/>
          <w:szCs w:val="23"/>
          <w:highlight w:val="none"/>
        </w:rPr>
        <w:t>供应商代表(签字或盖章):</w:t>
      </w:r>
    </w:p>
    <w:p>
      <w:pPr>
        <w:spacing w:before="1" w:line="218" w:lineRule="auto"/>
        <w:rPr>
          <w:rFonts w:hint="eastAsia" w:ascii="宋体" w:hAnsi="宋体" w:eastAsia="宋体" w:cs="宋体"/>
          <w:sz w:val="23"/>
          <w:szCs w:val="23"/>
          <w:highlight w:val="none"/>
        </w:rPr>
      </w:pPr>
      <w:r>
        <w:rPr>
          <w:rFonts w:hint="eastAsia" w:ascii="宋体" w:hAnsi="宋体" w:eastAsia="宋体" w:cs="宋体"/>
          <w:spacing w:val="28"/>
          <w:sz w:val="23"/>
          <w:szCs w:val="23"/>
          <w:highlight w:val="none"/>
        </w:rPr>
        <w:t>供应商名称(公章):</w:t>
      </w:r>
    </w:p>
    <w:p>
      <w:pPr>
        <w:pStyle w:val="7"/>
        <w:spacing w:line="253" w:lineRule="auto"/>
        <w:rPr>
          <w:rFonts w:hint="eastAsia" w:ascii="宋体" w:hAnsi="宋体" w:eastAsia="宋体" w:cs="宋体"/>
          <w:highlight w:val="none"/>
        </w:rPr>
      </w:pPr>
    </w:p>
    <w:p>
      <w:pPr>
        <w:spacing w:before="74" w:line="220" w:lineRule="auto"/>
        <w:rPr>
          <w:rFonts w:hint="eastAsia" w:ascii="宋体" w:hAnsi="宋体" w:eastAsia="宋体" w:cs="宋体"/>
          <w:sz w:val="23"/>
          <w:szCs w:val="23"/>
          <w:highlight w:val="none"/>
        </w:rPr>
      </w:pPr>
      <w:r>
        <w:rPr>
          <w:rFonts w:hint="eastAsia" w:ascii="宋体" w:hAnsi="宋体" w:eastAsia="宋体" w:cs="宋体"/>
          <w:spacing w:val="-15"/>
          <w:sz w:val="23"/>
          <w:szCs w:val="23"/>
          <w:highlight w:val="none"/>
        </w:rPr>
        <w:t>日期：</w:t>
      </w:r>
    </w:p>
    <w:p>
      <w:pPr>
        <w:spacing w:line="220" w:lineRule="auto"/>
        <w:rPr>
          <w:rFonts w:hint="eastAsia" w:ascii="宋体" w:hAnsi="宋体" w:eastAsia="宋体" w:cs="宋体"/>
          <w:sz w:val="23"/>
          <w:szCs w:val="23"/>
          <w:highlight w:val="none"/>
        </w:rPr>
        <w:sectPr>
          <w:footerReference r:id="rId14" w:type="default"/>
          <w:pgSz w:w="11910" w:h="16840"/>
          <w:pgMar w:top="1431" w:right="1786" w:bottom="1202" w:left="1430" w:header="0" w:footer="974" w:gutter="0"/>
          <w:pgNumType w:fmt="decimal"/>
          <w:cols w:space="720" w:num="1"/>
        </w:sectPr>
      </w:pPr>
    </w:p>
    <w:p>
      <w:pPr>
        <w:pStyle w:val="7"/>
        <w:spacing w:line="270" w:lineRule="auto"/>
        <w:rPr>
          <w:rFonts w:hint="eastAsia" w:ascii="宋体" w:hAnsi="宋体" w:eastAsia="宋体" w:cs="宋体"/>
          <w:highlight w:val="none"/>
        </w:rPr>
      </w:pPr>
    </w:p>
    <w:p>
      <w:pPr>
        <w:spacing w:before="91" w:line="218" w:lineRule="auto"/>
        <w:ind w:left="3713"/>
        <w:outlineLvl w:val="9"/>
        <w:rPr>
          <w:rFonts w:hint="eastAsia" w:ascii="宋体" w:hAnsi="宋体" w:eastAsia="宋体" w:cs="宋体"/>
          <w:sz w:val="28"/>
          <w:szCs w:val="28"/>
          <w:highlight w:val="none"/>
        </w:rPr>
      </w:pPr>
      <w:r>
        <w:rPr>
          <w:rFonts w:hint="eastAsia" w:ascii="宋体" w:hAnsi="宋体" w:eastAsia="宋体" w:cs="宋体"/>
          <w:b/>
          <w:bCs/>
          <w:spacing w:val="-6"/>
          <w:sz w:val="28"/>
          <w:szCs w:val="28"/>
          <w:highlight w:val="none"/>
        </w:rPr>
        <w:t>2.报价一览表</w:t>
      </w:r>
    </w:p>
    <w:p>
      <w:pPr>
        <w:spacing w:before="137"/>
        <w:rPr>
          <w:rFonts w:hint="eastAsia" w:ascii="宋体" w:hAnsi="宋体" w:eastAsia="宋体" w:cs="宋体"/>
          <w:highlight w:val="none"/>
        </w:rPr>
      </w:pPr>
    </w:p>
    <w:tbl>
      <w:tblPr>
        <w:tblStyle w:val="30"/>
        <w:tblW w:w="8599" w:type="dxa"/>
        <w:tblInd w:w="239"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2621"/>
        <w:gridCol w:w="597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trPr>
        <w:tc>
          <w:tcPr>
            <w:tcW w:w="2621" w:type="dxa"/>
            <w:vAlign w:val="top"/>
          </w:tcPr>
          <w:p>
            <w:pPr>
              <w:pStyle w:val="31"/>
              <w:spacing w:before="249" w:line="219" w:lineRule="auto"/>
              <w:ind w:left="708"/>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供应商名称</w:t>
            </w:r>
          </w:p>
        </w:tc>
        <w:tc>
          <w:tcPr>
            <w:tcW w:w="5978" w:type="dxa"/>
            <w:vAlign w:val="top"/>
          </w:tcPr>
          <w:p>
            <w:pPr>
              <w:rPr>
                <w:rFonts w:hint="eastAsia" w:ascii="宋体" w:hAnsi="宋体" w:eastAsia="宋体" w:cs="宋体"/>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621" w:type="dxa"/>
            <w:vAlign w:val="top"/>
          </w:tcPr>
          <w:p>
            <w:pPr>
              <w:pStyle w:val="31"/>
              <w:spacing w:before="248" w:line="220" w:lineRule="auto"/>
              <w:ind w:left="828"/>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项目名称</w:t>
            </w:r>
          </w:p>
        </w:tc>
        <w:tc>
          <w:tcPr>
            <w:tcW w:w="5978" w:type="dxa"/>
            <w:vAlign w:val="top"/>
          </w:tcPr>
          <w:p>
            <w:pPr>
              <w:rPr>
                <w:rFonts w:hint="eastAsia" w:ascii="宋体" w:hAnsi="宋体" w:eastAsia="宋体" w:cs="宋体"/>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9" w:hRule="atLeast"/>
        </w:trPr>
        <w:tc>
          <w:tcPr>
            <w:tcW w:w="2621" w:type="dxa"/>
            <w:vAlign w:val="top"/>
          </w:tcPr>
          <w:p>
            <w:pPr>
              <w:pStyle w:val="31"/>
              <w:spacing w:before="278" w:line="219" w:lineRule="auto"/>
              <w:ind w:left="828"/>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项目编号</w:t>
            </w:r>
          </w:p>
        </w:tc>
        <w:tc>
          <w:tcPr>
            <w:tcW w:w="5978" w:type="dxa"/>
            <w:vAlign w:val="top"/>
          </w:tcPr>
          <w:p>
            <w:pPr>
              <w:rPr>
                <w:rFonts w:hint="eastAsia" w:ascii="宋体" w:hAnsi="宋体" w:eastAsia="宋体" w:cs="宋体"/>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6" w:hRule="atLeast"/>
        </w:trPr>
        <w:tc>
          <w:tcPr>
            <w:tcW w:w="2621" w:type="dxa"/>
            <w:vAlign w:val="top"/>
          </w:tcPr>
          <w:p>
            <w:pPr>
              <w:spacing w:line="248" w:lineRule="auto"/>
              <w:rPr>
                <w:rFonts w:hint="eastAsia" w:ascii="宋体" w:hAnsi="宋体" w:eastAsia="宋体" w:cs="宋体"/>
                <w:sz w:val="21"/>
                <w:highlight w:val="none"/>
              </w:rPr>
            </w:pPr>
          </w:p>
          <w:p>
            <w:pPr>
              <w:spacing w:line="248" w:lineRule="auto"/>
              <w:rPr>
                <w:rFonts w:hint="eastAsia" w:ascii="宋体" w:hAnsi="宋体" w:eastAsia="宋体" w:cs="宋体"/>
                <w:sz w:val="21"/>
                <w:highlight w:val="none"/>
              </w:rPr>
            </w:pPr>
          </w:p>
          <w:p>
            <w:pPr>
              <w:spacing w:line="248" w:lineRule="auto"/>
              <w:rPr>
                <w:rFonts w:hint="eastAsia" w:ascii="宋体" w:hAnsi="宋体" w:eastAsia="宋体" w:cs="宋体"/>
                <w:sz w:val="21"/>
                <w:highlight w:val="none"/>
              </w:rPr>
            </w:pPr>
          </w:p>
          <w:p>
            <w:pPr>
              <w:spacing w:line="249" w:lineRule="auto"/>
              <w:rPr>
                <w:rFonts w:hint="eastAsia" w:ascii="宋体" w:hAnsi="宋体" w:eastAsia="宋体" w:cs="宋体"/>
                <w:sz w:val="21"/>
                <w:highlight w:val="none"/>
              </w:rPr>
            </w:pPr>
          </w:p>
          <w:p>
            <w:pPr>
              <w:spacing w:line="249" w:lineRule="auto"/>
              <w:rPr>
                <w:rFonts w:hint="eastAsia" w:ascii="宋体" w:hAnsi="宋体" w:eastAsia="宋体" w:cs="宋体"/>
                <w:sz w:val="21"/>
                <w:highlight w:val="none"/>
              </w:rPr>
            </w:pPr>
          </w:p>
          <w:p>
            <w:pPr>
              <w:pStyle w:val="31"/>
              <w:spacing w:before="78" w:line="218" w:lineRule="auto"/>
              <w:ind w:left="228"/>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磋商总报价(元)</w:t>
            </w:r>
          </w:p>
        </w:tc>
        <w:tc>
          <w:tcPr>
            <w:tcW w:w="5978" w:type="dxa"/>
            <w:vAlign w:val="top"/>
          </w:tcPr>
          <w:p>
            <w:pPr>
              <w:spacing w:line="266" w:lineRule="auto"/>
              <w:rPr>
                <w:rFonts w:hint="eastAsia" w:ascii="宋体" w:hAnsi="宋体" w:eastAsia="宋体" w:cs="宋体"/>
                <w:sz w:val="21"/>
                <w:highlight w:val="none"/>
              </w:rPr>
            </w:pPr>
          </w:p>
          <w:p>
            <w:pPr>
              <w:spacing w:line="267" w:lineRule="auto"/>
              <w:rPr>
                <w:rFonts w:hint="eastAsia" w:ascii="宋体" w:hAnsi="宋体" w:eastAsia="宋体" w:cs="宋体"/>
                <w:sz w:val="21"/>
                <w:highlight w:val="none"/>
              </w:rPr>
            </w:pPr>
          </w:p>
          <w:p>
            <w:pPr>
              <w:pStyle w:val="31"/>
              <w:spacing w:before="78" w:line="220" w:lineRule="auto"/>
              <w:ind w:left="33"/>
              <w:rPr>
                <w:rFonts w:hint="eastAsia" w:ascii="宋体" w:hAnsi="宋体" w:eastAsia="宋体" w:cs="宋体"/>
                <w:sz w:val="24"/>
                <w:szCs w:val="24"/>
                <w:highlight w:val="none"/>
              </w:rPr>
            </w:pPr>
            <w:r>
              <w:rPr>
                <w:rFonts w:hint="eastAsia" w:ascii="宋体" w:hAnsi="宋体" w:eastAsia="宋体" w:cs="宋体"/>
                <w:sz w:val="24"/>
                <w:szCs w:val="24"/>
                <w:highlight w:val="none"/>
              </w:rPr>
              <w:t>大写：</w:t>
            </w:r>
          </w:p>
          <w:p>
            <w:pPr>
              <w:spacing w:line="284" w:lineRule="auto"/>
              <w:rPr>
                <w:rFonts w:hint="eastAsia" w:ascii="宋体" w:hAnsi="宋体" w:eastAsia="宋体" w:cs="宋体"/>
                <w:sz w:val="21"/>
                <w:highlight w:val="none"/>
              </w:rPr>
            </w:pPr>
          </w:p>
          <w:p>
            <w:pPr>
              <w:spacing w:line="284" w:lineRule="auto"/>
              <w:rPr>
                <w:rFonts w:hint="eastAsia" w:ascii="宋体" w:hAnsi="宋体" w:eastAsia="宋体" w:cs="宋体"/>
                <w:sz w:val="21"/>
                <w:highlight w:val="none"/>
              </w:rPr>
            </w:pPr>
          </w:p>
          <w:p>
            <w:pPr>
              <w:spacing w:line="285" w:lineRule="auto"/>
              <w:rPr>
                <w:rFonts w:hint="eastAsia" w:ascii="宋体" w:hAnsi="宋体" w:eastAsia="宋体" w:cs="宋体"/>
                <w:sz w:val="21"/>
                <w:highlight w:val="none"/>
              </w:rPr>
            </w:pPr>
          </w:p>
          <w:p>
            <w:pPr>
              <w:pStyle w:val="31"/>
              <w:spacing w:before="78" w:line="221" w:lineRule="auto"/>
              <w:ind w:left="33"/>
              <w:rPr>
                <w:rFonts w:hint="eastAsia" w:ascii="宋体" w:hAnsi="宋体" w:eastAsia="宋体" w:cs="宋体"/>
                <w:sz w:val="24"/>
                <w:szCs w:val="24"/>
                <w:highlight w:val="none"/>
              </w:rPr>
            </w:pPr>
            <w:r>
              <w:rPr>
                <w:rFonts w:hint="eastAsia" w:ascii="宋体" w:hAnsi="宋体" w:eastAsia="宋体" w:cs="宋体"/>
                <w:sz w:val="24"/>
                <w:szCs w:val="24"/>
                <w:highlight w:val="none"/>
              </w:rPr>
              <w:t>小写：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trPr>
        <w:tc>
          <w:tcPr>
            <w:tcW w:w="2621" w:type="dxa"/>
            <w:vAlign w:val="top"/>
          </w:tcPr>
          <w:p>
            <w:pPr>
              <w:pStyle w:val="31"/>
              <w:spacing w:before="194" w:line="219" w:lineRule="auto"/>
              <w:ind w:left="828"/>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服务期限</w:t>
            </w:r>
          </w:p>
        </w:tc>
        <w:tc>
          <w:tcPr>
            <w:tcW w:w="5978" w:type="dxa"/>
            <w:vAlign w:val="top"/>
          </w:tcPr>
          <w:p>
            <w:pPr>
              <w:rPr>
                <w:rFonts w:hint="eastAsia" w:ascii="宋体" w:hAnsi="宋体" w:eastAsia="宋体" w:cs="宋体"/>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2621" w:type="dxa"/>
            <w:vAlign w:val="top"/>
          </w:tcPr>
          <w:p>
            <w:pPr>
              <w:pStyle w:val="31"/>
              <w:spacing w:before="185" w:line="219" w:lineRule="auto"/>
              <w:ind w:left="828"/>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服务地点</w:t>
            </w:r>
          </w:p>
        </w:tc>
        <w:tc>
          <w:tcPr>
            <w:tcW w:w="5978" w:type="dxa"/>
            <w:vAlign w:val="top"/>
          </w:tcPr>
          <w:p>
            <w:pPr>
              <w:rPr>
                <w:rFonts w:hint="eastAsia" w:ascii="宋体" w:hAnsi="宋体" w:eastAsia="宋体" w:cs="宋体"/>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0" w:hRule="atLeast"/>
        </w:trPr>
        <w:tc>
          <w:tcPr>
            <w:tcW w:w="2621" w:type="dxa"/>
            <w:vAlign w:val="top"/>
          </w:tcPr>
          <w:p>
            <w:pPr>
              <w:pStyle w:val="31"/>
              <w:spacing w:before="187" w:line="220" w:lineRule="auto"/>
              <w:ind w:left="708"/>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磋商有效期</w:t>
            </w:r>
          </w:p>
        </w:tc>
        <w:tc>
          <w:tcPr>
            <w:tcW w:w="5978" w:type="dxa"/>
            <w:vAlign w:val="top"/>
          </w:tcPr>
          <w:p>
            <w:pPr>
              <w:rPr>
                <w:rFonts w:hint="eastAsia" w:ascii="宋体" w:hAnsi="宋体" w:eastAsia="宋体" w:cs="宋体"/>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4" w:hRule="atLeast"/>
        </w:trPr>
        <w:tc>
          <w:tcPr>
            <w:tcW w:w="2621" w:type="dxa"/>
            <w:vAlign w:val="top"/>
          </w:tcPr>
          <w:p>
            <w:pPr>
              <w:pStyle w:val="31"/>
              <w:spacing w:before="186" w:line="219" w:lineRule="auto"/>
              <w:ind w:left="828"/>
              <w:rPr>
                <w:rFonts w:hint="eastAsia" w:ascii="宋体" w:hAnsi="宋体" w:eastAsia="宋体" w:cs="宋体"/>
                <w:sz w:val="24"/>
                <w:szCs w:val="24"/>
                <w:highlight w:val="none"/>
              </w:rPr>
            </w:pPr>
            <w:r>
              <w:rPr>
                <w:rFonts w:hint="eastAsia" w:ascii="宋体" w:hAnsi="宋体" w:eastAsia="宋体" w:cs="宋体"/>
                <w:b/>
                <w:bCs/>
                <w:spacing w:val="2"/>
                <w:sz w:val="24"/>
                <w:szCs w:val="24"/>
                <w:highlight w:val="none"/>
              </w:rPr>
              <w:t>其他声明</w:t>
            </w:r>
          </w:p>
        </w:tc>
        <w:tc>
          <w:tcPr>
            <w:tcW w:w="5978" w:type="dxa"/>
            <w:vAlign w:val="top"/>
          </w:tcPr>
          <w:p>
            <w:pPr>
              <w:rPr>
                <w:rFonts w:hint="eastAsia" w:ascii="宋体" w:hAnsi="宋体" w:eastAsia="宋体" w:cs="宋体"/>
                <w:sz w:val="21"/>
                <w:highlight w:val="none"/>
              </w:rPr>
            </w:pPr>
          </w:p>
        </w:tc>
      </w:tr>
    </w:tbl>
    <w:p>
      <w:pPr>
        <w:spacing w:before="153" w:line="219" w:lineRule="auto"/>
        <w:rPr>
          <w:rFonts w:hint="eastAsia" w:ascii="宋体" w:hAnsi="宋体" w:eastAsia="宋体" w:cs="宋体"/>
          <w:sz w:val="21"/>
          <w:szCs w:val="21"/>
          <w:highlight w:val="none"/>
        </w:rPr>
      </w:pPr>
      <w:r>
        <w:rPr>
          <w:rFonts w:hint="eastAsia" w:ascii="宋体" w:hAnsi="宋体" w:eastAsia="宋体" w:cs="宋体"/>
          <w:spacing w:val="-14"/>
          <w:sz w:val="21"/>
          <w:szCs w:val="21"/>
          <w:highlight w:val="none"/>
        </w:rPr>
        <w:t>说明：</w:t>
      </w:r>
    </w:p>
    <w:p>
      <w:pPr>
        <w:spacing w:before="209" w:line="462" w:lineRule="exact"/>
        <w:ind w:left="439"/>
        <w:rPr>
          <w:rFonts w:hint="eastAsia" w:ascii="宋体" w:hAnsi="宋体" w:eastAsia="宋体" w:cs="宋体"/>
          <w:sz w:val="21"/>
          <w:szCs w:val="21"/>
          <w:highlight w:val="none"/>
        </w:rPr>
      </w:pPr>
      <w:r>
        <w:rPr>
          <w:rFonts w:hint="eastAsia" w:ascii="宋体" w:hAnsi="宋体" w:eastAsia="宋体" w:cs="宋体"/>
          <w:spacing w:val="-5"/>
          <w:position w:val="19"/>
          <w:sz w:val="21"/>
          <w:szCs w:val="21"/>
          <w:highlight w:val="none"/>
        </w:rPr>
        <w:t>1.本表磋商报价应与响应文件中报价表的报价一致。</w:t>
      </w:r>
    </w:p>
    <w:p>
      <w:pPr>
        <w:spacing w:before="1" w:line="220" w:lineRule="auto"/>
        <w:ind w:left="439"/>
        <w:rPr>
          <w:rFonts w:hint="eastAsia" w:ascii="宋体" w:hAnsi="宋体" w:eastAsia="宋体" w:cs="宋体"/>
          <w:sz w:val="21"/>
          <w:szCs w:val="21"/>
          <w:highlight w:val="none"/>
        </w:rPr>
      </w:pPr>
      <w:r>
        <w:rPr>
          <w:rFonts w:hint="eastAsia" w:ascii="宋体" w:hAnsi="宋体" w:eastAsia="宋体" w:cs="宋体"/>
          <w:spacing w:val="-6"/>
          <w:sz w:val="21"/>
          <w:szCs w:val="21"/>
          <w:highlight w:val="none"/>
        </w:rPr>
        <w:t>2.大小写不一致的以大写为准。</w:t>
      </w:r>
    </w:p>
    <w:p>
      <w:pPr>
        <w:spacing w:before="217" w:line="218" w:lineRule="auto"/>
        <w:ind w:left="439"/>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3.开标报价一览表中只允许有一个磋商报价。</w:t>
      </w:r>
    </w:p>
    <w:p>
      <w:pPr>
        <w:pStyle w:val="7"/>
        <w:spacing w:line="272" w:lineRule="auto"/>
        <w:rPr>
          <w:rFonts w:hint="eastAsia" w:ascii="宋体" w:hAnsi="宋体" w:eastAsia="宋体" w:cs="宋体"/>
          <w:highlight w:val="none"/>
        </w:rPr>
      </w:pPr>
    </w:p>
    <w:p>
      <w:pPr>
        <w:pStyle w:val="7"/>
        <w:spacing w:line="272" w:lineRule="auto"/>
        <w:rPr>
          <w:rFonts w:hint="eastAsia" w:ascii="宋体" w:hAnsi="宋体" w:eastAsia="宋体" w:cs="宋体"/>
          <w:highlight w:val="none"/>
        </w:rPr>
      </w:pPr>
    </w:p>
    <w:p>
      <w:pPr>
        <w:pStyle w:val="7"/>
        <w:spacing w:line="272" w:lineRule="auto"/>
        <w:rPr>
          <w:rFonts w:hint="eastAsia" w:ascii="宋体" w:hAnsi="宋体" w:eastAsia="宋体" w:cs="宋体"/>
          <w:highlight w:val="none"/>
        </w:rPr>
      </w:pPr>
    </w:p>
    <w:p>
      <w:pPr>
        <w:pStyle w:val="7"/>
        <w:spacing w:line="272" w:lineRule="auto"/>
        <w:rPr>
          <w:rFonts w:hint="eastAsia" w:ascii="宋体" w:hAnsi="宋体" w:eastAsia="宋体" w:cs="宋体"/>
          <w:highlight w:val="none"/>
        </w:rPr>
      </w:pPr>
    </w:p>
    <w:p>
      <w:pPr>
        <w:spacing w:before="79" w:line="219" w:lineRule="auto"/>
        <w:ind w:left="3830"/>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供应商代表(签字或盖章):</w:t>
      </w:r>
      <w:r>
        <w:rPr>
          <w:rFonts w:hint="eastAsia" w:ascii="宋体" w:hAnsi="宋体" w:eastAsia="宋体" w:cs="宋体"/>
          <w:spacing w:val="-12"/>
          <w:sz w:val="24"/>
          <w:szCs w:val="24"/>
          <w:highlight w:val="none"/>
        </w:rPr>
        <w:t xml:space="preserve"> </w:t>
      </w:r>
      <w:r>
        <w:rPr>
          <w:rFonts w:hint="eastAsia" w:ascii="宋体" w:hAnsi="宋体" w:eastAsia="宋体" w:cs="宋体"/>
          <w:sz w:val="24"/>
          <w:szCs w:val="24"/>
          <w:highlight w:val="none"/>
          <w:u w:val="single" w:color="auto"/>
        </w:rPr>
        <w:t xml:space="preserve">             </w:t>
      </w:r>
    </w:p>
    <w:p>
      <w:pPr>
        <w:pStyle w:val="7"/>
        <w:spacing w:line="394" w:lineRule="auto"/>
        <w:rPr>
          <w:rFonts w:hint="eastAsia" w:ascii="宋体" w:hAnsi="宋体" w:eastAsia="宋体" w:cs="宋体"/>
          <w:highlight w:val="none"/>
        </w:rPr>
      </w:pPr>
    </w:p>
    <w:p>
      <w:pPr>
        <w:spacing w:before="78" w:line="219" w:lineRule="auto"/>
        <w:ind w:left="3879"/>
        <w:rPr>
          <w:rFonts w:hint="eastAsia" w:ascii="宋体" w:hAnsi="宋体" w:eastAsia="宋体" w:cs="宋体"/>
          <w:highlight w:val="none"/>
        </w:rPr>
        <w:sectPr>
          <w:footerReference r:id="rId15" w:type="default"/>
          <w:pgSz w:w="11910" w:h="16840"/>
          <w:pgMar w:top="1431" w:right="1314" w:bottom="1166" w:left="1294" w:header="0" w:footer="987" w:gutter="0"/>
          <w:pgNumType w:fmt="decimal"/>
          <w:cols w:space="720" w:num="1"/>
        </w:sectPr>
      </w:pPr>
      <w:r>
        <w:rPr>
          <w:rFonts w:hint="eastAsia" w:ascii="宋体" w:hAnsi="宋体" w:eastAsia="宋体" w:cs="宋体"/>
          <w:spacing w:val="22"/>
          <w:sz w:val="24"/>
          <w:szCs w:val="24"/>
          <w:highlight w:val="none"/>
        </w:rPr>
        <w:t>供应商名称(公章);</w:t>
      </w:r>
      <w:r>
        <w:rPr>
          <w:rFonts w:hint="eastAsia" w:ascii="宋体" w:hAnsi="宋体" w:eastAsia="宋体" w:cs="宋体"/>
          <w:spacing w:val="-21"/>
          <w:sz w:val="24"/>
          <w:szCs w:val="24"/>
          <w:highlight w:val="none"/>
        </w:rPr>
        <w:t xml:space="preserve"> </w:t>
      </w:r>
      <w:r>
        <w:rPr>
          <w:rFonts w:hint="eastAsia" w:ascii="宋体" w:hAnsi="宋体" w:eastAsia="宋体" w:cs="宋体"/>
          <w:sz w:val="24"/>
          <w:szCs w:val="24"/>
          <w:highlight w:val="none"/>
          <w:u w:val="single" w:color="auto"/>
        </w:rPr>
        <w:t xml:space="preserve">               </w:t>
      </w:r>
      <w:r>
        <w:rPr>
          <w:rFonts w:hint="eastAsia" w:ascii="宋体" w:hAnsi="宋体" w:eastAsia="宋体" w:cs="宋体"/>
          <w:sz w:val="24"/>
          <w:szCs w:val="24"/>
          <w:highlight w:val="none"/>
          <w:u w:val="single" w:color="auto"/>
          <w:lang w:val="en-US" w:eastAsia="zh-CN"/>
        </w:rPr>
        <w:t xml:space="preserve">    </w:t>
      </w:r>
    </w:p>
    <w:p>
      <w:pPr>
        <w:pStyle w:val="7"/>
        <w:spacing w:line="474" w:lineRule="auto"/>
        <w:rPr>
          <w:rFonts w:hint="eastAsia" w:ascii="宋体" w:hAnsi="宋体" w:eastAsia="宋体" w:cs="宋体"/>
          <w:highlight w:val="none"/>
        </w:rPr>
      </w:pPr>
    </w:p>
    <w:p>
      <w:pPr>
        <w:spacing w:before="78" w:line="219" w:lineRule="auto"/>
        <w:ind w:left="3468"/>
        <w:outlineLvl w:val="9"/>
        <w:rPr>
          <w:rFonts w:hint="eastAsia" w:ascii="宋体" w:hAnsi="宋体" w:eastAsia="宋体" w:cs="宋体"/>
          <w:sz w:val="24"/>
          <w:szCs w:val="24"/>
          <w:highlight w:val="none"/>
        </w:rPr>
      </w:pPr>
      <w:r>
        <w:rPr>
          <w:rFonts w:hint="eastAsia" w:ascii="宋体" w:hAnsi="宋体" w:eastAsia="宋体" w:cs="宋体"/>
          <w:b/>
          <w:bCs/>
          <w:spacing w:val="34"/>
          <w:sz w:val="24"/>
          <w:szCs w:val="24"/>
          <w:highlight w:val="none"/>
        </w:rPr>
        <w:t>3.磋商代表身份证明</w:t>
      </w:r>
    </w:p>
    <w:p>
      <w:pPr>
        <w:spacing w:before="247" w:line="470" w:lineRule="exact"/>
        <w:ind w:left="615"/>
        <w:rPr>
          <w:rFonts w:hint="eastAsia" w:ascii="宋体" w:hAnsi="宋体" w:eastAsia="宋体" w:cs="宋体"/>
          <w:sz w:val="24"/>
          <w:szCs w:val="24"/>
          <w:highlight w:val="none"/>
        </w:rPr>
      </w:pPr>
      <w:r>
        <w:rPr>
          <w:rFonts w:hint="eastAsia" w:ascii="宋体" w:hAnsi="宋体" w:eastAsia="宋体" w:cs="宋体"/>
          <w:spacing w:val="1"/>
          <w:position w:val="17"/>
          <w:sz w:val="24"/>
          <w:szCs w:val="24"/>
          <w:highlight w:val="none"/>
        </w:rPr>
        <w:t>如果磋商代表是法定代表人，供应商提供3.1法定代表人身份证明</w:t>
      </w:r>
      <w:r>
        <w:rPr>
          <w:rFonts w:hint="eastAsia" w:ascii="宋体" w:hAnsi="宋体" w:eastAsia="宋体" w:cs="宋体"/>
          <w:position w:val="17"/>
          <w:sz w:val="24"/>
          <w:szCs w:val="24"/>
          <w:highlight w:val="none"/>
        </w:rPr>
        <w:t>；如果磋商代表</w:t>
      </w:r>
    </w:p>
    <w:p>
      <w:pPr>
        <w:spacing w:line="218" w:lineRule="auto"/>
        <w:ind w:left="125"/>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不是法定代表人，供应商提供3.2法定代表人授权</w:t>
      </w:r>
      <w:r>
        <w:rPr>
          <w:rFonts w:hint="eastAsia" w:ascii="宋体" w:hAnsi="宋体" w:eastAsia="宋体" w:cs="宋体"/>
          <w:spacing w:val="1"/>
          <w:sz w:val="24"/>
          <w:szCs w:val="24"/>
          <w:highlight w:val="none"/>
        </w:rPr>
        <w:t>书。</w:t>
      </w:r>
    </w:p>
    <w:p>
      <w:pPr>
        <w:spacing w:before="273" w:line="219" w:lineRule="auto"/>
        <w:ind w:left="3148"/>
        <w:outlineLvl w:val="9"/>
        <w:rPr>
          <w:rFonts w:hint="eastAsia" w:ascii="宋体" w:hAnsi="宋体" w:eastAsia="宋体" w:cs="宋体"/>
          <w:sz w:val="24"/>
          <w:szCs w:val="24"/>
          <w:highlight w:val="none"/>
        </w:rPr>
      </w:pPr>
      <w:r>
        <w:rPr>
          <w:rFonts w:hint="eastAsia" w:ascii="宋体" w:hAnsi="宋体" w:eastAsia="宋体" w:cs="宋体"/>
          <w:b/>
          <w:bCs/>
          <w:spacing w:val="28"/>
          <w:sz w:val="24"/>
          <w:szCs w:val="24"/>
          <w:highlight w:val="none"/>
        </w:rPr>
        <w:t>3</w:t>
      </w:r>
      <w:r>
        <w:rPr>
          <w:rFonts w:hint="eastAsia" w:ascii="宋体" w:hAnsi="宋体" w:eastAsia="宋体" w:cs="宋体"/>
          <w:spacing w:val="-53"/>
          <w:sz w:val="24"/>
          <w:szCs w:val="24"/>
          <w:highlight w:val="none"/>
        </w:rPr>
        <w:t xml:space="preserve"> </w:t>
      </w:r>
      <w:r>
        <w:rPr>
          <w:rFonts w:hint="eastAsia" w:ascii="宋体" w:hAnsi="宋体" w:eastAsia="宋体" w:cs="宋体"/>
          <w:b/>
          <w:bCs/>
          <w:spacing w:val="28"/>
          <w:sz w:val="24"/>
          <w:szCs w:val="24"/>
          <w:highlight w:val="none"/>
        </w:rPr>
        <w:t>.</w:t>
      </w:r>
      <w:r>
        <w:rPr>
          <w:rFonts w:hint="eastAsia" w:ascii="宋体" w:hAnsi="宋体" w:eastAsia="宋体" w:cs="宋体"/>
          <w:spacing w:val="-46"/>
          <w:sz w:val="24"/>
          <w:szCs w:val="24"/>
          <w:highlight w:val="none"/>
        </w:rPr>
        <w:t xml:space="preserve"> </w:t>
      </w:r>
      <w:r>
        <w:rPr>
          <w:rFonts w:hint="eastAsia" w:ascii="宋体" w:hAnsi="宋体" w:eastAsia="宋体" w:cs="宋体"/>
          <w:b/>
          <w:bCs/>
          <w:spacing w:val="28"/>
          <w:sz w:val="24"/>
          <w:szCs w:val="24"/>
          <w:highlight w:val="none"/>
        </w:rPr>
        <w:t>1法定代表人身份证明</w:t>
      </w:r>
    </w:p>
    <w:p>
      <w:pPr>
        <w:spacing w:before="258" w:line="354" w:lineRule="auto"/>
        <w:ind w:left="125" w:firstLine="489"/>
        <w:jc w:val="both"/>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声明：注册于(</w:t>
      </w:r>
      <w:r>
        <w:rPr>
          <w:rFonts w:hint="eastAsia" w:ascii="宋体" w:hAnsi="宋体" w:eastAsia="宋体" w:cs="宋体"/>
          <w:spacing w:val="6"/>
          <w:sz w:val="24"/>
          <w:szCs w:val="24"/>
          <w:highlight w:val="none"/>
          <w:u w:val="single" w:color="auto"/>
        </w:rPr>
        <w:t>注册地址名称</w:t>
      </w:r>
      <w:r>
        <w:rPr>
          <w:rFonts w:hint="eastAsia" w:ascii="宋体" w:hAnsi="宋体" w:eastAsia="宋体" w:cs="宋体"/>
          <w:spacing w:val="6"/>
          <w:sz w:val="24"/>
          <w:szCs w:val="24"/>
          <w:highlight w:val="none"/>
        </w:rPr>
        <w:t>)的(</w:t>
      </w:r>
      <w:r>
        <w:rPr>
          <w:rFonts w:hint="eastAsia" w:ascii="宋体" w:hAnsi="宋体" w:eastAsia="宋体" w:cs="宋体"/>
          <w:spacing w:val="6"/>
          <w:sz w:val="24"/>
          <w:szCs w:val="24"/>
          <w:highlight w:val="none"/>
          <w:u w:val="single" w:color="auto"/>
        </w:rPr>
        <w:t>供应商全名</w:t>
      </w:r>
      <w:r>
        <w:rPr>
          <w:rFonts w:hint="eastAsia" w:ascii="宋体" w:hAnsi="宋体" w:eastAsia="宋体" w:cs="宋体"/>
          <w:spacing w:val="6"/>
          <w:sz w:val="24"/>
          <w:szCs w:val="24"/>
          <w:highlight w:val="none"/>
        </w:rPr>
        <w:t>)的在下面签字的(</w:t>
      </w:r>
      <w:r>
        <w:rPr>
          <w:rFonts w:hint="eastAsia" w:ascii="宋体" w:hAnsi="宋体" w:eastAsia="宋体" w:cs="宋体"/>
          <w:spacing w:val="6"/>
          <w:sz w:val="24"/>
          <w:szCs w:val="24"/>
          <w:highlight w:val="none"/>
          <w:u w:val="single" w:color="auto"/>
        </w:rPr>
        <w:t>法</w:t>
      </w:r>
      <w:r>
        <w:rPr>
          <w:rFonts w:hint="eastAsia" w:ascii="宋体" w:hAnsi="宋体" w:eastAsia="宋体" w:cs="宋体"/>
          <w:spacing w:val="5"/>
          <w:sz w:val="24"/>
          <w:szCs w:val="24"/>
          <w:highlight w:val="none"/>
          <w:u w:val="single" w:color="auto"/>
        </w:rPr>
        <w:t>定代表人姓名)</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代表本公司，就(</w:t>
      </w:r>
      <w:r>
        <w:rPr>
          <w:rFonts w:hint="eastAsia" w:ascii="宋体" w:hAnsi="宋体" w:eastAsia="宋体" w:cs="宋体"/>
          <w:spacing w:val="-2"/>
          <w:sz w:val="24"/>
          <w:szCs w:val="24"/>
          <w:highlight w:val="none"/>
          <w:u w:val="single" w:color="auto"/>
        </w:rPr>
        <w:t>项目编号</w:t>
      </w:r>
      <w:r>
        <w:rPr>
          <w:rFonts w:hint="eastAsia" w:ascii="宋体" w:hAnsi="宋体" w:eastAsia="宋体" w:cs="宋体"/>
          <w:spacing w:val="-2"/>
          <w:sz w:val="24"/>
          <w:szCs w:val="24"/>
          <w:highlight w:val="none"/>
        </w:rPr>
        <w:t>)</w:t>
      </w:r>
      <w:r>
        <w:rPr>
          <w:rFonts w:hint="eastAsia" w:ascii="宋体" w:hAnsi="宋体" w:eastAsia="宋体" w:cs="宋体"/>
          <w:spacing w:val="116"/>
          <w:sz w:val="24"/>
          <w:szCs w:val="24"/>
          <w:highlight w:val="none"/>
        </w:rPr>
        <w:t xml:space="preserve"> </w:t>
      </w:r>
      <w:r>
        <w:rPr>
          <w:rFonts w:hint="eastAsia" w:ascii="宋体" w:hAnsi="宋体" w:eastAsia="宋体" w:cs="宋体"/>
          <w:spacing w:val="-2"/>
          <w:sz w:val="24"/>
          <w:szCs w:val="24"/>
          <w:highlight w:val="none"/>
        </w:rPr>
        <w:t>(</w:t>
      </w:r>
      <w:r>
        <w:rPr>
          <w:rFonts w:hint="eastAsia" w:ascii="宋体" w:hAnsi="宋体" w:eastAsia="宋体" w:cs="宋体"/>
          <w:spacing w:val="-68"/>
          <w:sz w:val="24"/>
          <w:szCs w:val="24"/>
          <w:highlight w:val="none"/>
        </w:rPr>
        <w:t xml:space="preserve"> </w:t>
      </w:r>
      <w:r>
        <w:rPr>
          <w:rFonts w:hint="eastAsia" w:ascii="宋体" w:hAnsi="宋体" w:eastAsia="宋体" w:cs="宋体"/>
          <w:spacing w:val="-2"/>
          <w:sz w:val="24"/>
          <w:szCs w:val="24"/>
          <w:highlight w:val="none"/>
          <w:u w:val="single" w:color="auto"/>
        </w:rPr>
        <w:t>项目名称</w:t>
      </w:r>
      <w:r>
        <w:rPr>
          <w:rFonts w:hint="eastAsia" w:ascii="宋体" w:hAnsi="宋体" w:eastAsia="宋体" w:cs="宋体"/>
          <w:spacing w:val="-2"/>
          <w:sz w:val="24"/>
          <w:szCs w:val="24"/>
          <w:highlight w:val="none"/>
        </w:rPr>
        <w:t>)的投标及合同执行，以本公司名义处理一切</w:t>
      </w:r>
    </w:p>
    <w:p>
      <w:pPr>
        <w:spacing w:line="219" w:lineRule="auto"/>
        <w:ind w:left="125"/>
        <w:rPr>
          <w:rFonts w:hint="eastAsia" w:ascii="宋体" w:hAnsi="宋体" w:eastAsia="宋体" w:cs="宋体"/>
          <w:sz w:val="24"/>
          <w:szCs w:val="24"/>
          <w:highlight w:val="none"/>
        </w:rPr>
      </w:pPr>
      <w:r>
        <w:rPr>
          <w:rFonts w:hint="eastAsia" w:ascii="宋体" w:hAnsi="宋体" w:eastAsia="宋体" w:cs="宋体"/>
          <w:spacing w:val="-6"/>
          <w:sz w:val="24"/>
          <w:szCs w:val="24"/>
          <w:highlight w:val="none"/>
        </w:rPr>
        <w:t>与之有关的事务。</w:t>
      </w:r>
    </w:p>
    <w:p>
      <w:pPr>
        <w:spacing w:before="194" w:line="228" w:lineRule="auto"/>
        <w:ind w:left="615"/>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本声明于</w:t>
      </w:r>
      <w:r>
        <w:rPr>
          <w:rFonts w:hint="eastAsia" w:ascii="宋体" w:hAnsi="宋体" w:eastAsia="宋体" w:cs="宋体"/>
          <w:spacing w:val="28"/>
          <w:sz w:val="24"/>
          <w:szCs w:val="24"/>
          <w:highlight w:val="none"/>
          <w:u w:val="single" w:color="auto"/>
        </w:rPr>
        <w:t xml:space="preserve">    </w:t>
      </w:r>
      <w:r>
        <w:rPr>
          <w:rFonts w:hint="eastAsia" w:ascii="宋体" w:hAnsi="宋体" w:eastAsia="宋体" w:cs="宋体"/>
          <w:spacing w:val="-3"/>
          <w:position w:val="-1"/>
          <w:sz w:val="24"/>
          <w:szCs w:val="24"/>
          <w:highlight w:val="none"/>
        </w:rPr>
        <w:t>年</w:t>
      </w:r>
      <w:r>
        <w:rPr>
          <w:rFonts w:hint="eastAsia" w:ascii="宋体" w:hAnsi="宋体" w:eastAsia="宋体" w:cs="宋体"/>
          <w:spacing w:val="26"/>
          <w:position w:val="-1"/>
          <w:sz w:val="24"/>
          <w:szCs w:val="24"/>
          <w:highlight w:val="none"/>
          <w:u w:val="single" w:color="auto"/>
        </w:rPr>
        <w:t xml:space="preserve">  </w:t>
      </w:r>
      <w:r>
        <w:rPr>
          <w:rFonts w:hint="eastAsia" w:ascii="宋体" w:hAnsi="宋体" w:eastAsia="宋体" w:cs="宋体"/>
          <w:spacing w:val="-3"/>
          <w:sz w:val="24"/>
          <w:szCs w:val="24"/>
          <w:highlight w:val="none"/>
        </w:rPr>
        <w:t>月</w:t>
      </w:r>
      <w:r>
        <w:rPr>
          <w:rFonts w:hint="eastAsia" w:ascii="宋体" w:hAnsi="宋体" w:eastAsia="宋体" w:cs="宋体"/>
          <w:spacing w:val="-3"/>
          <w:sz w:val="24"/>
          <w:szCs w:val="24"/>
          <w:highlight w:val="none"/>
          <w:u w:val="single"/>
          <w:lang w:val="en-US" w:eastAsia="zh-CN"/>
        </w:rPr>
        <w:t xml:space="preserve">  </w:t>
      </w:r>
      <w:r>
        <w:rPr>
          <w:rFonts w:hint="eastAsia" w:ascii="宋体" w:hAnsi="宋体" w:eastAsia="宋体" w:cs="宋体"/>
          <w:spacing w:val="-54"/>
          <w:sz w:val="24"/>
          <w:szCs w:val="24"/>
          <w:highlight w:val="none"/>
          <w:u w:val="single"/>
        </w:rPr>
        <w:t xml:space="preserve"> </w:t>
      </w:r>
      <w:r>
        <w:rPr>
          <w:rFonts w:hint="eastAsia" w:ascii="宋体" w:hAnsi="宋体" w:eastAsia="宋体" w:cs="宋体"/>
          <w:spacing w:val="-3"/>
          <w:sz w:val="24"/>
          <w:szCs w:val="24"/>
          <w:highlight w:val="none"/>
        </w:rPr>
        <w:t>日签字生效。</w:t>
      </w:r>
    </w:p>
    <w:p>
      <w:pPr>
        <w:pStyle w:val="7"/>
        <w:spacing w:line="269" w:lineRule="auto"/>
        <w:rPr>
          <w:rFonts w:hint="eastAsia" w:ascii="宋体" w:hAnsi="宋体" w:eastAsia="宋体" w:cs="宋体"/>
          <w:highlight w:val="none"/>
        </w:rPr>
      </w:pPr>
    </w:p>
    <w:p>
      <w:pPr>
        <w:pStyle w:val="7"/>
        <w:spacing w:line="269" w:lineRule="auto"/>
        <w:rPr>
          <w:rFonts w:hint="eastAsia" w:ascii="宋体" w:hAnsi="宋体" w:eastAsia="宋体" w:cs="宋体"/>
          <w:highlight w:val="none"/>
        </w:rPr>
      </w:pPr>
    </w:p>
    <w:p>
      <w:pPr>
        <w:spacing w:before="78" w:line="219" w:lineRule="auto"/>
        <w:ind w:left="128"/>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此处附：法定代表人身份证扫描件</w:t>
      </w:r>
    </w:p>
    <w:p>
      <w:pPr>
        <w:pStyle w:val="7"/>
        <w:spacing w:line="280" w:lineRule="auto"/>
        <w:rPr>
          <w:rFonts w:hint="eastAsia" w:ascii="宋体" w:hAnsi="宋体" w:eastAsia="宋体" w:cs="宋体"/>
          <w:highlight w:val="none"/>
        </w:rPr>
      </w:pPr>
    </w:p>
    <w:p>
      <w:pPr>
        <w:pStyle w:val="7"/>
        <w:spacing w:line="280" w:lineRule="auto"/>
        <w:rPr>
          <w:rFonts w:hint="eastAsia" w:ascii="宋体" w:hAnsi="宋体" w:eastAsia="宋体" w:cs="宋体"/>
          <w:highlight w:val="none"/>
        </w:rPr>
      </w:pPr>
    </w:p>
    <w:p>
      <w:pPr>
        <w:pStyle w:val="7"/>
        <w:spacing w:line="280" w:lineRule="auto"/>
        <w:rPr>
          <w:rFonts w:hint="eastAsia" w:ascii="宋体" w:hAnsi="宋体" w:eastAsia="宋体" w:cs="宋体"/>
          <w:highlight w:val="none"/>
        </w:rPr>
      </w:pPr>
    </w:p>
    <w:p>
      <w:pPr>
        <w:pStyle w:val="7"/>
        <w:spacing w:line="281" w:lineRule="auto"/>
        <w:rPr>
          <w:rFonts w:hint="eastAsia" w:ascii="宋体" w:hAnsi="宋体" w:eastAsia="宋体" w:cs="宋体"/>
          <w:highlight w:val="none"/>
        </w:rPr>
      </w:pPr>
    </w:p>
    <w:p>
      <w:pPr>
        <w:pStyle w:val="7"/>
        <w:spacing w:line="281" w:lineRule="auto"/>
        <w:rPr>
          <w:rFonts w:hint="eastAsia" w:ascii="宋体" w:hAnsi="宋体" w:eastAsia="宋体" w:cs="宋体"/>
          <w:highlight w:val="none"/>
        </w:rPr>
      </w:pPr>
    </w:p>
    <w:p>
      <w:pPr>
        <w:spacing w:before="79" w:line="219" w:lineRule="auto"/>
        <w:ind w:left="125"/>
        <w:rPr>
          <w:rFonts w:hint="eastAsia" w:ascii="宋体" w:hAnsi="宋体" w:eastAsia="宋体" w:cs="宋体"/>
          <w:sz w:val="24"/>
          <w:szCs w:val="24"/>
          <w:highlight w:val="none"/>
        </w:rPr>
      </w:pPr>
      <w:r>
        <w:rPr>
          <w:rFonts w:hint="eastAsia" w:ascii="宋体" w:hAnsi="宋体" w:eastAsia="宋体" w:cs="宋体"/>
          <w:spacing w:val="16"/>
          <w:sz w:val="24"/>
          <w:szCs w:val="24"/>
          <w:highlight w:val="none"/>
        </w:rPr>
        <w:t>法定代表人(签字或盖章):</w:t>
      </w:r>
      <w:r>
        <w:rPr>
          <w:rFonts w:hint="eastAsia" w:ascii="宋体" w:hAnsi="宋体" w:eastAsia="宋体" w:cs="宋体"/>
          <w:spacing w:val="-10"/>
          <w:sz w:val="24"/>
          <w:szCs w:val="24"/>
          <w:highlight w:val="none"/>
        </w:rPr>
        <w:t xml:space="preserve"> </w:t>
      </w:r>
      <w:r>
        <w:rPr>
          <w:rFonts w:hint="eastAsia" w:ascii="宋体" w:hAnsi="宋体" w:eastAsia="宋体" w:cs="宋体"/>
          <w:sz w:val="24"/>
          <w:szCs w:val="24"/>
          <w:highlight w:val="none"/>
          <w:u w:val="single" w:color="auto"/>
        </w:rPr>
        <w:t xml:space="preserve">                   </w:t>
      </w:r>
    </w:p>
    <w:p>
      <w:pPr>
        <w:spacing w:before="305" w:line="441" w:lineRule="auto"/>
        <w:ind w:left="125"/>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 xml:space="preserve">供应商单位名称(公章): </w:t>
      </w:r>
      <w:r>
        <w:rPr>
          <w:rFonts w:hint="eastAsia" w:ascii="宋体" w:hAnsi="宋体" w:eastAsia="宋体" w:cs="宋体"/>
          <w:spacing w:val="11"/>
          <w:sz w:val="24"/>
          <w:szCs w:val="24"/>
          <w:highlight w:val="none"/>
          <w:u w:val="single" w:color="auto"/>
        </w:rPr>
        <w:t xml:space="preserve">                     </w:t>
      </w:r>
    </w:p>
    <w:p>
      <w:pPr>
        <w:spacing w:before="1" w:line="228" w:lineRule="auto"/>
        <w:ind w:left="125"/>
        <w:rPr>
          <w:rFonts w:hint="eastAsia" w:ascii="宋体" w:hAnsi="宋体" w:eastAsia="宋体" w:cs="宋体"/>
          <w:sz w:val="24"/>
          <w:szCs w:val="24"/>
          <w:highlight w:val="none"/>
        </w:rPr>
      </w:pPr>
      <w:r>
        <w:rPr>
          <w:rFonts w:hint="eastAsia" w:ascii="宋体" w:hAnsi="宋体" w:eastAsia="宋体" w:cs="宋体"/>
          <w:spacing w:val="-31"/>
          <w:w w:val="95"/>
          <w:sz w:val="24"/>
          <w:szCs w:val="24"/>
          <w:highlight w:val="none"/>
        </w:rPr>
        <w:t>地址：</w:t>
      </w:r>
      <w:r>
        <w:rPr>
          <w:rFonts w:hint="eastAsia" w:ascii="宋体" w:hAnsi="宋体" w:eastAsia="宋体" w:cs="宋体"/>
          <w:spacing w:val="-33"/>
          <w:sz w:val="24"/>
          <w:szCs w:val="24"/>
          <w:highlight w:val="none"/>
        </w:rPr>
        <w:t xml:space="preserve"> </w:t>
      </w:r>
      <w:r>
        <w:rPr>
          <w:rFonts w:hint="eastAsia" w:ascii="宋体" w:hAnsi="宋体" w:eastAsia="宋体" w:cs="宋体"/>
          <w:sz w:val="24"/>
          <w:szCs w:val="24"/>
          <w:highlight w:val="none"/>
          <w:u w:val="single" w:color="auto"/>
        </w:rPr>
        <w:t xml:space="preserve">                                    </w:t>
      </w:r>
    </w:p>
    <w:p>
      <w:pPr>
        <w:spacing w:line="176" w:lineRule="exact"/>
        <w:rPr>
          <w:rFonts w:hint="eastAsia" w:ascii="宋体" w:hAnsi="宋体" w:eastAsia="宋体" w:cs="宋体"/>
          <w:highlight w:val="none"/>
        </w:rPr>
      </w:pPr>
    </w:p>
    <w:tbl>
      <w:tblPr>
        <w:tblStyle w:val="30"/>
        <w:tblW w:w="871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360"/>
        <w:gridCol w:w="435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50" w:hRule="atLeast"/>
        </w:trPr>
        <w:tc>
          <w:tcPr>
            <w:tcW w:w="4360" w:type="dxa"/>
            <w:vAlign w:val="top"/>
          </w:tcPr>
          <w:p>
            <w:pPr>
              <w:spacing w:line="287" w:lineRule="auto"/>
              <w:rPr>
                <w:rFonts w:hint="eastAsia" w:ascii="宋体" w:hAnsi="宋体" w:eastAsia="宋体" w:cs="宋体"/>
                <w:sz w:val="21"/>
                <w:highlight w:val="none"/>
              </w:rPr>
            </w:pPr>
          </w:p>
          <w:p>
            <w:pPr>
              <w:spacing w:line="287" w:lineRule="auto"/>
              <w:rPr>
                <w:rFonts w:hint="eastAsia" w:ascii="宋体" w:hAnsi="宋体" w:eastAsia="宋体" w:cs="宋体"/>
                <w:sz w:val="21"/>
                <w:highlight w:val="none"/>
              </w:rPr>
            </w:pPr>
          </w:p>
          <w:p>
            <w:pPr>
              <w:spacing w:line="287" w:lineRule="auto"/>
              <w:rPr>
                <w:rFonts w:hint="eastAsia" w:ascii="宋体" w:hAnsi="宋体" w:eastAsia="宋体" w:cs="宋体"/>
                <w:sz w:val="21"/>
                <w:highlight w:val="none"/>
              </w:rPr>
            </w:pPr>
          </w:p>
          <w:p>
            <w:pPr>
              <w:spacing w:line="287" w:lineRule="auto"/>
              <w:rPr>
                <w:rFonts w:hint="eastAsia" w:ascii="宋体" w:hAnsi="宋体" w:eastAsia="宋体" w:cs="宋体"/>
                <w:sz w:val="21"/>
                <w:highlight w:val="none"/>
              </w:rPr>
            </w:pPr>
          </w:p>
          <w:p>
            <w:pPr>
              <w:pStyle w:val="31"/>
              <w:spacing w:before="68" w:line="219" w:lineRule="auto"/>
              <w:ind w:left="135"/>
              <w:rPr>
                <w:rFonts w:hint="eastAsia" w:ascii="宋体" w:hAnsi="宋体" w:eastAsia="宋体" w:cs="宋体"/>
                <w:highlight w:val="none"/>
              </w:rPr>
            </w:pPr>
            <w:r>
              <w:rPr>
                <w:rFonts w:hint="eastAsia" w:ascii="宋体" w:hAnsi="宋体" w:eastAsia="宋体" w:cs="宋体"/>
                <w:spacing w:val="3"/>
                <w:highlight w:val="none"/>
              </w:rPr>
              <w:t>法定代表人身份证(头像面)</w:t>
            </w:r>
          </w:p>
        </w:tc>
        <w:tc>
          <w:tcPr>
            <w:tcW w:w="4350" w:type="dxa"/>
            <w:vAlign w:val="top"/>
          </w:tcPr>
          <w:p>
            <w:pPr>
              <w:spacing w:line="287" w:lineRule="auto"/>
              <w:rPr>
                <w:rFonts w:hint="eastAsia" w:ascii="宋体" w:hAnsi="宋体" w:eastAsia="宋体" w:cs="宋体"/>
                <w:sz w:val="21"/>
                <w:highlight w:val="none"/>
              </w:rPr>
            </w:pPr>
          </w:p>
          <w:p>
            <w:pPr>
              <w:spacing w:line="287" w:lineRule="auto"/>
              <w:rPr>
                <w:rFonts w:hint="eastAsia" w:ascii="宋体" w:hAnsi="宋体" w:eastAsia="宋体" w:cs="宋体"/>
                <w:sz w:val="21"/>
                <w:highlight w:val="none"/>
              </w:rPr>
            </w:pPr>
          </w:p>
          <w:p>
            <w:pPr>
              <w:spacing w:line="287" w:lineRule="auto"/>
              <w:rPr>
                <w:rFonts w:hint="eastAsia" w:ascii="宋体" w:hAnsi="宋体" w:eastAsia="宋体" w:cs="宋体"/>
                <w:sz w:val="21"/>
                <w:highlight w:val="none"/>
              </w:rPr>
            </w:pPr>
          </w:p>
          <w:p>
            <w:pPr>
              <w:spacing w:line="287" w:lineRule="auto"/>
              <w:rPr>
                <w:rFonts w:hint="eastAsia" w:ascii="宋体" w:hAnsi="宋体" w:eastAsia="宋体" w:cs="宋体"/>
                <w:sz w:val="21"/>
                <w:highlight w:val="none"/>
              </w:rPr>
            </w:pPr>
          </w:p>
          <w:p>
            <w:pPr>
              <w:pStyle w:val="31"/>
              <w:spacing w:before="68" w:line="219" w:lineRule="auto"/>
              <w:ind w:left="135"/>
              <w:rPr>
                <w:rFonts w:hint="eastAsia" w:ascii="宋体" w:hAnsi="宋体" w:eastAsia="宋体" w:cs="宋体"/>
                <w:highlight w:val="none"/>
              </w:rPr>
            </w:pPr>
            <w:r>
              <w:rPr>
                <w:rFonts w:hint="eastAsia" w:ascii="宋体" w:hAnsi="宋体" w:eastAsia="宋体" w:cs="宋体"/>
                <w:spacing w:val="3"/>
                <w:highlight w:val="none"/>
              </w:rPr>
              <w:t>法定代表人身份证(国徽面)</w:t>
            </w:r>
          </w:p>
        </w:tc>
      </w:tr>
    </w:tbl>
    <w:p>
      <w:pPr>
        <w:pStyle w:val="7"/>
        <w:rPr>
          <w:rFonts w:hint="eastAsia" w:ascii="宋体" w:hAnsi="宋体" w:eastAsia="宋体" w:cs="宋体"/>
          <w:highlight w:val="none"/>
        </w:rPr>
      </w:pPr>
    </w:p>
    <w:p>
      <w:pPr>
        <w:rPr>
          <w:rFonts w:hint="eastAsia" w:ascii="宋体" w:hAnsi="宋体" w:eastAsia="宋体" w:cs="宋体"/>
          <w:highlight w:val="none"/>
        </w:rPr>
        <w:sectPr>
          <w:footerReference r:id="rId16" w:type="default"/>
          <w:pgSz w:w="11910" w:h="16840"/>
          <w:pgMar w:top="1431" w:right="1377" w:bottom="1171" w:left="1294" w:header="0" w:footer="973" w:gutter="0"/>
          <w:pgNumType w:fmt="decimal"/>
          <w:cols w:space="720" w:num="1"/>
        </w:sectPr>
      </w:pPr>
    </w:p>
    <w:p>
      <w:pPr>
        <w:pStyle w:val="7"/>
        <w:spacing w:line="308" w:lineRule="auto"/>
        <w:rPr>
          <w:rFonts w:hint="eastAsia" w:ascii="宋体" w:hAnsi="宋体" w:eastAsia="宋体" w:cs="宋体"/>
          <w:highlight w:val="none"/>
        </w:rPr>
      </w:pPr>
    </w:p>
    <w:p>
      <w:pPr>
        <w:pStyle w:val="7"/>
        <w:spacing w:line="308" w:lineRule="auto"/>
        <w:rPr>
          <w:rFonts w:hint="eastAsia" w:ascii="宋体" w:hAnsi="宋体" w:eastAsia="宋体" w:cs="宋体"/>
          <w:highlight w:val="none"/>
        </w:rPr>
      </w:pPr>
    </w:p>
    <w:p>
      <w:pPr>
        <w:spacing w:before="94" w:line="219" w:lineRule="auto"/>
        <w:ind w:left="3289"/>
        <w:outlineLvl w:val="9"/>
        <w:rPr>
          <w:rFonts w:hint="eastAsia" w:ascii="宋体" w:hAnsi="宋体" w:eastAsia="宋体" w:cs="宋体"/>
          <w:sz w:val="29"/>
          <w:szCs w:val="29"/>
          <w:highlight w:val="none"/>
        </w:rPr>
      </w:pPr>
      <w:r>
        <w:rPr>
          <w:rFonts w:hint="eastAsia" w:ascii="宋体" w:hAnsi="宋体" w:eastAsia="宋体" w:cs="宋体"/>
          <w:b/>
          <w:bCs/>
          <w:spacing w:val="-5"/>
          <w:sz w:val="29"/>
          <w:szCs w:val="29"/>
          <w:highlight w:val="none"/>
        </w:rPr>
        <w:t>3.2法定代表人授权书</w:t>
      </w:r>
    </w:p>
    <w:p>
      <w:pPr>
        <w:spacing w:before="239" w:line="354" w:lineRule="auto"/>
        <w:ind w:left="105" w:right="575" w:firstLine="519"/>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本授权书声明：注册于(</w:t>
      </w:r>
      <w:r>
        <w:rPr>
          <w:rFonts w:hint="eastAsia" w:ascii="宋体" w:hAnsi="宋体" w:eastAsia="宋体" w:cs="宋体"/>
          <w:spacing w:val="2"/>
          <w:sz w:val="24"/>
          <w:szCs w:val="24"/>
          <w:highlight w:val="none"/>
          <w:u w:val="single" w:color="auto"/>
        </w:rPr>
        <w:t>注册地址名称</w:t>
      </w:r>
      <w:r>
        <w:rPr>
          <w:rFonts w:hint="eastAsia" w:ascii="宋体" w:hAnsi="宋体" w:eastAsia="宋体" w:cs="宋体"/>
          <w:spacing w:val="2"/>
          <w:sz w:val="24"/>
          <w:szCs w:val="24"/>
          <w:highlight w:val="none"/>
        </w:rPr>
        <w:t>)</w:t>
      </w:r>
      <w:r>
        <w:rPr>
          <w:rFonts w:hint="eastAsia" w:ascii="宋体" w:hAnsi="宋体" w:eastAsia="宋体" w:cs="宋体"/>
          <w:spacing w:val="-30"/>
          <w:sz w:val="24"/>
          <w:szCs w:val="24"/>
          <w:highlight w:val="none"/>
        </w:rPr>
        <w:t xml:space="preserve"> </w:t>
      </w:r>
      <w:r>
        <w:rPr>
          <w:rFonts w:hint="eastAsia" w:ascii="宋体" w:hAnsi="宋体" w:eastAsia="宋体" w:cs="宋体"/>
          <w:spacing w:val="2"/>
          <w:sz w:val="24"/>
          <w:szCs w:val="24"/>
          <w:highlight w:val="none"/>
        </w:rPr>
        <w:t xml:space="preserve">的 </w:t>
      </w:r>
      <w:r>
        <w:rPr>
          <w:rFonts w:hint="eastAsia" w:ascii="宋体" w:hAnsi="宋体" w:eastAsia="宋体" w:cs="宋体"/>
          <w:spacing w:val="1"/>
          <w:sz w:val="24"/>
          <w:szCs w:val="24"/>
          <w:highlight w:val="none"/>
        </w:rPr>
        <w:t>(</w:t>
      </w:r>
      <w:r>
        <w:rPr>
          <w:rFonts w:hint="eastAsia" w:ascii="宋体" w:hAnsi="宋体" w:eastAsia="宋体" w:cs="宋体"/>
          <w:spacing w:val="1"/>
          <w:sz w:val="24"/>
          <w:szCs w:val="24"/>
          <w:highlight w:val="none"/>
          <w:u w:val="single" w:color="auto"/>
        </w:rPr>
        <w:t>供应商全名</w:t>
      </w:r>
      <w:r>
        <w:rPr>
          <w:rFonts w:hint="eastAsia" w:ascii="宋体" w:hAnsi="宋体" w:eastAsia="宋体" w:cs="宋体"/>
          <w:spacing w:val="1"/>
          <w:sz w:val="24"/>
          <w:szCs w:val="24"/>
          <w:highlight w:val="none"/>
        </w:rPr>
        <w:t>)的在下面签字的(</w:t>
      </w:r>
      <w:r>
        <w:rPr>
          <w:rFonts w:hint="eastAsia" w:ascii="宋体" w:hAnsi="宋体" w:eastAsia="宋体" w:cs="宋体"/>
          <w:spacing w:val="1"/>
          <w:sz w:val="24"/>
          <w:szCs w:val="24"/>
          <w:highlight w:val="none"/>
          <w:u w:val="single" w:color="auto"/>
        </w:rPr>
        <w:t>法定代</w:t>
      </w:r>
      <w:r>
        <w:rPr>
          <w:rFonts w:hint="eastAsia" w:ascii="宋体" w:hAnsi="宋体" w:eastAsia="宋体" w:cs="宋体"/>
          <w:sz w:val="24"/>
          <w:szCs w:val="24"/>
          <w:highlight w:val="none"/>
        </w:rPr>
        <w:t xml:space="preserve"> </w:t>
      </w:r>
      <w:r>
        <w:rPr>
          <w:rFonts w:hint="eastAsia" w:ascii="宋体" w:hAnsi="宋体" w:eastAsia="宋体" w:cs="宋体"/>
          <w:spacing w:val="12"/>
          <w:sz w:val="24"/>
          <w:szCs w:val="24"/>
          <w:highlight w:val="none"/>
          <w:u w:val="single" w:color="auto"/>
        </w:rPr>
        <w:t>表人姓名)</w:t>
      </w:r>
      <w:r>
        <w:rPr>
          <w:rFonts w:hint="eastAsia" w:ascii="宋体" w:hAnsi="宋体" w:eastAsia="宋体" w:cs="宋体"/>
          <w:spacing w:val="12"/>
          <w:sz w:val="24"/>
          <w:szCs w:val="24"/>
          <w:highlight w:val="none"/>
        </w:rPr>
        <w:t>代表本公司授权(</w:t>
      </w:r>
      <w:r>
        <w:rPr>
          <w:rFonts w:hint="eastAsia" w:ascii="宋体" w:hAnsi="宋体" w:eastAsia="宋体" w:cs="宋体"/>
          <w:spacing w:val="-113"/>
          <w:sz w:val="24"/>
          <w:szCs w:val="24"/>
          <w:highlight w:val="none"/>
        </w:rPr>
        <w:t xml:space="preserve"> </w:t>
      </w:r>
      <w:r>
        <w:rPr>
          <w:rFonts w:hint="eastAsia" w:ascii="宋体" w:hAnsi="宋体" w:eastAsia="宋体" w:cs="宋体"/>
          <w:spacing w:val="-108"/>
          <w:sz w:val="24"/>
          <w:szCs w:val="24"/>
          <w:highlight w:val="none"/>
          <w:u w:val="single" w:color="auto"/>
        </w:rPr>
        <w:t xml:space="preserve"> </w:t>
      </w:r>
      <w:r>
        <w:rPr>
          <w:rFonts w:hint="eastAsia" w:ascii="宋体" w:hAnsi="宋体" w:eastAsia="宋体" w:cs="宋体"/>
          <w:spacing w:val="12"/>
          <w:sz w:val="24"/>
          <w:szCs w:val="24"/>
          <w:highlight w:val="none"/>
          <w:u w:val="single" w:color="auto"/>
        </w:rPr>
        <w:t>单位名称</w:t>
      </w:r>
      <w:r>
        <w:rPr>
          <w:rFonts w:hint="eastAsia" w:ascii="宋体" w:hAnsi="宋体" w:eastAsia="宋体" w:cs="宋体"/>
          <w:spacing w:val="12"/>
          <w:sz w:val="24"/>
          <w:szCs w:val="24"/>
          <w:highlight w:val="none"/>
        </w:rPr>
        <w:t>)的在下面签字的(</w:t>
      </w:r>
      <w:r>
        <w:rPr>
          <w:rFonts w:hint="eastAsia" w:ascii="宋体" w:hAnsi="宋体" w:eastAsia="宋体" w:cs="宋体"/>
          <w:spacing w:val="12"/>
          <w:sz w:val="24"/>
          <w:szCs w:val="24"/>
          <w:highlight w:val="none"/>
          <w:u w:val="single" w:color="auto"/>
        </w:rPr>
        <w:t>被授权人的姓</w:t>
      </w:r>
      <w:r>
        <w:rPr>
          <w:rFonts w:hint="eastAsia" w:ascii="宋体" w:hAnsi="宋体" w:eastAsia="宋体" w:cs="宋体"/>
          <w:spacing w:val="11"/>
          <w:sz w:val="24"/>
          <w:szCs w:val="24"/>
          <w:highlight w:val="none"/>
          <w:u w:val="single" w:color="auto"/>
        </w:rPr>
        <w:t>名)</w:t>
      </w:r>
      <w:r>
        <w:rPr>
          <w:rFonts w:hint="eastAsia" w:ascii="宋体" w:hAnsi="宋体" w:eastAsia="宋体" w:cs="宋体"/>
          <w:spacing w:val="-53"/>
          <w:sz w:val="24"/>
          <w:szCs w:val="24"/>
          <w:highlight w:val="none"/>
        </w:rPr>
        <w:t xml:space="preserve"> </w:t>
      </w:r>
      <w:r>
        <w:rPr>
          <w:rFonts w:hint="eastAsia" w:ascii="宋体" w:hAnsi="宋体" w:eastAsia="宋体" w:cs="宋体"/>
          <w:spacing w:val="11"/>
          <w:sz w:val="24"/>
          <w:szCs w:val="24"/>
          <w:highlight w:val="none"/>
        </w:rPr>
        <w:t>为本公司</w:t>
      </w:r>
      <w:r>
        <w:rPr>
          <w:rFonts w:hint="eastAsia" w:ascii="宋体" w:hAnsi="宋体" w:eastAsia="宋体" w:cs="宋体"/>
          <w:sz w:val="24"/>
          <w:szCs w:val="24"/>
          <w:highlight w:val="none"/>
        </w:rPr>
        <w:t xml:space="preserve"> </w:t>
      </w:r>
      <w:r>
        <w:rPr>
          <w:rFonts w:hint="eastAsia" w:ascii="宋体" w:hAnsi="宋体" w:eastAsia="宋体" w:cs="宋体"/>
          <w:spacing w:val="3"/>
          <w:sz w:val="24"/>
          <w:szCs w:val="24"/>
          <w:highlight w:val="none"/>
        </w:rPr>
        <w:t>的合法代理人，就(</w:t>
      </w:r>
      <w:r>
        <w:rPr>
          <w:rFonts w:hint="eastAsia" w:ascii="宋体" w:hAnsi="宋体" w:eastAsia="宋体" w:cs="宋体"/>
          <w:spacing w:val="3"/>
          <w:sz w:val="24"/>
          <w:szCs w:val="24"/>
          <w:highlight w:val="none"/>
          <w:u w:val="single" w:color="auto"/>
        </w:rPr>
        <w:t>项目编号</w:t>
      </w:r>
      <w:r>
        <w:rPr>
          <w:rFonts w:hint="eastAsia" w:ascii="宋体" w:hAnsi="宋体" w:eastAsia="宋体" w:cs="宋体"/>
          <w:spacing w:val="3"/>
          <w:sz w:val="24"/>
          <w:szCs w:val="24"/>
          <w:highlight w:val="none"/>
        </w:rPr>
        <w:t>)</w:t>
      </w:r>
      <w:r>
        <w:rPr>
          <w:rFonts w:hint="eastAsia" w:ascii="宋体" w:hAnsi="宋体" w:eastAsia="宋体" w:cs="宋体"/>
          <w:spacing w:val="126"/>
          <w:sz w:val="24"/>
          <w:szCs w:val="24"/>
          <w:highlight w:val="none"/>
        </w:rPr>
        <w:t xml:space="preserve"> </w:t>
      </w:r>
      <w:r>
        <w:rPr>
          <w:rFonts w:hint="eastAsia" w:ascii="宋体" w:hAnsi="宋体" w:eastAsia="宋体" w:cs="宋体"/>
          <w:spacing w:val="3"/>
          <w:sz w:val="24"/>
          <w:szCs w:val="24"/>
          <w:highlight w:val="none"/>
        </w:rPr>
        <w:t>(</w:t>
      </w:r>
      <w:r>
        <w:rPr>
          <w:rFonts w:hint="eastAsia" w:ascii="宋体" w:hAnsi="宋体" w:eastAsia="宋体" w:cs="宋体"/>
          <w:spacing w:val="-58"/>
          <w:sz w:val="24"/>
          <w:szCs w:val="24"/>
          <w:highlight w:val="none"/>
        </w:rPr>
        <w:t xml:space="preserve"> </w:t>
      </w:r>
      <w:r>
        <w:rPr>
          <w:rFonts w:hint="eastAsia" w:ascii="宋体" w:hAnsi="宋体" w:eastAsia="宋体" w:cs="宋体"/>
          <w:spacing w:val="3"/>
          <w:sz w:val="24"/>
          <w:szCs w:val="24"/>
          <w:highlight w:val="none"/>
          <w:u w:val="single" w:color="auto"/>
        </w:rPr>
        <w:t>项目名称</w:t>
      </w:r>
      <w:r>
        <w:rPr>
          <w:rFonts w:hint="eastAsia" w:ascii="宋体" w:hAnsi="宋体" w:eastAsia="宋体" w:cs="宋体"/>
          <w:spacing w:val="3"/>
          <w:sz w:val="24"/>
          <w:szCs w:val="24"/>
          <w:highlight w:val="none"/>
        </w:rPr>
        <w:t>)的投标及合同执行，以本公司名义处理一</w:t>
      </w:r>
    </w:p>
    <w:p>
      <w:pPr>
        <w:spacing w:line="219" w:lineRule="auto"/>
        <w:ind w:left="105"/>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切与之有关的事务。</w:t>
      </w:r>
    </w:p>
    <w:p>
      <w:pPr>
        <w:spacing w:before="204" w:line="222" w:lineRule="auto"/>
        <w:ind w:left="625"/>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本授权书于</w:t>
      </w:r>
      <w:r>
        <w:rPr>
          <w:rFonts w:hint="eastAsia" w:ascii="宋体" w:hAnsi="宋体" w:eastAsia="宋体" w:cs="宋体"/>
          <w:spacing w:val="-8"/>
          <w:sz w:val="24"/>
          <w:szCs w:val="24"/>
          <w:highlight w:val="none"/>
          <w:u w:val="single" w:color="auto"/>
        </w:rPr>
        <w:t xml:space="preserve">     </w:t>
      </w:r>
      <w:r>
        <w:rPr>
          <w:rFonts w:hint="eastAsia" w:ascii="宋体" w:hAnsi="宋体" w:eastAsia="宋体" w:cs="宋体"/>
          <w:spacing w:val="-8"/>
          <w:sz w:val="24"/>
          <w:szCs w:val="24"/>
          <w:highlight w:val="none"/>
        </w:rPr>
        <w:t>年</w:t>
      </w:r>
      <w:r>
        <w:rPr>
          <w:rFonts w:hint="eastAsia" w:ascii="宋体" w:hAnsi="宋体" w:eastAsia="宋体" w:cs="宋体"/>
          <w:spacing w:val="25"/>
          <w:sz w:val="24"/>
          <w:szCs w:val="24"/>
          <w:highlight w:val="none"/>
          <w:u w:val="single" w:color="auto"/>
        </w:rPr>
        <w:t xml:space="preserve">  </w:t>
      </w:r>
      <w:r>
        <w:rPr>
          <w:rFonts w:hint="eastAsia" w:ascii="宋体" w:hAnsi="宋体" w:eastAsia="宋体" w:cs="宋体"/>
          <w:spacing w:val="-109"/>
          <w:sz w:val="24"/>
          <w:szCs w:val="24"/>
          <w:highlight w:val="none"/>
        </w:rPr>
        <w:t xml:space="preserve"> </w:t>
      </w:r>
      <w:r>
        <w:rPr>
          <w:rFonts w:hint="eastAsia" w:ascii="宋体" w:hAnsi="宋体" w:eastAsia="宋体" w:cs="宋体"/>
          <w:spacing w:val="-8"/>
          <w:sz w:val="24"/>
          <w:szCs w:val="24"/>
          <w:highlight w:val="none"/>
        </w:rPr>
        <w:t>月</w:t>
      </w:r>
      <w:r>
        <w:rPr>
          <w:rFonts w:hint="eastAsia" w:ascii="宋体" w:hAnsi="宋体" w:eastAsia="宋体" w:cs="宋体"/>
          <w:spacing w:val="-8"/>
          <w:sz w:val="24"/>
          <w:szCs w:val="24"/>
          <w:highlight w:val="none"/>
          <w:u w:val="single"/>
          <w:lang w:val="en-US" w:eastAsia="zh-CN"/>
        </w:rPr>
        <w:t xml:space="preserve">   </w:t>
      </w:r>
      <w:r>
        <w:rPr>
          <w:rFonts w:hint="eastAsia" w:ascii="宋体" w:hAnsi="宋体" w:eastAsia="宋体" w:cs="宋体"/>
          <w:spacing w:val="-70"/>
          <w:sz w:val="24"/>
          <w:szCs w:val="24"/>
          <w:highlight w:val="none"/>
          <w:u w:val="single"/>
        </w:rPr>
        <w:t xml:space="preserve"> </w:t>
      </w:r>
      <w:r>
        <w:rPr>
          <w:rFonts w:hint="eastAsia" w:ascii="宋体" w:hAnsi="宋体" w:eastAsia="宋体" w:cs="宋体"/>
          <w:spacing w:val="-8"/>
          <w:sz w:val="24"/>
          <w:szCs w:val="24"/>
          <w:highlight w:val="none"/>
        </w:rPr>
        <w:t>日签字生效，特此声明。</w:t>
      </w:r>
    </w:p>
    <w:p>
      <w:pPr>
        <w:pStyle w:val="7"/>
        <w:spacing w:line="278" w:lineRule="auto"/>
        <w:rPr>
          <w:rFonts w:hint="eastAsia" w:ascii="宋体" w:hAnsi="宋体" w:eastAsia="宋体" w:cs="宋体"/>
          <w:highlight w:val="none"/>
        </w:rPr>
      </w:pPr>
    </w:p>
    <w:p>
      <w:pPr>
        <w:pStyle w:val="7"/>
        <w:spacing w:line="278" w:lineRule="auto"/>
        <w:rPr>
          <w:rFonts w:hint="eastAsia" w:ascii="宋体" w:hAnsi="宋体" w:eastAsia="宋体" w:cs="宋体"/>
          <w:highlight w:val="none"/>
        </w:rPr>
      </w:pPr>
    </w:p>
    <w:p>
      <w:pPr>
        <w:spacing w:before="78" w:line="590" w:lineRule="exact"/>
        <w:ind w:left="108"/>
        <w:rPr>
          <w:rFonts w:hint="eastAsia" w:ascii="宋体" w:hAnsi="宋体" w:eastAsia="宋体" w:cs="宋体"/>
          <w:sz w:val="24"/>
          <w:szCs w:val="24"/>
          <w:highlight w:val="none"/>
        </w:rPr>
      </w:pPr>
      <w:r>
        <w:rPr>
          <w:rFonts w:hint="eastAsia" w:ascii="宋体" w:hAnsi="宋体" w:eastAsia="宋体" w:cs="宋体"/>
          <w:b/>
          <w:bCs/>
          <w:spacing w:val="-4"/>
          <w:position w:val="27"/>
          <w:sz w:val="24"/>
          <w:szCs w:val="24"/>
          <w:highlight w:val="none"/>
        </w:rPr>
        <w:t>此处附：法定代表人身份证扫描件</w:t>
      </w:r>
    </w:p>
    <w:p>
      <w:pPr>
        <w:spacing w:before="1" w:line="219" w:lineRule="auto"/>
        <w:ind w:left="1078"/>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被授权人身份证扫描件</w:t>
      </w:r>
    </w:p>
    <w:p>
      <w:pPr>
        <w:spacing w:before="297" w:line="462" w:lineRule="auto"/>
        <w:ind w:left="105"/>
        <w:rPr>
          <w:rFonts w:hint="eastAsia" w:ascii="宋体" w:hAnsi="宋体" w:eastAsia="宋体" w:cs="宋体"/>
          <w:sz w:val="24"/>
          <w:szCs w:val="24"/>
          <w:highlight w:val="none"/>
        </w:rPr>
      </w:pPr>
      <w:r>
        <w:rPr>
          <w:rFonts w:hint="eastAsia" w:ascii="宋体" w:hAnsi="宋体" w:eastAsia="宋体" w:cs="宋体"/>
          <w:spacing w:val="19"/>
          <w:sz w:val="24"/>
          <w:szCs w:val="24"/>
          <w:highlight w:val="none"/>
        </w:rPr>
        <w:t>法定代表人(签字或盖章):</w:t>
      </w:r>
      <w:r>
        <w:rPr>
          <w:rFonts w:hint="eastAsia" w:ascii="宋体" w:hAnsi="宋体" w:eastAsia="宋体" w:cs="宋体"/>
          <w:spacing w:val="-29"/>
          <w:sz w:val="24"/>
          <w:szCs w:val="24"/>
          <w:highlight w:val="none"/>
        </w:rPr>
        <w:t xml:space="preserve"> </w:t>
      </w:r>
      <w:r>
        <w:rPr>
          <w:rFonts w:hint="eastAsia" w:ascii="宋体" w:hAnsi="宋体" w:eastAsia="宋体" w:cs="宋体"/>
          <w:sz w:val="24"/>
          <w:szCs w:val="24"/>
          <w:highlight w:val="none"/>
          <w:u w:val="single" w:color="auto"/>
        </w:rPr>
        <w:t xml:space="preserve">                   </w:t>
      </w:r>
    </w:p>
    <w:p>
      <w:pPr>
        <w:spacing w:line="218" w:lineRule="auto"/>
        <w:ind w:left="105"/>
        <w:rPr>
          <w:rFonts w:hint="eastAsia" w:ascii="宋体" w:hAnsi="宋体" w:eastAsia="宋体" w:cs="宋体"/>
          <w:sz w:val="24"/>
          <w:szCs w:val="24"/>
          <w:highlight w:val="none"/>
        </w:rPr>
      </w:pPr>
      <w:r>
        <w:rPr>
          <w:rFonts w:hint="eastAsia" w:ascii="宋体" w:hAnsi="宋体" w:eastAsia="宋体" w:cs="宋体"/>
          <w:spacing w:val="18"/>
          <w:sz w:val="24"/>
          <w:szCs w:val="24"/>
          <w:highlight w:val="none"/>
        </w:rPr>
        <w:t xml:space="preserve">被授权人(签字或盖章): </w:t>
      </w:r>
      <w:r>
        <w:rPr>
          <w:rFonts w:hint="eastAsia" w:ascii="宋体" w:hAnsi="宋体" w:eastAsia="宋体" w:cs="宋体"/>
          <w:sz w:val="24"/>
          <w:szCs w:val="24"/>
          <w:highlight w:val="none"/>
          <w:u w:val="single" w:color="auto"/>
        </w:rPr>
        <w:t xml:space="preserve">                     </w:t>
      </w:r>
    </w:p>
    <w:p>
      <w:pPr>
        <w:spacing w:before="307" w:line="448" w:lineRule="auto"/>
        <w:ind w:left="105"/>
        <w:rPr>
          <w:rFonts w:hint="eastAsia" w:ascii="宋体" w:hAnsi="宋体" w:eastAsia="宋体" w:cs="宋体"/>
          <w:sz w:val="24"/>
          <w:szCs w:val="24"/>
          <w:highlight w:val="none"/>
        </w:rPr>
      </w:pPr>
      <w:r>
        <w:rPr>
          <w:rFonts w:hint="eastAsia" w:ascii="宋体" w:hAnsi="宋体" w:eastAsia="宋体" w:cs="宋体"/>
          <w:spacing w:val="11"/>
          <w:sz w:val="24"/>
          <w:szCs w:val="24"/>
          <w:highlight w:val="none"/>
        </w:rPr>
        <w:t xml:space="preserve">供应商单位名称(公章): </w:t>
      </w:r>
      <w:r>
        <w:rPr>
          <w:rFonts w:hint="eastAsia" w:ascii="宋体" w:hAnsi="宋体" w:eastAsia="宋体" w:cs="宋体"/>
          <w:spacing w:val="11"/>
          <w:sz w:val="24"/>
          <w:szCs w:val="24"/>
          <w:highlight w:val="none"/>
          <w:u w:val="single" w:color="auto"/>
        </w:rPr>
        <w:t xml:space="preserve">                     </w:t>
      </w:r>
    </w:p>
    <w:p>
      <w:pPr>
        <w:spacing w:before="1" w:line="228" w:lineRule="auto"/>
        <w:ind w:left="105"/>
        <w:rPr>
          <w:rFonts w:hint="eastAsia" w:ascii="宋体" w:hAnsi="宋体" w:eastAsia="宋体" w:cs="宋体"/>
          <w:sz w:val="24"/>
          <w:szCs w:val="24"/>
          <w:highlight w:val="none"/>
        </w:rPr>
      </w:pPr>
      <w:r>
        <w:rPr>
          <w:rFonts w:hint="eastAsia" w:ascii="宋体" w:hAnsi="宋体" w:eastAsia="宋体" w:cs="宋体"/>
          <w:spacing w:val="-31"/>
          <w:w w:val="95"/>
          <w:sz w:val="24"/>
          <w:szCs w:val="24"/>
          <w:highlight w:val="none"/>
        </w:rPr>
        <w:t>地址：</w:t>
      </w:r>
      <w:r>
        <w:rPr>
          <w:rFonts w:hint="eastAsia" w:ascii="宋体" w:hAnsi="宋体" w:eastAsia="宋体" w:cs="宋体"/>
          <w:spacing w:val="-23"/>
          <w:sz w:val="24"/>
          <w:szCs w:val="24"/>
          <w:highlight w:val="none"/>
        </w:rPr>
        <w:t xml:space="preserve"> </w:t>
      </w:r>
      <w:r>
        <w:rPr>
          <w:rFonts w:hint="eastAsia" w:ascii="宋体" w:hAnsi="宋体" w:eastAsia="宋体" w:cs="宋体"/>
          <w:sz w:val="24"/>
          <w:szCs w:val="24"/>
          <w:highlight w:val="none"/>
          <w:u w:val="single" w:color="auto"/>
        </w:rPr>
        <w:t xml:space="preserve">                                    </w:t>
      </w:r>
    </w:p>
    <w:p>
      <w:pPr>
        <w:spacing w:line="175" w:lineRule="exact"/>
        <w:rPr>
          <w:rFonts w:hint="eastAsia" w:ascii="宋体" w:hAnsi="宋体" w:eastAsia="宋体" w:cs="宋体"/>
          <w:highlight w:val="none"/>
        </w:rPr>
      </w:pPr>
    </w:p>
    <w:tbl>
      <w:tblPr>
        <w:tblStyle w:val="30"/>
        <w:tblW w:w="97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870"/>
        <w:gridCol w:w="487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10" w:hRule="atLeast"/>
        </w:trPr>
        <w:tc>
          <w:tcPr>
            <w:tcW w:w="4870" w:type="dxa"/>
            <w:vAlign w:val="top"/>
          </w:tcPr>
          <w:p>
            <w:pPr>
              <w:spacing w:line="282" w:lineRule="auto"/>
              <w:rPr>
                <w:rFonts w:hint="eastAsia" w:ascii="宋体" w:hAnsi="宋体" w:eastAsia="宋体" w:cs="宋体"/>
                <w:sz w:val="21"/>
                <w:highlight w:val="none"/>
              </w:rPr>
            </w:pPr>
          </w:p>
          <w:p>
            <w:pPr>
              <w:spacing w:line="282" w:lineRule="auto"/>
              <w:rPr>
                <w:rFonts w:hint="eastAsia" w:ascii="宋体" w:hAnsi="宋体" w:eastAsia="宋体" w:cs="宋体"/>
                <w:sz w:val="21"/>
                <w:highlight w:val="none"/>
              </w:rPr>
            </w:pPr>
          </w:p>
          <w:p>
            <w:pPr>
              <w:spacing w:line="282" w:lineRule="auto"/>
              <w:rPr>
                <w:rFonts w:hint="eastAsia" w:ascii="宋体" w:hAnsi="宋体" w:eastAsia="宋体" w:cs="宋体"/>
                <w:sz w:val="21"/>
                <w:highlight w:val="none"/>
              </w:rPr>
            </w:pPr>
          </w:p>
          <w:p>
            <w:pPr>
              <w:spacing w:line="282" w:lineRule="auto"/>
              <w:rPr>
                <w:rFonts w:hint="eastAsia" w:ascii="宋体" w:hAnsi="宋体" w:eastAsia="宋体" w:cs="宋体"/>
                <w:sz w:val="21"/>
                <w:highlight w:val="none"/>
              </w:rPr>
            </w:pPr>
          </w:p>
          <w:p>
            <w:pPr>
              <w:pStyle w:val="31"/>
              <w:spacing w:before="68" w:line="219" w:lineRule="auto"/>
              <w:ind w:left="535"/>
              <w:rPr>
                <w:rFonts w:hint="eastAsia" w:ascii="宋体" w:hAnsi="宋体" w:eastAsia="宋体" w:cs="宋体"/>
                <w:highlight w:val="none"/>
              </w:rPr>
            </w:pPr>
            <w:r>
              <w:rPr>
                <w:rFonts w:hint="eastAsia" w:ascii="宋体" w:hAnsi="宋体" w:eastAsia="宋体" w:cs="宋体"/>
                <w:spacing w:val="3"/>
                <w:highlight w:val="none"/>
              </w:rPr>
              <w:t>法定代表人身份证(头像面)</w:t>
            </w:r>
          </w:p>
        </w:tc>
        <w:tc>
          <w:tcPr>
            <w:tcW w:w="4870" w:type="dxa"/>
            <w:vAlign w:val="top"/>
          </w:tcPr>
          <w:p>
            <w:pPr>
              <w:spacing w:line="282" w:lineRule="auto"/>
              <w:rPr>
                <w:rFonts w:hint="eastAsia" w:ascii="宋体" w:hAnsi="宋体" w:eastAsia="宋体" w:cs="宋体"/>
                <w:sz w:val="21"/>
                <w:highlight w:val="none"/>
              </w:rPr>
            </w:pPr>
          </w:p>
          <w:p>
            <w:pPr>
              <w:spacing w:line="282" w:lineRule="auto"/>
              <w:rPr>
                <w:rFonts w:hint="eastAsia" w:ascii="宋体" w:hAnsi="宋体" w:eastAsia="宋体" w:cs="宋体"/>
                <w:sz w:val="21"/>
                <w:highlight w:val="none"/>
              </w:rPr>
            </w:pPr>
          </w:p>
          <w:p>
            <w:pPr>
              <w:spacing w:line="282" w:lineRule="auto"/>
              <w:rPr>
                <w:rFonts w:hint="eastAsia" w:ascii="宋体" w:hAnsi="宋体" w:eastAsia="宋体" w:cs="宋体"/>
                <w:sz w:val="21"/>
                <w:highlight w:val="none"/>
              </w:rPr>
            </w:pPr>
          </w:p>
          <w:p>
            <w:pPr>
              <w:spacing w:line="282" w:lineRule="auto"/>
              <w:rPr>
                <w:rFonts w:hint="eastAsia" w:ascii="宋体" w:hAnsi="宋体" w:eastAsia="宋体" w:cs="宋体"/>
                <w:sz w:val="21"/>
                <w:highlight w:val="none"/>
              </w:rPr>
            </w:pPr>
          </w:p>
          <w:p>
            <w:pPr>
              <w:pStyle w:val="31"/>
              <w:spacing w:before="68" w:line="219" w:lineRule="auto"/>
              <w:ind w:left="555"/>
              <w:rPr>
                <w:rFonts w:hint="eastAsia" w:ascii="宋体" w:hAnsi="宋体" w:eastAsia="宋体" w:cs="宋体"/>
                <w:highlight w:val="none"/>
              </w:rPr>
            </w:pPr>
            <w:r>
              <w:rPr>
                <w:rFonts w:hint="eastAsia" w:ascii="宋体" w:hAnsi="宋体" w:eastAsia="宋体" w:cs="宋体"/>
                <w:spacing w:val="3"/>
                <w:highlight w:val="none"/>
              </w:rPr>
              <w:t>法定代表人身份证(国徽面)</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670" w:hRule="atLeast"/>
        </w:trPr>
        <w:tc>
          <w:tcPr>
            <w:tcW w:w="4870" w:type="dxa"/>
            <w:vAlign w:val="top"/>
          </w:tcPr>
          <w:p>
            <w:pPr>
              <w:spacing w:line="289" w:lineRule="auto"/>
              <w:rPr>
                <w:rFonts w:hint="eastAsia" w:ascii="宋体" w:hAnsi="宋体" w:eastAsia="宋体" w:cs="宋体"/>
                <w:sz w:val="21"/>
                <w:highlight w:val="none"/>
              </w:rPr>
            </w:pPr>
          </w:p>
          <w:p>
            <w:pPr>
              <w:spacing w:line="289" w:lineRule="auto"/>
              <w:rPr>
                <w:rFonts w:hint="eastAsia" w:ascii="宋体" w:hAnsi="宋体" w:eastAsia="宋体" w:cs="宋体"/>
                <w:sz w:val="21"/>
                <w:highlight w:val="none"/>
              </w:rPr>
            </w:pPr>
          </w:p>
          <w:p>
            <w:pPr>
              <w:spacing w:line="290" w:lineRule="auto"/>
              <w:rPr>
                <w:rFonts w:hint="eastAsia" w:ascii="宋体" w:hAnsi="宋体" w:eastAsia="宋体" w:cs="宋体"/>
                <w:sz w:val="21"/>
                <w:highlight w:val="none"/>
              </w:rPr>
            </w:pPr>
          </w:p>
          <w:p>
            <w:pPr>
              <w:spacing w:line="290" w:lineRule="auto"/>
              <w:rPr>
                <w:rFonts w:hint="eastAsia" w:ascii="宋体" w:hAnsi="宋体" w:eastAsia="宋体" w:cs="宋体"/>
                <w:sz w:val="21"/>
                <w:highlight w:val="none"/>
              </w:rPr>
            </w:pPr>
          </w:p>
          <w:p>
            <w:pPr>
              <w:pStyle w:val="31"/>
              <w:spacing w:before="68" w:line="219" w:lineRule="auto"/>
              <w:ind w:left="535"/>
              <w:rPr>
                <w:rFonts w:hint="eastAsia" w:ascii="宋体" w:hAnsi="宋体" w:eastAsia="宋体" w:cs="宋体"/>
                <w:highlight w:val="none"/>
              </w:rPr>
            </w:pPr>
            <w:r>
              <w:rPr>
                <w:rFonts w:hint="eastAsia" w:ascii="宋体" w:hAnsi="宋体" w:eastAsia="宋体" w:cs="宋体"/>
                <w:spacing w:val="3"/>
                <w:highlight w:val="none"/>
              </w:rPr>
              <w:t>被授权人身份证(头像面)</w:t>
            </w:r>
          </w:p>
        </w:tc>
        <w:tc>
          <w:tcPr>
            <w:tcW w:w="4870" w:type="dxa"/>
            <w:vAlign w:val="top"/>
          </w:tcPr>
          <w:p>
            <w:pPr>
              <w:spacing w:line="289" w:lineRule="auto"/>
              <w:rPr>
                <w:rFonts w:hint="eastAsia" w:ascii="宋体" w:hAnsi="宋体" w:eastAsia="宋体" w:cs="宋体"/>
                <w:sz w:val="21"/>
                <w:highlight w:val="none"/>
              </w:rPr>
            </w:pPr>
          </w:p>
          <w:p>
            <w:pPr>
              <w:spacing w:line="289" w:lineRule="auto"/>
              <w:rPr>
                <w:rFonts w:hint="eastAsia" w:ascii="宋体" w:hAnsi="宋体" w:eastAsia="宋体" w:cs="宋体"/>
                <w:sz w:val="21"/>
                <w:highlight w:val="none"/>
              </w:rPr>
            </w:pPr>
          </w:p>
          <w:p>
            <w:pPr>
              <w:spacing w:line="290" w:lineRule="auto"/>
              <w:rPr>
                <w:rFonts w:hint="eastAsia" w:ascii="宋体" w:hAnsi="宋体" w:eastAsia="宋体" w:cs="宋体"/>
                <w:sz w:val="21"/>
                <w:highlight w:val="none"/>
              </w:rPr>
            </w:pPr>
          </w:p>
          <w:p>
            <w:pPr>
              <w:spacing w:line="290" w:lineRule="auto"/>
              <w:rPr>
                <w:rFonts w:hint="eastAsia" w:ascii="宋体" w:hAnsi="宋体" w:eastAsia="宋体" w:cs="宋体"/>
                <w:sz w:val="21"/>
                <w:highlight w:val="none"/>
              </w:rPr>
            </w:pPr>
          </w:p>
          <w:p>
            <w:pPr>
              <w:pStyle w:val="31"/>
              <w:spacing w:before="68" w:line="219" w:lineRule="auto"/>
              <w:ind w:left="555"/>
              <w:rPr>
                <w:rFonts w:hint="eastAsia" w:ascii="宋体" w:hAnsi="宋体" w:eastAsia="宋体" w:cs="宋体"/>
                <w:highlight w:val="none"/>
              </w:rPr>
            </w:pPr>
            <w:r>
              <w:rPr>
                <w:rFonts w:hint="eastAsia" w:ascii="宋体" w:hAnsi="宋体" w:eastAsia="宋体" w:cs="宋体"/>
                <w:spacing w:val="3"/>
                <w:highlight w:val="none"/>
              </w:rPr>
              <w:t>被授权人身份证(国徽面)</w:t>
            </w:r>
          </w:p>
        </w:tc>
      </w:tr>
    </w:tbl>
    <w:p>
      <w:pPr>
        <w:pStyle w:val="7"/>
        <w:rPr>
          <w:rFonts w:hint="eastAsia" w:ascii="宋体" w:hAnsi="宋体" w:eastAsia="宋体" w:cs="宋体"/>
          <w:highlight w:val="none"/>
        </w:rPr>
      </w:pPr>
    </w:p>
    <w:p>
      <w:pPr>
        <w:rPr>
          <w:rFonts w:hint="eastAsia" w:ascii="宋体" w:hAnsi="宋体" w:eastAsia="宋体" w:cs="宋体"/>
          <w:highlight w:val="none"/>
        </w:rPr>
        <w:sectPr>
          <w:footerReference r:id="rId17" w:type="default"/>
          <w:pgSz w:w="11910" w:h="16840"/>
          <w:pgMar w:top="1431" w:right="855" w:bottom="1171" w:left="1304" w:header="0" w:footer="973" w:gutter="0"/>
          <w:pgNumType w:fmt="decimal"/>
          <w:cols w:space="720" w:num="1"/>
        </w:sectPr>
      </w:pPr>
    </w:p>
    <w:p>
      <w:pPr>
        <w:spacing w:before="106" w:line="219" w:lineRule="auto"/>
        <w:ind w:left="3483"/>
        <w:rPr>
          <w:rFonts w:hint="eastAsia" w:ascii="宋体" w:hAnsi="宋体" w:eastAsia="宋体" w:cs="宋体"/>
          <w:sz w:val="28"/>
          <w:szCs w:val="28"/>
          <w:highlight w:val="none"/>
        </w:rPr>
      </w:pPr>
      <w:r>
        <w:rPr>
          <w:rFonts w:hint="eastAsia" w:ascii="宋体" w:hAnsi="宋体" w:eastAsia="宋体" w:cs="宋体"/>
          <w:b/>
          <w:bCs/>
          <w:spacing w:val="-6"/>
          <w:sz w:val="28"/>
          <w:szCs w:val="28"/>
          <w:highlight w:val="none"/>
        </w:rPr>
        <w:t>4.</w:t>
      </w:r>
      <w:r>
        <w:rPr>
          <w:rFonts w:hint="eastAsia" w:ascii="宋体" w:hAnsi="宋体" w:eastAsia="宋体" w:cs="宋体"/>
          <w:spacing w:val="-6"/>
          <w:sz w:val="28"/>
          <w:szCs w:val="28"/>
          <w:highlight w:val="none"/>
        </w:rPr>
        <w:t xml:space="preserve"> </w:t>
      </w:r>
      <w:r>
        <w:rPr>
          <w:rFonts w:hint="eastAsia" w:ascii="宋体" w:hAnsi="宋体" w:eastAsia="宋体" w:cs="宋体"/>
          <w:b/>
          <w:bCs/>
          <w:spacing w:val="-6"/>
          <w:sz w:val="28"/>
          <w:szCs w:val="28"/>
          <w:highlight w:val="none"/>
        </w:rPr>
        <w:t>资格证明文件</w:t>
      </w:r>
    </w:p>
    <w:p>
      <w:pPr>
        <w:pStyle w:val="7"/>
        <w:spacing w:line="454" w:lineRule="auto"/>
        <w:rPr>
          <w:rFonts w:hint="eastAsia" w:ascii="宋体" w:hAnsi="宋体" w:eastAsia="宋体" w:cs="宋体"/>
          <w:highlight w:val="none"/>
        </w:rPr>
      </w:pPr>
    </w:p>
    <w:p>
      <w:pPr>
        <w:spacing w:before="91" w:line="219" w:lineRule="auto"/>
        <w:ind w:left="3623"/>
        <w:rPr>
          <w:rFonts w:hint="eastAsia" w:ascii="宋体" w:hAnsi="宋体" w:eastAsia="宋体" w:cs="宋体"/>
          <w:sz w:val="28"/>
          <w:szCs w:val="28"/>
          <w:highlight w:val="none"/>
        </w:rPr>
      </w:pPr>
      <w:r>
        <w:rPr>
          <w:rFonts w:hint="eastAsia" w:ascii="宋体" w:hAnsi="宋体" w:eastAsia="宋体" w:cs="宋体"/>
          <w:b/>
          <w:bCs/>
          <w:spacing w:val="-3"/>
          <w:sz w:val="28"/>
          <w:szCs w:val="28"/>
          <w:highlight w:val="none"/>
        </w:rPr>
        <w:t>4.1</w:t>
      </w:r>
      <w:r>
        <w:rPr>
          <w:rFonts w:hint="eastAsia" w:ascii="宋体" w:hAnsi="宋体" w:eastAsia="宋体" w:cs="宋体"/>
          <w:spacing w:val="134"/>
          <w:sz w:val="28"/>
          <w:szCs w:val="28"/>
          <w:highlight w:val="none"/>
        </w:rPr>
        <w:t xml:space="preserve"> </w:t>
      </w:r>
      <w:r>
        <w:rPr>
          <w:rFonts w:hint="eastAsia" w:ascii="宋体" w:hAnsi="宋体" w:eastAsia="宋体" w:cs="宋体"/>
          <w:b/>
          <w:bCs/>
          <w:spacing w:val="-3"/>
          <w:sz w:val="28"/>
          <w:szCs w:val="28"/>
          <w:highlight w:val="none"/>
        </w:rPr>
        <w:t>营业执照</w:t>
      </w:r>
    </w:p>
    <w:p>
      <w:pPr>
        <w:pStyle w:val="7"/>
        <w:spacing w:line="438" w:lineRule="auto"/>
        <w:rPr>
          <w:rFonts w:hint="eastAsia" w:ascii="宋体" w:hAnsi="宋体" w:eastAsia="宋体" w:cs="宋体"/>
          <w:highlight w:val="none"/>
        </w:rPr>
      </w:pPr>
    </w:p>
    <w:p>
      <w:pPr>
        <w:spacing w:before="78" w:line="451" w:lineRule="exact"/>
        <w:jc w:val="right"/>
        <w:rPr>
          <w:rFonts w:hint="eastAsia" w:ascii="宋体" w:hAnsi="宋体" w:eastAsia="宋体" w:cs="宋体"/>
          <w:sz w:val="24"/>
          <w:szCs w:val="24"/>
          <w:highlight w:val="none"/>
        </w:rPr>
      </w:pPr>
      <w:r>
        <w:rPr>
          <w:rFonts w:hint="eastAsia" w:ascii="宋体" w:hAnsi="宋体" w:eastAsia="宋体" w:cs="宋体"/>
          <w:spacing w:val="1"/>
          <w:position w:val="15"/>
          <w:sz w:val="24"/>
          <w:szCs w:val="24"/>
          <w:highlight w:val="none"/>
        </w:rPr>
        <w:t>法人或者其他组织的营业执照等证明文件，如果供应商为自然人须提供自然人的身</w:t>
      </w:r>
    </w:p>
    <w:p>
      <w:pPr>
        <w:spacing w:line="219" w:lineRule="auto"/>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份证明。</w:t>
      </w:r>
    </w:p>
    <w:p>
      <w:pPr>
        <w:spacing w:line="219" w:lineRule="auto"/>
        <w:rPr>
          <w:rFonts w:hint="eastAsia" w:ascii="宋体" w:hAnsi="宋体" w:eastAsia="宋体" w:cs="宋体"/>
          <w:sz w:val="24"/>
          <w:szCs w:val="24"/>
          <w:highlight w:val="none"/>
        </w:rPr>
        <w:sectPr>
          <w:footerReference r:id="rId18" w:type="default"/>
          <w:pgSz w:w="11910" w:h="16840"/>
          <w:pgMar w:top="1431" w:right="1432" w:bottom="1177" w:left="1420" w:header="0" w:footer="998" w:gutter="0"/>
          <w:pgNumType w:fmt="decimal"/>
          <w:cols w:space="720" w:num="1"/>
        </w:sectPr>
      </w:pPr>
    </w:p>
    <w:p>
      <w:pPr>
        <w:pStyle w:val="7"/>
        <w:spacing w:line="270" w:lineRule="auto"/>
        <w:rPr>
          <w:rFonts w:hint="eastAsia" w:ascii="宋体" w:hAnsi="宋体" w:eastAsia="宋体" w:cs="宋体"/>
          <w:highlight w:val="none"/>
        </w:rPr>
      </w:pPr>
    </w:p>
    <w:p>
      <w:pPr>
        <w:spacing w:before="91" w:line="218" w:lineRule="auto"/>
        <w:ind w:left="3087"/>
        <w:outlineLvl w:val="9"/>
        <w:rPr>
          <w:rFonts w:hint="eastAsia" w:ascii="宋体" w:hAnsi="宋体" w:eastAsia="宋体" w:cs="宋体"/>
          <w:sz w:val="28"/>
          <w:szCs w:val="28"/>
          <w:highlight w:val="none"/>
        </w:rPr>
      </w:pPr>
      <w:r>
        <w:rPr>
          <w:rFonts w:hint="eastAsia" w:ascii="宋体" w:hAnsi="宋体" w:eastAsia="宋体" w:cs="宋体"/>
          <w:b/>
          <w:bCs/>
          <w:spacing w:val="2"/>
          <w:sz w:val="28"/>
          <w:szCs w:val="28"/>
          <w:highlight w:val="none"/>
        </w:rPr>
        <w:t>4.2财务状况报告</w:t>
      </w:r>
    </w:p>
    <w:p>
      <w:pPr>
        <w:pStyle w:val="7"/>
        <w:spacing w:line="243" w:lineRule="auto"/>
        <w:rPr>
          <w:rFonts w:hint="eastAsia" w:ascii="宋体" w:hAnsi="宋体" w:eastAsia="宋体" w:cs="宋体"/>
          <w:highlight w:val="none"/>
        </w:rPr>
      </w:pPr>
    </w:p>
    <w:p>
      <w:pPr>
        <w:pStyle w:val="7"/>
        <w:spacing w:line="243" w:lineRule="auto"/>
        <w:rPr>
          <w:rFonts w:hint="eastAsia" w:ascii="宋体" w:hAnsi="宋体" w:eastAsia="宋体" w:cs="宋体"/>
          <w:highlight w:val="none"/>
        </w:rPr>
      </w:pPr>
    </w:p>
    <w:p>
      <w:pPr>
        <w:pStyle w:val="7"/>
        <w:spacing w:line="243" w:lineRule="auto"/>
        <w:rPr>
          <w:rFonts w:hint="eastAsia" w:ascii="宋体" w:hAnsi="宋体" w:eastAsia="宋体" w:cs="宋体"/>
          <w:highlight w:val="none"/>
        </w:rPr>
      </w:pPr>
    </w:p>
    <w:p>
      <w:pPr>
        <w:spacing w:before="78" w:line="218" w:lineRule="auto"/>
        <w:ind w:left="1293"/>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经审计的2022或2023年度财务报告或银行</w:t>
      </w:r>
      <w:r>
        <w:rPr>
          <w:rFonts w:hint="eastAsia" w:ascii="宋体" w:hAnsi="宋体" w:eastAsia="宋体" w:cs="宋体"/>
          <w:spacing w:val="7"/>
          <w:sz w:val="24"/>
          <w:szCs w:val="24"/>
          <w:highlight w:val="none"/>
        </w:rPr>
        <w:t>出具的资信证明</w:t>
      </w:r>
    </w:p>
    <w:p>
      <w:pPr>
        <w:spacing w:line="218" w:lineRule="auto"/>
        <w:rPr>
          <w:rFonts w:hint="eastAsia" w:ascii="宋体" w:hAnsi="宋体" w:eastAsia="宋体" w:cs="宋体"/>
          <w:sz w:val="24"/>
          <w:szCs w:val="24"/>
          <w:highlight w:val="none"/>
        </w:rPr>
        <w:sectPr>
          <w:footerReference r:id="rId19" w:type="default"/>
          <w:pgSz w:w="11910" w:h="16840"/>
          <w:pgMar w:top="1431" w:right="1786" w:bottom="1171" w:left="1786" w:header="0" w:footer="973" w:gutter="0"/>
          <w:pgNumType w:fmt="decimal"/>
          <w:cols w:space="720" w:num="1"/>
        </w:sectPr>
      </w:pPr>
    </w:p>
    <w:p>
      <w:pPr>
        <w:pStyle w:val="7"/>
        <w:spacing w:line="246" w:lineRule="auto"/>
        <w:rPr>
          <w:rFonts w:hint="eastAsia" w:ascii="宋体" w:hAnsi="宋体" w:eastAsia="宋体" w:cs="宋体"/>
          <w:highlight w:val="none"/>
        </w:rPr>
      </w:pPr>
    </w:p>
    <w:p>
      <w:pPr>
        <w:pStyle w:val="7"/>
        <w:spacing w:line="246" w:lineRule="auto"/>
        <w:rPr>
          <w:rFonts w:hint="eastAsia" w:ascii="宋体" w:hAnsi="宋体" w:eastAsia="宋体" w:cs="宋体"/>
          <w:highlight w:val="none"/>
        </w:rPr>
      </w:pPr>
    </w:p>
    <w:p>
      <w:pPr>
        <w:pStyle w:val="7"/>
        <w:spacing w:line="246" w:lineRule="auto"/>
        <w:rPr>
          <w:rFonts w:hint="eastAsia" w:ascii="宋体" w:hAnsi="宋体" w:eastAsia="宋体" w:cs="宋体"/>
          <w:highlight w:val="none"/>
        </w:rPr>
      </w:pPr>
    </w:p>
    <w:p>
      <w:pPr>
        <w:spacing w:before="91" w:line="219" w:lineRule="auto"/>
        <w:ind w:left="1407"/>
        <w:outlineLvl w:val="9"/>
        <w:rPr>
          <w:rFonts w:hint="eastAsia" w:ascii="宋体" w:hAnsi="宋体" w:eastAsia="宋体" w:cs="宋体"/>
          <w:sz w:val="28"/>
          <w:szCs w:val="28"/>
          <w:highlight w:val="none"/>
        </w:rPr>
      </w:pPr>
      <w:r>
        <w:rPr>
          <w:rFonts w:hint="eastAsia" w:ascii="宋体" w:hAnsi="宋体" w:eastAsia="宋体" w:cs="宋体"/>
          <w:b/>
          <w:bCs/>
          <w:sz w:val="28"/>
          <w:szCs w:val="28"/>
          <w:highlight w:val="none"/>
        </w:rPr>
        <w:t>4.3依法缴纳税收和社会保障资金的相关材料</w:t>
      </w:r>
    </w:p>
    <w:p>
      <w:pPr>
        <w:pStyle w:val="7"/>
        <w:spacing w:line="446" w:lineRule="auto"/>
        <w:rPr>
          <w:rFonts w:hint="eastAsia" w:ascii="宋体" w:hAnsi="宋体" w:eastAsia="宋体" w:cs="宋体"/>
          <w:highlight w:val="none"/>
        </w:rPr>
      </w:pPr>
    </w:p>
    <w:p>
      <w:pPr>
        <w:spacing w:before="78" w:line="219" w:lineRule="auto"/>
        <w:ind w:left="1236"/>
        <w:rPr>
          <w:rFonts w:hint="eastAsia" w:ascii="宋体" w:hAnsi="宋体" w:eastAsia="宋体" w:cs="宋体"/>
          <w:sz w:val="24"/>
          <w:szCs w:val="24"/>
          <w:highlight w:val="none"/>
        </w:rPr>
      </w:pPr>
      <w:r>
        <w:rPr>
          <w:rFonts w:hint="eastAsia" w:ascii="宋体" w:hAnsi="宋体" w:eastAsia="宋体" w:cs="宋体"/>
          <w:b/>
          <w:bCs/>
          <w:spacing w:val="15"/>
          <w:sz w:val="24"/>
          <w:szCs w:val="24"/>
          <w:highlight w:val="none"/>
        </w:rPr>
        <w:t>提供2023年1月1日以来任意1个月的纳税和社保证明</w:t>
      </w:r>
    </w:p>
    <w:p>
      <w:pPr>
        <w:spacing w:line="219" w:lineRule="auto"/>
        <w:rPr>
          <w:rFonts w:hint="eastAsia" w:ascii="宋体" w:hAnsi="宋体" w:eastAsia="宋体" w:cs="宋体"/>
          <w:sz w:val="24"/>
          <w:szCs w:val="24"/>
          <w:highlight w:val="none"/>
        </w:rPr>
        <w:sectPr>
          <w:footerReference r:id="rId20" w:type="default"/>
          <w:pgSz w:w="11910" w:h="16840"/>
          <w:pgMar w:top="1431" w:right="1786" w:bottom="1171" w:left="1786" w:header="0" w:footer="973" w:gutter="0"/>
          <w:pgNumType w:fmt="decimal"/>
          <w:cols w:space="720" w:num="1"/>
        </w:sectPr>
      </w:pPr>
    </w:p>
    <w:p>
      <w:pPr>
        <w:spacing w:before="104" w:line="219" w:lineRule="auto"/>
        <w:ind w:left="923"/>
        <w:outlineLvl w:val="9"/>
        <w:rPr>
          <w:rFonts w:hint="eastAsia" w:ascii="宋体" w:hAnsi="宋体" w:eastAsia="宋体" w:cs="宋体"/>
          <w:sz w:val="28"/>
          <w:szCs w:val="28"/>
          <w:highlight w:val="none"/>
        </w:rPr>
      </w:pPr>
      <w:r>
        <w:rPr>
          <w:rFonts w:hint="eastAsia" w:ascii="宋体" w:hAnsi="宋体" w:eastAsia="宋体" w:cs="宋体"/>
          <w:b/>
          <w:bCs/>
          <w:spacing w:val="-1"/>
          <w:sz w:val="28"/>
          <w:szCs w:val="28"/>
          <w:highlight w:val="none"/>
        </w:rPr>
        <w:t>4.4具备履行合同所必需的设备和专业技术能力的证明材料</w:t>
      </w:r>
    </w:p>
    <w:p>
      <w:pPr>
        <w:pStyle w:val="7"/>
        <w:spacing w:line="409" w:lineRule="auto"/>
        <w:rPr>
          <w:rFonts w:hint="eastAsia" w:ascii="宋体" w:hAnsi="宋体" w:eastAsia="宋体" w:cs="宋体"/>
          <w:highlight w:val="none"/>
        </w:rPr>
      </w:pPr>
    </w:p>
    <w:p>
      <w:pPr>
        <w:spacing w:before="78" w:line="362" w:lineRule="auto"/>
        <w:ind w:left="10" w:firstLine="469"/>
        <w:jc w:val="both"/>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提供具备履行合同所必需的设备的发票扫描件和专业技术人员的相关证件扫描件，</w:t>
      </w:r>
      <w:r>
        <w:rPr>
          <w:rFonts w:hint="eastAsia" w:ascii="宋体" w:hAnsi="宋体" w:eastAsia="宋体" w:cs="宋体"/>
          <w:spacing w:val="7"/>
          <w:sz w:val="24"/>
          <w:szCs w:val="24"/>
          <w:highlight w:val="none"/>
        </w:rPr>
        <w:t xml:space="preserve"> </w:t>
      </w:r>
      <w:r>
        <w:rPr>
          <w:rFonts w:hint="eastAsia" w:ascii="宋体" w:hAnsi="宋体" w:eastAsia="宋体" w:cs="宋体"/>
          <w:spacing w:val="-2"/>
          <w:sz w:val="24"/>
          <w:szCs w:val="24"/>
          <w:highlight w:val="none"/>
        </w:rPr>
        <w:t>或履行过类似项目的证明材料扫描件，或提供具备履行合同所必需的设备和专业技术能</w:t>
      </w:r>
    </w:p>
    <w:p>
      <w:pPr>
        <w:spacing w:line="218" w:lineRule="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力的承诺书。</w:t>
      </w:r>
    </w:p>
    <w:p>
      <w:pPr>
        <w:spacing w:line="218" w:lineRule="auto"/>
        <w:rPr>
          <w:rFonts w:hint="eastAsia" w:ascii="宋体" w:hAnsi="宋体" w:eastAsia="宋体" w:cs="宋体"/>
          <w:sz w:val="24"/>
          <w:szCs w:val="24"/>
          <w:highlight w:val="none"/>
        </w:rPr>
        <w:sectPr>
          <w:footerReference r:id="rId21" w:type="default"/>
          <w:pgSz w:w="11910" w:h="16840"/>
          <w:pgMar w:top="1431" w:right="1423" w:bottom="1175" w:left="1430" w:header="0" w:footer="986" w:gutter="0"/>
          <w:pgNumType w:fmt="decimal"/>
          <w:cols w:space="720" w:num="1"/>
        </w:sectPr>
      </w:pPr>
    </w:p>
    <w:p>
      <w:pPr>
        <w:spacing w:before="325" w:line="661" w:lineRule="exact"/>
        <w:jc w:val="right"/>
        <w:rPr>
          <w:rFonts w:hint="eastAsia" w:ascii="宋体" w:hAnsi="宋体" w:eastAsia="宋体" w:cs="宋体"/>
          <w:sz w:val="29"/>
          <w:szCs w:val="29"/>
          <w:highlight w:val="none"/>
        </w:rPr>
      </w:pPr>
      <w:r>
        <w:rPr>
          <w:rFonts w:hint="eastAsia" w:ascii="宋体" w:hAnsi="宋体" w:eastAsia="宋体" w:cs="宋体"/>
          <w:b/>
          <w:bCs/>
          <w:spacing w:val="-14"/>
          <w:position w:val="28"/>
          <w:sz w:val="29"/>
          <w:szCs w:val="29"/>
          <w:highlight w:val="none"/>
        </w:rPr>
        <w:t>4.5参加政府采购活动前三年内，在经营活</w:t>
      </w:r>
      <w:r>
        <w:rPr>
          <w:rFonts w:hint="eastAsia" w:ascii="宋体" w:hAnsi="宋体" w:eastAsia="宋体" w:cs="宋体"/>
          <w:b/>
          <w:bCs/>
          <w:spacing w:val="-15"/>
          <w:position w:val="28"/>
          <w:sz w:val="29"/>
          <w:szCs w:val="29"/>
          <w:highlight w:val="none"/>
        </w:rPr>
        <w:t>动中没有重大违法记录的书面声</w:t>
      </w:r>
    </w:p>
    <w:p>
      <w:pPr>
        <w:spacing w:line="219" w:lineRule="auto"/>
        <w:ind w:left="4274"/>
        <w:rPr>
          <w:rFonts w:hint="eastAsia" w:ascii="宋体" w:hAnsi="宋体" w:eastAsia="宋体" w:cs="宋体"/>
          <w:sz w:val="29"/>
          <w:szCs w:val="29"/>
          <w:highlight w:val="none"/>
        </w:rPr>
      </w:pPr>
      <w:r>
        <w:rPr>
          <w:rFonts w:hint="eastAsia" w:ascii="宋体" w:hAnsi="宋体" w:eastAsia="宋体" w:cs="宋体"/>
          <w:b/>
          <w:bCs/>
          <w:spacing w:val="-24"/>
          <w:sz w:val="29"/>
          <w:szCs w:val="29"/>
          <w:highlight w:val="none"/>
        </w:rPr>
        <w:t>明。</w:t>
      </w:r>
    </w:p>
    <w:p>
      <w:pPr>
        <w:pStyle w:val="7"/>
        <w:spacing w:line="425" w:lineRule="auto"/>
        <w:rPr>
          <w:rFonts w:hint="eastAsia" w:ascii="宋体" w:hAnsi="宋体" w:eastAsia="宋体" w:cs="宋体"/>
          <w:highlight w:val="none"/>
        </w:rPr>
      </w:pPr>
    </w:p>
    <w:p>
      <w:pPr>
        <w:spacing w:before="78" w:line="219" w:lineRule="auto"/>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致：</w:t>
      </w:r>
      <w:r>
        <w:rPr>
          <w:rFonts w:hint="eastAsia" w:ascii="宋体" w:hAnsi="宋体" w:eastAsia="宋体" w:cs="宋体"/>
          <w:spacing w:val="63"/>
          <w:sz w:val="24"/>
          <w:szCs w:val="24"/>
          <w:highlight w:val="none"/>
        </w:rPr>
        <w:t xml:space="preserve"> </w:t>
      </w:r>
      <w:r>
        <w:rPr>
          <w:rFonts w:hint="eastAsia" w:ascii="宋体" w:hAnsi="宋体" w:eastAsia="宋体" w:cs="宋体"/>
          <w:spacing w:val="-9"/>
          <w:sz w:val="24"/>
          <w:szCs w:val="24"/>
          <w:highlight w:val="none"/>
        </w:rPr>
        <w:t>(</w:t>
      </w:r>
      <w:r>
        <w:rPr>
          <w:rFonts w:hint="eastAsia" w:ascii="宋体" w:hAnsi="宋体" w:eastAsia="宋体" w:cs="宋体"/>
          <w:spacing w:val="-68"/>
          <w:sz w:val="24"/>
          <w:szCs w:val="24"/>
          <w:highlight w:val="none"/>
        </w:rPr>
        <w:t xml:space="preserve"> </w:t>
      </w:r>
      <w:r>
        <w:rPr>
          <w:rFonts w:hint="eastAsia" w:ascii="宋体" w:hAnsi="宋体" w:eastAsia="宋体" w:cs="宋体"/>
          <w:spacing w:val="-9"/>
          <w:sz w:val="24"/>
          <w:szCs w:val="24"/>
          <w:highlight w:val="none"/>
          <w:u w:val="single" w:color="auto"/>
        </w:rPr>
        <w:t>采购人、采购代理机构名称</w:t>
      </w:r>
      <w:r>
        <w:rPr>
          <w:rFonts w:hint="eastAsia" w:ascii="宋体" w:hAnsi="宋体" w:eastAsia="宋体" w:cs="宋体"/>
          <w:spacing w:val="-9"/>
          <w:sz w:val="24"/>
          <w:szCs w:val="24"/>
          <w:highlight w:val="none"/>
        </w:rPr>
        <w:t>)</w:t>
      </w:r>
    </w:p>
    <w:p>
      <w:pPr>
        <w:pStyle w:val="7"/>
        <w:spacing w:line="267" w:lineRule="auto"/>
        <w:rPr>
          <w:rFonts w:hint="eastAsia" w:ascii="宋体" w:hAnsi="宋体" w:eastAsia="宋体" w:cs="宋体"/>
          <w:highlight w:val="none"/>
        </w:rPr>
      </w:pPr>
    </w:p>
    <w:p>
      <w:pPr>
        <w:pStyle w:val="7"/>
        <w:spacing w:line="267" w:lineRule="auto"/>
        <w:rPr>
          <w:rFonts w:hint="eastAsia" w:ascii="宋体" w:hAnsi="宋体" w:eastAsia="宋体" w:cs="宋体"/>
          <w:highlight w:val="none"/>
        </w:rPr>
      </w:pPr>
    </w:p>
    <w:p>
      <w:pPr>
        <w:spacing w:before="78" w:line="471" w:lineRule="exact"/>
        <w:jc w:val="right"/>
        <w:rPr>
          <w:rFonts w:hint="eastAsia" w:ascii="宋体" w:hAnsi="宋体" w:eastAsia="宋体" w:cs="宋体"/>
          <w:sz w:val="24"/>
          <w:szCs w:val="24"/>
          <w:highlight w:val="none"/>
        </w:rPr>
      </w:pPr>
      <w:r>
        <w:rPr>
          <w:rFonts w:hint="eastAsia" w:ascii="宋体" w:hAnsi="宋体" w:eastAsia="宋体" w:cs="宋体"/>
          <w:spacing w:val="-2"/>
          <w:position w:val="17"/>
          <w:sz w:val="24"/>
          <w:szCs w:val="24"/>
          <w:highlight w:val="none"/>
        </w:rPr>
        <w:t>我公司在参加政府采购活动前三年内在经营活动中没有重大违法记录，</w:t>
      </w:r>
      <w:r>
        <w:rPr>
          <w:rFonts w:hint="eastAsia" w:ascii="宋体" w:hAnsi="宋体" w:eastAsia="宋体" w:cs="宋体"/>
          <w:spacing w:val="-3"/>
          <w:position w:val="17"/>
          <w:sz w:val="24"/>
          <w:szCs w:val="24"/>
          <w:highlight w:val="none"/>
        </w:rPr>
        <w:t>若有，我公</w:t>
      </w:r>
    </w:p>
    <w:p>
      <w:pPr>
        <w:spacing w:line="219" w:lineRule="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司承担一切法律责任。特此声明。</w:t>
      </w:r>
    </w:p>
    <w:p>
      <w:pPr>
        <w:pStyle w:val="7"/>
        <w:spacing w:line="272" w:lineRule="auto"/>
        <w:rPr>
          <w:rFonts w:hint="eastAsia" w:ascii="宋体" w:hAnsi="宋体" w:eastAsia="宋体" w:cs="宋体"/>
          <w:highlight w:val="none"/>
        </w:rPr>
      </w:pPr>
    </w:p>
    <w:p>
      <w:pPr>
        <w:pStyle w:val="7"/>
        <w:spacing w:line="272" w:lineRule="auto"/>
        <w:rPr>
          <w:rFonts w:hint="eastAsia" w:ascii="宋体" w:hAnsi="宋体" w:eastAsia="宋体" w:cs="宋体"/>
          <w:highlight w:val="none"/>
        </w:rPr>
      </w:pPr>
    </w:p>
    <w:p>
      <w:pPr>
        <w:pStyle w:val="7"/>
        <w:spacing w:line="273" w:lineRule="auto"/>
        <w:rPr>
          <w:rFonts w:hint="eastAsia" w:ascii="宋体" w:hAnsi="宋体" w:eastAsia="宋体" w:cs="宋体"/>
          <w:highlight w:val="none"/>
        </w:rPr>
      </w:pPr>
    </w:p>
    <w:p>
      <w:pPr>
        <w:pStyle w:val="7"/>
        <w:spacing w:line="273" w:lineRule="auto"/>
        <w:rPr>
          <w:rFonts w:hint="eastAsia" w:ascii="宋体" w:hAnsi="宋体" w:eastAsia="宋体" w:cs="宋体"/>
          <w:highlight w:val="none"/>
        </w:rPr>
      </w:pPr>
    </w:p>
    <w:p>
      <w:pPr>
        <w:pStyle w:val="7"/>
        <w:spacing w:line="273" w:lineRule="auto"/>
        <w:rPr>
          <w:rFonts w:hint="eastAsia" w:ascii="宋体" w:hAnsi="宋体" w:eastAsia="宋体" w:cs="宋体"/>
          <w:highlight w:val="none"/>
        </w:rPr>
      </w:pPr>
    </w:p>
    <w:p>
      <w:pPr>
        <w:pStyle w:val="7"/>
        <w:spacing w:line="273" w:lineRule="auto"/>
        <w:rPr>
          <w:rFonts w:hint="eastAsia" w:ascii="宋体" w:hAnsi="宋体" w:eastAsia="宋体" w:cs="宋体"/>
          <w:highlight w:val="none"/>
        </w:rPr>
      </w:pPr>
    </w:p>
    <w:p>
      <w:pPr>
        <w:spacing w:before="78" w:line="439" w:lineRule="auto"/>
        <w:ind w:left="2959"/>
        <w:rPr>
          <w:rFonts w:hint="eastAsia" w:ascii="宋体" w:hAnsi="宋体" w:eastAsia="宋体" w:cs="宋体"/>
          <w:sz w:val="24"/>
          <w:szCs w:val="24"/>
          <w:highlight w:val="none"/>
        </w:rPr>
      </w:pPr>
      <w:r>
        <w:rPr>
          <w:rFonts w:hint="eastAsia" w:ascii="宋体" w:hAnsi="宋体" w:eastAsia="宋体" w:cs="宋体"/>
          <w:spacing w:val="20"/>
          <w:sz w:val="24"/>
          <w:szCs w:val="24"/>
          <w:highlight w:val="none"/>
        </w:rPr>
        <w:t>单位名称(公章):</w:t>
      </w:r>
      <w:r>
        <w:rPr>
          <w:rFonts w:hint="eastAsia" w:ascii="宋体" w:hAnsi="宋体" w:eastAsia="宋体" w:cs="宋体"/>
          <w:spacing w:val="-12"/>
          <w:sz w:val="24"/>
          <w:szCs w:val="24"/>
          <w:highlight w:val="none"/>
        </w:rPr>
        <w:t xml:space="preserve"> </w:t>
      </w:r>
      <w:r>
        <w:rPr>
          <w:rFonts w:hint="eastAsia" w:ascii="宋体" w:hAnsi="宋体" w:eastAsia="宋体" w:cs="宋体"/>
          <w:sz w:val="24"/>
          <w:szCs w:val="24"/>
          <w:highlight w:val="none"/>
          <w:u w:val="single" w:color="auto"/>
        </w:rPr>
        <w:t xml:space="preserve">                    </w:t>
      </w:r>
    </w:p>
    <w:p>
      <w:pPr>
        <w:spacing w:line="227" w:lineRule="auto"/>
        <w:ind w:left="2969"/>
        <w:rPr>
          <w:rFonts w:hint="eastAsia" w:ascii="宋体" w:hAnsi="宋体" w:eastAsia="宋体" w:cs="宋体"/>
          <w:sz w:val="24"/>
          <w:szCs w:val="24"/>
          <w:highlight w:val="none"/>
        </w:rPr>
      </w:pPr>
      <w:r>
        <w:rPr>
          <w:rFonts w:hint="eastAsia" w:ascii="宋体" w:hAnsi="宋体" w:eastAsia="宋体" w:cs="宋体"/>
          <w:spacing w:val="-30"/>
          <w:sz w:val="24"/>
          <w:szCs w:val="24"/>
          <w:highlight w:val="none"/>
        </w:rPr>
        <w:t xml:space="preserve">日期： </w:t>
      </w:r>
      <w:r>
        <w:rPr>
          <w:rFonts w:hint="eastAsia" w:ascii="宋体" w:hAnsi="宋体" w:eastAsia="宋体" w:cs="宋体"/>
          <w:sz w:val="24"/>
          <w:szCs w:val="24"/>
          <w:highlight w:val="none"/>
          <w:u w:val="single" w:color="auto"/>
        </w:rPr>
        <w:t xml:space="preserve">       </w:t>
      </w:r>
      <w:r>
        <w:rPr>
          <w:rFonts w:hint="eastAsia" w:ascii="宋体" w:hAnsi="宋体" w:eastAsia="宋体" w:cs="宋体"/>
          <w:spacing w:val="-120"/>
          <w:sz w:val="24"/>
          <w:szCs w:val="24"/>
          <w:highlight w:val="none"/>
        </w:rPr>
        <w:t xml:space="preserve"> </w:t>
      </w:r>
      <w:r>
        <w:rPr>
          <w:rFonts w:hint="eastAsia" w:ascii="宋体" w:hAnsi="宋体" w:eastAsia="宋体" w:cs="宋体"/>
          <w:spacing w:val="-30"/>
          <w:position w:val="-1"/>
          <w:sz w:val="25"/>
          <w:szCs w:val="25"/>
          <w:highlight w:val="none"/>
        </w:rPr>
        <w:t>年</w:t>
      </w:r>
      <w:r>
        <w:rPr>
          <w:rFonts w:hint="eastAsia" w:ascii="宋体" w:hAnsi="宋体" w:eastAsia="宋体" w:cs="宋体"/>
          <w:spacing w:val="-30"/>
          <w:position w:val="-1"/>
          <w:sz w:val="25"/>
          <w:szCs w:val="25"/>
          <w:highlight w:val="none"/>
          <w:u w:val="single" w:color="auto"/>
        </w:rPr>
        <w:t xml:space="preserve">    </w:t>
      </w:r>
      <w:r>
        <w:rPr>
          <w:rFonts w:hint="eastAsia" w:ascii="宋体" w:hAnsi="宋体" w:eastAsia="宋体" w:cs="宋体"/>
          <w:spacing w:val="-30"/>
          <w:sz w:val="24"/>
          <w:szCs w:val="24"/>
          <w:highlight w:val="none"/>
        </w:rPr>
        <w:t>月</w:t>
      </w:r>
      <w:r>
        <w:rPr>
          <w:rFonts w:hint="eastAsia" w:ascii="宋体" w:hAnsi="宋体" w:eastAsia="宋体" w:cs="宋体"/>
          <w:spacing w:val="23"/>
          <w:sz w:val="24"/>
          <w:szCs w:val="24"/>
          <w:highlight w:val="none"/>
          <w:u w:val="single" w:color="auto"/>
        </w:rPr>
        <w:t xml:space="preserve">   </w:t>
      </w:r>
      <w:r>
        <w:rPr>
          <w:rFonts w:hint="eastAsia" w:ascii="宋体" w:hAnsi="宋体" w:eastAsia="宋体" w:cs="宋体"/>
          <w:spacing w:val="-30"/>
          <w:sz w:val="24"/>
          <w:szCs w:val="24"/>
          <w:highlight w:val="none"/>
        </w:rPr>
        <w:t>日</w:t>
      </w:r>
    </w:p>
    <w:p>
      <w:pPr>
        <w:spacing w:line="227" w:lineRule="auto"/>
        <w:rPr>
          <w:rFonts w:hint="eastAsia" w:ascii="宋体" w:hAnsi="宋体" w:eastAsia="宋体" w:cs="宋体"/>
          <w:sz w:val="24"/>
          <w:szCs w:val="24"/>
          <w:highlight w:val="none"/>
        </w:rPr>
        <w:sectPr>
          <w:footerReference r:id="rId22" w:type="default"/>
          <w:pgSz w:w="11910" w:h="16840"/>
          <w:pgMar w:top="1431" w:right="1435" w:bottom="1172" w:left="1430" w:header="0" w:footer="973" w:gutter="0"/>
          <w:pgNumType w:fmt="decimal"/>
          <w:cols w:space="720" w:num="1"/>
        </w:sectPr>
      </w:pPr>
    </w:p>
    <w:p>
      <w:pPr>
        <w:pStyle w:val="7"/>
        <w:spacing w:line="290" w:lineRule="auto"/>
        <w:rPr>
          <w:rFonts w:hint="eastAsia" w:ascii="宋体" w:hAnsi="宋体" w:eastAsia="宋体" w:cs="宋体"/>
          <w:highlight w:val="none"/>
        </w:rPr>
      </w:pPr>
    </w:p>
    <w:p>
      <w:pPr>
        <w:pStyle w:val="7"/>
        <w:spacing w:line="291" w:lineRule="auto"/>
        <w:rPr>
          <w:rFonts w:hint="eastAsia" w:ascii="宋体" w:hAnsi="宋体" w:eastAsia="宋体" w:cs="宋体"/>
          <w:highlight w:val="none"/>
        </w:rPr>
      </w:pPr>
    </w:p>
    <w:p>
      <w:pPr>
        <w:spacing w:before="91" w:line="219" w:lineRule="auto"/>
        <w:ind w:left="1803"/>
        <w:outlineLvl w:val="9"/>
        <w:rPr>
          <w:rFonts w:hint="eastAsia" w:ascii="宋体" w:hAnsi="宋体" w:eastAsia="宋体" w:cs="宋体"/>
          <w:sz w:val="28"/>
          <w:szCs w:val="28"/>
          <w:highlight w:val="none"/>
        </w:rPr>
      </w:pPr>
      <w:r>
        <w:rPr>
          <w:rFonts w:hint="eastAsia" w:ascii="宋体" w:hAnsi="宋体" w:eastAsia="宋体" w:cs="宋体"/>
          <w:b/>
          <w:bCs/>
          <w:spacing w:val="-4"/>
          <w:sz w:val="28"/>
          <w:szCs w:val="28"/>
          <w:highlight w:val="none"/>
        </w:rPr>
        <w:t>4.6“国家企业信用信息公示系统”查询截图</w:t>
      </w:r>
    </w:p>
    <w:p>
      <w:pPr>
        <w:pStyle w:val="7"/>
        <w:spacing w:line="396" w:lineRule="auto"/>
        <w:rPr>
          <w:rFonts w:hint="eastAsia" w:ascii="宋体" w:hAnsi="宋体" w:eastAsia="宋体" w:cs="宋体"/>
          <w:highlight w:val="none"/>
        </w:rPr>
      </w:pPr>
    </w:p>
    <w:p>
      <w:pPr>
        <w:spacing w:before="78" w:line="362" w:lineRule="auto"/>
        <w:ind w:firstLine="489"/>
        <w:jc w:val="both"/>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单位负责人为同一人或者存在直接控股、管理关系的不同供应商，全部或者部分股</w:t>
      </w:r>
      <w:r>
        <w:rPr>
          <w:rFonts w:hint="eastAsia" w:ascii="宋体" w:hAnsi="宋体" w:eastAsia="宋体" w:cs="宋体"/>
          <w:spacing w:val="9"/>
          <w:sz w:val="24"/>
          <w:szCs w:val="24"/>
          <w:highlight w:val="none"/>
        </w:rPr>
        <w:t xml:space="preserve"> </w:t>
      </w:r>
      <w:r>
        <w:rPr>
          <w:rFonts w:hint="eastAsia" w:ascii="宋体" w:hAnsi="宋体" w:eastAsia="宋体" w:cs="宋体"/>
          <w:spacing w:val="4"/>
          <w:sz w:val="24"/>
          <w:szCs w:val="24"/>
          <w:highlight w:val="none"/>
        </w:rPr>
        <w:t>东(基金公司或者专业投资公司作为股东的除外)为同一法人、其他组织或者自然人的</w:t>
      </w:r>
      <w:r>
        <w:rPr>
          <w:rFonts w:hint="eastAsia" w:ascii="宋体" w:hAnsi="宋体" w:eastAsia="宋体" w:cs="宋体"/>
          <w:spacing w:val="5"/>
          <w:sz w:val="24"/>
          <w:szCs w:val="24"/>
          <w:highlight w:val="none"/>
        </w:rPr>
        <w:t xml:space="preserve"> </w:t>
      </w:r>
      <w:r>
        <w:rPr>
          <w:rFonts w:hint="eastAsia" w:ascii="宋体" w:hAnsi="宋体" w:eastAsia="宋体" w:cs="宋体"/>
          <w:spacing w:val="-2"/>
          <w:sz w:val="24"/>
          <w:szCs w:val="24"/>
          <w:highlight w:val="none"/>
        </w:rPr>
        <w:t>不同供应商，同一自然人在两个以上供应商任职的不同供应商，</w:t>
      </w:r>
      <w:r>
        <w:rPr>
          <w:rFonts w:hint="eastAsia" w:ascii="宋体" w:hAnsi="宋体" w:eastAsia="宋体" w:cs="宋体"/>
          <w:spacing w:val="-3"/>
          <w:sz w:val="24"/>
          <w:szCs w:val="24"/>
          <w:highlight w:val="none"/>
        </w:rPr>
        <w:t>不得参加同一合同项下</w:t>
      </w:r>
      <w:r>
        <w:rPr>
          <w:rFonts w:hint="eastAsia" w:ascii="宋体" w:hAnsi="宋体" w:eastAsia="宋体" w:cs="宋体"/>
          <w:sz w:val="24"/>
          <w:szCs w:val="24"/>
          <w:highlight w:val="none"/>
        </w:rPr>
        <w:t xml:space="preserve"> </w:t>
      </w:r>
      <w:r>
        <w:rPr>
          <w:rFonts w:hint="eastAsia" w:ascii="宋体" w:hAnsi="宋体" w:eastAsia="宋体" w:cs="宋体"/>
          <w:spacing w:val="-5"/>
          <w:sz w:val="24"/>
          <w:szCs w:val="24"/>
          <w:highlight w:val="none"/>
        </w:rPr>
        <w:t>的投标。【提供在“国家企业信用信息公示系统”中查询打印</w:t>
      </w:r>
      <w:r>
        <w:rPr>
          <w:rFonts w:hint="eastAsia" w:ascii="宋体" w:hAnsi="宋体" w:eastAsia="宋体" w:cs="宋体"/>
          <w:spacing w:val="-6"/>
          <w:sz w:val="24"/>
          <w:szCs w:val="24"/>
          <w:highlight w:val="none"/>
        </w:rPr>
        <w:t>的相关材料并加盖公章(需</w:t>
      </w:r>
    </w:p>
    <w:p>
      <w:pPr>
        <w:spacing w:line="218" w:lineRule="auto"/>
        <w:rPr>
          <w:rFonts w:hint="eastAsia" w:ascii="宋体" w:hAnsi="宋体" w:eastAsia="宋体" w:cs="宋体"/>
          <w:sz w:val="24"/>
          <w:szCs w:val="24"/>
          <w:highlight w:val="none"/>
        </w:rPr>
      </w:pPr>
      <w:r>
        <w:rPr>
          <w:rFonts w:hint="eastAsia" w:ascii="宋体" w:hAnsi="宋体" w:eastAsia="宋体" w:cs="宋体"/>
          <w:spacing w:val="4"/>
          <w:sz w:val="24"/>
          <w:szCs w:val="24"/>
          <w:highlight w:val="none"/>
        </w:rPr>
        <w:t>包含公司基本信息、股东信息及股权变更信息)】</w:t>
      </w:r>
    </w:p>
    <w:p>
      <w:pPr>
        <w:spacing w:line="218" w:lineRule="auto"/>
        <w:rPr>
          <w:rFonts w:hint="eastAsia" w:ascii="宋体" w:hAnsi="宋体" w:eastAsia="宋体" w:cs="宋体"/>
          <w:sz w:val="24"/>
          <w:szCs w:val="24"/>
          <w:highlight w:val="none"/>
        </w:rPr>
        <w:sectPr>
          <w:footerReference r:id="rId23" w:type="default"/>
          <w:pgSz w:w="11910" w:h="16840"/>
          <w:pgMar w:top="1431" w:right="1441" w:bottom="1171" w:left="1430" w:header="0" w:footer="973" w:gutter="0"/>
          <w:pgNumType w:fmt="decimal"/>
          <w:cols w:space="720" w:num="1"/>
        </w:sectPr>
      </w:pPr>
    </w:p>
    <w:p>
      <w:pPr>
        <w:pStyle w:val="7"/>
        <w:spacing w:line="251" w:lineRule="auto"/>
        <w:rPr>
          <w:rFonts w:hint="eastAsia" w:ascii="宋体" w:hAnsi="宋体" w:eastAsia="宋体" w:cs="宋体"/>
          <w:highlight w:val="none"/>
        </w:rPr>
      </w:pPr>
    </w:p>
    <w:p>
      <w:pPr>
        <w:pStyle w:val="7"/>
        <w:spacing w:line="251" w:lineRule="auto"/>
        <w:rPr>
          <w:rFonts w:hint="eastAsia" w:ascii="宋体" w:hAnsi="宋体" w:eastAsia="宋体" w:cs="宋体"/>
          <w:highlight w:val="none"/>
        </w:rPr>
      </w:pPr>
    </w:p>
    <w:p>
      <w:pPr>
        <w:pStyle w:val="7"/>
        <w:spacing w:line="251" w:lineRule="auto"/>
        <w:rPr>
          <w:rFonts w:hint="eastAsia" w:ascii="宋体" w:hAnsi="宋体" w:eastAsia="宋体" w:cs="宋体"/>
          <w:highlight w:val="none"/>
        </w:rPr>
      </w:pPr>
    </w:p>
    <w:p>
      <w:pPr>
        <w:spacing w:before="88" w:line="219" w:lineRule="auto"/>
        <w:ind w:left="3449"/>
        <w:outlineLvl w:val="9"/>
        <w:rPr>
          <w:rFonts w:hint="eastAsia" w:ascii="宋体" w:hAnsi="宋体" w:eastAsia="宋体" w:cs="宋体"/>
          <w:sz w:val="27"/>
          <w:szCs w:val="27"/>
          <w:highlight w:val="none"/>
        </w:rPr>
      </w:pPr>
      <w:r>
        <w:rPr>
          <w:rFonts w:hint="eastAsia" w:ascii="宋体" w:hAnsi="宋体" w:eastAsia="宋体" w:cs="宋体"/>
          <w:b/>
          <w:bCs/>
          <w:spacing w:val="5"/>
          <w:sz w:val="27"/>
          <w:szCs w:val="27"/>
          <w:highlight w:val="none"/>
        </w:rPr>
        <w:t>4.7</w:t>
      </w:r>
      <w:r>
        <w:rPr>
          <w:rFonts w:hint="eastAsia" w:ascii="宋体" w:hAnsi="宋体" w:eastAsia="宋体" w:cs="宋体"/>
          <w:b/>
          <w:bCs/>
          <w:spacing w:val="71"/>
          <w:sz w:val="27"/>
          <w:szCs w:val="27"/>
          <w:highlight w:val="none"/>
        </w:rPr>
        <w:t xml:space="preserve"> </w:t>
      </w:r>
      <w:r>
        <w:rPr>
          <w:rFonts w:hint="eastAsia" w:ascii="宋体" w:hAnsi="宋体" w:eastAsia="宋体" w:cs="宋体"/>
          <w:b/>
          <w:bCs/>
          <w:spacing w:val="5"/>
          <w:sz w:val="27"/>
          <w:szCs w:val="27"/>
          <w:highlight w:val="none"/>
        </w:rPr>
        <w:t>信用查询截图</w:t>
      </w:r>
    </w:p>
    <w:p>
      <w:pPr>
        <w:pStyle w:val="7"/>
        <w:spacing w:line="412" w:lineRule="auto"/>
        <w:rPr>
          <w:rFonts w:hint="eastAsia" w:ascii="宋体" w:hAnsi="宋体" w:eastAsia="宋体" w:cs="宋体"/>
          <w:highlight w:val="none"/>
        </w:rPr>
      </w:pPr>
    </w:p>
    <w:p>
      <w:pPr>
        <w:spacing w:before="71" w:line="212" w:lineRule="auto"/>
        <w:ind w:left="20"/>
        <w:rPr>
          <w:rFonts w:hint="eastAsia" w:ascii="宋体" w:hAnsi="宋体" w:eastAsia="宋体" w:cs="宋体"/>
          <w:sz w:val="22"/>
          <w:szCs w:val="22"/>
          <w:highlight w:val="none"/>
        </w:rPr>
      </w:pPr>
      <w:r>
        <w:rPr>
          <w:rFonts w:hint="eastAsia" w:ascii="宋体" w:hAnsi="宋体" w:eastAsia="宋体" w:cs="宋体"/>
          <w:spacing w:val="15"/>
          <w:sz w:val="22"/>
          <w:szCs w:val="22"/>
          <w:highlight w:val="none"/>
        </w:rPr>
        <w:t>1. 信用中国(</w:t>
      </w:r>
      <w:r>
        <w:rPr>
          <w:rFonts w:hint="eastAsia" w:ascii="宋体" w:hAnsi="宋体" w:eastAsia="宋体" w:cs="宋体"/>
          <w:sz w:val="22"/>
          <w:szCs w:val="22"/>
          <w:highlight w:val="none"/>
        </w:rPr>
        <w:t>www</w:t>
      </w:r>
      <w:r>
        <w:rPr>
          <w:rFonts w:hint="eastAsia" w:ascii="宋体" w:hAnsi="宋体" w:eastAsia="宋体" w:cs="宋体"/>
          <w:spacing w:val="15"/>
          <w:sz w:val="22"/>
          <w:szCs w:val="22"/>
          <w:highlight w:val="none"/>
        </w:rPr>
        <w:t xml:space="preserve">. </w:t>
      </w:r>
      <w:r>
        <w:rPr>
          <w:rFonts w:hint="eastAsia" w:ascii="宋体" w:hAnsi="宋体" w:eastAsia="宋体" w:cs="宋体"/>
          <w:sz w:val="22"/>
          <w:szCs w:val="22"/>
          <w:highlight w:val="none"/>
        </w:rPr>
        <w:t>creditchina</w:t>
      </w:r>
      <w:r>
        <w:rPr>
          <w:rFonts w:hint="eastAsia" w:ascii="宋体" w:hAnsi="宋体" w:eastAsia="宋体" w:cs="宋体"/>
          <w:spacing w:val="15"/>
          <w:sz w:val="22"/>
          <w:szCs w:val="22"/>
          <w:highlight w:val="none"/>
        </w:rPr>
        <w:t xml:space="preserve"> . </w:t>
      </w:r>
      <w:r>
        <w:rPr>
          <w:rFonts w:hint="eastAsia" w:ascii="宋体" w:hAnsi="宋体" w:eastAsia="宋体" w:cs="宋体"/>
          <w:sz w:val="22"/>
          <w:szCs w:val="22"/>
          <w:highlight w:val="none"/>
        </w:rPr>
        <w:t>gov</w:t>
      </w:r>
      <w:r>
        <w:rPr>
          <w:rFonts w:hint="eastAsia" w:ascii="宋体" w:hAnsi="宋体" w:eastAsia="宋体" w:cs="宋体"/>
          <w:spacing w:val="15"/>
          <w:sz w:val="22"/>
          <w:szCs w:val="22"/>
          <w:highlight w:val="none"/>
        </w:rPr>
        <w:t xml:space="preserve"> . </w:t>
      </w:r>
      <w:r>
        <w:rPr>
          <w:rFonts w:hint="eastAsia" w:ascii="宋体" w:hAnsi="宋体" w:eastAsia="宋体" w:cs="宋体"/>
          <w:sz w:val="22"/>
          <w:szCs w:val="22"/>
          <w:highlight w:val="none"/>
        </w:rPr>
        <w:t>cn</w:t>
      </w:r>
      <w:r>
        <w:rPr>
          <w:rFonts w:hint="eastAsia" w:ascii="宋体" w:hAnsi="宋体" w:eastAsia="宋体" w:cs="宋体"/>
          <w:spacing w:val="35"/>
          <w:w w:val="101"/>
          <w:sz w:val="22"/>
          <w:szCs w:val="22"/>
          <w:highlight w:val="none"/>
        </w:rPr>
        <w:t xml:space="preserve"> </w:t>
      </w:r>
      <w:r>
        <w:rPr>
          <w:rFonts w:hint="eastAsia" w:ascii="宋体" w:hAnsi="宋体" w:eastAsia="宋体" w:cs="宋体"/>
          <w:spacing w:val="15"/>
          <w:sz w:val="22"/>
          <w:szCs w:val="22"/>
          <w:highlight w:val="none"/>
        </w:rPr>
        <w:t>):重大税收违法失信主体、失信被执行人查询</w:t>
      </w:r>
      <w:r>
        <w:rPr>
          <w:rFonts w:hint="eastAsia" w:ascii="宋体" w:hAnsi="宋体" w:eastAsia="宋体" w:cs="宋体"/>
          <w:sz w:val="22"/>
          <w:szCs w:val="22"/>
          <w:highlight w:val="none"/>
        </w:rPr>
        <w:t>截图；</w:t>
      </w:r>
    </w:p>
    <w:p>
      <w:pPr>
        <w:spacing w:before="71" w:line="212" w:lineRule="auto"/>
        <w:ind w:left="20"/>
        <w:rPr>
          <w:rFonts w:hint="eastAsia" w:ascii="宋体" w:hAnsi="宋体" w:eastAsia="宋体" w:cs="宋体"/>
          <w:spacing w:val="15"/>
          <w:sz w:val="22"/>
          <w:szCs w:val="22"/>
          <w:highlight w:val="none"/>
        </w:rPr>
      </w:pPr>
      <w:r>
        <w:rPr>
          <w:rFonts w:hint="eastAsia" w:ascii="宋体" w:hAnsi="宋体" w:eastAsia="宋体" w:cs="宋体"/>
          <w:spacing w:val="15"/>
          <w:sz w:val="22"/>
          <w:szCs w:val="22"/>
          <w:highlight w:val="none"/>
        </w:rPr>
        <w:t>2. 中国政府采购网(www. ccgp . gov . cn ):政府采购严重违法失信行为记录名单查询截图 。</w:t>
      </w:r>
    </w:p>
    <w:p>
      <w:pPr>
        <w:spacing w:line="220" w:lineRule="auto"/>
        <w:rPr>
          <w:rFonts w:hint="eastAsia" w:ascii="宋体" w:hAnsi="宋体" w:eastAsia="宋体" w:cs="宋体"/>
          <w:sz w:val="22"/>
          <w:szCs w:val="22"/>
          <w:highlight w:val="none"/>
        </w:rPr>
        <w:sectPr>
          <w:footerReference r:id="rId24" w:type="default"/>
          <w:pgSz w:w="11910" w:h="16840"/>
          <w:pgMar w:top="1431" w:right="1419" w:bottom="1183" w:left="1420" w:header="0" w:footer="985" w:gutter="0"/>
          <w:pgNumType w:fmt="decimal"/>
          <w:cols w:space="720" w:num="1"/>
        </w:sectPr>
      </w:pPr>
    </w:p>
    <w:p>
      <w:pPr>
        <w:pStyle w:val="7"/>
        <w:spacing w:line="323" w:lineRule="auto"/>
        <w:rPr>
          <w:rFonts w:hint="eastAsia" w:ascii="宋体" w:hAnsi="宋体" w:eastAsia="宋体" w:cs="宋体"/>
          <w:highlight w:val="none"/>
        </w:rPr>
      </w:pPr>
    </w:p>
    <w:p>
      <w:pPr>
        <w:spacing w:before="91" w:line="219" w:lineRule="auto"/>
        <w:ind w:left="3713"/>
        <w:outlineLvl w:val="9"/>
        <w:rPr>
          <w:rFonts w:hint="eastAsia" w:ascii="宋体" w:hAnsi="宋体" w:eastAsia="宋体" w:cs="宋体"/>
          <w:sz w:val="28"/>
          <w:szCs w:val="28"/>
          <w:highlight w:val="none"/>
        </w:rPr>
      </w:pPr>
      <w:r>
        <w:rPr>
          <w:rFonts w:hint="eastAsia" w:ascii="宋体" w:hAnsi="宋体" w:eastAsia="宋体" w:cs="宋体"/>
          <w:b/>
          <w:bCs/>
          <w:spacing w:val="-6"/>
          <w:sz w:val="28"/>
          <w:szCs w:val="28"/>
          <w:highlight w:val="none"/>
        </w:rPr>
        <w:t>5.磋商承诺函</w:t>
      </w:r>
    </w:p>
    <w:p>
      <w:pPr>
        <w:spacing w:before="228" w:line="219" w:lineRule="auto"/>
        <w:ind w:left="489"/>
        <w:rPr>
          <w:rFonts w:hint="eastAsia" w:ascii="宋体" w:hAnsi="宋体" w:eastAsia="宋体" w:cs="宋体"/>
          <w:sz w:val="23"/>
          <w:szCs w:val="23"/>
          <w:highlight w:val="none"/>
          <w:lang w:eastAsia="zh-CN"/>
        </w:rPr>
      </w:pPr>
      <w:r>
        <w:rPr>
          <w:rFonts w:hint="eastAsia" w:ascii="宋体" w:hAnsi="宋体" w:eastAsia="宋体" w:cs="宋体"/>
          <w:spacing w:val="8"/>
          <w:sz w:val="23"/>
          <w:szCs w:val="23"/>
          <w:highlight w:val="none"/>
        </w:rPr>
        <w:t>致：</w:t>
      </w:r>
      <w:r>
        <w:rPr>
          <w:rFonts w:hint="eastAsia" w:ascii="宋体" w:hAnsi="宋体" w:eastAsia="宋体" w:cs="宋体"/>
          <w:spacing w:val="8"/>
          <w:sz w:val="23"/>
          <w:szCs w:val="23"/>
          <w:highlight w:val="none"/>
          <w:lang w:eastAsia="zh-CN"/>
        </w:rPr>
        <w:t>河南省亿达工程管理咨询有限公司</w:t>
      </w:r>
    </w:p>
    <w:p>
      <w:pPr>
        <w:spacing w:before="199" w:line="377" w:lineRule="auto"/>
        <w:ind w:right="36" w:firstLine="489"/>
        <w:rPr>
          <w:rFonts w:hint="eastAsia" w:ascii="宋体" w:hAnsi="宋体" w:eastAsia="宋体" w:cs="宋体"/>
          <w:sz w:val="23"/>
          <w:szCs w:val="23"/>
          <w:highlight w:val="none"/>
        </w:rPr>
      </w:pPr>
      <w:r>
        <w:rPr>
          <w:rFonts w:hint="eastAsia" w:ascii="宋体" w:hAnsi="宋体" w:eastAsia="宋体" w:cs="宋体"/>
          <w:spacing w:val="19"/>
          <w:sz w:val="23"/>
          <w:szCs w:val="23"/>
          <w:highlight w:val="none"/>
        </w:rPr>
        <w:t>根据河南省财政厅关于优化政府采购营商环境有关问题的通知(豫财购[2019]4</w:t>
      </w:r>
      <w:r>
        <w:rPr>
          <w:rFonts w:hint="eastAsia" w:ascii="宋体" w:hAnsi="宋体" w:eastAsia="宋体" w:cs="宋体"/>
          <w:spacing w:val="5"/>
          <w:sz w:val="23"/>
          <w:szCs w:val="23"/>
          <w:highlight w:val="none"/>
        </w:rPr>
        <w:t xml:space="preserve"> </w:t>
      </w:r>
      <w:r>
        <w:rPr>
          <w:rFonts w:hint="eastAsia" w:ascii="宋体" w:hAnsi="宋体" w:eastAsia="宋体" w:cs="宋体"/>
          <w:spacing w:val="3"/>
          <w:sz w:val="23"/>
          <w:szCs w:val="23"/>
          <w:highlight w:val="none"/>
        </w:rPr>
        <w:t>号</w:t>
      </w:r>
      <w:r>
        <w:rPr>
          <w:rFonts w:hint="eastAsia" w:ascii="宋体" w:hAnsi="宋体" w:eastAsia="宋体" w:cs="宋体"/>
          <w:spacing w:val="-44"/>
          <w:sz w:val="23"/>
          <w:szCs w:val="23"/>
          <w:highlight w:val="none"/>
        </w:rPr>
        <w:t xml:space="preserve"> </w:t>
      </w:r>
      <w:r>
        <w:rPr>
          <w:rFonts w:hint="eastAsia" w:ascii="宋体" w:hAnsi="宋体" w:eastAsia="宋体" w:cs="宋体"/>
          <w:spacing w:val="3"/>
          <w:sz w:val="23"/>
          <w:szCs w:val="23"/>
          <w:highlight w:val="none"/>
        </w:rPr>
        <w:t>)</w:t>
      </w:r>
      <w:r>
        <w:rPr>
          <w:rFonts w:hint="eastAsia" w:ascii="宋体" w:hAnsi="宋体" w:eastAsia="宋体" w:cs="宋体"/>
          <w:spacing w:val="-42"/>
          <w:sz w:val="23"/>
          <w:szCs w:val="23"/>
          <w:highlight w:val="none"/>
        </w:rPr>
        <w:t xml:space="preserve"> </w:t>
      </w:r>
      <w:r>
        <w:rPr>
          <w:rFonts w:hint="eastAsia" w:ascii="宋体" w:hAnsi="宋体" w:eastAsia="宋体" w:cs="宋体"/>
          <w:spacing w:val="3"/>
          <w:sz w:val="23"/>
          <w:szCs w:val="23"/>
          <w:highlight w:val="none"/>
        </w:rPr>
        <w:t>, 自</w:t>
      </w:r>
      <w:r>
        <w:rPr>
          <w:rFonts w:hint="eastAsia" w:ascii="宋体" w:hAnsi="宋体" w:eastAsia="宋体" w:cs="宋体"/>
          <w:spacing w:val="-42"/>
          <w:sz w:val="23"/>
          <w:szCs w:val="23"/>
          <w:highlight w:val="none"/>
        </w:rPr>
        <w:t xml:space="preserve"> </w:t>
      </w:r>
      <w:r>
        <w:rPr>
          <w:rFonts w:hint="eastAsia" w:ascii="宋体" w:hAnsi="宋体" w:eastAsia="宋体" w:cs="宋体"/>
          <w:spacing w:val="3"/>
          <w:sz w:val="23"/>
          <w:szCs w:val="23"/>
          <w:highlight w:val="none"/>
        </w:rPr>
        <w:t>2</w:t>
      </w:r>
      <w:r>
        <w:rPr>
          <w:rFonts w:hint="eastAsia" w:ascii="宋体" w:hAnsi="宋体" w:eastAsia="宋体" w:cs="宋体"/>
          <w:spacing w:val="-44"/>
          <w:sz w:val="23"/>
          <w:szCs w:val="23"/>
          <w:highlight w:val="none"/>
        </w:rPr>
        <w:t xml:space="preserve"> </w:t>
      </w:r>
      <w:r>
        <w:rPr>
          <w:rFonts w:hint="eastAsia" w:ascii="宋体" w:hAnsi="宋体" w:eastAsia="宋体" w:cs="宋体"/>
          <w:spacing w:val="3"/>
          <w:sz w:val="23"/>
          <w:szCs w:val="23"/>
          <w:highlight w:val="none"/>
        </w:rPr>
        <w:t>0</w:t>
      </w:r>
      <w:r>
        <w:rPr>
          <w:rFonts w:hint="eastAsia" w:ascii="宋体" w:hAnsi="宋体" w:eastAsia="宋体" w:cs="宋体"/>
          <w:spacing w:val="-28"/>
          <w:sz w:val="23"/>
          <w:szCs w:val="23"/>
          <w:highlight w:val="none"/>
        </w:rPr>
        <w:t xml:space="preserve"> </w:t>
      </w:r>
      <w:r>
        <w:rPr>
          <w:rFonts w:hint="eastAsia" w:ascii="宋体" w:hAnsi="宋体" w:eastAsia="宋体" w:cs="宋体"/>
          <w:spacing w:val="3"/>
          <w:sz w:val="23"/>
          <w:szCs w:val="23"/>
          <w:highlight w:val="none"/>
        </w:rPr>
        <w:t>1</w:t>
      </w:r>
      <w:r>
        <w:rPr>
          <w:rFonts w:hint="eastAsia" w:ascii="宋体" w:hAnsi="宋体" w:eastAsia="宋体" w:cs="宋体"/>
          <w:spacing w:val="-44"/>
          <w:sz w:val="23"/>
          <w:szCs w:val="23"/>
          <w:highlight w:val="none"/>
        </w:rPr>
        <w:t xml:space="preserve"> </w:t>
      </w:r>
      <w:r>
        <w:rPr>
          <w:rFonts w:hint="eastAsia" w:ascii="宋体" w:hAnsi="宋体" w:eastAsia="宋体" w:cs="宋体"/>
          <w:spacing w:val="3"/>
          <w:sz w:val="23"/>
          <w:szCs w:val="23"/>
          <w:highlight w:val="none"/>
        </w:rPr>
        <w:t>9</w:t>
      </w:r>
      <w:r>
        <w:rPr>
          <w:rFonts w:hint="eastAsia" w:ascii="宋体" w:hAnsi="宋体" w:eastAsia="宋体" w:cs="宋体"/>
          <w:spacing w:val="-45"/>
          <w:sz w:val="23"/>
          <w:szCs w:val="23"/>
          <w:highlight w:val="none"/>
        </w:rPr>
        <w:t xml:space="preserve"> </w:t>
      </w:r>
      <w:r>
        <w:rPr>
          <w:rFonts w:hint="eastAsia" w:ascii="宋体" w:hAnsi="宋体" w:eastAsia="宋体" w:cs="宋体"/>
          <w:spacing w:val="3"/>
          <w:sz w:val="23"/>
          <w:szCs w:val="23"/>
          <w:highlight w:val="none"/>
        </w:rPr>
        <w:t>年</w:t>
      </w:r>
      <w:r>
        <w:rPr>
          <w:rFonts w:hint="eastAsia" w:ascii="宋体" w:hAnsi="宋体" w:eastAsia="宋体" w:cs="宋体"/>
          <w:spacing w:val="-44"/>
          <w:sz w:val="23"/>
          <w:szCs w:val="23"/>
          <w:highlight w:val="none"/>
        </w:rPr>
        <w:t xml:space="preserve"> </w:t>
      </w:r>
      <w:r>
        <w:rPr>
          <w:rFonts w:hint="eastAsia" w:ascii="宋体" w:hAnsi="宋体" w:eastAsia="宋体" w:cs="宋体"/>
          <w:spacing w:val="3"/>
          <w:sz w:val="23"/>
          <w:szCs w:val="23"/>
          <w:highlight w:val="none"/>
        </w:rPr>
        <w:t>8</w:t>
      </w:r>
      <w:r>
        <w:rPr>
          <w:rFonts w:hint="eastAsia" w:ascii="宋体" w:hAnsi="宋体" w:eastAsia="宋体" w:cs="宋体"/>
          <w:spacing w:val="-40"/>
          <w:sz w:val="23"/>
          <w:szCs w:val="23"/>
          <w:highlight w:val="none"/>
        </w:rPr>
        <w:t xml:space="preserve"> </w:t>
      </w:r>
      <w:r>
        <w:rPr>
          <w:rFonts w:hint="eastAsia" w:ascii="宋体" w:hAnsi="宋体" w:eastAsia="宋体" w:cs="宋体"/>
          <w:spacing w:val="3"/>
          <w:sz w:val="23"/>
          <w:szCs w:val="23"/>
          <w:highlight w:val="none"/>
        </w:rPr>
        <w:t>月</w:t>
      </w:r>
      <w:r>
        <w:rPr>
          <w:rFonts w:hint="eastAsia" w:ascii="宋体" w:hAnsi="宋体" w:eastAsia="宋体" w:cs="宋体"/>
          <w:spacing w:val="-28"/>
          <w:sz w:val="23"/>
          <w:szCs w:val="23"/>
          <w:highlight w:val="none"/>
        </w:rPr>
        <w:t xml:space="preserve"> </w:t>
      </w:r>
      <w:r>
        <w:rPr>
          <w:rFonts w:hint="eastAsia" w:ascii="宋体" w:hAnsi="宋体" w:eastAsia="宋体" w:cs="宋体"/>
          <w:spacing w:val="3"/>
          <w:sz w:val="23"/>
          <w:szCs w:val="23"/>
          <w:highlight w:val="none"/>
        </w:rPr>
        <w:t>1日起，在全省政府采购货物和服务磋商</w:t>
      </w:r>
      <w:r>
        <w:rPr>
          <w:rFonts w:hint="eastAsia" w:ascii="宋体" w:hAnsi="宋体" w:eastAsia="宋体" w:cs="宋体"/>
          <w:spacing w:val="2"/>
          <w:sz w:val="23"/>
          <w:szCs w:val="23"/>
          <w:highlight w:val="none"/>
        </w:rPr>
        <w:t>活动中，不再向供应商</w:t>
      </w:r>
      <w:r>
        <w:rPr>
          <w:rFonts w:hint="eastAsia" w:ascii="宋体" w:hAnsi="宋体" w:eastAsia="宋体" w:cs="宋体"/>
          <w:sz w:val="23"/>
          <w:szCs w:val="23"/>
          <w:highlight w:val="none"/>
        </w:rPr>
        <w:t xml:space="preserve"> </w:t>
      </w:r>
      <w:r>
        <w:rPr>
          <w:rFonts w:hint="eastAsia" w:ascii="宋体" w:hAnsi="宋体" w:eastAsia="宋体" w:cs="宋体"/>
          <w:spacing w:val="8"/>
          <w:sz w:val="23"/>
          <w:szCs w:val="23"/>
          <w:highlight w:val="none"/>
        </w:rPr>
        <w:t>收取投标保证金，非招标采购方式采购货物、工程和服务的，也不再向</w:t>
      </w:r>
      <w:r>
        <w:rPr>
          <w:rFonts w:hint="eastAsia" w:ascii="宋体" w:hAnsi="宋体" w:eastAsia="宋体" w:cs="宋体"/>
          <w:spacing w:val="7"/>
          <w:sz w:val="23"/>
          <w:szCs w:val="23"/>
          <w:highlight w:val="none"/>
        </w:rPr>
        <w:t>供应商收取投标</w:t>
      </w:r>
      <w:r>
        <w:rPr>
          <w:rFonts w:hint="eastAsia" w:ascii="宋体" w:hAnsi="宋体" w:eastAsia="宋体" w:cs="宋体"/>
          <w:sz w:val="23"/>
          <w:szCs w:val="23"/>
          <w:highlight w:val="none"/>
        </w:rPr>
        <w:t xml:space="preserve"> </w:t>
      </w:r>
      <w:r>
        <w:rPr>
          <w:rFonts w:hint="eastAsia" w:ascii="宋体" w:hAnsi="宋体" w:eastAsia="宋体" w:cs="宋体"/>
          <w:spacing w:val="8"/>
          <w:sz w:val="23"/>
          <w:szCs w:val="23"/>
          <w:highlight w:val="none"/>
        </w:rPr>
        <w:t>保证金，供应商以投标承诺函的形式替代投标保证金。因此，在本次磋商过程中，</w:t>
      </w:r>
      <w:r>
        <w:rPr>
          <w:rFonts w:hint="eastAsia" w:ascii="宋体" w:hAnsi="宋体" w:eastAsia="宋体" w:cs="宋体"/>
          <w:spacing w:val="7"/>
          <w:sz w:val="23"/>
          <w:szCs w:val="23"/>
          <w:highlight w:val="none"/>
        </w:rPr>
        <w:t>我公</w:t>
      </w:r>
    </w:p>
    <w:p>
      <w:pPr>
        <w:spacing w:line="219" w:lineRule="auto"/>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司郑重承诺：</w:t>
      </w:r>
    </w:p>
    <w:p>
      <w:pPr>
        <w:spacing w:before="186" w:line="481" w:lineRule="exact"/>
        <w:ind w:right="60"/>
        <w:jc w:val="right"/>
        <w:rPr>
          <w:rFonts w:hint="eastAsia" w:ascii="宋体" w:hAnsi="宋体" w:eastAsia="宋体" w:cs="宋体"/>
          <w:sz w:val="23"/>
          <w:szCs w:val="23"/>
          <w:highlight w:val="none"/>
        </w:rPr>
      </w:pPr>
      <w:r>
        <w:rPr>
          <w:rFonts w:hint="eastAsia" w:ascii="宋体" w:hAnsi="宋体" w:eastAsia="宋体" w:cs="宋体"/>
          <w:spacing w:val="7"/>
          <w:position w:val="19"/>
          <w:sz w:val="23"/>
          <w:szCs w:val="23"/>
          <w:highlight w:val="none"/>
        </w:rPr>
        <w:t>1.我公司提供的所有文件材料，均是真实的，不提供虚假</w:t>
      </w:r>
      <w:r>
        <w:rPr>
          <w:rFonts w:hint="eastAsia" w:ascii="宋体" w:hAnsi="宋体" w:eastAsia="宋体" w:cs="宋体"/>
          <w:spacing w:val="6"/>
          <w:position w:val="19"/>
          <w:sz w:val="23"/>
          <w:szCs w:val="23"/>
          <w:highlight w:val="none"/>
        </w:rPr>
        <w:t>材料，不用不正当的手段</w:t>
      </w:r>
    </w:p>
    <w:p>
      <w:pPr>
        <w:spacing w:line="220" w:lineRule="auto"/>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骗取中标。</w:t>
      </w:r>
    </w:p>
    <w:p>
      <w:pPr>
        <w:spacing w:before="195" w:line="219" w:lineRule="auto"/>
        <w:ind w:left="489"/>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2.在规定的开标时间后，在磋商有效期内我公司保证不撤回磋商响应文件。</w:t>
      </w:r>
    </w:p>
    <w:p>
      <w:pPr>
        <w:spacing w:before="184" w:line="370" w:lineRule="auto"/>
        <w:ind w:firstLine="489"/>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3.如果我公司中标，我公司承诺在中标通知书发出之日起7天内向河南省亿达工程管理咨询有限公司</w:t>
      </w:r>
      <w:r>
        <w:rPr>
          <w:rFonts w:hint="eastAsia" w:ascii="宋体" w:hAnsi="宋体" w:eastAsia="宋体" w:cs="宋体"/>
          <w:spacing w:val="8"/>
          <w:sz w:val="23"/>
          <w:szCs w:val="23"/>
          <w:highlight w:val="none"/>
        </w:rPr>
        <w:t>交纳足额的采购代理服务费。若没有按时足</w:t>
      </w:r>
      <w:r>
        <w:rPr>
          <w:rFonts w:hint="eastAsia" w:ascii="宋体" w:hAnsi="宋体" w:eastAsia="宋体" w:cs="宋体"/>
          <w:spacing w:val="7"/>
          <w:sz w:val="23"/>
          <w:szCs w:val="23"/>
          <w:highlight w:val="none"/>
        </w:rPr>
        <w:t>额缴纳采购代理服务费，</w:t>
      </w:r>
      <w:r>
        <w:rPr>
          <w:rFonts w:hint="eastAsia" w:ascii="宋体" w:hAnsi="宋体" w:eastAsia="宋体" w:cs="宋体"/>
          <w:sz w:val="23"/>
          <w:szCs w:val="23"/>
          <w:highlight w:val="none"/>
        </w:rPr>
        <w:t xml:space="preserve"> </w:t>
      </w:r>
      <w:r>
        <w:rPr>
          <w:rFonts w:hint="eastAsia" w:ascii="宋体" w:hAnsi="宋体" w:eastAsia="宋体" w:cs="宋体"/>
          <w:spacing w:val="8"/>
          <w:sz w:val="23"/>
          <w:szCs w:val="23"/>
          <w:highlight w:val="none"/>
        </w:rPr>
        <w:t>每逾期一日，我方按照采购代理服务费的千分之一支付违约金；同时，</w:t>
      </w:r>
      <w:r>
        <w:rPr>
          <w:rFonts w:hint="eastAsia" w:ascii="宋体" w:hAnsi="宋体" w:eastAsia="宋体" w:cs="宋体"/>
          <w:spacing w:val="7"/>
          <w:sz w:val="23"/>
          <w:szCs w:val="23"/>
          <w:highlight w:val="none"/>
        </w:rPr>
        <w:t>承担</w:t>
      </w:r>
      <w:r>
        <w:rPr>
          <w:rFonts w:hint="eastAsia" w:ascii="宋体" w:hAnsi="宋体" w:eastAsia="宋体" w:cs="宋体"/>
          <w:spacing w:val="7"/>
          <w:sz w:val="23"/>
          <w:szCs w:val="23"/>
          <w:highlight w:val="none"/>
          <w:lang w:eastAsia="zh-CN"/>
        </w:rPr>
        <w:t>河南省亿达工程管理咨询有限公司</w:t>
      </w:r>
      <w:r>
        <w:rPr>
          <w:rFonts w:hint="eastAsia" w:ascii="宋体" w:hAnsi="宋体" w:eastAsia="宋体" w:cs="宋体"/>
          <w:spacing w:val="8"/>
          <w:sz w:val="23"/>
          <w:szCs w:val="23"/>
          <w:highlight w:val="none"/>
        </w:rPr>
        <w:t>因追索采购代理服务费而支付的诉讼费、律师代理费、差旅费等</w:t>
      </w:r>
    </w:p>
    <w:p>
      <w:pPr>
        <w:spacing w:line="220" w:lineRule="auto"/>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一切费用。</w:t>
      </w:r>
    </w:p>
    <w:p>
      <w:pPr>
        <w:spacing w:before="199" w:line="377" w:lineRule="auto"/>
        <w:ind w:right="36" w:firstLine="489"/>
        <w:rPr>
          <w:rFonts w:hint="eastAsia" w:ascii="宋体" w:hAnsi="宋体" w:eastAsia="宋体" w:cs="宋体"/>
          <w:spacing w:val="19"/>
          <w:sz w:val="23"/>
          <w:szCs w:val="23"/>
          <w:highlight w:val="none"/>
        </w:rPr>
      </w:pPr>
      <w:r>
        <w:rPr>
          <w:rFonts w:hint="eastAsia" w:ascii="宋体" w:hAnsi="宋体" w:eastAsia="宋体" w:cs="宋体"/>
          <w:spacing w:val="19"/>
          <w:sz w:val="23"/>
          <w:szCs w:val="23"/>
          <w:highlight w:val="none"/>
        </w:rPr>
        <w:t>4.如果我公司中标，我公司将严格按照竞争性磋商文件和响应文件的要求，在规定时间内签订合同并履行合同，在签订合同时不向采购人提出附加条件。</w:t>
      </w:r>
    </w:p>
    <w:p>
      <w:pPr>
        <w:spacing w:before="199" w:line="377" w:lineRule="auto"/>
        <w:ind w:right="36" w:firstLine="489"/>
        <w:rPr>
          <w:rFonts w:hint="eastAsia" w:ascii="宋体" w:hAnsi="宋体" w:eastAsia="宋体" w:cs="宋体"/>
          <w:spacing w:val="19"/>
          <w:sz w:val="23"/>
          <w:szCs w:val="23"/>
          <w:highlight w:val="none"/>
        </w:rPr>
      </w:pPr>
      <w:r>
        <w:rPr>
          <w:rFonts w:hint="eastAsia" w:ascii="宋体" w:hAnsi="宋体" w:eastAsia="宋体" w:cs="宋体"/>
          <w:spacing w:val="19"/>
          <w:sz w:val="23"/>
          <w:szCs w:val="23"/>
          <w:highlight w:val="none"/>
        </w:rPr>
        <w:t>如果违反上述承诺，除行政机关依法追究责任外，在3年内我公司自愿放弃参加</w:t>
      </w:r>
      <w:r>
        <w:rPr>
          <w:rFonts w:hint="eastAsia" w:ascii="宋体" w:hAnsi="宋体" w:eastAsia="宋体" w:cs="宋体"/>
          <w:spacing w:val="19"/>
          <w:sz w:val="23"/>
          <w:szCs w:val="23"/>
          <w:highlight w:val="none"/>
          <w:lang w:eastAsia="zh-CN"/>
        </w:rPr>
        <w:t>河南省亿达工程管理咨询有限公司</w:t>
      </w:r>
      <w:r>
        <w:rPr>
          <w:rFonts w:hint="eastAsia" w:ascii="宋体" w:hAnsi="宋体" w:eastAsia="宋体" w:cs="宋体"/>
          <w:spacing w:val="19"/>
          <w:sz w:val="23"/>
          <w:szCs w:val="23"/>
          <w:highlight w:val="none"/>
        </w:rPr>
        <w:t>组织的政府采购活动。</w:t>
      </w:r>
    </w:p>
    <w:p>
      <w:pPr>
        <w:pStyle w:val="7"/>
        <w:spacing w:line="294" w:lineRule="auto"/>
        <w:rPr>
          <w:rFonts w:hint="eastAsia" w:ascii="宋体" w:hAnsi="宋体" w:eastAsia="宋体" w:cs="宋体"/>
          <w:highlight w:val="none"/>
        </w:rPr>
      </w:pPr>
    </w:p>
    <w:p>
      <w:pPr>
        <w:pStyle w:val="7"/>
        <w:spacing w:line="295" w:lineRule="auto"/>
        <w:rPr>
          <w:rFonts w:hint="eastAsia" w:ascii="宋体" w:hAnsi="宋体" w:eastAsia="宋体" w:cs="宋体"/>
          <w:highlight w:val="none"/>
        </w:rPr>
      </w:pPr>
    </w:p>
    <w:p>
      <w:pPr>
        <w:spacing w:before="76" w:line="370" w:lineRule="auto"/>
        <w:ind w:left="489"/>
        <w:rPr>
          <w:rFonts w:hint="eastAsia" w:ascii="宋体" w:hAnsi="宋体" w:eastAsia="宋体" w:cs="宋体"/>
          <w:sz w:val="23"/>
          <w:szCs w:val="23"/>
          <w:highlight w:val="none"/>
        </w:rPr>
      </w:pPr>
      <w:r>
        <w:rPr>
          <w:rFonts w:hint="eastAsia" w:ascii="宋体" w:hAnsi="宋体" w:eastAsia="宋体" w:cs="宋体"/>
          <w:spacing w:val="-26"/>
          <w:sz w:val="23"/>
          <w:szCs w:val="23"/>
          <w:highlight w:val="none"/>
        </w:rPr>
        <w:t>项目编号：</w:t>
      </w:r>
      <w:r>
        <w:rPr>
          <w:rFonts w:hint="eastAsia" w:ascii="宋体" w:hAnsi="宋体" w:eastAsia="宋体" w:cs="宋体"/>
          <w:spacing w:val="25"/>
          <w:sz w:val="23"/>
          <w:szCs w:val="23"/>
          <w:highlight w:val="none"/>
        </w:rPr>
        <w:t xml:space="preserve"> </w:t>
      </w:r>
      <w:r>
        <w:rPr>
          <w:rFonts w:hint="eastAsia" w:ascii="宋体" w:hAnsi="宋体" w:eastAsia="宋体" w:cs="宋体"/>
          <w:sz w:val="23"/>
          <w:szCs w:val="23"/>
          <w:highlight w:val="none"/>
          <w:u w:val="single" w:color="auto"/>
        </w:rPr>
        <w:t xml:space="preserve">                              </w:t>
      </w:r>
    </w:p>
    <w:p>
      <w:pPr>
        <w:spacing w:line="220" w:lineRule="auto"/>
        <w:ind w:left="489"/>
        <w:rPr>
          <w:rFonts w:hint="eastAsia" w:ascii="宋体" w:hAnsi="宋体" w:eastAsia="宋体" w:cs="宋体"/>
          <w:sz w:val="23"/>
          <w:szCs w:val="23"/>
          <w:highlight w:val="none"/>
        </w:rPr>
      </w:pPr>
      <w:r>
        <w:rPr>
          <w:rFonts w:hint="eastAsia" w:ascii="宋体" w:hAnsi="宋体" w:eastAsia="宋体" w:cs="宋体"/>
          <w:spacing w:val="-26"/>
          <w:sz w:val="23"/>
          <w:szCs w:val="23"/>
          <w:highlight w:val="none"/>
        </w:rPr>
        <w:t>项目名称：</w:t>
      </w:r>
      <w:r>
        <w:rPr>
          <w:rFonts w:hint="eastAsia" w:ascii="宋体" w:hAnsi="宋体" w:eastAsia="宋体" w:cs="宋体"/>
          <w:spacing w:val="25"/>
          <w:sz w:val="23"/>
          <w:szCs w:val="23"/>
          <w:highlight w:val="none"/>
        </w:rPr>
        <w:t xml:space="preserve"> </w:t>
      </w:r>
      <w:r>
        <w:rPr>
          <w:rFonts w:hint="eastAsia" w:ascii="宋体" w:hAnsi="宋体" w:eastAsia="宋体" w:cs="宋体"/>
          <w:sz w:val="23"/>
          <w:szCs w:val="23"/>
          <w:highlight w:val="none"/>
          <w:u w:val="single" w:color="auto"/>
        </w:rPr>
        <w:t xml:space="preserve">                              </w:t>
      </w:r>
    </w:p>
    <w:p>
      <w:pPr>
        <w:spacing w:before="184" w:line="219" w:lineRule="auto"/>
        <w:ind w:left="489"/>
        <w:rPr>
          <w:rFonts w:hint="eastAsia" w:ascii="宋体" w:hAnsi="宋体" w:eastAsia="宋体" w:cs="宋体"/>
          <w:sz w:val="23"/>
          <w:szCs w:val="23"/>
          <w:highlight w:val="none"/>
        </w:rPr>
      </w:pPr>
      <w:r>
        <w:rPr>
          <w:rFonts w:hint="eastAsia" w:ascii="宋体" w:hAnsi="宋体" w:eastAsia="宋体" w:cs="宋体"/>
          <w:spacing w:val="31"/>
          <w:sz w:val="23"/>
          <w:szCs w:val="23"/>
          <w:highlight w:val="none"/>
        </w:rPr>
        <w:t>单位名称(公章):</w:t>
      </w:r>
      <w:r>
        <w:rPr>
          <w:rFonts w:hint="eastAsia" w:ascii="宋体" w:hAnsi="宋体" w:eastAsia="宋体" w:cs="宋体"/>
          <w:spacing w:val="-1"/>
          <w:sz w:val="23"/>
          <w:szCs w:val="23"/>
          <w:highlight w:val="none"/>
        </w:rPr>
        <w:t xml:space="preserve"> </w:t>
      </w:r>
      <w:r>
        <w:rPr>
          <w:rFonts w:hint="eastAsia" w:ascii="宋体" w:hAnsi="宋体" w:eastAsia="宋体" w:cs="宋体"/>
          <w:sz w:val="23"/>
          <w:szCs w:val="23"/>
          <w:highlight w:val="none"/>
          <w:u w:val="single" w:color="auto"/>
        </w:rPr>
        <w:t xml:space="preserve">                      </w:t>
      </w:r>
    </w:p>
    <w:p>
      <w:pPr>
        <w:spacing w:before="210" w:line="212" w:lineRule="auto"/>
        <w:ind w:left="486"/>
        <w:rPr>
          <w:rFonts w:hint="eastAsia" w:ascii="宋体" w:hAnsi="宋体" w:eastAsia="宋体" w:cs="宋体"/>
          <w:sz w:val="24"/>
          <w:szCs w:val="24"/>
          <w:highlight w:val="none"/>
        </w:rPr>
      </w:pPr>
      <w:r>
        <w:rPr>
          <w:rFonts w:hint="eastAsia" w:ascii="宋体" w:hAnsi="宋体" w:eastAsia="宋体" w:cs="宋体"/>
          <w:spacing w:val="-26"/>
          <w:sz w:val="23"/>
          <w:szCs w:val="23"/>
          <w:highlight w:val="none"/>
        </w:rPr>
        <w:t>日期：</w:t>
      </w:r>
      <w:r>
        <w:rPr>
          <w:rFonts w:hint="eastAsia" w:ascii="宋体" w:hAnsi="宋体" w:eastAsia="宋体" w:cs="宋体"/>
          <w:spacing w:val="3"/>
          <w:sz w:val="24"/>
          <w:szCs w:val="24"/>
          <w:highlight w:val="none"/>
        </w:rPr>
        <w:t xml:space="preserve"> </w:t>
      </w:r>
      <w:r>
        <w:rPr>
          <w:rFonts w:hint="eastAsia" w:ascii="宋体" w:hAnsi="宋体" w:eastAsia="宋体" w:cs="宋体"/>
          <w:sz w:val="24"/>
          <w:szCs w:val="24"/>
          <w:highlight w:val="none"/>
          <w:u w:val="single" w:color="auto"/>
        </w:rPr>
        <w:t xml:space="preserve">                                 </w:t>
      </w:r>
    </w:p>
    <w:p>
      <w:pPr>
        <w:spacing w:line="212" w:lineRule="auto"/>
        <w:rPr>
          <w:rFonts w:hint="eastAsia" w:ascii="宋体" w:hAnsi="宋体" w:eastAsia="宋体" w:cs="宋体"/>
          <w:sz w:val="24"/>
          <w:szCs w:val="24"/>
          <w:highlight w:val="none"/>
        </w:rPr>
        <w:sectPr>
          <w:footerReference r:id="rId25" w:type="default"/>
          <w:pgSz w:w="11910" w:h="16840"/>
          <w:pgMar w:top="1431" w:right="1420" w:bottom="1192" w:left="1410" w:header="0" w:footer="964" w:gutter="0"/>
          <w:pgNumType w:fmt="decimal"/>
          <w:cols w:space="720" w:num="1"/>
        </w:sectPr>
      </w:pPr>
    </w:p>
    <w:p>
      <w:pPr>
        <w:spacing w:before="94" w:line="219" w:lineRule="auto"/>
        <w:ind w:left="3483"/>
        <w:outlineLvl w:val="9"/>
        <w:rPr>
          <w:rFonts w:hint="eastAsia" w:ascii="宋体" w:hAnsi="宋体" w:eastAsia="宋体" w:cs="宋体"/>
          <w:sz w:val="28"/>
          <w:szCs w:val="28"/>
          <w:highlight w:val="none"/>
        </w:rPr>
      </w:pPr>
      <w:r>
        <w:rPr>
          <w:rFonts w:hint="eastAsia" w:ascii="宋体" w:hAnsi="宋体" w:eastAsia="宋体" w:cs="宋体"/>
          <w:b/>
          <w:bCs/>
          <w:spacing w:val="-3"/>
          <w:sz w:val="28"/>
          <w:szCs w:val="28"/>
          <w:highlight w:val="none"/>
        </w:rPr>
        <w:t>6.反商业贿赂承诺书</w:t>
      </w:r>
    </w:p>
    <w:p>
      <w:pPr>
        <w:spacing w:before="241" w:line="219" w:lineRule="auto"/>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我公司承诺：</w:t>
      </w:r>
    </w:p>
    <w:p>
      <w:pPr>
        <w:spacing w:before="205" w:line="471" w:lineRule="exact"/>
        <w:ind w:left="459"/>
        <w:rPr>
          <w:rFonts w:hint="eastAsia" w:ascii="宋体" w:hAnsi="宋体" w:eastAsia="宋体" w:cs="宋体"/>
          <w:sz w:val="23"/>
          <w:szCs w:val="23"/>
          <w:highlight w:val="none"/>
        </w:rPr>
      </w:pPr>
      <w:r>
        <w:rPr>
          <w:rFonts w:hint="eastAsia" w:ascii="宋体" w:hAnsi="宋体" w:eastAsia="宋体" w:cs="宋体"/>
          <w:spacing w:val="4"/>
          <w:position w:val="18"/>
          <w:sz w:val="23"/>
          <w:szCs w:val="23"/>
          <w:highlight w:val="none"/>
        </w:rPr>
        <w:t>在本次采购活动中，我公司保证做到：</w:t>
      </w:r>
    </w:p>
    <w:p>
      <w:pPr>
        <w:spacing w:line="218" w:lineRule="auto"/>
        <w:ind w:left="459"/>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一、公平竞争参加本次采购活动。</w:t>
      </w:r>
    </w:p>
    <w:p>
      <w:pPr>
        <w:spacing w:before="198" w:line="373" w:lineRule="auto"/>
        <w:ind w:right="14" w:firstLine="459"/>
        <w:jc w:val="both"/>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二、杜绝任何形式的商业贿赂行为。不向国家工作人员、政</w:t>
      </w:r>
      <w:r>
        <w:rPr>
          <w:rFonts w:hint="eastAsia" w:ascii="宋体" w:hAnsi="宋体" w:eastAsia="宋体" w:cs="宋体"/>
          <w:spacing w:val="7"/>
          <w:sz w:val="23"/>
          <w:szCs w:val="23"/>
          <w:highlight w:val="none"/>
        </w:rPr>
        <w:t>府采购代理机构工作人</w:t>
      </w:r>
      <w:r>
        <w:rPr>
          <w:rFonts w:hint="eastAsia" w:ascii="宋体" w:hAnsi="宋体" w:eastAsia="宋体" w:cs="宋体"/>
          <w:sz w:val="23"/>
          <w:szCs w:val="23"/>
          <w:highlight w:val="none"/>
        </w:rPr>
        <w:t xml:space="preserve"> </w:t>
      </w:r>
      <w:r>
        <w:rPr>
          <w:rFonts w:hint="eastAsia" w:ascii="宋体" w:hAnsi="宋体" w:eastAsia="宋体" w:cs="宋体"/>
          <w:spacing w:val="7"/>
          <w:sz w:val="23"/>
          <w:szCs w:val="23"/>
          <w:highlight w:val="none"/>
        </w:rPr>
        <w:t>员、评审专家及其亲属提供礼品礼金、有价证券、购物券、回扣、佣金、咨询费、劳务</w:t>
      </w:r>
    </w:p>
    <w:p>
      <w:pPr>
        <w:spacing w:line="218" w:lineRule="auto"/>
        <w:jc w:val="right"/>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费、赞助费、宣传费、宴请；不为其报销各种消费凭证，不支付</w:t>
      </w:r>
      <w:r>
        <w:rPr>
          <w:rFonts w:hint="eastAsia" w:ascii="宋体" w:hAnsi="宋体" w:eastAsia="宋体" w:cs="宋体"/>
          <w:spacing w:val="7"/>
          <w:sz w:val="23"/>
          <w:szCs w:val="23"/>
          <w:highlight w:val="none"/>
        </w:rPr>
        <w:t>其旅游、娱乐等费用。</w:t>
      </w:r>
    </w:p>
    <w:p>
      <w:pPr>
        <w:spacing w:before="189" w:line="461" w:lineRule="exact"/>
        <w:ind w:right="14"/>
        <w:jc w:val="right"/>
        <w:rPr>
          <w:rFonts w:hint="eastAsia" w:ascii="宋体" w:hAnsi="宋体" w:eastAsia="宋体" w:cs="宋体"/>
          <w:sz w:val="23"/>
          <w:szCs w:val="23"/>
          <w:highlight w:val="none"/>
        </w:rPr>
      </w:pPr>
      <w:r>
        <w:rPr>
          <w:rFonts w:hint="eastAsia" w:ascii="宋体" w:hAnsi="宋体" w:eastAsia="宋体" w:cs="宋体"/>
          <w:spacing w:val="4"/>
          <w:position w:val="17"/>
          <w:sz w:val="23"/>
          <w:szCs w:val="23"/>
          <w:highlight w:val="none"/>
        </w:rPr>
        <w:t>三 、若出现上述行为，我公司及参与投标的工作人员愿意接受按照国家法律法规等</w:t>
      </w:r>
    </w:p>
    <w:p>
      <w:pPr>
        <w:spacing w:line="220" w:lineRule="auto"/>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有关规定给予的处罚。</w:t>
      </w:r>
    </w:p>
    <w:p>
      <w:pPr>
        <w:pStyle w:val="7"/>
        <w:spacing w:line="293" w:lineRule="auto"/>
        <w:rPr>
          <w:rFonts w:hint="eastAsia" w:ascii="宋体" w:hAnsi="宋体" w:eastAsia="宋体" w:cs="宋体"/>
          <w:highlight w:val="none"/>
        </w:rPr>
      </w:pPr>
    </w:p>
    <w:p>
      <w:pPr>
        <w:pStyle w:val="7"/>
        <w:spacing w:line="293" w:lineRule="auto"/>
        <w:rPr>
          <w:rFonts w:hint="eastAsia" w:ascii="宋体" w:hAnsi="宋体" w:eastAsia="宋体" w:cs="宋体"/>
          <w:highlight w:val="none"/>
        </w:rPr>
      </w:pPr>
    </w:p>
    <w:p>
      <w:pPr>
        <w:spacing w:before="76" w:line="219" w:lineRule="auto"/>
        <w:ind w:left="4080"/>
        <w:rPr>
          <w:rFonts w:hint="eastAsia" w:ascii="宋体" w:hAnsi="宋体" w:eastAsia="宋体" w:cs="宋体"/>
          <w:sz w:val="23"/>
          <w:szCs w:val="23"/>
          <w:highlight w:val="none"/>
        </w:rPr>
      </w:pPr>
      <w:r>
        <w:rPr>
          <w:rFonts w:hint="eastAsia" w:ascii="宋体" w:hAnsi="宋体" w:eastAsia="宋体" w:cs="宋体"/>
          <w:spacing w:val="-29"/>
          <w:sz w:val="23"/>
          <w:szCs w:val="23"/>
          <w:highlight w:val="none"/>
        </w:rPr>
        <w:t>项目编号：</w:t>
      </w:r>
      <w:r>
        <w:rPr>
          <w:rFonts w:hint="eastAsia" w:ascii="宋体" w:hAnsi="宋体" w:eastAsia="宋体" w:cs="宋体"/>
          <w:spacing w:val="28"/>
          <w:sz w:val="23"/>
          <w:szCs w:val="23"/>
          <w:highlight w:val="none"/>
        </w:rPr>
        <w:t xml:space="preserve"> </w:t>
      </w:r>
      <w:r>
        <w:rPr>
          <w:rFonts w:hint="eastAsia" w:ascii="宋体" w:hAnsi="宋体" w:eastAsia="宋体" w:cs="宋体"/>
          <w:sz w:val="23"/>
          <w:szCs w:val="23"/>
          <w:highlight w:val="none"/>
          <w:u w:val="single" w:color="auto"/>
        </w:rPr>
        <w:t xml:space="preserve">                              </w:t>
      </w:r>
    </w:p>
    <w:p>
      <w:pPr>
        <w:spacing w:before="197" w:line="220" w:lineRule="auto"/>
        <w:ind w:left="4080"/>
        <w:rPr>
          <w:rFonts w:hint="eastAsia" w:ascii="宋体" w:hAnsi="宋体" w:eastAsia="宋体" w:cs="宋体"/>
          <w:sz w:val="23"/>
          <w:szCs w:val="23"/>
          <w:highlight w:val="none"/>
        </w:rPr>
      </w:pPr>
      <w:r>
        <w:rPr>
          <w:rFonts w:hint="eastAsia" w:ascii="宋体" w:hAnsi="宋体" w:eastAsia="宋体" w:cs="宋体"/>
          <w:spacing w:val="-29"/>
          <w:sz w:val="23"/>
          <w:szCs w:val="23"/>
          <w:highlight w:val="none"/>
        </w:rPr>
        <w:t>项目名称；</w:t>
      </w:r>
      <w:r>
        <w:rPr>
          <w:rFonts w:hint="eastAsia" w:ascii="宋体" w:hAnsi="宋体" w:eastAsia="宋体" w:cs="宋体"/>
          <w:spacing w:val="-62"/>
          <w:sz w:val="23"/>
          <w:szCs w:val="23"/>
          <w:highlight w:val="none"/>
        </w:rPr>
        <w:t xml:space="preserve"> </w:t>
      </w:r>
      <w:r>
        <w:rPr>
          <w:rFonts w:hint="eastAsia" w:ascii="宋体" w:hAnsi="宋体" w:eastAsia="宋体" w:cs="宋体"/>
          <w:sz w:val="23"/>
          <w:szCs w:val="23"/>
          <w:highlight w:val="none"/>
          <w:u w:val="single" w:color="auto"/>
        </w:rPr>
        <w:t xml:space="preserve">                               </w:t>
      </w:r>
    </w:p>
    <w:p>
      <w:pPr>
        <w:spacing w:before="204" w:line="219" w:lineRule="auto"/>
        <w:ind w:left="4080"/>
        <w:rPr>
          <w:rFonts w:hint="eastAsia" w:ascii="宋体" w:hAnsi="宋体" w:eastAsia="宋体" w:cs="宋体"/>
          <w:sz w:val="23"/>
          <w:szCs w:val="23"/>
          <w:highlight w:val="none"/>
        </w:rPr>
      </w:pPr>
      <w:r>
        <w:rPr>
          <w:rFonts w:hint="eastAsia" w:ascii="宋体" w:hAnsi="宋体" w:eastAsia="宋体" w:cs="宋体"/>
          <w:spacing w:val="33"/>
          <w:sz w:val="23"/>
          <w:szCs w:val="23"/>
          <w:highlight w:val="none"/>
        </w:rPr>
        <w:t>供应商(公章):</w:t>
      </w:r>
      <w:r>
        <w:rPr>
          <w:rFonts w:hint="eastAsia" w:ascii="宋体" w:hAnsi="宋体" w:eastAsia="宋体" w:cs="宋体"/>
          <w:spacing w:val="-6"/>
          <w:sz w:val="23"/>
          <w:szCs w:val="23"/>
          <w:highlight w:val="none"/>
        </w:rPr>
        <w:t xml:space="preserve"> </w:t>
      </w:r>
      <w:r>
        <w:rPr>
          <w:rFonts w:hint="eastAsia" w:ascii="宋体" w:hAnsi="宋体" w:eastAsia="宋体" w:cs="宋体"/>
          <w:sz w:val="23"/>
          <w:szCs w:val="23"/>
          <w:highlight w:val="none"/>
          <w:u w:val="single" w:color="auto"/>
        </w:rPr>
        <w:t xml:space="preserve">                       </w:t>
      </w:r>
    </w:p>
    <w:p>
      <w:pPr>
        <w:tabs>
          <w:tab w:val="left" w:pos="5980"/>
        </w:tabs>
        <w:spacing w:before="180" w:line="219" w:lineRule="auto"/>
        <w:ind w:left="5259"/>
        <w:rPr>
          <w:rFonts w:hint="eastAsia" w:ascii="宋体" w:hAnsi="宋体" w:eastAsia="宋体" w:cs="宋体"/>
          <w:sz w:val="23"/>
          <w:szCs w:val="23"/>
          <w:highlight w:val="none"/>
        </w:rPr>
      </w:pPr>
      <w:r>
        <w:rPr>
          <w:rFonts w:hint="eastAsia" w:ascii="宋体" w:hAnsi="宋体" w:eastAsia="宋体" w:cs="宋体"/>
          <w:position w:val="-1"/>
          <w:sz w:val="27"/>
          <w:szCs w:val="27"/>
          <w:highlight w:val="none"/>
          <w:u w:val="single" w:color="auto"/>
        </w:rPr>
        <w:tab/>
      </w:r>
      <w:r>
        <w:rPr>
          <w:rFonts w:hint="eastAsia" w:ascii="宋体" w:hAnsi="宋体" w:eastAsia="宋体" w:cs="宋体"/>
          <w:spacing w:val="-19"/>
          <w:position w:val="-1"/>
          <w:sz w:val="27"/>
          <w:szCs w:val="27"/>
          <w:highlight w:val="none"/>
        </w:rPr>
        <w:t>年</w:t>
      </w:r>
      <w:r>
        <w:rPr>
          <w:rFonts w:hint="eastAsia" w:ascii="宋体" w:hAnsi="宋体" w:eastAsia="宋体" w:cs="宋体"/>
          <w:spacing w:val="-123"/>
          <w:position w:val="-1"/>
          <w:sz w:val="27"/>
          <w:szCs w:val="27"/>
          <w:highlight w:val="none"/>
        </w:rPr>
        <w:t xml:space="preserve"> </w:t>
      </w:r>
      <w:r>
        <w:rPr>
          <w:rFonts w:hint="eastAsia" w:ascii="宋体" w:hAnsi="宋体" w:eastAsia="宋体" w:cs="宋体"/>
          <w:spacing w:val="1"/>
          <w:position w:val="-1"/>
          <w:sz w:val="27"/>
          <w:szCs w:val="27"/>
          <w:highlight w:val="none"/>
          <w:u w:val="single" w:color="auto"/>
        </w:rPr>
        <w:t xml:space="preserve">   </w:t>
      </w:r>
      <w:r>
        <w:rPr>
          <w:rFonts w:hint="eastAsia" w:ascii="宋体" w:hAnsi="宋体" w:eastAsia="宋体" w:cs="宋体"/>
          <w:spacing w:val="-19"/>
          <w:sz w:val="22"/>
          <w:szCs w:val="22"/>
          <w:highlight w:val="none"/>
        </w:rPr>
        <w:t>月</w:t>
      </w:r>
      <w:r>
        <w:rPr>
          <w:rFonts w:hint="eastAsia" w:ascii="宋体" w:hAnsi="宋体" w:eastAsia="宋体" w:cs="宋体"/>
          <w:spacing w:val="-19"/>
          <w:sz w:val="22"/>
          <w:szCs w:val="22"/>
          <w:highlight w:val="none"/>
          <w:u w:val="single" w:color="auto"/>
        </w:rPr>
        <w:t xml:space="preserve">    </w:t>
      </w:r>
      <w:r>
        <w:rPr>
          <w:rFonts w:hint="eastAsia" w:ascii="宋体" w:hAnsi="宋体" w:eastAsia="宋体" w:cs="宋体"/>
          <w:spacing w:val="-79"/>
          <w:sz w:val="22"/>
          <w:szCs w:val="22"/>
          <w:highlight w:val="none"/>
        </w:rPr>
        <w:t xml:space="preserve"> </w:t>
      </w:r>
      <w:r>
        <w:rPr>
          <w:rFonts w:hint="eastAsia" w:ascii="宋体" w:hAnsi="宋体" w:eastAsia="宋体" w:cs="宋体"/>
          <w:spacing w:val="-19"/>
          <w:position w:val="1"/>
          <w:sz w:val="23"/>
          <w:szCs w:val="23"/>
          <w:highlight w:val="none"/>
        </w:rPr>
        <w:t>日</w:t>
      </w:r>
    </w:p>
    <w:p>
      <w:pPr>
        <w:spacing w:line="219" w:lineRule="auto"/>
        <w:rPr>
          <w:rFonts w:hint="eastAsia" w:ascii="宋体" w:hAnsi="宋体" w:eastAsia="宋体" w:cs="宋体"/>
          <w:sz w:val="23"/>
          <w:szCs w:val="23"/>
          <w:highlight w:val="none"/>
        </w:rPr>
        <w:sectPr>
          <w:footerReference r:id="rId26" w:type="default"/>
          <w:pgSz w:w="11910" w:h="16840"/>
          <w:pgMar w:top="1431" w:right="1444" w:bottom="1175" w:left="1430" w:header="0" w:footer="986" w:gutter="0"/>
          <w:pgNumType w:fmt="decimal"/>
          <w:cols w:space="720" w:num="1"/>
        </w:sectPr>
      </w:pPr>
    </w:p>
    <w:p>
      <w:pPr>
        <w:spacing w:before="57" w:line="219" w:lineRule="auto"/>
        <w:ind w:left="1757"/>
        <w:outlineLvl w:val="9"/>
        <w:rPr>
          <w:rFonts w:hint="eastAsia" w:ascii="宋体" w:hAnsi="宋体" w:eastAsia="宋体" w:cs="宋体"/>
          <w:sz w:val="29"/>
          <w:szCs w:val="29"/>
          <w:highlight w:val="none"/>
        </w:rPr>
      </w:pPr>
      <w:r>
        <w:rPr>
          <w:rFonts w:hint="eastAsia" w:ascii="宋体" w:hAnsi="宋体" w:eastAsia="宋体" w:cs="宋体"/>
          <w:b/>
          <w:bCs/>
          <w:spacing w:val="-3"/>
          <w:sz w:val="29"/>
          <w:szCs w:val="29"/>
          <w:highlight w:val="none"/>
        </w:rPr>
        <w:t>7.项目实施方案及服务方案(格式自拟)</w:t>
      </w:r>
    </w:p>
    <w:p>
      <w:pPr>
        <w:spacing w:line="219" w:lineRule="auto"/>
        <w:rPr>
          <w:rFonts w:hint="eastAsia" w:ascii="宋体" w:hAnsi="宋体" w:eastAsia="宋体" w:cs="宋体"/>
          <w:sz w:val="29"/>
          <w:szCs w:val="29"/>
          <w:highlight w:val="none"/>
        </w:rPr>
        <w:sectPr>
          <w:footerReference r:id="rId27" w:type="default"/>
          <w:pgSz w:w="11910" w:h="16840"/>
          <w:pgMar w:top="1388" w:right="1786" w:bottom="1171" w:left="1786" w:header="0" w:footer="973" w:gutter="0"/>
          <w:pgNumType w:fmt="decimal"/>
          <w:cols w:space="720" w:num="1"/>
        </w:sectPr>
      </w:pPr>
    </w:p>
    <w:p>
      <w:pPr>
        <w:pStyle w:val="7"/>
        <w:spacing w:line="271" w:lineRule="auto"/>
        <w:rPr>
          <w:rFonts w:hint="eastAsia" w:ascii="宋体" w:hAnsi="宋体" w:eastAsia="宋体" w:cs="宋体"/>
          <w:highlight w:val="none"/>
        </w:rPr>
      </w:pPr>
    </w:p>
    <w:p>
      <w:pPr>
        <w:spacing w:before="91" w:line="219" w:lineRule="auto"/>
        <w:ind w:left="2189"/>
        <w:outlineLvl w:val="9"/>
        <w:rPr>
          <w:rFonts w:hint="eastAsia" w:ascii="宋体" w:hAnsi="宋体" w:eastAsia="宋体" w:cs="宋体"/>
          <w:sz w:val="28"/>
          <w:szCs w:val="28"/>
          <w:highlight w:val="none"/>
        </w:rPr>
      </w:pPr>
      <w:r>
        <w:rPr>
          <w:rFonts w:hint="eastAsia" w:ascii="宋体" w:hAnsi="宋体" w:eastAsia="宋体" w:cs="宋体"/>
          <w:b/>
          <w:bCs/>
          <w:spacing w:val="-4"/>
          <w:sz w:val="28"/>
          <w:szCs w:val="28"/>
          <w:highlight w:val="none"/>
        </w:rPr>
        <w:t>8.供应商已完成的与磋商项目类似的项目清单</w:t>
      </w:r>
    </w:p>
    <w:p>
      <w:pPr>
        <w:pStyle w:val="7"/>
        <w:spacing w:line="412" w:lineRule="auto"/>
        <w:rPr>
          <w:rFonts w:hint="eastAsia" w:ascii="宋体" w:hAnsi="宋体" w:eastAsia="宋体" w:cs="宋体"/>
          <w:highlight w:val="none"/>
        </w:rPr>
      </w:pPr>
    </w:p>
    <w:p>
      <w:pPr>
        <w:spacing w:before="75" w:line="219" w:lineRule="auto"/>
        <w:ind w:left="715"/>
        <w:rPr>
          <w:rFonts w:hint="eastAsia" w:ascii="宋体" w:hAnsi="宋体" w:eastAsia="宋体" w:cs="宋体"/>
          <w:sz w:val="23"/>
          <w:szCs w:val="23"/>
          <w:highlight w:val="none"/>
        </w:rPr>
      </w:pPr>
      <w:r>
        <w:rPr>
          <w:rFonts w:hint="eastAsia" w:ascii="宋体" w:hAnsi="宋体" w:eastAsia="宋体" w:cs="宋体"/>
          <w:spacing w:val="24"/>
          <w:sz w:val="23"/>
          <w:szCs w:val="23"/>
          <w:highlight w:val="none"/>
        </w:rPr>
        <w:t>供应商(名称):</w:t>
      </w:r>
      <w:r>
        <w:rPr>
          <w:rFonts w:hint="eastAsia" w:ascii="宋体" w:hAnsi="宋体" w:eastAsia="宋体" w:cs="宋体"/>
          <w:spacing w:val="-23"/>
          <w:sz w:val="23"/>
          <w:szCs w:val="23"/>
          <w:highlight w:val="none"/>
        </w:rPr>
        <w:t xml:space="preserve"> </w:t>
      </w:r>
      <w:r>
        <w:rPr>
          <w:rFonts w:hint="eastAsia" w:ascii="宋体" w:hAnsi="宋体" w:eastAsia="宋体" w:cs="宋体"/>
          <w:spacing w:val="9"/>
          <w:sz w:val="23"/>
          <w:szCs w:val="23"/>
          <w:highlight w:val="none"/>
          <w:u w:val="single" w:color="auto"/>
        </w:rPr>
        <w:t xml:space="preserve">            </w:t>
      </w:r>
      <w:r>
        <w:rPr>
          <w:rFonts w:hint="eastAsia" w:ascii="宋体" w:hAnsi="宋体" w:eastAsia="宋体" w:cs="宋体"/>
          <w:spacing w:val="11"/>
          <w:sz w:val="23"/>
          <w:szCs w:val="23"/>
          <w:highlight w:val="none"/>
        </w:rPr>
        <w:t xml:space="preserve">  </w:t>
      </w:r>
      <w:r>
        <w:rPr>
          <w:rFonts w:hint="eastAsia" w:ascii="宋体" w:hAnsi="宋体" w:eastAsia="宋体" w:cs="宋体"/>
          <w:spacing w:val="24"/>
          <w:sz w:val="23"/>
          <w:szCs w:val="23"/>
          <w:highlight w:val="none"/>
        </w:rPr>
        <w:t>(盖公章)</w:t>
      </w:r>
    </w:p>
    <w:p>
      <w:pPr>
        <w:spacing w:before="198" w:line="219" w:lineRule="auto"/>
        <w:ind w:left="695"/>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项目编号：</w:t>
      </w:r>
    </w:p>
    <w:p>
      <w:pPr>
        <w:spacing w:line="82" w:lineRule="exact"/>
        <w:rPr>
          <w:rFonts w:hint="eastAsia" w:ascii="宋体" w:hAnsi="宋体" w:eastAsia="宋体" w:cs="宋体"/>
          <w:highlight w:val="none"/>
        </w:rPr>
      </w:pPr>
    </w:p>
    <w:tbl>
      <w:tblPr>
        <w:tblStyle w:val="30"/>
        <w:tblW w:w="9940"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14"/>
        <w:gridCol w:w="1618"/>
        <w:gridCol w:w="1428"/>
        <w:gridCol w:w="1449"/>
        <w:gridCol w:w="1349"/>
        <w:gridCol w:w="1359"/>
        <w:gridCol w:w="1723"/>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4" w:hRule="atLeast"/>
        </w:trPr>
        <w:tc>
          <w:tcPr>
            <w:tcW w:w="1014" w:type="dxa"/>
            <w:vAlign w:val="top"/>
          </w:tcPr>
          <w:p>
            <w:pPr>
              <w:pStyle w:val="31"/>
              <w:spacing w:before="205" w:line="221" w:lineRule="auto"/>
              <w:ind w:left="265"/>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序号</w:t>
            </w:r>
          </w:p>
        </w:tc>
        <w:tc>
          <w:tcPr>
            <w:tcW w:w="1618" w:type="dxa"/>
            <w:vAlign w:val="top"/>
          </w:tcPr>
          <w:p>
            <w:pPr>
              <w:pStyle w:val="31"/>
              <w:spacing w:before="205" w:line="220" w:lineRule="auto"/>
              <w:ind w:left="341"/>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项目名称</w:t>
            </w:r>
          </w:p>
        </w:tc>
        <w:tc>
          <w:tcPr>
            <w:tcW w:w="1428" w:type="dxa"/>
            <w:vAlign w:val="top"/>
          </w:tcPr>
          <w:p>
            <w:pPr>
              <w:pStyle w:val="31"/>
              <w:spacing w:before="75" w:line="216" w:lineRule="auto"/>
              <w:ind w:left="362" w:right="84" w:hanging="229"/>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中标(成交)</w:t>
            </w:r>
            <w:r>
              <w:rPr>
                <w:rFonts w:hint="eastAsia" w:ascii="宋体" w:hAnsi="宋体" w:eastAsia="宋体" w:cs="宋体"/>
                <w:spacing w:val="1"/>
                <w:sz w:val="23"/>
                <w:szCs w:val="23"/>
                <w:highlight w:val="none"/>
              </w:rPr>
              <w:t xml:space="preserve"> </w:t>
            </w:r>
            <w:r>
              <w:rPr>
                <w:rFonts w:hint="eastAsia" w:ascii="宋体" w:hAnsi="宋体" w:eastAsia="宋体" w:cs="宋体"/>
                <w:spacing w:val="5"/>
                <w:sz w:val="23"/>
                <w:szCs w:val="23"/>
                <w:highlight w:val="none"/>
              </w:rPr>
              <w:t>通知书</w:t>
            </w:r>
          </w:p>
        </w:tc>
        <w:tc>
          <w:tcPr>
            <w:tcW w:w="1449" w:type="dxa"/>
            <w:vAlign w:val="top"/>
          </w:tcPr>
          <w:p>
            <w:pPr>
              <w:pStyle w:val="31"/>
              <w:spacing w:before="205" w:line="220" w:lineRule="auto"/>
              <w:ind w:left="265"/>
              <w:rPr>
                <w:rFonts w:hint="eastAsia" w:ascii="宋体" w:hAnsi="宋体" w:eastAsia="宋体" w:cs="宋体"/>
                <w:sz w:val="23"/>
                <w:szCs w:val="23"/>
                <w:highlight w:val="none"/>
              </w:rPr>
            </w:pPr>
            <w:r>
              <w:rPr>
                <w:rFonts w:hint="eastAsia" w:ascii="宋体" w:hAnsi="宋体" w:eastAsia="宋体" w:cs="宋体"/>
                <w:spacing w:val="5"/>
                <w:sz w:val="23"/>
                <w:szCs w:val="23"/>
                <w:highlight w:val="none"/>
              </w:rPr>
              <w:t>实施时间</w:t>
            </w:r>
          </w:p>
        </w:tc>
        <w:tc>
          <w:tcPr>
            <w:tcW w:w="1349" w:type="dxa"/>
            <w:vAlign w:val="top"/>
          </w:tcPr>
          <w:p>
            <w:pPr>
              <w:pStyle w:val="31"/>
              <w:spacing w:before="205" w:line="220" w:lineRule="auto"/>
              <w:ind w:left="206"/>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建设单位</w:t>
            </w:r>
          </w:p>
        </w:tc>
        <w:tc>
          <w:tcPr>
            <w:tcW w:w="1359" w:type="dxa"/>
            <w:vAlign w:val="top"/>
          </w:tcPr>
          <w:p>
            <w:pPr>
              <w:pStyle w:val="31"/>
              <w:spacing w:before="205" w:line="220" w:lineRule="auto"/>
              <w:ind w:left="217"/>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单位地址</w:t>
            </w:r>
          </w:p>
        </w:tc>
        <w:tc>
          <w:tcPr>
            <w:tcW w:w="1723" w:type="dxa"/>
            <w:vAlign w:val="top"/>
          </w:tcPr>
          <w:p>
            <w:pPr>
              <w:pStyle w:val="31"/>
              <w:spacing w:before="207" w:line="221" w:lineRule="auto"/>
              <w:ind w:left="147"/>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联系人及电话</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014" w:type="dxa"/>
            <w:vAlign w:val="top"/>
          </w:tcPr>
          <w:p>
            <w:pPr>
              <w:rPr>
                <w:rFonts w:hint="eastAsia" w:ascii="宋体" w:hAnsi="宋体" w:eastAsia="宋体" w:cs="宋体"/>
                <w:sz w:val="21"/>
                <w:highlight w:val="none"/>
              </w:rPr>
            </w:pPr>
          </w:p>
        </w:tc>
        <w:tc>
          <w:tcPr>
            <w:tcW w:w="1618" w:type="dxa"/>
            <w:vAlign w:val="top"/>
          </w:tcPr>
          <w:p>
            <w:pPr>
              <w:rPr>
                <w:rFonts w:hint="eastAsia" w:ascii="宋体" w:hAnsi="宋体" w:eastAsia="宋体" w:cs="宋体"/>
                <w:sz w:val="21"/>
                <w:highlight w:val="none"/>
              </w:rPr>
            </w:pPr>
          </w:p>
        </w:tc>
        <w:tc>
          <w:tcPr>
            <w:tcW w:w="1428" w:type="dxa"/>
            <w:vAlign w:val="top"/>
          </w:tcPr>
          <w:p>
            <w:pPr>
              <w:rPr>
                <w:rFonts w:hint="eastAsia" w:ascii="宋体" w:hAnsi="宋体" w:eastAsia="宋体" w:cs="宋体"/>
                <w:sz w:val="21"/>
                <w:highlight w:val="none"/>
              </w:rPr>
            </w:pPr>
          </w:p>
        </w:tc>
        <w:tc>
          <w:tcPr>
            <w:tcW w:w="1449" w:type="dxa"/>
            <w:vAlign w:val="top"/>
          </w:tcPr>
          <w:p>
            <w:pPr>
              <w:rPr>
                <w:rFonts w:hint="eastAsia" w:ascii="宋体" w:hAnsi="宋体" w:eastAsia="宋体" w:cs="宋体"/>
                <w:sz w:val="21"/>
                <w:highlight w:val="none"/>
              </w:rPr>
            </w:pPr>
          </w:p>
        </w:tc>
        <w:tc>
          <w:tcPr>
            <w:tcW w:w="1349" w:type="dxa"/>
            <w:vAlign w:val="top"/>
          </w:tcPr>
          <w:p>
            <w:pPr>
              <w:rPr>
                <w:rFonts w:hint="eastAsia" w:ascii="宋体" w:hAnsi="宋体" w:eastAsia="宋体" w:cs="宋体"/>
                <w:sz w:val="21"/>
                <w:highlight w:val="none"/>
              </w:rPr>
            </w:pPr>
          </w:p>
        </w:tc>
        <w:tc>
          <w:tcPr>
            <w:tcW w:w="1359" w:type="dxa"/>
            <w:vAlign w:val="top"/>
          </w:tcPr>
          <w:p>
            <w:pPr>
              <w:rPr>
                <w:rFonts w:hint="eastAsia" w:ascii="宋体" w:hAnsi="宋体" w:eastAsia="宋体" w:cs="宋体"/>
                <w:sz w:val="21"/>
                <w:highlight w:val="none"/>
              </w:rPr>
            </w:pPr>
          </w:p>
        </w:tc>
        <w:tc>
          <w:tcPr>
            <w:tcW w:w="1723" w:type="dxa"/>
            <w:vAlign w:val="top"/>
          </w:tcPr>
          <w:p>
            <w:pPr>
              <w:rPr>
                <w:rFonts w:hint="eastAsia" w:ascii="宋体" w:hAnsi="宋体" w:eastAsia="宋体" w:cs="宋体"/>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014" w:type="dxa"/>
            <w:vAlign w:val="top"/>
          </w:tcPr>
          <w:p>
            <w:pPr>
              <w:rPr>
                <w:rFonts w:hint="eastAsia" w:ascii="宋体" w:hAnsi="宋体" w:eastAsia="宋体" w:cs="宋体"/>
                <w:sz w:val="21"/>
                <w:highlight w:val="none"/>
              </w:rPr>
            </w:pPr>
          </w:p>
        </w:tc>
        <w:tc>
          <w:tcPr>
            <w:tcW w:w="1618" w:type="dxa"/>
            <w:vAlign w:val="top"/>
          </w:tcPr>
          <w:p>
            <w:pPr>
              <w:rPr>
                <w:rFonts w:hint="eastAsia" w:ascii="宋体" w:hAnsi="宋体" w:eastAsia="宋体" w:cs="宋体"/>
                <w:sz w:val="21"/>
                <w:highlight w:val="none"/>
              </w:rPr>
            </w:pPr>
          </w:p>
        </w:tc>
        <w:tc>
          <w:tcPr>
            <w:tcW w:w="1428" w:type="dxa"/>
            <w:vAlign w:val="top"/>
          </w:tcPr>
          <w:p>
            <w:pPr>
              <w:rPr>
                <w:rFonts w:hint="eastAsia" w:ascii="宋体" w:hAnsi="宋体" w:eastAsia="宋体" w:cs="宋体"/>
                <w:sz w:val="21"/>
                <w:highlight w:val="none"/>
              </w:rPr>
            </w:pPr>
          </w:p>
        </w:tc>
        <w:tc>
          <w:tcPr>
            <w:tcW w:w="1449" w:type="dxa"/>
            <w:vAlign w:val="top"/>
          </w:tcPr>
          <w:p>
            <w:pPr>
              <w:rPr>
                <w:rFonts w:hint="eastAsia" w:ascii="宋体" w:hAnsi="宋体" w:eastAsia="宋体" w:cs="宋体"/>
                <w:sz w:val="21"/>
                <w:highlight w:val="none"/>
              </w:rPr>
            </w:pPr>
          </w:p>
        </w:tc>
        <w:tc>
          <w:tcPr>
            <w:tcW w:w="1349" w:type="dxa"/>
            <w:vAlign w:val="top"/>
          </w:tcPr>
          <w:p>
            <w:pPr>
              <w:rPr>
                <w:rFonts w:hint="eastAsia" w:ascii="宋体" w:hAnsi="宋体" w:eastAsia="宋体" w:cs="宋体"/>
                <w:sz w:val="21"/>
                <w:highlight w:val="none"/>
              </w:rPr>
            </w:pPr>
          </w:p>
        </w:tc>
        <w:tc>
          <w:tcPr>
            <w:tcW w:w="1359" w:type="dxa"/>
            <w:vAlign w:val="top"/>
          </w:tcPr>
          <w:p>
            <w:pPr>
              <w:rPr>
                <w:rFonts w:hint="eastAsia" w:ascii="宋体" w:hAnsi="宋体" w:eastAsia="宋体" w:cs="宋体"/>
                <w:sz w:val="21"/>
                <w:highlight w:val="none"/>
              </w:rPr>
            </w:pPr>
          </w:p>
        </w:tc>
        <w:tc>
          <w:tcPr>
            <w:tcW w:w="1723" w:type="dxa"/>
            <w:vAlign w:val="top"/>
          </w:tcPr>
          <w:p>
            <w:pPr>
              <w:rPr>
                <w:rFonts w:hint="eastAsia" w:ascii="宋体" w:hAnsi="宋体" w:eastAsia="宋体" w:cs="宋体"/>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014" w:type="dxa"/>
            <w:vAlign w:val="top"/>
          </w:tcPr>
          <w:p>
            <w:pPr>
              <w:rPr>
                <w:rFonts w:hint="eastAsia" w:ascii="宋体" w:hAnsi="宋体" w:eastAsia="宋体" w:cs="宋体"/>
                <w:sz w:val="21"/>
                <w:highlight w:val="none"/>
              </w:rPr>
            </w:pPr>
          </w:p>
        </w:tc>
        <w:tc>
          <w:tcPr>
            <w:tcW w:w="1618" w:type="dxa"/>
            <w:vAlign w:val="top"/>
          </w:tcPr>
          <w:p>
            <w:pPr>
              <w:rPr>
                <w:rFonts w:hint="eastAsia" w:ascii="宋体" w:hAnsi="宋体" w:eastAsia="宋体" w:cs="宋体"/>
                <w:sz w:val="21"/>
                <w:highlight w:val="none"/>
              </w:rPr>
            </w:pPr>
          </w:p>
        </w:tc>
        <w:tc>
          <w:tcPr>
            <w:tcW w:w="1428" w:type="dxa"/>
            <w:vAlign w:val="top"/>
          </w:tcPr>
          <w:p>
            <w:pPr>
              <w:rPr>
                <w:rFonts w:hint="eastAsia" w:ascii="宋体" w:hAnsi="宋体" w:eastAsia="宋体" w:cs="宋体"/>
                <w:sz w:val="21"/>
                <w:highlight w:val="none"/>
              </w:rPr>
            </w:pPr>
          </w:p>
        </w:tc>
        <w:tc>
          <w:tcPr>
            <w:tcW w:w="1449" w:type="dxa"/>
            <w:vAlign w:val="top"/>
          </w:tcPr>
          <w:p>
            <w:pPr>
              <w:rPr>
                <w:rFonts w:hint="eastAsia" w:ascii="宋体" w:hAnsi="宋体" w:eastAsia="宋体" w:cs="宋体"/>
                <w:sz w:val="21"/>
                <w:highlight w:val="none"/>
              </w:rPr>
            </w:pPr>
          </w:p>
        </w:tc>
        <w:tc>
          <w:tcPr>
            <w:tcW w:w="1349" w:type="dxa"/>
            <w:vAlign w:val="top"/>
          </w:tcPr>
          <w:p>
            <w:pPr>
              <w:rPr>
                <w:rFonts w:hint="eastAsia" w:ascii="宋体" w:hAnsi="宋体" w:eastAsia="宋体" w:cs="宋体"/>
                <w:sz w:val="21"/>
                <w:highlight w:val="none"/>
              </w:rPr>
            </w:pPr>
          </w:p>
        </w:tc>
        <w:tc>
          <w:tcPr>
            <w:tcW w:w="1359" w:type="dxa"/>
            <w:vAlign w:val="top"/>
          </w:tcPr>
          <w:p>
            <w:pPr>
              <w:rPr>
                <w:rFonts w:hint="eastAsia" w:ascii="宋体" w:hAnsi="宋体" w:eastAsia="宋体" w:cs="宋体"/>
                <w:sz w:val="21"/>
                <w:highlight w:val="none"/>
              </w:rPr>
            </w:pPr>
          </w:p>
        </w:tc>
        <w:tc>
          <w:tcPr>
            <w:tcW w:w="1723" w:type="dxa"/>
            <w:vAlign w:val="top"/>
          </w:tcPr>
          <w:p>
            <w:pPr>
              <w:rPr>
                <w:rFonts w:hint="eastAsia" w:ascii="宋体" w:hAnsi="宋体" w:eastAsia="宋体" w:cs="宋体"/>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014" w:type="dxa"/>
            <w:vAlign w:val="top"/>
          </w:tcPr>
          <w:p>
            <w:pPr>
              <w:rPr>
                <w:rFonts w:hint="eastAsia" w:ascii="宋体" w:hAnsi="宋体" w:eastAsia="宋体" w:cs="宋体"/>
                <w:sz w:val="21"/>
                <w:highlight w:val="none"/>
              </w:rPr>
            </w:pPr>
          </w:p>
        </w:tc>
        <w:tc>
          <w:tcPr>
            <w:tcW w:w="1618" w:type="dxa"/>
            <w:vAlign w:val="top"/>
          </w:tcPr>
          <w:p>
            <w:pPr>
              <w:rPr>
                <w:rFonts w:hint="eastAsia" w:ascii="宋体" w:hAnsi="宋体" w:eastAsia="宋体" w:cs="宋体"/>
                <w:sz w:val="21"/>
                <w:highlight w:val="none"/>
              </w:rPr>
            </w:pPr>
          </w:p>
        </w:tc>
        <w:tc>
          <w:tcPr>
            <w:tcW w:w="1428" w:type="dxa"/>
            <w:vAlign w:val="top"/>
          </w:tcPr>
          <w:p>
            <w:pPr>
              <w:rPr>
                <w:rFonts w:hint="eastAsia" w:ascii="宋体" w:hAnsi="宋体" w:eastAsia="宋体" w:cs="宋体"/>
                <w:sz w:val="21"/>
                <w:highlight w:val="none"/>
              </w:rPr>
            </w:pPr>
          </w:p>
        </w:tc>
        <w:tc>
          <w:tcPr>
            <w:tcW w:w="1449" w:type="dxa"/>
            <w:vAlign w:val="top"/>
          </w:tcPr>
          <w:p>
            <w:pPr>
              <w:rPr>
                <w:rFonts w:hint="eastAsia" w:ascii="宋体" w:hAnsi="宋体" w:eastAsia="宋体" w:cs="宋体"/>
                <w:sz w:val="21"/>
                <w:highlight w:val="none"/>
              </w:rPr>
            </w:pPr>
          </w:p>
        </w:tc>
        <w:tc>
          <w:tcPr>
            <w:tcW w:w="1349" w:type="dxa"/>
            <w:vAlign w:val="top"/>
          </w:tcPr>
          <w:p>
            <w:pPr>
              <w:rPr>
                <w:rFonts w:hint="eastAsia" w:ascii="宋体" w:hAnsi="宋体" w:eastAsia="宋体" w:cs="宋体"/>
                <w:sz w:val="21"/>
                <w:highlight w:val="none"/>
              </w:rPr>
            </w:pPr>
          </w:p>
        </w:tc>
        <w:tc>
          <w:tcPr>
            <w:tcW w:w="1359" w:type="dxa"/>
            <w:vAlign w:val="top"/>
          </w:tcPr>
          <w:p>
            <w:pPr>
              <w:rPr>
                <w:rFonts w:hint="eastAsia" w:ascii="宋体" w:hAnsi="宋体" w:eastAsia="宋体" w:cs="宋体"/>
                <w:sz w:val="21"/>
                <w:highlight w:val="none"/>
              </w:rPr>
            </w:pPr>
          </w:p>
        </w:tc>
        <w:tc>
          <w:tcPr>
            <w:tcW w:w="1723" w:type="dxa"/>
            <w:vAlign w:val="top"/>
          </w:tcPr>
          <w:p>
            <w:pPr>
              <w:rPr>
                <w:rFonts w:hint="eastAsia" w:ascii="宋体" w:hAnsi="宋体" w:eastAsia="宋体" w:cs="宋体"/>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14" w:type="dxa"/>
            <w:vAlign w:val="top"/>
          </w:tcPr>
          <w:p>
            <w:pPr>
              <w:rPr>
                <w:rFonts w:hint="eastAsia" w:ascii="宋体" w:hAnsi="宋体" w:eastAsia="宋体" w:cs="宋体"/>
                <w:sz w:val="21"/>
                <w:highlight w:val="none"/>
              </w:rPr>
            </w:pPr>
          </w:p>
        </w:tc>
        <w:tc>
          <w:tcPr>
            <w:tcW w:w="1618" w:type="dxa"/>
            <w:vAlign w:val="top"/>
          </w:tcPr>
          <w:p>
            <w:pPr>
              <w:rPr>
                <w:rFonts w:hint="eastAsia" w:ascii="宋体" w:hAnsi="宋体" w:eastAsia="宋体" w:cs="宋体"/>
                <w:sz w:val="21"/>
                <w:highlight w:val="none"/>
              </w:rPr>
            </w:pPr>
          </w:p>
        </w:tc>
        <w:tc>
          <w:tcPr>
            <w:tcW w:w="1428" w:type="dxa"/>
            <w:vAlign w:val="top"/>
          </w:tcPr>
          <w:p>
            <w:pPr>
              <w:rPr>
                <w:rFonts w:hint="eastAsia" w:ascii="宋体" w:hAnsi="宋体" w:eastAsia="宋体" w:cs="宋体"/>
                <w:sz w:val="21"/>
                <w:highlight w:val="none"/>
              </w:rPr>
            </w:pPr>
          </w:p>
        </w:tc>
        <w:tc>
          <w:tcPr>
            <w:tcW w:w="1449" w:type="dxa"/>
            <w:vAlign w:val="top"/>
          </w:tcPr>
          <w:p>
            <w:pPr>
              <w:rPr>
                <w:rFonts w:hint="eastAsia" w:ascii="宋体" w:hAnsi="宋体" w:eastAsia="宋体" w:cs="宋体"/>
                <w:sz w:val="21"/>
                <w:highlight w:val="none"/>
              </w:rPr>
            </w:pPr>
          </w:p>
        </w:tc>
        <w:tc>
          <w:tcPr>
            <w:tcW w:w="1349" w:type="dxa"/>
            <w:vAlign w:val="top"/>
          </w:tcPr>
          <w:p>
            <w:pPr>
              <w:rPr>
                <w:rFonts w:hint="eastAsia" w:ascii="宋体" w:hAnsi="宋体" w:eastAsia="宋体" w:cs="宋体"/>
                <w:sz w:val="21"/>
                <w:highlight w:val="none"/>
              </w:rPr>
            </w:pPr>
          </w:p>
        </w:tc>
        <w:tc>
          <w:tcPr>
            <w:tcW w:w="1359" w:type="dxa"/>
            <w:vAlign w:val="top"/>
          </w:tcPr>
          <w:p>
            <w:pPr>
              <w:rPr>
                <w:rFonts w:hint="eastAsia" w:ascii="宋体" w:hAnsi="宋体" w:eastAsia="宋体" w:cs="宋体"/>
                <w:sz w:val="21"/>
                <w:highlight w:val="none"/>
              </w:rPr>
            </w:pPr>
          </w:p>
        </w:tc>
        <w:tc>
          <w:tcPr>
            <w:tcW w:w="1723" w:type="dxa"/>
            <w:vAlign w:val="top"/>
          </w:tcPr>
          <w:p>
            <w:pPr>
              <w:rPr>
                <w:rFonts w:hint="eastAsia" w:ascii="宋体" w:hAnsi="宋体" w:eastAsia="宋体" w:cs="宋体"/>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20" w:hRule="atLeast"/>
        </w:trPr>
        <w:tc>
          <w:tcPr>
            <w:tcW w:w="1014" w:type="dxa"/>
            <w:vAlign w:val="top"/>
          </w:tcPr>
          <w:p>
            <w:pPr>
              <w:rPr>
                <w:rFonts w:hint="eastAsia" w:ascii="宋体" w:hAnsi="宋体" w:eastAsia="宋体" w:cs="宋体"/>
                <w:sz w:val="21"/>
                <w:highlight w:val="none"/>
              </w:rPr>
            </w:pPr>
          </w:p>
        </w:tc>
        <w:tc>
          <w:tcPr>
            <w:tcW w:w="1618" w:type="dxa"/>
            <w:vAlign w:val="top"/>
          </w:tcPr>
          <w:p>
            <w:pPr>
              <w:rPr>
                <w:rFonts w:hint="eastAsia" w:ascii="宋体" w:hAnsi="宋体" w:eastAsia="宋体" w:cs="宋体"/>
                <w:sz w:val="21"/>
                <w:highlight w:val="none"/>
              </w:rPr>
            </w:pPr>
          </w:p>
        </w:tc>
        <w:tc>
          <w:tcPr>
            <w:tcW w:w="1428" w:type="dxa"/>
            <w:vAlign w:val="top"/>
          </w:tcPr>
          <w:p>
            <w:pPr>
              <w:rPr>
                <w:rFonts w:hint="eastAsia" w:ascii="宋体" w:hAnsi="宋体" w:eastAsia="宋体" w:cs="宋体"/>
                <w:sz w:val="21"/>
                <w:highlight w:val="none"/>
              </w:rPr>
            </w:pPr>
          </w:p>
        </w:tc>
        <w:tc>
          <w:tcPr>
            <w:tcW w:w="1449" w:type="dxa"/>
            <w:vAlign w:val="top"/>
          </w:tcPr>
          <w:p>
            <w:pPr>
              <w:rPr>
                <w:rFonts w:hint="eastAsia" w:ascii="宋体" w:hAnsi="宋体" w:eastAsia="宋体" w:cs="宋体"/>
                <w:sz w:val="21"/>
                <w:highlight w:val="none"/>
              </w:rPr>
            </w:pPr>
          </w:p>
        </w:tc>
        <w:tc>
          <w:tcPr>
            <w:tcW w:w="1349" w:type="dxa"/>
            <w:vAlign w:val="top"/>
          </w:tcPr>
          <w:p>
            <w:pPr>
              <w:rPr>
                <w:rFonts w:hint="eastAsia" w:ascii="宋体" w:hAnsi="宋体" w:eastAsia="宋体" w:cs="宋体"/>
                <w:sz w:val="21"/>
                <w:highlight w:val="none"/>
              </w:rPr>
            </w:pPr>
          </w:p>
        </w:tc>
        <w:tc>
          <w:tcPr>
            <w:tcW w:w="1359" w:type="dxa"/>
            <w:vAlign w:val="top"/>
          </w:tcPr>
          <w:p>
            <w:pPr>
              <w:rPr>
                <w:rFonts w:hint="eastAsia" w:ascii="宋体" w:hAnsi="宋体" w:eastAsia="宋体" w:cs="宋体"/>
                <w:sz w:val="21"/>
                <w:highlight w:val="none"/>
              </w:rPr>
            </w:pPr>
          </w:p>
        </w:tc>
        <w:tc>
          <w:tcPr>
            <w:tcW w:w="1723" w:type="dxa"/>
            <w:vAlign w:val="top"/>
          </w:tcPr>
          <w:p>
            <w:pPr>
              <w:rPr>
                <w:rFonts w:hint="eastAsia" w:ascii="宋体" w:hAnsi="宋体" w:eastAsia="宋体" w:cs="宋体"/>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99" w:hRule="atLeast"/>
        </w:trPr>
        <w:tc>
          <w:tcPr>
            <w:tcW w:w="1014" w:type="dxa"/>
            <w:vAlign w:val="top"/>
          </w:tcPr>
          <w:p>
            <w:pPr>
              <w:rPr>
                <w:rFonts w:hint="eastAsia" w:ascii="宋体" w:hAnsi="宋体" w:eastAsia="宋体" w:cs="宋体"/>
                <w:sz w:val="21"/>
                <w:highlight w:val="none"/>
              </w:rPr>
            </w:pPr>
          </w:p>
        </w:tc>
        <w:tc>
          <w:tcPr>
            <w:tcW w:w="1618" w:type="dxa"/>
            <w:vAlign w:val="top"/>
          </w:tcPr>
          <w:p>
            <w:pPr>
              <w:rPr>
                <w:rFonts w:hint="eastAsia" w:ascii="宋体" w:hAnsi="宋体" w:eastAsia="宋体" w:cs="宋体"/>
                <w:sz w:val="21"/>
                <w:highlight w:val="none"/>
              </w:rPr>
            </w:pPr>
          </w:p>
        </w:tc>
        <w:tc>
          <w:tcPr>
            <w:tcW w:w="1428" w:type="dxa"/>
            <w:vAlign w:val="top"/>
          </w:tcPr>
          <w:p>
            <w:pPr>
              <w:rPr>
                <w:rFonts w:hint="eastAsia" w:ascii="宋体" w:hAnsi="宋体" w:eastAsia="宋体" w:cs="宋体"/>
                <w:sz w:val="21"/>
                <w:highlight w:val="none"/>
              </w:rPr>
            </w:pPr>
          </w:p>
        </w:tc>
        <w:tc>
          <w:tcPr>
            <w:tcW w:w="1449" w:type="dxa"/>
            <w:vAlign w:val="top"/>
          </w:tcPr>
          <w:p>
            <w:pPr>
              <w:rPr>
                <w:rFonts w:hint="eastAsia" w:ascii="宋体" w:hAnsi="宋体" w:eastAsia="宋体" w:cs="宋体"/>
                <w:sz w:val="21"/>
                <w:highlight w:val="none"/>
              </w:rPr>
            </w:pPr>
          </w:p>
        </w:tc>
        <w:tc>
          <w:tcPr>
            <w:tcW w:w="1349" w:type="dxa"/>
            <w:vAlign w:val="top"/>
          </w:tcPr>
          <w:p>
            <w:pPr>
              <w:rPr>
                <w:rFonts w:hint="eastAsia" w:ascii="宋体" w:hAnsi="宋体" w:eastAsia="宋体" w:cs="宋体"/>
                <w:sz w:val="21"/>
                <w:highlight w:val="none"/>
              </w:rPr>
            </w:pPr>
          </w:p>
        </w:tc>
        <w:tc>
          <w:tcPr>
            <w:tcW w:w="1359" w:type="dxa"/>
            <w:vAlign w:val="top"/>
          </w:tcPr>
          <w:p>
            <w:pPr>
              <w:rPr>
                <w:rFonts w:hint="eastAsia" w:ascii="宋体" w:hAnsi="宋体" w:eastAsia="宋体" w:cs="宋体"/>
                <w:sz w:val="21"/>
                <w:highlight w:val="none"/>
              </w:rPr>
            </w:pPr>
          </w:p>
        </w:tc>
        <w:tc>
          <w:tcPr>
            <w:tcW w:w="1723" w:type="dxa"/>
            <w:vAlign w:val="top"/>
          </w:tcPr>
          <w:p>
            <w:pPr>
              <w:rPr>
                <w:rFonts w:hint="eastAsia" w:ascii="宋体" w:hAnsi="宋体" w:eastAsia="宋体" w:cs="宋体"/>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014" w:type="dxa"/>
            <w:vAlign w:val="top"/>
          </w:tcPr>
          <w:p>
            <w:pPr>
              <w:rPr>
                <w:rFonts w:hint="eastAsia" w:ascii="宋体" w:hAnsi="宋体" w:eastAsia="宋体" w:cs="宋体"/>
                <w:sz w:val="21"/>
                <w:highlight w:val="none"/>
              </w:rPr>
            </w:pPr>
          </w:p>
        </w:tc>
        <w:tc>
          <w:tcPr>
            <w:tcW w:w="1618" w:type="dxa"/>
            <w:vAlign w:val="top"/>
          </w:tcPr>
          <w:p>
            <w:pPr>
              <w:rPr>
                <w:rFonts w:hint="eastAsia" w:ascii="宋体" w:hAnsi="宋体" w:eastAsia="宋体" w:cs="宋体"/>
                <w:sz w:val="21"/>
                <w:highlight w:val="none"/>
              </w:rPr>
            </w:pPr>
          </w:p>
        </w:tc>
        <w:tc>
          <w:tcPr>
            <w:tcW w:w="1428" w:type="dxa"/>
            <w:vAlign w:val="top"/>
          </w:tcPr>
          <w:p>
            <w:pPr>
              <w:rPr>
                <w:rFonts w:hint="eastAsia" w:ascii="宋体" w:hAnsi="宋体" w:eastAsia="宋体" w:cs="宋体"/>
                <w:sz w:val="21"/>
                <w:highlight w:val="none"/>
              </w:rPr>
            </w:pPr>
          </w:p>
        </w:tc>
        <w:tc>
          <w:tcPr>
            <w:tcW w:w="1449" w:type="dxa"/>
            <w:vAlign w:val="top"/>
          </w:tcPr>
          <w:p>
            <w:pPr>
              <w:rPr>
                <w:rFonts w:hint="eastAsia" w:ascii="宋体" w:hAnsi="宋体" w:eastAsia="宋体" w:cs="宋体"/>
                <w:sz w:val="21"/>
                <w:highlight w:val="none"/>
              </w:rPr>
            </w:pPr>
          </w:p>
        </w:tc>
        <w:tc>
          <w:tcPr>
            <w:tcW w:w="1349" w:type="dxa"/>
            <w:vAlign w:val="top"/>
          </w:tcPr>
          <w:p>
            <w:pPr>
              <w:rPr>
                <w:rFonts w:hint="eastAsia" w:ascii="宋体" w:hAnsi="宋体" w:eastAsia="宋体" w:cs="宋体"/>
                <w:sz w:val="21"/>
                <w:highlight w:val="none"/>
              </w:rPr>
            </w:pPr>
          </w:p>
        </w:tc>
        <w:tc>
          <w:tcPr>
            <w:tcW w:w="1359" w:type="dxa"/>
            <w:vAlign w:val="top"/>
          </w:tcPr>
          <w:p>
            <w:pPr>
              <w:rPr>
                <w:rFonts w:hint="eastAsia" w:ascii="宋体" w:hAnsi="宋体" w:eastAsia="宋体" w:cs="宋体"/>
                <w:sz w:val="21"/>
                <w:highlight w:val="none"/>
              </w:rPr>
            </w:pPr>
          </w:p>
        </w:tc>
        <w:tc>
          <w:tcPr>
            <w:tcW w:w="1723" w:type="dxa"/>
            <w:vAlign w:val="top"/>
          </w:tcPr>
          <w:p>
            <w:pPr>
              <w:rPr>
                <w:rFonts w:hint="eastAsia" w:ascii="宋体" w:hAnsi="宋体" w:eastAsia="宋体" w:cs="宋体"/>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9" w:hRule="atLeast"/>
        </w:trPr>
        <w:tc>
          <w:tcPr>
            <w:tcW w:w="1014" w:type="dxa"/>
            <w:vAlign w:val="top"/>
          </w:tcPr>
          <w:p>
            <w:pPr>
              <w:rPr>
                <w:rFonts w:hint="eastAsia" w:ascii="宋体" w:hAnsi="宋体" w:eastAsia="宋体" w:cs="宋体"/>
                <w:sz w:val="21"/>
                <w:highlight w:val="none"/>
              </w:rPr>
            </w:pPr>
          </w:p>
        </w:tc>
        <w:tc>
          <w:tcPr>
            <w:tcW w:w="1618" w:type="dxa"/>
            <w:vAlign w:val="top"/>
          </w:tcPr>
          <w:p>
            <w:pPr>
              <w:rPr>
                <w:rFonts w:hint="eastAsia" w:ascii="宋体" w:hAnsi="宋体" w:eastAsia="宋体" w:cs="宋体"/>
                <w:sz w:val="21"/>
                <w:highlight w:val="none"/>
              </w:rPr>
            </w:pPr>
          </w:p>
        </w:tc>
        <w:tc>
          <w:tcPr>
            <w:tcW w:w="1428" w:type="dxa"/>
            <w:vAlign w:val="top"/>
          </w:tcPr>
          <w:p>
            <w:pPr>
              <w:rPr>
                <w:rFonts w:hint="eastAsia" w:ascii="宋体" w:hAnsi="宋体" w:eastAsia="宋体" w:cs="宋体"/>
                <w:sz w:val="21"/>
                <w:highlight w:val="none"/>
              </w:rPr>
            </w:pPr>
          </w:p>
        </w:tc>
        <w:tc>
          <w:tcPr>
            <w:tcW w:w="1449" w:type="dxa"/>
            <w:vAlign w:val="top"/>
          </w:tcPr>
          <w:p>
            <w:pPr>
              <w:rPr>
                <w:rFonts w:hint="eastAsia" w:ascii="宋体" w:hAnsi="宋体" w:eastAsia="宋体" w:cs="宋体"/>
                <w:sz w:val="21"/>
                <w:highlight w:val="none"/>
              </w:rPr>
            </w:pPr>
          </w:p>
        </w:tc>
        <w:tc>
          <w:tcPr>
            <w:tcW w:w="1349" w:type="dxa"/>
            <w:vAlign w:val="top"/>
          </w:tcPr>
          <w:p>
            <w:pPr>
              <w:rPr>
                <w:rFonts w:hint="eastAsia" w:ascii="宋体" w:hAnsi="宋体" w:eastAsia="宋体" w:cs="宋体"/>
                <w:sz w:val="21"/>
                <w:highlight w:val="none"/>
              </w:rPr>
            </w:pPr>
          </w:p>
        </w:tc>
        <w:tc>
          <w:tcPr>
            <w:tcW w:w="1359" w:type="dxa"/>
            <w:vAlign w:val="top"/>
          </w:tcPr>
          <w:p>
            <w:pPr>
              <w:rPr>
                <w:rFonts w:hint="eastAsia" w:ascii="宋体" w:hAnsi="宋体" w:eastAsia="宋体" w:cs="宋体"/>
                <w:sz w:val="21"/>
                <w:highlight w:val="none"/>
              </w:rPr>
            </w:pPr>
          </w:p>
        </w:tc>
        <w:tc>
          <w:tcPr>
            <w:tcW w:w="1723" w:type="dxa"/>
            <w:vAlign w:val="top"/>
          </w:tcPr>
          <w:p>
            <w:pPr>
              <w:rPr>
                <w:rFonts w:hint="eastAsia" w:ascii="宋体" w:hAnsi="宋体" w:eastAsia="宋体" w:cs="宋体"/>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9" w:hRule="atLeast"/>
        </w:trPr>
        <w:tc>
          <w:tcPr>
            <w:tcW w:w="1014" w:type="dxa"/>
            <w:vAlign w:val="top"/>
          </w:tcPr>
          <w:p>
            <w:pPr>
              <w:rPr>
                <w:rFonts w:hint="eastAsia" w:ascii="宋体" w:hAnsi="宋体" w:eastAsia="宋体" w:cs="宋体"/>
                <w:sz w:val="21"/>
                <w:highlight w:val="none"/>
              </w:rPr>
            </w:pPr>
          </w:p>
        </w:tc>
        <w:tc>
          <w:tcPr>
            <w:tcW w:w="1618" w:type="dxa"/>
            <w:vAlign w:val="top"/>
          </w:tcPr>
          <w:p>
            <w:pPr>
              <w:rPr>
                <w:rFonts w:hint="eastAsia" w:ascii="宋体" w:hAnsi="宋体" w:eastAsia="宋体" w:cs="宋体"/>
                <w:sz w:val="21"/>
                <w:highlight w:val="none"/>
              </w:rPr>
            </w:pPr>
          </w:p>
        </w:tc>
        <w:tc>
          <w:tcPr>
            <w:tcW w:w="1428" w:type="dxa"/>
            <w:vAlign w:val="top"/>
          </w:tcPr>
          <w:p>
            <w:pPr>
              <w:rPr>
                <w:rFonts w:hint="eastAsia" w:ascii="宋体" w:hAnsi="宋体" w:eastAsia="宋体" w:cs="宋体"/>
                <w:sz w:val="21"/>
                <w:highlight w:val="none"/>
              </w:rPr>
            </w:pPr>
          </w:p>
        </w:tc>
        <w:tc>
          <w:tcPr>
            <w:tcW w:w="1449" w:type="dxa"/>
            <w:vAlign w:val="top"/>
          </w:tcPr>
          <w:p>
            <w:pPr>
              <w:rPr>
                <w:rFonts w:hint="eastAsia" w:ascii="宋体" w:hAnsi="宋体" w:eastAsia="宋体" w:cs="宋体"/>
                <w:sz w:val="21"/>
                <w:highlight w:val="none"/>
              </w:rPr>
            </w:pPr>
          </w:p>
        </w:tc>
        <w:tc>
          <w:tcPr>
            <w:tcW w:w="1349" w:type="dxa"/>
            <w:vAlign w:val="top"/>
          </w:tcPr>
          <w:p>
            <w:pPr>
              <w:rPr>
                <w:rFonts w:hint="eastAsia" w:ascii="宋体" w:hAnsi="宋体" w:eastAsia="宋体" w:cs="宋体"/>
                <w:sz w:val="21"/>
                <w:highlight w:val="none"/>
              </w:rPr>
            </w:pPr>
          </w:p>
        </w:tc>
        <w:tc>
          <w:tcPr>
            <w:tcW w:w="1359" w:type="dxa"/>
            <w:vAlign w:val="top"/>
          </w:tcPr>
          <w:p>
            <w:pPr>
              <w:rPr>
                <w:rFonts w:hint="eastAsia" w:ascii="宋体" w:hAnsi="宋体" w:eastAsia="宋体" w:cs="宋体"/>
                <w:sz w:val="21"/>
                <w:highlight w:val="none"/>
              </w:rPr>
            </w:pPr>
          </w:p>
        </w:tc>
        <w:tc>
          <w:tcPr>
            <w:tcW w:w="1723" w:type="dxa"/>
            <w:vAlign w:val="top"/>
          </w:tcPr>
          <w:p>
            <w:pPr>
              <w:rPr>
                <w:rFonts w:hint="eastAsia" w:ascii="宋体" w:hAnsi="宋体" w:eastAsia="宋体" w:cs="宋体"/>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00" w:hRule="atLeast"/>
        </w:trPr>
        <w:tc>
          <w:tcPr>
            <w:tcW w:w="1014" w:type="dxa"/>
            <w:vAlign w:val="top"/>
          </w:tcPr>
          <w:p>
            <w:pPr>
              <w:rPr>
                <w:rFonts w:hint="eastAsia" w:ascii="宋体" w:hAnsi="宋体" w:eastAsia="宋体" w:cs="宋体"/>
                <w:sz w:val="21"/>
                <w:highlight w:val="none"/>
              </w:rPr>
            </w:pPr>
          </w:p>
        </w:tc>
        <w:tc>
          <w:tcPr>
            <w:tcW w:w="1618" w:type="dxa"/>
            <w:vAlign w:val="top"/>
          </w:tcPr>
          <w:p>
            <w:pPr>
              <w:rPr>
                <w:rFonts w:hint="eastAsia" w:ascii="宋体" w:hAnsi="宋体" w:eastAsia="宋体" w:cs="宋体"/>
                <w:sz w:val="21"/>
                <w:highlight w:val="none"/>
              </w:rPr>
            </w:pPr>
          </w:p>
        </w:tc>
        <w:tc>
          <w:tcPr>
            <w:tcW w:w="1428" w:type="dxa"/>
            <w:vAlign w:val="top"/>
          </w:tcPr>
          <w:p>
            <w:pPr>
              <w:rPr>
                <w:rFonts w:hint="eastAsia" w:ascii="宋体" w:hAnsi="宋体" w:eastAsia="宋体" w:cs="宋体"/>
                <w:sz w:val="21"/>
                <w:highlight w:val="none"/>
              </w:rPr>
            </w:pPr>
          </w:p>
        </w:tc>
        <w:tc>
          <w:tcPr>
            <w:tcW w:w="1449" w:type="dxa"/>
            <w:vAlign w:val="top"/>
          </w:tcPr>
          <w:p>
            <w:pPr>
              <w:rPr>
                <w:rFonts w:hint="eastAsia" w:ascii="宋体" w:hAnsi="宋体" w:eastAsia="宋体" w:cs="宋体"/>
                <w:sz w:val="21"/>
                <w:highlight w:val="none"/>
              </w:rPr>
            </w:pPr>
          </w:p>
        </w:tc>
        <w:tc>
          <w:tcPr>
            <w:tcW w:w="1349" w:type="dxa"/>
            <w:vAlign w:val="top"/>
          </w:tcPr>
          <w:p>
            <w:pPr>
              <w:rPr>
                <w:rFonts w:hint="eastAsia" w:ascii="宋体" w:hAnsi="宋体" w:eastAsia="宋体" w:cs="宋体"/>
                <w:sz w:val="21"/>
                <w:highlight w:val="none"/>
              </w:rPr>
            </w:pPr>
          </w:p>
        </w:tc>
        <w:tc>
          <w:tcPr>
            <w:tcW w:w="1359" w:type="dxa"/>
            <w:vAlign w:val="top"/>
          </w:tcPr>
          <w:p>
            <w:pPr>
              <w:rPr>
                <w:rFonts w:hint="eastAsia" w:ascii="宋体" w:hAnsi="宋体" w:eastAsia="宋体" w:cs="宋体"/>
                <w:sz w:val="21"/>
                <w:highlight w:val="none"/>
              </w:rPr>
            </w:pPr>
          </w:p>
        </w:tc>
        <w:tc>
          <w:tcPr>
            <w:tcW w:w="1723" w:type="dxa"/>
            <w:vAlign w:val="top"/>
          </w:tcPr>
          <w:p>
            <w:pPr>
              <w:rPr>
                <w:rFonts w:hint="eastAsia" w:ascii="宋体" w:hAnsi="宋体" w:eastAsia="宋体" w:cs="宋体"/>
                <w:sz w:val="21"/>
                <w:highlight w:val="none"/>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14" w:hRule="atLeast"/>
        </w:trPr>
        <w:tc>
          <w:tcPr>
            <w:tcW w:w="1014" w:type="dxa"/>
            <w:vAlign w:val="top"/>
          </w:tcPr>
          <w:p>
            <w:pPr>
              <w:rPr>
                <w:rFonts w:hint="eastAsia" w:ascii="宋体" w:hAnsi="宋体" w:eastAsia="宋体" w:cs="宋体"/>
                <w:sz w:val="21"/>
                <w:highlight w:val="none"/>
              </w:rPr>
            </w:pPr>
          </w:p>
        </w:tc>
        <w:tc>
          <w:tcPr>
            <w:tcW w:w="1618" w:type="dxa"/>
            <w:vAlign w:val="top"/>
          </w:tcPr>
          <w:p>
            <w:pPr>
              <w:rPr>
                <w:rFonts w:hint="eastAsia" w:ascii="宋体" w:hAnsi="宋体" w:eastAsia="宋体" w:cs="宋体"/>
                <w:sz w:val="21"/>
                <w:highlight w:val="none"/>
              </w:rPr>
            </w:pPr>
          </w:p>
        </w:tc>
        <w:tc>
          <w:tcPr>
            <w:tcW w:w="1428" w:type="dxa"/>
            <w:vAlign w:val="top"/>
          </w:tcPr>
          <w:p>
            <w:pPr>
              <w:rPr>
                <w:rFonts w:hint="eastAsia" w:ascii="宋体" w:hAnsi="宋体" w:eastAsia="宋体" w:cs="宋体"/>
                <w:sz w:val="21"/>
                <w:highlight w:val="none"/>
              </w:rPr>
            </w:pPr>
          </w:p>
        </w:tc>
        <w:tc>
          <w:tcPr>
            <w:tcW w:w="1449" w:type="dxa"/>
            <w:vAlign w:val="top"/>
          </w:tcPr>
          <w:p>
            <w:pPr>
              <w:rPr>
                <w:rFonts w:hint="eastAsia" w:ascii="宋体" w:hAnsi="宋体" w:eastAsia="宋体" w:cs="宋体"/>
                <w:sz w:val="21"/>
                <w:highlight w:val="none"/>
              </w:rPr>
            </w:pPr>
          </w:p>
        </w:tc>
        <w:tc>
          <w:tcPr>
            <w:tcW w:w="1349" w:type="dxa"/>
            <w:vAlign w:val="top"/>
          </w:tcPr>
          <w:p>
            <w:pPr>
              <w:rPr>
                <w:rFonts w:hint="eastAsia" w:ascii="宋体" w:hAnsi="宋体" w:eastAsia="宋体" w:cs="宋体"/>
                <w:sz w:val="21"/>
                <w:highlight w:val="none"/>
              </w:rPr>
            </w:pPr>
          </w:p>
        </w:tc>
        <w:tc>
          <w:tcPr>
            <w:tcW w:w="1359" w:type="dxa"/>
            <w:vAlign w:val="top"/>
          </w:tcPr>
          <w:p>
            <w:pPr>
              <w:rPr>
                <w:rFonts w:hint="eastAsia" w:ascii="宋体" w:hAnsi="宋体" w:eastAsia="宋体" w:cs="宋体"/>
                <w:sz w:val="21"/>
                <w:highlight w:val="none"/>
              </w:rPr>
            </w:pPr>
          </w:p>
        </w:tc>
        <w:tc>
          <w:tcPr>
            <w:tcW w:w="1723" w:type="dxa"/>
            <w:vAlign w:val="top"/>
          </w:tcPr>
          <w:p>
            <w:pPr>
              <w:rPr>
                <w:rFonts w:hint="eastAsia" w:ascii="宋体" w:hAnsi="宋体" w:eastAsia="宋体" w:cs="宋体"/>
                <w:sz w:val="21"/>
                <w:highlight w:val="none"/>
              </w:rPr>
            </w:pPr>
          </w:p>
        </w:tc>
      </w:tr>
    </w:tbl>
    <w:p>
      <w:pPr>
        <w:pStyle w:val="7"/>
        <w:spacing w:line="252" w:lineRule="auto"/>
        <w:rPr>
          <w:rFonts w:hint="eastAsia" w:ascii="宋体" w:hAnsi="宋体" w:eastAsia="宋体" w:cs="宋体"/>
          <w:highlight w:val="none"/>
        </w:rPr>
      </w:pPr>
    </w:p>
    <w:p>
      <w:pPr>
        <w:pStyle w:val="7"/>
        <w:spacing w:line="253" w:lineRule="auto"/>
        <w:rPr>
          <w:rFonts w:hint="eastAsia" w:ascii="宋体" w:hAnsi="宋体" w:eastAsia="宋体" w:cs="宋体"/>
          <w:highlight w:val="none"/>
        </w:rPr>
      </w:pPr>
    </w:p>
    <w:p>
      <w:pPr>
        <w:spacing w:before="75" w:line="219" w:lineRule="auto"/>
        <w:ind w:left="575"/>
        <w:rPr>
          <w:rFonts w:hint="eastAsia" w:ascii="宋体" w:hAnsi="宋体" w:eastAsia="宋体" w:cs="宋体"/>
          <w:sz w:val="23"/>
          <w:szCs w:val="23"/>
          <w:highlight w:val="none"/>
        </w:rPr>
      </w:pPr>
      <w:r>
        <w:rPr>
          <w:rFonts w:hint="eastAsia" w:ascii="宋体" w:hAnsi="宋体" w:eastAsia="宋体" w:cs="宋体"/>
          <w:spacing w:val="21"/>
          <w:sz w:val="23"/>
          <w:szCs w:val="23"/>
          <w:highlight w:val="none"/>
        </w:rPr>
        <w:t>注：供应商所列项目清单必须真实(提供合同扫描件、中标(成交</w:t>
      </w:r>
      <w:r>
        <w:rPr>
          <w:rFonts w:hint="eastAsia" w:ascii="宋体" w:hAnsi="宋体" w:eastAsia="宋体" w:cs="宋体"/>
          <w:spacing w:val="20"/>
          <w:sz w:val="23"/>
          <w:szCs w:val="23"/>
          <w:highlight w:val="none"/>
        </w:rPr>
        <w:t>)通知书)</w:t>
      </w:r>
    </w:p>
    <w:p>
      <w:pPr>
        <w:spacing w:line="219" w:lineRule="auto"/>
        <w:rPr>
          <w:rFonts w:hint="eastAsia" w:ascii="宋体" w:hAnsi="宋体" w:eastAsia="宋体" w:cs="宋体"/>
          <w:sz w:val="23"/>
          <w:szCs w:val="23"/>
          <w:highlight w:val="none"/>
        </w:rPr>
        <w:sectPr>
          <w:footerReference r:id="rId28" w:type="default"/>
          <w:pgSz w:w="11910" w:h="16840"/>
          <w:pgMar w:top="1431" w:right="994" w:bottom="1171" w:left="964" w:header="0" w:footer="973" w:gutter="0"/>
          <w:pgNumType w:fmt="decimal"/>
          <w:cols w:space="720" w:num="1"/>
        </w:sectPr>
      </w:pPr>
    </w:p>
    <w:p>
      <w:pPr>
        <w:spacing w:before="57" w:line="219" w:lineRule="auto"/>
        <w:ind w:left="2877"/>
        <w:outlineLvl w:val="9"/>
        <w:rPr>
          <w:rFonts w:hint="eastAsia" w:ascii="宋体" w:hAnsi="宋体" w:eastAsia="宋体" w:cs="宋体"/>
          <w:sz w:val="29"/>
          <w:szCs w:val="29"/>
          <w:highlight w:val="none"/>
        </w:rPr>
      </w:pPr>
      <w:r>
        <w:rPr>
          <w:rFonts w:hint="eastAsia" w:ascii="宋体" w:hAnsi="宋体" w:eastAsia="宋体" w:cs="宋体"/>
          <w:b/>
          <w:bCs/>
          <w:spacing w:val="-13"/>
          <w:sz w:val="29"/>
          <w:szCs w:val="29"/>
          <w:highlight w:val="none"/>
        </w:rPr>
        <w:t>9.供应商服务人员证书</w:t>
      </w:r>
    </w:p>
    <w:p>
      <w:pPr>
        <w:spacing w:line="219" w:lineRule="auto"/>
        <w:rPr>
          <w:rFonts w:hint="eastAsia" w:ascii="宋体" w:hAnsi="宋体" w:eastAsia="宋体" w:cs="宋体"/>
          <w:sz w:val="29"/>
          <w:szCs w:val="29"/>
          <w:highlight w:val="none"/>
        </w:rPr>
        <w:sectPr>
          <w:footerReference r:id="rId29" w:type="default"/>
          <w:pgSz w:w="11910" w:h="16840"/>
          <w:pgMar w:top="1388" w:right="1786" w:bottom="1167" w:left="1786" w:header="0" w:footer="988" w:gutter="0"/>
          <w:pgNumType w:fmt="decimal"/>
          <w:cols w:space="720" w:num="1"/>
        </w:sectPr>
      </w:pPr>
    </w:p>
    <w:p>
      <w:pPr>
        <w:pStyle w:val="7"/>
        <w:spacing w:line="263" w:lineRule="auto"/>
        <w:rPr>
          <w:rFonts w:hint="eastAsia" w:ascii="宋体" w:hAnsi="宋体" w:eastAsia="宋体" w:cs="宋体"/>
          <w:highlight w:val="none"/>
        </w:rPr>
      </w:pPr>
    </w:p>
    <w:p>
      <w:pPr>
        <w:pStyle w:val="7"/>
        <w:spacing w:line="263" w:lineRule="auto"/>
        <w:rPr>
          <w:rFonts w:hint="eastAsia" w:ascii="宋体" w:hAnsi="宋体" w:eastAsia="宋体" w:cs="宋体"/>
          <w:highlight w:val="none"/>
        </w:rPr>
      </w:pPr>
    </w:p>
    <w:p>
      <w:pPr>
        <w:spacing w:before="95" w:line="219" w:lineRule="auto"/>
        <w:ind w:left="2934"/>
        <w:outlineLvl w:val="9"/>
        <w:rPr>
          <w:rFonts w:hint="eastAsia" w:ascii="宋体" w:hAnsi="宋体" w:eastAsia="宋体" w:cs="宋体"/>
          <w:sz w:val="29"/>
          <w:szCs w:val="29"/>
          <w:highlight w:val="none"/>
        </w:rPr>
      </w:pPr>
      <w:r>
        <w:rPr>
          <w:rFonts w:hint="eastAsia" w:ascii="宋体" w:hAnsi="宋体" w:eastAsia="宋体" w:cs="宋体"/>
          <w:b/>
          <w:bCs/>
          <w:spacing w:val="-2"/>
          <w:sz w:val="29"/>
          <w:szCs w:val="29"/>
          <w:highlight w:val="none"/>
        </w:rPr>
        <w:t>10.落实政府采购政策(如有)</w:t>
      </w:r>
    </w:p>
    <w:p>
      <w:pPr>
        <w:pStyle w:val="7"/>
        <w:spacing w:line="309" w:lineRule="auto"/>
        <w:rPr>
          <w:rFonts w:hint="eastAsia" w:ascii="宋体" w:hAnsi="宋体" w:eastAsia="宋体" w:cs="宋体"/>
          <w:highlight w:val="none"/>
        </w:rPr>
      </w:pPr>
    </w:p>
    <w:p>
      <w:pPr>
        <w:spacing w:before="75" w:line="219" w:lineRule="auto"/>
        <w:ind w:left="2923"/>
        <w:rPr>
          <w:rFonts w:hint="eastAsia" w:ascii="宋体" w:hAnsi="宋体" w:eastAsia="宋体" w:cs="宋体"/>
          <w:sz w:val="23"/>
          <w:szCs w:val="23"/>
          <w:highlight w:val="none"/>
        </w:rPr>
      </w:pPr>
      <w:r>
        <w:rPr>
          <w:rFonts w:hint="eastAsia" w:ascii="宋体" w:hAnsi="宋体" w:eastAsia="宋体" w:cs="宋体"/>
          <w:b/>
          <w:bCs/>
          <w:spacing w:val="11"/>
          <w:sz w:val="23"/>
          <w:szCs w:val="23"/>
          <w:highlight w:val="none"/>
        </w:rPr>
        <w:t>10-1</w:t>
      </w:r>
      <w:r>
        <w:rPr>
          <w:rFonts w:hint="eastAsia" w:ascii="宋体" w:hAnsi="宋体" w:eastAsia="宋体" w:cs="宋体"/>
          <w:spacing w:val="46"/>
          <w:sz w:val="23"/>
          <w:szCs w:val="23"/>
          <w:highlight w:val="none"/>
        </w:rPr>
        <w:t xml:space="preserve"> </w:t>
      </w:r>
      <w:r>
        <w:rPr>
          <w:rFonts w:hint="eastAsia" w:ascii="宋体" w:hAnsi="宋体" w:eastAsia="宋体" w:cs="宋体"/>
          <w:b/>
          <w:bCs/>
          <w:spacing w:val="11"/>
          <w:sz w:val="23"/>
          <w:szCs w:val="23"/>
          <w:highlight w:val="none"/>
        </w:rPr>
        <w:t>中小企业声明函(服务)</w:t>
      </w:r>
    </w:p>
    <w:p>
      <w:pPr>
        <w:spacing w:before="118" w:line="370" w:lineRule="auto"/>
        <w:ind w:right="120" w:firstLine="469"/>
        <w:rPr>
          <w:rFonts w:hint="eastAsia" w:ascii="宋体" w:hAnsi="宋体" w:eastAsia="宋体" w:cs="宋体"/>
          <w:sz w:val="23"/>
          <w:szCs w:val="23"/>
          <w:highlight w:val="none"/>
        </w:rPr>
      </w:pPr>
      <w:r>
        <w:rPr>
          <w:rFonts w:hint="eastAsia" w:ascii="宋体" w:hAnsi="宋体" w:eastAsia="宋体" w:cs="宋体"/>
          <w:spacing w:val="11"/>
          <w:sz w:val="23"/>
          <w:szCs w:val="23"/>
          <w:highlight w:val="none"/>
        </w:rPr>
        <w:t>本公司(联合体)郑重声明，根据《政府采购促进中小企业发展管理办法》  (财库</w:t>
      </w:r>
      <w:r>
        <w:rPr>
          <w:rFonts w:hint="eastAsia" w:ascii="宋体" w:hAnsi="宋体" w:eastAsia="宋体" w:cs="宋体"/>
          <w:spacing w:val="1"/>
          <w:sz w:val="23"/>
          <w:szCs w:val="23"/>
          <w:highlight w:val="none"/>
        </w:rPr>
        <w:t xml:space="preserve"> </w:t>
      </w:r>
      <w:r>
        <w:rPr>
          <w:rFonts w:hint="eastAsia" w:ascii="宋体" w:hAnsi="宋体" w:eastAsia="宋体" w:cs="宋体"/>
          <w:spacing w:val="16"/>
          <w:sz w:val="23"/>
          <w:szCs w:val="23"/>
          <w:highlight w:val="none"/>
        </w:rPr>
        <w:t>(2020)46   号)的规定，本公司(</w:t>
      </w:r>
      <w:r>
        <w:rPr>
          <w:rFonts w:hint="eastAsia" w:ascii="宋体" w:hAnsi="宋体" w:eastAsia="宋体" w:cs="宋体"/>
          <w:spacing w:val="15"/>
          <w:sz w:val="23"/>
          <w:szCs w:val="23"/>
          <w:highlight w:val="none"/>
        </w:rPr>
        <w:t>联合体)参加.</w:t>
      </w:r>
      <w:r>
        <w:rPr>
          <w:rFonts w:hint="eastAsia" w:ascii="宋体" w:hAnsi="宋体" w:eastAsia="宋体" w:cs="宋体"/>
          <w:spacing w:val="-77"/>
          <w:sz w:val="23"/>
          <w:szCs w:val="23"/>
          <w:highlight w:val="none"/>
        </w:rPr>
        <w:t xml:space="preserve"> </w:t>
      </w:r>
      <w:r>
        <w:rPr>
          <w:rFonts w:hint="eastAsia" w:ascii="宋体" w:hAnsi="宋体" w:eastAsia="宋体" w:cs="宋体"/>
          <w:spacing w:val="-66"/>
          <w:sz w:val="23"/>
          <w:szCs w:val="23"/>
          <w:highlight w:val="none"/>
          <w:u w:val="single" w:color="auto"/>
        </w:rPr>
        <w:t xml:space="preserve"> </w:t>
      </w:r>
      <w:r>
        <w:rPr>
          <w:rFonts w:hint="eastAsia" w:ascii="宋体" w:hAnsi="宋体" w:eastAsia="宋体" w:cs="宋体"/>
          <w:spacing w:val="15"/>
          <w:sz w:val="23"/>
          <w:szCs w:val="23"/>
          <w:highlight w:val="none"/>
          <w:u w:val="single" w:color="auto"/>
        </w:rPr>
        <w:t>(单位名称)</w:t>
      </w:r>
      <w:r>
        <w:rPr>
          <w:rFonts w:hint="eastAsia" w:ascii="宋体" w:hAnsi="宋体" w:eastAsia="宋体" w:cs="宋体"/>
          <w:spacing w:val="-25"/>
          <w:sz w:val="23"/>
          <w:szCs w:val="23"/>
          <w:highlight w:val="none"/>
        </w:rPr>
        <w:t xml:space="preserve"> </w:t>
      </w:r>
      <w:r>
        <w:rPr>
          <w:rFonts w:hint="eastAsia" w:ascii="宋体" w:hAnsi="宋体" w:eastAsia="宋体" w:cs="宋体"/>
          <w:spacing w:val="15"/>
          <w:sz w:val="23"/>
          <w:szCs w:val="23"/>
          <w:highlight w:val="none"/>
        </w:rPr>
        <w:t>的</w:t>
      </w:r>
      <w:r>
        <w:rPr>
          <w:rFonts w:hint="eastAsia" w:ascii="宋体" w:hAnsi="宋体" w:eastAsia="宋体" w:cs="宋体"/>
          <w:spacing w:val="-17"/>
          <w:sz w:val="23"/>
          <w:szCs w:val="23"/>
          <w:highlight w:val="none"/>
        </w:rPr>
        <w:t xml:space="preserve"> </w:t>
      </w:r>
      <w:r>
        <w:rPr>
          <w:rFonts w:hint="eastAsia" w:ascii="宋体" w:hAnsi="宋体" w:eastAsia="宋体" w:cs="宋体"/>
          <w:spacing w:val="-65"/>
          <w:sz w:val="23"/>
          <w:szCs w:val="23"/>
          <w:highlight w:val="none"/>
          <w:u w:val="single" w:color="auto"/>
        </w:rPr>
        <w:t xml:space="preserve"> </w:t>
      </w:r>
      <w:r>
        <w:rPr>
          <w:rFonts w:hint="eastAsia" w:ascii="宋体" w:hAnsi="宋体" w:eastAsia="宋体" w:cs="宋体"/>
          <w:spacing w:val="15"/>
          <w:sz w:val="23"/>
          <w:szCs w:val="23"/>
          <w:highlight w:val="none"/>
          <w:u w:val="single" w:color="auto"/>
        </w:rPr>
        <w:t>(项目名称)</w:t>
      </w:r>
      <w:r>
        <w:rPr>
          <w:rFonts w:hint="eastAsia" w:ascii="宋体" w:hAnsi="宋体" w:eastAsia="宋体" w:cs="宋体"/>
          <w:spacing w:val="-46"/>
          <w:sz w:val="23"/>
          <w:szCs w:val="23"/>
          <w:highlight w:val="none"/>
        </w:rPr>
        <w:t xml:space="preserve"> </w:t>
      </w:r>
      <w:r>
        <w:rPr>
          <w:rFonts w:hint="eastAsia" w:ascii="宋体" w:hAnsi="宋体" w:eastAsia="宋体" w:cs="宋体"/>
          <w:spacing w:val="15"/>
          <w:sz w:val="23"/>
          <w:szCs w:val="23"/>
          <w:highlight w:val="none"/>
        </w:rPr>
        <w:t>采购活</w:t>
      </w:r>
      <w:r>
        <w:rPr>
          <w:rFonts w:hint="eastAsia" w:ascii="宋体" w:hAnsi="宋体" w:eastAsia="宋体" w:cs="宋体"/>
          <w:sz w:val="23"/>
          <w:szCs w:val="23"/>
          <w:highlight w:val="none"/>
        </w:rPr>
        <w:t xml:space="preserve"> </w:t>
      </w:r>
      <w:r>
        <w:rPr>
          <w:rFonts w:hint="eastAsia" w:ascii="宋体" w:hAnsi="宋体" w:eastAsia="宋体" w:cs="宋体"/>
          <w:spacing w:val="18"/>
          <w:sz w:val="23"/>
          <w:szCs w:val="23"/>
          <w:highlight w:val="none"/>
        </w:rPr>
        <w:t>动，</w:t>
      </w:r>
      <w:r>
        <w:rPr>
          <w:rFonts w:hint="eastAsia" w:ascii="宋体" w:hAnsi="宋体" w:eastAsia="宋体" w:cs="宋体"/>
          <w:spacing w:val="72"/>
          <w:sz w:val="23"/>
          <w:szCs w:val="23"/>
          <w:highlight w:val="none"/>
        </w:rPr>
        <w:t xml:space="preserve"> </w:t>
      </w:r>
      <w:r>
        <w:rPr>
          <w:rFonts w:hint="eastAsia" w:ascii="宋体" w:hAnsi="宋体" w:eastAsia="宋体" w:cs="宋体"/>
          <w:spacing w:val="18"/>
          <w:sz w:val="23"/>
          <w:szCs w:val="23"/>
          <w:highlight w:val="none"/>
        </w:rPr>
        <w:t>(服务全部由符合政策要求的中小企业承接)。相关企业(含联合体中的中小企</w:t>
      </w:r>
    </w:p>
    <w:p>
      <w:pPr>
        <w:spacing w:line="220" w:lineRule="auto"/>
        <w:rPr>
          <w:rFonts w:hint="eastAsia" w:ascii="宋体" w:hAnsi="宋体" w:eastAsia="宋体" w:cs="宋体"/>
          <w:sz w:val="23"/>
          <w:szCs w:val="23"/>
          <w:highlight w:val="none"/>
        </w:rPr>
      </w:pPr>
      <w:r>
        <w:rPr>
          <w:rFonts w:hint="eastAsia" w:ascii="宋体" w:hAnsi="宋体" w:eastAsia="宋体" w:cs="宋体"/>
          <w:spacing w:val="16"/>
          <w:sz w:val="23"/>
          <w:szCs w:val="23"/>
          <w:highlight w:val="none"/>
        </w:rPr>
        <w:t>业、签订分包意向协议的中小企业)的具体</w:t>
      </w:r>
      <w:r>
        <w:rPr>
          <w:rFonts w:hint="eastAsia" w:ascii="宋体" w:hAnsi="宋体" w:eastAsia="宋体" w:cs="宋体"/>
          <w:spacing w:val="15"/>
          <w:sz w:val="23"/>
          <w:szCs w:val="23"/>
          <w:highlight w:val="none"/>
        </w:rPr>
        <w:t>情况如下：</w:t>
      </w:r>
    </w:p>
    <w:p>
      <w:pPr>
        <w:spacing w:before="210" w:line="379" w:lineRule="auto"/>
        <w:ind w:right="120" w:firstLine="469"/>
        <w:rPr>
          <w:rFonts w:hint="eastAsia" w:ascii="宋体" w:hAnsi="宋体" w:eastAsia="宋体" w:cs="宋体"/>
          <w:sz w:val="23"/>
          <w:szCs w:val="23"/>
          <w:highlight w:val="none"/>
        </w:rPr>
      </w:pPr>
      <w:r>
        <w:rPr>
          <w:rFonts w:hint="eastAsia" w:ascii="宋体" w:hAnsi="宋体" w:eastAsia="宋体" w:cs="宋体"/>
          <w:spacing w:val="10"/>
          <w:sz w:val="23"/>
          <w:szCs w:val="23"/>
          <w:highlight w:val="none"/>
        </w:rPr>
        <w:t>1.</w:t>
      </w:r>
      <w:r>
        <w:rPr>
          <w:rFonts w:hint="eastAsia" w:ascii="宋体" w:hAnsi="宋体" w:eastAsia="宋体" w:cs="宋体"/>
          <w:spacing w:val="-28"/>
          <w:sz w:val="23"/>
          <w:szCs w:val="23"/>
          <w:highlight w:val="none"/>
        </w:rPr>
        <w:t xml:space="preserve"> </w:t>
      </w:r>
      <w:r>
        <w:rPr>
          <w:rFonts w:hint="eastAsia" w:ascii="宋体" w:hAnsi="宋体" w:eastAsia="宋体" w:cs="宋体"/>
          <w:spacing w:val="-66"/>
          <w:sz w:val="23"/>
          <w:szCs w:val="23"/>
          <w:highlight w:val="none"/>
          <w:u w:val="single" w:color="auto"/>
        </w:rPr>
        <w:t xml:space="preserve"> </w:t>
      </w:r>
      <w:r>
        <w:rPr>
          <w:rFonts w:hint="eastAsia" w:ascii="宋体" w:hAnsi="宋体" w:eastAsia="宋体" w:cs="宋体"/>
          <w:spacing w:val="10"/>
          <w:sz w:val="23"/>
          <w:szCs w:val="23"/>
          <w:highlight w:val="none"/>
          <w:u w:val="single" w:color="auto"/>
        </w:rPr>
        <w:t>(标的名称)</w:t>
      </w:r>
      <w:r>
        <w:rPr>
          <w:rFonts w:hint="eastAsia" w:ascii="宋体" w:hAnsi="宋体" w:eastAsia="宋体" w:cs="宋体"/>
          <w:spacing w:val="-65"/>
          <w:sz w:val="23"/>
          <w:szCs w:val="23"/>
          <w:highlight w:val="none"/>
        </w:rPr>
        <w:t xml:space="preserve"> </w:t>
      </w:r>
      <w:r>
        <w:rPr>
          <w:rFonts w:hint="eastAsia" w:ascii="宋体" w:hAnsi="宋体" w:eastAsia="宋体" w:cs="宋体"/>
          <w:spacing w:val="10"/>
          <w:sz w:val="23"/>
          <w:szCs w:val="23"/>
          <w:highlight w:val="none"/>
        </w:rPr>
        <w:t>,</w:t>
      </w:r>
      <w:r>
        <w:rPr>
          <w:rFonts w:hint="eastAsia" w:ascii="宋体" w:hAnsi="宋体" w:eastAsia="宋体" w:cs="宋体"/>
          <w:spacing w:val="-34"/>
          <w:sz w:val="23"/>
          <w:szCs w:val="23"/>
          <w:highlight w:val="none"/>
        </w:rPr>
        <w:t xml:space="preserve"> </w:t>
      </w:r>
      <w:r>
        <w:rPr>
          <w:rFonts w:hint="eastAsia" w:ascii="宋体" w:hAnsi="宋体" w:eastAsia="宋体" w:cs="宋体"/>
          <w:spacing w:val="10"/>
          <w:sz w:val="23"/>
          <w:szCs w:val="23"/>
          <w:highlight w:val="none"/>
        </w:rPr>
        <w:t>属</w:t>
      </w:r>
      <w:r>
        <w:rPr>
          <w:rFonts w:hint="eastAsia" w:ascii="宋体" w:hAnsi="宋体" w:eastAsia="宋体" w:cs="宋体"/>
          <w:spacing w:val="-32"/>
          <w:sz w:val="23"/>
          <w:szCs w:val="23"/>
          <w:highlight w:val="none"/>
        </w:rPr>
        <w:t xml:space="preserve"> </w:t>
      </w:r>
      <w:r>
        <w:rPr>
          <w:rFonts w:hint="eastAsia" w:ascii="宋体" w:hAnsi="宋体" w:eastAsia="宋体" w:cs="宋体"/>
          <w:spacing w:val="10"/>
          <w:sz w:val="23"/>
          <w:szCs w:val="23"/>
          <w:highlight w:val="none"/>
        </w:rPr>
        <w:t>于</w:t>
      </w:r>
      <w:r>
        <w:rPr>
          <w:rFonts w:hint="eastAsia" w:ascii="宋体" w:hAnsi="宋体" w:eastAsia="宋体" w:cs="宋体"/>
          <w:spacing w:val="-88"/>
          <w:sz w:val="23"/>
          <w:szCs w:val="23"/>
          <w:highlight w:val="none"/>
        </w:rPr>
        <w:t xml:space="preserve"> </w:t>
      </w:r>
      <w:r>
        <w:rPr>
          <w:rFonts w:hint="eastAsia" w:ascii="宋体" w:hAnsi="宋体" w:eastAsia="宋体" w:cs="宋体"/>
          <w:spacing w:val="-65"/>
          <w:sz w:val="23"/>
          <w:szCs w:val="23"/>
          <w:highlight w:val="none"/>
          <w:u w:val="single" w:color="auto"/>
        </w:rPr>
        <w:t xml:space="preserve"> </w:t>
      </w:r>
      <w:r>
        <w:rPr>
          <w:rFonts w:hint="eastAsia" w:ascii="宋体" w:hAnsi="宋体" w:eastAsia="宋体" w:cs="宋体"/>
          <w:spacing w:val="10"/>
          <w:sz w:val="23"/>
          <w:szCs w:val="23"/>
          <w:highlight w:val="none"/>
          <w:u w:val="single" w:color="auto"/>
        </w:rPr>
        <w:t>(采购文件中明确的所属行业)</w:t>
      </w:r>
      <w:r>
        <w:rPr>
          <w:rFonts w:hint="eastAsia" w:ascii="宋体" w:hAnsi="宋体" w:eastAsia="宋体" w:cs="宋体"/>
          <w:spacing w:val="-56"/>
          <w:sz w:val="23"/>
          <w:szCs w:val="23"/>
          <w:highlight w:val="none"/>
        </w:rPr>
        <w:t xml:space="preserve"> </w:t>
      </w:r>
      <w:r>
        <w:rPr>
          <w:rFonts w:hint="eastAsia" w:ascii="宋体" w:hAnsi="宋体" w:eastAsia="宋体" w:cs="宋体"/>
          <w:spacing w:val="10"/>
          <w:sz w:val="23"/>
          <w:szCs w:val="23"/>
          <w:highlight w:val="none"/>
        </w:rPr>
        <w:t>;  承建(承接)企业</w:t>
      </w:r>
      <w:r>
        <w:rPr>
          <w:rFonts w:hint="eastAsia" w:ascii="宋体" w:hAnsi="宋体" w:eastAsia="宋体" w:cs="宋体"/>
          <w:spacing w:val="9"/>
          <w:sz w:val="23"/>
          <w:szCs w:val="23"/>
          <w:highlight w:val="none"/>
          <w:u w:val="single" w:color="auto"/>
        </w:rPr>
        <w:t>为 (</w:t>
      </w:r>
      <w:r>
        <w:rPr>
          <w:rFonts w:hint="eastAsia" w:ascii="宋体" w:hAnsi="宋体" w:eastAsia="宋体" w:cs="宋体"/>
          <w:spacing w:val="-39"/>
          <w:sz w:val="23"/>
          <w:szCs w:val="23"/>
          <w:highlight w:val="none"/>
          <w:u w:val="single" w:color="auto"/>
        </w:rPr>
        <w:t xml:space="preserve"> </w:t>
      </w:r>
      <w:r>
        <w:rPr>
          <w:rFonts w:hint="eastAsia" w:ascii="宋体" w:hAnsi="宋体" w:eastAsia="宋体" w:cs="宋体"/>
          <w:spacing w:val="9"/>
          <w:sz w:val="23"/>
          <w:szCs w:val="23"/>
          <w:highlight w:val="none"/>
          <w:u w:val="single" w:color="auto"/>
        </w:rPr>
        <w:t>企</w:t>
      </w:r>
      <w:r>
        <w:rPr>
          <w:rFonts w:hint="eastAsia" w:ascii="宋体" w:hAnsi="宋体" w:eastAsia="宋体" w:cs="宋体"/>
          <w:sz w:val="23"/>
          <w:szCs w:val="23"/>
          <w:highlight w:val="none"/>
        </w:rPr>
        <w:t xml:space="preserve"> </w:t>
      </w:r>
      <w:r>
        <w:rPr>
          <w:rFonts w:hint="eastAsia" w:ascii="宋体" w:hAnsi="宋体" w:eastAsia="宋体" w:cs="宋体"/>
          <w:spacing w:val="6"/>
          <w:sz w:val="23"/>
          <w:szCs w:val="23"/>
          <w:highlight w:val="none"/>
          <w:u w:val="single" w:color="auto"/>
        </w:rPr>
        <w:t>业名称)</w:t>
      </w:r>
      <w:r>
        <w:rPr>
          <w:rFonts w:hint="eastAsia" w:ascii="宋体" w:hAnsi="宋体" w:eastAsia="宋体" w:cs="宋体"/>
          <w:spacing w:val="6"/>
          <w:sz w:val="23"/>
          <w:szCs w:val="23"/>
          <w:highlight w:val="none"/>
        </w:rPr>
        <w:t xml:space="preserve"> ,从业人员</w:t>
      </w:r>
      <w:r>
        <w:rPr>
          <w:rFonts w:hint="eastAsia" w:ascii="宋体" w:hAnsi="宋体" w:eastAsia="宋体" w:cs="宋体"/>
          <w:spacing w:val="6"/>
          <w:sz w:val="23"/>
          <w:szCs w:val="23"/>
          <w:highlight w:val="none"/>
          <w:u w:val="single" w:color="auto"/>
        </w:rPr>
        <w:t xml:space="preserve">   </w:t>
      </w:r>
      <w:r>
        <w:rPr>
          <w:rFonts w:hint="eastAsia" w:ascii="宋体" w:hAnsi="宋体" w:eastAsia="宋体" w:cs="宋体"/>
          <w:spacing w:val="6"/>
          <w:sz w:val="23"/>
          <w:szCs w:val="23"/>
          <w:highlight w:val="none"/>
        </w:rPr>
        <w:t>人，营业收入为</w:t>
      </w:r>
      <w:r>
        <w:rPr>
          <w:rFonts w:hint="eastAsia" w:ascii="宋体" w:hAnsi="宋体" w:eastAsia="宋体" w:cs="宋体"/>
          <w:spacing w:val="-91"/>
          <w:sz w:val="23"/>
          <w:szCs w:val="23"/>
          <w:highlight w:val="none"/>
        </w:rPr>
        <w:t xml:space="preserve"> </w:t>
      </w:r>
      <w:r>
        <w:rPr>
          <w:rFonts w:hint="eastAsia" w:ascii="宋体" w:hAnsi="宋体" w:eastAsia="宋体" w:cs="宋体"/>
          <w:spacing w:val="28"/>
          <w:sz w:val="23"/>
          <w:szCs w:val="23"/>
          <w:highlight w:val="none"/>
          <w:u w:val="single" w:color="auto"/>
        </w:rPr>
        <w:t xml:space="preserve">   </w:t>
      </w:r>
      <w:r>
        <w:rPr>
          <w:rFonts w:hint="eastAsia" w:ascii="宋体" w:hAnsi="宋体" w:eastAsia="宋体" w:cs="宋体"/>
          <w:spacing w:val="-104"/>
          <w:sz w:val="23"/>
          <w:szCs w:val="23"/>
          <w:highlight w:val="none"/>
        </w:rPr>
        <w:t xml:space="preserve"> </w:t>
      </w:r>
      <w:r>
        <w:rPr>
          <w:rFonts w:hint="eastAsia" w:ascii="宋体" w:hAnsi="宋体" w:eastAsia="宋体" w:cs="宋体"/>
          <w:spacing w:val="6"/>
          <w:sz w:val="23"/>
          <w:szCs w:val="23"/>
          <w:highlight w:val="none"/>
        </w:rPr>
        <w:t>万元，资产总额为</w:t>
      </w:r>
      <w:r>
        <w:rPr>
          <w:rFonts w:hint="eastAsia" w:ascii="宋体" w:hAnsi="宋体" w:eastAsia="宋体" w:cs="宋体"/>
          <w:spacing w:val="24"/>
          <w:sz w:val="23"/>
          <w:szCs w:val="23"/>
          <w:highlight w:val="none"/>
          <w:u w:val="single" w:color="auto"/>
        </w:rPr>
        <w:t xml:space="preserve">   </w:t>
      </w:r>
      <w:r>
        <w:rPr>
          <w:rFonts w:hint="eastAsia" w:ascii="宋体" w:hAnsi="宋体" w:eastAsia="宋体" w:cs="宋体"/>
          <w:spacing w:val="6"/>
          <w:sz w:val="23"/>
          <w:szCs w:val="23"/>
          <w:highlight w:val="none"/>
        </w:rPr>
        <w:t>万元</w:t>
      </w:r>
      <w:r>
        <w:rPr>
          <w:rFonts w:hint="eastAsia" w:ascii="宋体" w:hAnsi="宋体" w:eastAsia="宋体" w:cs="宋体"/>
          <w:spacing w:val="-44"/>
          <w:sz w:val="23"/>
          <w:szCs w:val="23"/>
          <w:highlight w:val="none"/>
        </w:rPr>
        <w:t xml:space="preserve"> </w:t>
      </w:r>
      <w:r>
        <w:rPr>
          <w:rFonts w:hint="eastAsia" w:ascii="宋体" w:hAnsi="宋体" w:eastAsia="宋体" w:cs="宋体"/>
          <w:spacing w:val="6"/>
          <w:sz w:val="23"/>
          <w:szCs w:val="23"/>
          <w:highlight w:val="none"/>
        </w:rPr>
        <w:t>l,   属于，</w:t>
      </w:r>
      <w:r>
        <w:rPr>
          <w:rFonts w:hint="eastAsia" w:ascii="宋体" w:hAnsi="宋体" w:eastAsia="宋体" w:cs="宋体"/>
          <w:spacing w:val="-78"/>
          <w:sz w:val="23"/>
          <w:szCs w:val="23"/>
          <w:highlight w:val="none"/>
        </w:rPr>
        <w:t xml:space="preserve"> </w:t>
      </w:r>
      <w:r>
        <w:rPr>
          <w:rFonts w:hint="eastAsia" w:ascii="宋体" w:hAnsi="宋体" w:eastAsia="宋体" w:cs="宋体"/>
          <w:spacing w:val="-65"/>
          <w:sz w:val="23"/>
          <w:szCs w:val="23"/>
          <w:highlight w:val="none"/>
          <w:u w:val="single" w:color="auto"/>
        </w:rPr>
        <w:t xml:space="preserve"> </w:t>
      </w:r>
      <w:r>
        <w:rPr>
          <w:rFonts w:hint="eastAsia" w:ascii="宋体" w:hAnsi="宋体" w:eastAsia="宋体" w:cs="宋体"/>
          <w:spacing w:val="6"/>
          <w:sz w:val="23"/>
          <w:szCs w:val="23"/>
          <w:highlight w:val="none"/>
          <w:u w:val="single" w:color="auto"/>
        </w:rPr>
        <w:t>(中型</w:t>
      </w:r>
    </w:p>
    <w:p>
      <w:pPr>
        <w:spacing w:line="219" w:lineRule="auto"/>
        <w:rPr>
          <w:rFonts w:hint="eastAsia" w:ascii="宋体" w:hAnsi="宋体" w:eastAsia="宋体" w:cs="宋体"/>
          <w:sz w:val="23"/>
          <w:szCs w:val="23"/>
          <w:highlight w:val="none"/>
        </w:rPr>
      </w:pPr>
      <w:r>
        <w:rPr>
          <w:rFonts w:hint="eastAsia" w:ascii="宋体" w:hAnsi="宋体" w:eastAsia="宋体" w:cs="宋体"/>
          <w:spacing w:val="-5"/>
          <w:sz w:val="23"/>
          <w:szCs w:val="23"/>
          <w:highlight w:val="none"/>
          <w:u w:val="single" w:color="auto"/>
        </w:rPr>
        <w:t>企业、   小型企业、微型企业)</w:t>
      </w:r>
      <w:r>
        <w:rPr>
          <w:rFonts w:hint="eastAsia" w:ascii="宋体" w:hAnsi="宋体" w:eastAsia="宋体" w:cs="宋体"/>
          <w:spacing w:val="-5"/>
          <w:sz w:val="23"/>
          <w:szCs w:val="23"/>
          <w:highlight w:val="none"/>
        </w:rPr>
        <w:t xml:space="preserve"> ;</w:t>
      </w:r>
    </w:p>
    <w:p>
      <w:pPr>
        <w:spacing w:before="182" w:line="387" w:lineRule="auto"/>
        <w:ind w:firstLine="469"/>
        <w:rPr>
          <w:rFonts w:hint="eastAsia" w:ascii="宋体" w:hAnsi="宋体" w:eastAsia="宋体" w:cs="宋体"/>
          <w:sz w:val="23"/>
          <w:szCs w:val="23"/>
          <w:highlight w:val="none"/>
        </w:rPr>
      </w:pPr>
      <w:r>
        <w:rPr>
          <w:rFonts w:hint="eastAsia" w:ascii="宋体" w:hAnsi="宋体" w:eastAsia="宋体" w:cs="宋体"/>
          <w:spacing w:val="12"/>
          <w:sz w:val="23"/>
          <w:szCs w:val="23"/>
          <w:highlight w:val="none"/>
        </w:rPr>
        <w:t>2.</w:t>
      </w:r>
      <w:r>
        <w:rPr>
          <w:rFonts w:hint="eastAsia" w:ascii="宋体" w:hAnsi="宋体" w:eastAsia="宋体" w:cs="宋体"/>
          <w:spacing w:val="67"/>
          <w:sz w:val="23"/>
          <w:szCs w:val="23"/>
          <w:highlight w:val="none"/>
        </w:rPr>
        <w:t xml:space="preserve"> </w:t>
      </w:r>
      <w:r>
        <w:rPr>
          <w:rFonts w:hint="eastAsia" w:ascii="宋体" w:hAnsi="宋体" w:eastAsia="宋体" w:cs="宋体"/>
          <w:spacing w:val="-65"/>
          <w:sz w:val="23"/>
          <w:szCs w:val="23"/>
          <w:highlight w:val="none"/>
          <w:u w:val="single" w:color="auto"/>
        </w:rPr>
        <w:t xml:space="preserve"> </w:t>
      </w:r>
      <w:r>
        <w:rPr>
          <w:rFonts w:hint="eastAsia" w:ascii="宋体" w:hAnsi="宋体" w:eastAsia="宋体" w:cs="宋体"/>
          <w:spacing w:val="12"/>
          <w:sz w:val="23"/>
          <w:szCs w:val="23"/>
          <w:highlight w:val="none"/>
          <w:u w:val="single" w:color="auto"/>
        </w:rPr>
        <w:t>(标的名称)</w:t>
      </w:r>
      <w:r>
        <w:rPr>
          <w:rFonts w:hint="eastAsia" w:ascii="宋体" w:hAnsi="宋体" w:eastAsia="宋体" w:cs="宋体"/>
          <w:spacing w:val="-36"/>
          <w:sz w:val="23"/>
          <w:szCs w:val="23"/>
          <w:highlight w:val="none"/>
        </w:rPr>
        <w:t xml:space="preserve"> </w:t>
      </w:r>
      <w:r>
        <w:rPr>
          <w:rFonts w:hint="eastAsia" w:ascii="宋体" w:hAnsi="宋体" w:eastAsia="宋体" w:cs="宋体"/>
          <w:spacing w:val="12"/>
          <w:sz w:val="23"/>
          <w:szCs w:val="23"/>
          <w:highlight w:val="none"/>
        </w:rPr>
        <w:t>,</w:t>
      </w:r>
      <w:r>
        <w:rPr>
          <w:rFonts w:hint="eastAsia" w:ascii="宋体" w:hAnsi="宋体" w:eastAsia="宋体" w:cs="宋体"/>
          <w:spacing w:val="-33"/>
          <w:sz w:val="23"/>
          <w:szCs w:val="23"/>
          <w:highlight w:val="none"/>
        </w:rPr>
        <w:t xml:space="preserve"> </w:t>
      </w:r>
      <w:r>
        <w:rPr>
          <w:rFonts w:hint="eastAsia" w:ascii="宋体" w:hAnsi="宋体" w:eastAsia="宋体" w:cs="宋体"/>
          <w:spacing w:val="12"/>
          <w:sz w:val="23"/>
          <w:szCs w:val="23"/>
          <w:highlight w:val="none"/>
        </w:rPr>
        <w:t>属</w:t>
      </w:r>
      <w:r>
        <w:rPr>
          <w:rFonts w:hint="eastAsia" w:ascii="宋体" w:hAnsi="宋体" w:eastAsia="宋体" w:cs="宋体"/>
          <w:spacing w:val="-32"/>
          <w:sz w:val="23"/>
          <w:szCs w:val="23"/>
          <w:highlight w:val="none"/>
        </w:rPr>
        <w:t xml:space="preserve"> </w:t>
      </w:r>
      <w:r>
        <w:rPr>
          <w:rFonts w:hint="eastAsia" w:ascii="宋体" w:hAnsi="宋体" w:eastAsia="宋体" w:cs="宋体"/>
          <w:spacing w:val="12"/>
          <w:sz w:val="23"/>
          <w:szCs w:val="23"/>
          <w:highlight w:val="none"/>
        </w:rPr>
        <w:t xml:space="preserve">于 </w:t>
      </w:r>
      <w:r>
        <w:rPr>
          <w:rFonts w:hint="eastAsia" w:ascii="宋体" w:hAnsi="宋体" w:eastAsia="宋体" w:cs="宋体"/>
          <w:spacing w:val="-66"/>
          <w:sz w:val="23"/>
          <w:szCs w:val="23"/>
          <w:highlight w:val="none"/>
          <w:u w:val="single" w:color="auto"/>
        </w:rPr>
        <w:t xml:space="preserve"> </w:t>
      </w:r>
      <w:r>
        <w:rPr>
          <w:rFonts w:hint="eastAsia" w:ascii="宋体" w:hAnsi="宋体" w:eastAsia="宋体" w:cs="宋体"/>
          <w:spacing w:val="12"/>
          <w:sz w:val="23"/>
          <w:szCs w:val="23"/>
          <w:highlight w:val="none"/>
          <w:u w:val="single" w:color="auto"/>
        </w:rPr>
        <w:t>(所属行业)</w:t>
      </w:r>
      <w:r>
        <w:rPr>
          <w:rFonts w:hint="eastAsia" w:ascii="宋体" w:hAnsi="宋体" w:eastAsia="宋体" w:cs="宋体"/>
          <w:spacing w:val="-35"/>
          <w:sz w:val="23"/>
          <w:szCs w:val="23"/>
          <w:highlight w:val="none"/>
        </w:rPr>
        <w:t xml:space="preserve"> </w:t>
      </w:r>
      <w:r>
        <w:rPr>
          <w:rFonts w:hint="eastAsia" w:ascii="宋体" w:hAnsi="宋体" w:eastAsia="宋体" w:cs="宋体"/>
          <w:spacing w:val="12"/>
          <w:sz w:val="23"/>
          <w:szCs w:val="23"/>
          <w:highlight w:val="none"/>
        </w:rPr>
        <w:t>;  承建(承接)企业</w:t>
      </w:r>
      <w:r>
        <w:rPr>
          <w:rFonts w:hint="eastAsia" w:ascii="宋体" w:hAnsi="宋体" w:eastAsia="宋体" w:cs="宋体"/>
          <w:spacing w:val="11"/>
          <w:sz w:val="23"/>
          <w:szCs w:val="23"/>
          <w:highlight w:val="none"/>
        </w:rPr>
        <w:t>为</w:t>
      </w:r>
      <w:r>
        <w:rPr>
          <w:rFonts w:hint="eastAsia" w:ascii="宋体" w:hAnsi="宋体" w:eastAsia="宋体" w:cs="宋体"/>
          <w:spacing w:val="-26"/>
          <w:sz w:val="23"/>
          <w:szCs w:val="23"/>
          <w:highlight w:val="none"/>
        </w:rPr>
        <w:t xml:space="preserve"> </w:t>
      </w:r>
      <w:r>
        <w:rPr>
          <w:rFonts w:hint="eastAsia" w:ascii="宋体" w:hAnsi="宋体" w:eastAsia="宋体" w:cs="宋体"/>
          <w:spacing w:val="-66"/>
          <w:sz w:val="23"/>
          <w:szCs w:val="23"/>
          <w:highlight w:val="none"/>
          <w:u w:val="single" w:color="auto"/>
        </w:rPr>
        <w:t xml:space="preserve"> </w:t>
      </w:r>
      <w:r>
        <w:rPr>
          <w:rFonts w:hint="eastAsia" w:ascii="宋体" w:hAnsi="宋体" w:eastAsia="宋体" w:cs="宋体"/>
          <w:spacing w:val="11"/>
          <w:sz w:val="23"/>
          <w:szCs w:val="23"/>
          <w:highlight w:val="none"/>
          <w:u w:val="single" w:color="auto"/>
        </w:rPr>
        <w:t>(企业名称)</w:t>
      </w:r>
      <w:r>
        <w:rPr>
          <w:rFonts w:hint="eastAsia" w:ascii="宋体" w:hAnsi="宋体" w:eastAsia="宋体" w:cs="宋体"/>
          <w:spacing w:val="-35"/>
          <w:sz w:val="23"/>
          <w:szCs w:val="23"/>
          <w:highlight w:val="none"/>
        </w:rPr>
        <w:t xml:space="preserve"> </w:t>
      </w:r>
      <w:r>
        <w:rPr>
          <w:rFonts w:hint="eastAsia" w:ascii="宋体" w:hAnsi="宋体" w:eastAsia="宋体" w:cs="宋体"/>
          <w:spacing w:val="11"/>
          <w:sz w:val="23"/>
          <w:szCs w:val="23"/>
          <w:highlight w:val="none"/>
        </w:rPr>
        <w:t>,</w:t>
      </w:r>
      <w:r>
        <w:rPr>
          <w:rFonts w:hint="eastAsia" w:ascii="宋体" w:hAnsi="宋体" w:eastAsia="宋体" w:cs="宋体"/>
          <w:spacing w:val="-30"/>
          <w:sz w:val="23"/>
          <w:szCs w:val="23"/>
          <w:highlight w:val="none"/>
        </w:rPr>
        <w:t xml:space="preserve"> </w:t>
      </w:r>
      <w:r>
        <w:rPr>
          <w:rFonts w:hint="eastAsia" w:ascii="宋体" w:hAnsi="宋体" w:eastAsia="宋体" w:cs="宋体"/>
          <w:spacing w:val="11"/>
          <w:sz w:val="23"/>
          <w:szCs w:val="23"/>
          <w:highlight w:val="none"/>
        </w:rPr>
        <w:t>从</w:t>
      </w:r>
      <w:r>
        <w:rPr>
          <w:rFonts w:hint="eastAsia" w:ascii="宋体" w:hAnsi="宋体" w:eastAsia="宋体" w:cs="宋体"/>
          <w:spacing w:val="-35"/>
          <w:sz w:val="23"/>
          <w:szCs w:val="23"/>
          <w:highlight w:val="none"/>
        </w:rPr>
        <w:t xml:space="preserve"> </w:t>
      </w:r>
      <w:r>
        <w:rPr>
          <w:rFonts w:hint="eastAsia" w:ascii="宋体" w:hAnsi="宋体" w:eastAsia="宋体" w:cs="宋体"/>
          <w:spacing w:val="11"/>
          <w:sz w:val="23"/>
          <w:szCs w:val="23"/>
          <w:highlight w:val="none"/>
        </w:rPr>
        <w:t>业</w:t>
      </w:r>
      <w:r>
        <w:rPr>
          <w:rFonts w:hint="eastAsia" w:ascii="宋体" w:hAnsi="宋体" w:eastAsia="宋体" w:cs="宋体"/>
          <w:sz w:val="23"/>
          <w:szCs w:val="23"/>
          <w:highlight w:val="none"/>
        </w:rPr>
        <w:t xml:space="preserve">  </w:t>
      </w:r>
      <w:r>
        <w:rPr>
          <w:rFonts w:hint="eastAsia" w:ascii="宋体" w:hAnsi="宋体" w:eastAsia="宋体" w:cs="宋体"/>
          <w:spacing w:val="-9"/>
          <w:sz w:val="23"/>
          <w:szCs w:val="23"/>
          <w:highlight w:val="none"/>
        </w:rPr>
        <w:t>人员</w:t>
      </w:r>
      <w:r>
        <w:rPr>
          <w:rFonts w:hint="eastAsia" w:ascii="宋体" w:hAnsi="宋体" w:eastAsia="宋体" w:cs="宋体"/>
          <w:spacing w:val="22"/>
          <w:sz w:val="23"/>
          <w:szCs w:val="23"/>
          <w:highlight w:val="none"/>
          <w:u w:val="single" w:color="auto"/>
        </w:rPr>
        <w:t xml:space="preserve">   </w:t>
      </w:r>
      <w:r>
        <w:rPr>
          <w:rFonts w:hint="eastAsia" w:ascii="宋体" w:hAnsi="宋体" w:eastAsia="宋体" w:cs="宋体"/>
          <w:spacing w:val="-9"/>
          <w:sz w:val="23"/>
          <w:szCs w:val="23"/>
          <w:highlight w:val="none"/>
        </w:rPr>
        <w:t>人，营业收入为</w:t>
      </w:r>
      <w:r>
        <w:rPr>
          <w:rFonts w:hint="eastAsia" w:ascii="宋体" w:hAnsi="宋体" w:eastAsia="宋体" w:cs="宋体"/>
          <w:spacing w:val="21"/>
          <w:sz w:val="23"/>
          <w:szCs w:val="23"/>
          <w:highlight w:val="none"/>
          <w:u w:val="single" w:color="auto"/>
        </w:rPr>
        <w:t xml:space="preserve">   </w:t>
      </w:r>
      <w:r>
        <w:rPr>
          <w:rFonts w:hint="eastAsia" w:ascii="宋体" w:hAnsi="宋体" w:eastAsia="宋体" w:cs="宋体"/>
          <w:spacing w:val="-9"/>
          <w:sz w:val="23"/>
          <w:szCs w:val="23"/>
          <w:highlight w:val="none"/>
        </w:rPr>
        <w:t>万元，资产总额为</w:t>
      </w:r>
      <w:r>
        <w:rPr>
          <w:rFonts w:hint="eastAsia" w:ascii="宋体" w:hAnsi="宋体" w:eastAsia="宋体" w:cs="宋体"/>
          <w:spacing w:val="-105"/>
          <w:sz w:val="23"/>
          <w:szCs w:val="23"/>
          <w:highlight w:val="none"/>
        </w:rPr>
        <w:t xml:space="preserve"> </w:t>
      </w:r>
      <w:r>
        <w:rPr>
          <w:rFonts w:hint="eastAsia" w:ascii="宋体" w:hAnsi="宋体" w:eastAsia="宋体" w:cs="宋体"/>
          <w:spacing w:val="38"/>
          <w:sz w:val="23"/>
          <w:szCs w:val="23"/>
          <w:highlight w:val="none"/>
          <w:u w:val="single" w:color="auto"/>
        </w:rPr>
        <w:t xml:space="preserve">   </w:t>
      </w:r>
      <w:r>
        <w:rPr>
          <w:rFonts w:hint="eastAsia" w:ascii="宋体" w:hAnsi="宋体" w:eastAsia="宋体" w:cs="宋体"/>
          <w:spacing w:val="-94"/>
          <w:sz w:val="23"/>
          <w:szCs w:val="23"/>
          <w:highlight w:val="none"/>
        </w:rPr>
        <w:t xml:space="preserve"> </w:t>
      </w:r>
      <w:r>
        <w:rPr>
          <w:rFonts w:hint="eastAsia" w:ascii="宋体" w:hAnsi="宋体" w:eastAsia="宋体" w:cs="宋体"/>
          <w:spacing w:val="-9"/>
          <w:sz w:val="23"/>
          <w:szCs w:val="23"/>
          <w:highlight w:val="none"/>
        </w:rPr>
        <w:t>万元，属于，</w:t>
      </w:r>
      <w:r>
        <w:rPr>
          <w:rFonts w:hint="eastAsia" w:ascii="宋体" w:hAnsi="宋体" w:eastAsia="宋体" w:cs="宋体"/>
          <w:spacing w:val="-9"/>
          <w:sz w:val="23"/>
          <w:szCs w:val="23"/>
          <w:highlight w:val="none"/>
          <w:u w:val="single" w:color="auto"/>
        </w:rPr>
        <w:t>(中型企业、   小型企业、</w:t>
      </w:r>
      <w:r>
        <w:rPr>
          <w:rFonts w:hint="eastAsia" w:ascii="宋体" w:hAnsi="宋体" w:eastAsia="宋体" w:cs="宋体"/>
          <w:sz w:val="23"/>
          <w:szCs w:val="23"/>
          <w:highlight w:val="none"/>
          <w:u w:val="single" w:color="auto"/>
        </w:rPr>
        <w:t xml:space="preserve">  </w:t>
      </w:r>
    </w:p>
    <w:p>
      <w:pPr>
        <w:spacing w:line="219" w:lineRule="auto"/>
        <w:rPr>
          <w:rFonts w:hint="eastAsia" w:ascii="宋体" w:hAnsi="宋体" w:eastAsia="宋体" w:cs="宋体"/>
          <w:sz w:val="23"/>
          <w:szCs w:val="23"/>
          <w:highlight w:val="none"/>
        </w:rPr>
      </w:pPr>
      <w:r>
        <w:rPr>
          <w:rFonts w:hint="eastAsia" w:ascii="宋体" w:hAnsi="宋体" w:eastAsia="宋体" w:cs="宋体"/>
          <w:spacing w:val="14"/>
          <w:sz w:val="23"/>
          <w:szCs w:val="23"/>
          <w:highlight w:val="none"/>
          <w:u w:val="single" w:color="auto"/>
        </w:rPr>
        <w:t>微型企业)</w:t>
      </w:r>
      <w:r>
        <w:rPr>
          <w:rFonts w:hint="eastAsia" w:ascii="宋体" w:hAnsi="宋体" w:eastAsia="宋体" w:cs="宋体"/>
          <w:spacing w:val="-46"/>
          <w:sz w:val="23"/>
          <w:szCs w:val="23"/>
          <w:highlight w:val="none"/>
        </w:rPr>
        <w:t xml:space="preserve"> </w:t>
      </w:r>
      <w:r>
        <w:rPr>
          <w:rFonts w:hint="eastAsia" w:ascii="宋体" w:hAnsi="宋体" w:eastAsia="宋体" w:cs="宋体"/>
          <w:spacing w:val="14"/>
          <w:sz w:val="23"/>
          <w:szCs w:val="23"/>
          <w:highlight w:val="none"/>
        </w:rPr>
        <w:t>;</w:t>
      </w:r>
    </w:p>
    <w:p>
      <w:pPr>
        <w:pStyle w:val="7"/>
        <w:spacing w:line="306" w:lineRule="auto"/>
        <w:rPr>
          <w:rFonts w:hint="eastAsia" w:ascii="宋体" w:hAnsi="宋体" w:eastAsia="宋体" w:cs="宋体"/>
          <w:highlight w:val="none"/>
        </w:rPr>
      </w:pPr>
    </w:p>
    <w:p>
      <w:pPr>
        <w:spacing w:before="17" w:line="77" w:lineRule="exact"/>
        <w:ind w:left="679"/>
        <w:rPr>
          <w:rFonts w:hint="eastAsia" w:ascii="宋体" w:hAnsi="宋体" w:eastAsia="宋体" w:cs="宋体"/>
          <w:sz w:val="5"/>
          <w:szCs w:val="5"/>
          <w:highlight w:val="none"/>
        </w:rPr>
      </w:pPr>
      <w:r>
        <w:rPr>
          <w:rFonts w:hint="eastAsia" w:ascii="宋体" w:hAnsi="宋体" w:eastAsia="宋体" w:cs="宋体"/>
          <w:spacing w:val="-4"/>
          <w:sz w:val="5"/>
          <w:szCs w:val="5"/>
          <w:highlight w:val="none"/>
        </w:rPr>
        <w:t>…</w:t>
      </w:r>
      <w:r>
        <w:rPr>
          <w:rFonts w:hint="eastAsia" w:ascii="宋体" w:hAnsi="宋体" w:eastAsia="宋体" w:cs="宋体"/>
          <w:sz w:val="5"/>
          <w:szCs w:val="5"/>
          <w:highlight w:val="none"/>
        </w:rPr>
        <w:t xml:space="preserve">   </w:t>
      </w:r>
      <w:r>
        <w:rPr>
          <w:rFonts w:hint="eastAsia" w:ascii="宋体" w:hAnsi="宋体" w:eastAsia="宋体" w:cs="宋体"/>
          <w:spacing w:val="-4"/>
          <w:sz w:val="5"/>
          <w:szCs w:val="5"/>
          <w:highlight w:val="none"/>
        </w:rPr>
        <w:t>…</w:t>
      </w:r>
      <w:r>
        <w:rPr>
          <w:rFonts w:hint="eastAsia" w:ascii="宋体" w:hAnsi="宋体" w:eastAsia="宋体" w:cs="宋体"/>
          <w:spacing w:val="1"/>
          <w:sz w:val="5"/>
          <w:szCs w:val="5"/>
          <w:highlight w:val="none"/>
        </w:rPr>
        <w:t xml:space="preserve"> </w:t>
      </w:r>
      <w:r>
        <w:rPr>
          <w:rFonts w:hint="eastAsia" w:ascii="宋体" w:hAnsi="宋体" w:eastAsia="宋体" w:cs="宋体"/>
          <w:spacing w:val="-4"/>
          <w:sz w:val="5"/>
          <w:szCs w:val="5"/>
          <w:highlight w:val="none"/>
        </w:rPr>
        <w:t>·</w:t>
      </w:r>
    </w:p>
    <w:p>
      <w:pPr>
        <w:spacing w:before="235" w:line="480" w:lineRule="exact"/>
        <w:ind w:left="469"/>
        <w:rPr>
          <w:rFonts w:hint="eastAsia" w:ascii="宋体" w:hAnsi="宋体" w:eastAsia="宋体" w:cs="宋体"/>
          <w:sz w:val="23"/>
          <w:szCs w:val="23"/>
          <w:highlight w:val="none"/>
        </w:rPr>
      </w:pPr>
      <w:r>
        <w:rPr>
          <w:rFonts w:hint="eastAsia" w:ascii="宋体" w:hAnsi="宋体" w:eastAsia="宋体" w:cs="宋体"/>
          <w:spacing w:val="8"/>
          <w:position w:val="19"/>
          <w:sz w:val="23"/>
          <w:szCs w:val="23"/>
          <w:highlight w:val="none"/>
        </w:rPr>
        <w:t>以上企业，不属于大企业的分支机构，不存</w:t>
      </w:r>
      <w:r>
        <w:rPr>
          <w:rFonts w:hint="eastAsia" w:ascii="宋体" w:hAnsi="宋体" w:eastAsia="宋体" w:cs="宋体"/>
          <w:spacing w:val="7"/>
          <w:position w:val="19"/>
          <w:sz w:val="23"/>
          <w:szCs w:val="23"/>
          <w:highlight w:val="none"/>
        </w:rPr>
        <w:t>在控股股东为大企业的情形，也不存在</w:t>
      </w:r>
    </w:p>
    <w:p>
      <w:pPr>
        <w:spacing w:before="1" w:line="219" w:lineRule="auto"/>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与大企业的负责人为同一人的情形。</w:t>
      </w:r>
    </w:p>
    <w:p>
      <w:pPr>
        <w:spacing w:before="195" w:line="219" w:lineRule="auto"/>
        <w:ind w:left="469"/>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本企业对上述声明内容的真实性负责。如有虚假，将依法承担相应</w:t>
      </w:r>
      <w:r>
        <w:rPr>
          <w:rFonts w:hint="eastAsia" w:ascii="宋体" w:hAnsi="宋体" w:eastAsia="宋体" w:cs="宋体"/>
          <w:spacing w:val="7"/>
          <w:sz w:val="23"/>
          <w:szCs w:val="23"/>
          <w:highlight w:val="none"/>
        </w:rPr>
        <w:t>责任。</w:t>
      </w:r>
    </w:p>
    <w:p>
      <w:pPr>
        <w:pStyle w:val="7"/>
        <w:spacing w:line="284" w:lineRule="auto"/>
        <w:rPr>
          <w:rFonts w:hint="eastAsia" w:ascii="宋体" w:hAnsi="宋体" w:eastAsia="宋体" w:cs="宋体"/>
          <w:highlight w:val="none"/>
        </w:rPr>
      </w:pPr>
    </w:p>
    <w:p>
      <w:pPr>
        <w:pStyle w:val="7"/>
        <w:spacing w:line="285" w:lineRule="auto"/>
        <w:rPr>
          <w:rFonts w:hint="eastAsia" w:ascii="宋体" w:hAnsi="宋体" w:eastAsia="宋体" w:cs="宋体"/>
          <w:highlight w:val="none"/>
        </w:rPr>
      </w:pPr>
    </w:p>
    <w:p>
      <w:pPr>
        <w:spacing w:before="75" w:line="462" w:lineRule="exact"/>
        <w:ind w:left="4809"/>
        <w:rPr>
          <w:rFonts w:hint="eastAsia" w:ascii="宋体" w:hAnsi="宋体" w:eastAsia="宋体" w:cs="宋体"/>
          <w:sz w:val="23"/>
          <w:szCs w:val="23"/>
          <w:highlight w:val="none"/>
        </w:rPr>
      </w:pPr>
      <w:r>
        <w:rPr>
          <w:rFonts w:hint="eastAsia" w:ascii="宋体" w:hAnsi="宋体" w:eastAsia="宋体" w:cs="宋体"/>
          <w:spacing w:val="29"/>
          <w:position w:val="17"/>
          <w:sz w:val="23"/>
          <w:szCs w:val="23"/>
          <w:highlight w:val="none"/>
        </w:rPr>
        <w:t>企业名称(盖章):</w:t>
      </w:r>
    </w:p>
    <w:p>
      <w:pPr>
        <w:spacing w:line="220" w:lineRule="auto"/>
        <w:ind w:left="4689"/>
        <w:rPr>
          <w:rFonts w:hint="eastAsia" w:ascii="宋体" w:hAnsi="宋体" w:eastAsia="宋体" w:cs="宋体"/>
          <w:sz w:val="23"/>
          <w:szCs w:val="23"/>
          <w:highlight w:val="none"/>
        </w:rPr>
      </w:pPr>
      <w:r>
        <w:rPr>
          <w:rFonts w:hint="eastAsia" w:ascii="宋体" w:hAnsi="宋体" w:eastAsia="宋体" w:cs="宋体"/>
          <w:spacing w:val="-25"/>
          <w:sz w:val="23"/>
          <w:szCs w:val="23"/>
          <w:highlight w:val="none"/>
        </w:rPr>
        <w:t>日</w:t>
      </w:r>
      <w:r>
        <w:rPr>
          <w:rFonts w:hint="eastAsia" w:ascii="宋体" w:hAnsi="宋体" w:eastAsia="宋体" w:cs="宋体"/>
          <w:spacing w:val="47"/>
          <w:sz w:val="23"/>
          <w:szCs w:val="23"/>
          <w:highlight w:val="none"/>
        </w:rPr>
        <w:t xml:space="preserve"> </w:t>
      </w:r>
      <w:r>
        <w:rPr>
          <w:rFonts w:hint="eastAsia" w:ascii="宋体" w:hAnsi="宋体" w:eastAsia="宋体" w:cs="宋体"/>
          <w:spacing w:val="-25"/>
          <w:sz w:val="23"/>
          <w:szCs w:val="23"/>
          <w:highlight w:val="none"/>
        </w:rPr>
        <w:t>期：</w:t>
      </w:r>
    </w:p>
    <w:p>
      <w:pPr>
        <w:pStyle w:val="7"/>
        <w:spacing w:line="318" w:lineRule="auto"/>
        <w:rPr>
          <w:rFonts w:hint="eastAsia" w:ascii="宋体" w:hAnsi="宋体" w:eastAsia="宋体" w:cs="宋体"/>
          <w:highlight w:val="none"/>
        </w:rPr>
      </w:pPr>
    </w:p>
    <w:p>
      <w:pPr>
        <w:pStyle w:val="7"/>
        <w:spacing w:line="318" w:lineRule="auto"/>
        <w:rPr>
          <w:rFonts w:hint="eastAsia" w:ascii="宋体" w:hAnsi="宋体" w:eastAsia="宋体" w:cs="宋体"/>
          <w:highlight w:val="none"/>
        </w:rPr>
      </w:pPr>
    </w:p>
    <w:p>
      <w:pPr>
        <w:pStyle w:val="7"/>
        <w:spacing w:line="318" w:lineRule="auto"/>
        <w:rPr>
          <w:rFonts w:hint="eastAsia" w:ascii="宋体" w:hAnsi="宋体" w:eastAsia="宋体" w:cs="宋体"/>
          <w:highlight w:val="none"/>
        </w:rPr>
      </w:pPr>
    </w:p>
    <w:p>
      <w:pPr>
        <w:spacing w:before="75" w:line="219" w:lineRule="auto"/>
        <w:rPr>
          <w:rFonts w:hint="eastAsia" w:ascii="宋体" w:hAnsi="宋体" w:eastAsia="宋体" w:cs="宋体"/>
          <w:sz w:val="23"/>
          <w:szCs w:val="23"/>
          <w:highlight w:val="none"/>
        </w:rPr>
      </w:pPr>
      <w:r>
        <w:rPr>
          <w:rFonts w:hint="eastAsia" w:ascii="宋体" w:hAnsi="宋体" w:eastAsia="宋体" w:cs="宋体"/>
          <w:spacing w:val="-21"/>
          <w:w w:val="88"/>
          <w:sz w:val="23"/>
          <w:szCs w:val="23"/>
          <w:highlight w:val="none"/>
        </w:rPr>
        <w:t>1从业人员、营业收入、资产总额填报上一年度数据，无上一年度数据的新成立企业可不填报。</w:t>
      </w:r>
    </w:p>
    <w:p>
      <w:pPr>
        <w:spacing w:line="219" w:lineRule="auto"/>
        <w:rPr>
          <w:rFonts w:hint="eastAsia" w:ascii="宋体" w:hAnsi="宋体" w:eastAsia="宋体" w:cs="宋体"/>
          <w:sz w:val="23"/>
          <w:szCs w:val="23"/>
          <w:highlight w:val="none"/>
        </w:rPr>
        <w:sectPr>
          <w:footerReference r:id="rId30" w:type="default"/>
          <w:pgSz w:w="11910" w:h="16840"/>
          <w:pgMar w:top="1431" w:right="1304" w:bottom="1239" w:left="1430" w:header="0" w:footer="940" w:gutter="0"/>
          <w:pgNumType w:fmt="decimal"/>
          <w:cols w:space="720" w:num="1"/>
        </w:sectPr>
      </w:pPr>
    </w:p>
    <w:p>
      <w:pPr>
        <w:spacing w:before="45" w:line="219" w:lineRule="auto"/>
        <w:ind w:left="3073"/>
        <w:rPr>
          <w:rFonts w:hint="eastAsia" w:ascii="宋体" w:hAnsi="宋体" w:eastAsia="宋体" w:cs="宋体"/>
          <w:sz w:val="23"/>
          <w:szCs w:val="23"/>
          <w:highlight w:val="none"/>
        </w:rPr>
      </w:pPr>
      <w:r>
        <w:rPr>
          <w:rFonts w:hint="eastAsia" w:ascii="宋体" w:hAnsi="宋体" w:eastAsia="宋体" w:cs="宋体"/>
          <w:b/>
          <w:bCs/>
          <w:spacing w:val="3"/>
          <w:sz w:val="23"/>
          <w:szCs w:val="23"/>
          <w:highlight w:val="none"/>
        </w:rPr>
        <w:t>10-2</w:t>
      </w:r>
      <w:r>
        <w:rPr>
          <w:rFonts w:hint="eastAsia" w:ascii="宋体" w:hAnsi="宋体" w:eastAsia="宋体" w:cs="宋体"/>
          <w:spacing w:val="3"/>
          <w:sz w:val="23"/>
          <w:szCs w:val="23"/>
          <w:highlight w:val="none"/>
        </w:rPr>
        <w:t xml:space="preserve"> </w:t>
      </w:r>
      <w:r>
        <w:rPr>
          <w:rFonts w:hint="eastAsia" w:ascii="宋体" w:hAnsi="宋体" w:eastAsia="宋体" w:cs="宋体"/>
          <w:b/>
          <w:bCs/>
          <w:spacing w:val="3"/>
          <w:sz w:val="23"/>
          <w:szCs w:val="23"/>
          <w:highlight w:val="none"/>
        </w:rPr>
        <w:t>供应商监狱企业声明函</w:t>
      </w:r>
    </w:p>
    <w:p>
      <w:pPr>
        <w:spacing w:before="122" w:line="377" w:lineRule="auto"/>
        <w:ind w:firstLine="489"/>
        <w:rPr>
          <w:rFonts w:hint="eastAsia" w:ascii="宋体" w:hAnsi="宋体" w:eastAsia="宋体" w:cs="宋体"/>
          <w:sz w:val="23"/>
          <w:szCs w:val="23"/>
          <w:highlight w:val="none"/>
        </w:rPr>
      </w:pPr>
      <w:r>
        <w:rPr>
          <w:rFonts w:hint="eastAsia" w:ascii="宋体" w:hAnsi="宋体" w:eastAsia="宋体" w:cs="宋体"/>
          <w:spacing w:val="4"/>
          <w:sz w:val="23"/>
          <w:szCs w:val="23"/>
          <w:highlight w:val="none"/>
        </w:rPr>
        <w:t>根据《关于政府采购支持监狱企业发展有关问题的通知</w:t>
      </w:r>
      <w:r>
        <w:rPr>
          <w:rFonts w:hint="eastAsia" w:ascii="宋体" w:hAnsi="宋体" w:eastAsia="宋体" w:cs="宋体"/>
          <w:spacing w:val="3"/>
          <w:sz w:val="23"/>
          <w:szCs w:val="23"/>
          <w:highlight w:val="none"/>
        </w:rPr>
        <w:t>》  (财库[2014]68 号</w:t>
      </w:r>
      <w:r>
        <w:rPr>
          <w:rFonts w:hint="eastAsia" w:ascii="宋体" w:hAnsi="宋体" w:eastAsia="宋体" w:cs="宋体"/>
          <w:spacing w:val="-32"/>
          <w:sz w:val="23"/>
          <w:szCs w:val="23"/>
          <w:highlight w:val="none"/>
        </w:rPr>
        <w:t xml:space="preserve"> </w:t>
      </w:r>
      <w:r>
        <w:rPr>
          <w:rFonts w:hint="eastAsia" w:ascii="宋体" w:hAnsi="宋体" w:eastAsia="宋体" w:cs="宋体"/>
          <w:spacing w:val="3"/>
          <w:sz w:val="23"/>
          <w:szCs w:val="23"/>
          <w:highlight w:val="none"/>
        </w:rPr>
        <w:t>) 的</w:t>
      </w:r>
      <w:r>
        <w:rPr>
          <w:rFonts w:hint="eastAsia" w:ascii="宋体" w:hAnsi="宋体" w:eastAsia="宋体" w:cs="宋体"/>
          <w:sz w:val="23"/>
          <w:szCs w:val="23"/>
          <w:highlight w:val="none"/>
        </w:rPr>
        <w:t xml:space="preserve"> </w:t>
      </w:r>
      <w:r>
        <w:rPr>
          <w:rFonts w:hint="eastAsia" w:ascii="宋体" w:hAnsi="宋体" w:eastAsia="宋体" w:cs="宋体"/>
          <w:spacing w:val="8"/>
          <w:sz w:val="23"/>
          <w:szCs w:val="23"/>
          <w:highlight w:val="none"/>
        </w:rPr>
        <w:t>规定：监狱企业是指由司法部认定的罪犯、戒毒人员提供生产项目和劳动对象，且全部</w:t>
      </w:r>
      <w:r>
        <w:rPr>
          <w:rFonts w:hint="eastAsia" w:ascii="宋体" w:hAnsi="宋体" w:eastAsia="宋体" w:cs="宋体"/>
          <w:spacing w:val="7"/>
          <w:sz w:val="23"/>
          <w:szCs w:val="23"/>
          <w:highlight w:val="none"/>
        </w:rPr>
        <w:t xml:space="preserve"> </w:t>
      </w:r>
      <w:r>
        <w:rPr>
          <w:rFonts w:hint="eastAsia" w:ascii="宋体" w:hAnsi="宋体" w:eastAsia="宋体" w:cs="宋体"/>
          <w:spacing w:val="8"/>
          <w:sz w:val="23"/>
          <w:szCs w:val="23"/>
          <w:highlight w:val="none"/>
        </w:rPr>
        <w:t>产权属于司法部监狱管理局、戒毒管理局、直属煤矿管理局，各省、自治区、直属市监</w:t>
      </w:r>
      <w:r>
        <w:rPr>
          <w:rFonts w:hint="eastAsia" w:ascii="宋体" w:hAnsi="宋体" w:eastAsia="宋体" w:cs="宋体"/>
          <w:spacing w:val="4"/>
          <w:sz w:val="23"/>
          <w:szCs w:val="23"/>
          <w:highlight w:val="none"/>
        </w:rPr>
        <w:t xml:space="preserve"> </w:t>
      </w:r>
      <w:r>
        <w:rPr>
          <w:rFonts w:hint="eastAsia" w:ascii="宋体" w:hAnsi="宋体" w:eastAsia="宋体" w:cs="宋体"/>
          <w:spacing w:val="14"/>
          <w:sz w:val="23"/>
          <w:szCs w:val="23"/>
          <w:highlight w:val="none"/>
        </w:rPr>
        <w:t>狱管理局、戒毒管理局，各地(社区的市)监狱、强制隔离戒毒所、戒毒康复所，以及</w:t>
      </w:r>
    </w:p>
    <w:p>
      <w:pPr>
        <w:spacing w:line="219" w:lineRule="auto"/>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新疆生产建设兵团监狱管理局、戒毒管理局的企业。</w:t>
      </w:r>
    </w:p>
    <w:p>
      <w:pPr>
        <w:spacing w:before="188" w:line="225" w:lineRule="auto"/>
        <w:ind w:left="489"/>
        <w:rPr>
          <w:rFonts w:hint="eastAsia" w:ascii="宋体" w:hAnsi="宋体" w:eastAsia="宋体" w:cs="宋体"/>
          <w:sz w:val="23"/>
          <w:szCs w:val="23"/>
          <w:highlight w:val="none"/>
        </w:rPr>
      </w:pPr>
      <w:r>
        <w:rPr>
          <w:rFonts w:hint="eastAsia" w:ascii="宋体" w:hAnsi="宋体" w:eastAsia="宋体" w:cs="宋体"/>
          <w:spacing w:val="6"/>
          <w:sz w:val="23"/>
          <w:szCs w:val="23"/>
          <w:highlight w:val="none"/>
        </w:rPr>
        <w:t>本单位郑重声明，我单</w:t>
      </w:r>
      <w:r>
        <w:rPr>
          <w:rFonts w:hint="eastAsia" w:ascii="宋体" w:hAnsi="宋体" w:eastAsia="宋体" w:cs="宋体"/>
          <w:spacing w:val="6"/>
          <w:sz w:val="23"/>
          <w:szCs w:val="23"/>
          <w:highlight w:val="none"/>
          <w:u w:val="single" w:color="auto"/>
        </w:rPr>
        <w:t>位   (单位名称</w:t>
      </w:r>
      <w:r>
        <w:rPr>
          <w:rFonts w:hint="eastAsia" w:ascii="宋体" w:hAnsi="宋体" w:eastAsia="宋体" w:cs="宋体"/>
          <w:spacing w:val="5"/>
          <w:sz w:val="23"/>
          <w:szCs w:val="23"/>
          <w:highlight w:val="none"/>
          <w:u w:val="single" w:color="auto"/>
        </w:rPr>
        <w:t>)</w:t>
      </w:r>
      <w:r>
        <w:rPr>
          <w:rFonts w:hint="eastAsia" w:ascii="宋体" w:hAnsi="宋体" w:eastAsia="宋体" w:cs="宋体"/>
          <w:spacing w:val="39"/>
          <w:sz w:val="23"/>
          <w:szCs w:val="23"/>
          <w:highlight w:val="none"/>
          <w:u w:val="single" w:color="auto"/>
        </w:rPr>
        <w:t xml:space="preserve"> </w:t>
      </w:r>
      <w:r>
        <w:rPr>
          <w:rFonts w:hint="eastAsia" w:ascii="宋体" w:hAnsi="宋体" w:eastAsia="宋体" w:cs="宋体"/>
          <w:spacing w:val="5"/>
          <w:position w:val="1"/>
          <w:sz w:val="23"/>
          <w:szCs w:val="23"/>
          <w:highlight w:val="none"/>
        </w:rPr>
        <w:t>为监狱企业。</w:t>
      </w:r>
    </w:p>
    <w:p>
      <w:pPr>
        <w:spacing w:before="177" w:line="460" w:lineRule="exact"/>
        <w:ind w:right="12"/>
        <w:jc w:val="right"/>
        <w:rPr>
          <w:rFonts w:hint="eastAsia" w:ascii="宋体" w:hAnsi="宋体" w:eastAsia="宋体" w:cs="宋体"/>
          <w:sz w:val="23"/>
          <w:szCs w:val="23"/>
          <w:highlight w:val="none"/>
        </w:rPr>
      </w:pPr>
      <w:r>
        <w:rPr>
          <w:rFonts w:hint="eastAsia" w:ascii="宋体" w:hAnsi="宋体" w:eastAsia="宋体" w:cs="宋体"/>
          <w:spacing w:val="14"/>
          <w:position w:val="17"/>
          <w:sz w:val="23"/>
          <w:szCs w:val="23"/>
          <w:highlight w:val="none"/>
        </w:rPr>
        <w:t>我单位在本声明函后附省级以上监狱管理局、戒毒管理局(含新疆生产</w:t>
      </w:r>
      <w:r>
        <w:rPr>
          <w:rFonts w:hint="eastAsia" w:ascii="宋体" w:hAnsi="宋体" w:eastAsia="宋体" w:cs="宋体"/>
          <w:spacing w:val="13"/>
          <w:position w:val="17"/>
          <w:sz w:val="23"/>
          <w:szCs w:val="23"/>
          <w:highlight w:val="none"/>
        </w:rPr>
        <w:t>建设兵团)</w:t>
      </w:r>
    </w:p>
    <w:p>
      <w:pPr>
        <w:spacing w:before="1" w:line="218" w:lineRule="auto"/>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出具的属于监狱企业的证明文件扫描件，否则本声明函无效。</w:t>
      </w:r>
    </w:p>
    <w:p>
      <w:pPr>
        <w:spacing w:before="207" w:line="219" w:lineRule="auto"/>
        <w:ind w:left="489"/>
        <w:rPr>
          <w:rFonts w:hint="eastAsia" w:ascii="宋体" w:hAnsi="宋体" w:eastAsia="宋体" w:cs="宋体"/>
          <w:sz w:val="23"/>
          <w:szCs w:val="23"/>
          <w:highlight w:val="none"/>
        </w:rPr>
      </w:pPr>
      <w:r>
        <w:rPr>
          <w:rFonts w:hint="eastAsia" w:ascii="宋体" w:hAnsi="宋体" w:eastAsia="宋体" w:cs="宋体"/>
          <w:spacing w:val="8"/>
          <w:sz w:val="23"/>
          <w:szCs w:val="23"/>
          <w:highlight w:val="none"/>
        </w:rPr>
        <w:t>本单位对上述声明的真实性负责。如有虚假，将依法承担法律责任。</w:t>
      </w:r>
    </w:p>
    <w:p>
      <w:pPr>
        <w:pStyle w:val="7"/>
        <w:spacing w:line="289" w:lineRule="auto"/>
        <w:rPr>
          <w:rFonts w:hint="eastAsia" w:ascii="宋体" w:hAnsi="宋体" w:eastAsia="宋体" w:cs="宋体"/>
          <w:highlight w:val="none"/>
        </w:rPr>
      </w:pPr>
    </w:p>
    <w:p>
      <w:pPr>
        <w:pStyle w:val="7"/>
        <w:spacing w:line="290" w:lineRule="auto"/>
        <w:rPr>
          <w:rFonts w:hint="eastAsia" w:ascii="宋体" w:hAnsi="宋体" w:eastAsia="宋体" w:cs="宋体"/>
          <w:highlight w:val="none"/>
        </w:rPr>
      </w:pPr>
    </w:p>
    <w:p>
      <w:pPr>
        <w:spacing w:before="75" w:line="462" w:lineRule="exact"/>
        <w:ind w:left="4350"/>
        <w:rPr>
          <w:rFonts w:hint="eastAsia" w:ascii="宋体" w:hAnsi="宋体" w:eastAsia="宋体" w:cs="宋体"/>
          <w:sz w:val="23"/>
          <w:szCs w:val="23"/>
          <w:highlight w:val="none"/>
        </w:rPr>
      </w:pPr>
      <w:r>
        <w:rPr>
          <w:rFonts w:hint="eastAsia" w:ascii="宋体" w:hAnsi="宋体" w:eastAsia="宋体" w:cs="宋体"/>
          <w:spacing w:val="31"/>
          <w:position w:val="17"/>
          <w:sz w:val="23"/>
          <w:szCs w:val="23"/>
          <w:highlight w:val="none"/>
        </w:rPr>
        <w:t>企业名称(盖章):</w:t>
      </w:r>
    </w:p>
    <w:p>
      <w:pPr>
        <w:spacing w:line="220" w:lineRule="auto"/>
        <w:ind w:left="4350"/>
        <w:rPr>
          <w:rFonts w:hint="eastAsia" w:ascii="宋体" w:hAnsi="宋体" w:eastAsia="宋体" w:cs="宋体"/>
          <w:sz w:val="23"/>
          <w:szCs w:val="23"/>
          <w:highlight w:val="none"/>
        </w:rPr>
      </w:pPr>
      <w:r>
        <w:rPr>
          <w:rFonts w:hint="eastAsia" w:ascii="宋体" w:hAnsi="宋体" w:eastAsia="宋体" w:cs="宋体"/>
          <w:spacing w:val="-21"/>
          <w:sz w:val="23"/>
          <w:szCs w:val="23"/>
          <w:highlight w:val="none"/>
        </w:rPr>
        <w:t>日</w:t>
      </w:r>
      <w:r>
        <w:rPr>
          <w:rFonts w:hint="eastAsia" w:ascii="宋体" w:hAnsi="宋体" w:eastAsia="宋体" w:cs="宋体"/>
          <w:spacing w:val="-14"/>
          <w:sz w:val="23"/>
          <w:szCs w:val="23"/>
          <w:highlight w:val="none"/>
        </w:rPr>
        <w:t xml:space="preserve"> </w:t>
      </w:r>
      <w:r>
        <w:rPr>
          <w:rFonts w:hint="eastAsia" w:ascii="宋体" w:hAnsi="宋体" w:eastAsia="宋体" w:cs="宋体"/>
          <w:spacing w:val="-21"/>
          <w:sz w:val="23"/>
          <w:szCs w:val="23"/>
          <w:highlight w:val="none"/>
        </w:rPr>
        <w:t>期</w:t>
      </w:r>
      <w:r>
        <w:rPr>
          <w:rFonts w:hint="eastAsia" w:ascii="宋体" w:hAnsi="宋体" w:eastAsia="宋体" w:cs="宋体"/>
          <w:spacing w:val="-27"/>
          <w:sz w:val="23"/>
          <w:szCs w:val="23"/>
          <w:highlight w:val="none"/>
        </w:rPr>
        <w:t xml:space="preserve"> </w:t>
      </w:r>
      <w:r>
        <w:rPr>
          <w:rFonts w:hint="eastAsia" w:ascii="宋体" w:hAnsi="宋体" w:eastAsia="宋体" w:cs="宋体"/>
          <w:spacing w:val="-21"/>
          <w:sz w:val="23"/>
          <w:szCs w:val="23"/>
          <w:highlight w:val="none"/>
        </w:rPr>
        <w:t>：</w:t>
      </w:r>
    </w:p>
    <w:p>
      <w:pPr>
        <w:spacing w:before="190" w:line="219" w:lineRule="auto"/>
        <w:ind w:left="3"/>
        <w:rPr>
          <w:rFonts w:hint="eastAsia" w:ascii="宋体" w:hAnsi="宋体" w:eastAsia="宋体" w:cs="宋体"/>
          <w:sz w:val="23"/>
          <w:szCs w:val="23"/>
          <w:highlight w:val="none"/>
        </w:rPr>
      </w:pPr>
      <w:r>
        <w:rPr>
          <w:rFonts w:hint="eastAsia" w:ascii="宋体" w:hAnsi="宋体" w:eastAsia="宋体" w:cs="宋体"/>
          <w:b/>
          <w:bCs/>
          <w:spacing w:val="7"/>
          <w:sz w:val="23"/>
          <w:szCs w:val="23"/>
          <w:highlight w:val="none"/>
        </w:rPr>
        <w:t>说明：符合要求的单位，按照上述格式进行填写；不属</w:t>
      </w:r>
      <w:r>
        <w:rPr>
          <w:rFonts w:hint="eastAsia" w:ascii="宋体" w:hAnsi="宋体" w:eastAsia="宋体" w:cs="宋体"/>
          <w:b/>
          <w:bCs/>
          <w:spacing w:val="6"/>
          <w:sz w:val="23"/>
          <w:szCs w:val="23"/>
          <w:highlight w:val="none"/>
        </w:rPr>
        <w:t>于监狱企业的不需要提供。</w:t>
      </w:r>
    </w:p>
    <w:p>
      <w:pPr>
        <w:spacing w:line="219" w:lineRule="auto"/>
        <w:rPr>
          <w:rFonts w:hint="eastAsia" w:ascii="宋体" w:hAnsi="宋体" w:eastAsia="宋体" w:cs="宋体"/>
          <w:sz w:val="23"/>
          <w:szCs w:val="23"/>
          <w:highlight w:val="none"/>
        </w:rPr>
        <w:sectPr>
          <w:footerReference r:id="rId31" w:type="default"/>
          <w:pgSz w:w="11910" w:h="16840"/>
          <w:pgMar w:top="1359" w:right="1447" w:bottom="1192" w:left="1410" w:header="0" w:footer="964" w:gutter="0"/>
          <w:pgNumType w:fmt="decimal"/>
          <w:cols w:space="720" w:num="1"/>
        </w:sectPr>
      </w:pPr>
    </w:p>
    <w:p>
      <w:pPr>
        <w:spacing w:before="48" w:line="219" w:lineRule="auto"/>
        <w:ind w:left="2943"/>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10-3</w:t>
      </w:r>
      <w:r>
        <w:rPr>
          <w:rFonts w:hint="eastAsia" w:ascii="宋体" w:hAnsi="宋体" w:eastAsia="宋体" w:cs="宋体"/>
          <w:spacing w:val="-5"/>
          <w:sz w:val="24"/>
          <w:szCs w:val="24"/>
          <w:highlight w:val="none"/>
        </w:rPr>
        <w:t xml:space="preserve"> </w:t>
      </w:r>
      <w:r>
        <w:rPr>
          <w:rFonts w:hint="eastAsia" w:ascii="宋体" w:hAnsi="宋体" w:eastAsia="宋体" w:cs="宋体"/>
          <w:b/>
          <w:bCs/>
          <w:spacing w:val="-5"/>
          <w:sz w:val="24"/>
          <w:szCs w:val="24"/>
          <w:highlight w:val="none"/>
        </w:rPr>
        <w:t>残疾人福利性单位声明函</w:t>
      </w:r>
    </w:p>
    <w:p>
      <w:pPr>
        <w:spacing w:before="107" w:line="219" w:lineRule="auto"/>
        <w:ind w:left="489"/>
        <w:rPr>
          <w:rFonts w:hint="eastAsia" w:ascii="宋体" w:hAnsi="宋体" w:eastAsia="宋体" w:cs="宋体"/>
          <w:sz w:val="24"/>
          <w:szCs w:val="24"/>
          <w:highlight w:val="none"/>
        </w:rPr>
      </w:pPr>
      <w:r>
        <w:rPr>
          <w:rFonts w:hint="eastAsia" w:ascii="宋体" w:hAnsi="宋体" w:eastAsia="宋体" w:cs="宋体"/>
          <w:spacing w:val="5"/>
          <w:sz w:val="24"/>
          <w:szCs w:val="24"/>
          <w:highlight w:val="none"/>
        </w:rPr>
        <w:t>本单位郑重声明，根据《财政部民政部中国</w:t>
      </w:r>
      <w:r>
        <w:rPr>
          <w:rFonts w:hint="eastAsia" w:ascii="宋体" w:hAnsi="宋体" w:eastAsia="宋体" w:cs="宋体"/>
          <w:spacing w:val="4"/>
          <w:sz w:val="24"/>
          <w:szCs w:val="24"/>
          <w:highlight w:val="none"/>
        </w:rPr>
        <w:t>残疾人联合会关于促进残疾人就业政</w:t>
      </w:r>
    </w:p>
    <w:p>
      <w:pPr>
        <w:spacing w:before="175" w:line="219" w:lineRule="auto"/>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府采购政策的通知》</w:t>
      </w:r>
      <w:r>
        <w:rPr>
          <w:rFonts w:hint="eastAsia" w:ascii="宋体" w:hAnsi="宋体" w:eastAsia="宋体" w:cs="宋体"/>
          <w:spacing w:val="129"/>
          <w:sz w:val="24"/>
          <w:szCs w:val="24"/>
          <w:highlight w:val="none"/>
        </w:rPr>
        <w:t xml:space="preserve"> </w:t>
      </w:r>
      <w:r>
        <w:rPr>
          <w:rFonts w:hint="eastAsia" w:ascii="宋体" w:hAnsi="宋体" w:eastAsia="宋体" w:cs="宋体"/>
          <w:spacing w:val="7"/>
          <w:sz w:val="24"/>
          <w:szCs w:val="24"/>
          <w:highlight w:val="none"/>
        </w:rPr>
        <w:t>(财库(2017)141号)的规定，本单位为符合条件的残疾人福利</w:t>
      </w:r>
    </w:p>
    <w:p>
      <w:pPr>
        <w:spacing w:before="167" w:line="358" w:lineRule="auto"/>
        <w:jc w:val="right"/>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性单位，且本单位参加</w:t>
      </w:r>
      <w:r>
        <w:rPr>
          <w:rFonts w:hint="eastAsia" w:ascii="宋体" w:hAnsi="宋体" w:eastAsia="宋体" w:cs="宋体"/>
          <w:spacing w:val="-101"/>
          <w:sz w:val="24"/>
          <w:szCs w:val="24"/>
          <w:highlight w:val="none"/>
        </w:rPr>
        <w:t xml:space="preserve"> </w:t>
      </w:r>
      <w:r>
        <w:rPr>
          <w:rFonts w:hint="eastAsia" w:ascii="宋体" w:hAnsi="宋体" w:eastAsia="宋体" w:cs="宋体"/>
          <w:spacing w:val="2"/>
          <w:sz w:val="24"/>
          <w:szCs w:val="24"/>
          <w:highlight w:val="none"/>
          <w:u w:val="single" w:color="auto"/>
        </w:rPr>
        <w:t xml:space="preserve">        </w:t>
      </w:r>
      <w:r>
        <w:rPr>
          <w:rFonts w:hint="eastAsia" w:ascii="宋体" w:hAnsi="宋体" w:eastAsia="宋体" w:cs="宋体"/>
          <w:spacing w:val="-96"/>
          <w:sz w:val="24"/>
          <w:szCs w:val="24"/>
          <w:highlight w:val="none"/>
        </w:rPr>
        <w:t xml:space="preserve"> </w:t>
      </w:r>
      <w:r>
        <w:rPr>
          <w:rFonts w:hint="eastAsia" w:ascii="宋体" w:hAnsi="宋体" w:eastAsia="宋体" w:cs="宋体"/>
          <w:spacing w:val="3"/>
          <w:sz w:val="24"/>
          <w:szCs w:val="24"/>
          <w:highlight w:val="none"/>
        </w:rPr>
        <w:t>单位的</w:t>
      </w:r>
      <w:r>
        <w:rPr>
          <w:rFonts w:hint="eastAsia" w:ascii="宋体" w:hAnsi="宋体" w:eastAsia="宋体" w:cs="宋体"/>
          <w:spacing w:val="1"/>
          <w:sz w:val="24"/>
          <w:szCs w:val="24"/>
          <w:highlight w:val="none"/>
          <w:u w:val="single" w:color="auto"/>
        </w:rPr>
        <w:t xml:space="preserve">           </w:t>
      </w:r>
      <w:r>
        <w:rPr>
          <w:rFonts w:hint="eastAsia" w:ascii="宋体" w:hAnsi="宋体" w:eastAsia="宋体" w:cs="宋体"/>
          <w:spacing w:val="-100"/>
          <w:sz w:val="24"/>
          <w:szCs w:val="24"/>
          <w:highlight w:val="none"/>
        </w:rPr>
        <w:t xml:space="preserve"> </w:t>
      </w:r>
      <w:r>
        <w:rPr>
          <w:rFonts w:hint="eastAsia" w:ascii="宋体" w:hAnsi="宋体" w:eastAsia="宋体" w:cs="宋体"/>
          <w:spacing w:val="3"/>
          <w:sz w:val="24"/>
          <w:szCs w:val="24"/>
          <w:highlight w:val="none"/>
        </w:rPr>
        <w:t>_项目采购活动提供本单位制造的货</w:t>
      </w:r>
    </w:p>
    <w:p>
      <w:pPr>
        <w:spacing w:line="216" w:lineRule="auto"/>
        <w:rPr>
          <w:rFonts w:hint="eastAsia" w:ascii="宋体" w:hAnsi="宋体" w:eastAsia="宋体" w:cs="宋体"/>
          <w:sz w:val="24"/>
          <w:szCs w:val="24"/>
          <w:highlight w:val="none"/>
        </w:rPr>
      </w:pPr>
      <w:r>
        <w:rPr>
          <w:rFonts w:hint="eastAsia" w:ascii="宋体" w:hAnsi="宋体" w:eastAsia="宋体" w:cs="宋体"/>
          <w:spacing w:val="14"/>
          <w:sz w:val="24"/>
          <w:szCs w:val="24"/>
          <w:highlight w:val="none"/>
        </w:rPr>
        <w:t>物(由本单位承担工程/提供服务),或者提供其他残疾人福利性单位制造的货物(不</w:t>
      </w:r>
    </w:p>
    <w:p>
      <w:pPr>
        <w:spacing w:before="181" w:line="219" w:lineRule="auto"/>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包括使用非残疾人福利性单位注册商标的货物)。</w:t>
      </w:r>
    </w:p>
    <w:p>
      <w:pPr>
        <w:spacing w:before="215" w:line="219" w:lineRule="auto"/>
        <w:ind w:left="48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本单位对上述声明的真实性负责。如有虚假，将依法承担相应责任。</w:t>
      </w:r>
    </w:p>
    <w:p>
      <w:pPr>
        <w:spacing w:before="186" w:line="489" w:lineRule="exact"/>
        <w:ind w:left="4579"/>
        <w:rPr>
          <w:rFonts w:hint="eastAsia" w:ascii="宋体" w:hAnsi="宋体" w:eastAsia="宋体" w:cs="宋体"/>
          <w:sz w:val="24"/>
          <w:szCs w:val="24"/>
          <w:highlight w:val="none"/>
        </w:rPr>
      </w:pPr>
      <w:r>
        <w:rPr>
          <w:rFonts w:hint="eastAsia" w:ascii="宋体" w:hAnsi="宋体" w:eastAsia="宋体" w:cs="宋体"/>
          <w:spacing w:val="20"/>
          <w:position w:val="19"/>
          <w:sz w:val="24"/>
          <w:szCs w:val="24"/>
          <w:highlight w:val="none"/>
        </w:rPr>
        <w:t>企业名称(盖章):</w:t>
      </w:r>
    </w:p>
    <w:p>
      <w:pPr>
        <w:spacing w:before="1" w:line="220" w:lineRule="auto"/>
        <w:ind w:left="4589"/>
        <w:rPr>
          <w:rFonts w:hint="eastAsia" w:ascii="宋体" w:hAnsi="宋体" w:eastAsia="宋体" w:cs="宋体"/>
          <w:sz w:val="20"/>
          <w:szCs w:val="20"/>
          <w:highlight w:val="none"/>
        </w:rPr>
      </w:pPr>
      <w:r>
        <w:rPr>
          <w:rFonts w:hint="eastAsia" w:ascii="宋体" w:hAnsi="宋体" w:eastAsia="宋体" w:cs="宋体"/>
          <w:spacing w:val="-18"/>
          <w:sz w:val="20"/>
          <w:szCs w:val="20"/>
          <w:highlight w:val="none"/>
        </w:rPr>
        <w:t>日</w:t>
      </w:r>
      <w:r>
        <w:rPr>
          <w:rFonts w:hint="eastAsia" w:ascii="宋体" w:hAnsi="宋体" w:eastAsia="宋体" w:cs="宋体"/>
          <w:spacing w:val="1"/>
          <w:sz w:val="20"/>
          <w:szCs w:val="20"/>
          <w:highlight w:val="none"/>
        </w:rPr>
        <w:t xml:space="preserve">  </w:t>
      </w:r>
      <w:r>
        <w:rPr>
          <w:rFonts w:hint="eastAsia" w:ascii="宋体" w:hAnsi="宋体" w:eastAsia="宋体" w:cs="宋体"/>
          <w:spacing w:val="-18"/>
          <w:sz w:val="20"/>
          <w:szCs w:val="20"/>
          <w:highlight w:val="none"/>
        </w:rPr>
        <w:t>期</w:t>
      </w:r>
      <w:r>
        <w:rPr>
          <w:rFonts w:hint="eastAsia" w:ascii="宋体" w:hAnsi="宋体" w:eastAsia="宋体" w:cs="宋体"/>
          <w:spacing w:val="-54"/>
          <w:sz w:val="20"/>
          <w:szCs w:val="20"/>
          <w:highlight w:val="none"/>
        </w:rPr>
        <w:t xml:space="preserve"> </w:t>
      </w:r>
      <w:r>
        <w:rPr>
          <w:rFonts w:hint="eastAsia" w:ascii="宋体" w:hAnsi="宋体" w:eastAsia="宋体" w:cs="宋体"/>
          <w:spacing w:val="-18"/>
          <w:sz w:val="20"/>
          <w:szCs w:val="20"/>
          <w:highlight w:val="none"/>
        </w:rPr>
        <w:t>：</w:t>
      </w:r>
    </w:p>
    <w:p>
      <w:pPr>
        <w:spacing w:before="188" w:line="480" w:lineRule="exact"/>
        <w:ind w:left="3"/>
        <w:rPr>
          <w:rFonts w:hint="eastAsia" w:ascii="宋体" w:hAnsi="宋体" w:eastAsia="宋体" w:cs="宋体"/>
          <w:sz w:val="24"/>
          <w:szCs w:val="24"/>
          <w:highlight w:val="none"/>
        </w:rPr>
      </w:pPr>
      <w:r>
        <w:rPr>
          <w:rFonts w:hint="eastAsia" w:ascii="宋体" w:hAnsi="宋体" w:eastAsia="宋体" w:cs="宋体"/>
          <w:b/>
          <w:bCs/>
          <w:spacing w:val="-4"/>
          <w:position w:val="18"/>
          <w:sz w:val="24"/>
          <w:szCs w:val="24"/>
          <w:highlight w:val="none"/>
        </w:rPr>
        <w:t>说明：符合要求的单位，按照上述格式进行填写并提</w:t>
      </w:r>
      <w:r>
        <w:rPr>
          <w:rFonts w:hint="eastAsia" w:ascii="宋体" w:hAnsi="宋体" w:eastAsia="宋体" w:cs="宋体"/>
          <w:b/>
          <w:bCs/>
          <w:spacing w:val="-5"/>
          <w:position w:val="18"/>
          <w:sz w:val="24"/>
          <w:szCs w:val="24"/>
          <w:highlight w:val="none"/>
        </w:rPr>
        <w:t>供相关证明材料；不属于残疾人福</w:t>
      </w:r>
    </w:p>
    <w:p>
      <w:pPr>
        <w:spacing w:before="1" w:line="218" w:lineRule="auto"/>
        <w:ind w:left="3"/>
        <w:rPr>
          <w:rFonts w:hint="eastAsia" w:ascii="宋体" w:hAnsi="宋体" w:eastAsia="宋体" w:cs="宋体"/>
          <w:sz w:val="24"/>
          <w:szCs w:val="24"/>
          <w:highlight w:val="none"/>
        </w:rPr>
      </w:pPr>
      <w:r>
        <w:rPr>
          <w:rFonts w:hint="eastAsia" w:ascii="宋体" w:hAnsi="宋体" w:eastAsia="宋体" w:cs="宋体"/>
          <w:b/>
          <w:bCs/>
          <w:spacing w:val="-7"/>
          <w:sz w:val="24"/>
          <w:szCs w:val="24"/>
          <w:highlight w:val="none"/>
        </w:rPr>
        <w:t>利性单位的不需要提供。</w:t>
      </w:r>
    </w:p>
    <w:p>
      <w:pPr>
        <w:pStyle w:val="7"/>
        <w:spacing w:line="295" w:lineRule="auto"/>
        <w:rPr>
          <w:rFonts w:hint="eastAsia" w:ascii="宋体" w:hAnsi="宋体" w:eastAsia="宋体" w:cs="宋体"/>
          <w:highlight w:val="none"/>
        </w:rPr>
      </w:pPr>
    </w:p>
    <w:p>
      <w:pPr>
        <w:pStyle w:val="7"/>
        <w:spacing w:line="295" w:lineRule="auto"/>
        <w:rPr>
          <w:rFonts w:hint="eastAsia" w:ascii="宋体" w:hAnsi="宋体" w:eastAsia="宋体" w:cs="宋体"/>
          <w:highlight w:val="none"/>
        </w:rPr>
      </w:pPr>
    </w:p>
    <w:p>
      <w:pPr>
        <w:pStyle w:val="7"/>
        <w:spacing w:line="295" w:lineRule="auto"/>
        <w:rPr>
          <w:rFonts w:hint="eastAsia" w:ascii="宋体" w:hAnsi="宋体" w:eastAsia="宋体" w:cs="宋体"/>
          <w:highlight w:val="none"/>
        </w:rPr>
      </w:pPr>
    </w:p>
    <w:p>
      <w:pPr>
        <w:pStyle w:val="7"/>
        <w:spacing w:line="295" w:lineRule="auto"/>
        <w:rPr>
          <w:rFonts w:hint="eastAsia" w:ascii="宋体" w:hAnsi="宋体" w:eastAsia="宋体" w:cs="宋体"/>
          <w:highlight w:val="none"/>
        </w:rPr>
      </w:pPr>
    </w:p>
    <w:p>
      <w:pPr>
        <w:spacing w:before="78" w:line="480" w:lineRule="exact"/>
        <w:ind w:left="493"/>
        <w:rPr>
          <w:rFonts w:hint="eastAsia" w:ascii="宋体" w:hAnsi="宋体" w:eastAsia="宋体" w:cs="宋体"/>
          <w:sz w:val="24"/>
          <w:szCs w:val="24"/>
          <w:highlight w:val="none"/>
        </w:rPr>
      </w:pPr>
      <w:r>
        <w:rPr>
          <w:rFonts w:hint="eastAsia" w:ascii="宋体" w:hAnsi="宋体" w:eastAsia="宋体" w:cs="宋体"/>
          <w:b/>
          <w:bCs/>
          <w:spacing w:val="-3"/>
          <w:position w:val="18"/>
          <w:sz w:val="24"/>
          <w:szCs w:val="24"/>
          <w:highlight w:val="none"/>
        </w:rPr>
        <w:t>10-4</w:t>
      </w:r>
      <w:r>
        <w:rPr>
          <w:rFonts w:hint="eastAsia" w:ascii="宋体" w:hAnsi="宋体" w:eastAsia="宋体" w:cs="宋体"/>
          <w:spacing w:val="52"/>
          <w:position w:val="18"/>
          <w:sz w:val="24"/>
          <w:szCs w:val="24"/>
          <w:highlight w:val="none"/>
        </w:rPr>
        <w:t xml:space="preserve"> </w:t>
      </w:r>
      <w:r>
        <w:rPr>
          <w:rFonts w:hint="eastAsia" w:ascii="宋体" w:hAnsi="宋体" w:eastAsia="宋体" w:cs="宋体"/>
          <w:b/>
          <w:bCs/>
          <w:spacing w:val="-3"/>
          <w:position w:val="18"/>
          <w:sz w:val="24"/>
          <w:szCs w:val="24"/>
          <w:highlight w:val="none"/>
        </w:rPr>
        <w:t>同等条件优先采购不发达地区和少数民族地区产品，优先采购国内生产自主</w:t>
      </w:r>
    </w:p>
    <w:p>
      <w:pPr>
        <w:spacing w:before="1" w:line="218" w:lineRule="auto"/>
        <w:ind w:left="3"/>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创新产品，支持绿色发展政府采购政策要求。</w:t>
      </w:r>
    </w:p>
    <w:p>
      <w:pPr>
        <w:spacing w:line="218" w:lineRule="auto"/>
        <w:rPr>
          <w:rFonts w:hint="eastAsia" w:ascii="宋体" w:hAnsi="宋体" w:eastAsia="宋体" w:cs="宋体"/>
          <w:sz w:val="24"/>
          <w:szCs w:val="24"/>
          <w:highlight w:val="none"/>
        </w:rPr>
        <w:sectPr>
          <w:footerReference r:id="rId32" w:type="default"/>
          <w:pgSz w:w="11910" w:h="16840"/>
          <w:pgMar w:top="1348" w:right="1191" w:bottom="1161" w:left="1420" w:header="0" w:footer="992" w:gutter="0"/>
          <w:pgNumType w:fmt="decimal"/>
          <w:cols w:space="720" w:num="1"/>
        </w:sectPr>
      </w:pPr>
    </w:p>
    <w:p>
      <w:pPr>
        <w:pStyle w:val="7"/>
        <w:spacing w:line="260" w:lineRule="auto"/>
        <w:rPr>
          <w:rFonts w:hint="eastAsia" w:ascii="宋体" w:hAnsi="宋体" w:eastAsia="宋体" w:cs="宋体"/>
          <w:highlight w:val="none"/>
        </w:rPr>
      </w:pPr>
    </w:p>
    <w:p>
      <w:pPr>
        <w:spacing w:before="94" w:line="219" w:lineRule="auto"/>
        <w:ind w:left="3564"/>
        <w:outlineLvl w:val="9"/>
        <w:rPr>
          <w:rFonts w:hint="eastAsia" w:ascii="宋体" w:hAnsi="宋体" w:eastAsia="宋体" w:cs="宋体"/>
          <w:sz w:val="29"/>
          <w:szCs w:val="29"/>
          <w:highlight w:val="none"/>
        </w:rPr>
      </w:pPr>
      <w:r>
        <w:rPr>
          <w:rFonts w:hint="eastAsia" w:ascii="宋体" w:hAnsi="宋体" w:eastAsia="宋体" w:cs="宋体"/>
          <w:b/>
          <w:bCs/>
          <w:spacing w:val="-13"/>
          <w:sz w:val="29"/>
          <w:szCs w:val="29"/>
          <w:highlight w:val="none"/>
        </w:rPr>
        <w:t>11.服务承诺</w:t>
      </w:r>
    </w:p>
    <w:p>
      <w:pPr>
        <w:pStyle w:val="7"/>
        <w:spacing w:line="396" w:lineRule="auto"/>
        <w:rPr>
          <w:rFonts w:hint="eastAsia" w:ascii="宋体" w:hAnsi="宋体" w:eastAsia="宋体" w:cs="宋体"/>
          <w:highlight w:val="none"/>
        </w:rPr>
      </w:pPr>
    </w:p>
    <w:p>
      <w:pPr>
        <w:spacing w:before="78" w:line="470" w:lineRule="exact"/>
        <w:jc w:val="right"/>
        <w:rPr>
          <w:rFonts w:hint="eastAsia" w:ascii="宋体" w:hAnsi="宋体" w:eastAsia="宋体" w:cs="宋体"/>
          <w:sz w:val="24"/>
          <w:szCs w:val="24"/>
          <w:highlight w:val="none"/>
        </w:rPr>
      </w:pPr>
      <w:r>
        <w:rPr>
          <w:rFonts w:hint="eastAsia" w:ascii="宋体" w:hAnsi="宋体" w:eastAsia="宋体" w:cs="宋体"/>
          <w:spacing w:val="-1"/>
          <w:position w:val="17"/>
          <w:sz w:val="24"/>
          <w:szCs w:val="24"/>
          <w:highlight w:val="none"/>
        </w:rPr>
        <w:t>(投标人根据磋商文件“第六章招标项目需</w:t>
      </w:r>
      <w:r>
        <w:rPr>
          <w:rFonts w:hint="eastAsia" w:ascii="宋体" w:hAnsi="宋体" w:eastAsia="宋体" w:cs="宋体"/>
          <w:spacing w:val="-2"/>
          <w:position w:val="17"/>
          <w:sz w:val="24"/>
          <w:szCs w:val="24"/>
          <w:highlight w:val="none"/>
        </w:rPr>
        <w:t>求及服务要求”要求，需提供完全响应</w:t>
      </w:r>
    </w:p>
    <w:p>
      <w:pPr>
        <w:spacing w:line="218" w:lineRule="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本部分要求的加盖公章的承诺函)</w:t>
      </w:r>
    </w:p>
    <w:p>
      <w:pPr>
        <w:pStyle w:val="7"/>
        <w:spacing w:line="251" w:lineRule="auto"/>
        <w:rPr>
          <w:rFonts w:hint="eastAsia" w:ascii="宋体" w:hAnsi="宋体" w:eastAsia="宋体" w:cs="宋体"/>
          <w:highlight w:val="none"/>
        </w:rPr>
      </w:pPr>
    </w:p>
    <w:p>
      <w:pPr>
        <w:pStyle w:val="7"/>
        <w:spacing w:line="251" w:lineRule="auto"/>
        <w:rPr>
          <w:rFonts w:hint="eastAsia" w:ascii="宋体" w:hAnsi="宋体" w:eastAsia="宋体" w:cs="宋体"/>
          <w:highlight w:val="none"/>
        </w:rPr>
      </w:pPr>
    </w:p>
    <w:p>
      <w:pPr>
        <w:pStyle w:val="7"/>
        <w:spacing w:line="251" w:lineRule="auto"/>
        <w:rPr>
          <w:rFonts w:hint="eastAsia" w:ascii="宋体" w:hAnsi="宋体" w:eastAsia="宋体" w:cs="宋体"/>
          <w:highlight w:val="none"/>
        </w:rPr>
      </w:pPr>
    </w:p>
    <w:p>
      <w:pPr>
        <w:pStyle w:val="7"/>
        <w:spacing w:line="251" w:lineRule="auto"/>
        <w:rPr>
          <w:rFonts w:hint="eastAsia" w:ascii="宋体" w:hAnsi="宋体" w:eastAsia="宋体" w:cs="宋体"/>
          <w:highlight w:val="none"/>
        </w:rPr>
      </w:pPr>
    </w:p>
    <w:p>
      <w:pPr>
        <w:pStyle w:val="7"/>
        <w:spacing w:line="251" w:lineRule="auto"/>
        <w:rPr>
          <w:rFonts w:hint="eastAsia" w:ascii="宋体" w:hAnsi="宋体" w:eastAsia="宋体" w:cs="宋体"/>
          <w:highlight w:val="none"/>
        </w:rPr>
      </w:pPr>
    </w:p>
    <w:p>
      <w:pPr>
        <w:pStyle w:val="7"/>
        <w:spacing w:line="251" w:lineRule="auto"/>
        <w:rPr>
          <w:rFonts w:hint="eastAsia" w:ascii="宋体" w:hAnsi="宋体" w:eastAsia="宋体" w:cs="宋体"/>
          <w:highlight w:val="none"/>
        </w:rPr>
      </w:pPr>
    </w:p>
    <w:p>
      <w:pPr>
        <w:pStyle w:val="7"/>
        <w:spacing w:line="251" w:lineRule="auto"/>
        <w:rPr>
          <w:rFonts w:hint="eastAsia" w:ascii="宋体" w:hAnsi="宋体" w:eastAsia="宋体" w:cs="宋体"/>
          <w:highlight w:val="none"/>
        </w:rPr>
      </w:pPr>
    </w:p>
    <w:p>
      <w:pPr>
        <w:pStyle w:val="7"/>
        <w:spacing w:line="251" w:lineRule="auto"/>
        <w:rPr>
          <w:rFonts w:hint="eastAsia" w:ascii="宋体" w:hAnsi="宋体" w:eastAsia="宋体" w:cs="宋体"/>
          <w:highlight w:val="none"/>
        </w:rPr>
      </w:pPr>
    </w:p>
    <w:p>
      <w:pPr>
        <w:pStyle w:val="7"/>
        <w:spacing w:line="251" w:lineRule="auto"/>
        <w:rPr>
          <w:rFonts w:hint="eastAsia" w:ascii="宋体" w:hAnsi="宋体" w:eastAsia="宋体" w:cs="宋体"/>
          <w:highlight w:val="none"/>
        </w:rPr>
      </w:pPr>
    </w:p>
    <w:p>
      <w:pPr>
        <w:pStyle w:val="7"/>
        <w:spacing w:line="251" w:lineRule="auto"/>
        <w:rPr>
          <w:rFonts w:hint="eastAsia" w:ascii="宋体" w:hAnsi="宋体" w:eastAsia="宋体" w:cs="宋体"/>
          <w:highlight w:val="none"/>
        </w:rPr>
      </w:pPr>
    </w:p>
    <w:p>
      <w:pPr>
        <w:pStyle w:val="7"/>
        <w:spacing w:line="251" w:lineRule="auto"/>
        <w:rPr>
          <w:rFonts w:hint="eastAsia" w:ascii="宋体" w:hAnsi="宋体" w:eastAsia="宋体" w:cs="宋体"/>
          <w:highlight w:val="none"/>
        </w:rPr>
      </w:pPr>
    </w:p>
    <w:p>
      <w:pPr>
        <w:pStyle w:val="7"/>
        <w:spacing w:line="251" w:lineRule="auto"/>
        <w:rPr>
          <w:rFonts w:hint="eastAsia" w:ascii="宋体" w:hAnsi="宋体" w:eastAsia="宋体" w:cs="宋体"/>
          <w:highlight w:val="none"/>
        </w:rPr>
      </w:pPr>
    </w:p>
    <w:p>
      <w:pPr>
        <w:pStyle w:val="7"/>
        <w:spacing w:line="251" w:lineRule="auto"/>
        <w:rPr>
          <w:rFonts w:hint="eastAsia" w:ascii="宋体" w:hAnsi="宋体" w:eastAsia="宋体" w:cs="宋体"/>
          <w:highlight w:val="none"/>
        </w:rPr>
      </w:pPr>
    </w:p>
    <w:p>
      <w:pPr>
        <w:pStyle w:val="7"/>
        <w:spacing w:line="252" w:lineRule="auto"/>
        <w:rPr>
          <w:rFonts w:hint="eastAsia" w:ascii="宋体" w:hAnsi="宋体" w:eastAsia="宋体" w:cs="宋体"/>
          <w:highlight w:val="none"/>
        </w:rPr>
      </w:pPr>
    </w:p>
    <w:p>
      <w:pPr>
        <w:spacing w:before="78" w:line="219" w:lineRule="auto"/>
        <w:ind w:left="3560"/>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 xml:space="preserve">供应商代表(签字或盖章): </w:t>
      </w:r>
      <w:r>
        <w:rPr>
          <w:rFonts w:hint="eastAsia" w:ascii="宋体" w:hAnsi="宋体" w:eastAsia="宋体" w:cs="宋体"/>
          <w:sz w:val="24"/>
          <w:szCs w:val="24"/>
          <w:highlight w:val="none"/>
          <w:u w:val="single" w:color="auto"/>
        </w:rPr>
        <w:t xml:space="preserve">             </w:t>
      </w:r>
    </w:p>
    <w:p>
      <w:pPr>
        <w:pStyle w:val="7"/>
        <w:spacing w:line="424" w:lineRule="auto"/>
        <w:rPr>
          <w:rFonts w:hint="eastAsia" w:ascii="宋体" w:hAnsi="宋体" w:eastAsia="宋体" w:cs="宋体"/>
          <w:highlight w:val="none"/>
        </w:rPr>
      </w:pPr>
    </w:p>
    <w:p>
      <w:pPr>
        <w:spacing w:before="79" w:line="219" w:lineRule="auto"/>
        <w:ind w:left="3560"/>
        <w:rPr>
          <w:rFonts w:hint="eastAsia" w:ascii="宋体" w:hAnsi="宋体" w:eastAsia="宋体" w:cs="宋体"/>
          <w:sz w:val="24"/>
          <w:szCs w:val="24"/>
          <w:highlight w:val="none"/>
        </w:rPr>
      </w:pPr>
      <w:r>
        <w:rPr>
          <w:rFonts w:hint="eastAsia" w:ascii="宋体" w:hAnsi="宋体" w:eastAsia="宋体" w:cs="宋体"/>
          <w:spacing w:val="24"/>
          <w:sz w:val="24"/>
          <w:szCs w:val="24"/>
          <w:highlight w:val="none"/>
        </w:rPr>
        <w:t>供应商名称(公章):</w:t>
      </w:r>
      <w:r>
        <w:rPr>
          <w:rFonts w:hint="eastAsia" w:ascii="宋体" w:hAnsi="宋体" w:eastAsia="宋体" w:cs="宋体"/>
          <w:spacing w:val="-12"/>
          <w:sz w:val="24"/>
          <w:szCs w:val="24"/>
          <w:highlight w:val="none"/>
        </w:rPr>
        <w:t xml:space="preserve"> </w:t>
      </w:r>
      <w:r>
        <w:rPr>
          <w:rFonts w:hint="eastAsia" w:ascii="宋体" w:hAnsi="宋体" w:eastAsia="宋体" w:cs="宋体"/>
          <w:sz w:val="24"/>
          <w:szCs w:val="24"/>
          <w:highlight w:val="none"/>
          <w:u w:val="single" w:color="auto"/>
        </w:rPr>
        <w:t xml:space="preserve">               </w:t>
      </w:r>
    </w:p>
    <w:p>
      <w:pPr>
        <w:spacing w:line="219" w:lineRule="auto"/>
        <w:rPr>
          <w:rFonts w:hint="eastAsia" w:ascii="宋体" w:hAnsi="宋体" w:eastAsia="宋体" w:cs="宋体"/>
          <w:sz w:val="24"/>
          <w:szCs w:val="24"/>
          <w:highlight w:val="none"/>
        </w:rPr>
        <w:sectPr>
          <w:footerReference r:id="rId33" w:type="default"/>
          <w:pgSz w:w="11910" w:h="16840"/>
          <w:pgMar w:top="1431" w:right="1401" w:bottom="1176" w:left="1440" w:header="0" w:footer="997" w:gutter="0"/>
          <w:pgNumType w:fmt="decimal"/>
          <w:cols w:space="720" w:num="1"/>
        </w:sectPr>
      </w:pPr>
    </w:p>
    <w:p>
      <w:pPr>
        <w:spacing w:before="94" w:line="219" w:lineRule="auto"/>
        <w:ind w:left="2147"/>
        <w:outlineLvl w:val="9"/>
        <w:rPr>
          <w:rFonts w:hint="eastAsia" w:ascii="宋体" w:hAnsi="宋体" w:eastAsia="宋体" w:cs="宋体"/>
          <w:sz w:val="29"/>
          <w:szCs w:val="29"/>
          <w:highlight w:val="none"/>
        </w:rPr>
      </w:pPr>
      <w:r>
        <w:rPr>
          <w:rFonts w:hint="eastAsia" w:ascii="宋体" w:hAnsi="宋体" w:eastAsia="宋体" w:cs="宋体"/>
          <w:b/>
          <w:bCs/>
          <w:spacing w:val="-13"/>
          <w:sz w:val="29"/>
          <w:szCs w:val="29"/>
          <w:highlight w:val="none"/>
        </w:rPr>
        <w:t>12.供应商认为应该附的其他材料</w:t>
      </w:r>
    </w:p>
    <w:p>
      <w:pPr>
        <w:rPr>
          <w:rFonts w:hint="eastAsia" w:ascii="宋体" w:hAnsi="宋体" w:eastAsia="宋体" w:cs="宋体"/>
          <w:sz w:val="29"/>
          <w:szCs w:val="29"/>
          <w:highlight w:val="none"/>
        </w:rPr>
      </w:pPr>
      <w:r>
        <w:rPr>
          <w:rFonts w:hint="eastAsia" w:ascii="宋体" w:hAnsi="宋体" w:eastAsia="宋体" w:cs="宋体"/>
          <w:sz w:val="29"/>
          <w:szCs w:val="29"/>
          <w:highlight w:val="none"/>
        </w:rPr>
        <w:br w:type="page"/>
      </w:r>
    </w:p>
    <w:p>
      <w:pPr>
        <w:rPr>
          <w:rFonts w:hint="eastAsia" w:ascii="宋体" w:hAnsi="宋体" w:eastAsia="宋体" w:cs="宋体"/>
          <w:sz w:val="29"/>
          <w:szCs w:val="29"/>
          <w:highlight w:val="none"/>
        </w:rPr>
      </w:pPr>
    </w:p>
    <w:p>
      <w:pPr>
        <w:pStyle w:val="7"/>
        <w:spacing w:line="246" w:lineRule="auto"/>
        <w:rPr>
          <w:rFonts w:hint="eastAsia" w:ascii="宋体" w:hAnsi="宋体" w:eastAsia="宋体" w:cs="宋体"/>
          <w:highlight w:val="none"/>
        </w:rPr>
      </w:pPr>
    </w:p>
    <w:p>
      <w:pPr>
        <w:pStyle w:val="3"/>
        <w:bidi w:val="0"/>
        <w:jc w:val="center"/>
        <w:rPr>
          <w:rFonts w:hint="eastAsia"/>
          <w:highlight w:val="none"/>
        </w:rPr>
      </w:pPr>
      <w:bookmarkStart w:id="13" w:name="_Toc20637"/>
      <w:r>
        <w:rPr>
          <w:rFonts w:hint="eastAsia"/>
          <w:highlight w:val="none"/>
          <w:lang w:val="en-US" w:eastAsia="zh-CN"/>
        </w:rPr>
        <w:t xml:space="preserve">第四章 </w:t>
      </w:r>
      <w:r>
        <w:rPr>
          <w:rFonts w:hint="eastAsia"/>
          <w:highlight w:val="none"/>
        </w:rPr>
        <w:t xml:space="preserve">  合同文本</w:t>
      </w:r>
      <w:bookmarkEnd w:id="13"/>
    </w:p>
    <w:p>
      <w:pPr>
        <w:numPr>
          <w:ilvl w:val="0"/>
          <w:numId w:val="0"/>
        </w:numPr>
        <w:kinsoku w:val="0"/>
        <w:autoSpaceDE w:val="0"/>
        <w:autoSpaceDN w:val="0"/>
        <w:adjustRightInd w:val="0"/>
        <w:snapToGrid w:val="0"/>
        <w:spacing w:before="97" w:line="783" w:lineRule="exact"/>
        <w:jc w:val="left"/>
        <w:textAlignment w:val="baseline"/>
        <w:rPr>
          <w:rFonts w:hint="eastAsia" w:ascii="宋体" w:hAnsi="宋体" w:eastAsia="宋体" w:cs="宋体"/>
          <w:b/>
          <w:bCs/>
          <w:spacing w:val="-2"/>
          <w:position w:val="36"/>
          <w:sz w:val="30"/>
          <w:szCs w:val="30"/>
          <w:highlight w:val="none"/>
        </w:rPr>
      </w:pP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560" w:lineRule="exact"/>
        <w:jc w:val="center"/>
        <w:textAlignment w:val="auto"/>
        <w:rPr>
          <w:rFonts w:hint="default" w:eastAsia="宋体"/>
          <w:b/>
          <w:color w:val="000000"/>
          <w:kern w:val="2"/>
          <w:sz w:val="40"/>
          <w:szCs w:val="84"/>
          <w:highlight w:val="none"/>
          <w:lang w:val="en-US" w:eastAsia="zh-CN" w:bidi="ar"/>
        </w:rPr>
      </w:pPr>
      <w:r>
        <w:rPr>
          <w:rFonts w:hint="default" w:eastAsia="宋体"/>
          <w:b/>
          <w:color w:val="000000"/>
          <w:kern w:val="2"/>
          <w:sz w:val="40"/>
          <w:szCs w:val="84"/>
          <w:highlight w:val="none"/>
          <w:lang w:val="en-US" w:eastAsia="zh-CN" w:bidi="ar"/>
        </w:rPr>
        <w:t>河南省南水北调渠首生态环境监测应急中心</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560" w:lineRule="exact"/>
        <w:jc w:val="center"/>
        <w:textAlignment w:val="auto"/>
        <w:rPr>
          <w:rFonts w:hint="default" w:eastAsia="宋体"/>
          <w:b/>
          <w:color w:val="000000"/>
          <w:kern w:val="2"/>
          <w:sz w:val="40"/>
          <w:szCs w:val="84"/>
          <w:highlight w:val="none"/>
          <w:lang w:val="en-US" w:eastAsia="zh-CN" w:bidi="ar"/>
        </w:rPr>
      </w:pPr>
      <w:r>
        <w:rPr>
          <w:rFonts w:hint="default" w:eastAsia="宋体"/>
          <w:b/>
          <w:color w:val="000000"/>
          <w:kern w:val="2"/>
          <w:sz w:val="40"/>
          <w:szCs w:val="84"/>
          <w:highlight w:val="none"/>
          <w:lang w:val="en-US" w:eastAsia="zh-CN" w:bidi="ar"/>
        </w:rPr>
        <w:t>丹江口库区及上游重金属在线监测</w:t>
      </w: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560" w:lineRule="exact"/>
        <w:jc w:val="center"/>
        <w:textAlignment w:val="auto"/>
        <w:rPr>
          <w:rFonts w:hint="default" w:eastAsia="宋体"/>
          <w:b/>
          <w:color w:val="000000"/>
          <w:kern w:val="2"/>
          <w:sz w:val="40"/>
          <w:szCs w:val="84"/>
          <w:highlight w:val="none"/>
          <w:lang w:val="en-US" w:eastAsia="zh-CN" w:bidi="ar"/>
        </w:rPr>
      </w:pPr>
      <w:r>
        <w:rPr>
          <w:rFonts w:hint="default" w:eastAsia="宋体"/>
          <w:b/>
          <w:color w:val="000000"/>
          <w:kern w:val="2"/>
          <w:sz w:val="40"/>
          <w:szCs w:val="84"/>
          <w:highlight w:val="none"/>
          <w:lang w:val="en-US" w:eastAsia="zh-CN" w:bidi="ar"/>
        </w:rPr>
        <w:t>运行维护项目</w:t>
      </w:r>
    </w:p>
    <w:p>
      <w:pPr>
        <w:spacing w:before="133" w:line="213" w:lineRule="auto"/>
        <w:ind w:left="1078" w:right="681" w:hanging="209"/>
        <w:jc w:val="center"/>
        <w:rPr>
          <w:rFonts w:ascii="宋体" w:hAnsi="宋体" w:eastAsia="宋体" w:cs="宋体"/>
          <w:sz w:val="41"/>
          <w:szCs w:val="41"/>
          <w:highlight w:val="none"/>
          <w:lang w:eastAsia="zh-CN"/>
        </w:rPr>
      </w:pPr>
      <w:r>
        <w:rPr>
          <w:rFonts w:ascii="宋体" w:hAnsi="宋体" w:eastAsia="宋体" w:cs="宋体"/>
          <w:spacing w:val="14"/>
          <w:sz w:val="41"/>
          <w:szCs w:val="41"/>
          <w:highlight w:val="none"/>
          <w:lang w:eastAsia="zh-CN"/>
        </w:rPr>
        <w:t>(</w:t>
      </w:r>
      <w:r>
        <w:rPr>
          <w:rFonts w:hint="eastAsia" w:ascii="宋体" w:hAnsi="宋体" w:eastAsia="宋体" w:cs="宋体"/>
          <w:spacing w:val="14"/>
          <w:sz w:val="41"/>
          <w:szCs w:val="41"/>
          <w:highlight w:val="none"/>
          <w:lang w:val="en-US" w:eastAsia="zh-CN"/>
        </w:rPr>
        <w:t xml:space="preserve">              </w:t>
      </w:r>
      <w:r>
        <w:rPr>
          <w:rFonts w:ascii="宋体" w:hAnsi="宋体" w:eastAsia="宋体" w:cs="宋体"/>
          <w:spacing w:val="14"/>
          <w:sz w:val="41"/>
          <w:szCs w:val="41"/>
          <w:highlight w:val="none"/>
          <w:lang w:eastAsia="zh-CN"/>
        </w:rPr>
        <w:t>)</w:t>
      </w:r>
    </w:p>
    <w:p>
      <w:pPr>
        <w:pStyle w:val="7"/>
        <w:spacing w:line="380" w:lineRule="auto"/>
        <w:rPr>
          <w:highlight w:val="none"/>
          <w:lang w:eastAsia="zh-CN"/>
        </w:rPr>
      </w:pPr>
    </w:p>
    <w:p>
      <w:pPr>
        <w:keepNext w:val="0"/>
        <w:keepLines w:val="0"/>
        <w:pageBreakBefore w:val="0"/>
        <w:widowControl w:val="0"/>
        <w:numPr>
          <w:ilvl w:val="0"/>
          <w:numId w:val="0"/>
        </w:numPr>
        <w:kinsoku/>
        <w:wordWrap/>
        <w:overflowPunct/>
        <w:topLinePunct w:val="0"/>
        <w:autoSpaceDE/>
        <w:autoSpaceDN/>
        <w:bidi w:val="0"/>
        <w:adjustRightInd/>
        <w:snapToGrid/>
        <w:spacing w:before="156" w:beforeLines="50" w:after="156" w:afterLines="50" w:line="560" w:lineRule="exact"/>
        <w:jc w:val="center"/>
        <w:textAlignment w:val="auto"/>
        <w:rPr>
          <w:rFonts w:hint="default" w:eastAsia="宋体"/>
          <w:b/>
          <w:color w:val="000000"/>
          <w:kern w:val="2"/>
          <w:sz w:val="40"/>
          <w:szCs w:val="84"/>
          <w:highlight w:val="none"/>
          <w:lang w:val="en-US" w:eastAsia="zh-CN" w:bidi="ar"/>
        </w:rPr>
      </w:pPr>
      <w:r>
        <w:rPr>
          <w:rFonts w:hint="default" w:eastAsia="宋体"/>
          <w:b/>
          <w:color w:val="000000"/>
          <w:kern w:val="2"/>
          <w:sz w:val="40"/>
          <w:szCs w:val="84"/>
          <w:highlight w:val="none"/>
          <w:lang w:val="en-US" w:eastAsia="zh-CN" w:bidi="ar"/>
        </w:rPr>
        <w:t>运维合同书</w:t>
      </w:r>
    </w:p>
    <w:p>
      <w:pPr>
        <w:pStyle w:val="7"/>
        <w:spacing w:line="252" w:lineRule="auto"/>
        <w:rPr>
          <w:highlight w:val="none"/>
          <w:lang w:eastAsia="zh-CN"/>
        </w:rPr>
      </w:pPr>
    </w:p>
    <w:p>
      <w:pPr>
        <w:pStyle w:val="7"/>
        <w:spacing w:line="252" w:lineRule="auto"/>
        <w:rPr>
          <w:highlight w:val="none"/>
          <w:lang w:eastAsia="zh-CN"/>
        </w:rPr>
      </w:pPr>
    </w:p>
    <w:p>
      <w:pPr>
        <w:pStyle w:val="7"/>
        <w:spacing w:line="253" w:lineRule="auto"/>
        <w:rPr>
          <w:highlight w:val="none"/>
          <w:lang w:eastAsia="zh-CN"/>
        </w:rPr>
      </w:pPr>
    </w:p>
    <w:p>
      <w:pPr>
        <w:pStyle w:val="7"/>
        <w:spacing w:line="253" w:lineRule="auto"/>
        <w:rPr>
          <w:highlight w:val="none"/>
          <w:lang w:eastAsia="zh-CN"/>
        </w:rPr>
      </w:pPr>
    </w:p>
    <w:p>
      <w:pPr>
        <w:pStyle w:val="7"/>
        <w:spacing w:line="253" w:lineRule="auto"/>
        <w:rPr>
          <w:highlight w:val="none"/>
          <w:lang w:eastAsia="zh-CN"/>
        </w:rPr>
      </w:pPr>
    </w:p>
    <w:p>
      <w:pPr>
        <w:pStyle w:val="7"/>
        <w:spacing w:line="253" w:lineRule="auto"/>
        <w:rPr>
          <w:highlight w:val="none"/>
          <w:lang w:eastAsia="zh-CN"/>
        </w:rPr>
      </w:pPr>
    </w:p>
    <w:p>
      <w:pPr>
        <w:pStyle w:val="7"/>
        <w:spacing w:line="253" w:lineRule="auto"/>
        <w:rPr>
          <w:highlight w:val="none"/>
          <w:lang w:eastAsia="zh-CN"/>
        </w:rPr>
      </w:pPr>
    </w:p>
    <w:p>
      <w:pPr>
        <w:spacing w:before="82" w:line="219" w:lineRule="auto"/>
        <w:ind w:firstLine="1272" w:firstLineChars="600"/>
        <w:jc w:val="both"/>
        <w:rPr>
          <w:rFonts w:hint="default" w:ascii="宋体" w:hAnsi="宋体" w:eastAsia="宋体" w:cs="宋体"/>
          <w:sz w:val="25"/>
          <w:szCs w:val="25"/>
          <w:highlight w:val="none"/>
          <w:lang w:val="en-US" w:eastAsia="zh-CN"/>
        </w:rPr>
      </w:pPr>
      <w:r>
        <w:rPr>
          <w:rFonts w:ascii="宋体" w:hAnsi="宋体" w:eastAsia="宋体" w:cs="宋体"/>
          <w:spacing w:val="-19"/>
          <w:sz w:val="25"/>
          <w:szCs w:val="25"/>
          <w:highlight w:val="none"/>
          <w:lang w:eastAsia="zh-CN"/>
        </w:rPr>
        <w:t>甲方：</w:t>
      </w:r>
      <w:r>
        <w:rPr>
          <w:rFonts w:ascii="宋体" w:hAnsi="宋体" w:eastAsia="宋体" w:cs="宋体"/>
          <w:spacing w:val="-45"/>
          <w:sz w:val="25"/>
          <w:szCs w:val="25"/>
          <w:highlight w:val="none"/>
          <w:lang w:eastAsia="zh-CN"/>
        </w:rPr>
        <w:t xml:space="preserve"> </w:t>
      </w:r>
      <w:r>
        <w:rPr>
          <w:rFonts w:hint="eastAsia" w:ascii="宋体" w:hAnsi="宋体" w:eastAsia="宋体" w:cs="宋体"/>
          <w:spacing w:val="-19"/>
          <w:sz w:val="25"/>
          <w:szCs w:val="25"/>
          <w:highlight w:val="none"/>
          <w:u w:val="single"/>
          <w:lang w:val="en-US" w:eastAsia="zh-CN"/>
        </w:rPr>
        <w:t xml:space="preserve">                                       </w:t>
      </w:r>
      <w:r>
        <w:rPr>
          <w:rFonts w:hint="eastAsia" w:eastAsia="宋体" w:cs="宋体"/>
          <w:spacing w:val="-19"/>
          <w:sz w:val="25"/>
          <w:szCs w:val="25"/>
          <w:highlight w:val="none"/>
          <w:u w:val="single"/>
          <w:lang w:val="en-US" w:eastAsia="zh-CN"/>
        </w:rPr>
        <w:t xml:space="preserve">           </w:t>
      </w:r>
      <w:r>
        <w:rPr>
          <w:rFonts w:hint="eastAsia" w:ascii="宋体" w:hAnsi="宋体" w:eastAsia="宋体" w:cs="宋体"/>
          <w:spacing w:val="-19"/>
          <w:sz w:val="25"/>
          <w:szCs w:val="25"/>
          <w:highlight w:val="none"/>
          <w:u w:val="single"/>
          <w:lang w:val="en-US" w:eastAsia="zh-CN"/>
        </w:rPr>
        <w:t xml:space="preserve">      </w:t>
      </w:r>
    </w:p>
    <w:p>
      <w:pPr>
        <w:spacing w:before="221" w:line="219" w:lineRule="auto"/>
        <w:ind w:firstLine="1260" w:firstLineChars="500"/>
        <w:jc w:val="both"/>
        <w:rPr>
          <w:rFonts w:hint="default" w:ascii="宋体" w:hAnsi="宋体" w:eastAsia="宋体" w:cs="宋体"/>
          <w:sz w:val="25"/>
          <w:szCs w:val="25"/>
          <w:highlight w:val="none"/>
          <w:lang w:val="en-US" w:eastAsia="zh-CN"/>
        </w:rPr>
      </w:pPr>
      <w:r>
        <w:rPr>
          <w:rFonts w:ascii="宋体" w:hAnsi="宋体" w:eastAsia="宋体" w:cs="宋体"/>
          <w:spacing w:val="1"/>
          <w:sz w:val="25"/>
          <w:szCs w:val="25"/>
          <w:highlight w:val="none"/>
          <w:lang w:eastAsia="zh-CN"/>
        </w:rPr>
        <w:t>乙方：</w:t>
      </w:r>
      <w:r>
        <w:rPr>
          <w:rFonts w:hint="eastAsia" w:ascii="宋体" w:hAnsi="宋体" w:eastAsia="宋体" w:cs="宋体"/>
          <w:spacing w:val="1"/>
          <w:sz w:val="25"/>
          <w:szCs w:val="25"/>
          <w:highlight w:val="none"/>
          <w:u w:val="single"/>
          <w:lang w:val="en-US" w:eastAsia="zh-CN"/>
        </w:rPr>
        <w:t xml:space="preserve">                                       </w:t>
      </w:r>
    </w:p>
    <w:p>
      <w:pPr>
        <w:pStyle w:val="7"/>
        <w:spacing w:line="315" w:lineRule="auto"/>
        <w:rPr>
          <w:highlight w:val="none"/>
          <w:lang w:eastAsia="zh-CN"/>
        </w:rPr>
      </w:pPr>
    </w:p>
    <w:p>
      <w:pPr>
        <w:pStyle w:val="7"/>
        <w:spacing w:line="316" w:lineRule="auto"/>
        <w:rPr>
          <w:highlight w:val="none"/>
          <w:lang w:eastAsia="zh-CN"/>
        </w:rPr>
      </w:pPr>
    </w:p>
    <w:p>
      <w:pPr>
        <w:spacing w:before="92" w:line="219" w:lineRule="auto"/>
        <w:ind w:left="3603" w:firstLine="552" w:firstLineChars="200"/>
        <w:rPr>
          <w:rFonts w:ascii="宋体" w:hAnsi="宋体" w:eastAsia="宋体" w:cs="宋体"/>
          <w:sz w:val="28"/>
          <w:szCs w:val="28"/>
          <w:highlight w:val="none"/>
          <w:lang w:eastAsia="zh-CN"/>
        </w:rPr>
      </w:pPr>
      <w:r>
        <w:rPr>
          <w:rFonts w:ascii="宋体" w:hAnsi="宋体" w:eastAsia="宋体" w:cs="宋体"/>
          <w:spacing w:val="-2"/>
          <w:sz w:val="28"/>
          <w:szCs w:val="28"/>
          <w:highlight w:val="none"/>
          <w:lang w:eastAsia="zh-CN"/>
        </w:rPr>
        <w:t>年</w:t>
      </w:r>
      <w:r>
        <w:rPr>
          <w:rFonts w:hint="eastAsia" w:ascii="宋体" w:hAnsi="宋体" w:eastAsia="宋体" w:cs="宋体"/>
          <w:spacing w:val="-2"/>
          <w:sz w:val="28"/>
          <w:szCs w:val="28"/>
          <w:highlight w:val="none"/>
          <w:lang w:val="en-US" w:eastAsia="zh-CN"/>
        </w:rPr>
        <w:t xml:space="preserve">   </w:t>
      </w:r>
      <w:r>
        <w:rPr>
          <w:rFonts w:ascii="宋体" w:hAnsi="宋体" w:eastAsia="宋体" w:cs="宋体"/>
          <w:spacing w:val="-2"/>
          <w:sz w:val="28"/>
          <w:szCs w:val="28"/>
          <w:highlight w:val="none"/>
          <w:lang w:eastAsia="zh-CN"/>
        </w:rPr>
        <w:t>月</w:t>
      </w:r>
    </w:p>
    <w:p>
      <w:pPr>
        <w:spacing w:line="219" w:lineRule="auto"/>
        <w:rPr>
          <w:rFonts w:ascii="宋体" w:hAnsi="宋体" w:eastAsia="宋体" w:cs="宋体"/>
          <w:sz w:val="28"/>
          <w:szCs w:val="28"/>
          <w:highlight w:val="none"/>
          <w:lang w:eastAsia="zh-CN"/>
        </w:rPr>
        <w:sectPr>
          <w:pgSz w:w="11910" w:h="16840"/>
          <w:pgMar w:top="1431" w:right="1786" w:bottom="0" w:left="1786" w:header="0" w:footer="0" w:gutter="0"/>
          <w:pgNumType w:fmt="decimal"/>
          <w:cols w:space="720" w:num="1"/>
        </w:sectPr>
      </w:pPr>
    </w:p>
    <w:p>
      <w:pPr>
        <w:spacing w:line="560" w:lineRule="exact"/>
        <w:ind w:firstLine="572" w:firstLineChars="200"/>
        <w:jc w:val="both"/>
        <w:rPr>
          <w:rFonts w:hint="default" w:ascii="仿宋" w:hAnsi="仿宋" w:eastAsia="仿宋" w:cs="仿宋"/>
          <w:sz w:val="27"/>
          <w:szCs w:val="27"/>
          <w:highlight w:val="none"/>
          <w:lang w:val="en-US" w:eastAsia="zh-CN"/>
        </w:rPr>
      </w:pPr>
      <w:r>
        <w:rPr>
          <w:rFonts w:ascii="仿宋" w:hAnsi="仿宋" w:eastAsia="仿宋" w:cs="仿宋"/>
          <w:spacing w:val="8"/>
          <w:sz w:val="27"/>
          <w:szCs w:val="27"/>
          <w:highlight w:val="none"/>
          <w:lang w:eastAsia="zh-CN"/>
        </w:rPr>
        <w:t>甲方(需方):</w:t>
      </w:r>
      <w:r>
        <w:rPr>
          <w:rFonts w:ascii="仿宋" w:hAnsi="仿宋" w:eastAsia="仿宋" w:cs="仿宋"/>
          <w:spacing w:val="-67"/>
          <w:sz w:val="27"/>
          <w:szCs w:val="27"/>
          <w:highlight w:val="none"/>
          <w:lang w:eastAsia="zh-CN"/>
        </w:rPr>
        <w:t xml:space="preserve"> </w:t>
      </w:r>
      <w:r>
        <w:rPr>
          <w:rFonts w:ascii="仿宋" w:hAnsi="仿宋" w:eastAsia="仿宋" w:cs="仿宋"/>
          <w:spacing w:val="8"/>
          <w:sz w:val="27"/>
          <w:szCs w:val="27"/>
          <w:highlight w:val="none"/>
          <w:u w:val="single"/>
          <w:lang w:eastAsia="zh-CN"/>
        </w:rPr>
        <w:t xml:space="preserve"> </w:t>
      </w:r>
      <w:r>
        <w:rPr>
          <w:rFonts w:hint="eastAsia" w:ascii="仿宋" w:hAnsi="仿宋" w:eastAsia="仿宋" w:cs="仿宋"/>
          <w:spacing w:val="8"/>
          <w:sz w:val="27"/>
          <w:szCs w:val="27"/>
          <w:highlight w:val="none"/>
          <w:u w:val="single"/>
          <w:lang w:val="en-US" w:eastAsia="zh-CN"/>
        </w:rPr>
        <w:t xml:space="preserve">                             </w:t>
      </w:r>
    </w:p>
    <w:p>
      <w:pPr>
        <w:spacing w:line="560" w:lineRule="exact"/>
        <w:ind w:firstLine="652" w:firstLineChars="200"/>
        <w:jc w:val="both"/>
        <w:rPr>
          <w:rFonts w:ascii="宋体" w:hAnsi="宋体" w:eastAsia="宋体" w:cs="宋体"/>
          <w:sz w:val="25"/>
          <w:szCs w:val="25"/>
          <w:highlight w:val="none"/>
          <w:lang w:eastAsia="zh-CN"/>
        </w:rPr>
      </w:pPr>
      <w:r>
        <w:rPr>
          <w:rFonts w:ascii="仿宋" w:hAnsi="仿宋" w:eastAsia="仿宋" w:cs="仿宋"/>
          <w:spacing w:val="28"/>
          <w:sz w:val="27"/>
          <w:szCs w:val="27"/>
          <w:highlight w:val="none"/>
          <w:lang w:eastAsia="zh-CN"/>
        </w:rPr>
        <w:t>乙方(供方):</w:t>
      </w:r>
      <w:r>
        <w:rPr>
          <w:rFonts w:hint="eastAsia" w:ascii="仿宋" w:hAnsi="仿宋" w:eastAsia="仿宋" w:cs="仿宋"/>
          <w:spacing w:val="28"/>
          <w:sz w:val="27"/>
          <w:szCs w:val="27"/>
          <w:highlight w:val="none"/>
          <w:u w:val="single"/>
          <w:lang w:eastAsia="zh-CN"/>
        </w:rPr>
        <w:t xml:space="preserve"> </w:t>
      </w:r>
      <w:r>
        <w:rPr>
          <w:rFonts w:hint="eastAsia" w:ascii="仿宋" w:hAnsi="仿宋" w:eastAsia="仿宋" w:cs="仿宋"/>
          <w:spacing w:val="8"/>
          <w:sz w:val="27"/>
          <w:szCs w:val="27"/>
          <w:highlight w:val="none"/>
          <w:u w:val="single"/>
          <w:lang w:eastAsia="zh-CN"/>
        </w:rPr>
        <w:t xml:space="preserve">   </w:t>
      </w:r>
      <w:r>
        <w:rPr>
          <w:rFonts w:hint="eastAsia" w:ascii="仿宋" w:hAnsi="仿宋" w:eastAsia="仿宋" w:cs="仿宋"/>
          <w:spacing w:val="8"/>
          <w:sz w:val="27"/>
          <w:szCs w:val="27"/>
          <w:highlight w:val="none"/>
          <w:u w:val="single"/>
          <w:lang w:val="en-US" w:eastAsia="zh-CN"/>
        </w:rPr>
        <w:t xml:space="preserve">                   </w:t>
      </w:r>
      <w:r>
        <w:rPr>
          <w:rFonts w:hint="eastAsia" w:ascii="仿宋" w:hAnsi="仿宋" w:eastAsia="仿宋" w:cs="仿宋"/>
          <w:spacing w:val="8"/>
          <w:sz w:val="27"/>
          <w:szCs w:val="27"/>
          <w:highlight w:val="none"/>
          <w:u w:val="single"/>
          <w:lang w:eastAsia="zh-CN"/>
        </w:rPr>
        <w:t xml:space="preserve">      </w:t>
      </w:r>
    </w:p>
    <w:p>
      <w:pPr>
        <w:spacing w:line="560" w:lineRule="exact"/>
        <w:ind w:firstLine="524" w:firstLineChars="200"/>
        <w:jc w:val="both"/>
        <w:rPr>
          <w:rFonts w:ascii="仿宋" w:hAnsi="仿宋" w:eastAsia="仿宋" w:cs="仿宋"/>
          <w:sz w:val="27"/>
          <w:szCs w:val="27"/>
          <w:highlight w:val="none"/>
          <w:lang w:eastAsia="zh-CN"/>
        </w:rPr>
      </w:pPr>
      <w:r>
        <w:rPr>
          <w:rFonts w:ascii="仿宋" w:hAnsi="仿宋" w:eastAsia="仿宋" w:cs="仿宋"/>
          <w:spacing w:val="-4"/>
          <w:position w:val="-1"/>
          <w:sz w:val="27"/>
          <w:szCs w:val="27"/>
          <w:highlight w:val="none"/>
          <w:lang w:eastAsia="zh-CN"/>
        </w:rPr>
        <w:t>本合同于</w:t>
      </w:r>
      <w:r>
        <w:rPr>
          <w:rFonts w:hint="eastAsia" w:ascii="仿宋" w:hAnsi="仿宋" w:eastAsia="仿宋" w:cs="仿宋"/>
          <w:spacing w:val="24"/>
          <w:position w:val="-1"/>
          <w:sz w:val="27"/>
          <w:szCs w:val="27"/>
          <w:highlight w:val="none"/>
          <w:u w:val="single"/>
          <w:lang w:eastAsia="zh-CN"/>
        </w:rPr>
        <w:t xml:space="preserve"> </w:t>
      </w:r>
      <w:r>
        <w:rPr>
          <w:rFonts w:hint="eastAsia" w:ascii="仿宋" w:hAnsi="仿宋" w:eastAsia="仿宋" w:cs="仿宋"/>
          <w:spacing w:val="24"/>
          <w:position w:val="-1"/>
          <w:sz w:val="27"/>
          <w:szCs w:val="27"/>
          <w:highlight w:val="none"/>
          <w:u w:val="single"/>
          <w:lang w:val="en-US" w:eastAsia="zh-CN"/>
        </w:rPr>
        <w:t xml:space="preserve">  </w:t>
      </w:r>
      <w:r>
        <w:rPr>
          <w:rFonts w:hint="eastAsia" w:ascii="仿宋" w:hAnsi="仿宋" w:eastAsia="仿宋" w:cs="仿宋"/>
          <w:spacing w:val="24"/>
          <w:position w:val="-1"/>
          <w:sz w:val="27"/>
          <w:szCs w:val="27"/>
          <w:highlight w:val="none"/>
          <w:u w:val="single"/>
          <w:lang w:eastAsia="zh-CN"/>
        </w:rPr>
        <w:t xml:space="preserve">  </w:t>
      </w:r>
      <w:r>
        <w:rPr>
          <w:rFonts w:hint="eastAsia" w:ascii="仿宋" w:hAnsi="仿宋" w:eastAsia="仿宋" w:cs="仿宋"/>
          <w:spacing w:val="-4"/>
          <w:position w:val="-1"/>
          <w:sz w:val="27"/>
          <w:szCs w:val="27"/>
          <w:highlight w:val="none"/>
          <w:lang w:eastAsia="zh-CN"/>
        </w:rPr>
        <w:t>年</w:t>
      </w:r>
      <w:r>
        <w:rPr>
          <w:rFonts w:hint="eastAsia" w:ascii="仿宋" w:hAnsi="仿宋" w:eastAsia="仿宋" w:cs="仿宋"/>
          <w:spacing w:val="24"/>
          <w:position w:val="-1"/>
          <w:sz w:val="27"/>
          <w:szCs w:val="27"/>
          <w:highlight w:val="none"/>
          <w:u w:val="single"/>
          <w:lang w:eastAsia="zh-CN"/>
        </w:rPr>
        <w:t xml:space="preserve"> </w:t>
      </w:r>
      <w:r>
        <w:rPr>
          <w:rFonts w:hint="eastAsia" w:ascii="仿宋" w:hAnsi="仿宋" w:eastAsia="仿宋" w:cs="仿宋"/>
          <w:spacing w:val="24"/>
          <w:position w:val="-1"/>
          <w:sz w:val="27"/>
          <w:szCs w:val="27"/>
          <w:highlight w:val="none"/>
          <w:u w:val="single"/>
          <w:lang w:val="en-US" w:eastAsia="zh-CN"/>
        </w:rPr>
        <w:t xml:space="preserve">  </w:t>
      </w:r>
      <w:r>
        <w:rPr>
          <w:rFonts w:hint="eastAsia" w:ascii="仿宋" w:hAnsi="仿宋" w:eastAsia="仿宋" w:cs="仿宋"/>
          <w:spacing w:val="24"/>
          <w:position w:val="-1"/>
          <w:sz w:val="27"/>
          <w:szCs w:val="27"/>
          <w:highlight w:val="none"/>
          <w:u w:val="single"/>
          <w:lang w:eastAsia="zh-CN"/>
        </w:rPr>
        <w:t xml:space="preserve"> </w:t>
      </w:r>
      <w:r>
        <w:rPr>
          <w:rFonts w:hint="eastAsia" w:ascii="仿宋" w:hAnsi="仿宋" w:eastAsia="仿宋" w:cs="仿宋"/>
          <w:spacing w:val="-4"/>
          <w:position w:val="-1"/>
          <w:sz w:val="27"/>
          <w:szCs w:val="27"/>
          <w:highlight w:val="none"/>
          <w:lang w:eastAsia="zh-CN"/>
        </w:rPr>
        <w:t>月</w:t>
      </w:r>
      <w:r>
        <w:rPr>
          <w:rFonts w:ascii="仿宋" w:hAnsi="仿宋" w:eastAsia="仿宋" w:cs="仿宋"/>
          <w:spacing w:val="-117"/>
          <w:position w:val="-1"/>
          <w:sz w:val="27"/>
          <w:szCs w:val="27"/>
          <w:highlight w:val="none"/>
          <w:lang w:eastAsia="zh-CN"/>
        </w:rPr>
        <w:t xml:space="preserve"> </w:t>
      </w:r>
      <w:r>
        <w:rPr>
          <w:rFonts w:ascii="仿宋" w:hAnsi="仿宋" w:eastAsia="仿宋" w:cs="仿宋"/>
          <w:spacing w:val="-125"/>
          <w:position w:val="-1"/>
          <w:sz w:val="27"/>
          <w:szCs w:val="27"/>
          <w:highlight w:val="none"/>
          <w:u w:val="single"/>
          <w:lang w:eastAsia="zh-CN"/>
        </w:rPr>
        <w:t xml:space="preserve"> </w:t>
      </w:r>
      <w:r>
        <w:rPr>
          <w:rFonts w:ascii="仿宋" w:hAnsi="仿宋" w:eastAsia="仿宋" w:cs="仿宋"/>
          <w:spacing w:val="24"/>
          <w:position w:val="-1"/>
          <w:sz w:val="27"/>
          <w:szCs w:val="27"/>
          <w:highlight w:val="none"/>
          <w:u w:val="single"/>
          <w:lang w:eastAsia="zh-CN"/>
        </w:rPr>
        <w:t xml:space="preserve"> </w:t>
      </w:r>
      <w:r>
        <w:rPr>
          <w:rFonts w:hint="eastAsia" w:ascii="仿宋" w:hAnsi="仿宋" w:eastAsia="仿宋" w:cs="仿宋"/>
          <w:spacing w:val="24"/>
          <w:position w:val="-1"/>
          <w:sz w:val="27"/>
          <w:szCs w:val="27"/>
          <w:highlight w:val="none"/>
          <w:u w:val="single"/>
          <w:lang w:val="en-US" w:eastAsia="zh-CN"/>
        </w:rPr>
        <w:t xml:space="preserve"> </w:t>
      </w:r>
      <w:r>
        <w:rPr>
          <w:rFonts w:ascii="仿宋" w:hAnsi="仿宋" w:eastAsia="仿宋" w:cs="仿宋"/>
          <w:spacing w:val="24"/>
          <w:position w:val="-1"/>
          <w:sz w:val="27"/>
          <w:szCs w:val="27"/>
          <w:highlight w:val="none"/>
          <w:u w:val="single"/>
          <w:lang w:eastAsia="zh-CN"/>
        </w:rPr>
        <w:t xml:space="preserve"> </w:t>
      </w:r>
      <w:r>
        <w:rPr>
          <w:rFonts w:ascii="仿宋" w:hAnsi="仿宋" w:eastAsia="仿宋" w:cs="仿宋"/>
          <w:spacing w:val="-124"/>
          <w:position w:val="-1"/>
          <w:sz w:val="27"/>
          <w:szCs w:val="27"/>
          <w:highlight w:val="none"/>
          <w:lang w:eastAsia="zh-CN"/>
        </w:rPr>
        <w:t xml:space="preserve"> </w:t>
      </w:r>
      <w:r>
        <w:rPr>
          <w:rFonts w:ascii="仿宋" w:hAnsi="仿宋" w:eastAsia="仿宋" w:cs="仿宋"/>
          <w:spacing w:val="-4"/>
          <w:sz w:val="27"/>
          <w:szCs w:val="27"/>
          <w:highlight w:val="none"/>
          <w:lang w:eastAsia="zh-CN"/>
        </w:rPr>
        <w:t>日由甲方和乙方按下述</w:t>
      </w:r>
    </w:p>
    <w:p>
      <w:pPr>
        <w:spacing w:line="560" w:lineRule="exact"/>
        <w:ind w:firstLine="500" w:firstLineChars="200"/>
        <w:jc w:val="both"/>
        <w:rPr>
          <w:rFonts w:ascii="仿宋" w:hAnsi="仿宋" w:eastAsia="仿宋" w:cs="仿宋"/>
          <w:sz w:val="34"/>
          <w:szCs w:val="34"/>
          <w:highlight w:val="none"/>
          <w:lang w:eastAsia="zh-CN"/>
        </w:rPr>
      </w:pPr>
      <w:r>
        <w:rPr>
          <w:rFonts w:ascii="仿宋" w:hAnsi="仿宋" w:eastAsia="仿宋" w:cs="仿宋"/>
          <w:spacing w:val="-10"/>
          <w:sz w:val="27"/>
          <w:szCs w:val="27"/>
          <w:highlight w:val="none"/>
          <w:lang w:eastAsia="zh-CN"/>
        </w:rPr>
        <w:t>条款签署。</w:t>
      </w:r>
    </w:p>
    <w:p>
      <w:pPr>
        <w:spacing w:line="560" w:lineRule="exact"/>
        <w:ind w:firstLine="552" w:firstLineChars="200"/>
        <w:jc w:val="both"/>
        <w:rPr>
          <w:rFonts w:ascii="仿宋" w:hAnsi="仿宋" w:eastAsia="仿宋" w:cs="仿宋"/>
          <w:spacing w:val="-1"/>
          <w:sz w:val="27"/>
          <w:szCs w:val="27"/>
          <w:highlight w:val="none"/>
          <w:lang w:eastAsia="zh-CN"/>
        </w:rPr>
      </w:pPr>
      <w:r>
        <w:rPr>
          <w:rFonts w:ascii="仿宋" w:hAnsi="仿宋" w:eastAsia="仿宋" w:cs="仿宋"/>
          <w:spacing w:val="3"/>
          <w:sz w:val="27"/>
          <w:szCs w:val="27"/>
          <w:highlight w:val="none"/>
          <w:lang w:eastAsia="zh-CN"/>
        </w:rPr>
        <w:t>双方在上述</w:t>
      </w:r>
      <w:r>
        <w:rPr>
          <w:rFonts w:ascii="仿宋" w:hAnsi="仿宋" w:eastAsia="仿宋" w:cs="仿宋"/>
          <w:spacing w:val="-7"/>
          <w:sz w:val="27"/>
          <w:szCs w:val="27"/>
          <w:highlight w:val="none"/>
          <w:lang w:eastAsia="zh-CN"/>
        </w:rPr>
        <w:t>事实的基础上，结合国家政策和年度实际运</w:t>
      </w:r>
      <w:r>
        <w:rPr>
          <w:rFonts w:ascii="仿宋" w:hAnsi="仿宋" w:eastAsia="仿宋" w:cs="仿宋"/>
          <w:spacing w:val="-8"/>
          <w:sz w:val="27"/>
          <w:szCs w:val="27"/>
          <w:highlight w:val="none"/>
          <w:lang w:eastAsia="zh-CN"/>
        </w:rPr>
        <w:t>维的</w:t>
      </w:r>
      <w:r>
        <w:rPr>
          <w:rFonts w:hint="eastAsia" w:ascii="仿宋" w:hAnsi="仿宋" w:eastAsia="仿宋" w:cs="仿宋"/>
          <w:spacing w:val="-8"/>
          <w:sz w:val="27"/>
          <w:szCs w:val="27"/>
          <w:highlight w:val="none"/>
          <w:lang w:eastAsia="zh-CN"/>
        </w:rPr>
        <w:t>仪器</w:t>
      </w:r>
      <w:r>
        <w:rPr>
          <w:rFonts w:ascii="仿宋" w:hAnsi="仿宋" w:eastAsia="仿宋" w:cs="仿宋"/>
          <w:spacing w:val="-8"/>
          <w:sz w:val="27"/>
          <w:szCs w:val="27"/>
          <w:highlight w:val="none"/>
          <w:lang w:eastAsia="zh-CN"/>
        </w:rPr>
        <w:t>数量</w:t>
      </w:r>
      <w:r>
        <w:rPr>
          <w:rFonts w:hint="eastAsia" w:ascii="仿宋" w:hAnsi="仿宋" w:eastAsia="仿宋" w:cs="仿宋"/>
          <w:spacing w:val="-8"/>
          <w:sz w:val="27"/>
          <w:szCs w:val="27"/>
          <w:highlight w:val="none"/>
          <w:lang w:eastAsia="zh-CN"/>
        </w:rPr>
        <w:t>。</w:t>
      </w:r>
      <w:r>
        <w:rPr>
          <w:rFonts w:ascii="仿宋" w:hAnsi="仿宋" w:eastAsia="仿宋" w:cs="仿宋"/>
          <w:spacing w:val="-1"/>
          <w:sz w:val="27"/>
          <w:szCs w:val="27"/>
          <w:highlight w:val="none"/>
          <w:lang w:eastAsia="zh-CN"/>
        </w:rPr>
        <w:t>签订运维合同如下，以期共同遵守。</w:t>
      </w:r>
    </w:p>
    <w:p>
      <w:pPr>
        <w:spacing w:line="560" w:lineRule="exact"/>
        <w:ind w:firstLine="496" w:firstLineChars="200"/>
        <w:jc w:val="both"/>
        <w:rPr>
          <w:rFonts w:ascii="仿宋" w:hAnsi="仿宋" w:eastAsia="仿宋" w:cs="仿宋"/>
          <w:sz w:val="27"/>
          <w:szCs w:val="27"/>
          <w:highlight w:val="none"/>
        </w:rPr>
      </w:pPr>
      <w:r>
        <w:rPr>
          <w:rFonts w:ascii="仿宋" w:hAnsi="仿宋" w:eastAsia="仿宋" w:cs="仿宋"/>
          <w:spacing w:val="-11"/>
          <w:sz w:val="27"/>
          <w:szCs w:val="27"/>
          <w:highlight w:val="none"/>
        </w:rPr>
        <w:t>本合同在此声明如下：</w:t>
      </w:r>
    </w:p>
    <w:p>
      <w:pPr>
        <w:numPr>
          <w:ilvl w:val="0"/>
          <w:numId w:val="1"/>
        </w:numPr>
        <w:spacing w:line="560" w:lineRule="exact"/>
        <w:ind w:firstLine="656" w:firstLineChars="200"/>
        <w:jc w:val="both"/>
        <w:rPr>
          <w:rFonts w:ascii="仿宋" w:hAnsi="仿宋" w:eastAsia="仿宋" w:cs="仿宋"/>
          <w:spacing w:val="29"/>
          <w:sz w:val="27"/>
          <w:szCs w:val="27"/>
          <w:highlight w:val="none"/>
          <w:lang w:eastAsia="zh-CN"/>
        </w:rPr>
      </w:pPr>
      <w:r>
        <w:rPr>
          <w:rFonts w:hint="eastAsia" w:ascii="仿宋" w:hAnsi="仿宋" w:eastAsia="仿宋" w:cs="仿宋"/>
          <w:spacing w:val="29"/>
          <w:sz w:val="27"/>
          <w:szCs w:val="27"/>
          <w:highlight w:val="none"/>
          <w:lang w:eastAsia="zh-CN"/>
        </w:rPr>
        <w:t>本合同中的词语和术语的含义与合同条款中定义的相同。</w:t>
      </w:r>
    </w:p>
    <w:p>
      <w:pPr>
        <w:spacing w:line="560" w:lineRule="exact"/>
        <w:ind w:firstLine="656" w:firstLineChars="200"/>
        <w:jc w:val="both"/>
        <w:rPr>
          <w:highlight w:val="none"/>
          <w:lang w:eastAsia="zh-CN"/>
        </w:rPr>
      </w:pPr>
      <w:r>
        <w:rPr>
          <w:rFonts w:hint="eastAsia" w:ascii="仿宋" w:hAnsi="仿宋" w:eastAsia="仿宋" w:cs="仿宋"/>
          <w:spacing w:val="29"/>
          <w:sz w:val="27"/>
          <w:szCs w:val="27"/>
          <w:highlight w:val="none"/>
          <w:lang w:eastAsia="zh-CN"/>
        </w:rPr>
        <w:t>2.下述文件作为合同签订的基础，是构成本合同的主要组成部分，并与本合同一起阅读和解释：</w:t>
      </w:r>
    </w:p>
    <w:p>
      <w:pPr>
        <w:spacing w:line="560" w:lineRule="exact"/>
        <w:ind w:firstLine="496" w:firstLineChars="200"/>
        <w:jc w:val="both"/>
        <w:rPr>
          <w:rFonts w:ascii="仿宋" w:hAnsi="仿宋" w:eastAsia="仿宋" w:cs="仿宋"/>
          <w:sz w:val="28"/>
          <w:szCs w:val="28"/>
          <w:highlight w:val="none"/>
          <w:lang w:eastAsia="zh-CN"/>
        </w:rPr>
      </w:pPr>
      <w:r>
        <w:rPr>
          <w:rFonts w:ascii="仿宋" w:hAnsi="仿宋" w:eastAsia="仿宋" w:cs="仿宋"/>
          <w:spacing w:val="-16"/>
          <w:sz w:val="28"/>
          <w:szCs w:val="28"/>
          <w:highlight w:val="none"/>
          <w:lang w:eastAsia="zh-CN"/>
        </w:rPr>
        <w:t>(1)合同条款</w:t>
      </w:r>
    </w:p>
    <w:p>
      <w:pPr>
        <w:spacing w:line="560" w:lineRule="exact"/>
        <w:ind w:firstLine="508" w:firstLineChars="200"/>
        <w:jc w:val="both"/>
        <w:rPr>
          <w:rFonts w:ascii="仿宋" w:hAnsi="仿宋" w:eastAsia="仿宋" w:cs="仿宋"/>
          <w:sz w:val="28"/>
          <w:szCs w:val="28"/>
          <w:highlight w:val="none"/>
          <w:lang w:eastAsia="zh-CN"/>
        </w:rPr>
      </w:pPr>
      <w:r>
        <w:rPr>
          <w:rFonts w:ascii="仿宋" w:hAnsi="仿宋" w:eastAsia="仿宋" w:cs="仿宋"/>
          <w:spacing w:val="-13"/>
          <w:sz w:val="28"/>
          <w:szCs w:val="28"/>
          <w:highlight w:val="none"/>
          <w:lang w:eastAsia="zh-CN"/>
        </w:rPr>
        <w:t>(2)合同条款附件</w:t>
      </w:r>
    </w:p>
    <w:p>
      <w:pPr>
        <w:spacing w:line="560" w:lineRule="exact"/>
        <w:ind w:firstLine="536" w:firstLineChars="200"/>
        <w:jc w:val="both"/>
        <w:rPr>
          <w:rFonts w:ascii="仿宋" w:hAnsi="仿宋" w:eastAsia="仿宋" w:cs="仿宋"/>
          <w:sz w:val="28"/>
          <w:szCs w:val="28"/>
          <w:highlight w:val="none"/>
          <w:lang w:eastAsia="zh-CN"/>
        </w:rPr>
      </w:pPr>
      <w:r>
        <w:rPr>
          <w:rFonts w:ascii="Times New Roman" w:hAnsi="Times New Roman" w:eastAsia="Times New Roman" w:cs="Times New Roman"/>
          <w:spacing w:val="-6"/>
          <w:sz w:val="28"/>
          <w:szCs w:val="28"/>
          <w:highlight w:val="none"/>
          <w:lang w:eastAsia="zh-CN"/>
        </w:rPr>
        <w:t>A.</w:t>
      </w:r>
      <w:r>
        <w:rPr>
          <w:rFonts w:ascii="仿宋" w:hAnsi="仿宋" w:eastAsia="仿宋" w:cs="仿宋"/>
          <w:spacing w:val="-6"/>
          <w:sz w:val="28"/>
          <w:szCs w:val="28"/>
          <w:highlight w:val="none"/>
          <w:lang w:eastAsia="zh-CN"/>
        </w:rPr>
        <w:t>附件1</w:t>
      </w:r>
      <w:r>
        <w:rPr>
          <w:rFonts w:ascii="仿宋" w:hAnsi="仿宋" w:eastAsia="仿宋" w:cs="仿宋"/>
          <w:spacing w:val="-21"/>
          <w:sz w:val="28"/>
          <w:szCs w:val="28"/>
          <w:highlight w:val="none"/>
          <w:lang w:eastAsia="zh-CN"/>
        </w:rPr>
        <w:t xml:space="preserve"> </w:t>
      </w:r>
      <w:r>
        <w:rPr>
          <w:rFonts w:ascii="仿宋" w:hAnsi="仿宋" w:eastAsia="仿宋" w:cs="仿宋"/>
          <w:spacing w:val="-6"/>
          <w:sz w:val="28"/>
          <w:szCs w:val="28"/>
          <w:highlight w:val="none"/>
          <w:lang w:eastAsia="zh-CN"/>
        </w:rPr>
        <w:t>分项报价表</w:t>
      </w:r>
    </w:p>
    <w:p>
      <w:pPr>
        <w:spacing w:line="560" w:lineRule="exact"/>
        <w:ind w:firstLine="532" w:firstLineChars="200"/>
        <w:jc w:val="both"/>
        <w:rPr>
          <w:rFonts w:ascii="仿宋" w:hAnsi="仿宋" w:eastAsia="仿宋" w:cs="仿宋"/>
          <w:sz w:val="28"/>
          <w:szCs w:val="28"/>
          <w:highlight w:val="none"/>
          <w:lang w:eastAsia="zh-CN"/>
        </w:rPr>
      </w:pPr>
      <w:r>
        <w:rPr>
          <w:rFonts w:ascii="Times New Roman" w:hAnsi="Times New Roman" w:eastAsia="Times New Roman" w:cs="Times New Roman"/>
          <w:spacing w:val="-7"/>
          <w:sz w:val="28"/>
          <w:szCs w:val="28"/>
          <w:highlight w:val="none"/>
          <w:lang w:eastAsia="zh-CN"/>
        </w:rPr>
        <w:t>B.</w:t>
      </w:r>
      <w:r>
        <w:rPr>
          <w:rFonts w:ascii="仿宋" w:hAnsi="仿宋" w:eastAsia="仿宋" w:cs="仿宋"/>
          <w:spacing w:val="-7"/>
          <w:sz w:val="28"/>
          <w:szCs w:val="28"/>
          <w:highlight w:val="none"/>
          <w:lang w:eastAsia="zh-CN"/>
        </w:rPr>
        <w:t>附件2 运行维护要求和管理考核计分方法</w:t>
      </w:r>
    </w:p>
    <w:p>
      <w:pPr>
        <w:spacing w:line="560" w:lineRule="exact"/>
        <w:ind w:firstLine="528" w:firstLineChars="200"/>
        <w:jc w:val="both"/>
        <w:rPr>
          <w:rFonts w:ascii="仿宋" w:hAnsi="仿宋" w:eastAsia="仿宋" w:cs="仿宋"/>
          <w:sz w:val="28"/>
          <w:szCs w:val="28"/>
          <w:highlight w:val="none"/>
          <w:lang w:eastAsia="zh-CN"/>
        </w:rPr>
      </w:pPr>
      <w:r>
        <w:rPr>
          <w:rFonts w:ascii="Times New Roman" w:hAnsi="Times New Roman" w:eastAsia="Times New Roman" w:cs="Times New Roman"/>
          <w:spacing w:val="-8"/>
          <w:sz w:val="28"/>
          <w:szCs w:val="28"/>
          <w:highlight w:val="none"/>
          <w:lang w:eastAsia="zh-CN"/>
        </w:rPr>
        <w:t>C.</w:t>
      </w:r>
      <w:r>
        <w:rPr>
          <w:rFonts w:ascii="Times New Roman" w:hAnsi="Times New Roman" w:eastAsia="Times New Roman" w:cs="Times New Roman"/>
          <w:spacing w:val="-17"/>
          <w:sz w:val="28"/>
          <w:szCs w:val="28"/>
          <w:highlight w:val="none"/>
          <w:lang w:eastAsia="zh-CN"/>
        </w:rPr>
        <w:t xml:space="preserve"> </w:t>
      </w:r>
      <w:r>
        <w:rPr>
          <w:rFonts w:ascii="仿宋" w:hAnsi="仿宋" w:eastAsia="仿宋" w:cs="仿宋"/>
          <w:spacing w:val="-8"/>
          <w:sz w:val="28"/>
          <w:szCs w:val="28"/>
          <w:highlight w:val="none"/>
          <w:lang w:eastAsia="zh-CN"/>
        </w:rPr>
        <w:t>附件3 备品备件</w:t>
      </w:r>
    </w:p>
    <w:p>
      <w:pPr>
        <w:spacing w:line="560" w:lineRule="exact"/>
        <w:ind w:firstLine="544" w:firstLineChars="200"/>
        <w:jc w:val="both"/>
        <w:rPr>
          <w:rFonts w:ascii="仿宋" w:hAnsi="仿宋" w:eastAsia="仿宋" w:cs="仿宋"/>
          <w:sz w:val="28"/>
          <w:szCs w:val="28"/>
          <w:highlight w:val="none"/>
          <w:lang w:eastAsia="zh-CN"/>
        </w:rPr>
      </w:pPr>
      <w:r>
        <w:rPr>
          <w:rFonts w:ascii="Times New Roman" w:hAnsi="Times New Roman" w:eastAsia="Times New Roman" w:cs="Times New Roman"/>
          <w:spacing w:val="-4"/>
          <w:sz w:val="28"/>
          <w:szCs w:val="28"/>
          <w:highlight w:val="none"/>
          <w:lang w:eastAsia="zh-CN"/>
        </w:rPr>
        <w:t>D.</w:t>
      </w:r>
      <w:r>
        <w:rPr>
          <w:rFonts w:ascii="仿宋" w:hAnsi="仿宋" w:eastAsia="仿宋" w:cs="仿宋"/>
          <w:spacing w:val="-4"/>
          <w:sz w:val="28"/>
          <w:szCs w:val="28"/>
          <w:highlight w:val="none"/>
          <w:lang w:eastAsia="zh-CN"/>
        </w:rPr>
        <w:t>附件4</w:t>
      </w:r>
      <w:r>
        <w:rPr>
          <w:rFonts w:ascii="仿宋" w:hAnsi="仿宋" w:eastAsia="仿宋" w:cs="仿宋"/>
          <w:spacing w:val="39"/>
          <w:sz w:val="28"/>
          <w:szCs w:val="28"/>
          <w:highlight w:val="none"/>
          <w:lang w:eastAsia="zh-CN"/>
        </w:rPr>
        <w:t xml:space="preserve"> </w:t>
      </w:r>
      <w:r>
        <w:rPr>
          <w:rFonts w:hint="eastAsia" w:ascii="仿宋" w:hAnsi="仿宋" w:eastAsia="仿宋" w:cs="仿宋"/>
          <w:spacing w:val="-4"/>
          <w:sz w:val="28"/>
          <w:szCs w:val="28"/>
          <w:highlight w:val="none"/>
          <w:lang w:eastAsia="zh-CN"/>
        </w:rPr>
        <w:t>成交</w:t>
      </w:r>
      <w:r>
        <w:rPr>
          <w:rFonts w:ascii="仿宋" w:hAnsi="仿宋" w:eastAsia="仿宋" w:cs="仿宋"/>
          <w:spacing w:val="-4"/>
          <w:sz w:val="28"/>
          <w:szCs w:val="28"/>
          <w:highlight w:val="none"/>
          <w:lang w:eastAsia="zh-CN"/>
        </w:rPr>
        <w:t>通知书</w:t>
      </w:r>
    </w:p>
    <w:p>
      <w:pPr>
        <w:spacing w:line="560" w:lineRule="exact"/>
        <w:ind w:firstLine="656" w:firstLineChars="200"/>
        <w:jc w:val="both"/>
        <w:rPr>
          <w:rFonts w:ascii="仿宋" w:hAnsi="仿宋" w:eastAsia="仿宋" w:cs="仿宋"/>
          <w:spacing w:val="29"/>
          <w:sz w:val="27"/>
          <w:szCs w:val="27"/>
          <w:highlight w:val="none"/>
          <w:lang w:eastAsia="zh-CN"/>
        </w:rPr>
      </w:pPr>
      <w:r>
        <w:rPr>
          <w:rFonts w:hint="eastAsia" w:ascii="仿宋" w:hAnsi="仿宋" w:eastAsia="仿宋" w:cs="仿宋"/>
          <w:spacing w:val="29"/>
          <w:sz w:val="27"/>
          <w:szCs w:val="27"/>
          <w:highlight w:val="none"/>
          <w:lang w:eastAsia="zh-CN"/>
        </w:rPr>
        <w:t>投标文件与本协议和招标文件冲突之处，以本合同为准；</w:t>
      </w:r>
    </w:p>
    <w:p>
      <w:pPr>
        <w:spacing w:line="560" w:lineRule="exact"/>
        <w:ind w:firstLine="656" w:firstLineChars="200"/>
        <w:jc w:val="both"/>
        <w:rPr>
          <w:rFonts w:ascii="仿宋" w:hAnsi="仿宋" w:eastAsia="仿宋" w:cs="仿宋"/>
          <w:spacing w:val="29"/>
          <w:sz w:val="27"/>
          <w:szCs w:val="27"/>
          <w:highlight w:val="none"/>
          <w:lang w:eastAsia="zh-CN"/>
        </w:rPr>
      </w:pPr>
      <w:r>
        <w:rPr>
          <w:rFonts w:hint="eastAsia" w:ascii="仿宋" w:hAnsi="仿宋" w:eastAsia="仿宋" w:cs="仿宋"/>
          <w:spacing w:val="29"/>
          <w:sz w:val="27"/>
          <w:szCs w:val="27"/>
          <w:highlight w:val="none"/>
          <w:lang w:eastAsia="zh-CN"/>
        </w:rPr>
        <w:t>同等效力文件冲突的，以有利于甲方的解释为准。</w:t>
      </w:r>
    </w:p>
    <w:p>
      <w:pPr>
        <w:spacing w:line="560" w:lineRule="exact"/>
        <w:ind w:firstLine="656" w:firstLineChars="200"/>
        <w:jc w:val="both"/>
        <w:rPr>
          <w:rFonts w:ascii="仿宋" w:hAnsi="仿宋" w:eastAsia="仿宋" w:cs="仿宋"/>
          <w:spacing w:val="29"/>
          <w:sz w:val="27"/>
          <w:szCs w:val="27"/>
          <w:highlight w:val="none"/>
          <w:lang w:eastAsia="zh-CN"/>
        </w:rPr>
      </w:pPr>
      <w:r>
        <w:rPr>
          <w:rFonts w:hint="eastAsia" w:ascii="仿宋" w:hAnsi="仿宋" w:eastAsia="仿宋" w:cs="仿宋"/>
          <w:spacing w:val="29"/>
          <w:sz w:val="27"/>
          <w:szCs w:val="27"/>
          <w:highlight w:val="none"/>
          <w:lang w:eastAsia="zh-CN"/>
        </w:rPr>
        <w:t>3.乙方在此保证全部按照合同规定向甲方提供货物和服务，并负责可能的弥补缺陷。</w:t>
      </w:r>
    </w:p>
    <w:p>
      <w:pPr>
        <w:spacing w:line="560" w:lineRule="exact"/>
        <w:ind w:firstLine="560" w:firstLineChars="200"/>
        <w:jc w:val="both"/>
        <w:rPr>
          <w:rFonts w:ascii="仿宋" w:hAnsi="仿宋" w:eastAsia="仿宋" w:cs="仿宋"/>
          <w:sz w:val="28"/>
          <w:szCs w:val="28"/>
          <w:highlight w:val="none"/>
          <w:lang w:eastAsia="zh-CN"/>
        </w:rPr>
        <w:sectPr>
          <w:footerReference r:id="rId34" w:type="default"/>
          <w:pgSz w:w="12180" w:h="17030"/>
          <w:pgMar w:top="1447" w:right="1827" w:bottom="2521" w:left="1827" w:header="0" w:footer="2392" w:gutter="0"/>
          <w:pgNumType w:fmt="decimal"/>
          <w:cols w:space="720" w:num="1"/>
        </w:sectPr>
      </w:pPr>
    </w:p>
    <w:p>
      <w:pPr>
        <w:pStyle w:val="7"/>
        <w:spacing w:line="249" w:lineRule="auto"/>
        <w:rPr>
          <w:highlight w:val="none"/>
          <w:lang w:eastAsia="zh-CN"/>
        </w:rPr>
      </w:pPr>
    </w:p>
    <w:p>
      <w:pPr>
        <w:spacing w:before="127" w:line="223" w:lineRule="auto"/>
        <w:ind w:left="3409" w:firstLine="376" w:firstLineChars="100"/>
        <w:rPr>
          <w:rFonts w:ascii="黑体" w:hAnsi="黑体" w:eastAsia="黑体" w:cs="黑体"/>
          <w:sz w:val="39"/>
          <w:szCs w:val="39"/>
          <w:highlight w:val="none"/>
          <w:lang w:eastAsia="zh-CN"/>
        </w:rPr>
      </w:pPr>
      <w:r>
        <w:rPr>
          <w:rFonts w:ascii="黑体" w:hAnsi="黑体" w:eastAsia="黑体" w:cs="黑体"/>
          <w:b/>
          <w:bCs/>
          <w:spacing w:val="-8"/>
          <w:sz w:val="39"/>
          <w:szCs w:val="39"/>
          <w:highlight w:val="none"/>
          <w:lang w:eastAsia="zh-CN"/>
        </w:rPr>
        <w:t>合同条款</w:t>
      </w:r>
    </w:p>
    <w:p>
      <w:pPr>
        <w:pStyle w:val="32"/>
        <w:ind w:firstLine="522"/>
        <w:rPr>
          <w:highlight w:val="none"/>
          <w:lang w:eastAsia="zh-CN"/>
        </w:rPr>
      </w:pPr>
      <w:r>
        <w:rPr>
          <w:spacing w:val="-9"/>
          <w:highlight w:val="none"/>
          <w:lang w:eastAsia="zh-CN"/>
        </w:rPr>
        <w:t>一</w:t>
      </w:r>
      <w:r>
        <w:rPr>
          <w:spacing w:val="-37"/>
          <w:highlight w:val="none"/>
          <w:lang w:eastAsia="zh-CN"/>
        </w:rPr>
        <w:t xml:space="preserve"> </w:t>
      </w:r>
      <w:r>
        <w:rPr>
          <w:spacing w:val="-9"/>
          <w:highlight w:val="none"/>
          <w:lang w:eastAsia="zh-CN"/>
        </w:rPr>
        <w:t>、合同条款资料表</w:t>
      </w:r>
    </w:p>
    <w:p>
      <w:pPr>
        <w:spacing w:line="87" w:lineRule="exact"/>
        <w:rPr>
          <w:highlight w:val="none"/>
          <w:lang w:eastAsia="zh-CN"/>
        </w:rPr>
      </w:pPr>
    </w:p>
    <w:tbl>
      <w:tblPr>
        <w:tblStyle w:val="30"/>
        <w:tblW w:w="7519"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61"/>
        <w:gridCol w:w="6458"/>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exact"/>
          <w:jc w:val="center"/>
        </w:trPr>
        <w:tc>
          <w:tcPr>
            <w:tcW w:w="1061" w:type="dxa"/>
            <w:noWrap w:val="0"/>
            <w:vAlign w:val="center"/>
          </w:tcPr>
          <w:p>
            <w:pPr>
              <w:pStyle w:val="31"/>
              <w:spacing w:before="32" w:line="195" w:lineRule="auto"/>
              <w:ind w:left="174"/>
              <w:jc w:val="center"/>
              <w:rPr>
                <w:rFonts w:hint="eastAsia" w:ascii="仿宋" w:hAnsi="仿宋" w:eastAsia="仿宋" w:cs="仿宋"/>
                <w:highlight w:val="none"/>
              </w:rPr>
            </w:pPr>
            <w:r>
              <w:rPr>
                <w:rFonts w:hint="eastAsia" w:ascii="仿宋" w:hAnsi="仿宋" w:eastAsia="仿宋" w:cs="仿宋"/>
                <w:spacing w:val="4"/>
                <w:highlight w:val="none"/>
              </w:rPr>
              <w:t>条款号</w:t>
            </w:r>
          </w:p>
        </w:tc>
        <w:tc>
          <w:tcPr>
            <w:tcW w:w="6458" w:type="dxa"/>
            <w:noWrap w:val="0"/>
            <w:vAlign w:val="center"/>
          </w:tcPr>
          <w:p>
            <w:pPr>
              <w:pStyle w:val="31"/>
              <w:spacing w:before="13" w:line="213" w:lineRule="auto"/>
              <w:ind w:left="1870"/>
              <w:jc w:val="both"/>
              <w:rPr>
                <w:rFonts w:hint="eastAsia" w:ascii="仿宋" w:hAnsi="仿宋" w:eastAsia="仿宋" w:cs="仿宋"/>
                <w:highlight w:val="none"/>
              </w:rPr>
            </w:pPr>
            <w:r>
              <w:rPr>
                <w:rFonts w:hint="eastAsia" w:ascii="仿宋" w:hAnsi="仿宋" w:eastAsia="仿宋" w:cs="仿宋"/>
                <w:spacing w:val="-17"/>
                <w:highlight w:val="none"/>
              </w:rPr>
              <w:t>内</w:t>
            </w:r>
            <w:r>
              <w:rPr>
                <w:rFonts w:hint="eastAsia" w:ascii="仿宋" w:hAnsi="仿宋" w:eastAsia="仿宋" w:cs="仿宋"/>
                <w:highlight w:val="none"/>
              </w:rPr>
              <w:t xml:space="preserve">                 </w:t>
            </w:r>
            <w:r>
              <w:rPr>
                <w:rFonts w:hint="eastAsia" w:ascii="仿宋" w:hAnsi="仿宋" w:eastAsia="仿宋" w:cs="仿宋"/>
                <w:spacing w:val="-17"/>
                <w:highlight w:val="none"/>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exact"/>
          <w:jc w:val="center"/>
        </w:trPr>
        <w:tc>
          <w:tcPr>
            <w:tcW w:w="1061" w:type="dxa"/>
            <w:noWrap w:val="0"/>
            <w:vAlign w:val="center"/>
          </w:tcPr>
          <w:p>
            <w:pPr>
              <w:pStyle w:val="31"/>
              <w:spacing w:before="209" w:line="184" w:lineRule="auto"/>
              <w:ind w:left="424"/>
              <w:jc w:val="both"/>
              <w:rPr>
                <w:rFonts w:hint="eastAsia" w:ascii="仿宋" w:hAnsi="仿宋" w:eastAsia="仿宋" w:cs="仿宋"/>
                <w:highlight w:val="none"/>
              </w:rPr>
            </w:pPr>
            <w:r>
              <w:rPr>
                <w:rFonts w:hint="eastAsia" w:ascii="仿宋" w:hAnsi="仿宋" w:eastAsia="仿宋" w:cs="仿宋"/>
                <w:highlight w:val="none"/>
              </w:rPr>
              <w:t>1</w:t>
            </w:r>
          </w:p>
        </w:tc>
        <w:tc>
          <w:tcPr>
            <w:tcW w:w="6458" w:type="dxa"/>
            <w:noWrap w:val="0"/>
            <w:vAlign w:val="center"/>
          </w:tcPr>
          <w:p>
            <w:pPr>
              <w:pStyle w:val="31"/>
              <w:spacing w:before="9" w:line="219" w:lineRule="auto"/>
              <w:ind w:left="50"/>
              <w:rPr>
                <w:rFonts w:hint="eastAsia" w:ascii="仿宋" w:hAnsi="仿宋" w:eastAsia="仿宋" w:cs="仿宋"/>
                <w:highlight w:val="none"/>
                <w:lang w:eastAsia="zh-CN"/>
              </w:rPr>
            </w:pPr>
            <w:r>
              <w:rPr>
                <w:rFonts w:hint="eastAsia" w:ascii="仿宋" w:hAnsi="仿宋" w:eastAsia="仿宋" w:cs="仿宋"/>
                <w:highlight w:val="none"/>
                <w:lang w:eastAsia="zh-CN"/>
              </w:rPr>
              <w:t>甲方名称：</w:t>
            </w:r>
          </w:p>
          <w:p>
            <w:pPr>
              <w:pStyle w:val="31"/>
              <w:spacing w:before="23" w:line="219" w:lineRule="auto"/>
              <w:ind w:left="50"/>
              <w:rPr>
                <w:rFonts w:hint="eastAsia" w:ascii="仿宋" w:hAnsi="仿宋" w:eastAsia="仿宋" w:cs="仿宋"/>
                <w:highlight w:val="none"/>
                <w:lang w:eastAsia="zh-CN"/>
              </w:rPr>
            </w:pPr>
            <w:r>
              <w:rPr>
                <w:rFonts w:hint="eastAsia" w:ascii="仿宋" w:hAnsi="仿宋" w:eastAsia="仿宋" w:cs="仿宋"/>
                <w:spacing w:val="1"/>
                <w:highlight w:val="none"/>
                <w:lang w:eastAsia="zh-CN"/>
              </w:rPr>
              <w:t>项目现场：甲方指定地点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31" w:hRule="exact"/>
          <w:jc w:val="center"/>
        </w:trPr>
        <w:tc>
          <w:tcPr>
            <w:tcW w:w="1061" w:type="dxa"/>
            <w:noWrap w:val="0"/>
            <w:vAlign w:val="center"/>
          </w:tcPr>
          <w:p>
            <w:pPr>
              <w:pStyle w:val="31"/>
              <w:spacing w:before="213" w:line="183" w:lineRule="auto"/>
              <w:ind w:left="424"/>
              <w:jc w:val="both"/>
              <w:rPr>
                <w:rFonts w:hint="eastAsia" w:ascii="仿宋" w:hAnsi="仿宋" w:eastAsia="仿宋" w:cs="仿宋"/>
                <w:highlight w:val="none"/>
              </w:rPr>
            </w:pPr>
            <w:r>
              <w:rPr>
                <w:rFonts w:hint="eastAsia" w:ascii="仿宋" w:hAnsi="仿宋" w:eastAsia="仿宋" w:cs="仿宋"/>
                <w:highlight w:val="none"/>
              </w:rPr>
              <w:t>2</w:t>
            </w:r>
          </w:p>
        </w:tc>
        <w:tc>
          <w:tcPr>
            <w:tcW w:w="6458" w:type="dxa"/>
            <w:noWrap w:val="0"/>
            <w:vAlign w:val="center"/>
          </w:tcPr>
          <w:p>
            <w:pPr>
              <w:pStyle w:val="31"/>
              <w:spacing w:before="12" w:line="219" w:lineRule="auto"/>
              <w:ind w:left="50"/>
              <w:rPr>
                <w:rFonts w:hint="eastAsia" w:ascii="仿宋" w:hAnsi="仿宋" w:eastAsia="仿宋" w:cs="仿宋"/>
                <w:highlight w:val="none"/>
                <w:lang w:eastAsia="zh-CN"/>
              </w:rPr>
            </w:pPr>
            <w:r>
              <w:rPr>
                <w:rFonts w:hint="eastAsia" w:ascii="仿宋" w:hAnsi="仿宋" w:eastAsia="仿宋" w:cs="仿宋"/>
                <w:highlight w:val="none"/>
                <w:lang w:eastAsia="zh-CN"/>
              </w:rPr>
              <w:t>服务期：</w:t>
            </w:r>
          </w:p>
          <w:p>
            <w:pPr>
              <w:pStyle w:val="31"/>
              <w:spacing w:before="32" w:line="209" w:lineRule="auto"/>
              <w:ind w:left="70"/>
              <w:rPr>
                <w:rFonts w:hint="eastAsia" w:ascii="仿宋" w:hAnsi="仿宋" w:eastAsia="仿宋" w:cs="仿宋"/>
                <w:highlight w:val="none"/>
                <w:lang w:eastAsia="zh-CN"/>
              </w:rPr>
            </w:pPr>
            <w:r>
              <w:rPr>
                <w:rFonts w:hint="eastAsia" w:ascii="仿宋" w:hAnsi="仿宋" w:eastAsia="仿宋" w:cs="仿宋"/>
                <w:spacing w:val="1"/>
                <w:highlight w:val="none"/>
                <w:lang w:val="en-US" w:eastAsia="zh-CN"/>
              </w:rPr>
              <w:t xml:space="preserve">   </w:t>
            </w:r>
            <w:r>
              <w:rPr>
                <w:rFonts w:hint="eastAsia" w:ascii="仿宋" w:hAnsi="仿宋" w:eastAsia="仿宋" w:cs="仿宋"/>
                <w:spacing w:val="1"/>
                <w:highlight w:val="none"/>
                <w:lang w:eastAsia="zh-CN"/>
              </w:rPr>
              <w:t>年</w:t>
            </w:r>
            <w:r>
              <w:rPr>
                <w:rFonts w:hint="eastAsia" w:ascii="仿宋" w:hAnsi="仿宋" w:eastAsia="仿宋" w:cs="仿宋"/>
                <w:spacing w:val="1"/>
                <w:highlight w:val="none"/>
                <w:lang w:val="en-US" w:eastAsia="zh-CN"/>
              </w:rPr>
              <w:t xml:space="preserve">  </w:t>
            </w:r>
            <w:r>
              <w:rPr>
                <w:rFonts w:hint="eastAsia" w:ascii="仿宋" w:hAnsi="仿宋" w:eastAsia="仿宋" w:cs="仿宋"/>
                <w:spacing w:val="1"/>
                <w:highlight w:val="none"/>
                <w:lang w:eastAsia="zh-CN"/>
              </w:rPr>
              <w:t>月</w:t>
            </w:r>
            <w:r>
              <w:rPr>
                <w:rFonts w:hint="eastAsia" w:ascii="仿宋" w:hAnsi="仿宋" w:eastAsia="仿宋" w:cs="仿宋"/>
                <w:spacing w:val="1"/>
                <w:highlight w:val="none"/>
                <w:lang w:val="en-US" w:eastAsia="zh-CN"/>
              </w:rPr>
              <w:t xml:space="preserve">  </w:t>
            </w:r>
            <w:r>
              <w:rPr>
                <w:rFonts w:hint="eastAsia" w:ascii="仿宋" w:hAnsi="仿宋" w:eastAsia="仿宋" w:cs="仿宋"/>
                <w:spacing w:val="1"/>
                <w:highlight w:val="none"/>
                <w:lang w:eastAsia="zh-CN"/>
              </w:rPr>
              <w:t xml:space="preserve"> 日-</w:t>
            </w:r>
            <w:r>
              <w:rPr>
                <w:rFonts w:hint="eastAsia" w:ascii="仿宋" w:hAnsi="仿宋" w:eastAsia="仿宋" w:cs="仿宋"/>
                <w:spacing w:val="1"/>
                <w:highlight w:val="none"/>
                <w:lang w:val="en-US" w:eastAsia="zh-CN"/>
              </w:rPr>
              <w:t xml:space="preserve">   </w:t>
            </w:r>
            <w:r>
              <w:rPr>
                <w:rFonts w:hint="eastAsia" w:ascii="仿宋" w:hAnsi="仿宋" w:eastAsia="仿宋" w:cs="仿宋"/>
                <w:spacing w:val="1"/>
                <w:highlight w:val="none"/>
                <w:lang w:eastAsia="zh-CN"/>
              </w:rPr>
              <w:t xml:space="preserve">年 </w:t>
            </w:r>
            <w:r>
              <w:rPr>
                <w:rFonts w:hint="eastAsia" w:ascii="仿宋" w:hAnsi="仿宋" w:eastAsia="仿宋" w:cs="仿宋"/>
                <w:spacing w:val="1"/>
                <w:highlight w:val="none"/>
                <w:lang w:val="en-US" w:eastAsia="zh-CN"/>
              </w:rPr>
              <w:t xml:space="preserve">  </w:t>
            </w:r>
            <w:r>
              <w:rPr>
                <w:rFonts w:hint="eastAsia" w:ascii="仿宋" w:hAnsi="仿宋" w:eastAsia="仿宋" w:cs="仿宋"/>
                <w:spacing w:val="1"/>
                <w:highlight w:val="none"/>
                <w:lang w:eastAsia="zh-CN"/>
              </w:rPr>
              <w:t xml:space="preserve"> 月</w:t>
            </w:r>
            <w:r>
              <w:rPr>
                <w:rFonts w:hint="eastAsia" w:ascii="仿宋" w:hAnsi="仿宋" w:eastAsia="仿宋" w:cs="仿宋"/>
                <w:spacing w:val="1"/>
                <w:highlight w:val="none"/>
                <w:lang w:val="en-US" w:eastAsia="zh-CN"/>
              </w:rPr>
              <w:t xml:space="preserve">  </w:t>
            </w:r>
            <w:r>
              <w:rPr>
                <w:rFonts w:hint="eastAsia" w:ascii="仿宋" w:hAnsi="仿宋" w:eastAsia="仿宋" w:cs="仿宋"/>
                <w:spacing w:val="1"/>
                <w:highlight w:val="none"/>
                <w:lang w:eastAsia="zh-CN"/>
              </w:rPr>
              <w:t xml:space="preserve">  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316" w:hRule="atLeast"/>
          <w:jc w:val="center"/>
        </w:trPr>
        <w:tc>
          <w:tcPr>
            <w:tcW w:w="1061" w:type="dxa"/>
            <w:noWrap w:val="0"/>
            <w:vAlign w:val="center"/>
          </w:tcPr>
          <w:p>
            <w:pPr>
              <w:spacing w:line="408" w:lineRule="auto"/>
              <w:jc w:val="both"/>
              <w:rPr>
                <w:rFonts w:hint="eastAsia" w:ascii="仿宋" w:hAnsi="仿宋" w:eastAsia="仿宋" w:cs="仿宋"/>
                <w:highlight w:val="none"/>
                <w:lang w:eastAsia="zh-CN"/>
              </w:rPr>
            </w:pPr>
          </w:p>
          <w:p>
            <w:pPr>
              <w:pStyle w:val="31"/>
              <w:spacing w:before="65" w:line="183" w:lineRule="auto"/>
              <w:ind w:left="424"/>
              <w:jc w:val="both"/>
              <w:rPr>
                <w:rFonts w:hint="eastAsia" w:ascii="仿宋" w:hAnsi="仿宋" w:eastAsia="仿宋" w:cs="仿宋"/>
                <w:highlight w:val="none"/>
              </w:rPr>
            </w:pPr>
            <w:r>
              <w:rPr>
                <w:rFonts w:hint="eastAsia" w:ascii="仿宋" w:hAnsi="仿宋" w:eastAsia="仿宋" w:cs="仿宋"/>
                <w:highlight w:val="none"/>
              </w:rPr>
              <w:t>3</w:t>
            </w:r>
          </w:p>
        </w:tc>
        <w:tc>
          <w:tcPr>
            <w:tcW w:w="6458" w:type="dxa"/>
            <w:noWrap w:val="0"/>
            <w:vAlign w:val="center"/>
          </w:tcPr>
          <w:p>
            <w:pPr>
              <w:pStyle w:val="31"/>
              <w:spacing w:before="14" w:line="219" w:lineRule="auto"/>
              <w:ind w:left="50"/>
              <w:rPr>
                <w:rFonts w:hint="eastAsia" w:ascii="仿宋" w:hAnsi="仿宋" w:eastAsia="仿宋" w:cs="仿宋"/>
                <w:highlight w:val="none"/>
                <w:lang w:eastAsia="zh-CN"/>
              </w:rPr>
            </w:pPr>
            <w:r>
              <w:rPr>
                <w:rFonts w:hint="eastAsia" w:ascii="仿宋" w:hAnsi="仿宋" w:eastAsia="仿宋" w:cs="仿宋"/>
                <w:highlight w:val="none"/>
                <w:lang w:eastAsia="zh-CN"/>
              </w:rPr>
              <w:t>付款方式：</w:t>
            </w:r>
          </w:p>
          <w:p>
            <w:pPr>
              <w:pStyle w:val="31"/>
              <w:spacing w:before="30" w:line="227" w:lineRule="auto"/>
              <w:ind w:left="50" w:right="6" w:firstLine="390"/>
              <w:rPr>
                <w:rFonts w:hint="default" w:ascii="仿宋" w:hAnsi="仿宋" w:eastAsia="仿宋" w:cs="仿宋"/>
                <w:highlight w:val="none"/>
                <w:lang w:val="en-US" w:eastAsia="zh-CN"/>
              </w:rPr>
            </w:pPr>
            <w:r>
              <w:rPr>
                <w:rFonts w:hint="eastAsia" w:ascii="仿宋" w:hAnsi="仿宋" w:eastAsia="仿宋" w:cs="仿宋"/>
                <w:highlight w:val="none"/>
                <w:lang w:eastAsia="zh-CN"/>
              </w:rPr>
              <w:t>甲方结合招投标文件中确认的要求，按照本合同的约定对运维</w:t>
            </w:r>
            <w:r>
              <w:rPr>
                <w:rFonts w:hint="eastAsia" w:ascii="仿宋" w:hAnsi="仿宋" w:eastAsia="仿宋" w:cs="仿宋"/>
                <w:spacing w:val="7"/>
                <w:highlight w:val="none"/>
                <w:lang w:eastAsia="zh-CN"/>
              </w:rPr>
              <w:t xml:space="preserve"> </w:t>
            </w:r>
            <w:r>
              <w:rPr>
                <w:rFonts w:hint="eastAsia" w:ascii="仿宋" w:hAnsi="仿宋" w:eastAsia="仿宋" w:cs="仿宋"/>
                <w:spacing w:val="1"/>
                <w:highlight w:val="none"/>
                <w:lang w:eastAsia="zh-CN"/>
              </w:rPr>
              <w:t>单位进行考核。考核每月1次，按考核结果出具正式的考核意见。</w:t>
            </w:r>
            <w:r>
              <w:rPr>
                <w:rFonts w:hint="eastAsia" w:ascii="仿宋" w:hAnsi="仿宋" w:eastAsia="仿宋" w:cs="仿宋"/>
                <w:spacing w:val="10"/>
                <w:highlight w:val="none"/>
                <w:lang w:eastAsia="zh-CN"/>
              </w:rPr>
              <w:t xml:space="preserve"> </w:t>
            </w:r>
            <w:r>
              <w:rPr>
                <w:rFonts w:hint="eastAsia" w:ascii="仿宋" w:hAnsi="仿宋" w:eastAsia="仿宋" w:cs="仿宋"/>
                <w:highlight w:val="none"/>
                <w:lang w:eastAsia="zh-CN"/>
              </w:rPr>
              <w:t>考核意见作为运维合同付款的依据，</w:t>
            </w:r>
            <w:r>
              <w:rPr>
                <w:rFonts w:hint="eastAsia" w:ascii="仿宋" w:hAnsi="仿宋" w:eastAsia="仿宋" w:cs="仿宋"/>
                <w:highlight w:val="none"/>
                <w:lang w:val="en-US" w:eastAsia="zh-CN"/>
              </w:rPr>
              <w:t>甲方每季度组织专家对乙方运维质量做出定性评价，甲方根据专家意见及打分情况进行资金拨付。</w:t>
            </w:r>
          </w:p>
        </w:tc>
      </w:tr>
    </w:tbl>
    <w:p>
      <w:pPr>
        <w:pStyle w:val="32"/>
        <w:ind w:firstLine="522"/>
        <w:rPr>
          <w:spacing w:val="-9"/>
          <w:highlight w:val="none"/>
          <w:lang w:eastAsia="zh-CN"/>
        </w:rPr>
      </w:pPr>
      <w:r>
        <w:rPr>
          <w:spacing w:val="-9"/>
          <w:highlight w:val="none"/>
          <w:lang w:eastAsia="zh-CN"/>
        </w:rPr>
        <w:t>二 、运维对象及要求</w:t>
      </w:r>
    </w:p>
    <w:p>
      <w:pPr>
        <w:spacing w:line="560" w:lineRule="exact"/>
        <w:ind w:firstLine="540" w:firstLineChars="200"/>
        <w:rPr>
          <w:rFonts w:hint="eastAsia" w:ascii="仿宋" w:hAnsi="仿宋" w:eastAsia="仿宋" w:cs="仿宋"/>
          <w:kern w:val="2"/>
          <w:sz w:val="27"/>
          <w:szCs w:val="27"/>
          <w:highlight w:val="none"/>
          <w:lang w:eastAsia="zh-CN"/>
        </w:rPr>
      </w:pPr>
      <w:r>
        <w:rPr>
          <w:rFonts w:hint="eastAsia" w:ascii="仿宋" w:hAnsi="仿宋" w:eastAsia="仿宋" w:cs="仿宋"/>
          <w:kern w:val="2"/>
          <w:sz w:val="27"/>
          <w:szCs w:val="27"/>
          <w:highlight w:val="none"/>
          <w:lang w:eastAsia="zh-CN"/>
        </w:rPr>
        <w:t>本项目的运维资金是为确保重金属在线监测仪器（ICP-MS）正常运行所需的所有费用，包括但不限于重金属在线监测（ICP-MS）系统运行费用，</w:t>
      </w:r>
      <w:r>
        <w:rPr>
          <w:rFonts w:hint="eastAsia" w:ascii="仿宋" w:hAnsi="仿宋" w:eastAsia="仿宋" w:cs="仿宋"/>
          <w:kern w:val="2"/>
          <w:sz w:val="27"/>
          <w:szCs w:val="27"/>
          <w:highlight w:val="none"/>
          <w:lang w:val="en-US" w:eastAsia="zh-CN"/>
        </w:rPr>
        <w:t>包括</w:t>
      </w:r>
      <w:r>
        <w:rPr>
          <w:rFonts w:hint="eastAsia" w:ascii="仿宋" w:hAnsi="仿宋" w:eastAsia="仿宋" w:cs="仿宋"/>
          <w:kern w:val="2"/>
          <w:sz w:val="27"/>
          <w:szCs w:val="27"/>
          <w:highlight w:val="none"/>
          <w:lang w:eastAsia="zh-CN"/>
        </w:rPr>
        <w:t>开展运行维护所需人员、车辆费用，仪器设备备品备件和耗材费用，水、电</w:t>
      </w:r>
      <w:r>
        <w:rPr>
          <w:rFonts w:hint="eastAsia" w:ascii="仿宋" w:hAnsi="仿宋" w:eastAsia="仿宋" w:cs="仿宋"/>
          <w:kern w:val="2"/>
          <w:sz w:val="27"/>
          <w:szCs w:val="27"/>
          <w:highlight w:val="none"/>
          <w:lang w:val="en-US" w:eastAsia="zh-CN"/>
        </w:rPr>
        <w:t>、</w:t>
      </w:r>
      <w:r>
        <w:rPr>
          <w:rFonts w:hint="eastAsia" w:ascii="仿宋" w:hAnsi="仿宋" w:eastAsia="仿宋" w:cs="仿宋"/>
          <w:kern w:val="2"/>
          <w:sz w:val="27"/>
          <w:szCs w:val="27"/>
          <w:highlight w:val="none"/>
          <w:lang w:eastAsia="zh-CN"/>
        </w:rPr>
        <w:t>网络等设施的每年检修、维护使用费等</w:t>
      </w:r>
      <w:r>
        <w:rPr>
          <w:rFonts w:hint="eastAsia" w:ascii="仿宋" w:hAnsi="仿宋" w:eastAsia="仿宋" w:cs="仿宋"/>
          <w:kern w:val="2"/>
          <w:sz w:val="27"/>
          <w:szCs w:val="27"/>
          <w:highlight w:val="none"/>
          <w:lang w:val="en-US" w:eastAsia="zh-CN"/>
        </w:rPr>
        <w:t>与运维作业相关的费用</w:t>
      </w:r>
      <w:r>
        <w:rPr>
          <w:rFonts w:hint="eastAsia" w:ascii="仿宋" w:hAnsi="仿宋" w:eastAsia="仿宋" w:cs="仿宋"/>
          <w:kern w:val="2"/>
          <w:sz w:val="27"/>
          <w:szCs w:val="27"/>
          <w:highlight w:val="none"/>
          <w:lang w:eastAsia="zh-CN"/>
        </w:rPr>
        <w:t>。</w:t>
      </w:r>
    </w:p>
    <w:p>
      <w:pPr>
        <w:spacing w:line="560" w:lineRule="exact"/>
        <w:ind w:firstLine="540" w:firstLineChars="200"/>
        <w:rPr>
          <w:rFonts w:hint="eastAsia" w:ascii="仿宋" w:hAnsi="仿宋" w:eastAsia="仿宋" w:cs="仿宋"/>
          <w:kern w:val="2"/>
          <w:sz w:val="27"/>
          <w:szCs w:val="27"/>
          <w:highlight w:val="none"/>
          <w:lang w:eastAsia="zh-CN"/>
        </w:rPr>
      </w:pPr>
      <w:r>
        <w:rPr>
          <w:rFonts w:hint="eastAsia" w:ascii="仿宋" w:hAnsi="仿宋" w:eastAsia="仿宋" w:cs="仿宋"/>
          <w:kern w:val="2"/>
          <w:sz w:val="27"/>
          <w:szCs w:val="27"/>
          <w:highlight w:val="none"/>
          <w:lang w:eastAsia="zh-CN"/>
        </w:rPr>
        <w:t>乙方须按照本项目“四、运维要求”的规定，对重金属在线监测仪器（ICP-MS）开展运行维护，保证自动监测数据准确可靠。</w:t>
      </w:r>
    </w:p>
    <w:p>
      <w:pPr>
        <w:spacing w:line="560" w:lineRule="exact"/>
        <w:ind w:firstLine="540" w:firstLineChars="200"/>
        <w:rPr>
          <w:rFonts w:hint="eastAsia" w:ascii="仿宋" w:hAnsi="仿宋" w:eastAsia="仿宋" w:cs="仿宋"/>
          <w:kern w:val="2"/>
          <w:sz w:val="27"/>
          <w:szCs w:val="27"/>
          <w:highlight w:val="none"/>
          <w:lang w:eastAsia="zh-CN"/>
        </w:rPr>
      </w:pPr>
      <w:r>
        <w:rPr>
          <w:rFonts w:hint="eastAsia" w:ascii="仿宋" w:hAnsi="仿宋" w:eastAsia="仿宋" w:cs="仿宋"/>
          <w:kern w:val="2"/>
          <w:sz w:val="27"/>
          <w:szCs w:val="27"/>
          <w:highlight w:val="none"/>
          <w:lang w:eastAsia="zh-CN"/>
        </w:rPr>
        <w:t>当前5台重金属在线监测仪器与所在的国控水质自动监测站采水系统共用一条采水管线，乙方须遵守国控水质自动监测站的各项规章制度，爱护基础设施，不能对国控水质自动监测站内其他仪器做任何操作，因乙方的行为造成的一切后果，由乙方独自承担，与甲方无关。乙方须制定详细可行的运维方案，并根据制定的运维方案进行运维。</w:t>
      </w:r>
    </w:p>
    <w:p>
      <w:pPr>
        <w:pStyle w:val="32"/>
        <w:ind w:firstLine="498"/>
        <w:rPr>
          <w:highlight w:val="none"/>
          <w:lang w:eastAsia="zh-CN"/>
        </w:rPr>
      </w:pPr>
      <w:r>
        <w:rPr>
          <w:spacing w:val="-21"/>
          <w:highlight w:val="none"/>
          <w:lang w:eastAsia="zh-CN"/>
        </w:rPr>
        <w:t>三</w:t>
      </w:r>
      <w:r>
        <w:rPr>
          <w:spacing w:val="38"/>
          <w:highlight w:val="none"/>
          <w:lang w:eastAsia="zh-CN"/>
        </w:rPr>
        <w:t xml:space="preserve"> </w:t>
      </w:r>
      <w:r>
        <w:rPr>
          <w:spacing w:val="-21"/>
          <w:highlight w:val="none"/>
          <w:lang w:eastAsia="zh-CN"/>
        </w:rPr>
        <w:t>、项目主要内容</w:t>
      </w:r>
    </w:p>
    <w:p>
      <w:pPr>
        <w:spacing w:line="560" w:lineRule="exact"/>
        <w:ind w:firstLine="540" w:firstLineChars="200"/>
        <w:rPr>
          <w:rFonts w:ascii="仿宋" w:hAnsi="仿宋" w:eastAsia="仿宋" w:cs="仿宋"/>
          <w:kern w:val="2"/>
          <w:sz w:val="27"/>
          <w:szCs w:val="27"/>
          <w:highlight w:val="none"/>
          <w:lang w:eastAsia="zh-CN"/>
        </w:rPr>
      </w:pPr>
      <w:r>
        <w:rPr>
          <w:rFonts w:hint="eastAsia" w:ascii="仿宋" w:hAnsi="仿宋" w:eastAsia="仿宋" w:cs="仿宋"/>
          <w:kern w:val="2"/>
          <w:sz w:val="27"/>
          <w:szCs w:val="27"/>
          <w:highlight w:val="none"/>
          <w:lang w:eastAsia="zh-CN"/>
        </w:rPr>
        <w:t>本项目包含安装在南阳市淅川县陶岔、五龙泉、张营、荆紫关及西峡</w:t>
      </w:r>
      <w:r>
        <w:rPr>
          <w:rFonts w:hint="eastAsia" w:ascii="仿宋" w:hAnsi="仿宋" w:eastAsia="仿宋" w:cs="仿宋"/>
          <w:kern w:val="2"/>
          <w:sz w:val="27"/>
          <w:szCs w:val="27"/>
          <w:highlight w:val="none"/>
          <w:lang w:val="en-US" w:eastAsia="zh-CN"/>
        </w:rPr>
        <w:t>县</w:t>
      </w:r>
      <w:r>
        <w:rPr>
          <w:rFonts w:hint="eastAsia" w:ascii="仿宋" w:hAnsi="仿宋" w:eastAsia="仿宋" w:cs="仿宋"/>
          <w:kern w:val="2"/>
          <w:sz w:val="27"/>
          <w:szCs w:val="27"/>
          <w:highlight w:val="none"/>
          <w:lang w:eastAsia="zh-CN"/>
        </w:rPr>
        <w:t>三道河5个国控水质自动监测站站房内的共5台重金属在线监测仪（ICP-MS）的日常运维，采购社会化第三方运维服务。运维期为</w:t>
      </w:r>
      <w:r>
        <w:rPr>
          <w:rFonts w:hint="eastAsia" w:ascii="仿宋" w:hAnsi="仿宋" w:eastAsia="仿宋" w:cs="仿宋"/>
          <w:kern w:val="2"/>
          <w:sz w:val="27"/>
          <w:szCs w:val="27"/>
          <w:highlight w:val="none"/>
          <w:lang w:val="en-US" w:eastAsia="zh-CN"/>
        </w:rPr>
        <w:t xml:space="preserve">   </w:t>
      </w:r>
      <w:r>
        <w:rPr>
          <w:rFonts w:hint="eastAsia" w:ascii="仿宋" w:hAnsi="仿宋" w:eastAsia="仿宋" w:cs="仿宋"/>
          <w:kern w:val="2"/>
          <w:sz w:val="27"/>
          <w:szCs w:val="27"/>
          <w:highlight w:val="none"/>
          <w:lang w:eastAsia="zh-CN"/>
        </w:rPr>
        <w:t>年</w:t>
      </w:r>
      <w:r>
        <w:rPr>
          <w:rFonts w:hint="eastAsia" w:ascii="仿宋" w:hAnsi="仿宋" w:eastAsia="仿宋" w:cs="仿宋"/>
          <w:kern w:val="2"/>
          <w:sz w:val="27"/>
          <w:szCs w:val="27"/>
          <w:highlight w:val="none"/>
          <w:lang w:val="en-US" w:eastAsia="zh-CN"/>
        </w:rPr>
        <w:t xml:space="preserve">  </w:t>
      </w:r>
      <w:r>
        <w:rPr>
          <w:rFonts w:hint="eastAsia" w:ascii="仿宋" w:hAnsi="仿宋" w:eastAsia="仿宋" w:cs="仿宋"/>
          <w:kern w:val="2"/>
          <w:sz w:val="27"/>
          <w:szCs w:val="27"/>
          <w:highlight w:val="none"/>
          <w:lang w:eastAsia="zh-CN"/>
        </w:rPr>
        <w:t>月</w:t>
      </w:r>
      <w:r>
        <w:rPr>
          <w:rFonts w:hint="eastAsia" w:ascii="仿宋" w:hAnsi="仿宋" w:eastAsia="仿宋" w:cs="仿宋"/>
          <w:kern w:val="2"/>
          <w:sz w:val="27"/>
          <w:szCs w:val="27"/>
          <w:highlight w:val="none"/>
          <w:lang w:val="en-US" w:eastAsia="zh-CN"/>
        </w:rPr>
        <w:t xml:space="preserve">  </w:t>
      </w:r>
      <w:r>
        <w:rPr>
          <w:rFonts w:hint="eastAsia" w:ascii="仿宋" w:hAnsi="仿宋" w:eastAsia="仿宋" w:cs="仿宋"/>
          <w:kern w:val="2"/>
          <w:sz w:val="27"/>
          <w:szCs w:val="27"/>
          <w:highlight w:val="none"/>
          <w:lang w:eastAsia="zh-CN"/>
        </w:rPr>
        <w:t>日起至</w:t>
      </w:r>
      <w:r>
        <w:rPr>
          <w:rFonts w:hint="eastAsia" w:ascii="仿宋" w:hAnsi="仿宋" w:eastAsia="仿宋" w:cs="仿宋"/>
          <w:kern w:val="2"/>
          <w:sz w:val="27"/>
          <w:szCs w:val="27"/>
          <w:highlight w:val="none"/>
          <w:lang w:val="en-US" w:eastAsia="zh-CN"/>
        </w:rPr>
        <w:t xml:space="preserve">  </w:t>
      </w:r>
      <w:r>
        <w:rPr>
          <w:rFonts w:hint="eastAsia" w:ascii="仿宋" w:hAnsi="仿宋" w:eastAsia="仿宋" w:cs="仿宋"/>
          <w:kern w:val="2"/>
          <w:sz w:val="27"/>
          <w:szCs w:val="27"/>
          <w:highlight w:val="none"/>
          <w:lang w:eastAsia="zh-CN"/>
        </w:rPr>
        <w:t>年</w:t>
      </w:r>
      <w:r>
        <w:rPr>
          <w:rFonts w:hint="eastAsia" w:ascii="仿宋" w:hAnsi="仿宋" w:eastAsia="仿宋" w:cs="仿宋"/>
          <w:kern w:val="2"/>
          <w:sz w:val="27"/>
          <w:szCs w:val="27"/>
          <w:highlight w:val="none"/>
          <w:lang w:val="en-US" w:eastAsia="zh-CN"/>
        </w:rPr>
        <w:t xml:space="preserve">  </w:t>
      </w:r>
      <w:r>
        <w:rPr>
          <w:rFonts w:hint="eastAsia" w:ascii="仿宋" w:hAnsi="仿宋" w:eastAsia="仿宋" w:cs="仿宋"/>
          <w:kern w:val="2"/>
          <w:sz w:val="27"/>
          <w:szCs w:val="27"/>
          <w:highlight w:val="none"/>
          <w:lang w:eastAsia="zh-CN"/>
        </w:rPr>
        <w:t>月</w:t>
      </w:r>
      <w:r>
        <w:rPr>
          <w:rFonts w:hint="eastAsia" w:ascii="仿宋" w:hAnsi="仿宋" w:eastAsia="仿宋" w:cs="仿宋"/>
          <w:kern w:val="2"/>
          <w:sz w:val="27"/>
          <w:szCs w:val="27"/>
          <w:highlight w:val="none"/>
          <w:lang w:val="en-US" w:eastAsia="zh-CN"/>
        </w:rPr>
        <w:t xml:space="preserve">  </w:t>
      </w:r>
      <w:r>
        <w:rPr>
          <w:rFonts w:hint="eastAsia" w:ascii="仿宋" w:hAnsi="仿宋" w:eastAsia="仿宋" w:cs="仿宋"/>
          <w:kern w:val="2"/>
          <w:sz w:val="27"/>
          <w:szCs w:val="27"/>
          <w:highlight w:val="none"/>
          <w:lang w:eastAsia="zh-CN"/>
        </w:rPr>
        <w:t>日，项目预算金额为</w:t>
      </w:r>
      <w:r>
        <w:rPr>
          <w:rFonts w:hint="eastAsia" w:ascii="仿宋" w:hAnsi="仿宋" w:eastAsia="仿宋" w:cs="仿宋"/>
          <w:kern w:val="2"/>
          <w:sz w:val="27"/>
          <w:szCs w:val="27"/>
          <w:highlight w:val="none"/>
          <w:lang w:val="en-US" w:eastAsia="zh-CN"/>
        </w:rPr>
        <w:t xml:space="preserve">          </w:t>
      </w:r>
      <w:r>
        <w:rPr>
          <w:rFonts w:ascii="仿宋" w:hAnsi="仿宋" w:eastAsia="仿宋" w:cs="仿宋"/>
          <w:spacing w:val="7"/>
          <w:sz w:val="27"/>
          <w:szCs w:val="27"/>
          <w:highlight w:val="none"/>
          <w:lang w:eastAsia="zh-CN"/>
        </w:rPr>
        <w:t>元</w:t>
      </w:r>
      <w:r>
        <w:rPr>
          <w:rFonts w:hint="eastAsia" w:ascii="仿宋" w:hAnsi="仿宋" w:eastAsia="仿宋" w:cs="仿宋"/>
          <w:kern w:val="2"/>
          <w:sz w:val="27"/>
          <w:szCs w:val="27"/>
          <w:highlight w:val="none"/>
          <w:lang w:eastAsia="zh-CN"/>
        </w:rPr>
        <w:t>。</w:t>
      </w:r>
    </w:p>
    <w:p>
      <w:pPr>
        <w:spacing w:line="560" w:lineRule="exact"/>
        <w:ind w:firstLine="540" w:firstLineChars="200"/>
        <w:rPr>
          <w:rFonts w:ascii="仿宋" w:hAnsi="仿宋" w:eastAsia="仿宋" w:cs="仿宋"/>
          <w:kern w:val="2"/>
          <w:sz w:val="27"/>
          <w:szCs w:val="27"/>
          <w:highlight w:val="none"/>
          <w:lang w:eastAsia="zh-CN"/>
        </w:rPr>
      </w:pPr>
      <w:r>
        <w:rPr>
          <w:rFonts w:hint="eastAsia" w:ascii="仿宋" w:hAnsi="仿宋" w:eastAsia="仿宋" w:cs="仿宋"/>
          <w:kern w:val="2"/>
          <w:sz w:val="27"/>
          <w:szCs w:val="27"/>
          <w:highlight w:val="none"/>
          <w:lang w:eastAsia="zh-CN"/>
        </w:rPr>
        <w:t>项目目标为确保5台</w:t>
      </w:r>
      <w:r>
        <w:rPr>
          <w:rFonts w:hint="eastAsia" w:ascii="仿宋" w:hAnsi="仿宋" w:eastAsia="仿宋" w:cs="仿宋"/>
          <w:sz w:val="27"/>
          <w:szCs w:val="27"/>
          <w:highlight w:val="none"/>
          <w:lang w:eastAsia="zh-CN"/>
        </w:rPr>
        <w:t>重金属在线监测仪器（ICP-MS）的</w:t>
      </w:r>
      <w:r>
        <w:rPr>
          <w:rFonts w:hint="eastAsia" w:ascii="仿宋" w:hAnsi="仿宋" w:eastAsia="仿宋" w:cs="仿宋"/>
          <w:kern w:val="2"/>
          <w:sz w:val="27"/>
          <w:szCs w:val="27"/>
          <w:highlight w:val="none"/>
          <w:lang w:eastAsia="zh-CN"/>
        </w:rPr>
        <w:t>运行正常稳定，监测数据科学准确、可靠。采取全托管的方式对5台</w:t>
      </w:r>
      <w:r>
        <w:rPr>
          <w:rFonts w:hint="eastAsia" w:ascii="仿宋" w:hAnsi="仿宋" w:eastAsia="仿宋" w:cs="仿宋"/>
          <w:sz w:val="27"/>
          <w:szCs w:val="27"/>
          <w:highlight w:val="none"/>
          <w:lang w:eastAsia="zh-CN"/>
        </w:rPr>
        <w:t>重金属在线监测仪器（ICP-MS）</w:t>
      </w:r>
      <w:r>
        <w:rPr>
          <w:rFonts w:hint="eastAsia" w:ascii="仿宋" w:hAnsi="仿宋" w:eastAsia="仿宋" w:cs="仿宋"/>
          <w:kern w:val="2"/>
          <w:sz w:val="27"/>
          <w:szCs w:val="27"/>
          <w:highlight w:val="none"/>
          <w:lang w:eastAsia="zh-CN"/>
        </w:rPr>
        <w:t>开展日常运维质控工作，主要内容包括：</w:t>
      </w:r>
    </w:p>
    <w:p>
      <w:pPr>
        <w:spacing w:line="560" w:lineRule="exact"/>
        <w:ind w:firstLine="540" w:firstLineChars="200"/>
        <w:rPr>
          <w:rFonts w:ascii="仿宋" w:hAnsi="仿宋" w:eastAsia="仿宋" w:cs="仿宋"/>
          <w:kern w:val="2"/>
          <w:sz w:val="27"/>
          <w:szCs w:val="27"/>
          <w:highlight w:val="none"/>
          <w:lang w:eastAsia="zh-CN"/>
        </w:rPr>
      </w:pPr>
      <w:r>
        <w:rPr>
          <w:rFonts w:hint="eastAsia" w:ascii="仿宋" w:hAnsi="仿宋" w:eastAsia="仿宋" w:cs="仿宋"/>
          <w:sz w:val="27"/>
          <w:szCs w:val="27"/>
          <w:highlight w:val="none"/>
          <w:lang w:eastAsia="zh-CN"/>
        </w:rPr>
        <w:t>重金属在线监测仪器（ICP-MS）</w:t>
      </w:r>
      <w:r>
        <w:rPr>
          <w:rFonts w:hint="eastAsia" w:ascii="仿宋" w:hAnsi="仿宋" w:eastAsia="仿宋" w:cs="仿宋"/>
          <w:kern w:val="2"/>
          <w:sz w:val="27"/>
          <w:szCs w:val="27"/>
          <w:highlight w:val="none"/>
          <w:lang w:eastAsia="zh-CN"/>
        </w:rPr>
        <w:t>的日常运行维护，包括仪器自动监测系统的配水单元、监测单元、数据传输和分析单元、质控单元、辅助单元、供电供水单元等各个部分。</w:t>
      </w:r>
    </w:p>
    <w:p>
      <w:pPr>
        <w:spacing w:line="360" w:lineRule="auto"/>
        <w:ind w:firstLine="540" w:firstLineChars="200"/>
        <w:rPr>
          <w:rFonts w:ascii="仿宋" w:hAnsi="仿宋" w:eastAsia="仿宋" w:cs="仿宋"/>
          <w:kern w:val="2"/>
          <w:sz w:val="27"/>
          <w:szCs w:val="27"/>
          <w:highlight w:val="none"/>
          <w:lang w:eastAsia="zh-CN"/>
        </w:rPr>
      </w:pPr>
      <w:r>
        <w:rPr>
          <w:rFonts w:hint="eastAsia" w:ascii="仿宋" w:hAnsi="仿宋" w:eastAsia="仿宋" w:cs="仿宋"/>
          <w:kern w:val="2"/>
          <w:sz w:val="27"/>
          <w:szCs w:val="27"/>
          <w:highlight w:val="none"/>
          <w:lang w:eastAsia="zh-CN"/>
        </w:rPr>
        <w:t>项目所在位置相关信息：</w:t>
      </w:r>
    </w:p>
    <w:tbl>
      <w:tblPr>
        <w:tblStyle w:val="16"/>
        <w:tblW w:w="89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30"/>
        <w:gridCol w:w="4394"/>
        <w:gridCol w:w="29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noWrap w:val="0"/>
            <w:vAlign w:val="center"/>
          </w:tcPr>
          <w:p>
            <w:pPr>
              <w:widowControl w:val="0"/>
              <w:spacing w:line="360" w:lineRule="auto"/>
              <w:jc w:val="center"/>
              <w:rPr>
                <w:rFonts w:ascii="仿宋" w:hAnsi="仿宋" w:eastAsia="仿宋" w:cs="仿宋"/>
                <w:kern w:val="2"/>
                <w:sz w:val="27"/>
                <w:szCs w:val="27"/>
                <w:highlight w:val="none"/>
                <w:lang w:eastAsia="zh-CN"/>
              </w:rPr>
            </w:pPr>
            <w:r>
              <w:rPr>
                <w:rFonts w:hint="eastAsia" w:ascii="仿宋" w:hAnsi="仿宋" w:eastAsia="仿宋" w:cs="仿宋"/>
                <w:kern w:val="2"/>
                <w:sz w:val="27"/>
                <w:szCs w:val="27"/>
                <w:highlight w:val="none"/>
                <w:lang w:eastAsia="zh-CN"/>
              </w:rPr>
              <w:t>仪器所在位置水站名称</w:t>
            </w:r>
          </w:p>
        </w:tc>
        <w:tc>
          <w:tcPr>
            <w:tcW w:w="4394" w:type="dxa"/>
            <w:noWrap w:val="0"/>
            <w:vAlign w:val="center"/>
          </w:tcPr>
          <w:p>
            <w:pPr>
              <w:widowControl w:val="0"/>
              <w:spacing w:line="360" w:lineRule="auto"/>
              <w:ind w:firstLine="540" w:firstLineChars="200"/>
              <w:jc w:val="center"/>
              <w:rPr>
                <w:rFonts w:ascii="仿宋" w:hAnsi="仿宋" w:eastAsia="仿宋" w:cs="仿宋"/>
                <w:kern w:val="2"/>
                <w:sz w:val="27"/>
                <w:szCs w:val="27"/>
                <w:highlight w:val="none"/>
              </w:rPr>
            </w:pPr>
            <w:r>
              <w:rPr>
                <w:rFonts w:hint="eastAsia" w:ascii="仿宋" w:hAnsi="仿宋" w:eastAsia="仿宋" w:cs="仿宋"/>
                <w:kern w:val="2"/>
                <w:sz w:val="27"/>
                <w:szCs w:val="27"/>
                <w:highlight w:val="none"/>
              </w:rPr>
              <w:t>经纬度坐标</w:t>
            </w:r>
          </w:p>
        </w:tc>
        <w:tc>
          <w:tcPr>
            <w:tcW w:w="2916" w:type="dxa"/>
            <w:noWrap w:val="0"/>
            <w:vAlign w:val="center"/>
          </w:tcPr>
          <w:p>
            <w:pPr>
              <w:widowControl w:val="0"/>
              <w:spacing w:line="360" w:lineRule="auto"/>
              <w:ind w:firstLine="540" w:firstLineChars="200"/>
              <w:jc w:val="center"/>
              <w:rPr>
                <w:rFonts w:ascii="仿宋" w:hAnsi="仿宋" w:eastAsia="仿宋" w:cs="仿宋"/>
                <w:kern w:val="2"/>
                <w:sz w:val="27"/>
                <w:szCs w:val="27"/>
                <w:highlight w:val="none"/>
              </w:rPr>
            </w:pPr>
            <w:r>
              <w:rPr>
                <w:rFonts w:hint="eastAsia" w:ascii="仿宋" w:hAnsi="仿宋" w:eastAsia="仿宋" w:cs="仿宋"/>
                <w:kern w:val="2"/>
                <w:sz w:val="27"/>
                <w:szCs w:val="27"/>
                <w:highlight w:val="none"/>
              </w:rPr>
              <w:t>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noWrap w:val="0"/>
            <w:vAlign w:val="center"/>
          </w:tcPr>
          <w:p>
            <w:pPr>
              <w:widowControl w:val="0"/>
              <w:spacing w:line="360" w:lineRule="auto"/>
              <w:jc w:val="center"/>
              <w:rPr>
                <w:rFonts w:ascii="仿宋" w:hAnsi="仿宋" w:eastAsia="仿宋" w:cs="仿宋"/>
                <w:kern w:val="2"/>
                <w:sz w:val="27"/>
                <w:szCs w:val="27"/>
                <w:highlight w:val="none"/>
              </w:rPr>
            </w:pPr>
            <w:r>
              <w:rPr>
                <w:rFonts w:hint="eastAsia" w:ascii="仿宋" w:hAnsi="仿宋" w:eastAsia="仿宋" w:cs="仿宋"/>
                <w:kern w:val="2"/>
                <w:sz w:val="27"/>
                <w:szCs w:val="27"/>
                <w:highlight w:val="none"/>
              </w:rPr>
              <w:t>三道河</w:t>
            </w:r>
          </w:p>
        </w:tc>
        <w:tc>
          <w:tcPr>
            <w:tcW w:w="4394" w:type="dxa"/>
            <w:noWrap w:val="0"/>
            <w:vAlign w:val="center"/>
          </w:tcPr>
          <w:p>
            <w:pPr>
              <w:widowControl w:val="0"/>
              <w:spacing w:line="360" w:lineRule="auto"/>
              <w:jc w:val="center"/>
              <w:rPr>
                <w:rFonts w:ascii="仿宋" w:hAnsi="仿宋" w:eastAsia="仿宋" w:cs="仿宋"/>
                <w:kern w:val="2"/>
                <w:sz w:val="27"/>
                <w:szCs w:val="27"/>
                <w:highlight w:val="none"/>
              </w:rPr>
            </w:pPr>
            <w:r>
              <w:rPr>
                <w:rFonts w:hint="eastAsia" w:ascii="仿宋" w:hAnsi="仿宋" w:eastAsia="仿宋" w:cs="仿宋"/>
                <w:kern w:val="2"/>
                <w:sz w:val="27"/>
                <w:szCs w:val="27"/>
                <w:highlight w:val="none"/>
              </w:rPr>
              <w:t>经度111.179006   纬度33.704044</w:t>
            </w:r>
          </w:p>
        </w:tc>
        <w:tc>
          <w:tcPr>
            <w:tcW w:w="2916" w:type="dxa"/>
            <w:noWrap w:val="0"/>
            <w:vAlign w:val="center"/>
          </w:tcPr>
          <w:p>
            <w:pPr>
              <w:widowControl w:val="0"/>
              <w:spacing w:line="360" w:lineRule="auto"/>
              <w:rPr>
                <w:rFonts w:ascii="仿宋" w:hAnsi="仿宋" w:eastAsia="仿宋" w:cs="仿宋"/>
                <w:kern w:val="2"/>
                <w:sz w:val="27"/>
                <w:szCs w:val="27"/>
                <w:highlight w:val="none"/>
                <w:lang w:eastAsia="zh-CN"/>
              </w:rPr>
            </w:pPr>
            <w:r>
              <w:rPr>
                <w:rFonts w:hint="eastAsia" w:ascii="仿宋" w:hAnsi="仿宋" w:eastAsia="仿宋" w:cs="仿宋"/>
                <w:kern w:val="2"/>
                <w:sz w:val="27"/>
                <w:szCs w:val="27"/>
                <w:highlight w:val="none"/>
                <w:lang w:eastAsia="zh-CN"/>
              </w:rPr>
              <w:t>南阳市西峡县桑坪镇黄沙村五道河村组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noWrap w:val="0"/>
            <w:vAlign w:val="center"/>
          </w:tcPr>
          <w:p>
            <w:pPr>
              <w:widowControl w:val="0"/>
              <w:spacing w:line="360" w:lineRule="auto"/>
              <w:jc w:val="center"/>
              <w:rPr>
                <w:rFonts w:ascii="仿宋" w:hAnsi="仿宋" w:eastAsia="仿宋" w:cs="仿宋"/>
                <w:kern w:val="2"/>
                <w:sz w:val="27"/>
                <w:szCs w:val="27"/>
                <w:highlight w:val="none"/>
              </w:rPr>
            </w:pPr>
            <w:r>
              <w:rPr>
                <w:rFonts w:hint="eastAsia" w:ascii="仿宋" w:hAnsi="仿宋" w:eastAsia="仿宋" w:cs="仿宋"/>
                <w:kern w:val="2"/>
                <w:sz w:val="27"/>
                <w:szCs w:val="27"/>
                <w:highlight w:val="none"/>
              </w:rPr>
              <w:t>淅川张营</w:t>
            </w:r>
          </w:p>
        </w:tc>
        <w:tc>
          <w:tcPr>
            <w:tcW w:w="4394" w:type="dxa"/>
            <w:noWrap w:val="0"/>
            <w:vAlign w:val="center"/>
          </w:tcPr>
          <w:p>
            <w:pPr>
              <w:widowControl w:val="0"/>
              <w:spacing w:line="360" w:lineRule="auto"/>
              <w:jc w:val="center"/>
              <w:rPr>
                <w:rFonts w:ascii="仿宋" w:hAnsi="仿宋" w:eastAsia="仿宋" w:cs="仿宋"/>
                <w:kern w:val="2"/>
                <w:sz w:val="27"/>
                <w:szCs w:val="27"/>
                <w:highlight w:val="none"/>
              </w:rPr>
            </w:pPr>
            <w:r>
              <w:rPr>
                <w:rFonts w:hint="eastAsia" w:ascii="仿宋" w:hAnsi="仿宋" w:eastAsia="仿宋" w:cs="仿宋"/>
                <w:kern w:val="2"/>
                <w:sz w:val="27"/>
                <w:szCs w:val="27"/>
                <w:highlight w:val="none"/>
              </w:rPr>
              <w:t>经度111.480129   纬度33.045850</w:t>
            </w:r>
          </w:p>
        </w:tc>
        <w:tc>
          <w:tcPr>
            <w:tcW w:w="2916" w:type="dxa"/>
            <w:noWrap w:val="0"/>
            <w:vAlign w:val="center"/>
          </w:tcPr>
          <w:p>
            <w:pPr>
              <w:widowControl w:val="0"/>
              <w:spacing w:line="360" w:lineRule="auto"/>
              <w:rPr>
                <w:rFonts w:ascii="仿宋" w:hAnsi="仿宋" w:eastAsia="仿宋" w:cs="仿宋"/>
                <w:kern w:val="2"/>
                <w:sz w:val="27"/>
                <w:szCs w:val="27"/>
                <w:highlight w:val="none"/>
                <w:lang w:eastAsia="zh-CN"/>
              </w:rPr>
            </w:pPr>
            <w:r>
              <w:rPr>
                <w:rFonts w:hint="eastAsia" w:ascii="仿宋" w:hAnsi="仿宋" w:eastAsia="仿宋" w:cs="仿宋"/>
                <w:kern w:val="2"/>
                <w:sz w:val="27"/>
                <w:szCs w:val="27"/>
                <w:highlight w:val="none"/>
                <w:lang w:eastAsia="zh-CN"/>
              </w:rPr>
              <w:t>南阳市淅川县上集乡贾沟村2组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noWrap w:val="0"/>
            <w:vAlign w:val="center"/>
          </w:tcPr>
          <w:p>
            <w:pPr>
              <w:widowControl w:val="0"/>
              <w:spacing w:line="360" w:lineRule="auto"/>
              <w:jc w:val="center"/>
              <w:rPr>
                <w:rFonts w:ascii="仿宋" w:hAnsi="仿宋" w:eastAsia="仿宋" w:cs="仿宋"/>
                <w:kern w:val="2"/>
                <w:sz w:val="27"/>
                <w:szCs w:val="27"/>
                <w:highlight w:val="none"/>
              </w:rPr>
            </w:pPr>
            <w:r>
              <w:rPr>
                <w:rFonts w:hint="eastAsia" w:ascii="仿宋" w:hAnsi="仿宋" w:eastAsia="仿宋" w:cs="仿宋"/>
                <w:kern w:val="2"/>
                <w:sz w:val="27"/>
                <w:szCs w:val="27"/>
                <w:highlight w:val="none"/>
              </w:rPr>
              <w:t>陶岔</w:t>
            </w:r>
          </w:p>
        </w:tc>
        <w:tc>
          <w:tcPr>
            <w:tcW w:w="4394" w:type="dxa"/>
            <w:noWrap w:val="0"/>
            <w:vAlign w:val="center"/>
          </w:tcPr>
          <w:p>
            <w:pPr>
              <w:widowControl w:val="0"/>
              <w:spacing w:line="360" w:lineRule="auto"/>
              <w:jc w:val="center"/>
              <w:rPr>
                <w:rFonts w:ascii="仿宋" w:hAnsi="仿宋" w:eastAsia="仿宋" w:cs="仿宋"/>
                <w:kern w:val="2"/>
                <w:sz w:val="27"/>
                <w:szCs w:val="27"/>
                <w:highlight w:val="none"/>
              </w:rPr>
            </w:pPr>
            <w:r>
              <w:rPr>
                <w:rFonts w:hint="eastAsia" w:ascii="仿宋" w:hAnsi="仿宋" w:eastAsia="仿宋" w:cs="仿宋"/>
                <w:kern w:val="2"/>
                <w:sz w:val="27"/>
                <w:szCs w:val="27"/>
                <w:highlight w:val="none"/>
              </w:rPr>
              <w:t>经度111.706141   纬度32.669477</w:t>
            </w:r>
          </w:p>
        </w:tc>
        <w:tc>
          <w:tcPr>
            <w:tcW w:w="2916" w:type="dxa"/>
            <w:noWrap w:val="0"/>
            <w:vAlign w:val="center"/>
          </w:tcPr>
          <w:p>
            <w:pPr>
              <w:widowControl w:val="0"/>
              <w:spacing w:line="360" w:lineRule="auto"/>
              <w:rPr>
                <w:rFonts w:ascii="仿宋" w:hAnsi="仿宋" w:eastAsia="仿宋" w:cs="仿宋"/>
                <w:kern w:val="2"/>
                <w:sz w:val="27"/>
                <w:szCs w:val="27"/>
                <w:highlight w:val="none"/>
                <w:lang w:eastAsia="zh-CN"/>
              </w:rPr>
            </w:pPr>
            <w:r>
              <w:rPr>
                <w:rFonts w:hint="eastAsia" w:ascii="仿宋" w:hAnsi="仿宋" w:eastAsia="仿宋" w:cs="仿宋"/>
                <w:kern w:val="2"/>
                <w:sz w:val="27"/>
                <w:szCs w:val="27"/>
                <w:highlight w:val="none"/>
                <w:lang w:eastAsia="zh-CN"/>
              </w:rPr>
              <w:t>南阳市淅川县九重镇陶岔村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noWrap w:val="0"/>
            <w:vAlign w:val="center"/>
          </w:tcPr>
          <w:p>
            <w:pPr>
              <w:widowControl w:val="0"/>
              <w:spacing w:line="360" w:lineRule="auto"/>
              <w:jc w:val="center"/>
              <w:rPr>
                <w:rFonts w:ascii="仿宋" w:hAnsi="仿宋" w:eastAsia="仿宋" w:cs="仿宋"/>
                <w:kern w:val="2"/>
                <w:sz w:val="27"/>
                <w:szCs w:val="27"/>
                <w:highlight w:val="none"/>
              </w:rPr>
            </w:pPr>
            <w:r>
              <w:rPr>
                <w:rFonts w:hint="eastAsia" w:ascii="仿宋" w:hAnsi="仿宋" w:eastAsia="仿宋" w:cs="仿宋"/>
                <w:kern w:val="2"/>
                <w:sz w:val="27"/>
                <w:szCs w:val="27"/>
                <w:highlight w:val="none"/>
              </w:rPr>
              <w:t>五龙泉</w:t>
            </w:r>
          </w:p>
        </w:tc>
        <w:tc>
          <w:tcPr>
            <w:tcW w:w="4394" w:type="dxa"/>
            <w:noWrap w:val="0"/>
            <w:vAlign w:val="center"/>
          </w:tcPr>
          <w:p>
            <w:pPr>
              <w:widowControl w:val="0"/>
              <w:spacing w:line="360" w:lineRule="auto"/>
              <w:jc w:val="center"/>
              <w:rPr>
                <w:rFonts w:ascii="仿宋" w:hAnsi="仿宋" w:eastAsia="仿宋" w:cs="仿宋"/>
                <w:kern w:val="2"/>
                <w:sz w:val="27"/>
                <w:szCs w:val="27"/>
                <w:highlight w:val="none"/>
              </w:rPr>
            </w:pPr>
            <w:r>
              <w:rPr>
                <w:rFonts w:hint="eastAsia" w:ascii="仿宋" w:hAnsi="仿宋" w:eastAsia="仿宋" w:cs="仿宋"/>
                <w:kern w:val="2"/>
                <w:sz w:val="27"/>
                <w:szCs w:val="27"/>
                <w:highlight w:val="none"/>
              </w:rPr>
              <w:t>经度111.539829   纬度32.657662</w:t>
            </w:r>
          </w:p>
        </w:tc>
        <w:tc>
          <w:tcPr>
            <w:tcW w:w="2916" w:type="dxa"/>
            <w:noWrap w:val="0"/>
            <w:vAlign w:val="center"/>
          </w:tcPr>
          <w:p>
            <w:pPr>
              <w:widowControl w:val="0"/>
              <w:spacing w:line="360" w:lineRule="auto"/>
              <w:rPr>
                <w:rFonts w:ascii="仿宋" w:hAnsi="仿宋" w:eastAsia="仿宋" w:cs="仿宋"/>
                <w:kern w:val="2"/>
                <w:sz w:val="27"/>
                <w:szCs w:val="27"/>
                <w:highlight w:val="none"/>
                <w:lang w:eastAsia="zh-CN"/>
              </w:rPr>
            </w:pPr>
            <w:r>
              <w:rPr>
                <w:rFonts w:hint="eastAsia" w:ascii="仿宋" w:hAnsi="仿宋" w:eastAsia="仿宋" w:cs="仿宋"/>
                <w:kern w:val="2"/>
                <w:sz w:val="27"/>
                <w:szCs w:val="27"/>
                <w:highlight w:val="none"/>
                <w:lang w:eastAsia="zh-CN"/>
              </w:rPr>
              <w:t>南阳市淅川县香花镇白龙沟村太子山林场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630" w:type="dxa"/>
            <w:noWrap w:val="0"/>
            <w:vAlign w:val="center"/>
          </w:tcPr>
          <w:p>
            <w:pPr>
              <w:widowControl w:val="0"/>
              <w:spacing w:line="360" w:lineRule="auto"/>
              <w:jc w:val="center"/>
              <w:rPr>
                <w:rFonts w:ascii="仿宋" w:hAnsi="仿宋" w:eastAsia="仿宋" w:cs="仿宋"/>
                <w:kern w:val="2"/>
                <w:sz w:val="27"/>
                <w:szCs w:val="27"/>
                <w:highlight w:val="none"/>
              </w:rPr>
            </w:pPr>
            <w:r>
              <w:rPr>
                <w:rFonts w:hint="eastAsia" w:ascii="仿宋" w:hAnsi="仿宋" w:eastAsia="仿宋" w:cs="仿宋"/>
                <w:kern w:val="2"/>
                <w:sz w:val="27"/>
                <w:szCs w:val="27"/>
                <w:highlight w:val="none"/>
              </w:rPr>
              <w:t>淅川荆紫关</w:t>
            </w:r>
          </w:p>
        </w:tc>
        <w:tc>
          <w:tcPr>
            <w:tcW w:w="4394" w:type="dxa"/>
            <w:noWrap w:val="0"/>
            <w:vAlign w:val="center"/>
          </w:tcPr>
          <w:p>
            <w:pPr>
              <w:widowControl w:val="0"/>
              <w:spacing w:line="360" w:lineRule="auto"/>
              <w:jc w:val="center"/>
              <w:rPr>
                <w:rFonts w:ascii="仿宋" w:hAnsi="仿宋" w:eastAsia="仿宋" w:cs="仿宋"/>
                <w:kern w:val="2"/>
                <w:sz w:val="27"/>
                <w:szCs w:val="27"/>
                <w:highlight w:val="none"/>
              </w:rPr>
            </w:pPr>
            <w:r>
              <w:rPr>
                <w:rFonts w:hint="eastAsia" w:ascii="仿宋" w:hAnsi="仿宋" w:eastAsia="仿宋" w:cs="仿宋"/>
                <w:kern w:val="2"/>
                <w:sz w:val="27"/>
                <w:szCs w:val="27"/>
                <w:highlight w:val="none"/>
              </w:rPr>
              <w:t>经度111.003201   纬度33.270816</w:t>
            </w:r>
          </w:p>
        </w:tc>
        <w:tc>
          <w:tcPr>
            <w:tcW w:w="2916" w:type="dxa"/>
            <w:noWrap w:val="0"/>
            <w:vAlign w:val="center"/>
          </w:tcPr>
          <w:p>
            <w:pPr>
              <w:widowControl w:val="0"/>
              <w:spacing w:line="360" w:lineRule="auto"/>
              <w:rPr>
                <w:rFonts w:ascii="仿宋" w:hAnsi="仿宋" w:eastAsia="仿宋" w:cs="仿宋"/>
                <w:kern w:val="2"/>
                <w:sz w:val="27"/>
                <w:szCs w:val="27"/>
                <w:highlight w:val="none"/>
                <w:lang w:eastAsia="zh-CN"/>
              </w:rPr>
            </w:pPr>
            <w:r>
              <w:rPr>
                <w:rFonts w:hint="eastAsia" w:ascii="仿宋" w:hAnsi="仿宋" w:eastAsia="仿宋" w:cs="仿宋"/>
                <w:kern w:val="2"/>
                <w:sz w:val="27"/>
                <w:szCs w:val="27"/>
                <w:highlight w:val="none"/>
                <w:lang w:eastAsia="zh-CN"/>
              </w:rPr>
              <w:t>南阳市淅川县荆紫关镇石门村柳林沟组</w:t>
            </w:r>
          </w:p>
        </w:tc>
      </w:tr>
    </w:tbl>
    <w:p>
      <w:pPr>
        <w:pStyle w:val="32"/>
        <w:ind w:firstLine="528"/>
        <w:rPr>
          <w:highlight w:val="none"/>
          <w:lang w:eastAsia="zh-CN"/>
        </w:rPr>
      </w:pPr>
      <w:r>
        <w:rPr>
          <w:rFonts w:hint="eastAsia"/>
          <w:highlight w:val="none"/>
          <w:lang w:eastAsia="zh-CN"/>
        </w:rPr>
        <w:t>四、</w:t>
      </w:r>
      <w:r>
        <w:rPr>
          <w:highlight w:val="none"/>
          <w:lang w:eastAsia="zh-CN"/>
        </w:rPr>
        <w:t>运维要求</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本项目运维工作</w:t>
      </w:r>
      <w:r>
        <w:rPr>
          <w:rFonts w:hint="eastAsia" w:ascii="仿宋" w:hAnsi="仿宋" w:eastAsia="仿宋" w:cs="仿宋"/>
          <w:spacing w:val="-6"/>
          <w:sz w:val="27"/>
          <w:szCs w:val="27"/>
          <w:highlight w:val="none"/>
          <w:lang w:eastAsia="zh-CN"/>
        </w:rPr>
        <w:t>为5台</w:t>
      </w:r>
      <w:r>
        <w:rPr>
          <w:rFonts w:hint="eastAsia" w:ascii="仿宋" w:hAnsi="仿宋" w:eastAsia="仿宋" w:cs="仿宋"/>
          <w:sz w:val="27"/>
          <w:szCs w:val="27"/>
          <w:highlight w:val="none"/>
          <w:lang w:eastAsia="zh-CN"/>
        </w:rPr>
        <w:t>重金属在线监测仪器（ICP-MS）</w:t>
      </w:r>
      <w:r>
        <w:rPr>
          <w:rFonts w:hint="eastAsia" w:ascii="仿宋" w:hAnsi="仿宋" w:eastAsia="仿宋" w:cs="仿宋"/>
          <w:spacing w:val="-6"/>
          <w:sz w:val="27"/>
          <w:szCs w:val="27"/>
          <w:highlight w:val="none"/>
          <w:lang w:eastAsia="zh-CN"/>
        </w:rPr>
        <w:t>，</w:t>
      </w:r>
      <w:r>
        <w:rPr>
          <w:rFonts w:ascii="仿宋" w:hAnsi="仿宋" w:eastAsia="仿宋" w:cs="仿宋"/>
          <w:spacing w:val="-6"/>
          <w:sz w:val="27"/>
          <w:szCs w:val="27"/>
          <w:highlight w:val="none"/>
          <w:lang w:eastAsia="zh-CN"/>
        </w:rPr>
        <w:t>每周至少</w:t>
      </w:r>
      <w:r>
        <w:rPr>
          <w:rFonts w:hint="eastAsia" w:ascii="仿宋" w:hAnsi="仿宋" w:eastAsia="仿宋" w:cs="仿宋"/>
          <w:spacing w:val="-6"/>
          <w:sz w:val="27"/>
          <w:szCs w:val="27"/>
          <w:highlight w:val="none"/>
          <w:lang w:eastAsia="zh-CN"/>
        </w:rPr>
        <w:t>开展</w:t>
      </w:r>
      <w:r>
        <w:rPr>
          <w:rFonts w:ascii="仿宋" w:hAnsi="仿宋" w:eastAsia="仿宋" w:cs="仿宋"/>
          <w:spacing w:val="-6"/>
          <w:sz w:val="27"/>
          <w:szCs w:val="27"/>
          <w:highlight w:val="none"/>
          <w:lang w:eastAsia="zh-CN"/>
        </w:rPr>
        <w:t>1次，2次运维工作间隔时间为4～7天；</w:t>
      </w:r>
      <w:r>
        <w:rPr>
          <w:rFonts w:hint="eastAsia" w:ascii="仿宋" w:hAnsi="仿宋" w:eastAsia="仿宋" w:cs="仿宋"/>
          <w:spacing w:val="-6"/>
          <w:sz w:val="27"/>
          <w:szCs w:val="27"/>
          <w:highlight w:val="none"/>
          <w:lang w:eastAsia="zh-CN"/>
        </w:rPr>
        <w:t>在河南省地表水环境质量自动监测系统运维功能开通之前，所有</w:t>
      </w:r>
      <w:r>
        <w:rPr>
          <w:rFonts w:ascii="仿宋" w:hAnsi="仿宋" w:eastAsia="仿宋" w:cs="仿宋"/>
          <w:spacing w:val="-6"/>
          <w:sz w:val="27"/>
          <w:szCs w:val="27"/>
          <w:highlight w:val="none"/>
          <w:lang w:eastAsia="zh-CN"/>
        </w:rPr>
        <w:t>运维工作</w:t>
      </w:r>
      <w:r>
        <w:rPr>
          <w:rFonts w:hint="eastAsia" w:ascii="仿宋" w:hAnsi="仿宋" w:eastAsia="仿宋" w:cs="仿宋"/>
          <w:spacing w:val="-6"/>
          <w:sz w:val="27"/>
          <w:szCs w:val="27"/>
          <w:highlight w:val="none"/>
          <w:lang w:eastAsia="zh-CN"/>
        </w:rPr>
        <w:t>必需如实填写</w:t>
      </w:r>
      <w:r>
        <w:rPr>
          <w:rFonts w:ascii="仿宋" w:hAnsi="仿宋" w:eastAsia="仿宋" w:cs="仿宋"/>
          <w:spacing w:val="-6"/>
          <w:sz w:val="27"/>
          <w:szCs w:val="27"/>
          <w:highlight w:val="none"/>
          <w:lang w:eastAsia="zh-CN"/>
        </w:rPr>
        <w:t>纸质</w:t>
      </w:r>
      <w:r>
        <w:rPr>
          <w:rFonts w:hint="eastAsia" w:ascii="仿宋" w:hAnsi="仿宋" w:eastAsia="仿宋" w:cs="仿宋"/>
          <w:spacing w:val="-6"/>
          <w:sz w:val="27"/>
          <w:szCs w:val="27"/>
          <w:highlight w:val="none"/>
          <w:lang w:eastAsia="zh-CN"/>
        </w:rPr>
        <w:t>运维</w:t>
      </w:r>
      <w:r>
        <w:rPr>
          <w:rFonts w:ascii="仿宋" w:hAnsi="仿宋" w:eastAsia="仿宋" w:cs="仿宋"/>
          <w:spacing w:val="-6"/>
          <w:sz w:val="27"/>
          <w:szCs w:val="27"/>
          <w:highlight w:val="none"/>
          <w:lang w:eastAsia="zh-CN"/>
        </w:rPr>
        <w:t>工作记录及报告</w:t>
      </w:r>
      <w:r>
        <w:rPr>
          <w:rFonts w:hint="eastAsia" w:ascii="仿宋" w:hAnsi="仿宋" w:eastAsia="仿宋" w:cs="仿宋"/>
          <w:spacing w:val="-6"/>
          <w:sz w:val="27"/>
          <w:szCs w:val="27"/>
          <w:highlight w:val="none"/>
          <w:lang w:eastAsia="zh-CN"/>
        </w:rPr>
        <w:t>，每月10日之前，全部</w:t>
      </w:r>
      <w:r>
        <w:rPr>
          <w:rFonts w:hint="eastAsia" w:ascii="仿宋" w:hAnsi="仿宋" w:eastAsia="仿宋" w:cs="仿宋"/>
          <w:spacing w:val="-6"/>
          <w:sz w:val="27"/>
          <w:szCs w:val="27"/>
          <w:highlight w:val="none"/>
          <w:lang w:val="en-US" w:eastAsia="zh-CN"/>
        </w:rPr>
        <w:t>收集整理成册</w:t>
      </w:r>
      <w:r>
        <w:rPr>
          <w:rFonts w:hint="eastAsia" w:ascii="仿宋" w:hAnsi="仿宋" w:eastAsia="仿宋" w:cs="仿宋"/>
          <w:spacing w:val="-6"/>
          <w:sz w:val="27"/>
          <w:szCs w:val="27"/>
          <w:highlight w:val="none"/>
          <w:lang w:eastAsia="zh-CN"/>
        </w:rPr>
        <w:t>提交给甲方。</w:t>
      </w:r>
    </w:p>
    <w:p>
      <w:pPr>
        <w:spacing w:line="560" w:lineRule="exact"/>
        <w:ind w:firstLine="516" w:firstLineChars="200"/>
        <w:rPr>
          <w:kern w:val="2"/>
          <w:sz w:val="21"/>
          <w:szCs w:val="21"/>
          <w:highlight w:val="none"/>
        </w:rPr>
      </w:pPr>
      <w:r>
        <w:rPr>
          <w:rFonts w:ascii="仿宋" w:hAnsi="仿宋" w:eastAsia="仿宋" w:cs="仿宋"/>
          <w:spacing w:val="-6"/>
          <w:sz w:val="27"/>
          <w:szCs w:val="27"/>
          <w:highlight w:val="none"/>
          <w:lang w:eastAsia="zh-CN"/>
        </w:rPr>
        <w:t>(一)运维技术</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运维技术要求按照招投标文件、《国家地表水水质自动监测站运行维护管理实施细则》《河南省地表水环境质量自动监测站管理办法》（豫环文（2020）73号）、《河南省省控仪器运行管理实施细则》</w:t>
      </w:r>
      <w:r>
        <w:rPr>
          <w:rFonts w:hint="eastAsia" w:ascii="仿宋" w:hAnsi="仿宋" w:eastAsia="仿宋" w:cs="仿宋"/>
          <w:spacing w:val="-6"/>
          <w:sz w:val="27"/>
          <w:szCs w:val="27"/>
          <w:highlight w:val="none"/>
          <w:lang w:eastAsia="zh-CN"/>
        </w:rPr>
        <w:t>、《SUPEC7010水质重金属在线监测系统-操作手册》、《HJ_7002014_水质_65种元素的测定_电感耦合等离子体质谱法》</w:t>
      </w:r>
      <w:r>
        <w:rPr>
          <w:rFonts w:ascii="仿宋" w:hAnsi="仿宋" w:eastAsia="仿宋" w:cs="仿宋"/>
          <w:spacing w:val="-6"/>
          <w:sz w:val="27"/>
          <w:szCs w:val="27"/>
          <w:highlight w:val="none"/>
          <w:lang w:eastAsia="zh-CN"/>
        </w:rPr>
        <w:t>等相关文件执行。</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1.</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采水单元</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采配水单元</w:t>
      </w:r>
      <w:r>
        <w:rPr>
          <w:rFonts w:hint="eastAsia" w:ascii="仿宋" w:hAnsi="仿宋" w:eastAsia="仿宋" w:cs="仿宋"/>
          <w:spacing w:val="-6"/>
          <w:sz w:val="27"/>
          <w:szCs w:val="27"/>
          <w:highlight w:val="none"/>
          <w:lang w:eastAsia="zh-CN"/>
        </w:rPr>
        <w:t>与当前仪器所在国控水质自动监测站共用一条管路，中标方</w:t>
      </w:r>
      <w:r>
        <w:rPr>
          <w:rFonts w:ascii="仿宋" w:hAnsi="仿宋" w:eastAsia="仿宋" w:cs="仿宋"/>
          <w:spacing w:val="-6"/>
          <w:sz w:val="27"/>
          <w:szCs w:val="27"/>
          <w:highlight w:val="none"/>
          <w:lang w:eastAsia="zh-CN"/>
        </w:rPr>
        <w:t>运维</w:t>
      </w:r>
      <w:r>
        <w:rPr>
          <w:rFonts w:hint="eastAsia" w:ascii="仿宋" w:hAnsi="仿宋" w:eastAsia="仿宋" w:cs="仿宋"/>
          <w:spacing w:val="-6"/>
          <w:sz w:val="27"/>
          <w:szCs w:val="27"/>
          <w:highlight w:val="none"/>
          <w:lang w:eastAsia="zh-CN"/>
        </w:rPr>
        <w:t>期间将采水单元纳入运维范畴，进行巡检，在被允许的情况下，可配合当前国控水质自动监测站运维单位对采水系统进行检修，中标方不得单独对采水系统进行作业，运维</w:t>
      </w:r>
      <w:r>
        <w:rPr>
          <w:rFonts w:ascii="仿宋" w:hAnsi="仿宋" w:eastAsia="仿宋" w:cs="仿宋"/>
          <w:spacing w:val="-6"/>
          <w:sz w:val="27"/>
          <w:szCs w:val="27"/>
          <w:highlight w:val="none"/>
          <w:lang w:eastAsia="zh-CN"/>
        </w:rPr>
        <w:t>频次为1周1次</w:t>
      </w:r>
      <w:r>
        <w:rPr>
          <w:rFonts w:hint="eastAsia" w:ascii="仿宋" w:hAnsi="仿宋" w:eastAsia="仿宋" w:cs="仿宋"/>
          <w:spacing w:val="-6"/>
          <w:sz w:val="27"/>
          <w:szCs w:val="27"/>
          <w:highlight w:val="none"/>
          <w:lang w:eastAsia="zh-CN"/>
        </w:rPr>
        <w:t>，</w:t>
      </w:r>
      <w:r>
        <w:rPr>
          <w:rFonts w:ascii="仿宋" w:hAnsi="仿宋" w:eastAsia="仿宋" w:cs="仿宋"/>
          <w:spacing w:val="-6"/>
          <w:sz w:val="27"/>
          <w:szCs w:val="27"/>
          <w:highlight w:val="none"/>
          <w:lang w:eastAsia="zh-CN"/>
        </w:rPr>
        <w:t>保证采水系统正常运行。</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2.</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配水单元</w:t>
      </w:r>
      <w:r>
        <w:rPr>
          <w:rFonts w:ascii="仿宋" w:hAnsi="仿宋" w:eastAsia="仿宋" w:cs="仿宋"/>
          <w:spacing w:val="-6"/>
          <w:sz w:val="27"/>
          <w:szCs w:val="27"/>
          <w:highlight w:val="none"/>
          <w:lang w:eastAsia="zh-CN"/>
        </w:rPr>
        <w:tab/>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配水单元运维频次为1周1次，须确保系统管路清洁，设备运行正常。</w:t>
      </w:r>
    </w:p>
    <w:p>
      <w:pPr>
        <w:spacing w:line="560" w:lineRule="exact"/>
        <w:ind w:firstLine="516" w:firstLineChars="200"/>
        <w:rPr>
          <w:rFonts w:hint="eastAsia"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（1）检查气泵和清水增压泵工作情况</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ascii="仿宋" w:hAnsi="仿宋" w:eastAsia="仿宋" w:cs="仿宋"/>
          <w:spacing w:val="-6"/>
          <w:sz w:val="27"/>
          <w:szCs w:val="27"/>
          <w:highlight w:val="none"/>
          <w:lang w:eastAsia="zh-CN"/>
        </w:rPr>
        <w:t>（2）每周至少对重金属在线监测仪器（ICP-MS）所使用的沉淀池、测量杯、过滤器芯</w:t>
      </w:r>
      <w:r>
        <w:rPr>
          <w:rFonts w:hint="eastAsia" w:ascii="仿宋" w:hAnsi="仿宋" w:eastAsia="仿宋" w:cs="仿宋"/>
          <w:spacing w:val="-6"/>
          <w:sz w:val="27"/>
          <w:szCs w:val="27"/>
          <w:highlight w:val="none"/>
          <w:lang w:eastAsia="zh-CN"/>
        </w:rPr>
        <w:t>、</w:t>
      </w:r>
      <w:r>
        <w:rPr>
          <w:rFonts w:hint="eastAsia" w:ascii="仿宋" w:hAnsi="仿宋" w:eastAsia="仿宋" w:cs="仿宋"/>
          <w:spacing w:val="-6"/>
          <w:sz w:val="27"/>
          <w:szCs w:val="27"/>
          <w:highlight w:val="none"/>
          <w:lang w:val="en-US" w:eastAsia="zh-CN"/>
        </w:rPr>
        <w:t>冷水机</w:t>
      </w:r>
      <w:r>
        <w:rPr>
          <w:rFonts w:ascii="仿宋" w:hAnsi="仿宋" w:eastAsia="仿宋" w:cs="仿宋"/>
          <w:spacing w:val="-6"/>
          <w:sz w:val="27"/>
          <w:szCs w:val="27"/>
          <w:highlight w:val="none"/>
          <w:lang w:eastAsia="zh-CN"/>
        </w:rPr>
        <w:t>等进行1次清洗</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（3）检查仪器配水管路是否有滴漏现象并根据样品污染情况进行清洗</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ascii="仿宋" w:hAnsi="仿宋" w:eastAsia="仿宋" w:cs="仿宋"/>
          <w:spacing w:val="-6"/>
          <w:sz w:val="27"/>
          <w:szCs w:val="27"/>
          <w:highlight w:val="none"/>
          <w:lang w:eastAsia="zh-CN"/>
        </w:rPr>
        <w:t>（4）检查仪器配水管路中所有球阀，清除阀内杂物，清洗阀体，确保阀体洁净</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ascii="仿宋" w:hAnsi="仿宋" w:eastAsia="仿宋" w:cs="仿宋"/>
          <w:spacing w:val="-6"/>
          <w:sz w:val="27"/>
          <w:szCs w:val="27"/>
          <w:highlight w:val="none"/>
          <w:lang w:eastAsia="zh-CN"/>
        </w:rPr>
        <w:t>（5）空气压缩机：每周检查气泵和增压泵工作状况</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（6）电动球阀：至少</w:t>
      </w:r>
      <w:r>
        <w:rPr>
          <w:rFonts w:hint="eastAsia" w:ascii="仿宋" w:hAnsi="仿宋" w:eastAsia="仿宋" w:cs="仿宋"/>
          <w:spacing w:val="-6"/>
          <w:sz w:val="27"/>
          <w:szCs w:val="27"/>
          <w:highlight w:val="none"/>
          <w:lang w:eastAsia="zh-CN"/>
        </w:rPr>
        <w:t>1</w:t>
      </w:r>
      <w:r>
        <w:rPr>
          <w:rFonts w:ascii="仿宋" w:hAnsi="仿宋" w:eastAsia="仿宋" w:cs="仿宋"/>
          <w:spacing w:val="-6"/>
          <w:sz w:val="27"/>
          <w:szCs w:val="27"/>
          <w:highlight w:val="none"/>
          <w:lang w:eastAsia="zh-CN"/>
        </w:rPr>
        <w:t>月1次，确保清洗后电动球阀吸合自如，无堵塞和渗漏。将电动球阀手动拆下，用试管刷清洗后，将电动球阀装回管路。开启组态单阀测试程序，单独控制阀门开关，检查阀门开关时间是否符合要求。必要情况下替换电动球阀</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ascii="仿宋" w:hAnsi="仿宋" w:eastAsia="仿宋" w:cs="仿宋"/>
          <w:spacing w:val="-6"/>
          <w:sz w:val="27"/>
          <w:szCs w:val="27"/>
          <w:highlight w:val="none"/>
          <w:lang w:eastAsia="zh-CN"/>
        </w:rPr>
        <w:t>（7）单向阀清洗：至少</w:t>
      </w:r>
      <w:r>
        <w:rPr>
          <w:rFonts w:hint="eastAsia" w:ascii="仿宋" w:hAnsi="仿宋" w:eastAsia="仿宋" w:cs="仿宋"/>
          <w:spacing w:val="-6"/>
          <w:sz w:val="27"/>
          <w:szCs w:val="27"/>
          <w:highlight w:val="none"/>
          <w:lang w:eastAsia="zh-CN"/>
        </w:rPr>
        <w:t>1</w:t>
      </w:r>
      <w:r>
        <w:rPr>
          <w:rFonts w:ascii="仿宋" w:hAnsi="仿宋" w:eastAsia="仿宋" w:cs="仿宋"/>
          <w:spacing w:val="-6"/>
          <w:sz w:val="27"/>
          <w:szCs w:val="27"/>
          <w:highlight w:val="none"/>
          <w:lang w:eastAsia="zh-CN"/>
        </w:rPr>
        <w:t>月1次，确保清洗后电动球阀吸合正常，无堵塞和渗漏，必要情况更换单向阀</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（8）清洗更换过滤装置：2周1次，确保</w:t>
      </w:r>
      <w:r>
        <w:rPr>
          <w:rFonts w:hint="eastAsia" w:ascii="仿宋" w:hAnsi="仿宋" w:eastAsia="仿宋" w:cs="仿宋"/>
          <w:spacing w:val="-6"/>
          <w:sz w:val="27"/>
          <w:szCs w:val="27"/>
          <w:highlight w:val="none"/>
          <w:lang w:eastAsia="zh-CN"/>
        </w:rPr>
        <w:t>100微米和0.45微米</w:t>
      </w:r>
      <w:r>
        <w:rPr>
          <w:rFonts w:ascii="仿宋" w:hAnsi="仿宋" w:eastAsia="仿宋" w:cs="仿宋"/>
          <w:spacing w:val="-6"/>
          <w:sz w:val="27"/>
          <w:szCs w:val="27"/>
          <w:highlight w:val="none"/>
          <w:lang w:eastAsia="zh-CN"/>
        </w:rPr>
        <w:t>过滤装置能够正常工作。</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3.</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重金属在线监测仪器（ICP-MS）</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3.1</w:t>
      </w:r>
      <w:r>
        <w:rPr>
          <w:rFonts w:ascii="仿宋" w:hAnsi="仿宋" w:eastAsia="仿宋" w:cs="仿宋"/>
          <w:spacing w:val="-6"/>
          <w:sz w:val="27"/>
          <w:szCs w:val="27"/>
          <w:highlight w:val="none"/>
          <w:lang w:eastAsia="zh-CN"/>
        </w:rPr>
        <w:t>控制单元工控机检查</w:t>
      </w:r>
      <w:r>
        <w:rPr>
          <w:rFonts w:ascii="仿宋" w:hAnsi="仿宋" w:eastAsia="仿宋" w:cs="仿宋"/>
          <w:spacing w:val="-6"/>
          <w:sz w:val="27"/>
          <w:szCs w:val="27"/>
          <w:highlight w:val="none"/>
          <w:lang w:eastAsia="zh-CN"/>
        </w:rPr>
        <w:tab/>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至少1月1次，确保工控机运行正常。</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1)</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检查开机过程中硬件自检过程是否有异常数据传输和报警。</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2)</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强制切断电源后复电工控机是否可以自动启动；并运行工控机系统、加载运行软件，串口连接是否正常。</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3)</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插入备份硬盘，用软件备份操作系统。将备份好的操作系统和分区D内的文件拷贝到备份移动硬盘上。系统备份至少每月1次。</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4)</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断电后清洁工控机，打开后盖，用细毛刷清除工控机灰尘。</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5)</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定期对杀毒软件升级，专机专用，禁止从事与工作无关的活动。</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6)</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装回工控机重复1）、2）步骤。</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3.2</w:t>
      </w:r>
      <w:r>
        <w:rPr>
          <w:rFonts w:ascii="仿宋" w:hAnsi="仿宋" w:eastAsia="仿宋" w:cs="仿宋"/>
          <w:spacing w:val="-6"/>
          <w:sz w:val="27"/>
          <w:szCs w:val="27"/>
          <w:highlight w:val="none"/>
          <w:lang w:eastAsia="zh-CN"/>
        </w:rPr>
        <w:t>通讯检查</w:t>
      </w:r>
    </w:p>
    <w:p>
      <w:pPr>
        <w:spacing w:line="560" w:lineRule="exact"/>
        <w:ind w:firstLine="516" w:firstLineChars="200"/>
        <w:rPr>
          <w:rFonts w:hint="default"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val="en-US" w:eastAsia="zh-CN"/>
        </w:rPr>
        <w:t>每周一次，确保通讯正常。</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1)</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确保工控机各个串口和PLC、数采仪、分析仪器连接一一对应正确且牢固。</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2)</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VPN网络设备检查，保证通讯畅通。</w:t>
      </w:r>
    </w:p>
    <w:p>
      <w:pPr>
        <w:spacing w:line="560" w:lineRule="exact"/>
        <w:ind w:firstLine="258" w:firstLineChars="1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3.3</w:t>
      </w:r>
      <w:r>
        <w:rPr>
          <w:rFonts w:ascii="仿宋" w:hAnsi="仿宋" w:eastAsia="仿宋" w:cs="仿宋"/>
          <w:spacing w:val="-6"/>
          <w:sz w:val="27"/>
          <w:szCs w:val="27"/>
          <w:highlight w:val="none"/>
          <w:lang w:eastAsia="zh-CN"/>
        </w:rPr>
        <w:t>辅助单元</w:t>
      </w:r>
    </w:p>
    <w:p>
      <w:pPr>
        <w:spacing w:line="560" w:lineRule="exact"/>
        <w:ind w:firstLine="516" w:firstLineChars="200"/>
        <w:rPr>
          <w:rFonts w:hint="default"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val="en-US" w:eastAsia="zh-CN"/>
        </w:rPr>
        <w:t>每周一次，确保辅助单元正常工作。</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1)</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面板开关检查：检查控制柜前面板开关和指示灯确保其工作正常。</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2</w:t>
      </w:r>
      <w:r>
        <w:rPr>
          <w:rFonts w:ascii="仿宋" w:hAnsi="仿宋" w:eastAsia="仿宋" w:cs="仿宋"/>
          <w:spacing w:val="-6"/>
          <w:sz w:val="27"/>
          <w:szCs w:val="27"/>
          <w:highlight w:val="none"/>
          <w:lang w:eastAsia="zh-CN"/>
        </w:rPr>
        <w:t>)</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配电板：清扫配电板上各个元件上的灰尘等。检查确保配电板上各个接线接头不松动，并清除锈蚀接头。确保各个接触器和继电器工作正常。</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w:t>
      </w:r>
      <w:r>
        <w:rPr>
          <w:rFonts w:ascii="仿宋" w:hAnsi="仿宋" w:eastAsia="仿宋" w:cs="仿宋"/>
          <w:spacing w:val="-6"/>
          <w:sz w:val="27"/>
          <w:szCs w:val="27"/>
          <w:highlight w:val="none"/>
          <w:lang w:eastAsia="zh-CN"/>
        </w:rPr>
        <w:t>)</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防雷接地检查：确保各个机柜和用电器接地良好，尤其注意防雷保护器接地。</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4</w:t>
      </w:r>
      <w:r>
        <w:rPr>
          <w:rFonts w:ascii="仿宋" w:hAnsi="仿宋" w:eastAsia="仿宋" w:cs="仿宋"/>
          <w:spacing w:val="-6"/>
          <w:sz w:val="27"/>
          <w:szCs w:val="27"/>
          <w:highlight w:val="none"/>
          <w:lang w:eastAsia="zh-CN"/>
        </w:rPr>
        <w:t>)</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温湿度仪检查：检查温湿度仪是否显示合理，保证温度探头反应灵敏。</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5</w:t>
      </w:r>
      <w:r>
        <w:rPr>
          <w:rFonts w:ascii="仿宋" w:hAnsi="仿宋" w:eastAsia="仿宋" w:cs="仿宋"/>
          <w:spacing w:val="-6"/>
          <w:sz w:val="27"/>
          <w:szCs w:val="27"/>
          <w:highlight w:val="none"/>
          <w:lang w:eastAsia="zh-CN"/>
        </w:rPr>
        <w:t>)</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稳压电源清扫检查：断电情况下清扫稳压电源内的灰尘。检查碳刷是否正常，磨损较多情况必须更换。上电测试，确保稳压源工作正常。</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6</w:t>
      </w:r>
      <w:r>
        <w:rPr>
          <w:rFonts w:ascii="仿宋" w:hAnsi="仿宋" w:eastAsia="仿宋" w:cs="仿宋"/>
          <w:spacing w:val="-6"/>
          <w:sz w:val="27"/>
          <w:szCs w:val="27"/>
          <w:highlight w:val="none"/>
          <w:lang w:eastAsia="zh-CN"/>
        </w:rPr>
        <w:t>)</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UPS检查：断电情况下清扫UPS各个散热孔上的灰尘。检查确保UPS充放电正常。绝缘情况下清扫UPS电池箱内的灰尘。确保箱内各个电池联线接触良好牢固。确保各个电池无漏液，外观正常。</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7</w:t>
      </w:r>
      <w:r>
        <w:rPr>
          <w:rFonts w:ascii="仿宋" w:hAnsi="仿宋" w:eastAsia="仿宋" w:cs="仿宋"/>
          <w:spacing w:val="-6"/>
          <w:sz w:val="27"/>
          <w:szCs w:val="27"/>
          <w:highlight w:val="none"/>
          <w:lang w:eastAsia="zh-CN"/>
        </w:rPr>
        <w:t>)</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机柜台面检查：检查机柜台面及玻璃是否清洁。检查机柜各门是否关</w:t>
      </w:r>
      <w:r>
        <w:rPr>
          <w:rFonts w:hint="eastAsia" w:ascii="仿宋" w:hAnsi="仿宋" w:eastAsia="仿宋" w:cs="仿宋"/>
          <w:spacing w:val="-6"/>
          <w:sz w:val="27"/>
          <w:szCs w:val="27"/>
          <w:highlight w:val="none"/>
          <w:lang w:eastAsia="zh-CN"/>
        </w:rPr>
        <w:t>闭</w:t>
      </w:r>
      <w:r>
        <w:rPr>
          <w:rFonts w:ascii="仿宋" w:hAnsi="仿宋" w:eastAsia="仿宋" w:cs="仿宋"/>
          <w:spacing w:val="-6"/>
          <w:sz w:val="27"/>
          <w:szCs w:val="27"/>
          <w:highlight w:val="none"/>
          <w:lang w:eastAsia="zh-CN"/>
        </w:rPr>
        <w:t>完好。</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8</w:t>
      </w:r>
      <w:r>
        <w:rPr>
          <w:rFonts w:ascii="仿宋" w:hAnsi="仿宋" w:eastAsia="仿宋" w:cs="仿宋"/>
          <w:spacing w:val="-6"/>
          <w:sz w:val="27"/>
          <w:szCs w:val="27"/>
          <w:highlight w:val="none"/>
          <w:lang w:eastAsia="zh-CN"/>
        </w:rPr>
        <w:t>）</w:t>
      </w:r>
      <w:r>
        <w:rPr>
          <w:rFonts w:hint="eastAsia" w:ascii="仿宋" w:hAnsi="仿宋" w:eastAsia="仿宋" w:cs="仿宋"/>
          <w:spacing w:val="-6"/>
          <w:sz w:val="27"/>
          <w:szCs w:val="27"/>
          <w:highlight w:val="none"/>
          <w:lang w:eastAsia="zh-CN"/>
        </w:rPr>
        <w:t xml:space="preserve"> </w:t>
      </w:r>
      <w:r>
        <w:rPr>
          <w:rFonts w:ascii="仿宋" w:hAnsi="仿宋" w:eastAsia="仿宋" w:cs="仿宋"/>
          <w:spacing w:val="-6"/>
          <w:sz w:val="27"/>
          <w:szCs w:val="27"/>
          <w:highlight w:val="none"/>
          <w:lang w:eastAsia="zh-CN"/>
        </w:rPr>
        <w:t>气瓶压力表测试：每次更换完气体后进行一次</w:t>
      </w:r>
      <w:r>
        <w:rPr>
          <w:rFonts w:hint="eastAsia" w:ascii="仿宋" w:hAnsi="仿宋" w:eastAsia="仿宋" w:cs="仿宋"/>
          <w:spacing w:val="-6"/>
          <w:sz w:val="27"/>
          <w:szCs w:val="27"/>
          <w:highlight w:val="none"/>
          <w:lang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3.4</w:t>
      </w:r>
      <w:r>
        <w:rPr>
          <w:rFonts w:hint="eastAsia" w:ascii="仿宋" w:hAnsi="仿宋" w:eastAsia="仿宋" w:cs="仿宋"/>
          <w:spacing w:val="-6"/>
          <w:sz w:val="27"/>
          <w:szCs w:val="27"/>
          <w:highlight w:val="none"/>
          <w:lang w:eastAsia="zh-CN"/>
        </w:rPr>
        <w:t>重金属在线监测仪（</w:t>
      </w:r>
      <w:r>
        <w:rPr>
          <w:rFonts w:hint="eastAsia" w:ascii="仿宋" w:hAnsi="仿宋" w:eastAsia="仿宋" w:cs="仿宋"/>
          <w:spacing w:val="-6"/>
          <w:sz w:val="27"/>
          <w:szCs w:val="27"/>
          <w:highlight w:val="none"/>
          <w:lang w:val="en-US" w:eastAsia="zh-CN"/>
        </w:rPr>
        <w:t>ICP-MS</w:t>
      </w:r>
      <w:r>
        <w:rPr>
          <w:rFonts w:hint="eastAsia" w:ascii="仿宋" w:hAnsi="仿宋" w:eastAsia="仿宋" w:cs="仿宋"/>
          <w:spacing w:val="-6"/>
          <w:sz w:val="27"/>
          <w:szCs w:val="27"/>
          <w:highlight w:val="none"/>
          <w:lang w:eastAsia="zh-CN"/>
        </w:rPr>
        <w:t>）断电重启</w:t>
      </w:r>
      <w:r>
        <w:rPr>
          <w:rFonts w:hint="eastAsia" w:ascii="仿宋" w:hAnsi="仿宋" w:eastAsia="仿宋" w:cs="仿宋"/>
          <w:spacing w:val="-6"/>
          <w:sz w:val="27"/>
          <w:szCs w:val="27"/>
          <w:highlight w:val="none"/>
          <w:lang w:eastAsia="zh-CN"/>
        </w:rPr>
        <w:tab/>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1周1次，确保监测仪器工控机、监测仪及配套系统正常运行</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（1）若EXPEC7000软件启动报错，则将前面保存的Var文件将Config里的Var文件替换</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（2）打开EXPEC7000、重金属、数采软件</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3）EXPEC7000软件：点击打开真空，等待流程走至真空就绪，真空泵转速从0到60000，分析腔压力＜3.0e-6mbar；管理→在线消解，确认界面右手边状态量中当前流程为1，多通道阀序列为0，多通道阀消解也为0，点击流程下的下载方法，多通道阀序列的设置，轮训周期的设置，3个点完后状态量显示为1,1,6</w:t>
      </w:r>
      <w:r>
        <w:rPr>
          <w:rFonts w:hint="eastAsia" w:ascii="仿宋" w:hAnsi="仿宋" w:eastAsia="仿宋" w:cs="仿宋"/>
          <w:spacing w:val="-6"/>
          <w:sz w:val="27"/>
          <w:szCs w:val="27"/>
          <w:highlight w:val="none"/>
          <w:lang w:val="en-US" w:eastAsia="zh-CN"/>
        </w:rPr>
        <w:t>；</w:t>
      </w:r>
      <w:r>
        <w:rPr>
          <w:rFonts w:hint="eastAsia" w:ascii="仿宋" w:hAnsi="仿宋" w:eastAsia="仿宋" w:cs="仿宋"/>
          <w:spacing w:val="-6"/>
          <w:sz w:val="27"/>
          <w:szCs w:val="27"/>
          <w:highlight w:val="none"/>
          <w:lang w:eastAsia="zh-CN"/>
        </w:rPr>
        <w:t>（4）谱育水质重金属软件打开常用→状态监控，确认ICPMS开关信息中，前级泵、分子泵和前级阀三个按钮量绿灯，绿灯说明重金属软件与EXPEC7000软件通讯正常。点击下载并保存,点击前处理机柜端前处理采水轮训周期设置，点击PLC报警阈值设置的设置和自动读取ICP-MS仪表端数据周期设置的设置。</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3.5</w:t>
      </w:r>
      <w:r>
        <w:rPr>
          <w:rFonts w:hint="eastAsia" w:ascii="仿宋" w:hAnsi="仿宋" w:eastAsia="仿宋" w:cs="仿宋"/>
          <w:spacing w:val="-6"/>
          <w:sz w:val="27"/>
          <w:szCs w:val="27"/>
          <w:highlight w:val="none"/>
          <w:lang w:eastAsia="zh-CN"/>
        </w:rPr>
        <w:t>重金属在线监测仪更换氩气</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每半月一次或更换氩气时进行，确保氩气供应正常。</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（1）将所有氩气减压阀黑色旋钮旋松，并关闭所有氩气气瓶阀门，旋松小减压阀压力至0；</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（2）观察氩气减压阀高压表，将压力≤3Mpa的气瓶用10寸活动扳手拧下，更换新氩气气瓶</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3）拧紧减压阀后将气瓶阀门打开，至减压阀高压表指正稳定后关闭（40L满瓶指针在12-14Mpa之间），等待5-10min，观察高压表指针是否下掉，下掉幅度小于等于0.5Mpa则合格，否则重新拆卸安装减压阀，若还是不行则更换另外一个不漏的减压阀，若还下掉则说明氩气气瓶口密封存在问题，退还气瓶。（正常40L装，满压力13Mpa的氩气，一瓶可以跑25次流程左右。）</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（4）更换完气瓶并测试完气密性后，将所有气瓶阀门逐一打开（至少转5圈），将所有减压阀黑色旋钮旋紧，将小减压阀压力调节至0.75Mpa</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3.6</w:t>
      </w:r>
      <w:r>
        <w:rPr>
          <w:rFonts w:hint="eastAsia" w:ascii="仿宋" w:hAnsi="仿宋" w:eastAsia="仿宋" w:cs="仿宋"/>
          <w:spacing w:val="-6"/>
          <w:sz w:val="27"/>
          <w:szCs w:val="27"/>
          <w:highlight w:val="none"/>
          <w:lang w:eastAsia="zh-CN"/>
        </w:rPr>
        <w:t>重金属在线监测仪检查机械泵（前级泵）泵油液位及颜色、水机液位、废液桶液位</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3个月一次，确保机械泵工作状态正常。</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（1）机械泵泵油颜色判断方式：</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（1）油品比色卡，因PFPE全氟油外观呈清澈透明故当油品颜色达到2.0及以上时建议更换</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（2）泵油3个月换一次，当泵油液位＜1/3且在更换周期内，则添加泵油至液位2/3处</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3）水机纯水3个月更换一次，特域水机正常液位为绿色范围2/3处，不得低于绿色与红色交界处；谱育CW-200水机正常液位为绿色中间，不得低于黄色中间位置；若液位在更换周期内低于限定值则添加纯水至合适位置</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（4）废液桶：过滤模式在线仪表：液位不得高于9/10；消解模式在线仪表：液位不得高于3/4；超过限位则需更换废液桶，废液桶的废液需要统一回收处理。</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3.7</w:t>
      </w:r>
      <w:r>
        <w:rPr>
          <w:rFonts w:hint="eastAsia" w:ascii="仿宋" w:hAnsi="仿宋" w:eastAsia="仿宋" w:cs="仿宋"/>
          <w:spacing w:val="-6"/>
          <w:sz w:val="27"/>
          <w:szCs w:val="27"/>
          <w:highlight w:val="none"/>
          <w:lang w:eastAsia="zh-CN"/>
        </w:rPr>
        <w:t>重金属在线监测仪清洗滤芯样品预处理管路检查维护</w:t>
      </w:r>
      <w:r>
        <w:rPr>
          <w:rFonts w:hint="eastAsia" w:ascii="仿宋" w:hAnsi="仿宋" w:eastAsia="仿宋" w:cs="仿宋"/>
          <w:spacing w:val="-6"/>
          <w:sz w:val="27"/>
          <w:szCs w:val="27"/>
          <w:highlight w:val="none"/>
          <w:lang w:eastAsia="zh-CN"/>
        </w:rPr>
        <w:tab/>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1周一次，确保进水水质未遭到污染。</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（1）将过滤罐取下，取出滤芯，检查滤芯O圈及过滤罐O圈是否存在破损，破损则更换</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（2）滤芯用自来水冲洗，滤芯在清洗时需要不停均匀敲击</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（3）反复冲洗，直至冲洗下来的水无明显颜色或杂志（若滤芯过脏无法洗净，则更换滤芯）</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（4）清洗完成后按规格放回过滤罐，注意O圈是否贴合</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（5）过滤罐装回时注意顺序，沉砂池水样先过100um然后再过0.45um</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（6）采水时检查采水单元进水出水管路是否存在破损漏液情况</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（7）检查Y型杯内壁是否存在沉积或者生藻类（拍照）</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3.8</w:t>
      </w:r>
      <w:r>
        <w:rPr>
          <w:rFonts w:hint="eastAsia" w:ascii="仿宋" w:hAnsi="仿宋" w:eastAsia="仿宋" w:cs="仿宋"/>
          <w:spacing w:val="-6"/>
          <w:sz w:val="27"/>
          <w:szCs w:val="27"/>
          <w:highlight w:val="none"/>
          <w:lang w:eastAsia="zh-CN"/>
        </w:rPr>
        <w:t>重金属在线监测仪更换泵管卡槽位置</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 xml:space="preserve">    2个月一次，确保泵工作状态正常。</w:t>
      </w:r>
      <w:r>
        <w:rPr>
          <w:rFonts w:hint="eastAsia" w:ascii="仿宋" w:hAnsi="仿宋" w:eastAsia="仿宋" w:cs="仿宋"/>
          <w:spacing w:val="-6"/>
          <w:sz w:val="27"/>
          <w:szCs w:val="27"/>
          <w:highlight w:val="none"/>
          <w:lang w:eastAsia="zh-CN"/>
        </w:rPr>
        <w:tab/>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（1）泵管卡的位置：按顺序从里到外，最里面为排液管，其次为进样管，最后为内标管</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2）将所有压杆抬起，先更换排液管的卡槽位，然后更换进样管，最后更换内标管（注意泵管的安装方向，排液管排液，试剂流路方向与蠕动泵转动方向相同，若蠕动泵逆时针转动，则排液泵管右边连雾化室方向左边连废液桶；进样泵管右边连多通道阀中心管路，左边连三通；内标管右边连内标液，左边连三通；</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3）更换完卡槽位后，蠕动泵转速调整到40转，调节泵管位置使泵管能被压在压槽中间，调节压杆压力保证试剂能被匀速提升（进样管要快于内标管，排液管排液时是一段一段走，中间有气泡隔离），并且压杆压力尽可能小（减缓蠕动泵磨损），将泵速转至70-80转等待2min观察泵管连接处有无漏液，没有则将泵速调至0转。</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3.9</w:t>
      </w:r>
      <w:r>
        <w:rPr>
          <w:rFonts w:hint="eastAsia" w:ascii="仿宋" w:hAnsi="仿宋" w:eastAsia="仿宋" w:cs="仿宋"/>
          <w:spacing w:val="-6"/>
          <w:sz w:val="27"/>
          <w:szCs w:val="27"/>
          <w:highlight w:val="none"/>
          <w:lang w:eastAsia="zh-CN"/>
        </w:rPr>
        <w:t>重金属在线监测仪检查试剂液位，并做好记录</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 xml:space="preserve"> 1月至2个月1次，确保监测仪器正常工作。</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（1）先检查调谐液与校正液是否在半年有效期内，离有效期小于2个月则与工程师反馈；</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（2）记录调谐液、校正液、标准曲线建线试剂（标一到标5）的液位，低于1/3则需要更换；</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（3）标准曲线建线试剂、消解液一个月更换一次，载液与清洗液2个月更换一次</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3.10</w:t>
      </w:r>
      <w:r>
        <w:rPr>
          <w:rFonts w:hint="eastAsia" w:ascii="仿宋" w:hAnsi="仿宋" w:eastAsia="仿宋" w:cs="仿宋"/>
          <w:spacing w:val="-6"/>
          <w:sz w:val="27"/>
          <w:szCs w:val="27"/>
          <w:highlight w:val="none"/>
          <w:lang w:eastAsia="zh-CN"/>
        </w:rPr>
        <w:t>重金属在线监测仪主机状态检查</w:t>
      </w:r>
      <w:r>
        <w:rPr>
          <w:rFonts w:hint="eastAsia" w:ascii="仿宋" w:hAnsi="仿宋" w:eastAsia="仿宋" w:cs="仿宋"/>
          <w:spacing w:val="-6"/>
          <w:sz w:val="27"/>
          <w:szCs w:val="27"/>
          <w:highlight w:val="none"/>
          <w:lang w:eastAsia="zh-CN"/>
        </w:rPr>
        <w:tab/>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1周一次，确保工控系统工作正常。</w:t>
      </w:r>
      <w:r>
        <w:rPr>
          <w:rFonts w:hint="eastAsia" w:ascii="仿宋" w:hAnsi="仿宋" w:eastAsia="仿宋" w:cs="仿宋"/>
          <w:spacing w:val="-6"/>
          <w:sz w:val="27"/>
          <w:szCs w:val="27"/>
          <w:highlight w:val="none"/>
          <w:lang w:eastAsia="zh-CN"/>
        </w:rPr>
        <w:tab/>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（1）检查排风流量（废气流量）：6-12m/s（常用→仪器状态→废气流量）检查仪器内部温度≤40℃；RF源温度≤35℃；</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（2）蠕动泵转动情况（是否匀速，有无异响，有无异常抖动）</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（3）检查电脑软件流畅度，是否存在卡顿</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（4）检查真空泵转速：60000r/min</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（5）检查未点火状态下分析腔压力≤1.0e-6mbar；点火至分析就绪后分析腔压力≤3.0e-6mbar；</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（6）仪表点火至分析就绪后，检查软件右下方雾化器压力（330±50Kpa）</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（7）检查雾化器喷雾是否正常（均匀雾化，无断断续续雾化情况）</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（8）仪表点火至分析就绪后，检查锥真空压力≤2.4mbr</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3.11</w:t>
      </w:r>
      <w:r>
        <w:rPr>
          <w:rFonts w:hint="eastAsia" w:ascii="仿宋" w:hAnsi="仿宋" w:eastAsia="仿宋" w:cs="仿宋"/>
          <w:spacing w:val="-6"/>
          <w:sz w:val="27"/>
          <w:szCs w:val="27"/>
          <w:highlight w:val="none"/>
          <w:lang w:eastAsia="zh-CN"/>
        </w:rPr>
        <w:t>重金属在线监测仪仪器校准</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 xml:space="preserve">  2周一次，确保监测仪监测数据准确性</w:t>
      </w:r>
      <w:r>
        <w:rPr>
          <w:rFonts w:hint="eastAsia" w:ascii="仿宋" w:hAnsi="仿宋" w:eastAsia="仿宋" w:cs="仿宋"/>
          <w:spacing w:val="-6"/>
          <w:sz w:val="27"/>
          <w:szCs w:val="27"/>
          <w:highlight w:val="none"/>
          <w:lang w:eastAsia="zh-CN"/>
        </w:rPr>
        <w:tab/>
      </w:r>
      <w:r>
        <w:rPr>
          <w:rFonts w:hint="eastAsia" w:ascii="仿宋" w:hAnsi="仿宋" w:eastAsia="仿宋" w:cs="仿宋"/>
          <w:spacing w:val="-6"/>
          <w:sz w:val="27"/>
          <w:szCs w:val="27"/>
          <w:highlight w:val="none"/>
          <w:lang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（1）将消解模块右边多通道阀4号位管路,用纸巾擦拭后放入调谐液中，将内标管与其连接管断开，更换上另外一根30cm左右长度的泵管连接管，擦拭后放入调谐液中；</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（2）将管理→在线消解→多通道阀（序列），阀位从1号位切换至4号位，点击设置；</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（3）打开水机（点击消解模块，开光量里的冷却水开关，从灰色点击成绿色）</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（4）确认右下角无报警（TEC温度未达目标值，废液排出异常报警可忽略）</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5）点击打开等离子体，等流程走到分析就绪，点击常用，手动调谐，在跳峰扫描模式下将要测试的元素选择为7Li、59Co、69Ga、115In、138Ba、140Ce、156Gd、238U及质量数220（背景噪声），选择趋势图及脉冲模式进行扫描。调节手动调谐里的流量监控（雾化器流量），三维监控（炬管的位置），电压监控等参数，使灵敏度增大同时兼顾氧化物及双电荷的比率，要求如下表。</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6）其中先调三维监控，调节横向，先向右移动适当的量（建议＜0.1mm，但根据实际仪器情况而定），观察Li、Co、In、U的响应值是否变大，若变大则继续移动，反之则向左移动，直至移动到相对最大的响应值为止，纵向调节方式相同，深度一般不动。</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当Li、Co、In、U的稳定性偏差时，则可稍微增大雾化气流量，若效果不明显则可减少提取透镜电压（往负值的方向调节），调节雾化气流量会导致氧化率的增大，提取透镜电压会导致响应值的变化，要兼顾响应值以及氧化率和双电荷率。</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（7）当氧化率偏大时可降低雾化气流量和调节深度电机位置向后移，但要兼顾响应值以及稳定性和双电荷率。</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（8）当双电荷率偏大时，可调节四级杆电压向右移和增大雾化器流量，但要兼顾响应值以及稳定性和氧化率。</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（9）性能满足目标值后，及完成仪器调谐，保存调谐参数（建议性能尽可能的调到最佳，如果与上次运维性能差异不大也可不调参数）。</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（10）自动质量校准：停止扫描，点击常用里的，点击 “开始”按钮，点击确定，仪器开始自动质量校正。当仪器自动质量校正成功，会出现提示框“自动质量校正成功”。失败则寻找工程师。</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11）自动交叉校准：质量校准成功后，将调谐液放回，将原先的两根管子擦拭后或纯水清洗后放入交叉校准液中，等待试剂都提升至雾化器（如何观察校正液已经提升完成：a、肉眼看，内标管的校正液前的气泡提升至雾化器雾化后，则说明提升完成；b、扫描时，Li、Co信号值突然变大，双电荷率变大，都说明校准液有进入仪表检测，但内标管提升较慢，还需等待，后面信号在出现小段的降落与跟高的回升，则说明提升完成），等待30s后仪表进样稳定后，点击常用里的自动交叉校正 “开始”按钮，点击确定，仪器开始自动交叉校正，当出现In115交叉因子时，立马点击停止，重新导入调谐参数，后再打开配置参数。将手动调谐→其他→检测器模拟电压值输入至模拟区高压值，将手动调谐→其他→检测器计数电压值输入至脉冲区高压值，脉冲高压起点为脉冲区高压值，目标交叉因子即为In的交叉因子，In交叉因子上下限为交叉因子值的±5000。完成后点击保存，然后在重新开始做交叉校正。当仪器自动交叉校正成功，会出现提示框“自动交叉校正成功”，重新保存参数，失败则找工程师解决。</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12）交叉校正完成后，点开手动调谐里的扫描，将两个管子放入纯水里冲洗1min，收好交叉校正液，然后将内标管连回原来的内标液的管路，样品管进纯水，内标管进内标液，手动调谐里谱图至单独只有In的响应值的时候，则为内标液完全进样，将多通道阀切换到1号位，进样30s后停止扫描，关闭等离子体至真空就绪，灰色的关闭真空和打开等离子体的方框重新可点击时，关闭管理→在线消解→开关量里的冷却水开关（绿色至灰色）。</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3.12</w:t>
      </w:r>
      <w:r>
        <w:rPr>
          <w:rFonts w:hint="eastAsia" w:ascii="仿宋" w:hAnsi="仿宋" w:eastAsia="仿宋" w:cs="仿宋"/>
          <w:spacing w:val="-6"/>
          <w:sz w:val="27"/>
          <w:szCs w:val="27"/>
          <w:highlight w:val="none"/>
          <w:lang w:eastAsia="zh-CN"/>
        </w:rPr>
        <w:t>重金属在线监测仪重启继电器</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1周一次，确保继电器正常工作。</w:t>
      </w:r>
      <w:r>
        <w:rPr>
          <w:rFonts w:hint="eastAsia" w:ascii="仿宋" w:hAnsi="仿宋" w:eastAsia="仿宋" w:cs="仿宋"/>
          <w:spacing w:val="-6"/>
          <w:sz w:val="27"/>
          <w:szCs w:val="27"/>
          <w:highlight w:val="none"/>
          <w:lang w:eastAsia="zh-CN"/>
        </w:rPr>
        <w:tab/>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（1）管理→在线客户端→其他，去掉维护模式的勾选</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（2）管理→高级→调试→高级参数3，关闭前处理继电器，等待30s后再打开；</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 xml:space="preserve">（3）管理→在线消解，确认界面右手边状态量中当前流程为1，多通道阀序列为0，多通道阀消解也为0，点击流程下的下载方法，多通道阀序列的设置，轮训周期的设置，3个点完后状态量显示为1,1,6。 </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 xml:space="preserve">（4）打开谱育水质重金属软件，点击下载并保存,点击前处理机柜端前处理采水轮训周期设置，点击PLC报警阈值设置的设置和自动读取ICP-MS仪表端数据周期设置的设置。 </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（5）打开常用→状态监控，确认ICPMS开关信息中，前级泵、分子泵和前级阀三个按钮量绿灯，绿灯说明重金属软件与EXPEC7000软件通讯正常。</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3.13</w:t>
      </w:r>
      <w:r>
        <w:rPr>
          <w:rFonts w:hint="eastAsia" w:ascii="仿宋" w:hAnsi="仿宋" w:eastAsia="仿宋" w:cs="仿宋"/>
          <w:spacing w:val="-6"/>
          <w:sz w:val="27"/>
          <w:szCs w:val="27"/>
          <w:highlight w:val="none"/>
          <w:lang w:eastAsia="zh-CN"/>
        </w:rPr>
        <w:t>重金属在线监测仪机械泵泵油更换</w:t>
      </w:r>
      <w:r>
        <w:rPr>
          <w:rFonts w:hint="eastAsia" w:ascii="仿宋" w:hAnsi="仿宋" w:eastAsia="仿宋" w:cs="仿宋"/>
          <w:spacing w:val="-6"/>
          <w:sz w:val="27"/>
          <w:szCs w:val="27"/>
          <w:highlight w:val="none"/>
          <w:lang w:eastAsia="zh-CN"/>
        </w:rPr>
        <w:tab/>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3个月一次，确保机械泵正常运转。</w:t>
      </w:r>
      <w:r>
        <w:rPr>
          <w:rFonts w:hint="eastAsia" w:ascii="仿宋" w:hAnsi="仿宋" w:eastAsia="仿宋" w:cs="仿宋"/>
          <w:spacing w:val="-6"/>
          <w:sz w:val="27"/>
          <w:szCs w:val="27"/>
          <w:highlight w:val="none"/>
          <w:lang w:eastAsia="zh-CN"/>
        </w:rPr>
        <w:tab/>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（1）管理→高级→开关量，关闭前级阀、前级泵（分子泵自己在不点火时能坚持一段时间）</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2）准备1L或者更大的容具装排出的泵油，拧开黄色排油的盖子，用专用工具拧上去，拧紧后会出废油，将容具摆放好后，打开工具后面的塞子，待泵油流出。泵油流完后，关闭排油口，管理→高级→开关量，打开前级泵，运行15秒，使泵内残留的油通过轻微震荡甩出来，关闭机械泵，将泵内残留的油重新排尽；</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（3）至泵油不在流出后，拆下工装，拧回盖子，用内六角拧开上端黑色的注油的盖子，倒入新泵油，至最低液位（注意机械泵的保持水平），拧回盖子。</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（4）管理→高级→开关量，打开前级泵，工作60s左右后关闭，按照前面步骤再将泵油倒出和到入，清洗2-3遍，至流出泵油基本成透明或者浅黄色；</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（5）管理→高级→开关量，打开前级阀30s后再打开前级泵，观察是否恢复之前正常状态。</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3.14</w:t>
      </w:r>
      <w:r>
        <w:rPr>
          <w:rFonts w:hint="eastAsia" w:ascii="仿宋" w:hAnsi="仿宋" w:eastAsia="仿宋" w:cs="仿宋"/>
          <w:spacing w:val="-6"/>
          <w:sz w:val="27"/>
          <w:szCs w:val="27"/>
          <w:highlight w:val="none"/>
          <w:lang w:eastAsia="zh-CN"/>
        </w:rPr>
        <w:t>重金属在线监测仪水机循环冷却水更换</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2个月一次，确冷却系统正常运转。</w:t>
      </w:r>
      <w:r>
        <w:rPr>
          <w:rFonts w:hint="eastAsia" w:ascii="仿宋" w:hAnsi="仿宋" w:eastAsia="仿宋" w:cs="仿宋"/>
          <w:spacing w:val="-6"/>
          <w:sz w:val="27"/>
          <w:szCs w:val="27"/>
          <w:highlight w:val="none"/>
          <w:lang w:eastAsia="zh-CN"/>
        </w:rPr>
        <w:tab/>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（1）准备一个装废水的容器至于排水口，打开排水口开关，待水箱的液体完全排净时，分别加入2次2L的纯水用于冲洗水箱，重新排尽（确保水机断电关机，循环冷却水使用电阻率大于18 MΩ以上的蒸馏去离子水或者娃哈哈纯净水）。</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（2）重新加纯水至水机液位刻度线。</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（3）设备的前散热片（滤网）积了过多的灰尘，会导致设备的制冷能力降低，拿出清洗滤网。</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以上运维工作完成</w:t>
      </w:r>
      <w:r>
        <w:rPr>
          <w:rFonts w:hint="eastAsia" w:ascii="仿宋" w:hAnsi="仿宋" w:eastAsia="仿宋" w:cs="仿宋"/>
          <w:spacing w:val="-6"/>
          <w:sz w:val="27"/>
          <w:szCs w:val="27"/>
          <w:highlight w:val="none"/>
          <w:lang w:eastAsia="zh-CN"/>
        </w:rPr>
        <w:t>后</w:t>
      </w:r>
      <w:r>
        <w:rPr>
          <w:rFonts w:ascii="仿宋" w:hAnsi="仿宋" w:eastAsia="仿宋" w:cs="仿宋"/>
          <w:spacing w:val="-6"/>
          <w:sz w:val="27"/>
          <w:szCs w:val="27"/>
          <w:highlight w:val="none"/>
          <w:lang w:eastAsia="zh-CN"/>
        </w:rPr>
        <w:t>须填写运维巡检记录表，各运维内容详见下表1。</w:t>
      </w:r>
    </w:p>
    <w:p>
      <w:pPr>
        <w:ind w:firstLine="482"/>
        <w:jc w:val="center"/>
        <w:rPr>
          <w:b/>
          <w:kern w:val="2"/>
          <w:sz w:val="21"/>
          <w:szCs w:val="21"/>
          <w:highlight w:val="none"/>
        </w:rPr>
      </w:pPr>
      <w:r>
        <w:rPr>
          <w:b/>
          <w:kern w:val="2"/>
          <w:sz w:val="21"/>
          <w:szCs w:val="21"/>
          <w:highlight w:val="none"/>
        </w:rPr>
        <w:t>表1   运维要求</w:t>
      </w:r>
    </w:p>
    <w:tbl>
      <w:tblPr>
        <w:tblStyle w:val="16"/>
        <w:tblW w:w="8935" w:type="dxa"/>
        <w:jc w:val="center"/>
        <w:tblLayout w:type="fixed"/>
        <w:tblCellMar>
          <w:top w:w="0" w:type="dxa"/>
          <w:left w:w="108" w:type="dxa"/>
          <w:bottom w:w="0" w:type="dxa"/>
          <w:right w:w="108" w:type="dxa"/>
        </w:tblCellMar>
      </w:tblPr>
      <w:tblGrid>
        <w:gridCol w:w="694"/>
        <w:gridCol w:w="1180"/>
        <w:gridCol w:w="1726"/>
        <w:gridCol w:w="5335"/>
      </w:tblGrid>
      <w:tr>
        <w:tblPrEx>
          <w:tblCellMar>
            <w:top w:w="0" w:type="dxa"/>
            <w:left w:w="108" w:type="dxa"/>
            <w:bottom w:w="0" w:type="dxa"/>
            <w:right w:w="108" w:type="dxa"/>
          </w:tblCellMar>
        </w:tblPrEx>
        <w:trPr>
          <w:trHeight w:val="232" w:hRule="atLeast"/>
          <w:tblHeade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rPr>
                <w:b/>
                <w:kern w:val="2"/>
                <w:sz w:val="21"/>
                <w:szCs w:val="21"/>
                <w:highlight w:val="none"/>
              </w:rPr>
            </w:pPr>
            <w:r>
              <w:rPr>
                <w:b/>
                <w:kern w:val="2"/>
                <w:sz w:val="21"/>
                <w:szCs w:val="21"/>
                <w:highlight w:val="none"/>
              </w:rPr>
              <w:t>序号</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rPr>
                <w:b/>
                <w:kern w:val="2"/>
                <w:sz w:val="21"/>
                <w:szCs w:val="21"/>
                <w:highlight w:val="none"/>
              </w:rPr>
            </w:pPr>
            <w:r>
              <w:rPr>
                <w:b/>
                <w:kern w:val="2"/>
                <w:sz w:val="21"/>
                <w:szCs w:val="21"/>
                <w:highlight w:val="none"/>
              </w:rPr>
              <w:t>维护内容</w:t>
            </w:r>
          </w:p>
        </w:tc>
        <w:tc>
          <w:tcPr>
            <w:tcW w:w="1726" w:type="dxa"/>
            <w:tcBorders>
              <w:top w:val="single" w:color="auto" w:sz="8" w:space="0"/>
              <w:left w:val="nil"/>
              <w:bottom w:val="single" w:color="auto" w:sz="8" w:space="0"/>
              <w:right w:val="single" w:color="auto" w:sz="8" w:space="0"/>
            </w:tcBorders>
            <w:noWrap w:val="0"/>
            <w:vAlign w:val="center"/>
          </w:tcPr>
          <w:p>
            <w:pPr>
              <w:adjustRightInd w:val="0"/>
              <w:snapToGrid w:val="0"/>
              <w:rPr>
                <w:b/>
                <w:kern w:val="2"/>
                <w:sz w:val="21"/>
                <w:szCs w:val="21"/>
                <w:highlight w:val="none"/>
              </w:rPr>
            </w:pPr>
            <w:r>
              <w:rPr>
                <w:b/>
                <w:kern w:val="2"/>
                <w:sz w:val="21"/>
                <w:szCs w:val="21"/>
                <w:highlight w:val="none"/>
              </w:rPr>
              <w:t>维护周期及目标</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ind w:firstLine="402"/>
              <w:jc w:val="center"/>
              <w:rPr>
                <w:b/>
                <w:kern w:val="2"/>
                <w:sz w:val="21"/>
                <w:szCs w:val="21"/>
                <w:highlight w:val="none"/>
              </w:rPr>
            </w:pPr>
            <w:r>
              <w:rPr>
                <w:b/>
                <w:kern w:val="2"/>
                <w:sz w:val="21"/>
                <w:szCs w:val="21"/>
                <w:highlight w:val="none"/>
              </w:rPr>
              <w:t>维护要求</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rFonts w:hint="eastAsia"/>
                <w:kern w:val="2"/>
                <w:sz w:val="21"/>
                <w:szCs w:val="21"/>
                <w:highlight w:val="none"/>
              </w:rPr>
            </w:pPr>
            <w:r>
              <w:rPr>
                <w:rFonts w:hint="eastAsia"/>
                <w:kern w:val="2"/>
                <w:sz w:val="21"/>
                <w:szCs w:val="21"/>
                <w:highlight w:val="none"/>
              </w:rPr>
              <w:t>1</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电动球阀清洗检查</w:t>
            </w:r>
          </w:p>
        </w:tc>
        <w:tc>
          <w:tcPr>
            <w:tcW w:w="1726"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至少1月1次，确保清洗后电动球阀吸合自如，无堵塞和渗漏</w:t>
            </w:r>
          </w:p>
        </w:tc>
        <w:tc>
          <w:tcPr>
            <w:tcW w:w="5335" w:type="dxa"/>
            <w:tcBorders>
              <w:top w:val="single" w:color="auto" w:sz="8" w:space="0"/>
              <w:left w:val="nil"/>
              <w:bottom w:val="single" w:color="auto" w:sz="8" w:space="0"/>
              <w:right w:val="single" w:color="auto" w:sz="8" w:space="0"/>
            </w:tcBorders>
            <w:noWrap w:val="0"/>
            <w:vAlign w:val="center"/>
          </w:tcPr>
          <w:p>
            <w:pPr>
              <w:numPr>
                <w:ilvl w:val="0"/>
                <w:numId w:val="2"/>
              </w:numPr>
              <w:adjustRightInd w:val="0"/>
              <w:snapToGrid w:val="0"/>
              <w:spacing w:line="240" w:lineRule="exact"/>
              <w:rPr>
                <w:kern w:val="2"/>
                <w:sz w:val="21"/>
                <w:szCs w:val="21"/>
                <w:highlight w:val="none"/>
              </w:rPr>
            </w:pPr>
            <w:r>
              <w:rPr>
                <w:kern w:val="2"/>
                <w:sz w:val="21"/>
                <w:szCs w:val="21"/>
                <w:highlight w:val="none"/>
              </w:rPr>
              <w:t>将电动球阀手动拆下，用试管刷清洗后，将电动球阀装回管路。</w:t>
            </w:r>
          </w:p>
          <w:p>
            <w:pPr>
              <w:numPr>
                <w:ilvl w:val="0"/>
                <w:numId w:val="2"/>
              </w:numPr>
              <w:adjustRightInd w:val="0"/>
              <w:snapToGrid w:val="0"/>
              <w:spacing w:line="240" w:lineRule="exact"/>
              <w:rPr>
                <w:kern w:val="2"/>
                <w:sz w:val="21"/>
                <w:szCs w:val="21"/>
                <w:highlight w:val="none"/>
              </w:rPr>
            </w:pPr>
            <w:r>
              <w:rPr>
                <w:kern w:val="2"/>
                <w:sz w:val="21"/>
                <w:szCs w:val="21"/>
                <w:highlight w:val="none"/>
              </w:rPr>
              <w:t>开启组态单阀测试程序，单独控制阀门开关，检查阀门开关时间是否符合要求。</w:t>
            </w:r>
          </w:p>
          <w:p>
            <w:pPr>
              <w:numPr>
                <w:ilvl w:val="0"/>
                <w:numId w:val="2"/>
              </w:numPr>
              <w:adjustRightInd w:val="0"/>
              <w:snapToGrid w:val="0"/>
              <w:spacing w:line="240" w:lineRule="exact"/>
              <w:rPr>
                <w:kern w:val="2"/>
                <w:sz w:val="21"/>
                <w:szCs w:val="21"/>
                <w:highlight w:val="none"/>
              </w:rPr>
            </w:pPr>
            <w:r>
              <w:rPr>
                <w:kern w:val="2"/>
                <w:sz w:val="21"/>
                <w:szCs w:val="21"/>
                <w:highlight w:val="none"/>
              </w:rPr>
              <w:t>必要的情况替换电动球阀。</w:t>
            </w:r>
          </w:p>
        </w:tc>
      </w:tr>
      <w:tr>
        <w:tblPrEx>
          <w:tblCellMar>
            <w:top w:w="0" w:type="dxa"/>
            <w:left w:w="108" w:type="dxa"/>
            <w:bottom w:w="0" w:type="dxa"/>
            <w:right w:w="108" w:type="dxa"/>
          </w:tblCellMar>
        </w:tblPrEx>
        <w:trPr>
          <w:trHeight w:val="868" w:hRule="atLeast"/>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rFonts w:hint="eastAsia"/>
                <w:kern w:val="2"/>
                <w:sz w:val="21"/>
                <w:szCs w:val="21"/>
                <w:highlight w:val="none"/>
              </w:rPr>
            </w:pPr>
            <w:r>
              <w:rPr>
                <w:rFonts w:hint="eastAsia"/>
                <w:kern w:val="2"/>
                <w:sz w:val="21"/>
                <w:szCs w:val="21"/>
                <w:highlight w:val="none"/>
              </w:rPr>
              <w:t>2</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单向阀清洗</w:t>
            </w:r>
          </w:p>
        </w:tc>
        <w:tc>
          <w:tcPr>
            <w:tcW w:w="1726"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至少1月1次，确保清洗后电动球阀吸合自如，无堵塞和渗漏</w:t>
            </w:r>
          </w:p>
        </w:tc>
        <w:tc>
          <w:tcPr>
            <w:tcW w:w="5335" w:type="dxa"/>
            <w:tcBorders>
              <w:top w:val="single" w:color="auto" w:sz="8" w:space="0"/>
              <w:left w:val="nil"/>
              <w:bottom w:val="single" w:color="auto" w:sz="8" w:space="0"/>
              <w:right w:val="single" w:color="auto" w:sz="8" w:space="0"/>
            </w:tcBorders>
            <w:noWrap w:val="0"/>
            <w:vAlign w:val="center"/>
          </w:tcPr>
          <w:p>
            <w:pPr>
              <w:numPr>
                <w:ilvl w:val="0"/>
                <w:numId w:val="3"/>
              </w:numPr>
              <w:adjustRightInd w:val="0"/>
              <w:snapToGrid w:val="0"/>
              <w:spacing w:line="240" w:lineRule="exact"/>
              <w:rPr>
                <w:kern w:val="2"/>
                <w:sz w:val="21"/>
                <w:szCs w:val="21"/>
                <w:highlight w:val="none"/>
              </w:rPr>
            </w:pPr>
            <w:r>
              <w:rPr>
                <w:kern w:val="2"/>
                <w:sz w:val="21"/>
                <w:szCs w:val="21"/>
                <w:highlight w:val="none"/>
              </w:rPr>
              <w:t>拆下单向阀，用试管刷清洗单向阀阀体及密封橡胶上附着的脏污物，检查密封性是否完好后，原样装回管路。</w:t>
            </w:r>
          </w:p>
          <w:p>
            <w:pPr>
              <w:numPr>
                <w:ilvl w:val="0"/>
                <w:numId w:val="3"/>
              </w:numPr>
              <w:adjustRightInd w:val="0"/>
              <w:snapToGrid w:val="0"/>
              <w:spacing w:line="240" w:lineRule="exact"/>
              <w:rPr>
                <w:kern w:val="2"/>
                <w:sz w:val="21"/>
                <w:szCs w:val="21"/>
                <w:highlight w:val="none"/>
              </w:rPr>
            </w:pPr>
            <w:r>
              <w:rPr>
                <w:kern w:val="2"/>
                <w:sz w:val="21"/>
                <w:szCs w:val="21"/>
                <w:highlight w:val="none"/>
              </w:rPr>
              <w:t>必要情况更换单向阀。</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rFonts w:hint="eastAsia"/>
                <w:kern w:val="2"/>
                <w:sz w:val="21"/>
                <w:szCs w:val="21"/>
                <w:highlight w:val="none"/>
              </w:rPr>
            </w:pPr>
            <w:r>
              <w:rPr>
                <w:rFonts w:hint="eastAsia"/>
                <w:kern w:val="2"/>
                <w:sz w:val="21"/>
                <w:szCs w:val="21"/>
                <w:highlight w:val="none"/>
              </w:rPr>
              <w:t>3</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取水系统综合测试</w:t>
            </w:r>
          </w:p>
        </w:tc>
        <w:tc>
          <w:tcPr>
            <w:tcW w:w="1726"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1周1次，确保系统取水正常</w:t>
            </w:r>
          </w:p>
        </w:tc>
        <w:tc>
          <w:tcPr>
            <w:tcW w:w="5335" w:type="dxa"/>
            <w:tcBorders>
              <w:top w:val="single" w:color="auto" w:sz="8" w:space="0"/>
              <w:left w:val="nil"/>
              <w:bottom w:val="single" w:color="auto" w:sz="8" w:space="0"/>
              <w:right w:val="single" w:color="auto" w:sz="8" w:space="0"/>
            </w:tcBorders>
            <w:noWrap w:val="0"/>
            <w:vAlign w:val="center"/>
          </w:tcPr>
          <w:p>
            <w:pPr>
              <w:numPr>
                <w:ilvl w:val="0"/>
                <w:numId w:val="4"/>
              </w:numPr>
              <w:adjustRightInd w:val="0"/>
              <w:snapToGrid w:val="0"/>
              <w:spacing w:line="240" w:lineRule="exact"/>
              <w:rPr>
                <w:kern w:val="2"/>
                <w:sz w:val="21"/>
                <w:szCs w:val="21"/>
                <w:highlight w:val="none"/>
              </w:rPr>
            </w:pPr>
            <w:r>
              <w:rPr>
                <w:kern w:val="2"/>
                <w:sz w:val="21"/>
                <w:szCs w:val="21"/>
                <w:highlight w:val="none"/>
              </w:rPr>
              <w:t>完成上述测试后复原所有阀门到正确位置。</w:t>
            </w:r>
          </w:p>
          <w:p>
            <w:pPr>
              <w:numPr>
                <w:ilvl w:val="0"/>
                <w:numId w:val="4"/>
              </w:numPr>
              <w:adjustRightInd w:val="0"/>
              <w:snapToGrid w:val="0"/>
              <w:spacing w:line="240" w:lineRule="exact"/>
              <w:rPr>
                <w:kern w:val="2"/>
                <w:sz w:val="21"/>
                <w:szCs w:val="21"/>
                <w:highlight w:val="none"/>
              </w:rPr>
            </w:pPr>
            <w:r>
              <w:rPr>
                <w:kern w:val="2"/>
                <w:sz w:val="21"/>
                <w:szCs w:val="21"/>
                <w:highlight w:val="none"/>
              </w:rPr>
              <w:t>检查各个接头是否松动，各个电动球阀接线是否完好。</w:t>
            </w:r>
          </w:p>
          <w:p>
            <w:pPr>
              <w:numPr>
                <w:ilvl w:val="0"/>
                <w:numId w:val="4"/>
              </w:numPr>
              <w:adjustRightInd w:val="0"/>
              <w:snapToGrid w:val="0"/>
              <w:spacing w:line="240" w:lineRule="exact"/>
              <w:rPr>
                <w:kern w:val="2"/>
                <w:sz w:val="21"/>
                <w:szCs w:val="21"/>
                <w:highlight w:val="none"/>
              </w:rPr>
            </w:pPr>
            <w:r>
              <w:rPr>
                <w:kern w:val="2"/>
                <w:sz w:val="21"/>
                <w:szCs w:val="21"/>
                <w:highlight w:val="none"/>
              </w:rPr>
              <w:t>检查无误情况下，系统复电，检查整个取水流程是否正常。</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rFonts w:hint="eastAsia"/>
                <w:kern w:val="2"/>
                <w:sz w:val="21"/>
                <w:szCs w:val="21"/>
                <w:highlight w:val="none"/>
              </w:rPr>
            </w:pPr>
            <w:r>
              <w:rPr>
                <w:rFonts w:hint="eastAsia"/>
                <w:kern w:val="2"/>
                <w:sz w:val="21"/>
                <w:szCs w:val="21"/>
                <w:highlight w:val="none"/>
              </w:rPr>
              <w:t>4</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工控机检查</w:t>
            </w:r>
          </w:p>
        </w:tc>
        <w:tc>
          <w:tcPr>
            <w:tcW w:w="1726"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至少1月1次，确保工控机运行正常</w:t>
            </w:r>
          </w:p>
        </w:tc>
        <w:tc>
          <w:tcPr>
            <w:tcW w:w="5335" w:type="dxa"/>
            <w:tcBorders>
              <w:top w:val="single" w:color="auto" w:sz="8" w:space="0"/>
              <w:left w:val="nil"/>
              <w:bottom w:val="single" w:color="auto" w:sz="8" w:space="0"/>
              <w:right w:val="single" w:color="auto" w:sz="8" w:space="0"/>
            </w:tcBorders>
            <w:noWrap w:val="0"/>
            <w:vAlign w:val="center"/>
          </w:tcPr>
          <w:p>
            <w:pPr>
              <w:numPr>
                <w:ilvl w:val="0"/>
                <w:numId w:val="5"/>
              </w:numPr>
              <w:adjustRightInd w:val="0"/>
              <w:snapToGrid w:val="0"/>
              <w:spacing w:line="240" w:lineRule="exact"/>
              <w:rPr>
                <w:kern w:val="2"/>
                <w:sz w:val="21"/>
                <w:szCs w:val="21"/>
                <w:highlight w:val="none"/>
              </w:rPr>
            </w:pPr>
            <w:r>
              <w:rPr>
                <w:kern w:val="2"/>
                <w:sz w:val="21"/>
                <w:szCs w:val="21"/>
                <w:highlight w:val="none"/>
              </w:rPr>
              <w:t>检查开机过程中硬件自检过程是否有异常数据传输和报警。</w:t>
            </w:r>
          </w:p>
          <w:p>
            <w:pPr>
              <w:numPr>
                <w:ilvl w:val="0"/>
                <w:numId w:val="5"/>
              </w:numPr>
              <w:adjustRightInd w:val="0"/>
              <w:snapToGrid w:val="0"/>
              <w:spacing w:line="240" w:lineRule="exact"/>
              <w:rPr>
                <w:kern w:val="2"/>
                <w:sz w:val="21"/>
                <w:szCs w:val="21"/>
                <w:highlight w:val="none"/>
              </w:rPr>
            </w:pPr>
            <w:r>
              <w:rPr>
                <w:kern w:val="2"/>
                <w:sz w:val="21"/>
                <w:szCs w:val="21"/>
                <w:highlight w:val="none"/>
              </w:rPr>
              <w:t>强制切断电源后复电工控机是否可以自动启动，并运行计算机系统、加载现场监控软件，串口连接是否正常。</w:t>
            </w:r>
          </w:p>
          <w:p>
            <w:pPr>
              <w:numPr>
                <w:ilvl w:val="0"/>
                <w:numId w:val="5"/>
              </w:numPr>
              <w:adjustRightInd w:val="0"/>
              <w:snapToGrid w:val="0"/>
              <w:spacing w:line="240" w:lineRule="exact"/>
              <w:rPr>
                <w:kern w:val="2"/>
                <w:sz w:val="21"/>
                <w:szCs w:val="21"/>
                <w:highlight w:val="none"/>
              </w:rPr>
            </w:pPr>
            <w:r>
              <w:rPr>
                <w:kern w:val="2"/>
                <w:sz w:val="21"/>
                <w:szCs w:val="21"/>
                <w:highlight w:val="none"/>
              </w:rPr>
              <w:t>做好系统备份工作。将备份好的操作系统和分区D内的文件拷贝到备份移动硬盘上。</w:t>
            </w:r>
          </w:p>
          <w:p>
            <w:pPr>
              <w:numPr>
                <w:ilvl w:val="0"/>
                <w:numId w:val="5"/>
              </w:numPr>
              <w:tabs>
                <w:tab w:val="left" w:pos="360"/>
              </w:tabs>
              <w:adjustRightInd w:val="0"/>
              <w:snapToGrid w:val="0"/>
              <w:spacing w:line="240" w:lineRule="exact"/>
              <w:rPr>
                <w:kern w:val="2"/>
                <w:sz w:val="21"/>
                <w:szCs w:val="21"/>
                <w:highlight w:val="none"/>
              </w:rPr>
            </w:pPr>
            <w:r>
              <w:rPr>
                <w:kern w:val="2"/>
                <w:sz w:val="21"/>
                <w:szCs w:val="21"/>
                <w:highlight w:val="none"/>
              </w:rPr>
              <w:t>断电后拆下工控机，打开后盖，用细毛刷清除电源和主板上的灰尘，尤其注意CPU板、内存和各个串口卡上的灰尘清除。检查各个功能卡接口是否连接牢固。</w:t>
            </w:r>
          </w:p>
          <w:p>
            <w:pPr>
              <w:numPr>
                <w:ilvl w:val="0"/>
                <w:numId w:val="5"/>
              </w:numPr>
              <w:adjustRightInd w:val="0"/>
              <w:snapToGrid w:val="0"/>
              <w:spacing w:line="240" w:lineRule="exact"/>
              <w:rPr>
                <w:kern w:val="2"/>
                <w:sz w:val="21"/>
                <w:szCs w:val="21"/>
                <w:highlight w:val="none"/>
              </w:rPr>
            </w:pPr>
            <w:r>
              <w:rPr>
                <w:kern w:val="2"/>
                <w:sz w:val="21"/>
                <w:szCs w:val="21"/>
                <w:highlight w:val="none"/>
              </w:rPr>
              <w:t>检查硬盘SATA连接线是否松动。</w:t>
            </w:r>
          </w:p>
          <w:p>
            <w:pPr>
              <w:numPr>
                <w:ilvl w:val="0"/>
                <w:numId w:val="5"/>
              </w:numPr>
              <w:adjustRightInd w:val="0"/>
              <w:snapToGrid w:val="0"/>
              <w:spacing w:line="240" w:lineRule="exact"/>
              <w:rPr>
                <w:kern w:val="2"/>
                <w:sz w:val="21"/>
                <w:szCs w:val="21"/>
                <w:highlight w:val="none"/>
              </w:rPr>
            </w:pPr>
            <w:r>
              <w:rPr>
                <w:kern w:val="2"/>
                <w:sz w:val="21"/>
                <w:szCs w:val="21"/>
                <w:highlight w:val="none"/>
              </w:rPr>
              <w:t>定期对杀毒软件升级，专机专用，禁止从事与工作无关的活动。</w:t>
            </w:r>
          </w:p>
          <w:p>
            <w:pPr>
              <w:numPr>
                <w:ilvl w:val="0"/>
                <w:numId w:val="5"/>
              </w:numPr>
              <w:adjustRightInd w:val="0"/>
              <w:snapToGrid w:val="0"/>
              <w:spacing w:line="240" w:lineRule="exact"/>
              <w:rPr>
                <w:kern w:val="2"/>
                <w:sz w:val="21"/>
                <w:szCs w:val="21"/>
                <w:highlight w:val="none"/>
              </w:rPr>
            </w:pPr>
            <w:r>
              <w:rPr>
                <w:kern w:val="2"/>
                <w:sz w:val="21"/>
                <w:szCs w:val="21"/>
                <w:highlight w:val="none"/>
              </w:rPr>
              <w:t>装回工控机重复（1）、（2）步骤。</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rFonts w:hint="eastAsia"/>
                <w:kern w:val="2"/>
                <w:sz w:val="21"/>
                <w:szCs w:val="21"/>
                <w:highlight w:val="none"/>
              </w:rPr>
            </w:pPr>
            <w:r>
              <w:rPr>
                <w:rFonts w:hint="eastAsia"/>
                <w:kern w:val="2"/>
                <w:sz w:val="21"/>
                <w:szCs w:val="21"/>
                <w:highlight w:val="none"/>
              </w:rPr>
              <w:t>5</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rPr>
                <w:kern w:val="2"/>
                <w:sz w:val="21"/>
                <w:szCs w:val="21"/>
                <w:highlight w:val="none"/>
              </w:rPr>
            </w:pPr>
            <w:r>
              <w:rPr>
                <w:kern w:val="2"/>
                <w:sz w:val="21"/>
                <w:szCs w:val="21"/>
                <w:highlight w:val="none"/>
              </w:rPr>
              <w:t>通讯检查</w:t>
            </w:r>
          </w:p>
        </w:tc>
        <w:tc>
          <w:tcPr>
            <w:tcW w:w="1726" w:type="dxa"/>
            <w:vMerge w:val="restart"/>
            <w:tcBorders>
              <w:top w:val="nil"/>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1周1次，确保控制和数据上传通道畅通</w:t>
            </w:r>
          </w:p>
        </w:tc>
        <w:tc>
          <w:tcPr>
            <w:tcW w:w="5335" w:type="dxa"/>
            <w:tcBorders>
              <w:top w:val="single" w:color="auto" w:sz="8" w:space="0"/>
              <w:left w:val="nil"/>
              <w:bottom w:val="single" w:color="auto" w:sz="8" w:space="0"/>
              <w:right w:val="single" w:color="auto" w:sz="8" w:space="0"/>
            </w:tcBorders>
            <w:noWrap w:val="0"/>
            <w:vAlign w:val="center"/>
          </w:tcPr>
          <w:p>
            <w:pPr>
              <w:numPr>
                <w:ilvl w:val="0"/>
                <w:numId w:val="6"/>
              </w:numPr>
              <w:adjustRightInd w:val="0"/>
              <w:snapToGrid w:val="0"/>
              <w:rPr>
                <w:kern w:val="2"/>
                <w:sz w:val="21"/>
                <w:szCs w:val="21"/>
                <w:highlight w:val="none"/>
              </w:rPr>
            </w:pPr>
            <w:r>
              <w:rPr>
                <w:kern w:val="2"/>
                <w:sz w:val="21"/>
                <w:szCs w:val="21"/>
                <w:highlight w:val="none"/>
              </w:rPr>
              <w:t>确保工控机各个串口和PLC、数采仪、分析仪器连接一一对应正确且牢固。</w:t>
            </w:r>
          </w:p>
          <w:p>
            <w:pPr>
              <w:numPr>
                <w:ilvl w:val="0"/>
                <w:numId w:val="6"/>
              </w:numPr>
              <w:adjustRightInd w:val="0"/>
              <w:snapToGrid w:val="0"/>
              <w:rPr>
                <w:kern w:val="2"/>
                <w:sz w:val="21"/>
                <w:szCs w:val="21"/>
                <w:highlight w:val="none"/>
              </w:rPr>
            </w:pPr>
            <w:r>
              <w:rPr>
                <w:kern w:val="2"/>
                <w:sz w:val="21"/>
                <w:szCs w:val="21"/>
                <w:highlight w:val="none"/>
              </w:rPr>
              <w:t>VPN网络设备检查，保证通讯畅通。</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rFonts w:hint="eastAsia"/>
                <w:kern w:val="2"/>
                <w:sz w:val="21"/>
                <w:szCs w:val="21"/>
                <w:highlight w:val="none"/>
              </w:rPr>
            </w:pPr>
            <w:r>
              <w:rPr>
                <w:rFonts w:hint="eastAsia"/>
                <w:kern w:val="2"/>
                <w:sz w:val="21"/>
                <w:szCs w:val="21"/>
                <w:highlight w:val="none"/>
              </w:rPr>
              <w:t>6</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rPr>
                <w:kern w:val="2"/>
                <w:sz w:val="21"/>
                <w:szCs w:val="21"/>
                <w:highlight w:val="none"/>
              </w:rPr>
            </w:pPr>
            <w:r>
              <w:rPr>
                <w:kern w:val="2"/>
                <w:sz w:val="21"/>
                <w:szCs w:val="21"/>
                <w:highlight w:val="none"/>
              </w:rPr>
              <w:t>PLC检查</w:t>
            </w:r>
          </w:p>
        </w:tc>
        <w:tc>
          <w:tcPr>
            <w:tcW w:w="1726" w:type="dxa"/>
            <w:vMerge w:val="continue"/>
            <w:tcBorders>
              <w:top w:val="nil"/>
              <w:left w:val="nil"/>
              <w:bottom w:val="single" w:color="auto" w:sz="8" w:space="0"/>
              <w:right w:val="single" w:color="auto" w:sz="8" w:space="0"/>
            </w:tcBorders>
            <w:noWrap w:val="0"/>
            <w:vAlign w:val="center"/>
          </w:tcPr>
          <w:p>
            <w:pPr>
              <w:adjustRightInd w:val="0"/>
              <w:snapToGrid w:val="0"/>
              <w:ind w:firstLine="400"/>
              <w:rPr>
                <w:kern w:val="2"/>
                <w:sz w:val="21"/>
                <w:szCs w:val="21"/>
                <w:highlight w:val="none"/>
              </w:rPr>
            </w:pPr>
          </w:p>
        </w:tc>
        <w:tc>
          <w:tcPr>
            <w:tcW w:w="5335" w:type="dxa"/>
            <w:tcBorders>
              <w:top w:val="single" w:color="auto" w:sz="8" w:space="0"/>
              <w:left w:val="nil"/>
              <w:bottom w:val="single" w:color="auto" w:sz="8" w:space="0"/>
              <w:right w:val="single" w:color="auto" w:sz="8" w:space="0"/>
            </w:tcBorders>
            <w:noWrap w:val="0"/>
            <w:vAlign w:val="center"/>
          </w:tcPr>
          <w:p>
            <w:pPr>
              <w:numPr>
                <w:ilvl w:val="0"/>
                <w:numId w:val="7"/>
              </w:numPr>
              <w:adjustRightInd w:val="0"/>
              <w:snapToGrid w:val="0"/>
              <w:rPr>
                <w:kern w:val="2"/>
                <w:sz w:val="21"/>
                <w:szCs w:val="21"/>
                <w:highlight w:val="none"/>
              </w:rPr>
            </w:pPr>
            <w:r>
              <w:rPr>
                <w:kern w:val="2"/>
                <w:sz w:val="21"/>
                <w:szCs w:val="21"/>
                <w:highlight w:val="none"/>
              </w:rPr>
              <w:t>检查PLC状态数据传输和报警灯，确保无数据传输和报警。</w:t>
            </w:r>
          </w:p>
          <w:p>
            <w:pPr>
              <w:numPr>
                <w:ilvl w:val="0"/>
                <w:numId w:val="7"/>
              </w:numPr>
              <w:adjustRightInd w:val="0"/>
              <w:snapToGrid w:val="0"/>
              <w:rPr>
                <w:kern w:val="2"/>
                <w:sz w:val="21"/>
                <w:szCs w:val="21"/>
                <w:highlight w:val="none"/>
              </w:rPr>
            </w:pPr>
            <w:r>
              <w:rPr>
                <w:kern w:val="2"/>
                <w:sz w:val="21"/>
                <w:szCs w:val="21"/>
                <w:highlight w:val="none"/>
              </w:rPr>
              <w:t>确保取水过程中PLC上各个点输入输出状态正确。</w:t>
            </w:r>
          </w:p>
          <w:p>
            <w:pPr>
              <w:numPr>
                <w:ilvl w:val="0"/>
                <w:numId w:val="7"/>
              </w:numPr>
              <w:adjustRightInd w:val="0"/>
              <w:snapToGrid w:val="0"/>
              <w:rPr>
                <w:kern w:val="2"/>
                <w:sz w:val="21"/>
                <w:szCs w:val="21"/>
                <w:highlight w:val="none"/>
              </w:rPr>
            </w:pPr>
            <w:r>
              <w:rPr>
                <w:kern w:val="2"/>
                <w:sz w:val="21"/>
                <w:szCs w:val="21"/>
                <w:highlight w:val="none"/>
              </w:rPr>
              <w:t>测量并确保PLC时钟电池电压正常。必要的情况更换电池。</w:t>
            </w:r>
          </w:p>
          <w:p>
            <w:pPr>
              <w:numPr>
                <w:ilvl w:val="0"/>
                <w:numId w:val="7"/>
              </w:numPr>
              <w:adjustRightInd w:val="0"/>
              <w:snapToGrid w:val="0"/>
              <w:rPr>
                <w:kern w:val="2"/>
                <w:sz w:val="21"/>
                <w:szCs w:val="21"/>
                <w:highlight w:val="none"/>
              </w:rPr>
            </w:pPr>
            <w:r>
              <w:rPr>
                <w:kern w:val="2"/>
                <w:sz w:val="21"/>
                <w:szCs w:val="21"/>
                <w:highlight w:val="none"/>
              </w:rPr>
              <w:t>确保PLC串口模块连接牢固。</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rFonts w:hint="eastAsia"/>
                <w:kern w:val="2"/>
                <w:sz w:val="21"/>
                <w:szCs w:val="21"/>
                <w:highlight w:val="none"/>
              </w:rPr>
            </w:pPr>
            <w:r>
              <w:rPr>
                <w:rFonts w:hint="eastAsia"/>
                <w:kern w:val="2"/>
                <w:sz w:val="21"/>
                <w:szCs w:val="21"/>
                <w:highlight w:val="none"/>
              </w:rPr>
              <w:t>7</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面板开关检查</w:t>
            </w:r>
          </w:p>
        </w:tc>
        <w:tc>
          <w:tcPr>
            <w:tcW w:w="1726" w:type="dxa"/>
            <w:vMerge w:val="restart"/>
            <w:tcBorders>
              <w:top w:val="nil"/>
              <w:left w:val="nil"/>
              <w:bottom w:val="single" w:color="auto" w:sz="8" w:space="0"/>
              <w:right w:val="single" w:color="auto" w:sz="8"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1周1次，确保各开关功能正常</w:t>
            </w:r>
          </w:p>
          <w:p>
            <w:pPr>
              <w:adjustRightInd w:val="0"/>
              <w:snapToGrid w:val="0"/>
              <w:spacing w:line="240" w:lineRule="exact"/>
              <w:rPr>
                <w:kern w:val="2"/>
                <w:sz w:val="21"/>
                <w:szCs w:val="21"/>
                <w:highlight w:val="none"/>
              </w:rPr>
            </w:pPr>
          </w:p>
          <w:p>
            <w:pPr>
              <w:adjustRightInd w:val="0"/>
              <w:snapToGrid w:val="0"/>
              <w:spacing w:line="240" w:lineRule="exact"/>
              <w:jc w:val="center"/>
              <w:rPr>
                <w:kern w:val="2"/>
                <w:sz w:val="21"/>
                <w:szCs w:val="21"/>
                <w:highlight w:val="none"/>
              </w:rPr>
            </w:pP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检查控制柜前面板开关和指示灯确保其工作正常。</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rFonts w:hint="eastAsia"/>
                <w:kern w:val="2"/>
                <w:sz w:val="21"/>
                <w:szCs w:val="21"/>
                <w:highlight w:val="none"/>
              </w:rPr>
            </w:pPr>
            <w:r>
              <w:rPr>
                <w:rFonts w:hint="eastAsia"/>
                <w:kern w:val="2"/>
                <w:sz w:val="21"/>
                <w:szCs w:val="21"/>
                <w:highlight w:val="none"/>
              </w:rPr>
              <w:t>8</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配电板清扫</w:t>
            </w:r>
          </w:p>
        </w:tc>
        <w:tc>
          <w:tcPr>
            <w:tcW w:w="1726" w:type="dxa"/>
            <w:vMerge w:val="continue"/>
            <w:tcBorders>
              <w:top w:val="nil"/>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清扫配电板上各个元件上的灰尘等。</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rFonts w:hint="eastAsia"/>
                <w:kern w:val="2"/>
                <w:sz w:val="21"/>
                <w:szCs w:val="21"/>
                <w:highlight w:val="none"/>
              </w:rPr>
            </w:pPr>
            <w:r>
              <w:rPr>
                <w:rFonts w:hint="eastAsia"/>
                <w:kern w:val="2"/>
                <w:sz w:val="21"/>
                <w:szCs w:val="21"/>
                <w:highlight w:val="none"/>
              </w:rPr>
              <w:t>9</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配电板状态检查</w:t>
            </w:r>
          </w:p>
        </w:tc>
        <w:tc>
          <w:tcPr>
            <w:tcW w:w="1726" w:type="dxa"/>
            <w:vMerge w:val="continue"/>
            <w:tcBorders>
              <w:top w:val="nil"/>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检查确保配电板上各个接线接头不松动，并清除锈蚀接头。确保各个接触器和继电器工作正常。</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kern w:val="2"/>
                <w:sz w:val="21"/>
                <w:szCs w:val="21"/>
                <w:highlight w:val="none"/>
              </w:rPr>
            </w:pPr>
            <w:r>
              <w:rPr>
                <w:rFonts w:hint="eastAsia"/>
                <w:kern w:val="2"/>
                <w:sz w:val="21"/>
                <w:szCs w:val="21"/>
                <w:highlight w:val="none"/>
              </w:rPr>
              <w:t>10</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接地检查</w:t>
            </w:r>
          </w:p>
        </w:tc>
        <w:tc>
          <w:tcPr>
            <w:tcW w:w="1726" w:type="dxa"/>
            <w:vMerge w:val="continue"/>
            <w:tcBorders>
              <w:top w:val="nil"/>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确保各个机柜和用电器接地良好，尤其注意防雷保护器接地。</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rFonts w:hint="eastAsia"/>
                <w:kern w:val="2"/>
                <w:sz w:val="21"/>
                <w:szCs w:val="21"/>
                <w:highlight w:val="none"/>
              </w:rPr>
            </w:pPr>
            <w:r>
              <w:rPr>
                <w:kern w:val="2"/>
                <w:sz w:val="21"/>
                <w:szCs w:val="21"/>
                <w:highlight w:val="none"/>
              </w:rPr>
              <w:t>1</w:t>
            </w:r>
            <w:r>
              <w:rPr>
                <w:rFonts w:hint="eastAsia"/>
                <w:kern w:val="2"/>
                <w:sz w:val="21"/>
                <w:szCs w:val="21"/>
                <w:highlight w:val="none"/>
              </w:rPr>
              <w:t>1</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温湿度仪检查</w:t>
            </w:r>
          </w:p>
        </w:tc>
        <w:tc>
          <w:tcPr>
            <w:tcW w:w="1726" w:type="dxa"/>
            <w:vMerge w:val="continue"/>
            <w:tcBorders>
              <w:top w:val="nil"/>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检查温湿度仪是否显示合理，保证温度探头反应灵敏。</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kern w:val="2"/>
                <w:sz w:val="21"/>
                <w:szCs w:val="21"/>
                <w:highlight w:val="none"/>
              </w:rPr>
            </w:pPr>
            <w:r>
              <w:rPr>
                <w:rFonts w:hint="eastAsia"/>
                <w:kern w:val="2"/>
                <w:sz w:val="21"/>
                <w:szCs w:val="21"/>
                <w:highlight w:val="none"/>
              </w:rPr>
              <w:t>12</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稳压电源清扫</w:t>
            </w:r>
          </w:p>
        </w:tc>
        <w:tc>
          <w:tcPr>
            <w:tcW w:w="1726" w:type="dxa"/>
            <w:vMerge w:val="continue"/>
            <w:tcBorders>
              <w:top w:val="nil"/>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p>
        </w:tc>
        <w:tc>
          <w:tcPr>
            <w:tcW w:w="5335" w:type="dxa"/>
            <w:tcBorders>
              <w:top w:val="single" w:color="auto" w:sz="8" w:space="0"/>
              <w:left w:val="nil"/>
              <w:bottom w:val="single" w:color="auto" w:sz="8" w:space="0"/>
              <w:right w:val="single" w:color="auto" w:sz="8" w:space="0"/>
            </w:tcBorders>
            <w:noWrap w:val="0"/>
            <w:vAlign w:val="center"/>
          </w:tcPr>
          <w:p>
            <w:pPr>
              <w:numPr>
                <w:ilvl w:val="0"/>
                <w:numId w:val="8"/>
              </w:numPr>
              <w:adjustRightInd w:val="0"/>
              <w:snapToGrid w:val="0"/>
              <w:spacing w:line="240" w:lineRule="exact"/>
              <w:rPr>
                <w:kern w:val="2"/>
                <w:sz w:val="21"/>
                <w:szCs w:val="21"/>
                <w:highlight w:val="none"/>
              </w:rPr>
            </w:pPr>
            <w:r>
              <w:rPr>
                <w:kern w:val="2"/>
                <w:sz w:val="21"/>
                <w:szCs w:val="21"/>
                <w:highlight w:val="none"/>
              </w:rPr>
              <w:t>断电情况下清扫稳压电源内的灰尘。</w:t>
            </w:r>
          </w:p>
          <w:p>
            <w:pPr>
              <w:numPr>
                <w:ilvl w:val="0"/>
                <w:numId w:val="8"/>
              </w:numPr>
              <w:adjustRightInd w:val="0"/>
              <w:snapToGrid w:val="0"/>
              <w:spacing w:line="240" w:lineRule="exact"/>
              <w:rPr>
                <w:kern w:val="2"/>
                <w:sz w:val="21"/>
                <w:szCs w:val="21"/>
                <w:highlight w:val="none"/>
              </w:rPr>
            </w:pPr>
            <w:r>
              <w:rPr>
                <w:kern w:val="2"/>
                <w:sz w:val="21"/>
                <w:szCs w:val="21"/>
                <w:highlight w:val="none"/>
              </w:rPr>
              <w:t>检查碳刷是否正常，磨损较多情况必须更换。上电测试，确保稳压源工作正常。</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kern w:val="2"/>
                <w:sz w:val="21"/>
                <w:szCs w:val="21"/>
                <w:highlight w:val="none"/>
              </w:rPr>
            </w:pPr>
            <w:r>
              <w:rPr>
                <w:rFonts w:hint="eastAsia"/>
                <w:kern w:val="2"/>
                <w:sz w:val="21"/>
                <w:szCs w:val="21"/>
                <w:highlight w:val="none"/>
              </w:rPr>
              <w:t>13</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UPS检查清扫</w:t>
            </w:r>
          </w:p>
        </w:tc>
        <w:tc>
          <w:tcPr>
            <w:tcW w:w="1726" w:type="dxa"/>
            <w:vMerge w:val="continue"/>
            <w:tcBorders>
              <w:top w:val="nil"/>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p>
        </w:tc>
        <w:tc>
          <w:tcPr>
            <w:tcW w:w="5335" w:type="dxa"/>
            <w:tcBorders>
              <w:top w:val="single" w:color="auto" w:sz="8" w:space="0"/>
              <w:left w:val="nil"/>
              <w:bottom w:val="single" w:color="auto" w:sz="8" w:space="0"/>
              <w:right w:val="single" w:color="auto" w:sz="8" w:space="0"/>
            </w:tcBorders>
            <w:noWrap w:val="0"/>
            <w:vAlign w:val="center"/>
          </w:tcPr>
          <w:p>
            <w:pPr>
              <w:numPr>
                <w:ilvl w:val="0"/>
                <w:numId w:val="9"/>
              </w:numPr>
              <w:tabs>
                <w:tab w:val="left" w:pos="360"/>
              </w:tabs>
              <w:adjustRightInd w:val="0"/>
              <w:snapToGrid w:val="0"/>
              <w:spacing w:line="240" w:lineRule="exact"/>
              <w:rPr>
                <w:kern w:val="2"/>
                <w:sz w:val="21"/>
                <w:szCs w:val="21"/>
                <w:highlight w:val="none"/>
              </w:rPr>
            </w:pPr>
            <w:r>
              <w:rPr>
                <w:kern w:val="2"/>
                <w:sz w:val="21"/>
                <w:szCs w:val="21"/>
                <w:highlight w:val="none"/>
              </w:rPr>
              <w:t>断电情况下清扫UPS各个散热孔上的灰尘。</w:t>
            </w:r>
          </w:p>
          <w:p>
            <w:pPr>
              <w:numPr>
                <w:ilvl w:val="0"/>
                <w:numId w:val="9"/>
              </w:numPr>
              <w:tabs>
                <w:tab w:val="left" w:pos="360"/>
              </w:tabs>
              <w:adjustRightInd w:val="0"/>
              <w:snapToGrid w:val="0"/>
              <w:spacing w:line="240" w:lineRule="exact"/>
              <w:rPr>
                <w:kern w:val="2"/>
                <w:sz w:val="21"/>
                <w:szCs w:val="21"/>
                <w:highlight w:val="none"/>
              </w:rPr>
            </w:pPr>
            <w:r>
              <w:rPr>
                <w:kern w:val="2"/>
                <w:sz w:val="21"/>
                <w:szCs w:val="21"/>
                <w:highlight w:val="none"/>
              </w:rPr>
              <w:t>检查确保UPS充放电正常。</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kern w:val="2"/>
                <w:sz w:val="21"/>
                <w:szCs w:val="21"/>
                <w:highlight w:val="none"/>
              </w:rPr>
            </w:pPr>
            <w:r>
              <w:rPr>
                <w:rFonts w:hint="eastAsia"/>
                <w:kern w:val="2"/>
                <w:sz w:val="21"/>
                <w:szCs w:val="21"/>
                <w:highlight w:val="none"/>
              </w:rPr>
              <w:t>14</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UPS电池箱清扫</w:t>
            </w:r>
          </w:p>
        </w:tc>
        <w:tc>
          <w:tcPr>
            <w:tcW w:w="1726" w:type="dxa"/>
            <w:vMerge w:val="continue"/>
            <w:tcBorders>
              <w:top w:val="nil"/>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p>
        </w:tc>
        <w:tc>
          <w:tcPr>
            <w:tcW w:w="5335" w:type="dxa"/>
            <w:tcBorders>
              <w:top w:val="single" w:color="auto" w:sz="8" w:space="0"/>
              <w:left w:val="nil"/>
              <w:bottom w:val="single" w:color="auto" w:sz="8" w:space="0"/>
              <w:right w:val="single" w:color="auto" w:sz="8" w:space="0"/>
            </w:tcBorders>
            <w:noWrap w:val="0"/>
            <w:vAlign w:val="center"/>
          </w:tcPr>
          <w:p>
            <w:pPr>
              <w:numPr>
                <w:ilvl w:val="0"/>
                <w:numId w:val="10"/>
              </w:numPr>
              <w:tabs>
                <w:tab w:val="left" w:pos="360"/>
              </w:tabs>
              <w:adjustRightInd w:val="0"/>
              <w:snapToGrid w:val="0"/>
              <w:spacing w:line="240" w:lineRule="exact"/>
              <w:rPr>
                <w:kern w:val="2"/>
                <w:sz w:val="21"/>
                <w:szCs w:val="21"/>
                <w:highlight w:val="none"/>
              </w:rPr>
            </w:pPr>
            <w:r>
              <w:rPr>
                <w:kern w:val="2"/>
                <w:sz w:val="21"/>
                <w:szCs w:val="21"/>
                <w:highlight w:val="none"/>
              </w:rPr>
              <w:t>做好绝缘措施情况下清扫UPS电池箱内的灰尘。</w:t>
            </w:r>
          </w:p>
          <w:p>
            <w:pPr>
              <w:numPr>
                <w:ilvl w:val="0"/>
                <w:numId w:val="10"/>
              </w:numPr>
              <w:tabs>
                <w:tab w:val="left" w:pos="360"/>
              </w:tabs>
              <w:adjustRightInd w:val="0"/>
              <w:snapToGrid w:val="0"/>
              <w:spacing w:line="240" w:lineRule="exact"/>
              <w:rPr>
                <w:kern w:val="2"/>
                <w:sz w:val="21"/>
                <w:szCs w:val="21"/>
                <w:highlight w:val="none"/>
              </w:rPr>
            </w:pPr>
            <w:r>
              <w:rPr>
                <w:kern w:val="2"/>
                <w:sz w:val="21"/>
                <w:szCs w:val="21"/>
                <w:highlight w:val="none"/>
              </w:rPr>
              <w:t>确保箱内各个电池联线接触良好牢固。</w:t>
            </w:r>
          </w:p>
          <w:p>
            <w:pPr>
              <w:numPr>
                <w:ilvl w:val="0"/>
                <w:numId w:val="10"/>
              </w:numPr>
              <w:tabs>
                <w:tab w:val="left" w:pos="360"/>
              </w:tabs>
              <w:adjustRightInd w:val="0"/>
              <w:snapToGrid w:val="0"/>
              <w:spacing w:line="240" w:lineRule="exact"/>
              <w:rPr>
                <w:kern w:val="2"/>
                <w:sz w:val="21"/>
                <w:szCs w:val="21"/>
                <w:highlight w:val="none"/>
              </w:rPr>
            </w:pPr>
            <w:r>
              <w:rPr>
                <w:kern w:val="2"/>
                <w:sz w:val="21"/>
                <w:szCs w:val="21"/>
                <w:highlight w:val="none"/>
              </w:rPr>
              <w:t>确保各个电池无漏液，外观正常。</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kern w:val="2"/>
                <w:sz w:val="21"/>
                <w:szCs w:val="21"/>
                <w:highlight w:val="none"/>
              </w:rPr>
            </w:pPr>
            <w:r>
              <w:rPr>
                <w:rFonts w:hint="eastAsia"/>
                <w:kern w:val="2"/>
                <w:sz w:val="21"/>
                <w:szCs w:val="21"/>
                <w:highlight w:val="none"/>
              </w:rPr>
              <w:t>15</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机柜台面清扫及检查</w:t>
            </w:r>
          </w:p>
        </w:tc>
        <w:tc>
          <w:tcPr>
            <w:tcW w:w="1726" w:type="dxa"/>
            <w:vMerge w:val="continue"/>
            <w:tcBorders>
              <w:top w:val="nil"/>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p>
        </w:tc>
        <w:tc>
          <w:tcPr>
            <w:tcW w:w="5335" w:type="dxa"/>
            <w:tcBorders>
              <w:top w:val="single" w:color="auto" w:sz="8" w:space="0"/>
              <w:left w:val="nil"/>
              <w:bottom w:val="single" w:color="auto" w:sz="8" w:space="0"/>
              <w:right w:val="single" w:color="auto" w:sz="8" w:space="0"/>
            </w:tcBorders>
            <w:noWrap w:val="0"/>
            <w:vAlign w:val="center"/>
          </w:tcPr>
          <w:p>
            <w:pPr>
              <w:numPr>
                <w:ilvl w:val="0"/>
                <w:numId w:val="11"/>
              </w:numPr>
              <w:tabs>
                <w:tab w:val="left" w:pos="360"/>
              </w:tabs>
              <w:adjustRightInd w:val="0"/>
              <w:snapToGrid w:val="0"/>
              <w:spacing w:line="240" w:lineRule="exact"/>
              <w:rPr>
                <w:kern w:val="2"/>
                <w:sz w:val="21"/>
                <w:szCs w:val="21"/>
                <w:highlight w:val="none"/>
              </w:rPr>
            </w:pPr>
            <w:r>
              <w:rPr>
                <w:kern w:val="2"/>
                <w:sz w:val="21"/>
                <w:szCs w:val="21"/>
                <w:highlight w:val="none"/>
              </w:rPr>
              <w:t>检查机柜台面及玻璃是否清洁。</w:t>
            </w:r>
          </w:p>
          <w:p>
            <w:pPr>
              <w:numPr>
                <w:ilvl w:val="0"/>
                <w:numId w:val="11"/>
              </w:numPr>
              <w:adjustRightInd w:val="0"/>
              <w:snapToGrid w:val="0"/>
              <w:spacing w:line="240" w:lineRule="exact"/>
              <w:rPr>
                <w:kern w:val="2"/>
                <w:sz w:val="21"/>
                <w:szCs w:val="21"/>
                <w:highlight w:val="none"/>
              </w:rPr>
            </w:pPr>
            <w:r>
              <w:rPr>
                <w:kern w:val="2"/>
                <w:sz w:val="21"/>
                <w:szCs w:val="21"/>
                <w:highlight w:val="none"/>
              </w:rPr>
              <w:t>检查机柜各门是否关于完好。</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16</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default" w:eastAsia="宋体"/>
                <w:kern w:val="2"/>
                <w:sz w:val="21"/>
                <w:szCs w:val="21"/>
                <w:highlight w:val="none"/>
                <w:lang w:val="en-US" w:eastAsia="zh-CN"/>
              </w:rPr>
              <w:t>重金属在线监测仪</w:t>
            </w:r>
            <w:r>
              <w:rPr>
                <w:rFonts w:hint="eastAsia" w:eastAsia="宋体"/>
                <w:kern w:val="2"/>
                <w:sz w:val="21"/>
                <w:szCs w:val="21"/>
                <w:highlight w:val="none"/>
                <w:lang w:val="en-US" w:eastAsia="zh-CN"/>
              </w:rPr>
              <w:t>断电重启</w:t>
            </w:r>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1周1次，确保监测仪器工控机、监测仪及配套系统正常运行。</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若EXPEC7000软件启动报错，则将前面保存的Var文件将Config里的Var文件替换</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打开EXPEC7000、重金属、数采软件</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EXPEC7000软件：点击打开真空，等待流程走至真空就绪，真空泵转速从0到60000，分析腔压力＜3.0e-6mbar；管理→在线消解，确认界面右手边状态量中当前流程为1，多通道阀序列为0，多通道阀消解也为0，点击流程下的下载方法，多通道阀序列的设置，轮训周期的设置，3个点完后状态量显示为1,1,6。</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（4）</w:t>
            </w:r>
            <w:r>
              <w:rPr>
                <w:rFonts w:hint="default" w:eastAsia="宋体"/>
                <w:kern w:val="2"/>
                <w:sz w:val="21"/>
                <w:szCs w:val="21"/>
                <w:highlight w:val="none"/>
                <w:lang w:val="en-US" w:eastAsia="zh-CN"/>
              </w:rPr>
              <w:t>谱育水质重金属软件打开常用→状态监控，确认ICPMS开关信息中，前级泵、分子泵和前级阀三个按钮量绿灯，绿灯说明重金属软件与EXPEC7000软件通讯正常。点击下载并保存,点击前处理机柜端前处理采水轮训周期设置，点击PLC报警阈值设置的设置和自动读取ICP-MS仪表端数据周期设置的设置。</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17</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eastAsia" w:eastAsia="宋体"/>
                <w:kern w:val="2"/>
                <w:sz w:val="21"/>
                <w:szCs w:val="21"/>
                <w:highlight w:val="none"/>
                <w:lang w:val="en-US" w:eastAsia="zh-CN"/>
              </w:rPr>
            </w:pPr>
            <w:r>
              <w:rPr>
                <w:rFonts w:hint="default" w:eastAsia="宋体"/>
                <w:kern w:val="2"/>
                <w:sz w:val="21"/>
                <w:szCs w:val="21"/>
                <w:highlight w:val="none"/>
                <w:lang w:val="en-US" w:eastAsia="zh-CN"/>
              </w:rPr>
              <w:t>重金属在线监测仪更换氩气</w:t>
            </w:r>
          </w:p>
          <w:p>
            <w:pPr>
              <w:adjustRightInd w:val="0"/>
              <w:snapToGrid w:val="0"/>
              <w:spacing w:line="240" w:lineRule="exact"/>
              <w:jc w:val="center"/>
              <w:rPr>
                <w:rFonts w:hint="default" w:eastAsia="宋体"/>
                <w:kern w:val="2"/>
                <w:sz w:val="21"/>
                <w:szCs w:val="21"/>
                <w:highlight w:val="none"/>
                <w:lang w:val="en-US" w:eastAsia="zh-CN"/>
              </w:rPr>
            </w:pPr>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每半月一次或更换氩气时进行，确保氩气供应正常</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将所有氩气减压阀黑色旋钮旋松，并关闭所有氩气气瓶阀门，旋松小减压阀压力至0；</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观察氩气减压阀高压表，将压力≤3Mpa的气瓶用10寸活动扳手拧下，更换新氩气气瓶</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拧紧减压阀后将气瓶阀门打开，至减压阀高压表指正稳定后关闭（40L满瓶指针在12-14Mpa之间），等待5-10min，观察高压表指针是否下掉，下掉幅度小于等于0.5Mpa则合格，否则重新拆卸安装减压阀，</w:t>
            </w:r>
            <w:r>
              <w:rPr>
                <w:rFonts w:hint="eastAsia" w:eastAsia="宋体"/>
                <w:kern w:val="2"/>
                <w:sz w:val="21"/>
                <w:szCs w:val="21"/>
                <w:highlight w:val="none"/>
                <w:lang w:val="en-US" w:eastAsia="zh-CN"/>
              </w:rPr>
              <w:t>若</w:t>
            </w:r>
            <w:r>
              <w:rPr>
                <w:rFonts w:hint="default" w:eastAsia="宋体"/>
                <w:kern w:val="2"/>
                <w:sz w:val="21"/>
                <w:szCs w:val="21"/>
                <w:highlight w:val="none"/>
                <w:lang w:val="en-US" w:eastAsia="zh-CN"/>
              </w:rPr>
              <w:t>还是不行则更换另外一个不漏的减压阀，</w:t>
            </w:r>
            <w:r>
              <w:rPr>
                <w:rFonts w:hint="eastAsia" w:eastAsia="宋体"/>
                <w:kern w:val="2"/>
                <w:sz w:val="21"/>
                <w:szCs w:val="21"/>
                <w:highlight w:val="none"/>
                <w:lang w:val="en-US" w:eastAsia="zh-CN"/>
              </w:rPr>
              <w:t>若</w:t>
            </w:r>
            <w:r>
              <w:rPr>
                <w:rFonts w:hint="default" w:eastAsia="宋体"/>
                <w:kern w:val="2"/>
                <w:sz w:val="21"/>
                <w:szCs w:val="21"/>
                <w:highlight w:val="none"/>
                <w:lang w:val="en-US" w:eastAsia="zh-CN"/>
              </w:rPr>
              <w:t>还下掉则说明氩气气瓶口密封存在问题，退还气瓶。（正常40L装，满压力13Mpa的氩气，一瓶可以跑25次流程左右。）</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（4）</w:t>
            </w:r>
            <w:r>
              <w:rPr>
                <w:rFonts w:hint="default" w:eastAsia="宋体"/>
                <w:kern w:val="2"/>
                <w:sz w:val="21"/>
                <w:szCs w:val="21"/>
                <w:highlight w:val="none"/>
                <w:lang w:val="en-US" w:eastAsia="zh-CN"/>
              </w:rPr>
              <w:t>更换完气瓶并测试完气密性后，将所有气瓶阀门逐一打开（至少转5圈），将所有减压阀黑色旋钮旋紧，将小减压阀压力调节至0.75Mpa</w:t>
            </w:r>
            <w:r>
              <w:rPr>
                <w:rFonts w:hint="eastAsia" w:eastAsia="宋体"/>
                <w:kern w:val="2"/>
                <w:sz w:val="21"/>
                <w:szCs w:val="21"/>
                <w:highlight w:val="none"/>
                <w:lang w:val="en-US" w:eastAsia="zh-CN"/>
              </w:rPr>
              <w:t>。</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18</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default" w:eastAsia="宋体"/>
                <w:kern w:val="2"/>
                <w:sz w:val="21"/>
                <w:szCs w:val="21"/>
                <w:highlight w:val="none"/>
                <w:lang w:val="en-US" w:eastAsia="zh-CN"/>
              </w:rPr>
              <w:t>重金属在线监测仪检查机械泵（前级泵）泵油液位及颜色、水机液位、废液桶液位</w:t>
            </w:r>
          </w:p>
          <w:p>
            <w:pPr>
              <w:adjustRightInd w:val="0"/>
              <w:snapToGrid w:val="0"/>
              <w:spacing w:line="240" w:lineRule="exact"/>
              <w:jc w:val="center"/>
              <w:rPr>
                <w:rFonts w:hint="default" w:eastAsia="宋体"/>
                <w:kern w:val="2"/>
                <w:sz w:val="21"/>
                <w:szCs w:val="21"/>
                <w:highlight w:val="none"/>
                <w:lang w:val="en-US" w:eastAsia="zh-CN"/>
              </w:rPr>
            </w:pPr>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3个月一次，确保机械泵工作状态正常</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机械泵泵油颜色判断方式：</w:t>
            </w:r>
          </w:p>
          <w:p>
            <w:pPr>
              <w:adjustRightInd w:val="0"/>
              <w:snapToGrid w:val="0"/>
              <w:spacing w:line="240" w:lineRule="exact"/>
              <w:jc w:val="left"/>
              <w:rPr>
                <w:rFonts w:hint="default" w:eastAsia="宋体"/>
                <w:kern w:val="2"/>
                <w:sz w:val="21"/>
                <w:szCs w:val="21"/>
                <w:highlight w:val="none"/>
                <w:lang w:val="en-US" w:eastAsia="zh-CN"/>
              </w:rPr>
            </w:pPr>
            <w:r>
              <w:rPr>
                <w:rFonts w:hint="default" w:eastAsia="宋体"/>
                <w:kern w:val="2"/>
                <w:sz w:val="21"/>
                <w:szCs w:val="21"/>
                <w:highlight w:val="none"/>
                <w:lang w:val="en-US" w:eastAsia="zh-CN"/>
              </w:rPr>
              <w:t>油品比色卡，因PFPE全氟油外观呈清澈透明故当油品颜色达到2.0及以上时建议更换</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泵油3个月换一次，当泵油液位＜1/3且在更换周期内，则添加泵油至液位2/3处</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水机纯水3个月更换一次，特域水机正常液位为绿色范围2/3处，不得低于绿色与红色交界处；谱育CW-200水机正常液位为绿色中间，不得低于黄色中间位置；</w:t>
            </w:r>
            <w:r>
              <w:rPr>
                <w:rFonts w:hint="eastAsia" w:eastAsia="宋体"/>
                <w:kern w:val="2"/>
                <w:sz w:val="21"/>
                <w:szCs w:val="21"/>
                <w:highlight w:val="none"/>
                <w:lang w:val="en-US" w:eastAsia="zh-CN"/>
              </w:rPr>
              <w:t>若</w:t>
            </w:r>
            <w:r>
              <w:rPr>
                <w:rFonts w:hint="default" w:eastAsia="宋体"/>
                <w:kern w:val="2"/>
                <w:sz w:val="21"/>
                <w:szCs w:val="21"/>
                <w:highlight w:val="none"/>
                <w:lang w:val="en-US" w:eastAsia="zh-CN"/>
              </w:rPr>
              <w:t>液位在更换周期内低于限定值则添加纯水至合适位置</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（4）</w:t>
            </w:r>
            <w:r>
              <w:rPr>
                <w:rFonts w:hint="default" w:eastAsia="宋体"/>
                <w:kern w:val="2"/>
                <w:sz w:val="21"/>
                <w:szCs w:val="21"/>
                <w:highlight w:val="none"/>
                <w:lang w:val="en-US" w:eastAsia="zh-CN"/>
              </w:rPr>
              <w:t>废液桶：过滤模式在线仪表：液位不得高于9/10；消解模式在线仪表：液位不得高于3/4；超过限位则需</w:t>
            </w:r>
            <w:r>
              <w:rPr>
                <w:rFonts w:hint="eastAsia" w:eastAsia="宋体"/>
                <w:kern w:val="2"/>
                <w:sz w:val="21"/>
                <w:szCs w:val="21"/>
                <w:highlight w:val="none"/>
                <w:lang w:val="en-US" w:eastAsia="zh-CN"/>
              </w:rPr>
              <w:t>更换</w:t>
            </w:r>
            <w:r>
              <w:rPr>
                <w:rFonts w:hint="default" w:eastAsia="宋体"/>
                <w:kern w:val="2"/>
                <w:sz w:val="21"/>
                <w:szCs w:val="21"/>
                <w:highlight w:val="none"/>
                <w:lang w:val="en-US" w:eastAsia="zh-CN"/>
              </w:rPr>
              <w:t>废液桶，废液桶的废液需要统一回收处理。</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19</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default" w:eastAsia="宋体"/>
                <w:kern w:val="2"/>
                <w:sz w:val="21"/>
                <w:szCs w:val="21"/>
                <w:highlight w:val="none"/>
                <w:lang w:val="en-US" w:eastAsia="zh-CN"/>
              </w:rPr>
              <w:t>重金属在线监测仪清洗滤芯样品预处理管路检查维护</w:t>
            </w:r>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1周一次，确保进水水质未遭到污染</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将过滤罐取下，取出滤芯，检查滤芯O圈及过滤罐O圈是否存在破损，破损则更换</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滤芯用自来水冲洗，滤芯在清洗时需要不停均匀敲击</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反复冲洗，直至冲洗下来的水无明显颜色或杂志（</w:t>
            </w:r>
            <w:r>
              <w:rPr>
                <w:rFonts w:hint="eastAsia" w:eastAsia="宋体"/>
                <w:kern w:val="2"/>
                <w:sz w:val="21"/>
                <w:szCs w:val="21"/>
                <w:highlight w:val="none"/>
                <w:lang w:val="en-US" w:eastAsia="zh-CN"/>
              </w:rPr>
              <w:t>若</w:t>
            </w:r>
            <w:r>
              <w:rPr>
                <w:rFonts w:hint="default" w:eastAsia="宋体"/>
                <w:kern w:val="2"/>
                <w:sz w:val="21"/>
                <w:szCs w:val="21"/>
                <w:highlight w:val="none"/>
                <w:lang w:val="en-US" w:eastAsia="zh-CN"/>
              </w:rPr>
              <w:t>滤芯过脏无法洗净，则</w:t>
            </w:r>
            <w:r>
              <w:rPr>
                <w:rFonts w:hint="eastAsia" w:eastAsia="宋体"/>
                <w:kern w:val="2"/>
                <w:sz w:val="21"/>
                <w:szCs w:val="21"/>
                <w:highlight w:val="none"/>
                <w:lang w:val="en-US" w:eastAsia="zh-CN"/>
              </w:rPr>
              <w:t>更换</w:t>
            </w:r>
            <w:r>
              <w:rPr>
                <w:rFonts w:hint="default" w:eastAsia="宋体"/>
                <w:kern w:val="2"/>
                <w:sz w:val="21"/>
                <w:szCs w:val="21"/>
                <w:highlight w:val="none"/>
                <w:lang w:val="en-US" w:eastAsia="zh-CN"/>
              </w:rPr>
              <w:t>滤芯）</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（4）</w:t>
            </w:r>
            <w:r>
              <w:rPr>
                <w:rFonts w:hint="default" w:eastAsia="宋体"/>
                <w:kern w:val="2"/>
                <w:sz w:val="21"/>
                <w:szCs w:val="21"/>
                <w:highlight w:val="none"/>
                <w:lang w:val="en-US" w:eastAsia="zh-CN"/>
              </w:rPr>
              <w:t>清洗完成后</w:t>
            </w:r>
            <w:r>
              <w:rPr>
                <w:rFonts w:hint="eastAsia" w:eastAsia="宋体"/>
                <w:kern w:val="2"/>
                <w:sz w:val="21"/>
                <w:szCs w:val="21"/>
                <w:highlight w:val="none"/>
                <w:lang w:val="en-US" w:eastAsia="zh-CN"/>
              </w:rPr>
              <w:t>按规</w:t>
            </w:r>
            <w:r>
              <w:rPr>
                <w:rFonts w:hint="default" w:eastAsia="宋体"/>
                <w:kern w:val="2"/>
                <w:sz w:val="21"/>
                <w:szCs w:val="21"/>
                <w:highlight w:val="none"/>
                <w:lang w:val="en-US" w:eastAsia="zh-CN"/>
              </w:rPr>
              <w:t>格放回过滤罐，注意O圈是否贴合</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（5）</w:t>
            </w:r>
            <w:r>
              <w:rPr>
                <w:rFonts w:hint="default" w:eastAsia="宋体"/>
                <w:kern w:val="2"/>
                <w:sz w:val="21"/>
                <w:szCs w:val="21"/>
                <w:highlight w:val="none"/>
                <w:lang w:val="en-US" w:eastAsia="zh-CN"/>
              </w:rPr>
              <w:t>过滤罐装回时注意顺序，沉砂池水样先过100um然后再过0.45um</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（6）</w:t>
            </w:r>
            <w:r>
              <w:rPr>
                <w:rFonts w:hint="default" w:eastAsia="宋体"/>
                <w:kern w:val="2"/>
                <w:sz w:val="21"/>
                <w:szCs w:val="21"/>
                <w:highlight w:val="none"/>
                <w:lang w:val="en-US" w:eastAsia="zh-CN"/>
              </w:rPr>
              <w:t>采水时检查采水单元进水出水管路是否存在破损漏液情况</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（7）</w:t>
            </w:r>
            <w:r>
              <w:rPr>
                <w:rFonts w:hint="default" w:eastAsia="宋体"/>
                <w:kern w:val="2"/>
                <w:sz w:val="21"/>
                <w:szCs w:val="21"/>
                <w:highlight w:val="none"/>
                <w:lang w:val="en-US" w:eastAsia="zh-CN"/>
              </w:rPr>
              <w:t>检查Y型杯内壁是否存在沉积或者生藻类（拍照）</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20</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default" w:eastAsia="宋体"/>
                <w:kern w:val="2"/>
                <w:sz w:val="21"/>
                <w:szCs w:val="21"/>
                <w:highlight w:val="none"/>
                <w:lang w:val="en-US" w:eastAsia="zh-CN"/>
              </w:rPr>
              <w:t>重金属在线监测仪更换泵管卡槽位置</w:t>
            </w:r>
          </w:p>
          <w:p>
            <w:pPr>
              <w:adjustRightInd w:val="0"/>
              <w:snapToGrid w:val="0"/>
              <w:spacing w:line="240" w:lineRule="exact"/>
              <w:jc w:val="center"/>
              <w:rPr>
                <w:rFonts w:hint="default" w:eastAsia="宋体"/>
                <w:kern w:val="2"/>
                <w:sz w:val="21"/>
                <w:szCs w:val="21"/>
                <w:highlight w:val="none"/>
                <w:lang w:val="en-US" w:eastAsia="zh-CN"/>
              </w:rPr>
            </w:pPr>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2个月一次，确保泵工作状态正常</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泵管卡的位置：按顺序从里到外，最里面为排液管，其次为进样管，最后为内标管</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将所有压杆抬起，先更换排液管的卡槽位，然后</w:t>
            </w:r>
            <w:r>
              <w:rPr>
                <w:rFonts w:hint="eastAsia" w:eastAsia="宋体"/>
                <w:kern w:val="2"/>
                <w:sz w:val="21"/>
                <w:szCs w:val="21"/>
                <w:highlight w:val="none"/>
                <w:lang w:val="en-US" w:eastAsia="zh-CN"/>
              </w:rPr>
              <w:t>更换</w:t>
            </w:r>
            <w:r>
              <w:rPr>
                <w:rFonts w:hint="default" w:eastAsia="宋体"/>
                <w:kern w:val="2"/>
                <w:sz w:val="21"/>
                <w:szCs w:val="21"/>
                <w:highlight w:val="none"/>
                <w:lang w:val="en-US" w:eastAsia="zh-CN"/>
              </w:rPr>
              <w:t>进样管，最后</w:t>
            </w:r>
            <w:r>
              <w:rPr>
                <w:rFonts w:hint="eastAsia" w:eastAsia="宋体"/>
                <w:kern w:val="2"/>
                <w:sz w:val="21"/>
                <w:szCs w:val="21"/>
                <w:highlight w:val="none"/>
                <w:lang w:val="en-US" w:eastAsia="zh-CN"/>
              </w:rPr>
              <w:t>更换</w:t>
            </w:r>
            <w:r>
              <w:rPr>
                <w:rFonts w:hint="default" w:eastAsia="宋体"/>
                <w:kern w:val="2"/>
                <w:sz w:val="21"/>
                <w:szCs w:val="21"/>
                <w:highlight w:val="none"/>
                <w:lang w:val="en-US" w:eastAsia="zh-CN"/>
              </w:rPr>
              <w:t>内标管（注意泵管的安装方向，排液管排液，试剂流路方向与蠕动泵转动方向相同，</w:t>
            </w:r>
            <w:r>
              <w:rPr>
                <w:rFonts w:hint="eastAsia" w:eastAsia="宋体"/>
                <w:kern w:val="2"/>
                <w:sz w:val="21"/>
                <w:szCs w:val="21"/>
                <w:highlight w:val="none"/>
                <w:lang w:val="en-US" w:eastAsia="zh-CN"/>
              </w:rPr>
              <w:t>若</w:t>
            </w:r>
            <w:r>
              <w:rPr>
                <w:rFonts w:hint="default" w:eastAsia="宋体"/>
                <w:kern w:val="2"/>
                <w:sz w:val="21"/>
                <w:szCs w:val="21"/>
                <w:highlight w:val="none"/>
                <w:lang w:val="en-US" w:eastAsia="zh-CN"/>
              </w:rPr>
              <w:t>蠕动泵逆时针转动，则排液泵管右边连雾化室方向左边连废液桶；进样泵管右边连多通道阀中心管路，左边连三通；内标管右边连内标液，左边连三通；</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更换完卡槽位后，蠕动泵转速调整到40转，调节泵管位置使泵管能被压在压槽中间，调节压杆压力保证试剂能被匀速提升（进样管要快于内标管，排液管排液时是一段一段走，中间有气泡隔离），并且压杆压力尽可能小（减缓蠕动泵磨损），将泵速转至70-80转等待2min观察泵管连接处有无漏液，没有则将泵速调至0转。</w:t>
            </w:r>
          </w:p>
          <w:p>
            <w:pPr>
              <w:adjustRightInd w:val="0"/>
              <w:snapToGrid w:val="0"/>
              <w:spacing w:line="240" w:lineRule="exact"/>
              <w:jc w:val="left"/>
              <w:rPr>
                <w:rFonts w:hint="default" w:eastAsia="宋体"/>
                <w:kern w:val="2"/>
                <w:sz w:val="21"/>
                <w:szCs w:val="21"/>
                <w:highlight w:val="none"/>
                <w:lang w:val="en-US" w:eastAsia="zh-CN"/>
              </w:rPr>
            </w:pP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21</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default" w:eastAsia="宋体"/>
                <w:kern w:val="2"/>
                <w:sz w:val="21"/>
                <w:szCs w:val="21"/>
                <w:highlight w:val="none"/>
                <w:lang w:val="en-US" w:eastAsia="zh-CN"/>
              </w:rPr>
              <w:t>重金属在线监测仪检查试剂液位，并做好记录</w:t>
            </w:r>
          </w:p>
          <w:p>
            <w:pPr>
              <w:adjustRightInd w:val="0"/>
              <w:snapToGrid w:val="0"/>
              <w:spacing w:line="240" w:lineRule="exact"/>
              <w:jc w:val="center"/>
              <w:rPr>
                <w:rFonts w:hint="default" w:eastAsia="宋体"/>
                <w:kern w:val="2"/>
                <w:sz w:val="21"/>
                <w:szCs w:val="21"/>
                <w:highlight w:val="none"/>
                <w:lang w:val="en-US" w:eastAsia="zh-CN"/>
              </w:rPr>
            </w:pPr>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1月至2个月1次，确保监测仪器正常工作</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先检查调谐液与校正液是否在半年有效期内，离有效期小于2个月则与工程师反馈；</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记录调谐液、校正液、标准曲线建线试剂（标一到标5）的液位，低于1/3则需要更换；</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标准曲线建线试剂、消解液一个月更换一次，载液与清洗液2个月更换一次</w:t>
            </w:r>
            <w:r>
              <w:rPr>
                <w:rFonts w:hint="eastAsia" w:eastAsia="宋体"/>
                <w:kern w:val="2"/>
                <w:sz w:val="21"/>
                <w:szCs w:val="21"/>
                <w:highlight w:val="none"/>
                <w:lang w:val="en-US" w:eastAsia="zh-CN"/>
              </w:rPr>
              <w:t xml:space="preserve">。 </w:t>
            </w:r>
          </w:p>
          <w:p>
            <w:pPr>
              <w:adjustRightInd w:val="0"/>
              <w:snapToGrid w:val="0"/>
              <w:spacing w:line="240" w:lineRule="exact"/>
              <w:jc w:val="left"/>
              <w:rPr>
                <w:rFonts w:hint="default" w:eastAsia="宋体"/>
                <w:kern w:val="2"/>
                <w:sz w:val="21"/>
                <w:szCs w:val="21"/>
                <w:highlight w:val="none"/>
                <w:lang w:val="en-US" w:eastAsia="zh-CN"/>
              </w:rPr>
            </w:pP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22</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default" w:eastAsia="宋体"/>
                <w:kern w:val="2"/>
                <w:sz w:val="21"/>
                <w:szCs w:val="21"/>
                <w:highlight w:val="none"/>
                <w:lang w:val="en-US" w:eastAsia="zh-CN"/>
              </w:rPr>
              <w:t>重金属在线监测仪主机状态检查</w:t>
            </w:r>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1周一次，确保工控系统工作正常</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检查排风流量（废气流量）：6-12m/s（常用→仪器状态→废气流量）检查仪器内部温度≤40℃；RF源温度≤35℃；</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蠕动泵转动情况（是否匀速，有无异响，有无异常抖动）</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检查电脑软件流畅度，是否存在卡顿</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（4）</w:t>
            </w:r>
            <w:r>
              <w:rPr>
                <w:rFonts w:hint="default" w:eastAsia="宋体"/>
                <w:kern w:val="2"/>
                <w:sz w:val="21"/>
                <w:szCs w:val="21"/>
                <w:highlight w:val="none"/>
                <w:lang w:val="en-US" w:eastAsia="zh-CN"/>
              </w:rPr>
              <w:t>检查真空泵转速：60000r/min</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（5）</w:t>
            </w:r>
            <w:r>
              <w:rPr>
                <w:rFonts w:hint="default" w:eastAsia="宋体"/>
                <w:kern w:val="2"/>
                <w:sz w:val="21"/>
                <w:szCs w:val="21"/>
                <w:highlight w:val="none"/>
                <w:lang w:val="en-US" w:eastAsia="zh-CN"/>
              </w:rPr>
              <w:t>检查未点火状态下分析腔压力≤1.0e-6mbar；点火至分析就绪后分析腔压力≤3.0e-6mbar；</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（6）</w:t>
            </w:r>
            <w:r>
              <w:rPr>
                <w:rFonts w:hint="default" w:eastAsia="宋体"/>
                <w:kern w:val="2"/>
                <w:sz w:val="21"/>
                <w:szCs w:val="21"/>
                <w:highlight w:val="none"/>
                <w:lang w:val="en-US" w:eastAsia="zh-CN"/>
              </w:rPr>
              <w:t>仪表点火至分析就绪后，检查软件右下方雾化器压力（330±50Kpa）</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（7）</w:t>
            </w:r>
            <w:r>
              <w:rPr>
                <w:rFonts w:hint="default" w:eastAsia="宋体"/>
                <w:kern w:val="2"/>
                <w:sz w:val="21"/>
                <w:szCs w:val="21"/>
                <w:highlight w:val="none"/>
                <w:lang w:val="en-US" w:eastAsia="zh-CN"/>
              </w:rPr>
              <w:t>检查雾化器喷雾是否正常（均匀雾化，无断断续续雾化情况）</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（8）</w:t>
            </w:r>
            <w:r>
              <w:rPr>
                <w:rFonts w:hint="default" w:eastAsia="宋体"/>
                <w:kern w:val="2"/>
                <w:sz w:val="21"/>
                <w:szCs w:val="21"/>
                <w:highlight w:val="none"/>
                <w:lang w:val="en-US" w:eastAsia="zh-CN"/>
              </w:rPr>
              <w:t>仪表点火至分析就绪后，检查锥真空压力≤2.4mbr</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23</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default" w:eastAsia="宋体"/>
                <w:kern w:val="2"/>
                <w:sz w:val="21"/>
                <w:szCs w:val="21"/>
                <w:highlight w:val="none"/>
                <w:lang w:val="en-US" w:eastAsia="zh-CN"/>
              </w:rPr>
              <w:t>重金属在线监测仪仪器校准</w:t>
            </w:r>
          </w:p>
          <w:p>
            <w:pPr>
              <w:adjustRightInd w:val="0"/>
              <w:snapToGrid w:val="0"/>
              <w:spacing w:line="240" w:lineRule="exact"/>
              <w:jc w:val="center"/>
              <w:rPr>
                <w:rFonts w:hint="default" w:eastAsia="宋体"/>
                <w:kern w:val="2"/>
                <w:sz w:val="21"/>
                <w:szCs w:val="21"/>
                <w:highlight w:val="none"/>
                <w:lang w:val="en-US" w:eastAsia="zh-CN"/>
              </w:rPr>
            </w:pPr>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2周一次，确保监测仪监测数据准确性</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将消解模块右边多通道阀4号位管路,用纸巾擦拭后放入调谐液中，将内标管与其连接管断开，更换上另外一根30cm左右长度的泵管连接管，擦拭后放入调谐液中；</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将管理→在线消解→多通道阀（序列），阀位从1号位切换至4号位，点击设置；</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打开水机（点击消解模块，开光量里的冷却水开关，从灰色点击成绿色）</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（4）</w:t>
            </w:r>
            <w:r>
              <w:rPr>
                <w:rFonts w:hint="default" w:eastAsia="宋体"/>
                <w:kern w:val="2"/>
                <w:sz w:val="21"/>
                <w:szCs w:val="21"/>
                <w:highlight w:val="none"/>
                <w:lang w:val="en-US" w:eastAsia="zh-CN"/>
              </w:rPr>
              <w:t>确认右下角无报警（TEC温度未达目标值，废液排出异常报警可忽略</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（5）</w:t>
            </w:r>
            <w:r>
              <w:rPr>
                <w:rFonts w:hint="default" w:eastAsia="宋体"/>
                <w:kern w:val="2"/>
                <w:sz w:val="21"/>
                <w:szCs w:val="21"/>
                <w:highlight w:val="none"/>
                <w:lang w:val="en-US" w:eastAsia="zh-CN"/>
              </w:rPr>
              <w:t>点击打开等离子体，等流程走到分析就绪，点击常用，手动调谐，在跳峰扫描模式下将要测试的元素选择为7Li、59Co、69Ga、115In、138Ba、140Ce、156Gd、238U及质量数220（背景噪声），选择趋势图及脉冲模式进行扫描。调节手动调谐里的流量监控（雾化器流量），三维监控（炬管的位置），电压监控等参数，使灵敏度增大同时兼顾氧化物及双电荷的比率</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（6）</w:t>
            </w:r>
            <w:r>
              <w:rPr>
                <w:rFonts w:hint="default" w:eastAsia="宋体"/>
                <w:kern w:val="2"/>
                <w:sz w:val="21"/>
                <w:szCs w:val="21"/>
                <w:highlight w:val="none"/>
                <w:lang w:val="en-US" w:eastAsia="zh-CN"/>
              </w:rPr>
              <w:t>其中先调三维监控，调节横向，先向右移动适当的量（建议＜0.1mm，但根据实际仪器情况而定），观察Li、Co、In、U的响应值是否变大，若变大则继续移动，反之则向左移动，直至移动到相对最大的响应值为止，纵向调节方式相同，深度一般不动</w:t>
            </w:r>
            <w:r>
              <w:rPr>
                <w:rFonts w:hint="eastAsia" w:eastAsia="宋体"/>
                <w:kern w:val="2"/>
                <w:sz w:val="21"/>
                <w:szCs w:val="21"/>
                <w:highlight w:val="none"/>
                <w:lang w:val="en-US" w:eastAsia="zh-CN"/>
              </w:rPr>
              <w:t>；</w:t>
            </w:r>
          </w:p>
          <w:p>
            <w:pPr>
              <w:adjustRightInd w:val="0"/>
              <w:snapToGrid w:val="0"/>
              <w:spacing w:line="240" w:lineRule="exact"/>
              <w:jc w:val="left"/>
              <w:rPr>
                <w:rFonts w:hint="eastAsia" w:eastAsia="宋体"/>
                <w:kern w:val="2"/>
                <w:sz w:val="21"/>
                <w:szCs w:val="21"/>
                <w:highlight w:val="none"/>
                <w:lang w:val="en-US" w:eastAsia="zh-CN"/>
              </w:rPr>
            </w:pPr>
            <w:r>
              <w:rPr>
                <w:rFonts w:hint="default" w:eastAsia="宋体"/>
                <w:kern w:val="2"/>
                <w:sz w:val="21"/>
                <w:szCs w:val="21"/>
                <w:highlight w:val="none"/>
                <w:lang w:val="en-US" w:eastAsia="zh-CN"/>
              </w:rPr>
              <w:t>当Li、Co、In、U的稳定性偏差时，则可稍微增大雾化气流量，若效果不明显则可减少提取透镜电压（往负值的方向调节），调节雾化气流量会导致氧化率的增大，提取透镜电压会导致响应值的变化，要兼顾响应值以及氧化率和双电荷率</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（7）</w:t>
            </w:r>
            <w:r>
              <w:rPr>
                <w:rFonts w:hint="default" w:eastAsia="宋体"/>
                <w:kern w:val="2"/>
                <w:sz w:val="21"/>
                <w:szCs w:val="21"/>
                <w:highlight w:val="none"/>
                <w:lang w:val="en-US" w:eastAsia="zh-CN"/>
              </w:rPr>
              <w:t>当氧化率偏大时可降低雾化气流量和调节深度电机位置向后移，但要兼顾响应值以及稳定性和双电荷率</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（8）</w:t>
            </w:r>
            <w:r>
              <w:rPr>
                <w:rFonts w:hint="default" w:eastAsia="宋体"/>
                <w:kern w:val="2"/>
                <w:sz w:val="21"/>
                <w:szCs w:val="21"/>
                <w:highlight w:val="none"/>
                <w:lang w:val="en-US" w:eastAsia="zh-CN"/>
              </w:rPr>
              <w:t>当双电荷率偏大时，可调节四级杆电压向右移和增大雾化器流量，但要兼顾响应值以及稳定性和氧化率</w:t>
            </w:r>
            <w:r>
              <w:rPr>
                <w:rFonts w:hint="eastAsia" w:eastAsia="宋体"/>
                <w:kern w:val="2"/>
                <w:sz w:val="21"/>
                <w:szCs w:val="21"/>
                <w:highlight w:val="none"/>
                <w:lang w:val="en-US" w:eastAsia="zh-CN"/>
              </w:rPr>
              <w:t>；</w:t>
            </w:r>
          </w:p>
          <w:p>
            <w:pPr>
              <w:adjustRightInd w:val="0"/>
              <w:snapToGrid w:val="0"/>
              <w:spacing w:line="240" w:lineRule="exact"/>
              <w:jc w:val="left"/>
              <w:rPr>
                <w:rFonts w:hint="eastAsia" w:eastAsia="宋体"/>
                <w:kern w:val="2"/>
                <w:sz w:val="21"/>
                <w:szCs w:val="21"/>
                <w:highlight w:val="none"/>
                <w:lang w:val="en-US" w:eastAsia="zh-CN"/>
              </w:rPr>
            </w:pPr>
            <w:r>
              <w:rPr>
                <w:rFonts w:hint="eastAsia" w:eastAsia="宋体"/>
                <w:kern w:val="2"/>
                <w:sz w:val="21"/>
                <w:szCs w:val="21"/>
                <w:highlight w:val="none"/>
                <w:lang w:val="en-US" w:eastAsia="zh-CN"/>
              </w:rPr>
              <w:t>（9）</w:t>
            </w:r>
            <w:r>
              <w:rPr>
                <w:rFonts w:hint="default" w:eastAsia="宋体"/>
                <w:kern w:val="2"/>
                <w:sz w:val="21"/>
                <w:szCs w:val="21"/>
                <w:highlight w:val="none"/>
                <w:lang w:val="en-US" w:eastAsia="zh-CN"/>
              </w:rPr>
              <w:t>性能满足目标值后，及完成仪器调谐，保存调谐参数（建议性能尽可能的调到最佳，如果与上次运维性能差异不大也可不调参数）</w:t>
            </w:r>
            <w:r>
              <w:rPr>
                <w:rFonts w:hint="eastAsia" w:eastAsia="宋体"/>
                <w:kern w:val="2"/>
                <w:sz w:val="21"/>
                <w:szCs w:val="21"/>
                <w:highlight w:val="none"/>
                <w:lang w:val="en-US" w:eastAsia="zh-CN"/>
              </w:rPr>
              <w:t>；</w:t>
            </w:r>
          </w:p>
          <w:p>
            <w:pPr>
              <w:adjustRightInd w:val="0"/>
              <w:snapToGrid w:val="0"/>
              <w:spacing w:line="240" w:lineRule="exact"/>
              <w:jc w:val="left"/>
              <w:rPr>
                <w:rFonts w:hint="eastAsia" w:eastAsia="宋体"/>
                <w:kern w:val="2"/>
                <w:sz w:val="21"/>
                <w:szCs w:val="21"/>
                <w:highlight w:val="none"/>
                <w:lang w:val="en-US" w:eastAsia="zh-CN"/>
              </w:rPr>
            </w:pPr>
            <w:r>
              <w:rPr>
                <w:rFonts w:hint="eastAsia" w:eastAsia="宋体"/>
                <w:kern w:val="2"/>
                <w:sz w:val="21"/>
                <w:szCs w:val="21"/>
                <w:highlight w:val="none"/>
                <w:lang w:val="en-US" w:eastAsia="zh-CN"/>
              </w:rPr>
              <w:t>（10）</w:t>
            </w:r>
            <w:r>
              <w:rPr>
                <w:rFonts w:hint="default" w:eastAsia="宋体"/>
                <w:kern w:val="2"/>
                <w:sz w:val="21"/>
                <w:szCs w:val="21"/>
                <w:highlight w:val="none"/>
                <w:lang w:val="en-US" w:eastAsia="zh-CN"/>
              </w:rPr>
              <w:t>自动质量校准：停止扫描，点击常用里的，点击 “开始”按钮，点击确定，仪器开始自动质量校正。当仪器自动质量校正成功，会出现提示框“自动质量校正成功”。失败则寻找工程师</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（11）</w:t>
            </w:r>
            <w:r>
              <w:rPr>
                <w:rFonts w:hint="default" w:eastAsia="宋体"/>
                <w:kern w:val="2"/>
                <w:sz w:val="21"/>
                <w:szCs w:val="21"/>
                <w:highlight w:val="none"/>
                <w:lang w:val="en-US" w:eastAsia="zh-CN"/>
              </w:rPr>
              <w:t>自动交叉校准：质量校准成功后，将调谐液放回，将原先的两根管子擦拭后或纯水清洗后放入交叉校准液中，等待试剂都提升至雾化器（如何观察校正液已经提升完成：a、肉眼看，内标管的校正液前的气泡提升至雾化器雾化后，则说明提升完成；b、扫描时，Li、Co信号值突然变大，双电荷率变大，都说明校准液有进入仪表检测，但内标管提升较慢，还需等待，后面信号在出现小段的降落与跟高的回升，则说明提升完成），等待30s后仪表进样稳定后，点击常用里的自动交叉校正 “开始”按钮，点击确定，仪器开始自动交叉校正，当出现In115交叉因子时，立马点击停止，重新导入调谐参数，后再打开配置参数。将手动调谐→其他→检测器模拟电压值输入至模拟区高压值，将手动调谐→其他→检测器计数电压值输入至脉冲区高压值，脉冲高压起点为脉冲区高压值，目标交叉因子即为In的交叉因子，In交叉因子上下限为交叉因子值的±5000。</w:t>
            </w:r>
            <w:r>
              <w:rPr>
                <w:rFonts w:hint="eastAsia" w:eastAsia="宋体"/>
                <w:kern w:val="2"/>
                <w:sz w:val="21"/>
                <w:szCs w:val="21"/>
                <w:highlight w:val="none"/>
                <w:lang w:val="en-US" w:eastAsia="zh-CN"/>
              </w:rPr>
              <w:t>完成</w:t>
            </w:r>
            <w:r>
              <w:rPr>
                <w:rFonts w:hint="default" w:eastAsia="宋体"/>
                <w:kern w:val="2"/>
                <w:sz w:val="21"/>
                <w:szCs w:val="21"/>
                <w:highlight w:val="none"/>
                <w:lang w:val="en-US" w:eastAsia="zh-CN"/>
              </w:rPr>
              <w:t>后点击保存，然后在重新开始做交叉校正。当仪器自动交叉校正成功，会出现提示框“自动交叉校正成功”，重新保存参数，失败则找工程师解决</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（12）</w:t>
            </w:r>
            <w:r>
              <w:rPr>
                <w:rFonts w:hint="default" w:eastAsia="宋体"/>
                <w:kern w:val="2"/>
                <w:sz w:val="21"/>
                <w:szCs w:val="21"/>
                <w:highlight w:val="none"/>
                <w:lang w:val="en-US" w:eastAsia="zh-CN"/>
              </w:rPr>
              <w:t>交叉校正完成后，点开手动调谐里的扫描，将两个管子放入纯水里冲洗1min，收好交叉校正液，然后将内标管连回原来的内标液的管路，样品管进纯水，内标管进内标液，手动调谐里谱图至单独只有In的响应值的时候，则为内标液完全进样，将多通道阀切换到1号位，进样30s后停止扫描，关闭等离子体至真空就绪，灰色的关闭真空和打开等离子体的方框重新可点击时，关闭管理→在线消解→开关量里的冷却水开关（绿色至灰色）。</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24</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default" w:eastAsia="宋体"/>
                <w:kern w:val="2"/>
                <w:sz w:val="21"/>
                <w:szCs w:val="21"/>
                <w:highlight w:val="none"/>
                <w:lang w:val="en-US" w:eastAsia="zh-CN"/>
              </w:rPr>
              <w:t>重金属在线监测仪重启继电器</w:t>
            </w:r>
          </w:p>
          <w:p>
            <w:pPr>
              <w:adjustRightInd w:val="0"/>
              <w:snapToGrid w:val="0"/>
              <w:spacing w:line="240" w:lineRule="exact"/>
              <w:jc w:val="center"/>
              <w:rPr>
                <w:rFonts w:hint="default" w:eastAsia="宋体"/>
                <w:kern w:val="2"/>
                <w:sz w:val="21"/>
                <w:szCs w:val="21"/>
                <w:highlight w:val="none"/>
                <w:lang w:val="en-US" w:eastAsia="zh-CN"/>
              </w:rPr>
            </w:pPr>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1周一次，确保继电器正常工作</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管理→在线客户端→其他，去掉维护模式的勾选</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管理→高级→调试→高级参数3，关闭前处理继电器，等待30s后再打开；</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管理→在线消解，确认界面右手边状态量中当前流程为1，多通道阀序列为0，多通道阀消解也为0，点击流程下的下载方法，多通道阀序列的设置，轮训周期的设置，3个点完后状态量显示为1,1,6</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（4）</w:t>
            </w:r>
            <w:r>
              <w:rPr>
                <w:rFonts w:hint="default" w:eastAsia="宋体"/>
                <w:kern w:val="2"/>
                <w:sz w:val="21"/>
                <w:szCs w:val="21"/>
                <w:highlight w:val="none"/>
                <w:lang w:val="en-US" w:eastAsia="zh-CN"/>
              </w:rPr>
              <w:t>打开谱育水质重金属软件，点击下载并保存,点击前处理机柜端前处理采水轮训周期设置，点击PLC报警阈值设置的设置和自动读取ICP-MS仪表端数据周期设置的设置</w:t>
            </w:r>
            <w:r>
              <w:rPr>
                <w:rFonts w:hint="eastAsia" w:eastAsia="宋体"/>
                <w:kern w:val="2"/>
                <w:sz w:val="21"/>
                <w:szCs w:val="21"/>
                <w:highlight w:val="none"/>
                <w:lang w:val="en-US" w:eastAsia="zh-CN"/>
              </w:rPr>
              <w:t>；</w:t>
            </w:r>
            <w:r>
              <w:rPr>
                <w:rFonts w:hint="default" w:eastAsia="宋体"/>
                <w:kern w:val="2"/>
                <w:sz w:val="21"/>
                <w:szCs w:val="21"/>
                <w:highlight w:val="none"/>
                <w:lang w:val="en-US" w:eastAsia="zh-CN"/>
              </w:rPr>
              <w:t xml:space="preserve"> </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（5）</w:t>
            </w:r>
            <w:r>
              <w:rPr>
                <w:rFonts w:hint="default" w:eastAsia="宋体"/>
                <w:kern w:val="2"/>
                <w:sz w:val="21"/>
                <w:szCs w:val="21"/>
                <w:highlight w:val="none"/>
                <w:lang w:val="en-US" w:eastAsia="zh-CN"/>
              </w:rPr>
              <w:t>打开常用→状态监控，确认ICPMS开关信息中，前级泵、分子泵和前级阀三个按钮量绿灯，绿灯说明重金属软件与EXPEC7000软件通讯正常。</w:t>
            </w:r>
          </w:p>
        </w:tc>
      </w:tr>
      <w:tr>
        <w:tblPrEx>
          <w:tblCellMar>
            <w:top w:w="0" w:type="dxa"/>
            <w:left w:w="108" w:type="dxa"/>
            <w:bottom w:w="0" w:type="dxa"/>
            <w:right w:w="108" w:type="dxa"/>
          </w:tblCellMar>
        </w:tblPrEx>
        <w:trPr>
          <w:trHeight w:val="1668" w:hRule="atLeast"/>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25</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default" w:eastAsia="宋体"/>
                <w:kern w:val="2"/>
                <w:sz w:val="21"/>
                <w:szCs w:val="21"/>
                <w:highlight w:val="none"/>
                <w:lang w:val="en-US" w:eastAsia="zh-CN"/>
              </w:rPr>
              <w:t>重金属在线监测仪机械泵泵油更换</w:t>
            </w:r>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3个月一次，确保机械泵正常运转</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管理→高级→开关量，关闭前级阀、前级泵（分子泵自己在不点火时能坚持一段时间）</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准备1L或者更大的容具装排出的泵油，拧开黄色排油的盖子，用专用工具拧上去，拧紧后会出废油，将容具摆放好后，打开工具后面的塞子，待泵油流出。泵油流完后，关闭排油口，管理→高级→开关量，打开前级泵，运行15秒，使泵内残留的油通过轻微震荡甩出来，关闭机械泵，将泵内残留的油重新排尽；</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至泵油不在流出后，拆下工装，拧回盖子，用内六角拧开上端黑色的注油的盖子，倒入新泵油，至最低液位（注意机械泵的保持水平），拧回盖子</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（4）</w:t>
            </w:r>
            <w:r>
              <w:rPr>
                <w:rFonts w:hint="default" w:eastAsia="宋体"/>
                <w:kern w:val="2"/>
                <w:sz w:val="21"/>
                <w:szCs w:val="21"/>
                <w:highlight w:val="none"/>
                <w:lang w:val="en-US" w:eastAsia="zh-CN"/>
              </w:rPr>
              <w:t>管理→高级→开关量，打开前级泵，工作60s左右后关闭，按照前面步骤再将泵油倒出和到入，清洗2-3遍，至流出泵油基本成透明或者浅黄色；</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（5）</w:t>
            </w:r>
            <w:r>
              <w:rPr>
                <w:rFonts w:hint="default" w:eastAsia="宋体"/>
                <w:kern w:val="2"/>
                <w:sz w:val="21"/>
                <w:szCs w:val="21"/>
                <w:highlight w:val="none"/>
                <w:lang w:val="en-US" w:eastAsia="zh-CN"/>
              </w:rPr>
              <w:t>管理→高级→开关量，打开前级阀30s后再打开前级泵，观察是否恢复之前正常状态。</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26</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default" w:eastAsia="宋体"/>
                <w:kern w:val="2"/>
                <w:sz w:val="21"/>
                <w:szCs w:val="21"/>
                <w:highlight w:val="none"/>
                <w:lang w:val="en-US" w:eastAsia="zh-CN"/>
              </w:rPr>
              <w:t>重金属在线监测仪水机循环冷却水更换</w:t>
            </w:r>
          </w:p>
          <w:p>
            <w:pPr>
              <w:adjustRightInd w:val="0"/>
              <w:snapToGrid w:val="0"/>
              <w:spacing w:line="240" w:lineRule="exact"/>
              <w:jc w:val="center"/>
              <w:rPr>
                <w:rFonts w:hint="default" w:eastAsia="宋体"/>
                <w:kern w:val="2"/>
                <w:sz w:val="21"/>
                <w:szCs w:val="21"/>
                <w:highlight w:val="none"/>
                <w:lang w:val="en-US" w:eastAsia="zh-CN"/>
              </w:rPr>
            </w:pPr>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2个月一次，确冷却系统正常运转</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准备一个装废水的容器至于排水口，打开排水口开关，待水箱的液体完全排净时，分别加入2次2L的纯水用于冲洗水箱，重新排尽（确保水机断电关机，循环冷却水使用电阻率大于18 MΩ以上的蒸馏去离子水或者娃哈哈纯净水）</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重新加纯水至水机液位刻度线</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设备的前散热片（滤网）积了过多的灰尘，会导致设备的制冷能力降低，拿出清洗滤网。</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27</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default" w:eastAsia="宋体"/>
                <w:kern w:val="2"/>
                <w:sz w:val="21"/>
                <w:szCs w:val="21"/>
                <w:highlight w:val="none"/>
                <w:lang w:val="en-US" w:eastAsia="zh-CN"/>
              </w:rPr>
              <w:t>运维记录</w:t>
            </w:r>
          </w:p>
        </w:tc>
        <w:tc>
          <w:tcPr>
            <w:tcW w:w="1726" w:type="dxa"/>
            <w:tcBorders>
              <w:top w:val="single" w:color="auto" w:sz="4" w:space="0"/>
              <w:left w:val="nil"/>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default" w:eastAsia="宋体"/>
                <w:kern w:val="2"/>
                <w:sz w:val="21"/>
                <w:szCs w:val="21"/>
                <w:highlight w:val="none"/>
                <w:lang w:val="en-US" w:eastAsia="zh-CN"/>
              </w:rPr>
              <w:t>1周1次</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default" w:eastAsia="宋体"/>
                <w:kern w:val="2"/>
                <w:sz w:val="21"/>
                <w:szCs w:val="21"/>
                <w:highlight w:val="none"/>
                <w:lang w:val="en-US" w:eastAsia="zh-CN"/>
              </w:rPr>
              <w:t>现场填写运维巡检记录表。</w:t>
            </w:r>
          </w:p>
        </w:tc>
      </w:tr>
    </w:tbl>
    <w:p>
      <w:pPr>
        <w:spacing w:before="191" w:line="222" w:lineRule="auto"/>
        <w:rPr>
          <w:rFonts w:ascii="仿宋" w:hAnsi="仿宋" w:eastAsia="仿宋" w:cs="仿宋"/>
          <w:spacing w:val="-6"/>
          <w:sz w:val="27"/>
          <w:szCs w:val="27"/>
          <w:highlight w:val="none"/>
          <w:lang w:eastAsia="zh-CN"/>
        </w:rPr>
      </w:pPr>
    </w:p>
    <w:p>
      <w:pPr>
        <w:spacing w:before="191" w:line="222" w:lineRule="auto"/>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（二）质控要求</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本项目的质控工作由</w:t>
      </w:r>
      <w:r>
        <w:rPr>
          <w:rFonts w:hint="eastAsia" w:ascii="仿宋" w:hAnsi="仿宋" w:eastAsia="仿宋" w:cs="仿宋"/>
          <w:spacing w:val="-6"/>
          <w:sz w:val="27"/>
          <w:szCs w:val="27"/>
          <w:highlight w:val="none"/>
          <w:lang w:eastAsia="zh-CN"/>
        </w:rPr>
        <w:t>甲方</w:t>
      </w:r>
      <w:r>
        <w:rPr>
          <w:rFonts w:ascii="仿宋" w:hAnsi="仿宋" w:eastAsia="仿宋" w:cs="仿宋"/>
          <w:spacing w:val="-6"/>
          <w:sz w:val="27"/>
          <w:szCs w:val="27"/>
          <w:highlight w:val="none"/>
          <w:lang w:eastAsia="zh-CN"/>
        </w:rPr>
        <w:t>监督，</w:t>
      </w:r>
      <w:r>
        <w:rPr>
          <w:rFonts w:hint="eastAsia" w:ascii="仿宋" w:hAnsi="仿宋" w:eastAsia="仿宋" w:cs="仿宋"/>
          <w:spacing w:val="-6"/>
          <w:sz w:val="27"/>
          <w:szCs w:val="27"/>
          <w:highlight w:val="none"/>
          <w:lang w:eastAsia="zh-CN"/>
        </w:rPr>
        <w:t>乙方</w:t>
      </w:r>
      <w:r>
        <w:rPr>
          <w:rFonts w:ascii="仿宋" w:hAnsi="仿宋" w:eastAsia="仿宋" w:cs="仿宋"/>
          <w:spacing w:val="-6"/>
          <w:sz w:val="27"/>
          <w:szCs w:val="27"/>
          <w:highlight w:val="none"/>
          <w:lang w:eastAsia="zh-CN"/>
        </w:rPr>
        <w:t>实施质控工作并无条件接受</w:t>
      </w:r>
      <w:r>
        <w:rPr>
          <w:rFonts w:hint="eastAsia" w:ascii="仿宋" w:hAnsi="仿宋" w:eastAsia="仿宋" w:cs="仿宋"/>
          <w:spacing w:val="-6"/>
          <w:sz w:val="27"/>
          <w:szCs w:val="27"/>
          <w:highlight w:val="none"/>
          <w:lang w:eastAsia="zh-CN"/>
        </w:rPr>
        <w:t>甲方</w:t>
      </w:r>
      <w:r>
        <w:rPr>
          <w:rFonts w:ascii="仿宋" w:hAnsi="仿宋" w:eastAsia="仿宋" w:cs="仿宋"/>
          <w:spacing w:val="-6"/>
          <w:sz w:val="27"/>
          <w:szCs w:val="27"/>
          <w:highlight w:val="none"/>
          <w:lang w:eastAsia="zh-CN"/>
        </w:rPr>
        <w:t>监督考核。</w:t>
      </w:r>
    </w:p>
    <w:p>
      <w:pPr>
        <w:spacing w:line="560" w:lineRule="exact"/>
        <w:ind w:firstLine="516" w:firstLineChars="200"/>
        <w:rPr>
          <w:rFonts w:hint="default" w:ascii="仿宋" w:hAnsi="仿宋" w:eastAsia="仿宋" w:cs="仿宋"/>
          <w:spacing w:val="-6"/>
          <w:sz w:val="27"/>
          <w:szCs w:val="27"/>
          <w:highlight w:val="none"/>
          <w:lang w:val="en-US" w:eastAsia="zh-CN"/>
        </w:rPr>
      </w:pPr>
      <w:r>
        <w:rPr>
          <w:rFonts w:ascii="仿宋" w:hAnsi="仿宋" w:eastAsia="仿宋" w:cs="仿宋"/>
          <w:spacing w:val="-6"/>
          <w:sz w:val="27"/>
          <w:szCs w:val="27"/>
          <w:highlight w:val="none"/>
          <w:lang w:eastAsia="zh-CN"/>
        </w:rPr>
        <w:t>（1）重金属在线监测仪器（ICP-MS）</w:t>
      </w:r>
      <w:r>
        <w:rPr>
          <w:rFonts w:hint="eastAsia" w:ascii="仿宋" w:hAnsi="仿宋" w:eastAsia="仿宋" w:cs="仿宋"/>
          <w:spacing w:val="-6"/>
          <w:sz w:val="27"/>
          <w:szCs w:val="27"/>
          <w:highlight w:val="none"/>
          <w:lang w:val="en-US" w:eastAsia="zh-CN"/>
        </w:rPr>
        <w:t>校准</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本项目监测仪器的质控措施按照仪器使用说明书和</w:t>
      </w:r>
      <w:r>
        <w:rPr>
          <w:rFonts w:hint="eastAsia" w:ascii="仿宋" w:hAnsi="仿宋" w:eastAsia="仿宋" w:cs="仿宋"/>
          <w:spacing w:val="-6"/>
          <w:sz w:val="27"/>
          <w:szCs w:val="27"/>
          <w:highlight w:val="none"/>
          <w:lang w:eastAsia="zh-CN"/>
        </w:rPr>
        <w:t>参照</w:t>
      </w:r>
      <w:r>
        <w:rPr>
          <w:rFonts w:ascii="仿宋" w:hAnsi="仿宋" w:eastAsia="仿宋" w:cs="仿宋"/>
          <w:spacing w:val="-6"/>
          <w:sz w:val="27"/>
          <w:szCs w:val="27"/>
          <w:highlight w:val="none"/>
          <w:lang w:eastAsia="zh-CN"/>
        </w:rPr>
        <w:t>国家相关标准执行。仪器设备的标准曲线至少1次/</w:t>
      </w:r>
      <w:r>
        <w:rPr>
          <w:rFonts w:hint="eastAsia" w:ascii="仿宋" w:hAnsi="仿宋" w:eastAsia="仿宋" w:cs="仿宋"/>
          <w:spacing w:val="-6"/>
          <w:sz w:val="27"/>
          <w:szCs w:val="27"/>
          <w:highlight w:val="none"/>
          <w:lang w:val="en-US" w:eastAsia="zh-CN"/>
        </w:rPr>
        <w:t>2</w:t>
      </w:r>
      <w:r>
        <w:rPr>
          <w:rFonts w:hint="eastAsia" w:ascii="仿宋" w:hAnsi="仿宋" w:eastAsia="仿宋" w:cs="仿宋"/>
          <w:spacing w:val="-6"/>
          <w:sz w:val="27"/>
          <w:szCs w:val="27"/>
          <w:highlight w:val="none"/>
          <w:lang w:eastAsia="zh-CN"/>
        </w:rPr>
        <w:t>周</w:t>
      </w:r>
      <w:r>
        <w:rPr>
          <w:rFonts w:ascii="仿宋" w:hAnsi="仿宋" w:eastAsia="仿宋" w:cs="仿宋"/>
          <w:spacing w:val="-6"/>
          <w:sz w:val="27"/>
          <w:szCs w:val="27"/>
          <w:highlight w:val="none"/>
          <w:lang w:eastAsia="zh-CN"/>
        </w:rPr>
        <w:t>校准。当标准曲线偏差超过10%或说明书要求，须按国家标准和仪器使用说明书要求重新制定。</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标准曲线：每次分析样品均应绘制校准曲线。通常情况下，校准曲线的相关系数应达到 0.999 以上。</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内标：在每次分析中必须监测内标的强度，试样中内标的响应值应介于校准曲线响应值的 70%～130%，否则说明仪器发生漂移或有干扰产生，应查找原因后重新分析。如果发现基体干扰，需要进行稀释后测定；如果发现样品中含有内标元素，需要更换内标或提高内标元素浓度。</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（2）实际水样比对</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1）</w:t>
      </w:r>
      <w:r>
        <w:rPr>
          <w:rFonts w:hint="eastAsia" w:ascii="仿宋" w:hAnsi="仿宋" w:eastAsia="仿宋" w:cs="仿宋"/>
          <w:spacing w:val="-6"/>
          <w:sz w:val="27"/>
          <w:szCs w:val="27"/>
          <w:highlight w:val="none"/>
          <w:lang w:eastAsia="zh-CN"/>
        </w:rPr>
        <w:t>乙方</w:t>
      </w:r>
      <w:r>
        <w:rPr>
          <w:rFonts w:ascii="仿宋" w:hAnsi="仿宋" w:eastAsia="仿宋" w:cs="仿宋"/>
          <w:spacing w:val="-6"/>
          <w:sz w:val="27"/>
          <w:szCs w:val="27"/>
          <w:highlight w:val="none"/>
          <w:lang w:eastAsia="zh-CN"/>
        </w:rPr>
        <w:t>所出具的实际水样比对结果应符合国家标准要求，加盖“CMA”章。</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2）实际水样比对结果相对误差的数据有效性判定原则：</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A.自动监测数据和实验室监测数据同时在I类（水质类别见《地表水环境质量标准》（GB 3838-2002），下同）以内时，不考虑允许相对误差，认为自动监测数据有效。</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B.实验室监测数据在II类时，水样比对的相对误差在±40%以内。</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C.实验室监测数据在III类时，水样比对的相对误差在±30%以内。</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D.实验室监测数据在IV类及以上时，水样比对的相对误差在±20%以内；</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（3）试剂质量</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重金属在线监测仪（ICP-MS）所用试剂必须为优级纯级别，在质量保质期内；所用纯水或超纯水须达到国家标准相关技术要求，所用试剂须为有实验室资质的实验室配置，或者由仪器供应商授权的有资质的厂家供应，并注明试剂名称、有效期等重要信息。</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2.</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停机管理</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短时间停机（停机时间小于24小时）：一般关机即可，再次运行时仪器需重新校准。</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长时间停机（连续停机时间超过24小时）：如果分析仪需要停机24小时或更长时间，一般需关闭分析仪器和进样阀，关闭电源。并用蒸馏水清洗分析仪器的蠕动泵以及试剂管路；清洗测量室并排空；对于测量电极，应取下并将电极头浸入保护液中存放。停机前应将停机</w:t>
      </w:r>
      <w:r>
        <w:rPr>
          <w:rFonts w:hint="eastAsia" w:ascii="仿宋" w:hAnsi="仿宋" w:eastAsia="仿宋" w:cs="仿宋"/>
          <w:spacing w:val="-6"/>
          <w:sz w:val="27"/>
          <w:szCs w:val="27"/>
          <w:highlight w:val="none"/>
          <w:lang w:eastAsia="zh-CN"/>
        </w:rPr>
        <w:t>纸质版</w:t>
      </w:r>
      <w:r>
        <w:rPr>
          <w:rFonts w:ascii="仿宋" w:hAnsi="仿宋" w:eastAsia="仿宋" w:cs="仿宋"/>
          <w:spacing w:val="-6"/>
          <w:sz w:val="27"/>
          <w:szCs w:val="27"/>
          <w:highlight w:val="none"/>
          <w:lang w:eastAsia="zh-CN"/>
        </w:rPr>
        <w:t>申请</w:t>
      </w:r>
      <w:r>
        <w:rPr>
          <w:rFonts w:hint="eastAsia" w:ascii="仿宋" w:hAnsi="仿宋" w:eastAsia="仿宋" w:cs="仿宋"/>
          <w:spacing w:val="-6"/>
          <w:sz w:val="27"/>
          <w:szCs w:val="27"/>
          <w:highlight w:val="none"/>
          <w:lang w:eastAsia="zh-CN"/>
        </w:rPr>
        <w:t>报告向甲方报送</w:t>
      </w:r>
      <w:r>
        <w:rPr>
          <w:rFonts w:ascii="仿宋" w:hAnsi="仿宋" w:eastAsia="仿宋" w:cs="仿宋"/>
          <w:spacing w:val="-6"/>
          <w:sz w:val="27"/>
          <w:szCs w:val="27"/>
          <w:highlight w:val="none"/>
          <w:lang w:eastAsia="zh-CN"/>
        </w:rPr>
        <w:t>。</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长时间停机期间（停机时间超过7天），委托有资质的环境监测机构开展全程序的手工采样，国标方法分析各监测因子。每周2次，2次采样间隔不少于24小时。监测因子包括铜、锌、硒、砷、汞、镉、铬、铅、铁、锰、钼、钴、铍、硼、锑、镍、钡、钒、铊、钛共20项因子的分析数据，按要求</w:t>
      </w:r>
      <w:r>
        <w:rPr>
          <w:rFonts w:hint="eastAsia" w:ascii="仿宋" w:hAnsi="仿宋" w:eastAsia="仿宋" w:cs="仿宋"/>
          <w:spacing w:val="-6"/>
          <w:sz w:val="27"/>
          <w:szCs w:val="27"/>
          <w:highlight w:val="none"/>
          <w:lang w:eastAsia="zh-CN"/>
        </w:rPr>
        <w:t>在系统平台内</w:t>
      </w:r>
      <w:r>
        <w:rPr>
          <w:rFonts w:ascii="仿宋" w:hAnsi="仿宋" w:eastAsia="仿宋" w:cs="仿宋"/>
          <w:spacing w:val="-6"/>
          <w:sz w:val="27"/>
          <w:szCs w:val="27"/>
          <w:highlight w:val="none"/>
          <w:lang w:eastAsia="zh-CN"/>
        </w:rPr>
        <w:t>报送</w:t>
      </w:r>
      <w:r>
        <w:rPr>
          <w:rFonts w:hint="eastAsia" w:ascii="仿宋" w:hAnsi="仿宋" w:eastAsia="仿宋" w:cs="仿宋"/>
          <w:spacing w:val="-6"/>
          <w:sz w:val="27"/>
          <w:szCs w:val="27"/>
          <w:highlight w:val="none"/>
          <w:lang w:eastAsia="zh-CN"/>
        </w:rPr>
        <w:t>，并同时向甲方报送纸质版报告</w:t>
      </w:r>
      <w:r>
        <w:rPr>
          <w:rFonts w:ascii="仿宋" w:hAnsi="仿宋" w:eastAsia="仿宋" w:cs="仿宋"/>
          <w:spacing w:val="-6"/>
          <w:sz w:val="27"/>
          <w:szCs w:val="27"/>
          <w:highlight w:val="none"/>
          <w:lang w:eastAsia="zh-CN"/>
        </w:rPr>
        <w:t>。停机期间，每周进行停机维护。</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(三)运维人员与车辆</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1.</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仪器运维人员</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运维人员每次开展工作，保证至少2人1辆车进行运维。参与运维人员必须取得省级及以上环境监测机构颁发的水质自动监测仪器运维资质。</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运维人员每月内</w:t>
      </w:r>
      <w:r>
        <w:rPr>
          <w:rFonts w:hint="eastAsia" w:ascii="仿宋" w:hAnsi="仿宋" w:eastAsia="仿宋" w:cs="仿宋"/>
          <w:spacing w:val="-6"/>
          <w:sz w:val="27"/>
          <w:szCs w:val="27"/>
          <w:highlight w:val="none"/>
          <w:lang w:val="en-US" w:eastAsia="zh-CN"/>
        </w:rPr>
        <w:t>2</w:t>
      </w:r>
      <w:r>
        <w:rPr>
          <w:rFonts w:ascii="仿宋" w:hAnsi="仿宋" w:eastAsia="仿宋" w:cs="仿宋"/>
          <w:spacing w:val="-6"/>
          <w:sz w:val="27"/>
          <w:szCs w:val="27"/>
          <w:highlight w:val="none"/>
          <w:lang w:eastAsia="zh-CN"/>
        </w:rPr>
        <w:t>次或1个运维</w:t>
      </w:r>
      <w:r>
        <w:rPr>
          <w:rFonts w:hint="eastAsia" w:ascii="仿宋" w:hAnsi="仿宋" w:eastAsia="仿宋" w:cs="仿宋"/>
          <w:spacing w:val="-6"/>
          <w:sz w:val="27"/>
          <w:szCs w:val="27"/>
          <w:highlight w:val="none"/>
          <w:lang w:eastAsia="zh-CN"/>
        </w:rPr>
        <w:t>单位</w:t>
      </w:r>
      <w:r>
        <w:rPr>
          <w:rFonts w:ascii="仿宋" w:hAnsi="仿宋" w:eastAsia="仿宋" w:cs="仿宋"/>
          <w:spacing w:val="-6"/>
          <w:sz w:val="27"/>
          <w:szCs w:val="27"/>
          <w:highlight w:val="none"/>
          <w:lang w:eastAsia="zh-CN"/>
        </w:rPr>
        <w:t>内5次未按照</w:t>
      </w:r>
      <w:r>
        <w:rPr>
          <w:rFonts w:hint="eastAsia" w:ascii="仿宋" w:hAnsi="仿宋" w:eastAsia="仿宋" w:cs="仿宋"/>
          <w:spacing w:val="-6"/>
          <w:sz w:val="27"/>
          <w:szCs w:val="27"/>
          <w:highlight w:val="none"/>
          <w:lang w:eastAsia="zh-CN"/>
        </w:rPr>
        <w:t>甲方</w:t>
      </w:r>
      <w:r>
        <w:rPr>
          <w:rFonts w:ascii="仿宋" w:hAnsi="仿宋" w:eastAsia="仿宋" w:cs="仿宋"/>
          <w:spacing w:val="-6"/>
          <w:sz w:val="27"/>
          <w:szCs w:val="27"/>
          <w:highlight w:val="none"/>
          <w:lang w:eastAsia="zh-CN"/>
        </w:rPr>
        <w:t>运维规定开展工作，</w:t>
      </w:r>
      <w:r>
        <w:rPr>
          <w:rFonts w:hint="eastAsia" w:ascii="仿宋" w:hAnsi="仿宋" w:eastAsia="仿宋" w:cs="仿宋"/>
          <w:spacing w:val="-6"/>
          <w:sz w:val="27"/>
          <w:szCs w:val="27"/>
          <w:highlight w:val="none"/>
          <w:lang w:eastAsia="zh-CN"/>
        </w:rPr>
        <w:t>甲方</w:t>
      </w:r>
      <w:r>
        <w:rPr>
          <w:rFonts w:ascii="仿宋" w:hAnsi="仿宋" w:eastAsia="仿宋" w:cs="仿宋"/>
          <w:spacing w:val="-6"/>
          <w:sz w:val="27"/>
          <w:szCs w:val="27"/>
          <w:highlight w:val="none"/>
          <w:lang w:eastAsia="zh-CN"/>
        </w:rPr>
        <w:t>有权取消该人员运维资格，并通知</w:t>
      </w:r>
      <w:r>
        <w:rPr>
          <w:rFonts w:hint="eastAsia" w:ascii="仿宋" w:hAnsi="仿宋" w:eastAsia="仿宋" w:cs="仿宋"/>
          <w:spacing w:val="-6"/>
          <w:sz w:val="27"/>
          <w:szCs w:val="27"/>
          <w:highlight w:val="none"/>
          <w:lang w:eastAsia="zh-CN"/>
        </w:rPr>
        <w:t>乙方</w:t>
      </w:r>
      <w:r>
        <w:rPr>
          <w:rFonts w:ascii="仿宋" w:hAnsi="仿宋" w:eastAsia="仿宋" w:cs="仿宋"/>
          <w:spacing w:val="-6"/>
          <w:sz w:val="27"/>
          <w:szCs w:val="27"/>
          <w:highlight w:val="none"/>
          <w:lang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乙方</w:t>
      </w:r>
      <w:r>
        <w:rPr>
          <w:rFonts w:ascii="仿宋" w:hAnsi="仿宋" w:eastAsia="仿宋" w:cs="仿宋"/>
          <w:spacing w:val="-6"/>
          <w:sz w:val="27"/>
          <w:szCs w:val="27"/>
          <w:highlight w:val="none"/>
          <w:lang w:eastAsia="zh-CN"/>
        </w:rPr>
        <w:t>为运维人员提供人身意外伤害保险，并负责运维人员的安全保障。</w:t>
      </w:r>
      <w:r>
        <w:rPr>
          <w:rFonts w:hint="eastAsia" w:ascii="仿宋" w:hAnsi="仿宋" w:eastAsia="仿宋" w:cs="仿宋"/>
          <w:spacing w:val="-6"/>
          <w:sz w:val="27"/>
          <w:szCs w:val="27"/>
          <w:highlight w:val="none"/>
          <w:lang w:val="en-US" w:eastAsia="zh-CN"/>
        </w:rPr>
        <w:t>乙方安排的运维人员自身发生事故或与第三人发生纠纷，应由乙方负责解决并承担费用，与甲方无关，因此造成甲方损失，乙方应赔偿损失和承担违约责任。</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val="en-US" w:eastAsia="zh-CN"/>
        </w:rPr>
        <w:t>2.</w:t>
      </w:r>
      <w:r>
        <w:rPr>
          <w:rFonts w:ascii="仿宋" w:hAnsi="仿宋" w:eastAsia="仿宋" w:cs="仿宋"/>
          <w:spacing w:val="-6"/>
          <w:sz w:val="27"/>
          <w:szCs w:val="27"/>
          <w:highlight w:val="none"/>
          <w:lang w:eastAsia="zh-CN"/>
        </w:rPr>
        <w:t>运维</w:t>
      </w:r>
      <w:r>
        <w:rPr>
          <w:rFonts w:hint="eastAsia" w:ascii="仿宋" w:hAnsi="仿宋" w:eastAsia="仿宋" w:cs="仿宋"/>
          <w:spacing w:val="-6"/>
          <w:sz w:val="27"/>
          <w:szCs w:val="27"/>
          <w:highlight w:val="none"/>
          <w:lang w:val="en-US" w:eastAsia="zh-CN"/>
        </w:rPr>
        <w:t>车辆</w:t>
      </w:r>
    </w:p>
    <w:p>
      <w:pPr>
        <w:spacing w:line="560" w:lineRule="exact"/>
        <w:ind w:firstLine="516" w:firstLineChars="200"/>
        <w:rPr>
          <w:rFonts w:hint="default"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val="en-US" w:eastAsia="zh-CN"/>
        </w:rPr>
        <w:t>为保证运维工作能够有效开展，中标方应提供不少于3辆运维车辆，供运维人员专职使用。</w:t>
      </w:r>
    </w:p>
    <w:p>
      <w:pPr>
        <w:spacing w:line="560" w:lineRule="exact"/>
        <w:ind w:firstLine="516" w:firstLineChars="200"/>
        <w:rPr>
          <w:rFonts w:hint="default" w:ascii="仿宋" w:hAnsi="仿宋" w:eastAsia="仿宋" w:cs="仿宋"/>
          <w:spacing w:val="-6"/>
          <w:sz w:val="27"/>
          <w:szCs w:val="27"/>
          <w:highlight w:val="none"/>
          <w:lang w:val="en-US" w:eastAsia="zh-CN"/>
        </w:rPr>
      </w:pP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(四)备品备件与耗材要求</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合同签订后1月内，</w:t>
      </w:r>
      <w:r>
        <w:rPr>
          <w:rFonts w:hint="eastAsia" w:ascii="仿宋" w:hAnsi="仿宋" w:eastAsia="仿宋" w:cs="仿宋"/>
          <w:spacing w:val="-6"/>
          <w:sz w:val="27"/>
          <w:szCs w:val="27"/>
          <w:highlight w:val="none"/>
          <w:lang w:eastAsia="zh-CN"/>
        </w:rPr>
        <w:t>乙方</w:t>
      </w:r>
      <w:r>
        <w:rPr>
          <w:rFonts w:ascii="仿宋" w:hAnsi="仿宋" w:eastAsia="仿宋" w:cs="仿宋"/>
          <w:spacing w:val="-6"/>
          <w:sz w:val="27"/>
          <w:szCs w:val="27"/>
          <w:highlight w:val="none"/>
          <w:lang w:eastAsia="zh-CN"/>
        </w:rPr>
        <w:t>须备齐充足的备品备件</w:t>
      </w:r>
      <w:r>
        <w:rPr>
          <w:rFonts w:hint="eastAsia" w:ascii="仿宋" w:hAnsi="仿宋" w:eastAsia="仿宋" w:cs="仿宋"/>
          <w:spacing w:val="-6"/>
          <w:sz w:val="27"/>
          <w:szCs w:val="27"/>
          <w:highlight w:val="none"/>
          <w:lang w:eastAsia="zh-CN"/>
        </w:rPr>
        <w:t>及</w:t>
      </w:r>
      <w:r>
        <w:rPr>
          <w:rFonts w:ascii="仿宋" w:hAnsi="仿宋" w:eastAsia="仿宋" w:cs="仿宋"/>
          <w:spacing w:val="-6"/>
          <w:sz w:val="27"/>
          <w:szCs w:val="27"/>
          <w:highlight w:val="none"/>
          <w:lang w:eastAsia="zh-CN"/>
        </w:rPr>
        <w:t>耗材。备品备件、耗材等须存放于</w:t>
      </w:r>
      <w:r>
        <w:rPr>
          <w:rFonts w:hint="eastAsia" w:ascii="仿宋" w:hAnsi="仿宋" w:eastAsia="仿宋" w:cs="仿宋"/>
          <w:spacing w:val="-6"/>
          <w:sz w:val="27"/>
          <w:szCs w:val="27"/>
          <w:highlight w:val="none"/>
          <w:lang w:eastAsia="zh-CN"/>
        </w:rPr>
        <w:t>甲方指定的</w:t>
      </w:r>
      <w:r>
        <w:rPr>
          <w:rFonts w:ascii="仿宋" w:hAnsi="仿宋" w:eastAsia="仿宋" w:cs="仿宋"/>
          <w:spacing w:val="-6"/>
          <w:sz w:val="27"/>
          <w:szCs w:val="27"/>
          <w:highlight w:val="none"/>
          <w:lang w:eastAsia="zh-CN"/>
        </w:rPr>
        <w:t>相应地点，随用随补充，以确保运维质量。</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(五)故障排除要求</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乙方</w:t>
      </w:r>
      <w:r>
        <w:rPr>
          <w:rFonts w:ascii="仿宋" w:hAnsi="仿宋" w:eastAsia="仿宋" w:cs="仿宋"/>
          <w:spacing w:val="-6"/>
          <w:sz w:val="27"/>
          <w:szCs w:val="27"/>
          <w:highlight w:val="none"/>
          <w:lang w:eastAsia="zh-CN"/>
        </w:rPr>
        <w:t>发现仪器系统故障时应及时排除，及时向</w:t>
      </w:r>
      <w:r>
        <w:rPr>
          <w:rFonts w:hint="eastAsia" w:ascii="仿宋" w:hAnsi="仿宋" w:eastAsia="仿宋" w:cs="仿宋"/>
          <w:spacing w:val="-6"/>
          <w:sz w:val="27"/>
          <w:szCs w:val="27"/>
          <w:highlight w:val="none"/>
          <w:lang w:eastAsia="zh-CN"/>
        </w:rPr>
        <w:t>甲方</w:t>
      </w:r>
      <w:r>
        <w:rPr>
          <w:rFonts w:ascii="仿宋" w:hAnsi="仿宋" w:eastAsia="仿宋" w:cs="仿宋"/>
          <w:spacing w:val="-6"/>
          <w:sz w:val="27"/>
          <w:szCs w:val="27"/>
          <w:highlight w:val="none"/>
          <w:lang w:eastAsia="zh-CN"/>
        </w:rPr>
        <w:t>报备；超过一周时长的，要委托有“CMA”资质的环境监测机构做好手工采样、实验室分析等应急补救措施。</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乙方</w:t>
      </w:r>
      <w:r>
        <w:rPr>
          <w:rFonts w:ascii="仿宋" w:hAnsi="仿宋" w:eastAsia="仿宋" w:cs="仿宋"/>
          <w:spacing w:val="-6"/>
          <w:sz w:val="27"/>
          <w:szCs w:val="27"/>
          <w:highlight w:val="none"/>
          <w:lang w:eastAsia="zh-CN"/>
        </w:rPr>
        <w:t>仪器故障响应时间不超过4小时，一般故障排除时间不超过24小时，重大故障排除时间不超过48小时。如故障排除时间超过48小时，需提供备机或其他有效方式保证不间断的获取仪器数据。超过48小时的故障，</w:t>
      </w:r>
      <w:r>
        <w:rPr>
          <w:rFonts w:hint="eastAsia" w:ascii="仿宋" w:hAnsi="仿宋" w:eastAsia="仿宋" w:cs="仿宋"/>
          <w:spacing w:val="-6"/>
          <w:sz w:val="27"/>
          <w:szCs w:val="27"/>
          <w:highlight w:val="none"/>
          <w:lang w:eastAsia="zh-CN"/>
        </w:rPr>
        <w:t>乙方</w:t>
      </w:r>
      <w:r>
        <w:rPr>
          <w:rFonts w:ascii="仿宋" w:hAnsi="仿宋" w:eastAsia="仿宋" w:cs="仿宋"/>
          <w:spacing w:val="-6"/>
          <w:sz w:val="27"/>
          <w:szCs w:val="27"/>
          <w:highlight w:val="none"/>
          <w:lang w:eastAsia="zh-CN"/>
        </w:rPr>
        <w:t>应做好手工采样并进行实验室数据分析，数据提供频次按照长时间停机管理执行。</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(六)安全与防护要求</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1.</w:t>
      </w:r>
      <w:r>
        <w:rPr>
          <w:rFonts w:ascii="仿宋" w:hAnsi="仿宋" w:eastAsia="仿宋" w:cs="仿宋"/>
          <w:spacing w:val="-6"/>
          <w:sz w:val="27"/>
          <w:szCs w:val="27"/>
          <w:highlight w:val="none"/>
          <w:lang w:eastAsia="zh-CN"/>
        </w:rPr>
        <w:tab/>
      </w:r>
      <w:r>
        <w:rPr>
          <w:rFonts w:hint="eastAsia" w:ascii="仿宋" w:hAnsi="仿宋" w:eastAsia="仿宋" w:cs="仿宋"/>
          <w:spacing w:val="-6"/>
          <w:sz w:val="27"/>
          <w:szCs w:val="27"/>
          <w:highlight w:val="none"/>
          <w:lang w:eastAsia="zh-CN"/>
        </w:rPr>
        <w:t>乙方</w:t>
      </w:r>
      <w:r>
        <w:rPr>
          <w:rFonts w:ascii="仿宋" w:hAnsi="仿宋" w:eastAsia="仿宋" w:cs="仿宋"/>
          <w:spacing w:val="-6"/>
          <w:sz w:val="27"/>
          <w:szCs w:val="27"/>
          <w:highlight w:val="none"/>
          <w:lang w:eastAsia="zh-CN"/>
        </w:rPr>
        <w:t>有义务协助仪器运维单位做好仪器看护人员安全教育、管理和培训，做好各仪器安全防盗工作，保证门禁系统运行正常，确保仪器财产安全，定期上报仪器安全检查报告。</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2.资产管理</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委托运营维护及管理的全部资产（包括</w:t>
      </w:r>
      <w:r>
        <w:rPr>
          <w:rFonts w:hint="eastAsia" w:ascii="仿宋" w:hAnsi="仿宋" w:eastAsia="仿宋" w:cs="仿宋"/>
          <w:spacing w:val="-6"/>
          <w:sz w:val="27"/>
          <w:szCs w:val="27"/>
          <w:highlight w:val="none"/>
          <w:lang w:eastAsia="zh-CN"/>
        </w:rPr>
        <w:t>仪器</w:t>
      </w:r>
      <w:r>
        <w:rPr>
          <w:rFonts w:ascii="仿宋" w:hAnsi="仿宋" w:eastAsia="仿宋" w:cs="仿宋"/>
          <w:spacing w:val="-6"/>
          <w:sz w:val="27"/>
          <w:szCs w:val="27"/>
          <w:highlight w:val="none"/>
          <w:lang w:eastAsia="zh-CN"/>
        </w:rPr>
        <w:t>、设备、软件、配套设施、</w:t>
      </w:r>
      <w:r>
        <w:rPr>
          <w:rFonts w:hint="eastAsia" w:ascii="仿宋" w:hAnsi="仿宋" w:eastAsia="仿宋" w:cs="仿宋"/>
          <w:spacing w:val="-6"/>
          <w:sz w:val="27"/>
          <w:szCs w:val="27"/>
          <w:highlight w:val="none"/>
          <w:lang w:eastAsia="zh-CN"/>
        </w:rPr>
        <w:t>监测仪器产生的</w:t>
      </w:r>
      <w:r>
        <w:rPr>
          <w:rFonts w:ascii="仿宋" w:hAnsi="仿宋" w:eastAsia="仿宋" w:cs="仿宋"/>
          <w:spacing w:val="-6"/>
          <w:sz w:val="27"/>
          <w:szCs w:val="27"/>
          <w:highlight w:val="none"/>
          <w:lang w:eastAsia="zh-CN"/>
        </w:rPr>
        <w:t>各类数据信息及相关文档资料）属</w:t>
      </w:r>
      <w:r>
        <w:rPr>
          <w:rFonts w:hint="eastAsia" w:ascii="仿宋" w:hAnsi="仿宋" w:eastAsia="仿宋" w:cs="仿宋"/>
          <w:spacing w:val="-6"/>
          <w:sz w:val="27"/>
          <w:szCs w:val="27"/>
          <w:highlight w:val="none"/>
          <w:lang w:eastAsia="zh-CN"/>
        </w:rPr>
        <w:t>甲</w:t>
      </w:r>
      <w:r>
        <w:rPr>
          <w:rFonts w:ascii="仿宋" w:hAnsi="仿宋" w:eastAsia="仿宋" w:cs="仿宋"/>
          <w:spacing w:val="-6"/>
          <w:sz w:val="27"/>
          <w:szCs w:val="27"/>
          <w:highlight w:val="none"/>
          <w:lang w:eastAsia="zh-CN"/>
        </w:rPr>
        <w:t>方所有。未经</w:t>
      </w:r>
      <w:r>
        <w:rPr>
          <w:rFonts w:hint="eastAsia" w:ascii="仿宋" w:hAnsi="仿宋" w:eastAsia="仿宋" w:cs="仿宋"/>
          <w:spacing w:val="-6"/>
          <w:sz w:val="27"/>
          <w:szCs w:val="27"/>
          <w:highlight w:val="none"/>
          <w:lang w:eastAsia="zh-CN"/>
        </w:rPr>
        <w:t>甲方</w:t>
      </w:r>
      <w:r>
        <w:rPr>
          <w:rFonts w:ascii="仿宋" w:hAnsi="仿宋" w:eastAsia="仿宋" w:cs="仿宋"/>
          <w:spacing w:val="-6"/>
          <w:sz w:val="27"/>
          <w:szCs w:val="27"/>
          <w:highlight w:val="none"/>
          <w:lang w:eastAsia="zh-CN"/>
        </w:rPr>
        <w:t>同意，</w:t>
      </w:r>
      <w:r>
        <w:rPr>
          <w:rFonts w:hint="eastAsia" w:ascii="仿宋" w:hAnsi="仿宋" w:eastAsia="仿宋" w:cs="仿宋"/>
          <w:spacing w:val="-6"/>
          <w:sz w:val="27"/>
          <w:szCs w:val="27"/>
          <w:highlight w:val="none"/>
          <w:lang w:eastAsia="zh-CN"/>
        </w:rPr>
        <w:t>乙方</w:t>
      </w:r>
      <w:r>
        <w:rPr>
          <w:rFonts w:ascii="仿宋" w:hAnsi="仿宋" w:eastAsia="仿宋" w:cs="仿宋"/>
          <w:spacing w:val="-6"/>
          <w:sz w:val="27"/>
          <w:szCs w:val="27"/>
          <w:highlight w:val="none"/>
          <w:lang w:eastAsia="zh-CN"/>
        </w:rPr>
        <w:t>不得以任何方式对各类财产进行出售、抵押或转移；同时，在委托运营及管理期间，</w:t>
      </w:r>
      <w:r>
        <w:rPr>
          <w:rFonts w:hint="eastAsia" w:ascii="仿宋" w:hAnsi="仿宋" w:eastAsia="仿宋" w:cs="仿宋"/>
          <w:spacing w:val="-6"/>
          <w:sz w:val="27"/>
          <w:szCs w:val="27"/>
          <w:highlight w:val="none"/>
          <w:lang w:eastAsia="zh-CN"/>
        </w:rPr>
        <w:t>乙方</w:t>
      </w:r>
      <w:r>
        <w:rPr>
          <w:rFonts w:ascii="仿宋" w:hAnsi="仿宋" w:eastAsia="仿宋" w:cs="仿宋"/>
          <w:spacing w:val="-6"/>
          <w:sz w:val="27"/>
          <w:szCs w:val="27"/>
          <w:highlight w:val="none"/>
          <w:lang w:eastAsia="zh-CN"/>
        </w:rPr>
        <w:t>有责任保证上述全部资产的完整、安全并处于良好状态，并对固定资产进行标识和登记。因</w:t>
      </w:r>
      <w:r>
        <w:rPr>
          <w:rFonts w:hint="eastAsia" w:ascii="仿宋" w:hAnsi="仿宋" w:eastAsia="仿宋" w:cs="仿宋"/>
          <w:spacing w:val="-6"/>
          <w:sz w:val="27"/>
          <w:szCs w:val="27"/>
          <w:highlight w:val="none"/>
          <w:lang w:eastAsia="zh-CN"/>
        </w:rPr>
        <w:t>乙方</w:t>
      </w:r>
      <w:r>
        <w:rPr>
          <w:rFonts w:ascii="仿宋" w:hAnsi="仿宋" w:eastAsia="仿宋" w:cs="仿宋"/>
          <w:spacing w:val="-6"/>
          <w:sz w:val="27"/>
          <w:szCs w:val="27"/>
          <w:highlight w:val="none"/>
          <w:lang w:eastAsia="zh-CN"/>
        </w:rPr>
        <w:t>原因导致固定资产受损，由</w:t>
      </w:r>
      <w:r>
        <w:rPr>
          <w:rFonts w:hint="eastAsia" w:ascii="仿宋" w:hAnsi="仿宋" w:eastAsia="仿宋" w:cs="仿宋"/>
          <w:spacing w:val="-6"/>
          <w:sz w:val="27"/>
          <w:szCs w:val="27"/>
          <w:highlight w:val="none"/>
          <w:lang w:eastAsia="zh-CN"/>
        </w:rPr>
        <w:t>乙方</w:t>
      </w:r>
      <w:r>
        <w:rPr>
          <w:rFonts w:ascii="仿宋" w:hAnsi="仿宋" w:eastAsia="仿宋" w:cs="仿宋"/>
          <w:spacing w:val="-6"/>
          <w:sz w:val="27"/>
          <w:szCs w:val="27"/>
          <w:highlight w:val="none"/>
          <w:lang w:eastAsia="zh-CN"/>
        </w:rPr>
        <w:t>负责赔偿。</w:t>
      </w:r>
    </w:p>
    <w:p>
      <w:pPr>
        <w:pStyle w:val="32"/>
        <w:ind w:firstLine="528"/>
        <w:rPr>
          <w:highlight w:val="none"/>
          <w:lang w:eastAsia="zh-CN"/>
        </w:rPr>
      </w:pPr>
      <w:r>
        <w:rPr>
          <w:rFonts w:hint="eastAsia"/>
          <w:highlight w:val="none"/>
          <w:lang w:eastAsia="zh-CN"/>
        </w:rPr>
        <w:t>五</w:t>
      </w:r>
      <w:r>
        <w:rPr>
          <w:highlight w:val="none"/>
          <w:lang w:eastAsia="zh-CN"/>
        </w:rPr>
        <w:t>、运维考核</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运维考核与扣款主要按照附件2《运行维护要求和管理考核计分方法》执行。</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1.</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考核采取以单</w:t>
      </w:r>
      <w:r>
        <w:rPr>
          <w:rFonts w:hint="eastAsia" w:ascii="仿宋" w:hAnsi="仿宋" w:eastAsia="仿宋" w:cs="仿宋"/>
          <w:spacing w:val="-6"/>
          <w:sz w:val="27"/>
          <w:szCs w:val="27"/>
          <w:highlight w:val="none"/>
          <w:lang w:eastAsia="zh-CN"/>
        </w:rPr>
        <w:t>台</w:t>
      </w:r>
      <w:r>
        <w:rPr>
          <w:rFonts w:ascii="仿宋" w:hAnsi="仿宋" w:eastAsia="仿宋" w:cs="仿宋"/>
          <w:spacing w:val="-6"/>
          <w:sz w:val="27"/>
          <w:szCs w:val="27"/>
          <w:highlight w:val="none"/>
          <w:lang w:eastAsia="zh-CN"/>
        </w:rPr>
        <w:t>仪器为基本考核单元，考核频次为每月1次。</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2.</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考核实行月度自查及</w:t>
      </w:r>
      <w:r>
        <w:rPr>
          <w:rFonts w:hint="eastAsia" w:ascii="仿宋" w:hAnsi="仿宋" w:eastAsia="仿宋" w:cs="仿宋"/>
          <w:spacing w:val="-6"/>
          <w:sz w:val="27"/>
          <w:szCs w:val="27"/>
          <w:highlight w:val="none"/>
          <w:lang w:eastAsia="zh-CN"/>
        </w:rPr>
        <w:t>甲方</w:t>
      </w:r>
      <w:r>
        <w:rPr>
          <w:rFonts w:ascii="仿宋" w:hAnsi="仿宋" w:eastAsia="仿宋" w:cs="仿宋"/>
          <w:spacing w:val="-6"/>
          <w:sz w:val="27"/>
          <w:szCs w:val="27"/>
          <w:highlight w:val="none"/>
          <w:lang w:eastAsia="zh-CN"/>
        </w:rPr>
        <w:t>考核制度。</w:t>
      </w:r>
      <w:r>
        <w:rPr>
          <w:rFonts w:hint="eastAsia" w:ascii="仿宋" w:hAnsi="仿宋" w:eastAsia="仿宋" w:cs="仿宋"/>
          <w:spacing w:val="-6"/>
          <w:sz w:val="27"/>
          <w:szCs w:val="27"/>
          <w:highlight w:val="none"/>
          <w:lang w:eastAsia="zh-CN"/>
        </w:rPr>
        <w:t>乙方</w:t>
      </w:r>
      <w:r>
        <w:rPr>
          <w:rFonts w:ascii="仿宋" w:hAnsi="仿宋" w:eastAsia="仿宋" w:cs="仿宋"/>
          <w:spacing w:val="-6"/>
          <w:sz w:val="27"/>
          <w:szCs w:val="27"/>
          <w:highlight w:val="none"/>
          <w:lang w:eastAsia="zh-CN"/>
        </w:rPr>
        <w:t>每月进行1次自查，</w:t>
      </w:r>
      <w:r>
        <w:rPr>
          <w:rFonts w:hint="eastAsia" w:ascii="仿宋" w:hAnsi="仿宋" w:eastAsia="仿宋" w:cs="仿宋"/>
          <w:spacing w:val="-6"/>
          <w:sz w:val="27"/>
          <w:szCs w:val="27"/>
          <w:highlight w:val="none"/>
          <w:lang w:eastAsia="zh-CN"/>
        </w:rPr>
        <w:t>甲方</w:t>
      </w:r>
      <w:r>
        <w:rPr>
          <w:rFonts w:hint="eastAsia" w:ascii="仿宋" w:hAnsi="仿宋" w:eastAsia="仿宋" w:cs="仿宋"/>
          <w:spacing w:val="-6"/>
          <w:sz w:val="27"/>
          <w:szCs w:val="27"/>
          <w:highlight w:val="none"/>
          <w:lang w:val="en-US" w:eastAsia="zh-CN"/>
        </w:rPr>
        <w:t>每季度组织专家对乙方运维质量进行考核</w:t>
      </w:r>
      <w:r>
        <w:rPr>
          <w:rFonts w:ascii="仿宋" w:hAnsi="仿宋" w:eastAsia="仿宋" w:cs="仿宋"/>
          <w:spacing w:val="-6"/>
          <w:sz w:val="27"/>
          <w:szCs w:val="27"/>
          <w:highlight w:val="none"/>
          <w:lang w:eastAsia="zh-CN"/>
        </w:rPr>
        <w:t>。</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3.</w:t>
      </w:r>
      <w:r>
        <w:rPr>
          <w:rFonts w:ascii="仿宋" w:hAnsi="仿宋" w:eastAsia="仿宋" w:cs="仿宋"/>
          <w:spacing w:val="-6"/>
          <w:sz w:val="27"/>
          <w:szCs w:val="27"/>
          <w:highlight w:val="none"/>
          <w:lang w:eastAsia="zh-CN"/>
        </w:rPr>
        <w:tab/>
      </w:r>
      <w:r>
        <w:rPr>
          <w:rFonts w:hint="eastAsia" w:ascii="仿宋" w:hAnsi="仿宋" w:eastAsia="仿宋" w:cs="仿宋"/>
          <w:spacing w:val="-6"/>
          <w:sz w:val="27"/>
          <w:szCs w:val="27"/>
          <w:highlight w:val="none"/>
          <w:lang w:eastAsia="zh-CN"/>
        </w:rPr>
        <w:t>甲方</w:t>
      </w:r>
      <w:r>
        <w:rPr>
          <w:rFonts w:ascii="仿宋" w:hAnsi="仿宋" w:eastAsia="仿宋" w:cs="仿宋"/>
          <w:spacing w:val="-6"/>
          <w:sz w:val="27"/>
          <w:szCs w:val="27"/>
          <w:highlight w:val="none"/>
          <w:lang w:eastAsia="zh-CN"/>
        </w:rPr>
        <w:t>不定期飞行检查和监督检查的结果作为考核依据之一。</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(一)考核报告</w:t>
      </w:r>
    </w:p>
    <w:p>
      <w:pPr>
        <w:spacing w:line="560" w:lineRule="exact"/>
        <w:ind w:firstLine="516" w:firstLineChars="200"/>
        <w:rPr>
          <w:rFonts w:hint="default"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乙方</w:t>
      </w:r>
      <w:r>
        <w:rPr>
          <w:rFonts w:ascii="仿宋" w:hAnsi="仿宋" w:eastAsia="仿宋" w:cs="仿宋"/>
          <w:spacing w:val="-6"/>
          <w:sz w:val="27"/>
          <w:szCs w:val="27"/>
          <w:highlight w:val="none"/>
          <w:lang w:eastAsia="zh-CN"/>
        </w:rPr>
        <w:t>每月10日前提交上一月的运维考核报告。考核报告包括各项考核指标的达到情况、各项质控措施实施情况、仪器日常数据检查处理情况、标液及试剂配制情况、每周巡检情况、仪器维修校正情况、标准溶液的核查结果、能力验证与质控考核、比对实验的结果、自动监测系统日常运行情况等记录和质量保证工作总结</w:t>
      </w:r>
      <w:r>
        <w:rPr>
          <w:rFonts w:hint="eastAsia" w:ascii="仿宋" w:hAnsi="仿宋" w:eastAsia="仿宋" w:cs="仿宋"/>
          <w:spacing w:val="-6"/>
          <w:sz w:val="27"/>
          <w:szCs w:val="27"/>
          <w:highlight w:val="none"/>
          <w:lang w:eastAsia="zh-CN"/>
        </w:rPr>
        <w:t>。</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(二)其他情况</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1.</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若运维期间部分时间段出现站点水位较低，采水系统无法正常工作的</w:t>
      </w:r>
      <w:r>
        <w:rPr>
          <w:rFonts w:hint="eastAsia" w:ascii="仿宋" w:hAnsi="仿宋" w:eastAsia="仿宋" w:cs="仿宋"/>
          <w:spacing w:val="-6"/>
          <w:sz w:val="27"/>
          <w:szCs w:val="27"/>
          <w:highlight w:val="none"/>
          <w:lang w:eastAsia="zh-CN"/>
        </w:rPr>
        <w:t>情况</w:t>
      </w:r>
      <w:r>
        <w:rPr>
          <w:rFonts w:ascii="仿宋" w:hAnsi="仿宋" w:eastAsia="仿宋" w:cs="仿宋"/>
          <w:spacing w:val="-6"/>
          <w:sz w:val="27"/>
          <w:szCs w:val="27"/>
          <w:highlight w:val="none"/>
          <w:lang w:eastAsia="zh-CN"/>
        </w:rPr>
        <w:t>。可采用离线或手工方法开展工作。采用离线工作的，每天</w:t>
      </w:r>
      <w:r>
        <w:rPr>
          <w:rFonts w:hint="eastAsia" w:ascii="仿宋" w:hAnsi="仿宋" w:eastAsia="仿宋" w:cs="仿宋"/>
          <w:spacing w:val="-6"/>
          <w:sz w:val="27"/>
          <w:szCs w:val="27"/>
          <w:highlight w:val="none"/>
          <w:lang w:eastAsia="zh-CN"/>
        </w:rPr>
        <w:t>运维人员应在原采水浮船周边</w:t>
      </w:r>
      <w:r>
        <w:rPr>
          <w:rFonts w:ascii="仿宋" w:hAnsi="仿宋" w:eastAsia="仿宋" w:cs="仿宋"/>
          <w:spacing w:val="-6"/>
          <w:sz w:val="27"/>
          <w:szCs w:val="27"/>
          <w:highlight w:val="none"/>
          <w:lang w:eastAsia="zh-CN"/>
        </w:rPr>
        <w:t>采</w:t>
      </w:r>
      <w:r>
        <w:rPr>
          <w:rFonts w:hint="eastAsia" w:ascii="仿宋" w:hAnsi="仿宋" w:eastAsia="仿宋" w:cs="仿宋"/>
          <w:spacing w:val="-6"/>
          <w:sz w:val="27"/>
          <w:szCs w:val="27"/>
          <w:highlight w:val="none"/>
          <w:lang w:eastAsia="zh-CN"/>
        </w:rPr>
        <w:t>集</w:t>
      </w:r>
      <w:r>
        <w:rPr>
          <w:rFonts w:ascii="仿宋" w:hAnsi="仿宋" w:eastAsia="仿宋" w:cs="仿宋"/>
          <w:spacing w:val="-6"/>
          <w:sz w:val="27"/>
          <w:szCs w:val="27"/>
          <w:highlight w:val="none"/>
          <w:lang w:eastAsia="zh-CN"/>
        </w:rPr>
        <w:t>水样</w:t>
      </w:r>
      <w:r>
        <w:rPr>
          <w:rFonts w:hint="eastAsia" w:ascii="仿宋" w:hAnsi="仿宋" w:eastAsia="仿宋" w:cs="仿宋"/>
          <w:spacing w:val="-6"/>
          <w:sz w:val="27"/>
          <w:szCs w:val="27"/>
          <w:highlight w:val="none"/>
          <w:lang w:eastAsia="zh-CN"/>
        </w:rPr>
        <w:t>，经人工过滤后</w:t>
      </w:r>
      <w:r>
        <w:rPr>
          <w:rFonts w:ascii="仿宋" w:hAnsi="仿宋" w:eastAsia="仿宋" w:cs="仿宋"/>
          <w:spacing w:val="-6"/>
          <w:sz w:val="27"/>
          <w:szCs w:val="27"/>
          <w:highlight w:val="none"/>
          <w:lang w:eastAsia="zh-CN"/>
        </w:rPr>
        <w:t>至</w:t>
      </w:r>
      <w:r>
        <w:rPr>
          <w:rFonts w:hint="eastAsia" w:ascii="仿宋" w:hAnsi="仿宋" w:eastAsia="仿宋" w:cs="仿宋"/>
          <w:spacing w:val="-6"/>
          <w:sz w:val="27"/>
          <w:szCs w:val="27"/>
          <w:highlight w:val="none"/>
          <w:lang w:eastAsia="zh-CN"/>
        </w:rPr>
        <w:t>仪器进水接口</w:t>
      </w:r>
      <w:r>
        <w:rPr>
          <w:rFonts w:ascii="仿宋" w:hAnsi="仿宋" w:eastAsia="仿宋" w:cs="仿宋"/>
          <w:spacing w:val="-6"/>
          <w:sz w:val="27"/>
          <w:szCs w:val="27"/>
          <w:highlight w:val="none"/>
          <w:lang w:eastAsia="zh-CN"/>
        </w:rPr>
        <w:t>进行离线监测</w:t>
      </w:r>
      <w:r>
        <w:rPr>
          <w:rFonts w:hint="eastAsia" w:ascii="仿宋" w:hAnsi="仿宋" w:eastAsia="仿宋" w:cs="仿宋"/>
          <w:spacing w:val="-6"/>
          <w:sz w:val="27"/>
          <w:szCs w:val="27"/>
          <w:highlight w:val="none"/>
          <w:lang w:eastAsia="zh-CN"/>
        </w:rPr>
        <w:t>，每天监测频次不低于1次/天</w:t>
      </w:r>
      <w:r>
        <w:rPr>
          <w:rFonts w:ascii="仿宋" w:hAnsi="仿宋" w:eastAsia="仿宋" w:cs="仿宋"/>
          <w:spacing w:val="-6"/>
          <w:sz w:val="27"/>
          <w:szCs w:val="27"/>
          <w:highlight w:val="none"/>
          <w:lang w:eastAsia="zh-CN"/>
        </w:rPr>
        <w:t>；若采用手工监测方法开展监测的，每周应至少开展两次</w:t>
      </w:r>
      <w:r>
        <w:rPr>
          <w:rFonts w:hint="eastAsia" w:ascii="仿宋" w:hAnsi="仿宋" w:eastAsia="仿宋" w:cs="仿宋"/>
          <w:spacing w:val="-6"/>
          <w:sz w:val="27"/>
          <w:szCs w:val="27"/>
          <w:highlight w:val="none"/>
          <w:lang w:eastAsia="zh-CN"/>
        </w:rPr>
        <w:t>20项因子全分析</w:t>
      </w:r>
      <w:r>
        <w:rPr>
          <w:rFonts w:ascii="仿宋" w:hAnsi="仿宋" w:eastAsia="仿宋" w:cs="仿宋"/>
          <w:spacing w:val="-6"/>
          <w:sz w:val="27"/>
          <w:szCs w:val="27"/>
          <w:highlight w:val="none"/>
          <w:lang w:eastAsia="zh-CN"/>
        </w:rPr>
        <w:t>，且时间间隔应</w:t>
      </w:r>
      <w:r>
        <w:rPr>
          <w:rFonts w:hint="eastAsia" w:ascii="仿宋" w:hAnsi="仿宋" w:eastAsia="仿宋" w:cs="仿宋"/>
          <w:spacing w:val="-6"/>
          <w:sz w:val="27"/>
          <w:szCs w:val="27"/>
          <w:highlight w:val="none"/>
          <w:lang w:eastAsia="zh-CN"/>
        </w:rPr>
        <w:t>小</w:t>
      </w:r>
      <w:r>
        <w:rPr>
          <w:rFonts w:ascii="仿宋" w:hAnsi="仿宋" w:eastAsia="仿宋" w:cs="仿宋"/>
          <w:spacing w:val="-6"/>
          <w:sz w:val="27"/>
          <w:szCs w:val="27"/>
          <w:highlight w:val="none"/>
          <w:lang w:eastAsia="zh-CN"/>
        </w:rPr>
        <w:t>于48小时。按以上任一要求开展工作的，支付该站</w:t>
      </w:r>
      <w:r>
        <w:rPr>
          <w:rFonts w:hint="eastAsia" w:ascii="仿宋" w:hAnsi="仿宋" w:eastAsia="仿宋" w:cs="仿宋"/>
          <w:spacing w:val="-6"/>
          <w:sz w:val="27"/>
          <w:szCs w:val="27"/>
          <w:highlight w:val="none"/>
          <w:lang w:eastAsia="zh-CN"/>
        </w:rPr>
        <w:t>仪器</w:t>
      </w:r>
      <w:r>
        <w:rPr>
          <w:rFonts w:ascii="仿宋" w:hAnsi="仿宋" w:eastAsia="仿宋" w:cs="仿宋"/>
          <w:spacing w:val="-6"/>
          <w:sz w:val="27"/>
          <w:szCs w:val="27"/>
          <w:highlight w:val="none"/>
          <w:lang w:eastAsia="zh-CN"/>
        </w:rPr>
        <w:t>全额运维费。若均未开展的，扣除相应运维期运维费用。</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2</w:t>
      </w:r>
      <w:r>
        <w:rPr>
          <w:rFonts w:ascii="仿宋" w:hAnsi="仿宋" w:eastAsia="仿宋" w:cs="仿宋"/>
          <w:spacing w:val="-6"/>
          <w:sz w:val="27"/>
          <w:szCs w:val="27"/>
          <w:highlight w:val="none"/>
          <w:lang w:eastAsia="zh-CN"/>
        </w:rPr>
        <w:t>.当上游发生污染事故时，</w:t>
      </w:r>
      <w:r>
        <w:rPr>
          <w:rFonts w:hint="eastAsia" w:ascii="仿宋" w:hAnsi="仿宋" w:eastAsia="仿宋" w:cs="仿宋"/>
          <w:spacing w:val="-6"/>
          <w:sz w:val="27"/>
          <w:szCs w:val="27"/>
          <w:highlight w:val="none"/>
          <w:lang w:eastAsia="zh-CN"/>
        </w:rPr>
        <w:t>乙方</w:t>
      </w:r>
      <w:r>
        <w:rPr>
          <w:rFonts w:ascii="仿宋" w:hAnsi="仿宋" w:eastAsia="仿宋" w:cs="仿宋"/>
          <w:spacing w:val="-6"/>
          <w:sz w:val="27"/>
          <w:szCs w:val="27"/>
          <w:highlight w:val="none"/>
          <w:lang w:eastAsia="zh-CN"/>
        </w:rPr>
        <w:t>须根据</w:t>
      </w:r>
      <w:r>
        <w:rPr>
          <w:rFonts w:hint="eastAsia" w:ascii="仿宋" w:hAnsi="仿宋" w:eastAsia="仿宋" w:cs="仿宋"/>
          <w:spacing w:val="-6"/>
          <w:sz w:val="27"/>
          <w:szCs w:val="27"/>
          <w:highlight w:val="none"/>
          <w:lang w:eastAsia="zh-CN"/>
        </w:rPr>
        <w:t>甲方</w:t>
      </w:r>
      <w:r>
        <w:rPr>
          <w:rFonts w:ascii="仿宋" w:hAnsi="仿宋" w:eastAsia="仿宋" w:cs="仿宋"/>
          <w:spacing w:val="-6"/>
          <w:sz w:val="27"/>
          <w:szCs w:val="27"/>
          <w:highlight w:val="none"/>
          <w:lang w:eastAsia="zh-CN"/>
        </w:rPr>
        <w:t>指令无条件调整监测频次，配</w:t>
      </w:r>
      <w:r>
        <w:rPr>
          <w:rFonts w:hint="eastAsia" w:ascii="仿宋" w:hAnsi="仿宋" w:eastAsia="仿宋" w:cs="仿宋"/>
          <w:spacing w:val="-6"/>
          <w:sz w:val="27"/>
          <w:szCs w:val="27"/>
          <w:highlight w:val="none"/>
          <w:lang w:eastAsia="zh-CN"/>
        </w:rPr>
        <w:t>足</w:t>
      </w:r>
      <w:r>
        <w:rPr>
          <w:rFonts w:ascii="仿宋" w:hAnsi="仿宋" w:eastAsia="仿宋" w:cs="仿宋"/>
          <w:spacing w:val="-6"/>
          <w:sz w:val="27"/>
          <w:szCs w:val="27"/>
          <w:highlight w:val="none"/>
          <w:lang w:eastAsia="zh-CN"/>
        </w:rPr>
        <w:t>相应的人员及配件耗材，连续2周之内的因污染事故增加的费用，由</w:t>
      </w:r>
      <w:r>
        <w:rPr>
          <w:rFonts w:hint="eastAsia" w:ascii="仿宋" w:hAnsi="仿宋" w:eastAsia="仿宋" w:cs="仿宋"/>
          <w:spacing w:val="-6"/>
          <w:sz w:val="27"/>
          <w:szCs w:val="27"/>
          <w:highlight w:val="none"/>
          <w:lang w:eastAsia="zh-CN"/>
        </w:rPr>
        <w:t>乙方</w:t>
      </w:r>
      <w:r>
        <w:rPr>
          <w:rFonts w:ascii="仿宋" w:hAnsi="仿宋" w:eastAsia="仿宋" w:cs="仿宋"/>
          <w:spacing w:val="-6"/>
          <w:sz w:val="27"/>
          <w:szCs w:val="27"/>
          <w:highlight w:val="none"/>
          <w:lang w:eastAsia="zh-CN"/>
        </w:rPr>
        <w:t>无条件承担；超过2周因污染事故增加的费用，</w:t>
      </w:r>
      <w:r>
        <w:rPr>
          <w:rFonts w:hint="eastAsia" w:ascii="仿宋" w:hAnsi="仿宋" w:eastAsia="仿宋" w:cs="仿宋"/>
          <w:spacing w:val="-6"/>
          <w:sz w:val="27"/>
          <w:szCs w:val="27"/>
          <w:highlight w:val="none"/>
          <w:lang w:eastAsia="zh-CN"/>
        </w:rPr>
        <w:t>甲方</w:t>
      </w:r>
      <w:r>
        <w:rPr>
          <w:rFonts w:ascii="仿宋" w:hAnsi="仿宋" w:eastAsia="仿宋" w:cs="仿宋"/>
          <w:spacing w:val="-6"/>
          <w:sz w:val="27"/>
          <w:szCs w:val="27"/>
          <w:highlight w:val="none"/>
          <w:lang w:eastAsia="zh-CN"/>
        </w:rPr>
        <w:t>可对</w:t>
      </w:r>
      <w:r>
        <w:rPr>
          <w:rFonts w:hint="eastAsia" w:ascii="仿宋" w:hAnsi="仿宋" w:eastAsia="仿宋" w:cs="仿宋"/>
          <w:spacing w:val="-6"/>
          <w:sz w:val="27"/>
          <w:szCs w:val="27"/>
          <w:highlight w:val="none"/>
          <w:lang w:eastAsia="zh-CN"/>
        </w:rPr>
        <w:t>应急期间使用</w:t>
      </w:r>
      <w:r>
        <w:rPr>
          <w:rFonts w:ascii="仿宋" w:hAnsi="仿宋" w:eastAsia="仿宋" w:cs="仿宋"/>
          <w:spacing w:val="-6"/>
          <w:sz w:val="27"/>
          <w:szCs w:val="27"/>
          <w:highlight w:val="none"/>
          <w:lang w:eastAsia="zh-CN"/>
        </w:rPr>
        <w:t>气</w:t>
      </w:r>
      <w:r>
        <w:rPr>
          <w:rFonts w:hint="eastAsia" w:ascii="仿宋" w:hAnsi="仿宋" w:eastAsia="仿宋" w:cs="仿宋"/>
          <w:spacing w:val="-6"/>
          <w:sz w:val="27"/>
          <w:szCs w:val="27"/>
          <w:highlight w:val="none"/>
          <w:lang w:eastAsia="zh-CN"/>
        </w:rPr>
        <w:t>体、配件等</w:t>
      </w:r>
      <w:r>
        <w:rPr>
          <w:rFonts w:ascii="仿宋" w:hAnsi="仿宋" w:eastAsia="仿宋" w:cs="仿宋"/>
          <w:spacing w:val="-6"/>
          <w:sz w:val="27"/>
          <w:szCs w:val="27"/>
          <w:highlight w:val="none"/>
          <w:lang w:eastAsia="zh-CN"/>
        </w:rPr>
        <w:t>相关费用进行适当的补偿。</w:t>
      </w:r>
    </w:p>
    <w:p>
      <w:pPr>
        <w:pStyle w:val="32"/>
        <w:ind w:firstLine="528"/>
        <w:rPr>
          <w:highlight w:val="none"/>
          <w:lang w:eastAsia="zh-CN"/>
        </w:rPr>
      </w:pPr>
      <w:r>
        <w:rPr>
          <w:rFonts w:hint="eastAsia"/>
          <w:highlight w:val="none"/>
          <w:lang w:eastAsia="zh-CN"/>
        </w:rPr>
        <w:t>六</w:t>
      </w:r>
      <w:r>
        <w:rPr>
          <w:highlight w:val="none"/>
          <w:lang w:eastAsia="zh-CN"/>
        </w:rPr>
        <w:t>、运维交接</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甲乙</w:t>
      </w:r>
      <w:r>
        <w:rPr>
          <w:rFonts w:ascii="仿宋" w:hAnsi="仿宋" w:eastAsia="仿宋" w:cs="仿宋"/>
          <w:spacing w:val="-6"/>
          <w:sz w:val="27"/>
          <w:szCs w:val="27"/>
          <w:highlight w:val="none"/>
          <w:lang w:eastAsia="zh-CN"/>
        </w:rPr>
        <w:t>双方签订运维合同后，即启动仪器运维交接工作。运维交接由</w:t>
      </w:r>
      <w:r>
        <w:rPr>
          <w:rFonts w:hint="eastAsia" w:ascii="仿宋" w:hAnsi="仿宋" w:eastAsia="仿宋" w:cs="仿宋"/>
          <w:spacing w:val="-6"/>
          <w:sz w:val="27"/>
          <w:szCs w:val="27"/>
          <w:highlight w:val="none"/>
          <w:lang w:eastAsia="zh-CN"/>
        </w:rPr>
        <w:t>甲方</w:t>
      </w:r>
      <w:r>
        <w:rPr>
          <w:rFonts w:ascii="仿宋" w:hAnsi="仿宋" w:eastAsia="仿宋" w:cs="仿宋"/>
          <w:spacing w:val="-6"/>
          <w:sz w:val="27"/>
          <w:szCs w:val="27"/>
          <w:highlight w:val="none"/>
          <w:lang w:eastAsia="zh-CN"/>
        </w:rPr>
        <w:t>主导，</w:t>
      </w:r>
      <w:r>
        <w:rPr>
          <w:rFonts w:hint="eastAsia" w:ascii="仿宋" w:hAnsi="仿宋" w:eastAsia="仿宋" w:cs="仿宋"/>
          <w:spacing w:val="-6"/>
          <w:sz w:val="27"/>
          <w:szCs w:val="27"/>
          <w:highlight w:val="none"/>
          <w:lang w:eastAsia="zh-CN"/>
        </w:rPr>
        <w:t>乙方</w:t>
      </w:r>
      <w:r>
        <w:rPr>
          <w:rFonts w:ascii="仿宋" w:hAnsi="仿宋" w:eastAsia="仿宋" w:cs="仿宋"/>
          <w:spacing w:val="-6"/>
          <w:sz w:val="27"/>
          <w:szCs w:val="27"/>
          <w:highlight w:val="none"/>
          <w:lang w:eastAsia="zh-CN"/>
        </w:rPr>
        <w:t>和仪器原运维单位（即交出方）具体实施。交接内容包括并不限于：5套在线重金属监测仪（ICP-MS）及配套辅助设施、设备的中文说明书、维护手册、技术图纸、国家认证检测报告与合格证（复印件）、设备自带的软件备份、安装厂家的调试报告、运维记录档案等。</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在规定的时间内，由</w:t>
      </w:r>
      <w:r>
        <w:rPr>
          <w:rFonts w:hint="eastAsia" w:ascii="仿宋" w:hAnsi="仿宋" w:eastAsia="仿宋" w:cs="仿宋"/>
          <w:spacing w:val="-6"/>
          <w:sz w:val="27"/>
          <w:szCs w:val="27"/>
          <w:highlight w:val="none"/>
          <w:lang w:eastAsia="zh-CN"/>
        </w:rPr>
        <w:t>乙方</w:t>
      </w:r>
      <w:r>
        <w:rPr>
          <w:rFonts w:ascii="仿宋" w:hAnsi="仿宋" w:eastAsia="仿宋" w:cs="仿宋"/>
          <w:spacing w:val="-6"/>
          <w:sz w:val="27"/>
          <w:szCs w:val="27"/>
          <w:highlight w:val="none"/>
          <w:lang w:eastAsia="zh-CN"/>
        </w:rPr>
        <w:t>、交出方、</w:t>
      </w:r>
      <w:r>
        <w:rPr>
          <w:rFonts w:hint="eastAsia" w:ascii="仿宋" w:hAnsi="仿宋" w:eastAsia="仿宋" w:cs="仿宋"/>
          <w:spacing w:val="-6"/>
          <w:sz w:val="27"/>
          <w:szCs w:val="27"/>
          <w:highlight w:val="none"/>
          <w:lang w:eastAsia="zh-CN"/>
        </w:rPr>
        <w:t>甲方</w:t>
      </w:r>
      <w:r>
        <w:rPr>
          <w:rFonts w:ascii="仿宋" w:hAnsi="仿宋" w:eastAsia="仿宋" w:cs="仿宋"/>
          <w:spacing w:val="-6"/>
          <w:sz w:val="27"/>
          <w:szCs w:val="27"/>
          <w:highlight w:val="none"/>
          <w:lang w:eastAsia="zh-CN"/>
        </w:rPr>
        <w:t>（或代理人）监督下共同完成交接测试、固定资产盘点等并填写“地表水环境质量自动监测站交接表”，确认无误后，三方签字确认。</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运维合同结束后，</w:t>
      </w:r>
      <w:r>
        <w:rPr>
          <w:rFonts w:hint="eastAsia" w:ascii="仿宋" w:hAnsi="仿宋" w:eastAsia="仿宋" w:cs="仿宋"/>
          <w:spacing w:val="-6"/>
          <w:sz w:val="27"/>
          <w:szCs w:val="27"/>
          <w:highlight w:val="none"/>
          <w:lang w:eastAsia="zh-CN"/>
        </w:rPr>
        <w:t>乙方</w:t>
      </w:r>
      <w:r>
        <w:rPr>
          <w:rFonts w:ascii="仿宋" w:hAnsi="仿宋" w:eastAsia="仿宋" w:cs="仿宋"/>
          <w:spacing w:val="-6"/>
          <w:sz w:val="27"/>
          <w:szCs w:val="27"/>
          <w:highlight w:val="none"/>
          <w:lang w:eastAsia="zh-CN"/>
        </w:rPr>
        <w:t>须与</w:t>
      </w:r>
      <w:r>
        <w:rPr>
          <w:rFonts w:hint="eastAsia" w:ascii="仿宋" w:hAnsi="仿宋" w:eastAsia="仿宋" w:cs="仿宋"/>
          <w:spacing w:val="-6"/>
          <w:sz w:val="27"/>
          <w:szCs w:val="27"/>
          <w:highlight w:val="none"/>
          <w:lang w:eastAsia="zh-CN"/>
        </w:rPr>
        <w:t>甲方</w:t>
      </w:r>
      <w:r>
        <w:rPr>
          <w:rFonts w:ascii="仿宋" w:hAnsi="仿宋" w:eastAsia="仿宋" w:cs="仿宋"/>
          <w:spacing w:val="-6"/>
          <w:sz w:val="27"/>
          <w:szCs w:val="27"/>
          <w:highlight w:val="none"/>
          <w:lang w:eastAsia="zh-CN"/>
        </w:rPr>
        <w:t>完成仪器的运维交接。运维交接须确保</w:t>
      </w:r>
      <w:r>
        <w:rPr>
          <w:rFonts w:hint="eastAsia" w:ascii="仿宋" w:hAnsi="仿宋" w:eastAsia="仿宋" w:cs="仿宋"/>
          <w:spacing w:val="-6"/>
          <w:sz w:val="27"/>
          <w:szCs w:val="27"/>
          <w:highlight w:val="none"/>
          <w:lang w:eastAsia="zh-CN"/>
        </w:rPr>
        <w:t>乙方</w:t>
      </w:r>
      <w:r>
        <w:rPr>
          <w:rFonts w:ascii="仿宋" w:hAnsi="仿宋" w:eastAsia="仿宋" w:cs="仿宋"/>
          <w:spacing w:val="-6"/>
          <w:sz w:val="27"/>
          <w:szCs w:val="27"/>
          <w:highlight w:val="none"/>
          <w:lang w:eastAsia="zh-CN"/>
        </w:rPr>
        <w:t>交还给</w:t>
      </w:r>
      <w:r>
        <w:rPr>
          <w:rFonts w:hint="eastAsia" w:ascii="仿宋" w:hAnsi="仿宋" w:eastAsia="仿宋" w:cs="仿宋"/>
          <w:spacing w:val="-6"/>
          <w:sz w:val="27"/>
          <w:szCs w:val="27"/>
          <w:highlight w:val="none"/>
          <w:lang w:eastAsia="zh-CN"/>
        </w:rPr>
        <w:t>甲方</w:t>
      </w:r>
      <w:r>
        <w:rPr>
          <w:rFonts w:ascii="仿宋" w:hAnsi="仿宋" w:eastAsia="仿宋" w:cs="仿宋"/>
          <w:spacing w:val="-6"/>
          <w:sz w:val="27"/>
          <w:szCs w:val="27"/>
          <w:highlight w:val="none"/>
          <w:lang w:eastAsia="zh-CN"/>
        </w:rPr>
        <w:t>的原仪器系统的所有仪器设备、设施完好。各种监测仪器的精密度、准确度和性能完好。监测仪器的性能测试方法达到《地表水自动监测技术规范（试行）》(HJ 915-2017)标准。</w:t>
      </w:r>
    </w:p>
    <w:p>
      <w:pPr>
        <w:pStyle w:val="32"/>
        <w:ind w:firstLine="528"/>
        <w:rPr>
          <w:highlight w:val="none"/>
          <w:lang w:eastAsia="zh-CN"/>
        </w:rPr>
      </w:pPr>
      <w:r>
        <w:rPr>
          <w:rFonts w:hint="eastAsia"/>
          <w:highlight w:val="none"/>
          <w:lang w:eastAsia="zh-CN"/>
        </w:rPr>
        <w:t>七</w:t>
      </w:r>
      <w:r>
        <w:rPr>
          <w:highlight w:val="none"/>
          <w:lang w:eastAsia="zh-CN"/>
        </w:rPr>
        <w:t>、合同运维期</w:t>
      </w:r>
    </w:p>
    <w:p>
      <w:pPr>
        <w:spacing w:line="560" w:lineRule="exact"/>
        <w:ind w:firstLine="628" w:firstLineChars="200"/>
        <w:rPr>
          <w:rFonts w:ascii="仿宋" w:hAnsi="仿宋" w:eastAsia="仿宋" w:cs="仿宋"/>
          <w:sz w:val="27"/>
          <w:szCs w:val="27"/>
          <w:highlight w:val="none"/>
          <w:lang w:eastAsia="zh-CN"/>
        </w:rPr>
      </w:pPr>
      <w:r>
        <w:rPr>
          <w:rFonts w:ascii="仿宋" w:hAnsi="仿宋" w:eastAsia="仿宋" w:cs="仿宋"/>
          <w:spacing w:val="22"/>
          <w:sz w:val="27"/>
          <w:szCs w:val="27"/>
          <w:highlight w:val="none"/>
          <w:lang w:eastAsia="zh-CN"/>
        </w:rPr>
        <w:t>运维期：</w:t>
      </w:r>
      <w:r>
        <w:rPr>
          <w:rFonts w:hint="eastAsia" w:ascii="仿宋" w:hAnsi="仿宋" w:eastAsia="仿宋" w:cs="仿宋"/>
          <w:spacing w:val="22"/>
          <w:sz w:val="27"/>
          <w:szCs w:val="27"/>
          <w:highlight w:val="none"/>
          <w:lang w:val="en-US" w:eastAsia="zh-CN"/>
        </w:rPr>
        <w:t xml:space="preserve">  </w:t>
      </w:r>
      <w:r>
        <w:rPr>
          <w:rFonts w:ascii="仿宋" w:hAnsi="仿宋" w:eastAsia="仿宋" w:cs="仿宋"/>
          <w:spacing w:val="22"/>
          <w:sz w:val="27"/>
          <w:szCs w:val="27"/>
          <w:highlight w:val="none"/>
          <w:lang w:eastAsia="zh-CN"/>
        </w:rPr>
        <w:t>年</w:t>
      </w:r>
      <w:r>
        <w:rPr>
          <w:rFonts w:hint="eastAsia" w:ascii="仿宋" w:hAnsi="仿宋" w:eastAsia="仿宋" w:cs="仿宋"/>
          <w:spacing w:val="22"/>
          <w:sz w:val="27"/>
          <w:szCs w:val="27"/>
          <w:highlight w:val="none"/>
          <w:lang w:val="en-US" w:eastAsia="zh-CN"/>
        </w:rPr>
        <w:t xml:space="preserve">  </w:t>
      </w:r>
      <w:r>
        <w:rPr>
          <w:rFonts w:ascii="仿宋" w:hAnsi="仿宋" w:eastAsia="仿宋" w:cs="仿宋"/>
          <w:spacing w:val="22"/>
          <w:sz w:val="27"/>
          <w:szCs w:val="27"/>
          <w:highlight w:val="none"/>
          <w:lang w:eastAsia="zh-CN"/>
        </w:rPr>
        <w:t>月</w:t>
      </w:r>
      <w:r>
        <w:rPr>
          <w:rFonts w:hint="eastAsia" w:ascii="仿宋" w:hAnsi="仿宋" w:eastAsia="仿宋" w:cs="仿宋"/>
          <w:spacing w:val="22"/>
          <w:sz w:val="27"/>
          <w:szCs w:val="27"/>
          <w:highlight w:val="none"/>
          <w:lang w:val="en-US" w:eastAsia="zh-CN"/>
        </w:rPr>
        <w:t xml:space="preserve">  </w:t>
      </w:r>
      <w:r>
        <w:rPr>
          <w:rFonts w:ascii="仿宋" w:hAnsi="仿宋" w:eastAsia="仿宋" w:cs="仿宋"/>
          <w:spacing w:val="22"/>
          <w:sz w:val="27"/>
          <w:szCs w:val="27"/>
          <w:highlight w:val="none"/>
          <w:lang w:eastAsia="zh-CN"/>
        </w:rPr>
        <w:t>日至</w:t>
      </w:r>
      <w:r>
        <w:rPr>
          <w:rFonts w:hint="eastAsia" w:ascii="仿宋" w:hAnsi="仿宋" w:eastAsia="仿宋" w:cs="仿宋"/>
          <w:spacing w:val="22"/>
          <w:sz w:val="27"/>
          <w:szCs w:val="27"/>
          <w:highlight w:val="none"/>
          <w:lang w:val="en-US" w:eastAsia="zh-CN"/>
        </w:rPr>
        <w:t xml:space="preserve">   </w:t>
      </w:r>
      <w:r>
        <w:rPr>
          <w:rFonts w:ascii="仿宋" w:hAnsi="仿宋" w:eastAsia="仿宋" w:cs="仿宋"/>
          <w:spacing w:val="22"/>
          <w:sz w:val="27"/>
          <w:szCs w:val="27"/>
          <w:highlight w:val="none"/>
          <w:lang w:eastAsia="zh-CN"/>
        </w:rPr>
        <w:t>年</w:t>
      </w:r>
      <w:r>
        <w:rPr>
          <w:rFonts w:hint="eastAsia" w:ascii="仿宋" w:hAnsi="仿宋" w:eastAsia="仿宋" w:cs="仿宋"/>
          <w:spacing w:val="22"/>
          <w:sz w:val="27"/>
          <w:szCs w:val="27"/>
          <w:highlight w:val="none"/>
          <w:lang w:val="en-US" w:eastAsia="zh-CN"/>
        </w:rPr>
        <w:t xml:space="preserve">   </w:t>
      </w:r>
      <w:r>
        <w:rPr>
          <w:rFonts w:ascii="仿宋" w:hAnsi="仿宋" w:eastAsia="仿宋" w:cs="仿宋"/>
          <w:spacing w:val="22"/>
          <w:sz w:val="27"/>
          <w:szCs w:val="27"/>
          <w:highlight w:val="none"/>
          <w:lang w:eastAsia="zh-CN"/>
        </w:rPr>
        <w:t>月</w:t>
      </w:r>
      <w:r>
        <w:rPr>
          <w:rFonts w:hint="eastAsia" w:ascii="仿宋" w:hAnsi="仿宋" w:eastAsia="仿宋" w:cs="仿宋"/>
          <w:spacing w:val="22"/>
          <w:sz w:val="27"/>
          <w:szCs w:val="27"/>
          <w:highlight w:val="none"/>
          <w:lang w:val="en-US" w:eastAsia="zh-CN"/>
        </w:rPr>
        <w:t xml:space="preserve">   </w:t>
      </w:r>
      <w:r>
        <w:rPr>
          <w:rFonts w:ascii="仿宋" w:hAnsi="仿宋" w:eastAsia="仿宋" w:cs="仿宋"/>
          <w:spacing w:val="22"/>
          <w:sz w:val="27"/>
          <w:szCs w:val="27"/>
          <w:highlight w:val="none"/>
          <w:lang w:eastAsia="zh-CN"/>
        </w:rPr>
        <w:t>日止。</w:t>
      </w:r>
    </w:p>
    <w:p>
      <w:pPr>
        <w:pStyle w:val="32"/>
        <w:numPr>
          <w:ilvl w:val="0"/>
          <w:numId w:val="12"/>
        </w:numPr>
        <w:ind w:firstLine="532"/>
        <w:rPr>
          <w:spacing w:val="-7"/>
          <w:highlight w:val="none"/>
        </w:rPr>
      </w:pPr>
      <w:r>
        <w:rPr>
          <w:spacing w:val="-4"/>
          <w:highlight w:val="none"/>
        </w:rPr>
        <w:t>合同金额</w:t>
      </w:r>
      <w:r>
        <w:rPr>
          <w:rFonts w:hint="eastAsia"/>
          <w:spacing w:val="-4"/>
          <w:highlight w:val="none"/>
          <w:lang w:eastAsia="zh-CN"/>
        </w:rPr>
        <w:t>及</w:t>
      </w:r>
      <w:r>
        <w:rPr>
          <w:spacing w:val="-7"/>
          <w:highlight w:val="none"/>
        </w:rPr>
        <w:t>付款方式</w:t>
      </w:r>
    </w:p>
    <w:p>
      <w:pPr>
        <w:spacing w:line="560" w:lineRule="exact"/>
        <w:ind w:firstLine="512" w:firstLineChars="200"/>
        <w:rPr>
          <w:rFonts w:ascii="仿宋" w:hAnsi="仿宋" w:eastAsia="仿宋" w:cs="仿宋"/>
          <w:spacing w:val="-7"/>
          <w:sz w:val="27"/>
          <w:szCs w:val="27"/>
          <w:highlight w:val="none"/>
          <w:lang w:eastAsia="zh-CN"/>
        </w:rPr>
      </w:pPr>
      <w:r>
        <w:rPr>
          <w:rFonts w:hint="eastAsia" w:ascii="仿宋" w:hAnsi="仿宋" w:eastAsia="仿宋" w:cs="仿宋"/>
          <w:spacing w:val="-7"/>
          <w:sz w:val="27"/>
          <w:szCs w:val="27"/>
          <w:highlight w:val="none"/>
          <w:lang w:eastAsia="zh-CN"/>
        </w:rPr>
        <w:t>本合同总金额¥</w:t>
      </w:r>
      <w:r>
        <w:rPr>
          <w:rFonts w:hint="eastAsia" w:ascii="仿宋" w:hAnsi="仿宋" w:eastAsia="仿宋" w:cs="仿宋"/>
          <w:spacing w:val="-7"/>
          <w:sz w:val="27"/>
          <w:szCs w:val="27"/>
          <w:highlight w:val="none"/>
          <w:lang w:val="en-US" w:eastAsia="zh-CN"/>
        </w:rPr>
        <w:t xml:space="preserve">       </w:t>
      </w:r>
      <w:r>
        <w:rPr>
          <w:rFonts w:hint="eastAsia" w:ascii="仿宋" w:hAnsi="仿宋" w:eastAsia="仿宋" w:cs="仿宋"/>
          <w:spacing w:val="-7"/>
          <w:sz w:val="27"/>
          <w:szCs w:val="27"/>
          <w:highlight w:val="none"/>
          <w:lang w:eastAsia="zh-CN"/>
        </w:rPr>
        <w:t>元(大写：</w:t>
      </w:r>
      <w:r>
        <w:rPr>
          <w:rFonts w:hint="eastAsia" w:ascii="仿宋" w:hAnsi="仿宋" w:eastAsia="仿宋" w:cs="仿宋"/>
          <w:spacing w:val="-7"/>
          <w:sz w:val="27"/>
          <w:szCs w:val="27"/>
          <w:highlight w:val="none"/>
          <w:lang w:val="en-US" w:eastAsia="zh-CN"/>
        </w:rPr>
        <w:t xml:space="preserve">    </w:t>
      </w:r>
      <w:r>
        <w:rPr>
          <w:rFonts w:hint="eastAsia" w:ascii="仿宋" w:hAnsi="仿宋" w:eastAsia="仿宋" w:cs="仿宋"/>
          <w:spacing w:val="-7"/>
          <w:sz w:val="27"/>
          <w:szCs w:val="27"/>
          <w:highlight w:val="none"/>
          <w:lang w:eastAsia="zh-CN"/>
        </w:rPr>
        <w:t>)。</w:t>
      </w:r>
    </w:p>
    <w:p>
      <w:pPr>
        <w:numPr>
          <w:ilvl w:val="0"/>
          <w:numId w:val="13"/>
        </w:numPr>
        <w:spacing w:line="560" w:lineRule="exact"/>
        <w:ind w:firstLine="528" w:firstLineChars="200"/>
        <w:rPr>
          <w:rFonts w:hint="eastAsia" w:ascii="仿宋" w:hAnsi="仿宋" w:eastAsia="仿宋" w:cs="仿宋"/>
          <w:spacing w:val="-3"/>
          <w:sz w:val="27"/>
          <w:szCs w:val="27"/>
          <w:highlight w:val="none"/>
          <w:lang w:eastAsia="zh-CN"/>
        </w:rPr>
      </w:pPr>
      <w:r>
        <w:rPr>
          <w:rFonts w:hint="eastAsia" w:ascii="仿宋" w:hAnsi="仿宋" w:eastAsia="仿宋" w:cs="仿宋"/>
          <w:spacing w:val="-3"/>
          <w:sz w:val="27"/>
          <w:szCs w:val="27"/>
          <w:highlight w:val="none"/>
          <w:lang w:val="en-US" w:eastAsia="zh-CN"/>
        </w:rPr>
        <w:t>甲方邀请专家和组织有关人员，成立考核组，每月依据</w:t>
      </w:r>
      <w:r>
        <w:rPr>
          <w:rFonts w:hint="eastAsia" w:ascii="仿宋" w:hAnsi="仿宋" w:eastAsia="仿宋" w:cs="仿宋"/>
          <w:spacing w:val="-3"/>
          <w:sz w:val="27"/>
          <w:szCs w:val="27"/>
          <w:highlight w:val="none"/>
          <w:lang w:eastAsia="zh-CN"/>
        </w:rPr>
        <w:t>附件2《运行维护要求和管理考核计分方法》</w:t>
      </w:r>
      <w:r>
        <w:rPr>
          <w:rFonts w:hint="eastAsia" w:ascii="仿宋" w:hAnsi="仿宋" w:eastAsia="仿宋" w:cs="仿宋"/>
          <w:spacing w:val="-3"/>
          <w:sz w:val="27"/>
          <w:szCs w:val="27"/>
          <w:highlight w:val="none"/>
          <w:lang w:val="en-US" w:eastAsia="zh-CN"/>
        </w:rPr>
        <w:t>不定期现场检查、每月对乙方开展一次运维工作考核评审，以单台仪器为单位进行，逐台依据维护内容就维护质量和相关指标相结合进行评分，考核结果作为甲方每月支付乙方运维费用的依据。具体考核内容与评分标准，详见</w:t>
      </w:r>
      <w:r>
        <w:rPr>
          <w:rFonts w:hint="eastAsia" w:ascii="仿宋" w:hAnsi="仿宋" w:eastAsia="仿宋" w:cs="仿宋"/>
          <w:spacing w:val="-3"/>
          <w:sz w:val="27"/>
          <w:szCs w:val="27"/>
          <w:highlight w:val="none"/>
          <w:lang w:eastAsia="zh-CN"/>
        </w:rPr>
        <w:t>附件3《丹江口库区及上游重金属在线监测运行维护项目检查评分表》。</w:t>
      </w:r>
    </w:p>
    <w:p>
      <w:pPr>
        <w:spacing w:line="560" w:lineRule="exact"/>
        <w:ind w:firstLine="528" w:firstLineChars="200"/>
        <w:rPr>
          <w:rFonts w:hint="eastAsia" w:ascii="仿宋" w:hAnsi="仿宋" w:eastAsia="仿宋" w:cs="仿宋"/>
          <w:spacing w:val="-3"/>
          <w:sz w:val="27"/>
          <w:szCs w:val="27"/>
          <w:highlight w:val="none"/>
          <w:lang w:eastAsia="zh-CN"/>
        </w:rPr>
      </w:pPr>
      <w:r>
        <w:rPr>
          <w:rFonts w:hint="eastAsia" w:ascii="仿宋" w:hAnsi="仿宋" w:eastAsia="仿宋" w:cs="仿宋"/>
          <w:spacing w:val="-3"/>
          <w:sz w:val="27"/>
          <w:szCs w:val="27"/>
          <w:highlight w:val="none"/>
          <w:lang w:val="en-US" w:eastAsia="zh-CN"/>
        </w:rPr>
        <w:t>若运维期间站点长期断流导致站点设备停机，甲方仅向乙方酌情支付仪器停机维护费用。</w:t>
      </w:r>
      <w:r>
        <w:rPr>
          <w:rFonts w:hint="eastAsia" w:ascii="仿宋" w:hAnsi="仿宋" w:eastAsia="仿宋" w:cs="仿宋"/>
          <w:spacing w:val="-3"/>
          <w:sz w:val="27"/>
          <w:szCs w:val="27"/>
          <w:highlight w:val="none"/>
          <w:lang w:eastAsia="zh-CN"/>
        </w:rPr>
        <w:t>具体费用参照各</w:t>
      </w:r>
      <w:r>
        <w:rPr>
          <w:rFonts w:hint="eastAsia" w:ascii="仿宋" w:hAnsi="仿宋" w:eastAsia="仿宋" w:cs="仿宋"/>
          <w:spacing w:val="-3"/>
          <w:sz w:val="27"/>
          <w:szCs w:val="27"/>
          <w:highlight w:val="none"/>
          <w:lang w:val="en-US" w:eastAsia="zh-CN"/>
        </w:rPr>
        <w:t>站点</w:t>
      </w:r>
      <w:r>
        <w:rPr>
          <w:rFonts w:hint="eastAsia" w:ascii="仿宋" w:hAnsi="仿宋" w:eastAsia="仿宋" w:cs="仿宋"/>
          <w:spacing w:val="-3"/>
          <w:sz w:val="27"/>
          <w:szCs w:val="27"/>
          <w:highlight w:val="none"/>
          <w:lang w:eastAsia="zh-CN"/>
        </w:rPr>
        <w:t>仪器项目分项报价。</w:t>
      </w:r>
    </w:p>
    <w:p>
      <w:pPr>
        <w:spacing w:line="560" w:lineRule="exact"/>
        <w:ind w:firstLine="528" w:firstLineChars="200"/>
        <w:rPr>
          <w:rFonts w:hint="eastAsia" w:ascii="仿宋" w:hAnsi="仿宋" w:eastAsia="仿宋" w:cs="仿宋"/>
          <w:spacing w:val="-3"/>
          <w:sz w:val="27"/>
          <w:szCs w:val="27"/>
          <w:highlight w:val="none"/>
          <w:lang w:eastAsia="zh-CN"/>
        </w:rPr>
      </w:pPr>
      <w:r>
        <w:rPr>
          <w:rFonts w:hint="eastAsia" w:ascii="仿宋" w:hAnsi="仿宋" w:eastAsia="仿宋" w:cs="仿宋"/>
          <w:spacing w:val="-3"/>
          <w:sz w:val="27"/>
          <w:szCs w:val="27"/>
          <w:highlight w:val="none"/>
          <w:lang w:eastAsia="zh-CN"/>
        </w:rPr>
        <w:t>（二）合同签订后，根据每月考核结果，甲方按季度支付乙方运维费用，若遇特殊情况，可根据实际，甲乙双方协商调整支付时间及支付方式。</w:t>
      </w:r>
    </w:p>
    <w:p>
      <w:pPr>
        <w:pStyle w:val="32"/>
        <w:ind w:firstLine="518"/>
        <w:rPr>
          <w:highlight w:val="none"/>
          <w:lang w:eastAsia="zh-CN"/>
        </w:rPr>
      </w:pPr>
      <w:r>
        <w:rPr>
          <w:spacing w:val="-11"/>
          <w:highlight w:val="none"/>
          <w:lang w:eastAsia="zh-CN"/>
        </w:rPr>
        <w:t>九</w:t>
      </w:r>
      <w:r>
        <w:rPr>
          <w:spacing w:val="-59"/>
          <w:highlight w:val="none"/>
          <w:lang w:eastAsia="zh-CN"/>
        </w:rPr>
        <w:t xml:space="preserve"> </w:t>
      </w:r>
      <w:r>
        <w:rPr>
          <w:spacing w:val="-11"/>
          <w:highlight w:val="none"/>
          <w:lang w:eastAsia="zh-CN"/>
        </w:rPr>
        <w:t>、违约责任</w:t>
      </w:r>
    </w:p>
    <w:p>
      <w:pPr>
        <w:spacing w:line="560" w:lineRule="exact"/>
        <w:ind w:firstLine="500" w:firstLineChars="200"/>
        <w:rPr>
          <w:rFonts w:ascii="仿宋" w:hAnsi="仿宋" w:eastAsia="仿宋" w:cs="仿宋"/>
          <w:sz w:val="27"/>
          <w:szCs w:val="27"/>
          <w:highlight w:val="none"/>
          <w:lang w:eastAsia="zh-CN"/>
        </w:rPr>
      </w:pPr>
      <w:r>
        <w:rPr>
          <w:rFonts w:ascii="仿宋" w:hAnsi="仿宋" w:eastAsia="仿宋" w:cs="仿宋"/>
          <w:spacing w:val="-10"/>
          <w:sz w:val="27"/>
          <w:szCs w:val="27"/>
          <w:highlight w:val="none"/>
          <w:lang w:eastAsia="zh-CN"/>
        </w:rPr>
        <w:t>(一)乙方有下列情况的视为违约：</w:t>
      </w:r>
    </w:p>
    <w:p>
      <w:pPr>
        <w:spacing w:line="560" w:lineRule="exact"/>
        <w:ind w:firstLine="528" w:firstLineChars="200"/>
        <w:rPr>
          <w:rFonts w:ascii="仿宋" w:hAnsi="仿宋" w:eastAsia="仿宋" w:cs="仿宋"/>
          <w:sz w:val="27"/>
          <w:szCs w:val="27"/>
          <w:highlight w:val="none"/>
          <w:lang w:eastAsia="zh-CN"/>
        </w:rPr>
      </w:pPr>
      <w:r>
        <w:rPr>
          <w:rFonts w:ascii="仿宋" w:hAnsi="仿宋" w:eastAsia="仿宋" w:cs="仿宋"/>
          <w:spacing w:val="-3"/>
          <w:sz w:val="27"/>
          <w:szCs w:val="27"/>
          <w:highlight w:val="none"/>
          <w:lang w:eastAsia="zh-CN"/>
        </w:rPr>
        <w:t>1.乙方工作弄虚作假，被甲方证实并发现；</w:t>
      </w:r>
    </w:p>
    <w:p>
      <w:pPr>
        <w:spacing w:line="560" w:lineRule="exact"/>
        <w:ind w:firstLine="508" w:firstLineChars="200"/>
        <w:rPr>
          <w:rFonts w:ascii="仿宋" w:hAnsi="仿宋" w:eastAsia="仿宋" w:cs="仿宋"/>
          <w:sz w:val="27"/>
          <w:szCs w:val="27"/>
          <w:highlight w:val="none"/>
          <w:lang w:eastAsia="zh-CN"/>
        </w:rPr>
      </w:pPr>
      <w:r>
        <w:rPr>
          <w:rFonts w:hint="eastAsia" w:ascii="仿宋" w:hAnsi="仿宋" w:eastAsia="仿宋" w:cs="仿宋"/>
          <w:spacing w:val="-8"/>
          <w:sz w:val="27"/>
          <w:szCs w:val="27"/>
          <w:highlight w:val="none"/>
          <w:lang w:eastAsia="zh-CN"/>
        </w:rPr>
        <w:t>2.乙方工作存在重大失误，经甲方指出后仍不能及时采取补救措施</w:t>
      </w:r>
      <w:r>
        <w:rPr>
          <w:rFonts w:ascii="仿宋" w:hAnsi="仿宋" w:eastAsia="仿宋" w:cs="仿宋"/>
          <w:spacing w:val="-8"/>
          <w:sz w:val="27"/>
          <w:szCs w:val="27"/>
          <w:highlight w:val="none"/>
          <w:lang w:eastAsia="zh-CN"/>
        </w:rPr>
        <w:t>；</w:t>
      </w:r>
    </w:p>
    <w:p>
      <w:pPr>
        <w:spacing w:line="560" w:lineRule="exact"/>
        <w:ind w:firstLine="532" w:firstLineChars="200"/>
        <w:rPr>
          <w:rFonts w:ascii="仿宋" w:hAnsi="仿宋" w:eastAsia="仿宋" w:cs="仿宋"/>
          <w:sz w:val="27"/>
          <w:szCs w:val="27"/>
          <w:highlight w:val="none"/>
          <w:lang w:eastAsia="zh-CN"/>
        </w:rPr>
      </w:pPr>
      <w:r>
        <w:rPr>
          <w:rFonts w:ascii="仿宋" w:hAnsi="仿宋" w:eastAsia="仿宋" w:cs="仿宋"/>
          <w:spacing w:val="-2"/>
          <w:sz w:val="27"/>
          <w:szCs w:val="27"/>
          <w:highlight w:val="none"/>
          <w:lang w:eastAsia="zh-CN"/>
        </w:rPr>
        <w:t>3.乙方未按本合同约定履行相应职责的；</w:t>
      </w:r>
    </w:p>
    <w:p>
      <w:pPr>
        <w:spacing w:line="560" w:lineRule="exact"/>
        <w:ind w:firstLine="540" w:firstLineChars="200"/>
        <w:rPr>
          <w:rFonts w:ascii="仿宋" w:hAnsi="仿宋" w:eastAsia="仿宋" w:cs="仿宋"/>
          <w:sz w:val="27"/>
          <w:szCs w:val="27"/>
          <w:highlight w:val="none"/>
          <w:lang w:eastAsia="zh-CN"/>
        </w:rPr>
      </w:pPr>
      <w:r>
        <w:rPr>
          <w:rFonts w:ascii="仿宋" w:hAnsi="仿宋" w:eastAsia="仿宋" w:cs="仿宋"/>
          <w:sz w:val="27"/>
          <w:szCs w:val="27"/>
          <w:highlight w:val="none"/>
          <w:lang w:eastAsia="zh-CN"/>
        </w:rPr>
        <w:t>4.其他违反本合同约定的情形。</w:t>
      </w:r>
    </w:p>
    <w:p>
      <w:pPr>
        <w:spacing w:line="560" w:lineRule="exact"/>
        <w:ind w:firstLine="556" w:firstLineChars="200"/>
        <w:rPr>
          <w:rFonts w:ascii="仿宋" w:hAnsi="仿宋" w:eastAsia="仿宋" w:cs="仿宋"/>
          <w:sz w:val="27"/>
          <w:szCs w:val="27"/>
          <w:highlight w:val="none"/>
          <w:lang w:eastAsia="zh-CN"/>
        </w:rPr>
      </w:pPr>
      <w:r>
        <w:rPr>
          <w:rFonts w:ascii="仿宋" w:hAnsi="仿宋" w:eastAsia="仿宋" w:cs="仿宋"/>
          <w:spacing w:val="4"/>
          <w:sz w:val="27"/>
          <w:szCs w:val="27"/>
          <w:highlight w:val="none"/>
          <w:lang w:eastAsia="zh-CN"/>
        </w:rPr>
        <w:t>(二)若乙方违反本合同约定或存在前述违约情形的，</w:t>
      </w:r>
      <w:r>
        <w:rPr>
          <w:rFonts w:ascii="仿宋" w:hAnsi="仿宋" w:eastAsia="仿宋" w:cs="仿宋"/>
          <w:spacing w:val="14"/>
          <w:sz w:val="27"/>
          <w:szCs w:val="27"/>
          <w:highlight w:val="none"/>
          <w:lang w:eastAsia="zh-CN"/>
        </w:rPr>
        <w:t>甲方除有权根据合同约定拒付或减少相应的</w:t>
      </w:r>
      <w:r>
        <w:rPr>
          <w:rFonts w:ascii="仿宋" w:hAnsi="仿宋" w:eastAsia="仿宋" w:cs="仿宋"/>
          <w:spacing w:val="13"/>
          <w:sz w:val="27"/>
          <w:szCs w:val="27"/>
          <w:highlight w:val="none"/>
          <w:lang w:eastAsia="zh-CN"/>
        </w:rPr>
        <w:t>运维费用外，还</w:t>
      </w:r>
      <w:r>
        <w:rPr>
          <w:rFonts w:ascii="仿宋" w:hAnsi="仿宋" w:eastAsia="仿宋" w:cs="仿宋"/>
          <w:spacing w:val="22"/>
          <w:sz w:val="27"/>
          <w:szCs w:val="27"/>
          <w:highlight w:val="none"/>
          <w:lang w:eastAsia="zh-CN"/>
        </w:rPr>
        <w:t>有权要求乙方按照本合同金额20%向甲方支付违约金，</w:t>
      </w:r>
      <w:r>
        <w:rPr>
          <w:rFonts w:hint="eastAsia" w:ascii="仿宋" w:hAnsi="仿宋" w:eastAsia="仿宋" w:cs="仿宋"/>
          <w:spacing w:val="22"/>
          <w:sz w:val="27"/>
          <w:szCs w:val="27"/>
          <w:highlight w:val="none"/>
          <w:lang w:val="en-US" w:eastAsia="zh-CN"/>
        </w:rPr>
        <w:t>并赔偿因违约行为给甲方造成的一切损失，包括但不限于经济损失、诉讼费、律师费、保全费、公证费等。</w:t>
      </w:r>
    </w:p>
    <w:p>
      <w:pPr>
        <w:pStyle w:val="32"/>
        <w:ind w:firstLine="528"/>
        <w:rPr>
          <w:highlight w:val="none"/>
          <w:lang w:eastAsia="zh-CN"/>
        </w:rPr>
      </w:pPr>
      <w:r>
        <w:rPr>
          <w:highlight w:val="none"/>
          <w:lang w:eastAsia="zh-CN"/>
        </w:rPr>
        <w:t>十</w:t>
      </w:r>
      <w:r>
        <w:rPr>
          <w:spacing w:val="-46"/>
          <w:highlight w:val="none"/>
          <w:lang w:eastAsia="zh-CN"/>
        </w:rPr>
        <w:t xml:space="preserve"> </w:t>
      </w:r>
      <w:r>
        <w:rPr>
          <w:highlight w:val="none"/>
          <w:lang w:eastAsia="zh-CN"/>
        </w:rPr>
        <w:t>、不可抗力</w:t>
      </w:r>
    </w:p>
    <w:p>
      <w:pPr>
        <w:spacing w:line="560" w:lineRule="exact"/>
        <w:ind w:firstLine="584" w:firstLineChars="200"/>
        <w:rPr>
          <w:rFonts w:ascii="仿宋" w:hAnsi="仿宋" w:eastAsia="仿宋" w:cs="仿宋"/>
          <w:spacing w:val="11"/>
          <w:sz w:val="27"/>
          <w:szCs w:val="27"/>
          <w:highlight w:val="none"/>
          <w:lang w:eastAsia="zh-CN"/>
        </w:rPr>
      </w:pPr>
      <w:r>
        <w:rPr>
          <w:rFonts w:hint="eastAsia" w:ascii="仿宋" w:hAnsi="仿宋" w:eastAsia="仿宋" w:cs="仿宋"/>
          <w:spacing w:val="11"/>
          <w:sz w:val="27"/>
          <w:szCs w:val="27"/>
          <w:highlight w:val="none"/>
          <w:lang w:eastAsia="zh-CN"/>
        </w:rPr>
        <w:t>经甲、乙方确定因不可抗力(如极端气候、地震等)导致的系统不正常或损坏可视实际情况由双方共同协商解决。</w:t>
      </w:r>
    </w:p>
    <w:p>
      <w:pPr>
        <w:pStyle w:val="32"/>
        <w:numPr>
          <w:ilvl w:val="0"/>
          <w:numId w:val="14"/>
        </w:numPr>
        <w:ind w:firstLine="528"/>
        <w:rPr>
          <w:highlight w:val="none"/>
        </w:rPr>
      </w:pPr>
      <w:r>
        <w:rPr>
          <w:highlight w:val="none"/>
        </w:rPr>
        <w:t>合同的解除、终止</w:t>
      </w:r>
    </w:p>
    <w:p>
      <w:pPr>
        <w:spacing w:line="560" w:lineRule="exact"/>
        <w:ind w:firstLine="584" w:firstLineChars="200"/>
        <w:rPr>
          <w:rFonts w:ascii="仿宋" w:hAnsi="仿宋" w:eastAsia="仿宋" w:cs="仿宋"/>
          <w:spacing w:val="11"/>
          <w:sz w:val="27"/>
          <w:szCs w:val="27"/>
          <w:highlight w:val="none"/>
          <w:lang w:eastAsia="zh-CN"/>
        </w:rPr>
      </w:pPr>
      <w:r>
        <w:rPr>
          <w:rFonts w:hint="eastAsia" w:ascii="仿宋" w:hAnsi="仿宋" w:eastAsia="仿宋" w:cs="仿宋"/>
          <w:spacing w:val="11"/>
          <w:sz w:val="27"/>
          <w:szCs w:val="27"/>
          <w:highlight w:val="none"/>
          <w:lang w:eastAsia="zh-CN"/>
        </w:rPr>
        <w:t>(一)甲方按照相关要求对乙方进行考核，乙方考核不合格的，甲方有权解除本合同；</w:t>
      </w:r>
    </w:p>
    <w:p>
      <w:pPr>
        <w:spacing w:line="560" w:lineRule="exact"/>
        <w:ind w:firstLine="584" w:firstLineChars="200"/>
        <w:rPr>
          <w:rFonts w:ascii="仿宋" w:hAnsi="仿宋" w:eastAsia="仿宋" w:cs="仿宋"/>
          <w:spacing w:val="11"/>
          <w:sz w:val="27"/>
          <w:szCs w:val="27"/>
          <w:highlight w:val="none"/>
          <w:lang w:eastAsia="zh-CN"/>
        </w:rPr>
      </w:pPr>
      <w:r>
        <w:rPr>
          <w:rFonts w:hint="eastAsia" w:ascii="仿宋" w:hAnsi="仿宋" w:eastAsia="仿宋" w:cs="仿宋"/>
          <w:spacing w:val="11"/>
          <w:sz w:val="27"/>
          <w:szCs w:val="27"/>
          <w:highlight w:val="none"/>
          <w:lang w:eastAsia="zh-CN"/>
        </w:rPr>
        <w:t>(二)乙方在合同履行过程中存在违约，甲方有权解除本合同。</w:t>
      </w:r>
    </w:p>
    <w:p>
      <w:pPr>
        <w:spacing w:line="560" w:lineRule="exact"/>
        <w:ind w:firstLine="584" w:firstLineChars="200"/>
        <w:rPr>
          <w:rFonts w:hint="eastAsia" w:ascii="仿宋" w:hAnsi="仿宋" w:eastAsia="仿宋" w:cs="仿宋"/>
          <w:spacing w:val="11"/>
          <w:sz w:val="27"/>
          <w:szCs w:val="27"/>
          <w:highlight w:val="none"/>
          <w:lang w:eastAsia="zh-CN"/>
        </w:rPr>
      </w:pPr>
      <w:r>
        <w:rPr>
          <w:rFonts w:hint="eastAsia" w:ascii="仿宋" w:hAnsi="仿宋" w:eastAsia="仿宋" w:cs="仿宋"/>
          <w:spacing w:val="11"/>
          <w:sz w:val="27"/>
          <w:szCs w:val="27"/>
          <w:highlight w:val="none"/>
          <w:lang w:eastAsia="zh-CN"/>
        </w:rPr>
        <w:t>(三)若乙方丧失履约能力或者宣告破产，甲方有权单方解除合同。</w:t>
      </w:r>
    </w:p>
    <w:p>
      <w:pPr>
        <w:pStyle w:val="32"/>
        <w:ind w:firstLine="538"/>
        <w:rPr>
          <w:spacing w:val="-1"/>
          <w:highlight w:val="none"/>
          <w:lang w:eastAsia="zh-CN"/>
        </w:rPr>
      </w:pPr>
      <w:r>
        <w:rPr>
          <w:spacing w:val="-1"/>
          <w:highlight w:val="none"/>
          <w:lang w:eastAsia="zh-CN"/>
        </w:rPr>
        <w:t>十二、通</w:t>
      </w:r>
      <w:r>
        <w:rPr>
          <w:spacing w:val="-39"/>
          <w:highlight w:val="none"/>
          <w:lang w:eastAsia="zh-CN"/>
        </w:rPr>
        <w:t xml:space="preserve"> </w:t>
      </w:r>
      <w:r>
        <w:rPr>
          <w:spacing w:val="-1"/>
          <w:highlight w:val="none"/>
          <w:lang w:eastAsia="zh-CN"/>
        </w:rPr>
        <w:t>知</w:t>
      </w:r>
    </w:p>
    <w:p>
      <w:pPr>
        <w:spacing w:line="560" w:lineRule="exact"/>
        <w:ind w:firstLine="536" w:firstLineChars="200"/>
        <w:rPr>
          <w:rFonts w:ascii="仿宋" w:hAnsi="仿宋" w:eastAsia="仿宋" w:cs="仿宋"/>
          <w:spacing w:val="-1"/>
          <w:sz w:val="27"/>
          <w:szCs w:val="27"/>
          <w:highlight w:val="none"/>
          <w:lang w:eastAsia="zh-CN"/>
        </w:rPr>
      </w:pPr>
      <w:r>
        <w:rPr>
          <w:rFonts w:hint="eastAsia" w:ascii="仿宋" w:hAnsi="仿宋" w:eastAsia="仿宋" w:cs="仿宋"/>
          <w:spacing w:val="-1"/>
          <w:sz w:val="27"/>
          <w:szCs w:val="27"/>
          <w:highlight w:val="none"/>
          <w:lang w:eastAsia="zh-CN"/>
        </w:rPr>
        <w:t>甲乙双方一致同意将双方在合同落款处所留的地址和联系方式作为双方之间因本合同发生的诉讼、执行程序指定通讯地址，如有变更，变更方应在变更后3日内以书面形式通知对方。若任何一方因指定地址不明确或变更后未及时通知对方，导致无法实际送达或者存在拒收情况的，则信函被退回之日，即为送达之日。</w:t>
      </w:r>
    </w:p>
    <w:p>
      <w:pPr>
        <w:pStyle w:val="32"/>
        <w:ind w:firstLine="536"/>
        <w:rPr>
          <w:spacing w:val="-2"/>
          <w:highlight w:val="none"/>
          <w:lang w:eastAsia="zh-CN"/>
        </w:rPr>
      </w:pPr>
      <w:r>
        <w:rPr>
          <w:rFonts w:hint="eastAsia"/>
          <w:spacing w:val="-2"/>
          <w:highlight w:val="none"/>
          <w:lang w:eastAsia="zh-CN"/>
        </w:rPr>
        <w:t>十三、</w:t>
      </w:r>
      <w:r>
        <w:rPr>
          <w:spacing w:val="-2"/>
          <w:highlight w:val="none"/>
          <w:lang w:eastAsia="zh-CN"/>
        </w:rPr>
        <w:t>其</w:t>
      </w:r>
      <w:r>
        <w:rPr>
          <w:spacing w:val="-42"/>
          <w:highlight w:val="none"/>
          <w:lang w:eastAsia="zh-CN"/>
        </w:rPr>
        <w:t xml:space="preserve"> </w:t>
      </w:r>
      <w:r>
        <w:rPr>
          <w:spacing w:val="-2"/>
          <w:highlight w:val="none"/>
          <w:lang w:eastAsia="zh-CN"/>
        </w:rPr>
        <w:t>他</w:t>
      </w:r>
    </w:p>
    <w:p>
      <w:pPr>
        <w:spacing w:line="560" w:lineRule="exact"/>
        <w:ind w:firstLine="532" w:firstLineChars="200"/>
        <w:rPr>
          <w:rFonts w:hint="eastAsia" w:ascii="仿宋" w:hAnsi="仿宋" w:eastAsia="仿宋" w:cs="仿宋"/>
          <w:spacing w:val="-2"/>
          <w:sz w:val="27"/>
          <w:szCs w:val="27"/>
          <w:highlight w:val="none"/>
          <w:lang w:eastAsia="zh-CN"/>
        </w:rPr>
      </w:pPr>
      <w:r>
        <w:rPr>
          <w:rFonts w:hint="eastAsia" w:ascii="仿宋" w:hAnsi="仿宋" w:eastAsia="仿宋" w:cs="仿宋"/>
          <w:spacing w:val="-2"/>
          <w:sz w:val="27"/>
          <w:szCs w:val="27"/>
          <w:highlight w:val="none"/>
          <w:lang w:val="en-US" w:eastAsia="zh-CN"/>
        </w:rPr>
        <w:t>仪器</w:t>
      </w:r>
      <w:r>
        <w:rPr>
          <w:rFonts w:hint="eastAsia" w:ascii="仿宋" w:hAnsi="仿宋" w:eastAsia="仿宋" w:cs="仿宋"/>
          <w:spacing w:val="-2"/>
          <w:sz w:val="27"/>
          <w:szCs w:val="27"/>
          <w:highlight w:val="none"/>
          <w:lang w:eastAsia="zh-CN"/>
        </w:rPr>
        <w:t>运维工作中，乙方自身工作人员发生的意外或者乙方自身工作人员造成第三人伤害的，均属乙方负责，与甲方无关。</w:t>
      </w:r>
    </w:p>
    <w:p>
      <w:pPr>
        <w:spacing w:line="560" w:lineRule="exact"/>
        <w:ind w:firstLine="532" w:firstLineChars="200"/>
        <w:rPr>
          <w:rFonts w:hint="default" w:ascii="仿宋" w:hAnsi="仿宋" w:eastAsia="仿宋" w:cs="仿宋"/>
          <w:spacing w:val="-2"/>
          <w:sz w:val="27"/>
          <w:szCs w:val="27"/>
          <w:highlight w:val="none"/>
          <w:lang w:val="en-US" w:eastAsia="zh-CN"/>
        </w:rPr>
      </w:pPr>
      <w:r>
        <w:rPr>
          <w:rFonts w:hint="eastAsia" w:ascii="仿宋" w:hAnsi="仿宋" w:eastAsia="仿宋" w:cs="仿宋"/>
          <w:spacing w:val="-2"/>
          <w:sz w:val="27"/>
          <w:szCs w:val="27"/>
          <w:highlight w:val="none"/>
          <w:lang w:val="en-US" w:eastAsia="zh-CN"/>
        </w:rPr>
        <w:t>乙方承诺所提供的产品自己具有独立的知识产权或授权，若知识产权发生纠纷均由乙方自行解决并承担相关费用，与甲方无关，因此造成甲方损失，乙方应赔偿损失和承担违约责任。</w:t>
      </w:r>
    </w:p>
    <w:p>
      <w:pPr>
        <w:pStyle w:val="32"/>
        <w:numPr>
          <w:ilvl w:val="0"/>
          <w:numId w:val="15"/>
        </w:numPr>
        <w:ind w:firstLine="528"/>
        <w:rPr>
          <w:highlight w:val="none"/>
        </w:rPr>
      </w:pPr>
      <w:r>
        <w:rPr>
          <w:highlight w:val="none"/>
        </w:rPr>
        <w:t>争议解决</w:t>
      </w:r>
    </w:p>
    <w:p>
      <w:pPr>
        <w:spacing w:line="560" w:lineRule="exact"/>
        <w:ind w:firstLine="508" w:firstLineChars="200"/>
        <w:rPr>
          <w:rFonts w:ascii="仿宋" w:hAnsi="仿宋" w:eastAsia="仿宋" w:cs="仿宋"/>
          <w:spacing w:val="-8"/>
          <w:sz w:val="27"/>
          <w:szCs w:val="27"/>
          <w:highlight w:val="none"/>
          <w:lang w:eastAsia="zh-CN"/>
        </w:rPr>
      </w:pPr>
      <w:r>
        <w:rPr>
          <w:rFonts w:hint="eastAsia" w:ascii="仿宋" w:hAnsi="仿宋" w:eastAsia="仿宋" w:cs="仿宋"/>
          <w:spacing w:val="-8"/>
          <w:sz w:val="27"/>
          <w:szCs w:val="27"/>
          <w:highlight w:val="none"/>
          <w:lang w:eastAsia="zh-CN"/>
        </w:rPr>
        <w:t xml:space="preserve">    凡有关本合同或于本合同中发生的争端，双方应通过友好协商，妥善解决。如通过协商仍不能解决时，应向甲方住所地的人民法院起诉解决。</w:t>
      </w:r>
    </w:p>
    <w:p>
      <w:pPr>
        <w:pStyle w:val="32"/>
        <w:numPr>
          <w:ilvl w:val="0"/>
          <w:numId w:val="15"/>
        </w:numPr>
        <w:ind w:firstLine="528"/>
        <w:rPr>
          <w:highlight w:val="none"/>
        </w:rPr>
      </w:pPr>
      <w:r>
        <w:rPr>
          <w:highlight w:val="none"/>
        </w:rPr>
        <w:t>合同生效</w:t>
      </w:r>
    </w:p>
    <w:p>
      <w:pPr>
        <w:spacing w:line="560" w:lineRule="exact"/>
        <w:ind w:firstLine="500" w:firstLineChars="200"/>
        <w:rPr>
          <w:rFonts w:ascii="仿宋" w:hAnsi="仿宋" w:eastAsia="仿宋" w:cs="仿宋"/>
          <w:spacing w:val="-10"/>
          <w:sz w:val="27"/>
          <w:szCs w:val="27"/>
          <w:highlight w:val="none"/>
          <w:lang w:eastAsia="zh-CN"/>
        </w:rPr>
      </w:pPr>
      <w:r>
        <w:rPr>
          <w:rFonts w:hint="eastAsia" w:ascii="仿宋" w:hAnsi="仿宋" w:eastAsia="仿宋" w:cs="仿宋"/>
          <w:spacing w:val="-10"/>
          <w:sz w:val="27"/>
          <w:szCs w:val="27"/>
          <w:highlight w:val="none"/>
          <w:lang w:eastAsia="zh-CN"/>
        </w:rPr>
        <w:t>(一)本合同经甲、乙双方法定代表人或其委托人签字并加盖双方公章后生效。</w:t>
      </w:r>
    </w:p>
    <w:p>
      <w:pPr>
        <w:spacing w:line="560" w:lineRule="exact"/>
        <w:ind w:firstLine="500" w:firstLineChars="200"/>
        <w:rPr>
          <w:rFonts w:hint="eastAsia" w:ascii="仿宋" w:hAnsi="仿宋" w:eastAsia="仿宋" w:cs="仿宋"/>
          <w:spacing w:val="-10"/>
          <w:sz w:val="27"/>
          <w:szCs w:val="27"/>
          <w:highlight w:val="none"/>
          <w:lang w:eastAsia="zh-CN"/>
        </w:rPr>
      </w:pPr>
      <w:r>
        <w:rPr>
          <w:rFonts w:hint="eastAsia" w:ascii="仿宋" w:hAnsi="仿宋" w:eastAsia="仿宋" w:cs="仿宋"/>
          <w:spacing w:val="-10"/>
          <w:sz w:val="27"/>
          <w:szCs w:val="27"/>
          <w:highlight w:val="none"/>
          <w:lang w:eastAsia="zh-CN"/>
        </w:rPr>
        <w:t>(二)本合同正本壹式陆份，甲乙双方、招标代理机构各执贰份，具有同等法律效力。</w:t>
      </w:r>
    </w:p>
    <w:p>
      <w:pPr>
        <w:pStyle w:val="14"/>
        <w:ind w:firstLine="0" w:firstLineChars="0"/>
        <w:jc w:val="left"/>
        <w:rPr>
          <w:rFonts w:hint="eastAsia" w:ascii="宋体" w:hAnsi="宋体" w:cs="宋体"/>
          <w:highlight w:val="none"/>
        </w:rPr>
      </w:pPr>
    </w:p>
    <w:p>
      <w:pPr>
        <w:pStyle w:val="15"/>
        <w:rPr>
          <w:rFonts w:hint="eastAsia" w:ascii="宋体" w:hAnsi="宋体" w:cs="宋体"/>
          <w:highlight w:val="none"/>
        </w:rPr>
      </w:pPr>
      <w:r>
        <w:rPr>
          <w:rFonts w:ascii="宋体" w:hAnsi="宋体" w:eastAsia="宋体" w:cs="宋体"/>
          <w:spacing w:val="4"/>
          <w:highlight w:val="none"/>
          <w:lang w:eastAsia="zh-CN"/>
        </w:rPr>
        <mc:AlternateContent>
          <mc:Choice Requires="wps">
            <w:drawing>
              <wp:anchor distT="0" distB="0" distL="114300" distR="114300" simplePos="0" relativeHeight="251659264" behindDoc="0" locked="0" layoutInCell="1" allowOverlap="1">
                <wp:simplePos x="0" y="0"/>
                <wp:positionH relativeFrom="column">
                  <wp:posOffset>527050</wp:posOffset>
                </wp:positionH>
                <wp:positionV relativeFrom="paragraph">
                  <wp:posOffset>1256665</wp:posOffset>
                </wp:positionV>
                <wp:extent cx="1998345" cy="2482215"/>
                <wp:effectExtent l="0" t="0" r="0" b="0"/>
                <wp:wrapNone/>
                <wp:docPr id="1" name="文本框 1"/>
                <wp:cNvGraphicFramePr/>
                <a:graphic xmlns:a="http://schemas.openxmlformats.org/drawingml/2006/main">
                  <a:graphicData uri="http://schemas.microsoft.com/office/word/2010/wordprocessingShape">
                    <wps:wsp>
                      <wps:cNvSpPr txBox="1"/>
                      <wps:spPr>
                        <a:xfrm>
                          <a:off x="0" y="0"/>
                          <a:ext cx="1998345" cy="2482215"/>
                        </a:xfrm>
                        <a:prstGeom prst="rect">
                          <a:avLst/>
                        </a:prstGeom>
                        <a:noFill/>
                        <a:ln>
                          <a:noFill/>
                        </a:ln>
                      </wps:spPr>
                      <wps:txbx>
                        <w:txbxContent>
                          <w:p>
                            <w:pPr>
                              <w:spacing w:before="19" w:line="219" w:lineRule="auto"/>
                              <w:ind w:left="20"/>
                              <w:rPr>
                                <w:rFonts w:ascii="宋体" w:hAnsi="宋体" w:eastAsia="宋体" w:cs="宋体"/>
                                <w:spacing w:val="9"/>
                                <w:lang w:eastAsia="zh-CN"/>
                              </w:rPr>
                            </w:pPr>
                            <w:r>
                              <w:rPr>
                                <w:rFonts w:ascii="宋体" w:hAnsi="宋体" w:eastAsia="宋体" w:cs="宋体"/>
                                <w:spacing w:val="9"/>
                                <w:lang w:eastAsia="zh-CN"/>
                              </w:rPr>
                              <w:t>甲方(盖章)</w:t>
                            </w:r>
                          </w:p>
                          <w:p>
                            <w:pPr>
                              <w:spacing w:before="140" w:line="390" w:lineRule="exact"/>
                              <w:ind w:left="20"/>
                              <w:rPr>
                                <w:rFonts w:ascii="宋体" w:hAnsi="宋体" w:eastAsia="宋体" w:cs="宋体"/>
                                <w:spacing w:val="-8"/>
                                <w:position w:val="13"/>
                                <w:lang w:eastAsia="zh-CN"/>
                              </w:rPr>
                            </w:pPr>
                            <w:r>
                              <w:rPr>
                                <w:rFonts w:ascii="宋体" w:hAnsi="宋体" w:eastAsia="宋体" w:cs="宋体"/>
                                <w:spacing w:val="-8"/>
                                <w:position w:val="13"/>
                                <w:lang w:eastAsia="zh-CN"/>
                              </w:rPr>
                              <w:t>地址：</w:t>
                            </w:r>
                          </w:p>
                          <w:p>
                            <w:pPr>
                              <w:spacing w:before="140" w:line="390" w:lineRule="exact"/>
                              <w:rPr>
                                <w:rFonts w:ascii="宋体" w:hAnsi="宋体" w:eastAsia="宋体" w:cs="宋体"/>
                                <w:spacing w:val="-8"/>
                                <w:position w:val="13"/>
                                <w:lang w:eastAsia="zh-CN"/>
                              </w:rPr>
                            </w:pPr>
                          </w:p>
                          <w:p>
                            <w:pPr>
                              <w:spacing w:line="219" w:lineRule="auto"/>
                              <w:ind w:left="20"/>
                              <w:rPr>
                                <w:rFonts w:ascii="宋体" w:hAnsi="宋体" w:eastAsia="宋体" w:cs="宋体"/>
                                <w:spacing w:val="3"/>
                                <w:lang w:eastAsia="zh-CN"/>
                              </w:rPr>
                            </w:pPr>
                            <w:r>
                              <w:rPr>
                                <w:rFonts w:ascii="宋体" w:hAnsi="宋体" w:eastAsia="宋体" w:cs="宋体"/>
                                <w:spacing w:val="3"/>
                                <w:lang w:eastAsia="zh-CN"/>
                              </w:rPr>
                              <w:t>法人/授权代表(签字)</w:t>
                            </w:r>
                          </w:p>
                          <w:p>
                            <w:pPr>
                              <w:spacing w:line="219" w:lineRule="auto"/>
                              <w:ind w:left="20"/>
                              <w:rPr>
                                <w:rFonts w:ascii="宋体" w:hAnsi="宋体" w:eastAsia="宋体" w:cs="宋体"/>
                                <w:spacing w:val="3"/>
                                <w:lang w:eastAsia="zh-CN"/>
                              </w:rPr>
                            </w:pPr>
                          </w:p>
                          <w:p>
                            <w:pPr>
                              <w:spacing w:line="219" w:lineRule="auto"/>
                              <w:ind w:left="20"/>
                              <w:rPr>
                                <w:rFonts w:ascii="宋体" w:hAnsi="宋体" w:eastAsia="宋体" w:cs="宋体"/>
                                <w:spacing w:val="3"/>
                                <w:lang w:eastAsia="zh-CN"/>
                              </w:rPr>
                            </w:pPr>
                          </w:p>
                          <w:p>
                            <w:pPr>
                              <w:spacing w:before="143" w:line="387" w:lineRule="exact"/>
                              <w:ind w:left="20"/>
                              <w:rPr>
                                <w:rFonts w:ascii="宋体" w:hAnsi="宋体" w:eastAsia="宋体" w:cs="宋体"/>
                                <w:lang w:eastAsia="zh-CN"/>
                              </w:rPr>
                            </w:pPr>
                            <w:r>
                              <w:rPr>
                                <w:rFonts w:ascii="宋体" w:hAnsi="宋体" w:eastAsia="宋体" w:cs="宋体"/>
                                <w:spacing w:val="-7"/>
                                <w:position w:val="13"/>
                                <w:lang w:eastAsia="zh-CN"/>
                              </w:rPr>
                              <w:t>电话：</w:t>
                            </w:r>
                          </w:p>
                          <w:p>
                            <w:pPr>
                              <w:spacing w:line="218" w:lineRule="auto"/>
                              <w:ind w:left="20"/>
                              <w:rPr>
                                <w:rFonts w:ascii="宋体" w:hAnsi="宋体" w:eastAsia="宋体" w:cs="宋体"/>
                                <w:spacing w:val="-13"/>
                                <w:lang w:eastAsia="zh-CN"/>
                              </w:rPr>
                            </w:pPr>
                            <w:r>
                              <w:rPr>
                                <w:rFonts w:ascii="宋体" w:hAnsi="宋体" w:eastAsia="宋体" w:cs="宋体"/>
                                <w:spacing w:val="-13"/>
                                <w:lang w:eastAsia="zh-CN"/>
                              </w:rPr>
                              <w:t>传真：</w:t>
                            </w:r>
                          </w:p>
                          <w:p>
                            <w:pPr>
                              <w:spacing w:line="218" w:lineRule="auto"/>
                              <w:ind w:left="20"/>
                              <w:rPr>
                                <w:rFonts w:ascii="宋体" w:hAnsi="宋体" w:eastAsia="宋体" w:cs="宋体"/>
                                <w:spacing w:val="-13"/>
                                <w:lang w:eastAsia="zh-CN"/>
                              </w:rPr>
                            </w:pPr>
                            <w:r>
                              <w:rPr>
                                <w:rFonts w:ascii="宋体" w:hAnsi="宋体" w:eastAsia="宋体" w:cs="宋体"/>
                                <w:spacing w:val="17"/>
                                <w:lang w:eastAsia="zh-CN"/>
                              </w:rPr>
                              <w:t>签</w:t>
                            </w:r>
                            <w:r>
                              <w:rPr>
                                <w:rFonts w:hint="eastAsia" w:ascii="宋体" w:hAnsi="宋体" w:eastAsia="宋体" w:cs="宋体"/>
                                <w:spacing w:val="17"/>
                                <w:lang w:eastAsia="zh-CN"/>
                              </w:rPr>
                              <w:t>字</w:t>
                            </w:r>
                            <w:r>
                              <w:rPr>
                                <w:rFonts w:ascii="宋体" w:hAnsi="宋体" w:eastAsia="宋体" w:cs="宋体"/>
                                <w:spacing w:val="17"/>
                                <w:lang w:eastAsia="zh-CN"/>
                              </w:rPr>
                              <w:t>日期：</w:t>
                            </w:r>
                            <w:r>
                              <w:rPr>
                                <w:rFonts w:hint="eastAsia" w:ascii="宋体" w:hAnsi="宋体" w:eastAsia="宋体" w:cs="宋体"/>
                                <w:spacing w:val="17"/>
                                <w:lang w:eastAsia="zh-CN"/>
                              </w:rPr>
                              <w:t xml:space="preserve">   </w:t>
                            </w:r>
                            <w:r>
                              <w:rPr>
                                <w:rFonts w:ascii="宋体" w:hAnsi="宋体" w:eastAsia="宋体" w:cs="宋体"/>
                                <w:spacing w:val="17"/>
                                <w:lang w:eastAsia="zh-CN"/>
                              </w:rPr>
                              <w:t>年</w:t>
                            </w:r>
                            <w:r>
                              <w:rPr>
                                <w:rFonts w:hint="eastAsia" w:ascii="宋体" w:hAnsi="宋体" w:eastAsia="宋体" w:cs="宋体"/>
                                <w:spacing w:val="17"/>
                                <w:lang w:eastAsia="zh-CN"/>
                              </w:rPr>
                              <w:t xml:space="preserve">   </w:t>
                            </w:r>
                            <w:r>
                              <w:rPr>
                                <w:rFonts w:ascii="宋体" w:hAnsi="宋体" w:eastAsia="宋体" w:cs="宋体"/>
                                <w:spacing w:val="17"/>
                                <w:lang w:eastAsia="zh-CN"/>
                              </w:rPr>
                              <w:t>月</w:t>
                            </w:r>
                            <w:r>
                              <w:rPr>
                                <w:rFonts w:hint="eastAsia" w:ascii="宋体" w:hAnsi="宋体" w:eastAsia="宋体" w:cs="宋体"/>
                                <w:spacing w:val="17"/>
                                <w:lang w:eastAsia="zh-CN"/>
                              </w:rPr>
                              <w:t xml:space="preserve">   </w:t>
                            </w:r>
                            <w:r>
                              <w:rPr>
                                <w:rFonts w:ascii="宋体" w:hAnsi="宋体" w:eastAsia="宋体" w:cs="宋体"/>
                                <w:spacing w:val="17"/>
                                <w:lang w:eastAsia="zh-CN"/>
                              </w:rPr>
                              <w:t>日</w:t>
                            </w:r>
                          </w:p>
                        </w:txbxContent>
                      </wps:txbx>
                      <wps:bodyPr lIns="0" tIns="0" rIns="0" bIns="0" upright="1"/>
                    </wps:wsp>
                  </a:graphicData>
                </a:graphic>
              </wp:anchor>
            </w:drawing>
          </mc:Choice>
          <mc:Fallback>
            <w:pict>
              <v:shape id="_x0000_s1026" o:spid="_x0000_s1026" o:spt="202" type="#_x0000_t202" style="position:absolute;left:0pt;margin-left:41.5pt;margin-top:98.95pt;height:195.45pt;width:157.35pt;z-index:251659264;mso-width-relative:page;mso-height-relative:page;" filled="f" stroked="f" coordsize="21600,21600" o:gfxdata="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CfV7b/ZAAAACgEAAA8AAAAAAAAAAQAgAAAAIgAAAGRycy9kb3ducmV2LnhtbFBL&#10;AQIUABQAAAAIAIdO4kDmbtGSvAEAAHMDAAAOAAAAAAAAAAEAIAAAACgBAABkcnMvZTJvRG9jLnht&#10;bFBLBQYAAAAABgAGAFkBAABWBQAAAAA=&#10;">
                <v:fill on="f" focussize="0,0"/>
                <v:stroke on="f"/>
                <v:imagedata o:title=""/>
                <o:lock v:ext="edit" aspectratio="f"/>
                <v:textbox inset="0mm,0mm,0mm,0mm">
                  <w:txbxContent>
                    <w:p>
                      <w:pPr>
                        <w:spacing w:before="19" w:line="219" w:lineRule="auto"/>
                        <w:ind w:left="20"/>
                        <w:rPr>
                          <w:rFonts w:ascii="宋体" w:hAnsi="宋体" w:eastAsia="宋体" w:cs="宋体"/>
                          <w:spacing w:val="9"/>
                          <w:lang w:eastAsia="zh-CN"/>
                        </w:rPr>
                      </w:pPr>
                      <w:r>
                        <w:rPr>
                          <w:rFonts w:ascii="宋体" w:hAnsi="宋体" w:eastAsia="宋体" w:cs="宋体"/>
                          <w:spacing w:val="9"/>
                          <w:lang w:eastAsia="zh-CN"/>
                        </w:rPr>
                        <w:t>甲方(盖章)</w:t>
                      </w:r>
                    </w:p>
                    <w:p>
                      <w:pPr>
                        <w:spacing w:before="140" w:line="390" w:lineRule="exact"/>
                        <w:ind w:left="20"/>
                        <w:rPr>
                          <w:rFonts w:ascii="宋体" w:hAnsi="宋体" w:eastAsia="宋体" w:cs="宋体"/>
                          <w:spacing w:val="-8"/>
                          <w:position w:val="13"/>
                          <w:lang w:eastAsia="zh-CN"/>
                        </w:rPr>
                      </w:pPr>
                      <w:r>
                        <w:rPr>
                          <w:rFonts w:ascii="宋体" w:hAnsi="宋体" w:eastAsia="宋体" w:cs="宋体"/>
                          <w:spacing w:val="-8"/>
                          <w:position w:val="13"/>
                          <w:lang w:eastAsia="zh-CN"/>
                        </w:rPr>
                        <w:t>地址：</w:t>
                      </w:r>
                    </w:p>
                    <w:p>
                      <w:pPr>
                        <w:spacing w:before="140" w:line="390" w:lineRule="exact"/>
                        <w:rPr>
                          <w:rFonts w:ascii="宋体" w:hAnsi="宋体" w:eastAsia="宋体" w:cs="宋体"/>
                          <w:spacing w:val="-8"/>
                          <w:position w:val="13"/>
                          <w:lang w:eastAsia="zh-CN"/>
                        </w:rPr>
                      </w:pPr>
                    </w:p>
                    <w:p>
                      <w:pPr>
                        <w:spacing w:line="219" w:lineRule="auto"/>
                        <w:ind w:left="20"/>
                        <w:rPr>
                          <w:rFonts w:ascii="宋体" w:hAnsi="宋体" w:eastAsia="宋体" w:cs="宋体"/>
                          <w:spacing w:val="3"/>
                          <w:lang w:eastAsia="zh-CN"/>
                        </w:rPr>
                      </w:pPr>
                      <w:r>
                        <w:rPr>
                          <w:rFonts w:ascii="宋体" w:hAnsi="宋体" w:eastAsia="宋体" w:cs="宋体"/>
                          <w:spacing w:val="3"/>
                          <w:lang w:eastAsia="zh-CN"/>
                        </w:rPr>
                        <w:t>法人/授权代表(签字)</w:t>
                      </w:r>
                    </w:p>
                    <w:p>
                      <w:pPr>
                        <w:spacing w:line="219" w:lineRule="auto"/>
                        <w:ind w:left="20"/>
                        <w:rPr>
                          <w:rFonts w:ascii="宋体" w:hAnsi="宋体" w:eastAsia="宋体" w:cs="宋体"/>
                          <w:spacing w:val="3"/>
                          <w:lang w:eastAsia="zh-CN"/>
                        </w:rPr>
                      </w:pPr>
                    </w:p>
                    <w:p>
                      <w:pPr>
                        <w:spacing w:line="219" w:lineRule="auto"/>
                        <w:ind w:left="20"/>
                        <w:rPr>
                          <w:rFonts w:ascii="宋体" w:hAnsi="宋体" w:eastAsia="宋体" w:cs="宋体"/>
                          <w:spacing w:val="3"/>
                          <w:lang w:eastAsia="zh-CN"/>
                        </w:rPr>
                      </w:pPr>
                    </w:p>
                    <w:p>
                      <w:pPr>
                        <w:spacing w:before="143" w:line="387" w:lineRule="exact"/>
                        <w:ind w:left="20"/>
                        <w:rPr>
                          <w:rFonts w:ascii="宋体" w:hAnsi="宋体" w:eastAsia="宋体" w:cs="宋体"/>
                          <w:lang w:eastAsia="zh-CN"/>
                        </w:rPr>
                      </w:pPr>
                      <w:r>
                        <w:rPr>
                          <w:rFonts w:ascii="宋体" w:hAnsi="宋体" w:eastAsia="宋体" w:cs="宋体"/>
                          <w:spacing w:val="-7"/>
                          <w:position w:val="13"/>
                          <w:lang w:eastAsia="zh-CN"/>
                        </w:rPr>
                        <w:t>电话：</w:t>
                      </w:r>
                    </w:p>
                    <w:p>
                      <w:pPr>
                        <w:spacing w:line="218" w:lineRule="auto"/>
                        <w:ind w:left="20"/>
                        <w:rPr>
                          <w:rFonts w:ascii="宋体" w:hAnsi="宋体" w:eastAsia="宋体" w:cs="宋体"/>
                          <w:spacing w:val="-13"/>
                          <w:lang w:eastAsia="zh-CN"/>
                        </w:rPr>
                      </w:pPr>
                      <w:r>
                        <w:rPr>
                          <w:rFonts w:ascii="宋体" w:hAnsi="宋体" w:eastAsia="宋体" w:cs="宋体"/>
                          <w:spacing w:val="-13"/>
                          <w:lang w:eastAsia="zh-CN"/>
                        </w:rPr>
                        <w:t>传真：</w:t>
                      </w:r>
                    </w:p>
                    <w:p>
                      <w:pPr>
                        <w:spacing w:line="218" w:lineRule="auto"/>
                        <w:ind w:left="20"/>
                        <w:rPr>
                          <w:rFonts w:ascii="宋体" w:hAnsi="宋体" w:eastAsia="宋体" w:cs="宋体"/>
                          <w:spacing w:val="-13"/>
                          <w:lang w:eastAsia="zh-CN"/>
                        </w:rPr>
                      </w:pPr>
                      <w:r>
                        <w:rPr>
                          <w:rFonts w:ascii="宋体" w:hAnsi="宋体" w:eastAsia="宋体" w:cs="宋体"/>
                          <w:spacing w:val="17"/>
                          <w:lang w:eastAsia="zh-CN"/>
                        </w:rPr>
                        <w:t>签</w:t>
                      </w:r>
                      <w:r>
                        <w:rPr>
                          <w:rFonts w:hint="eastAsia" w:ascii="宋体" w:hAnsi="宋体" w:eastAsia="宋体" w:cs="宋体"/>
                          <w:spacing w:val="17"/>
                          <w:lang w:eastAsia="zh-CN"/>
                        </w:rPr>
                        <w:t>字</w:t>
                      </w:r>
                      <w:r>
                        <w:rPr>
                          <w:rFonts w:ascii="宋体" w:hAnsi="宋体" w:eastAsia="宋体" w:cs="宋体"/>
                          <w:spacing w:val="17"/>
                          <w:lang w:eastAsia="zh-CN"/>
                        </w:rPr>
                        <w:t>日期：</w:t>
                      </w:r>
                      <w:r>
                        <w:rPr>
                          <w:rFonts w:hint="eastAsia" w:ascii="宋体" w:hAnsi="宋体" w:eastAsia="宋体" w:cs="宋体"/>
                          <w:spacing w:val="17"/>
                          <w:lang w:eastAsia="zh-CN"/>
                        </w:rPr>
                        <w:t xml:space="preserve">   </w:t>
                      </w:r>
                      <w:r>
                        <w:rPr>
                          <w:rFonts w:ascii="宋体" w:hAnsi="宋体" w:eastAsia="宋体" w:cs="宋体"/>
                          <w:spacing w:val="17"/>
                          <w:lang w:eastAsia="zh-CN"/>
                        </w:rPr>
                        <w:t>年</w:t>
                      </w:r>
                      <w:r>
                        <w:rPr>
                          <w:rFonts w:hint="eastAsia" w:ascii="宋体" w:hAnsi="宋体" w:eastAsia="宋体" w:cs="宋体"/>
                          <w:spacing w:val="17"/>
                          <w:lang w:eastAsia="zh-CN"/>
                        </w:rPr>
                        <w:t xml:space="preserve">   </w:t>
                      </w:r>
                      <w:r>
                        <w:rPr>
                          <w:rFonts w:ascii="宋体" w:hAnsi="宋体" w:eastAsia="宋体" w:cs="宋体"/>
                          <w:spacing w:val="17"/>
                          <w:lang w:eastAsia="zh-CN"/>
                        </w:rPr>
                        <w:t>月</w:t>
                      </w:r>
                      <w:r>
                        <w:rPr>
                          <w:rFonts w:hint="eastAsia" w:ascii="宋体" w:hAnsi="宋体" w:eastAsia="宋体" w:cs="宋体"/>
                          <w:spacing w:val="17"/>
                          <w:lang w:eastAsia="zh-CN"/>
                        </w:rPr>
                        <w:t xml:space="preserve">   </w:t>
                      </w:r>
                      <w:r>
                        <w:rPr>
                          <w:rFonts w:ascii="宋体" w:hAnsi="宋体" w:eastAsia="宋体" w:cs="宋体"/>
                          <w:spacing w:val="17"/>
                          <w:lang w:eastAsia="zh-CN"/>
                        </w:rPr>
                        <w:t>日</w:t>
                      </w:r>
                    </w:p>
                  </w:txbxContent>
                </v:textbox>
              </v:shape>
            </w:pict>
          </mc:Fallback>
        </mc:AlternateContent>
      </w:r>
    </w:p>
    <w:p>
      <w:pPr>
        <w:pStyle w:val="14"/>
        <w:rPr>
          <w:rFonts w:hint="eastAsia" w:ascii="宋体" w:hAnsi="宋体" w:cs="宋体"/>
          <w:highlight w:val="none"/>
        </w:rPr>
      </w:pPr>
    </w:p>
    <w:p>
      <w:pPr>
        <w:pStyle w:val="15"/>
        <w:rPr>
          <w:rFonts w:hint="eastAsia" w:ascii="宋体" w:hAnsi="宋体" w:cs="宋体"/>
          <w:highlight w:val="none"/>
        </w:rPr>
      </w:pPr>
    </w:p>
    <w:p>
      <w:pPr>
        <w:pStyle w:val="14"/>
        <w:rPr>
          <w:rFonts w:hint="eastAsia" w:ascii="宋体" w:hAnsi="宋体" w:eastAsia="宋体" w:cs="宋体"/>
          <w:highlight w:val="none"/>
          <w:lang w:val="en-US" w:eastAsia="zh-CN"/>
        </w:rPr>
      </w:pPr>
      <w:r>
        <w:rPr>
          <w:rFonts w:hint="eastAsia" w:ascii="宋体" w:hAnsi="宋体" w:eastAsia="宋体" w:cs="宋体"/>
          <w:spacing w:val="4"/>
          <w:highlight w:val="none"/>
          <w:lang w:eastAsia="zh-CN"/>
        </w:rPr>
        <mc:AlternateContent>
          <mc:Choice Requires="wps">
            <w:drawing>
              <wp:anchor distT="0" distB="0" distL="114300" distR="114300" simplePos="0" relativeHeight="251660288" behindDoc="0" locked="0" layoutInCell="1" allowOverlap="1">
                <wp:simplePos x="0" y="0"/>
                <wp:positionH relativeFrom="column">
                  <wp:posOffset>3291205</wp:posOffset>
                </wp:positionH>
                <wp:positionV relativeFrom="paragraph">
                  <wp:posOffset>236855</wp:posOffset>
                </wp:positionV>
                <wp:extent cx="1998345" cy="2431415"/>
                <wp:effectExtent l="0" t="0" r="0" b="0"/>
                <wp:wrapNone/>
                <wp:docPr id="3" name="文本框 3"/>
                <wp:cNvGraphicFramePr/>
                <a:graphic xmlns:a="http://schemas.openxmlformats.org/drawingml/2006/main">
                  <a:graphicData uri="http://schemas.microsoft.com/office/word/2010/wordprocessingShape">
                    <wps:wsp>
                      <wps:cNvSpPr txBox="1"/>
                      <wps:spPr>
                        <a:xfrm>
                          <a:off x="4443730" y="3098165"/>
                          <a:ext cx="1998345" cy="2327275"/>
                        </a:xfrm>
                        <a:prstGeom prst="rect">
                          <a:avLst/>
                        </a:prstGeom>
                        <a:noFill/>
                        <a:ln>
                          <a:noFill/>
                        </a:ln>
                        <a:effectLst/>
                      </wps:spPr>
                      <wps:txbx>
                        <w:txbxContent>
                          <w:p>
                            <w:pPr>
                              <w:spacing w:before="19" w:line="219" w:lineRule="auto"/>
                              <w:ind w:left="20"/>
                              <w:rPr>
                                <w:rFonts w:ascii="宋体" w:hAnsi="宋体" w:eastAsia="宋体" w:cs="宋体"/>
                                <w:lang w:eastAsia="zh-CN"/>
                              </w:rPr>
                            </w:pPr>
                            <w:r>
                              <w:rPr>
                                <w:rFonts w:hint="eastAsia" w:ascii="宋体" w:hAnsi="宋体" w:eastAsia="宋体" w:cs="宋体"/>
                                <w:spacing w:val="9"/>
                                <w:lang w:eastAsia="zh-CN"/>
                              </w:rPr>
                              <w:t>乙</w:t>
                            </w:r>
                            <w:r>
                              <w:rPr>
                                <w:rFonts w:ascii="宋体" w:hAnsi="宋体" w:eastAsia="宋体" w:cs="宋体"/>
                                <w:spacing w:val="9"/>
                                <w:lang w:eastAsia="zh-CN"/>
                              </w:rPr>
                              <w:t>方(盖章)</w:t>
                            </w:r>
                          </w:p>
                          <w:p>
                            <w:pPr>
                              <w:spacing w:before="140" w:line="390" w:lineRule="exact"/>
                              <w:ind w:left="20"/>
                              <w:rPr>
                                <w:rFonts w:ascii="宋体" w:hAnsi="宋体" w:eastAsia="宋体" w:cs="宋体"/>
                                <w:spacing w:val="-8"/>
                                <w:position w:val="13"/>
                                <w:lang w:eastAsia="zh-CN"/>
                              </w:rPr>
                            </w:pPr>
                            <w:r>
                              <w:rPr>
                                <w:rFonts w:ascii="宋体" w:hAnsi="宋体" w:eastAsia="宋体" w:cs="宋体"/>
                                <w:spacing w:val="-8"/>
                                <w:position w:val="13"/>
                                <w:lang w:eastAsia="zh-CN"/>
                              </w:rPr>
                              <w:t>地址：</w:t>
                            </w:r>
                          </w:p>
                          <w:p>
                            <w:pPr>
                              <w:spacing w:before="140" w:line="390" w:lineRule="exact"/>
                              <w:ind w:left="20"/>
                              <w:rPr>
                                <w:rFonts w:ascii="宋体" w:hAnsi="宋体" w:eastAsia="宋体" w:cs="宋体"/>
                                <w:spacing w:val="-8"/>
                                <w:position w:val="13"/>
                                <w:lang w:eastAsia="zh-CN"/>
                              </w:rPr>
                            </w:pPr>
                          </w:p>
                          <w:p>
                            <w:pPr>
                              <w:spacing w:line="560" w:lineRule="exact"/>
                              <w:jc w:val="both"/>
                              <w:rPr>
                                <w:rFonts w:ascii="宋体" w:hAnsi="宋体" w:eastAsia="宋体" w:cs="宋体"/>
                                <w:spacing w:val="8"/>
                                <w:lang w:eastAsia="zh-CN"/>
                              </w:rPr>
                            </w:pPr>
                            <w:r>
                              <w:rPr>
                                <w:rFonts w:ascii="宋体" w:hAnsi="宋体" w:eastAsia="宋体" w:cs="宋体"/>
                                <w:spacing w:val="8"/>
                                <w:lang w:eastAsia="zh-CN"/>
                              </w:rPr>
                              <w:t>法人/授权代表(签字):</w:t>
                            </w:r>
                          </w:p>
                          <w:p>
                            <w:pPr>
                              <w:spacing w:line="560" w:lineRule="exact"/>
                              <w:jc w:val="both"/>
                              <w:rPr>
                                <w:rFonts w:ascii="宋体" w:hAnsi="宋体" w:eastAsia="宋体" w:cs="宋体"/>
                                <w:spacing w:val="8"/>
                                <w:lang w:eastAsia="zh-CN"/>
                              </w:rPr>
                            </w:pPr>
                          </w:p>
                          <w:p>
                            <w:pPr>
                              <w:spacing w:before="143" w:line="387" w:lineRule="exact"/>
                              <w:ind w:left="20"/>
                              <w:rPr>
                                <w:rFonts w:ascii="宋体" w:hAnsi="宋体" w:eastAsia="宋体" w:cs="宋体"/>
                                <w:lang w:eastAsia="zh-CN"/>
                              </w:rPr>
                            </w:pPr>
                            <w:r>
                              <w:rPr>
                                <w:rFonts w:ascii="宋体" w:hAnsi="宋体" w:eastAsia="宋体" w:cs="宋体"/>
                                <w:spacing w:val="-7"/>
                                <w:position w:val="13"/>
                                <w:lang w:eastAsia="zh-CN"/>
                              </w:rPr>
                              <w:t>电话：</w:t>
                            </w:r>
                          </w:p>
                          <w:p>
                            <w:pPr>
                              <w:spacing w:line="218" w:lineRule="auto"/>
                              <w:ind w:left="20"/>
                              <w:rPr>
                                <w:rFonts w:ascii="宋体" w:hAnsi="宋体" w:eastAsia="宋体" w:cs="宋体"/>
                                <w:spacing w:val="-13"/>
                                <w:lang w:eastAsia="zh-CN"/>
                              </w:rPr>
                            </w:pPr>
                            <w:r>
                              <w:rPr>
                                <w:rFonts w:ascii="宋体" w:hAnsi="宋体" w:eastAsia="宋体" w:cs="宋体"/>
                                <w:spacing w:val="-13"/>
                                <w:lang w:eastAsia="zh-CN"/>
                              </w:rPr>
                              <w:t>传真：</w:t>
                            </w:r>
                          </w:p>
                          <w:p>
                            <w:pPr>
                              <w:spacing w:line="218" w:lineRule="auto"/>
                              <w:ind w:left="20"/>
                              <w:rPr>
                                <w:rFonts w:ascii="宋体" w:hAnsi="宋体" w:eastAsia="宋体" w:cs="宋体"/>
                                <w:spacing w:val="-13"/>
                                <w:lang w:eastAsia="zh-CN"/>
                              </w:rPr>
                            </w:pPr>
                            <w:r>
                              <w:rPr>
                                <w:rFonts w:ascii="宋体" w:hAnsi="宋体" w:eastAsia="宋体" w:cs="宋体"/>
                                <w:spacing w:val="17"/>
                                <w:lang w:eastAsia="zh-CN"/>
                              </w:rPr>
                              <w:t>签</w:t>
                            </w:r>
                            <w:r>
                              <w:rPr>
                                <w:rFonts w:hint="eastAsia" w:ascii="宋体" w:hAnsi="宋体" w:eastAsia="宋体" w:cs="宋体"/>
                                <w:spacing w:val="17"/>
                                <w:lang w:eastAsia="zh-CN"/>
                              </w:rPr>
                              <w:t>字</w:t>
                            </w:r>
                            <w:r>
                              <w:rPr>
                                <w:rFonts w:ascii="宋体" w:hAnsi="宋体" w:eastAsia="宋体" w:cs="宋体"/>
                                <w:spacing w:val="17"/>
                                <w:lang w:eastAsia="zh-CN"/>
                              </w:rPr>
                              <w:t>日期：</w:t>
                            </w:r>
                            <w:r>
                              <w:rPr>
                                <w:rFonts w:hint="eastAsia" w:ascii="宋体" w:hAnsi="宋体" w:eastAsia="宋体" w:cs="宋体"/>
                                <w:spacing w:val="17"/>
                                <w:lang w:eastAsia="zh-CN"/>
                              </w:rPr>
                              <w:t xml:space="preserve">   </w:t>
                            </w:r>
                            <w:r>
                              <w:rPr>
                                <w:rFonts w:ascii="宋体" w:hAnsi="宋体" w:eastAsia="宋体" w:cs="宋体"/>
                                <w:spacing w:val="17"/>
                                <w:lang w:eastAsia="zh-CN"/>
                              </w:rPr>
                              <w:t>年</w:t>
                            </w:r>
                            <w:r>
                              <w:rPr>
                                <w:rFonts w:hint="eastAsia" w:ascii="宋体" w:hAnsi="宋体" w:eastAsia="宋体" w:cs="宋体"/>
                                <w:spacing w:val="17"/>
                                <w:lang w:eastAsia="zh-CN"/>
                              </w:rPr>
                              <w:t xml:space="preserve">   </w:t>
                            </w:r>
                            <w:r>
                              <w:rPr>
                                <w:rFonts w:ascii="宋体" w:hAnsi="宋体" w:eastAsia="宋体" w:cs="宋体"/>
                                <w:spacing w:val="17"/>
                                <w:lang w:eastAsia="zh-CN"/>
                              </w:rPr>
                              <w:t>月</w:t>
                            </w:r>
                            <w:r>
                              <w:rPr>
                                <w:rFonts w:hint="eastAsia" w:ascii="宋体" w:hAnsi="宋体" w:eastAsia="宋体" w:cs="宋体"/>
                                <w:spacing w:val="17"/>
                                <w:lang w:eastAsia="zh-CN"/>
                              </w:rPr>
                              <w:t xml:space="preserve">   </w:t>
                            </w:r>
                            <w:r>
                              <w:rPr>
                                <w:rFonts w:ascii="宋体" w:hAnsi="宋体" w:eastAsia="宋体" w:cs="宋体"/>
                                <w:spacing w:val="17"/>
                                <w:lang w:eastAsia="zh-CN"/>
                              </w:rPr>
                              <w:t>日</w:t>
                            </w:r>
                          </w:p>
                        </w:txbxContent>
                      </wps:txbx>
                      <wps:bodyPr lIns="0" tIns="0" rIns="0" bIns="0" upright="1"/>
                    </wps:wsp>
                  </a:graphicData>
                </a:graphic>
              </wp:anchor>
            </w:drawing>
          </mc:Choice>
          <mc:Fallback>
            <w:pict>
              <v:shape id="_x0000_s1026" o:spid="_x0000_s1026" o:spt="202" type="#_x0000_t202" style="position:absolute;left:0pt;margin-left:259.15pt;margin-top:18.65pt;height:191.45pt;width:157.35pt;z-index:251660288;mso-width-relative:page;mso-height-relative:page;" filled="f" stroked="f" coordsize="21600,21600" o:gfxdata="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">
                <v:fill on="f" focussize="0,0"/>
                <v:stroke on="f"/>
                <v:imagedata o:title=""/>
                <o:lock v:ext="edit" aspectratio="f"/>
                <v:textbox inset="0mm,0mm,0mm,0mm">
                  <w:txbxContent>
                    <w:p>
                      <w:pPr>
                        <w:spacing w:before="19" w:line="219" w:lineRule="auto"/>
                        <w:ind w:left="20"/>
                        <w:rPr>
                          <w:rFonts w:ascii="宋体" w:hAnsi="宋体" w:eastAsia="宋体" w:cs="宋体"/>
                          <w:lang w:eastAsia="zh-CN"/>
                        </w:rPr>
                      </w:pPr>
                      <w:r>
                        <w:rPr>
                          <w:rFonts w:hint="eastAsia" w:ascii="宋体" w:hAnsi="宋体" w:eastAsia="宋体" w:cs="宋体"/>
                          <w:spacing w:val="9"/>
                          <w:lang w:eastAsia="zh-CN"/>
                        </w:rPr>
                        <w:t>乙</w:t>
                      </w:r>
                      <w:r>
                        <w:rPr>
                          <w:rFonts w:ascii="宋体" w:hAnsi="宋体" w:eastAsia="宋体" w:cs="宋体"/>
                          <w:spacing w:val="9"/>
                          <w:lang w:eastAsia="zh-CN"/>
                        </w:rPr>
                        <w:t>方(盖章)</w:t>
                      </w:r>
                    </w:p>
                    <w:p>
                      <w:pPr>
                        <w:spacing w:before="140" w:line="390" w:lineRule="exact"/>
                        <w:ind w:left="20"/>
                        <w:rPr>
                          <w:rFonts w:ascii="宋体" w:hAnsi="宋体" w:eastAsia="宋体" w:cs="宋体"/>
                          <w:spacing w:val="-8"/>
                          <w:position w:val="13"/>
                          <w:lang w:eastAsia="zh-CN"/>
                        </w:rPr>
                      </w:pPr>
                      <w:r>
                        <w:rPr>
                          <w:rFonts w:ascii="宋体" w:hAnsi="宋体" w:eastAsia="宋体" w:cs="宋体"/>
                          <w:spacing w:val="-8"/>
                          <w:position w:val="13"/>
                          <w:lang w:eastAsia="zh-CN"/>
                        </w:rPr>
                        <w:t>地址：</w:t>
                      </w:r>
                    </w:p>
                    <w:p>
                      <w:pPr>
                        <w:spacing w:before="140" w:line="390" w:lineRule="exact"/>
                        <w:ind w:left="20"/>
                        <w:rPr>
                          <w:rFonts w:ascii="宋体" w:hAnsi="宋体" w:eastAsia="宋体" w:cs="宋体"/>
                          <w:spacing w:val="-8"/>
                          <w:position w:val="13"/>
                          <w:lang w:eastAsia="zh-CN"/>
                        </w:rPr>
                      </w:pPr>
                    </w:p>
                    <w:p>
                      <w:pPr>
                        <w:spacing w:line="560" w:lineRule="exact"/>
                        <w:jc w:val="both"/>
                        <w:rPr>
                          <w:rFonts w:ascii="宋体" w:hAnsi="宋体" w:eastAsia="宋体" w:cs="宋体"/>
                          <w:spacing w:val="8"/>
                          <w:lang w:eastAsia="zh-CN"/>
                        </w:rPr>
                      </w:pPr>
                      <w:r>
                        <w:rPr>
                          <w:rFonts w:ascii="宋体" w:hAnsi="宋体" w:eastAsia="宋体" w:cs="宋体"/>
                          <w:spacing w:val="8"/>
                          <w:lang w:eastAsia="zh-CN"/>
                        </w:rPr>
                        <w:t>法人/授权代表(签字):</w:t>
                      </w:r>
                    </w:p>
                    <w:p>
                      <w:pPr>
                        <w:spacing w:line="560" w:lineRule="exact"/>
                        <w:jc w:val="both"/>
                        <w:rPr>
                          <w:rFonts w:ascii="宋体" w:hAnsi="宋体" w:eastAsia="宋体" w:cs="宋体"/>
                          <w:spacing w:val="8"/>
                          <w:lang w:eastAsia="zh-CN"/>
                        </w:rPr>
                      </w:pPr>
                    </w:p>
                    <w:p>
                      <w:pPr>
                        <w:spacing w:before="143" w:line="387" w:lineRule="exact"/>
                        <w:ind w:left="20"/>
                        <w:rPr>
                          <w:rFonts w:ascii="宋体" w:hAnsi="宋体" w:eastAsia="宋体" w:cs="宋体"/>
                          <w:lang w:eastAsia="zh-CN"/>
                        </w:rPr>
                      </w:pPr>
                      <w:r>
                        <w:rPr>
                          <w:rFonts w:ascii="宋体" w:hAnsi="宋体" w:eastAsia="宋体" w:cs="宋体"/>
                          <w:spacing w:val="-7"/>
                          <w:position w:val="13"/>
                          <w:lang w:eastAsia="zh-CN"/>
                        </w:rPr>
                        <w:t>电话：</w:t>
                      </w:r>
                    </w:p>
                    <w:p>
                      <w:pPr>
                        <w:spacing w:line="218" w:lineRule="auto"/>
                        <w:ind w:left="20"/>
                        <w:rPr>
                          <w:rFonts w:ascii="宋体" w:hAnsi="宋体" w:eastAsia="宋体" w:cs="宋体"/>
                          <w:spacing w:val="-13"/>
                          <w:lang w:eastAsia="zh-CN"/>
                        </w:rPr>
                      </w:pPr>
                      <w:r>
                        <w:rPr>
                          <w:rFonts w:ascii="宋体" w:hAnsi="宋体" w:eastAsia="宋体" w:cs="宋体"/>
                          <w:spacing w:val="-13"/>
                          <w:lang w:eastAsia="zh-CN"/>
                        </w:rPr>
                        <w:t>传真：</w:t>
                      </w:r>
                    </w:p>
                    <w:p>
                      <w:pPr>
                        <w:spacing w:line="218" w:lineRule="auto"/>
                        <w:ind w:left="20"/>
                        <w:rPr>
                          <w:rFonts w:ascii="宋体" w:hAnsi="宋体" w:eastAsia="宋体" w:cs="宋体"/>
                          <w:spacing w:val="-13"/>
                          <w:lang w:eastAsia="zh-CN"/>
                        </w:rPr>
                      </w:pPr>
                      <w:r>
                        <w:rPr>
                          <w:rFonts w:ascii="宋体" w:hAnsi="宋体" w:eastAsia="宋体" w:cs="宋体"/>
                          <w:spacing w:val="17"/>
                          <w:lang w:eastAsia="zh-CN"/>
                        </w:rPr>
                        <w:t>签</w:t>
                      </w:r>
                      <w:r>
                        <w:rPr>
                          <w:rFonts w:hint="eastAsia" w:ascii="宋体" w:hAnsi="宋体" w:eastAsia="宋体" w:cs="宋体"/>
                          <w:spacing w:val="17"/>
                          <w:lang w:eastAsia="zh-CN"/>
                        </w:rPr>
                        <w:t>字</w:t>
                      </w:r>
                      <w:r>
                        <w:rPr>
                          <w:rFonts w:ascii="宋体" w:hAnsi="宋体" w:eastAsia="宋体" w:cs="宋体"/>
                          <w:spacing w:val="17"/>
                          <w:lang w:eastAsia="zh-CN"/>
                        </w:rPr>
                        <w:t>日期：</w:t>
                      </w:r>
                      <w:r>
                        <w:rPr>
                          <w:rFonts w:hint="eastAsia" w:ascii="宋体" w:hAnsi="宋体" w:eastAsia="宋体" w:cs="宋体"/>
                          <w:spacing w:val="17"/>
                          <w:lang w:eastAsia="zh-CN"/>
                        </w:rPr>
                        <w:t xml:space="preserve">   </w:t>
                      </w:r>
                      <w:r>
                        <w:rPr>
                          <w:rFonts w:ascii="宋体" w:hAnsi="宋体" w:eastAsia="宋体" w:cs="宋体"/>
                          <w:spacing w:val="17"/>
                          <w:lang w:eastAsia="zh-CN"/>
                        </w:rPr>
                        <w:t>年</w:t>
                      </w:r>
                      <w:r>
                        <w:rPr>
                          <w:rFonts w:hint="eastAsia" w:ascii="宋体" w:hAnsi="宋体" w:eastAsia="宋体" w:cs="宋体"/>
                          <w:spacing w:val="17"/>
                          <w:lang w:eastAsia="zh-CN"/>
                        </w:rPr>
                        <w:t xml:space="preserve">   </w:t>
                      </w:r>
                      <w:r>
                        <w:rPr>
                          <w:rFonts w:ascii="宋体" w:hAnsi="宋体" w:eastAsia="宋体" w:cs="宋体"/>
                          <w:spacing w:val="17"/>
                          <w:lang w:eastAsia="zh-CN"/>
                        </w:rPr>
                        <w:t>月</w:t>
                      </w:r>
                      <w:r>
                        <w:rPr>
                          <w:rFonts w:hint="eastAsia" w:ascii="宋体" w:hAnsi="宋体" w:eastAsia="宋体" w:cs="宋体"/>
                          <w:spacing w:val="17"/>
                          <w:lang w:eastAsia="zh-CN"/>
                        </w:rPr>
                        <w:t xml:space="preserve">   </w:t>
                      </w:r>
                      <w:r>
                        <w:rPr>
                          <w:rFonts w:ascii="宋体" w:hAnsi="宋体" w:eastAsia="宋体" w:cs="宋体"/>
                          <w:spacing w:val="17"/>
                          <w:lang w:eastAsia="zh-CN"/>
                        </w:rPr>
                        <w:t>日</w:t>
                      </w:r>
                    </w:p>
                  </w:txbxContent>
                </v:textbox>
              </v:shape>
            </w:pict>
          </mc:Fallback>
        </mc:AlternateContent>
      </w:r>
      <w:r>
        <w:rPr>
          <w:rFonts w:hint="eastAsia" w:ascii="宋体" w:hAnsi="宋体" w:cs="宋体"/>
          <w:highlight w:val="none"/>
          <w:lang w:val="en-US" w:eastAsia="zh-CN"/>
        </w:rPr>
        <w:t xml:space="preserve"> </w:t>
      </w:r>
    </w:p>
    <w:p>
      <w:pPr>
        <w:pStyle w:val="15"/>
        <w:rPr>
          <w:rFonts w:hint="eastAsia" w:ascii="宋体" w:hAnsi="宋体" w:cs="宋体"/>
          <w:highlight w:val="none"/>
        </w:rPr>
      </w:pPr>
    </w:p>
    <w:p>
      <w:pPr>
        <w:pStyle w:val="14"/>
        <w:rPr>
          <w:rFonts w:hint="eastAsia" w:ascii="宋体" w:hAnsi="宋体" w:cs="宋体"/>
          <w:highlight w:val="none"/>
        </w:rPr>
      </w:pPr>
    </w:p>
    <w:p>
      <w:pPr>
        <w:pStyle w:val="15"/>
        <w:rPr>
          <w:rFonts w:hint="eastAsia" w:ascii="宋体" w:hAnsi="宋体" w:cs="宋体"/>
          <w:highlight w:val="none"/>
        </w:rPr>
      </w:pPr>
    </w:p>
    <w:p>
      <w:pPr>
        <w:pStyle w:val="14"/>
        <w:rPr>
          <w:rFonts w:hint="eastAsia" w:ascii="宋体" w:hAnsi="宋体" w:cs="宋体"/>
          <w:highlight w:val="none"/>
        </w:rPr>
      </w:pPr>
    </w:p>
    <w:p>
      <w:pPr>
        <w:pStyle w:val="15"/>
        <w:rPr>
          <w:rFonts w:hint="eastAsia" w:ascii="宋体" w:hAnsi="宋体" w:cs="宋体"/>
          <w:highlight w:val="none"/>
        </w:rPr>
      </w:pPr>
    </w:p>
    <w:p>
      <w:pPr>
        <w:pStyle w:val="14"/>
        <w:rPr>
          <w:rFonts w:hint="eastAsia" w:ascii="宋体" w:hAnsi="宋体" w:cs="宋体"/>
          <w:highlight w:val="none"/>
        </w:rPr>
      </w:pPr>
    </w:p>
    <w:p>
      <w:pPr>
        <w:pStyle w:val="15"/>
        <w:rPr>
          <w:rFonts w:hint="eastAsia" w:ascii="宋体" w:hAnsi="宋体" w:cs="宋体"/>
          <w:highlight w:val="none"/>
        </w:rPr>
      </w:pPr>
    </w:p>
    <w:p>
      <w:pPr>
        <w:pStyle w:val="14"/>
        <w:rPr>
          <w:rFonts w:hint="eastAsia" w:ascii="宋体" w:hAnsi="宋体" w:cs="宋体"/>
          <w:highlight w:val="none"/>
        </w:rPr>
      </w:pPr>
    </w:p>
    <w:p>
      <w:pPr>
        <w:pStyle w:val="15"/>
        <w:rPr>
          <w:rFonts w:hint="eastAsia" w:ascii="宋体" w:hAnsi="宋体" w:cs="宋体"/>
          <w:highlight w:val="none"/>
        </w:rPr>
      </w:pPr>
    </w:p>
    <w:p>
      <w:pPr>
        <w:pStyle w:val="14"/>
        <w:rPr>
          <w:rFonts w:hint="eastAsia" w:ascii="宋体" w:hAnsi="宋体" w:cs="宋体"/>
          <w:highlight w:val="none"/>
        </w:rPr>
      </w:pPr>
    </w:p>
    <w:p>
      <w:pPr>
        <w:pStyle w:val="15"/>
        <w:rPr>
          <w:rFonts w:hint="eastAsia" w:ascii="宋体" w:hAnsi="宋体" w:cs="宋体"/>
          <w:highlight w:val="none"/>
        </w:rPr>
      </w:pPr>
    </w:p>
    <w:p>
      <w:pPr>
        <w:pStyle w:val="14"/>
        <w:rPr>
          <w:rFonts w:hint="eastAsia" w:ascii="宋体" w:hAnsi="宋体" w:cs="宋体"/>
          <w:highlight w:val="none"/>
        </w:rPr>
      </w:pPr>
    </w:p>
    <w:p>
      <w:pPr>
        <w:pStyle w:val="15"/>
        <w:rPr>
          <w:rFonts w:hint="eastAsia" w:ascii="宋体" w:hAnsi="宋体" w:cs="宋体"/>
          <w:highlight w:val="none"/>
        </w:rPr>
      </w:pPr>
    </w:p>
    <w:p>
      <w:pPr>
        <w:pStyle w:val="14"/>
        <w:rPr>
          <w:rFonts w:hint="eastAsia"/>
          <w:highlight w:val="none"/>
        </w:rPr>
      </w:pPr>
    </w:p>
    <w:p>
      <w:pPr>
        <w:numPr>
          <w:ilvl w:val="0"/>
          <w:numId w:val="0"/>
        </w:numPr>
        <w:kinsoku w:val="0"/>
        <w:autoSpaceDE w:val="0"/>
        <w:autoSpaceDN w:val="0"/>
        <w:adjustRightInd w:val="0"/>
        <w:snapToGrid w:val="0"/>
        <w:spacing w:before="97" w:line="783" w:lineRule="exact"/>
        <w:jc w:val="left"/>
        <w:textAlignment w:val="baseline"/>
        <w:rPr>
          <w:rFonts w:hint="eastAsia" w:ascii="宋体" w:hAnsi="宋体" w:eastAsia="宋体" w:cs="宋体"/>
          <w:b/>
          <w:bCs/>
          <w:spacing w:val="-2"/>
          <w:position w:val="36"/>
          <w:sz w:val="30"/>
          <w:szCs w:val="30"/>
          <w:highlight w:val="none"/>
        </w:rPr>
        <w:sectPr>
          <w:footerReference r:id="rId35" w:type="default"/>
          <w:pgSz w:w="11910" w:h="16840"/>
          <w:pgMar w:top="1431" w:right="1786" w:bottom="1171" w:left="1786" w:header="0" w:footer="973" w:gutter="0"/>
          <w:pgNumType w:fmt="decimal"/>
          <w:cols w:space="720" w:num="1"/>
        </w:sectPr>
      </w:pPr>
    </w:p>
    <w:p>
      <w:pPr>
        <w:pStyle w:val="3"/>
        <w:bidi w:val="0"/>
        <w:jc w:val="center"/>
        <w:rPr>
          <w:rFonts w:hint="eastAsia"/>
          <w:highlight w:val="none"/>
          <w:lang w:val="en-US" w:eastAsia="zh-CN"/>
        </w:rPr>
      </w:pPr>
      <w:bookmarkStart w:id="14" w:name="bookmark5"/>
      <w:bookmarkEnd w:id="14"/>
      <w:bookmarkStart w:id="15" w:name="bookmark4"/>
      <w:bookmarkEnd w:id="15"/>
      <w:bookmarkStart w:id="16" w:name="_Toc30835"/>
      <w:r>
        <w:rPr>
          <w:rFonts w:hint="eastAsia"/>
          <w:highlight w:val="none"/>
          <w:lang w:val="en-US" w:eastAsia="zh-CN"/>
        </w:rPr>
        <w:t>第五章 招标项目资料表</w:t>
      </w:r>
      <w:bookmarkEnd w:id="16"/>
    </w:p>
    <w:p>
      <w:pPr>
        <w:spacing w:before="176" w:line="219" w:lineRule="auto"/>
        <w:ind w:left="355"/>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本表是对“供应商须知”的具体补充和修改，如有与前面矛盾，应</w:t>
      </w:r>
      <w:r>
        <w:rPr>
          <w:rFonts w:hint="eastAsia" w:ascii="宋体" w:hAnsi="宋体" w:eastAsia="宋体" w:cs="宋体"/>
          <w:spacing w:val="-2"/>
          <w:sz w:val="24"/>
          <w:szCs w:val="24"/>
          <w:highlight w:val="none"/>
        </w:rPr>
        <w:t>以本资料表为准。</w:t>
      </w:r>
    </w:p>
    <w:p>
      <w:pPr>
        <w:spacing w:line="61" w:lineRule="exact"/>
        <w:rPr>
          <w:rFonts w:hint="eastAsia" w:ascii="宋体" w:hAnsi="宋体" w:eastAsia="宋体" w:cs="宋体"/>
          <w:highlight w:val="none"/>
        </w:rPr>
      </w:pPr>
    </w:p>
    <w:tbl>
      <w:tblPr>
        <w:tblStyle w:val="30"/>
        <w:tblW w:w="970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765"/>
        <w:gridCol w:w="894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91" w:hRule="atLeast"/>
        </w:trPr>
        <w:tc>
          <w:tcPr>
            <w:tcW w:w="765" w:type="dxa"/>
            <w:vAlign w:val="top"/>
          </w:tcPr>
          <w:p>
            <w:pPr>
              <w:pStyle w:val="31"/>
              <w:spacing w:before="121" w:line="219" w:lineRule="auto"/>
              <w:ind w:left="48"/>
              <w:rPr>
                <w:rFonts w:hint="eastAsia" w:ascii="宋体" w:hAnsi="宋体" w:eastAsia="宋体" w:cs="宋体"/>
                <w:sz w:val="24"/>
                <w:szCs w:val="24"/>
                <w:highlight w:val="none"/>
              </w:rPr>
            </w:pPr>
            <w:r>
              <w:rPr>
                <w:rFonts w:hint="eastAsia" w:ascii="宋体" w:hAnsi="宋体" w:eastAsia="宋体" w:cs="宋体"/>
                <w:b/>
                <w:bCs/>
                <w:spacing w:val="-6"/>
                <w:sz w:val="24"/>
                <w:szCs w:val="24"/>
                <w:highlight w:val="none"/>
              </w:rPr>
              <w:t>条款</w:t>
            </w:r>
            <w:r>
              <w:rPr>
                <w:rFonts w:hint="eastAsia" w:ascii="宋体" w:hAnsi="宋体" w:eastAsia="宋体" w:cs="宋体"/>
                <w:b/>
                <w:bCs/>
                <w:spacing w:val="-3"/>
                <w:sz w:val="24"/>
                <w:szCs w:val="24"/>
                <w:highlight w:val="none"/>
              </w:rPr>
              <w:t>号</w:t>
            </w:r>
          </w:p>
        </w:tc>
        <w:tc>
          <w:tcPr>
            <w:tcW w:w="8944" w:type="dxa"/>
            <w:vAlign w:val="top"/>
          </w:tcPr>
          <w:p>
            <w:pPr>
              <w:spacing w:line="281" w:lineRule="auto"/>
              <w:rPr>
                <w:rFonts w:hint="eastAsia" w:ascii="宋体" w:hAnsi="宋体" w:eastAsia="宋体" w:cs="宋体"/>
                <w:sz w:val="21"/>
                <w:highlight w:val="none"/>
              </w:rPr>
            </w:pPr>
          </w:p>
          <w:p>
            <w:pPr>
              <w:pStyle w:val="31"/>
              <w:spacing w:before="78" w:line="219" w:lineRule="auto"/>
              <w:ind w:left="3984"/>
              <w:rPr>
                <w:rFonts w:hint="eastAsia" w:ascii="宋体" w:hAnsi="宋体" w:eastAsia="宋体" w:cs="宋体"/>
                <w:sz w:val="24"/>
                <w:szCs w:val="24"/>
                <w:highlight w:val="none"/>
              </w:rPr>
            </w:pPr>
            <w:r>
              <w:rPr>
                <w:rFonts w:hint="eastAsia" w:ascii="宋体" w:hAnsi="宋体" w:eastAsia="宋体" w:cs="宋体"/>
                <w:b/>
                <w:bCs/>
                <w:spacing w:val="-22"/>
                <w:sz w:val="24"/>
                <w:szCs w:val="24"/>
                <w:highlight w:val="none"/>
              </w:rPr>
              <w:t>内</w:t>
            </w:r>
            <w:r>
              <w:rPr>
                <w:rFonts w:hint="eastAsia" w:ascii="宋体" w:hAnsi="宋体" w:eastAsia="宋体" w:cs="宋体"/>
                <w:spacing w:val="11"/>
                <w:sz w:val="24"/>
                <w:szCs w:val="24"/>
                <w:highlight w:val="none"/>
              </w:rPr>
              <w:t xml:space="preserve">     </w:t>
            </w:r>
            <w:r>
              <w:rPr>
                <w:rFonts w:hint="eastAsia" w:ascii="宋体" w:hAnsi="宋体" w:eastAsia="宋体" w:cs="宋体"/>
                <w:b/>
                <w:bCs/>
                <w:spacing w:val="-22"/>
                <w:sz w:val="24"/>
                <w:szCs w:val="24"/>
                <w:highlight w:val="none"/>
              </w:rPr>
              <w:t>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9709" w:type="dxa"/>
            <w:gridSpan w:val="2"/>
            <w:vAlign w:val="top"/>
          </w:tcPr>
          <w:p>
            <w:pPr>
              <w:pStyle w:val="31"/>
              <w:spacing w:before="187" w:line="219" w:lineRule="auto"/>
              <w:ind w:left="4008"/>
              <w:rPr>
                <w:rFonts w:hint="eastAsia" w:ascii="宋体" w:hAnsi="宋体" w:eastAsia="宋体" w:cs="宋体"/>
                <w:sz w:val="24"/>
                <w:szCs w:val="24"/>
                <w:highlight w:val="none"/>
              </w:rPr>
            </w:pPr>
            <w:r>
              <w:rPr>
                <w:rFonts w:hint="eastAsia" w:ascii="宋体" w:hAnsi="宋体" w:eastAsia="宋体" w:cs="宋体"/>
                <w:b/>
                <w:bCs/>
                <w:spacing w:val="-9"/>
                <w:sz w:val="24"/>
                <w:szCs w:val="24"/>
                <w:highlight w:val="none"/>
              </w:rPr>
              <w:t>说</w:t>
            </w:r>
            <w:r>
              <w:rPr>
                <w:rFonts w:hint="eastAsia" w:ascii="宋体" w:hAnsi="宋体" w:eastAsia="宋体" w:cs="宋体"/>
                <w:spacing w:val="6"/>
                <w:sz w:val="24"/>
                <w:szCs w:val="24"/>
                <w:highlight w:val="none"/>
              </w:rPr>
              <w:t xml:space="preserve">          </w:t>
            </w:r>
            <w:r>
              <w:rPr>
                <w:rFonts w:hint="eastAsia" w:ascii="宋体" w:hAnsi="宋体" w:eastAsia="宋体" w:cs="宋体"/>
                <w:b/>
                <w:bCs/>
                <w:spacing w:val="-9"/>
                <w:sz w:val="24"/>
                <w:szCs w:val="24"/>
                <w:highlight w:val="none"/>
              </w:rPr>
              <w:t>明</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trPr>
        <w:tc>
          <w:tcPr>
            <w:tcW w:w="765" w:type="dxa"/>
            <w:vAlign w:val="top"/>
          </w:tcPr>
          <w:p>
            <w:pPr>
              <w:pStyle w:val="31"/>
              <w:spacing w:before="241" w:line="184" w:lineRule="auto"/>
              <w:ind w:left="224"/>
              <w:rPr>
                <w:rFonts w:hint="eastAsia" w:ascii="宋体" w:hAnsi="宋体" w:eastAsia="宋体" w:cs="宋体"/>
                <w:sz w:val="24"/>
                <w:szCs w:val="24"/>
                <w:highlight w:val="none"/>
              </w:rPr>
            </w:pPr>
            <w:r>
              <w:rPr>
                <w:rFonts w:hint="eastAsia" w:ascii="宋体" w:hAnsi="宋体" w:eastAsia="宋体" w:cs="宋体"/>
                <w:sz w:val="24"/>
                <w:szCs w:val="24"/>
                <w:highlight w:val="none"/>
              </w:rPr>
              <w:t>1</w:t>
            </w:r>
          </w:p>
        </w:tc>
        <w:tc>
          <w:tcPr>
            <w:tcW w:w="8944" w:type="dxa"/>
            <w:vAlign w:val="top"/>
          </w:tcPr>
          <w:p>
            <w:pPr>
              <w:pStyle w:val="31"/>
              <w:spacing w:before="179" w:line="219" w:lineRule="auto"/>
              <w:ind w:left="6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项目名称：</w:t>
            </w:r>
            <w:r>
              <w:rPr>
                <w:rFonts w:hint="eastAsia" w:ascii="宋体" w:hAnsi="宋体" w:eastAsia="宋体" w:cs="宋体"/>
                <w:spacing w:val="1"/>
                <w:sz w:val="24"/>
                <w:szCs w:val="24"/>
                <w:highlight w:val="none"/>
                <w:lang w:eastAsia="zh-CN"/>
              </w:rPr>
              <w:t>河南省南水北调渠首生态环境监测应急中心丹江口库区及上游重金属在线监测运行维护项目</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0" w:hRule="atLeast"/>
        </w:trPr>
        <w:tc>
          <w:tcPr>
            <w:tcW w:w="765" w:type="dxa"/>
            <w:vAlign w:val="top"/>
          </w:tcPr>
          <w:p>
            <w:pPr>
              <w:pStyle w:val="31"/>
              <w:spacing w:before="253" w:line="183" w:lineRule="auto"/>
              <w:ind w:left="224"/>
              <w:rPr>
                <w:rFonts w:hint="eastAsia" w:ascii="宋体" w:hAnsi="宋体" w:eastAsia="宋体" w:cs="宋体"/>
                <w:sz w:val="24"/>
                <w:szCs w:val="24"/>
                <w:highlight w:val="none"/>
              </w:rPr>
            </w:pPr>
            <w:r>
              <w:rPr>
                <w:rFonts w:hint="eastAsia" w:ascii="宋体" w:hAnsi="宋体" w:eastAsia="宋体" w:cs="宋体"/>
                <w:sz w:val="24"/>
                <w:szCs w:val="24"/>
                <w:highlight w:val="none"/>
              </w:rPr>
              <w:t>2</w:t>
            </w:r>
          </w:p>
        </w:tc>
        <w:tc>
          <w:tcPr>
            <w:tcW w:w="8944" w:type="dxa"/>
            <w:vAlign w:val="top"/>
          </w:tcPr>
          <w:p>
            <w:pPr>
              <w:pStyle w:val="31"/>
              <w:spacing w:before="190" w:line="219" w:lineRule="auto"/>
              <w:ind w:left="61"/>
              <w:rPr>
                <w:rFonts w:hint="eastAsia" w:ascii="宋体" w:hAnsi="宋体" w:eastAsia="宋体" w:cs="宋体"/>
                <w:sz w:val="24"/>
                <w:szCs w:val="24"/>
                <w:highlight w:val="none"/>
                <w:lang w:eastAsia="zh-CN"/>
              </w:rPr>
            </w:pPr>
            <w:r>
              <w:rPr>
                <w:rFonts w:hint="eastAsia" w:ascii="宋体" w:hAnsi="宋体" w:eastAsia="宋体" w:cs="宋体"/>
                <w:sz w:val="24"/>
                <w:szCs w:val="24"/>
                <w:highlight w:val="none"/>
              </w:rPr>
              <w:t xml:space="preserve">项目编号：豫财磋商采购-2024-146 </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7" w:hRule="atLeast"/>
        </w:trPr>
        <w:tc>
          <w:tcPr>
            <w:tcW w:w="765" w:type="dxa"/>
            <w:vAlign w:val="top"/>
          </w:tcPr>
          <w:p>
            <w:pPr>
              <w:spacing w:line="247" w:lineRule="auto"/>
              <w:rPr>
                <w:rFonts w:hint="eastAsia" w:ascii="宋体" w:hAnsi="宋体" w:eastAsia="宋体" w:cs="宋体"/>
                <w:sz w:val="21"/>
                <w:highlight w:val="none"/>
              </w:rPr>
            </w:pPr>
          </w:p>
          <w:p>
            <w:pPr>
              <w:spacing w:line="248" w:lineRule="auto"/>
              <w:rPr>
                <w:rFonts w:hint="eastAsia" w:ascii="宋体" w:hAnsi="宋体" w:eastAsia="宋体" w:cs="宋体"/>
                <w:sz w:val="21"/>
                <w:highlight w:val="none"/>
              </w:rPr>
            </w:pPr>
          </w:p>
          <w:p>
            <w:pPr>
              <w:spacing w:line="248" w:lineRule="auto"/>
              <w:rPr>
                <w:rFonts w:hint="eastAsia" w:ascii="宋体" w:hAnsi="宋体" w:eastAsia="宋体" w:cs="宋体"/>
                <w:sz w:val="21"/>
                <w:highlight w:val="none"/>
              </w:rPr>
            </w:pPr>
          </w:p>
          <w:p>
            <w:pPr>
              <w:spacing w:line="248" w:lineRule="auto"/>
              <w:rPr>
                <w:rFonts w:hint="eastAsia" w:ascii="宋体" w:hAnsi="宋体" w:eastAsia="宋体" w:cs="宋体"/>
                <w:sz w:val="21"/>
                <w:highlight w:val="none"/>
              </w:rPr>
            </w:pPr>
          </w:p>
          <w:p>
            <w:pPr>
              <w:spacing w:line="248" w:lineRule="auto"/>
              <w:rPr>
                <w:rFonts w:hint="eastAsia" w:ascii="宋体" w:hAnsi="宋体" w:eastAsia="宋体" w:cs="宋体"/>
                <w:sz w:val="21"/>
                <w:highlight w:val="none"/>
              </w:rPr>
            </w:pPr>
          </w:p>
          <w:p>
            <w:pPr>
              <w:spacing w:line="248" w:lineRule="auto"/>
              <w:rPr>
                <w:rFonts w:hint="eastAsia" w:ascii="宋体" w:hAnsi="宋体" w:eastAsia="宋体" w:cs="宋体"/>
                <w:sz w:val="21"/>
                <w:highlight w:val="none"/>
              </w:rPr>
            </w:pPr>
          </w:p>
          <w:p>
            <w:pPr>
              <w:spacing w:line="248" w:lineRule="auto"/>
              <w:rPr>
                <w:rFonts w:hint="eastAsia" w:ascii="宋体" w:hAnsi="宋体" w:eastAsia="宋体" w:cs="宋体"/>
                <w:sz w:val="21"/>
                <w:highlight w:val="none"/>
              </w:rPr>
            </w:pPr>
          </w:p>
          <w:p>
            <w:pPr>
              <w:pStyle w:val="31"/>
              <w:spacing w:before="78" w:line="183" w:lineRule="auto"/>
              <w:ind w:left="224"/>
              <w:rPr>
                <w:rFonts w:hint="eastAsia" w:ascii="宋体" w:hAnsi="宋体" w:eastAsia="宋体" w:cs="宋体"/>
                <w:sz w:val="24"/>
                <w:szCs w:val="24"/>
                <w:highlight w:val="none"/>
              </w:rPr>
            </w:pPr>
            <w:r>
              <w:rPr>
                <w:rFonts w:hint="eastAsia" w:ascii="宋体" w:hAnsi="宋体" w:eastAsia="宋体" w:cs="宋体"/>
                <w:sz w:val="24"/>
                <w:szCs w:val="24"/>
                <w:highlight w:val="none"/>
              </w:rPr>
              <w:t>3</w:t>
            </w:r>
          </w:p>
        </w:tc>
        <w:tc>
          <w:tcPr>
            <w:tcW w:w="8944" w:type="dxa"/>
            <w:vAlign w:val="top"/>
          </w:tcPr>
          <w:p>
            <w:pPr>
              <w:pStyle w:val="31"/>
              <w:spacing w:before="169" w:line="225" w:lineRule="auto"/>
              <w:ind w:left="61"/>
              <w:rPr>
                <w:rFonts w:hint="eastAsia" w:ascii="宋体" w:hAnsi="宋体" w:eastAsia="宋体" w:cs="宋体"/>
                <w:sz w:val="24"/>
                <w:szCs w:val="24"/>
                <w:highlight w:val="none"/>
              </w:rPr>
            </w:pPr>
            <w:r>
              <w:rPr>
                <w:rFonts w:hint="eastAsia" w:ascii="宋体" w:hAnsi="宋体" w:eastAsia="宋体" w:cs="宋体"/>
                <w:sz w:val="24"/>
                <w:szCs w:val="24"/>
                <w:highlight w:val="none"/>
              </w:rPr>
              <w:t>1、采购人信息</w:t>
            </w:r>
          </w:p>
          <w:p>
            <w:pPr>
              <w:pStyle w:val="31"/>
              <w:spacing w:before="169" w:line="225" w:lineRule="auto"/>
              <w:ind w:left="61"/>
              <w:rPr>
                <w:rFonts w:hint="eastAsia" w:ascii="宋体" w:hAnsi="宋体" w:eastAsia="宋体" w:cs="宋体"/>
                <w:sz w:val="24"/>
                <w:szCs w:val="24"/>
                <w:highlight w:val="none"/>
              </w:rPr>
            </w:pPr>
            <w:r>
              <w:rPr>
                <w:rFonts w:hint="eastAsia" w:ascii="宋体" w:hAnsi="宋体" w:eastAsia="宋体" w:cs="宋体"/>
                <w:sz w:val="24"/>
                <w:szCs w:val="24"/>
                <w:highlight w:val="none"/>
              </w:rPr>
              <w:t>采购人：河南省南水北调渠首生态环境监测应急中心</w:t>
            </w:r>
          </w:p>
          <w:p>
            <w:pPr>
              <w:pStyle w:val="31"/>
              <w:spacing w:before="169" w:line="225" w:lineRule="auto"/>
              <w:ind w:left="61"/>
              <w:rPr>
                <w:rFonts w:hint="eastAsia" w:ascii="宋体" w:hAnsi="宋体" w:eastAsia="宋体" w:cs="宋体"/>
                <w:sz w:val="24"/>
                <w:szCs w:val="24"/>
                <w:highlight w:val="none"/>
              </w:rPr>
            </w:pPr>
            <w:r>
              <w:rPr>
                <w:rFonts w:hint="eastAsia" w:ascii="宋体" w:hAnsi="宋体" w:eastAsia="宋体" w:cs="宋体"/>
                <w:sz w:val="24"/>
                <w:szCs w:val="24"/>
                <w:highlight w:val="none"/>
              </w:rPr>
              <w:t xml:space="preserve">联系人：许老师               联系方式：0377-69531607 </w:t>
            </w:r>
          </w:p>
          <w:p>
            <w:pPr>
              <w:pStyle w:val="31"/>
              <w:spacing w:before="169" w:line="225" w:lineRule="auto"/>
              <w:ind w:left="61"/>
              <w:rPr>
                <w:rFonts w:hint="eastAsia" w:ascii="宋体" w:hAnsi="宋体" w:eastAsia="宋体" w:cs="宋体"/>
                <w:sz w:val="24"/>
                <w:szCs w:val="24"/>
                <w:highlight w:val="none"/>
              </w:rPr>
            </w:pPr>
            <w:r>
              <w:rPr>
                <w:rFonts w:hint="eastAsia" w:ascii="宋体" w:hAnsi="宋体" w:eastAsia="宋体" w:cs="宋体"/>
                <w:sz w:val="24"/>
                <w:szCs w:val="24"/>
                <w:highlight w:val="none"/>
              </w:rPr>
              <w:t>地址：河南省南阳市</w:t>
            </w:r>
          </w:p>
          <w:p>
            <w:pPr>
              <w:pStyle w:val="31"/>
              <w:spacing w:before="169" w:line="225" w:lineRule="auto"/>
              <w:ind w:left="61"/>
              <w:rPr>
                <w:rFonts w:hint="eastAsia" w:ascii="宋体" w:hAnsi="宋体" w:eastAsia="宋体" w:cs="宋体"/>
                <w:sz w:val="24"/>
                <w:szCs w:val="24"/>
                <w:highlight w:val="none"/>
              </w:rPr>
            </w:pPr>
            <w:r>
              <w:rPr>
                <w:rFonts w:hint="eastAsia" w:ascii="宋体" w:hAnsi="宋体" w:eastAsia="宋体" w:cs="宋体"/>
                <w:sz w:val="24"/>
                <w:szCs w:val="24"/>
                <w:highlight w:val="none"/>
              </w:rPr>
              <w:t>2.采购代理机构信息(如有)</w:t>
            </w:r>
          </w:p>
          <w:p>
            <w:pPr>
              <w:pStyle w:val="31"/>
              <w:spacing w:before="169" w:line="225" w:lineRule="auto"/>
              <w:ind w:left="61"/>
              <w:rPr>
                <w:rFonts w:hint="eastAsia" w:ascii="宋体" w:hAnsi="宋体" w:eastAsia="宋体" w:cs="宋体"/>
                <w:sz w:val="24"/>
                <w:szCs w:val="24"/>
                <w:highlight w:val="none"/>
              </w:rPr>
            </w:pPr>
            <w:r>
              <w:rPr>
                <w:rFonts w:hint="eastAsia" w:ascii="宋体" w:hAnsi="宋体" w:eastAsia="宋体" w:cs="宋体"/>
                <w:sz w:val="24"/>
                <w:szCs w:val="24"/>
                <w:highlight w:val="none"/>
              </w:rPr>
              <w:t>名称：河南省亿达工程管理咨询有限公司</w:t>
            </w:r>
          </w:p>
          <w:p>
            <w:pPr>
              <w:pStyle w:val="31"/>
              <w:spacing w:before="169" w:line="225" w:lineRule="auto"/>
              <w:ind w:left="61"/>
              <w:rPr>
                <w:rFonts w:hint="eastAsia" w:ascii="宋体" w:hAnsi="宋体" w:eastAsia="宋体" w:cs="宋体"/>
                <w:sz w:val="24"/>
                <w:szCs w:val="24"/>
                <w:highlight w:val="none"/>
              </w:rPr>
            </w:pPr>
            <w:r>
              <w:rPr>
                <w:rFonts w:hint="eastAsia" w:ascii="宋体" w:hAnsi="宋体" w:eastAsia="宋体" w:cs="宋体"/>
                <w:sz w:val="24"/>
                <w:szCs w:val="24"/>
                <w:highlight w:val="none"/>
              </w:rPr>
              <w:t>地址：郑州市玉凤路与郑汴路交叉口南500米环球升龙大厦26楼</w:t>
            </w:r>
          </w:p>
          <w:p>
            <w:pPr>
              <w:pStyle w:val="31"/>
              <w:spacing w:before="169" w:line="225" w:lineRule="auto"/>
              <w:ind w:left="61"/>
              <w:rPr>
                <w:rFonts w:hint="eastAsia" w:ascii="宋体" w:hAnsi="宋体" w:eastAsia="宋体" w:cs="宋体"/>
                <w:sz w:val="24"/>
                <w:szCs w:val="24"/>
                <w:highlight w:val="none"/>
              </w:rPr>
            </w:pPr>
            <w:r>
              <w:rPr>
                <w:rFonts w:hint="eastAsia" w:ascii="宋体" w:hAnsi="宋体" w:eastAsia="宋体" w:cs="宋体"/>
                <w:sz w:val="24"/>
                <w:szCs w:val="24"/>
                <w:highlight w:val="none"/>
              </w:rPr>
              <w:t>联系人：郭森林       联系方式：15839579715</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65" w:type="dxa"/>
            <w:vAlign w:val="top"/>
          </w:tcPr>
          <w:p>
            <w:pPr>
              <w:spacing w:line="242" w:lineRule="auto"/>
              <w:rPr>
                <w:rFonts w:hint="eastAsia" w:ascii="宋体" w:hAnsi="宋体" w:eastAsia="宋体" w:cs="宋体"/>
                <w:sz w:val="21"/>
                <w:highlight w:val="none"/>
              </w:rPr>
            </w:pPr>
          </w:p>
          <w:p>
            <w:pPr>
              <w:spacing w:line="242" w:lineRule="auto"/>
              <w:rPr>
                <w:rFonts w:hint="eastAsia" w:ascii="宋体" w:hAnsi="宋体" w:eastAsia="宋体" w:cs="宋体"/>
                <w:sz w:val="21"/>
                <w:highlight w:val="none"/>
              </w:rPr>
            </w:pPr>
          </w:p>
          <w:p>
            <w:pPr>
              <w:spacing w:line="242" w:lineRule="auto"/>
              <w:rPr>
                <w:rFonts w:hint="eastAsia" w:ascii="宋体" w:hAnsi="宋体" w:eastAsia="宋体" w:cs="宋体"/>
                <w:sz w:val="21"/>
                <w:highlight w:val="none"/>
              </w:rPr>
            </w:pPr>
          </w:p>
          <w:p>
            <w:pPr>
              <w:spacing w:line="242" w:lineRule="auto"/>
              <w:rPr>
                <w:rFonts w:hint="eastAsia" w:ascii="宋体" w:hAnsi="宋体" w:eastAsia="宋体" w:cs="宋体"/>
                <w:sz w:val="21"/>
                <w:highlight w:val="none"/>
              </w:rPr>
            </w:pPr>
          </w:p>
          <w:p>
            <w:pPr>
              <w:spacing w:line="242" w:lineRule="auto"/>
              <w:rPr>
                <w:rFonts w:hint="eastAsia" w:ascii="宋体" w:hAnsi="宋体" w:eastAsia="宋体" w:cs="宋体"/>
                <w:sz w:val="21"/>
                <w:highlight w:val="none"/>
              </w:rPr>
            </w:pPr>
          </w:p>
          <w:p>
            <w:pPr>
              <w:spacing w:line="242" w:lineRule="auto"/>
              <w:rPr>
                <w:rFonts w:hint="eastAsia" w:ascii="宋体" w:hAnsi="宋体" w:eastAsia="宋体" w:cs="宋体"/>
                <w:sz w:val="21"/>
                <w:highlight w:val="none"/>
              </w:rPr>
            </w:pPr>
          </w:p>
          <w:p>
            <w:pPr>
              <w:spacing w:line="243" w:lineRule="auto"/>
              <w:rPr>
                <w:rFonts w:hint="eastAsia" w:ascii="宋体" w:hAnsi="宋体" w:eastAsia="宋体" w:cs="宋体"/>
                <w:sz w:val="21"/>
                <w:highlight w:val="none"/>
              </w:rPr>
            </w:pPr>
          </w:p>
          <w:p>
            <w:pPr>
              <w:spacing w:line="243" w:lineRule="auto"/>
              <w:rPr>
                <w:rFonts w:hint="eastAsia" w:ascii="宋体" w:hAnsi="宋体" w:eastAsia="宋体" w:cs="宋体"/>
                <w:sz w:val="21"/>
                <w:highlight w:val="none"/>
              </w:rPr>
            </w:pPr>
          </w:p>
          <w:p>
            <w:pPr>
              <w:spacing w:line="243" w:lineRule="auto"/>
              <w:rPr>
                <w:rFonts w:hint="eastAsia" w:ascii="宋体" w:hAnsi="宋体" w:eastAsia="宋体" w:cs="宋体"/>
                <w:sz w:val="21"/>
                <w:highlight w:val="none"/>
              </w:rPr>
            </w:pPr>
          </w:p>
          <w:p>
            <w:pPr>
              <w:spacing w:line="243" w:lineRule="auto"/>
              <w:rPr>
                <w:rFonts w:hint="eastAsia" w:ascii="宋体" w:hAnsi="宋体" w:eastAsia="宋体" w:cs="宋体"/>
                <w:sz w:val="21"/>
                <w:highlight w:val="none"/>
              </w:rPr>
            </w:pPr>
          </w:p>
          <w:p>
            <w:pPr>
              <w:spacing w:line="243" w:lineRule="auto"/>
              <w:rPr>
                <w:rFonts w:hint="eastAsia" w:ascii="宋体" w:hAnsi="宋体" w:eastAsia="宋体" w:cs="宋体"/>
                <w:sz w:val="21"/>
                <w:highlight w:val="none"/>
              </w:rPr>
            </w:pPr>
          </w:p>
          <w:p>
            <w:pPr>
              <w:spacing w:line="243" w:lineRule="auto"/>
              <w:rPr>
                <w:rFonts w:hint="eastAsia" w:ascii="宋体" w:hAnsi="宋体" w:eastAsia="宋体" w:cs="宋体"/>
                <w:sz w:val="21"/>
                <w:highlight w:val="none"/>
              </w:rPr>
            </w:pPr>
          </w:p>
          <w:p>
            <w:pPr>
              <w:pStyle w:val="31"/>
              <w:spacing w:before="78" w:line="183" w:lineRule="auto"/>
              <w:ind w:left="224"/>
              <w:rPr>
                <w:rFonts w:hint="eastAsia" w:ascii="宋体" w:hAnsi="宋体" w:eastAsia="宋体" w:cs="宋体"/>
                <w:sz w:val="24"/>
                <w:szCs w:val="24"/>
                <w:highlight w:val="none"/>
              </w:rPr>
            </w:pPr>
            <w:r>
              <w:rPr>
                <w:rFonts w:hint="eastAsia" w:ascii="宋体" w:hAnsi="宋体" w:eastAsia="宋体" w:cs="宋体"/>
                <w:sz w:val="24"/>
                <w:szCs w:val="24"/>
                <w:highlight w:val="none"/>
              </w:rPr>
              <w:t>4</w:t>
            </w:r>
          </w:p>
        </w:tc>
        <w:tc>
          <w:tcPr>
            <w:tcW w:w="8944" w:type="dxa"/>
            <w:vAlign w:val="top"/>
          </w:tcPr>
          <w:p>
            <w:pPr>
              <w:pStyle w:val="31"/>
              <w:spacing w:before="175" w:line="219" w:lineRule="auto"/>
              <w:ind w:left="6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★投标人资格要求：</w:t>
            </w:r>
          </w:p>
          <w:p>
            <w:pPr>
              <w:pStyle w:val="31"/>
              <w:spacing w:before="185" w:line="219" w:lineRule="auto"/>
              <w:ind w:left="56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1.具有独立承担民事责任的能力。</w:t>
            </w:r>
          </w:p>
          <w:p>
            <w:pPr>
              <w:pStyle w:val="31"/>
              <w:spacing w:before="164" w:line="470" w:lineRule="exact"/>
              <w:ind w:left="541"/>
              <w:rPr>
                <w:rFonts w:hint="eastAsia" w:ascii="宋体" w:hAnsi="宋体" w:eastAsia="宋体" w:cs="宋体"/>
                <w:sz w:val="24"/>
                <w:szCs w:val="24"/>
                <w:highlight w:val="none"/>
              </w:rPr>
            </w:pPr>
            <w:r>
              <w:rPr>
                <w:rFonts w:hint="eastAsia" w:ascii="宋体" w:hAnsi="宋体" w:eastAsia="宋体" w:cs="宋体"/>
                <w:position w:val="17"/>
                <w:sz w:val="24"/>
                <w:szCs w:val="24"/>
                <w:highlight w:val="none"/>
              </w:rPr>
              <w:t>2.具有良好的商业信誉和健全的财务会计制</w:t>
            </w:r>
            <w:r>
              <w:rPr>
                <w:rFonts w:hint="eastAsia" w:ascii="宋体" w:hAnsi="宋体" w:eastAsia="宋体" w:cs="宋体"/>
                <w:spacing w:val="-1"/>
                <w:position w:val="17"/>
                <w:sz w:val="24"/>
                <w:szCs w:val="24"/>
                <w:highlight w:val="none"/>
              </w:rPr>
              <w:t>度。</w:t>
            </w:r>
          </w:p>
          <w:p>
            <w:pPr>
              <w:pStyle w:val="31"/>
              <w:spacing w:line="219" w:lineRule="auto"/>
              <w:ind w:left="531"/>
              <w:rPr>
                <w:rFonts w:hint="eastAsia" w:ascii="宋体" w:hAnsi="宋体" w:eastAsia="宋体" w:cs="宋体"/>
                <w:sz w:val="24"/>
                <w:szCs w:val="24"/>
                <w:highlight w:val="none"/>
              </w:rPr>
            </w:pPr>
            <w:r>
              <w:rPr>
                <w:rFonts w:hint="eastAsia" w:ascii="宋体" w:hAnsi="宋体" w:eastAsia="宋体" w:cs="宋体"/>
                <w:sz w:val="24"/>
                <w:szCs w:val="24"/>
                <w:highlight w:val="none"/>
              </w:rPr>
              <w:t>3.具有履行合同所必需的设备和专业技术能力。</w:t>
            </w:r>
          </w:p>
          <w:p>
            <w:pPr>
              <w:pStyle w:val="31"/>
              <w:spacing w:before="193" w:line="219" w:lineRule="auto"/>
              <w:ind w:left="541"/>
              <w:rPr>
                <w:rFonts w:hint="eastAsia" w:ascii="宋体" w:hAnsi="宋体" w:eastAsia="宋体" w:cs="宋体"/>
                <w:sz w:val="24"/>
                <w:szCs w:val="24"/>
                <w:highlight w:val="none"/>
              </w:rPr>
            </w:pPr>
            <w:r>
              <w:rPr>
                <w:rFonts w:hint="eastAsia" w:ascii="宋体" w:hAnsi="宋体" w:eastAsia="宋体" w:cs="宋体"/>
                <w:sz w:val="24"/>
                <w:szCs w:val="24"/>
                <w:highlight w:val="none"/>
              </w:rPr>
              <w:t>4.有依法缴纳税收和社会保障资金的良好记录。</w:t>
            </w:r>
          </w:p>
          <w:p>
            <w:pPr>
              <w:pStyle w:val="31"/>
              <w:spacing w:before="165" w:line="219" w:lineRule="auto"/>
              <w:ind w:left="531"/>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5.参加政府采购活动前三年内，在经营活动中没有重大违法记</w:t>
            </w:r>
            <w:r>
              <w:rPr>
                <w:rFonts w:hint="eastAsia" w:ascii="宋体" w:hAnsi="宋体" w:eastAsia="宋体" w:cs="宋体"/>
                <w:spacing w:val="-1"/>
                <w:sz w:val="24"/>
                <w:szCs w:val="24"/>
                <w:highlight w:val="none"/>
              </w:rPr>
              <w:t>录。</w:t>
            </w:r>
          </w:p>
          <w:p>
            <w:pPr>
              <w:pStyle w:val="31"/>
              <w:spacing w:before="215" w:line="219" w:lineRule="auto"/>
              <w:ind w:left="55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6.本项目不接受联合体投标。</w:t>
            </w:r>
          </w:p>
          <w:p>
            <w:pPr>
              <w:pStyle w:val="31"/>
              <w:spacing w:before="155" w:line="362" w:lineRule="auto"/>
              <w:ind w:left="61" w:firstLine="489"/>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7.单位负责人为同一人或者存在直接控股、管理关系的不同供应商，全部或者部分</w:t>
            </w:r>
            <w:r>
              <w:rPr>
                <w:rFonts w:hint="eastAsia" w:ascii="宋体" w:hAnsi="宋体" w:eastAsia="宋体" w:cs="宋体"/>
                <w:spacing w:val="17"/>
                <w:sz w:val="24"/>
                <w:szCs w:val="24"/>
                <w:highlight w:val="none"/>
              </w:rPr>
              <w:t xml:space="preserve"> </w:t>
            </w:r>
            <w:r>
              <w:rPr>
                <w:rFonts w:hint="eastAsia" w:ascii="宋体" w:hAnsi="宋体" w:eastAsia="宋体" w:cs="宋体"/>
                <w:spacing w:val="-1"/>
                <w:sz w:val="24"/>
                <w:szCs w:val="24"/>
                <w:highlight w:val="none"/>
              </w:rPr>
              <w:t>股东(基金公司或者专业投资公司作为股东的除外</w:t>
            </w:r>
            <w:r>
              <w:rPr>
                <w:rFonts w:hint="eastAsia" w:ascii="宋体" w:hAnsi="宋体" w:eastAsia="宋体" w:cs="宋体"/>
                <w:spacing w:val="-2"/>
                <w:sz w:val="24"/>
                <w:szCs w:val="24"/>
                <w:highlight w:val="none"/>
              </w:rPr>
              <w:t>)为同一法人、其他组织或者自然人  的不同供应商，同一自然人在两个以上供应商任职的不同供应商，不得参加同</w:t>
            </w:r>
            <w:r>
              <w:rPr>
                <w:rFonts w:hint="eastAsia" w:ascii="宋体" w:hAnsi="宋体" w:eastAsia="宋体" w:cs="宋体"/>
                <w:spacing w:val="-3"/>
                <w:sz w:val="24"/>
                <w:szCs w:val="24"/>
                <w:highlight w:val="none"/>
              </w:rPr>
              <w:t>一合同项</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下的投标。【提供在“国家企业信用信息公示系统”中查询打印的相关材料并加盖</w:t>
            </w:r>
            <w:r>
              <w:rPr>
                <w:rFonts w:hint="eastAsia" w:ascii="宋体" w:hAnsi="宋体" w:eastAsia="宋体" w:cs="宋体"/>
                <w:spacing w:val="-3"/>
                <w:sz w:val="24"/>
                <w:szCs w:val="24"/>
                <w:highlight w:val="none"/>
              </w:rPr>
              <w:t>公章</w:t>
            </w:r>
          </w:p>
          <w:p>
            <w:pPr>
              <w:pStyle w:val="31"/>
              <w:spacing w:line="219" w:lineRule="auto"/>
              <w:ind w:left="190"/>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(需包含公司基础信息、股东信息及股权变更信息)】。</w:t>
            </w:r>
          </w:p>
          <w:p>
            <w:pPr>
              <w:pStyle w:val="31"/>
              <w:spacing w:before="144" w:line="219" w:lineRule="auto"/>
              <w:ind w:left="60"/>
              <w:rPr>
                <w:rFonts w:hint="eastAsia" w:ascii="宋体" w:hAnsi="宋体" w:eastAsia="宋体" w:cs="宋体"/>
                <w:sz w:val="24"/>
                <w:szCs w:val="24"/>
                <w:highlight w:val="none"/>
                <w:lang w:eastAsia="zh-CN"/>
              </w:rPr>
            </w:pPr>
            <w:r>
              <w:rPr>
                <w:rFonts w:hint="eastAsia" w:ascii="宋体" w:hAnsi="宋体" w:eastAsia="宋体" w:cs="宋体"/>
                <w:spacing w:val="-2"/>
                <w:sz w:val="24"/>
                <w:szCs w:val="24"/>
                <w:highlight w:val="none"/>
              </w:rPr>
              <w:t xml:space="preserve">8.根据《关于在政府采购活动中查询及使用信用记录有关问题的通知》(财库[2016]125号)和豫财购【2016】15号的规定，对列入失信被执行人、重大税收违法失信主体、政府采购严重违法失信行为记录名单的供应商，拒绝参与本项目采购活动。【查询渠道：1.“信用中国”网站(www.creditchina.gov.cn)查询内容：重大税收违法失 信主体、失信被执行人；2.中国政府采购网(www.ccgp.gov.cn)查询内容为：政府采购严重违法失信行为记录名单。查询时间：本项目磋商结束之前】 </w:t>
            </w:r>
            <w:r>
              <w:rPr>
                <w:rFonts w:hint="eastAsia" w:ascii="宋体" w:hAnsi="宋体" w:eastAsia="宋体" w:cs="宋体"/>
                <w:spacing w:val="-2"/>
                <w:sz w:val="24"/>
                <w:szCs w:val="24"/>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65" w:type="dxa"/>
            <w:vAlign w:val="top"/>
          </w:tcPr>
          <w:p>
            <w:pPr>
              <w:pStyle w:val="31"/>
              <w:spacing w:before="191" w:line="182" w:lineRule="auto"/>
              <w:ind w:left="234" w:leftChars="0"/>
              <w:rPr>
                <w:rFonts w:hint="eastAsia" w:ascii="宋体" w:hAnsi="宋体" w:eastAsia="宋体" w:cs="宋体"/>
                <w:sz w:val="24"/>
                <w:szCs w:val="24"/>
                <w:highlight w:val="none"/>
              </w:rPr>
            </w:pPr>
            <w:r>
              <w:rPr>
                <w:rFonts w:hint="eastAsia" w:ascii="宋体" w:hAnsi="宋体" w:eastAsia="宋体" w:cs="宋体"/>
                <w:sz w:val="23"/>
                <w:szCs w:val="23"/>
                <w:highlight w:val="none"/>
              </w:rPr>
              <w:t>5</w:t>
            </w:r>
          </w:p>
        </w:tc>
        <w:tc>
          <w:tcPr>
            <w:tcW w:w="8944" w:type="dxa"/>
            <w:vAlign w:val="top"/>
          </w:tcPr>
          <w:p>
            <w:pPr>
              <w:pStyle w:val="31"/>
              <w:spacing w:before="129" w:line="219" w:lineRule="auto"/>
              <w:ind w:left="31" w:leftChars="0"/>
              <w:rPr>
                <w:rFonts w:hint="eastAsia" w:ascii="宋体" w:hAnsi="宋体" w:eastAsia="宋体" w:cs="宋体"/>
                <w:sz w:val="24"/>
                <w:szCs w:val="24"/>
                <w:highlight w:val="none"/>
              </w:rPr>
            </w:pPr>
            <w:r>
              <w:rPr>
                <w:rFonts w:hint="eastAsia" w:ascii="宋体" w:hAnsi="宋体" w:eastAsia="宋体" w:cs="宋体"/>
                <w:sz w:val="23"/>
                <w:szCs w:val="23"/>
                <w:highlight w:val="none"/>
              </w:rPr>
              <w:t>投标语言：中文，投标人提供的外文资料应附有相</w:t>
            </w:r>
            <w:r>
              <w:rPr>
                <w:rFonts w:hint="eastAsia" w:ascii="宋体" w:hAnsi="宋体" w:eastAsia="宋体" w:cs="宋体"/>
                <w:spacing w:val="-1"/>
                <w:sz w:val="23"/>
                <w:szCs w:val="23"/>
                <w:highlight w:val="none"/>
              </w:rPr>
              <w:t>应中文译本。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65" w:type="dxa"/>
            <w:vAlign w:val="top"/>
          </w:tcPr>
          <w:p>
            <w:pPr>
              <w:spacing w:line="267" w:lineRule="auto"/>
              <w:rPr>
                <w:rFonts w:hint="eastAsia" w:ascii="宋体" w:hAnsi="宋体" w:eastAsia="宋体" w:cs="宋体"/>
                <w:snapToGrid w:val="0"/>
                <w:color w:val="000000"/>
                <w:kern w:val="0"/>
                <w:sz w:val="23"/>
                <w:szCs w:val="23"/>
                <w:highlight w:val="none"/>
                <w:lang w:val="en-US" w:eastAsia="en-US" w:bidi="ar-SA"/>
              </w:rPr>
            </w:pPr>
          </w:p>
          <w:p>
            <w:pPr>
              <w:spacing w:line="267" w:lineRule="auto"/>
              <w:rPr>
                <w:rFonts w:hint="eastAsia" w:ascii="宋体" w:hAnsi="宋体" w:eastAsia="宋体" w:cs="宋体"/>
                <w:snapToGrid w:val="0"/>
                <w:color w:val="000000"/>
                <w:kern w:val="0"/>
                <w:sz w:val="23"/>
                <w:szCs w:val="23"/>
                <w:highlight w:val="none"/>
                <w:lang w:val="en-US" w:eastAsia="en-US" w:bidi="ar-SA"/>
              </w:rPr>
            </w:pPr>
          </w:p>
          <w:p>
            <w:pPr>
              <w:spacing w:line="267" w:lineRule="auto"/>
              <w:rPr>
                <w:rFonts w:hint="eastAsia" w:ascii="宋体" w:hAnsi="宋体" w:eastAsia="宋体" w:cs="宋体"/>
                <w:snapToGrid w:val="0"/>
                <w:color w:val="000000"/>
                <w:kern w:val="0"/>
                <w:sz w:val="23"/>
                <w:szCs w:val="23"/>
                <w:highlight w:val="none"/>
                <w:lang w:val="en-US" w:eastAsia="en-US" w:bidi="ar-SA"/>
              </w:rPr>
            </w:pPr>
          </w:p>
          <w:p>
            <w:pPr>
              <w:pStyle w:val="31"/>
              <w:spacing w:before="74" w:line="183" w:lineRule="auto"/>
              <w:ind w:left="234" w:leftChars="0"/>
              <w:rPr>
                <w:rFonts w:hint="eastAsia" w:ascii="宋体" w:hAnsi="宋体" w:eastAsia="宋体" w:cs="宋体"/>
                <w:snapToGrid w:val="0"/>
                <w:color w:val="000000"/>
                <w:kern w:val="0"/>
                <w:sz w:val="23"/>
                <w:szCs w:val="23"/>
                <w:highlight w:val="none"/>
                <w:lang w:val="en-US" w:eastAsia="en-US" w:bidi="ar-SA"/>
              </w:rPr>
            </w:pPr>
            <w:r>
              <w:rPr>
                <w:rFonts w:hint="eastAsia" w:ascii="宋体" w:hAnsi="宋体" w:eastAsia="宋体" w:cs="宋体"/>
                <w:snapToGrid w:val="0"/>
                <w:color w:val="000000"/>
                <w:kern w:val="0"/>
                <w:sz w:val="23"/>
                <w:szCs w:val="23"/>
                <w:highlight w:val="none"/>
                <w:lang w:val="en-US" w:eastAsia="en-US" w:bidi="ar-SA"/>
              </w:rPr>
              <w:t>6</w:t>
            </w:r>
          </w:p>
        </w:tc>
        <w:tc>
          <w:tcPr>
            <w:tcW w:w="8944" w:type="dxa"/>
            <w:vAlign w:val="top"/>
          </w:tcPr>
          <w:p>
            <w:pPr>
              <w:pStyle w:val="31"/>
              <w:spacing w:before="139" w:line="219" w:lineRule="auto"/>
              <w:ind w:left="60"/>
              <w:rPr>
                <w:rFonts w:hint="eastAsia" w:ascii="宋体" w:hAnsi="宋体" w:eastAsia="宋体" w:cs="宋体"/>
                <w:snapToGrid w:val="0"/>
                <w:color w:val="000000"/>
                <w:kern w:val="0"/>
                <w:sz w:val="23"/>
                <w:szCs w:val="23"/>
                <w:highlight w:val="none"/>
                <w:lang w:val="en-US" w:eastAsia="en-US" w:bidi="ar-SA"/>
              </w:rPr>
            </w:pPr>
            <w:r>
              <w:rPr>
                <w:rFonts w:hint="eastAsia" w:ascii="宋体" w:hAnsi="宋体" w:eastAsia="宋体" w:cs="宋体"/>
                <w:snapToGrid w:val="0"/>
                <w:color w:val="000000"/>
                <w:kern w:val="0"/>
                <w:sz w:val="23"/>
                <w:szCs w:val="23"/>
                <w:highlight w:val="none"/>
                <w:lang w:val="en-US" w:eastAsia="en-US" w:bidi="ar-SA"/>
              </w:rPr>
              <w:t>是否为专门面向中小企业采购</w:t>
            </w:r>
          </w:p>
          <w:p>
            <w:pPr>
              <w:pStyle w:val="31"/>
              <w:spacing w:before="197" w:line="219" w:lineRule="auto"/>
              <w:ind w:left="60"/>
              <w:rPr>
                <w:rFonts w:hint="eastAsia" w:ascii="宋体" w:hAnsi="宋体" w:eastAsia="宋体" w:cs="宋体"/>
                <w:snapToGrid w:val="0"/>
                <w:color w:val="000000"/>
                <w:kern w:val="0"/>
                <w:sz w:val="23"/>
                <w:szCs w:val="23"/>
                <w:highlight w:val="none"/>
                <w:lang w:val="en-US" w:eastAsia="en-US" w:bidi="ar-SA"/>
              </w:rPr>
            </w:pPr>
            <w:r>
              <w:rPr>
                <w:rFonts w:hint="eastAsia" w:ascii="宋体" w:hAnsi="宋体" w:eastAsia="宋体" w:cs="宋体"/>
                <w:snapToGrid w:val="0"/>
                <w:color w:val="000000"/>
                <w:kern w:val="0"/>
                <w:sz w:val="23"/>
                <w:szCs w:val="23"/>
                <w:highlight w:val="none"/>
                <w:lang w:val="en-US" w:eastAsia="en-US" w:bidi="ar-SA"/>
              </w:rPr>
              <w:t>1.是否为专门面向中小企业的预留份额的采购项目或者采购包：否</w:t>
            </w:r>
          </w:p>
          <w:p>
            <w:pPr>
              <w:pStyle w:val="31"/>
              <w:spacing w:before="207" w:line="461" w:lineRule="exact"/>
              <w:ind w:left="31"/>
              <w:rPr>
                <w:rFonts w:hint="eastAsia" w:ascii="宋体" w:hAnsi="宋体" w:eastAsia="宋体" w:cs="宋体"/>
                <w:snapToGrid w:val="0"/>
                <w:color w:val="000000"/>
                <w:kern w:val="0"/>
                <w:sz w:val="23"/>
                <w:szCs w:val="23"/>
                <w:highlight w:val="none"/>
                <w:lang w:val="en-US" w:eastAsia="en-US" w:bidi="ar-SA"/>
              </w:rPr>
            </w:pPr>
            <w:r>
              <w:rPr>
                <w:rFonts w:hint="eastAsia" w:ascii="宋体" w:hAnsi="宋体" w:eastAsia="宋体" w:cs="宋体"/>
                <w:snapToGrid w:val="0"/>
                <w:color w:val="000000"/>
                <w:kern w:val="0"/>
                <w:sz w:val="23"/>
                <w:szCs w:val="23"/>
                <w:highlight w:val="none"/>
                <w:lang w:val="en-US" w:eastAsia="en-US" w:bidi="ar-SA"/>
              </w:rPr>
              <w:t>2.依据《政府采购促进中小企业发展管理办法》规定享受扶持政策获得政府采购合同的，小微企业不得将合同分包给大中型企业，中型企业不得将合同分包给大型企业。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9709" w:type="dxa"/>
            <w:gridSpan w:val="2"/>
            <w:vAlign w:val="top"/>
          </w:tcPr>
          <w:p>
            <w:pPr>
              <w:pStyle w:val="31"/>
              <w:spacing w:before="129" w:line="219" w:lineRule="auto"/>
              <w:ind w:left="31" w:leftChars="0"/>
              <w:jc w:val="center"/>
              <w:rPr>
                <w:rFonts w:hint="eastAsia" w:ascii="宋体" w:hAnsi="宋体" w:eastAsia="宋体" w:cs="宋体"/>
                <w:sz w:val="23"/>
                <w:szCs w:val="23"/>
                <w:highlight w:val="none"/>
              </w:rPr>
            </w:pPr>
            <w:r>
              <w:rPr>
                <w:rFonts w:hint="eastAsia" w:ascii="宋体" w:hAnsi="宋体" w:eastAsia="宋体" w:cs="宋体"/>
                <w:b/>
                <w:bCs/>
                <w:sz w:val="23"/>
                <w:szCs w:val="23"/>
                <w:highlight w:val="none"/>
              </w:rPr>
              <w:t>投标报价和货币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65" w:type="dxa"/>
            <w:vAlign w:val="top"/>
          </w:tcPr>
          <w:p>
            <w:pPr>
              <w:spacing w:line="262" w:lineRule="auto"/>
              <w:jc w:val="center"/>
              <w:rPr>
                <w:rFonts w:hint="eastAsia" w:ascii="宋体" w:hAnsi="宋体" w:eastAsia="宋体" w:cs="宋体"/>
                <w:sz w:val="21"/>
                <w:highlight w:val="none"/>
              </w:rPr>
            </w:pPr>
          </w:p>
          <w:p>
            <w:pPr>
              <w:spacing w:line="263" w:lineRule="auto"/>
              <w:jc w:val="center"/>
              <w:rPr>
                <w:rFonts w:hint="eastAsia" w:ascii="宋体" w:hAnsi="宋体" w:eastAsia="宋体" w:cs="宋体"/>
                <w:sz w:val="21"/>
                <w:highlight w:val="none"/>
              </w:rPr>
            </w:pPr>
          </w:p>
          <w:p>
            <w:pPr>
              <w:pStyle w:val="31"/>
              <w:spacing w:before="75" w:line="182" w:lineRule="auto"/>
              <w:jc w:val="center"/>
              <w:rPr>
                <w:rFonts w:hint="eastAsia" w:ascii="宋体" w:hAnsi="宋体" w:eastAsia="宋体" w:cs="宋体"/>
                <w:sz w:val="23"/>
                <w:szCs w:val="23"/>
                <w:highlight w:val="none"/>
              </w:rPr>
            </w:pPr>
            <w:r>
              <w:rPr>
                <w:rFonts w:hint="eastAsia" w:ascii="宋体" w:hAnsi="宋体" w:eastAsia="宋体" w:cs="宋体"/>
                <w:sz w:val="23"/>
                <w:szCs w:val="23"/>
                <w:highlight w:val="none"/>
              </w:rPr>
              <w:t>7</w:t>
            </w:r>
          </w:p>
        </w:tc>
        <w:tc>
          <w:tcPr>
            <w:tcW w:w="8944" w:type="dxa"/>
            <w:vAlign w:val="top"/>
          </w:tcPr>
          <w:p>
            <w:pPr>
              <w:pStyle w:val="31"/>
              <w:spacing w:line="218" w:lineRule="auto"/>
              <w:ind w:left="51"/>
              <w:rPr>
                <w:rFonts w:hint="eastAsia" w:ascii="宋体" w:hAnsi="宋体" w:eastAsia="宋体" w:cs="宋体"/>
                <w:sz w:val="23"/>
                <w:szCs w:val="23"/>
                <w:highlight w:val="none"/>
              </w:rPr>
            </w:pPr>
            <w:r>
              <w:rPr>
                <w:rFonts w:hint="eastAsia" w:ascii="宋体" w:hAnsi="宋体" w:eastAsia="宋体" w:cs="宋体"/>
                <w:sz w:val="23"/>
                <w:szCs w:val="23"/>
                <w:highlight w:val="none"/>
              </w:rPr>
              <w:t>投标报价：在规定合同期间发生的为完成本项目发生的所有有关费用。</w:t>
            </w:r>
          </w:p>
          <w:p>
            <w:pPr>
              <w:pStyle w:val="31"/>
              <w:spacing w:before="177" w:line="471" w:lineRule="exact"/>
              <w:ind w:left="41"/>
              <w:rPr>
                <w:rFonts w:hint="eastAsia" w:ascii="宋体" w:hAnsi="宋体" w:eastAsia="宋体" w:cs="宋体"/>
                <w:sz w:val="23"/>
                <w:szCs w:val="23"/>
                <w:highlight w:val="none"/>
              </w:rPr>
            </w:pPr>
            <w:r>
              <w:rPr>
                <w:rFonts w:hint="eastAsia" w:ascii="宋体" w:hAnsi="宋体" w:eastAsia="宋体" w:cs="宋体"/>
                <w:position w:val="18"/>
                <w:sz w:val="23"/>
                <w:szCs w:val="23"/>
                <w:highlight w:val="none"/>
              </w:rPr>
              <w:t>相关费用：无论磋商过程中的作法和结果如何，项目供应商</w:t>
            </w:r>
            <w:r>
              <w:rPr>
                <w:rFonts w:hint="eastAsia" w:ascii="宋体" w:hAnsi="宋体" w:eastAsia="宋体" w:cs="宋体"/>
                <w:spacing w:val="-1"/>
                <w:position w:val="18"/>
                <w:sz w:val="23"/>
                <w:szCs w:val="23"/>
                <w:highlight w:val="none"/>
              </w:rPr>
              <w:t>自行承担所有与参加磋</w:t>
            </w:r>
          </w:p>
          <w:p>
            <w:pPr>
              <w:pStyle w:val="31"/>
              <w:spacing w:line="219" w:lineRule="auto"/>
              <w:ind w:left="41" w:leftChars="0"/>
              <w:rPr>
                <w:rFonts w:hint="eastAsia" w:ascii="宋体" w:hAnsi="宋体" w:eastAsia="宋体" w:cs="宋体"/>
                <w:sz w:val="23"/>
                <w:szCs w:val="23"/>
                <w:highlight w:val="none"/>
              </w:rPr>
            </w:pPr>
            <w:r>
              <w:rPr>
                <w:rFonts w:hint="eastAsia" w:ascii="宋体" w:hAnsi="宋体" w:eastAsia="宋体" w:cs="宋体"/>
                <w:spacing w:val="2"/>
                <w:sz w:val="23"/>
                <w:szCs w:val="23"/>
                <w:highlight w:val="none"/>
              </w:rPr>
              <w:t>商有关的全部费用(包含代理服务费)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65" w:type="dxa"/>
            <w:vAlign w:val="top"/>
          </w:tcPr>
          <w:p>
            <w:pPr>
              <w:spacing w:line="246" w:lineRule="auto"/>
              <w:jc w:val="center"/>
              <w:rPr>
                <w:rFonts w:hint="eastAsia" w:ascii="宋体" w:hAnsi="宋体" w:eastAsia="宋体" w:cs="宋体"/>
                <w:sz w:val="21"/>
                <w:highlight w:val="none"/>
              </w:rPr>
            </w:pPr>
          </w:p>
          <w:p>
            <w:pPr>
              <w:pStyle w:val="31"/>
              <w:spacing w:before="75" w:line="183" w:lineRule="auto"/>
              <w:jc w:val="center"/>
              <w:rPr>
                <w:rFonts w:hint="eastAsia" w:ascii="宋体" w:hAnsi="宋体" w:eastAsia="宋体" w:cs="宋体"/>
                <w:sz w:val="23"/>
                <w:szCs w:val="23"/>
                <w:highlight w:val="none"/>
              </w:rPr>
            </w:pPr>
            <w:r>
              <w:rPr>
                <w:rFonts w:hint="eastAsia" w:ascii="宋体" w:hAnsi="宋体" w:eastAsia="宋体" w:cs="宋体"/>
                <w:sz w:val="23"/>
                <w:szCs w:val="23"/>
                <w:highlight w:val="none"/>
              </w:rPr>
              <w:t>8</w:t>
            </w:r>
          </w:p>
        </w:tc>
        <w:tc>
          <w:tcPr>
            <w:tcW w:w="8944" w:type="dxa"/>
            <w:vAlign w:val="top"/>
          </w:tcPr>
          <w:p>
            <w:pPr>
              <w:pStyle w:val="31"/>
              <w:spacing w:before="132" w:line="382" w:lineRule="auto"/>
              <w:ind w:right="733"/>
              <w:jc w:val="left"/>
              <w:rPr>
                <w:rFonts w:hint="eastAsia" w:ascii="宋体" w:hAnsi="宋体" w:eastAsia="宋体" w:cs="宋体"/>
                <w:sz w:val="23"/>
                <w:szCs w:val="23"/>
                <w:highlight w:val="none"/>
                <w:lang w:eastAsia="zh-CN"/>
              </w:rPr>
            </w:pPr>
            <w:r>
              <w:rPr>
                <w:rFonts w:hint="eastAsia" w:ascii="宋体" w:hAnsi="宋体" w:eastAsia="宋体" w:cs="宋体"/>
                <w:spacing w:val="-3"/>
                <w:sz w:val="23"/>
                <w:szCs w:val="23"/>
                <w:highlight w:val="none"/>
              </w:rPr>
              <w:t>招标代理服务费：参照豫招协[2023]002号</w:t>
            </w:r>
            <w:r>
              <w:rPr>
                <w:rFonts w:hint="eastAsia" w:ascii="宋体" w:hAnsi="宋体" w:eastAsia="宋体" w:cs="宋体"/>
                <w:sz w:val="23"/>
                <w:szCs w:val="23"/>
                <w:highlight w:val="none"/>
              </w:rPr>
              <w:t>文件规定向中标人收取招标代理服务</w:t>
            </w:r>
            <w:r>
              <w:rPr>
                <w:rFonts w:hint="eastAsia" w:ascii="宋体" w:hAnsi="宋体" w:eastAsia="宋体" w:cs="宋体"/>
                <w:spacing w:val="-1"/>
                <w:sz w:val="23"/>
                <w:szCs w:val="23"/>
                <w:highlight w:val="none"/>
              </w:rPr>
              <w:t>费。招标代理服务收费按差额定率累进法计算</w:t>
            </w:r>
            <w:r>
              <w:rPr>
                <w:rFonts w:hint="eastAsia" w:cs="宋体"/>
                <w:spacing w:val="-1"/>
                <w:sz w:val="23"/>
                <w:szCs w:val="23"/>
                <w:highlight w:val="none"/>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65" w:type="dxa"/>
            <w:vAlign w:val="top"/>
          </w:tcPr>
          <w:p>
            <w:pPr>
              <w:pStyle w:val="31"/>
              <w:spacing w:before="266" w:line="183" w:lineRule="auto"/>
              <w:ind w:left="234" w:leftChars="0"/>
              <w:rPr>
                <w:rFonts w:hint="eastAsia" w:ascii="宋体" w:hAnsi="宋体" w:eastAsia="宋体" w:cs="宋体"/>
                <w:sz w:val="23"/>
                <w:szCs w:val="23"/>
                <w:highlight w:val="none"/>
              </w:rPr>
            </w:pPr>
            <w:r>
              <w:rPr>
                <w:rFonts w:hint="eastAsia" w:ascii="宋体" w:hAnsi="宋体" w:eastAsia="宋体" w:cs="宋体"/>
                <w:sz w:val="23"/>
                <w:szCs w:val="23"/>
                <w:highlight w:val="none"/>
              </w:rPr>
              <w:t>9</w:t>
            </w:r>
          </w:p>
        </w:tc>
        <w:tc>
          <w:tcPr>
            <w:tcW w:w="8944" w:type="dxa"/>
            <w:vAlign w:val="top"/>
          </w:tcPr>
          <w:p>
            <w:pPr>
              <w:pStyle w:val="31"/>
              <w:spacing w:before="205" w:line="219" w:lineRule="auto"/>
              <w:ind w:left="41" w:leftChars="0"/>
              <w:rPr>
                <w:rFonts w:hint="eastAsia" w:ascii="宋体" w:hAnsi="宋体" w:eastAsia="宋体" w:cs="宋体"/>
                <w:sz w:val="23"/>
                <w:szCs w:val="23"/>
                <w:highlight w:val="none"/>
              </w:rPr>
            </w:pPr>
            <w:r>
              <w:rPr>
                <w:rFonts w:hint="eastAsia" w:ascii="宋体" w:hAnsi="宋体" w:eastAsia="宋体" w:cs="宋体"/>
                <w:spacing w:val="3"/>
                <w:sz w:val="23"/>
                <w:szCs w:val="23"/>
                <w:highlight w:val="none"/>
              </w:rPr>
              <w:t>投标货币：人民币</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9709" w:type="dxa"/>
            <w:gridSpan w:val="2"/>
            <w:vAlign w:val="top"/>
          </w:tcPr>
          <w:p>
            <w:pPr>
              <w:pStyle w:val="31"/>
              <w:spacing w:before="205" w:line="219" w:lineRule="auto"/>
              <w:ind w:left="41" w:leftChars="0"/>
              <w:jc w:val="center"/>
              <w:rPr>
                <w:rFonts w:hint="eastAsia" w:ascii="宋体" w:hAnsi="宋体" w:eastAsia="宋体" w:cs="宋体"/>
                <w:spacing w:val="3"/>
                <w:sz w:val="23"/>
                <w:szCs w:val="23"/>
                <w:highlight w:val="none"/>
              </w:rPr>
            </w:pPr>
            <w:r>
              <w:rPr>
                <w:rFonts w:hint="eastAsia" w:ascii="宋体" w:hAnsi="宋体" w:eastAsia="宋体" w:cs="宋体"/>
                <w:b/>
                <w:bCs/>
                <w:spacing w:val="-3"/>
                <w:sz w:val="23"/>
                <w:szCs w:val="23"/>
                <w:highlight w:val="none"/>
              </w:rPr>
              <w:t>投标文件的编制按照磋商文件“投标文件编制要求”编制。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65" w:type="dxa"/>
            <w:vAlign w:val="top"/>
          </w:tcPr>
          <w:p>
            <w:pPr>
              <w:spacing w:line="350" w:lineRule="auto"/>
              <w:rPr>
                <w:rFonts w:hint="eastAsia" w:ascii="宋体" w:hAnsi="宋体" w:eastAsia="宋体" w:cs="宋体"/>
                <w:sz w:val="21"/>
                <w:highlight w:val="none"/>
              </w:rPr>
            </w:pPr>
          </w:p>
          <w:p>
            <w:pPr>
              <w:pStyle w:val="31"/>
              <w:spacing w:before="75" w:line="184" w:lineRule="auto"/>
              <w:ind w:left="174" w:leftChars="0"/>
              <w:rPr>
                <w:rFonts w:hint="eastAsia" w:ascii="宋体" w:hAnsi="宋体" w:eastAsia="宋体" w:cs="宋体"/>
                <w:sz w:val="23"/>
                <w:szCs w:val="23"/>
                <w:highlight w:val="none"/>
              </w:rPr>
            </w:pPr>
            <w:r>
              <w:rPr>
                <w:rFonts w:hint="eastAsia" w:ascii="宋体" w:hAnsi="宋体" w:eastAsia="宋体" w:cs="宋体"/>
                <w:spacing w:val="-7"/>
                <w:sz w:val="23"/>
                <w:szCs w:val="23"/>
                <w:highlight w:val="none"/>
              </w:rPr>
              <w:t>10</w:t>
            </w:r>
          </w:p>
        </w:tc>
        <w:tc>
          <w:tcPr>
            <w:tcW w:w="8944" w:type="dxa"/>
            <w:vAlign w:val="top"/>
          </w:tcPr>
          <w:p>
            <w:pPr>
              <w:pStyle w:val="31"/>
              <w:spacing w:before="169" w:line="219" w:lineRule="auto"/>
              <w:ind w:left="70"/>
              <w:rPr>
                <w:rFonts w:hint="eastAsia" w:ascii="宋体" w:hAnsi="宋体" w:eastAsia="宋体" w:cs="宋体"/>
                <w:sz w:val="23"/>
                <w:szCs w:val="23"/>
                <w:highlight w:val="none"/>
              </w:rPr>
            </w:pPr>
            <w:r>
              <w:rPr>
                <w:rFonts w:hint="eastAsia" w:ascii="宋体" w:hAnsi="宋体" w:eastAsia="宋体" w:cs="宋体"/>
                <w:spacing w:val="-1"/>
                <w:sz w:val="23"/>
                <w:szCs w:val="23"/>
                <w:highlight w:val="none"/>
              </w:rPr>
              <w:t>★资格证明文件：</w:t>
            </w:r>
          </w:p>
          <w:p>
            <w:pPr>
              <w:pStyle w:val="31"/>
              <w:numPr>
                <w:ilvl w:val="0"/>
                <w:numId w:val="16"/>
              </w:numPr>
              <w:spacing w:before="177" w:line="219" w:lineRule="auto"/>
              <w:ind w:left="541" w:leftChars="0"/>
              <w:rPr>
                <w:rFonts w:hint="eastAsia" w:ascii="宋体" w:hAnsi="宋体" w:eastAsia="宋体" w:cs="宋体"/>
                <w:spacing w:val="-1"/>
                <w:sz w:val="23"/>
                <w:szCs w:val="23"/>
                <w:highlight w:val="none"/>
              </w:rPr>
            </w:pPr>
            <w:r>
              <w:rPr>
                <w:rFonts w:hint="eastAsia" w:ascii="宋体" w:hAnsi="宋体" w:eastAsia="宋体" w:cs="宋体"/>
                <w:sz w:val="23"/>
                <w:szCs w:val="23"/>
                <w:highlight w:val="none"/>
              </w:rPr>
              <w:t>营业执照(法人或者其他组织的营业执照等证明文件，自然人的</w:t>
            </w:r>
            <w:r>
              <w:rPr>
                <w:rFonts w:hint="eastAsia" w:ascii="宋体" w:hAnsi="宋体" w:eastAsia="宋体" w:cs="宋体"/>
                <w:spacing w:val="-1"/>
                <w:sz w:val="23"/>
                <w:szCs w:val="23"/>
                <w:highlight w:val="none"/>
              </w:rPr>
              <w:t>身份证明)。</w:t>
            </w:r>
          </w:p>
          <w:p>
            <w:pPr>
              <w:pStyle w:val="31"/>
              <w:spacing w:before="132" w:line="218" w:lineRule="auto"/>
              <w:ind w:left="551"/>
              <w:rPr>
                <w:rFonts w:hint="eastAsia" w:ascii="宋体" w:hAnsi="宋体" w:eastAsia="宋体" w:cs="宋体"/>
                <w:sz w:val="24"/>
                <w:szCs w:val="24"/>
                <w:highlight w:val="none"/>
              </w:rPr>
            </w:pPr>
            <w:r>
              <w:rPr>
                <w:rFonts w:hint="eastAsia" w:ascii="宋体" w:hAnsi="宋体" w:eastAsia="宋体" w:cs="宋体"/>
                <w:sz w:val="24"/>
                <w:szCs w:val="24"/>
                <w:highlight w:val="none"/>
              </w:rPr>
              <w:t>2.财务状况报告(经审计的2022或2023年度财务报告或银行出具的资信证明</w:t>
            </w:r>
            <w:r>
              <w:rPr>
                <w:rFonts w:hint="eastAsia" w:ascii="宋体" w:hAnsi="宋体" w:eastAsia="宋体" w:cs="宋体"/>
                <w:spacing w:val="-1"/>
                <w:sz w:val="24"/>
                <w:szCs w:val="24"/>
                <w:highlight w:val="none"/>
              </w:rPr>
              <w:t>)。</w:t>
            </w:r>
          </w:p>
          <w:p>
            <w:pPr>
              <w:pStyle w:val="31"/>
              <w:spacing w:before="187" w:line="471" w:lineRule="exact"/>
              <w:ind w:left="531"/>
              <w:rPr>
                <w:rFonts w:hint="eastAsia" w:ascii="宋体" w:hAnsi="宋体" w:eastAsia="宋体" w:cs="宋体"/>
                <w:sz w:val="24"/>
                <w:szCs w:val="24"/>
                <w:highlight w:val="none"/>
              </w:rPr>
            </w:pPr>
            <w:r>
              <w:rPr>
                <w:rFonts w:hint="eastAsia" w:ascii="宋体" w:hAnsi="宋体" w:eastAsia="宋体" w:cs="宋体"/>
                <w:position w:val="17"/>
                <w:sz w:val="24"/>
                <w:szCs w:val="24"/>
                <w:highlight w:val="none"/>
              </w:rPr>
              <w:t>3.依法缴纳税收和社会保障资金的相关材料(提供企业2023年1月1日以来任意</w:t>
            </w:r>
          </w:p>
          <w:p>
            <w:pPr>
              <w:pStyle w:val="31"/>
              <w:spacing w:line="219" w:lineRule="auto"/>
              <w:ind w:left="71"/>
              <w:rPr>
                <w:rFonts w:hint="eastAsia" w:ascii="宋体" w:hAnsi="宋体" w:eastAsia="宋体" w:cs="宋体"/>
                <w:sz w:val="24"/>
                <w:szCs w:val="24"/>
                <w:highlight w:val="none"/>
              </w:rPr>
            </w:pPr>
            <w:r>
              <w:rPr>
                <w:rFonts w:hint="eastAsia" w:ascii="宋体" w:hAnsi="宋体" w:eastAsia="宋体" w:cs="宋体"/>
                <w:sz w:val="24"/>
                <w:szCs w:val="24"/>
                <w:highlight w:val="none"/>
              </w:rPr>
              <w:t>1个月的纳税和社保证明)。</w:t>
            </w:r>
          </w:p>
          <w:p>
            <w:pPr>
              <w:pStyle w:val="31"/>
              <w:spacing w:before="173" w:line="219" w:lineRule="auto"/>
              <w:ind w:left="541"/>
              <w:rPr>
                <w:rFonts w:hint="eastAsia" w:ascii="宋体" w:hAnsi="宋体" w:eastAsia="宋体" w:cs="宋体"/>
                <w:sz w:val="24"/>
                <w:szCs w:val="24"/>
                <w:highlight w:val="none"/>
              </w:rPr>
            </w:pPr>
            <w:r>
              <w:rPr>
                <w:rFonts w:hint="eastAsia" w:ascii="宋体" w:hAnsi="宋体" w:eastAsia="宋体" w:cs="宋体"/>
                <w:sz w:val="24"/>
                <w:szCs w:val="24"/>
                <w:highlight w:val="none"/>
              </w:rPr>
              <w:t>4.具备履行合同所必需的设备和专业技术能力的证明材</w:t>
            </w:r>
            <w:r>
              <w:rPr>
                <w:rFonts w:hint="eastAsia" w:ascii="宋体" w:hAnsi="宋体" w:eastAsia="宋体" w:cs="宋体"/>
                <w:spacing w:val="-1"/>
                <w:sz w:val="24"/>
                <w:szCs w:val="24"/>
                <w:highlight w:val="none"/>
              </w:rPr>
              <w:t>料。</w:t>
            </w:r>
          </w:p>
          <w:p>
            <w:pPr>
              <w:pStyle w:val="31"/>
              <w:spacing w:before="195" w:line="219" w:lineRule="auto"/>
              <w:ind w:left="551"/>
              <w:rPr>
                <w:rFonts w:hint="eastAsia" w:ascii="宋体" w:hAnsi="宋体" w:eastAsia="宋体" w:cs="宋体"/>
                <w:sz w:val="24"/>
                <w:szCs w:val="24"/>
                <w:highlight w:val="none"/>
              </w:rPr>
            </w:pPr>
            <w:r>
              <w:rPr>
                <w:rFonts w:hint="eastAsia" w:ascii="宋体" w:hAnsi="宋体" w:eastAsia="宋体" w:cs="宋体"/>
                <w:sz w:val="24"/>
                <w:szCs w:val="24"/>
                <w:highlight w:val="none"/>
              </w:rPr>
              <w:t>5.参加政府采购活动前三年内，在经营活动中没有重大违法记录的书面声</w:t>
            </w:r>
            <w:r>
              <w:rPr>
                <w:rFonts w:hint="eastAsia" w:ascii="宋体" w:hAnsi="宋体" w:eastAsia="宋体" w:cs="宋体"/>
                <w:spacing w:val="-1"/>
                <w:sz w:val="24"/>
                <w:szCs w:val="24"/>
                <w:highlight w:val="none"/>
              </w:rPr>
              <w:t>明。</w:t>
            </w:r>
          </w:p>
          <w:p>
            <w:pPr>
              <w:pStyle w:val="31"/>
              <w:spacing w:before="177" w:line="219" w:lineRule="auto"/>
              <w:ind w:left="54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6.“国家企业信用信息公示系统”查询截图</w:t>
            </w:r>
          </w:p>
          <w:p>
            <w:pPr>
              <w:pStyle w:val="31"/>
              <w:numPr>
                <w:ilvl w:val="0"/>
                <w:numId w:val="0"/>
              </w:numPr>
              <w:spacing w:before="177" w:line="219" w:lineRule="auto"/>
              <w:ind w:firstLine="480" w:firstLineChars="200"/>
              <w:rPr>
                <w:rFonts w:hint="eastAsia" w:ascii="宋体" w:hAnsi="宋体" w:eastAsia="宋体" w:cs="宋体"/>
                <w:spacing w:val="-1"/>
                <w:sz w:val="23"/>
                <w:szCs w:val="23"/>
                <w:highlight w:val="none"/>
              </w:rPr>
            </w:pPr>
            <w:r>
              <w:rPr>
                <w:rFonts w:hint="eastAsia" w:ascii="宋体" w:hAnsi="宋体" w:eastAsia="宋体" w:cs="宋体"/>
                <w:sz w:val="24"/>
                <w:szCs w:val="24"/>
                <w:highlight w:val="none"/>
              </w:rPr>
              <w:t>7.信用查询截图。</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65" w:type="dxa"/>
            <w:vAlign w:val="top"/>
          </w:tcPr>
          <w:p>
            <w:pPr>
              <w:spacing w:line="250" w:lineRule="auto"/>
              <w:rPr>
                <w:rFonts w:hint="eastAsia" w:ascii="宋体" w:hAnsi="宋体" w:eastAsia="宋体" w:cs="宋体"/>
                <w:sz w:val="21"/>
                <w:highlight w:val="none"/>
              </w:rPr>
            </w:pPr>
          </w:p>
          <w:p>
            <w:pPr>
              <w:spacing w:line="251" w:lineRule="auto"/>
              <w:rPr>
                <w:rFonts w:hint="eastAsia" w:ascii="宋体" w:hAnsi="宋体" w:eastAsia="宋体" w:cs="宋体"/>
                <w:sz w:val="21"/>
                <w:highlight w:val="none"/>
              </w:rPr>
            </w:pPr>
          </w:p>
          <w:p>
            <w:pPr>
              <w:spacing w:line="251" w:lineRule="auto"/>
              <w:rPr>
                <w:rFonts w:hint="eastAsia" w:ascii="宋体" w:hAnsi="宋体" w:eastAsia="宋体" w:cs="宋体"/>
                <w:sz w:val="21"/>
                <w:highlight w:val="none"/>
              </w:rPr>
            </w:pPr>
          </w:p>
          <w:p>
            <w:pPr>
              <w:spacing w:line="251" w:lineRule="auto"/>
              <w:rPr>
                <w:rFonts w:hint="eastAsia" w:ascii="宋体" w:hAnsi="宋体" w:eastAsia="宋体" w:cs="宋体"/>
                <w:sz w:val="21"/>
                <w:highlight w:val="none"/>
              </w:rPr>
            </w:pPr>
          </w:p>
          <w:p>
            <w:pPr>
              <w:spacing w:line="251" w:lineRule="auto"/>
              <w:rPr>
                <w:rFonts w:hint="eastAsia" w:ascii="宋体" w:hAnsi="宋体" w:eastAsia="宋体" w:cs="宋体"/>
                <w:sz w:val="21"/>
                <w:highlight w:val="none"/>
              </w:rPr>
            </w:pPr>
          </w:p>
          <w:p>
            <w:pPr>
              <w:spacing w:line="251" w:lineRule="auto"/>
              <w:rPr>
                <w:rFonts w:hint="eastAsia" w:ascii="宋体" w:hAnsi="宋体" w:eastAsia="宋体" w:cs="宋体"/>
                <w:sz w:val="21"/>
                <w:highlight w:val="none"/>
              </w:rPr>
            </w:pPr>
          </w:p>
          <w:p>
            <w:pPr>
              <w:pStyle w:val="31"/>
              <w:spacing w:before="78" w:line="184" w:lineRule="auto"/>
              <w:ind w:left="164" w:leftChars="0"/>
              <w:rPr>
                <w:rFonts w:hint="eastAsia" w:ascii="宋体" w:hAnsi="宋体" w:eastAsia="宋体" w:cs="宋体"/>
                <w:sz w:val="23"/>
                <w:szCs w:val="23"/>
                <w:highlight w:val="none"/>
              </w:rPr>
            </w:pPr>
            <w:r>
              <w:rPr>
                <w:rFonts w:hint="eastAsia" w:ascii="宋体" w:hAnsi="宋体" w:eastAsia="宋体" w:cs="宋体"/>
                <w:spacing w:val="-7"/>
                <w:sz w:val="24"/>
                <w:szCs w:val="24"/>
                <w:highlight w:val="none"/>
              </w:rPr>
              <w:t>11</w:t>
            </w:r>
          </w:p>
        </w:tc>
        <w:tc>
          <w:tcPr>
            <w:tcW w:w="8944" w:type="dxa"/>
            <w:vAlign w:val="top"/>
          </w:tcPr>
          <w:p>
            <w:pPr>
              <w:pStyle w:val="31"/>
              <w:spacing w:before="172" w:line="219" w:lineRule="auto"/>
              <w:ind w:left="71"/>
              <w:rPr>
                <w:rFonts w:hint="eastAsia" w:ascii="宋体" w:hAnsi="宋体" w:eastAsia="宋体" w:cs="宋体"/>
                <w:sz w:val="24"/>
                <w:szCs w:val="24"/>
                <w:highlight w:val="none"/>
              </w:rPr>
            </w:pPr>
            <w:r>
              <w:rPr>
                <w:rFonts w:hint="eastAsia" w:ascii="宋体" w:hAnsi="宋体" w:eastAsia="宋体" w:cs="宋体"/>
                <w:sz w:val="24"/>
                <w:szCs w:val="24"/>
                <w:highlight w:val="none"/>
              </w:rPr>
              <w:t>其他证明文件：</w:t>
            </w:r>
          </w:p>
          <w:p>
            <w:pPr>
              <w:pStyle w:val="31"/>
              <w:spacing w:before="184" w:line="480" w:lineRule="exact"/>
              <w:ind w:left="561"/>
              <w:rPr>
                <w:rFonts w:hint="eastAsia" w:ascii="宋体" w:hAnsi="宋体" w:eastAsia="宋体" w:cs="宋体"/>
                <w:sz w:val="24"/>
                <w:szCs w:val="24"/>
                <w:highlight w:val="none"/>
              </w:rPr>
            </w:pPr>
            <w:r>
              <w:rPr>
                <w:rFonts w:hint="eastAsia" w:ascii="宋体" w:hAnsi="宋体" w:eastAsia="宋体" w:cs="宋体"/>
                <w:spacing w:val="-1"/>
                <w:position w:val="18"/>
                <w:sz w:val="24"/>
                <w:szCs w:val="24"/>
                <w:highlight w:val="none"/>
              </w:rPr>
              <w:t>★1.磋商代表身份证明。</w:t>
            </w:r>
          </w:p>
          <w:p>
            <w:pPr>
              <w:pStyle w:val="31"/>
              <w:spacing w:line="219" w:lineRule="auto"/>
              <w:ind w:left="56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★2.提交投标承诺函。</w:t>
            </w:r>
          </w:p>
          <w:p>
            <w:pPr>
              <w:pStyle w:val="31"/>
              <w:spacing w:before="174" w:line="460" w:lineRule="exact"/>
              <w:ind w:left="551"/>
              <w:rPr>
                <w:rFonts w:hint="eastAsia" w:ascii="宋体" w:hAnsi="宋体" w:eastAsia="宋体" w:cs="宋体"/>
                <w:sz w:val="24"/>
                <w:szCs w:val="24"/>
                <w:highlight w:val="none"/>
              </w:rPr>
            </w:pPr>
            <w:r>
              <w:rPr>
                <w:rFonts w:hint="eastAsia" w:ascii="宋体" w:hAnsi="宋体" w:eastAsia="宋体" w:cs="宋体"/>
                <w:spacing w:val="-1"/>
                <w:position w:val="16"/>
                <w:sz w:val="24"/>
                <w:szCs w:val="24"/>
                <w:highlight w:val="none"/>
              </w:rPr>
              <w:t>3.项目实施方案及服务方案。</w:t>
            </w:r>
          </w:p>
          <w:p>
            <w:pPr>
              <w:pStyle w:val="31"/>
              <w:spacing w:line="219" w:lineRule="auto"/>
              <w:ind w:left="541"/>
              <w:rPr>
                <w:rFonts w:hint="eastAsia" w:ascii="宋体" w:hAnsi="宋体" w:eastAsia="宋体" w:cs="宋体"/>
                <w:sz w:val="24"/>
                <w:szCs w:val="24"/>
                <w:highlight w:val="none"/>
              </w:rPr>
            </w:pPr>
            <w:r>
              <w:rPr>
                <w:rFonts w:hint="eastAsia" w:ascii="宋体" w:hAnsi="宋体" w:eastAsia="宋体" w:cs="宋体"/>
                <w:sz w:val="24"/>
                <w:szCs w:val="24"/>
                <w:highlight w:val="none"/>
              </w:rPr>
              <w:t>4.服务承诺。</w:t>
            </w:r>
          </w:p>
          <w:p>
            <w:pPr>
              <w:pStyle w:val="31"/>
              <w:spacing w:before="174" w:line="461" w:lineRule="exact"/>
              <w:ind w:left="531"/>
              <w:rPr>
                <w:rFonts w:hint="eastAsia" w:ascii="宋体" w:hAnsi="宋体" w:eastAsia="宋体" w:cs="宋体"/>
                <w:sz w:val="24"/>
                <w:szCs w:val="24"/>
                <w:highlight w:val="none"/>
              </w:rPr>
            </w:pPr>
            <w:r>
              <w:rPr>
                <w:rFonts w:hint="eastAsia" w:ascii="宋体" w:hAnsi="宋体" w:eastAsia="宋体" w:cs="宋体"/>
                <w:position w:val="16"/>
                <w:sz w:val="24"/>
                <w:szCs w:val="24"/>
                <w:highlight w:val="none"/>
              </w:rPr>
              <w:t>5.采购项目有其它要求的，供应商应当提供符合其它要求的证明材料或者情况说</w:t>
            </w:r>
          </w:p>
          <w:p>
            <w:pPr>
              <w:pStyle w:val="31"/>
              <w:spacing w:line="219" w:lineRule="auto"/>
              <w:ind w:left="71" w:leftChars="0"/>
              <w:rPr>
                <w:rFonts w:hint="eastAsia" w:ascii="宋体" w:hAnsi="宋体" w:eastAsia="宋体" w:cs="宋体"/>
                <w:spacing w:val="3"/>
                <w:sz w:val="23"/>
                <w:szCs w:val="23"/>
                <w:highlight w:val="none"/>
              </w:rPr>
            </w:pPr>
            <w:r>
              <w:rPr>
                <w:rFonts w:hint="eastAsia" w:ascii="宋体" w:hAnsi="宋体" w:eastAsia="宋体" w:cs="宋体"/>
                <w:spacing w:val="-16"/>
                <w:sz w:val="24"/>
                <w:szCs w:val="24"/>
                <w:highlight w:val="none"/>
              </w:rPr>
              <w:t>明</w:t>
            </w:r>
            <w:r>
              <w:rPr>
                <w:rFonts w:hint="eastAsia" w:ascii="宋体" w:hAnsi="宋体" w:eastAsia="宋体" w:cs="宋体"/>
                <w:spacing w:val="-54"/>
                <w:sz w:val="24"/>
                <w:szCs w:val="24"/>
                <w:highlight w:val="none"/>
              </w:rPr>
              <w:t xml:space="preserve"> </w:t>
            </w:r>
            <w:r>
              <w:rPr>
                <w:rFonts w:hint="eastAsia" w:ascii="宋体" w:hAnsi="宋体" w:eastAsia="宋体" w:cs="宋体"/>
                <w:spacing w:val="-16"/>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65" w:type="dxa"/>
            <w:vAlign w:val="top"/>
          </w:tcPr>
          <w:p>
            <w:pPr>
              <w:spacing w:line="334" w:lineRule="auto"/>
              <w:rPr>
                <w:rFonts w:hint="eastAsia" w:ascii="宋体" w:hAnsi="宋体" w:eastAsia="宋体" w:cs="宋体"/>
                <w:sz w:val="21"/>
                <w:highlight w:val="none"/>
              </w:rPr>
            </w:pPr>
          </w:p>
          <w:p>
            <w:pPr>
              <w:pStyle w:val="31"/>
              <w:spacing w:before="78" w:line="184" w:lineRule="auto"/>
              <w:ind w:left="164" w:leftChars="0"/>
              <w:rPr>
                <w:rFonts w:hint="eastAsia" w:ascii="宋体" w:hAnsi="宋体" w:eastAsia="宋体" w:cs="宋体"/>
                <w:sz w:val="23"/>
                <w:szCs w:val="23"/>
                <w:highlight w:val="none"/>
              </w:rPr>
            </w:pPr>
            <w:r>
              <w:rPr>
                <w:rFonts w:hint="eastAsia" w:ascii="宋体" w:hAnsi="宋体" w:eastAsia="宋体" w:cs="宋体"/>
                <w:spacing w:val="-7"/>
                <w:sz w:val="24"/>
                <w:szCs w:val="24"/>
                <w:highlight w:val="none"/>
              </w:rPr>
              <w:t>12</w:t>
            </w:r>
          </w:p>
        </w:tc>
        <w:tc>
          <w:tcPr>
            <w:tcW w:w="8944" w:type="dxa"/>
            <w:vAlign w:val="top"/>
          </w:tcPr>
          <w:p>
            <w:pPr>
              <w:pStyle w:val="31"/>
              <w:spacing w:before="187" w:line="471" w:lineRule="exact"/>
              <w:rPr>
                <w:rFonts w:hint="eastAsia" w:ascii="宋体" w:hAnsi="宋体" w:eastAsia="宋体" w:cs="宋体"/>
                <w:position w:val="17"/>
                <w:sz w:val="24"/>
                <w:szCs w:val="24"/>
                <w:highlight w:val="none"/>
              </w:rPr>
            </w:pPr>
            <w:r>
              <w:rPr>
                <w:rFonts w:hint="eastAsia" w:ascii="宋体" w:hAnsi="宋体" w:eastAsia="宋体" w:cs="宋体"/>
                <w:position w:val="17"/>
                <w:sz w:val="24"/>
                <w:szCs w:val="24"/>
                <w:highlight w:val="none"/>
              </w:rPr>
              <w:t>业绩要求：投标人在投标文件中提供本单位已履行的同类设备合同业绩完整扫描件。(详见评分标准)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65" w:type="dxa"/>
            <w:vAlign w:val="top"/>
          </w:tcPr>
          <w:p>
            <w:pPr>
              <w:pStyle w:val="31"/>
              <w:spacing w:before="255" w:line="184" w:lineRule="auto"/>
              <w:ind w:left="164" w:leftChars="0"/>
              <w:rPr>
                <w:rFonts w:hint="eastAsia" w:ascii="宋体" w:hAnsi="宋体" w:eastAsia="宋体" w:cs="宋体"/>
                <w:sz w:val="23"/>
                <w:szCs w:val="23"/>
                <w:highlight w:val="none"/>
              </w:rPr>
            </w:pPr>
            <w:r>
              <w:rPr>
                <w:rFonts w:hint="eastAsia" w:ascii="宋体" w:hAnsi="宋体" w:eastAsia="宋体" w:cs="宋体"/>
                <w:spacing w:val="-7"/>
                <w:sz w:val="24"/>
                <w:szCs w:val="24"/>
                <w:highlight w:val="none"/>
              </w:rPr>
              <w:t>13</w:t>
            </w:r>
          </w:p>
        </w:tc>
        <w:tc>
          <w:tcPr>
            <w:tcW w:w="8944" w:type="dxa"/>
            <w:vAlign w:val="top"/>
          </w:tcPr>
          <w:p>
            <w:pPr>
              <w:pStyle w:val="31"/>
              <w:spacing w:before="193" w:line="219" w:lineRule="auto"/>
              <w:ind w:left="71" w:leftChars="0"/>
              <w:rPr>
                <w:rFonts w:hint="eastAsia" w:ascii="宋体" w:hAnsi="宋体" w:eastAsia="宋体" w:cs="宋体"/>
                <w:spacing w:val="3"/>
                <w:sz w:val="23"/>
                <w:szCs w:val="23"/>
                <w:highlight w:val="none"/>
              </w:rPr>
            </w:pPr>
            <w:r>
              <w:rPr>
                <w:rFonts w:hint="eastAsia" w:ascii="宋体" w:hAnsi="宋体" w:eastAsia="宋体" w:cs="宋体"/>
                <w:sz w:val="24"/>
                <w:szCs w:val="24"/>
                <w:highlight w:val="none"/>
              </w:rPr>
              <w:t>投标人需提供相应的售后服务承诺书。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65" w:type="dxa"/>
            <w:vAlign w:val="top"/>
          </w:tcPr>
          <w:p>
            <w:pPr>
              <w:spacing w:line="346" w:lineRule="auto"/>
              <w:rPr>
                <w:rFonts w:hint="eastAsia" w:ascii="宋体" w:hAnsi="宋体" w:eastAsia="宋体" w:cs="宋体"/>
                <w:sz w:val="21"/>
                <w:highlight w:val="none"/>
              </w:rPr>
            </w:pPr>
          </w:p>
          <w:p>
            <w:pPr>
              <w:pStyle w:val="31"/>
              <w:spacing w:before="78" w:line="184" w:lineRule="auto"/>
              <w:ind w:left="164" w:leftChars="0"/>
              <w:rPr>
                <w:rFonts w:hint="eastAsia" w:ascii="宋体" w:hAnsi="宋体" w:eastAsia="宋体" w:cs="宋体"/>
                <w:sz w:val="23"/>
                <w:szCs w:val="23"/>
                <w:highlight w:val="none"/>
              </w:rPr>
            </w:pPr>
            <w:r>
              <w:rPr>
                <w:rFonts w:hint="eastAsia" w:ascii="宋体" w:hAnsi="宋体" w:eastAsia="宋体" w:cs="宋体"/>
                <w:spacing w:val="-7"/>
                <w:sz w:val="24"/>
                <w:szCs w:val="24"/>
                <w:highlight w:val="none"/>
              </w:rPr>
              <w:t>14</w:t>
            </w:r>
          </w:p>
        </w:tc>
        <w:tc>
          <w:tcPr>
            <w:tcW w:w="8944" w:type="dxa"/>
            <w:vAlign w:val="top"/>
          </w:tcPr>
          <w:p>
            <w:pPr>
              <w:pStyle w:val="31"/>
              <w:spacing w:before="156" w:line="219" w:lineRule="auto"/>
              <w:ind w:left="7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★服务期限：</w:t>
            </w:r>
            <w:r>
              <w:rPr>
                <w:rFonts w:hint="eastAsia" w:cs="宋体"/>
                <w:spacing w:val="-1"/>
                <w:sz w:val="24"/>
                <w:szCs w:val="24"/>
                <w:highlight w:val="none"/>
                <w:lang w:val="en-US" w:eastAsia="zh-CN"/>
              </w:rPr>
              <w:t>12个月</w:t>
            </w:r>
            <w:r>
              <w:rPr>
                <w:rFonts w:hint="eastAsia" w:ascii="宋体" w:hAnsi="宋体" w:eastAsia="宋体" w:cs="宋体"/>
                <w:spacing w:val="-1"/>
                <w:sz w:val="24"/>
                <w:szCs w:val="24"/>
                <w:highlight w:val="none"/>
              </w:rPr>
              <w:t>。</w:t>
            </w:r>
          </w:p>
          <w:p>
            <w:pPr>
              <w:pStyle w:val="31"/>
              <w:spacing w:before="183" w:line="219" w:lineRule="auto"/>
              <w:ind w:left="71" w:leftChars="0"/>
              <w:rPr>
                <w:rFonts w:hint="eastAsia" w:ascii="宋体" w:hAnsi="宋体" w:eastAsia="宋体" w:cs="宋体"/>
                <w:spacing w:val="3"/>
                <w:sz w:val="23"/>
                <w:szCs w:val="23"/>
                <w:highlight w:val="none"/>
              </w:rPr>
            </w:pPr>
            <w:r>
              <w:rPr>
                <w:rFonts w:hint="eastAsia" w:ascii="宋体" w:hAnsi="宋体" w:eastAsia="宋体" w:cs="宋体"/>
                <w:sz w:val="24"/>
                <w:szCs w:val="24"/>
                <w:highlight w:val="none"/>
              </w:rPr>
              <w:t>★服务地点：采购人指定地点。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65" w:type="dxa"/>
            <w:vAlign w:val="top"/>
          </w:tcPr>
          <w:p>
            <w:pPr>
              <w:pStyle w:val="31"/>
              <w:spacing w:before="247" w:line="184" w:lineRule="auto"/>
              <w:ind w:left="164" w:leftChars="0"/>
              <w:rPr>
                <w:rFonts w:hint="eastAsia" w:ascii="宋体" w:hAnsi="宋体" w:eastAsia="宋体" w:cs="宋体"/>
                <w:sz w:val="23"/>
                <w:szCs w:val="23"/>
                <w:highlight w:val="none"/>
              </w:rPr>
            </w:pPr>
            <w:r>
              <w:rPr>
                <w:rFonts w:hint="eastAsia" w:ascii="宋体" w:hAnsi="宋体" w:eastAsia="宋体" w:cs="宋体"/>
                <w:spacing w:val="-7"/>
                <w:sz w:val="24"/>
                <w:szCs w:val="24"/>
                <w:highlight w:val="none"/>
              </w:rPr>
              <w:t>15</w:t>
            </w:r>
          </w:p>
        </w:tc>
        <w:tc>
          <w:tcPr>
            <w:tcW w:w="8944" w:type="dxa"/>
            <w:vAlign w:val="top"/>
          </w:tcPr>
          <w:p>
            <w:pPr>
              <w:pStyle w:val="31"/>
              <w:spacing w:before="184" w:line="220" w:lineRule="auto"/>
              <w:ind w:left="74" w:leftChars="0"/>
              <w:rPr>
                <w:rFonts w:hint="eastAsia" w:ascii="宋体" w:hAnsi="宋体" w:eastAsia="宋体" w:cs="宋体"/>
                <w:spacing w:val="3"/>
                <w:sz w:val="23"/>
                <w:szCs w:val="23"/>
                <w:highlight w:val="none"/>
              </w:rPr>
            </w:pPr>
            <w:r>
              <w:rPr>
                <w:rFonts w:hint="eastAsia" w:ascii="宋体" w:hAnsi="宋体" w:eastAsia="宋体" w:cs="宋体"/>
                <w:b/>
                <w:bCs/>
                <w:spacing w:val="-2"/>
                <w:sz w:val="24"/>
                <w:szCs w:val="24"/>
                <w:highlight w:val="none"/>
              </w:rPr>
              <w:t>★投标有效期：</w:t>
            </w:r>
            <w:r>
              <w:rPr>
                <w:rFonts w:hint="eastAsia" w:ascii="宋体" w:hAnsi="宋体" w:eastAsia="宋体" w:cs="宋体"/>
                <w:spacing w:val="-2"/>
                <w:sz w:val="24"/>
                <w:szCs w:val="24"/>
                <w:highlight w:val="none"/>
              </w:rPr>
              <w:t>从开标之日起60日历日。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65" w:type="dxa"/>
            <w:vAlign w:val="top"/>
          </w:tcPr>
          <w:p>
            <w:pPr>
              <w:spacing w:line="293" w:lineRule="auto"/>
              <w:rPr>
                <w:rFonts w:hint="eastAsia" w:ascii="宋体" w:hAnsi="宋体" w:eastAsia="宋体" w:cs="宋体"/>
                <w:sz w:val="21"/>
                <w:highlight w:val="none"/>
              </w:rPr>
            </w:pPr>
          </w:p>
          <w:p>
            <w:pPr>
              <w:spacing w:line="293" w:lineRule="auto"/>
              <w:rPr>
                <w:rFonts w:hint="eastAsia" w:ascii="宋体" w:hAnsi="宋体" w:eastAsia="宋体" w:cs="宋体"/>
                <w:sz w:val="21"/>
                <w:highlight w:val="none"/>
              </w:rPr>
            </w:pPr>
          </w:p>
          <w:p>
            <w:pPr>
              <w:pStyle w:val="31"/>
              <w:spacing w:before="78" w:line="184" w:lineRule="auto"/>
              <w:ind w:left="164" w:leftChars="0"/>
              <w:rPr>
                <w:rFonts w:hint="eastAsia" w:ascii="宋体" w:hAnsi="宋体" w:eastAsia="宋体" w:cs="宋体"/>
                <w:sz w:val="23"/>
                <w:szCs w:val="23"/>
                <w:highlight w:val="none"/>
              </w:rPr>
            </w:pPr>
            <w:r>
              <w:rPr>
                <w:rFonts w:hint="eastAsia" w:ascii="宋体" w:hAnsi="宋体" w:eastAsia="宋体" w:cs="宋体"/>
                <w:spacing w:val="-7"/>
                <w:sz w:val="24"/>
                <w:szCs w:val="24"/>
                <w:highlight w:val="none"/>
              </w:rPr>
              <w:t>16</w:t>
            </w:r>
          </w:p>
        </w:tc>
        <w:tc>
          <w:tcPr>
            <w:tcW w:w="8944" w:type="dxa"/>
            <w:vAlign w:val="top"/>
          </w:tcPr>
          <w:p>
            <w:pPr>
              <w:pStyle w:val="31"/>
              <w:spacing w:before="164" w:line="218" w:lineRule="auto"/>
              <w:ind w:left="7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★项目预算及最高限价</w:t>
            </w:r>
          </w:p>
          <w:p>
            <w:pPr>
              <w:pStyle w:val="31"/>
              <w:spacing w:before="166" w:line="480" w:lineRule="exact"/>
              <w:ind w:left="71" w:leftChars="0"/>
              <w:rPr>
                <w:rFonts w:hint="eastAsia" w:ascii="宋体" w:hAnsi="宋体" w:eastAsia="宋体" w:cs="宋体"/>
                <w:spacing w:val="3"/>
                <w:sz w:val="23"/>
                <w:szCs w:val="23"/>
                <w:highlight w:val="none"/>
              </w:rPr>
            </w:pPr>
            <w:r>
              <w:rPr>
                <w:rFonts w:hint="eastAsia" w:ascii="宋体" w:hAnsi="宋体" w:eastAsia="宋体" w:cs="宋体"/>
                <w:position w:val="18"/>
                <w:sz w:val="24"/>
                <w:szCs w:val="24"/>
                <w:highlight w:val="none"/>
              </w:rPr>
              <w:t>预算金额：1</w:t>
            </w:r>
            <w:r>
              <w:rPr>
                <w:rFonts w:hint="eastAsia" w:cs="宋体"/>
                <w:position w:val="18"/>
                <w:sz w:val="24"/>
                <w:szCs w:val="24"/>
                <w:highlight w:val="none"/>
                <w:lang w:val="en-US" w:eastAsia="zh-CN"/>
              </w:rPr>
              <w:t>5</w:t>
            </w:r>
            <w:r>
              <w:rPr>
                <w:rFonts w:hint="eastAsia" w:ascii="宋体" w:hAnsi="宋体" w:eastAsia="宋体" w:cs="宋体"/>
                <w:position w:val="18"/>
                <w:sz w:val="24"/>
                <w:szCs w:val="24"/>
                <w:highlight w:val="none"/>
              </w:rPr>
              <w:t>00000.00元，最高限价：1</w:t>
            </w:r>
            <w:r>
              <w:rPr>
                <w:rFonts w:hint="eastAsia" w:cs="宋体"/>
                <w:position w:val="18"/>
                <w:sz w:val="24"/>
                <w:szCs w:val="24"/>
                <w:highlight w:val="none"/>
                <w:lang w:val="en-US" w:eastAsia="zh-CN"/>
              </w:rPr>
              <w:t>5</w:t>
            </w:r>
            <w:r>
              <w:rPr>
                <w:rFonts w:hint="eastAsia" w:ascii="宋体" w:hAnsi="宋体" w:eastAsia="宋体" w:cs="宋体"/>
                <w:position w:val="18"/>
                <w:sz w:val="24"/>
                <w:szCs w:val="24"/>
                <w:highlight w:val="none"/>
              </w:rPr>
              <w:t>00000.00元。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65" w:type="dxa"/>
            <w:vAlign w:val="top"/>
          </w:tcPr>
          <w:p>
            <w:pPr>
              <w:spacing w:line="288" w:lineRule="auto"/>
              <w:rPr>
                <w:rFonts w:hint="eastAsia" w:ascii="宋体" w:hAnsi="宋体" w:eastAsia="宋体" w:cs="宋体"/>
                <w:sz w:val="21"/>
                <w:highlight w:val="none"/>
              </w:rPr>
            </w:pPr>
          </w:p>
          <w:p>
            <w:pPr>
              <w:spacing w:line="288" w:lineRule="auto"/>
              <w:rPr>
                <w:rFonts w:hint="eastAsia" w:ascii="宋体" w:hAnsi="宋体" w:eastAsia="宋体" w:cs="宋体"/>
                <w:sz w:val="21"/>
                <w:highlight w:val="none"/>
              </w:rPr>
            </w:pPr>
          </w:p>
          <w:p>
            <w:pPr>
              <w:pStyle w:val="31"/>
              <w:spacing w:before="78" w:line="184" w:lineRule="auto"/>
              <w:ind w:left="164" w:leftChars="0"/>
              <w:rPr>
                <w:rFonts w:hint="eastAsia" w:ascii="宋体" w:hAnsi="宋体" w:eastAsia="宋体" w:cs="宋体"/>
                <w:sz w:val="23"/>
                <w:szCs w:val="23"/>
                <w:highlight w:val="none"/>
              </w:rPr>
            </w:pPr>
            <w:r>
              <w:rPr>
                <w:rFonts w:hint="eastAsia" w:ascii="宋体" w:hAnsi="宋体" w:eastAsia="宋体" w:cs="宋体"/>
                <w:spacing w:val="-7"/>
                <w:sz w:val="24"/>
                <w:szCs w:val="24"/>
                <w:highlight w:val="none"/>
              </w:rPr>
              <w:t>17</w:t>
            </w:r>
          </w:p>
        </w:tc>
        <w:tc>
          <w:tcPr>
            <w:tcW w:w="8944" w:type="dxa"/>
            <w:vAlign w:val="top"/>
          </w:tcPr>
          <w:p>
            <w:pPr>
              <w:pStyle w:val="31"/>
              <w:spacing w:before="155" w:line="220" w:lineRule="auto"/>
              <w:ind w:left="74"/>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投标截止时间及地点：</w:t>
            </w:r>
          </w:p>
          <w:p>
            <w:pPr>
              <w:pStyle w:val="31"/>
              <w:spacing w:before="176" w:line="219" w:lineRule="auto"/>
              <w:ind w:left="7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1.时间：2024年</w:t>
            </w:r>
            <w:r>
              <w:rPr>
                <w:rFonts w:hint="eastAsia" w:cs="宋体"/>
                <w:spacing w:val="2"/>
                <w:sz w:val="24"/>
                <w:szCs w:val="24"/>
                <w:highlight w:val="none"/>
                <w:lang w:val="en-US" w:eastAsia="zh-CN"/>
              </w:rPr>
              <w:t>04</w:t>
            </w:r>
            <w:r>
              <w:rPr>
                <w:rFonts w:hint="eastAsia" w:ascii="宋体" w:hAnsi="宋体" w:eastAsia="宋体" w:cs="宋体"/>
                <w:spacing w:val="2"/>
                <w:sz w:val="24"/>
                <w:szCs w:val="24"/>
                <w:highlight w:val="none"/>
              </w:rPr>
              <w:t>月</w:t>
            </w:r>
            <w:r>
              <w:rPr>
                <w:rFonts w:hint="eastAsia" w:cs="宋体"/>
                <w:spacing w:val="2"/>
                <w:sz w:val="24"/>
                <w:szCs w:val="24"/>
                <w:highlight w:val="none"/>
                <w:lang w:val="en-US" w:eastAsia="zh-CN"/>
              </w:rPr>
              <w:t>12</w:t>
            </w:r>
            <w:r>
              <w:rPr>
                <w:rFonts w:hint="eastAsia" w:ascii="宋体" w:hAnsi="宋体" w:eastAsia="宋体" w:cs="宋体"/>
                <w:spacing w:val="2"/>
                <w:sz w:val="24"/>
                <w:szCs w:val="24"/>
                <w:highlight w:val="none"/>
              </w:rPr>
              <w:t>日09时00分(北京</w:t>
            </w:r>
            <w:r>
              <w:rPr>
                <w:rFonts w:hint="eastAsia" w:ascii="宋体" w:hAnsi="宋体" w:eastAsia="宋体" w:cs="宋体"/>
                <w:spacing w:val="1"/>
                <w:sz w:val="24"/>
                <w:szCs w:val="24"/>
                <w:highlight w:val="none"/>
              </w:rPr>
              <w:t>时间)</w:t>
            </w:r>
          </w:p>
          <w:p>
            <w:pPr>
              <w:pStyle w:val="31"/>
              <w:spacing w:before="166" w:line="214" w:lineRule="auto"/>
              <w:ind w:left="71" w:leftChars="0"/>
              <w:rPr>
                <w:rFonts w:hint="eastAsia" w:ascii="宋体" w:hAnsi="宋体" w:eastAsia="宋体" w:cs="宋体"/>
                <w:spacing w:val="3"/>
                <w:sz w:val="23"/>
                <w:szCs w:val="23"/>
                <w:highlight w:val="none"/>
              </w:rPr>
            </w:pPr>
            <w:r>
              <w:rPr>
                <w:rFonts w:hint="eastAsia" w:ascii="宋体" w:hAnsi="宋体" w:eastAsia="宋体" w:cs="宋体"/>
                <w:spacing w:val="2"/>
                <w:sz w:val="24"/>
                <w:szCs w:val="24"/>
                <w:highlight w:val="none"/>
              </w:rPr>
              <w:t>2.地点：河南省公共资源交易中心(</w:t>
            </w:r>
            <w:r>
              <w:rPr>
                <w:rFonts w:hint="eastAsia" w:ascii="宋体" w:hAnsi="宋体" w:eastAsia="宋体" w:cs="宋体"/>
                <w:sz w:val="24"/>
                <w:szCs w:val="24"/>
                <w:highlight w:val="none"/>
              </w:rPr>
              <w:t>www</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hnggzy</w:t>
            </w:r>
            <w:r>
              <w:rPr>
                <w:rFonts w:hint="eastAsia" w:ascii="宋体" w:hAnsi="宋体" w:eastAsia="宋体" w:cs="宋体"/>
                <w:spacing w:val="2"/>
                <w:sz w:val="24"/>
                <w:szCs w:val="24"/>
                <w:highlight w:val="none"/>
              </w:rPr>
              <w:t>.</w:t>
            </w:r>
            <w:r>
              <w:rPr>
                <w:rFonts w:hint="eastAsia" w:ascii="宋体" w:hAnsi="宋体" w:eastAsia="宋体" w:cs="宋体"/>
                <w:sz w:val="24"/>
                <w:szCs w:val="24"/>
                <w:highlight w:val="none"/>
              </w:rPr>
              <w:t>net</w:t>
            </w:r>
            <w:r>
              <w:rPr>
                <w:rFonts w:hint="eastAsia" w:ascii="宋体" w:hAnsi="宋体" w:eastAsia="宋体" w:cs="宋体"/>
                <w:spacing w:val="2"/>
                <w:sz w:val="24"/>
                <w:szCs w:val="24"/>
                <w:highlight w:val="none"/>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65" w:type="dxa"/>
            <w:vAlign w:val="top"/>
          </w:tcPr>
          <w:p>
            <w:pPr>
              <w:pStyle w:val="31"/>
              <w:spacing w:before="266" w:line="183" w:lineRule="auto"/>
              <w:ind w:left="234" w:leftChars="0"/>
              <w:rPr>
                <w:rFonts w:hint="default" w:ascii="宋体" w:hAnsi="宋体" w:eastAsia="宋体" w:cs="宋体"/>
                <w:sz w:val="23"/>
                <w:szCs w:val="23"/>
                <w:highlight w:val="none"/>
                <w:lang w:val="en-US" w:eastAsia="zh-CN"/>
              </w:rPr>
            </w:pPr>
            <w:r>
              <w:rPr>
                <w:rFonts w:hint="eastAsia" w:cs="宋体"/>
                <w:sz w:val="23"/>
                <w:szCs w:val="23"/>
                <w:highlight w:val="none"/>
                <w:lang w:val="en-US" w:eastAsia="zh-CN"/>
              </w:rPr>
              <w:t>18</w:t>
            </w:r>
          </w:p>
        </w:tc>
        <w:tc>
          <w:tcPr>
            <w:tcW w:w="8944" w:type="dxa"/>
            <w:vAlign w:val="top"/>
          </w:tcPr>
          <w:p>
            <w:pPr>
              <w:pStyle w:val="31"/>
              <w:spacing w:before="96" w:line="220" w:lineRule="auto"/>
              <w:ind w:left="74"/>
              <w:rPr>
                <w:rFonts w:hint="eastAsia" w:ascii="宋体" w:hAnsi="宋体" w:eastAsia="宋体" w:cs="宋体"/>
                <w:sz w:val="24"/>
                <w:szCs w:val="24"/>
                <w:highlight w:val="none"/>
              </w:rPr>
            </w:pPr>
            <w:r>
              <w:rPr>
                <w:rFonts w:hint="eastAsia" w:ascii="宋体" w:hAnsi="宋体" w:eastAsia="宋体" w:cs="宋体"/>
                <w:b/>
                <w:bCs/>
                <w:spacing w:val="-1"/>
                <w:sz w:val="24"/>
                <w:szCs w:val="24"/>
                <w:highlight w:val="none"/>
              </w:rPr>
              <w:t>开标时间及地点</w:t>
            </w:r>
          </w:p>
          <w:p>
            <w:pPr>
              <w:pStyle w:val="31"/>
              <w:spacing w:before="216" w:line="219" w:lineRule="auto"/>
              <w:ind w:left="71"/>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1.时间：2024年</w:t>
            </w:r>
            <w:r>
              <w:rPr>
                <w:rFonts w:hint="eastAsia" w:cs="宋体"/>
                <w:spacing w:val="2"/>
                <w:sz w:val="24"/>
                <w:szCs w:val="24"/>
                <w:highlight w:val="none"/>
                <w:lang w:val="en-US" w:eastAsia="zh-CN"/>
              </w:rPr>
              <w:t>04</w:t>
            </w:r>
            <w:r>
              <w:rPr>
                <w:rFonts w:hint="eastAsia" w:ascii="宋体" w:hAnsi="宋体" w:eastAsia="宋体" w:cs="宋体"/>
                <w:spacing w:val="2"/>
                <w:sz w:val="24"/>
                <w:szCs w:val="24"/>
                <w:highlight w:val="none"/>
              </w:rPr>
              <w:t>月</w:t>
            </w:r>
            <w:r>
              <w:rPr>
                <w:rFonts w:hint="eastAsia" w:cs="宋体"/>
                <w:spacing w:val="2"/>
                <w:sz w:val="24"/>
                <w:szCs w:val="24"/>
                <w:highlight w:val="none"/>
                <w:lang w:val="en-US" w:eastAsia="zh-CN"/>
              </w:rPr>
              <w:t>12</w:t>
            </w:r>
            <w:r>
              <w:rPr>
                <w:rFonts w:hint="eastAsia" w:ascii="宋体" w:hAnsi="宋体" w:eastAsia="宋体" w:cs="宋体"/>
                <w:spacing w:val="2"/>
                <w:sz w:val="24"/>
                <w:szCs w:val="24"/>
                <w:highlight w:val="none"/>
              </w:rPr>
              <w:t>日09时00分(北京</w:t>
            </w:r>
            <w:r>
              <w:rPr>
                <w:rFonts w:hint="eastAsia" w:ascii="宋体" w:hAnsi="宋体" w:eastAsia="宋体" w:cs="宋体"/>
                <w:spacing w:val="1"/>
                <w:sz w:val="24"/>
                <w:szCs w:val="24"/>
                <w:highlight w:val="none"/>
              </w:rPr>
              <w:t>时间)</w:t>
            </w:r>
          </w:p>
          <w:p>
            <w:pPr>
              <w:pStyle w:val="31"/>
              <w:spacing w:before="205" w:line="219" w:lineRule="auto"/>
              <w:ind w:left="41" w:leftChars="0"/>
              <w:rPr>
                <w:rFonts w:hint="eastAsia" w:ascii="宋体" w:hAnsi="宋体" w:eastAsia="宋体" w:cs="宋体"/>
                <w:spacing w:val="3"/>
                <w:sz w:val="23"/>
                <w:szCs w:val="23"/>
                <w:highlight w:val="none"/>
              </w:rPr>
            </w:pPr>
            <w:r>
              <w:rPr>
                <w:rFonts w:hint="eastAsia" w:ascii="宋体" w:hAnsi="宋体" w:eastAsia="宋体" w:cs="宋体"/>
                <w:sz w:val="24"/>
                <w:szCs w:val="24"/>
                <w:highlight w:val="none"/>
              </w:rPr>
              <w:t>2.地点：河南省公共资源交易中心远程开标室(六)-</w:t>
            </w:r>
            <w:r>
              <w:rPr>
                <w:rFonts w:hint="eastAsia" w:cs="宋体"/>
                <w:sz w:val="24"/>
                <w:szCs w:val="24"/>
                <w:highlight w:val="none"/>
                <w:lang w:val="en-US" w:eastAsia="zh-CN"/>
              </w:rPr>
              <w:t>6</w:t>
            </w:r>
            <w:r>
              <w:rPr>
                <w:rFonts w:hint="eastAsia" w:ascii="宋体" w:hAnsi="宋体" w:eastAsia="宋体" w:cs="宋体"/>
                <w:sz w:val="24"/>
                <w:szCs w:val="24"/>
                <w:highlight w:val="none"/>
              </w:rPr>
              <w:t>,郑州市经二路12号(经二</w:t>
            </w:r>
            <w:r>
              <w:rPr>
                <w:rFonts w:hint="eastAsia" w:ascii="宋体" w:hAnsi="宋体" w:eastAsia="宋体" w:cs="宋体"/>
                <w:spacing w:val="-1"/>
                <w:sz w:val="24"/>
                <w:szCs w:val="24"/>
                <w:highlight w:val="none"/>
              </w:rPr>
              <w:t>路与纬四路向南50米路西)。</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65" w:type="dxa"/>
            <w:vAlign w:val="top"/>
          </w:tcPr>
          <w:p>
            <w:pPr>
              <w:pStyle w:val="31"/>
              <w:spacing w:before="266" w:line="183" w:lineRule="auto"/>
              <w:ind w:left="234" w:leftChars="0"/>
              <w:rPr>
                <w:rFonts w:hint="default" w:ascii="宋体" w:hAnsi="宋体" w:eastAsia="宋体" w:cs="宋体"/>
                <w:sz w:val="23"/>
                <w:szCs w:val="23"/>
                <w:highlight w:val="none"/>
                <w:lang w:val="en-US" w:eastAsia="zh-CN"/>
              </w:rPr>
            </w:pPr>
            <w:r>
              <w:rPr>
                <w:rFonts w:hint="eastAsia" w:cs="宋体"/>
                <w:sz w:val="23"/>
                <w:szCs w:val="23"/>
                <w:highlight w:val="none"/>
                <w:lang w:val="en-US" w:eastAsia="zh-CN"/>
              </w:rPr>
              <w:t>19</w:t>
            </w:r>
          </w:p>
        </w:tc>
        <w:tc>
          <w:tcPr>
            <w:tcW w:w="8944" w:type="dxa"/>
            <w:vAlign w:val="top"/>
          </w:tcPr>
          <w:p>
            <w:pPr>
              <w:pStyle w:val="31"/>
              <w:spacing w:before="205" w:line="219" w:lineRule="auto"/>
              <w:ind w:left="41" w:leftChars="0"/>
              <w:rPr>
                <w:rFonts w:hint="eastAsia" w:ascii="宋体" w:hAnsi="宋体" w:eastAsia="宋体" w:cs="宋体"/>
                <w:spacing w:val="3"/>
                <w:sz w:val="23"/>
                <w:szCs w:val="23"/>
                <w:highlight w:val="none"/>
                <w:lang w:eastAsia="zh-CN"/>
              </w:rPr>
            </w:pPr>
            <w:r>
              <w:rPr>
                <w:rFonts w:hint="eastAsia" w:ascii="宋体" w:hAnsi="宋体" w:eastAsia="宋体" w:cs="宋体"/>
                <w:spacing w:val="-1"/>
                <w:sz w:val="24"/>
                <w:szCs w:val="24"/>
                <w:highlight w:val="none"/>
              </w:rPr>
              <w:t>采购标的所属行业：</w:t>
            </w:r>
            <w:r>
              <w:rPr>
                <w:rFonts w:hint="eastAsia" w:cs="宋体"/>
                <w:spacing w:val="-1"/>
                <w:sz w:val="24"/>
                <w:szCs w:val="24"/>
                <w:highlight w:val="none"/>
                <w:lang w:val="en-US" w:eastAsia="zh-CN"/>
              </w:rPr>
              <w:t>其他未列明行业</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65" w:type="dxa"/>
            <w:vAlign w:val="top"/>
          </w:tcPr>
          <w:p>
            <w:pPr>
              <w:pStyle w:val="31"/>
              <w:spacing w:before="266" w:line="183" w:lineRule="auto"/>
              <w:ind w:left="234" w:leftChars="0"/>
              <w:rPr>
                <w:rFonts w:hint="default" w:ascii="宋体" w:hAnsi="宋体" w:eastAsia="宋体" w:cs="宋体"/>
                <w:sz w:val="23"/>
                <w:szCs w:val="23"/>
                <w:highlight w:val="none"/>
                <w:lang w:val="en-US" w:eastAsia="zh-CN"/>
              </w:rPr>
            </w:pPr>
            <w:r>
              <w:rPr>
                <w:rFonts w:hint="eastAsia" w:cs="宋体"/>
                <w:sz w:val="23"/>
                <w:szCs w:val="23"/>
                <w:highlight w:val="none"/>
                <w:lang w:val="en-US" w:eastAsia="zh-CN"/>
              </w:rPr>
              <w:t>20</w:t>
            </w:r>
          </w:p>
        </w:tc>
        <w:tc>
          <w:tcPr>
            <w:tcW w:w="8944" w:type="dxa"/>
            <w:vAlign w:val="top"/>
          </w:tcPr>
          <w:p>
            <w:pPr>
              <w:pStyle w:val="31"/>
              <w:spacing w:before="205" w:line="219" w:lineRule="auto"/>
              <w:ind w:left="41" w:leftChars="0"/>
              <w:rPr>
                <w:rFonts w:hint="eastAsia" w:ascii="宋体" w:hAnsi="宋体" w:eastAsia="宋体" w:cs="宋体"/>
                <w:spacing w:val="-1"/>
                <w:sz w:val="24"/>
                <w:szCs w:val="24"/>
                <w:highlight w:val="none"/>
              </w:rPr>
            </w:pPr>
            <w:r>
              <w:rPr>
                <w:rFonts w:hint="eastAsia" w:ascii="宋体" w:hAnsi="宋体" w:eastAsia="宋体" w:cs="宋体"/>
                <w:spacing w:val="1"/>
                <w:sz w:val="24"/>
                <w:szCs w:val="24"/>
                <w:highlight w:val="none"/>
              </w:rPr>
              <w:t>本项是否是科研项目：否</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9709" w:type="dxa"/>
            <w:gridSpan w:val="2"/>
            <w:vAlign w:val="top"/>
          </w:tcPr>
          <w:p>
            <w:pPr>
              <w:pStyle w:val="31"/>
              <w:spacing w:before="205" w:line="219" w:lineRule="auto"/>
              <w:ind w:left="41" w:leftChars="0"/>
              <w:jc w:val="center"/>
              <w:rPr>
                <w:rFonts w:hint="eastAsia" w:ascii="宋体" w:hAnsi="宋体" w:eastAsia="宋体" w:cs="宋体"/>
                <w:spacing w:val="1"/>
                <w:sz w:val="24"/>
                <w:szCs w:val="24"/>
                <w:highlight w:val="none"/>
              </w:rPr>
            </w:pPr>
            <w:r>
              <w:rPr>
                <w:rFonts w:hint="eastAsia" w:ascii="宋体" w:hAnsi="宋体" w:eastAsia="宋体" w:cs="宋体"/>
                <w:b/>
                <w:bCs/>
                <w:spacing w:val="-7"/>
                <w:sz w:val="24"/>
                <w:szCs w:val="24"/>
                <w:highlight w:val="none"/>
              </w:rPr>
              <w:t>评</w:t>
            </w:r>
            <w:r>
              <w:rPr>
                <w:rFonts w:hint="eastAsia" w:ascii="宋体" w:hAnsi="宋体" w:eastAsia="宋体" w:cs="宋体"/>
                <w:spacing w:val="1"/>
                <w:sz w:val="24"/>
                <w:szCs w:val="24"/>
                <w:highlight w:val="none"/>
              </w:rPr>
              <w:t xml:space="preserve">         </w:t>
            </w:r>
            <w:r>
              <w:rPr>
                <w:rFonts w:hint="eastAsia" w:ascii="宋体" w:hAnsi="宋体" w:eastAsia="宋体" w:cs="宋体"/>
                <w:b/>
                <w:bCs/>
                <w:spacing w:val="-7"/>
                <w:sz w:val="24"/>
                <w:szCs w:val="24"/>
                <w:highlight w:val="none"/>
              </w:rPr>
              <w:t>标</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65" w:type="dxa"/>
            <w:vAlign w:val="top"/>
          </w:tcPr>
          <w:p>
            <w:pPr>
              <w:pStyle w:val="31"/>
              <w:spacing w:before="266" w:line="183" w:lineRule="auto"/>
              <w:ind w:left="234" w:leftChars="0"/>
              <w:rPr>
                <w:rFonts w:hint="eastAsia" w:cs="宋体"/>
                <w:sz w:val="23"/>
                <w:szCs w:val="23"/>
                <w:highlight w:val="none"/>
                <w:lang w:val="en-US" w:eastAsia="zh-CN"/>
              </w:rPr>
            </w:pPr>
          </w:p>
          <w:p>
            <w:pPr>
              <w:pStyle w:val="31"/>
              <w:spacing w:before="266" w:line="183" w:lineRule="auto"/>
              <w:ind w:left="234" w:leftChars="0"/>
              <w:rPr>
                <w:rFonts w:hint="eastAsia" w:cs="宋体"/>
                <w:sz w:val="23"/>
                <w:szCs w:val="23"/>
                <w:highlight w:val="none"/>
                <w:lang w:val="en-US" w:eastAsia="zh-CN"/>
              </w:rPr>
            </w:pPr>
          </w:p>
          <w:p>
            <w:pPr>
              <w:pStyle w:val="31"/>
              <w:spacing w:before="266" w:line="183" w:lineRule="auto"/>
              <w:ind w:left="234" w:leftChars="0"/>
              <w:rPr>
                <w:rFonts w:hint="eastAsia" w:cs="宋体"/>
                <w:sz w:val="23"/>
                <w:szCs w:val="23"/>
                <w:highlight w:val="none"/>
                <w:lang w:val="en-US" w:eastAsia="zh-CN"/>
              </w:rPr>
            </w:pPr>
          </w:p>
          <w:p>
            <w:pPr>
              <w:pStyle w:val="31"/>
              <w:spacing w:before="266" w:line="183" w:lineRule="auto"/>
              <w:ind w:left="234" w:leftChars="0"/>
              <w:rPr>
                <w:rFonts w:hint="eastAsia" w:cs="宋体"/>
                <w:sz w:val="23"/>
                <w:szCs w:val="23"/>
                <w:highlight w:val="none"/>
                <w:lang w:val="en-US" w:eastAsia="zh-CN"/>
              </w:rPr>
            </w:pPr>
          </w:p>
          <w:p>
            <w:pPr>
              <w:pStyle w:val="31"/>
              <w:spacing w:before="266" w:line="183" w:lineRule="auto"/>
              <w:ind w:left="234" w:leftChars="0"/>
              <w:rPr>
                <w:rFonts w:hint="default" w:cs="宋体"/>
                <w:sz w:val="23"/>
                <w:szCs w:val="23"/>
                <w:highlight w:val="none"/>
                <w:lang w:val="en-US" w:eastAsia="zh-CN"/>
              </w:rPr>
            </w:pPr>
            <w:r>
              <w:rPr>
                <w:rFonts w:hint="eastAsia" w:cs="宋体"/>
                <w:sz w:val="23"/>
                <w:szCs w:val="23"/>
                <w:highlight w:val="none"/>
                <w:lang w:val="en-US" w:eastAsia="zh-CN"/>
              </w:rPr>
              <w:t>21</w:t>
            </w:r>
          </w:p>
        </w:tc>
        <w:tc>
          <w:tcPr>
            <w:tcW w:w="8944" w:type="dxa"/>
            <w:vAlign w:val="top"/>
          </w:tcPr>
          <w:p>
            <w:pPr>
              <w:pStyle w:val="31"/>
              <w:spacing w:before="133" w:line="220" w:lineRule="auto"/>
              <w:ind w:left="52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一、评标方法：综合评分法</w:t>
            </w:r>
          </w:p>
          <w:p>
            <w:pPr>
              <w:pStyle w:val="31"/>
              <w:spacing w:before="193" w:line="358" w:lineRule="auto"/>
              <w:ind w:left="50" w:firstLine="47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磋商小组对资格审查及初步审查合格的投标文件进行各方面的</w:t>
            </w:r>
            <w:r>
              <w:rPr>
                <w:rFonts w:hint="eastAsia" w:ascii="宋体" w:hAnsi="宋体" w:eastAsia="宋体" w:cs="宋体"/>
                <w:spacing w:val="-3"/>
                <w:sz w:val="24"/>
                <w:szCs w:val="24"/>
                <w:highlight w:val="none"/>
              </w:rPr>
              <w:t>综合评审。每个评委</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独立评分，取评委评分的算术平均值即为每个投标人的最终得分，评委评分保留小数点</w:t>
            </w:r>
            <w:r>
              <w:rPr>
                <w:rFonts w:hint="eastAsia" w:ascii="宋体" w:hAnsi="宋体" w:eastAsia="宋体" w:cs="宋体"/>
                <w:spacing w:val="-1"/>
                <w:sz w:val="24"/>
                <w:szCs w:val="24"/>
                <w:highlight w:val="none"/>
              </w:rPr>
              <w:t>后2位。</w:t>
            </w:r>
          </w:p>
          <w:p>
            <w:pPr>
              <w:pStyle w:val="31"/>
              <w:spacing w:before="163" w:line="220" w:lineRule="auto"/>
              <w:ind w:left="521"/>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二、评标原则</w:t>
            </w:r>
          </w:p>
          <w:p>
            <w:pPr>
              <w:pStyle w:val="31"/>
              <w:spacing w:before="193" w:line="219" w:lineRule="auto"/>
              <w:ind w:left="521"/>
              <w:rPr>
                <w:rFonts w:hint="eastAsia" w:ascii="宋体" w:hAnsi="宋体" w:eastAsia="宋体" w:cs="宋体"/>
                <w:sz w:val="24"/>
                <w:szCs w:val="24"/>
                <w:highlight w:val="none"/>
              </w:rPr>
            </w:pPr>
            <w:r>
              <w:rPr>
                <w:rFonts w:hint="eastAsia" w:ascii="宋体" w:hAnsi="宋体" w:eastAsia="宋体" w:cs="宋体"/>
                <w:sz w:val="24"/>
                <w:szCs w:val="24"/>
                <w:highlight w:val="none"/>
              </w:rPr>
              <w:t>1.按照“公正、公平”的原则对待所有投标人</w:t>
            </w:r>
          </w:p>
          <w:p>
            <w:pPr>
              <w:pStyle w:val="31"/>
              <w:spacing w:before="193" w:line="219" w:lineRule="auto"/>
              <w:ind w:left="521"/>
              <w:rPr>
                <w:rFonts w:hint="eastAsia" w:ascii="宋体" w:hAnsi="宋体" w:eastAsia="宋体" w:cs="宋体"/>
                <w:sz w:val="24"/>
                <w:szCs w:val="24"/>
                <w:highlight w:val="none"/>
              </w:rPr>
            </w:pPr>
            <w:r>
              <w:rPr>
                <w:rFonts w:hint="eastAsia" w:ascii="宋体" w:hAnsi="宋体" w:eastAsia="宋体" w:cs="宋体"/>
                <w:sz w:val="24"/>
                <w:szCs w:val="24"/>
                <w:highlight w:val="none"/>
              </w:rPr>
              <w:t>2.坚持政府采购有关法律法规及磋商文件的所有相关规定，公平评标。</w:t>
            </w:r>
          </w:p>
          <w:p>
            <w:pPr>
              <w:pStyle w:val="31"/>
              <w:spacing w:before="186" w:line="470" w:lineRule="exact"/>
              <w:ind w:right="23"/>
              <w:jc w:val="right"/>
              <w:rPr>
                <w:rFonts w:hint="eastAsia" w:ascii="宋体" w:hAnsi="宋体" w:eastAsia="宋体" w:cs="宋体"/>
                <w:sz w:val="24"/>
                <w:szCs w:val="24"/>
                <w:highlight w:val="none"/>
              </w:rPr>
            </w:pPr>
            <w:r>
              <w:rPr>
                <w:rFonts w:hint="eastAsia" w:ascii="宋体" w:hAnsi="宋体" w:eastAsia="宋体" w:cs="宋体"/>
                <w:spacing w:val="1"/>
                <w:position w:val="17"/>
                <w:sz w:val="24"/>
                <w:szCs w:val="24"/>
                <w:highlight w:val="none"/>
              </w:rPr>
              <w:t>三、定标原则：磋商小组将根据综合评分高低顺序，推荐3</w:t>
            </w:r>
            <w:r>
              <w:rPr>
                <w:rFonts w:hint="eastAsia" w:ascii="宋体" w:hAnsi="宋体" w:eastAsia="宋体" w:cs="宋体"/>
                <w:position w:val="17"/>
                <w:sz w:val="24"/>
                <w:szCs w:val="24"/>
                <w:highlight w:val="none"/>
              </w:rPr>
              <w:t>名作为成交候选人，由</w:t>
            </w:r>
          </w:p>
          <w:p>
            <w:pPr>
              <w:pStyle w:val="31"/>
              <w:spacing w:before="1" w:line="218" w:lineRule="auto"/>
              <w:ind w:left="60"/>
              <w:rPr>
                <w:rFonts w:hint="eastAsia" w:ascii="宋体" w:hAnsi="宋体" w:eastAsia="宋体" w:cs="宋体"/>
                <w:sz w:val="24"/>
                <w:szCs w:val="24"/>
                <w:highlight w:val="none"/>
              </w:rPr>
            </w:pPr>
            <w:r>
              <w:rPr>
                <w:rFonts w:hint="eastAsia" w:ascii="宋体" w:hAnsi="宋体" w:eastAsia="宋体" w:cs="宋体"/>
                <w:sz w:val="24"/>
                <w:szCs w:val="24"/>
                <w:highlight w:val="none"/>
              </w:rPr>
              <w:t>采购人依法确定成交人。符合第二章第30.3条情形的，可以推荐2家成交候选供应商。</w:t>
            </w:r>
          </w:p>
          <w:p>
            <w:pPr>
              <w:pStyle w:val="31"/>
              <w:spacing w:before="194" w:line="219" w:lineRule="auto"/>
              <w:ind w:left="521"/>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四、评分细则(附后)。</w:t>
            </w:r>
          </w:p>
          <w:p>
            <w:pPr>
              <w:pStyle w:val="31"/>
              <w:spacing w:before="176" w:line="470" w:lineRule="exact"/>
              <w:jc w:val="right"/>
              <w:rPr>
                <w:rFonts w:hint="eastAsia" w:ascii="宋体" w:hAnsi="宋体" w:eastAsia="宋体" w:cs="宋体"/>
                <w:sz w:val="24"/>
                <w:szCs w:val="24"/>
                <w:highlight w:val="none"/>
              </w:rPr>
            </w:pPr>
            <w:r>
              <w:rPr>
                <w:rFonts w:hint="eastAsia" w:ascii="宋体" w:hAnsi="宋体" w:eastAsia="宋体" w:cs="宋体"/>
                <w:spacing w:val="-3"/>
                <w:position w:val="17"/>
                <w:sz w:val="24"/>
                <w:szCs w:val="24"/>
                <w:highlight w:val="none"/>
              </w:rPr>
              <w:t>五、磋商文件中资格性条款和实质性条款前已加“★”号，加“★”条款属于必须</w:t>
            </w:r>
          </w:p>
          <w:p>
            <w:pPr>
              <w:pStyle w:val="31"/>
              <w:spacing w:before="205" w:line="219" w:lineRule="auto"/>
              <w:ind w:left="41" w:leftChars="0"/>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满足项，加“★”条款不能满足磋商文件要求的投标，作无效投标</w:t>
            </w:r>
            <w:r>
              <w:rPr>
                <w:rFonts w:hint="eastAsia" w:ascii="宋体" w:hAnsi="宋体" w:eastAsia="宋体" w:cs="宋体"/>
                <w:spacing w:val="-1"/>
                <w:sz w:val="24"/>
                <w:szCs w:val="24"/>
                <w:highlight w:val="none"/>
              </w:rPr>
              <w:t>处理。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9709" w:type="dxa"/>
            <w:gridSpan w:val="2"/>
            <w:vAlign w:val="top"/>
          </w:tcPr>
          <w:p>
            <w:pPr>
              <w:pStyle w:val="31"/>
              <w:spacing w:before="205" w:line="219" w:lineRule="auto"/>
              <w:ind w:left="41" w:leftChars="0"/>
              <w:jc w:val="center"/>
              <w:rPr>
                <w:rFonts w:hint="eastAsia" w:ascii="宋体" w:hAnsi="宋体" w:eastAsia="宋体" w:cs="宋体"/>
                <w:spacing w:val="1"/>
                <w:sz w:val="24"/>
                <w:szCs w:val="24"/>
                <w:highlight w:val="none"/>
              </w:rPr>
            </w:pPr>
            <w:r>
              <w:rPr>
                <w:rFonts w:hint="eastAsia" w:ascii="宋体" w:hAnsi="宋体" w:eastAsia="宋体" w:cs="宋体"/>
                <w:b/>
                <w:bCs/>
                <w:spacing w:val="-12"/>
                <w:sz w:val="24"/>
                <w:szCs w:val="24"/>
                <w:highlight w:val="none"/>
              </w:rPr>
              <w:t>授</w:t>
            </w:r>
            <w:r>
              <w:rPr>
                <w:rFonts w:hint="eastAsia" w:ascii="宋体" w:hAnsi="宋体" w:eastAsia="宋体" w:cs="宋体"/>
                <w:spacing w:val="12"/>
                <w:sz w:val="24"/>
                <w:szCs w:val="24"/>
                <w:highlight w:val="none"/>
              </w:rPr>
              <w:t xml:space="preserve">  </w:t>
            </w:r>
            <w:r>
              <w:rPr>
                <w:rFonts w:hint="eastAsia" w:ascii="宋体" w:hAnsi="宋体" w:eastAsia="宋体" w:cs="宋体"/>
                <w:b/>
                <w:bCs/>
                <w:spacing w:val="-12"/>
                <w:sz w:val="24"/>
                <w:szCs w:val="24"/>
                <w:highlight w:val="none"/>
              </w:rPr>
              <w:t>予</w:t>
            </w:r>
            <w:r>
              <w:rPr>
                <w:rFonts w:hint="eastAsia" w:ascii="宋体" w:hAnsi="宋体" w:eastAsia="宋体" w:cs="宋体"/>
                <w:spacing w:val="9"/>
                <w:sz w:val="24"/>
                <w:szCs w:val="24"/>
                <w:highlight w:val="none"/>
              </w:rPr>
              <w:t xml:space="preserve">  </w:t>
            </w:r>
            <w:r>
              <w:rPr>
                <w:rFonts w:hint="eastAsia" w:ascii="宋体" w:hAnsi="宋体" w:eastAsia="宋体" w:cs="宋体"/>
                <w:b/>
                <w:bCs/>
                <w:spacing w:val="-12"/>
                <w:sz w:val="24"/>
                <w:szCs w:val="24"/>
                <w:highlight w:val="none"/>
              </w:rPr>
              <w:t>合</w:t>
            </w:r>
            <w:r>
              <w:rPr>
                <w:rFonts w:hint="eastAsia" w:ascii="宋体" w:hAnsi="宋体" w:eastAsia="宋体" w:cs="宋体"/>
                <w:spacing w:val="14"/>
                <w:sz w:val="24"/>
                <w:szCs w:val="24"/>
                <w:highlight w:val="none"/>
              </w:rPr>
              <w:t xml:space="preserve">   </w:t>
            </w:r>
            <w:r>
              <w:rPr>
                <w:rFonts w:hint="eastAsia" w:ascii="宋体" w:hAnsi="宋体" w:eastAsia="宋体" w:cs="宋体"/>
                <w:b/>
                <w:bCs/>
                <w:spacing w:val="-12"/>
                <w:sz w:val="24"/>
                <w:szCs w:val="24"/>
                <w:highlight w:val="none"/>
              </w:rPr>
              <w:t>同</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765" w:type="dxa"/>
            <w:vAlign w:val="center"/>
          </w:tcPr>
          <w:p>
            <w:pPr>
              <w:pStyle w:val="31"/>
              <w:spacing w:before="78" w:line="183" w:lineRule="auto"/>
              <w:jc w:val="center"/>
              <w:rPr>
                <w:rFonts w:hint="eastAsia" w:eastAsia="宋体" w:cs="宋体"/>
                <w:sz w:val="23"/>
                <w:szCs w:val="23"/>
                <w:highlight w:val="none"/>
                <w:lang w:val="en-US" w:eastAsia="zh-CN"/>
              </w:rPr>
            </w:pPr>
            <w:r>
              <w:rPr>
                <w:rFonts w:hint="eastAsia" w:ascii="宋体" w:hAnsi="宋体" w:eastAsia="宋体" w:cs="宋体"/>
                <w:spacing w:val="-4"/>
                <w:sz w:val="24"/>
                <w:szCs w:val="24"/>
                <w:highlight w:val="none"/>
              </w:rPr>
              <w:t>2</w:t>
            </w:r>
            <w:r>
              <w:rPr>
                <w:rFonts w:hint="eastAsia" w:cs="宋体"/>
                <w:spacing w:val="-4"/>
                <w:sz w:val="24"/>
                <w:szCs w:val="24"/>
                <w:highlight w:val="none"/>
                <w:lang w:val="en-US" w:eastAsia="zh-CN"/>
              </w:rPr>
              <w:t>2</w:t>
            </w:r>
          </w:p>
        </w:tc>
        <w:tc>
          <w:tcPr>
            <w:tcW w:w="8944" w:type="dxa"/>
            <w:vAlign w:val="top"/>
          </w:tcPr>
          <w:p>
            <w:pPr>
              <w:pStyle w:val="31"/>
              <w:spacing w:before="136" w:line="220" w:lineRule="auto"/>
              <w:ind w:left="34"/>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履约保证金</w:t>
            </w:r>
          </w:p>
          <w:p>
            <w:pPr>
              <w:pStyle w:val="31"/>
              <w:spacing w:before="214" w:line="218" w:lineRule="auto"/>
              <w:ind w:left="521" w:leftChars="0"/>
              <w:rPr>
                <w:rFonts w:hint="eastAsia" w:ascii="宋体" w:hAnsi="宋体" w:eastAsia="宋体" w:cs="宋体"/>
                <w:spacing w:val="1"/>
                <w:sz w:val="24"/>
                <w:szCs w:val="24"/>
                <w:highlight w:val="none"/>
              </w:rPr>
            </w:pPr>
            <w:r>
              <w:rPr>
                <w:rFonts w:hint="eastAsia" w:ascii="宋体" w:hAnsi="宋体" w:eastAsia="宋体" w:cs="宋体"/>
                <w:sz w:val="24"/>
                <w:szCs w:val="24"/>
                <w:highlight w:val="none"/>
              </w:rPr>
              <w:t>合同总价款5%的履约保函。</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8" w:hRule="atLeast"/>
        </w:trPr>
        <w:tc>
          <w:tcPr>
            <w:tcW w:w="765" w:type="dxa"/>
            <w:vAlign w:val="center"/>
          </w:tcPr>
          <w:p>
            <w:pPr>
              <w:pStyle w:val="31"/>
              <w:spacing w:before="78" w:line="183" w:lineRule="auto"/>
              <w:jc w:val="center"/>
              <w:rPr>
                <w:rFonts w:hint="eastAsia" w:eastAsia="宋体" w:cs="宋体"/>
                <w:sz w:val="23"/>
                <w:szCs w:val="23"/>
                <w:highlight w:val="none"/>
                <w:lang w:val="en-US" w:eastAsia="zh-CN"/>
              </w:rPr>
            </w:pPr>
            <w:r>
              <w:rPr>
                <w:rFonts w:hint="eastAsia" w:ascii="宋体" w:hAnsi="宋体" w:eastAsia="宋体" w:cs="宋体"/>
                <w:spacing w:val="-4"/>
                <w:sz w:val="24"/>
                <w:szCs w:val="24"/>
                <w:highlight w:val="none"/>
              </w:rPr>
              <w:t>2</w:t>
            </w:r>
            <w:r>
              <w:rPr>
                <w:rFonts w:hint="eastAsia" w:cs="宋体"/>
                <w:spacing w:val="-4"/>
                <w:sz w:val="24"/>
                <w:szCs w:val="24"/>
                <w:highlight w:val="none"/>
                <w:lang w:val="en-US" w:eastAsia="zh-CN"/>
              </w:rPr>
              <w:t>3</w:t>
            </w:r>
          </w:p>
        </w:tc>
        <w:tc>
          <w:tcPr>
            <w:tcW w:w="8944" w:type="dxa"/>
            <w:vAlign w:val="top"/>
          </w:tcPr>
          <w:p>
            <w:pPr>
              <w:pStyle w:val="31"/>
              <w:spacing w:before="179" w:line="219" w:lineRule="auto"/>
              <w:rPr>
                <w:rFonts w:hint="eastAsia" w:ascii="宋体" w:hAnsi="宋体" w:eastAsia="宋体" w:cs="宋体"/>
                <w:sz w:val="24"/>
                <w:szCs w:val="24"/>
                <w:highlight w:val="none"/>
              </w:rPr>
            </w:pPr>
            <w:r>
              <w:rPr>
                <w:rFonts w:hint="eastAsia" w:ascii="宋体" w:hAnsi="宋体" w:eastAsia="宋体" w:cs="宋体"/>
                <w:spacing w:val="-1"/>
                <w:sz w:val="24"/>
                <w:szCs w:val="24"/>
                <w:highlight w:val="none"/>
              </w:rPr>
              <w:t>付款时间和方式：甲方结合招投标文件中确认的要求，按照本合同的约定对运维 单位进行考核。考核每月1次，按考核结果出具正式的考核意见。 考核意见作为运维合同付款的依据，甲方每季度组织专家对乙方运维质量做出定性评价，甲方根据专家意见及打分情况进行资金拨付。</w:t>
            </w:r>
          </w:p>
          <w:p>
            <w:pPr>
              <w:pStyle w:val="31"/>
              <w:spacing w:before="1" w:line="218" w:lineRule="auto"/>
              <w:rPr>
                <w:rFonts w:hint="eastAsia" w:ascii="宋体" w:hAnsi="宋体" w:eastAsia="宋体" w:cs="宋体"/>
                <w:spacing w:val="1"/>
                <w:sz w:val="24"/>
                <w:szCs w:val="24"/>
                <w:highlight w:val="none"/>
              </w:rPr>
            </w:pPr>
          </w:p>
        </w:tc>
      </w:tr>
    </w:tbl>
    <w:p>
      <w:pPr>
        <w:rPr>
          <w:rFonts w:hint="eastAsia" w:ascii="宋体" w:hAnsi="宋体" w:eastAsia="宋体" w:cs="宋体"/>
          <w:highlight w:val="none"/>
        </w:rPr>
        <w:sectPr>
          <w:footerReference r:id="rId36" w:type="default"/>
          <w:pgSz w:w="11910" w:h="16840"/>
          <w:pgMar w:top="1427" w:right="1105" w:bottom="1166" w:left="1085" w:header="0" w:footer="987" w:gutter="0"/>
          <w:pgNumType w:fmt="decimal"/>
          <w:cols w:space="720" w:num="1"/>
        </w:sectPr>
      </w:pPr>
    </w:p>
    <w:p>
      <w:pPr>
        <w:pStyle w:val="3"/>
        <w:bidi w:val="0"/>
        <w:jc w:val="center"/>
        <w:rPr>
          <w:rFonts w:hint="eastAsia"/>
          <w:highlight w:val="none"/>
          <w:lang w:val="en-US" w:eastAsia="zh-CN"/>
        </w:rPr>
      </w:pPr>
      <w:bookmarkStart w:id="17" w:name="_Toc16481"/>
      <w:r>
        <w:rPr>
          <w:rFonts w:hint="eastAsia"/>
          <w:highlight w:val="none"/>
          <w:lang w:val="en-US" w:eastAsia="zh-CN"/>
        </w:rPr>
        <w:t>第六章 招标项目需求及服务要求</w:t>
      </w:r>
      <w:bookmarkEnd w:id="17"/>
    </w:p>
    <w:p>
      <w:pPr>
        <w:numPr>
          <w:ilvl w:val="0"/>
          <w:numId w:val="17"/>
        </w:numPr>
        <w:spacing w:line="360" w:lineRule="auto"/>
        <w:rPr>
          <w:b/>
          <w:bCs/>
          <w:kern w:val="2"/>
          <w:sz w:val="21"/>
          <w:szCs w:val="21"/>
          <w:highlight w:val="none"/>
        </w:rPr>
      </w:pPr>
      <w:r>
        <w:rPr>
          <w:b/>
          <w:bCs/>
          <w:kern w:val="2"/>
          <w:sz w:val="21"/>
          <w:szCs w:val="21"/>
          <w:highlight w:val="none"/>
        </w:rPr>
        <w:t>采购内容</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本项目包含安装在南阳市淅川县陶岔、五龙泉、张营、荆紫关及西峡</w:t>
      </w:r>
      <w:r>
        <w:rPr>
          <w:rFonts w:hint="eastAsia" w:ascii="仿宋" w:hAnsi="仿宋" w:eastAsia="仿宋" w:cs="仿宋"/>
          <w:spacing w:val="-6"/>
          <w:sz w:val="27"/>
          <w:szCs w:val="27"/>
          <w:highlight w:val="none"/>
          <w:lang w:val="en-US" w:eastAsia="zh-CN"/>
        </w:rPr>
        <w:t>县</w:t>
      </w:r>
      <w:r>
        <w:rPr>
          <w:rFonts w:ascii="仿宋" w:hAnsi="仿宋" w:eastAsia="仿宋" w:cs="仿宋"/>
          <w:spacing w:val="-6"/>
          <w:sz w:val="27"/>
          <w:szCs w:val="27"/>
          <w:highlight w:val="none"/>
          <w:lang w:eastAsia="zh-CN"/>
        </w:rPr>
        <w:t>三道河5个国控水质自动监测站站房内的共5台重金属在线监测仪（ICP-MS）的日常运维，采购社会化第三方运维服务。运维期为</w:t>
      </w:r>
      <w:bookmarkStart w:id="18" w:name="_Hlk132032894"/>
      <w:r>
        <w:rPr>
          <w:rFonts w:hint="eastAsia" w:ascii="仿宋" w:hAnsi="仿宋" w:eastAsia="仿宋" w:cs="仿宋"/>
          <w:spacing w:val="-6"/>
          <w:sz w:val="27"/>
          <w:szCs w:val="27"/>
          <w:highlight w:val="none"/>
          <w:lang w:val="en-US" w:eastAsia="zh-CN"/>
        </w:rPr>
        <w:t>12个月（预计时间段为</w:t>
      </w:r>
      <w:r>
        <w:rPr>
          <w:rFonts w:ascii="仿宋" w:hAnsi="仿宋" w:eastAsia="仿宋" w:cs="仿宋"/>
          <w:spacing w:val="-6"/>
          <w:sz w:val="27"/>
          <w:szCs w:val="27"/>
          <w:highlight w:val="none"/>
          <w:lang w:eastAsia="zh-CN"/>
        </w:rPr>
        <w:t>202</w:t>
      </w:r>
      <w:r>
        <w:rPr>
          <w:rFonts w:hint="eastAsia" w:ascii="仿宋" w:hAnsi="仿宋" w:eastAsia="仿宋" w:cs="仿宋"/>
          <w:spacing w:val="-6"/>
          <w:sz w:val="27"/>
          <w:szCs w:val="27"/>
          <w:highlight w:val="none"/>
          <w:lang w:val="en-US" w:eastAsia="zh-CN"/>
        </w:rPr>
        <w:t>4</w:t>
      </w:r>
      <w:r>
        <w:rPr>
          <w:rFonts w:ascii="仿宋" w:hAnsi="仿宋" w:eastAsia="仿宋" w:cs="仿宋"/>
          <w:spacing w:val="-6"/>
          <w:sz w:val="27"/>
          <w:szCs w:val="27"/>
          <w:highlight w:val="none"/>
          <w:lang w:eastAsia="zh-CN"/>
        </w:rPr>
        <w:t>年</w:t>
      </w:r>
      <w:r>
        <w:rPr>
          <w:rFonts w:hint="eastAsia" w:ascii="仿宋" w:hAnsi="仿宋" w:eastAsia="仿宋" w:cs="仿宋"/>
          <w:spacing w:val="-6"/>
          <w:sz w:val="27"/>
          <w:szCs w:val="27"/>
          <w:highlight w:val="none"/>
          <w:lang w:val="en-US" w:eastAsia="zh-CN"/>
        </w:rPr>
        <w:t>4</w:t>
      </w:r>
      <w:r>
        <w:rPr>
          <w:rFonts w:ascii="仿宋" w:hAnsi="仿宋" w:eastAsia="仿宋" w:cs="仿宋"/>
          <w:spacing w:val="-6"/>
          <w:sz w:val="27"/>
          <w:szCs w:val="27"/>
          <w:highlight w:val="none"/>
          <w:lang w:eastAsia="zh-CN"/>
        </w:rPr>
        <w:t>月起至</w:t>
      </w:r>
      <w:bookmarkStart w:id="19" w:name="_Hlk132032787"/>
      <w:r>
        <w:rPr>
          <w:rFonts w:ascii="仿宋" w:hAnsi="仿宋" w:eastAsia="仿宋" w:cs="仿宋"/>
          <w:spacing w:val="-6"/>
          <w:sz w:val="27"/>
          <w:szCs w:val="27"/>
          <w:highlight w:val="none"/>
          <w:lang w:eastAsia="zh-CN"/>
        </w:rPr>
        <w:t>202</w:t>
      </w:r>
      <w:r>
        <w:rPr>
          <w:rFonts w:hint="eastAsia" w:ascii="仿宋" w:hAnsi="仿宋" w:eastAsia="仿宋" w:cs="仿宋"/>
          <w:spacing w:val="-6"/>
          <w:sz w:val="27"/>
          <w:szCs w:val="27"/>
          <w:highlight w:val="none"/>
          <w:lang w:val="en-US" w:eastAsia="zh-CN"/>
        </w:rPr>
        <w:t>5</w:t>
      </w:r>
      <w:r>
        <w:rPr>
          <w:rFonts w:ascii="仿宋" w:hAnsi="仿宋" w:eastAsia="仿宋" w:cs="仿宋"/>
          <w:spacing w:val="-6"/>
          <w:sz w:val="27"/>
          <w:szCs w:val="27"/>
          <w:highlight w:val="none"/>
          <w:lang w:eastAsia="zh-CN"/>
        </w:rPr>
        <w:t>年</w:t>
      </w:r>
      <w:r>
        <w:rPr>
          <w:rFonts w:hint="eastAsia" w:ascii="仿宋" w:hAnsi="仿宋" w:eastAsia="仿宋" w:cs="仿宋"/>
          <w:spacing w:val="-6"/>
          <w:sz w:val="27"/>
          <w:szCs w:val="27"/>
          <w:highlight w:val="none"/>
          <w:lang w:val="en-US" w:eastAsia="zh-CN"/>
        </w:rPr>
        <w:t>3</w:t>
      </w:r>
      <w:r>
        <w:rPr>
          <w:rFonts w:ascii="仿宋" w:hAnsi="仿宋" w:eastAsia="仿宋" w:cs="仿宋"/>
          <w:spacing w:val="-6"/>
          <w:sz w:val="27"/>
          <w:szCs w:val="27"/>
          <w:highlight w:val="none"/>
          <w:lang w:eastAsia="zh-CN"/>
        </w:rPr>
        <w:t>月</w:t>
      </w:r>
      <w:bookmarkEnd w:id="19"/>
      <w:r>
        <w:rPr>
          <w:rFonts w:hint="eastAsia" w:ascii="仿宋" w:hAnsi="仿宋" w:eastAsia="仿宋" w:cs="仿宋"/>
          <w:spacing w:val="-6"/>
          <w:sz w:val="27"/>
          <w:szCs w:val="27"/>
          <w:highlight w:val="none"/>
          <w:lang w:eastAsia="zh-CN"/>
        </w:rPr>
        <w:t>）</w:t>
      </w:r>
      <w:r>
        <w:rPr>
          <w:rFonts w:ascii="仿宋" w:hAnsi="仿宋" w:eastAsia="仿宋" w:cs="仿宋"/>
          <w:spacing w:val="-6"/>
          <w:sz w:val="27"/>
          <w:szCs w:val="27"/>
          <w:highlight w:val="none"/>
          <w:lang w:eastAsia="zh-CN"/>
        </w:rPr>
        <w:t>，</w:t>
      </w:r>
      <w:bookmarkEnd w:id="18"/>
      <w:r>
        <w:rPr>
          <w:rFonts w:ascii="仿宋" w:hAnsi="仿宋" w:eastAsia="仿宋" w:cs="仿宋"/>
          <w:spacing w:val="-6"/>
          <w:sz w:val="27"/>
          <w:szCs w:val="27"/>
          <w:highlight w:val="none"/>
          <w:lang w:eastAsia="zh-CN"/>
        </w:rPr>
        <w:t>项目预算金额为</w:t>
      </w:r>
      <w:r>
        <w:rPr>
          <w:rFonts w:hint="eastAsia" w:ascii="仿宋" w:hAnsi="仿宋" w:eastAsia="仿宋" w:cs="仿宋"/>
          <w:spacing w:val="-6"/>
          <w:sz w:val="27"/>
          <w:szCs w:val="27"/>
          <w:highlight w:val="none"/>
          <w:lang w:val="en-US" w:eastAsia="zh-CN"/>
        </w:rPr>
        <w:t>150</w:t>
      </w:r>
      <w:r>
        <w:rPr>
          <w:rFonts w:ascii="仿宋" w:hAnsi="仿宋" w:eastAsia="仿宋" w:cs="仿宋"/>
          <w:spacing w:val="-6"/>
          <w:sz w:val="27"/>
          <w:szCs w:val="27"/>
          <w:highlight w:val="none"/>
          <w:lang w:eastAsia="zh-CN"/>
        </w:rPr>
        <w:t>万元。</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项目目标为确保5台重金属在线监测仪器（ICP-MS）的运行正常稳定，监测数据科学</w:t>
      </w:r>
      <w:r>
        <w:rPr>
          <w:rFonts w:hint="eastAsia" w:ascii="仿宋" w:hAnsi="仿宋" w:eastAsia="仿宋" w:cs="仿宋"/>
          <w:spacing w:val="-6"/>
          <w:sz w:val="27"/>
          <w:szCs w:val="27"/>
          <w:highlight w:val="none"/>
          <w:lang w:eastAsia="zh-CN"/>
        </w:rPr>
        <w:t>、</w:t>
      </w:r>
      <w:r>
        <w:rPr>
          <w:rFonts w:ascii="仿宋" w:hAnsi="仿宋" w:eastAsia="仿宋" w:cs="仿宋"/>
          <w:spacing w:val="-6"/>
          <w:sz w:val="27"/>
          <w:szCs w:val="27"/>
          <w:highlight w:val="none"/>
          <w:lang w:eastAsia="zh-CN"/>
        </w:rPr>
        <w:t>准确、可靠。采取全托管的方式对5台重金属在线监测仪器（ICP-MS）开展日常运维质控工作，主要内容包括：</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重金属在线监测仪器（ICP-MS）的日常运行维护，包括仪器自动监测系统的配水单元、监测单元、数据传输和分析单元、质控单元、供电供水</w:t>
      </w:r>
      <w:r>
        <w:rPr>
          <w:rFonts w:hint="eastAsia" w:ascii="仿宋" w:hAnsi="仿宋" w:eastAsia="仿宋" w:cs="仿宋"/>
          <w:spacing w:val="-6"/>
          <w:sz w:val="27"/>
          <w:szCs w:val="27"/>
          <w:highlight w:val="none"/>
          <w:lang w:val="en-US" w:eastAsia="zh-CN"/>
        </w:rPr>
        <w:t>供气</w:t>
      </w:r>
      <w:r>
        <w:rPr>
          <w:rFonts w:ascii="仿宋" w:hAnsi="仿宋" w:eastAsia="仿宋" w:cs="仿宋"/>
          <w:spacing w:val="-6"/>
          <w:sz w:val="27"/>
          <w:szCs w:val="27"/>
          <w:highlight w:val="none"/>
          <w:lang w:eastAsia="zh-CN"/>
        </w:rPr>
        <w:t>单元等</w:t>
      </w:r>
      <w:r>
        <w:rPr>
          <w:rFonts w:hint="eastAsia" w:ascii="仿宋" w:hAnsi="仿宋" w:eastAsia="仿宋" w:cs="仿宋"/>
          <w:spacing w:val="-6"/>
          <w:sz w:val="27"/>
          <w:szCs w:val="27"/>
          <w:highlight w:val="none"/>
          <w:lang w:val="en-US" w:eastAsia="zh-CN"/>
        </w:rPr>
        <w:t>相关辅助设施</w:t>
      </w:r>
      <w:r>
        <w:rPr>
          <w:rFonts w:ascii="仿宋" w:hAnsi="仿宋" w:eastAsia="仿宋" w:cs="仿宋"/>
          <w:spacing w:val="-6"/>
          <w:sz w:val="27"/>
          <w:szCs w:val="27"/>
          <w:highlight w:val="none"/>
          <w:lang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项目所在位置相关信息：</w:t>
      </w:r>
    </w:p>
    <w:tbl>
      <w:tblPr>
        <w:tblStyle w:val="16"/>
        <w:tblW w:w="888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69"/>
        <w:gridCol w:w="3552"/>
        <w:gridCol w:w="4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center"/>
          </w:tcPr>
          <w:p>
            <w:pPr>
              <w:widowControl w:val="0"/>
              <w:spacing w:line="360" w:lineRule="auto"/>
              <w:jc w:val="center"/>
              <w:rPr>
                <w:kern w:val="2"/>
                <w:sz w:val="21"/>
                <w:szCs w:val="21"/>
                <w:highlight w:val="none"/>
              </w:rPr>
            </w:pPr>
            <w:r>
              <w:rPr>
                <w:rFonts w:hint="eastAsia"/>
                <w:kern w:val="2"/>
                <w:sz w:val="21"/>
                <w:szCs w:val="21"/>
                <w:highlight w:val="none"/>
              </w:rPr>
              <w:t>仪器所在位置水站名称</w:t>
            </w:r>
          </w:p>
        </w:tc>
        <w:tc>
          <w:tcPr>
            <w:tcW w:w="3552" w:type="dxa"/>
            <w:noWrap w:val="0"/>
            <w:vAlign w:val="center"/>
          </w:tcPr>
          <w:p>
            <w:pPr>
              <w:widowControl w:val="0"/>
              <w:spacing w:line="360" w:lineRule="auto"/>
              <w:ind w:firstLine="420" w:firstLineChars="200"/>
              <w:jc w:val="center"/>
              <w:rPr>
                <w:kern w:val="2"/>
                <w:sz w:val="21"/>
                <w:szCs w:val="21"/>
                <w:highlight w:val="none"/>
              </w:rPr>
            </w:pPr>
            <w:r>
              <w:rPr>
                <w:rFonts w:hint="eastAsia"/>
                <w:kern w:val="2"/>
                <w:sz w:val="21"/>
                <w:szCs w:val="21"/>
                <w:highlight w:val="none"/>
              </w:rPr>
              <w:t>经纬度坐标</w:t>
            </w:r>
          </w:p>
        </w:tc>
        <w:tc>
          <w:tcPr>
            <w:tcW w:w="4061" w:type="dxa"/>
            <w:noWrap w:val="0"/>
            <w:vAlign w:val="center"/>
          </w:tcPr>
          <w:p>
            <w:pPr>
              <w:widowControl w:val="0"/>
              <w:spacing w:line="360" w:lineRule="auto"/>
              <w:ind w:firstLine="420" w:firstLineChars="200"/>
              <w:jc w:val="center"/>
              <w:rPr>
                <w:kern w:val="2"/>
                <w:sz w:val="21"/>
                <w:szCs w:val="21"/>
                <w:highlight w:val="none"/>
              </w:rPr>
            </w:pPr>
            <w:r>
              <w:rPr>
                <w:rFonts w:hint="eastAsia"/>
                <w:kern w:val="2"/>
                <w:sz w:val="21"/>
                <w:szCs w:val="21"/>
                <w:highlight w:val="none"/>
              </w:rPr>
              <w:t>具体位置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center"/>
          </w:tcPr>
          <w:p>
            <w:pPr>
              <w:widowControl w:val="0"/>
              <w:spacing w:line="360" w:lineRule="auto"/>
              <w:jc w:val="center"/>
              <w:rPr>
                <w:kern w:val="2"/>
                <w:sz w:val="21"/>
                <w:szCs w:val="21"/>
                <w:highlight w:val="none"/>
              </w:rPr>
            </w:pPr>
            <w:r>
              <w:rPr>
                <w:kern w:val="2"/>
                <w:sz w:val="21"/>
                <w:szCs w:val="21"/>
                <w:highlight w:val="none"/>
              </w:rPr>
              <w:t>三道河</w:t>
            </w:r>
          </w:p>
        </w:tc>
        <w:tc>
          <w:tcPr>
            <w:tcW w:w="3552" w:type="dxa"/>
            <w:noWrap w:val="0"/>
            <w:vAlign w:val="center"/>
          </w:tcPr>
          <w:p>
            <w:pPr>
              <w:widowControl w:val="0"/>
              <w:spacing w:line="360" w:lineRule="auto"/>
              <w:jc w:val="center"/>
              <w:rPr>
                <w:kern w:val="2"/>
                <w:sz w:val="21"/>
                <w:szCs w:val="21"/>
                <w:highlight w:val="none"/>
              </w:rPr>
            </w:pPr>
            <w:r>
              <w:rPr>
                <w:kern w:val="2"/>
                <w:sz w:val="21"/>
                <w:szCs w:val="21"/>
                <w:highlight w:val="none"/>
              </w:rPr>
              <w:t xml:space="preserve">经度111.179006   </w:t>
            </w:r>
            <w:r>
              <w:rPr>
                <w:rFonts w:hint="eastAsia"/>
                <w:kern w:val="2"/>
                <w:sz w:val="21"/>
                <w:szCs w:val="21"/>
                <w:highlight w:val="none"/>
              </w:rPr>
              <w:t>纬度</w:t>
            </w:r>
            <w:r>
              <w:rPr>
                <w:kern w:val="2"/>
                <w:sz w:val="21"/>
                <w:szCs w:val="21"/>
                <w:highlight w:val="none"/>
              </w:rPr>
              <w:t>33.704044</w:t>
            </w:r>
          </w:p>
        </w:tc>
        <w:tc>
          <w:tcPr>
            <w:tcW w:w="4061" w:type="dxa"/>
            <w:noWrap w:val="0"/>
            <w:vAlign w:val="center"/>
          </w:tcPr>
          <w:p>
            <w:pPr>
              <w:widowControl w:val="0"/>
              <w:spacing w:line="360" w:lineRule="auto"/>
              <w:rPr>
                <w:kern w:val="2"/>
                <w:sz w:val="21"/>
                <w:szCs w:val="21"/>
                <w:highlight w:val="none"/>
              </w:rPr>
            </w:pPr>
            <w:r>
              <w:rPr>
                <w:rFonts w:hint="eastAsia"/>
                <w:kern w:val="2"/>
                <w:sz w:val="21"/>
                <w:szCs w:val="21"/>
                <w:highlight w:val="none"/>
              </w:rPr>
              <w:t>南阳市西峡县桑坪镇黄沙村五道河村组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center"/>
          </w:tcPr>
          <w:p>
            <w:pPr>
              <w:widowControl w:val="0"/>
              <w:spacing w:line="360" w:lineRule="auto"/>
              <w:jc w:val="center"/>
              <w:rPr>
                <w:kern w:val="2"/>
                <w:sz w:val="21"/>
                <w:szCs w:val="21"/>
                <w:highlight w:val="none"/>
              </w:rPr>
            </w:pPr>
            <w:r>
              <w:rPr>
                <w:kern w:val="2"/>
                <w:sz w:val="21"/>
                <w:szCs w:val="21"/>
                <w:highlight w:val="none"/>
              </w:rPr>
              <w:t>淅川张营</w:t>
            </w:r>
          </w:p>
        </w:tc>
        <w:tc>
          <w:tcPr>
            <w:tcW w:w="3552" w:type="dxa"/>
            <w:noWrap w:val="0"/>
            <w:vAlign w:val="center"/>
          </w:tcPr>
          <w:p>
            <w:pPr>
              <w:widowControl w:val="0"/>
              <w:spacing w:line="360" w:lineRule="auto"/>
              <w:jc w:val="center"/>
              <w:rPr>
                <w:kern w:val="2"/>
                <w:sz w:val="21"/>
                <w:szCs w:val="21"/>
                <w:highlight w:val="none"/>
              </w:rPr>
            </w:pPr>
            <w:r>
              <w:rPr>
                <w:kern w:val="2"/>
                <w:sz w:val="21"/>
                <w:szCs w:val="21"/>
                <w:highlight w:val="none"/>
              </w:rPr>
              <w:t xml:space="preserve">经度111.480129   </w:t>
            </w:r>
            <w:r>
              <w:rPr>
                <w:rFonts w:hint="eastAsia"/>
                <w:kern w:val="2"/>
                <w:sz w:val="21"/>
                <w:szCs w:val="21"/>
                <w:highlight w:val="none"/>
              </w:rPr>
              <w:t>纬度</w:t>
            </w:r>
            <w:r>
              <w:rPr>
                <w:kern w:val="2"/>
                <w:sz w:val="21"/>
                <w:szCs w:val="21"/>
                <w:highlight w:val="none"/>
              </w:rPr>
              <w:t>33.045850</w:t>
            </w:r>
          </w:p>
        </w:tc>
        <w:tc>
          <w:tcPr>
            <w:tcW w:w="4061" w:type="dxa"/>
            <w:noWrap w:val="0"/>
            <w:vAlign w:val="center"/>
          </w:tcPr>
          <w:p>
            <w:pPr>
              <w:widowControl w:val="0"/>
              <w:spacing w:line="360" w:lineRule="auto"/>
              <w:rPr>
                <w:kern w:val="2"/>
                <w:sz w:val="21"/>
                <w:szCs w:val="21"/>
                <w:highlight w:val="none"/>
              </w:rPr>
            </w:pPr>
            <w:r>
              <w:rPr>
                <w:rFonts w:hint="eastAsia"/>
                <w:kern w:val="2"/>
                <w:sz w:val="21"/>
                <w:szCs w:val="21"/>
                <w:highlight w:val="none"/>
              </w:rPr>
              <w:t>南阳市淅川县上集乡贾沟村2组</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center"/>
          </w:tcPr>
          <w:p>
            <w:pPr>
              <w:widowControl w:val="0"/>
              <w:spacing w:line="360" w:lineRule="auto"/>
              <w:jc w:val="center"/>
              <w:rPr>
                <w:kern w:val="2"/>
                <w:sz w:val="21"/>
                <w:szCs w:val="21"/>
                <w:highlight w:val="none"/>
              </w:rPr>
            </w:pPr>
            <w:r>
              <w:rPr>
                <w:kern w:val="2"/>
                <w:sz w:val="21"/>
                <w:szCs w:val="21"/>
                <w:highlight w:val="none"/>
              </w:rPr>
              <w:t>陶岔</w:t>
            </w:r>
          </w:p>
        </w:tc>
        <w:tc>
          <w:tcPr>
            <w:tcW w:w="3552" w:type="dxa"/>
            <w:noWrap w:val="0"/>
            <w:vAlign w:val="center"/>
          </w:tcPr>
          <w:p>
            <w:pPr>
              <w:widowControl w:val="0"/>
              <w:spacing w:line="360" w:lineRule="auto"/>
              <w:jc w:val="center"/>
              <w:rPr>
                <w:kern w:val="2"/>
                <w:sz w:val="21"/>
                <w:szCs w:val="21"/>
                <w:highlight w:val="none"/>
              </w:rPr>
            </w:pPr>
            <w:r>
              <w:rPr>
                <w:kern w:val="2"/>
                <w:sz w:val="21"/>
                <w:szCs w:val="21"/>
                <w:highlight w:val="none"/>
              </w:rPr>
              <w:t xml:space="preserve">经度111.706141   </w:t>
            </w:r>
            <w:r>
              <w:rPr>
                <w:rFonts w:hint="eastAsia"/>
                <w:kern w:val="2"/>
                <w:sz w:val="21"/>
                <w:szCs w:val="21"/>
                <w:highlight w:val="none"/>
              </w:rPr>
              <w:t>纬度</w:t>
            </w:r>
            <w:r>
              <w:rPr>
                <w:kern w:val="2"/>
                <w:sz w:val="21"/>
                <w:szCs w:val="21"/>
                <w:highlight w:val="none"/>
              </w:rPr>
              <w:t>32.669477</w:t>
            </w:r>
          </w:p>
        </w:tc>
        <w:tc>
          <w:tcPr>
            <w:tcW w:w="4061" w:type="dxa"/>
            <w:noWrap w:val="0"/>
            <w:vAlign w:val="center"/>
          </w:tcPr>
          <w:p>
            <w:pPr>
              <w:widowControl w:val="0"/>
              <w:spacing w:line="360" w:lineRule="auto"/>
              <w:rPr>
                <w:kern w:val="2"/>
                <w:sz w:val="21"/>
                <w:szCs w:val="21"/>
                <w:highlight w:val="none"/>
              </w:rPr>
            </w:pPr>
            <w:r>
              <w:rPr>
                <w:rFonts w:hint="eastAsia"/>
                <w:kern w:val="2"/>
                <w:sz w:val="21"/>
                <w:szCs w:val="21"/>
                <w:highlight w:val="none"/>
              </w:rPr>
              <w:t>南阳市淅川县九重镇陶岔村</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center"/>
          </w:tcPr>
          <w:p>
            <w:pPr>
              <w:widowControl w:val="0"/>
              <w:spacing w:line="360" w:lineRule="auto"/>
              <w:jc w:val="center"/>
              <w:rPr>
                <w:kern w:val="2"/>
                <w:sz w:val="21"/>
                <w:szCs w:val="21"/>
                <w:highlight w:val="none"/>
              </w:rPr>
            </w:pPr>
            <w:r>
              <w:rPr>
                <w:kern w:val="2"/>
                <w:sz w:val="21"/>
                <w:szCs w:val="21"/>
                <w:highlight w:val="none"/>
              </w:rPr>
              <w:t>五龙泉</w:t>
            </w:r>
          </w:p>
        </w:tc>
        <w:tc>
          <w:tcPr>
            <w:tcW w:w="3552" w:type="dxa"/>
            <w:noWrap w:val="0"/>
            <w:vAlign w:val="center"/>
          </w:tcPr>
          <w:p>
            <w:pPr>
              <w:widowControl w:val="0"/>
              <w:spacing w:line="360" w:lineRule="auto"/>
              <w:jc w:val="center"/>
              <w:rPr>
                <w:kern w:val="2"/>
                <w:sz w:val="21"/>
                <w:szCs w:val="21"/>
                <w:highlight w:val="none"/>
              </w:rPr>
            </w:pPr>
            <w:r>
              <w:rPr>
                <w:kern w:val="2"/>
                <w:sz w:val="21"/>
                <w:szCs w:val="21"/>
                <w:highlight w:val="none"/>
              </w:rPr>
              <w:t xml:space="preserve">经度111.539829   </w:t>
            </w:r>
            <w:r>
              <w:rPr>
                <w:rFonts w:hint="eastAsia"/>
                <w:kern w:val="2"/>
                <w:sz w:val="21"/>
                <w:szCs w:val="21"/>
                <w:highlight w:val="none"/>
              </w:rPr>
              <w:t>纬度</w:t>
            </w:r>
            <w:r>
              <w:rPr>
                <w:kern w:val="2"/>
                <w:sz w:val="21"/>
                <w:szCs w:val="21"/>
                <w:highlight w:val="none"/>
              </w:rPr>
              <w:t>32.657662</w:t>
            </w:r>
          </w:p>
        </w:tc>
        <w:tc>
          <w:tcPr>
            <w:tcW w:w="4061" w:type="dxa"/>
            <w:noWrap w:val="0"/>
            <w:vAlign w:val="center"/>
          </w:tcPr>
          <w:p>
            <w:pPr>
              <w:widowControl w:val="0"/>
              <w:spacing w:line="360" w:lineRule="auto"/>
              <w:rPr>
                <w:kern w:val="2"/>
                <w:sz w:val="21"/>
                <w:szCs w:val="21"/>
                <w:highlight w:val="none"/>
              </w:rPr>
            </w:pPr>
            <w:r>
              <w:rPr>
                <w:rFonts w:hint="eastAsia"/>
                <w:kern w:val="2"/>
                <w:sz w:val="21"/>
                <w:szCs w:val="21"/>
                <w:highlight w:val="none"/>
              </w:rPr>
              <w:t>南阳市淅川县香花镇白龙沟村太子山林场</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269" w:type="dxa"/>
            <w:noWrap w:val="0"/>
            <w:vAlign w:val="center"/>
          </w:tcPr>
          <w:p>
            <w:pPr>
              <w:widowControl w:val="0"/>
              <w:spacing w:line="360" w:lineRule="auto"/>
              <w:jc w:val="center"/>
              <w:rPr>
                <w:kern w:val="2"/>
                <w:sz w:val="21"/>
                <w:szCs w:val="21"/>
                <w:highlight w:val="none"/>
              </w:rPr>
            </w:pPr>
            <w:r>
              <w:rPr>
                <w:rFonts w:hint="eastAsia"/>
                <w:kern w:val="2"/>
                <w:sz w:val="21"/>
                <w:szCs w:val="21"/>
                <w:highlight w:val="none"/>
              </w:rPr>
              <w:t>淅川</w:t>
            </w:r>
            <w:r>
              <w:rPr>
                <w:kern w:val="2"/>
                <w:sz w:val="21"/>
                <w:szCs w:val="21"/>
                <w:highlight w:val="none"/>
              </w:rPr>
              <w:t>荆</w:t>
            </w:r>
            <w:r>
              <w:rPr>
                <w:rFonts w:hint="eastAsia"/>
                <w:kern w:val="2"/>
                <w:sz w:val="21"/>
                <w:szCs w:val="21"/>
                <w:highlight w:val="none"/>
              </w:rPr>
              <w:t>紫</w:t>
            </w:r>
            <w:r>
              <w:rPr>
                <w:kern w:val="2"/>
                <w:sz w:val="21"/>
                <w:szCs w:val="21"/>
                <w:highlight w:val="none"/>
              </w:rPr>
              <w:t>关</w:t>
            </w:r>
          </w:p>
        </w:tc>
        <w:tc>
          <w:tcPr>
            <w:tcW w:w="3552" w:type="dxa"/>
            <w:noWrap w:val="0"/>
            <w:vAlign w:val="center"/>
          </w:tcPr>
          <w:p>
            <w:pPr>
              <w:widowControl w:val="0"/>
              <w:spacing w:line="360" w:lineRule="auto"/>
              <w:jc w:val="center"/>
              <w:rPr>
                <w:kern w:val="2"/>
                <w:sz w:val="21"/>
                <w:szCs w:val="21"/>
                <w:highlight w:val="none"/>
              </w:rPr>
            </w:pPr>
            <w:r>
              <w:rPr>
                <w:kern w:val="2"/>
                <w:sz w:val="21"/>
                <w:szCs w:val="21"/>
                <w:highlight w:val="none"/>
              </w:rPr>
              <w:t xml:space="preserve">经度111.003201   </w:t>
            </w:r>
            <w:r>
              <w:rPr>
                <w:rFonts w:hint="eastAsia"/>
                <w:kern w:val="2"/>
                <w:sz w:val="21"/>
                <w:szCs w:val="21"/>
                <w:highlight w:val="none"/>
              </w:rPr>
              <w:t>纬度</w:t>
            </w:r>
            <w:r>
              <w:rPr>
                <w:kern w:val="2"/>
                <w:sz w:val="21"/>
                <w:szCs w:val="21"/>
                <w:highlight w:val="none"/>
              </w:rPr>
              <w:t>33.270816</w:t>
            </w:r>
          </w:p>
        </w:tc>
        <w:tc>
          <w:tcPr>
            <w:tcW w:w="4061" w:type="dxa"/>
            <w:noWrap w:val="0"/>
            <w:vAlign w:val="center"/>
          </w:tcPr>
          <w:p>
            <w:pPr>
              <w:widowControl w:val="0"/>
              <w:spacing w:line="360" w:lineRule="auto"/>
              <w:rPr>
                <w:kern w:val="2"/>
                <w:sz w:val="21"/>
                <w:szCs w:val="21"/>
                <w:highlight w:val="none"/>
              </w:rPr>
            </w:pPr>
            <w:r>
              <w:rPr>
                <w:rFonts w:hint="eastAsia"/>
                <w:kern w:val="2"/>
                <w:sz w:val="21"/>
                <w:szCs w:val="21"/>
                <w:highlight w:val="none"/>
              </w:rPr>
              <w:t>南阳市淅川县荆紫关镇石门村柳林沟组</w:t>
            </w:r>
          </w:p>
        </w:tc>
      </w:tr>
    </w:tbl>
    <w:p>
      <w:pPr>
        <w:spacing w:line="360" w:lineRule="auto"/>
        <w:ind w:firstLine="420" w:firstLineChars="200"/>
        <w:rPr>
          <w:kern w:val="2"/>
          <w:sz w:val="21"/>
          <w:szCs w:val="21"/>
          <w:highlight w:val="none"/>
        </w:rPr>
      </w:pPr>
    </w:p>
    <w:p>
      <w:pPr>
        <w:spacing w:line="560" w:lineRule="exact"/>
        <w:ind w:firstLine="518" w:firstLineChars="200"/>
        <w:rPr>
          <w:rFonts w:ascii="仿宋" w:hAnsi="仿宋" w:eastAsia="仿宋" w:cs="仿宋"/>
          <w:b/>
          <w:bCs/>
          <w:spacing w:val="-6"/>
          <w:sz w:val="27"/>
          <w:szCs w:val="27"/>
          <w:highlight w:val="none"/>
          <w:lang w:eastAsia="zh-CN"/>
        </w:rPr>
      </w:pPr>
      <w:r>
        <w:rPr>
          <w:rFonts w:hint="eastAsia" w:ascii="仿宋" w:hAnsi="仿宋" w:eastAsia="仿宋" w:cs="仿宋"/>
          <w:b/>
          <w:bCs/>
          <w:spacing w:val="-6"/>
          <w:sz w:val="27"/>
          <w:szCs w:val="27"/>
          <w:highlight w:val="none"/>
          <w:lang w:val="en-US" w:eastAsia="zh-CN"/>
        </w:rPr>
        <w:t>二、</w:t>
      </w:r>
      <w:r>
        <w:rPr>
          <w:rFonts w:ascii="仿宋" w:hAnsi="仿宋" w:eastAsia="仿宋" w:cs="仿宋"/>
          <w:b/>
          <w:bCs/>
          <w:spacing w:val="-6"/>
          <w:sz w:val="27"/>
          <w:szCs w:val="27"/>
          <w:highlight w:val="none"/>
          <w:lang w:eastAsia="zh-CN"/>
        </w:rPr>
        <w:t>项目要求</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本项目的运维资金包括全部确保重金属在线监测仪器（ICP-MS）正常运行所需所有费用，包括重金属在线监测（ICP-MS）系统运行</w:t>
      </w:r>
      <w:r>
        <w:rPr>
          <w:rFonts w:hint="eastAsia" w:ascii="仿宋" w:hAnsi="仿宋" w:eastAsia="仿宋" w:cs="仿宋"/>
          <w:spacing w:val="-6"/>
          <w:sz w:val="27"/>
          <w:szCs w:val="27"/>
          <w:highlight w:val="none"/>
          <w:lang w:eastAsia="zh-CN"/>
        </w:rPr>
        <w:t>、</w:t>
      </w:r>
      <w:r>
        <w:rPr>
          <w:rFonts w:hint="eastAsia" w:ascii="仿宋" w:hAnsi="仿宋" w:eastAsia="仿宋" w:cs="仿宋"/>
          <w:spacing w:val="-6"/>
          <w:sz w:val="27"/>
          <w:szCs w:val="27"/>
          <w:highlight w:val="none"/>
          <w:lang w:val="en-US" w:eastAsia="zh-CN"/>
        </w:rPr>
        <w:t>维护、质控</w:t>
      </w:r>
      <w:r>
        <w:rPr>
          <w:rFonts w:ascii="仿宋" w:hAnsi="仿宋" w:eastAsia="仿宋" w:cs="仿宋"/>
          <w:spacing w:val="-6"/>
          <w:sz w:val="27"/>
          <w:szCs w:val="27"/>
          <w:highlight w:val="none"/>
          <w:lang w:eastAsia="zh-CN"/>
        </w:rPr>
        <w:t>费用，开展运行维护所需人员、车辆费用，仪器设备备品备件和耗材费用，水、电、网络等设施的每年检修、维护使用费等。</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中标方须按照本项目“三、运维要求”的规定，对重金属在线监测仪器（ICP-MS）开展运行维护，保证自动监测数据准确可靠。</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当前5台重金属在线监测仪器与所在的国控水质自动监测站采水系统共用一条采水管线，中标方须遵守</w:t>
      </w:r>
      <w:r>
        <w:rPr>
          <w:rFonts w:hint="eastAsia" w:ascii="仿宋" w:hAnsi="仿宋" w:eastAsia="仿宋" w:cs="仿宋"/>
          <w:spacing w:val="-6"/>
          <w:sz w:val="27"/>
          <w:szCs w:val="27"/>
          <w:highlight w:val="none"/>
          <w:lang w:val="en-US" w:eastAsia="zh-CN"/>
        </w:rPr>
        <w:t>所在</w:t>
      </w:r>
      <w:r>
        <w:rPr>
          <w:rFonts w:ascii="仿宋" w:hAnsi="仿宋" w:eastAsia="仿宋" w:cs="仿宋"/>
          <w:spacing w:val="-6"/>
          <w:sz w:val="27"/>
          <w:szCs w:val="27"/>
          <w:highlight w:val="none"/>
          <w:lang w:eastAsia="zh-CN"/>
        </w:rPr>
        <w:t>国控水质自动监测站的各项规章制度，爱护基础设施，不能对国控水质自动监测站</w:t>
      </w:r>
      <w:r>
        <w:rPr>
          <w:rFonts w:hint="eastAsia" w:ascii="仿宋" w:hAnsi="仿宋" w:eastAsia="仿宋" w:cs="仿宋"/>
          <w:spacing w:val="-6"/>
          <w:sz w:val="27"/>
          <w:szCs w:val="27"/>
          <w:highlight w:val="none"/>
          <w:lang w:eastAsia="zh-CN"/>
        </w:rPr>
        <w:t>内其他</w:t>
      </w:r>
      <w:r>
        <w:rPr>
          <w:rFonts w:ascii="仿宋" w:hAnsi="仿宋" w:eastAsia="仿宋" w:cs="仿宋"/>
          <w:spacing w:val="-6"/>
          <w:sz w:val="27"/>
          <w:szCs w:val="27"/>
          <w:highlight w:val="none"/>
          <w:lang w:eastAsia="zh-CN"/>
        </w:rPr>
        <w:t>仪器做任何操作，因中标方的行为造成的一切后果，由中标方独自承担。投标方须制定详细可行的运维方案，并根据制定的运维方案进行运维报价。运维报价须包括：</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1.仪器的运行维护价格（含试剂、耗材、</w:t>
      </w:r>
      <w:r>
        <w:rPr>
          <w:rFonts w:hint="eastAsia" w:ascii="仿宋" w:hAnsi="仿宋" w:eastAsia="仿宋" w:cs="仿宋"/>
          <w:spacing w:val="-6"/>
          <w:sz w:val="27"/>
          <w:szCs w:val="27"/>
          <w:highlight w:val="none"/>
          <w:lang w:val="en-US" w:eastAsia="zh-CN"/>
        </w:rPr>
        <w:t>电、气、</w:t>
      </w:r>
      <w:r>
        <w:rPr>
          <w:rFonts w:ascii="仿宋" w:hAnsi="仿宋" w:eastAsia="仿宋" w:cs="仿宋"/>
          <w:spacing w:val="-6"/>
          <w:sz w:val="27"/>
          <w:szCs w:val="27"/>
          <w:highlight w:val="none"/>
          <w:lang w:eastAsia="zh-CN"/>
        </w:rPr>
        <w:t>维修及相关备件</w:t>
      </w:r>
      <w:r>
        <w:rPr>
          <w:rFonts w:hint="eastAsia" w:ascii="仿宋" w:hAnsi="仿宋" w:eastAsia="仿宋" w:cs="仿宋"/>
          <w:spacing w:val="-6"/>
          <w:sz w:val="27"/>
          <w:szCs w:val="27"/>
          <w:highlight w:val="none"/>
          <w:lang w:val="en-US" w:eastAsia="zh-CN"/>
        </w:rPr>
        <w:t>等</w:t>
      </w:r>
      <w:r>
        <w:rPr>
          <w:rFonts w:ascii="仿宋" w:hAnsi="仿宋" w:eastAsia="仿宋" w:cs="仿宋"/>
          <w:spacing w:val="-6"/>
          <w:sz w:val="27"/>
          <w:szCs w:val="27"/>
          <w:highlight w:val="none"/>
          <w:lang w:eastAsia="zh-CN"/>
        </w:rPr>
        <w:t>）；</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2.质控系统、工控系统、传输系统的维护运行费用；</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3.仪器的基本动力费用，包括仪器</w:t>
      </w:r>
      <w:r>
        <w:rPr>
          <w:rFonts w:hint="eastAsia" w:ascii="仿宋" w:hAnsi="仿宋" w:eastAsia="仿宋" w:cs="仿宋"/>
          <w:spacing w:val="-6"/>
          <w:sz w:val="27"/>
          <w:szCs w:val="27"/>
          <w:highlight w:val="none"/>
          <w:lang w:val="en-US" w:eastAsia="zh-CN"/>
        </w:rPr>
        <w:t>网络、</w:t>
      </w:r>
      <w:r>
        <w:rPr>
          <w:rFonts w:ascii="仿宋" w:hAnsi="仿宋" w:eastAsia="仿宋" w:cs="仿宋"/>
          <w:spacing w:val="-6"/>
          <w:sz w:val="27"/>
          <w:szCs w:val="27"/>
          <w:highlight w:val="none"/>
          <w:lang w:eastAsia="zh-CN"/>
        </w:rPr>
        <w:t>电费等费用；</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4.仪器日常手工监测数据</w:t>
      </w:r>
      <w:r>
        <w:rPr>
          <w:rFonts w:hint="eastAsia" w:ascii="仿宋" w:hAnsi="仿宋" w:eastAsia="仿宋" w:cs="仿宋"/>
          <w:spacing w:val="-6"/>
          <w:sz w:val="27"/>
          <w:szCs w:val="27"/>
          <w:highlight w:val="none"/>
          <w:lang w:eastAsia="zh-CN"/>
        </w:rPr>
        <w:t>比对</w:t>
      </w:r>
      <w:r>
        <w:rPr>
          <w:rFonts w:ascii="仿宋" w:hAnsi="仿宋" w:eastAsia="仿宋" w:cs="仿宋"/>
          <w:spacing w:val="-6"/>
          <w:sz w:val="27"/>
          <w:szCs w:val="27"/>
          <w:highlight w:val="none"/>
          <w:lang w:eastAsia="zh-CN"/>
        </w:rPr>
        <w:t>、标液核查的费用；</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5.常规备品备件、耗材的费用；</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6.车辆交通及运维人员费用等；</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7.废液处理费用，包括实验室废液等费用。</w:t>
      </w:r>
    </w:p>
    <w:p>
      <w:pPr>
        <w:spacing w:line="560" w:lineRule="exact"/>
        <w:ind w:firstLine="516" w:firstLineChars="200"/>
        <w:rPr>
          <w:rFonts w:hint="default"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val="en-US" w:eastAsia="zh-CN"/>
        </w:rPr>
        <w:t>8.其他为保证仪器正常安全、运维的保障及改造等相关费用。</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运维要求</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本项目运维</w:t>
      </w:r>
      <w:r>
        <w:rPr>
          <w:rFonts w:hint="eastAsia" w:ascii="仿宋" w:hAnsi="仿宋" w:eastAsia="仿宋" w:cs="仿宋"/>
          <w:spacing w:val="-6"/>
          <w:sz w:val="27"/>
          <w:szCs w:val="27"/>
          <w:highlight w:val="none"/>
          <w:lang w:val="en-US" w:eastAsia="zh-CN"/>
        </w:rPr>
        <w:t>的</w:t>
      </w:r>
      <w:r>
        <w:rPr>
          <w:rFonts w:hint="eastAsia" w:ascii="仿宋" w:hAnsi="仿宋" w:eastAsia="仿宋" w:cs="仿宋"/>
          <w:spacing w:val="-6"/>
          <w:sz w:val="27"/>
          <w:szCs w:val="27"/>
          <w:highlight w:val="none"/>
          <w:lang w:eastAsia="zh-CN"/>
        </w:rPr>
        <w:t>5台仪器，</w:t>
      </w:r>
      <w:r>
        <w:rPr>
          <w:rFonts w:hint="eastAsia" w:ascii="仿宋" w:hAnsi="仿宋" w:eastAsia="仿宋" w:cs="仿宋"/>
          <w:spacing w:val="-6"/>
          <w:sz w:val="27"/>
          <w:szCs w:val="27"/>
          <w:highlight w:val="none"/>
          <w:lang w:val="en-US" w:eastAsia="zh-CN"/>
        </w:rPr>
        <w:t>常规运维时间为</w:t>
      </w:r>
      <w:r>
        <w:rPr>
          <w:rFonts w:ascii="仿宋" w:hAnsi="仿宋" w:eastAsia="仿宋" w:cs="仿宋"/>
          <w:spacing w:val="-6"/>
          <w:sz w:val="27"/>
          <w:szCs w:val="27"/>
          <w:highlight w:val="none"/>
          <w:lang w:eastAsia="zh-CN"/>
        </w:rPr>
        <w:t>每周至少</w:t>
      </w:r>
      <w:r>
        <w:rPr>
          <w:rFonts w:hint="eastAsia" w:ascii="仿宋" w:hAnsi="仿宋" w:eastAsia="仿宋" w:cs="仿宋"/>
          <w:spacing w:val="-6"/>
          <w:sz w:val="27"/>
          <w:szCs w:val="27"/>
          <w:highlight w:val="none"/>
          <w:lang w:eastAsia="zh-CN"/>
        </w:rPr>
        <w:t>开展</w:t>
      </w:r>
      <w:r>
        <w:rPr>
          <w:rFonts w:ascii="仿宋" w:hAnsi="仿宋" w:eastAsia="仿宋" w:cs="仿宋"/>
          <w:spacing w:val="-6"/>
          <w:sz w:val="27"/>
          <w:szCs w:val="27"/>
          <w:highlight w:val="none"/>
          <w:lang w:eastAsia="zh-CN"/>
        </w:rPr>
        <w:t>1次，2次运维工作间隔时间为4～7天；运维工作完成后所有运维工作记录及报告均须</w:t>
      </w:r>
      <w:r>
        <w:rPr>
          <w:rFonts w:hint="eastAsia" w:ascii="仿宋" w:hAnsi="仿宋" w:eastAsia="仿宋" w:cs="仿宋"/>
          <w:spacing w:val="-6"/>
          <w:sz w:val="27"/>
          <w:szCs w:val="27"/>
          <w:highlight w:val="none"/>
          <w:lang w:eastAsia="zh-CN"/>
        </w:rPr>
        <w:t>填写</w:t>
      </w:r>
      <w:r>
        <w:rPr>
          <w:rFonts w:ascii="仿宋" w:hAnsi="仿宋" w:eastAsia="仿宋" w:cs="仿宋"/>
          <w:spacing w:val="-6"/>
          <w:sz w:val="27"/>
          <w:szCs w:val="27"/>
          <w:highlight w:val="none"/>
          <w:lang w:eastAsia="zh-CN"/>
        </w:rPr>
        <w:t>纸质</w:t>
      </w:r>
      <w:r>
        <w:rPr>
          <w:rFonts w:hint="eastAsia" w:ascii="仿宋" w:hAnsi="仿宋" w:eastAsia="仿宋" w:cs="仿宋"/>
          <w:spacing w:val="-6"/>
          <w:sz w:val="27"/>
          <w:szCs w:val="27"/>
          <w:highlight w:val="none"/>
          <w:lang w:eastAsia="zh-CN"/>
        </w:rPr>
        <w:t>运维记录</w:t>
      </w:r>
      <w:r>
        <w:rPr>
          <w:rFonts w:ascii="仿宋" w:hAnsi="仿宋" w:eastAsia="仿宋" w:cs="仿宋"/>
          <w:spacing w:val="-6"/>
          <w:sz w:val="27"/>
          <w:szCs w:val="27"/>
          <w:highlight w:val="none"/>
          <w:lang w:eastAsia="zh-CN"/>
        </w:rPr>
        <w:t>。</w:t>
      </w:r>
    </w:p>
    <w:p>
      <w:pPr>
        <w:spacing w:line="560" w:lineRule="exact"/>
        <w:ind w:firstLine="516" w:firstLineChars="200"/>
        <w:rPr>
          <w:kern w:val="2"/>
          <w:sz w:val="21"/>
          <w:szCs w:val="21"/>
          <w:highlight w:val="none"/>
        </w:rPr>
      </w:pPr>
      <w:r>
        <w:rPr>
          <w:rFonts w:ascii="仿宋" w:hAnsi="仿宋" w:eastAsia="仿宋" w:cs="仿宋"/>
          <w:spacing w:val="-6"/>
          <w:sz w:val="27"/>
          <w:szCs w:val="27"/>
          <w:highlight w:val="none"/>
          <w:lang w:eastAsia="zh-CN"/>
        </w:rPr>
        <w:t>(一)运维技术</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运维技术要求按照招投标文件、《国家地表水水质自动监测站运行维护管理实施细则》《河南省地表水环境质量自动监测站管理办法》（豫环文（2020）73号）、《河南省省控仪器运行管理实施细则》</w:t>
      </w:r>
      <w:r>
        <w:rPr>
          <w:rFonts w:hint="eastAsia" w:ascii="仿宋" w:hAnsi="仿宋" w:eastAsia="仿宋" w:cs="仿宋"/>
          <w:spacing w:val="-6"/>
          <w:sz w:val="27"/>
          <w:szCs w:val="27"/>
          <w:highlight w:val="none"/>
          <w:lang w:eastAsia="zh-CN"/>
        </w:rPr>
        <w:t>、《SUPEC7010水质重金属在线监测系统-操作手册》、《HJ_7002014_水质_65种元素的测定_电感耦合等离子体质谱法》</w:t>
      </w:r>
      <w:r>
        <w:rPr>
          <w:rFonts w:ascii="仿宋" w:hAnsi="仿宋" w:eastAsia="仿宋" w:cs="仿宋"/>
          <w:spacing w:val="-6"/>
          <w:sz w:val="27"/>
          <w:szCs w:val="27"/>
          <w:highlight w:val="none"/>
          <w:lang w:eastAsia="zh-CN"/>
        </w:rPr>
        <w:t>等相关文件执行。</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1.</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采水单元</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采配水单元</w:t>
      </w:r>
      <w:r>
        <w:rPr>
          <w:rFonts w:hint="eastAsia" w:ascii="仿宋" w:hAnsi="仿宋" w:eastAsia="仿宋" w:cs="仿宋"/>
          <w:spacing w:val="-6"/>
          <w:sz w:val="27"/>
          <w:szCs w:val="27"/>
          <w:highlight w:val="none"/>
          <w:lang w:eastAsia="zh-CN"/>
        </w:rPr>
        <w:t>与当前仪器所在国控水质自动监测站共用一条管路，中标方</w:t>
      </w:r>
      <w:r>
        <w:rPr>
          <w:rFonts w:ascii="仿宋" w:hAnsi="仿宋" w:eastAsia="仿宋" w:cs="仿宋"/>
          <w:spacing w:val="-6"/>
          <w:sz w:val="27"/>
          <w:szCs w:val="27"/>
          <w:highlight w:val="none"/>
          <w:lang w:eastAsia="zh-CN"/>
        </w:rPr>
        <w:t>运维</w:t>
      </w:r>
      <w:r>
        <w:rPr>
          <w:rFonts w:hint="eastAsia" w:ascii="仿宋" w:hAnsi="仿宋" w:eastAsia="仿宋" w:cs="仿宋"/>
          <w:spacing w:val="-6"/>
          <w:sz w:val="27"/>
          <w:szCs w:val="27"/>
          <w:highlight w:val="none"/>
          <w:lang w:eastAsia="zh-CN"/>
        </w:rPr>
        <w:t>期间将采水单元纳入运维范畴，进行巡检，在被允许的情况下，可配合当前国控水质自动监测站运维单位对采水系统进行检修，中标方不得单独对采水系统进行作业，运维</w:t>
      </w:r>
      <w:r>
        <w:rPr>
          <w:rFonts w:ascii="仿宋" w:hAnsi="仿宋" w:eastAsia="仿宋" w:cs="仿宋"/>
          <w:spacing w:val="-6"/>
          <w:sz w:val="27"/>
          <w:szCs w:val="27"/>
          <w:highlight w:val="none"/>
          <w:lang w:eastAsia="zh-CN"/>
        </w:rPr>
        <w:t>频次为1周1次</w:t>
      </w:r>
      <w:r>
        <w:rPr>
          <w:rFonts w:hint="eastAsia" w:ascii="仿宋" w:hAnsi="仿宋" w:eastAsia="仿宋" w:cs="仿宋"/>
          <w:spacing w:val="-6"/>
          <w:sz w:val="27"/>
          <w:szCs w:val="27"/>
          <w:highlight w:val="none"/>
          <w:lang w:eastAsia="zh-CN"/>
        </w:rPr>
        <w:t>，</w:t>
      </w:r>
      <w:r>
        <w:rPr>
          <w:rFonts w:ascii="仿宋" w:hAnsi="仿宋" w:eastAsia="仿宋" w:cs="仿宋"/>
          <w:spacing w:val="-6"/>
          <w:sz w:val="27"/>
          <w:szCs w:val="27"/>
          <w:highlight w:val="none"/>
          <w:lang w:eastAsia="zh-CN"/>
        </w:rPr>
        <w:t>保证采水系统正常运行。</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2.</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配水单元</w:t>
      </w:r>
      <w:r>
        <w:rPr>
          <w:rFonts w:ascii="仿宋" w:hAnsi="仿宋" w:eastAsia="仿宋" w:cs="仿宋"/>
          <w:spacing w:val="-6"/>
          <w:sz w:val="27"/>
          <w:szCs w:val="27"/>
          <w:highlight w:val="none"/>
          <w:lang w:eastAsia="zh-CN"/>
        </w:rPr>
        <w:tab/>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配水单元运维频次为1周1次，须确保系统管路清洁，设备运行正常。</w:t>
      </w:r>
    </w:p>
    <w:p>
      <w:pPr>
        <w:spacing w:line="560" w:lineRule="exact"/>
        <w:ind w:firstLine="516" w:firstLineChars="200"/>
        <w:rPr>
          <w:rFonts w:hint="eastAsia"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（1）检查气泵和清水增压泵工作情况</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ascii="仿宋" w:hAnsi="仿宋" w:eastAsia="仿宋" w:cs="仿宋"/>
          <w:spacing w:val="-6"/>
          <w:sz w:val="27"/>
          <w:szCs w:val="27"/>
          <w:highlight w:val="none"/>
          <w:lang w:eastAsia="zh-CN"/>
        </w:rPr>
        <w:t>（2）每周至少对重金属在线监测仪器（ICP-MS）所使用的沉淀池、测量杯、过滤器芯</w:t>
      </w:r>
      <w:r>
        <w:rPr>
          <w:rFonts w:hint="eastAsia" w:ascii="仿宋" w:hAnsi="仿宋" w:eastAsia="仿宋" w:cs="仿宋"/>
          <w:spacing w:val="-6"/>
          <w:sz w:val="27"/>
          <w:szCs w:val="27"/>
          <w:highlight w:val="none"/>
          <w:lang w:eastAsia="zh-CN"/>
        </w:rPr>
        <w:t>、</w:t>
      </w:r>
      <w:r>
        <w:rPr>
          <w:rFonts w:hint="eastAsia" w:ascii="仿宋" w:hAnsi="仿宋" w:eastAsia="仿宋" w:cs="仿宋"/>
          <w:spacing w:val="-6"/>
          <w:sz w:val="27"/>
          <w:szCs w:val="27"/>
          <w:highlight w:val="none"/>
          <w:lang w:val="en-US" w:eastAsia="zh-CN"/>
        </w:rPr>
        <w:t>冷水机</w:t>
      </w:r>
      <w:r>
        <w:rPr>
          <w:rFonts w:ascii="仿宋" w:hAnsi="仿宋" w:eastAsia="仿宋" w:cs="仿宋"/>
          <w:spacing w:val="-6"/>
          <w:sz w:val="27"/>
          <w:szCs w:val="27"/>
          <w:highlight w:val="none"/>
          <w:lang w:eastAsia="zh-CN"/>
        </w:rPr>
        <w:t>等进行1次清洗</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（3）检查仪器配水管路是否有滴漏现象并根据样品污染情况进行清洗</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ascii="仿宋" w:hAnsi="仿宋" w:eastAsia="仿宋" w:cs="仿宋"/>
          <w:spacing w:val="-6"/>
          <w:sz w:val="27"/>
          <w:szCs w:val="27"/>
          <w:highlight w:val="none"/>
          <w:lang w:eastAsia="zh-CN"/>
        </w:rPr>
        <w:t>（4）检查仪器配水管路中所有球阀，清除阀内杂物，清洗阀体，确保阀体洁净</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ascii="仿宋" w:hAnsi="仿宋" w:eastAsia="仿宋" w:cs="仿宋"/>
          <w:spacing w:val="-6"/>
          <w:sz w:val="27"/>
          <w:szCs w:val="27"/>
          <w:highlight w:val="none"/>
          <w:lang w:eastAsia="zh-CN"/>
        </w:rPr>
        <w:t>（5）空气压缩机：每周检查气泵和增压泵工作状况</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（6）电动球阀：至少</w:t>
      </w:r>
      <w:r>
        <w:rPr>
          <w:rFonts w:hint="eastAsia" w:ascii="仿宋" w:hAnsi="仿宋" w:eastAsia="仿宋" w:cs="仿宋"/>
          <w:spacing w:val="-6"/>
          <w:sz w:val="27"/>
          <w:szCs w:val="27"/>
          <w:highlight w:val="none"/>
          <w:lang w:eastAsia="zh-CN"/>
        </w:rPr>
        <w:t>1</w:t>
      </w:r>
      <w:r>
        <w:rPr>
          <w:rFonts w:ascii="仿宋" w:hAnsi="仿宋" w:eastAsia="仿宋" w:cs="仿宋"/>
          <w:spacing w:val="-6"/>
          <w:sz w:val="27"/>
          <w:szCs w:val="27"/>
          <w:highlight w:val="none"/>
          <w:lang w:eastAsia="zh-CN"/>
        </w:rPr>
        <w:t>月1次，确保清洗后电动球阀吸合自如，无堵塞和渗漏。将电动球阀手动拆下，用试管刷清洗后，将电动球阀装回管路。开启组态单阀测试程序，单独控制阀门开关，检查阀门开关时间是否符合要求。必要情况下替换电动球阀</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ascii="仿宋" w:hAnsi="仿宋" w:eastAsia="仿宋" w:cs="仿宋"/>
          <w:spacing w:val="-6"/>
          <w:sz w:val="27"/>
          <w:szCs w:val="27"/>
          <w:highlight w:val="none"/>
          <w:lang w:eastAsia="zh-CN"/>
        </w:rPr>
        <w:t>（7）单向阀清洗：至少</w:t>
      </w:r>
      <w:r>
        <w:rPr>
          <w:rFonts w:hint="eastAsia" w:ascii="仿宋" w:hAnsi="仿宋" w:eastAsia="仿宋" w:cs="仿宋"/>
          <w:spacing w:val="-6"/>
          <w:sz w:val="27"/>
          <w:szCs w:val="27"/>
          <w:highlight w:val="none"/>
          <w:lang w:eastAsia="zh-CN"/>
        </w:rPr>
        <w:t>1</w:t>
      </w:r>
      <w:r>
        <w:rPr>
          <w:rFonts w:ascii="仿宋" w:hAnsi="仿宋" w:eastAsia="仿宋" w:cs="仿宋"/>
          <w:spacing w:val="-6"/>
          <w:sz w:val="27"/>
          <w:szCs w:val="27"/>
          <w:highlight w:val="none"/>
          <w:lang w:eastAsia="zh-CN"/>
        </w:rPr>
        <w:t>月1次，确保清洗后电动球阀吸合正常，无堵塞和渗漏，必要情况更换单向阀</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（8）清洗更换过滤装置：2周1次，确保</w:t>
      </w:r>
      <w:r>
        <w:rPr>
          <w:rFonts w:hint="eastAsia" w:ascii="仿宋" w:hAnsi="仿宋" w:eastAsia="仿宋" w:cs="仿宋"/>
          <w:spacing w:val="-6"/>
          <w:sz w:val="27"/>
          <w:szCs w:val="27"/>
          <w:highlight w:val="none"/>
          <w:lang w:eastAsia="zh-CN"/>
        </w:rPr>
        <w:t>100微米和0.45微米</w:t>
      </w:r>
      <w:r>
        <w:rPr>
          <w:rFonts w:ascii="仿宋" w:hAnsi="仿宋" w:eastAsia="仿宋" w:cs="仿宋"/>
          <w:spacing w:val="-6"/>
          <w:sz w:val="27"/>
          <w:szCs w:val="27"/>
          <w:highlight w:val="none"/>
          <w:lang w:eastAsia="zh-CN"/>
        </w:rPr>
        <w:t>过滤装置</w:t>
      </w:r>
      <w:r>
        <w:rPr>
          <w:rFonts w:hint="eastAsia" w:ascii="仿宋" w:hAnsi="仿宋" w:eastAsia="仿宋" w:cs="仿宋"/>
          <w:spacing w:val="-6"/>
          <w:sz w:val="27"/>
          <w:szCs w:val="27"/>
          <w:highlight w:val="none"/>
          <w:lang w:val="en-US" w:eastAsia="zh-CN"/>
        </w:rPr>
        <w:t>符合仪器运行要求</w:t>
      </w:r>
      <w:r>
        <w:rPr>
          <w:rFonts w:ascii="仿宋" w:hAnsi="仿宋" w:eastAsia="仿宋" w:cs="仿宋"/>
          <w:spacing w:val="-6"/>
          <w:sz w:val="27"/>
          <w:szCs w:val="27"/>
          <w:highlight w:val="none"/>
          <w:lang w:eastAsia="zh-CN"/>
        </w:rPr>
        <w:t>。</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3.</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重金属在线监测仪器（ICP-MS）</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3.1</w:t>
      </w:r>
      <w:r>
        <w:rPr>
          <w:rFonts w:ascii="仿宋" w:hAnsi="仿宋" w:eastAsia="仿宋" w:cs="仿宋"/>
          <w:spacing w:val="-6"/>
          <w:sz w:val="27"/>
          <w:szCs w:val="27"/>
          <w:highlight w:val="none"/>
          <w:lang w:eastAsia="zh-CN"/>
        </w:rPr>
        <w:t>控制单元工控机检查</w:t>
      </w:r>
      <w:r>
        <w:rPr>
          <w:rFonts w:ascii="仿宋" w:hAnsi="仿宋" w:eastAsia="仿宋" w:cs="仿宋"/>
          <w:spacing w:val="-6"/>
          <w:sz w:val="27"/>
          <w:szCs w:val="27"/>
          <w:highlight w:val="none"/>
          <w:lang w:eastAsia="zh-CN"/>
        </w:rPr>
        <w:tab/>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至少1月1次，确保工控机运行正常。</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1)</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检查开机过程中硬件自检过程是否有异常数据传输和报警。</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2)</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强制切断电源后复电工控机是否可以自动启动；并运行工控机系统、加载运行软件，串口连接是否正常。</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3)</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插入备份硬盘，用软件备份操作系统。将备份好的操作系统和分区D内的文件拷贝到备份移动硬盘上。系统备份至少每月1次。</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4)</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断电后清洁工控机，打开后盖，用细毛刷清除工控机灰尘。</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5)</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定期对杀毒软件升级，专机专用，禁止从事与工作无关的活动。</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6)</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装回工控机重复1）、2）步骤。</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3.2</w:t>
      </w:r>
      <w:r>
        <w:rPr>
          <w:rFonts w:ascii="仿宋" w:hAnsi="仿宋" w:eastAsia="仿宋" w:cs="仿宋"/>
          <w:spacing w:val="-6"/>
          <w:sz w:val="27"/>
          <w:szCs w:val="27"/>
          <w:highlight w:val="none"/>
          <w:lang w:eastAsia="zh-CN"/>
        </w:rPr>
        <w:t>通讯检查</w:t>
      </w:r>
    </w:p>
    <w:p>
      <w:pPr>
        <w:spacing w:line="560" w:lineRule="exact"/>
        <w:ind w:firstLine="516" w:firstLineChars="200"/>
        <w:rPr>
          <w:rFonts w:hint="default"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val="en-US" w:eastAsia="zh-CN"/>
        </w:rPr>
        <w:t>每周一次，确保通讯正常。</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1)</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确保工控机各个串口和PLC、数采仪、分析仪器连接一一对应正确且牢固。</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2)</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VPN网络设备检查，保证通讯畅通。</w:t>
      </w:r>
    </w:p>
    <w:p>
      <w:pPr>
        <w:spacing w:line="560" w:lineRule="exact"/>
        <w:ind w:firstLine="258" w:firstLineChars="1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3.3</w:t>
      </w:r>
      <w:r>
        <w:rPr>
          <w:rFonts w:ascii="仿宋" w:hAnsi="仿宋" w:eastAsia="仿宋" w:cs="仿宋"/>
          <w:spacing w:val="-6"/>
          <w:sz w:val="27"/>
          <w:szCs w:val="27"/>
          <w:highlight w:val="none"/>
          <w:lang w:eastAsia="zh-CN"/>
        </w:rPr>
        <w:t>辅助单元</w:t>
      </w:r>
    </w:p>
    <w:p>
      <w:pPr>
        <w:spacing w:line="560" w:lineRule="exact"/>
        <w:ind w:firstLine="516" w:firstLineChars="200"/>
        <w:rPr>
          <w:rFonts w:hint="default"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val="en-US" w:eastAsia="zh-CN"/>
        </w:rPr>
        <w:t>每周一次，确保辅助单元正常工作。</w:t>
      </w:r>
    </w:p>
    <w:p>
      <w:pPr>
        <w:spacing w:line="560" w:lineRule="exact"/>
        <w:ind w:firstLine="516" w:firstLineChars="200"/>
        <w:rPr>
          <w:rFonts w:ascii="仿宋" w:hAnsi="仿宋" w:eastAsia="仿宋" w:cs="仿宋"/>
          <w:spacing w:val="-6"/>
          <w:sz w:val="27"/>
          <w:szCs w:val="27"/>
          <w:highlight w:val="none"/>
          <w:lang w:eastAsia="zh-CN"/>
        </w:rPr>
      </w:pPr>
      <w:r>
        <w:rPr>
          <w:rFonts w:ascii="仿宋" w:hAnsi="仿宋" w:eastAsia="仿宋" w:cs="仿宋"/>
          <w:spacing w:val="-6"/>
          <w:sz w:val="27"/>
          <w:szCs w:val="27"/>
          <w:highlight w:val="none"/>
          <w:lang w:eastAsia="zh-CN"/>
        </w:rPr>
        <w:t>1)</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面板开关检查：检查控制柜前面板开关和指示灯确保其工作正常。</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2</w:t>
      </w:r>
      <w:r>
        <w:rPr>
          <w:rFonts w:ascii="仿宋" w:hAnsi="仿宋" w:eastAsia="仿宋" w:cs="仿宋"/>
          <w:spacing w:val="-6"/>
          <w:sz w:val="27"/>
          <w:szCs w:val="27"/>
          <w:highlight w:val="none"/>
          <w:lang w:eastAsia="zh-CN"/>
        </w:rPr>
        <w:t>)</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配电板：清扫配电板上各个元件上的灰尘等。检查确保配电板上各个接线接头不松动，并清除锈蚀接头。确保各个接触器和继电器工作正常。</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w:t>
      </w:r>
      <w:r>
        <w:rPr>
          <w:rFonts w:ascii="仿宋" w:hAnsi="仿宋" w:eastAsia="仿宋" w:cs="仿宋"/>
          <w:spacing w:val="-6"/>
          <w:sz w:val="27"/>
          <w:szCs w:val="27"/>
          <w:highlight w:val="none"/>
          <w:lang w:eastAsia="zh-CN"/>
        </w:rPr>
        <w:t>)</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防雷接地检查：确保机柜和用电器接地良好，尤其注意防雷保护器接地。</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4</w:t>
      </w:r>
      <w:r>
        <w:rPr>
          <w:rFonts w:ascii="仿宋" w:hAnsi="仿宋" w:eastAsia="仿宋" w:cs="仿宋"/>
          <w:spacing w:val="-6"/>
          <w:sz w:val="27"/>
          <w:szCs w:val="27"/>
          <w:highlight w:val="none"/>
          <w:lang w:eastAsia="zh-CN"/>
        </w:rPr>
        <w:t>)</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温湿度仪检查：检查温湿度仪是否显示合理，保证温度探头反应灵敏。</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5</w:t>
      </w:r>
      <w:r>
        <w:rPr>
          <w:rFonts w:ascii="仿宋" w:hAnsi="仿宋" w:eastAsia="仿宋" w:cs="仿宋"/>
          <w:spacing w:val="-6"/>
          <w:sz w:val="27"/>
          <w:szCs w:val="27"/>
          <w:highlight w:val="none"/>
          <w:lang w:eastAsia="zh-CN"/>
        </w:rPr>
        <w:t>)</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稳压电源清扫检查：断电情况下清扫稳压电源内的灰尘。检查碳刷是否正常，磨损较多情况必须更换。上电测试，确保稳压</w:t>
      </w:r>
      <w:r>
        <w:rPr>
          <w:rFonts w:hint="eastAsia" w:ascii="仿宋" w:hAnsi="仿宋" w:eastAsia="仿宋" w:cs="仿宋"/>
          <w:spacing w:val="-6"/>
          <w:sz w:val="27"/>
          <w:szCs w:val="27"/>
          <w:highlight w:val="none"/>
          <w:lang w:val="en-US" w:eastAsia="zh-CN"/>
        </w:rPr>
        <w:t>电</w:t>
      </w:r>
      <w:r>
        <w:rPr>
          <w:rFonts w:ascii="仿宋" w:hAnsi="仿宋" w:eastAsia="仿宋" w:cs="仿宋"/>
          <w:spacing w:val="-6"/>
          <w:sz w:val="27"/>
          <w:szCs w:val="27"/>
          <w:highlight w:val="none"/>
          <w:lang w:eastAsia="zh-CN"/>
        </w:rPr>
        <w:t>源工作正常。</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6</w:t>
      </w:r>
      <w:r>
        <w:rPr>
          <w:rFonts w:ascii="仿宋" w:hAnsi="仿宋" w:eastAsia="仿宋" w:cs="仿宋"/>
          <w:spacing w:val="-6"/>
          <w:sz w:val="27"/>
          <w:szCs w:val="27"/>
          <w:highlight w:val="none"/>
          <w:lang w:eastAsia="zh-CN"/>
        </w:rPr>
        <w:t>)</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UPS检查：断电情况下清扫UPS各个散热孔上的灰尘。检查确保UPS充放电正常。绝缘情况下清扫UPS电池箱内的灰尘。确保箱内各个电池联线接触良好牢固。确保各个电池无漏液，外观正常。</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7</w:t>
      </w:r>
      <w:r>
        <w:rPr>
          <w:rFonts w:ascii="仿宋" w:hAnsi="仿宋" w:eastAsia="仿宋" w:cs="仿宋"/>
          <w:spacing w:val="-6"/>
          <w:sz w:val="27"/>
          <w:szCs w:val="27"/>
          <w:highlight w:val="none"/>
          <w:lang w:eastAsia="zh-CN"/>
        </w:rPr>
        <w:t>)</w:t>
      </w:r>
      <w:r>
        <w:rPr>
          <w:rFonts w:ascii="仿宋" w:hAnsi="仿宋" w:eastAsia="仿宋" w:cs="仿宋"/>
          <w:spacing w:val="-6"/>
          <w:sz w:val="27"/>
          <w:szCs w:val="27"/>
          <w:highlight w:val="none"/>
          <w:lang w:eastAsia="zh-CN"/>
        </w:rPr>
        <w:tab/>
      </w:r>
      <w:r>
        <w:rPr>
          <w:rFonts w:ascii="仿宋" w:hAnsi="仿宋" w:eastAsia="仿宋" w:cs="仿宋"/>
          <w:spacing w:val="-6"/>
          <w:sz w:val="27"/>
          <w:szCs w:val="27"/>
          <w:highlight w:val="none"/>
          <w:lang w:eastAsia="zh-CN"/>
        </w:rPr>
        <w:t>机柜台面检查：检查机柜台面及玻璃是否清洁。检查机柜各门是否关</w:t>
      </w:r>
      <w:r>
        <w:rPr>
          <w:rFonts w:hint="eastAsia" w:ascii="仿宋" w:hAnsi="仿宋" w:eastAsia="仿宋" w:cs="仿宋"/>
          <w:spacing w:val="-6"/>
          <w:sz w:val="27"/>
          <w:szCs w:val="27"/>
          <w:highlight w:val="none"/>
          <w:lang w:eastAsia="zh-CN"/>
        </w:rPr>
        <w:t>闭</w:t>
      </w:r>
      <w:r>
        <w:rPr>
          <w:rFonts w:ascii="仿宋" w:hAnsi="仿宋" w:eastAsia="仿宋" w:cs="仿宋"/>
          <w:spacing w:val="-6"/>
          <w:sz w:val="27"/>
          <w:szCs w:val="27"/>
          <w:highlight w:val="none"/>
          <w:lang w:eastAsia="zh-CN"/>
        </w:rPr>
        <w:t>完好。</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8</w:t>
      </w:r>
      <w:r>
        <w:rPr>
          <w:rFonts w:ascii="仿宋" w:hAnsi="仿宋" w:eastAsia="仿宋" w:cs="仿宋"/>
          <w:spacing w:val="-6"/>
          <w:sz w:val="27"/>
          <w:szCs w:val="27"/>
          <w:highlight w:val="none"/>
          <w:lang w:eastAsia="zh-CN"/>
        </w:rPr>
        <w:t>）</w:t>
      </w:r>
      <w:r>
        <w:rPr>
          <w:rFonts w:hint="eastAsia" w:ascii="仿宋" w:hAnsi="仿宋" w:eastAsia="仿宋" w:cs="仿宋"/>
          <w:spacing w:val="-6"/>
          <w:sz w:val="27"/>
          <w:szCs w:val="27"/>
          <w:highlight w:val="none"/>
          <w:lang w:eastAsia="zh-CN"/>
        </w:rPr>
        <w:t xml:space="preserve"> </w:t>
      </w:r>
      <w:r>
        <w:rPr>
          <w:rFonts w:ascii="仿宋" w:hAnsi="仿宋" w:eastAsia="仿宋" w:cs="仿宋"/>
          <w:spacing w:val="-6"/>
          <w:sz w:val="27"/>
          <w:szCs w:val="27"/>
          <w:highlight w:val="none"/>
          <w:lang w:eastAsia="zh-CN"/>
        </w:rPr>
        <w:t>气瓶压力表测试：每次更换完气体后进行一次</w:t>
      </w:r>
      <w:r>
        <w:rPr>
          <w:rFonts w:hint="eastAsia" w:ascii="仿宋" w:hAnsi="仿宋" w:eastAsia="仿宋" w:cs="仿宋"/>
          <w:spacing w:val="-6"/>
          <w:sz w:val="27"/>
          <w:szCs w:val="27"/>
          <w:highlight w:val="none"/>
          <w:lang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3.4</w:t>
      </w:r>
      <w:r>
        <w:rPr>
          <w:rFonts w:hint="eastAsia" w:ascii="仿宋" w:hAnsi="仿宋" w:eastAsia="仿宋" w:cs="仿宋"/>
          <w:spacing w:val="-6"/>
          <w:sz w:val="27"/>
          <w:szCs w:val="27"/>
          <w:highlight w:val="none"/>
          <w:lang w:eastAsia="zh-CN"/>
        </w:rPr>
        <w:t>重金属在线监测仪断电重启</w:t>
      </w:r>
      <w:r>
        <w:rPr>
          <w:rFonts w:hint="eastAsia" w:ascii="仿宋" w:hAnsi="仿宋" w:eastAsia="仿宋" w:cs="仿宋"/>
          <w:spacing w:val="-6"/>
          <w:sz w:val="27"/>
          <w:szCs w:val="27"/>
          <w:highlight w:val="none"/>
          <w:lang w:eastAsia="zh-CN"/>
        </w:rPr>
        <w:tab/>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1周1次，确保监测仪器工控机、监测仪及配套系统正常运行</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（1）若EXPEC7000软件启动报错，则将前面保存的Var文件将Config里的Var文件替换</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（2）打开EXPEC7000、重金属、数采软件</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3）EXPEC7000软件：点击打开真空，等待流程走至真空就绪，真空泵转速从0到60000，分析腔压力＜3.0e-6mbar；管理→在线消解，确认界面右手边状态量中当前流程为1，多通道阀序列为0，多通道阀消解也为0，点击流程下的下载方法，多通道阀序列的设置，轮训周期的设置，3个点完后状态量显示为1,1,6</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4）谱育水质重金属软件打开常用→状态监控，确认ICPMS开关信息中，前级泵、分子泵和前级阀三个按钮量绿灯，绿灯说明重金属软件与EXPEC7000软件通讯正常。点击下载并保存,点击前处理机柜端前处理采水轮训周期设置，点击PLC报警阈值设置的设置和自动读取ICP-MS仪表端数据周期设置的设置。</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3.5</w:t>
      </w:r>
      <w:r>
        <w:rPr>
          <w:rFonts w:hint="eastAsia" w:ascii="仿宋" w:hAnsi="仿宋" w:eastAsia="仿宋" w:cs="仿宋"/>
          <w:spacing w:val="-6"/>
          <w:sz w:val="27"/>
          <w:szCs w:val="27"/>
          <w:highlight w:val="none"/>
          <w:lang w:eastAsia="zh-CN"/>
        </w:rPr>
        <w:t>重金属在线监测仪更换氩气</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每半月一次或更换氩气时进行，确保氩气供应正常。</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（1）将所有氩气减压阀黑色旋钮旋松，并关闭所有氩气气瓶阀门，旋松小减压阀压力至0；</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（2）观察氩气减压阀高压表，将压力≤3Mpa的气瓶用10寸活动扳手拧下，更换新氩气气瓶</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3）拧紧减压阀后将气瓶阀门打开，至减压阀高压表指正稳定后关闭（40L满瓶指针在12-14Mpa之间），等待5-10min，观察高压表指针是否下掉，下掉幅度小于等于0.5Mpa则合格，否则重新拆卸安装减压阀，若还是不行则更换另外一个不漏的减压阀，</w:t>
      </w:r>
      <w:r>
        <w:rPr>
          <w:rFonts w:hint="eastAsia" w:ascii="仿宋" w:hAnsi="仿宋" w:eastAsia="仿宋" w:cs="仿宋"/>
          <w:spacing w:val="-6"/>
          <w:sz w:val="27"/>
          <w:szCs w:val="27"/>
          <w:highlight w:val="none"/>
          <w:lang w:val="en-US" w:eastAsia="zh-CN"/>
        </w:rPr>
        <w:t>若</w:t>
      </w:r>
      <w:r>
        <w:rPr>
          <w:rFonts w:hint="eastAsia" w:ascii="仿宋" w:hAnsi="仿宋" w:eastAsia="仿宋" w:cs="仿宋"/>
          <w:spacing w:val="-6"/>
          <w:sz w:val="27"/>
          <w:szCs w:val="27"/>
          <w:highlight w:val="none"/>
          <w:lang w:eastAsia="zh-CN"/>
        </w:rPr>
        <w:t>还下掉则说明氩气气瓶口密封存在问题，退还气瓶。（正常40L装，满压力13Mpa的氩气，一瓶可以跑25次流程左右。）</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（4）更换完气瓶并测试完气密性后，将所有气瓶阀门逐一打开（至少转5圈），将所有减压阀黑色旋钮旋紧，将小减压阀压力调节至0.75Mpa</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3.6</w:t>
      </w:r>
      <w:r>
        <w:rPr>
          <w:rFonts w:hint="eastAsia" w:ascii="仿宋" w:hAnsi="仿宋" w:eastAsia="仿宋" w:cs="仿宋"/>
          <w:spacing w:val="-6"/>
          <w:sz w:val="27"/>
          <w:szCs w:val="27"/>
          <w:highlight w:val="none"/>
          <w:lang w:eastAsia="zh-CN"/>
        </w:rPr>
        <w:t>重金属在线监测仪检查机械泵（前级泵）泵油液位及颜色、水机液位、废液桶液位</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3个月一次，确保机械泵工作状态正常。</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（1）机械泵泵油颜色判断方式：</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（1）油品比色卡，因PFPE全氟油外观呈清澈透明故当油品颜色达到2.0及以上时建议更换</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（2）泵油3个月换一次，当泵油液位＜1/3且在更换周期内，则添加泵油至液位2/3处</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（3）水机纯水3个月更换一次，特域水机正常液位为绿色范围2/3处，不得低于绿色与红色交界处；谱育CW-200水机正常液位为绿色中间，不得低于黄色中间位置；</w:t>
      </w:r>
      <w:r>
        <w:rPr>
          <w:rFonts w:hint="eastAsia" w:ascii="仿宋" w:hAnsi="仿宋" w:eastAsia="仿宋" w:cs="仿宋"/>
          <w:spacing w:val="-6"/>
          <w:sz w:val="27"/>
          <w:szCs w:val="27"/>
          <w:highlight w:val="none"/>
          <w:lang w:val="en-US" w:eastAsia="zh-CN"/>
        </w:rPr>
        <w:t>若</w:t>
      </w:r>
      <w:r>
        <w:rPr>
          <w:rFonts w:hint="eastAsia" w:ascii="仿宋" w:hAnsi="仿宋" w:eastAsia="仿宋" w:cs="仿宋"/>
          <w:spacing w:val="-6"/>
          <w:sz w:val="27"/>
          <w:szCs w:val="27"/>
          <w:highlight w:val="none"/>
          <w:lang w:eastAsia="zh-CN"/>
        </w:rPr>
        <w:t>液位在更换周期内低于限定值则添加纯水至合适位置</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（4）废液桶：过滤模式在线仪表：液位不得高于9/10；消解模式在线仪表：液位不得高于3/4；超过限位则需更换废液桶，废液桶的废液需要统一回收处理。</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3.7</w:t>
      </w:r>
      <w:r>
        <w:rPr>
          <w:rFonts w:hint="eastAsia" w:ascii="仿宋" w:hAnsi="仿宋" w:eastAsia="仿宋" w:cs="仿宋"/>
          <w:spacing w:val="-6"/>
          <w:sz w:val="27"/>
          <w:szCs w:val="27"/>
          <w:highlight w:val="none"/>
          <w:lang w:eastAsia="zh-CN"/>
        </w:rPr>
        <w:t>重金属在线监测仪清洗滤芯样品预处理管路检查维护</w:t>
      </w:r>
      <w:r>
        <w:rPr>
          <w:rFonts w:hint="eastAsia" w:ascii="仿宋" w:hAnsi="仿宋" w:eastAsia="仿宋" w:cs="仿宋"/>
          <w:spacing w:val="-6"/>
          <w:sz w:val="27"/>
          <w:szCs w:val="27"/>
          <w:highlight w:val="none"/>
          <w:lang w:eastAsia="zh-CN"/>
        </w:rPr>
        <w:tab/>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1周一次，确保进水水质未遭到污染。</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（1）将过滤罐取下，取出滤芯，检查滤芯O圈及过滤罐O圈是否存在破损，破损则更换</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（2）滤芯用自来水冲洗，滤芯在清洗时需要不停均匀敲击</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（3）反复冲洗，直至冲洗下来的水无明显颜色或杂志（若滤芯过脏无法洗净，则更换滤芯）</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（4）清洗完成后按规格放回过滤罐，注意O圈是否贴合</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（5）过滤罐装回时注意顺序，沉砂池水样先过100um然后再过0.45um</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（6）采水时检查采水单元进水出水管路是否存在破损漏液情况</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（7）检查Y型杯内壁是否存在沉积或者生藻类（拍照）</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3.8</w:t>
      </w:r>
      <w:r>
        <w:rPr>
          <w:rFonts w:hint="eastAsia" w:ascii="仿宋" w:hAnsi="仿宋" w:eastAsia="仿宋" w:cs="仿宋"/>
          <w:spacing w:val="-6"/>
          <w:sz w:val="27"/>
          <w:szCs w:val="27"/>
          <w:highlight w:val="none"/>
          <w:lang w:eastAsia="zh-CN"/>
        </w:rPr>
        <w:t>重金属在线监测仪更换泵管卡槽位置</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 xml:space="preserve">    2个月一次，确保泵工作状态正常。</w:t>
      </w:r>
      <w:r>
        <w:rPr>
          <w:rFonts w:hint="eastAsia" w:ascii="仿宋" w:hAnsi="仿宋" w:eastAsia="仿宋" w:cs="仿宋"/>
          <w:spacing w:val="-6"/>
          <w:sz w:val="27"/>
          <w:szCs w:val="27"/>
          <w:highlight w:val="none"/>
          <w:lang w:eastAsia="zh-CN"/>
        </w:rPr>
        <w:tab/>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（1）泵管卡的位置：按顺序从里到外，最里面为排液管，其次为进样管，最后为内标管</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2）将所有压杆抬起，先更换排液管的卡槽位，然后更换进样管，最后更换内标管（注意泵管的安装方向，排液管排液，试剂流路方向与蠕动泵转动方向相同，若蠕动泵逆时针转动，则排液泵管右边连雾化室方向左边连废液桶；进样泵管右边连多通道阀中心管路，左边连三通；内标管右边连内标液，左边连三通；</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3）更换完卡槽位后，蠕动泵转速调整到40转，调节泵管位置使泵管能被压在压槽中间，调节压杆压力保证试剂能被匀速提升（进样管要快于内标管，排液管排液时是一段一段走，中间有气泡隔离），并且压杆压力尽可能小（减缓蠕动泵磨损），将泵速转至70-80转等待2min观察泵管连接处有无漏液，没有则将泵速调至0转。</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3.9</w:t>
      </w:r>
      <w:r>
        <w:rPr>
          <w:rFonts w:hint="eastAsia" w:ascii="仿宋" w:hAnsi="仿宋" w:eastAsia="仿宋" w:cs="仿宋"/>
          <w:spacing w:val="-6"/>
          <w:sz w:val="27"/>
          <w:szCs w:val="27"/>
          <w:highlight w:val="none"/>
          <w:lang w:eastAsia="zh-CN"/>
        </w:rPr>
        <w:t>重金属在线监测仪检查试剂液位，并做好记录</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 xml:space="preserve"> 1月至2个月1次，确保监测仪器正常工作。</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（1）先检查调谐液与校正液是否在半年有效期内，离有效期小于2个月则与工程师反馈；</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（2）记录调谐液、校正液、标准曲线建线试剂（标一到标5）的液位，低于1/3则需要更换；</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（3）标准曲线建线试剂、消解液一个月更换一次，载液与清洗液2个月更换一次</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3.10</w:t>
      </w:r>
      <w:r>
        <w:rPr>
          <w:rFonts w:hint="eastAsia" w:ascii="仿宋" w:hAnsi="仿宋" w:eastAsia="仿宋" w:cs="仿宋"/>
          <w:spacing w:val="-6"/>
          <w:sz w:val="27"/>
          <w:szCs w:val="27"/>
          <w:highlight w:val="none"/>
          <w:lang w:eastAsia="zh-CN"/>
        </w:rPr>
        <w:t>重金属在线监测仪主机状态检查</w:t>
      </w:r>
      <w:r>
        <w:rPr>
          <w:rFonts w:hint="eastAsia" w:ascii="仿宋" w:hAnsi="仿宋" w:eastAsia="仿宋" w:cs="仿宋"/>
          <w:spacing w:val="-6"/>
          <w:sz w:val="27"/>
          <w:szCs w:val="27"/>
          <w:highlight w:val="none"/>
          <w:lang w:eastAsia="zh-CN"/>
        </w:rPr>
        <w:tab/>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1周一次，确保工控系统工作正常。</w:t>
      </w:r>
      <w:r>
        <w:rPr>
          <w:rFonts w:hint="eastAsia" w:ascii="仿宋" w:hAnsi="仿宋" w:eastAsia="仿宋" w:cs="仿宋"/>
          <w:spacing w:val="-6"/>
          <w:sz w:val="27"/>
          <w:szCs w:val="27"/>
          <w:highlight w:val="none"/>
          <w:lang w:eastAsia="zh-CN"/>
        </w:rPr>
        <w:tab/>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（1）检查排风流量（废气流量）：6-12m/s（常用→仪器状态→废气流量）检查仪器内部温度≤40℃；RF源温度≤35℃；</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（2）蠕动泵转动情况（是否匀速，有无异响，有无异常抖动）</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（3）检查电脑软件流畅度，是否存在卡顿</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（4）检查真空泵转速：60000r/min</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（5）检查未点火状态下分析腔压力≤1.0e-6mbar；点火至分析就绪后分析腔压力≤3.0e-6mbar；</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（6）仪表点火至分析就绪后，检查软件右下方雾化器压力（330±50Kpa）</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val="en-US" w:eastAsia="zh-CN"/>
        </w:rPr>
      </w:pPr>
      <w:r>
        <w:rPr>
          <w:rFonts w:hint="eastAsia" w:ascii="仿宋" w:hAnsi="仿宋" w:eastAsia="仿宋" w:cs="仿宋"/>
          <w:spacing w:val="-6"/>
          <w:sz w:val="27"/>
          <w:szCs w:val="27"/>
          <w:highlight w:val="none"/>
          <w:lang w:eastAsia="zh-CN"/>
        </w:rPr>
        <w:t>（7）检查雾化器喷雾是否正常（均匀雾化，无断断续续雾化情况）</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（8）仪表点火至分析就绪后，检查锥真空压力≤2.4mbr</w:t>
      </w:r>
      <w:r>
        <w:rPr>
          <w:rFonts w:hint="eastAsia" w:ascii="仿宋" w:hAnsi="仿宋" w:eastAsia="仿宋" w:cs="仿宋"/>
          <w:spacing w:val="-6"/>
          <w:sz w:val="27"/>
          <w:szCs w:val="27"/>
          <w:highlight w:val="none"/>
          <w:lang w:val="en-US"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3.11</w:t>
      </w:r>
      <w:r>
        <w:rPr>
          <w:rFonts w:hint="eastAsia" w:ascii="仿宋" w:hAnsi="仿宋" w:eastAsia="仿宋" w:cs="仿宋"/>
          <w:spacing w:val="-6"/>
          <w:sz w:val="27"/>
          <w:szCs w:val="27"/>
          <w:highlight w:val="none"/>
          <w:lang w:eastAsia="zh-CN"/>
        </w:rPr>
        <w:t>重金属在线监测仪仪器校准</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 xml:space="preserve">  2周一次，确保监测仪监测数据准确性</w:t>
      </w:r>
      <w:r>
        <w:rPr>
          <w:rFonts w:hint="eastAsia" w:ascii="仿宋" w:hAnsi="仿宋" w:eastAsia="仿宋" w:cs="仿宋"/>
          <w:spacing w:val="-6"/>
          <w:sz w:val="27"/>
          <w:szCs w:val="27"/>
          <w:highlight w:val="none"/>
          <w:lang w:eastAsia="zh-CN"/>
        </w:rPr>
        <w:tab/>
      </w:r>
      <w:r>
        <w:rPr>
          <w:rFonts w:hint="eastAsia" w:ascii="仿宋" w:hAnsi="仿宋" w:eastAsia="仿宋" w:cs="仿宋"/>
          <w:spacing w:val="-6"/>
          <w:sz w:val="27"/>
          <w:szCs w:val="27"/>
          <w:highlight w:val="none"/>
          <w:lang w:eastAsia="zh-CN"/>
        </w:rPr>
        <w:t>。</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（1）将消解模块右边多通道阀4号位管路,用纸巾擦拭后放入调谐液中，将内标管与其连接管断开，更换上另外一根30cm左右长度的泵管连接管，擦拭后放入调谐液中；</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（2）将管理→在线消解→多通道阀（序列），阀位从1号位切换至4号位，点击设置；</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（3）打开水机（点击消解模块，开光量里的冷却水开关，从灰色点击成绿色）</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（4）确认右下角无报警（TEC温度未达目标值，废液排出异常报警可忽略）</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5）点击打开等离子体，等流程走到分析就绪，点击常用，手动调谐，在跳峰扫描模式下将要测试的元素选择为7Li、59Co、69Ga、115In、138Ba、140Ce、156Gd、238U及质量数220（背景噪声），选择趋势图及脉冲模式进行扫描。调节手动调谐里的流量监控（雾化器流量），三维监控（炬管的位置），电压监控等参数，使灵敏度增大同时兼顾氧化物及双电荷的比率，要求如下表。</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6）其中先调三维监控，调节横向，先向右移动适当的量（建议＜0.1mm，但根据实际仪器情况而定），观察Li、Co、In、U的响应值是否变大，若变大则继续移动，反之则向左移动，直至移动到相对最大的响应值为止，纵向调节方式相同，深度一般不动。</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当Li、Co、In、U的稳定性偏差时，则可稍微增大雾化气流量，若效果不明显则可减少提取透镜电压（往负值的方向调节），调节雾化气流量会导致氧化率的增大，提取透镜电压会导致响应值的变化，要兼顾响应值以及氧化率和双电荷率。</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（7）当氧化率偏大时可降低雾化气流量和调节深度电机位置向后移，但要兼顾响应值以及稳定性和双电荷率。</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（8）当双电荷率偏大时，可调节四级杆电压向右移和增大雾化器流量，但要兼顾响应值以及稳定性和氧化率。</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（9）性能满足目标值后，及完成仪器调谐，保存调谐参数（建议性能尽可能的调到最佳，如果与上次运维性能差异不大也可不调参数）。</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（10）自动质量校准：停止扫描，点击常用里的，点击 “开始”按钮，点击确定，仪器开始自动质量校正。当仪器自动质量校正成功，会出现提示框“自动质量校正成功”。失败则寻找工程师。</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11）自动交叉校准：质量校准成功后，将调谐液放回，将原先的两根管子擦拭后或纯水清洗后放入交叉校准液中，等待试剂都提升至雾化器（如何观察校正液已经提升完成：a、肉眼看，内标管的校正液前的气泡提升至雾化器雾化后，则说明提升完成；b、扫描时，Li、Co信号值突然变大，双电荷率变大，都说明校准液有进入仪表检测，但内标管提升较慢，还需等待，后面信号在出现小段的降落与跟高的回升，则说明提升完成），等待30s后仪表进样稳定后，点击常用里的自动交叉校正 “开始”按钮，点击确定，仪器开始自动交叉校正，当出现In115交叉因子时，立马点击停止，重新导入调谐参数，后再打开配置参数。将手动调谐→其他→检测器模拟电压值输入至模拟区高压值，将手动调谐→其他→检测器计数电压值输入至脉冲区高压值，脉冲高压起点为脉冲区高压值，目标交叉因子即为In的交叉因子，In交叉因子上下限为交叉因子值的±5000。完成后点击保存，然后在重新开始做交叉校正。当仪器自动交叉校正成功，会出现提示框“自动交叉校正成功”，重新保存参数，失败则找工程师解决。</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12）交叉校正完成后，点开手动调谐里的扫描，将两个管子放入纯水里冲洗1min，收好交叉校正液，然后将内标管连回原来的内标液的管路，样品管进纯水，内标管进内标液，手动调谐里谱图至单独只有In的响应值的时候，则为内标液完全进样，将多通道阀切换到1号位，进样30s后停止扫描，关闭等离子体至真空就绪，灰色的关闭真空和打开等离子体的方框重新可点击时，关闭管理→在线消解→开关量里的冷却水开关（绿色至灰色）。</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3.12</w:t>
      </w:r>
      <w:r>
        <w:rPr>
          <w:rFonts w:hint="eastAsia" w:ascii="仿宋" w:hAnsi="仿宋" w:eastAsia="仿宋" w:cs="仿宋"/>
          <w:spacing w:val="-6"/>
          <w:sz w:val="27"/>
          <w:szCs w:val="27"/>
          <w:highlight w:val="none"/>
          <w:lang w:eastAsia="zh-CN"/>
        </w:rPr>
        <w:t>重金属在线监测仪重启继电器</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1周一次，确保继电器正常工作。</w:t>
      </w:r>
      <w:r>
        <w:rPr>
          <w:rFonts w:hint="eastAsia" w:ascii="仿宋" w:hAnsi="仿宋" w:eastAsia="仿宋" w:cs="仿宋"/>
          <w:spacing w:val="-6"/>
          <w:sz w:val="27"/>
          <w:szCs w:val="27"/>
          <w:highlight w:val="none"/>
          <w:lang w:eastAsia="zh-CN"/>
        </w:rPr>
        <w:tab/>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（1）管理→在线客户端→其他，去掉维护模式的勾选</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（2）管理→高级→调试→高级参数3，关闭前处理继电器，等待30s后再打开；</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 xml:space="preserve">（3）管理→在线消解，确认界面右手边状态量中当前流程为1，多通道阀序列为0，多通道阀消解也为0，点击流程下的下载方法，多通道阀序列的设置，轮训周期的设置，3个点完后状态量显示为1,1,6。 </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 xml:space="preserve">（4）打开谱育水质重金属软件，点击下载并保存,点击前处理机柜端前处理采水轮训周期设置，点击PLC报警阈值设置的设置和自动读取ICP-MS仪表端数据周期设置的设置。 </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（5）打开常用→状态监控，确认ICPMS开关信息中，前级泵、分子泵和前级阀三个按钮量绿灯，绿灯说明重金属软件与EXPEC7000软件通讯正常。</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3.13</w:t>
      </w:r>
      <w:r>
        <w:rPr>
          <w:rFonts w:hint="eastAsia" w:ascii="仿宋" w:hAnsi="仿宋" w:eastAsia="仿宋" w:cs="仿宋"/>
          <w:spacing w:val="-6"/>
          <w:sz w:val="27"/>
          <w:szCs w:val="27"/>
          <w:highlight w:val="none"/>
          <w:lang w:eastAsia="zh-CN"/>
        </w:rPr>
        <w:t>重金属在线监测仪机械泵泵油更换</w:t>
      </w:r>
      <w:r>
        <w:rPr>
          <w:rFonts w:hint="eastAsia" w:ascii="仿宋" w:hAnsi="仿宋" w:eastAsia="仿宋" w:cs="仿宋"/>
          <w:spacing w:val="-6"/>
          <w:sz w:val="27"/>
          <w:szCs w:val="27"/>
          <w:highlight w:val="none"/>
          <w:lang w:eastAsia="zh-CN"/>
        </w:rPr>
        <w:tab/>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3个月一次，确保机械泵正常运转。</w:t>
      </w:r>
      <w:r>
        <w:rPr>
          <w:rFonts w:hint="eastAsia" w:ascii="仿宋" w:hAnsi="仿宋" w:eastAsia="仿宋" w:cs="仿宋"/>
          <w:spacing w:val="-6"/>
          <w:sz w:val="27"/>
          <w:szCs w:val="27"/>
          <w:highlight w:val="none"/>
          <w:lang w:eastAsia="zh-CN"/>
        </w:rPr>
        <w:tab/>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（1）管理→高级→开关量，关闭前级阀、前级泵（分子泵自己在不点火时能坚持一段时间）</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2）准备1L或者更大的容具装排出的泵油，拧开黄色排油的盖子，用专用工具拧上去，拧紧后会出废油，将容具摆放好后，打开工具后面的塞子，待泵油流出。泵油流完后，关闭排油口，管理→高级→开关量，打开前级泵，运行15秒，使泵内残留的油通过轻微震荡甩出来，关闭机械泵，将泵内残留的油重新排尽；</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（3）至泵油不在流出后，拆下工装，拧回盖子，用内六角拧开上端黑色的注油的盖子，倒入新泵油，至最低液位（注意机械泵的保持水平），拧回盖子。</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（4）管理→高级→开关量，打开前级泵，工作60s左右后关闭，按照前面步骤再将泵油倒出和到入，清洗2-3遍，至流出泵油基本成透明或者浅黄色；</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（5）管理→高级→开关量，打开前级阀30s后再打开前级泵，观察是否恢复之前正常状态。</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val="en-US" w:eastAsia="zh-CN"/>
        </w:rPr>
        <w:t>3.14</w:t>
      </w:r>
      <w:r>
        <w:rPr>
          <w:rFonts w:hint="eastAsia" w:ascii="仿宋" w:hAnsi="仿宋" w:eastAsia="仿宋" w:cs="仿宋"/>
          <w:spacing w:val="-6"/>
          <w:sz w:val="27"/>
          <w:szCs w:val="27"/>
          <w:highlight w:val="none"/>
          <w:lang w:eastAsia="zh-CN"/>
        </w:rPr>
        <w:t>重金属在线监测仪水机循环冷却水更换</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2个月一次，确冷却系统正常运转。</w:t>
      </w:r>
      <w:r>
        <w:rPr>
          <w:rFonts w:hint="eastAsia" w:ascii="仿宋" w:hAnsi="仿宋" w:eastAsia="仿宋" w:cs="仿宋"/>
          <w:spacing w:val="-6"/>
          <w:sz w:val="27"/>
          <w:szCs w:val="27"/>
          <w:highlight w:val="none"/>
          <w:lang w:eastAsia="zh-CN"/>
        </w:rPr>
        <w:tab/>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（1）准备一个装废水的容器至于排水口，打开排水口开关，待水箱的液体完全排净时，分别加入2次2L的纯水用于冲洗水箱，重新排尽（确保水机断电关机，循环冷却水使用电阻率大于18 MΩ以上的蒸馏去离子水或者娃哈哈纯净水）。</w:t>
      </w:r>
    </w:p>
    <w:p>
      <w:pPr>
        <w:spacing w:line="560" w:lineRule="exact"/>
        <w:ind w:firstLine="516" w:firstLineChars="200"/>
        <w:rPr>
          <w:rFonts w:hint="eastAsia"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（2）重新加纯水至水机液位刻度线。</w:t>
      </w:r>
    </w:p>
    <w:p>
      <w:pPr>
        <w:spacing w:line="560" w:lineRule="exact"/>
        <w:ind w:firstLine="516" w:firstLineChars="200"/>
        <w:rPr>
          <w:rFonts w:ascii="仿宋" w:hAnsi="仿宋" w:eastAsia="仿宋" w:cs="仿宋"/>
          <w:spacing w:val="-6"/>
          <w:sz w:val="27"/>
          <w:szCs w:val="27"/>
          <w:highlight w:val="none"/>
          <w:lang w:eastAsia="zh-CN"/>
        </w:rPr>
      </w:pPr>
      <w:r>
        <w:rPr>
          <w:rFonts w:hint="eastAsia" w:ascii="仿宋" w:hAnsi="仿宋" w:eastAsia="仿宋" w:cs="仿宋"/>
          <w:spacing w:val="-6"/>
          <w:sz w:val="27"/>
          <w:szCs w:val="27"/>
          <w:highlight w:val="none"/>
          <w:lang w:eastAsia="zh-CN"/>
        </w:rPr>
        <w:t>（3）设备的前散热片（滤网）积了过多的灰尘，会导致设备的制冷能力降低，拿出清洗滤网。</w:t>
      </w:r>
    </w:p>
    <w:p>
      <w:pPr>
        <w:spacing w:line="360" w:lineRule="auto"/>
        <w:ind w:firstLine="420" w:firstLineChars="200"/>
        <w:rPr>
          <w:kern w:val="2"/>
          <w:sz w:val="21"/>
          <w:szCs w:val="21"/>
          <w:highlight w:val="none"/>
        </w:rPr>
      </w:pPr>
      <w:r>
        <w:rPr>
          <w:kern w:val="2"/>
          <w:sz w:val="21"/>
          <w:szCs w:val="21"/>
          <w:highlight w:val="none"/>
        </w:rPr>
        <w:t>以上运维工作完成</w:t>
      </w:r>
      <w:r>
        <w:rPr>
          <w:rFonts w:hint="eastAsia"/>
          <w:kern w:val="2"/>
          <w:sz w:val="21"/>
          <w:szCs w:val="21"/>
          <w:highlight w:val="none"/>
        </w:rPr>
        <w:t>后</w:t>
      </w:r>
      <w:r>
        <w:rPr>
          <w:kern w:val="2"/>
          <w:sz w:val="21"/>
          <w:szCs w:val="21"/>
          <w:highlight w:val="none"/>
        </w:rPr>
        <w:t>须填写运维巡检记录表，各运维内容详见下表1。</w:t>
      </w:r>
    </w:p>
    <w:p>
      <w:pPr>
        <w:ind w:firstLine="482"/>
        <w:jc w:val="center"/>
        <w:rPr>
          <w:b/>
          <w:kern w:val="2"/>
          <w:sz w:val="21"/>
          <w:szCs w:val="21"/>
          <w:highlight w:val="none"/>
        </w:rPr>
      </w:pPr>
      <w:r>
        <w:rPr>
          <w:b/>
          <w:kern w:val="2"/>
          <w:sz w:val="21"/>
          <w:szCs w:val="21"/>
          <w:highlight w:val="none"/>
        </w:rPr>
        <w:t>表1   运维要求</w:t>
      </w:r>
    </w:p>
    <w:tbl>
      <w:tblPr>
        <w:tblStyle w:val="16"/>
        <w:tblW w:w="8935" w:type="dxa"/>
        <w:jc w:val="center"/>
        <w:tblLayout w:type="fixed"/>
        <w:tblCellMar>
          <w:top w:w="0" w:type="dxa"/>
          <w:left w:w="108" w:type="dxa"/>
          <w:bottom w:w="0" w:type="dxa"/>
          <w:right w:w="108" w:type="dxa"/>
        </w:tblCellMar>
      </w:tblPr>
      <w:tblGrid>
        <w:gridCol w:w="694"/>
        <w:gridCol w:w="1180"/>
        <w:gridCol w:w="1726"/>
        <w:gridCol w:w="5335"/>
      </w:tblGrid>
      <w:tr>
        <w:tblPrEx>
          <w:tblCellMar>
            <w:top w:w="0" w:type="dxa"/>
            <w:left w:w="108" w:type="dxa"/>
            <w:bottom w:w="0" w:type="dxa"/>
            <w:right w:w="108" w:type="dxa"/>
          </w:tblCellMar>
        </w:tblPrEx>
        <w:trPr>
          <w:trHeight w:val="232" w:hRule="atLeast"/>
          <w:tblHeade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rPr>
                <w:b/>
                <w:kern w:val="2"/>
                <w:sz w:val="21"/>
                <w:szCs w:val="21"/>
                <w:highlight w:val="none"/>
              </w:rPr>
            </w:pPr>
            <w:r>
              <w:rPr>
                <w:b/>
                <w:kern w:val="2"/>
                <w:sz w:val="21"/>
                <w:szCs w:val="21"/>
                <w:highlight w:val="none"/>
              </w:rPr>
              <w:t>序号</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rPr>
                <w:b/>
                <w:kern w:val="2"/>
                <w:sz w:val="21"/>
                <w:szCs w:val="21"/>
                <w:highlight w:val="none"/>
              </w:rPr>
            </w:pPr>
            <w:r>
              <w:rPr>
                <w:b/>
                <w:kern w:val="2"/>
                <w:sz w:val="21"/>
                <w:szCs w:val="21"/>
                <w:highlight w:val="none"/>
              </w:rPr>
              <w:t>维护内容</w:t>
            </w:r>
          </w:p>
        </w:tc>
        <w:tc>
          <w:tcPr>
            <w:tcW w:w="1726" w:type="dxa"/>
            <w:tcBorders>
              <w:top w:val="single" w:color="auto" w:sz="8" w:space="0"/>
              <w:left w:val="nil"/>
              <w:bottom w:val="single" w:color="auto" w:sz="8" w:space="0"/>
              <w:right w:val="single" w:color="auto" w:sz="8" w:space="0"/>
            </w:tcBorders>
            <w:noWrap w:val="0"/>
            <w:vAlign w:val="center"/>
          </w:tcPr>
          <w:p>
            <w:pPr>
              <w:adjustRightInd w:val="0"/>
              <w:snapToGrid w:val="0"/>
              <w:rPr>
                <w:b/>
                <w:kern w:val="2"/>
                <w:sz w:val="21"/>
                <w:szCs w:val="21"/>
                <w:highlight w:val="none"/>
              </w:rPr>
            </w:pPr>
            <w:r>
              <w:rPr>
                <w:b/>
                <w:kern w:val="2"/>
                <w:sz w:val="21"/>
                <w:szCs w:val="21"/>
                <w:highlight w:val="none"/>
              </w:rPr>
              <w:t>维护周期及目标</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ind w:firstLine="402"/>
              <w:jc w:val="center"/>
              <w:rPr>
                <w:b/>
                <w:kern w:val="2"/>
                <w:sz w:val="21"/>
                <w:szCs w:val="21"/>
                <w:highlight w:val="none"/>
              </w:rPr>
            </w:pPr>
            <w:r>
              <w:rPr>
                <w:b/>
                <w:kern w:val="2"/>
                <w:sz w:val="21"/>
                <w:szCs w:val="21"/>
                <w:highlight w:val="none"/>
              </w:rPr>
              <w:t>维护要求</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rFonts w:hint="eastAsia"/>
                <w:kern w:val="2"/>
                <w:sz w:val="21"/>
                <w:szCs w:val="21"/>
                <w:highlight w:val="none"/>
              </w:rPr>
            </w:pPr>
            <w:r>
              <w:rPr>
                <w:rFonts w:hint="eastAsia"/>
                <w:kern w:val="2"/>
                <w:sz w:val="21"/>
                <w:szCs w:val="21"/>
                <w:highlight w:val="none"/>
              </w:rPr>
              <w:t>1</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电动球阀清洗检查</w:t>
            </w:r>
          </w:p>
        </w:tc>
        <w:tc>
          <w:tcPr>
            <w:tcW w:w="1726"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至少1月1次，确保清洗后电动球阀吸合自如，无堵塞和渗漏</w:t>
            </w:r>
          </w:p>
        </w:tc>
        <w:tc>
          <w:tcPr>
            <w:tcW w:w="5335" w:type="dxa"/>
            <w:tcBorders>
              <w:top w:val="single" w:color="auto" w:sz="8" w:space="0"/>
              <w:left w:val="nil"/>
              <w:bottom w:val="single" w:color="auto" w:sz="8" w:space="0"/>
              <w:right w:val="single" w:color="auto" w:sz="8" w:space="0"/>
            </w:tcBorders>
            <w:noWrap w:val="0"/>
            <w:vAlign w:val="center"/>
          </w:tcPr>
          <w:p>
            <w:pPr>
              <w:numPr>
                <w:ilvl w:val="0"/>
                <w:numId w:val="2"/>
              </w:numPr>
              <w:adjustRightInd w:val="0"/>
              <w:snapToGrid w:val="0"/>
              <w:spacing w:line="240" w:lineRule="exact"/>
              <w:rPr>
                <w:kern w:val="2"/>
                <w:sz w:val="21"/>
                <w:szCs w:val="21"/>
                <w:highlight w:val="none"/>
              </w:rPr>
            </w:pPr>
            <w:r>
              <w:rPr>
                <w:kern w:val="2"/>
                <w:sz w:val="21"/>
                <w:szCs w:val="21"/>
                <w:highlight w:val="none"/>
              </w:rPr>
              <w:t>将电动球阀手动拆下，用试管刷清洗后，将电动球阀装回管路。</w:t>
            </w:r>
          </w:p>
          <w:p>
            <w:pPr>
              <w:numPr>
                <w:ilvl w:val="0"/>
                <w:numId w:val="2"/>
              </w:numPr>
              <w:adjustRightInd w:val="0"/>
              <w:snapToGrid w:val="0"/>
              <w:spacing w:line="240" w:lineRule="exact"/>
              <w:rPr>
                <w:kern w:val="2"/>
                <w:sz w:val="21"/>
                <w:szCs w:val="21"/>
                <w:highlight w:val="none"/>
              </w:rPr>
            </w:pPr>
            <w:r>
              <w:rPr>
                <w:kern w:val="2"/>
                <w:sz w:val="21"/>
                <w:szCs w:val="21"/>
                <w:highlight w:val="none"/>
              </w:rPr>
              <w:t>开启组态单阀测试程序，单独控制阀门开关，检查阀门开关时间是否符合要求。</w:t>
            </w:r>
          </w:p>
          <w:p>
            <w:pPr>
              <w:numPr>
                <w:ilvl w:val="0"/>
                <w:numId w:val="2"/>
              </w:numPr>
              <w:adjustRightInd w:val="0"/>
              <w:snapToGrid w:val="0"/>
              <w:spacing w:line="240" w:lineRule="exact"/>
              <w:rPr>
                <w:kern w:val="2"/>
                <w:sz w:val="21"/>
                <w:szCs w:val="21"/>
                <w:highlight w:val="none"/>
              </w:rPr>
            </w:pPr>
            <w:r>
              <w:rPr>
                <w:kern w:val="2"/>
                <w:sz w:val="21"/>
                <w:szCs w:val="21"/>
                <w:highlight w:val="none"/>
              </w:rPr>
              <w:t>必要的情况替换电动球阀。</w:t>
            </w:r>
          </w:p>
        </w:tc>
      </w:tr>
      <w:tr>
        <w:tblPrEx>
          <w:tblCellMar>
            <w:top w:w="0" w:type="dxa"/>
            <w:left w:w="108" w:type="dxa"/>
            <w:bottom w:w="0" w:type="dxa"/>
            <w:right w:w="108" w:type="dxa"/>
          </w:tblCellMar>
        </w:tblPrEx>
        <w:trPr>
          <w:trHeight w:val="868" w:hRule="atLeast"/>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rFonts w:hint="eastAsia"/>
                <w:kern w:val="2"/>
                <w:sz w:val="21"/>
                <w:szCs w:val="21"/>
                <w:highlight w:val="none"/>
              </w:rPr>
            </w:pPr>
            <w:r>
              <w:rPr>
                <w:rFonts w:hint="eastAsia"/>
                <w:kern w:val="2"/>
                <w:sz w:val="21"/>
                <w:szCs w:val="21"/>
                <w:highlight w:val="none"/>
              </w:rPr>
              <w:t>2</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单向阀清洗</w:t>
            </w:r>
          </w:p>
        </w:tc>
        <w:tc>
          <w:tcPr>
            <w:tcW w:w="1726"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至少1月1次，确保清洗后电动球阀吸合自如，无堵塞和渗漏</w:t>
            </w:r>
          </w:p>
        </w:tc>
        <w:tc>
          <w:tcPr>
            <w:tcW w:w="5335" w:type="dxa"/>
            <w:tcBorders>
              <w:top w:val="single" w:color="auto" w:sz="8" w:space="0"/>
              <w:left w:val="nil"/>
              <w:bottom w:val="single" w:color="auto" w:sz="8" w:space="0"/>
              <w:right w:val="single" w:color="auto" w:sz="8" w:space="0"/>
            </w:tcBorders>
            <w:noWrap w:val="0"/>
            <w:vAlign w:val="center"/>
          </w:tcPr>
          <w:p>
            <w:pPr>
              <w:numPr>
                <w:ilvl w:val="0"/>
                <w:numId w:val="3"/>
              </w:numPr>
              <w:adjustRightInd w:val="0"/>
              <w:snapToGrid w:val="0"/>
              <w:spacing w:line="240" w:lineRule="exact"/>
              <w:rPr>
                <w:kern w:val="2"/>
                <w:sz w:val="21"/>
                <w:szCs w:val="21"/>
                <w:highlight w:val="none"/>
              </w:rPr>
            </w:pPr>
            <w:r>
              <w:rPr>
                <w:kern w:val="2"/>
                <w:sz w:val="21"/>
                <w:szCs w:val="21"/>
                <w:highlight w:val="none"/>
              </w:rPr>
              <w:t>拆下单向阀，用试管刷清洗单向阀阀体及密封橡胶上附着的脏污物，检查密封性是否完好后，原样装回管路。</w:t>
            </w:r>
          </w:p>
          <w:p>
            <w:pPr>
              <w:numPr>
                <w:ilvl w:val="0"/>
                <w:numId w:val="3"/>
              </w:numPr>
              <w:adjustRightInd w:val="0"/>
              <w:snapToGrid w:val="0"/>
              <w:spacing w:line="240" w:lineRule="exact"/>
              <w:rPr>
                <w:kern w:val="2"/>
                <w:sz w:val="21"/>
                <w:szCs w:val="21"/>
                <w:highlight w:val="none"/>
              </w:rPr>
            </w:pPr>
            <w:r>
              <w:rPr>
                <w:kern w:val="2"/>
                <w:sz w:val="21"/>
                <w:szCs w:val="21"/>
                <w:highlight w:val="none"/>
              </w:rPr>
              <w:t>必要情况更换单向阀。</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rFonts w:hint="eastAsia"/>
                <w:kern w:val="2"/>
                <w:sz w:val="21"/>
                <w:szCs w:val="21"/>
                <w:highlight w:val="none"/>
              </w:rPr>
            </w:pPr>
            <w:r>
              <w:rPr>
                <w:rFonts w:hint="eastAsia"/>
                <w:kern w:val="2"/>
                <w:sz w:val="21"/>
                <w:szCs w:val="21"/>
                <w:highlight w:val="none"/>
              </w:rPr>
              <w:t>3</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取水系统综合测试</w:t>
            </w:r>
          </w:p>
        </w:tc>
        <w:tc>
          <w:tcPr>
            <w:tcW w:w="1726"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1周1次，确保系统取水正常</w:t>
            </w:r>
          </w:p>
        </w:tc>
        <w:tc>
          <w:tcPr>
            <w:tcW w:w="5335" w:type="dxa"/>
            <w:tcBorders>
              <w:top w:val="single" w:color="auto" w:sz="8" w:space="0"/>
              <w:left w:val="nil"/>
              <w:bottom w:val="single" w:color="auto" w:sz="8" w:space="0"/>
              <w:right w:val="single" w:color="auto" w:sz="8" w:space="0"/>
            </w:tcBorders>
            <w:noWrap w:val="0"/>
            <w:vAlign w:val="center"/>
          </w:tcPr>
          <w:p>
            <w:pPr>
              <w:numPr>
                <w:ilvl w:val="0"/>
                <w:numId w:val="4"/>
              </w:numPr>
              <w:adjustRightInd w:val="0"/>
              <w:snapToGrid w:val="0"/>
              <w:spacing w:line="240" w:lineRule="exact"/>
              <w:rPr>
                <w:kern w:val="2"/>
                <w:sz w:val="21"/>
                <w:szCs w:val="21"/>
                <w:highlight w:val="none"/>
              </w:rPr>
            </w:pPr>
            <w:r>
              <w:rPr>
                <w:kern w:val="2"/>
                <w:sz w:val="21"/>
                <w:szCs w:val="21"/>
                <w:highlight w:val="none"/>
              </w:rPr>
              <w:t>完成上述测试后复原所有阀门到正确位置。</w:t>
            </w:r>
          </w:p>
          <w:p>
            <w:pPr>
              <w:numPr>
                <w:ilvl w:val="0"/>
                <w:numId w:val="4"/>
              </w:numPr>
              <w:adjustRightInd w:val="0"/>
              <w:snapToGrid w:val="0"/>
              <w:spacing w:line="240" w:lineRule="exact"/>
              <w:rPr>
                <w:kern w:val="2"/>
                <w:sz w:val="21"/>
                <w:szCs w:val="21"/>
                <w:highlight w:val="none"/>
              </w:rPr>
            </w:pPr>
            <w:r>
              <w:rPr>
                <w:kern w:val="2"/>
                <w:sz w:val="21"/>
                <w:szCs w:val="21"/>
                <w:highlight w:val="none"/>
              </w:rPr>
              <w:t>检查各个接头是否松动，各个电动球阀接线是否完好。</w:t>
            </w:r>
          </w:p>
          <w:p>
            <w:pPr>
              <w:numPr>
                <w:ilvl w:val="0"/>
                <w:numId w:val="4"/>
              </w:numPr>
              <w:adjustRightInd w:val="0"/>
              <w:snapToGrid w:val="0"/>
              <w:spacing w:line="240" w:lineRule="exact"/>
              <w:rPr>
                <w:kern w:val="2"/>
                <w:sz w:val="21"/>
                <w:szCs w:val="21"/>
                <w:highlight w:val="none"/>
              </w:rPr>
            </w:pPr>
            <w:r>
              <w:rPr>
                <w:kern w:val="2"/>
                <w:sz w:val="21"/>
                <w:szCs w:val="21"/>
                <w:highlight w:val="none"/>
              </w:rPr>
              <w:t>检查无误情况下，系统复电，检查整个取水流程是否正常。</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rFonts w:hint="eastAsia"/>
                <w:kern w:val="2"/>
                <w:sz w:val="21"/>
                <w:szCs w:val="21"/>
                <w:highlight w:val="none"/>
              </w:rPr>
            </w:pPr>
            <w:r>
              <w:rPr>
                <w:rFonts w:hint="eastAsia"/>
                <w:kern w:val="2"/>
                <w:sz w:val="21"/>
                <w:szCs w:val="21"/>
                <w:highlight w:val="none"/>
              </w:rPr>
              <w:t>4</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工控机检查</w:t>
            </w:r>
          </w:p>
        </w:tc>
        <w:tc>
          <w:tcPr>
            <w:tcW w:w="1726"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至少1月1次，确保工控机运行正常</w:t>
            </w:r>
          </w:p>
        </w:tc>
        <w:tc>
          <w:tcPr>
            <w:tcW w:w="5335" w:type="dxa"/>
            <w:tcBorders>
              <w:top w:val="single" w:color="auto" w:sz="8" w:space="0"/>
              <w:left w:val="nil"/>
              <w:bottom w:val="single" w:color="auto" w:sz="8" w:space="0"/>
              <w:right w:val="single" w:color="auto" w:sz="8" w:space="0"/>
            </w:tcBorders>
            <w:noWrap w:val="0"/>
            <w:vAlign w:val="center"/>
          </w:tcPr>
          <w:p>
            <w:pPr>
              <w:numPr>
                <w:ilvl w:val="0"/>
                <w:numId w:val="5"/>
              </w:numPr>
              <w:adjustRightInd w:val="0"/>
              <w:snapToGrid w:val="0"/>
              <w:spacing w:line="240" w:lineRule="exact"/>
              <w:rPr>
                <w:kern w:val="2"/>
                <w:sz w:val="21"/>
                <w:szCs w:val="21"/>
                <w:highlight w:val="none"/>
              </w:rPr>
            </w:pPr>
            <w:r>
              <w:rPr>
                <w:kern w:val="2"/>
                <w:sz w:val="21"/>
                <w:szCs w:val="21"/>
                <w:highlight w:val="none"/>
              </w:rPr>
              <w:t>检查开机过程中硬件自检过程是否有异常数据传输和报警。</w:t>
            </w:r>
          </w:p>
          <w:p>
            <w:pPr>
              <w:numPr>
                <w:ilvl w:val="0"/>
                <w:numId w:val="5"/>
              </w:numPr>
              <w:adjustRightInd w:val="0"/>
              <w:snapToGrid w:val="0"/>
              <w:spacing w:line="240" w:lineRule="exact"/>
              <w:rPr>
                <w:kern w:val="2"/>
                <w:sz w:val="21"/>
                <w:szCs w:val="21"/>
                <w:highlight w:val="none"/>
              </w:rPr>
            </w:pPr>
            <w:r>
              <w:rPr>
                <w:kern w:val="2"/>
                <w:sz w:val="21"/>
                <w:szCs w:val="21"/>
                <w:highlight w:val="none"/>
              </w:rPr>
              <w:t>强制切断电源后复电工控机是否可以自动启动，并运行计算机系统、加载现场监控软件，串口连接是否正常。</w:t>
            </w:r>
          </w:p>
          <w:p>
            <w:pPr>
              <w:numPr>
                <w:ilvl w:val="0"/>
                <w:numId w:val="5"/>
              </w:numPr>
              <w:adjustRightInd w:val="0"/>
              <w:snapToGrid w:val="0"/>
              <w:spacing w:line="240" w:lineRule="exact"/>
              <w:rPr>
                <w:kern w:val="2"/>
                <w:sz w:val="21"/>
                <w:szCs w:val="21"/>
                <w:highlight w:val="none"/>
              </w:rPr>
            </w:pPr>
            <w:r>
              <w:rPr>
                <w:kern w:val="2"/>
                <w:sz w:val="21"/>
                <w:szCs w:val="21"/>
                <w:highlight w:val="none"/>
              </w:rPr>
              <w:t>做好系统备份工作。将备份好的操作系统和分区D内的文件拷贝到备份移动硬盘上。</w:t>
            </w:r>
          </w:p>
          <w:p>
            <w:pPr>
              <w:numPr>
                <w:ilvl w:val="0"/>
                <w:numId w:val="5"/>
              </w:numPr>
              <w:tabs>
                <w:tab w:val="left" w:pos="360"/>
              </w:tabs>
              <w:adjustRightInd w:val="0"/>
              <w:snapToGrid w:val="0"/>
              <w:spacing w:line="240" w:lineRule="exact"/>
              <w:rPr>
                <w:kern w:val="2"/>
                <w:sz w:val="21"/>
                <w:szCs w:val="21"/>
                <w:highlight w:val="none"/>
              </w:rPr>
            </w:pPr>
            <w:r>
              <w:rPr>
                <w:kern w:val="2"/>
                <w:sz w:val="21"/>
                <w:szCs w:val="21"/>
                <w:highlight w:val="none"/>
              </w:rPr>
              <w:t>断电后拆下工控机，打开后盖，用细毛刷清除电源和主板上的灰尘，尤其注意CPU板、内存和各个串口卡上的灰尘清除。检查各个功能卡接口是否连接牢固。</w:t>
            </w:r>
          </w:p>
          <w:p>
            <w:pPr>
              <w:numPr>
                <w:ilvl w:val="0"/>
                <w:numId w:val="5"/>
              </w:numPr>
              <w:adjustRightInd w:val="0"/>
              <w:snapToGrid w:val="0"/>
              <w:spacing w:line="240" w:lineRule="exact"/>
              <w:rPr>
                <w:kern w:val="2"/>
                <w:sz w:val="21"/>
                <w:szCs w:val="21"/>
                <w:highlight w:val="none"/>
              </w:rPr>
            </w:pPr>
            <w:r>
              <w:rPr>
                <w:kern w:val="2"/>
                <w:sz w:val="21"/>
                <w:szCs w:val="21"/>
                <w:highlight w:val="none"/>
              </w:rPr>
              <w:t>检查硬盘SATA连接线是否松动。</w:t>
            </w:r>
          </w:p>
          <w:p>
            <w:pPr>
              <w:numPr>
                <w:ilvl w:val="0"/>
                <w:numId w:val="5"/>
              </w:numPr>
              <w:adjustRightInd w:val="0"/>
              <w:snapToGrid w:val="0"/>
              <w:spacing w:line="240" w:lineRule="exact"/>
              <w:rPr>
                <w:kern w:val="2"/>
                <w:sz w:val="21"/>
                <w:szCs w:val="21"/>
                <w:highlight w:val="none"/>
              </w:rPr>
            </w:pPr>
            <w:r>
              <w:rPr>
                <w:kern w:val="2"/>
                <w:sz w:val="21"/>
                <w:szCs w:val="21"/>
                <w:highlight w:val="none"/>
              </w:rPr>
              <w:t>定期对杀毒软件升级，专机专用，禁止从事与工作无关的活动。</w:t>
            </w:r>
          </w:p>
          <w:p>
            <w:pPr>
              <w:numPr>
                <w:ilvl w:val="0"/>
                <w:numId w:val="5"/>
              </w:numPr>
              <w:adjustRightInd w:val="0"/>
              <w:snapToGrid w:val="0"/>
              <w:spacing w:line="240" w:lineRule="exact"/>
              <w:rPr>
                <w:kern w:val="2"/>
                <w:sz w:val="21"/>
                <w:szCs w:val="21"/>
                <w:highlight w:val="none"/>
              </w:rPr>
            </w:pPr>
            <w:r>
              <w:rPr>
                <w:kern w:val="2"/>
                <w:sz w:val="21"/>
                <w:szCs w:val="21"/>
                <w:highlight w:val="none"/>
              </w:rPr>
              <w:t>装回工控机重复（1）、（2）步骤。</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rFonts w:hint="eastAsia"/>
                <w:kern w:val="2"/>
                <w:sz w:val="21"/>
                <w:szCs w:val="21"/>
                <w:highlight w:val="none"/>
              </w:rPr>
            </w:pPr>
            <w:r>
              <w:rPr>
                <w:rFonts w:hint="eastAsia"/>
                <w:kern w:val="2"/>
                <w:sz w:val="21"/>
                <w:szCs w:val="21"/>
                <w:highlight w:val="none"/>
              </w:rPr>
              <w:t>5</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rPr>
                <w:kern w:val="2"/>
                <w:sz w:val="21"/>
                <w:szCs w:val="21"/>
                <w:highlight w:val="none"/>
              </w:rPr>
            </w:pPr>
            <w:r>
              <w:rPr>
                <w:kern w:val="2"/>
                <w:sz w:val="21"/>
                <w:szCs w:val="21"/>
                <w:highlight w:val="none"/>
              </w:rPr>
              <w:t>通讯检查</w:t>
            </w:r>
          </w:p>
        </w:tc>
        <w:tc>
          <w:tcPr>
            <w:tcW w:w="1726" w:type="dxa"/>
            <w:vMerge w:val="restart"/>
            <w:tcBorders>
              <w:top w:val="nil"/>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1周1次，确保控制和数据上传通道畅通</w:t>
            </w:r>
          </w:p>
        </w:tc>
        <w:tc>
          <w:tcPr>
            <w:tcW w:w="5335" w:type="dxa"/>
            <w:tcBorders>
              <w:top w:val="single" w:color="auto" w:sz="8" w:space="0"/>
              <w:left w:val="nil"/>
              <w:bottom w:val="single" w:color="auto" w:sz="8" w:space="0"/>
              <w:right w:val="single" w:color="auto" w:sz="8" w:space="0"/>
            </w:tcBorders>
            <w:noWrap w:val="0"/>
            <w:vAlign w:val="center"/>
          </w:tcPr>
          <w:p>
            <w:pPr>
              <w:numPr>
                <w:ilvl w:val="0"/>
                <w:numId w:val="6"/>
              </w:numPr>
              <w:adjustRightInd w:val="0"/>
              <w:snapToGrid w:val="0"/>
              <w:rPr>
                <w:kern w:val="2"/>
                <w:sz w:val="21"/>
                <w:szCs w:val="21"/>
                <w:highlight w:val="none"/>
              </w:rPr>
            </w:pPr>
            <w:r>
              <w:rPr>
                <w:kern w:val="2"/>
                <w:sz w:val="21"/>
                <w:szCs w:val="21"/>
                <w:highlight w:val="none"/>
              </w:rPr>
              <w:t>确保工控机各个串口和PLC、数采仪、分析仪器连接一一对应正确且牢固。</w:t>
            </w:r>
          </w:p>
          <w:p>
            <w:pPr>
              <w:numPr>
                <w:ilvl w:val="0"/>
                <w:numId w:val="6"/>
              </w:numPr>
              <w:adjustRightInd w:val="0"/>
              <w:snapToGrid w:val="0"/>
              <w:rPr>
                <w:kern w:val="2"/>
                <w:sz w:val="21"/>
                <w:szCs w:val="21"/>
                <w:highlight w:val="none"/>
              </w:rPr>
            </w:pPr>
            <w:r>
              <w:rPr>
                <w:kern w:val="2"/>
                <w:sz w:val="21"/>
                <w:szCs w:val="21"/>
                <w:highlight w:val="none"/>
              </w:rPr>
              <w:t>VPN网络设备检查，保证通讯畅通。</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rFonts w:hint="eastAsia"/>
                <w:kern w:val="2"/>
                <w:sz w:val="21"/>
                <w:szCs w:val="21"/>
                <w:highlight w:val="none"/>
              </w:rPr>
            </w:pPr>
            <w:r>
              <w:rPr>
                <w:rFonts w:hint="eastAsia"/>
                <w:kern w:val="2"/>
                <w:sz w:val="21"/>
                <w:szCs w:val="21"/>
                <w:highlight w:val="none"/>
              </w:rPr>
              <w:t>6</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rPr>
                <w:kern w:val="2"/>
                <w:sz w:val="21"/>
                <w:szCs w:val="21"/>
                <w:highlight w:val="none"/>
              </w:rPr>
            </w:pPr>
            <w:r>
              <w:rPr>
                <w:kern w:val="2"/>
                <w:sz w:val="21"/>
                <w:szCs w:val="21"/>
                <w:highlight w:val="none"/>
              </w:rPr>
              <w:t>PLC检查</w:t>
            </w:r>
          </w:p>
        </w:tc>
        <w:tc>
          <w:tcPr>
            <w:tcW w:w="1726" w:type="dxa"/>
            <w:vMerge w:val="continue"/>
            <w:tcBorders>
              <w:top w:val="nil"/>
              <w:left w:val="nil"/>
              <w:bottom w:val="single" w:color="auto" w:sz="8" w:space="0"/>
              <w:right w:val="single" w:color="auto" w:sz="8" w:space="0"/>
            </w:tcBorders>
            <w:noWrap w:val="0"/>
            <w:vAlign w:val="center"/>
          </w:tcPr>
          <w:p>
            <w:pPr>
              <w:adjustRightInd w:val="0"/>
              <w:snapToGrid w:val="0"/>
              <w:ind w:firstLine="400"/>
              <w:rPr>
                <w:kern w:val="2"/>
                <w:sz w:val="21"/>
                <w:szCs w:val="21"/>
                <w:highlight w:val="none"/>
              </w:rPr>
            </w:pPr>
          </w:p>
        </w:tc>
        <w:tc>
          <w:tcPr>
            <w:tcW w:w="5335" w:type="dxa"/>
            <w:tcBorders>
              <w:top w:val="single" w:color="auto" w:sz="8" w:space="0"/>
              <w:left w:val="nil"/>
              <w:bottom w:val="single" w:color="auto" w:sz="8" w:space="0"/>
              <w:right w:val="single" w:color="auto" w:sz="8" w:space="0"/>
            </w:tcBorders>
            <w:noWrap w:val="0"/>
            <w:vAlign w:val="center"/>
          </w:tcPr>
          <w:p>
            <w:pPr>
              <w:numPr>
                <w:ilvl w:val="0"/>
                <w:numId w:val="7"/>
              </w:numPr>
              <w:adjustRightInd w:val="0"/>
              <w:snapToGrid w:val="0"/>
              <w:rPr>
                <w:kern w:val="2"/>
                <w:sz w:val="21"/>
                <w:szCs w:val="21"/>
                <w:highlight w:val="none"/>
              </w:rPr>
            </w:pPr>
            <w:r>
              <w:rPr>
                <w:kern w:val="2"/>
                <w:sz w:val="21"/>
                <w:szCs w:val="21"/>
                <w:highlight w:val="none"/>
              </w:rPr>
              <w:t>检查PLC状态数据传输和报警灯，确保无数据传输和报警。</w:t>
            </w:r>
          </w:p>
          <w:p>
            <w:pPr>
              <w:numPr>
                <w:ilvl w:val="0"/>
                <w:numId w:val="7"/>
              </w:numPr>
              <w:adjustRightInd w:val="0"/>
              <w:snapToGrid w:val="0"/>
              <w:rPr>
                <w:kern w:val="2"/>
                <w:sz w:val="21"/>
                <w:szCs w:val="21"/>
                <w:highlight w:val="none"/>
              </w:rPr>
            </w:pPr>
            <w:r>
              <w:rPr>
                <w:kern w:val="2"/>
                <w:sz w:val="21"/>
                <w:szCs w:val="21"/>
                <w:highlight w:val="none"/>
              </w:rPr>
              <w:t>确保取水过程中PLC上各个点输入输出状态正确。</w:t>
            </w:r>
          </w:p>
          <w:p>
            <w:pPr>
              <w:numPr>
                <w:ilvl w:val="0"/>
                <w:numId w:val="7"/>
              </w:numPr>
              <w:adjustRightInd w:val="0"/>
              <w:snapToGrid w:val="0"/>
              <w:rPr>
                <w:kern w:val="2"/>
                <w:sz w:val="21"/>
                <w:szCs w:val="21"/>
                <w:highlight w:val="none"/>
              </w:rPr>
            </w:pPr>
            <w:r>
              <w:rPr>
                <w:kern w:val="2"/>
                <w:sz w:val="21"/>
                <w:szCs w:val="21"/>
                <w:highlight w:val="none"/>
              </w:rPr>
              <w:t>测量并确保PLC时钟电池电压正常。必要的情况更换电池。</w:t>
            </w:r>
          </w:p>
          <w:p>
            <w:pPr>
              <w:numPr>
                <w:ilvl w:val="0"/>
                <w:numId w:val="7"/>
              </w:numPr>
              <w:adjustRightInd w:val="0"/>
              <w:snapToGrid w:val="0"/>
              <w:rPr>
                <w:kern w:val="2"/>
                <w:sz w:val="21"/>
                <w:szCs w:val="21"/>
                <w:highlight w:val="none"/>
              </w:rPr>
            </w:pPr>
            <w:r>
              <w:rPr>
                <w:kern w:val="2"/>
                <w:sz w:val="21"/>
                <w:szCs w:val="21"/>
                <w:highlight w:val="none"/>
              </w:rPr>
              <w:t>确保PLC串口模块连接牢固。</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rFonts w:hint="eastAsia"/>
                <w:kern w:val="2"/>
                <w:sz w:val="21"/>
                <w:szCs w:val="21"/>
                <w:highlight w:val="none"/>
              </w:rPr>
            </w:pPr>
            <w:r>
              <w:rPr>
                <w:rFonts w:hint="eastAsia"/>
                <w:kern w:val="2"/>
                <w:sz w:val="21"/>
                <w:szCs w:val="21"/>
                <w:highlight w:val="none"/>
              </w:rPr>
              <w:t>7</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面板开关检查</w:t>
            </w:r>
          </w:p>
        </w:tc>
        <w:tc>
          <w:tcPr>
            <w:tcW w:w="1726" w:type="dxa"/>
            <w:vMerge w:val="restart"/>
            <w:tcBorders>
              <w:top w:val="nil"/>
              <w:left w:val="nil"/>
              <w:bottom w:val="single" w:color="auto" w:sz="8" w:space="0"/>
              <w:right w:val="single" w:color="auto" w:sz="8"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1周1次，确保各开关功能正常</w:t>
            </w:r>
          </w:p>
          <w:p>
            <w:pPr>
              <w:adjustRightInd w:val="0"/>
              <w:snapToGrid w:val="0"/>
              <w:spacing w:line="240" w:lineRule="exact"/>
              <w:rPr>
                <w:kern w:val="2"/>
                <w:sz w:val="21"/>
                <w:szCs w:val="21"/>
                <w:highlight w:val="none"/>
              </w:rPr>
            </w:pPr>
          </w:p>
          <w:p>
            <w:pPr>
              <w:adjustRightInd w:val="0"/>
              <w:snapToGrid w:val="0"/>
              <w:spacing w:line="240" w:lineRule="exact"/>
              <w:jc w:val="center"/>
              <w:rPr>
                <w:kern w:val="2"/>
                <w:sz w:val="21"/>
                <w:szCs w:val="21"/>
                <w:highlight w:val="none"/>
              </w:rPr>
            </w:pP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检查控制柜前面板开关和指示灯确保其工作正常。</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rFonts w:hint="eastAsia"/>
                <w:kern w:val="2"/>
                <w:sz w:val="21"/>
                <w:szCs w:val="21"/>
                <w:highlight w:val="none"/>
              </w:rPr>
            </w:pPr>
            <w:r>
              <w:rPr>
                <w:rFonts w:hint="eastAsia"/>
                <w:kern w:val="2"/>
                <w:sz w:val="21"/>
                <w:szCs w:val="21"/>
                <w:highlight w:val="none"/>
              </w:rPr>
              <w:t>8</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配电板清扫</w:t>
            </w:r>
          </w:p>
        </w:tc>
        <w:tc>
          <w:tcPr>
            <w:tcW w:w="1726" w:type="dxa"/>
            <w:vMerge w:val="continue"/>
            <w:tcBorders>
              <w:top w:val="nil"/>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清扫配电板上各个元件上的灰尘等。</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rFonts w:hint="eastAsia"/>
                <w:kern w:val="2"/>
                <w:sz w:val="21"/>
                <w:szCs w:val="21"/>
                <w:highlight w:val="none"/>
              </w:rPr>
            </w:pPr>
            <w:r>
              <w:rPr>
                <w:rFonts w:hint="eastAsia"/>
                <w:kern w:val="2"/>
                <w:sz w:val="21"/>
                <w:szCs w:val="21"/>
                <w:highlight w:val="none"/>
              </w:rPr>
              <w:t>9</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配电板状态检查</w:t>
            </w:r>
          </w:p>
        </w:tc>
        <w:tc>
          <w:tcPr>
            <w:tcW w:w="1726" w:type="dxa"/>
            <w:vMerge w:val="continue"/>
            <w:tcBorders>
              <w:top w:val="nil"/>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检查确保配电板上各个接线接头不松动，并清除锈蚀接头。确保各个接触器和继电器工作正常。</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kern w:val="2"/>
                <w:sz w:val="21"/>
                <w:szCs w:val="21"/>
                <w:highlight w:val="none"/>
              </w:rPr>
            </w:pPr>
            <w:r>
              <w:rPr>
                <w:rFonts w:hint="eastAsia"/>
                <w:kern w:val="2"/>
                <w:sz w:val="21"/>
                <w:szCs w:val="21"/>
                <w:highlight w:val="none"/>
              </w:rPr>
              <w:t>10</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接地检查</w:t>
            </w:r>
          </w:p>
        </w:tc>
        <w:tc>
          <w:tcPr>
            <w:tcW w:w="1726" w:type="dxa"/>
            <w:vMerge w:val="continue"/>
            <w:tcBorders>
              <w:top w:val="nil"/>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确保各个机柜和用电器接地良好，尤其注意防雷保护器接地。</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rFonts w:hint="eastAsia"/>
                <w:kern w:val="2"/>
                <w:sz w:val="21"/>
                <w:szCs w:val="21"/>
                <w:highlight w:val="none"/>
              </w:rPr>
            </w:pPr>
            <w:r>
              <w:rPr>
                <w:kern w:val="2"/>
                <w:sz w:val="21"/>
                <w:szCs w:val="21"/>
                <w:highlight w:val="none"/>
              </w:rPr>
              <w:t>1</w:t>
            </w:r>
            <w:r>
              <w:rPr>
                <w:rFonts w:hint="eastAsia"/>
                <w:kern w:val="2"/>
                <w:sz w:val="21"/>
                <w:szCs w:val="21"/>
                <w:highlight w:val="none"/>
              </w:rPr>
              <w:t>1</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温湿度仪检查</w:t>
            </w:r>
          </w:p>
        </w:tc>
        <w:tc>
          <w:tcPr>
            <w:tcW w:w="1726" w:type="dxa"/>
            <w:vMerge w:val="continue"/>
            <w:tcBorders>
              <w:top w:val="nil"/>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r>
              <w:rPr>
                <w:kern w:val="2"/>
                <w:sz w:val="21"/>
                <w:szCs w:val="21"/>
                <w:highlight w:val="none"/>
              </w:rPr>
              <w:t>检查温湿度仪是否显示合理，保证温度探头反应灵敏。</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kern w:val="2"/>
                <w:sz w:val="21"/>
                <w:szCs w:val="21"/>
                <w:highlight w:val="none"/>
              </w:rPr>
            </w:pPr>
            <w:r>
              <w:rPr>
                <w:rFonts w:hint="eastAsia"/>
                <w:kern w:val="2"/>
                <w:sz w:val="21"/>
                <w:szCs w:val="21"/>
                <w:highlight w:val="none"/>
              </w:rPr>
              <w:t>12</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稳压电源清扫</w:t>
            </w:r>
          </w:p>
        </w:tc>
        <w:tc>
          <w:tcPr>
            <w:tcW w:w="1726" w:type="dxa"/>
            <w:vMerge w:val="continue"/>
            <w:tcBorders>
              <w:top w:val="nil"/>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p>
        </w:tc>
        <w:tc>
          <w:tcPr>
            <w:tcW w:w="5335" w:type="dxa"/>
            <w:tcBorders>
              <w:top w:val="single" w:color="auto" w:sz="8" w:space="0"/>
              <w:left w:val="nil"/>
              <w:bottom w:val="single" w:color="auto" w:sz="8" w:space="0"/>
              <w:right w:val="single" w:color="auto" w:sz="8" w:space="0"/>
            </w:tcBorders>
            <w:noWrap w:val="0"/>
            <w:vAlign w:val="center"/>
          </w:tcPr>
          <w:p>
            <w:pPr>
              <w:numPr>
                <w:ilvl w:val="0"/>
                <w:numId w:val="8"/>
              </w:numPr>
              <w:adjustRightInd w:val="0"/>
              <w:snapToGrid w:val="0"/>
              <w:spacing w:line="240" w:lineRule="exact"/>
              <w:rPr>
                <w:kern w:val="2"/>
                <w:sz w:val="21"/>
                <w:szCs w:val="21"/>
                <w:highlight w:val="none"/>
              </w:rPr>
            </w:pPr>
            <w:r>
              <w:rPr>
                <w:kern w:val="2"/>
                <w:sz w:val="21"/>
                <w:szCs w:val="21"/>
                <w:highlight w:val="none"/>
              </w:rPr>
              <w:t>断电情况下清扫稳压电源内的灰尘。</w:t>
            </w:r>
          </w:p>
          <w:p>
            <w:pPr>
              <w:numPr>
                <w:ilvl w:val="0"/>
                <w:numId w:val="8"/>
              </w:numPr>
              <w:adjustRightInd w:val="0"/>
              <w:snapToGrid w:val="0"/>
              <w:spacing w:line="240" w:lineRule="exact"/>
              <w:rPr>
                <w:kern w:val="2"/>
                <w:sz w:val="21"/>
                <w:szCs w:val="21"/>
                <w:highlight w:val="none"/>
              </w:rPr>
            </w:pPr>
            <w:r>
              <w:rPr>
                <w:kern w:val="2"/>
                <w:sz w:val="21"/>
                <w:szCs w:val="21"/>
                <w:highlight w:val="none"/>
              </w:rPr>
              <w:t>检查碳刷是否正常，磨损较多情况必须更换。上电测试，确保稳压源工作正常。</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kern w:val="2"/>
                <w:sz w:val="21"/>
                <w:szCs w:val="21"/>
                <w:highlight w:val="none"/>
              </w:rPr>
            </w:pPr>
            <w:r>
              <w:rPr>
                <w:rFonts w:hint="eastAsia"/>
                <w:kern w:val="2"/>
                <w:sz w:val="21"/>
                <w:szCs w:val="21"/>
                <w:highlight w:val="none"/>
              </w:rPr>
              <w:t>13</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UPS检查清扫</w:t>
            </w:r>
          </w:p>
        </w:tc>
        <w:tc>
          <w:tcPr>
            <w:tcW w:w="1726" w:type="dxa"/>
            <w:vMerge w:val="continue"/>
            <w:tcBorders>
              <w:top w:val="nil"/>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p>
        </w:tc>
        <w:tc>
          <w:tcPr>
            <w:tcW w:w="5335" w:type="dxa"/>
            <w:tcBorders>
              <w:top w:val="single" w:color="auto" w:sz="8" w:space="0"/>
              <w:left w:val="nil"/>
              <w:bottom w:val="single" w:color="auto" w:sz="8" w:space="0"/>
              <w:right w:val="single" w:color="auto" w:sz="8" w:space="0"/>
            </w:tcBorders>
            <w:noWrap w:val="0"/>
            <w:vAlign w:val="center"/>
          </w:tcPr>
          <w:p>
            <w:pPr>
              <w:numPr>
                <w:ilvl w:val="0"/>
                <w:numId w:val="9"/>
              </w:numPr>
              <w:tabs>
                <w:tab w:val="left" w:pos="360"/>
              </w:tabs>
              <w:adjustRightInd w:val="0"/>
              <w:snapToGrid w:val="0"/>
              <w:spacing w:line="240" w:lineRule="exact"/>
              <w:rPr>
                <w:kern w:val="2"/>
                <w:sz w:val="21"/>
                <w:szCs w:val="21"/>
                <w:highlight w:val="none"/>
              </w:rPr>
            </w:pPr>
            <w:r>
              <w:rPr>
                <w:kern w:val="2"/>
                <w:sz w:val="21"/>
                <w:szCs w:val="21"/>
                <w:highlight w:val="none"/>
              </w:rPr>
              <w:t>断电情况下清扫UPS各个散热孔上的灰尘。</w:t>
            </w:r>
          </w:p>
          <w:p>
            <w:pPr>
              <w:numPr>
                <w:ilvl w:val="0"/>
                <w:numId w:val="9"/>
              </w:numPr>
              <w:tabs>
                <w:tab w:val="left" w:pos="360"/>
              </w:tabs>
              <w:adjustRightInd w:val="0"/>
              <w:snapToGrid w:val="0"/>
              <w:spacing w:line="240" w:lineRule="exact"/>
              <w:rPr>
                <w:kern w:val="2"/>
                <w:sz w:val="21"/>
                <w:szCs w:val="21"/>
                <w:highlight w:val="none"/>
              </w:rPr>
            </w:pPr>
            <w:r>
              <w:rPr>
                <w:kern w:val="2"/>
                <w:sz w:val="21"/>
                <w:szCs w:val="21"/>
                <w:highlight w:val="none"/>
              </w:rPr>
              <w:t>检查确保UPS充放电正常。</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kern w:val="2"/>
                <w:sz w:val="21"/>
                <w:szCs w:val="21"/>
                <w:highlight w:val="none"/>
              </w:rPr>
            </w:pPr>
            <w:r>
              <w:rPr>
                <w:rFonts w:hint="eastAsia"/>
                <w:kern w:val="2"/>
                <w:sz w:val="21"/>
                <w:szCs w:val="21"/>
                <w:highlight w:val="none"/>
              </w:rPr>
              <w:t>14</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UPS电池箱清扫</w:t>
            </w:r>
          </w:p>
        </w:tc>
        <w:tc>
          <w:tcPr>
            <w:tcW w:w="1726" w:type="dxa"/>
            <w:vMerge w:val="continue"/>
            <w:tcBorders>
              <w:top w:val="nil"/>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p>
        </w:tc>
        <w:tc>
          <w:tcPr>
            <w:tcW w:w="5335" w:type="dxa"/>
            <w:tcBorders>
              <w:top w:val="single" w:color="auto" w:sz="8" w:space="0"/>
              <w:left w:val="nil"/>
              <w:bottom w:val="single" w:color="auto" w:sz="8" w:space="0"/>
              <w:right w:val="single" w:color="auto" w:sz="8" w:space="0"/>
            </w:tcBorders>
            <w:noWrap w:val="0"/>
            <w:vAlign w:val="center"/>
          </w:tcPr>
          <w:p>
            <w:pPr>
              <w:numPr>
                <w:ilvl w:val="0"/>
                <w:numId w:val="10"/>
              </w:numPr>
              <w:tabs>
                <w:tab w:val="left" w:pos="360"/>
              </w:tabs>
              <w:adjustRightInd w:val="0"/>
              <w:snapToGrid w:val="0"/>
              <w:spacing w:line="240" w:lineRule="exact"/>
              <w:rPr>
                <w:kern w:val="2"/>
                <w:sz w:val="21"/>
                <w:szCs w:val="21"/>
                <w:highlight w:val="none"/>
              </w:rPr>
            </w:pPr>
            <w:r>
              <w:rPr>
                <w:kern w:val="2"/>
                <w:sz w:val="21"/>
                <w:szCs w:val="21"/>
                <w:highlight w:val="none"/>
              </w:rPr>
              <w:t>做好绝缘措施情况下清扫UPS电池箱内的灰尘。</w:t>
            </w:r>
          </w:p>
          <w:p>
            <w:pPr>
              <w:numPr>
                <w:ilvl w:val="0"/>
                <w:numId w:val="10"/>
              </w:numPr>
              <w:tabs>
                <w:tab w:val="left" w:pos="360"/>
              </w:tabs>
              <w:adjustRightInd w:val="0"/>
              <w:snapToGrid w:val="0"/>
              <w:spacing w:line="240" w:lineRule="exact"/>
              <w:rPr>
                <w:kern w:val="2"/>
                <w:sz w:val="21"/>
                <w:szCs w:val="21"/>
                <w:highlight w:val="none"/>
              </w:rPr>
            </w:pPr>
            <w:r>
              <w:rPr>
                <w:kern w:val="2"/>
                <w:sz w:val="21"/>
                <w:szCs w:val="21"/>
                <w:highlight w:val="none"/>
              </w:rPr>
              <w:t>确保箱内各个电池联线接触良好牢固。</w:t>
            </w:r>
          </w:p>
          <w:p>
            <w:pPr>
              <w:numPr>
                <w:ilvl w:val="0"/>
                <w:numId w:val="10"/>
              </w:numPr>
              <w:tabs>
                <w:tab w:val="left" w:pos="360"/>
              </w:tabs>
              <w:adjustRightInd w:val="0"/>
              <w:snapToGrid w:val="0"/>
              <w:spacing w:line="240" w:lineRule="exact"/>
              <w:rPr>
                <w:kern w:val="2"/>
                <w:sz w:val="21"/>
                <w:szCs w:val="21"/>
                <w:highlight w:val="none"/>
              </w:rPr>
            </w:pPr>
            <w:r>
              <w:rPr>
                <w:kern w:val="2"/>
                <w:sz w:val="21"/>
                <w:szCs w:val="21"/>
                <w:highlight w:val="none"/>
              </w:rPr>
              <w:t>确保各个电池无漏液，外观正常。</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ind w:firstLine="210" w:firstLineChars="100"/>
              <w:rPr>
                <w:kern w:val="2"/>
                <w:sz w:val="21"/>
                <w:szCs w:val="21"/>
                <w:highlight w:val="none"/>
              </w:rPr>
            </w:pPr>
            <w:r>
              <w:rPr>
                <w:rFonts w:hint="eastAsia"/>
                <w:kern w:val="2"/>
                <w:sz w:val="21"/>
                <w:szCs w:val="21"/>
                <w:highlight w:val="none"/>
              </w:rPr>
              <w:t>15</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kern w:val="2"/>
                <w:sz w:val="21"/>
                <w:szCs w:val="21"/>
                <w:highlight w:val="none"/>
              </w:rPr>
            </w:pPr>
            <w:r>
              <w:rPr>
                <w:kern w:val="2"/>
                <w:sz w:val="21"/>
                <w:szCs w:val="21"/>
                <w:highlight w:val="none"/>
              </w:rPr>
              <w:t>机柜台面清扫及检查</w:t>
            </w:r>
          </w:p>
        </w:tc>
        <w:tc>
          <w:tcPr>
            <w:tcW w:w="1726" w:type="dxa"/>
            <w:vMerge w:val="continue"/>
            <w:tcBorders>
              <w:top w:val="nil"/>
              <w:left w:val="nil"/>
              <w:bottom w:val="single" w:color="auto" w:sz="8" w:space="0"/>
              <w:right w:val="single" w:color="auto" w:sz="8" w:space="0"/>
            </w:tcBorders>
            <w:noWrap w:val="0"/>
            <w:vAlign w:val="center"/>
          </w:tcPr>
          <w:p>
            <w:pPr>
              <w:adjustRightInd w:val="0"/>
              <w:snapToGrid w:val="0"/>
              <w:spacing w:line="240" w:lineRule="exact"/>
              <w:rPr>
                <w:kern w:val="2"/>
                <w:sz w:val="21"/>
                <w:szCs w:val="21"/>
                <w:highlight w:val="none"/>
              </w:rPr>
            </w:pPr>
          </w:p>
        </w:tc>
        <w:tc>
          <w:tcPr>
            <w:tcW w:w="5335" w:type="dxa"/>
            <w:tcBorders>
              <w:top w:val="single" w:color="auto" w:sz="8" w:space="0"/>
              <w:left w:val="nil"/>
              <w:bottom w:val="single" w:color="auto" w:sz="8" w:space="0"/>
              <w:right w:val="single" w:color="auto" w:sz="8" w:space="0"/>
            </w:tcBorders>
            <w:noWrap w:val="0"/>
            <w:vAlign w:val="center"/>
          </w:tcPr>
          <w:p>
            <w:pPr>
              <w:numPr>
                <w:ilvl w:val="0"/>
                <w:numId w:val="11"/>
              </w:numPr>
              <w:tabs>
                <w:tab w:val="left" w:pos="360"/>
              </w:tabs>
              <w:adjustRightInd w:val="0"/>
              <w:snapToGrid w:val="0"/>
              <w:spacing w:line="240" w:lineRule="exact"/>
              <w:rPr>
                <w:kern w:val="2"/>
                <w:sz w:val="21"/>
                <w:szCs w:val="21"/>
                <w:highlight w:val="none"/>
              </w:rPr>
            </w:pPr>
            <w:r>
              <w:rPr>
                <w:kern w:val="2"/>
                <w:sz w:val="21"/>
                <w:szCs w:val="21"/>
                <w:highlight w:val="none"/>
              </w:rPr>
              <w:t>检查机柜台面及玻璃是否清洁。</w:t>
            </w:r>
          </w:p>
          <w:p>
            <w:pPr>
              <w:numPr>
                <w:ilvl w:val="0"/>
                <w:numId w:val="11"/>
              </w:numPr>
              <w:adjustRightInd w:val="0"/>
              <w:snapToGrid w:val="0"/>
              <w:spacing w:line="240" w:lineRule="exact"/>
              <w:rPr>
                <w:kern w:val="2"/>
                <w:sz w:val="21"/>
                <w:szCs w:val="21"/>
                <w:highlight w:val="none"/>
              </w:rPr>
            </w:pPr>
            <w:r>
              <w:rPr>
                <w:kern w:val="2"/>
                <w:sz w:val="21"/>
                <w:szCs w:val="21"/>
                <w:highlight w:val="none"/>
              </w:rPr>
              <w:t>检查机柜各门是否关于完好。</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16</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bookmarkStart w:id="20" w:name="_Toc27131"/>
            <w:r>
              <w:rPr>
                <w:rFonts w:hint="default" w:eastAsia="宋体"/>
                <w:kern w:val="2"/>
                <w:sz w:val="21"/>
                <w:szCs w:val="21"/>
                <w:highlight w:val="none"/>
                <w:lang w:val="en-US" w:eastAsia="zh-CN"/>
              </w:rPr>
              <w:t>重金属在线监测仪</w:t>
            </w:r>
            <w:r>
              <w:rPr>
                <w:rFonts w:hint="eastAsia" w:eastAsia="宋体"/>
                <w:kern w:val="2"/>
                <w:sz w:val="21"/>
                <w:szCs w:val="21"/>
                <w:highlight w:val="none"/>
                <w:lang w:val="en-US" w:eastAsia="zh-CN"/>
              </w:rPr>
              <w:t>断电重启</w:t>
            </w:r>
            <w:bookmarkEnd w:id="20"/>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1周1次，确保监测仪器工控机、监测仪及配套系统正常运行。</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若EXPEC7000软件启动报错，则将前面保存的Var文件将Config里的Var文件替换</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打开EXPEC7000、重金属、数采软件</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EXPEC7000软件：点击打开真空，等待流程走至真空就绪，真空泵转速从0到60000，分析腔压力＜3.0e-6mbar；管理→在线消解，确认界面右手边状态量中当前流程为1，多通道阀序列为0，多通道阀消解也为0，点击流程下的下载方法，多通道阀序列的设置，轮训周期的设置，3个点完后状态量显示为1,1,6。</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（4）</w:t>
            </w:r>
            <w:r>
              <w:rPr>
                <w:rFonts w:hint="default" w:eastAsia="宋体"/>
                <w:kern w:val="2"/>
                <w:sz w:val="21"/>
                <w:szCs w:val="21"/>
                <w:highlight w:val="none"/>
                <w:lang w:val="en-US" w:eastAsia="zh-CN"/>
              </w:rPr>
              <w:t>谱育水质重金属软件打开常用→状态监控，确认ICPMS开关信息中，前级泵、分子泵和前级阀三个按钮量绿灯，绿灯说明重金属软件与EXPEC7000软件通讯正常。点击下载并保存,点击前处理机柜端前处理采水轮训周期设置，点击PLC报警阈值设置的设置和自动读取ICP-MS仪表端数据周期设置的设置。</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17</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eastAsia" w:eastAsia="宋体"/>
                <w:kern w:val="2"/>
                <w:sz w:val="21"/>
                <w:szCs w:val="21"/>
                <w:highlight w:val="none"/>
                <w:lang w:val="en-US" w:eastAsia="zh-CN"/>
              </w:rPr>
            </w:pPr>
            <w:bookmarkStart w:id="21" w:name="_Toc7035"/>
            <w:r>
              <w:rPr>
                <w:rFonts w:hint="default" w:eastAsia="宋体"/>
                <w:kern w:val="2"/>
                <w:sz w:val="21"/>
                <w:szCs w:val="21"/>
                <w:highlight w:val="none"/>
                <w:lang w:val="en-US" w:eastAsia="zh-CN"/>
              </w:rPr>
              <w:t>重金属在线监测仪更换氩气</w:t>
            </w:r>
            <w:bookmarkEnd w:id="21"/>
          </w:p>
          <w:p>
            <w:pPr>
              <w:adjustRightInd w:val="0"/>
              <w:snapToGrid w:val="0"/>
              <w:spacing w:line="240" w:lineRule="exact"/>
              <w:jc w:val="center"/>
              <w:rPr>
                <w:rFonts w:hint="default" w:eastAsia="宋体"/>
                <w:kern w:val="2"/>
                <w:sz w:val="21"/>
                <w:szCs w:val="21"/>
                <w:highlight w:val="none"/>
                <w:lang w:val="en-US" w:eastAsia="zh-CN"/>
              </w:rPr>
            </w:pPr>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每半月一次或更换氩气时进行，确保氩气供应正常</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将所有氩气减压阀黑色旋钮旋松，并关闭所有氩气气瓶阀门，旋松小减压阀压力至0；</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观察氩气减压阀高压表，将压力≤3Mpa的气瓶用10寸活动扳手拧下，更换新氩气气瓶</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拧紧减压阀后将气瓶阀门打开，至减压阀高压表指正稳定后关闭（40L满瓶指针在12-14Mpa之间），等待5-10min，观察高压表指针是否下掉，下掉幅度小于等于0.5Mpa则合格，否则重新拆卸安装减压阀，</w:t>
            </w:r>
            <w:r>
              <w:rPr>
                <w:rFonts w:hint="eastAsia" w:eastAsia="宋体"/>
                <w:kern w:val="2"/>
                <w:sz w:val="21"/>
                <w:szCs w:val="21"/>
                <w:highlight w:val="none"/>
                <w:lang w:val="en-US" w:eastAsia="zh-CN"/>
              </w:rPr>
              <w:t>若</w:t>
            </w:r>
            <w:r>
              <w:rPr>
                <w:rFonts w:hint="default" w:eastAsia="宋体"/>
                <w:kern w:val="2"/>
                <w:sz w:val="21"/>
                <w:szCs w:val="21"/>
                <w:highlight w:val="none"/>
                <w:lang w:val="en-US" w:eastAsia="zh-CN"/>
              </w:rPr>
              <w:t>还是不行则更换另外一个不漏的减压阀，</w:t>
            </w:r>
            <w:r>
              <w:rPr>
                <w:rFonts w:hint="eastAsia" w:eastAsia="宋体"/>
                <w:kern w:val="2"/>
                <w:sz w:val="21"/>
                <w:szCs w:val="21"/>
                <w:highlight w:val="none"/>
                <w:lang w:val="en-US" w:eastAsia="zh-CN"/>
              </w:rPr>
              <w:t>若</w:t>
            </w:r>
            <w:r>
              <w:rPr>
                <w:rFonts w:hint="default" w:eastAsia="宋体"/>
                <w:kern w:val="2"/>
                <w:sz w:val="21"/>
                <w:szCs w:val="21"/>
                <w:highlight w:val="none"/>
                <w:lang w:val="en-US" w:eastAsia="zh-CN"/>
              </w:rPr>
              <w:t>还下掉则说明氩气气瓶口密封存在问题，退还气瓶。（正常40L装，满压力13Mpa的氩气，一瓶可以跑25次流程左右。）</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（4）</w:t>
            </w:r>
            <w:r>
              <w:rPr>
                <w:rFonts w:hint="default" w:eastAsia="宋体"/>
                <w:kern w:val="2"/>
                <w:sz w:val="21"/>
                <w:szCs w:val="21"/>
                <w:highlight w:val="none"/>
                <w:lang w:val="en-US" w:eastAsia="zh-CN"/>
              </w:rPr>
              <w:t>更换完气瓶并测试完气密性后，将所有气瓶阀门逐一打开（至少转5圈），将所有减压阀黑色旋钮旋紧，将小减压阀压力调节至0.75Mpa</w:t>
            </w:r>
            <w:r>
              <w:rPr>
                <w:rFonts w:hint="eastAsia" w:eastAsia="宋体"/>
                <w:kern w:val="2"/>
                <w:sz w:val="21"/>
                <w:szCs w:val="21"/>
                <w:highlight w:val="none"/>
                <w:lang w:val="en-US" w:eastAsia="zh-CN"/>
              </w:rPr>
              <w:t>。</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18</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bookmarkStart w:id="22" w:name="_Toc30192"/>
            <w:r>
              <w:rPr>
                <w:rFonts w:hint="default" w:eastAsia="宋体"/>
                <w:kern w:val="2"/>
                <w:sz w:val="21"/>
                <w:szCs w:val="21"/>
                <w:highlight w:val="none"/>
                <w:lang w:val="en-US" w:eastAsia="zh-CN"/>
              </w:rPr>
              <w:t>重金属在线监测仪检查机械泵（前级泵）泵油液位及颜色、水机液位、废液桶液位</w:t>
            </w:r>
            <w:bookmarkEnd w:id="22"/>
          </w:p>
          <w:p>
            <w:pPr>
              <w:adjustRightInd w:val="0"/>
              <w:snapToGrid w:val="0"/>
              <w:spacing w:line="240" w:lineRule="exact"/>
              <w:jc w:val="center"/>
              <w:rPr>
                <w:rFonts w:hint="default" w:eastAsia="宋体"/>
                <w:kern w:val="2"/>
                <w:sz w:val="21"/>
                <w:szCs w:val="21"/>
                <w:highlight w:val="none"/>
                <w:lang w:val="en-US" w:eastAsia="zh-CN"/>
              </w:rPr>
            </w:pPr>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3个月一次，确保机械泵工作状态正常</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机械泵泵油颜色判断方式：</w:t>
            </w:r>
          </w:p>
          <w:p>
            <w:pPr>
              <w:adjustRightInd w:val="0"/>
              <w:snapToGrid w:val="0"/>
              <w:spacing w:line="240" w:lineRule="exact"/>
              <w:jc w:val="left"/>
              <w:rPr>
                <w:rFonts w:hint="default" w:eastAsia="宋体"/>
                <w:kern w:val="2"/>
                <w:sz w:val="21"/>
                <w:szCs w:val="21"/>
                <w:highlight w:val="none"/>
                <w:lang w:val="en-US" w:eastAsia="zh-CN"/>
              </w:rPr>
            </w:pPr>
            <w:r>
              <w:rPr>
                <w:rFonts w:hint="default" w:eastAsia="宋体"/>
                <w:kern w:val="2"/>
                <w:sz w:val="21"/>
                <w:szCs w:val="21"/>
                <w:highlight w:val="none"/>
                <w:lang w:val="en-US" w:eastAsia="zh-CN"/>
              </w:rPr>
              <w:t>油品比色卡，因PFPE全氟油外观呈清澈透明故当油品颜色达到2.0及以上时建议更换</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泵油3个月换一次，当泵油液位＜1/3且在更换周期内，则添加泵油至液位2/3处</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水机纯水3个月更换一次，特域水机正常液位为绿色范围2/3处，不得低于绿色与红色交界处；谱育CW-200水机正常液位为绿色中间，不得低于黄色中间位置；</w:t>
            </w:r>
            <w:r>
              <w:rPr>
                <w:rFonts w:hint="eastAsia" w:eastAsia="宋体"/>
                <w:kern w:val="2"/>
                <w:sz w:val="21"/>
                <w:szCs w:val="21"/>
                <w:highlight w:val="none"/>
                <w:lang w:val="en-US" w:eastAsia="zh-CN"/>
              </w:rPr>
              <w:t>若</w:t>
            </w:r>
            <w:r>
              <w:rPr>
                <w:rFonts w:hint="default" w:eastAsia="宋体"/>
                <w:kern w:val="2"/>
                <w:sz w:val="21"/>
                <w:szCs w:val="21"/>
                <w:highlight w:val="none"/>
                <w:lang w:val="en-US" w:eastAsia="zh-CN"/>
              </w:rPr>
              <w:t>液位在更换周期内低于限定值则添加纯水至合适位置</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（4）</w:t>
            </w:r>
            <w:r>
              <w:rPr>
                <w:rFonts w:hint="default" w:eastAsia="宋体"/>
                <w:kern w:val="2"/>
                <w:sz w:val="21"/>
                <w:szCs w:val="21"/>
                <w:highlight w:val="none"/>
                <w:lang w:val="en-US" w:eastAsia="zh-CN"/>
              </w:rPr>
              <w:t>废液桶：过滤模式在线仪表：液位不得高于9/10；消解模式在线仪表：液位不得高于3/4；超过限位则需</w:t>
            </w:r>
            <w:r>
              <w:rPr>
                <w:rFonts w:hint="eastAsia" w:eastAsia="宋体"/>
                <w:kern w:val="2"/>
                <w:sz w:val="21"/>
                <w:szCs w:val="21"/>
                <w:highlight w:val="none"/>
                <w:lang w:val="en-US" w:eastAsia="zh-CN"/>
              </w:rPr>
              <w:t>更换</w:t>
            </w:r>
            <w:r>
              <w:rPr>
                <w:rFonts w:hint="default" w:eastAsia="宋体"/>
                <w:kern w:val="2"/>
                <w:sz w:val="21"/>
                <w:szCs w:val="21"/>
                <w:highlight w:val="none"/>
                <w:lang w:val="en-US" w:eastAsia="zh-CN"/>
              </w:rPr>
              <w:t>废液桶，废液桶的废液需要统一回收处理。</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19</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bookmarkStart w:id="23" w:name="_Toc3327"/>
            <w:r>
              <w:rPr>
                <w:rFonts w:hint="default" w:eastAsia="宋体"/>
                <w:kern w:val="2"/>
                <w:sz w:val="21"/>
                <w:szCs w:val="21"/>
                <w:highlight w:val="none"/>
                <w:lang w:val="en-US" w:eastAsia="zh-CN"/>
              </w:rPr>
              <w:t>重金属在线监测仪清洗滤芯样品预处理管路检查维护</w:t>
            </w:r>
            <w:bookmarkEnd w:id="23"/>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1周一次，确保进水水质未遭到污染</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将过滤罐取下，取出滤芯，检查滤芯O圈及过滤罐O圈是否存在破损，破损则更换</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滤芯用自来水冲洗，滤芯在清洗时需要不停均匀敲击</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反复冲洗，直至冲洗下来的水无明显颜色或杂志（</w:t>
            </w:r>
            <w:r>
              <w:rPr>
                <w:rFonts w:hint="eastAsia" w:eastAsia="宋体"/>
                <w:kern w:val="2"/>
                <w:sz w:val="21"/>
                <w:szCs w:val="21"/>
                <w:highlight w:val="none"/>
                <w:lang w:val="en-US" w:eastAsia="zh-CN"/>
              </w:rPr>
              <w:t>若</w:t>
            </w:r>
            <w:r>
              <w:rPr>
                <w:rFonts w:hint="default" w:eastAsia="宋体"/>
                <w:kern w:val="2"/>
                <w:sz w:val="21"/>
                <w:szCs w:val="21"/>
                <w:highlight w:val="none"/>
                <w:lang w:val="en-US" w:eastAsia="zh-CN"/>
              </w:rPr>
              <w:t>滤芯过脏无法洗净，则</w:t>
            </w:r>
            <w:r>
              <w:rPr>
                <w:rFonts w:hint="eastAsia" w:eastAsia="宋体"/>
                <w:kern w:val="2"/>
                <w:sz w:val="21"/>
                <w:szCs w:val="21"/>
                <w:highlight w:val="none"/>
                <w:lang w:val="en-US" w:eastAsia="zh-CN"/>
              </w:rPr>
              <w:t>更换</w:t>
            </w:r>
            <w:r>
              <w:rPr>
                <w:rFonts w:hint="default" w:eastAsia="宋体"/>
                <w:kern w:val="2"/>
                <w:sz w:val="21"/>
                <w:szCs w:val="21"/>
                <w:highlight w:val="none"/>
                <w:lang w:val="en-US" w:eastAsia="zh-CN"/>
              </w:rPr>
              <w:t>滤芯）</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（4）</w:t>
            </w:r>
            <w:r>
              <w:rPr>
                <w:rFonts w:hint="default" w:eastAsia="宋体"/>
                <w:kern w:val="2"/>
                <w:sz w:val="21"/>
                <w:szCs w:val="21"/>
                <w:highlight w:val="none"/>
                <w:lang w:val="en-US" w:eastAsia="zh-CN"/>
              </w:rPr>
              <w:t>清洗完成后</w:t>
            </w:r>
            <w:r>
              <w:rPr>
                <w:rFonts w:hint="eastAsia" w:eastAsia="宋体"/>
                <w:kern w:val="2"/>
                <w:sz w:val="21"/>
                <w:szCs w:val="21"/>
                <w:highlight w:val="none"/>
                <w:lang w:val="en-US" w:eastAsia="zh-CN"/>
              </w:rPr>
              <w:t>按规</w:t>
            </w:r>
            <w:r>
              <w:rPr>
                <w:rFonts w:hint="default" w:eastAsia="宋体"/>
                <w:kern w:val="2"/>
                <w:sz w:val="21"/>
                <w:szCs w:val="21"/>
                <w:highlight w:val="none"/>
                <w:lang w:val="en-US" w:eastAsia="zh-CN"/>
              </w:rPr>
              <w:t>格放回过滤罐，注意O圈是否贴合</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（5）</w:t>
            </w:r>
            <w:r>
              <w:rPr>
                <w:rFonts w:hint="default" w:eastAsia="宋体"/>
                <w:kern w:val="2"/>
                <w:sz w:val="21"/>
                <w:szCs w:val="21"/>
                <w:highlight w:val="none"/>
                <w:lang w:val="en-US" w:eastAsia="zh-CN"/>
              </w:rPr>
              <w:t>过滤罐装回时注意顺序，沉砂池水样先过100um然后再过0.45um</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（6）</w:t>
            </w:r>
            <w:r>
              <w:rPr>
                <w:rFonts w:hint="default" w:eastAsia="宋体"/>
                <w:kern w:val="2"/>
                <w:sz w:val="21"/>
                <w:szCs w:val="21"/>
                <w:highlight w:val="none"/>
                <w:lang w:val="en-US" w:eastAsia="zh-CN"/>
              </w:rPr>
              <w:t>采水时检查采水单元进水出水管路是否存在破损漏液情况</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（7）</w:t>
            </w:r>
            <w:r>
              <w:rPr>
                <w:rFonts w:hint="default" w:eastAsia="宋体"/>
                <w:kern w:val="2"/>
                <w:sz w:val="21"/>
                <w:szCs w:val="21"/>
                <w:highlight w:val="none"/>
                <w:lang w:val="en-US" w:eastAsia="zh-CN"/>
              </w:rPr>
              <w:t>检查Y型杯内壁是否存在沉积或者生藻类（拍照）</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20</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bookmarkStart w:id="24" w:name="_Toc29465"/>
            <w:r>
              <w:rPr>
                <w:rFonts w:hint="default" w:eastAsia="宋体"/>
                <w:kern w:val="2"/>
                <w:sz w:val="21"/>
                <w:szCs w:val="21"/>
                <w:highlight w:val="none"/>
                <w:lang w:val="en-US" w:eastAsia="zh-CN"/>
              </w:rPr>
              <w:t>重金属在线监测仪更换泵管卡槽位置</w:t>
            </w:r>
            <w:bookmarkEnd w:id="24"/>
          </w:p>
          <w:p>
            <w:pPr>
              <w:adjustRightInd w:val="0"/>
              <w:snapToGrid w:val="0"/>
              <w:spacing w:line="240" w:lineRule="exact"/>
              <w:jc w:val="center"/>
              <w:rPr>
                <w:rFonts w:hint="default" w:eastAsia="宋体"/>
                <w:kern w:val="2"/>
                <w:sz w:val="21"/>
                <w:szCs w:val="21"/>
                <w:highlight w:val="none"/>
                <w:lang w:val="en-US" w:eastAsia="zh-CN"/>
              </w:rPr>
            </w:pPr>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2个月一次，确保泵工作状态正常</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泵管卡的位置：按顺序从里到外，最里面为排液管，其次为进样管，最后为内标管</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将所有压杆抬起，先更换排液管的卡槽位，然后</w:t>
            </w:r>
            <w:r>
              <w:rPr>
                <w:rFonts w:hint="eastAsia" w:eastAsia="宋体"/>
                <w:kern w:val="2"/>
                <w:sz w:val="21"/>
                <w:szCs w:val="21"/>
                <w:highlight w:val="none"/>
                <w:lang w:val="en-US" w:eastAsia="zh-CN"/>
              </w:rPr>
              <w:t>更换</w:t>
            </w:r>
            <w:r>
              <w:rPr>
                <w:rFonts w:hint="default" w:eastAsia="宋体"/>
                <w:kern w:val="2"/>
                <w:sz w:val="21"/>
                <w:szCs w:val="21"/>
                <w:highlight w:val="none"/>
                <w:lang w:val="en-US" w:eastAsia="zh-CN"/>
              </w:rPr>
              <w:t>进样管，最后</w:t>
            </w:r>
            <w:r>
              <w:rPr>
                <w:rFonts w:hint="eastAsia" w:eastAsia="宋体"/>
                <w:kern w:val="2"/>
                <w:sz w:val="21"/>
                <w:szCs w:val="21"/>
                <w:highlight w:val="none"/>
                <w:lang w:val="en-US" w:eastAsia="zh-CN"/>
              </w:rPr>
              <w:t>更换</w:t>
            </w:r>
            <w:r>
              <w:rPr>
                <w:rFonts w:hint="default" w:eastAsia="宋体"/>
                <w:kern w:val="2"/>
                <w:sz w:val="21"/>
                <w:szCs w:val="21"/>
                <w:highlight w:val="none"/>
                <w:lang w:val="en-US" w:eastAsia="zh-CN"/>
              </w:rPr>
              <w:t>内标管（注意泵管的安装方向，排液管排液，试剂流路方向与蠕动泵转动方向相同，</w:t>
            </w:r>
            <w:r>
              <w:rPr>
                <w:rFonts w:hint="eastAsia" w:eastAsia="宋体"/>
                <w:kern w:val="2"/>
                <w:sz w:val="21"/>
                <w:szCs w:val="21"/>
                <w:highlight w:val="none"/>
                <w:lang w:val="en-US" w:eastAsia="zh-CN"/>
              </w:rPr>
              <w:t>若</w:t>
            </w:r>
            <w:r>
              <w:rPr>
                <w:rFonts w:hint="default" w:eastAsia="宋体"/>
                <w:kern w:val="2"/>
                <w:sz w:val="21"/>
                <w:szCs w:val="21"/>
                <w:highlight w:val="none"/>
                <w:lang w:val="en-US" w:eastAsia="zh-CN"/>
              </w:rPr>
              <w:t>蠕动泵逆时针转动，则排液泵管右边连雾化室方向左边连废液桶；进样泵管右边连多通道阀中心管路，左边连三通；内标管右边连内标液，左边连三通；</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更换完卡槽位后，蠕动泵转速调整到40转，调节泵管位置使泵管能被压在压槽中间，调节压杆压力保证试剂能被匀速提升（进样管要快于内标管，排液管排液时是一段一段走，中间有气泡隔离），并且压杆压力尽可能小（减缓蠕动泵磨损），将泵速转至70-80转等待2min观察泵管连接处有无漏液，没有则将泵速调至0转。</w:t>
            </w:r>
          </w:p>
          <w:p>
            <w:pPr>
              <w:adjustRightInd w:val="0"/>
              <w:snapToGrid w:val="0"/>
              <w:spacing w:line="240" w:lineRule="exact"/>
              <w:jc w:val="left"/>
              <w:rPr>
                <w:rFonts w:hint="default" w:eastAsia="宋体"/>
                <w:kern w:val="2"/>
                <w:sz w:val="21"/>
                <w:szCs w:val="21"/>
                <w:highlight w:val="none"/>
                <w:lang w:val="en-US" w:eastAsia="zh-CN"/>
              </w:rPr>
            </w:pP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21</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bookmarkStart w:id="25" w:name="_Toc2860"/>
            <w:r>
              <w:rPr>
                <w:rFonts w:hint="default" w:eastAsia="宋体"/>
                <w:kern w:val="2"/>
                <w:sz w:val="21"/>
                <w:szCs w:val="21"/>
                <w:highlight w:val="none"/>
                <w:lang w:val="en-US" w:eastAsia="zh-CN"/>
              </w:rPr>
              <w:t>重金属在线监测仪检查试剂液位，并做好记录</w:t>
            </w:r>
            <w:bookmarkEnd w:id="25"/>
          </w:p>
          <w:p>
            <w:pPr>
              <w:adjustRightInd w:val="0"/>
              <w:snapToGrid w:val="0"/>
              <w:spacing w:line="240" w:lineRule="exact"/>
              <w:jc w:val="center"/>
              <w:rPr>
                <w:rFonts w:hint="default" w:eastAsia="宋体"/>
                <w:kern w:val="2"/>
                <w:sz w:val="21"/>
                <w:szCs w:val="21"/>
                <w:highlight w:val="none"/>
                <w:lang w:val="en-US" w:eastAsia="zh-CN"/>
              </w:rPr>
            </w:pPr>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1月至2个月1次，确保监测仪器正常工作</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先检查调谐液与校正液是否在半年有效期内，离有效期小于2个月则与工程师反馈；</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记录调谐液、校正液、标准曲线建线试剂（标一到标5）的液位，低于1/3则需要更换；</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标准曲线建线试剂、消解液一个月更换一次，载液与清洗液2个月更换一次</w:t>
            </w:r>
            <w:r>
              <w:rPr>
                <w:rFonts w:hint="eastAsia" w:eastAsia="宋体"/>
                <w:kern w:val="2"/>
                <w:sz w:val="21"/>
                <w:szCs w:val="21"/>
                <w:highlight w:val="none"/>
                <w:lang w:val="en-US" w:eastAsia="zh-CN"/>
              </w:rPr>
              <w:t xml:space="preserve">。 </w:t>
            </w:r>
          </w:p>
          <w:p>
            <w:pPr>
              <w:adjustRightInd w:val="0"/>
              <w:snapToGrid w:val="0"/>
              <w:spacing w:line="240" w:lineRule="exact"/>
              <w:jc w:val="left"/>
              <w:rPr>
                <w:rFonts w:hint="default" w:eastAsia="宋体"/>
                <w:kern w:val="2"/>
                <w:sz w:val="21"/>
                <w:szCs w:val="21"/>
                <w:highlight w:val="none"/>
                <w:lang w:val="en-US" w:eastAsia="zh-CN"/>
              </w:rPr>
            </w:pP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22</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bookmarkStart w:id="26" w:name="_Toc16193"/>
            <w:r>
              <w:rPr>
                <w:rFonts w:hint="default" w:eastAsia="宋体"/>
                <w:kern w:val="2"/>
                <w:sz w:val="21"/>
                <w:szCs w:val="21"/>
                <w:highlight w:val="none"/>
                <w:lang w:val="en-US" w:eastAsia="zh-CN"/>
              </w:rPr>
              <w:t>重金属在线监测仪主机状态检查</w:t>
            </w:r>
            <w:bookmarkEnd w:id="26"/>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1周一次，确保工控系统工作正常</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检查排风流量（废气流量）：6-12m/s（常用→仪器状态→废气流量）检查仪器内部温度≤40℃；RF源温度≤35℃；</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蠕动泵转动情况（是否匀速，有无异响，有无异常抖动）</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检查电脑软件流畅度，是否存在卡顿</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（4）</w:t>
            </w:r>
            <w:r>
              <w:rPr>
                <w:rFonts w:hint="default" w:eastAsia="宋体"/>
                <w:kern w:val="2"/>
                <w:sz w:val="21"/>
                <w:szCs w:val="21"/>
                <w:highlight w:val="none"/>
                <w:lang w:val="en-US" w:eastAsia="zh-CN"/>
              </w:rPr>
              <w:t>检查真空泵转速：60000r/min</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（5）</w:t>
            </w:r>
            <w:r>
              <w:rPr>
                <w:rFonts w:hint="default" w:eastAsia="宋体"/>
                <w:kern w:val="2"/>
                <w:sz w:val="21"/>
                <w:szCs w:val="21"/>
                <w:highlight w:val="none"/>
                <w:lang w:val="en-US" w:eastAsia="zh-CN"/>
              </w:rPr>
              <w:t>检查未点火状态下分析腔压力≤1.0e-6mbar；点火至分析就绪后分析腔压力≤3.0e-6mbar；</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（6）</w:t>
            </w:r>
            <w:r>
              <w:rPr>
                <w:rFonts w:hint="default" w:eastAsia="宋体"/>
                <w:kern w:val="2"/>
                <w:sz w:val="21"/>
                <w:szCs w:val="21"/>
                <w:highlight w:val="none"/>
                <w:lang w:val="en-US" w:eastAsia="zh-CN"/>
              </w:rPr>
              <w:t>仪表点火至分析就绪后，检查软件右下方雾化器压力（330±50Kpa）</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（7）</w:t>
            </w:r>
            <w:r>
              <w:rPr>
                <w:rFonts w:hint="default" w:eastAsia="宋体"/>
                <w:kern w:val="2"/>
                <w:sz w:val="21"/>
                <w:szCs w:val="21"/>
                <w:highlight w:val="none"/>
                <w:lang w:val="en-US" w:eastAsia="zh-CN"/>
              </w:rPr>
              <w:t>检查雾化器喷雾是否正常（均匀雾化，无断断续续雾化情况）</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（8）</w:t>
            </w:r>
            <w:r>
              <w:rPr>
                <w:rFonts w:hint="default" w:eastAsia="宋体"/>
                <w:kern w:val="2"/>
                <w:sz w:val="21"/>
                <w:szCs w:val="21"/>
                <w:highlight w:val="none"/>
                <w:lang w:val="en-US" w:eastAsia="zh-CN"/>
              </w:rPr>
              <w:t>仪表点火至分析就绪后，检查锥真空压力≤2.4mbr</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23</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bookmarkStart w:id="27" w:name="_Toc23491"/>
            <w:r>
              <w:rPr>
                <w:rFonts w:hint="default" w:eastAsia="宋体"/>
                <w:kern w:val="2"/>
                <w:sz w:val="21"/>
                <w:szCs w:val="21"/>
                <w:highlight w:val="none"/>
                <w:lang w:val="en-US" w:eastAsia="zh-CN"/>
              </w:rPr>
              <w:t>重金属在线监测仪仪器校准</w:t>
            </w:r>
            <w:bookmarkEnd w:id="27"/>
          </w:p>
          <w:p>
            <w:pPr>
              <w:adjustRightInd w:val="0"/>
              <w:snapToGrid w:val="0"/>
              <w:spacing w:line="240" w:lineRule="exact"/>
              <w:jc w:val="center"/>
              <w:rPr>
                <w:rFonts w:hint="default" w:eastAsia="宋体"/>
                <w:kern w:val="2"/>
                <w:sz w:val="21"/>
                <w:szCs w:val="21"/>
                <w:highlight w:val="none"/>
                <w:lang w:val="en-US" w:eastAsia="zh-CN"/>
              </w:rPr>
            </w:pPr>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2周一次，确保监测仪监测数据准确性</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将消解模块右边多通道阀4号位管路,用纸巾擦拭后放入调谐液中，将内标管与其连接管断开，更换上另外一根30cm左右长度的泵管连接管，擦拭后放入调谐液中；</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将管理→在线消解→多通道阀（序列），阀位从1号位切换至4号位，点击设置；</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打开水机（点击消解模块，开光量里的冷却水开关，从灰色点击成绿色）</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（4）</w:t>
            </w:r>
            <w:r>
              <w:rPr>
                <w:rFonts w:hint="default" w:eastAsia="宋体"/>
                <w:kern w:val="2"/>
                <w:sz w:val="21"/>
                <w:szCs w:val="21"/>
                <w:highlight w:val="none"/>
                <w:lang w:val="en-US" w:eastAsia="zh-CN"/>
              </w:rPr>
              <w:t>确认右下角无报警（TEC温度未达目标值，废液排出异常报警可忽略</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（5）</w:t>
            </w:r>
            <w:r>
              <w:rPr>
                <w:rFonts w:hint="default" w:eastAsia="宋体"/>
                <w:kern w:val="2"/>
                <w:sz w:val="21"/>
                <w:szCs w:val="21"/>
                <w:highlight w:val="none"/>
                <w:lang w:val="en-US" w:eastAsia="zh-CN"/>
              </w:rPr>
              <w:t>点击打开等离子体，等流程走到分析就绪，点击常用，手动调谐，在跳峰扫描模式下将要测试的元素选择为7Li、59Co、69Ga、115In、138Ba、140Ce、156Gd、238U及质量数220（背景噪声），选择趋势图及脉冲模式进行扫描。调节手动调谐里的流量监控（雾化器流量），三维监控（炬管的位置），电压监控等参数，使灵敏度增大同时兼顾氧化物及双电荷的比率</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（6）</w:t>
            </w:r>
            <w:r>
              <w:rPr>
                <w:rFonts w:hint="default" w:eastAsia="宋体"/>
                <w:kern w:val="2"/>
                <w:sz w:val="21"/>
                <w:szCs w:val="21"/>
                <w:highlight w:val="none"/>
                <w:lang w:val="en-US" w:eastAsia="zh-CN"/>
              </w:rPr>
              <w:t>其中先调三维监控，调节横向，先向右移动适当的量（建议＜0.1mm，但根据实际仪器情况而定），观察Li、Co、In、U的响应值是否变大，若变大则继续移动，反之则向左移动，直至移动到相对最大的响应值为止，纵向调节方式相同，深度一般不动</w:t>
            </w:r>
            <w:r>
              <w:rPr>
                <w:rFonts w:hint="eastAsia" w:eastAsia="宋体"/>
                <w:kern w:val="2"/>
                <w:sz w:val="21"/>
                <w:szCs w:val="21"/>
                <w:highlight w:val="none"/>
                <w:lang w:val="en-US" w:eastAsia="zh-CN"/>
              </w:rPr>
              <w:t>；</w:t>
            </w:r>
          </w:p>
          <w:p>
            <w:pPr>
              <w:adjustRightInd w:val="0"/>
              <w:snapToGrid w:val="0"/>
              <w:spacing w:line="240" w:lineRule="exact"/>
              <w:jc w:val="left"/>
              <w:rPr>
                <w:rFonts w:hint="eastAsia" w:eastAsia="宋体"/>
                <w:kern w:val="2"/>
                <w:sz w:val="21"/>
                <w:szCs w:val="21"/>
                <w:highlight w:val="none"/>
                <w:lang w:val="en-US" w:eastAsia="zh-CN"/>
              </w:rPr>
            </w:pPr>
            <w:r>
              <w:rPr>
                <w:rFonts w:hint="default" w:eastAsia="宋体"/>
                <w:kern w:val="2"/>
                <w:sz w:val="21"/>
                <w:szCs w:val="21"/>
                <w:highlight w:val="none"/>
                <w:lang w:val="en-US" w:eastAsia="zh-CN"/>
              </w:rPr>
              <w:t>当Li、Co、In、U的稳定性偏差时，则可稍微增大雾化气流量，若效果不明显则可减少提取透镜电压（往负值的方向调节），调节雾化气流量会导致氧化率的增大，提取透镜电压会导致响应值的变化，要兼顾响应值以及氧化率和双电荷率</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（7）</w:t>
            </w:r>
            <w:r>
              <w:rPr>
                <w:rFonts w:hint="default" w:eastAsia="宋体"/>
                <w:kern w:val="2"/>
                <w:sz w:val="21"/>
                <w:szCs w:val="21"/>
                <w:highlight w:val="none"/>
                <w:lang w:val="en-US" w:eastAsia="zh-CN"/>
              </w:rPr>
              <w:t>当氧化率偏大时可降低雾化气流量和调节深度电机位置向后移，但要兼顾响应值以及稳定性和双电荷率</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（8）</w:t>
            </w:r>
            <w:r>
              <w:rPr>
                <w:rFonts w:hint="default" w:eastAsia="宋体"/>
                <w:kern w:val="2"/>
                <w:sz w:val="21"/>
                <w:szCs w:val="21"/>
                <w:highlight w:val="none"/>
                <w:lang w:val="en-US" w:eastAsia="zh-CN"/>
              </w:rPr>
              <w:t>当双电荷率偏大时，可调节四级杆电压向右移和增大雾化器流量，但要兼顾响应值以及稳定性和氧化率</w:t>
            </w:r>
            <w:r>
              <w:rPr>
                <w:rFonts w:hint="eastAsia" w:eastAsia="宋体"/>
                <w:kern w:val="2"/>
                <w:sz w:val="21"/>
                <w:szCs w:val="21"/>
                <w:highlight w:val="none"/>
                <w:lang w:val="en-US" w:eastAsia="zh-CN"/>
              </w:rPr>
              <w:t>；</w:t>
            </w:r>
          </w:p>
          <w:p>
            <w:pPr>
              <w:adjustRightInd w:val="0"/>
              <w:snapToGrid w:val="0"/>
              <w:spacing w:line="240" w:lineRule="exact"/>
              <w:jc w:val="left"/>
              <w:rPr>
                <w:rFonts w:hint="eastAsia" w:eastAsia="宋体"/>
                <w:kern w:val="2"/>
                <w:sz w:val="21"/>
                <w:szCs w:val="21"/>
                <w:highlight w:val="none"/>
                <w:lang w:val="en-US" w:eastAsia="zh-CN"/>
              </w:rPr>
            </w:pPr>
            <w:r>
              <w:rPr>
                <w:rFonts w:hint="eastAsia" w:eastAsia="宋体"/>
                <w:kern w:val="2"/>
                <w:sz w:val="21"/>
                <w:szCs w:val="21"/>
                <w:highlight w:val="none"/>
                <w:lang w:val="en-US" w:eastAsia="zh-CN"/>
              </w:rPr>
              <w:t>（9）</w:t>
            </w:r>
            <w:r>
              <w:rPr>
                <w:rFonts w:hint="default" w:eastAsia="宋体"/>
                <w:kern w:val="2"/>
                <w:sz w:val="21"/>
                <w:szCs w:val="21"/>
                <w:highlight w:val="none"/>
                <w:lang w:val="en-US" w:eastAsia="zh-CN"/>
              </w:rPr>
              <w:t>性能满足目标值后，及完成仪器调谐，保存调谐参数（建议性能尽可能的调到最佳，如果与上次运维性能差异不大也可不调参数）</w:t>
            </w:r>
            <w:r>
              <w:rPr>
                <w:rFonts w:hint="eastAsia" w:eastAsia="宋体"/>
                <w:kern w:val="2"/>
                <w:sz w:val="21"/>
                <w:szCs w:val="21"/>
                <w:highlight w:val="none"/>
                <w:lang w:val="en-US" w:eastAsia="zh-CN"/>
              </w:rPr>
              <w:t>；</w:t>
            </w:r>
          </w:p>
          <w:p>
            <w:pPr>
              <w:adjustRightInd w:val="0"/>
              <w:snapToGrid w:val="0"/>
              <w:spacing w:line="240" w:lineRule="exact"/>
              <w:jc w:val="left"/>
              <w:rPr>
                <w:rFonts w:hint="eastAsia" w:eastAsia="宋体"/>
                <w:kern w:val="2"/>
                <w:sz w:val="21"/>
                <w:szCs w:val="21"/>
                <w:highlight w:val="none"/>
                <w:lang w:val="en-US" w:eastAsia="zh-CN"/>
              </w:rPr>
            </w:pPr>
            <w:r>
              <w:rPr>
                <w:rFonts w:hint="eastAsia" w:eastAsia="宋体"/>
                <w:kern w:val="2"/>
                <w:sz w:val="21"/>
                <w:szCs w:val="21"/>
                <w:highlight w:val="none"/>
                <w:lang w:val="en-US" w:eastAsia="zh-CN"/>
              </w:rPr>
              <w:t>（10）</w:t>
            </w:r>
            <w:r>
              <w:rPr>
                <w:rFonts w:hint="default" w:eastAsia="宋体"/>
                <w:kern w:val="2"/>
                <w:sz w:val="21"/>
                <w:szCs w:val="21"/>
                <w:highlight w:val="none"/>
                <w:lang w:val="en-US" w:eastAsia="zh-CN"/>
              </w:rPr>
              <w:t>自动质量校准：停止扫描，点击常用里的，点击 “开始”按钮，点击确定，仪器开始自动质量校正。当仪器自动质量校正成功，会出现提示框“自动质量校正成功”。失败则寻找工程师</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（11）</w:t>
            </w:r>
            <w:r>
              <w:rPr>
                <w:rFonts w:hint="default" w:eastAsia="宋体"/>
                <w:kern w:val="2"/>
                <w:sz w:val="21"/>
                <w:szCs w:val="21"/>
                <w:highlight w:val="none"/>
                <w:lang w:val="en-US" w:eastAsia="zh-CN"/>
              </w:rPr>
              <w:t>自动交叉校准：质量校准成功后，将调谐液放回，将原先的两根管子擦拭后或纯水清洗后放入交叉校准液中，等待试剂都提升至雾化器（如何观察校正液已经提升完成：a、肉眼看，内标管的校正液前的气泡提升至雾化器雾化后，则说明提升完成；b、扫描时，Li、Co信号值突然变大，双电荷率变大，都说明校准液有进入仪表检测，但内标管提升较慢，还需等待，后面信号在出现小段的降落与跟高的回升，则说明提升完成），等待30s后仪表进样稳定后，点击常用里的自动交叉校正 “开始”按钮，点击确定，仪器开始自动交叉校正，当出现In115交叉因子时，立马点击停止，重新导入调谐参数，后再打开配置参数。将</w:t>
            </w:r>
            <w:bookmarkStart w:id="28" w:name="OLE_LINK1"/>
            <w:r>
              <w:rPr>
                <w:rFonts w:hint="default" w:eastAsia="宋体"/>
                <w:kern w:val="2"/>
                <w:sz w:val="21"/>
                <w:szCs w:val="21"/>
                <w:highlight w:val="none"/>
                <w:lang w:val="en-US" w:eastAsia="zh-CN"/>
              </w:rPr>
              <w:t>手动调谐→其他→检测器模拟电压值</w:t>
            </w:r>
            <w:bookmarkEnd w:id="28"/>
            <w:r>
              <w:rPr>
                <w:rFonts w:hint="default" w:eastAsia="宋体"/>
                <w:kern w:val="2"/>
                <w:sz w:val="21"/>
                <w:szCs w:val="21"/>
                <w:highlight w:val="none"/>
                <w:lang w:val="en-US" w:eastAsia="zh-CN"/>
              </w:rPr>
              <w:t>输入至模拟区高压值，将手动调谐→其他→检测器计数电压值输入至</w:t>
            </w:r>
            <w:bookmarkStart w:id="29" w:name="OLE_LINK3"/>
            <w:r>
              <w:rPr>
                <w:rFonts w:hint="default" w:eastAsia="宋体"/>
                <w:kern w:val="2"/>
                <w:sz w:val="21"/>
                <w:szCs w:val="21"/>
                <w:highlight w:val="none"/>
                <w:lang w:val="en-US" w:eastAsia="zh-CN"/>
              </w:rPr>
              <w:t>脉冲区高压值</w:t>
            </w:r>
            <w:bookmarkEnd w:id="29"/>
            <w:r>
              <w:rPr>
                <w:rFonts w:hint="default" w:eastAsia="宋体"/>
                <w:kern w:val="2"/>
                <w:sz w:val="21"/>
                <w:szCs w:val="21"/>
                <w:highlight w:val="none"/>
                <w:lang w:val="en-US" w:eastAsia="zh-CN"/>
              </w:rPr>
              <w:t>，脉冲高压起点为脉冲区高压值，目标交叉因子即为In的交叉因子，In交叉因子上下限为交叉因子值的±5000。</w:t>
            </w:r>
            <w:r>
              <w:rPr>
                <w:rFonts w:hint="eastAsia" w:eastAsia="宋体"/>
                <w:kern w:val="2"/>
                <w:sz w:val="21"/>
                <w:szCs w:val="21"/>
                <w:highlight w:val="none"/>
                <w:lang w:val="en-US" w:eastAsia="zh-CN"/>
              </w:rPr>
              <w:t>完成</w:t>
            </w:r>
            <w:r>
              <w:rPr>
                <w:rFonts w:hint="default" w:eastAsia="宋体"/>
                <w:kern w:val="2"/>
                <w:sz w:val="21"/>
                <w:szCs w:val="21"/>
                <w:highlight w:val="none"/>
                <w:lang w:val="en-US" w:eastAsia="zh-CN"/>
              </w:rPr>
              <w:t>后点击保存，然后在重新开始做交叉校正。当仪器自动交叉校正成功，会出现提示框“自动交叉校正成功”，重新保存参数，失败则找工程师解决</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（12）</w:t>
            </w:r>
            <w:r>
              <w:rPr>
                <w:rFonts w:hint="default" w:eastAsia="宋体"/>
                <w:kern w:val="2"/>
                <w:sz w:val="21"/>
                <w:szCs w:val="21"/>
                <w:highlight w:val="none"/>
                <w:lang w:val="en-US" w:eastAsia="zh-CN"/>
              </w:rPr>
              <w:t>交叉校正完成后，点开手动调谐里的扫描，将两个管子放入纯水里冲洗1min，收好交叉校正液，然后将内标管连回原来的内标液的管路，样品管进纯水，内标管进内标液，手动调谐里谱图至单独只有In的响应值的时候，则为内标液完全进样，将多通道阀切换到1号位，进样30s后停止扫描，关闭等离子体至真空就绪，灰色的关闭真空和打开等离子体的方框重新可点击时，关闭管理→在线消解→开关量里的冷却水开关（绿色至灰色）。</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24</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bookmarkStart w:id="30" w:name="_Toc4841"/>
            <w:r>
              <w:rPr>
                <w:rFonts w:hint="default" w:eastAsia="宋体"/>
                <w:kern w:val="2"/>
                <w:sz w:val="21"/>
                <w:szCs w:val="21"/>
                <w:highlight w:val="none"/>
                <w:lang w:val="en-US" w:eastAsia="zh-CN"/>
              </w:rPr>
              <w:t>重金属在线监测仪重启继电器</w:t>
            </w:r>
            <w:bookmarkEnd w:id="30"/>
          </w:p>
          <w:p>
            <w:pPr>
              <w:adjustRightInd w:val="0"/>
              <w:snapToGrid w:val="0"/>
              <w:spacing w:line="240" w:lineRule="exact"/>
              <w:jc w:val="center"/>
              <w:rPr>
                <w:rFonts w:hint="default" w:eastAsia="宋体"/>
                <w:kern w:val="2"/>
                <w:sz w:val="21"/>
                <w:szCs w:val="21"/>
                <w:highlight w:val="none"/>
                <w:lang w:val="en-US" w:eastAsia="zh-CN"/>
              </w:rPr>
            </w:pPr>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1周一次，确保继电器正常工作</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管理→在线客户端→其他，去掉维护模式的勾选</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管理→高级→调试→高级参数3，关闭前处理继电器，等待30s后再打开；</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管理→在线消解，确认界面右手边状态量中当前流程为1，多通道阀序列为0，多通道阀消解也为0，点击流程下的下载方法，多通道阀序列的设置，轮训周期的设置，3个点完后状态量显示为1,1,6</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（4）</w:t>
            </w:r>
            <w:r>
              <w:rPr>
                <w:rFonts w:hint="default" w:eastAsia="宋体"/>
                <w:kern w:val="2"/>
                <w:sz w:val="21"/>
                <w:szCs w:val="21"/>
                <w:highlight w:val="none"/>
                <w:lang w:val="en-US" w:eastAsia="zh-CN"/>
              </w:rPr>
              <w:t>打开谱育水质重金属软件，点击下载并保存,点击前处理机柜端前处理采水轮训周期设置，点击PLC报警阈值设置的设置和自动读取ICP-MS仪表端数据周期设置的设置</w:t>
            </w:r>
            <w:r>
              <w:rPr>
                <w:rFonts w:hint="eastAsia" w:eastAsia="宋体"/>
                <w:kern w:val="2"/>
                <w:sz w:val="21"/>
                <w:szCs w:val="21"/>
                <w:highlight w:val="none"/>
                <w:lang w:val="en-US" w:eastAsia="zh-CN"/>
              </w:rPr>
              <w:t>；</w:t>
            </w:r>
            <w:r>
              <w:rPr>
                <w:rFonts w:hint="default" w:eastAsia="宋体"/>
                <w:kern w:val="2"/>
                <w:sz w:val="21"/>
                <w:szCs w:val="21"/>
                <w:highlight w:val="none"/>
                <w:lang w:val="en-US" w:eastAsia="zh-CN"/>
              </w:rPr>
              <w:t xml:space="preserve"> </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（5）</w:t>
            </w:r>
            <w:r>
              <w:rPr>
                <w:rFonts w:hint="default" w:eastAsia="宋体"/>
                <w:kern w:val="2"/>
                <w:sz w:val="21"/>
                <w:szCs w:val="21"/>
                <w:highlight w:val="none"/>
                <w:lang w:val="en-US" w:eastAsia="zh-CN"/>
              </w:rPr>
              <w:t>打开常用</w:t>
            </w:r>
            <w:bookmarkStart w:id="31" w:name="OLE_LINK6"/>
            <w:r>
              <w:rPr>
                <w:rFonts w:hint="default" w:eastAsia="宋体"/>
                <w:kern w:val="2"/>
                <w:sz w:val="21"/>
                <w:szCs w:val="21"/>
                <w:highlight w:val="none"/>
                <w:lang w:val="en-US" w:eastAsia="zh-CN"/>
              </w:rPr>
              <w:t>→</w:t>
            </w:r>
            <w:bookmarkEnd w:id="31"/>
            <w:r>
              <w:rPr>
                <w:rFonts w:hint="default" w:eastAsia="宋体"/>
                <w:kern w:val="2"/>
                <w:sz w:val="21"/>
                <w:szCs w:val="21"/>
                <w:highlight w:val="none"/>
                <w:lang w:val="en-US" w:eastAsia="zh-CN"/>
              </w:rPr>
              <w:t>状态监控，确认ICPMS开关信息中，前级泵、分子泵和前级阀三个按钮量绿灯，绿灯说明重金属软件与EXPEC7000软件通讯正常。</w:t>
            </w:r>
          </w:p>
        </w:tc>
      </w:tr>
      <w:tr>
        <w:tblPrEx>
          <w:tblCellMar>
            <w:top w:w="0" w:type="dxa"/>
            <w:left w:w="108" w:type="dxa"/>
            <w:bottom w:w="0" w:type="dxa"/>
            <w:right w:w="108" w:type="dxa"/>
          </w:tblCellMar>
        </w:tblPrEx>
        <w:trPr>
          <w:trHeight w:val="1668" w:hRule="atLeast"/>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25</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default" w:eastAsia="宋体"/>
                <w:kern w:val="2"/>
                <w:sz w:val="21"/>
                <w:szCs w:val="21"/>
                <w:highlight w:val="none"/>
                <w:lang w:val="en-US" w:eastAsia="zh-CN"/>
              </w:rPr>
              <w:t>重金属在线监测仪机械泵泵油更换</w:t>
            </w:r>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3个月一次，确保机械泵正常运转</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管理→高级→开关量，关闭前级阀、前级泵（分子泵自己在不点火时能坚持一段时间）</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准备1L或者更大的容具装排出的泵油，拧开黄色排油的盖子，用专用工具拧上去，拧紧后会出废油，将容具摆放好后，打开工具后面的塞子，待泵油流出。泵油流完后，关闭排油口，管理→高级→开关量，打开前级泵，运行15秒，使泵内残留的油通过轻微震荡甩出来，关闭机械泵，将泵内残留的油重新排尽；</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至泵油不在流出后，拆下工装，拧回盖子，用内六角拧开上端黑色的注油的盖子，倒入新泵油，至最低液位（注意机械泵的保持水平），拧回盖子</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（4）</w:t>
            </w:r>
            <w:r>
              <w:rPr>
                <w:rFonts w:hint="default" w:eastAsia="宋体"/>
                <w:kern w:val="2"/>
                <w:sz w:val="21"/>
                <w:szCs w:val="21"/>
                <w:highlight w:val="none"/>
                <w:lang w:val="en-US" w:eastAsia="zh-CN"/>
              </w:rPr>
              <w:t>管理→高级→开关量，打开前级泵，工作60s左右后关闭，按照前面步骤再将泵油倒出和到入，清洗2-3遍，至流出泵油基本成透明或者浅黄色；</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（5）</w:t>
            </w:r>
            <w:r>
              <w:rPr>
                <w:rFonts w:hint="default" w:eastAsia="宋体"/>
                <w:kern w:val="2"/>
                <w:sz w:val="21"/>
                <w:szCs w:val="21"/>
                <w:highlight w:val="none"/>
                <w:lang w:val="en-US" w:eastAsia="zh-CN"/>
              </w:rPr>
              <w:t>管理→高级→开关量，打开前级阀30s后再打开前级泵，观察是否恢复之前正常状态。</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26</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bookmarkStart w:id="32" w:name="_Toc16081"/>
            <w:r>
              <w:rPr>
                <w:rFonts w:hint="default" w:eastAsia="宋体"/>
                <w:kern w:val="2"/>
                <w:sz w:val="21"/>
                <w:szCs w:val="21"/>
                <w:highlight w:val="none"/>
                <w:lang w:val="en-US" w:eastAsia="zh-CN"/>
              </w:rPr>
              <w:t>重金属在线监测仪水机循环冷却水更换</w:t>
            </w:r>
            <w:bookmarkEnd w:id="32"/>
          </w:p>
          <w:p>
            <w:pPr>
              <w:adjustRightInd w:val="0"/>
              <w:snapToGrid w:val="0"/>
              <w:spacing w:line="240" w:lineRule="exact"/>
              <w:jc w:val="center"/>
              <w:rPr>
                <w:rFonts w:hint="default" w:eastAsia="宋体"/>
                <w:kern w:val="2"/>
                <w:sz w:val="21"/>
                <w:szCs w:val="21"/>
                <w:highlight w:val="none"/>
                <w:lang w:val="en-US" w:eastAsia="zh-CN"/>
              </w:rPr>
            </w:pPr>
          </w:p>
        </w:tc>
        <w:tc>
          <w:tcPr>
            <w:tcW w:w="1726" w:type="dxa"/>
            <w:tcBorders>
              <w:top w:val="single" w:color="auto" w:sz="4" w:space="0"/>
              <w:left w:val="nil"/>
              <w:bottom w:val="single" w:color="auto" w:sz="4"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2个月一次，确冷却系统正常运转</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（1）</w:t>
            </w:r>
            <w:r>
              <w:rPr>
                <w:rFonts w:hint="default" w:eastAsia="宋体"/>
                <w:kern w:val="2"/>
                <w:sz w:val="21"/>
                <w:szCs w:val="21"/>
                <w:highlight w:val="none"/>
                <w:lang w:val="en-US" w:eastAsia="zh-CN"/>
              </w:rPr>
              <w:t>准备一个装废水的容器至于排水口，打开排水口开关，待水箱的液体完全排净时，分别加入2次2L的纯水用于冲洗水箱，重新排尽（确保水机断电关机，循环冷却水使用电阻率大于18 MΩ以上的蒸馏去离子水或者娃哈哈纯净水）</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（2）</w:t>
            </w:r>
            <w:r>
              <w:rPr>
                <w:rFonts w:hint="default" w:eastAsia="宋体"/>
                <w:kern w:val="2"/>
                <w:sz w:val="21"/>
                <w:szCs w:val="21"/>
                <w:highlight w:val="none"/>
                <w:lang w:val="en-US" w:eastAsia="zh-CN"/>
              </w:rPr>
              <w:t>重新加纯水至水机液位刻度线</w:t>
            </w:r>
            <w:r>
              <w:rPr>
                <w:rFonts w:hint="eastAsia" w:eastAsia="宋体"/>
                <w:kern w:val="2"/>
                <w:sz w:val="21"/>
                <w:szCs w:val="21"/>
                <w:highlight w:val="none"/>
                <w:lang w:val="en-US" w:eastAsia="zh-CN"/>
              </w:rPr>
              <w:t>；</w:t>
            </w:r>
          </w:p>
          <w:p>
            <w:pPr>
              <w:adjustRightInd w:val="0"/>
              <w:snapToGrid w:val="0"/>
              <w:spacing w:line="240" w:lineRule="exact"/>
              <w:jc w:val="left"/>
              <w:rPr>
                <w:rFonts w:hint="default" w:eastAsia="宋体"/>
                <w:kern w:val="2"/>
                <w:sz w:val="21"/>
                <w:szCs w:val="21"/>
                <w:highlight w:val="none"/>
                <w:lang w:val="en-US" w:eastAsia="zh-CN"/>
              </w:rPr>
            </w:pPr>
            <w:r>
              <w:rPr>
                <w:rFonts w:hint="eastAsia" w:eastAsia="宋体"/>
                <w:kern w:val="2"/>
                <w:sz w:val="21"/>
                <w:szCs w:val="21"/>
                <w:highlight w:val="none"/>
                <w:lang w:val="en-US" w:eastAsia="zh-CN"/>
              </w:rPr>
              <w:t>（3）</w:t>
            </w:r>
            <w:r>
              <w:rPr>
                <w:rFonts w:hint="default" w:eastAsia="宋体"/>
                <w:kern w:val="2"/>
                <w:sz w:val="21"/>
                <w:szCs w:val="21"/>
                <w:highlight w:val="none"/>
                <w:lang w:val="en-US" w:eastAsia="zh-CN"/>
              </w:rPr>
              <w:t>设备的前散热片（滤网）积了过多的灰尘，会导致设备的制冷能力降低，拿出清洗滤网。</w:t>
            </w:r>
          </w:p>
        </w:tc>
      </w:tr>
      <w:tr>
        <w:tblPrEx>
          <w:tblCellMar>
            <w:top w:w="0" w:type="dxa"/>
            <w:left w:w="108" w:type="dxa"/>
            <w:bottom w:w="0" w:type="dxa"/>
            <w:right w:w="108" w:type="dxa"/>
          </w:tblCellMar>
        </w:tblPrEx>
        <w:trPr>
          <w:jc w:val="center"/>
        </w:trPr>
        <w:tc>
          <w:tcPr>
            <w:tcW w:w="694" w:type="dxa"/>
            <w:tcBorders>
              <w:top w:val="single" w:color="auto" w:sz="8" w:space="0"/>
              <w:left w:val="single" w:color="auto" w:sz="8" w:space="0"/>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eastAsia" w:eastAsia="宋体"/>
                <w:kern w:val="2"/>
                <w:sz w:val="21"/>
                <w:szCs w:val="21"/>
                <w:highlight w:val="none"/>
                <w:lang w:val="en-US" w:eastAsia="zh-CN"/>
              </w:rPr>
              <w:t>27</w:t>
            </w:r>
          </w:p>
        </w:tc>
        <w:tc>
          <w:tcPr>
            <w:tcW w:w="1180" w:type="dxa"/>
            <w:tcBorders>
              <w:top w:val="single" w:color="auto" w:sz="8" w:space="0"/>
              <w:left w:val="nil"/>
              <w:bottom w:val="single" w:color="auto" w:sz="8" w:space="0"/>
              <w:right w:val="single" w:color="auto" w:sz="4"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default" w:eastAsia="宋体"/>
                <w:kern w:val="2"/>
                <w:sz w:val="21"/>
                <w:szCs w:val="21"/>
                <w:highlight w:val="none"/>
                <w:lang w:val="en-US" w:eastAsia="zh-CN"/>
              </w:rPr>
              <w:t>运维记录</w:t>
            </w:r>
          </w:p>
        </w:tc>
        <w:tc>
          <w:tcPr>
            <w:tcW w:w="1726" w:type="dxa"/>
            <w:tcBorders>
              <w:top w:val="single" w:color="auto" w:sz="4" w:space="0"/>
              <w:left w:val="nil"/>
              <w:bottom w:val="single" w:color="auto" w:sz="8" w:space="0"/>
              <w:right w:val="single" w:color="auto" w:sz="8" w:space="0"/>
            </w:tcBorders>
            <w:noWrap w:val="0"/>
            <w:vAlign w:val="center"/>
          </w:tcPr>
          <w:p>
            <w:pPr>
              <w:adjustRightInd w:val="0"/>
              <w:snapToGrid w:val="0"/>
              <w:spacing w:line="240" w:lineRule="exact"/>
              <w:jc w:val="center"/>
              <w:rPr>
                <w:rFonts w:hint="default" w:eastAsia="宋体"/>
                <w:kern w:val="2"/>
                <w:sz w:val="21"/>
                <w:szCs w:val="21"/>
                <w:highlight w:val="none"/>
                <w:lang w:val="en-US" w:eastAsia="zh-CN"/>
              </w:rPr>
            </w:pPr>
            <w:r>
              <w:rPr>
                <w:rFonts w:hint="default" w:eastAsia="宋体"/>
                <w:kern w:val="2"/>
                <w:sz w:val="21"/>
                <w:szCs w:val="21"/>
                <w:highlight w:val="none"/>
                <w:lang w:val="en-US" w:eastAsia="zh-CN"/>
              </w:rPr>
              <w:t>1周1次</w:t>
            </w:r>
          </w:p>
        </w:tc>
        <w:tc>
          <w:tcPr>
            <w:tcW w:w="5335" w:type="dxa"/>
            <w:tcBorders>
              <w:top w:val="single" w:color="auto" w:sz="8" w:space="0"/>
              <w:left w:val="nil"/>
              <w:bottom w:val="single" w:color="auto" w:sz="8" w:space="0"/>
              <w:right w:val="single" w:color="auto" w:sz="8" w:space="0"/>
            </w:tcBorders>
            <w:noWrap w:val="0"/>
            <w:vAlign w:val="center"/>
          </w:tcPr>
          <w:p>
            <w:pPr>
              <w:adjustRightInd w:val="0"/>
              <w:snapToGrid w:val="0"/>
              <w:spacing w:line="240" w:lineRule="exact"/>
              <w:jc w:val="left"/>
              <w:rPr>
                <w:rFonts w:hint="default" w:eastAsia="宋体"/>
                <w:kern w:val="2"/>
                <w:sz w:val="21"/>
                <w:szCs w:val="21"/>
                <w:highlight w:val="none"/>
                <w:lang w:val="en-US" w:eastAsia="zh-CN"/>
              </w:rPr>
            </w:pPr>
            <w:r>
              <w:rPr>
                <w:rFonts w:hint="default" w:eastAsia="宋体"/>
                <w:kern w:val="2"/>
                <w:sz w:val="21"/>
                <w:szCs w:val="21"/>
                <w:highlight w:val="none"/>
                <w:lang w:val="en-US" w:eastAsia="zh-CN"/>
              </w:rPr>
              <w:t>现场填写运维巡检记录表。</w:t>
            </w:r>
          </w:p>
        </w:tc>
      </w:tr>
    </w:tbl>
    <w:p>
      <w:pPr>
        <w:spacing w:line="360" w:lineRule="auto"/>
        <w:rPr>
          <w:kern w:val="2"/>
          <w:sz w:val="21"/>
          <w:szCs w:val="21"/>
          <w:highlight w:val="none"/>
        </w:rPr>
      </w:pPr>
      <w:r>
        <w:rPr>
          <w:kern w:val="2"/>
          <w:sz w:val="21"/>
          <w:szCs w:val="21"/>
          <w:highlight w:val="none"/>
        </w:rPr>
        <w:t>（二）质控要求</w:t>
      </w:r>
    </w:p>
    <w:p>
      <w:pPr>
        <w:numPr>
          <w:ilvl w:val="0"/>
          <w:numId w:val="18"/>
        </w:numPr>
        <w:spacing w:line="360" w:lineRule="auto"/>
        <w:ind w:left="0" w:firstLine="420" w:firstLineChars="200"/>
        <w:rPr>
          <w:kern w:val="2"/>
          <w:sz w:val="21"/>
          <w:szCs w:val="21"/>
          <w:highlight w:val="none"/>
        </w:rPr>
      </w:pPr>
      <w:r>
        <w:rPr>
          <w:kern w:val="2"/>
          <w:sz w:val="21"/>
          <w:szCs w:val="21"/>
          <w:highlight w:val="none"/>
        </w:rPr>
        <w:t>基本要求</w:t>
      </w:r>
    </w:p>
    <w:p>
      <w:pPr>
        <w:spacing w:line="360" w:lineRule="auto"/>
        <w:ind w:firstLine="420" w:firstLineChars="200"/>
        <w:rPr>
          <w:kern w:val="2"/>
          <w:sz w:val="21"/>
          <w:szCs w:val="21"/>
          <w:highlight w:val="none"/>
        </w:rPr>
      </w:pPr>
      <w:r>
        <w:rPr>
          <w:kern w:val="2"/>
          <w:sz w:val="21"/>
          <w:szCs w:val="21"/>
          <w:highlight w:val="none"/>
        </w:rPr>
        <w:t>本项目的质控工作由招标方监督，中标方实施</w:t>
      </w:r>
      <w:r>
        <w:rPr>
          <w:rFonts w:hint="eastAsia"/>
          <w:kern w:val="2"/>
          <w:sz w:val="21"/>
          <w:szCs w:val="21"/>
          <w:highlight w:val="none"/>
          <w:lang w:eastAsia="zh-CN"/>
        </w:rPr>
        <w:t>，</w:t>
      </w:r>
      <w:r>
        <w:rPr>
          <w:kern w:val="2"/>
          <w:sz w:val="21"/>
          <w:szCs w:val="21"/>
          <w:highlight w:val="none"/>
        </w:rPr>
        <w:t>并无条件接受招标方监督考核。</w:t>
      </w:r>
    </w:p>
    <w:p>
      <w:pPr>
        <w:spacing w:line="360" w:lineRule="auto"/>
        <w:ind w:left="480"/>
        <w:rPr>
          <w:kern w:val="2"/>
          <w:sz w:val="21"/>
          <w:szCs w:val="21"/>
          <w:highlight w:val="none"/>
        </w:rPr>
      </w:pPr>
      <w:r>
        <w:rPr>
          <w:kern w:val="2"/>
          <w:sz w:val="21"/>
          <w:szCs w:val="21"/>
          <w:highlight w:val="none"/>
        </w:rPr>
        <w:t>（1）重金属在线监测仪器（ICP-MS）</w:t>
      </w:r>
    </w:p>
    <w:p>
      <w:pPr>
        <w:spacing w:line="360" w:lineRule="auto"/>
        <w:ind w:firstLine="480"/>
        <w:rPr>
          <w:kern w:val="2"/>
          <w:sz w:val="21"/>
          <w:szCs w:val="21"/>
          <w:highlight w:val="none"/>
        </w:rPr>
      </w:pPr>
      <w:r>
        <w:rPr>
          <w:kern w:val="2"/>
          <w:sz w:val="21"/>
          <w:szCs w:val="21"/>
          <w:highlight w:val="none"/>
        </w:rPr>
        <w:t>本项目监测仪器的质控措施按照仪器使用说明书和</w:t>
      </w:r>
      <w:r>
        <w:rPr>
          <w:rFonts w:hint="eastAsia"/>
          <w:kern w:val="2"/>
          <w:sz w:val="21"/>
          <w:szCs w:val="21"/>
          <w:highlight w:val="none"/>
        </w:rPr>
        <w:t>参照</w:t>
      </w:r>
      <w:r>
        <w:rPr>
          <w:kern w:val="2"/>
          <w:sz w:val="21"/>
          <w:szCs w:val="21"/>
          <w:highlight w:val="none"/>
        </w:rPr>
        <w:t>国家相关标准执行。仪器设备的标准曲线至少1次/</w:t>
      </w:r>
      <w:r>
        <w:rPr>
          <w:rFonts w:hint="eastAsia"/>
          <w:kern w:val="2"/>
          <w:sz w:val="21"/>
          <w:szCs w:val="21"/>
          <w:highlight w:val="none"/>
          <w:lang w:val="en-US" w:eastAsia="zh-CN"/>
        </w:rPr>
        <w:t>2周</w:t>
      </w:r>
      <w:r>
        <w:rPr>
          <w:kern w:val="2"/>
          <w:sz w:val="21"/>
          <w:szCs w:val="21"/>
          <w:highlight w:val="none"/>
        </w:rPr>
        <w:t>校准。当标准曲线偏差超过10%或说明书要求，须按国家标准和仪器使用说明书要求重新制定。</w:t>
      </w:r>
    </w:p>
    <w:p>
      <w:pPr>
        <w:spacing w:line="360" w:lineRule="auto"/>
        <w:ind w:firstLine="480"/>
        <w:rPr>
          <w:rFonts w:hint="eastAsia"/>
          <w:kern w:val="2"/>
          <w:sz w:val="21"/>
          <w:szCs w:val="21"/>
          <w:highlight w:val="none"/>
        </w:rPr>
      </w:pPr>
      <w:r>
        <w:rPr>
          <w:rFonts w:hint="eastAsia"/>
          <w:kern w:val="2"/>
          <w:sz w:val="21"/>
          <w:szCs w:val="21"/>
          <w:highlight w:val="none"/>
        </w:rPr>
        <w:t>标准曲线：每次分析样品均应绘制校准曲线。通常情况下，校准曲线的相关系数应达到 0.999 以上。</w:t>
      </w:r>
    </w:p>
    <w:p>
      <w:pPr>
        <w:spacing w:line="360" w:lineRule="auto"/>
        <w:ind w:firstLine="480"/>
        <w:rPr>
          <w:kern w:val="2"/>
          <w:sz w:val="21"/>
          <w:szCs w:val="21"/>
          <w:highlight w:val="none"/>
        </w:rPr>
      </w:pPr>
      <w:r>
        <w:rPr>
          <w:rFonts w:hint="eastAsia"/>
          <w:kern w:val="2"/>
          <w:sz w:val="21"/>
          <w:szCs w:val="21"/>
          <w:highlight w:val="none"/>
        </w:rPr>
        <w:t>内标：在每次分析中必须监测内标的强度，试样中内标的响应值应介于校准曲线响应值的 70%～130%，否则说明仪器发生漂移或有干扰产生，应查找原因后重新分析。如果发现基体干扰，需要进行稀释后测定；如果发现样品中含有内标元素，需要更换内标或提高内标元素浓度。</w:t>
      </w:r>
    </w:p>
    <w:p>
      <w:pPr>
        <w:spacing w:line="360" w:lineRule="auto"/>
        <w:ind w:firstLine="420" w:firstLineChars="200"/>
        <w:rPr>
          <w:kern w:val="2"/>
          <w:sz w:val="21"/>
          <w:szCs w:val="21"/>
          <w:highlight w:val="none"/>
        </w:rPr>
      </w:pPr>
      <w:r>
        <w:rPr>
          <w:kern w:val="2"/>
          <w:sz w:val="21"/>
          <w:szCs w:val="21"/>
          <w:highlight w:val="none"/>
        </w:rPr>
        <w:t>（2）实际水样比对</w:t>
      </w:r>
    </w:p>
    <w:p>
      <w:pPr>
        <w:spacing w:line="360" w:lineRule="auto"/>
        <w:ind w:firstLine="420" w:firstLineChars="200"/>
        <w:rPr>
          <w:kern w:val="2"/>
          <w:sz w:val="21"/>
          <w:szCs w:val="21"/>
          <w:highlight w:val="none"/>
        </w:rPr>
      </w:pPr>
      <w:r>
        <w:rPr>
          <w:kern w:val="2"/>
          <w:sz w:val="21"/>
          <w:szCs w:val="21"/>
          <w:highlight w:val="none"/>
        </w:rPr>
        <w:t>1）中标方所出具的实际水样比对结果应符合国家标准要求，加盖“CMA”章。</w:t>
      </w:r>
    </w:p>
    <w:p>
      <w:pPr>
        <w:spacing w:line="360" w:lineRule="auto"/>
        <w:ind w:firstLine="420" w:firstLineChars="200"/>
        <w:rPr>
          <w:kern w:val="2"/>
          <w:sz w:val="21"/>
          <w:szCs w:val="21"/>
          <w:highlight w:val="none"/>
        </w:rPr>
      </w:pPr>
      <w:r>
        <w:rPr>
          <w:kern w:val="2"/>
          <w:sz w:val="21"/>
          <w:szCs w:val="21"/>
          <w:highlight w:val="none"/>
        </w:rPr>
        <w:t>2）实际水样比对结果相对误差的数据有效性判定原则：</w:t>
      </w:r>
    </w:p>
    <w:p>
      <w:pPr>
        <w:spacing w:line="360" w:lineRule="auto"/>
        <w:ind w:firstLine="420" w:firstLineChars="200"/>
        <w:rPr>
          <w:kern w:val="2"/>
          <w:sz w:val="21"/>
          <w:szCs w:val="21"/>
          <w:highlight w:val="none"/>
        </w:rPr>
      </w:pPr>
      <w:r>
        <w:rPr>
          <w:kern w:val="2"/>
          <w:sz w:val="21"/>
          <w:szCs w:val="21"/>
          <w:highlight w:val="none"/>
        </w:rPr>
        <w:t>A.自动监测数据和实验室监测数据同时在I类（水质类别见《地表水环境质量标准》（GB 3838-2002），下同）以内时，不考虑允许相对误差，认为自动监测数据有效。</w:t>
      </w:r>
    </w:p>
    <w:p>
      <w:pPr>
        <w:spacing w:line="360" w:lineRule="auto"/>
        <w:ind w:firstLine="420" w:firstLineChars="200"/>
        <w:rPr>
          <w:kern w:val="2"/>
          <w:sz w:val="21"/>
          <w:szCs w:val="21"/>
          <w:highlight w:val="none"/>
        </w:rPr>
      </w:pPr>
      <w:r>
        <w:rPr>
          <w:kern w:val="2"/>
          <w:sz w:val="21"/>
          <w:szCs w:val="21"/>
          <w:highlight w:val="none"/>
        </w:rPr>
        <w:t>B.实验室监测数据在II类时，水样比对的相对误差在±40%以内。</w:t>
      </w:r>
    </w:p>
    <w:p>
      <w:pPr>
        <w:spacing w:line="360" w:lineRule="auto"/>
        <w:ind w:firstLine="420" w:firstLineChars="200"/>
        <w:rPr>
          <w:kern w:val="2"/>
          <w:sz w:val="21"/>
          <w:szCs w:val="21"/>
          <w:highlight w:val="none"/>
        </w:rPr>
      </w:pPr>
      <w:r>
        <w:rPr>
          <w:kern w:val="2"/>
          <w:sz w:val="21"/>
          <w:szCs w:val="21"/>
          <w:highlight w:val="none"/>
        </w:rPr>
        <w:t>C.实验室监测数据在III类时，水样比对的相对误差在±30%以内。</w:t>
      </w:r>
    </w:p>
    <w:p>
      <w:pPr>
        <w:spacing w:line="360" w:lineRule="auto"/>
        <w:ind w:firstLine="420" w:firstLineChars="200"/>
        <w:rPr>
          <w:kern w:val="2"/>
          <w:sz w:val="21"/>
          <w:szCs w:val="21"/>
          <w:highlight w:val="none"/>
        </w:rPr>
      </w:pPr>
      <w:r>
        <w:rPr>
          <w:kern w:val="2"/>
          <w:sz w:val="21"/>
          <w:szCs w:val="21"/>
          <w:highlight w:val="none"/>
        </w:rPr>
        <w:t>D.实验室监测数据在IV类及以上时，水样比对的相对误差在±20%以内；</w:t>
      </w:r>
    </w:p>
    <w:p>
      <w:pPr>
        <w:spacing w:line="360" w:lineRule="auto"/>
        <w:ind w:firstLine="420" w:firstLineChars="200"/>
        <w:rPr>
          <w:kern w:val="2"/>
          <w:sz w:val="21"/>
          <w:szCs w:val="21"/>
          <w:highlight w:val="none"/>
        </w:rPr>
      </w:pPr>
      <w:r>
        <w:rPr>
          <w:kern w:val="2"/>
          <w:sz w:val="21"/>
          <w:szCs w:val="21"/>
          <w:highlight w:val="none"/>
        </w:rPr>
        <w:t>（3）试剂质量</w:t>
      </w:r>
    </w:p>
    <w:p>
      <w:pPr>
        <w:spacing w:line="360" w:lineRule="auto"/>
        <w:ind w:firstLine="420" w:firstLineChars="200"/>
        <w:rPr>
          <w:kern w:val="2"/>
          <w:sz w:val="21"/>
          <w:szCs w:val="21"/>
          <w:highlight w:val="none"/>
        </w:rPr>
      </w:pPr>
      <w:r>
        <w:rPr>
          <w:kern w:val="2"/>
          <w:sz w:val="21"/>
          <w:szCs w:val="21"/>
          <w:highlight w:val="none"/>
        </w:rPr>
        <w:t>重金属在线监测仪（ICP-MS）所用试剂必须为优级纯级别，在质量保质期内；所用纯水或超纯水须达到国家标准相关技术要求，所用试剂须为有实验室资质的实验室配置，或者由仪器供应商授权的有资质的厂家供应，并注明试剂名称、有效期等重要信息。</w:t>
      </w:r>
    </w:p>
    <w:p>
      <w:pPr>
        <w:spacing w:line="360" w:lineRule="auto"/>
        <w:ind w:firstLine="420" w:firstLineChars="200"/>
        <w:rPr>
          <w:kern w:val="2"/>
          <w:sz w:val="21"/>
          <w:szCs w:val="21"/>
          <w:highlight w:val="none"/>
        </w:rPr>
      </w:pPr>
      <w:r>
        <w:rPr>
          <w:kern w:val="2"/>
          <w:sz w:val="21"/>
          <w:szCs w:val="21"/>
          <w:highlight w:val="none"/>
        </w:rPr>
        <w:t>2.</w:t>
      </w:r>
      <w:r>
        <w:rPr>
          <w:kern w:val="2"/>
          <w:sz w:val="21"/>
          <w:szCs w:val="21"/>
          <w:highlight w:val="none"/>
        </w:rPr>
        <w:tab/>
      </w:r>
      <w:r>
        <w:rPr>
          <w:kern w:val="2"/>
          <w:sz w:val="21"/>
          <w:szCs w:val="21"/>
          <w:highlight w:val="none"/>
        </w:rPr>
        <w:t>停机管理</w:t>
      </w:r>
    </w:p>
    <w:p>
      <w:pPr>
        <w:spacing w:line="360" w:lineRule="auto"/>
        <w:ind w:firstLine="420" w:firstLineChars="200"/>
        <w:rPr>
          <w:kern w:val="2"/>
          <w:sz w:val="21"/>
          <w:szCs w:val="21"/>
          <w:highlight w:val="none"/>
        </w:rPr>
      </w:pPr>
      <w:r>
        <w:rPr>
          <w:kern w:val="2"/>
          <w:sz w:val="21"/>
          <w:szCs w:val="21"/>
          <w:highlight w:val="none"/>
        </w:rPr>
        <w:t>短时间停机（停机时间小于24小时）：一般关机即可，再次运行时仪器需重新校准。</w:t>
      </w:r>
    </w:p>
    <w:p>
      <w:pPr>
        <w:spacing w:line="360" w:lineRule="auto"/>
        <w:rPr>
          <w:kern w:val="2"/>
          <w:sz w:val="21"/>
          <w:szCs w:val="21"/>
          <w:highlight w:val="none"/>
        </w:rPr>
      </w:pPr>
      <w:r>
        <w:rPr>
          <w:kern w:val="2"/>
          <w:sz w:val="21"/>
          <w:szCs w:val="21"/>
          <w:highlight w:val="none"/>
        </w:rPr>
        <w:t>长时间停机（连续停机时间超过24小时）：如果分析仪需要停机24小时或更长时间，一般需关闭分析仪器和进样阀，关闭电源。并用蒸馏水清洗分析仪器的蠕动泵以及试剂管路；清洗测量室并排空。停机前应将停机申请经</w:t>
      </w:r>
      <w:r>
        <w:rPr>
          <w:rFonts w:hint="eastAsia"/>
          <w:kern w:val="2"/>
          <w:sz w:val="21"/>
          <w:szCs w:val="21"/>
          <w:highlight w:val="none"/>
        </w:rPr>
        <w:t>纸质报告</w:t>
      </w:r>
      <w:r>
        <w:rPr>
          <w:kern w:val="2"/>
          <w:sz w:val="21"/>
          <w:szCs w:val="21"/>
          <w:highlight w:val="none"/>
        </w:rPr>
        <w:t>报</w:t>
      </w:r>
      <w:r>
        <w:rPr>
          <w:rFonts w:hint="eastAsia"/>
          <w:kern w:val="2"/>
          <w:sz w:val="21"/>
          <w:szCs w:val="21"/>
          <w:highlight w:val="none"/>
          <w:lang w:val="en-US" w:eastAsia="zh-CN"/>
        </w:rPr>
        <w:t>送招标方</w:t>
      </w:r>
      <w:r>
        <w:rPr>
          <w:kern w:val="2"/>
          <w:sz w:val="21"/>
          <w:szCs w:val="21"/>
          <w:highlight w:val="none"/>
        </w:rPr>
        <w:t>。</w:t>
      </w:r>
    </w:p>
    <w:p>
      <w:pPr>
        <w:spacing w:line="360" w:lineRule="auto"/>
        <w:ind w:firstLine="420" w:firstLineChars="200"/>
        <w:rPr>
          <w:kern w:val="2"/>
          <w:sz w:val="21"/>
          <w:szCs w:val="21"/>
          <w:highlight w:val="none"/>
        </w:rPr>
      </w:pPr>
      <w:r>
        <w:rPr>
          <w:kern w:val="2"/>
          <w:sz w:val="21"/>
          <w:szCs w:val="21"/>
          <w:highlight w:val="none"/>
        </w:rPr>
        <w:t>长时间停机期间（停机时间超过7天），委托有资质的环境监测机构开展全程序的手工采样，国标方法分析各监测因子。每周2次，2次采样间隔不少于24小时。监测因子包括铜、锌、硒、砷、汞、镉、铬、铅、铁、锰、钼、钴、铍、硼、锑、镍、钡、钒、铊、钛共20项因子的分析数据，按要求</w:t>
      </w:r>
      <w:r>
        <w:rPr>
          <w:rFonts w:hint="eastAsia"/>
          <w:kern w:val="2"/>
          <w:sz w:val="21"/>
          <w:szCs w:val="21"/>
          <w:highlight w:val="none"/>
        </w:rPr>
        <w:t>在系统内</w:t>
      </w:r>
      <w:r>
        <w:rPr>
          <w:kern w:val="2"/>
          <w:sz w:val="21"/>
          <w:szCs w:val="21"/>
          <w:highlight w:val="none"/>
        </w:rPr>
        <w:t>报送</w:t>
      </w:r>
      <w:r>
        <w:rPr>
          <w:rFonts w:hint="eastAsia"/>
          <w:kern w:val="2"/>
          <w:sz w:val="21"/>
          <w:szCs w:val="21"/>
          <w:highlight w:val="none"/>
        </w:rPr>
        <w:t>，并同时向</w:t>
      </w:r>
      <w:r>
        <w:rPr>
          <w:kern w:val="2"/>
          <w:sz w:val="21"/>
          <w:szCs w:val="21"/>
          <w:highlight w:val="none"/>
        </w:rPr>
        <w:t>招标方</w:t>
      </w:r>
      <w:r>
        <w:rPr>
          <w:rFonts w:hint="eastAsia"/>
          <w:kern w:val="2"/>
          <w:sz w:val="21"/>
          <w:szCs w:val="21"/>
          <w:highlight w:val="none"/>
        </w:rPr>
        <w:t>报送</w:t>
      </w:r>
      <w:r>
        <w:rPr>
          <w:kern w:val="2"/>
          <w:sz w:val="21"/>
          <w:szCs w:val="21"/>
          <w:highlight w:val="none"/>
        </w:rPr>
        <w:t>。停机期间，每周进行停机维护。</w:t>
      </w:r>
    </w:p>
    <w:p>
      <w:pPr>
        <w:spacing w:line="360" w:lineRule="auto"/>
        <w:ind w:firstLine="420" w:firstLineChars="200"/>
        <w:rPr>
          <w:kern w:val="2"/>
          <w:sz w:val="21"/>
          <w:szCs w:val="21"/>
          <w:highlight w:val="none"/>
        </w:rPr>
      </w:pPr>
      <w:r>
        <w:rPr>
          <w:kern w:val="2"/>
          <w:sz w:val="21"/>
          <w:szCs w:val="21"/>
          <w:highlight w:val="none"/>
        </w:rPr>
        <w:t>(三)运维人员与车辆</w:t>
      </w:r>
    </w:p>
    <w:p>
      <w:pPr>
        <w:spacing w:line="360" w:lineRule="auto"/>
        <w:ind w:firstLine="420" w:firstLineChars="200"/>
        <w:rPr>
          <w:kern w:val="2"/>
          <w:sz w:val="21"/>
          <w:szCs w:val="21"/>
          <w:highlight w:val="none"/>
        </w:rPr>
      </w:pPr>
      <w:r>
        <w:rPr>
          <w:kern w:val="2"/>
          <w:sz w:val="21"/>
          <w:szCs w:val="21"/>
          <w:highlight w:val="none"/>
        </w:rPr>
        <w:t>1.</w:t>
      </w:r>
      <w:r>
        <w:rPr>
          <w:kern w:val="2"/>
          <w:sz w:val="21"/>
          <w:szCs w:val="21"/>
          <w:highlight w:val="none"/>
        </w:rPr>
        <w:tab/>
      </w:r>
      <w:r>
        <w:rPr>
          <w:kern w:val="2"/>
          <w:sz w:val="21"/>
          <w:szCs w:val="21"/>
          <w:highlight w:val="none"/>
        </w:rPr>
        <w:t>仪器运维人员</w:t>
      </w:r>
    </w:p>
    <w:p>
      <w:pPr>
        <w:spacing w:line="360" w:lineRule="auto"/>
        <w:ind w:firstLine="420" w:firstLineChars="200"/>
        <w:rPr>
          <w:kern w:val="2"/>
          <w:sz w:val="21"/>
          <w:szCs w:val="21"/>
          <w:highlight w:val="none"/>
        </w:rPr>
      </w:pPr>
      <w:r>
        <w:rPr>
          <w:kern w:val="2"/>
          <w:sz w:val="21"/>
          <w:szCs w:val="21"/>
          <w:highlight w:val="none"/>
        </w:rPr>
        <w:t>运维人员每次开展工作，保证至少2人1辆车进行运维。参与运维人员必须取得省级及以上环境监测机构颁发的水质自动监测仪器运维资质。</w:t>
      </w:r>
    </w:p>
    <w:p>
      <w:pPr>
        <w:spacing w:line="360" w:lineRule="auto"/>
        <w:ind w:firstLine="420" w:firstLineChars="200"/>
        <w:rPr>
          <w:kern w:val="2"/>
          <w:sz w:val="21"/>
          <w:szCs w:val="21"/>
          <w:highlight w:val="none"/>
        </w:rPr>
      </w:pPr>
      <w:r>
        <w:rPr>
          <w:kern w:val="2"/>
          <w:sz w:val="21"/>
          <w:szCs w:val="21"/>
          <w:highlight w:val="none"/>
        </w:rPr>
        <w:t>运维人员每月内3次或1个运维</w:t>
      </w:r>
      <w:r>
        <w:rPr>
          <w:rFonts w:hint="eastAsia"/>
          <w:kern w:val="2"/>
          <w:sz w:val="21"/>
          <w:szCs w:val="21"/>
          <w:highlight w:val="none"/>
        </w:rPr>
        <w:t>单位</w:t>
      </w:r>
      <w:r>
        <w:rPr>
          <w:kern w:val="2"/>
          <w:sz w:val="21"/>
          <w:szCs w:val="21"/>
          <w:highlight w:val="none"/>
        </w:rPr>
        <w:t>内5次未按照招标方运维规定开展工作，招标方有权取消该人员运维资格，并通知中标方。</w:t>
      </w:r>
    </w:p>
    <w:p>
      <w:pPr>
        <w:spacing w:line="360" w:lineRule="auto"/>
        <w:ind w:firstLine="420" w:firstLineChars="200"/>
        <w:rPr>
          <w:kern w:val="2"/>
          <w:sz w:val="21"/>
          <w:szCs w:val="21"/>
          <w:highlight w:val="none"/>
        </w:rPr>
      </w:pPr>
      <w:r>
        <w:rPr>
          <w:kern w:val="2"/>
          <w:sz w:val="21"/>
          <w:szCs w:val="21"/>
          <w:highlight w:val="none"/>
        </w:rPr>
        <w:t>中标方为运维人员提供人身意外伤害保险，并负责运维人员的安全保障。因运维工作产生的事故责任与招标方无关。</w:t>
      </w:r>
    </w:p>
    <w:p>
      <w:pPr>
        <w:numPr>
          <w:ilvl w:val="0"/>
          <w:numId w:val="18"/>
        </w:numPr>
        <w:spacing w:line="360" w:lineRule="auto"/>
        <w:ind w:left="0" w:leftChars="0" w:firstLine="420" w:firstLineChars="200"/>
        <w:rPr>
          <w:rFonts w:hint="eastAsia"/>
          <w:kern w:val="2"/>
          <w:sz w:val="21"/>
          <w:szCs w:val="21"/>
          <w:highlight w:val="none"/>
          <w:lang w:val="en-US" w:eastAsia="zh-CN"/>
        </w:rPr>
      </w:pPr>
      <w:r>
        <w:rPr>
          <w:kern w:val="2"/>
          <w:sz w:val="21"/>
          <w:szCs w:val="21"/>
          <w:highlight w:val="none"/>
        </w:rPr>
        <w:t>运维</w:t>
      </w:r>
      <w:r>
        <w:rPr>
          <w:rFonts w:hint="eastAsia"/>
          <w:kern w:val="2"/>
          <w:sz w:val="21"/>
          <w:szCs w:val="21"/>
          <w:highlight w:val="none"/>
          <w:lang w:val="en-US" w:eastAsia="zh-CN"/>
        </w:rPr>
        <w:t>车辆</w:t>
      </w:r>
    </w:p>
    <w:p>
      <w:pPr>
        <w:numPr>
          <w:ilvl w:val="0"/>
          <w:numId w:val="0"/>
        </w:numPr>
        <w:spacing w:line="360" w:lineRule="auto"/>
        <w:ind w:firstLine="420" w:firstLineChars="200"/>
        <w:rPr>
          <w:rFonts w:hint="default"/>
          <w:kern w:val="2"/>
          <w:sz w:val="21"/>
          <w:szCs w:val="21"/>
          <w:highlight w:val="none"/>
          <w:lang w:val="en-US" w:eastAsia="zh-CN"/>
        </w:rPr>
      </w:pPr>
      <w:r>
        <w:rPr>
          <w:rFonts w:hint="eastAsia"/>
          <w:kern w:val="2"/>
          <w:sz w:val="21"/>
          <w:szCs w:val="21"/>
          <w:highlight w:val="none"/>
          <w:lang w:val="en-US" w:eastAsia="zh-CN"/>
        </w:rPr>
        <w:t>为保证运维工作能够有效开展，中标方应提供不少于2辆运维车辆，供运维人员专职使用。</w:t>
      </w:r>
    </w:p>
    <w:p>
      <w:pPr>
        <w:spacing w:line="360" w:lineRule="auto"/>
        <w:ind w:firstLine="420" w:firstLineChars="200"/>
        <w:rPr>
          <w:kern w:val="2"/>
          <w:sz w:val="21"/>
          <w:szCs w:val="21"/>
          <w:highlight w:val="none"/>
        </w:rPr>
      </w:pPr>
      <w:r>
        <w:rPr>
          <w:kern w:val="2"/>
          <w:sz w:val="21"/>
          <w:szCs w:val="21"/>
          <w:highlight w:val="none"/>
        </w:rPr>
        <w:t>(四)备品备件与耗材要求</w:t>
      </w:r>
    </w:p>
    <w:p>
      <w:pPr>
        <w:spacing w:line="360" w:lineRule="auto"/>
        <w:ind w:firstLine="420" w:firstLineChars="200"/>
        <w:rPr>
          <w:kern w:val="2"/>
          <w:sz w:val="21"/>
          <w:szCs w:val="21"/>
          <w:highlight w:val="none"/>
        </w:rPr>
      </w:pPr>
      <w:r>
        <w:rPr>
          <w:kern w:val="2"/>
          <w:sz w:val="21"/>
          <w:szCs w:val="21"/>
          <w:highlight w:val="none"/>
        </w:rPr>
        <w:t>合同签订后1月内，中标方须备齐充足的备品备件，备齐项目所需耗材。备品备件、耗材等须存放于中标方</w:t>
      </w:r>
      <w:r>
        <w:rPr>
          <w:rFonts w:hint="eastAsia"/>
          <w:kern w:val="2"/>
          <w:sz w:val="21"/>
          <w:szCs w:val="21"/>
          <w:highlight w:val="none"/>
        </w:rPr>
        <w:t>指定的</w:t>
      </w:r>
      <w:r>
        <w:rPr>
          <w:kern w:val="2"/>
          <w:sz w:val="21"/>
          <w:szCs w:val="21"/>
          <w:highlight w:val="none"/>
        </w:rPr>
        <w:t>相应地点，随用随补充，以确保运维质量。</w:t>
      </w:r>
    </w:p>
    <w:p>
      <w:pPr>
        <w:spacing w:line="360" w:lineRule="auto"/>
        <w:ind w:firstLine="420" w:firstLineChars="200"/>
        <w:rPr>
          <w:kern w:val="2"/>
          <w:sz w:val="21"/>
          <w:szCs w:val="21"/>
          <w:highlight w:val="none"/>
        </w:rPr>
      </w:pPr>
      <w:r>
        <w:rPr>
          <w:kern w:val="2"/>
          <w:sz w:val="21"/>
          <w:szCs w:val="21"/>
          <w:highlight w:val="none"/>
        </w:rPr>
        <w:t>(五)故障排除要求</w:t>
      </w:r>
    </w:p>
    <w:p>
      <w:pPr>
        <w:spacing w:line="360" w:lineRule="auto"/>
        <w:ind w:firstLine="420" w:firstLineChars="200"/>
        <w:rPr>
          <w:kern w:val="2"/>
          <w:sz w:val="21"/>
          <w:szCs w:val="21"/>
          <w:highlight w:val="none"/>
        </w:rPr>
      </w:pPr>
      <w:r>
        <w:rPr>
          <w:kern w:val="2"/>
          <w:sz w:val="21"/>
          <w:szCs w:val="21"/>
          <w:highlight w:val="none"/>
        </w:rPr>
        <w:t>中标方发现仪器系统故障时应及时排除，及时向招标方报备；超过一周时长的，要委托有“CMA”资质的环境监测机构做好手工采样、实验室分析等应急补救措施。</w:t>
      </w:r>
    </w:p>
    <w:p>
      <w:pPr>
        <w:spacing w:line="360" w:lineRule="auto"/>
        <w:ind w:firstLine="420" w:firstLineChars="200"/>
        <w:rPr>
          <w:kern w:val="2"/>
          <w:sz w:val="21"/>
          <w:szCs w:val="21"/>
          <w:highlight w:val="none"/>
        </w:rPr>
      </w:pPr>
      <w:r>
        <w:rPr>
          <w:kern w:val="2"/>
          <w:sz w:val="21"/>
          <w:szCs w:val="21"/>
          <w:highlight w:val="none"/>
        </w:rPr>
        <w:t>中标方仪器故障响应时间不超过4小时，一般故障排除时间不超过24小时，重大故障排除时间不超过48小时。如故障排除时间超过48小时，需提供备机或其他有效方式保证不间断的获取仪器数据。超过48小时的故障，中标方应做好手工采样并进行实验室数据分析，数据提供频次按照长时间停机管理执行。</w:t>
      </w:r>
    </w:p>
    <w:p>
      <w:pPr>
        <w:spacing w:line="360" w:lineRule="auto"/>
        <w:ind w:firstLine="420" w:firstLineChars="200"/>
        <w:rPr>
          <w:kern w:val="2"/>
          <w:sz w:val="21"/>
          <w:szCs w:val="21"/>
          <w:highlight w:val="none"/>
        </w:rPr>
      </w:pPr>
      <w:r>
        <w:rPr>
          <w:kern w:val="2"/>
          <w:sz w:val="21"/>
          <w:szCs w:val="21"/>
          <w:highlight w:val="none"/>
        </w:rPr>
        <w:t>(六)安全与防护要求</w:t>
      </w:r>
    </w:p>
    <w:p>
      <w:pPr>
        <w:spacing w:line="360" w:lineRule="auto"/>
        <w:ind w:firstLine="420" w:firstLineChars="200"/>
        <w:rPr>
          <w:kern w:val="2"/>
          <w:sz w:val="21"/>
          <w:szCs w:val="21"/>
          <w:highlight w:val="none"/>
        </w:rPr>
      </w:pPr>
      <w:r>
        <w:rPr>
          <w:kern w:val="2"/>
          <w:sz w:val="21"/>
          <w:szCs w:val="21"/>
          <w:highlight w:val="none"/>
        </w:rPr>
        <w:t>1.</w:t>
      </w:r>
      <w:r>
        <w:rPr>
          <w:kern w:val="2"/>
          <w:sz w:val="21"/>
          <w:szCs w:val="21"/>
          <w:highlight w:val="none"/>
        </w:rPr>
        <w:tab/>
      </w:r>
      <w:r>
        <w:rPr>
          <w:kern w:val="2"/>
          <w:sz w:val="21"/>
          <w:szCs w:val="21"/>
          <w:highlight w:val="none"/>
        </w:rPr>
        <w:t>中标方有义务协助仪器运维单位做好仪器看护人员安全教育、管理和培训，做好各仪器安全防盗工作，保证门禁系统运行正常，确保仪器财产安全，定期上报仪器安全检查报告。</w:t>
      </w:r>
    </w:p>
    <w:p>
      <w:pPr>
        <w:spacing w:line="360" w:lineRule="auto"/>
        <w:ind w:firstLine="420" w:firstLineChars="200"/>
        <w:rPr>
          <w:kern w:val="2"/>
          <w:sz w:val="21"/>
          <w:szCs w:val="21"/>
          <w:highlight w:val="none"/>
        </w:rPr>
      </w:pPr>
      <w:r>
        <w:rPr>
          <w:kern w:val="2"/>
          <w:sz w:val="21"/>
          <w:szCs w:val="21"/>
          <w:highlight w:val="none"/>
        </w:rPr>
        <w:t>2.资产管理</w:t>
      </w:r>
    </w:p>
    <w:p>
      <w:pPr>
        <w:spacing w:line="360" w:lineRule="auto"/>
        <w:ind w:firstLine="420" w:firstLineChars="200"/>
        <w:rPr>
          <w:kern w:val="2"/>
          <w:sz w:val="21"/>
          <w:szCs w:val="21"/>
          <w:highlight w:val="none"/>
        </w:rPr>
      </w:pPr>
      <w:r>
        <w:rPr>
          <w:kern w:val="2"/>
          <w:sz w:val="21"/>
          <w:szCs w:val="21"/>
          <w:highlight w:val="none"/>
        </w:rPr>
        <w:t>委托运营维护及管理的全部资产（包括</w:t>
      </w:r>
      <w:r>
        <w:rPr>
          <w:rFonts w:hint="eastAsia"/>
          <w:kern w:val="2"/>
          <w:sz w:val="21"/>
          <w:szCs w:val="21"/>
          <w:highlight w:val="none"/>
        </w:rPr>
        <w:t>仪器</w:t>
      </w:r>
      <w:r>
        <w:rPr>
          <w:kern w:val="2"/>
          <w:sz w:val="21"/>
          <w:szCs w:val="21"/>
          <w:highlight w:val="none"/>
        </w:rPr>
        <w:t>、设备、软件、配套设施、</w:t>
      </w:r>
      <w:r>
        <w:rPr>
          <w:rFonts w:hint="eastAsia"/>
          <w:kern w:val="2"/>
          <w:sz w:val="21"/>
          <w:szCs w:val="21"/>
          <w:highlight w:val="none"/>
        </w:rPr>
        <w:t>监测仪器产生的</w:t>
      </w:r>
      <w:r>
        <w:rPr>
          <w:kern w:val="2"/>
          <w:sz w:val="21"/>
          <w:szCs w:val="21"/>
          <w:highlight w:val="none"/>
        </w:rPr>
        <w:t>各类数据信息及相关文档资料）属业主方所有。未经业主方同意，中标方不得以任何方式对各类财产进行出售、抵押或转移；同时，在委托运营及管理期间，中标方有责任保证上述全部资产的完整、安全并处于良好状态，并对固定资产进行标识和登记。因运维方原因导致固定资产受损，由运维方负责赔偿。</w:t>
      </w:r>
    </w:p>
    <w:p>
      <w:pPr>
        <w:spacing w:line="360" w:lineRule="auto"/>
        <w:ind w:firstLine="420" w:firstLineChars="200"/>
        <w:rPr>
          <w:kern w:val="2"/>
          <w:sz w:val="21"/>
          <w:szCs w:val="21"/>
          <w:highlight w:val="none"/>
        </w:rPr>
      </w:pPr>
      <w:r>
        <w:rPr>
          <w:kern w:val="2"/>
          <w:sz w:val="21"/>
          <w:szCs w:val="21"/>
          <w:highlight w:val="none"/>
        </w:rPr>
        <w:t>四、运维考核</w:t>
      </w:r>
    </w:p>
    <w:p>
      <w:pPr>
        <w:spacing w:line="360" w:lineRule="auto"/>
        <w:ind w:firstLine="420" w:firstLineChars="200"/>
        <w:rPr>
          <w:kern w:val="2"/>
          <w:sz w:val="21"/>
          <w:szCs w:val="21"/>
          <w:highlight w:val="none"/>
        </w:rPr>
      </w:pPr>
      <w:r>
        <w:rPr>
          <w:kern w:val="2"/>
          <w:sz w:val="21"/>
          <w:szCs w:val="21"/>
          <w:highlight w:val="none"/>
        </w:rPr>
        <w:t>运维考核与扣款主要按照附件2《运行维护要求和管理考核计分方法》执行。</w:t>
      </w:r>
    </w:p>
    <w:p>
      <w:pPr>
        <w:spacing w:line="360" w:lineRule="auto"/>
        <w:ind w:firstLine="420" w:firstLineChars="200"/>
        <w:rPr>
          <w:kern w:val="2"/>
          <w:sz w:val="21"/>
          <w:szCs w:val="21"/>
          <w:highlight w:val="none"/>
        </w:rPr>
      </w:pPr>
      <w:r>
        <w:rPr>
          <w:kern w:val="2"/>
          <w:sz w:val="21"/>
          <w:szCs w:val="21"/>
          <w:highlight w:val="none"/>
        </w:rPr>
        <w:t>1.</w:t>
      </w:r>
      <w:r>
        <w:rPr>
          <w:kern w:val="2"/>
          <w:sz w:val="21"/>
          <w:szCs w:val="21"/>
          <w:highlight w:val="none"/>
        </w:rPr>
        <w:tab/>
      </w:r>
      <w:r>
        <w:rPr>
          <w:kern w:val="2"/>
          <w:sz w:val="21"/>
          <w:szCs w:val="21"/>
          <w:highlight w:val="none"/>
        </w:rPr>
        <w:t>考核采取以单</w:t>
      </w:r>
      <w:r>
        <w:rPr>
          <w:rFonts w:hint="eastAsia"/>
          <w:kern w:val="2"/>
          <w:sz w:val="21"/>
          <w:szCs w:val="21"/>
          <w:highlight w:val="none"/>
        </w:rPr>
        <w:t>台</w:t>
      </w:r>
      <w:r>
        <w:rPr>
          <w:kern w:val="2"/>
          <w:sz w:val="21"/>
          <w:szCs w:val="21"/>
          <w:highlight w:val="none"/>
        </w:rPr>
        <w:t>仪器为基本考核单元，考核频次为每月1次。</w:t>
      </w:r>
    </w:p>
    <w:p>
      <w:pPr>
        <w:spacing w:line="360" w:lineRule="auto"/>
        <w:ind w:firstLine="420" w:firstLineChars="200"/>
        <w:rPr>
          <w:kern w:val="2"/>
          <w:sz w:val="21"/>
          <w:szCs w:val="21"/>
          <w:highlight w:val="none"/>
        </w:rPr>
      </w:pPr>
      <w:r>
        <w:rPr>
          <w:kern w:val="2"/>
          <w:sz w:val="21"/>
          <w:szCs w:val="21"/>
          <w:highlight w:val="none"/>
        </w:rPr>
        <w:t>2.</w:t>
      </w:r>
      <w:r>
        <w:rPr>
          <w:kern w:val="2"/>
          <w:sz w:val="21"/>
          <w:szCs w:val="21"/>
          <w:highlight w:val="none"/>
        </w:rPr>
        <w:tab/>
      </w:r>
      <w:r>
        <w:rPr>
          <w:kern w:val="2"/>
          <w:sz w:val="21"/>
          <w:szCs w:val="21"/>
          <w:highlight w:val="none"/>
        </w:rPr>
        <w:t>考核实行月度自查及招标方考核制度。中标方每月进行1次自查，招标方按月对中标方进行1次运维考核。</w:t>
      </w:r>
    </w:p>
    <w:p>
      <w:pPr>
        <w:spacing w:line="360" w:lineRule="auto"/>
        <w:ind w:firstLine="420" w:firstLineChars="200"/>
        <w:rPr>
          <w:kern w:val="2"/>
          <w:sz w:val="21"/>
          <w:szCs w:val="21"/>
          <w:highlight w:val="none"/>
        </w:rPr>
      </w:pPr>
      <w:r>
        <w:rPr>
          <w:kern w:val="2"/>
          <w:sz w:val="21"/>
          <w:szCs w:val="21"/>
          <w:highlight w:val="none"/>
        </w:rPr>
        <w:t>3.</w:t>
      </w:r>
      <w:r>
        <w:rPr>
          <w:kern w:val="2"/>
          <w:sz w:val="21"/>
          <w:szCs w:val="21"/>
          <w:highlight w:val="none"/>
        </w:rPr>
        <w:tab/>
      </w:r>
      <w:r>
        <w:rPr>
          <w:kern w:val="2"/>
          <w:sz w:val="21"/>
          <w:szCs w:val="21"/>
          <w:highlight w:val="none"/>
        </w:rPr>
        <w:t>招标方不定期飞行检查和监督检查的结果作为考核依据之一。</w:t>
      </w:r>
    </w:p>
    <w:p>
      <w:pPr>
        <w:spacing w:line="360" w:lineRule="auto"/>
        <w:ind w:firstLine="420" w:firstLineChars="200"/>
        <w:rPr>
          <w:kern w:val="2"/>
          <w:sz w:val="21"/>
          <w:szCs w:val="21"/>
          <w:highlight w:val="none"/>
        </w:rPr>
      </w:pPr>
      <w:r>
        <w:rPr>
          <w:kern w:val="2"/>
          <w:sz w:val="21"/>
          <w:szCs w:val="21"/>
          <w:highlight w:val="none"/>
        </w:rPr>
        <w:t>(一)考核报告</w:t>
      </w:r>
    </w:p>
    <w:p>
      <w:pPr>
        <w:spacing w:line="360" w:lineRule="auto"/>
        <w:ind w:firstLine="420" w:firstLineChars="200"/>
        <w:rPr>
          <w:kern w:val="2"/>
          <w:sz w:val="21"/>
          <w:szCs w:val="21"/>
          <w:highlight w:val="none"/>
        </w:rPr>
      </w:pPr>
      <w:r>
        <w:rPr>
          <w:kern w:val="2"/>
          <w:sz w:val="21"/>
          <w:szCs w:val="21"/>
          <w:highlight w:val="none"/>
        </w:rPr>
        <w:t>中标方每月10日前提交上一月的运维考核报告。考核报告包括各项考核指标的达到情况、各项质控措施实施情况、仪器日常数据检查处理情况、标液及试剂配制情况、每周巡检情况、仪器维修校正情况、标准溶液的核查结果、能力验证与质控考核、比对实验的结果、自动监测系统日常运行情况等记录和质量保证工作总结。</w:t>
      </w:r>
    </w:p>
    <w:p>
      <w:pPr>
        <w:spacing w:line="360" w:lineRule="auto"/>
        <w:ind w:firstLine="420" w:firstLineChars="200"/>
        <w:rPr>
          <w:kern w:val="2"/>
          <w:sz w:val="21"/>
          <w:szCs w:val="21"/>
          <w:highlight w:val="none"/>
        </w:rPr>
      </w:pPr>
      <w:r>
        <w:rPr>
          <w:kern w:val="2"/>
          <w:sz w:val="21"/>
          <w:szCs w:val="21"/>
          <w:highlight w:val="none"/>
        </w:rPr>
        <w:t>(二)其他情况</w:t>
      </w:r>
    </w:p>
    <w:p>
      <w:pPr>
        <w:spacing w:line="360" w:lineRule="auto"/>
        <w:ind w:firstLine="420" w:firstLineChars="200"/>
        <w:rPr>
          <w:kern w:val="2"/>
          <w:sz w:val="21"/>
          <w:szCs w:val="21"/>
          <w:highlight w:val="none"/>
        </w:rPr>
      </w:pPr>
      <w:r>
        <w:rPr>
          <w:kern w:val="2"/>
          <w:sz w:val="21"/>
          <w:szCs w:val="21"/>
          <w:highlight w:val="none"/>
        </w:rPr>
        <w:t>1.</w:t>
      </w:r>
      <w:r>
        <w:rPr>
          <w:kern w:val="2"/>
          <w:sz w:val="21"/>
          <w:szCs w:val="21"/>
          <w:highlight w:val="none"/>
        </w:rPr>
        <w:tab/>
      </w:r>
      <w:r>
        <w:rPr>
          <w:kern w:val="2"/>
          <w:sz w:val="21"/>
          <w:szCs w:val="21"/>
          <w:highlight w:val="none"/>
        </w:rPr>
        <w:t>若运维期间部分时间段出现站点水位较低，采水系统无法正常工作的。可采用离线或手工方法开展工作。采用离线工作的，每天</w:t>
      </w:r>
      <w:r>
        <w:rPr>
          <w:rFonts w:hint="eastAsia"/>
          <w:kern w:val="2"/>
          <w:sz w:val="21"/>
          <w:szCs w:val="21"/>
          <w:highlight w:val="none"/>
        </w:rPr>
        <w:t>运维人员应在原采水浮船周边</w:t>
      </w:r>
      <w:r>
        <w:rPr>
          <w:kern w:val="2"/>
          <w:sz w:val="21"/>
          <w:szCs w:val="21"/>
          <w:highlight w:val="none"/>
        </w:rPr>
        <w:t>采</w:t>
      </w:r>
      <w:r>
        <w:rPr>
          <w:rFonts w:hint="eastAsia"/>
          <w:kern w:val="2"/>
          <w:sz w:val="21"/>
          <w:szCs w:val="21"/>
          <w:highlight w:val="none"/>
        </w:rPr>
        <w:t>集</w:t>
      </w:r>
      <w:r>
        <w:rPr>
          <w:kern w:val="2"/>
          <w:sz w:val="21"/>
          <w:szCs w:val="21"/>
          <w:highlight w:val="none"/>
        </w:rPr>
        <w:t>水样</w:t>
      </w:r>
      <w:r>
        <w:rPr>
          <w:rFonts w:hint="eastAsia"/>
          <w:kern w:val="2"/>
          <w:sz w:val="21"/>
          <w:szCs w:val="21"/>
          <w:highlight w:val="none"/>
        </w:rPr>
        <w:t>，经人工过滤后</w:t>
      </w:r>
      <w:r>
        <w:rPr>
          <w:kern w:val="2"/>
          <w:sz w:val="21"/>
          <w:szCs w:val="21"/>
          <w:highlight w:val="none"/>
        </w:rPr>
        <w:t>至</w:t>
      </w:r>
      <w:r>
        <w:rPr>
          <w:rFonts w:hint="eastAsia"/>
          <w:kern w:val="2"/>
          <w:sz w:val="21"/>
          <w:szCs w:val="21"/>
          <w:highlight w:val="none"/>
        </w:rPr>
        <w:t>仪器进水接口</w:t>
      </w:r>
      <w:r>
        <w:rPr>
          <w:kern w:val="2"/>
          <w:sz w:val="21"/>
          <w:szCs w:val="21"/>
          <w:highlight w:val="none"/>
        </w:rPr>
        <w:t>进行离线监测</w:t>
      </w:r>
      <w:r>
        <w:rPr>
          <w:rFonts w:hint="eastAsia"/>
          <w:kern w:val="2"/>
          <w:sz w:val="21"/>
          <w:szCs w:val="21"/>
          <w:highlight w:val="none"/>
        </w:rPr>
        <w:t>，每天监测频次不低于1次/天</w:t>
      </w:r>
      <w:r>
        <w:rPr>
          <w:kern w:val="2"/>
          <w:sz w:val="21"/>
          <w:szCs w:val="21"/>
          <w:highlight w:val="none"/>
        </w:rPr>
        <w:t>；若采用手工监测方法开展监测的，每</w:t>
      </w:r>
      <w:r>
        <w:rPr>
          <w:rFonts w:hint="eastAsia"/>
          <w:kern w:val="2"/>
          <w:sz w:val="21"/>
          <w:szCs w:val="21"/>
          <w:highlight w:val="none"/>
          <w:lang w:val="en-US" w:eastAsia="zh-CN"/>
        </w:rPr>
        <w:t>天至少开展一次</w:t>
      </w:r>
      <w:r>
        <w:rPr>
          <w:rFonts w:hint="eastAsia"/>
          <w:kern w:val="2"/>
          <w:sz w:val="21"/>
          <w:szCs w:val="21"/>
          <w:highlight w:val="none"/>
        </w:rPr>
        <w:t>20项因子全分析</w:t>
      </w:r>
      <w:r>
        <w:rPr>
          <w:kern w:val="2"/>
          <w:sz w:val="21"/>
          <w:szCs w:val="21"/>
          <w:highlight w:val="none"/>
        </w:rPr>
        <w:t>，且时间间隔应大于48小时。按以上要求开展工作的，支付该站</w:t>
      </w:r>
      <w:r>
        <w:rPr>
          <w:rFonts w:hint="eastAsia"/>
          <w:kern w:val="2"/>
          <w:sz w:val="21"/>
          <w:szCs w:val="21"/>
          <w:highlight w:val="none"/>
          <w:lang w:val="en-US" w:eastAsia="zh-CN"/>
        </w:rPr>
        <w:t>仪器</w:t>
      </w:r>
      <w:r>
        <w:rPr>
          <w:kern w:val="2"/>
          <w:sz w:val="21"/>
          <w:szCs w:val="21"/>
          <w:highlight w:val="none"/>
        </w:rPr>
        <w:t>全额运维费。若均未开展的，扣除相应</w:t>
      </w:r>
      <w:r>
        <w:rPr>
          <w:rFonts w:hint="eastAsia"/>
          <w:kern w:val="2"/>
          <w:sz w:val="21"/>
          <w:szCs w:val="21"/>
          <w:highlight w:val="none"/>
          <w:lang w:val="en-US" w:eastAsia="zh-CN"/>
        </w:rPr>
        <w:t>仪器</w:t>
      </w:r>
      <w:r>
        <w:rPr>
          <w:kern w:val="2"/>
          <w:sz w:val="21"/>
          <w:szCs w:val="21"/>
          <w:highlight w:val="none"/>
        </w:rPr>
        <w:t>运维期运维费用。</w:t>
      </w:r>
    </w:p>
    <w:p>
      <w:pPr>
        <w:spacing w:line="360" w:lineRule="auto"/>
        <w:ind w:firstLine="420" w:firstLineChars="200"/>
        <w:rPr>
          <w:kern w:val="2"/>
          <w:sz w:val="21"/>
          <w:szCs w:val="21"/>
          <w:highlight w:val="none"/>
        </w:rPr>
      </w:pPr>
      <w:r>
        <w:rPr>
          <w:rFonts w:hint="eastAsia"/>
          <w:kern w:val="2"/>
          <w:sz w:val="21"/>
          <w:szCs w:val="21"/>
          <w:highlight w:val="none"/>
        </w:rPr>
        <w:t>2</w:t>
      </w:r>
      <w:r>
        <w:rPr>
          <w:kern w:val="2"/>
          <w:sz w:val="21"/>
          <w:szCs w:val="21"/>
          <w:highlight w:val="none"/>
        </w:rPr>
        <w:t>.当上游发生污染事故时，中标方须根据招标方指令无条件调整监测频次，配</w:t>
      </w:r>
      <w:r>
        <w:rPr>
          <w:rFonts w:hint="eastAsia"/>
          <w:kern w:val="2"/>
          <w:sz w:val="21"/>
          <w:szCs w:val="21"/>
          <w:highlight w:val="none"/>
        </w:rPr>
        <w:t>足</w:t>
      </w:r>
      <w:r>
        <w:rPr>
          <w:kern w:val="2"/>
          <w:sz w:val="21"/>
          <w:szCs w:val="21"/>
          <w:highlight w:val="none"/>
        </w:rPr>
        <w:t>相应的人员及配件耗材，连续2周之内的因污染事故增加的费用，由中标方无条件承担；超过2周因污染事故增加的费用，招标方可对</w:t>
      </w:r>
      <w:r>
        <w:rPr>
          <w:rFonts w:hint="eastAsia"/>
          <w:kern w:val="2"/>
          <w:sz w:val="21"/>
          <w:szCs w:val="21"/>
          <w:highlight w:val="none"/>
        </w:rPr>
        <w:t>应急期间使用</w:t>
      </w:r>
      <w:r>
        <w:rPr>
          <w:kern w:val="2"/>
          <w:sz w:val="21"/>
          <w:szCs w:val="21"/>
          <w:highlight w:val="none"/>
        </w:rPr>
        <w:t>气</w:t>
      </w:r>
      <w:r>
        <w:rPr>
          <w:rFonts w:hint="eastAsia"/>
          <w:kern w:val="2"/>
          <w:sz w:val="21"/>
          <w:szCs w:val="21"/>
          <w:highlight w:val="none"/>
        </w:rPr>
        <w:t>体、配件等</w:t>
      </w:r>
      <w:r>
        <w:rPr>
          <w:kern w:val="2"/>
          <w:sz w:val="21"/>
          <w:szCs w:val="21"/>
          <w:highlight w:val="none"/>
        </w:rPr>
        <w:t>相关费用进行适当的补偿。</w:t>
      </w:r>
    </w:p>
    <w:p>
      <w:pPr>
        <w:spacing w:line="360" w:lineRule="auto"/>
        <w:ind w:firstLine="420" w:firstLineChars="200"/>
        <w:rPr>
          <w:kern w:val="2"/>
          <w:sz w:val="21"/>
          <w:szCs w:val="21"/>
          <w:highlight w:val="none"/>
        </w:rPr>
      </w:pPr>
      <w:r>
        <w:rPr>
          <w:kern w:val="2"/>
          <w:sz w:val="21"/>
          <w:szCs w:val="21"/>
          <w:highlight w:val="none"/>
        </w:rPr>
        <w:t>七、运维交接</w:t>
      </w:r>
    </w:p>
    <w:p>
      <w:pPr>
        <w:spacing w:line="360" w:lineRule="auto"/>
        <w:ind w:firstLine="420" w:firstLineChars="200"/>
        <w:rPr>
          <w:kern w:val="2"/>
          <w:sz w:val="21"/>
          <w:szCs w:val="21"/>
          <w:highlight w:val="none"/>
        </w:rPr>
      </w:pPr>
      <w:r>
        <w:rPr>
          <w:kern w:val="2"/>
          <w:sz w:val="21"/>
          <w:szCs w:val="21"/>
          <w:highlight w:val="none"/>
        </w:rPr>
        <w:t>招标方、中标方双方签订运维合同后，即启动仪器运维交接工作。运维交接由招标方主导，中标方和仪器原运维单位（即交出方）具体实施。交接内容包括并不限于：5套在线重金属监测仪（ICP-MS）及配套辅助设施、设备的中文说明书、维护手册、技术图纸、国家认证检测报告与合格证（复印件）、设备自带的软件备份、安装厂家的调试报告、运维记录档案等。</w:t>
      </w:r>
    </w:p>
    <w:p>
      <w:pPr>
        <w:spacing w:line="360" w:lineRule="auto"/>
        <w:ind w:firstLine="420" w:firstLineChars="200"/>
        <w:rPr>
          <w:kern w:val="2"/>
          <w:sz w:val="21"/>
          <w:szCs w:val="21"/>
          <w:highlight w:val="none"/>
        </w:rPr>
      </w:pPr>
      <w:r>
        <w:rPr>
          <w:kern w:val="2"/>
          <w:sz w:val="21"/>
          <w:szCs w:val="21"/>
          <w:highlight w:val="none"/>
        </w:rPr>
        <w:t>在规定的时间内，由中标方、交出方、招标方（或代理人）监督下共同完成交接测试、固定资产盘点等并填写“地表水环境质量自动监测站交接表”，确认无误后，三方签字确认。</w:t>
      </w:r>
    </w:p>
    <w:p>
      <w:pPr>
        <w:spacing w:line="360" w:lineRule="auto"/>
        <w:ind w:firstLine="420" w:firstLineChars="200"/>
        <w:rPr>
          <w:kern w:val="2"/>
          <w:sz w:val="21"/>
          <w:szCs w:val="21"/>
          <w:highlight w:val="none"/>
        </w:rPr>
      </w:pPr>
      <w:r>
        <w:rPr>
          <w:kern w:val="2"/>
          <w:sz w:val="21"/>
          <w:szCs w:val="21"/>
          <w:highlight w:val="none"/>
        </w:rPr>
        <w:t>运维合同结束后，中标方须与招标方完成仪器的运维交接。运维交接须确保中标方交还给招标方的原仪器系统的所有仪器设备、设施完好。各种监测仪器的精密度、准确度和性能完好。监测仪器的性能测试方法达到《地表水自动监测技术规范（试行）》(HJ 915-2017)</w:t>
      </w:r>
      <w:r>
        <w:rPr>
          <w:rFonts w:hint="eastAsia"/>
          <w:kern w:val="2"/>
          <w:sz w:val="21"/>
          <w:szCs w:val="21"/>
          <w:highlight w:val="none"/>
          <w:lang w:eastAsia="zh-CN"/>
        </w:rPr>
        <w:t>、《HJ_7002014_水质_65种元素的测定_电感耦合等离子体质谱法》</w:t>
      </w:r>
      <w:r>
        <w:rPr>
          <w:rFonts w:hint="eastAsia"/>
          <w:kern w:val="2"/>
          <w:sz w:val="21"/>
          <w:szCs w:val="21"/>
          <w:highlight w:val="none"/>
          <w:lang w:val="en-US" w:eastAsia="zh-CN"/>
        </w:rPr>
        <w:t>等</w:t>
      </w:r>
      <w:r>
        <w:rPr>
          <w:kern w:val="2"/>
          <w:sz w:val="21"/>
          <w:szCs w:val="21"/>
          <w:highlight w:val="none"/>
        </w:rPr>
        <w:t>标准。</w:t>
      </w:r>
    </w:p>
    <w:p>
      <w:pPr>
        <w:spacing w:line="360" w:lineRule="auto"/>
        <w:rPr>
          <w:b/>
          <w:bCs/>
          <w:kern w:val="2"/>
          <w:sz w:val="21"/>
          <w:szCs w:val="21"/>
          <w:highlight w:val="none"/>
        </w:rPr>
      </w:pPr>
    </w:p>
    <w:p>
      <w:pPr>
        <w:spacing w:line="360" w:lineRule="auto"/>
        <w:rPr>
          <w:b/>
          <w:bCs/>
          <w:kern w:val="2"/>
          <w:sz w:val="21"/>
          <w:szCs w:val="21"/>
          <w:highlight w:val="none"/>
        </w:rPr>
      </w:pPr>
      <w:r>
        <w:rPr>
          <w:b/>
          <w:bCs/>
          <w:kern w:val="2"/>
          <w:sz w:val="21"/>
          <w:szCs w:val="21"/>
          <w:highlight w:val="none"/>
        </w:rPr>
        <w:br w:type="page"/>
      </w:r>
      <w:r>
        <w:rPr>
          <w:b/>
          <w:bCs/>
          <w:kern w:val="2"/>
          <w:sz w:val="21"/>
          <w:szCs w:val="21"/>
          <w:highlight w:val="none"/>
        </w:rPr>
        <w:t>附件</w:t>
      </w:r>
    </w:p>
    <w:p>
      <w:pPr>
        <w:jc w:val="center"/>
        <w:rPr>
          <w:highlight w:val="none"/>
        </w:rPr>
      </w:pPr>
      <w:bookmarkStart w:id="33" w:name="_Toc21198"/>
      <w:r>
        <w:rPr>
          <w:highlight w:val="none"/>
        </w:rPr>
        <w:t>运行维护要求和管理考核计分方法</w:t>
      </w:r>
      <w:bookmarkEnd w:id="33"/>
    </w:p>
    <w:p>
      <w:pPr>
        <w:spacing w:line="360" w:lineRule="auto"/>
        <w:ind w:firstLine="420" w:firstLineChars="200"/>
        <w:rPr>
          <w:kern w:val="2"/>
          <w:sz w:val="21"/>
          <w:szCs w:val="21"/>
          <w:highlight w:val="none"/>
        </w:rPr>
      </w:pPr>
      <w:bookmarkStart w:id="34" w:name="_Toc24121"/>
      <w:r>
        <w:rPr>
          <w:rFonts w:hint="eastAsia"/>
          <w:kern w:val="2"/>
          <w:sz w:val="21"/>
          <w:szCs w:val="21"/>
          <w:highlight w:val="none"/>
        </w:rPr>
        <w:t>一、</w:t>
      </w:r>
      <w:r>
        <w:rPr>
          <w:kern w:val="2"/>
          <w:sz w:val="21"/>
          <w:szCs w:val="21"/>
          <w:highlight w:val="none"/>
        </w:rPr>
        <w:t>考核内容</w:t>
      </w:r>
      <w:bookmarkEnd w:id="34"/>
    </w:p>
    <w:p>
      <w:pPr>
        <w:spacing w:line="360" w:lineRule="auto"/>
        <w:ind w:firstLine="420" w:firstLineChars="200"/>
        <w:rPr>
          <w:kern w:val="2"/>
          <w:sz w:val="21"/>
          <w:szCs w:val="21"/>
          <w:highlight w:val="none"/>
        </w:rPr>
      </w:pPr>
      <w:r>
        <w:rPr>
          <w:kern w:val="2"/>
          <w:sz w:val="21"/>
          <w:szCs w:val="21"/>
          <w:highlight w:val="none"/>
        </w:rPr>
        <w:t>考核内容包括：重金属在线监测仪（ICP-MS）的运行率和数据有效率达标情况；数据传输情况；仪器的标定、校准、比对监测完成</w:t>
      </w:r>
      <w:r>
        <w:rPr>
          <w:rFonts w:hint="eastAsia"/>
          <w:kern w:val="2"/>
          <w:sz w:val="21"/>
          <w:szCs w:val="21"/>
          <w:highlight w:val="none"/>
        </w:rPr>
        <w:t>达标</w:t>
      </w:r>
      <w:r>
        <w:rPr>
          <w:kern w:val="2"/>
          <w:sz w:val="21"/>
          <w:szCs w:val="21"/>
          <w:highlight w:val="none"/>
        </w:rPr>
        <w:t>情况；备品备件和耗材的定期更换情况；备品备件管理情况；运行维护记录情况；运维能力等。</w:t>
      </w:r>
    </w:p>
    <w:p>
      <w:pPr>
        <w:spacing w:line="360" w:lineRule="auto"/>
        <w:ind w:firstLine="420" w:firstLineChars="200"/>
        <w:rPr>
          <w:kern w:val="2"/>
          <w:sz w:val="21"/>
          <w:szCs w:val="21"/>
          <w:highlight w:val="none"/>
        </w:rPr>
      </w:pPr>
      <w:bookmarkStart w:id="35" w:name="_Toc18830"/>
      <w:r>
        <w:rPr>
          <w:rFonts w:hint="eastAsia"/>
          <w:kern w:val="2"/>
          <w:sz w:val="21"/>
          <w:szCs w:val="21"/>
          <w:highlight w:val="none"/>
        </w:rPr>
        <w:t>二、考核方法</w:t>
      </w:r>
      <w:bookmarkEnd w:id="35"/>
    </w:p>
    <w:p>
      <w:pPr>
        <w:spacing w:line="360" w:lineRule="auto"/>
        <w:ind w:firstLine="420" w:firstLineChars="200"/>
        <w:rPr>
          <w:kern w:val="2"/>
          <w:sz w:val="21"/>
          <w:szCs w:val="21"/>
          <w:highlight w:val="none"/>
        </w:rPr>
      </w:pPr>
      <w:r>
        <w:rPr>
          <w:kern w:val="2"/>
          <w:sz w:val="21"/>
          <w:szCs w:val="21"/>
          <w:highlight w:val="none"/>
        </w:rPr>
        <w:t>本方法的招标方指河南省南水北调渠首生态环境监测应急中心，中标方指签订运维合同的中标方。数据统计以河南省地表水水质自动监测系统平台（以下简称系统平台）和招标方要求为准。</w:t>
      </w:r>
    </w:p>
    <w:p>
      <w:pPr>
        <w:numPr>
          <w:ilvl w:val="0"/>
          <w:numId w:val="19"/>
        </w:numPr>
        <w:spacing w:line="360" w:lineRule="auto"/>
        <w:ind w:left="0" w:firstLine="420" w:firstLineChars="200"/>
        <w:rPr>
          <w:kern w:val="2"/>
          <w:sz w:val="21"/>
          <w:szCs w:val="21"/>
          <w:highlight w:val="none"/>
        </w:rPr>
      </w:pPr>
      <w:r>
        <w:rPr>
          <w:kern w:val="2"/>
          <w:sz w:val="21"/>
          <w:szCs w:val="21"/>
          <w:highlight w:val="none"/>
        </w:rPr>
        <w:t>招标方按照《运行维护要求和管理考核计分方法》对运维单位进行考核，按考核结果出具正式的考核意见。考核意见作为运维资金支付的依据之一。</w:t>
      </w:r>
    </w:p>
    <w:p>
      <w:pPr>
        <w:numPr>
          <w:ilvl w:val="0"/>
          <w:numId w:val="19"/>
        </w:numPr>
        <w:spacing w:line="360" w:lineRule="auto"/>
        <w:ind w:left="0" w:firstLine="420" w:firstLineChars="200"/>
        <w:rPr>
          <w:kern w:val="2"/>
          <w:sz w:val="21"/>
          <w:szCs w:val="21"/>
          <w:highlight w:val="none"/>
        </w:rPr>
      </w:pPr>
      <w:r>
        <w:rPr>
          <w:kern w:val="2"/>
          <w:sz w:val="21"/>
          <w:szCs w:val="21"/>
          <w:highlight w:val="none"/>
        </w:rPr>
        <w:t>运维费用的计算方法：按照运维考核结果核算的运维资金扣除本方法中“管理处罚”的金额。</w:t>
      </w:r>
    </w:p>
    <w:p>
      <w:pPr>
        <w:numPr>
          <w:ilvl w:val="0"/>
          <w:numId w:val="19"/>
        </w:numPr>
        <w:spacing w:line="360" w:lineRule="auto"/>
        <w:ind w:left="0" w:firstLine="420" w:firstLineChars="200"/>
        <w:rPr>
          <w:kern w:val="2"/>
          <w:sz w:val="21"/>
          <w:szCs w:val="21"/>
          <w:highlight w:val="none"/>
        </w:rPr>
      </w:pPr>
      <w:r>
        <w:rPr>
          <w:kern w:val="2"/>
          <w:sz w:val="21"/>
          <w:szCs w:val="21"/>
          <w:highlight w:val="none"/>
        </w:rPr>
        <w:t>考核采用100分制。</w:t>
      </w:r>
    </w:p>
    <w:p>
      <w:pPr>
        <w:numPr>
          <w:ilvl w:val="0"/>
          <w:numId w:val="19"/>
        </w:numPr>
        <w:spacing w:line="360" w:lineRule="auto"/>
        <w:ind w:left="0" w:firstLine="420" w:firstLineChars="200"/>
        <w:rPr>
          <w:kern w:val="2"/>
          <w:sz w:val="21"/>
          <w:szCs w:val="21"/>
          <w:highlight w:val="none"/>
        </w:rPr>
      </w:pPr>
      <w:r>
        <w:rPr>
          <w:kern w:val="2"/>
          <w:sz w:val="21"/>
          <w:szCs w:val="21"/>
          <w:highlight w:val="none"/>
        </w:rPr>
        <w:t>招标方的考核主要包括运维考核和现场检查。</w:t>
      </w:r>
    </w:p>
    <w:p>
      <w:pPr>
        <w:spacing w:line="360" w:lineRule="auto"/>
        <w:rPr>
          <w:kern w:val="2"/>
          <w:sz w:val="21"/>
          <w:szCs w:val="21"/>
          <w:highlight w:val="none"/>
        </w:rPr>
      </w:pPr>
      <w:r>
        <w:rPr>
          <w:kern w:val="2"/>
          <w:sz w:val="21"/>
          <w:szCs w:val="21"/>
          <w:highlight w:val="none"/>
        </w:rPr>
        <w:t>（1）运维考核</w:t>
      </w:r>
    </w:p>
    <w:p>
      <w:pPr>
        <w:ind w:firstLine="420" w:firstLineChars="200"/>
        <w:jc w:val="left"/>
        <w:rPr>
          <w:kern w:val="2"/>
          <w:sz w:val="21"/>
          <w:szCs w:val="21"/>
          <w:highlight w:val="none"/>
        </w:rPr>
      </w:pPr>
      <w:r>
        <w:rPr>
          <w:kern w:val="2"/>
          <w:sz w:val="21"/>
          <w:szCs w:val="21"/>
          <w:highlight w:val="none"/>
        </w:rPr>
        <w:t>招标方每月按照《</w:t>
      </w:r>
      <w:r>
        <w:rPr>
          <w:rFonts w:eastAsia="宋体"/>
          <w:kern w:val="2"/>
          <w:sz w:val="21"/>
          <w:szCs w:val="21"/>
          <w:highlight w:val="none"/>
        </w:rPr>
        <w:t>丹江口库区及上游重金属在线监测运行维护项目检查评分表</w:t>
      </w:r>
      <w:r>
        <w:rPr>
          <w:kern w:val="2"/>
          <w:sz w:val="21"/>
          <w:szCs w:val="21"/>
          <w:highlight w:val="none"/>
        </w:rPr>
        <w:t>》内容对仪器运维情况进行考核评分。</w:t>
      </w:r>
    </w:p>
    <w:p>
      <w:pPr>
        <w:spacing w:line="360" w:lineRule="auto"/>
        <w:rPr>
          <w:kern w:val="2"/>
          <w:sz w:val="21"/>
          <w:szCs w:val="21"/>
          <w:highlight w:val="none"/>
        </w:rPr>
      </w:pPr>
      <w:r>
        <w:rPr>
          <w:kern w:val="2"/>
          <w:sz w:val="21"/>
          <w:szCs w:val="21"/>
          <w:highlight w:val="none"/>
        </w:rPr>
        <w:t>（2）现场检查</w:t>
      </w:r>
    </w:p>
    <w:p>
      <w:pPr>
        <w:spacing w:line="360" w:lineRule="auto"/>
        <w:ind w:firstLine="420" w:firstLineChars="200"/>
        <w:rPr>
          <w:kern w:val="2"/>
          <w:sz w:val="21"/>
          <w:szCs w:val="21"/>
          <w:highlight w:val="none"/>
        </w:rPr>
      </w:pPr>
      <w:r>
        <w:rPr>
          <w:rFonts w:hint="eastAsia"/>
          <w:kern w:val="2"/>
          <w:sz w:val="21"/>
          <w:szCs w:val="21"/>
          <w:highlight w:val="none"/>
        </w:rPr>
        <w:t xml:space="preserve"> </w:t>
      </w:r>
      <w:r>
        <w:rPr>
          <w:kern w:val="2"/>
          <w:sz w:val="21"/>
          <w:szCs w:val="21"/>
          <w:highlight w:val="none"/>
        </w:rPr>
        <w:t>招标方依据《丹江口库区及上游重金属在线监测运行维护项目检查评分表》对仪器运维工作开展现场检查。检查结果作为招标方支付中标方运维费用的依据之一。</w:t>
      </w:r>
    </w:p>
    <w:p>
      <w:pPr>
        <w:spacing w:line="360" w:lineRule="auto"/>
        <w:ind w:firstLine="420" w:firstLineChars="200"/>
        <w:rPr>
          <w:kern w:val="2"/>
          <w:sz w:val="21"/>
          <w:szCs w:val="21"/>
          <w:highlight w:val="none"/>
        </w:rPr>
      </w:pPr>
      <w:r>
        <w:rPr>
          <w:kern w:val="2"/>
          <w:sz w:val="21"/>
          <w:szCs w:val="21"/>
          <w:highlight w:val="none"/>
        </w:rPr>
        <w:t>考核评分按照《运行维护要求和管理考核计分方法》，对中标方进行考核；根据最终考核评分、运维质量考核和管理处罚情况支付运维资金。</w:t>
      </w:r>
    </w:p>
    <w:p>
      <w:pPr>
        <w:spacing w:line="360" w:lineRule="auto"/>
        <w:jc w:val="center"/>
        <w:rPr>
          <w:b/>
          <w:bCs/>
          <w:kern w:val="2"/>
          <w:sz w:val="21"/>
          <w:szCs w:val="21"/>
          <w:highlight w:val="none"/>
        </w:rPr>
      </w:pPr>
      <w:r>
        <w:rPr>
          <w:b/>
          <w:bCs/>
          <w:kern w:val="2"/>
          <w:sz w:val="21"/>
          <w:szCs w:val="21"/>
          <w:highlight w:val="none"/>
        </w:rPr>
        <w:t>考核评分标准</w:t>
      </w:r>
    </w:p>
    <w:tbl>
      <w:tblPr>
        <w:tblStyle w:val="16"/>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560"/>
        <w:gridCol w:w="992"/>
        <w:gridCol w:w="2241"/>
        <w:gridCol w:w="1785"/>
        <w:gridCol w:w="1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4" w:hRule="atLeast"/>
        </w:trPr>
        <w:tc>
          <w:tcPr>
            <w:tcW w:w="1560" w:type="dxa"/>
            <w:noWrap w:val="0"/>
            <w:vAlign w:val="center"/>
          </w:tcPr>
          <w:p>
            <w:pPr>
              <w:spacing w:line="360" w:lineRule="auto"/>
              <w:jc w:val="center"/>
              <w:rPr>
                <w:b/>
                <w:color w:val="000000"/>
                <w:sz w:val="21"/>
                <w:szCs w:val="21"/>
                <w:highlight w:val="none"/>
              </w:rPr>
            </w:pPr>
            <w:r>
              <w:rPr>
                <w:b/>
                <w:color w:val="000000"/>
                <w:sz w:val="21"/>
                <w:szCs w:val="21"/>
                <w:highlight w:val="none"/>
              </w:rPr>
              <w:t>考核依据</w:t>
            </w:r>
          </w:p>
        </w:tc>
        <w:tc>
          <w:tcPr>
            <w:tcW w:w="992" w:type="dxa"/>
            <w:noWrap w:val="0"/>
            <w:vAlign w:val="center"/>
          </w:tcPr>
          <w:p>
            <w:pPr>
              <w:spacing w:line="360" w:lineRule="auto"/>
              <w:jc w:val="center"/>
              <w:rPr>
                <w:b/>
                <w:color w:val="000000"/>
                <w:sz w:val="21"/>
                <w:szCs w:val="21"/>
                <w:highlight w:val="none"/>
              </w:rPr>
            </w:pPr>
            <w:r>
              <w:rPr>
                <w:b/>
                <w:color w:val="000000"/>
                <w:sz w:val="21"/>
                <w:szCs w:val="21"/>
                <w:highlight w:val="none"/>
              </w:rPr>
              <w:t>≥90</w:t>
            </w:r>
          </w:p>
        </w:tc>
        <w:tc>
          <w:tcPr>
            <w:tcW w:w="2241" w:type="dxa"/>
            <w:noWrap w:val="0"/>
            <w:vAlign w:val="center"/>
          </w:tcPr>
          <w:p>
            <w:pPr>
              <w:spacing w:line="360" w:lineRule="auto"/>
              <w:jc w:val="center"/>
              <w:rPr>
                <w:b/>
                <w:color w:val="000000"/>
                <w:sz w:val="21"/>
                <w:szCs w:val="21"/>
                <w:highlight w:val="none"/>
              </w:rPr>
            </w:pPr>
            <w:r>
              <w:rPr>
                <w:b/>
                <w:color w:val="000000"/>
                <w:sz w:val="21"/>
                <w:szCs w:val="21"/>
                <w:highlight w:val="none"/>
              </w:rPr>
              <w:t>[85，90)</w:t>
            </w:r>
          </w:p>
        </w:tc>
        <w:tc>
          <w:tcPr>
            <w:tcW w:w="1785" w:type="dxa"/>
            <w:noWrap w:val="0"/>
            <w:vAlign w:val="center"/>
          </w:tcPr>
          <w:p>
            <w:pPr>
              <w:spacing w:line="360" w:lineRule="auto"/>
              <w:jc w:val="center"/>
              <w:rPr>
                <w:b/>
                <w:color w:val="000000"/>
                <w:sz w:val="21"/>
                <w:szCs w:val="21"/>
                <w:highlight w:val="none"/>
              </w:rPr>
            </w:pPr>
            <w:r>
              <w:rPr>
                <w:b/>
                <w:color w:val="000000"/>
                <w:sz w:val="21"/>
                <w:szCs w:val="21"/>
                <w:highlight w:val="none"/>
              </w:rPr>
              <w:t>[80，85)</w:t>
            </w:r>
          </w:p>
        </w:tc>
        <w:tc>
          <w:tcPr>
            <w:tcW w:w="1786" w:type="dxa"/>
            <w:noWrap w:val="0"/>
            <w:vAlign w:val="center"/>
          </w:tcPr>
          <w:p>
            <w:pPr>
              <w:spacing w:line="360" w:lineRule="auto"/>
              <w:jc w:val="center"/>
              <w:rPr>
                <w:b/>
                <w:color w:val="000000"/>
                <w:sz w:val="21"/>
                <w:szCs w:val="21"/>
                <w:highlight w:val="none"/>
              </w:rPr>
            </w:pPr>
            <w:r>
              <w:rPr>
                <w:b/>
                <w:color w:val="000000"/>
                <w:sz w:val="21"/>
                <w:szCs w:val="21"/>
                <w:highlight w:val="none"/>
              </w:rPr>
              <w:t>&lt;80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560" w:type="dxa"/>
            <w:noWrap w:val="0"/>
            <w:vAlign w:val="center"/>
          </w:tcPr>
          <w:p>
            <w:pPr>
              <w:spacing w:line="360" w:lineRule="auto"/>
              <w:jc w:val="center"/>
              <w:rPr>
                <w:color w:val="000000"/>
                <w:sz w:val="21"/>
                <w:szCs w:val="21"/>
                <w:highlight w:val="none"/>
              </w:rPr>
            </w:pPr>
            <w:r>
              <w:rPr>
                <w:color w:val="000000"/>
                <w:sz w:val="21"/>
                <w:szCs w:val="21"/>
                <w:highlight w:val="none"/>
              </w:rPr>
              <w:t>得分</w:t>
            </w:r>
          </w:p>
        </w:tc>
        <w:tc>
          <w:tcPr>
            <w:tcW w:w="992" w:type="dxa"/>
            <w:noWrap w:val="0"/>
            <w:vAlign w:val="center"/>
          </w:tcPr>
          <w:p>
            <w:pPr>
              <w:spacing w:line="360" w:lineRule="auto"/>
              <w:jc w:val="center"/>
              <w:rPr>
                <w:color w:val="000000"/>
                <w:sz w:val="21"/>
                <w:szCs w:val="21"/>
                <w:highlight w:val="none"/>
              </w:rPr>
            </w:pPr>
            <w:r>
              <w:rPr>
                <w:color w:val="000000"/>
                <w:sz w:val="21"/>
                <w:szCs w:val="21"/>
                <w:highlight w:val="none"/>
              </w:rPr>
              <w:t>合格</w:t>
            </w:r>
          </w:p>
        </w:tc>
        <w:tc>
          <w:tcPr>
            <w:tcW w:w="2241" w:type="dxa"/>
            <w:noWrap w:val="0"/>
            <w:vAlign w:val="center"/>
          </w:tcPr>
          <w:p>
            <w:pPr>
              <w:spacing w:line="360" w:lineRule="auto"/>
              <w:jc w:val="center"/>
              <w:rPr>
                <w:color w:val="000000"/>
                <w:sz w:val="21"/>
                <w:szCs w:val="21"/>
                <w:highlight w:val="none"/>
              </w:rPr>
            </w:pPr>
            <w:r>
              <w:rPr>
                <w:color w:val="000000"/>
                <w:sz w:val="21"/>
                <w:szCs w:val="21"/>
                <w:highlight w:val="none"/>
              </w:rPr>
              <w:t>初级警告，扣除单</w:t>
            </w:r>
            <w:r>
              <w:rPr>
                <w:rFonts w:hint="eastAsia"/>
                <w:color w:val="000000"/>
                <w:sz w:val="21"/>
                <w:szCs w:val="21"/>
                <w:highlight w:val="none"/>
                <w:lang w:val="en-US" w:eastAsia="zh-CN"/>
              </w:rPr>
              <w:t>台</w:t>
            </w:r>
            <w:r>
              <w:rPr>
                <w:color w:val="000000"/>
                <w:sz w:val="21"/>
                <w:szCs w:val="21"/>
                <w:highlight w:val="none"/>
              </w:rPr>
              <w:t>10%运维费用</w:t>
            </w:r>
          </w:p>
        </w:tc>
        <w:tc>
          <w:tcPr>
            <w:tcW w:w="1785" w:type="dxa"/>
            <w:noWrap w:val="0"/>
            <w:vAlign w:val="center"/>
          </w:tcPr>
          <w:p>
            <w:pPr>
              <w:spacing w:line="360" w:lineRule="auto"/>
              <w:jc w:val="center"/>
              <w:rPr>
                <w:color w:val="000000"/>
                <w:sz w:val="21"/>
                <w:szCs w:val="21"/>
                <w:highlight w:val="none"/>
              </w:rPr>
            </w:pPr>
            <w:r>
              <w:rPr>
                <w:color w:val="000000"/>
                <w:sz w:val="21"/>
                <w:szCs w:val="21"/>
                <w:highlight w:val="none"/>
              </w:rPr>
              <w:t>警告，扣除单</w:t>
            </w:r>
            <w:r>
              <w:rPr>
                <w:rFonts w:hint="eastAsia"/>
                <w:color w:val="000000"/>
                <w:sz w:val="21"/>
                <w:szCs w:val="21"/>
                <w:highlight w:val="none"/>
                <w:lang w:val="en-US" w:eastAsia="zh-CN"/>
              </w:rPr>
              <w:t>台</w:t>
            </w:r>
            <w:r>
              <w:rPr>
                <w:color w:val="000000"/>
                <w:sz w:val="21"/>
                <w:szCs w:val="21"/>
                <w:highlight w:val="none"/>
              </w:rPr>
              <w:t>20%运维费用</w:t>
            </w:r>
          </w:p>
        </w:tc>
        <w:tc>
          <w:tcPr>
            <w:tcW w:w="1786" w:type="dxa"/>
            <w:noWrap w:val="0"/>
            <w:vAlign w:val="center"/>
          </w:tcPr>
          <w:p>
            <w:pPr>
              <w:spacing w:line="360" w:lineRule="auto"/>
              <w:jc w:val="center"/>
              <w:rPr>
                <w:color w:val="000000"/>
                <w:sz w:val="21"/>
                <w:szCs w:val="21"/>
                <w:highlight w:val="none"/>
              </w:rPr>
            </w:pPr>
            <w:r>
              <w:rPr>
                <w:color w:val="000000"/>
                <w:sz w:val="21"/>
                <w:szCs w:val="21"/>
                <w:highlight w:val="none"/>
              </w:rPr>
              <w:t>扣除单</w:t>
            </w:r>
            <w:r>
              <w:rPr>
                <w:rFonts w:hint="eastAsia"/>
                <w:color w:val="000000"/>
                <w:sz w:val="21"/>
                <w:szCs w:val="21"/>
                <w:highlight w:val="none"/>
                <w:lang w:val="en-US" w:eastAsia="zh-CN"/>
              </w:rPr>
              <w:t>台</w:t>
            </w:r>
            <w:r>
              <w:rPr>
                <w:color w:val="000000"/>
                <w:sz w:val="21"/>
                <w:szCs w:val="21"/>
                <w:highlight w:val="none"/>
              </w:rPr>
              <w:t>运维费用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7" w:hRule="atLeast"/>
        </w:trPr>
        <w:tc>
          <w:tcPr>
            <w:tcW w:w="1560" w:type="dxa"/>
            <w:noWrap w:val="0"/>
            <w:vAlign w:val="center"/>
          </w:tcPr>
          <w:p>
            <w:pPr>
              <w:spacing w:line="360" w:lineRule="auto"/>
              <w:jc w:val="center"/>
              <w:rPr>
                <w:color w:val="000000"/>
                <w:sz w:val="21"/>
                <w:szCs w:val="21"/>
                <w:highlight w:val="none"/>
              </w:rPr>
            </w:pPr>
            <w:r>
              <w:rPr>
                <w:color w:val="000000"/>
                <w:sz w:val="21"/>
                <w:szCs w:val="21"/>
                <w:highlight w:val="none"/>
              </w:rPr>
              <w:t>单月项目运维总分</w:t>
            </w:r>
          </w:p>
        </w:tc>
        <w:tc>
          <w:tcPr>
            <w:tcW w:w="992" w:type="dxa"/>
            <w:noWrap w:val="0"/>
            <w:vAlign w:val="center"/>
          </w:tcPr>
          <w:p>
            <w:pPr>
              <w:spacing w:line="360" w:lineRule="auto"/>
              <w:jc w:val="center"/>
              <w:rPr>
                <w:color w:val="000000"/>
                <w:sz w:val="21"/>
                <w:szCs w:val="21"/>
                <w:highlight w:val="none"/>
              </w:rPr>
            </w:pPr>
            <w:r>
              <w:rPr>
                <w:color w:val="000000"/>
                <w:sz w:val="21"/>
                <w:szCs w:val="21"/>
                <w:highlight w:val="none"/>
              </w:rPr>
              <w:t>合格</w:t>
            </w:r>
          </w:p>
        </w:tc>
        <w:tc>
          <w:tcPr>
            <w:tcW w:w="2241" w:type="dxa"/>
            <w:noWrap w:val="0"/>
            <w:vAlign w:val="center"/>
          </w:tcPr>
          <w:p>
            <w:pPr>
              <w:spacing w:line="360" w:lineRule="auto"/>
              <w:jc w:val="center"/>
              <w:rPr>
                <w:color w:val="000000"/>
                <w:sz w:val="21"/>
                <w:szCs w:val="21"/>
                <w:highlight w:val="none"/>
              </w:rPr>
            </w:pPr>
            <w:r>
              <w:rPr>
                <w:color w:val="000000"/>
                <w:sz w:val="21"/>
                <w:szCs w:val="21"/>
                <w:highlight w:val="none"/>
              </w:rPr>
              <w:t>初级警告，扣除总金额10%运维费用</w:t>
            </w:r>
          </w:p>
        </w:tc>
        <w:tc>
          <w:tcPr>
            <w:tcW w:w="1785" w:type="dxa"/>
            <w:noWrap w:val="0"/>
            <w:vAlign w:val="center"/>
          </w:tcPr>
          <w:p>
            <w:pPr>
              <w:spacing w:line="360" w:lineRule="auto"/>
              <w:jc w:val="center"/>
              <w:rPr>
                <w:color w:val="000000"/>
                <w:sz w:val="21"/>
                <w:szCs w:val="21"/>
                <w:highlight w:val="none"/>
              </w:rPr>
            </w:pPr>
            <w:r>
              <w:rPr>
                <w:color w:val="000000"/>
                <w:sz w:val="21"/>
                <w:szCs w:val="21"/>
                <w:highlight w:val="none"/>
              </w:rPr>
              <w:t>警告，扣除总金额20%运维费用</w:t>
            </w:r>
          </w:p>
        </w:tc>
        <w:tc>
          <w:tcPr>
            <w:tcW w:w="1786" w:type="dxa"/>
            <w:noWrap w:val="0"/>
            <w:vAlign w:val="center"/>
          </w:tcPr>
          <w:p>
            <w:pPr>
              <w:spacing w:line="360" w:lineRule="auto"/>
              <w:jc w:val="center"/>
              <w:rPr>
                <w:color w:val="000000"/>
                <w:sz w:val="21"/>
                <w:szCs w:val="21"/>
                <w:highlight w:val="none"/>
              </w:rPr>
            </w:pPr>
            <w:r>
              <w:rPr>
                <w:color w:val="000000"/>
                <w:sz w:val="21"/>
                <w:szCs w:val="21"/>
                <w:highlight w:val="none"/>
              </w:rPr>
              <w:t>解除合同</w:t>
            </w:r>
          </w:p>
        </w:tc>
      </w:tr>
    </w:tbl>
    <w:p>
      <w:pPr>
        <w:spacing w:line="360" w:lineRule="auto"/>
        <w:jc w:val="center"/>
        <w:rPr>
          <w:b/>
          <w:bCs/>
          <w:kern w:val="2"/>
          <w:sz w:val="21"/>
          <w:szCs w:val="21"/>
          <w:highlight w:val="none"/>
        </w:rPr>
      </w:pPr>
      <w:r>
        <w:rPr>
          <w:b/>
          <w:bCs/>
          <w:kern w:val="2"/>
          <w:sz w:val="21"/>
          <w:szCs w:val="21"/>
          <w:highlight w:val="none"/>
        </w:rPr>
        <w:t>运维质量考核表</w:t>
      </w:r>
    </w:p>
    <w:tbl>
      <w:tblPr>
        <w:tblStyle w:val="16"/>
        <w:tblW w:w="8364"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85"/>
        <w:gridCol w:w="776"/>
        <w:gridCol w:w="1067"/>
        <w:gridCol w:w="2268"/>
        <w:gridCol w:w="226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8" w:hRule="atLeast"/>
        </w:trPr>
        <w:tc>
          <w:tcPr>
            <w:tcW w:w="1985" w:type="dxa"/>
            <w:noWrap w:val="0"/>
            <w:vAlign w:val="center"/>
          </w:tcPr>
          <w:p>
            <w:pPr>
              <w:spacing w:line="360" w:lineRule="auto"/>
              <w:rPr>
                <w:b/>
                <w:color w:val="000000"/>
                <w:sz w:val="21"/>
                <w:szCs w:val="21"/>
                <w:highlight w:val="none"/>
              </w:rPr>
            </w:pPr>
            <w:r>
              <w:rPr>
                <w:b/>
                <w:color w:val="000000"/>
                <w:sz w:val="21"/>
                <w:szCs w:val="21"/>
                <w:highlight w:val="none"/>
              </w:rPr>
              <w:t>考核依据</w:t>
            </w:r>
          </w:p>
        </w:tc>
        <w:tc>
          <w:tcPr>
            <w:tcW w:w="776" w:type="dxa"/>
            <w:noWrap w:val="0"/>
            <w:vAlign w:val="center"/>
          </w:tcPr>
          <w:p>
            <w:pPr>
              <w:spacing w:line="360" w:lineRule="auto"/>
              <w:rPr>
                <w:b/>
                <w:color w:val="000000"/>
                <w:sz w:val="21"/>
                <w:szCs w:val="21"/>
                <w:highlight w:val="none"/>
              </w:rPr>
            </w:pPr>
            <w:r>
              <w:rPr>
                <w:b/>
                <w:color w:val="000000"/>
                <w:sz w:val="21"/>
                <w:szCs w:val="21"/>
                <w:highlight w:val="none"/>
              </w:rPr>
              <w:t>100</w:t>
            </w:r>
          </w:p>
        </w:tc>
        <w:tc>
          <w:tcPr>
            <w:tcW w:w="1067" w:type="dxa"/>
            <w:noWrap w:val="0"/>
            <w:vAlign w:val="center"/>
          </w:tcPr>
          <w:p>
            <w:pPr>
              <w:spacing w:line="360" w:lineRule="auto"/>
              <w:rPr>
                <w:b/>
                <w:color w:val="000000"/>
                <w:sz w:val="21"/>
                <w:szCs w:val="21"/>
                <w:highlight w:val="none"/>
              </w:rPr>
            </w:pPr>
            <w:r>
              <w:rPr>
                <w:b/>
                <w:color w:val="000000"/>
                <w:sz w:val="21"/>
                <w:szCs w:val="21"/>
                <w:highlight w:val="none"/>
              </w:rPr>
              <w:t>≥90</w:t>
            </w:r>
          </w:p>
        </w:tc>
        <w:tc>
          <w:tcPr>
            <w:tcW w:w="2268" w:type="dxa"/>
            <w:noWrap w:val="0"/>
            <w:vAlign w:val="center"/>
          </w:tcPr>
          <w:p>
            <w:pPr>
              <w:spacing w:line="360" w:lineRule="auto"/>
              <w:rPr>
                <w:b/>
                <w:color w:val="000000"/>
                <w:sz w:val="21"/>
                <w:szCs w:val="21"/>
                <w:highlight w:val="none"/>
              </w:rPr>
            </w:pPr>
            <w:r>
              <w:rPr>
                <w:b/>
                <w:color w:val="000000"/>
                <w:sz w:val="21"/>
                <w:szCs w:val="21"/>
                <w:highlight w:val="none"/>
              </w:rPr>
              <w:t>[85，90)</w:t>
            </w:r>
          </w:p>
        </w:tc>
        <w:tc>
          <w:tcPr>
            <w:tcW w:w="2268" w:type="dxa"/>
            <w:noWrap w:val="0"/>
            <w:vAlign w:val="center"/>
          </w:tcPr>
          <w:p>
            <w:pPr>
              <w:spacing w:line="360" w:lineRule="auto"/>
              <w:rPr>
                <w:b/>
                <w:color w:val="000000"/>
                <w:sz w:val="21"/>
                <w:szCs w:val="21"/>
                <w:highlight w:val="none"/>
              </w:rPr>
            </w:pPr>
            <w:r>
              <w:rPr>
                <w:b/>
                <w:color w:val="000000"/>
                <w:sz w:val="21"/>
                <w:szCs w:val="21"/>
                <w:highlight w:val="none"/>
              </w:rPr>
              <w:t>[80，85)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1985" w:type="dxa"/>
            <w:noWrap w:val="0"/>
            <w:vAlign w:val="center"/>
          </w:tcPr>
          <w:p>
            <w:pPr>
              <w:spacing w:line="360" w:lineRule="auto"/>
              <w:rPr>
                <w:color w:val="000000"/>
                <w:sz w:val="21"/>
                <w:szCs w:val="21"/>
                <w:highlight w:val="none"/>
              </w:rPr>
            </w:pPr>
            <w:r>
              <w:rPr>
                <w:color w:val="000000"/>
                <w:sz w:val="21"/>
                <w:szCs w:val="21"/>
                <w:highlight w:val="none"/>
              </w:rPr>
              <w:t>数据有效率</w:t>
            </w:r>
          </w:p>
        </w:tc>
        <w:tc>
          <w:tcPr>
            <w:tcW w:w="776" w:type="dxa"/>
            <w:noWrap w:val="0"/>
            <w:vAlign w:val="center"/>
          </w:tcPr>
          <w:p>
            <w:pPr>
              <w:spacing w:line="360" w:lineRule="auto"/>
              <w:rPr>
                <w:color w:val="000000"/>
                <w:sz w:val="21"/>
                <w:szCs w:val="21"/>
                <w:highlight w:val="none"/>
              </w:rPr>
            </w:pPr>
            <w:r>
              <w:rPr>
                <w:color w:val="000000"/>
                <w:sz w:val="21"/>
                <w:szCs w:val="21"/>
                <w:highlight w:val="none"/>
              </w:rPr>
              <w:t>优秀</w:t>
            </w:r>
          </w:p>
        </w:tc>
        <w:tc>
          <w:tcPr>
            <w:tcW w:w="1067" w:type="dxa"/>
            <w:noWrap w:val="0"/>
            <w:vAlign w:val="center"/>
          </w:tcPr>
          <w:p>
            <w:pPr>
              <w:spacing w:line="360" w:lineRule="auto"/>
              <w:rPr>
                <w:color w:val="000000"/>
                <w:sz w:val="21"/>
                <w:szCs w:val="21"/>
                <w:highlight w:val="none"/>
              </w:rPr>
            </w:pPr>
            <w:r>
              <w:rPr>
                <w:color w:val="000000"/>
                <w:sz w:val="21"/>
                <w:szCs w:val="21"/>
                <w:highlight w:val="none"/>
              </w:rPr>
              <w:t>良好</w:t>
            </w:r>
          </w:p>
        </w:tc>
        <w:tc>
          <w:tcPr>
            <w:tcW w:w="2268" w:type="dxa"/>
            <w:noWrap w:val="0"/>
            <w:vAlign w:val="center"/>
          </w:tcPr>
          <w:p>
            <w:pPr>
              <w:spacing w:line="360" w:lineRule="auto"/>
              <w:rPr>
                <w:color w:val="000000"/>
                <w:sz w:val="21"/>
                <w:szCs w:val="21"/>
                <w:highlight w:val="none"/>
              </w:rPr>
            </w:pPr>
            <w:r>
              <w:rPr>
                <w:color w:val="000000"/>
                <w:sz w:val="21"/>
                <w:szCs w:val="21"/>
                <w:highlight w:val="none"/>
              </w:rPr>
              <w:t>合格</w:t>
            </w:r>
          </w:p>
        </w:tc>
        <w:tc>
          <w:tcPr>
            <w:tcW w:w="2268" w:type="dxa"/>
            <w:noWrap w:val="0"/>
            <w:vAlign w:val="center"/>
          </w:tcPr>
          <w:p>
            <w:pPr>
              <w:spacing w:line="360" w:lineRule="auto"/>
              <w:rPr>
                <w:color w:val="000000"/>
                <w:sz w:val="21"/>
                <w:szCs w:val="21"/>
                <w:highlight w:val="none"/>
              </w:rPr>
            </w:pPr>
            <w:r>
              <w:rPr>
                <w:color w:val="000000"/>
                <w:sz w:val="21"/>
                <w:szCs w:val="21"/>
                <w:highlight w:val="none"/>
              </w:rPr>
              <w:t>初级警告，扣除该仪器20%运维费用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1985" w:type="dxa"/>
            <w:noWrap w:val="0"/>
            <w:vAlign w:val="center"/>
          </w:tcPr>
          <w:p>
            <w:pPr>
              <w:spacing w:line="360" w:lineRule="auto"/>
              <w:rPr>
                <w:color w:val="000000"/>
                <w:sz w:val="21"/>
                <w:szCs w:val="21"/>
                <w:highlight w:val="none"/>
              </w:rPr>
            </w:pPr>
            <w:r>
              <w:rPr>
                <w:color w:val="000000"/>
                <w:sz w:val="21"/>
                <w:szCs w:val="21"/>
                <w:highlight w:val="none"/>
              </w:rPr>
              <w:t>运行率</w:t>
            </w:r>
          </w:p>
        </w:tc>
        <w:tc>
          <w:tcPr>
            <w:tcW w:w="776" w:type="dxa"/>
            <w:noWrap w:val="0"/>
            <w:vAlign w:val="center"/>
          </w:tcPr>
          <w:p>
            <w:pPr>
              <w:spacing w:line="360" w:lineRule="auto"/>
              <w:rPr>
                <w:color w:val="000000"/>
                <w:sz w:val="21"/>
                <w:szCs w:val="21"/>
                <w:highlight w:val="none"/>
              </w:rPr>
            </w:pPr>
            <w:r>
              <w:rPr>
                <w:color w:val="000000"/>
                <w:sz w:val="21"/>
                <w:szCs w:val="21"/>
                <w:highlight w:val="none"/>
              </w:rPr>
              <w:t>优秀</w:t>
            </w:r>
          </w:p>
        </w:tc>
        <w:tc>
          <w:tcPr>
            <w:tcW w:w="1067" w:type="dxa"/>
            <w:noWrap w:val="0"/>
            <w:vAlign w:val="center"/>
          </w:tcPr>
          <w:p>
            <w:pPr>
              <w:spacing w:line="360" w:lineRule="auto"/>
              <w:rPr>
                <w:color w:val="000000"/>
                <w:sz w:val="21"/>
                <w:szCs w:val="21"/>
                <w:highlight w:val="none"/>
              </w:rPr>
            </w:pPr>
            <w:r>
              <w:rPr>
                <w:color w:val="000000"/>
                <w:sz w:val="21"/>
                <w:szCs w:val="21"/>
                <w:highlight w:val="none"/>
              </w:rPr>
              <w:t>良好</w:t>
            </w:r>
          </w:p>
        </w:tc>
        <w:tc>
          <w:tcPr>
            <w:tcW w:w="2268" w:type="dxa"/>
            <w:noWrap w:val="0"/>
            <w:vAlign w:val="center"/>
          </w:tcPr>
          <w:p>
            <w:pPr>
              <w:spacing w:line="360" w:lineRule="auto"/>
              <w:rPr>
                <w:color w:val="000000"/>
                <w:sz w:val="21"/>
                <w:szCs w:val="21"/>
                <w:highlight w:val="none"/>
              </w:rPr>
            </w:pPr>
            <w:r>
              <w:rPr>
                <w:color w:val="000000"/>
                <w:sz w:val="21"/>
                <w:szCs w:val="21"/>
                <w:highlight w:val="none"/>
              </w:rPr>
              <w:t>合格</w:t>
            </w:r>
          </w:p>
        </w:tc>
        <w:tc>
          <w:tcPr>
            <w:tcW w:w="2268" w:type="dxa"/>
            <w:noWrap w:val="0"/>
            <w:vAlign w:val="center"/>
          </w:tcPr>
          <w:p>
            <w:pPr>
              <w:spacing w:line="360" w:lineRule="auto"/>
              <w:rPr>
                <w:color w:val="000000"/>
                <w:sz w:val="21"/>
                <w:szCs w:val="21"/>
                <w:highlight w:val="none"/>
              </w:rPr>
            </w:pPr>
            <w:r>
              <w:rPr>
                <w:color w:val="000000"/>
                <w:sz w:val="21"/>
                <w:szCs w:val="21"/>
                <w:highlight w:val="none"/>
              </w:rPr>
              <w:t>初级警告，扣除该仪器20%运维费用</w:t>
            </w:r>
          </w:p>
        </w:tc>
      </w:tr>
    </w:tbl>
    <w:p>
      <w:pPr>
        <w:spacing w:line="360" w:lineRule="auto"/>
        <w:rPr>
          <w:kern w:val="2"/>
          <w:sz w:val="21"/>
          <w:szCs w:val="21"/>
          <w:highlight w:val="none"/>
        </w:rPr>
      </w:pPr>
      <w:r>
        <w:rPr>
          <w:kern w:val="2"/>
          <w:sz w:val="21"/>
          <w:szCs w:val="21"/>
          <w:highlight w:val="none"/>
        </w:rPr>
        <w:t>注：①按照表格规定，任意多项不满足，需要重复扣除运维费用。</w:t>
      </w:r>
    </w:p>
    <w:p>
      <w:pPr>
        <w:tabs>
          <w:tab w:val="left" w:pos="426"/>
        </w:tabs>
        <w:spacing w:line="360" w:lineRule="auto"/>
        <w:rPr>
          <w:kern w:val="2"/>
          <w:sz w:val="21"/>
          <w:szCs w:val="21"/>
          <w:highlight w:val="none"/>
        </w:rPr>
      </w:pPr>
      <w:r>
        <w:rPr>
          <w:kern w:val="2"/>
          <w:sz w:val="21"/>
          <w:szCs w:val="21"/>
          <w:highlight w:val="none"/>
        </w:rPr>
        <w:tab/>
      </w:r>
      <w:r>
        <w:rPr>
          <w:kern w:val="2"/>
          <w:sz w:val="21"/>
          <w:szCs w:val="21"/>
          <w:highlight w:val="none"/>
        </w:rPr>
        <w:t>②相关名词定义及计算方式见下文。</w:t>
      </w:r>
    </w:p>
    <w:p>
      <w:pPr>
        <w:spacing w:line="360" w:lineRule="auto"/>
        <w:ind w:firstLine="420" w:firstLineChars="200"/>
        <w:rPr>
          <w:kern w:val="2"/>
          <w:sz w:val="21"/>
          <w:szCs w:val="21"/>
          <w:highlight w:val="none"/>
        </w:rPr>
      </w:pPr>
      <w:bookmarkStart w:id="36" w:name="_Toc9344"/>
      <w:r>
        <w:rPr>
          <w:rFonts w:hint="eastAsia"/>
          <w:kern w:val="2"/>
          <w:sz w:val="21"/>
          <w:szCs w:val="21"/>
          <w:highlight w:val="none"/>
        </w:rPr>
        <w:t>三、运维质量考核（30分）</w:t>
      </w:r>
      <w:bookmarkEnd w:id="36"/>
    </w:p>
    <w:p>
      <w:pPr>
        <w:spacing w:line="360" w:lineRule="auto"/>
        <w:ind w:firstLine="420" w:firstLineChars="200"/>
        <w:rPr>
          <w:kern w:val="2"/>
          <w:sz w:val="21"/>
          <w:szCs w:val="21"/>
          <w:highlight w:val="none"/>
        </w:rPr>
      </w:pPr>
      <w:r>
        <w:rPr>
          <w:kern w:val="2"/>
          <w:sz w:val="21"/>
          <w:szCs w:val="21"/>
          <w:highlight w:val="none"/>
        </w:rPr>
        <w:t>运维质量考核包括运行率、数据有效率、数据审核率等共计30分。</w:t>
      </w:r>
    </w:p>
    <w:p>
      <w:pPr>
        <w:numPr>
          <w:ilvl w:val="1"/>
          <w:numId w:val="20"/>
        </w:numPr>
        <w:spacing w:line="360" w:lineRule="auto"/>
        <w:ind w:left="60" w:leftChars="0" w:firstLine="420" w:firstLineChars="0"/>
        <w:rPr>
          <w:kern w:val="2"/>
          <w:sz w:val="21"/>
          <w:szCs w:val="21"/>
          <w:highlight w:val="none"/>
        </w:rPr>
      </w:pPr>
      <w:r>
        <w:rPr>
          <w:kern w:val="2"/>
          <w:sz w:val="21"/>
          <w:szCs w:val="21"/>
          <w:highlight w:val="none"/>
        </w:rPr>
        <w:t>运行率（10分）</w:t>
      </w:r>
    </w:p>
    <w:p>
      <w:pPr>
        <w:numPr>
          <w:ilvl w:val="1"/>
          <w:numId w:val="21"/>
        </w:numPr>
        <w:spacing w:line="360" w:lineRule="auto"/>
        <w:ind w:left="0" w:firstLine="420" w:firstLineChars="200"/>
        <w:rPr>
          <w:kern w:val="2"/>
          <w:sz w:val="21"/>
          <w:szCs w:val="21"/>
          <w:highlight w:val="none"/>
        </w:rPr>
      </w:pPr>
      <w:r>
        <w:rPr>
          <w:kern w:val="2"/>
          <w:sz w:val="21"/>
          <w:szCs w:val="21"/>
          <w:highlight w:val="none"/>
        </w:rPr>
        <w:t>运行率规定如下：</w:t>
      </w:r>
    </w:p>
    <w:p>
      <w:pPr>
        <w:spacing w:line="360" w:lineRule="auto"/>
        <w:ind w:firstLine="420" w:firstLineChars="200"/>
        <w:rPr>
          <w:kern w:val="2"/>
          <w:sz w:val="21"/>
          <w:szCs w:val="21"/>
          <w:highlight w:val="none"/>
        </w:rPr>
      </w:pPr>
      <w:r>
        <w:rPr>
          <w:kern w:val="2"/>
          <w:sz w:val="21"/>
          <w:szCs w:val="21"/>
          <w:highlight w:val="none"/>
        </w:rPr>
        <w:t>监测仪器每月运行率=</w:t>
      </w:r>
      <m:oMath>
        <m:f>
          <m:fPr>
            <m:ctrlPr>
              <w:rPr>
                <w:rFonts w:hint="default" w:ascii="Cambria Math" w:hAnsi="Cambria Math" w:eastAsia="仿宋"/>
                <w:sz w:val="24"/>
                <w:szCs w:val="24"/>
                <w:highlight w:val="none"/>
              </w:rPr>
            </m:ctrlPr>
          </m:fPr>
          <m:num>
            <m:r>
              <m:rPr>
                <m:sty m:val="p"/>
              </m:rPr>
              <w:rPr>
                <w:rFonts w:hint="default" w:ascii="Cambria Math" w:hAnsi="Cambria Math" w:eastAsia="仿宋"/>
                <w:sz w:val="24"/>
                <w:szCs w:val="24"/>
                <w:highlight w:val="none"/>
              </w:rPr>
              <m:t>每月实际上传数据个数</m:t>
            </m:r>
            <m:ctrlPr>
              <w:rPr>
                <w:rFonts w:hint="default" w:ascii="Cambria Math" w:hAnsi="Cambria Math" w:eastAsia="仿宋"/>
                <w:sz w:val="24"/>
                <w:szCs w:val="24"/>
                <w:highlight w:val="none"/>
              </w:rPr>
            </m:ctrlPr>
          </m:num>
          <m:den>
            <m:r>
              <m:rPr>
                <m:sty m:val="p"/>
              </m:rPr>
              <w:rPr>
                <w:rFonts w:hint="default" w:ascii="Cambria Math" w:hAnsi="Cambria Math" w:eastAsia="仿宋"/>
                <w:sz w:val="24"/>
                <w:szCs w:val="24"/>
                <w:highlight w:val="none"/>
              </w:rPr>
              <m:t>每月应上传数据个数</m:t>
            </m:r>
            <m:ctrlPr>
              <w:rPr>
                <w:rFonts w:hint="default" w:ascii="Cambria Math" w:hAnsi="Cambria Math" w:eastAsia="仿宋"/>
                <w:sz w:val="24"/>
                <w:szCs w:val="24"/>
                <w:highlight w:val="none"/>
              </w:rPr>
            </m:ctrlPr>
          </m:den>
        </m:f>
        <m:r>
          <m:rPr>
            <m:sty m:val="p"/>
          </m:rPr>
          <w:rPr>
            <w:rFonts w:hint="default" w:ascii="Cambria Math" w:hAnsi="Cambria Math" w:eastAsia="仿宋"/>
            <w:sz w:val="24"/>
            <w:szCs w:val="24"/>
            <w:highlight w:val="none"/>
          </w:rPr>
          <m:t>×100%</m:t>
        </m:r>
      </m:oMath>
      <w:r>
        <w:rPr>
          <w:kern w:val="2"/>
          <w:sz w:val="21"/>
          <w:szCs w:val="21"/>
          <w:highlight w:val="none"/>
        </w:rPr>
        <w:t xml:space="preserve"> ；</w:t>
      </w:r>
    </w:p>
    <w:p>
      <w:pPr>
        <w:spacing w:line="360" w:lineRule="auto"/>
        <w:ind w:firstLine="420" w:firstLineChars="200"/>
        <w:rPr>
          <w:kern w:val="2"/>
          <w:sz w:val="21"/>
          <w:szCs w:val="21"/>
          <w:highlight w:val="none"/>
        </w:rPr>
      </w:pPr>
      <w:r>
        <w:rPr>
          <w:kern w:val="2"/>
          <w:sz w:val="21"/>
          <w:szCs w:val="21"/>
          <w:highlight w:val="none"/>
        </w:rPr>
        <w:t>每月运行率及数据个数以平台统计为准，如平台统计异常，可由</w:t>
      </w:r>
      <w:r>
        <w:rPr>
          <w:rFonts w:hint="eastAsia"/>
          <w:kern w:val="2"/>
          <w:sz w:val="21"/>
          <w:szCs w:val="21"/>
          <w:highlight w:val="none"/>
        </w:rPr>
        <w:t>招标方代为</w:t>
      </w:r>
      <w:r>
        <w:rPr>
          <w:kern w:val="2"/>
          <w:sz w:val="21"/>
          <w:szCs w:val="21"/>
          <w:highlight w:val="none"/>
        </w:rPr>
        <w:t>评定。</w:t>
      </w:r>
    </w:p>
    <w:p>
      <w:pPr>
        <w:numPr>
          <w:ilvl w:val="1"/>
          <w:numId w:val="21"/>
        </w:numPr>
        <w:spacing w:line="360" w:lineRule="auto"/>
        <w:ind w:left="0" w:firstLine="420" w:firstLineChars="200"/>
        <w:rPr>
          <w:kern w:val="2"/>
          <w:sz w:val="21"/>
          <w:szCs w:val="21"/>
          <w:highlight w:val="none"/>
        </w:rPr>
      </w:pPr>
      <w:r>
        <w:rPr>
          <w:kern w:val="2"/>
          <w:sz w:val="21"/>
          <w:szCs w:val="21"/>
          <w:highlight w:val="none"/>
        </w:rPr>
        <w:t>扣除停电、自然灾害等不可抗力的影响；单站运行率、总体运行率应不低于90%，每低1个百分点扣1分。</w:t>
      </w:r>
    </w:p>
    <w:p>
      <w:pPr>
        <w:numPr>
          <w:ilvl w:val="1"/>
          <w:numId w:val="21"/>
        </w:numPr>
        <w:spacing w:line="360" w:lineRule="auto"/>
        <w:ind w:left="0" w:firstLine="420" w:firstLineChars="200"/>
        <w:rPr>
          <w:kern w:val="2"/>
          <w:sz w:val="21"/>
          <w:szCs w:val="21"/>
          <w:highlight w:val="none"/>
        </w:rPr>
      </w:pPr>
      <w:r>
        <w:rPr>
          <w:kern w:val="2"/>
          <w:sz w:val="21"/>
          <w:szCs w:val="21"/>
          <w:highlight w:val="none"/>
        </w:rPr>
        <w:t>仪器产生故障，导致数据缺失分两种情况：</w:t>
      </w:r>
    </w:p>
    <w:p>
      <w:pPr>
        <w:numPr>
          <w:ilvl w:val="0"/>
          <w:numId w:val="22"/>
        </w:numPr>
        <w:spacing w:line="360" w:lineRule="auto"/>
        <w:ind w:left="0" w:firstLine="420" w:firstLineChars="200"/>
        <w:rPr>
          <w:kern w:val="2"/>
          <w:sz w:val="21"/>
          <w:szCs w:val="21"/>
          <w:highlight w:val="none"/>
        </w:rPr>
      </w:pPr>
      <w:r>
        <w:rPr>
          <w:kern w:val="2"/>
          <w:sz w:val="21"/>
          <w:szCs w:val="21"/>
          <w:highlight w:val="none"/>
        </w:rPr>
        <w:t>由于不可抗力导致数据缺失，缺失数据不纳入“每月应上传数据个数”统计；</w:t>
      </w:r>
    </w:p>
    <w:p>
      <w:pPr>
        <w:numPr>
          <w:ilvl w:val="0"/>
          <w:numId w:val="22"/>
        </w:numPr>
        <w:spacing w:line="360" w:lineRule="auto"/>
        <w:ind w:left="0" w:firstLine="420" w:firstLineChars="200"/>
        <w:rPr>
          <w:kern w:val="2"/>
          <w:sz w:val="21"/>
          <w:szCs w:val="21"/>
          <w:highlight w:val="none"/>
        </w:rPr>
      </w:pPr>
      <w:r>
        <w:rPr>
          <w:kern w:val="2"/>
          <w:sz w:val="21"/>
          <w:szCs w:val="21"/>
          <w:highlight w:val="none"/>
        </w:rPr>
        <w:t>由于运维不力，导致仪器故障，缺失数据须纳入“每月应上传数据个数”统计。</w:t>
      </w:r>
    </w:p>
    <w:p>
      <w:pPr>
        <w:numPr>
          <w:ilvl w:val="1"/>
          <w:numId w:val="20"/>
        </w:numPr>
        <w:spacing w:line="360" w:lineRule="auto"/>
        <w:ind w:left="60" w:leftChars="0" w:firstLine="420" w:firstLineChars="0"/>
        <w:rPr>
          <w:kern w:val="2"/>
          <w:sz w:val="21"/>
          <w:szCs w:val="21"/>
          <w:highlight w:val="none"/>
        </w:rPr>
      </w:pPr>
      <w:r>
        <w:rPr>
          <w:kern w:val="2"/>
          <w:sz w:val="21"/>
          <w:szCs w:val="21"/>
          <w:highlight w:val="none"/>
        </w:rPr>
        <w:t>数据有效率（10分）</w:t>
      </w:r>
    </w:p>
    <w:p>
      <w:pPr>
        <w:numPr>
          <w:ilvl w:val="1"/>
          <w:numId w:val="23"/>
        </w:numPr>
        <w:spacing w:line="360" w:lineRule="auto"/>
        <w:ind w:left="0" w:firstLine="420" w:firstLineChars="200"/>
        <w:rPr>
          <w:kern w:val="2"/>
          <w:sz w:val="21"/>
          <w:szCs w:val="21"/>
          <w:highlight w:val="none"/>
        </w:rPr>
      </w:pPr>
      <w:r>
        <w:rPr>
          <w:kern w:val="2"/>
          <w:sz w:val="21"/>
          <w:szCs w:val="21"/>
          <w:highlight w:val="none"/>
        </w:rPr>
        <w:t>数据有效率规定如下：</w:t>
      </w:r>
    </w:p>
    <w:p>
      <w:pPr>
        <w:spacing w:line="360" w:lineRule="auto"/>
        <w:ind w:firstLine="420" w:firstLineChars="200"/>
        <w:rPr>
          <w:kern w:val="2"/>
          <w:sz w:val="21"/>
          <w:szCs w:val="21"/>
          <w:highlight w:val="none"/>
        </w:rPr>
      </w:pPr>
      <w:r>
        <w:rPr>
          <w:kern w:val="2"/>
          <w:sz w:val="21"/>
          <w:szCs w:val="21"/>
          <w:highlight w:val="none"/>
        </w:rPr>
        <w:t>以每月仪器实际上传数据个数为基础，计算每月的平均数据有效率。</w:t>
      </w:r>
    </w:p>
    <w:p>
      <w:pPr>
        <w:spacing w:line="360" w:lineRule="auto"/>
        <w:ind w:firstLine="420" w:firstLineChars="200"/>
        <w:rPr>
          <w:kern w:val="2"/>
          <w:sz w:val="21"/>
          <w:szCs w:val="21"/>
          <w:highlight w:val="none"/>
        </w:rPr>
      </w:pPr>
      <w:r>
        <w:rPr>
          <w:kern w:val="2"/>
          <w:sz w:val="21"/>
          <w:szCs w:val="21"/>
          <w:highlight w:val="none"/>
        </w:rPr>
        <w:t>每种仪器每月数据有效率=有效数据个数/实际上传数据个数×100%；</w:t>
      </w:r>
    </w:p>
    <w:p>
      <w:pPr>
        <w:spacing w:line="360" w:lineRule="auto"/>
        <w:ind w:firstLine="420" w:firstLineChars="200"/>
        <w:rPr>
          <w:kern w:val="2"/>
          <w:sz w:val="21"/>
          <w:szCs w:val="21"/>
          <w:highlight w:val="none"/>
        </w:rPr>
      </w:pPr>
      <w:r>
        <w:rPr>
          <w:kern w:val="2"/>
          <w:sz w:val="21"/>
          <w:szCs w:val="21"/>
          <w:highlight w:val="none"/>
        </w:rPr>
        <w:t>仪器每月数据有效率=</w:t>
      </w:r>
      <m:oMath>
        <m:f>
          <m:fPr>
            <m:ctrlPr>
              <w:rPr>
                <w:rFonts w:hint="default" w:ascii="Cambria Math" w:hAnsi="Cambria Math" w:eastAsia="仿宋"/>
                <w:sz w:val="24"/>
                <w:szCs w:val="24"/>
                <w:highlight w:val="none"/>
              </w:rPr>
            </m:ctrlPr>
          </m:fPr>
          <m:num>
            <m:r>
              <m:rPr/>
              <w:rPr>
                <w:rFonts w:hint="default" w:ascii="Cambria Math" w:hAnsi="Cambria Math" w:eastAsia="仿宋"/>
                <w:sz w:val="24"/>
                <w:szCs w:val="24"/>
                <w:highlight w:val="none"/>
              </w:rPr>
              <m:t>1</m:t>
            </m:r>
            <m:ctrlPr>
              <w:rPr>
                <w:rFonts w:hint="default" w:ascii="Cambria Math" w:hAnsi="Cambria Math" w:eastAsia="仿宋"/>
                <w:sz w:val="24"/>
                <w:szCs w:val="24"/>
                <w:highlight w:val="none"/>
              </w:rPr>
            </m:ctrlPr>
          </m:num>
          <m:den>
            <m:r>
              <m:rPr/>
              <w:rPr>
                <w:rFonts w:hint="default" w:ascii="Cambria Math" w:hAnsi="Cambria Math" w:eastAsia="仿宋"/>
                <w:sz w:val="24"/>
                <w:szCs w:val="24"/>
                <w:highlight w:val="none"/>
              </w:rPr>
              <m:t>n</m:t>
            </m:r>
            <m:ctrlPr>
              <w:rPr>
                <w:rFonts w:hint="default" w:ascii="Cambria Math" w:hAnsi="Cambria Math" w:eastAsia="仿宋"/>
                <w:sz w:val="24"/>
                <w:szCs w:val="24"/>
                <w:highlight w:val="none"/>
              </w:rPr>
            </m:ctrlPr>
          </m:den>
        </m:f>
        <m:nary>
          <m:naryPr>
            <m:chr m:val="∑"/>
            <m:limLoc m:val="undOvr"/>
            <m:ctrlPr>
              <w:rPr>
                <w:rFonts w:hint="default" w:ascii="Cambria Math" w:hAnsi="Cambria Math" w:eastAsia="仿宋"/>
                <w:sz w:val="24"/>
                <w:szCs w:val="24"/>
                <w:highlight w:val="none"/>
              </w:rPr>
            </m:ctrlPr>
          </m:naryPr>
          <m:sub>
            <m:r>
              <m:rPr/>
              <w:rPr>
                <w:rFonts w:hint="default" w:ascii="Cambria Math" w:hAnsi="Cambria Math" w:eastAsia="仿宋"/>
                <w:sz w:val="24"/>
                <w:szCs w:val="24"/>
                <w:highlight w:val="none"/>
              </w:rPr>
              <m:t>n=1</m:t>
            </m:r>
            <m:ctrlPr>
              <w:rPr>
                <w:rFonts w:hint="default" w:ascii="Cambria Math" w:hAnsi="Cambria Math" w:eastAsia="仿宋"/>
                <w:sz w:val="24"/>
                <w:szCs w:val="24"/>
                <w:highlight w:val="none"/>
              </w:rPr>
            </m:ctrlPr>
          </m:sub>
          <m:sup>
            <m:r>
              <m:rPr/>
              <w:rPr>
                <w:rFonts w:hint="default" w:ascii="Cambria Math" w:hAnsi="Cambria Math" w:eastAsia="仿宋"/>
                <w:sz w:val="24"/>
                <w:szCs w:val="24"/>
                <w:highlight w:val="none"/>
              </w:rPr>
              <m:t>n</m:t>
            </m:r>
            <m:ctrlPr>
              <w:rPr>
                <w:rFonts w:hint="default" w:ascii="Cambria Math" w:hAnsi="Cambria Math" w:eastAsia="仿宋"/>
                <w:sz w:val="24"/>
                <w:szCs w:val="24"/>
                <w:highlight w:val="none"/>
              </w:rPr>
            </m:ctrlPr>
          </m:sup>
          <m:e>
            <m:r>
              <m:rPr>
                <m:sty m:val="p"/>
              </m:rPr>
              <w:rPr>
                <w:rFonts w:hint="default" w:ascii="Cambria Math" w:hAnsi="Cambria Math" w:eastAsia="仿宋"/>
                <w:sz w:val="24"/>
                <w:szCs w:val="24"/>
                <w:highlight w:val="none"/>
              </w:rPr>
              <m:t>第n种仪器每月数据有效率</m:t>
            </m:r>
            <m:ctrlPr>
              <w:rPr>
                <w:rFonts w:hint="default" w:ascii="Cambria Math" w:hAnsi="Cambria Math" w:eastAsia="仿宋"/>
                <w:sz w:val="24"/>
                <w:szCs w:val="24"/>
                <w:highlight w:val="none"/>
              </w:rPr>
            </m:ctrlPr>
          </m:e>
        </m:nary>
      </m:oMath>
      <w:r>
        <w:rPr>
          <w:kern w:val="2"/>
          <w:sz w:val="21"/>
          <w:szCs w:val="21"/>
          <w:highlight w:val="none"/>
        </w:rPr>
        <w:t>；</w:t>
      </w:r>
    </w:p>
    <w:p>
      <w:pPr>
        <w:spacing w:line="360" w:lineRule="auto"/>
        <w:ind w:firstLine="420" w:firstLineChars="200"/>
        <w:rPr>
          <w:kern w:val="2"/>
          <w:sz w:val="21"/>
          <w:szCs w:val="21"/>
          <w:highlight w:val="none"/>
        </w:rPr>
      </w:pPr>
      <w:r>
        <w:rPr>
          <w:kern w:val="2"/>
          <w:sz w:val="21"/>
          <w:szCs w:val="21"/>
          <w:highlight w:val="none"/>
        </w:rPr>
        <w:t>2.数据有效率以月为单位计算，须达到90%。单站数据有效率应不低于90%，每低1个百分点扣1分。数据有效率及数据个数以系统平台计算为准。</w:t>
      </w:r>
    </w:p>
    <w:p>
      <w:pPr>
        <w:numPr>
          <w:ilvl w:val="1"/>
          <w:numId w:val="20"/>
        </w:numPr>
        <w:spacing w:line="360" w:lineRule="auto"/>
        <w:ind w:left="60" w:leftChars="0" w:firstLine="420" w:firstLineChars="0"/>
        <w:rPr>
          <w:kern w:val="2"/>
          <w:sz w:val="21"/>
          <w:szCs w:val="21"/>
          <w:highlight w:val="none"/>
        </w:rPr>
      </w:pPr>
      <w:r>
        <w:rPr>
          <w:kern w:val="2"/>
          <w:sz w:val="21"/>
          <w:szCs w:val="21"/>
          <w:highlight w:val="none"/>
        </w:rPr>
        <w:t>数据审核率（10分）</w:t>
      </w:r>
    </w:p>
    <w:p>
      <w:pPr>
        <w:spacing w:line="360" w:lineRule="auto"/>
        <w:ind w:firstLine="420" w:firstLineChars="200"/>
        <w:rPr>
          <w:kern w:val="2"/>
          <w:sz w:val="21"/>
          <w:szCs w:val="21"/>
          <w:highlight w:val="none"/>
        </w:rPr>
      </w:pPr>
      <w:r>
        <w:rPr>
          <w:kern w:val="2"/>
          <w:sz w:val="21"/>
          <w:szCs w:val="21"/>
          <w:highlight w:val="none"/>
        </w:rPr>
        <w:t>数据审核率=（站点数据实际审核天数/站点数据应审核天数）×100%。单站未进行数据审核的，每日该站点扣2分，并对当月项目总分扣1分。</w:t>
      </w:r>
    </w:p>
    <w:p>
      <w:pPr>
        <w:numPr>
          <w:ilvl w:val="1"/>
          <w:numId w:val="20"/>
        </w:numPr>
        <w:spacing w:line="360" w:lineRule="auto"/>
        <w:ind w:left="60" w:leftChars="0" w:firstLine="420" w:firstLineChars="0"/>
        <w:rPr>
          <w:kern w:val="2"/>
          <w:sz w:val="21"/>
          <w:szCs w:val="21"/>
          <w:highlight w:val="none"/>
        </w:rPr>
      </w:pPr>
      <w:r>
        <w:rPr>
          <w:kern w:val="2"/>
          <w:sz w:val="21"/>
          <w:szCs w:val="21"/>
          <w:highlight w:val="none"/>
        </w:rPr>
        <w:t>监测数据的统计规定</w:t>
      </w:r>
    </w:p>
    <w:p>
      <w:pPr>
        <w:numPr>
          <w:ilvl w:val="1"/>
          <w:numId w:val="24"/>
        </w:numPr>
        <w:spacing w:line="360" w:lineRule="auto"/>
        <w:ind w:left="0" w:firstLine="420" w:firstLineChars="200"/>
        <w:rPr>
          <w:kern w:val="2"/>
          <w:sz w:val="21"/>
          <w:szCs w:val="21"/>
          <w:highlight w:val="none"/>
        </w:rPr>
      </w:pPr>
      <w:r>
        <w:rPr>
          <w:kern w:val="2"/>
          <w:sz w:val="21"/>
          <w:szCs w:val="21"/>
          <w:highlight w:val="none"/>
        </w:rPr>
        <w:t>小时值：仪器正常运行情况下，每天等时间间隔（采样周期4h）自动监测6次。</w:t>
      </w:r>
    </w:p>
    <w:p>
      <w:pPr>
        <w:numPr>
          <w:ilvl w:val="1"/>
          <w:numId w:val="24"/>
        </w:numPr>
        <w:spacing w:line="360" w:lineRule="auto"/>
        <w:ind w:left="0" w:firstLine="420" w:firstLineChars="200"/>
        <w:rPr>
          <w:kern w:val="2"/>
          <w:sz w:val="21"/>
          <w:szCs w:val="21"/>
          <w:highlight w:val="none"/>
        </w:rPr>
      </w:pPr>
      <w:r>
        <w:rPr>
          <w:kern w:val="2"/>
          <w:sz w:val="21"/>
          <w:szCs w:val="21"/>
          <w:highlight w:val="none"/>
        </w:rPr>
        <w:t>日均值：正常情况下应为当日全部自动监测数据的算术平均值。</w:t>
      </w:r>
    </w:p>
    <w:p>
      <w:pPr>
        <w:numPr>
          <w:ilvl w:val="1"/>
          <w:numId w:val="24"/>
        </w:numPr>
        <w:spacing w:line="360" w:lineRule="auto"/>
        <w:ind w:left="0" w:firstLine="420" w:firstLineChars="200"/>
        <w:rPr>
          <w:kern w:val="2"/>
          <w:sz w:val="21"/>
          <w:szCs w:val="21"/>
          <w:highlight w:val="none"/>
        </w:rPr>
      </w:pPr>
      <w:r>
        <w:rPr>
          <w:kern w:val="2"/>
          <w:sz w:val="21"/>
          <w:szCs w:val="21"/>
          <w:highlight w:val="none"/>
        </w:rPr>
        <w:t>月均值：正常情况下应为当月实际获得全部自动数据的算术平均值。</w:t>
      </w:r>
    </w:p>
    <w:p>
      <w:pPr>
        <w:numPr>
          <w:ilvl w:val="1"/>
          <w:numId w:val="24"/>
        </w:numPr>
        <w:spacing w:line="360" w:lineRule="auto"/>
        <w:ind w:left="0" w:firstLine="420" w:firstLineChars="200"/>
        <w:rPr>
          <w:kern w:val="2"/>
          <w:sz w:val="21"/>
          <w:szCs w:val="21"/>
          <w:highlight w:val="none"/>
        </w:rPr>
      </w:pPr>
      <w:r>
        <w:rPr>
          <w:kern w:val="2"/>
          <w:sz w:val="21"/>
          <w:szCs w:val="21"/>
          <w:highlight w:val="none"/>
        </w:rPr>
        <w:t>不可抗力（如雷电、洪水、旱灾，火灾、断流等）造成系统无法运行、数据缺失的不计入统计考核指标。</w:t>
      </w:r>
    </w:p>
    <w:p>
      <w:pPr>
        <w:numPr>
          <w:ilvl w:val="1"/>
          <w:numId w:val="24"/>
        </w:numPr>
        <w:spacing w:line="360" w:lineRule="auto"/>
        <w:ind w:left="0" w:firstLine="420" w:firstLineChars="200"/>
        <w:rPr>
          <w:kern w:val="2"/>
          <w:sz w:val="21"/>
          <w:szCs w:val="21"/>
          <w:highlight w:val="none"/>
        </w:rPr>
      </w:pPr>
      <w:r>
        <w:rPr>
          <w:kern w:val="2"/>
          <w:sz w:val="21"/>
          <w:szCs w:val="21"/>
          <w:highlight w:val="none"/>
        </w:rPr>
        <w:t>突发事件（如偷盗、</w:t>
      </w:r>
      <w:r>
        <w:rPr>
          <w:rFonts w:hint="eastAsia"/>
          <w:kern w:val="2"/>
          <w:sz w:val="21"/>
          <w:szCs w:val="21"/>
          <w:highlight w:val="none"/>
        </w:rPr>
        <w:t>网络</w:t>
      </w:r>
      <w:r>
        <w:rPr>
          <w:kern w:val="2"/>
          <w:sz w:val="21"/>
          <w:szCs w:val="21"/>
          <w:highlight w:val="none"/>
        </w:rPr>
        <w:t>故障，停电等）造成系统无法运行、数据缺失的不计入统计考核指标。</w:t>
      </w:r>
    </w:p>
    <w:p>
      <w:pPr>
        <w:spacing w:line="360" w:lineRule="auto"/>
        <w:ind w:firstLine="420" w:firstLineChars="200"/>
        <w:rPr>
          <w:kern w:val="2"/>
          <w:sz w:val="21"/>
          <w:szCs w:val="21"/>
          <w:highlight w:val="none"/>
        </w:rPr>
      </w:pPr>
      <w:bookmarkStart w:id="37" w:name="_Toc11211"/>
      <w:r>
        <w:rPr>
          <w:rFonts w:hint="eastAsia"/>
          <w:kern w:val="2"/>
          <w:sz w:val="21"/>
          <w:szCs w:val="21"/>
          <w:highlight w:val="none"/>
        </w:rPr>
        <w:t>四、运维管理（70分）</w:t>
      </w:r>
      <w:bookmarkEnd w:id="37"/>
    </w:p>
    <w:p>
      <w:pPr>
        <w:spacing w:line="360" w:lineRule="auto"/>
        <w:ind w:firstLine="420" w:firstLineChars="200"/>
        <w:rPr>
          <w:kern w:val="2"/>
          <w:sz w:val="21"/>
          <w:szCs w:val="21"/>
          <w:highlight w:val="none"/>
        </w:rPr>
      </w:pPr>
      <w:r>
        <w:rPr>
          <w:kern w:val="2"/>
          <w:sz w:val="21"/>
          <w:szCs w:val="21"/>
          <w:highlight w:val="none"/>
        </w:rPr>
        <w:t>仪器运维管理实施“日监控、周运维”的管理制度。中标方每日通过系统平台开展数据监控；每周至少1次对各个仪器进行现场维护。</w:t>
      </w:r>
    </w:p>
    <w:p>
      <w:pPr>
        <w:numPr>
          <w:ilvl w:val="1"/>
          <w:numId w:val="25"/>
        </w:numPr>
        <w:spacing w:line="360" w:lineRule="auto"/>
        <w:ind w:left="60" w:firstLine="420"/>
        <w:rPr>
          <w:kern w:val="2"/>
          <w:sz w:val="21"/>
          <w:szCs w:val="21"/>
          <w:highlight w:val="none"/>
        </w:rPr>
      </w:pPr>
      <w:r>
        <w:rPr>
          <w:kern w:val="2"/>
          <w:sz w:val="21"/>
          <w:szCs w:val="21"/>
          <w:highlight w:val="none"/>
        </w:rPr>
        <w:t>日监控（10分）</w:t>
      </w:r>
    </w:p>
    <w:p>
      <w:pPr>
        <w:spacing w:line="360" w:lineRule="auto"/>
        <w:ind w:firstLine="420" w:firstLineChars="200"/>
        <w:rPr>
          <w:kern w:val="2"/>
          <w:sz w:val="21"/>
          <w:szCs w:val="21"/>
          <w:highlight w:val="none"/>
        </w:rPr>
      </w:pPr>
      <w:r>
        <w:rPr>
          <w:kern w:val="2"/>
          <w:sz w:val="21"/>
          <w:szCs w:val="21"/>
          <w:highlight w:val="none"/>
        </w:rPr>
        <w:t>“日监控”是指：24小时通过系统平台进行数据监控，调取仪器实时监测数据，并对站点进行运行管理和巡视，保证前端仪器与系统平台数据畅通，要求如下：</w:t>
      </w:r>
    </w:p>
    <w:p>
      <w:pPr>
        <w:spacing w:line="360" w:lineRule="auto"/>
        <w:ind w:firstLine="420" w:firstLineChars="200"/>
        <w:rPr>
          <w:kern w:val="2"/>
          <w:sz w:val="21"/>
          <w:szCs w:val="21"/>
          <w:highlight w:val="none"/>
        </w:rPr>
      </w:pPr>
      <w:r>
        <w:rPr>
          <w:kern w:val="2"/>
          <w:sz w:val="21"/>
          <w:szCs w:val="21"/>
          <w:highlight w:val="none"/>
        </w:rPr>
        <w:t>1.每日上午</w:t>
      </w:r>
      <w:r>
        <w:rPr>
          <w:rFonts w:hint="eastAsia"/>
          <w:kern w:val="2"/>
          <w:sz w:val="21"/>
          <w:szCs w:val="21"/>
          <w:highlight w:val="none"/>
          <w:lang w:val="en-US" w:eastAsia="zh-CN"/>
        </w:rPr>
        <w:t>8</w:t>
      </w:r>
      <w:r>
        <w:rPr>
          <w:kern w:val="2"/>
          <w:sz w:val="21"/>
          <w:szCs w:val="21"/>
          <w:highlight w:val="none"/>
        </w:rPr>
        <w:t>时</w:t>
      </w:r>
      <w:r>
        <w:rPr>
          <w:rFonts w:hint="eastAsia"/>
          <w:kern w:val="2"/>
          <w:sz w:val="21"/>
          <w:szCs w:val="21"/>
          <w:highlight w:val="none"/>
          <w:lang w:val="en-US" w:eastAsia="zh-CN"/>
        </w:rPr>
        <w:t>前</w:t>
      </w:r>
      <w:r>
        <w:rPr>
          <w:kern w:val="2"/>
          <w:sz w:val="21"/>
          <w:szCs w:val="21"/>
          <w:highlight w:val="none"/>
        </w:rPr>
        <w:t>，对仪器前一天的自动监测数据进行初步审核。</w:t>
      </w:r>
    </w:p>
    <w:p>
      <w:pPr>
        <w:spacing w:line="360" w:lineRule="auto"/>
        <w:ind w:firstLine="420" w:firstLineChars="200"/>
        <w:rPr>
          <w:kern w:val="2"/>
          <w:sz w:val="21"/>
          <w:szCs w:val="21"/>
          <w:highlight w:val="none"/>
        </w:rPr>
      </w:pPr>
      <w:r>
        <w:rPr>
          <w:kern w:val="2"/>
          <w:sz w:val="21"/>
          <w:szCs w:val="21"/>
          <w:highlight w:val="none"/>
        </w:rPr>
        <w:t>2.每日至少</w:t>
      </w:r>
      <w:r>
        <w:rPr>
          <w:rFonts w:hint="eastAsia"/>
          <w:kern w:val="2"/>
          <w:sz w:val="21"/>
          <w:szCs w:val="21"/>
          <w:highlight w:val="none"/>
          <w:lang w:val="en-US" w:eastAsia="zh-CN"/>
        </w:rPr>
        <w:t>2</w:t>
      </w:r>
      <w:r>
        <w:rPr>
          <w:kern w:val="2"/>
          <w:sz w:val="21"/>
          <w:szCs w:val="21"/>
          <w:highlight w:val="none"/>
        </w:rPr>
        <w:t>次</w:t>
      </w:r>
      <w:r>
        <w:rPr>
          <w:rFonts w:hint="eastAsia"/>
          <w:kern w:val="2"/>
          <w:sz w:val="21"/>
          <w:szCs w:val="21"/>
          <w:highlight w:val="none"/>
        </w:rPr>
        <w:t>登录系统平台</w:t>
      </w:r>
      <w:r>
        <w:rPr>
          <w:kern w:val="2"/>
          <w:sz w:val="21"/>
          <w:szCs w:val="21"/>
          <w:highlight w:val="none"/>
        </w:rPr>
        <w:t>查看数据、分析仪器运行状态，检查数据传输系统是否正常。发现数据有持续异常情况，应立即通知相关责任人前往站点进行处理；并同时报送招标方。必要时现场采集实时水样和留样并委托有“CMA”资质的实验室进行分析；或送至满足招标方要求的自动监测质控实验室分析。</w:t>
      </w:r>
    </w:p>
    <w:p>
      <w:pPr>
        <w:numPr>
          <w:ilvl w:val="1"/>
          <w:numId w:val="25"/>
        </w:numPr>
        <w:spacing w:line="360" w:lineRule="auto"/>
        <w:ind w:left="60" w:firstLine="420"/>
        <w:rPr>
          <w:kern w:val="2"/>
          <w:sz w:val="21"/>
          <w:szCs w:val="21"/>
          <w:highlight w:val="none"/>
        </w:rPr>
      </w:pPr>
      <w:r>
        <w:rPr>
          <w:kern w:val="2"/>
          <w:sz w:val="21"/>
          <w:szCs w:val="21"/>
          <w:highlight w:val="none"/>
        </w:rPr>
        <w:t>周运维（10分）</w:t>
      </w:r>
    </w:p>
    <w:p>
      <w:pPr>
        <w:numPr>
          <w:ilvl w:val="0"/>
          <w:numId w:val="26"/>
        </w:numPr>
        <w:spacing w:line="360" w:lineRule="auto"/>
        <w:ind w:left="0" w:firstLine="420" w:firstLineChars="200"/>
        <w:rPr>
          <w:kern w:val="2"/>
          <w:sz w:val="21"/>
          <w:szCs w:val="21"/>
          <w:highlight w:val="none"/>
        </w:rPr>
      </w:pPr>
      <w:r>
        <w:rPr>
          <w:kern w:val="2"/>
          <w:sz w:val="21"/>
          <w:szCs w:val="21"/>
          <w:highlight w:val="none"/>
        </w:rPr>
        <w:t>重金属在线监测仪器（ICP-MS）巡检（包括软硬件系统各单元及附属设施的运行维护），每</w:t>
      </w:r>
      <w:r>
        <w:rPr>
          <w:rFonts w:hint="eastAsia"/>
          <w:kern w:val="2"/>
          <w:sz w:val="21"/>
          <w:szCs w:val="21"/>
          <w:highlight w:val="none"/>
        </w:rPr>
        <w:t>台仪器</w:t>
      </w:r>
      <w:r>
        <w:rPr>
          <w:kern w:val="2"/>
          <w:sz w:val="21"/>
          <w:szCs w:val="21"/>
          <w:highlight w:val="none"/>
        </w:rPr>
        <w:t>每周1次, 每两次运维间隔4～7天。</w:t>
      </w:r>
    </w:p>
    <w:p>
      <w:pPr>
        <w:numPr>
          <w:ilvl w:val="0"/>
          <w:numId w:val="26"/>
        </w:numPr>
        <w:spacing w:line="360" w:lineRule="auto"/>
        <w:ind w:left="0" w:firstLine="420" w:firstLineChars="200"/>
        <w:rPr>
          <w:kern w:val="2"/>
          <w:sz w:val="21"/>
          <w:szCs w:val="21"/>
          <w:highlight w:val="none"/>
        </w:rPr>
      </w:pPr>
      <w:r>
        <w:rPr>
          <w:kern w:val="2"/>
          <w:sz w:val="21"/>
          <w:szCs w:val="21"/>
          <w:highlight w:val="none"/>
        </w:rPr>
        <w:t>周运维时，现场</w:t>
      </w:r>
      <w:r>
        <w:rPr>
          <w:rFonts w:hint="eastAsia"/>
          <w:kern w:val="2"/>
          <w:sz w:val="21"/>
          <w:szCs w:val="21"/>
          <w:highlight w:val="none"/>
        </w:rPr>
        <w:t>需要填写运维表单记录</w:t>
      </w:r>
      <w:r>
        <w:rPr>
          <w:kern w:val="2"/>
          <w:sz w:val="21"/>
          <w:szCs w:val="21"/>
          <w:highlight w:val="none"/>
        </w:rPr>
        <w:t>。</w:t>
      </w:r>
    </w:p>
    <w:p>
      <w:pPr>
        <w:numPr>
          <w:ilvl w:val="0"/>
          <w:numId w:val="26"/>
        </w:numPr>
        <w:spacing w:line="360" w:lineRule="auto"/>
        <w:ind w:left="0" w:firstLine="420" w:firstLineChars="200"/>
        <w:rPr>
          <w:kern w:val="2"/>
          <w:sz w:val="21"/>
          <w:szCs w:val="21"/>
          <w:highlight w:val="none"/>
        </w:rPr>
      </w:pPr>
      <w:r>
        <w:rPr>
          <w:kern w:val="2"/>
          <w:sz w:val="21"/>
          <w:szCs w:val="21"/>
          <w:highlight w:val="none"/>
        </w:rPr>
        <w:t>周运维工作内容为采水系统、进水与配水系统、通讯系统、控制系统、集成、配电、各分析仪器等内容；按要求对仪器监测设备和仪器开展质控工作。</w:t>
      </w:r>
    </w:p>
    <w:p>
      <w:pPr>
        <w:numPr>
          <w:ilvl w:val="0"/>
          <w:numId w:val="26"/>
        </w:numPr>
        <w:spacing w:line="360" w:lineRule="auto"/>
        <w:ind w:left="0" w:firstLine="420" w:firstLineChars="200"/>
        <w:rPr>
          <w:kern w:val="2"/>
          <w:sz w:val="21"/>
          <w:szCs w:val="21"/>
          <w:highlight w:val="none"/>
        </w:rPr>
      </w:pPr>
      <w:r>
        <w:rPr>
          <w:kern w:val="2"/>
          <w:sz w:val="21"/>
          <w:szCs w:val="21"/>
          <w:highlight w:val="none"/>
        </w:rPr>
        <w:t>周运维须对站点上游2000米，下游500米范围内出现的可能影响仪器正常运行或水质变化的环境变化开展巡查，并</w:t>
      </w:r>
      <w:r>
        <w:rPr>
          <w:rFonts w:hint="eastAsia"/>
          <w:kern w:val="2"/>
          <w:sz w:val="21"/>
          <w:szCs w:val="21"/>
          <w:highlight w:val="none"/>
        </w:rPr>
        <w:t>报送</w:t>
      </w:r>
      <w:r>
        <w:rPr>
          <w:kern w:val="2"/>
          <w:sz w:val="21"/>
          <w:szCs w:val="21"/>
          <w:highlight w:val="none"/>
        </w:rPr>
        <w:t>招标方。</w:t>
      </w:r>
    </w:p>
    <w:p>
      <w:pPr>
        <w:numPr>
          <w:ilvl w:val="0"/>
          <w:numId w:val="26"/>
        </w:numPr>
        <w:spacing w:line="360" w:lineRule="auto"/>
        <w:ind w:left="0" w:firstLine="420" w:firstLineChars="200"/>
        <w:rPr>
          <w:kern w:val="2"/>
          <w:sz w:val="21"/>
          <w:szCs w:val="21"/>
          <w:highlight w:val="none"/>
        </w:rPr>
      </w:pPr>
      <w:r>
        <w:rPr>
          <w:kern w:val="2"/>
          <w:sz w:val="21"/>
          <w:szCs w:val="21"/>
          <w:highlight w:val="none"/>
        </w:rPr>
        <w:t>周巡检工作未开展的，扣1分，未按要求开展相关工作的每发现1项，扣0.5分。</w:t>
      </w:r>
    </w:p>
    <w:p>
      <w:pPr>
        <w:numPr>
          <w:ilvl w:val="1"/>
          <w:numId w:val="25"/>
        </w:numPr>
        <w:spacing w:line="360" w:lineRule="auto"/>
        <w:ind w:left="60" w:firstLine="420"/>
        <w:rPr>
          <w:kern w:val="2"/>
          <w:sz w:val="21"/>
          <w:szCs w:val="21"/>
          <w:highlight w:val="none"/>
        </w:rPr>
      </w:pPr>
      <w:r>
        <w:rPr>
          <w:kern w:val="2"/>
          <w:sz w:val="21"/>
          <w:szCs w:val="21"/>
          <w:highlight w:val="none"/>
        </w:rPr>
        <w:t>故障处理（10分）</w:t>
      </w:r>
    </w:p>
    <w:p>
      <w:pPr>
        <w:numPr>
          <w:ilvl w:val="0"/>
          <w:numId w:val="27"/>
        </w:numPr>
        <w:spacing w:line="360" w:lineRule="auto"/>
        <w:ind w:left="0" w:firstLine="420" w:firstLineChars="200"/>
        <w:rPr>
          <w:kern w:val="2"/>
          <w:sz w:val="21"/>
          <w:szCs w:val="21"/>
          <w:highlight w:val="none"/>
        </w:rPr>
      </w:pPr>
      <w:r>
        <w:rPr>
          <w:kern w:val="2"/>
          <w:sz w:val="21"/>
          <w:szCs w:val="21"/>
          <w:highlight w:val="none"/>
        </w:rPr>
        <w:t>现场排除故障</w:t>
      </w:r>
    </w:p>
    <w:p>
      <w:pPr>
        <w:numPr>
          <w:ilvl w:val="1"/>
          <w:numId w:val="28"/>
        </w:numPr>
        <w:spacing w:line="360" w:lineRule="auto"/>
        <w:ind w:left="0" w:firstLine="420" w:firstLineChars="200"/>
        <w:rPr>
          <w:kern w:val="2"/>
          <w:sz w:val="21"/>
          <w:szCs w:val="21"/>
          <w:highlight w:val="none"/>
        </w:rPr>
      </w:pPr>
      <w:r>
        <w:rPr>
          <w:kern w:val="2"/>
          <w:sz w:val="21"/>
          <w:szCs w:val="21"/>
          <w:highlight w:val="none"/>
        </w:rPr>
        <w:t>中标方发现仪器系统故障时应及时排除，及时报</w:t>
      </w:r>
      <w:r>
        <w:rPr>
          <w:rFonts w:hint="eastAsia"/>
          <w:kern w:val="2"/>
          <w:sz w:val="21"/>
          <w:szCs w:val="21"/>
          <w:highlight w:val="none"/>
        </w:rPr>
        <w:t>送</w:t>
      </w:r>
      <w:r>
        <w:rPr>
          <w:kern w:val="2"/>
          <w:sz w:val="21"/>
          <w:szCs w:val="21"/>
          <w:highlight w:val="none"/>
        </w:rPr>
        <w:t>招标方，同时委托有资质的环境监测机构做好手工采样、实验室分析等应急补救措施并填写运维记录。</w:t>
      </w:r>
    </w:p>
    <w:p>
      <w:pPr>
        <w:numPr>
          <w:ilvl w:val="1"/>
          <w:numId w:val="28"/>
        </w:numPr>
        <w:spacing w:line="360" w:lineRule="auto"/>
        <w:ind w:left="0" w:firstLine="420" w:firstLineChars="200"/>
        <w:rPr>
          <w:color w:val="000000"/>
          <w:kern w:val="2"/>
          <w:sz w:val="21"/>
          <w:szCs w:val="21"/>
          <w:highlight w:val="none"/>
        </w:rPr>
      </w:pPr>
      <w:r>
        <w:rPr>
          <w:color w:val="000000"/>
          <w:kern w:val="2"/>
          <w:sz w:val="21"/>
          <w:szCs w:val="21"/>
          <w:highlight w:val="none"/>
        </w:rPr>
        <w:t>中标方故障响应时间不超过4小时，一般故障排除时间不超过24小时，重大故障排除时间不超过48小时。如故障排除时间超过48小时，需提供备机或其他有效方式保证不间断的获取监测数据。</w:t>
      </w:r>
    </w:p>
    <w:p>
      <w:pPr>
        <w:numPr>
          <w:ilvl w:val="0"/>
          <w:numId w:val="27"/>
        </w:numPr>
        <w:spacing w:line="360" w:lineRule="auto"/>
        <w:ind w:left="0" w:firstLine="420" w:firstLineChars="200"/>
        <w:rPr>
          <w:kern w:val="2"/>
          <w:sz w:val="21"/>
          <w:szCs w:val="21"/>
          <w:highlight w:val="none"/>
        </w:rPr>
      </w:pPr>
      <w:r>
        <w:rPr>
          <w:kern w:val="2"/>
          <w:sz w:val="21"/>
          <w:szCs w:val="21"/>
          <w:highlight w:val="none"/>
        </w:rPr>
        <w:t>停机处理</w:t>
      </w:r>
    </w:p>
    <w:p>
      <w:pPr>
        <w:numPr>
          <w:ilvl w:val="1"/>
          <w:numId w:val="29"/>
        </w:numPr>
        <w:spacing w:line="360" w:lineRule="auto"/>
        <w:ind w:left="0" w:firstLine="420" w:firstLineChars="200"/>
        <w:rPr>
          <w:kern w:val="2"/>
          <w:sz w:val="21"/>
          <w:szCs w:val="21"/>
          <w:highlight w:val="none"/>
        </w:rPr>
      </w:pPr>
      <w:r>
        <w:rPr>
          <w:kern w:val="2"/>
          <w:sz w:val="21"/>
          <w:szCs w:val="21"/>
          <w:highlight w:val="none"/>
        </w:rPr>
        <w:t>短时间停机（停机时间小于24小时）：一般关机即可，再次运行时仪器需重新校准。</w:t>
      </w:r>
    </w:p>
    <w:p>
      <w:pPr>
        <w:numPr>
          <w:ilvl w:val="1"/>
          <w:numId w:val="29"/>
        </w:numPr>
        <w:spacing w:line="360" w:lineRule="auto"/>
        <w:ind w:left="0" w:firstLine="420" w:firstLineChars="200"/>
        <w:rPr>
          <w:kern w:val="2"/>
          <w:sz w:val="21"/>
          <w:szCs w:val="21"/>
          <w:highlight w:val="none"/>
        </w:rPr>
      </w:pPr>
      <w:r>
        <w:rPr>
          <w:kern w:val="2"/>
          <w:sz w:val="21"/>
          <w:szCs w:val="21"/>
          <w:highlight w:val="none"/>
        </w:rPr>
        <w:t>长时间停机（连续停机时间超过24小时）：如果监测仪器需要停机24小时或更长时间，一般需关闭仪器和进样阀，关闭电源，并用蒸馏水清洗分析仪器的蠕动泵以及试剂管路；清洗测量室并排空。停机前应将停机申请</w:t>
      </w:r>
      <w:r>
        <w:rPr>
          <w:rFonts w:hint="eastAsia"/>
          <w:kern w:val="2"/>
          <w:sz w:val="21"/>
          <w:szCs w:val="21"/>
          <w:highlight w:val="none"/>
        </w:rPr>
        <w:t>报送与</w:t>
      </w:r>
      <w:r>
        <w:rPr>
          <w:rFonts w:hint="eastAsia"/>
          <w:kern w:val="2"/>
          <w:sz w:val="21"/>
          <w:szCs w:val="21"/>
          <w:highlight w:val="none"/>
          <w:lang w:val="en-US" w:eastAsia="zh-CN"/>
        </w:rPr>
        <w:t>招标方</w:t>
      </w:r>
      <w:r>
        <w:rPr>
          <w:rFonts w:hint="eastAsia"/>
          <w:kern w:val="2"/>
          <w:sz w:val="21"/>
          <w:szCs w:val="21"/>
          <w:highlight w:val="none"/>
        </w:rPr>
        <w:t>，</w:t>
      </w:r>
      <w:r>
        <w:rPr>
          <w:kern w:val="2"/>
          <w:sz w:val="21"/>
          <w:szCs w:val="21"/>
          <w:highlight w:val="none"/>
        </w:rPr>
        <w:t>经允许后实施。</w:t>
      </w:r>
    </w:p>
    <w:p>
      <w:pPr>
        <w:numPr>
          <w:ilvl w:val="1"/>
          <w:numId w:val="29"/>
        </w:numPr>
        <w:spacing w:line="360" w:lineRule="auto"/>
        <w:ind w:left="0" w:firstLine="420" w:firstLineChars="200"/>
        <w:rPr>
          <w:kern w:val="2"/>
          <w:sz w:val="21"/>
          <w:szCs w:val="21"/>
          <w:highlight w:val="none"/>
        </w:rPr>
      </w:pPr>
      <w:r>
        <w:rPr>
          <w:kern w:val="2"/>
          <w:sz w:val="21"/>
          <w:szCs w:val="21"/>
          <w:highlight w:val="none"/>
        </w:rPr>
        <w:t>停机期间，委托有资质的环境监测机构开展全程序的手工采样，国标法</w:t>
      </w:r>
      <w:r>
        <w:rPr>
          <w:rFonts w:hint="eastAsia"/>
          <w:kern w:val="2"/>
          <w:sz w:val="21"/>
          <w:szCs w:val="21"/>
          <w:highlight w:val="none"/>
        </w:rPr>
        <w:t>对</w:t>
      </w:r>
      <w:r>
        <w:rPr>
          <w:rFonts w:hint="eastAsia"/>
          <w:kern w:val="2"/>
          <w:sz w:val="21"/>
          <w:szCs w:val="21"/>
          <w:highlight w:val="none"/>
          <w:lang w:val="en-US" w:eastAsia="zh-CN"/>
        </w:rPr>
        <w:t>所在断面水质进行</w:t>
      </w:r>
      <w:r>
        <w:rPr>
          <w:rFonts w:hint="eastAsia"/>
          <w:kern w:val="2"/>
          <w:sz w:val="21"/>
          <w:szCs w:val="21"/>
          <w:highlight w:val="none"/>
        </w:rPr>
        <w:t>20项因子进行</w:t>
      </w:r>
      <w:r>
        <w:rPr>
          <w:kern w:val="2"/>
          <w:sz w:val="21"/>
          <w:szCs w:val="21"/>
          <w:highlight w:val="none"/>
        </w:rPr>
        <w:t>分析，每</w:t>
      </w:r>
      <w:r>
        <w:rPr>
          <w:rFonts w:hint="eastAsia"/>
          <w:kern w:val="2"/>
          <w:sz w:val="21"/>
          <w:szCs w:val="21"/>
          <w:highlight w:val="none"/>
          <w:lang w:val="en-US" w:eastAsia="zh-CN"/>
        </w:rPr>
        <w:t>天至少1</w:t>
      </w:r>
      <w:r>
        <w:rPr>
          <w:kern w:val="2"/>
          <w:sz w:val="21"/>
          <w:szCs w:val="21"/>
          <w:highlight w:val="none"/>
        </w:rPr>
        <w:t>次；分析数据按要求报</w:t>
      </w:r>
      <w:r>
        <w:rPr>
          <w:rFonts w:hint="eastAsia"/>
          <w:kern w:val="2"/>
          <w:sz w:val="21"/>
          <w:szCs w:val="21"/>
          <w:highlight w:val="none"/>
        </w:rPr>
        <w:t>送</w:t>
      </w:r>
      <w:r>
        <w:rPr>
          <w:kern w:val="2"/>
          <w:sz w:val="21"/>
          <w:szCs w:val="21"/>
          <w:highlight w:val="none"/>
        </w:rPr>
        <w:t>招标方。停机期间，每周</w:t>
      </w:r>
      <w:r>
        <w:rPr>
          <w:rFonts w:hint="eastAsia"/>
          <w:kern w:val="2"/>
          <w:sz w:val="21"/>
          <w:szCs w:val="21"/>
          <w:highlight w:val="none"/>
          <w:lang w:val="en-US" w:eastAsia="zh-CN"/>
        </w:rPr>
        <w:t>对仪器</w:t>
      </w:r>
      <w:r>
        <w:rPr>
          <w:kern w:val="2"/>
          <w:sz w:val="21"/>
          <w:szCs w:val="21"/>
          <w:highlight w:val="none"/>
        </w:rPr>
        <w:t>进行停机维护。</w:t>
      </w:r>
    </w:p>
    <w:p>
      <w:pPr>
        <w:numPr>
          <w:ilvl w:val="1"/>
          <w:numId w:val="29"/>
        </w:numPr>
        <w:spacing w:line="360" w:lineRule="auto"/>
        <w:ind w:left="0" w:firstLine="420" w:firstLineChars="200"/>
        <w:rPr>
          <w:kern w:val="2"/>
          <w:sz w:val="21"/>
          <w:szCs w:val="21"/>
          <w:highlight w:val="none"/>
        </w:rPr>
      </w:pPr>
      <w:r>
        <w:rPr>
          <w:kern w:val="2"/>
          <w:sz w:val="21"/>
          <w:szCs w:val="21"/>
          <w:highlight w:val="none"/>
        </w:rPr>
        <w:t>长时间停机恢复运行时，须按照国标要求开展仪器质控实验，并将结果</w:t>
      </w:r>
      <w:r>
        <w:rPr>
          <w:rFonts w:hint="eastAsia"/>
          <w:kern w:val="2"/>
          <w:sz w:val="21"/>
          <w:szCs w:val="21"/>
          <w:highlight w:val="none"/>
        </w:rPr>
        <w:t>报与</w:t>
      </w:r>
      <w:r>
        <w:rPr>
          <w:kern w:val="2"/>
          <w:sz w:val="21"/>
          <w:szCs w:val="21"/>
          <w:highlight w:val="none"/>
        </w:rPr>
        <w:t>招标方</w:t>
      </w:r>
      <w:r>
        <w:rPr>
          <w:rFonts w:hint="eastAsia"/>
          <w:kern w:val="2"/>
          <w:sz w:val="21"/>
          <w:szCs w:val="21"/>
          <w:highlight w:val="none"/>
        </w:rPr>
        <w:t>，</w:t>
      </w:r>
      <w:r>
        <w:rPr>
          <w:kern w:val="2"/>
          <w:sz w:val="21"/>
          <w:szCs w:val="21"/>
          <w:highlight w:val="none"/>
        </w:rPr>
        <w:t>经招标方同意后方可正式恢复运行。</w:t>
      </w:r>
    </w:p>
    <w:p>
      <w:pPr>
        <w:numPr>
          <w:ilvl w:val="1"/>
          <w:numId w:val="29"/>
        </w:numPr>
        <w:spacing w:line="360" w:lineRule="auto"/>
        <w:ind w:left="0" w:firstLine="420" w:firstLineChars="200"/>
        <w:rPr>
          <w:kern w:val="2"/>
          <w:sz w:val="21"/>
          <w:szCs w:val="21"/>
          <w:highlight w:val="none"/>
        </w:rPr>
      </w:pPr>
      <w:r>
        <w:rPr>
          <w:kern w:val="2"/>
          <w:sz w:val="21"/>
          <w:szCs w:val="21"/>
          <w:highlight w:val="none"/>
        </w:rPr>
        <w:t>更换备机后，故障的仪器须15天内维修并恢复运行。</w:t>
      </w:r>
    </w:p>
    <w:p>
      <w:pPr>
        <w:spacing w:line="360" w:lineRule="auto"/>
        <w:ind w:firstLine="420" w:firstLineChars="200"/>
        <w:rPr>
          <w:color w:val="000000"/>
          <w:kern w:val="2"/>
          <w:sz w:val="21"/>
          <w:szCs w:val="21"/>
          <w:highlight w:val="none"/>
        </w:rPr>
      </w:pPr>
      <w:r>
        <w:rPr>
          <w:color w:val="000000"/>
          <w:kern w:val="2"/>
          <w:sz w:val="21"/>
          <w:szCs w:val="21"/>
          <w:highlight w:val="none"/>
        </w:rPr>
        <w:t>仪器或系统故障时间超过</w:t>
      </w:r>
      <w:r>
        <w:rPr>
          <w:rFonts w:hint="eastAsia"/>
          <w:color w:val="000000"/>
          <w:kern w:val="2"/>
          <w:sz w:val="21"/>
          <w:szCs w:val="21"/>
          <w:highlight w:val="none"/>
          <w:lang w:val="en-US" w:eastAsia="zh-CN"/>
        </w:rPr>
        <w:t>24</w:t>
      </w:r>
      <w:r>
        <w:rPr>
          <w:color w:val="000000"/>
          <w:kern w:val="2"/>
          <w:sz w:val="21"/>
          <w:szCs w:val="21"/>
          <w:highlight w:val="none"/>
        </w:rPr>
        <w:t>小时，扣1分，此后每增加一天，扣1分；除不可抗力外，仪器或系统故障或长时间停机未按要求开展相应工作的，每次扣2分；超过7天仍未开展相应工作的，扣</w:t>
      </w:r>
      <w:r>
        <w:rPr>
          <w:rFonts w:hint="eastAsia"/>
          <w:color w:val="000000"/>
          <w:kern w:val="2"/>
          <w:sz w:val="21"/>
          <w:szCs w:val="21"/>
          <w:highlight w:val="none"/>
          <w:lang w:val="en-US" w:eastAsia="zh-CN"/>
        </w:rPr>
        <w:t>10</w:t>
      </w:r>
      <w:r>
        <w:rPr>
          <w:color w:val="000000"/>
          <w:kern w:val="2"/>
          <w:sz w:val="21"/>
          <w:szCs w:val="21"/>
          <w:highlight w:val="none"/>
        </w:rPr>
        <w:t>分。</w:t>
      </w:r>
    </w:p>
    <w:p>
      <w:pPr>
        <w:numPr>
          <w:ilvl w:val="1"/>
          <w:numId w:val="25"/>
        </w:numPr>
        <w:spacing w:line="360" w:lineRule="auto"/>
        <w:ind w:left="60" w:firstLine="420"/>
        <w:rPr>
          <w:kern w:val="2"/>
          <w:sz w:val="21"/>
          <w:szCs w:val="21"/>
          <w:highlight w:val="none"/>
        </w:rPr>
      </w:pPr>
      <w:r>
        <w:rPr>
          <w:kern w:val="2"/>
          <w:sz w:val="21"/>
          <w:szCs w:val="21"/>
          <w:highlight w:val="none"/>
        </w:rPr>
        <w:t>运维记录（10分）</w:t>
      </w:r>
    </w:p>
    <w:p>
      <w:pPr>
        <w:spacing w:line="360" w:lineRule="auto"/>
        <w:ind w:firstLine="420" w:firstLineChars="200"/>
        <w:rPr>
          <w:kern w:val="2"/>
          <w:sz w:val="21"/>
          <w:szCs w:val="21"/>
          <w:highlight w:val="none"/>
        </w:rPr>
      </w:pPr>
      <w:r>
        <w:rPr>
          <w:kern w:val="2"/>
          <w:sz w:val="21"/>
          <w:szCs w:val="21"/>
          <w:highlight w:val="none"/>
        </w:rPr>
        <w:t>“日监控、周运维”的所有工作，必须做好工作记录，做到“有据可查”。无记录，招标方视为该项工作未开展。</w:t>
      </w:r>
      <w:r>
        <w:rPr>
          <w:rFonts w:hint="eastAsia"/>
          <w:kern w:val="2"/>
          <w:sz w:val="21"/>
          <w:szCs w:val="21"/>
          <w:highlight w:val="none"/>
        </w:rPr>
        <w:t>运维记录</w:t>
      </w:r>
      <w:r>
        <w:rPr>
          <w:kern w:val="2"/>
          <w:sz w:val="21"/>
          <w:szCs w:val="21"/>
          <w:highlight w:val="none"/>
        </w:rPr>
        <w:t>填报不规范的，每次·每项扣0.5分；未填报的扣1分。</w:t>
      </w:r>
    </w:p>
    <w:p>
      <w:pPr>
        <w:numPr>
          <w:ilvl w:val="1"/>
          <w:numId w:val="25"/>
        </w:numPr>
        <w:spacing w:line="360" w:lineRule="auto"/>
        <w:ind w:left="60" w:firstLine="420"/>
        <w:rPr>
          <w:kern w:val="2"/>
          <w:sz w:val="21"/>
          <w:szCs w:val="21"/>
          <w:highlight w:val="none"/>
        </w:rPr>
      </w:pPr>
      <w:r>
        <w:rPr>
          <w:kern w:val="2"/>
          <w:sz w:val="21"/>
          <w:szCs w:val="21"/>
          <w:highlight w:val="none"/>
        </w:rPr>
        <w:t>人员及车辆配置（10分）</w:t>
      </w:r>
    </w:p>
    <w:p>
      <w:pPr>
        <w:numPr>
          <w:ilvl w:val="0"/>
          <w:numId w:val="30"/>
        </w:numPr>
        <w:spacing w:line="360" w:lineRule="auto"/>
        <w:ind w:left="0" w:firstLine="420" w:firstLineChars="200"/>
        <w:rPr>
          <w:kern w:val="2"/>
          <w:sz w:val="21"/>
          <w:szCs w:val="21"/>
          <w:highlight w:val="none"/>
        </w:rPr>
      </w:pPr>
      <w:r>
        <w:rPr>
          <w:kern w:val="2"/>
          <w:sz w:val="21"/>
          <w:szCs w:val="21"/>
          <w:highlight w:val="none"/>
        </w:rPr>
        <w:t>中标方人员</w:t>
      </w:r>
    </w:p>
    <w:p>
      <w:pPr>
        <w:numPr>
          <w:ilvl w:val="0"/>
          <w:numId w:val="31"/>
        </w:numPr>
        <w:spacing w:line="360" w:lineRule="auto"/>
        <w:ind w:left="0" w:firstLine="420" w:firstLineChars="200"/>
        <w:rPr>
          <w:kern w:val="2"/>
          <w:sz w:val="21"/>
          <w:szCs w:val="21"/>
          <w:highlight w:val="none"/>
        </w:rPr>
      </w:pPr>
      <w:r>
        <w:rPr>
          <w:kern w:val="2"/>
          <w:sz w:val="21"/>
          <w:szCs w:val="21"/>
          <w:highlight w:val="none"/>
        </w:rPr>
        <w:t>人员和交通工具的配置要求：</w:t>
      </w:r>
      <w:r>
        <w:rPr>
          <w:rFonts w:hint="eastAsia"/>
          <w:kern w:val="2"/>
          <w:sz w:val="21"/>
          <w:szCs w:val="21"/>
          <w:highlight w:val="none"/>
        </w:rPr>
        <w:t>每</w:t>
      </w:r>
      <w:r>
        <w:rPr>
          <w:kern w:val="2"/>
          <w:sz w:val="21"/>
          <w:szCs w:val="21"/>
          <w:highlight w:val="none"/>
        </w:rPr>
        <w:t>2台重金属在线监测仪器（ICP-MS）至少配置1名专业技术人员，每3台重金属在线监测仪器（ICP-MS）至少配置</w:t>
      </w:r>
      <w:r>
        <w:rPr>
          <w:rFonts w:hint="eastAsia"/>
          <w:kern w:val="2"/>
          <w:sz w:val="21"/>
          <w:szCs w:val="21"/>
          <w:highlight w:val="none"/>
          <w:lang w:val="en-US" w:eastAsia="zh-CN"/>
        </w:rPr>
        <w:t>1</w:t>
      </w:r>
      <w:r>
        <w:rPr>
          <w:kern w:val="2"/>
          <w:sz w:val="21"/>
          <w:szCs w:val="21"/>
          <w:highlight w:val="none"/>
        </w:rPr>
        <w:t>辆</w:t>
      </w:r>
      <w:r>
        <w:rPr>
          <w:rFonts w:hint="eastAsia"/>
          <w:kern w:val="2"/>
          <w:sz w:val="21"/>
          <w:szCs w:val="21"/>
          <w:highlight w:val="none"/>
        </w:rPr>
        <w:t>运维车辆</w:t>
      </w:r>
      <w:r>
        <w:rPr>
          <w:kern w:val="2"/>
          <w:sz w:val="21"/>
          <w:szCs w:val="21"/>
          <w:highlight w:val="none"/>
        </w:rPr>
        <w:t>。</w:t>
      </w:r>
    </w:p>
    <w:p>
      <w:pPr>
        <w:numPr>
          <w:ilvl w:val="0"/>
          <w:numId w:val="31"/>
        </w:numPr>
        <w:spacing w:line="360" w:lineRule="auto"/>
        <w:ind w:left="0" w:firstLine="420" w:firstLineChars="200"/>
        <w:rPr>
          <w:kern w:val="2"/>
          <w:sz w:val="21"/>
          <w:szCs w:val="21"/>
          <w:highlight w:val="none"/>
        </w:rPr>
      </w:pPr>
      <w:r>
        <w:rPr>
          <w:kern w:val="2"/>
          <w:sz w:val="21"/>
          <w:szCs w:val="21"/>
          <w:highlight w:val="none"/>
        </w:rPr>
        <w:t>人员素质及能力：现场维护人员应至少2人1组，其中带队人员应具有至少1年以上的现场维护经验并持“运维考核合格证”运维，能及时发现和排除仪器故障。维护人员更换时应提前向招标方报告并备案。</w:t>
      </w:r>
    </w:p>
    <w:p>
      <w:pPr>
        <w:numPr>
          <w:ilvl w:val="1"/>
          <w:numId w:val="25"/>
        </w:numPr>
        <w:spacing w:line="360" w:lineRule="auto"/>
        <w:ind w:left="60" w:firstLine="420"/>
        <w:rPr>
          <w:kern w:val="2"/>
          <w:sz w:val="21"/>
          <w:szCs w:val="21"/>
          <w:highlight w:val="none"/>
        </w:rPr>
      </w:pPr>
      <w:r>
        <w:rPr>
          <w:kern w:val="2"/>
          <w:sz w:val="21"/>
          <w:szCs w:val="21"/>
          <w:highlight w:val="none"/>
        </w:rPr>
        <w:t>质控管理（</w:t>
      </w:r>
      <w:r>
        <w:rPr>
          <w:rFonts w:hint="eastAsia"/>
          <w:kern w:val="2"/>
          <w:sz w:val="21"/>
          <w:szCs w:val="21"/>
          <w:highlight w:val="none"/>
        </w:rPr>
        <w:t>20</w:t>
      </w:r>
      <w:r>
        <w:rPr>
          <w:kern w:val="2"/>
          <w:sz w:val="21"/>
          <w:szCs w:val="21"/>
          <w:highlight w:val="none"/>
        </w:rPr>
        <w:t>分）</w:t>
      </w:r>
    </w:p>
    <w:p>
      <w:pPr>
        <w:numPr>
          <w:ilvl w:val="0"/>
          <w:numId w:val="32"/>
        </w:numPr>
        <w:spacing w:line="360" w:lineRule="auto"/>
        <w:ind w:left="0" w:firstLine="420" w:firstLineChars="200"/>
        <w:rPr>
          <w:kern w:val="2"/>
          <w:sz w:val="21"/>
          <w:szCs w:val="21"/>
          <w:highlight w:val="none"/>
        </w:rPr>
      </w:pPr>
      <w:r>
        <w:rPr>
          <w:kern w:val="2"/>
          <w:sz w:val="21"/>
          <w:szCs w:val="21"/>
          <w:highlight w:val="none"/>
        </w:rPr>
        <w:t>质控要求</w:t>
      </w:r>
    </w:p>
    <w:p>
      <w:pPr>
        <w:spacing w:line="360" w:lineRule="auto"/>
        <w:ind w:firstLine="420" w:firstLineChars="200"/>
        <w:rPr>
          <w:kern w:val="2"/>
          <w:sz w:val="21"/>
          <w:szCs w:val="21"/>
          <w:highlight w:val="none"/>
        </w:rPr>
      </w:pPr>
      <w:r>
        <w:rPr>
          <w:kern w:val="2"/>
          <w:sz w:val="21"/>
          <w:szCs w:val="21"/>
          <w:highlight w:val="none"/>
        </w:rPr>
        <w:t>按照《地表水自动监测技术规范》（HJ 915-2017）及参照国家总站相关要求，仪器质控须达到以下要求：</w:t>
      </w:r>
    </w:p>
    <w:p>
      <w:pPr>
        <w:numPr>
          <w:ilvl w:val="0"/>
          <w:numId w:val="33"/>
        </w:numPr>
        <w:spacing w:line="360" w:lineRule="auto"/>
        <w:ind w:left="0" w:firstLine="420" w:firstLineChars="200"/>
        <w:rPr>
          <w:kern w:val="2"/>
          <w:sz w:val="21"/>
          <w:szCs w:val="21"/>
          <w:highlight w:val="none"/>
        </w:rPr>
      </w:pPr>
      <w:r>
        <w:rPr>
          <w:kern w:val="2"/>
          <w:sz w:val="21"/>
          <w:szCs w:val="21"/>
          <w:highlight w:val="none"/>
        </w:rPr>
        <w:t>中标方定期对本单位开展地表水自动监测人员进行技术培训和技术指导，培训情况报</w:t>
      </w:r>
      <w:r>
        <w:rPr>
          <w:rFonts w:hint="eastAsia"/>
          <w:kern w:val="2"/>
          <w:sz w:val="21"/>
          <w:szCs w:val="21"/>
          <w:highlight w:val="none"/>
        </w:rPr>
        <w:t>送</w:t>
      </w:r>
      <w:r>
        <w:rPr>
          <w:kern w:val="2"/>
          <w:sz w:val="21"/>
          <w:szCs w:val="21"/>
          <w:highlight w:val="none"/>
        </w:rPr>
        <w:t>招标方备案。</w:t>
      </w:r>
    </w:p>
    <w:p>
      <w:pPr>
        <w:numPr>
          <w:ilvl w:val="0"/>
          <w:numId w:val="33"/>
        </w:numPr>
        <w:spacing w:line="360" w:lineRule="auto"/>
        <w:ind w:left="0" w:firstLine="420" w:firstLineChars="200"/>
        <w:rPr>
          <w:kern w:val="2"/>
          <w:sz w:val="21"/>
          <w:szCs w:val="21"/>
          <w:highlight w:val="none"/>
        </w:rPr>
      </w:pPr>
      <w:r>
        <w:rPr>
          <w:kern w:val="2"/>
          <w:sz w:val="21"/>
          <w:szCs w:val="21"/>
          <w:highlight w:val="none"/>
        </w:rPr>
        <w:t>中标方负责履行</w:t>
      </w:r>
      <w:r>
        <w:rPr>
          <w:rFonts w:hint="eastAsia"/>
          <w:kern w:val="2"/>
          <w:sz w:val="21"/>
          <w:szCs w:val="21"/>
          <w:highlight w:val="none"/>
        </w:rPr>
        <w:t>中标</w:t>
      </w:r>
      <w:r>
        <w:rPr>
          <w:kern w:val="2"/>
          <w:sz w:val="21"/>
          <w:szCs w:val="21"/>
          <w:highlight w:val="none"/>
        </w:rPr>
        <w:t>仪器日常运行的质量管理和技术要求，确保仪器质量保证和控制措施落实到位，仪器数据质量准确可靠。</w:t>
      </w:r>
    </w:p>
    <w:p>
      <w:pPr>
        <w:numPr>
          <w:ilvl w:val="0"/>
          <w:numId w:val="33"/>
        </w:numPr>
        <w:spacing w:line="360" w:lineRule="auto"/>
        <w:ind w:left="0" w:firstLine="420" w:firstLineChars="200"/>
        <w:rPr>
          <w:kern w:val="2"/>
          <w:sz w:val="21"/>
          <w:szCs w:val="21"/>
          <w:highlight w:val="none"/>
        </w:rPr>
      </w:pPr>
      <w:r>
        <w:rPr>
          <w:kern w:val="2"/>
          <w:sz w:val="21"/>
          <w:szCs w:val="21"/>
          <w:highlight w:val="none"/>
        </w:rPr>
        <w:t>中标方须按照招标方的要求，对仪器实施“日监控、周运维”的日常运行维护质控管理。</w:t>
      </w:r>
    </w:p>
    <w:p>
      <w:pPr>
        <w:numPr>
          <w:ilvl w:val="0"/>
          <w:numId w:val="33"/>
        </w:numPr>
        <w:spacing w:line="360" w:lineRule="auto"/>
        <w:ind w:left="0" w:firstLine="420" w:firstLineChars="200"/>
        <w:rPr>
          <w:kern w:val="2"/>
          <w:sz w:val="21"/>
          <w:szCs w:val="21"/>
          <w:highlight w:val="none"/>
        </w:rPr>
      </w:pPr>
      <w:r>
        <w:rPr>
          <w:kern w:val="2"/>
          <w:sz w:val="21"/>
          <w:szCs w:val="21"/>
          <w:highlight w:val="none"/>
        </w:rPr>
        <w:t>中标方应严格按照招标方的要求，落实仪器比对、核查等质量管理措施。委托有资质的环境监测机构使用国家标准分析方法进行比对</w:t>
      </w:r>
      <w:r>
        <w:rPr>
          <w:rFonts w:hint="eastAsia"/>
          <w:kern w:val="2"/>
          <w:sz w:val="21"/>
          <w:szCs w:val="21"/>
          <w:highlight w:val="none"/>
        </w:rPr>
        <w:t>，</w:t>
      </w:r>
      <w:r>
        <w:rPr>
          <w:kern w:val="2"/>
          <w:sz w:val="21"/>
          <w:szCs w:val="21"/>
          <w:highlight w:val="none"/>
        </w:rPr>
        <w:t>标样核查监测</w:t>
      </w:r>
      <w:r>
        <w:rPr>
          <w:rFonts w:hint="eastAsia"/>
          <w:kern w:val="2"/>
          <w:sz w:val="21"/>
          <w:szCs w:val="21"/>
          <w:highlight w:val="none"/>
        </w:rPr>
        <w:t>由中标方自行组织完成</w:t>
      </w:r>
      <w:r>
        <w:rPr>
          <w:kern w:val="2"/>
          <w:sz w:val="21"/>
          <w:szCs w:val="21"/>
          <w:highlight w:val="none"/>
        </w:rPr>
        <w:t>。</w:t>
      </w:r>
    </w:p>
    <w:p>
      <w:pPr>
        <w:spacing w:line="360" w:lineRule="auto"/>
        <w:ind w:firstLine="420" w:firstLineChars="200"/>
        <w:rPr>
          <w:highlight w:val="none"/>
        </w:rPr>
      </w:pPr>
      <w:bookmarkStart w:id="38" w:name="_Hlk92872972"/>
      <w:r>
        <w:rPr>
          <w:kern w:val="2"/>
          <w:sz w:val="21"/>
          <w:szCs w:val="21"/>
          <w:highlight w:val="none"/>
        </w:rPr>
        <w:t>每月进行1次重金属在线监测仪器（ICP-MS）20项监测因子包括：铜、锌、硒、砷、汞、镉、铬、铅、铁、锰、钼、钴、铍、硼、锑、镍、钡、钒、铊、钛的国家标准分析方法与自动监测的比对实验，自动监测数据与实验室同步分析实际水样测试数据进行比对；比对实验结果相对误差按照《地表水自动监测技术规范》（HJ 915-2017）或参照国家总站最新规定执行</w:t>
      </w:r>
      <w:r>
        <w:rPr>
          <w:rFonts w:hint="eastAsia"/>
          <w:kern w:val="2"/>
          <w:sz w:val="21"/>
          <w:szCs w:val="21"/>
          <w:highlight w:val="none"/>
        </w:rPr>
        <w:t>，标准物质核查由中标方自行组织完成</w:t>
      </w:r>
      <w:r>
        <w:rPr>
          <w:kern w:val="2"/>
          <w:sz w:val="21"/>
          <w:szCs w:val="21"/>
          <w:highlight w:val="none"/>
        </w:rPr>
        <w:t>。</w:t>
      </w:r>
      <w:r>
        <w:rPr>
          <w:rFonts w:hint="eastAsia"/>
          <w:kern w:val="2"/>
          <w:sz w:val="21"/>
          <w:szCs w:val="21"/>
          <w:highlight w:val="none"/>
        </w:rPr>
        <w:t>招标方</w:t>
      </w:r>
      <w:r>
        <w:rPr>
          <w:kern w:val="2"/>
          <w:sz w:val="21"/>
          <w:szCs w:val="21"/>
          <w:highlight w:val="none"/>
        </w:rPr>
        <w:t>每月</w:t>
      </w:r>
      <w:r>
        <w:rPr>
          <w:rFonts w:hint="eastAsia"/>
          <w:kern w:val="2"/>
          <w:sz w:val="21"/>
          <w:szCs w:val="21"/>
          <w:highlight w:val="none"/>
        </w:rPr>
        <w:t>到现场</w:t>
      </w:r>
      <w:r>
        <w:rPr>
          <w:kern w:val="2"/>
          <w:sz w:val="21"/>
          <w:szCs w:val="21"/>
          <w:highlight w:val="none"/>
        </w:rPr>
        <w:t>进行一次重金属在线监测仪器（ICP-MS）</w:t>
      </w:r>
      <w:r>
        <w:rPr>
          <w:rFonts w:hint="eastAsia"/>
          <w:kern w:val="2"/>
          <w:sz w:val="21"/>
          <w:szCs w:val="21"/>
          <w:highlight w:val="none"/>
        </w:rPr>
        <w:t>20项因子中的锑</w:t>
      </w:r>
      <w:r>
        <w:rPr>
          <w:rFonts w:hint="eastAsia"/>
          <w:kern w:val="2"/>
          <w:sz w:val="21"/>
          <w:szCs w:val="21"/>
          <w:highlight w:val="none"/>
          <w:lang w:eastAsia="zh-CN"/>
        </w:rPr>
        <w:t>、</w:t>
      </w:r>
      <w:r>
        <w:rPr>
          <w:rFonts w:hint="eastAsia"/>
          <w:kern w:val="2"/>
          <w:sz w:val="21"/>
          <w:szCs w:val="21"/>
          <w:highlight w:val="none"/>
          <w:lang w:val="en-US" w:eastAsia="zh-CN"/>
        </w:rPr>
        <w:t>铜、铅、锌</w:t>
      </w:r>
      <w:r>
        <w:rPr>
          <w:rFonts w:hint="eastAsia"/>
          <w:kern w:val="2"/>
          <w:sz w:val="21"/>
          <w:szCs w:val="21"/>
          <w:highlight w:val="none"/>
        </w:rPr>
        <w:t>等相关因子进行同步比对监测；招标方可根据水质在线监测因子数据情况，每月对</w:t>
      </w:r>
      <w:r>
        <w:rPr>
          <w:kern w:val="2"/>
          <w:sz w:val="21"/>
          <w:szCs w:val="21"/>
          <w:highlight w:val="none"/>
        </w:rPr>
        <w:t>20项监测因子</w:t>
      </w:r>
      <w:r>
        <w:rPr>
          <w:rFonts w:hint="eastAsia"/>
          <w:kern w:val="2"/>
          <w:sz w:val="21"/>
          <w:szCs w:val="21"/>
          <w:highlight w:val="none"/>
        </w:rPr>
        <w:t>中的全部因子或几项因子进行</w:t>
      </w:r>
      <w:r>
        <w:rPr>
          <w:kern w:val="2"/>
          <w:sz w:val="21"/>
          <w:szCs w:val="21"/>
          <w:highlight w:val="none"/>
        </w:rPr>
        <w:t>一次</w:t>
      </w:r>
      <w:r>
        <w:rPr>
          <w:rFonts w:hint="eastAsia"/>
          <w:kern w:val="2"/>
          <w:sz w:val="21"/>
          <w:szCs w:val="21"/>
          <w:highlight w:val="none"/>
        </w:rPr>
        <w:t>或多次</w:t>
      </w:r>
      <w:r>
        <w:rPr>
          <w:kern w:val="2"/>
          <w:sz w:val="21"/>
          <w:szCs w:val="21"/>
          <w:highlight w:val="none"/>
        </w:rPr>
        <w:t>标准物质核查。</w:t>
      </w:r>
    </w:p>
    <w:bookmarkEnd w:id="38"/>
    <w:p>
      <w:pPr>
        <w:numPr>
          <w:ilvl w:val="0"/>
          <w:numId w:val="33"/>
        </w:numPr>
        <w:spacing w:line="360" w:lineRule="auto"/>
        <w:ind w:left="0" w:firstLine="420" w:firstLineChars="200"/>
        <w:rPr>
          <w:kern w:val="2"/>
          <w:sz w:val="21"/>
          <w:szCs w:val="21"/>
          <w:highlight w:val="none"/>
        </w:rPr>
      </w:pPr>
      <w:r>
        <w:rPr>
          <w:kern w:val="2"/>
          <w:sz w:val="21"/>
          <w:szCs w:val="21"/>
          <w:highlight w:val="none"/>
        </w:rPr>
        <w:t>在线监测仪器期间核查</w:t>
      </w:r>
    </w:p>
    <w:p>
      <w:pPr>
        <w:numPr>
          <w:ilvl w:val="1"/>
          <w:numId w:val="34"/>
        </w:numPr>
        <w:spacing w:line="360" w:lineRule="auto"/>
        <w:ind w:left="0" w:firstLine="420" w:firstLineChars="200"/>
        <w:rPr>
          <w:kern w:val="2"/>
          <w:sz w:val="21"/>
          <w:szCs w:val="21"/>
          <w:highlight w:val="none"/>
        </w:rPr>
      </w:pPr>
      <w:r>
        <w:rPr>
          <w:kern w:val="2"/>
          <w:sz w:val="21"/>
          <w:szCs w:val="21"/>
          <w:highlight w:val="none"/>
        </w:rPr>
        <w:t>中标方</w:t>
      </w:r>
      <w:r>
        <w:rPr>
          <w:rFonts w:hint="eastAsia"/>
          <w:kern w:val="2"/>
          <w:sz w:val="21"/>
          <w:szCs w:val="21"/>
          <w:highlight w:val="none"/>
          <w:lang w:val="en-US" w:eastAsia="zh-CN"/>
        </w:rPr>
        <w:t>每半年</w:t>
      </w:r>
      <w:r>
        <w:rPr>
          <w:kern w:val="2"/>
          <w:sz w:val="21"/>
          <w:szCs w:val="21"/>
          <w:highlight w:val="none"/>
        </w:rPr>
        <w:t>对重金属在线监测仪器（ICP-MS）进行1次期间核查。</w:t>
      </w:r>
    </w:p>
    <w:p>
      <w:pPr>
        <w:numPr>
          <w:ilvl w:val="1"/>
          <w:numId w:val="34"/>
        </w:numPr>
        <w:spacing w:line="360" w:lineRule="auto"/>
        <w:ind w:left="0" w:firstLine="420" w:firstLineChars="200"/>
        <w:rPr>
          <w:kern w:val="2"/>
          <w:sz w:val="21"/>
          <w:szCs w:val="21"/>
          <w:highlight w:val="none"/>
        </w:rPr>
      </w:pPr>
      <w:r>
        <w:rPr>
          <w:kern w:val="2"/>
          <w:sz w:val="21"/>
          <w:szCs w:val="21"/>
          <w:highlight w:val="none"/>
        </w:rPr>
        <w:t>中标方应定期维护仪器设备，在仪器发生故障时，能及时发现和维修，修复后及时</w:t>
      </w:r>
      <w:r>
        <w:rPr>
          <w:rFonts w:hint="eastAsia"/>
          <w:kern w:val="2"/>
          <w:sz w:val="21"/>
          <w:szCs w:val="21"/>
          <w:highlight w:val="none"/>
        </w:rPr>
        <w:t>对</w:t>
      </w:r>
      <w:r>
        <w:rPr>
          <w:kern w:val="2"/>
          <w:sz w:val="21"/>
          <w:szCs w:val="21"/>
          <w:highlight w:val="none"/>
        </w:rPr>
        <w:t>仪器进行重新检定或校准，并进行仪器性能测试，确保监测仪器在正常状态下工作。</w:t>
      </w:r>
    </w:p>
    <w:p>
      <w:pPr>
        <w:numPr>
          <w:ilvl w:val="0"/>
          <w:numId w:val="33"/>
        </w:numPr>
        <w:spacing w:line="360" w:lineRule="auto"/>
        <w:ind w:left="0" w:firstLine="420" w:firstLineChars="200"/>
        <w:rPr>
          <w:kern w:val="2"/>
          <w:sz w:val="21"/>
          <w:szCs w:val="21"/>
          <w:highlight w:val="none"/>
        </w:rPr>
      </w:pPr>
      <w:r>
        <w:rPr>
          <w:kern w:val="2"/>
          <w:sz w:val="21"/>
          <w:szCs w:val="21"/>
          <w:highlight w:val="none"/>
        </w:rPr>
        <w:t>在线监测仪器性能测试</w:t>
      </w:r>
    </w:p>
    <w:p>
      <w:pPr>
        <w:numPr>
          <w:ilvl w:val="1"/>
          <w:numId w:val="35"/>
        </w:numPr>
        <w:spacing w:line="360" w:lineRule="auto"/>
        <w:ind w:left="0" w:firstLine="420" w:firstLineChars="200"/>
        <w:rPr>
          <w:kern w:val="2"/>
          <w:sz w:val="21"/>
          <w:szCs w:val="21"/>
          <w:highlight w:val="none"/>
        </w:rPr>
      </w:pPr>
      <w:r>
        <w:rPr>
          <w:kern w:val="2"/>
          <w:sz w:val="21"/>
          <w:szCs w:val="21"/>
          <w:highlight w:val="none"/>
        </w:rPr>
        <w:t>精密度和准确度：按照《地表水自动监测技术规范》（HJ 915-2017）执行。</w:t>
      </w:r>
    </w:p>
    <w:p>
      <w:pPr>
        <w:numPr>
          <w:ilvl w:val="1"/>
          <w:numId w:val="35"/>
        </w:numPr>
        <w:spacing w:line="360" w:lineRule="auto"/>
        <w:ind w:left="0" w:firstLine="420" w:firstLineChars="200"/>
        <w:rPr>
          <w:kern w:val="2"/>
          <w:sz w:val="21"/>
          <w:szCs w:val="21"/>
          <w:highlight w:val="none"/>
        </w:rPr>
      </w:pPr>
      <w:r>
        <w:rPr>
          <w:kern w:val="2"/>
          <w:sz w:val="21"/>
          <w:szCs w:val="21"/>
          <w:highlight w:val="none"/>
        </w:rPr>
        <w:t>中标方每半年按照仪器说明书要求对监测仪器进行1次多点校准。</w:t>
      </w:r>
    </w:p>
    <w:p>
      <w:pPr>
        <w:numPr>
          <w:ilvl w:val="0"/>
          <w:numId w:val="32"/>
        </w:numPr>
        <w:spacing w:line="360" w:lineRule="auto"/>
        <w:ind w:left="0" w:firstLine="420" w:firstLineChars="200"/>
        <w:rPr>
          <w:kern w:val="2"/>
          <w:sz w:val="21"/>
          <w:szCs w:val="21"/>
          <w:highlight w:val="none"/>
        </w:rPr>
      </w:pPr>
      <w:r>
        <w:rPr>
          <w:kern w:val="2"/>
          <w:sz w:val="21"/>
          <w:szCs w:val="21"/>
          <w:highlight w:val="none"/>
        </w:rPr>
        <w:t>试剂质量要求</w:t>
      </w:r>
    </w:p>
    <w:p>
      <w:pPr>
        <w:spacing w:line="360" w:lineRule="auto"/>
        <w:ind w:firstLine="420" w:firstLineChars="200"/>
        <w:rPr>
          <w:kern w:val="2"/>
          <w:sz w:val="21"/>
          <w:szCs w:val="21"/>
          <w:highlight w:val="none"/>
        </w:rPr>
      </w:pPr>
      <w:r>
        <w:rPr>
          <w:kern w:val="2"/>
          <w:sz w:val="21"/>
          <w:szCs w:val="21"/>
          <w:highlight w:val="none"/>
        </w:rPr>
        <w:t>重金属在线监测仪（ICP-MS）所用试剂必须为优级纯级别，在质量保质期内；所用纯水或超纯水须达到国家标准相关技术要求，所用试剂须为有实验室资质的实验室配置，或者有资质的厂家供应，并注明试剂名称、有效期等重要信息。</w:t>
      </w:r>
    </w:p>
    <w:p>
      <w:pPr>
        <w:numPr>
          <w:ilvl w:val="0"/>
          <w:numId w:val="32"/>
        </w:numPr>
        <w:spacing w:line="360" w:lineRule="auto"/>
        <w:ind w:left="0" w:firstLine="420" w:firstLineChars="200"/>
        <w:rPr>
          <w:kern w:val="2"/>
          <w:sz w:val="21"/>
          <w:szCs w:val="21"/>
          <w:highlight w:val="none"/>
        </w:rPr>
      </w:pPr>
      <w:r>
        <w:rPr>
          <w:kern w:val="2"/>
          <w:sz w:val="21"/>
          <w:szCs w:val="21"/>
          <w:highlight w:val="none"/>
        </w:rPr>
        <w:t>质量控制监督检查</w:t>
      </w:r>
    </w:p>
    <w:p>
      <w:pPr>
        <w:numPr>
          <w:ilvl w:val="1"/>
          <w:numId w:val="36"/>
        </w:numPr>
        <w:spacing w:line="360" w:lineRule="auto"/>
        <w:ind w:left="0" w:firstLine="420" w:firstLineChars="200"/>
        <w:rPr>
          <w:kern w:val="2"/>
          <w:sz w:val="21"/>
          <w:szCs w:val="21"/>
          <w:highlight w:val="none"/>
        </w:rPr>
      </w:pPr>
      <w:r>
        <w:rPr>
          <w:kern w:val="2"/>
          <w:sz w:val="21"/>
          <w:szCs w:val="21"/>
          <w:highlight w:val="none"/>
        </w:rPr>
        <w:t>招标方对中标方运维仪器的运行情况、自动监测数据质量进行定期或不定期的专项检查。</w:t>
      </w:r>
    </w:p>
    <w:p>
      <w:pPr>
        <w:numPr>
          <w:ilvl w:val="1"/>
          <w:numId w:val="36"/>
        </w:numPr>
        <w:spacing w:line="360" w:lineRule="auto"/>
        <w:ind w:left="0" w:firstLine="420" w:firstLineChars="200"/>
        <w:rPr>
          <w:kern w:val="2"/>
          <w:sz w:val="21"/>
          <w:szCs w:val="21"/>
          <w:highlight w:val="none"/>
        </w:rPr>
      </w:pPr>
      <w:r>
        <w:rPr>
          <w:kern w:val="2"/>
          <w:sz w:val="21"/>
          <w:szCs w:val="21"/>
          <w:highlight w:val="none"/>
        </w:rPr>
        <w:t>招标方对中标方运维仪器实施现场质量管理检查与现场质控考核的飞行巡检。飞行检查包括国家、省厅各种现场检查。</w:t>
      </w:r>
    </w:p>
    <w:p>
      <w:pPr>
        <w:numPr>
          <w:ilvl w:val="1"/>
          <w:numId w:val="36"/>
        </w:numPr>
        <w:spacing w:line="360" w:lineRule="auto"/>
        <w:ind w:left="0" w:firstLine="420" w:firstLineChars="200"/>
        <w:rPr>
          <w:kern w:val="2"/>
          <w:sz w:val="21"/>
          <w:szCs w:val="21"/>
          <w:highlight w:val="none"/>
        </w:rPr>
      </w:pPr>
      <w:r>
        <w:rPr>
          <w:kern w:val="2"/>
          <w:sz w:val="21"/>
          <w:szCs w:val="21"/>
          <w:highlight w:val="none"/>
        </w:rPr>
        <w:t>招标方对中标方不定期进行能力验证考核。</w:t>
      </w:r>
    </w:p>
    <w:p>
      <w:pPr>
        <w:numPr>
          <w:ilvl w:val="1"/>
          <w:numId w:val="36"/>
        </w:numPr>
        <w:spacing w:line="360" w:lineRule="auto"/>
        <w:ind w:left="0" w:firstLine="420" w:firstLineChars="200"/>
        <w:rPr>
          <w:kern w:val="2"/>
          <w:sz w:val="21"/>
          <w:szCs w:val="21"/>
          <w:highlight w:val="none"/>
        </w:rPr>
      </w:pPr>
      <w:r>
        <w:rPr>
          <w:kern w:val="2"/>
          <w:sz w:val="21"/>
          <w:szCs w:val="21"/>
          <w:highlight w:val="none"/>
        </w:rPr>
        <w:t>中标方应定期对仪器所有监测因子进行水样比对检查和标液核查。按照“每月一次比对一次核查”，比对和核查应按照国家相关实验规定执行，实验数据应具有法律效力。</w:t>
      </w:r>
    </w:p>
    <w:p>
      <w:pPr>
        <w:numPr>
          <w:ilvl w:val="0"/>
          <w:numId w:val="32"/>
        </w:numPr>
        <w:spacing w:line="360" w:lineRule="auto"/>
        <w:ind w:left="0" w:firstLine="420" w:firstLineChars="200"/>
        <w:rPr>
          <w:kern w:val="2"/>
          <w:sz w:val="21"/>
          <w:szCs w:val="21"/>
          <w:highlight w:val="none"/>
        </w:rPr>
      </w:pPr>
      <w:r>
        <w:rPr>
          <w:kern w:val="2"/>
          <w:sz w:val="21"/>
          <w:szCs w:val="21"/>
          <w:highlight w:val="none"/>
        </w:rPr>
        <w:t>仪器运行异常情况报告</w:t>
      </w:r>
    </w:p>
    <w:p>
      <w:pPr>
        <w:spacing w:line="360" w:lineRule="auto"/>
        <w:ind w:firstLine="420" w:firstLineChars="200"/>
        <w:rPr>
          <w:kern w:val="2"/>
          <w:sz w:val="21"/>
          <w:szCs w:val="21"/>
          <w:highlight w:val="none"/>
        </w:rPr>
      </w:pPr>
      <w:r>
        <w:rPr>
          <w:kern w:val="2"/>
          <w:sz w:val="21"/>
          <w:szCs w:val="21"/>
          <w:highlight w:val="none"/>
        </w:rPr>
        <w:t>（1）发生下列情况导致仪器不能正常运行的，中标方应及时向招标方报告并采取相应措施：</w:t>
      </w:r>
    </w:p>
    <w:p>
      <w:pPr>
        <w:numPr>
          <w:ilvl w:val="1"/>
          <w:numId w:val="37"/>
        </w:numPr>
        <w:spacing w:line="360" w:lineRule="auto"/>
        <w:ind w:left="0" w:firstLine="420" w:firstLineChars="200"/>
        <w:rPr>
          <w:kern w:val="2"/>
          <w:sz w:val="21"/>
          <w:szCs w:val="21"/>
          <w:highlight w:val="none"/>
        </w:rPr>
      </w:pPr>
      <w:r>
        <w:rPr>
          <w:kern w:val="2"/>
          <w:sz w:val="21"/>
          <w:szCs w:val="21"/>
          <w:highlight w:val="none"/>
        </w:rPr>
        <w:t>仪器所在地进行建设施工，仪器在短期内无法运行的。</w:t>
      </w:r>
    </w:p>
    <w:p>
      <w:pPr>
        <w:numPr>
          <w:ilvl w:val="1"/>
          <w:numId w:val="37"/>
        </w:numPr>
        <w:spacing w:line="360" w:lineRule="auto"/>
        <w:ind w:left="0" w:firstLine="420" w:firstLineChars="200"/>
        <w:rPr>
          <w:kern w:val="2"/>
          <w:sz w:val="21"/>
          <w:szCs w:val="21"/>
          <w:highlight w:val="none"/>
        </w:rPr>
      </w:pPr>
      <w:r>
        <w:rPr>
          <w:kern w:val="2"/>
          <w:sz w:val="21"/>
          <w:szCs w:val="21"/>
          <w:highlight w:val="none"/>
        </w:rPr>
        <w:t>仪器所在地供电系统发生故障，影响仪器运行的。</w:t>
      </w:r>
    </w:p>
    <w:p>
      <w:pPr>
        <w:numPr>
          <w:ilvl w:val="1"/>
          <w:numId w:val="37"/>
        </w:numPr>
        <w:spacing w:line="360" w:lineRule="auto"/>
        <w:ind w:left="0" w:firstLine="420" w:firstLineChars="200"/>
        <w:rPr>
          <w:kern w:val="2"/>
          <w:sz w:val="21"/>
          <w:szCs w:val="21"/>
          <w:highlight w:val="none"/>
        </w:rPr>
      </w:pPr>
      <w:r>
        <w:rPr>
          <w:kern w:val="2"/>
          <w:sz w:val="21"/>
          <w:szCs w:val="21"/>
          <w:highlight w:val="none"/>
        </w:rPr>
        <w:t>取水河段断流、河槽改道无法取水或水深低于50厘米影响取水水质的。</w:t>
      </w:r>
    </w:p>
    <w:p>
      <w:pPr>
        <w:numPr>
          <w:ilvl w:val="1"/>
          <w:numId w:val="37"/>
        </w:numPr>
        <w:spacing w:line="360" w:lineRule="auto"/>
        <w:ind w:left="0" w:firstLine="420" w:firstLineChars="200"/>
        <w:rPr>
          <w:kern w:val="2"/>
          <w:sz w:val="21"/>
          <w:szCs w:val="21"/>
          <w:highlight w:val="none"/>
        </w:rPr>
      </w:pPr>
      <w:r>
        <w:rPr>
          <w:kern w:val="2"/>
          <w:sz w:val="21"/>
          <w:szCs w:val="21"/>
          <w:highlight w:val="none"/>
        </w:rPr>
        <w:t>仪器系统发生故障，在短时间内不能恢复的。</w:t>
      </w:r>
    </w:p>
    <w:p>
      <w:pPr>
        <w:numPr>
          <w:ilvl w:val="1"/>
          <w:numId w:val="37"/>
        </w:numPr>
        <w:spacing w:line="360" w:lineRule="auto"/>
        <w:ind w:left="0" w:firstLine="420" w:firstLineChars="200"/>
        <w:rPr>
          <w:kern w:val="2"/>
          <w:sz w:val="21"/>
          <w:szCs w:val="21"/>
          <w:highlight w:val="none"/>
        </w:rPr>
      </w:pPr>
      <w:r>
        <w:rPr>
          <w:kern w:val="2"/>
          <w:sz w:val="21"/>
          <w:szCs w:val="21"/>
          <w:highlight w:val="none"/>
        </w:rPr>
        <w:t>仪器上游人为采取措施，阻断来水，影响水质监测的。</w:t>
      </w:r>
    </w:p>
    <w:p>
      <w:pPr>
        <w:numPr>
          <w:ilvl w:val="1"/>
          <w:numId w:val="37"/>
        </w:numPr>
        <w:spacing w:line="360" w:lineRule="auto"/>
        <w:ind w:left="0" w:firstLine="420" w:firstLineChars="200"/>
        <w:rPr>
          <w:kern w:val="2"/>
          <w:sz w:val="21"/>
          <w:szCs w:val="21"/>
          <w:highlight w:val="none"/>
        </w:rPr>
      </w:pPr>
      <w:r>
        <w:rPr>
          <w:kern w:val="2"/>
          <w:sz w:val="21"/>
          <w:szCs w:val="21"/>
          <w:highlight w:val="none"/>
        </w:rPr>
        <w:t>出现人为干扰和可能干扰仪器自动监测数据质量的行为。</w:t>
      </w:r>
    </w:p>
    <w:p>
      <w:pPr>
        <w:numPr>
          <w:ilvl w:val="1"/>
          <w:numId w:val="37"/>
        </w:numPr>
        <w:spacing w:line="360" w:lineRule="auto"/>
        <w:ind w:left="0" w:firstLine="420" w:firstLineChars="200"/>
        <w:rPr>
          <w:kern w:val="2"/>
          <w:sz w:val="21"/>
          <w:szCs w:val="21"/>
          <w:highlight w:val="none"/>
        </w:rPr>
      </w:pPr>
      <w:r>
        <w:rPr>
          <w:kern w:val="2"/>
          <w:sz w:val="21"/>
          <w:szCs w:val="21"/>
          <w:highlight w:val="none"/>
        </w:rPr>
        <w:t>出现《环境监测数据弄虚作假行为判定及处理办法》（生态环境部发布）中定义的弄虚作假行为的。</w:t>
      </w:r>
    </w:p>
    <w:p>
      <w:pPr>
        <w:spacing w:line="360" w:lineRule="auto"/>
        <w:ind w:firstLine="420" w:firstLineChars="200"/>
        <w:rPr>
          <w:kern w:val="2"/>
          <w:sz w:val="21"/>
          <w:szCs w:val="21"/>
          <w:highlight w:val="none"/>
        </w:rPr>
      </w:pPr>
      <w:r>
        <w:rPr>
          <w:kern w:val="2"/>
          <w:sz w:val="21"/>
          <w:szCs w:val="21"/>
          <w:highlight w:val="none"/>
        </w:rPr>
        <w:t>（2）仪器故障，导致超过48小时无自动监测数据时，中标方须提供备机或</w:t>
      </w:r>
      <w:r>
        <w:rPr>
          <w:rFonts w:hint="eastAsia"/>
          <w:kern w:val="2"/>
          <w:sz w:val="21"/>
          <w:szCs w:val="21"/>
          <w:highlight w:val="none"/>
          <w:lang w:val="en-US" w:eastAsia="zh-CN"/>
        </w:rPr>
        <w:t>对该断面</w:t>
      </w:r>
      <w:r>
        <w:rPr>
          <w:kern w:val="2"/>
          <w:sz w:val="21"/>
          <w:szCs w:val="21"/>
          <w:highlight w:val="none"/>
        </w:rPr>
        <w:t>每</w:t>
      </w:r>
      <w:r>
        <w:rPr>
          <w:rFonts w:hint="eastAsia"/>
          <w:kern w:val="2"/>
          <w:sz w:val="21"/>
          <w:szCs w:val="21"/>
          <w:highlight w:val="none"/>
          <w:lang w:val="en-US" w:eastAsia="zh-CN"/>
        </w:rPr>
        <w:t>天至少1次20项因子全分析</w:t>
      </w:r>
      <w:r>
        <w:rPr>
          <w:kern w:val="2"/>
          <w:sz w:val="21"/>
          <w:szCs w:val="21"/>
          <w:highlight w:val="none"/>
        </w:rPr>
        <w:t>，两次分析数据至少间隔48小时。</w:t>
      </w:r>
    </w:p>
    <w:p>
      <w:pPr>
        <w:spacing w:line="360" w:lineRule="auto"/>
        <w:ind w:firstLine="420" w:firstLineChars="200"/>
        <w:rPr>
          <w:kern w:val="2"/>
          <w:sz w:val="21"/>
          <w:szCs w:val="21"/>
          <w:highlight w:val="none"/>
        </w:rPr>
      </w:pPr>
      <w:r>
        <w:rPr>
          <w:kern w:val="2"/>
          <w:sz w:val="21"/>
          <w:szCs w:val="21"/>
          <w:highlight w:val="none"/>
        </w:rPr>
        <w:t>（3）在线分析仪器及仪器各系统备品备件、易耗品按照仪器说明书进行定时更换和按需更换。</w:t>
      </w:r>
    </w:p>
    <w:p>
      <w:pPr>
        <w:numPr>
          <w:ilvl w:val="0"/>
          <w:numId w:val="32"/>
        </w:numPr>
        <w:spacing w:line="360" w:lineRule="auto"/>
        <w:ind w:left="0" w:firstLine="420" w:firstLineChars="200"/>
        <w:rPr>
          <w:kern w:val="2"/>
          <w:sz w:val="21"/>
          <w:szCs w:val="21"/>
          <w:highlight w:val="none"/>
        </w:rPr>
      </w:pPr>
      <w:r>
        <w:rPr>
          <w:kern w:val="2"/>
          <w:sz w:val="21"/>
          <w:szCs w:val="21"/>
          <w:highlight w:val="none"/>
        </w:rPr>
        <w:t>仪器运维质量技术档案管理</w:t>
      </w:r>
    </w:p>
    <w:p>
      <w:pPr>
        <w:spacing w:line="360" w:lineRule="auto"/>
        <w:ind w:firstLine="420" w:firstLineChars="200"/>
        <w:rPr>
          <w:kern w:val="2"/>
          <w:sz w:val="21"/>
          <w:szCs w:val="21"/>
          <w:highlight w:val="none"/>
        </w:rPr>
      </w:pPr>
      <w:r>
        <w:rPr>
          <w:kern w:val="2"/>
          <w:sz w:val="21"/>
          <w:szCs w:val="21"/>
          <w:highlight w:val="none"/>
        </w:rPr>
        <w:t>（1）中标方建立仪器运维技术人员动态档案，同时报送招标方。</w:t>
      </w:r>
    </w:p>
    <w:p>
      <w:pPr>
        <w:spacing w:line="360" w:lineRule="auto"/>
        <w:ind w:firstLine="420" w:firstLineChars="200"/>
        <w:rPr>
          <w:kern w:val="2"/>
          <w:sz w:val="21"/>
          <w:szCs w:val="21"/>
          <w:highlight w:val="none"/>
        </w:rPr>
      </w:pPr>
      <w:r>
        <w:rPr>
          <w:kern w:val="2"/>
          <w:sz w:val="21"/>
          <w:szCs w:val="21"/>
          <w:highlight w:val="none"/>
        </w:rPr>
        <w:t>（2）中标方每月1次将仪器监测相关数据备份，归档保存。</w:t>
      </w:r>
    </w:p>
    <w:p>
      <w:pPr>
        <w:numPr>
          <w:ilvl w:val="0"/>
          <w:numId w:val="32"/>
        </w:numPr>
        <w:spacing w:line="360" w:lineRule="auto"/>
        <w:ind w:left="0" w:firstLine="420" w:firstLineChars="200"/>
        <w:rPr>
          <w:color w:val="000000"/>
          <w:kern w:val="2"/>
          <w:sz w:val="21"/>
          <w:szCs w:val="21"/>
          <w:highlight w:val="none"/>
        </w:rPr>
      </w:pPr>
      <w:r>
        <w:rPr>
          <w:color w:val="000000"/>
          <w:kern w:val="2"/>
          <w:sz w:val="21"/>
          <w:szCs w:val="21"/>
          <w:highlight w:val="none"/>
        </w:rPr>
        <w:t>仪器运维质量控制计划和报告</w:t>
      </w:r>
    </w:p>
    <w:p>
      <w:pPr>
        <w:spacing w:line="360" w:lineRule="auto"/>
        <w:ind w:firstLine="420" w:firstLineChars="200"/>
        <w:rPr>
          <w:color w:val="000000"/>
          <w:kern w:val="2"/>
          <w:sz w:val="21"/>
          <w:szCs w:val="21"/>
          <w:highlight w:val="none"/>
        </w:rPr>
      </w:pPr>
      <w:r>
        <w:rPr>
          <w:color w:val="000000"/>
          <w:kern w:val="2"/>
          <w:sz w:val="21"/>
          <w:szCs w:val="21"/>
          <w:highlight w:val="none"/>
        </w:rPr>
        <w:t>中标方应按招标方要求认真编写仪器运维质量控制报告；每月结束</w:t>
      </w:r>
      <w:r>
        <w:rPr>
          <w:rFonts w:hint="eastAsia"/>
          <w:color w:val="000000"/>
          <w:kern w:val="2"/>
          <w:sz w:val="21"/>
          <w:szCs w:val="21"/>
          <w:highlight w:val="none"/>
          <w:lang w:val="en-US" w:eastAsia="zh-CN"/>
        </w:rPr>
        <w:t>后7</w:t>
      </w:r>
      <w:r>
        <w:rPr>
          <w:color w:val="000000"/>
          <w:kern w:val="2"/>
          <w:sz w:val="21"/>
          <w:szCs w:val="21"/>
          <w:highlight w:val="none"/>
        </w:rPr>
        <w:t>个工作日内编写、报送仪器运维考核报告。</w:t>
      </w:r>
    </w:p>
    <w:p>
      <w:pPr>
        <w:spacing w:line="360" w:lineRule="auto"/>
        <w:ind w:firstLine="420" w:firstLineChars="200"/>
        <w:rPr>
          <w:kern w:val="2"/>
          <w:sz w:val="21"/>
          <w:szCs w:val="21"/>
          <w:highlight w:val="none"/>
        </w:rPr>
      </w:pPr>
      <w:bookmarkStart w:id="39" w:name="_Hlk123801343"/>
      <w:r>
        <w:rPr>
          <w:kern w:val="2"/>
          <w:sz w:val="21"/>
          <w:szCs w:val="21"/>
          <w:highlight w:val="none"/>
        </w:rPr>
        <w:t>7.监测结果上报</w:t>
      </w:r>
    </w:p>
    <w:p>
      <w:pPr>
        <w:spacing w:line="360" w:lineRule="auto"/>
        <w:ind w:firstLine="420" w:firstLineChars="200"/>
        <w:rPr>
          <w:kern w:val="2"/>
          <w:sz w:val="21"/>
          <w:szCs w:val="21"/>
          <w:highlight w:val="none"/>
        </w:rPr>
      </w:pPr>
      <w:r>
        <w:rPr>
          <w:kern w:val="2"/>
          <w:sz w:val="21"/>
          <w:szCs w:val="21"/>
          <w:highlight w:val="none"/>
        </w:rPr>
        <w:t>在运维工作中，开展的常规手工比对、异常及停机运行期间的实验室水质分析监测结果应10日内完成上报，开展的运维工作的相关记录应48小时内完成上报；标液核查结果应24小时内完成上报。违反质控管理要求规定的，每次·每项扣0.5分。</w:t>
      </w:r>
    </w:p>
    <w:bookmarkEnd w:id="39"/>
    <w:p>
      <w:pPr>
        <w:spacing w:line="360" w:lineRule="auto"/>
        <w:ind w:firstLine="420" w:firstLineChars="200"/>
        <w:rPr>
          <w:kern w:val="2"/>
          <w:sz w:val="21"/>
          <w:szCs w:val="21"/>
          <w:highlight w:val="none"/>
        </w:rPr>
      </w:pPr>
      <w:bookmarkStart w:id="40" w:name="_Toc16561"/>
      <w:r>
        <w:rPr>
          <w:rFonts w:hint="eastAsia"/>
          <w:kern w:val="2"/>
          <w:sz w:val="21"/>
          <w:szCs w:val="21"/>
          <w:highlight w:val="none"/>
        </w:rPr>
        <w:t>五、管理处罚</w:t>
      </w:r>
      <w:bookmarkEnd w:id="40"/>
    </w:p>
    <w:p>
      <w:pPr>
        <w:spacing w:line="360" w:lineRule="auto"/>
        <w:ind w:firstLine="420" w:firstLineChars="200"/>
        <w:rPr>
          <w:kern w:val="2"/>
          <w:sz w:val="21"/>
          <w:szCs w:val="21"/>
          <w:highlight w:val="none"/>
        </w:rPr>
      </w:pPr>
      <w:r>
        <w:rPr>
          <w:kern w:val="2"/>
          <w:sz w:val="21"/>
          <w:szCs w:val="21"/>
          <w:highlight w:val="none"/>
        </w:rPr>
        <w:t>中标方须严格按照本办法规定开展工作。</w:t>
      </w:r>
    </w:p>
    <w:p>
      <w:pPr>
        <w:spacing w:line="360" w:lineRule="auto"/>
        <w:ind w:firstLine="420" w:firstLineChars="200"/>
        <w:rPr>
          <w:kern w:val="2"/>
          <w:sz w:val="21"/>
          <w:szCs w:val="21"/>
          <w:highlight w:val="none"/>
        </w:rPr>
      </w:pPr>
      <w:r>
        <w:rPr>
          <w:kern w:val="2"/>
          <w:sz w:val="21"/>
          <w:szCs w:val="21"/>
          <w:highlight w:val="none"/>
        </w:rPr>
        <w:t>本项“管理处罚”中的扣分是指在按照本方法对每</w:t>
      </w:r>
      <w:r>
        <w:rPr>
          <w:rFonts w:hint="eastAsia"/>
          <w:kern w:val="2"/>
          <w:sz w:val="21"/>
          <w:szCs w:val="21"/>
          <w:highlight w:val="none"/>
        </w:rPr>
        <w:t>台</w:t>
      </w:r>
      <w:r>
        <w:rPr>
          <w:kern w:val="2"/>
          <w:sz w:val="21"/>
          <w:szCs w:val="21"/>
          <w:highlight w:val="none"/>
        </w:rPr>
        <w:t>仪器进行考核后，在考核得分的基础上进行扣款；扣罚金额是指按照考核得分计算应支付运维金额后，在应支付运维金额基础上扣罚费用。</w:t>
      </w:r>
    </w:p>
    <w:p>
      <w:pPr>
        <w:spacing w:line="360" w:lineRule="auto"/>
        <w:ind w:firstLine="420" w:firstLineChars="200"/>
        <w:rPr>
          <w:kern w:val="2"/>
          <w:sz w:val="21"/>
          <w:szCs w:val="21"/>
          <w:highlight w:val="none"/>
        </w:rPr>
      </w:pPr>
      <w:r>
        <w:rPr>
          <w:kern w:val="2"/>
          <w:sz w:val="21"/>
          <w:szCs w:val="21"/>
          <w:highlight w:val="none"/>
        </w:rPr>
        <w:t>如果违反本办法规定，按照以下条款执行：</w:t>
      </w:r>
    </w:p>
    <w:p>
      <w:pPr>
        <w:numPr>
          <w:ilvl w:val="1"/>
          <w:numId w:val="38"/>
        </w:numPr>
        <w:spacing w:line="360" w:lineRule="auto"/>
        <w:ind w:left="-180" w:firstLine="420"/>
        <w:rPr>
          <w:kern w:val="2"/>
          <w:sz w:val="21"/>
          <w:szCs w:val="21"/>
          <w:highlight w:val="none"/>
        </w:rPr>
      </w:pPr>
      <w:r>
        <w:rPr>
          <w:kern w:val="2"/>
          <w:sz w:val="21"/>
          <w:szCs w:val="21"/>
          <w:highlight w:val="none"/>
        </w:rPr>
        <w:t>违反“日监控”规定相关要求，1次扣罚0.5分，扣分计入当月项目总得分中；同时扣除当月相应运维费用；</w:t>
      </w:r>
    </w:p>
    <w:p>
      <w:pPr>
        <w:numPr>
          <w:ilvl w:val="1"/>
          <w:numId w:val="38"/>
        </w:numPr>
        <w:spacing w:line="360" w:lineRule="auto"/>
        <w:ind w:left="-180" w:firstLine="420"/>
        <w:rPr>
          <w:kern w:val="2"/>
          <w:sz w:val="21"/>
          <w:szCs w:val="21"/>
          <w:highlight w:val="none"/>
        </w:rPr>
      </w:pPr>
      <w:r>
        <w:rPr>
          <w:kern w:val="2"/>
          <w:sz w:val="21"/>
          <w:szCs w:val="21"/>
          <w:highlight w:val="none"/>
        </w:rPr>
        <w:t>运维工作、环境卫生等受到</w:t>
      </w:r>
      <w:r>
        <w:rPr>
          <w:rFonts w:hint="eastAsia"/>
          <w:kern w:val="2"/>
          <w:sz w:val="21"/>
          <w:szCs w:val="21"/>
          <w:highlight w:val="none"/>
        </w:rPr>
        <w:t>上级领导部分致函</w:t>
      </w:r>
      <w:r>
        <w:rPr>
          <w:kern w:val="2"/>
          <w:sz w:val="21"/>
          <w:szCs w:val="21"/>
          <w:highlight w:val="none"/>
        </w:rPr>
        <w:t>或通报批评的</w:t>
      </w:r>
      <w:r>
        <w:rPr>
          <w:rFonts w:hint="eastAsia"/>
          <w:kern w:val="2"/>
          <w:sz w:val="21"/>
          <w:szCs w:val="21"/>
          <w:highlight w:val="none"/>
        </w:rPr>
        <w:t>，</w:t>
      </w:r>
      <w:r>
        <w:rPr>
          <w:kern w:val="2"/>
          <w:sz w:val="21"/>
          <w:szCs w:val="21"/>
          <w:highlight w:val="none"/>
        </w:rPr>
        <w:t>每次扣除运维经费5000元。</w:t>
      </w:r>
    </w:p>
    <w:p>
      <w:pPr>
        <w:numPr>
          <w:ilvl w:val="1"/>
          <w:numId w:val="38"/>
        </w:numPr>
        <w:spacing w:line="360" w:lineRule="auto"/>
        <w:ind w:left="-180" w:firstLine="420"/>
        <w:rPr>
          <w:kern w:val="2"/>
          <w:sz w:val="21"/>
          <w:szCs w:val="21"/>
          <w:highlight w:val="none"/>
        </w:rPr>
      </w:pPr>
      <w:r>
        <w:rPr>
          <w:kern w:val="2"/>
          <w:sz w:val="21"/>
          <w:szCs w:val="21"/>
          <w:highlight w:val="none"/>
        </w:rPr>
        <w:t>监测仪器设备故障超过48小时未解决</w:t>
      </w:r>
      <w:r>
        <w:rPr>
          <w:rFonts w:hint="eastAsia"/>
          <w:kern w:val="2"/>
          <w:sz w:val="21"/>
          <w:szCs w:val="21"/>
          <w:highlight w:val="none"/>
        </w:rPr>
        <w:t>且未上报的</w:t>
      </w:r>
      <w:r>
        <w:rPr>
          <w:kern w:val="2"/>
          <w:sz w:val="21"/>
          <w:szCs w:val="21"/>
          <w:highlight w:val="none"/>
        </w:rPr>
        <w:t>，扣除运行经费5000元；超过7天未恢复获取自动监测数据的，在扣罚金额同时不支付当月该</w:t>
      </w:r>
      <w:r>
        <w:rPr>
          <w:rFonts w:hint="eastAsia"/>
          <w:kern w:val="2"/>
          <w:sz w:val="21"/>
          <w:szCs w:val="21"/>
          <w:highlight w:val="none"/>
        </w:rPr>
        <w:t>仪器</w:t>
      </w:r>
      <w:r>
        <w:rPr>
          <w:kern w:val="2"/>
          <w:sz w:val="21"/>
          <w:szCs w:val="21"/>
          <w:highlight w:val="none"/>
        </w:rPr>
        <w:t>运维费用，且招标方可根据情况解除运维合同。因客观原因导致的异常，仅扣除相应时间段的运维费用；条件允许下，须提供实验室监测数据；否则视为非客观原因并处罚。</w:t>
      </w:r>
    </w:p>
    <w:p>
      <w:pPr>
        <w:numPr>
          <w:ilvl w:val="1"/>
          <w:numId w:val="38"/>
        </w:numPr>
        <w:spacing w:line="360" w:lineRule="auto"/>
        <w:ind w:left="-180" w:firstLine="420"/>
        <w:rPr>
          <w:kern w:val="2"/>
          <w:sz w:val="21"/>
          <w:szCs w:val="21"/>
          <w:highlight w:val="none"/>
        </w:rPr>
      </w:pPr>
      <w:r>
        <w:rPr>
          <w:kern w:val="2"/>
          <w:sz w:val="21"/>
          <w:szCs w:val="21"/>
          <w:highlight w:val="none"/>
        </w:rPr>
        <w:t>在对中标方进行的专项质量检查、飞行检查或招标方开展的月度质量核查中，若中标方出现质控标样考核不合格的，每</w:t>
      </w:r>
      <w:r>
        <w:rPr>
          <w:rFonts w:hint="eastAsia"/>
          <w:kern w:val="2"/>
          <w:sz w:val="21"/>
          <w:szCs w:val="21"/>
          <w:highlight w:val="none"/>
        </w:rPr>
        <w:t>台仪器每</w:t>
      </w:r>
      <w:r>
        <w:rPr>
          <w:kern w:val="2"/>
          <w:sz w:val="21"/>
          <w:szCs w:val="21"/>
          <w:highlight w:val="none"/>
        </w:rPr>
        <w:t>次扣罚金额2000元。</w:t>
      </w:r>
    </w:p>
    <w:p>
      <w:pPr>
        <w:numPr>
          <w:ilvl w:val="1"/>
          <w:numId w:val="38"/>
        </w:numPr>
        <w:spacing w:line="360" w:lineRule="auto"/>
        <w:ind w:left="-180" w:firstLine="420"/>
        <w:rPr>
          <w:kern w:val="2"/>
          <w:sz w:val="21"/>
          <w:szCs w:val="21"/>
          <w:highlight w:val="none"/>
        </w:rPr>
      </w:pPr>
      <w:r>
        <w:rPr>
          <w:kern w:val="2"/>
          <w:sz w:val="21"/>
          <w:szCs w:val="21"/>
          <w:highlight w:val="none"/>
        </w:rPr>
        <w:t>未完成招标方安排的合理工作，每次扣罚1分或本方法规定的分数，同时每项·次扣罚金额5000元。</w:t>
      </w:r>
    </w:p>
    <w:p>
      <w:pPr>
        <w:numPr>
          <w:ilvl w:val="1"/>
          <w:numId w:val="38"/>
        </w:numPr>
        <w:spacing w:line="360" w:lineRule="auto"/>
        <w:ind w:left="-180" w:firstLine="420"/>
        <w:rPr>
          <w:kern w:val="2"/>
          <w:sz w:val="21"/>
          <w:szCs w:val="21"/>
          <w:highlight w:val="none"/>
        </w:rPr>
      </w:pPr>
      <w:r>
        <w:rPr>
          <w:kern w:val="2"/>
          <w:sz w:val="21"/>
          <w:szCs w:val="21"/>
          <w:highlight w:val="none"/>
        </w:rPr>
        <w:t>如果中标方运维人员或队伍发生重大变更，无法按质开展运维工作，或者发生重大责任事故的，招标方有权提前取消运维合同；中标方须赔偿招标方损失。</w:t>
      </w:r>
    </w:p>
    <w:p>
      <w:pPr>
        <w:numPr>
          <w:ilvl w:val="1"/>
          <w:numId w:val="38"/>
        </w:numPr>
        <w:spacing w:line="360" w:lineRule="auto"/>
        <w:ind w:left="-180" w:firstLine="420"/>
        <w:rPr>
          <w:kern w:val="2"/>
          <w:sz w:val="21"/>
          <w:szCs w:val="21"/>
          <w:highlight w:val="none"/>
        </w:rPr>
      </w:pPr>
      <w:r>
        <w:rPr>
          <w:kern w:val="2"/>
          <w:sz w:val="21"/>
          <w:szCs w:val="21"/>
          <w:highlight w:val="none"/>
        </w:rPr>
        <w:t>因考核不合格解除合同前，招标方将对</w:t>
      </w:r>
      <w:r>
        <w:rPr>
          <w:rFonts w:hint="eastAsia"/>
          <w:kern w:val="2"/>
          <w:sz w:val="21"/>
          <w:szCs w:val="21"/>
          <w:highlight w:val="none"/>
        </w:rPr>
        <w:t>中标运维</w:t>
      </w:r>
      <w:r>
        <w:rPr>
          <w:kern w:val="2"/>
          <w:sz w:val="21"/>
          <w:szCs w:val="21"/>
          <w:highlight w:val="none"/>
        </w:rPr>
        <w:t>仪器</w:t>
      </w:r>
      <w:r>
        <w:rPr>
          <w:rFonts w:hint="eastAsia"/>
          <w:kern w:val="2"/>
          <w:sz w:val="21"/>
          <w:szCs w:val="21"/>
          <w:highlight w:val="none"/>
        </w:rPr>
        <w:t>进行</w:t>
      </w:r>
      <w:r>
        <w:rPr>
          <w:kern w:val="2"/>
          <w:sz w:val="21"/>
          <w:szCs w:val="21"/>
          <w:highlight w:val="none"/>
        </w:rPr>
        <w:t>性能测试，合格后方可进行仪器交接。如中标方不配合招标方工作，招标方有权</w:t>
      </w:r>
      <w:r>
        <w:rPr>
          <w:rFonts w:hint="eastAsia"/>
          <w:kern w:val="2"/>
          <w:sz w:val="21"/>
          <w:szCs w:val="21"/>
          <w:highlight w:val="none"/>
        </w:rPr>
        <w:t>上报河南省生态环境厅，</w:t>
      </w:r>
      <w:r>
        <w:rPr>
          <w:kern w:val="2"/>
          <w:sz w:val="21"/>
          <w:szCs w:val="21"/>
          <w:highlight w:val="none"/>
        </w:rPr>
        <w:t>将中标方列入不良记录名单并在河南省环保系统内进行通报。</w:t>
      </w:r>
    </w:p>
    <w:p>
      <w:pPr>
        <w:numPr>
          <w:ilvl w:val="1"/>
          <w:numId w:val="38"/>
        </w:numPr>
        <w:spacing w:line="360" w:lineRule="auto"/>
        <w:ind w:left="-180" w:firstLine="420"/>
        <w:rPr>
          <w:kern w:val="2"/>
          <w:sz w:val="21"/>
          <w:szCs w:val="21"/>
          <w:highlight w:val="none"/>
        </w:rPr>
      </w:pPr>
      <w:r>
        <w:rPr>
          <w:kern w:val="2"/>
          <w:sz w:val="21"/>
          <w:szCs w:val="21"/>
          <w:highlight w:val="none"/>
        </w:rPr>
        <w:t>一旦发现虚假数据，招标方将按照生态环境部印发的《环境监测数据弄虚作假行为判定及处理办法》（环发〔2015〕175号）、环办印发的《“十三五”环境监测质量管理工作方案》（环办监测〔2016〕104号）以及国家相关法律条款进行处理；考核结果直接得0分，招标方有权单方解除合同，且不支付任何运维费用，列入“黑名单”，并对造假行为的处理结果向社会公开。同时，招标方有权提出经济赔偿。</w:t>
      </w:r>
    </w:p>
    <w:p>
      <w:pPr>
        <w:spacing w:line="360" w:lineRule="auto"/>
        <w:ind w:firstLine="420" w:firstLineChars="200"/>
        <w:rPr>
          <w:kern w:val="2"/>
          <w:sz w:val="21"/>
          <w:szCs w:val="21"/>
          <w:highlight w:val="none"/>
        </w:rPr>
      </w:pPr>
      <w:bookmarkStart w:id="41" w:name="_Toc26650"/>
      <w:r>
        <w:rPr>
          <w:rFonts w:hint="eastAsia"/>
          <w:kern w:val="2"/>
          <w:sz w:val="21"/>
          <w:szCs w:val="21"/>
          <w:highlight w:val="none"/>
        </w:rPr>
        <w:t>六、其他</w:t>
      </w:r>
      <w:bookmarkEnd w:id="41"/>
    </w:p>
    <w:p>
      <w:pPr>
        <w:spacing w:line="360" w:lineRule="auto"/>
        <w:ind w:firstLine="420" w:firstLineChars="200"/>
        <w:rPr>
          <w:kern w:val="2"/>
          <w:sz w:val="21"/>
          <w:szCs w:val="21"/>
          <w:highlight w:val="none"/>
        </w:rPr>
        <w:sectPr>
          <w:footerReference r:id="rId37" w:type="default"/>
          <w:pgSz w:w="11906" w:h="16838"/>
          <w:pgMar w:top="1440" w:right="1800" w:bottom="1440" w:left="1800" w:header="851" w:footer="992" w:gutter="0"/>
          <w:pgNumType w:fmt="decimal"/>
          <w:cols w:space="720" w:num="1"/>
          <w:docGrid w:type="lines" w:linePitch="312" w:charSpace="0"/>
        </w:sectPr>
      </w:pPr>
      <w:r>
        <w:rPr>
          <w:kern w:val="2"/>
          <w:sz w:val="21"/>
          <w:szCs w:val="21"/>
          <w:highlight w:val="none"/>
        </w:rPr>
        <w:t>本办法由招标方负责解释。</w:t>
      </w:r>
    </w:p>
    <w:p>
      <w:pPr>
        <w:jc w:val="center"/>
        <w:rPr>
          <w:b/>
          <w:bCs/>
          <w:sz w:val="36"/>
          <w:szCs w:val="36"/>
          <w:highlight w:val="none"/>
        </w:rPr>
      </w:pPr>
      <w:bookmarkStart w:id="42" w:name="_Toc19517"/>
      <w:r>
        <w:rPr>
          <w:b/>
          <w:bCs/>
          <w:sz w:val="36"/>
          <w:szCs w:val="36"/>
          <w:highlight w:val="none"/>
        </w:rPr>
        <w:t>丹江口库区及上游重金属在线监测运行维护项目检查评分表</w:t>
      </w:r>
      <w:bookmarkEnd w:id="42"/>
    </w:p>
    <w:p>
      <w:pPr>
        <w:spacing w:line="360" w:lineRule="auto"/>
        <w:rPr>
          <w:highlight w:val="none"/>
          <w:u w:val="single"/>
        </w:rPr>
      </w:pPr>
      <w:r>
        <w:rPr>
          <w:rFonts w:cs="仿宋"/>
          <w:b/>
          <w:bCs/>
          <w:highlight w:val="none"/>
        </w:rPr>
        <w:t>站点：                   运维单位：                                  检查人员</w:t>
      </w:r>
      <w:r>
        <w:rPr>
          <w:rFonts w:cs="仿宋"/>
          <w:highlight w:val="none"/>
        </w:rPr>
        <w:t xml:space="preserve">：        </w:t>
      </w:r>
      <w:r>
        <w:rPr>
          <w:rFonts w:cs="仿宋"/>
          <w:b/>
          <w:bCs/>
          <w:highlight w:val="none"/>
        </w:rPr>
        <w:t xml:space="preserve">             检查日期</w:t>
      </w:r>
      <w:r>
        <w:rPr>
          <w:rFonts w:cs="仿宋"/>
          <w:highlight w:val="none"/>
        </w:rPr>
        <w:t xml:space="preserve">：                                  </w:t>
      </w:r>
    </w:p>
    <w:tbl>
      <w:tblPr>
        <w:tblStyle w:val="16"/>
        <w:tblW w:w="14175" w:type="dxa"/>
        <w:tblInd w:w="-10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90"/>
        <w:gridCol w:w="1418"/>
        <w:gridCol w:w="5030"/>
        <w:gridCol w:w="851"/>
        <w:gridCol w:w="709"/>
        <w:gridCol w:w="46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1490" w:type="dxa"/>
            <w:noWrap w:val="0"/>
            <w:vAlign w:val="center"/>
          </w:tcPr>
          <w:p>
            <w:pPr>
              <w:snapToGrid w:val="0"/>
              <w:rPr>
                <w:b/>
                <w:kern w:val="2"/>
                <w:sz w:val="21"/>
                <w:highlight w:val="none"/>
              </w:rPr>
            </w:pPr>
            <w:r>
              <w:rPr>
                <w:b/>
                <w:kern w:val="2"/>
                <w:sz w:val="21"/>
                <w:highlight w:val="none"/>
              </w:rPr>
              <w:t>检查内容</w:t>
            </w:r>
          </w:p>
        </w:tc>
        <w:tc>
          <w:tcPr>
            <w:tcW w:w="1418" w:type="dxa"/>
            <w:noWrap w:val="0"/>
            <w:vAlign w:val="center"/>
          </w:tcPr>
          <w:p>
            <w:pPr>
              <w:snapToGrid w:val="0"/>
              <w:rPr>
                <w:b/>
                <w:kern w:val="2"/>
                <w:sz w:val="21"/>
                <w:highlight w:val="none"/>
              </w:rPr>
            </w:pPr>
            <w:r>
              <w:rPr>
                <w:b/>
                <w:kern w:val="2"/>
                <w:sz w:val="21"/>
                <w:highlight w:val="none"/>
              </w:rPr>
              <w:t>检查项目</w:t>
            </w:r>
          </w:p>
        </w:tc>
        <w:tc>
          <w:tcPr>
            <w:tcW w:w="5030" w:type="dxa"/>
            <w:noWrap w:val="0"/>
            <w:vAlign w:val="center"/>
          </w:tcPr>
          <w:p>
            <w:pPr>
              <w:snapToGrid w:val="0"/>
              <w:rPr>
                <w:b/>
                <w:kern w:val="2"/>
                <w:sz w:val="21"/>
                <w:highlight w:val="none"/>
              </w:rPr>
            </w:pPr>
            <w:r>
              <w:rPr>
                <w:b/>
                <w:kern w:val="2"/>
                <w:sz w:val="21"/>
                <w:highlight w:val="none"/>
              </w:rPr>
              <w:t>检查要点</w:t>
            </w:r>
          </w:p>
        </w:tc>
        <w:tc>
          <w:tcPr>
            <w:tcW w:w="851" w:type="dxa"/>
            <w:noWrap w:val="0"/>
            <w:vAlign w:val="center"/>
          </w:tcPr>
          <w:p>
            <w:pPr>
              <w:snapToGrid w:val="0"/>
              <w:rPr>
                <w:b/>
                <w:kern w:val="2"/>
                <w:sz w:val="21"/>
                <w:highlight w:val="none"/>
              </w:rPr>
            </w:pPr>
            <w:r>
              <w:rPr>
                <w:b/>
                <w:kern w:val="2"/>
                <w:sz w:val="21"/>
                <w:highlight w:val="none"/>
              </w:rPr>
              <w:t>单项</w:t>
            </w:r>
          </w:p>
          <w:p>
            <w:pPr>
              <w:snapToGrid w:val="0"/>
              <w:rPr>
                <w:b/>
                <w:kern w:val="2"/>
                <w:sz w:val="21"/>
                <w:highlight w:val="none"/>
              </w:rPr>
            </w:pPr>
            <w:r>
              <w:rPr>
                <w:b/>
                <w:kern w:val="2"/>
                <w:sz w:val="21"/>
                <w:highlight w:val="none"/>
              </w:rPr>
              <w:t>分值</w:t>
            </w:r>
          </w:p>
        </w:tc>
        <w:tc>
          <w:tcPr>
            <w:tcW w:w="709" w:type="dxa"/>
            <w:noWrap w:val="0"/>
            <w:vAlign w:val="center"/>
          </w:tcPr>
          <w:p>
            <w:pPr>
              <w:snapToGrid w:val="0"/>
              <w:rPr>
                <w:b/>
                <w:kern w:val="2"/>
                <w:sz w:val="21"/>
                <w:highlight w:val="none"/>
              </w:rPr>
            </w:pPr>
            <w:r>
              <w:rPr>
                <w:b/>
                <w:kern w:val="2"/>
                <w:sz w:val="21"/>
                <w:highlight w:val="none"/>
              </w:rPr>
              <w:t>得分</w:t>
            </w:r>
          </w:p>
        </w:tc>
        <w:tc>
          <w:tcPr>
            <w:tcW w:w="4677" w:type="dxa"/>
            <w:noWrap w:val="0"/>
            <w:vAlign w:val="center"/>
          </w:tcPr>
          <w:p>
            <w:pPr>
              <w:snapToGrid w:val="0"/>
              <w:rPr>
                <w:b/>
                <w:kern w:val="2"/>
                <w:sz w:val="21"/>
                <w:highlight w:val="none"/>
              </w:rPr>
            </w:pPr>
            <w:r>
              <w:rPr>
                <w:b/>
                <w:kern w:val="2"/>
                <w:sz w:val="21"/>
                <w:highlight w:val="none"/>
              </w:rPr>
              <w:t>评分说明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Merge w:val="restart"/>
            <w:noWrap w:val="0"/>
            <w:vAlign w:val="center"/>
          </w:tcPr>
          <w:p>
            <w:pPr>
              <w:snapToGrid w:val="0"/>
              <w:rPr>
                <w:kern w:val="2"/>
                <w:sz w:val="21"/>
                <w:highlight w:val="none"/>
              </w:rPr>
            </w:pPr>
            <w:r>
              <w:rPr>
                <w:kern w:val="2"/>
                <w:sz w:val="21"/>
                <w:highlight w:val="none"/>
              </w:rPr>
              <w:t>1.仪器状态（20分）</w:t>
            </w:r>
          </w:p>
        </w:tc>
        <w:tc>
          <w:tcPr>
            <w:tcW w:w="1418" w:type="dxa"/>
            <w:vMerge w:val="restart"/>
            <w:noWrap w:val="0"/>
            <w:vAlign w:val="center"/>
          </w:tcPr>
          <w:p>
            <w:pPr>
              <w:numPr>
                <w:ilvl w:val="0"/>
                <w:numId w:val="39"/>
              </w:numPr>
              <w:snapToGrid w:val="0"/>
              <w:spacing w:line="360" w:lineRule="auto"/>
              <w:rPr>
                <w:kern w:val="2"/>
                <w:sz w:val="21"/>
                <w:highlight w:val="none"/>
              </w:rPr>
            </w:pPr>
            <w:r>
              <w:rPr>
                <w:kern w:val="2"/>
                <w:sz w:val="21"/>
                <w:highlight w:val="none"/>
              </w:rPr>
              <w:t>配水系统</w:t>
            </w:r>
          </w:p>
          <w:p>
            <w:pPr>
              <w:snapToGrid w:val="0"/>
              <w:rPr>
                <w:kern w:val="2"/>
                <w:sz w:val="21"/>
                <w:highlight w:val="none"/>
              </w:rPr>
            </w:pPr>
            <w:r>
              <w:rPr>
                <w:kern w:val="2"/>
                <w:sz w:val="21"/>
                <w:highlight w:val="none"/>
              </w:rPr>
              <w:t>（</w:t>
            </w:r>
            <w:r>
              <w:rPr>
                <w:rFonts w:hint="eastAsia"/>
                <w:kern w:val="2"/>
                <w:sz w:val="21"/>
                <w:highlight w:val="none"/>
                <w:lang w:val="en-US" w:eastAsia="zh-CN"/>
              </w:rPr>
              <w:t>2</w:t>
            </w:r>
            <w:r>
              <w:rPr>
                <w:kern w:val="2"/>
                <w:sz w:val="21"/>
                <w:highlight w:val="none"/>
              </w:rPr>
              <w:t>分）</w:t>
            </w:r>
          </w:p>
        </w:tc>
        <w:tc>
          <w:tcPr>
            <w:tcW w:w="5030" w:type="dxa"/>
            <w:noWrap w:val="0"/>
            <w:vAlign w:val="center"/>
          </w:tcPr>
          <w:p>
            <w:pPr>
              <w:snapToGrid w:val="0"/>
              <w:rPr>
                <w:rFonts w:hint="eastAsia"/>
                <w:kern w:val="2"/>
                <w:sz w:val="21"/>
                <w:highlight w:val="none"/>
              </w:rPr>
            </w:pPr>
            <w:r>
              <w:rPr>
                <w:kern w:val="2"/>
                <w:sz w:val="21"/>
                <w:highlight w:val="none"/>
              </w:rPr>
              <w:t>a）每次测试前，配水系统是否充分清洗管路，保证配水管路中水样的代表性（没有前一次水样残存）</w:t>
            </w:r>
            <w:r>
              <w:rPr>
                <w:rFonts w:hint="eastAsia"/>
                <w:kern w:val="2"/>
                <w:sz w:val="21"/>
                <w:highlight w:val="none"/>
              </w:rPr>
              <w:t>。</w:t>
            </w:r>
          </w:p>
        </w:tc>
        <w:tc>
          <w:tcPr>
            <w:tcW w:w="851" w:type="dxa"/>
            <w:noWrap w:val="0"/>
            <w:vAlign w:val="center"/>
          </w:tcPr>
          <w:p>
            <w:pPr>
              <w:snapToGrid w:val="0"/>
              <w:jc w:val="center"/>
              <w:rPr>
                <w:kern w:val="2"/>
                <w:sz w:val="21"/>
                <w:highlight w:val="none"/>
              </w:rPr>
            </w:pPr>
            <w:r>
              <w:rPr>
                <w:kern w:val="2"/>
                <w:sz w:val="21"/>
                <w:highlight w:val="none"/>
              </w:rPr>
              <w:t>1</w:t>
            </w:r>
          </w:p>
        </w:tc>
        <w:tc>
          <w:tcPr>
            <w:tcW w:w="709" w:type="dxa"/>
            <w:noWrap w:val="0"/>
            <w:vAlign w:val="center"/>
          </w:tcPr>
          <w:p>
            <w:pPr>
              <w:snapToGrid w:val="0"/>
              <w:rPr>
                <w:kern w:val="2"/>
                <w:sz w:val="21"/>
                <w:highlight w:val="none"/>
              </w:rPr>
            </w:pPr>
          </w:p>
        </w:tc>
        <w:tc>
          <w:tcPr>
            <w:tcW w:w="4677" w:type="dxa"/>
            <w:noWrap w:val="0"/>
            <w:vAlign w:val="center"/>
          </w:tcPr>
          <w:p>
            <w:pPr>
              <w:snapToGrid w:val="0"/>
              <w:rPr>
                <w:rFonts w:hint="eastAsia"/>
                <w:kern w:val="2"/>
                <w:sz w:val="21"/>
                <w:highlight w:val="none"/>
              </w:rPr>
            </w:pPr>
            <w:r>
              <w:rPr>
                <w:kern w:val="2"/>
                <w:sz w:val="21"/>
                <w:highlight w:val="none"/>
              </w:rPr>
              <w:t>进水前</w:t>
            </w:r>
            <w:r>
              <w:rPr>
                <w:rFonts w:hint="eastAsia"/>
                <w:kern w:val="2"/>
                <w:sz w:val="21"/>
                <w:highlight w:val="none"/>
              </w:rPr>
              <w:t>进水管路</w:t>
            </w:r>
            <w:r>
              <w:rPr>
                <w:kern w:val="2"/>
                <w:sz w:val="21"/>
                <w:highlight w:val="none"/>
              </w:rPr>
              <w:t>是否能够清空：若没有清空，每次进水是否有足够时间来置换</w:t>
            </w:r>
            <w:r>
              <w:rPr>
                <w:rFonts w:hint="eastAsia"/>
                <w:kern w:val="2"/>
                <w:sz w:val="21"/>
                <w:highlight w:val="none"/>
              </w:rPr>
              <w:t>原水样</w:t>
            </w:r>
            <w:r>
              <w:rPr>
                <w:kern w:val="2"/>
                <w:sz w:val="21"/>
                <w:highlight w:val="none"/>
              </w:rPr>
              <w:t>。以上两条都无法满足的不得分</w:t>
            </w:r>
            <w:r>
              <w:rPr>
                <w:rFonts w:hint="eastAsia"/>
                <w:kern w:val="2"/>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Merge w:val="continue"/>
            <w:noWrap w:val="0"/>
            <w:vAlign w:val="center"/>
          </w:tcPr>
          <w:p>
            <w:pPr>
              <w:snapToGrid w:val="0"/>
              <w:rPr>
                <w:kern w:val="2"/>
                <w:sz w:val="21"/>
                <w:highlight w:val="none"/>
              </w:rPr>
            </w:pPr>
          </w:p>
        </w:tc>
        <w:tc>
          <w:tcPr>
            <w:tcW w:w="1418" w:type="dxa"/>
            <w:vMerge w:val="continue"/>
            <w:noWrap w:val="0"/>
            <w:vAlign w:val="center"/>
          </w:tcPr>
          <w:p>
            <w:pPr>
              <w:snapToGrid w:val="0"/>
              <w:rPr>
                <w:kern w:val="2"/>
                <w:sz w:val="21"/>
                <w:highlight w:val="none"/>
              </w:rPr>
            </w:pPr>
          </w:p>
        </w:tc>
        <w:tc>
          <w:tcPr>
            <w:tcW w:w="5030" w:type="dxa"/>
            <w:noWrap w:val="0"/>
            <w:vAlign w:val="center"/>
          </w:tcPr>
          <w:p>
            <w:pPr>
              <w:snapToGrid w:val="0"/>
              <w:rPr>
                <w:rFonts w:hint="eastAsia"/>
                <w:kern w:val="2"/>
                <w:sz w:val="21"/>
                <w:highlight w:val="none"/>
              </w:rPr>
            </w:pPr>
            <w:r>
              <w:rPr>
                <w:kern w:val="2"/>
                <w:sz w:val="21"/>
                <w:highlight w:val="none"/>
              </w:rPr>
              <w:t>b）配水单元是否将采集的水样按要求分配到分析单元</w:t>
            </w:r>
            <w:r>
              <w:rPr>
                <w:rFonts w:hint="eastAsia"/>
                <w:kern w:val="2"/>
                <w:sz w:val="21"/>
                <w:highlight w:val="none"/>
              </w:rPr>
              <w:t>。</w:t>
            </w:r>
          </w:p>
        </w:tc>
        <w:tc>
          <w:tcPr>
            <w:tcW w:w="851" w:type="dxa"/>
            <w:noWrap w:val="0"/>
            <w:vAlign w:val="center"/>
          </w:tcPr>
          <w:p>
            <w:pPr>
              <w:snapToGrid w:val="0"/>
              <w:jc w:val="center"/>
              <w:rPr>
                <w:rFonts w:hint="eastAsia" w:eastAsia="宋体"/>
                <w:kern w:val="2"/>
                <w:sz w:val="21"/>
                <w:highlight w:val="none"/>
                <w:lang w:eastAsia="zh-CN"/>
              </w:rPr>
            </w:pPr>
            <w:r>
              <w:rPr>
                <w:rFonts w:hint="eastAsia"/>
                <w:kern w:val="2"/>
                <w:sz w:val="21"/>
                <w:highlight w:val="none"/>
                <w:lang w:val="en-US" w:eastAsia="zh-CN"/>
              </w:rPr>
              <w:t>1</w:t>
            </w:r>
          </w:p>
        </w:tc>
        <w:tc>
          <w:tcPr>
            <w:tcW w:w="709" w:type="dxa"/>
            <w:noWrap w:val="0"/>
            <w:vAlign w:val="center"/>
          </w:tcPr>
          <w:p>
            <w:pPr>
              <w:snapToGrid w:val="0"/>
              <w:rPr>
                <w:kern w:val="2"/>
                <w:sz w:val="21"/>
                <w:highlight w:val="none"/>
              </w:rPr>
            </w:pPr>
          </w:p>
        </w:tc>
        <w:tc>
          <w:tcPr>
            <w:tcW w:w="4677" w:type="dxa"/>
            <w:noWrap w:val="0"/>
            <w:vAlign w:val="center"/>
          </w:tcPr>
          <w:p>
            <w:pPr>
              <w:snapToGrid w:val="0"/>
              <w:rPr>
                <w:rFonts w:hint="eastAsia"/>
                <w:kern w:val="2"/>
                <w:sz w:val="21"/>
                <w:highlight w:val="none"/>
              </w:rPr>
            </w:pPr>
            <w:r>
              <w:rPr>
                <w:kern w:val="2"/>
                <w:sz w:val="21"/>
                <w:highlight w:val="none"/>
              </w:rPr>
              <w:t>配水单元未能将采集的水样按要求分配到分析单元项扣1分，没有采取清洗和预处理（静置30min）的扣1分</w:t>
            </w:r>
            <w:r>
              <w:rPr>
                <w:rFonts w:hint="eastAsia"/>
                <w:kern w:val="2"/>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Merge w:val="continue"/>
            <w:noWrap w:val="0"/>
            <w:vAlign w:val="center"/>
          </w:tcPr>
          <w:p>
            <w:pPr>
              <w:snapToGrid w:val="0"/>
              <w:rPr>
                <w:kern w:val="2"/>
                <w:sz w:val="21"/>
                <w:highlight w:val="none"/>
              </w:rPr>
            </w:pPr>
          </w:p>
        </w:tc>
        <w:tc>
          <w:tcPr>
            <w:tcW w:w="1418" w:type="dxa"/>
            <w:vMerge w:val="restart"/>
            <w:noWrap w:val="0"/>
            <w:vAlign w:val="center"/>
          </w:tcPr>
          <w:p>
            <w:pPr>
              <w:numPr>
                <w:ilvl w:val="0"/>
                <w:numId w:val="39"/>
              </w:numPr>
              <w:snapToGrid w:val="0"/>
              <w:spacing w:line="360" w:lineRule="auto"/>
              <w:rPr>
                <w:kern w:val="2"/>
                <w:sz w:val="21"/>
                <w:highlight w:val="none"/>
              </w:rPr>
            </w:pPr>
            <w:r>
              <w:rPr>
                <w:kern w:val="2"/>
                <w:sz w:val="21"/>
                <w:highlight w:val="none"/>
              </w:rPr>
              <w:t>控制系统</w:t>
            </w:r>
          </w:p>
          <w:p>
            <w:pPr>
              <w:snapToGrid w:val="0"/>
              <w:rPr>
                <w:kern w:val="2"/>
                <w:sz w:val="21"/>
                <w:highlight w:val="none"/>
              </w:rPr>
            </w:pPr>
            <w:r>
              <w:rPr>
                <w:kern w:val="2"/>
                <w:sz w:val="21"/>
                <w:highlight w:val="none"/>
              </w:rPr>
              <w:t>（2分）</w:t>
            </w:r>
          </w:p>
        </w:tc>
        <w:tc>
          <w:tcPr>
            <w:tcW w:w="5030" w:type="dxa"/>
            <w:noWrap w:val="0"/>
            <w:vAlign w:val="center"/>
          </w:tcPr>
          <w:p>
            <w:pPr>
              <w:snapToGrid w:val="0"/>
              <w:rPr>
                <w:rFonts w:hint="eastAsia"/>
                <w:kern w:val="2"/>
                <w:sz w:val="21"/>
                <w:highlight w:val="none"/>
              </w:rPr>
            </w:pPr>
            <w:r>
              <w:rPr>
                <w:kern w:val="2"/>
                <w:sz w:val="21"/>
                <w:highlight w:val="none"/>
              </w:rPr>
              <w:t>a）自动监测流路设计是否科学合理</w:t>
            </w:r>
            <w:r>
              <w:rPr>
                <w:rFonts w:hint="eastAsia"/>
                <w:kern w:val="2"/>
                <w:sz w:val="21"/>
                <w:highlight w:val="none"/>
              </w:rPr>
              <w:t>。</w:t>
            </w:r>
          </w:p>
        </w:tc>
        <w:tc>
          <w:tcPr>
            <w:tcW w:w="851" w:type="dxa"/>
            <w:noWrap w:val="0"/>
            <w:vAlign w:val="center"/>
          </w:tcPr>
          <w:p>
            <w:pPr>
              <w:snapToGrid w:val="0"/>
              <w:jc w:val="center"/>
              <w:rPr>
                <w:kern w:val="2"/>
                <w:sz w:val="21"/>
                <w:highlight w:val="none"/>
              </w:rPr>
            </w:pPr>
            <w:r>
              <w:rPr>
                <w:kern w:val="2"/>
                <w:sz w:val="21"/>
                <w:highlight w:val="none"/>
              </w:rPr>
              <w:t>1</w:t>
            </w:r>
          </w:p>
        </w:tc>
        <w:tc>
          <w:tcPr>
            <w:tcW w:w="709" w:type="dxa"/>
            <w:noWrap w:val="0"/>
            <w:vAlign w:val="center"/>
          </w:tcPr>
          <w:p>
            <w:pPr>
              <w:snapToGrid w:val="0"/>
              <w:rPr>
                <w:kern w:val="2"/>
                <w:sz w:val="21"/>
                <w:highlight w:val="none"/>
              </w:rPr>
            </w:pPr>
          </w:p>
        </w:tc>
        <w:tc>
          <w:tcPr>
            <w:tcW w:w="4677" w:type="dxa"/>
            <w:noWrap w:val="0"/>
            <w:vAlign w:val="center"/>
          </w:tcPr>
          <w:p>
            <w:pPr>
              <w:snapToGrid w:val="0"/>
              <w:rPr>
                <w:kern w:val="2"/>
                <w:sz w:val="21"/>
                <w:highlight w:val="none"/>
              </w:rPr>
            </w:pPr>
            <w:r>
              <w:rPr>
                <w:kern w:val="2"/>
                <w:sz w:val="21"/>
                <w:highlight w:val="none"/>
              </w:rPr>
              <w:t>各控制单元（测试、上水、清洗、排水等）步骤是否可以单独控制。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Merge w:val="continue"/>
            <w:noWrap w:val="0"/>
            <w:vAlign w:val="center"/>
          </w:tcPr>
          <w:p>
            <w:pPr>
              <w:snapToGrid w:val="0"/>
              <w:rPr>
                <w:kern w:val="2"/>
                <w:sz w:val="21"/>
                <w:highlight w:val="none"/>
              </w:rPr>
            </w:pPr>
          </w:p>
        </w:tc>
        <w:tc>
          <w:tcPr>
            <w:tcW w:w="1418" w:type="dxa"/>
            <w:vMerge w:val="continue"/>
            <w:noWrap w:val="0"/>
            <w:vAlign w:val="center"/>
          </w:tcPr>
          <w:p>
            <w:pPr>
              <w:snapToGrid w:val="0"/>
              <w:rPr>
                <w:kern w:val="2"/>
                <w:sz w:val="21"/>
                <w:highlight w:val="none"/>
              </w:rPr>
            </w:pPr>
          </w:p>
        </w:tc>
        <w:tc>
          <w:tcPr>
            <w:tcW w:w="5030" w:type="dxa"/>
            <w:noWrap w:val="0"/>
            <w:vAlign w:val="center"/>
          </w:tcPr>
          <w:p>
            <w:pPr>
              <w:snapToGrid w:val="0"/>
              <w:rPr>
                <w:rFonts w:hint="eastAsia"/>
                <w:kern w:val="2"/>
                <w:sz w:val="21"/>
                <w:highlight w:val="none"/>
              </w:rPr>
            </w:pPr>
            <w:r>
              <w:rPr>
                <w:kern w:val="2"/>
                <w:sz w:val="21"/>
                <w:highlight w:val="none"/>
              </w:rPr>
              <w:t>b）监测频次是否可以调整；调</w:t>
            </w:r>
            <w:r>
              <w:rPr>
                <w:rFonts w:hint="eastAsia"/>
                <w:kern w:val="2"/>
                <w:sz w:val="21"/>
                <w:highlight w:val="none"/>
              </w:rPr>
              <w:t>整</w:t>
            </w:r>
            <w:r>
              <w:rPr>
                <w:kern w:val="2"/>
                <w:sz w:val="21"/>
                <w:highlight w:val="none"/>
              </w:rPr>
              <w:t>监测频次是否有报告</w:t>
            </w:r>
            <w:r>
              <w:rPr>
                <w:rFonts w:hint="eastAsia"/>
                <w:kern w:val="2"/>
                <w:sz w:val="21"/>
                <w:highlight w:val="none"/>
              </w:rPr>
              <w:t>。</w:t>
            </w:r>
          </w:p>
        </w:tc>
        <w:tc>
          <w:tcPr>
            <w:tcW w:w="851" w:type="dxa"/>
            <w:noWrap w:val="0"/>
            <w:vAlign w:val="center"/>
          </w:tcPr>
          <w:p>
            <w:pPr>
              <w:snapToGrid w:val="0"/>
              <w:jc w:val="center"/>
              <w:rPr>
                <w:kern w:val="2"/>
                <w:sz w:val="21"/>
                <w:highlight w:val="none"/>
              </w:rPr>
            </w:pPr>
            <w:r>
              <w:rPr>
                <w:kern w:val="2"/>
                <w:sz w:val="21"/>
                <w:highlight w:val="none"/>
              </w:rPr>
              <w:t>1</w:t>
            </w:r>
          </w:p>
        </w:tc>
        <w:tc>
          <w:tcPr>
            <w:tcW w:w="709" w:type="dxa"/>
            <w:noWrap w:val="0"/>
            <w:vAlign w:val="center"/>
          </w:tcPr>
          <w:p>
            <w:pPr>
              <w:snapToGrid w:val="0"/>
              <w:rPr>
                <w:kern w:val="2"/>
                <w:sz w:val="21"/>
                <w:highlight w:val="none"/>
              </w:rPr>
            </w:pPr>
          </w:p>
        </w:tc>
        <w:tc>
          <w:tcPr>
            <w:tcW w:w="4677" w:type="dxa"/>
            <w:noWrap w:val="0"/>
            <w:vAlign w:val="center"/>
          </w:tcPr>
          <w:p>
            <w:pPr>
              <w:snapToGrid w:val="0"/>
              <w:rPr>
                <w:kern w:val="2"/>
                <w:sz w:val="21"/>
                <w:highlight w:val="none"/>
              </w:rPr>
            </w:pPr>
            <w:r>
              <w:rPr>
                <w:kern w:val="2"/>
                <w:sz w:val="21"/>
                <w:highlight w:val="none"/>
              </w:rPr>
              <w:t>监测频次不能调整的不得分，调</w:t>
            </w:r>
            <w:r>
              <w:rPr>
                <w:rFonts w:hint="eastAsia"/>
                <w:kern w:val="2"/>
                <w:sz w:val="21"/>
                <w:highlight w:val="none"/>
              </w:rPr>
              <w:t>整</w:t>
            </w:r>
            <w:r>
              <w:rPr>
                <w:kern w:val="2"/>
                <w:sz w:val="21"/>
                <w:highlight w:val="none"/>
              </w:rPr>
              <w:t>监测频次无报告的不得分。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 w:hRule="atLeast"/>
        </w:trPr>
        <w:tc>
          <w:tcPr>
            <w:tcW w:w="1490" w:type="dxa"/>
            <w:vMerge w:val="continue"/>
            <w:noWrap w:val="0"/>
            <w:vAlign w:val="center"/>
          </w:tcPr>
          <w:p>
            <w:pPr>
              <w:snapToGrid w:val="0"/>
              <w:rPr>
                <w:kern w:val="2"/>
                <w:sz w:val="21"/>
                <w:highlight w:val="none"/>
              </w:rPr>
            </w:pPr>
          </w:p>
        </w:tc>
        <w:tc>
          <w:tcPr>
            <w:tcW w:w="1418" w:type="dxa"/>
            <w:vMerge w:val="restart"/>
            <w:noWrap w:val="0"/>
            <w:vAlign w:val="center"/>
          </w:tcPr>
          <w:p>
            <w:pPr>
              <w:numPr>
                <w:ilvl w:val="0"/>
                <w:numId w:val="39"/>
              </w:numPr>
              <w:snapToGrid w:val="0"/>
              <w:spacing w:line="360" w:lineRule="auto"/>
              <w:rPr>
                <w:kern w:val="2"/>
                <w:sz w:val="21"/>
                <w:highlight w:val="none"/>
              </w:rPr>
            </w:pPr>
            <w:r>
              <w:rPr>
                <w:kern w:val="2"/>
                <w:sz w:val="21"/>
                <w:highlight w:val="none"/>
              </w:rPr>
              <w:t>分析单元</w:t>
            </w:r>
          </w:p>
          <w:p>
            <w:pPr>
              <w:snapToGrid w:val="0"/>
              <w:rPr>
                <w:kern w:val="2"/>
                <w:sz w:val="21"/>
                <w:highlight w:val="none"/>
              </w:rPr>
            </w:pPr>
            <w:r>
              <w:rPr>
                <w:kern w:val="2"/>
                <w:sz w:val="21"/>
                <w:highlight w:val="none"/>
              </w:rPr>
              <w:t>（13分）</w:t>
            </w:r>
          </w:p>
        </w:tc>
        <w:tc>
          <w:tcPr>
            <w:tcW w:w="5030" w:type="dxa"/>
            <w:noWrap w:val="0"/>
            <w:vAlign w:val="center"/>
          </w:tcPr>
          <w:p>
            <w:pPr>
              <w:snapToGrid w:val="0"/>
              <w:rPr>
                <w:rFonts w:hint="eastAsia"/>
                <w:kern w:val="2"/>
                <w:sz w:val="21"/>
                <w:highlight w:val="none"/>
              </w:rPr>
            </w:pPr>
            <w:r>
              <w:rPr>
                <w:kern w:val="2"/>
                <w:sz w:val="21"/>
                <w:highlight w:val="none"/>
              </w:rPr>
              <w:t>a）各项指标仪器工作状态是否正常</w:t>
            </w:r>
            <w:r>
              <w:rPr>
                <w:rFonts w:hint="eastAsia"/>
                <w:kern w:val="2"/>
                <w:sz w:val="21"/>
                <w:highlight w:val="none"/>
              </w:rPr>
              <w:t>。</w:t>
            </w:r>
          </w:p>
        </w:tc>
        <w:tc>
          <w:tcPr>
            <w:tcW w:w="851" w:type="dxa"/>
            <w:noWrap w:val="0"/>
            <w:vAlign w:val="center"/>
          </w:tcPr>
          <w:p>
            <w:pPr>
              <w:snapToGrid w:val="0"/>
              <w:jc w:val="center"/>
              <w:rPr>
                <w:rFonts w:hint="eastAsia"/>
                <w:kern w:val="2"/>
                <w:sz w:val="21"/>
                <w:highlight w:val="none"/>
              </w:rPr>
            </w:pPr>
            <w:r>
              <w:rPr>
                <w:rFonts w:hint="eastAsia"/>
                <w:kern w:val="2"/>
                <w:sz w:val="21"/>
                <w:highlight w:val="none"/>
              </w:rPr>
              <w:t>5</w:t>
            </w:r>
          </w:p>
        </w:tc>
        <w:tc>
          <w:tcPr>
            <w:tcW w:w="709" w:type="dxa"/>
            <w:noWrap w:val="0"/>
            <w:vAlign w:val="center"/>
          </w:tcPr>
          <w:p>
            <w:pPr>
              <w:snapToGrid w:val="0"/>
              <w:rPr>
                <w:kern w:val="2"/>
                <w:sz w:val="21"/>
                <w:highlight w:val="none"/>
              </w:rPr>
            </w:pPr>
          </w:p>
        </w:tc>
        <w:tc>
          <w:tcPr>
            <w:tcW w:w="4677" w:type="dxa"/>
            <w:noWrap w:val="0"/>
            <w:vAlign w:val="center"/>
          </w:tcPr>
          <w:p>
            <w:pPr>
              <w:rPr>
                <w:highlight w:val="none"/>
              </w:rPr>
            </w:pPr>
            <w:r>
              <w:rPr>
                <w:rFonts w:hint="eastAsia"/>
                <w:color w:val="000000"/>
                <w:sz w:val="21"/>
                <w:szCs w:val="21"/>
                <w:highlight w:val="none"/>
                <w:lang w:bidi="ar"/>
              </w:rPr>
              <w:t xml:space="preserve">校准曲线的相关系数应达到 </w:t>
            </w:r>
            <w:r>
              <w:rPr>
                <w:rFonts w:ascii="Times New Roman" w:hAnsi="Times New Roman" w:cs="Times New Roman"/>
                <w:color w:val="000000"/>
                <w:sz w:val="21"/>
                <w:szCs w:val="21"/>
                <w:highlight w:val="none"/>
                <w:lang w:bidi="ar"/>
              </w:rPr>
              <w:t xml:space="preserve">0.999 </w:t>
            </w:r>
            <w:r>
              <w:rPr>
                <w:rFonts w:hint="eastAsia"/>
                <w:color w:val="000000"/>
                <w:sz w:val="21"/>
                <w:szCs w:val="21"/>
                <w:highlight w:val="none"/>
                <w:lang w:bidi="ar"/>
              </w:rPr>
              <w:t>以上。</w:t>
            </w:r>
          </w:p>
          <w:p>
            <w:pPr>
              <w:rPr>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Merge w:val="continue"/>
            <w:noWrap w:val="0"/>
            <w:vAlign w:val="center"/>
          </w:tcPr>
          <w:p>
            <w:pPr>
              <w:snapToGrid w:val="0"/>
              <w:rPr>
                <w:kern w:val="2"/>
                <w:sz w:val="21"/>
                <w:highlight w:val="none"/>
              </w:rPr>
            </w:pPr>
          </w:p>
        </w:tc>
        <w:tc>
          <w:tcPr>
            <w:tcW w:w="1418" w:type="dxa"/>
            <w:vMerge w:val="continue"/>
            <w:noWrap w:val="0"/>
            <w:vAlign w:val="center"/>
          </w:tcPr>
          <w:p>
            <w:pPr>
              <w:snapToGrid w:val="0"/>
              <w:rPr>
                <w:kern w:val="2"/>
                <w:sz w:val="21"/>
                <w:highlight w:val="none"/>
              </w:rPr>
            </w:pPr>
          </w:p>
        </w:tc>
        <w:tc>
          <w:tcPr>
            <w:tcW w:w="5030" w:type="dxa"/>
            <w:noWrap w:val="0"/>
            <w:vAlign w:val="center"/>
          </w:tcPr>
          <w:p>
            <w:pPr>
              <w:snapToGrid w:val="0"/>
              <w:rPr>
                <w:rFonts w:hint="eastAsia"/>
                <w:kern w:val="2"/>
                <w:sz w:val="21"/>
                <w:highlight w:val="none"/>
              </w:rPr>
            </w:pPr>
            <w:r>
              <w:rPr>
                <w:kern w:val="2"/>
                <w:sz w:val="21"/>
                <w:highlight w:val="none"/>
              </w:rPr>
              <w:t>b)内标</w:t>
            </w:r>
            <w:r>
              <w:rPr>
                <w:rFonts w:hint="eastAsia"/>
                <w:kern w:val="2"/>
                <w:sz w:val="21"/>
                <w:highlight w:val="none"/>
              </w:rPr>
              <w:t>回</w:t>
            </w:r>
            <w:r>
              <w:rPr>
                <w:kern w:val="2"/>
                <w:sz w:val="21"/>
                <w:highlight w:val="none"/>
              </w:rPr>
              <w:t>收率</w:t>
            </w:r>
            <w:r>
              <w:rPr>
                <w:rFonts w:hint="eastAsia"/>
                <w:kern w:val="2"/>
                <w:sz w:val="21"/>
                <w:highlight w:val="none"/>
              </w:rPr>
              <w:t>。</w:t>
            </w:r>
          </w:p>
        </w:tc>
        <w:tc>
          <w:tcPr>
            <w:tcW w:w="851" w:type="dxa"/>
            <w:noWrap w:val="0"/>
            <w:vAlign w:val="center"/>
          </w:tcPr>
          <w:p>
            <w:pPr>
              <w:snapToGrid w:val="0"/>
              <w:jc w:val="center"/>
              <w:rPr>
                <w:kern w:val="2"/>
                <w:sz w:val="21"/>
                <w:highlight w:val="none"/>
              </w:rPr>
            </w:pPr>
            <w:r>
              <w:rPr>
                <w:kern w:val="2"/>
                <w:sz w:val="21"/>
                <w:highlight w:val="none"/>
              </w:rPr>
              <w:t>5</w:t>
            </w:r>
          </w:p>
        </w:tc>
        <w:tc>
          <w:tcPr>
            <w:tcW w:w="709" w:type="dxa"/>
            <w:noWrap w:val="0"/>
            <w:vAlign w:val="center"/>
          </w:tcPr>
          <w:p>
            <w:pPr>
              <w:snapToGrid w:val="0"/>
              <w:rPr>
                <w:kern w:val="2"/>
                <w:sz w:val="21"/>
                <w:highlight w:val="none"/>
              </w:rPr>
            </w:pPr>
          </w:p>
        </w:tc>
        <w:tc>
          <w:tcPr>
            <w:tcW w:w="4677" w:type="dxa"/>
            <w:noWrap w:val="0"/>
            <w:vAlign w:val="center"/>
          </w:tcPr>
          <w:p>
            <w:pPr>
              <w:snapToGrid w:val="0"/>
              <w:rPr>
                <w:kern w:val="2"/>
                <w:sz w:val="21"/>
                <w:highlight w:val="none"/>
              </w:rPr>
            </w:pPr>
            <w:r>
              <w:rPr>
                <w:kern w:val="2"/>
                <w:sz w:val="21"/>
                <w:highlight w:val="none"/>
              </w:rPr>
              <w:t>内标回收率在70-130%之间。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Merge w:val="continue"/>
            <w:noWrap w:val="0"/>
            <w:vAlign w:val="center"/>
          </w:tcPr>
          <w:p>
            <w:pPr>
              <w:snapToGrid w:val="0"/>
              <w:rPr>
                <w:kern w:val="2"/>
                <w:sz w:val="21"/>
                <w:highlight w:val="none"/>
              </w:rPr>
            </w:pPr>
          </w:p>
        </w:tc>
        <w:tc>
          <w:tcPr>
            <w:tcW w:w="1418" w:type="dxa"/>
            <w:vMerge w:val="continue"/>
            <w:noWrap w:val="0"/>
            <w:vAlign w:val="center"/>
          </w:tcPr>
          <w:p>
            <w:pPr>
              <w:snapToGrid w:val="0"/>
              <w:rPr>
                <w:kern w:val="2"/>
                <w:sz w:val="21"/>
                <w:highlight w:val="none"/>
              </w:rPr>
            </w:pPr>
          </w:p>
        </w:tc>
        <w:tc>
          <w:tcPr>
            <w:tcW w:w="5030" w:type="dxa"/>
            <w:noWrap w:val="0"/>
            <w:vAlign w:val="center"/>
          </w:tcPr>
          <w:p>
            <w:pPr>
              <w:snapToGrid w:val="0"/>
              <w:rPr>
                <w:kern w:val="2"/>
                <w:sz w:val="21"/>
                <w:highlight w:val="none"/>
              </w:rPr>
            </w:pPr>
            <w:r>
              <w:rPr>
                <w:rFonts w:hint="eastAsia"/>
                <w:kern w:val="2"/>
                <w:sz w:val="21"/>
                <w:highlight w:val="none"/>
              </w:rPr>
              <w:t>c)空白。</w:t>
            </w:r>
          </w:p>
        </w:tc>
        <w:tc>
          <w:tcPr>
            <w:tcW w:w="851" w:type="dxa"/>
            <w:noWrap w:val="0"/>
            <w:vAlign w:val="center"/>
          </w:tcPr>
          <w:p>
            <w:pPr>
              <w:snapToGrid w:val="0"/>
              <w:jc w:val="center"/>
              <w:rPr>
                <w:rFonts w:hint="eastAsia"/>
                <w:kern w:val="2"/>
                <w:sz w:val="21"/>
                <w:highlight w:val="none"/>
              </w:rPr>
            </w:pPr>
            <w:r>
              <w:rPr>
                <w:rFonts w:hint="eastAsia"/>
                <w:kern w:val="2"/>
                <w:sz w:val="21"/>
                <w:highlight w:val="none"/>
              </w:rPr>
              <w:t>3</w:t>
            </w:r>
          </w:p>
        </w:tc>
        <w:tc>
          <w:tcPr>
            <w:tcW w:w="709" w:type="dxa"/>
            <w:noWrap w:val="0"/>
            <w:vAlign w:val="center"/>
          </w:tcPr>
          <w:p>
            <w:pPr>
              <w:snapToGrid w:val="0"/>
              <w:rPr>
                <w:kern w:val="2"/>
                <w:sz w:val="21"/>
                <w:highlight w:val="none"/>
              </w:rPr>
            </w:pPr>
          </w:p>
        </w:tc>
        <w:tc>
          <w:tcPr>
            <w:tcW w:w="4677" w:type="dxa"/>
            <w:noWrap w:val="0"/>
            <w:vAlign w:val="center"/>
          </w:tcPr>
          <w:p>
            <w:pPr>
              <w:rPr>
                <w:kern w:val="2"/>
                <w:sz w:val="21"/>
                <w:highlight w:val="none"/>
              </w:rPr>
            </w:pPr>
            <w:r>
              <w:rPr>
                <w:rFonts w:hint="eastAsia"/>
                <w:color w:val="000000"/>
                <w:sz w:val="21"/>
                <w:szCs w:val="21"/>
                <w:highlight w:val="none"/>
                <w:lang w:bidi="ar"/>
              </w:rPr>
              <w:t>（</w:t>
            </w:r>
            <w:r>
              <w:rPr>
                <w:rFonts w:ascii="Times New Roman" w:hAnsi="Times New Roman" w:cs="Times New Roman"/>
                <w:color w:val="000000"/>
                <w:sz w:val="21"/>
                <w:szCs w:val="21"/>
                <w:highlight w:val="none"/>
                <w:lang w:bidi="ar"/>
              </w:rPr>
              <w:t>1</w:t>
            </w:r>
            <w:r>
              <w:rPr>
                <w:rFonts w:hint="eastAsia"/>
                <w:color w:val="000000"/>
                <w:sz w:val="21"/>
                <w:szCs w:val="21"/>
                <w:highlight w:val="none"/>
                <w:lang w:bidi="ar"/>
              </w:rPr>
              <w:t>）空白值应低于方法检出限；（</w:t>
            </w:r>
            <w:r>
              <w:rPr>
                <w:rFonts w:ascii="Times New Roman" w:hAnsi="Times New Roman" w:cs="Times New Roman"/>
                <w:color w:val="000000"/>
                <w:sz w:val="21"/>
                <w:szCs w:val="21"/>
                <w:highlight w:val="none"/>
                <w:lang w:bidi="ar"/>
              </w:rPr>
              <w:t>2</w:t>
            </w:r>
            <w:r>
              <w:rPr>
                <w:rFonts w:hint="eastAsia"/>
                <w:color w:val="000000"/>
                <w:sz w:val="21"/>
                <w:szCs w:val="21"/>
                <w:highlight w:val="none"/>
                <w:lang w:bidi="ar"/>
              </w:rPr>
              <w:t xml:space="preserve">）低于标准限值的 </w:t>
            </w:r>
            <w:r>
              <w:rPr>
                <w:rFonts w:ascii="Times New Roman" w:hAnsi="Times New Roman" w:cs="Times New Roman"/>
                <w:color w:val="000000"/>
                <w:sz w:val="21"/>
                <w:szCs w:val="21"/>
                <w:highlight w:val="none"/>
                <w:lang w:bidi="ar"/>
              </w:rPr>
              <w:t>10%</w:t>
            </w:r>
            <w:r>
              <w:rPr>
                <w:rFonts w:hint="eastAsia"/>
                <w:color w:val="000000"/>
                <w:sz w:val="21"/>
                <w:szCs w:val="21"/>
                <w:highlight w:val="none"/>
                <w:lang w:bidi="ar"/>
              </w:rPr>
              <w:t>；（</w:t>
            </w:r>
            <w:r>
              <w:rPr>
                <w:rFonts w:ascii="Times New Roman" w:hAnsi="Times New Roman" w:cs="Times New Roman"/>
                <w:color w:val="000000"/>
                <w:sz w:val="21"/>
                <w:szCs w:val="21"/>
                <w:highlight w:val="none"/>
                <w:lang w:bidi="ar"/>
              </w:rPr>
              <w:t>3</w:t>
            </w:r>
            <w:r>
              <w:rPr>
                <w:rFonts w:hint="eastAsia"/>
                <w:color w:val="000000"/>
                <w:sz w:val="21"/>
                <w:szCs w:val="21"/>
                <w:highlight w:val="none"/>
                <w:lang w:bidi="ar"/>
              </w:rPr>
              <w:t xml:space="preserve">）低于每一批样品最低测定值的 </w:t>
            </w:r>
            <w:r>
              <w:rPr>
                <w:rFonts w:ascii="Times New Roman" w:hAnsi="Times New Roman" w:cs="Times New Roman"/>
                <w:color w:val="000000"/>
                <w:sz w:val="21"/>
                <w:szCs w:val="21"/>
                <w:highlight w:val="none"/>
                <w:lang w:bidi="ar"/>
              </w:rPr>
              <w:t>10%</w:t>
            </w:r>
            <w:r>
              <w:rPr>
                <w:rFonts w:hint="eastAsia"/>
                <w:color w:val="000000"/>
                <w:sz w:val="21"/>
                <w:szCs w:val="21"/>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Merge w:val="continue"/>
            <w:noWrap w:val="0"/>
            <w:vAlign w:val="center"/>
          </w:tcPr>
          <w:p>
            <w:pPr>
              <w:snapToGrid w:val="0"/>
              <w:rPr>
                <w:kern w:val="2"/>
                <w:sz w:val="21"/>
                <w:highlight w:val="none"/>
              </w:rPr>
            </w:pPr>
          </w:p>
        </w:tc>
        <w:tc>
          <w:tcPr>
            <w:tcW w:w="1418" w:type="dxa"/>
            <w:vMerge w:val="restart"/>
            <w:noWrap w:val="0"/>
            <w:vAlign w:val="center"/>
          </w:tcPr>
          <w:p>
            <w:pPr>
              <w:numPr>
                <w:ilvl w:val="0"/>
                <w:numId w:val="39"/>
              </w:numPr>
              <w:snapToGrid w:val="0"/>
              <w:spacing w:line="360" w:lineRule="auto"/>
              <w:rPr>
                <w:kern w:val="2"/>
                <w:sz w:val="21"/>
                <w:highlight w:val="none"/>
              </w:rPr>
            </w:pPr>
            <w:r>
              <w:rPr>
                <w:kern w:val="2"/>
                <w:sz w:val="21"/>
                <w:highlight w:val="none"/>
              </w:rPr>
              <w:t>数据采集</w:t>
            </w:r>
          </w:p>
          <w:p>
            <w:pPr>
              <w:snapToGrid w:val="0"/>
              <w:rPr>
                <w:kern w:val="2"/>
                <w:sz w:val="21"/>
                <w:highlight w:val="none"/>
              </w:rPr>
            </w:pPr>
            <w:r>
              <w:rPr>
                <w:kern w:val="2"/>
                <w:sz w:val="21"/>
                <w:highlight w:val="none"/>
              </w:rPr>
              <w:t>（2分）</w:t>
            </w:r>
          </w:p>
        </w:tc>
        <w:tc>
          <w:tcPr>
            <w:tcW w:w="5030" w:type="dxa"/>
            <w:noWrap w:val="0"/>
            <w:vAlign w:val="center"/>
          </w:tcPr>
          <w:p>
            <w:pPr>
              <w:snapToGrid w:val="0"/>
              <w:rPr>
                <w:rFonts w:hint="eastAsia"/>
                <w:kern w:val="2"/>
                <w:sz w:val="21"/>
                <w:highlight w:val="none"/>
              </w:rPr>
            </w:pPr>
            <w:r>
              <w:rPr>
                <w:kern w:val="2"/>
                <w:sz w:val="21"/>
                <w:highlight w:val="none"/>
              </w:rPr>
              <w:t>a）分析单元仪器测试数据与控制系统采集的误差是否不超过仪器满量程的0.4%</w:t>
            </w:r>
            <w:r>
              <w:rPr>
                <w:rFonts w:hint="eastAsia"/>
                <w:kern w:val="2"/>
                <w:sz w:val="21"/>
                <w:highlight w:val="none"/>
              </w:rPr>
              <w:t>。</w:t>
            </w:r>
          </w:p>
        </w:tc>
        <w:tc>
          <w:tcPr>
            <w:tcW w:w="851" w:type="dxa"/>
            <w:noWrap w:val="0"/>
            <w:vAlign w:val="center"/>
          </w:tcPr>
          <w:p>
            <w:pPr>
              <w:snapToGrid w:val="0"/>
              <w:jc w:val="center"/>
              <w:rPr>
                <w:kern w:val="2"/>
                <w:sz w:val="21"/>
                <w:highlight w:val="none"/>
              </w:rPr>
            </w:pPr>
            <w:r>
              <w:rPr>
                <w:kern w:val="2"/>
                <w:sz w:val="21"/>
                <w:highlight w:val="none"/>
              </w:rPr>
              <w:t>1</w:t>
            </w:r>
          </w:p>
        </w:tc>
        <w:tc>
          <w:tcPr>
            <w:tcW w:w="709" w:type="dxa"/>
            <w:noWrap w:val="0"/>
            <w:vAlign w:val="center"/>
          </w:tcPr>
          <w:p>
            <w:pPr>
              <w:snapToGrid w:val="0"/>
              <w:rPr>
                <w:kern w:val="2"/>
                <w:sz w:val="21"/>
                <w:highlight w:val="none"/>
              </w:rPr>
            </w:pPr>
          </w:p>
        </w:tc>
        <w:tc>
          <w:tcPr>
            <w:tcW w:w="4677" w:type="dxa"/>
            <w:noWrap w:val="0"/>
            <w:vAlign w:val="center"/>
          </w:tcPr>
          <w:p>
            <w:pPr>
              <w:snapToGrid w:val="0"/>
              <w:rPr>
                <w:rFonts w:hint="eastAsia"/>
                <w:kern w:val="2"/>
                <w:sz w:val="21"/>
                <w:highlight w:val="none"/>
              </w:rPr>
            </w:pPr>
            <w:r>
              <w:rPr>
                <w:kern w:val="2"/>
                <w:sz w:val="21"/>
                <w:highlight w:val="none"/>
              </w:rPr>
              <w:t>查看仪器显示的数据与系统采集设备上显示的数据误差，超过仪器满量程的0.4%不得分</w:t>
            </w:r>
            <w:r>
              <w:rPr>
                <w:rFonts w:hint="eastAsia"/>
                <w:kern w:val="2"/>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3" w:hRule="atLeast"/>
        </w:trPr>
        <w:tc>
          <w:tcPr>
            <w:tcW w:w="1490" w:type="dxa"/>
            <w:vMerge w:val="continue"/>
            <w:noWrap w:val="0"/>
            <w:vAlign w:val="center"/>
          </w:tcPr>
          <w:p>
            <w:pPr>
              <w:snapToGrid w:val="0"/>
              <w:rPr>
                <w:kern w:val="2"/>
                <w:sz w:val="21"/>
                <w:highlight w:val="none"/>
              </w:rPr>
            </w:pPr>
          </w:p>
        </w:tc>
        <w:tc>
          <w:tcPr>
            <w:tcW w:w="1418" w:type="dxa"/>
            <w:vMerge w:val="continue"/>
            <w:noWrap w:val="0"/>
            <w:vAlign w:val="center"/>
          </w:tcPr>
          <w:p>
            <w:pPr>
              <w:snapToGrid w:val="0"/>
              <w:rPr>
                <w:kern w:val="2"/>
                <w:sz w:val="21"/>
                <w:highlight w:val="none"/>
              </w:rPr>
            </w:pPr>
          </w:p>
        </w:tc>
        <w:tc>
          <w:tcPr>
            <w:tcW w:w="5030" w:type="dxa"/>
            <w:noWrap w:val="0"/>
            <w:vAlign w:val="center"/>
          </w:tcPr>
          <w:p>
            <w:pPr>
              <w:snapToGrid w:val="0"/>
              <w:rPr>
                <w:rFonts w:hint="eastAsia"/>
                <w:kern w:val="2"/>
                <w:sz w:val="21"/>
                <w:highlight w:val="none"/>
              </w:rPr>
            </w:pPr>
            <w:r>
              <w:rPr>
                <w:kern w:val="2"/>
                <w:sz w:val="21"/>
                <w:highlight w:val="none"/>
              </w:rPr>
              <w:t>b）控制系统是否保存至少半年的监测数据</w:t>
            </w:r>
            <w:r>
              <w:rPr>
                <w:rFonts w:hint="eastAsia"/>
                <w:kern w:val="2"/>
                <w:sz w:val="21"/>
                <w:highlight w:val="none"/>
              </w:rPr>
              <w:t>。</w:t>
            </w:r>
          </w:p>
        </w:tc>
        <w:tc>
          <w:tcPr>
            <w:tcW w:w="851" w:type="dxa"/>
            <w:noWrap w:val="0"/>
            <w:vAlign w:val="center"/>
          </w:tcPr>
          <w:p>
            <w:pPr>
              <w:snapToGrid w:val="0"/>
              <w:jc w:val="center"/>
              <w:rPr>
                <w:kern w:val="2"/>
                <w:sz w:val="21"/>
                <w:highlight w:val="none"/>
              </w:rPr>
            </w:pPr>
            <w:r>
              <w:rPr>
                <w:kern w:val="2"/>
                <w:sz w:val="21"/>
                <w:highlight w:val="none"/>
              </w:rPr>
              <w:t>1</w:t>
            </w:r>
          </w:p>
        </w:tc>
        <w:tc>
          <w:tcPr>
            <w:tcW w:w="709" w:type="dxa"/>
            <w:noWrap w:val="0"/>
            <w:vAlign w:val="center"/>
          </w:tcPr>
          <w:p>
            <w:pPr>
              <w:snapToGrid w:val="0"/>
              <w:rPr>
                <w:kern w:val="2"/>
                <w:sz w:val="21"/>
                <w:highlight w:val="none"/>
              </w:rPr>
            </w:pPr>
          </w:p>
        </w:tc>
        <w:tc>
          <w:tcPr>
            <w:tcW w:w="4677" w:type="dxa"/>
            <w:noWrap w:val="0"/>
            <w:vAlign w:val="center"/>
          </w:tcPr>
          <w:p>
            <w:pPr>
              <w:snapToGrid w:val="0"/>
              <w:rPr>
                <w:kern w:val="2"/>
                <w:sz w:val="21"/>
                <w:highlight w:val="none"/>
              </w:rPr>
            </w:pPr>
            <w:r>
              <w:rPr>
                <w:kern w:val="2"/>
                <w:sz w:val="21"/>
                <w:highlight w:val="none"/>
              </w:rPr>
              <w:t>如果数据采集系统中保存了半年的数据，但显示屏无法显示的扣0.5分。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8" w:hRule="atLeast"/>
        </w:trPr>
        <w:tc>
          <w:tcPr>
            <w:tcW w:w="1490" w:type="dxa"/>
            <w:vMerge w:val="continue"/>
            <w:noWrap w:val="0"/>
            <w:vAlign w:val="center"/>
          </w:tcPr>
          <w:p>
            <w:pPr>
              <w:snapToGrid w:val="0"/>
              <w:rPr>
                <w:kern w:val="2"/>
                <w:sz w:val="21"/>
                <w:highlight w:val="none"/>
              </w:rPr>
            </w:pPr>
          </w:p>
        </w:tc>
        <w:tc>
          <w:tcPr>
            <w:tcW w:w="1418" w:type="dxa"/>
            <w:noWrap w:val="0"/>
            <w:vAlign w:val="center"/>
          </w:tcPr>
          <w:p>
            <w:pPr>
              <w:numPr>
                <w:ilvl w:val="0"/>
                <w:numId w:val="39"/>
              </w:numPr>
              <w:snapToGrid w:val="0"/>
              <w:spacing w:line="360" w:lineRule="auto"/>
              <w:rPr>
                <w:kern w:val="2"/>
                <w:sz w:val="21"/>
                <w:highlight w:val="none"/>
              </w:rPr>
            </w:pPr>
            <w:r>
              <w:rPr>
                <w:kern w:val="2"/>
                <w:sz w:val="21"/>
                <w:highlight w:val="none"/>
              </w:rPr>
              <w:t>通讯系统</w:t>
            </w:r>
          </w:p>
          <w:p>
            <w:pPr>
              <w:snapToGrid w:val="0"/>
              <w:rPr>
                <w:kern w:val="2"/>
                <w:sz w:val="21"/>
                <w:highlight w:val="none"/>
              </w:rPr>
            </w:pPr>
            <w:r>
              <w:rPr>
                <w:kern w:val="2"/>
                <w:sz w:val="21"/>
                <w:highlight w:val="none"/>
              </w:rPr>
              <w:t>（1分）</w:t>
            </w:r>
          </w:p>
        </w:tc>
        <w:tc>
          <w:tcPr>
            <w:tcW w:w="5030" w:type="dxa"/>
            <w:noWrap w:val="0"/>
            <w:vAlign w:val="center"/>
          </w:tcPr>
          <w:p>
            <w:pPr>
              <w:snapToGrid w:val="0"/>
              <w:rPr>
                <w:rFonts w:hint="eastAsia"/>
                <w:kern w:val="2"/>
                <w:sz w:val="21"/>
                <w:highlight w:val="none"/>
              </w:rPr>
            </w:pPr>
            <w:r>
              <w:rPr>
                <w:kern w:val="2"/>
                <w:sz w:val="21"/>
                <w:highlight w:val="none"/>
              </w:rPr>
              <w:t>有线或无线通讯手段是否满足数据传输要求</w:t>
            </w:r>
            <w:r>
              <w:rPr>
                <w:rFonts w:hint="eastAsia"/>
                <w:kern w:val="2"/>
                <w:sz w:val="21"/>
                <w:highlight w:val="none"/>
              </w:rPr>
              <w:t>。</w:t>
            </w:r>
          </w:p>
        </w:tc>
        <w:tc>
          <w:tcPr>
            <w:tcW w:w="851" w:type="dxa"/>
            <w:noWrap w:val="0"/>
            <w:vAlign w:val="center"/>
          </w:tcPr>
          <w:p>
            <w:pPr>
              <w:snapToGrid w:val="0"/>
              <w:jc w:val="center"/>
              <w:rPr>
                <w:kern w:val="2"/>
                <w:sz w:val="21"/>
                <w:highlight w:val="none"/>
              </w:rPr>
            </w:pPr>
            <w:r>
              <w:rPr>
                <w:kern w:val="2"/>
                <w:sz w:val="21"/>
                <w:highlight w:val="none"/>
              </w:rPr>
              <w:t>1</w:t>
            </w:r>
          </w:p>
        </w:tc>
        <w:tc>
          <w:tcPr>
            <w:tcW w:w="709" w:type="dxa"/>
            <w:noWrap w:val="0"/>
            <w:vAlign w:val="center"/>
          </w:tcPr>
          <w:p>
            <w:pPr>
              <w:snapToGrid w:val="0"/>
              <w:rPr>
                <w:kern w:val="2"/>
                <w:sz w:val="21"/>
                <w:highlight w:val="none"/>
              </w:rPr>
            </w:pPr>
          </w:p>
        </w:tc>
        <w:tc>
          <w:tcPr>
            <w:tcW w:w="4677" w:type="dxa"/>
            <w:noWrap w:val="0"/>
            <w:vAlign w:val="center"/>
          </w:tcPr>
          <w:p>
            <w:pPr>
              <w:snapToGrid w:val="0"/>
              <w:rPr>
                <w:rFonts w:hint="eastAsia"/>
                <w:kern w:val="2"/>
                <w:sz w:val="21"/>
                <w:highlight w:val="none"/>
              </w:rPr>
            </w:pPr>
            <w:r>
              <w:rPr>
                <w:kern w:val="2"/>
                <w:sz w:val="21"/>
                <w:highlight w:val="none"/>
              </w:rPr>
              <w:t>检查是否能够随时调到仪器的分析数据，做不到的即无法满足数据传输，不得分</w:t>
            </w:r>
            <w:r>
              <w:rPr>
                <w:rFonts w:hint="eastAsia"/>
                <w:kern w:val="2"/>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Merge w:val="restart"/>
            <w:noWrap w:val="0"/>
            <w:vAlign w:val="center"/>
          </w:tcPr>
          <w:p>
            <w:pPr>
              <w:snapToGrid w:val="0"/>
              <w:rPr>
                <w:kern w:val="2"/>
                <w:sz w:val="21"/>
                <w:highlight w:val="none"/>
              </w:rPr>
            </w:pPr>
            <w:r>
              <w:rPr>
                <w:kern w:val="2"/>
                <w:sz w:val="21"/>
                <w:highlight w:val="none"/>
              </w:rPr>
              <w:t>2.仪器运行维护情况（46分）</w:t>
            </w:r>
          </w:p>
        </w:tc>
        <w:tc>
          <w:tcPr>
            <w:tcW w:w="1418" w:type="dxa"/>
            <w:vMerge w:val="restart"/>
            <w:noWrap w:val="0"/>
            <w:vAlign w:val="center"/>
          </w:tcPr>
          <w:p>
            <w:pPr>
              <w:numPr>
                <w:ilvl w:val="0"/>
                <w:numId w:val="40"/>
              </w:numPr>
              <w:snapToGrid w:val="0"/>
              <w:spacing w:line="360" w:lineRule="auto"/>
              <w:rPr>
                <w:kern w:val="2"/>
                <w:sz w:val="21"/>
                <w:highlight w:val="none"/>
              </w:rPr>
            </w:pPr>
            <w:r>
              <w:rPr>
                <w:kern w:val="2"/>
                <w:sz w:val="21"/>
                <w:highlight w:val="none"/>
              </w:rPr>
              <w:t>人员要求</w:t>
            </w:r>
          </w:p>
          <w:p>
            <w:pPr>
              <w:snapToGrid w:val="0"/>
              <w:rPr>
                <w:kern w:val="2"/>
                <w:sz w:val="21"/>
                <w:highlight w:val="none"/>
              </w:rPr>
            </w:pPr>
            <w:r>
              <w:rPr>
                <w:kern w:val="2"/>
                <w:sz w:val="21"/>
                <w:highlight w:val="none"/>
              </w:rPr>
              <w:t>（16分）</w:t>
            </w:r>
          </w:p>
        </w:tc>
        <w:tc>
          <w:tcPr>
            <w:tcW w:w="5030" w:type="dxa"/>
            <w:noWrap w:val="0"/>
            <w:vAlign w:val="center"/>
          </w:tcPr>
          <w:p>
            <w:pPr>
              <w:snapToGrid w:val="0"/>
              <w:rPr>
                <w:rFonts w:hint="eastAsia"/>
                <w:kern w:val="2"/>
                <w:sz w:val="21"/>
                <w:highlight w:val="none"/>
              </w:rPr>
            </w:pPr>
            <w:r>
              <w:rPr>
                <w:kern w:val="2"/>
                <w:sz w:val="21"/>
                <w:highlight w:val="none"/>
              </w:rPr>
              <w:t>a）</w:t>
            </w:r>
            <w:r>
              <w:rPr>
                <w:rFonts w:hint="eastAsia"/>
                <w:kern w:val="2"/>
                <w:sz w:val="21"/>
                <w:highlight w:val="none"/>
              </w:rPr>
              <w:t>每</w:t>
            </w:r>
            <w:r>
              <w:rPr>
                <w:kern w:val="2"/>
                <w:sz w:val="21"/>
                <w:highlight w:val="none"/>
              </w:rPr>
              <w:t>2个仪器是否配备有1名运维技术人员</w:t>
            </w:r>
            <w:r>
              <w:rPr>
                <w:rFonts w:hint="eastAsia"/>
                <w:kern w:val="2"/>
                <w:sz w:val="21"/>
                <w:highlight w:val="none"/>
              </w:rPr>
              <w:t>。</w:t>
            </w:r>
          </w:p>
        </w:tc>
        <w:tc>
          <w:tcPr>
            <w:tcW w:w="851" w:type="dxa"/>
            <w:noWrap w:val="0"/>
            <w:vAlign w:val="center"/>
          </w:tcPr>
          <w:p>
            <w:pPr>
              <w:snapToGrid w:val="0"/>
              <w:jc w:val="center"/>
              <w:rPr>
                <w:kern w:val="2"/>
                <w:sz w:val="21"/>
                <w:highlight w:val="none"/>
              </w:rPr>
            </w:pPr>
            <w:r>
              <w:rPr>
                <w:kern w:val="2"/>
                <w:sz w:val="21"/>
                <w:highlight w:val="none"/>
              </w:rPr>
              <w:t>3</w:t>
            </w:r>
          </w:p>
        </w:tc>
        <w:tc>
          <w:tcPr>
            <w:tcW w:w="709" w:type="dxa"/>
            <w:noWrap w:val="0"/>
            <w:vAlign w:val="center"/>
          </w:tcPr>
          <w:p>
            <w:pPr>
              <w:snapToGrid w:val="0"/>
              <w:rPr>
                <w:kern w:val="2"/>
                <w:sz w:val="21"/>
                <w:highlight w:val="none"/>
              </w:rPr>
            </w:pPr>
          </w:p>
        </w:tc>
        <w:tc>
          <w:tcPr>
            <w:tcW w:w="4677" w:type="dxa"/>
            <w:noWrap w:val="0"/>
            <w:vAlign w:val="center"/>
          </w:tcPr>
          <w:p>
            <w:pPr>
              <w:snapToGrid w:val="0"/>
              <w:rPr>
                <w:rFonts w:hint="eastAsia"/>
                <w:kern w:val="2"/>
                <w:sz w:val="21"/>
                <w:highlight w:val="none"/>
              </w:rPr>
            </w:pPr>
            <w:r>
              <w:rPr>
                <w:kern w:val="2"/>
                <w:sz w:val="21"/>
                <w:highlight w:val="none"/>
              </w:rPr>
              <w:t>2</w:t>
            </w:r>
            <w:r>
              <w:rPr>
                <w:rFonts w:hint="eastAsia"/>
                <w:kern w:val="2"/>
                <w:sz w:val="21"/>
                <w:highlight w:val="none"/>
                <w:lang w:val="en-US" w:eastAsia="zh-CN"/>
              </w:rPr>
              <w:t>台</w:t>
            </w:r>
            <w:r>
              <w:rPr>
                <w:kern w:val="2"/>
                <w:sz w:val="21"/>
                <w:highlight w:val="none"/>
              </w:rPr>
              <w:t>仪器，应</w:t>
            </w:r>
            <w:r>
              <w:rPr>
                <w:rFonts w:hint="eastAsia"/>
                <w:kern w:val="2"/>
                <w:sz w:val="21"/>
                <w:highlight w:val="none"/>
                <w:lang w:val="en-US" w:eastAsia="zh-CN"/>
              </w:rPr>
              <w:t>至少</w:t>
            </w:r>
            <w:r>
              <w:rPr>
                <w:kern w:val="2"/>
                <w:sz w:val="21"/>
                <w:highlight w:val="none"/>
              </w:rPr>
              <w:t>有1名运维技术人员，否则不得分</w:t>
            </w:r>
            <w:r>
              <w:rPr>
                <w:rFonts w:hint="eastAsia"/>
                <w:kern w:val="2"/>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Merge w:val="continue"/>
            <w:noWrap w:val="0"/>
            <w:vAlign w:val="center"/>
          </w:tcPr>
          <w:p>
            <w:pPr>
              <w:snapToGrid w:val="0"/>
              <w:rPr>
                <w:kern w:val="2"/>
                <w:sz w:val="21"/>
                <w:highlight w:val="none"/>
              </w:rPr>
            </w:pPr>
          </w:p>
        </w:tc>
        <w:tc>
          <w:tcPr>
            <w:tcW w:w="1418" w:type="dxa"/>
            <w:vMerge w:val="continue"/>
            <w:noWrap w:val="0"/>
            <w:vAlign w:val="center"/>
          </w:tcPr>
          <w:p>
            <w:pPr>
              <w:snapToGrid w:val="0"/>
              <w:rPr>
                <w:kern w:val="2"/>
                <w:sz w:val="21"/>
                <w:highlight w:val="none"/>
              </w:rPr>
            </w:pPr>
          </w:p>
        </w:tc>
        <w:tc>
          <w:tcPr>
            <w:tcW w:w="5030" w:type="dxa"/>
            <w:noWrap w:val="0"/>
            <w:vAlign w:val="center"/>
          </w:tcPr>
          <w:p>
            <w:pPr>
              <w:snapToGrid w:val="0"/>
              <w:rPr>
                <w:rFonts w:hint="eastAsia"/>
                <w:kern w:val="2"/>
                <w:sz w:val="21"/>
                <w:highlight w:val="none"/>
              </w:rPr>
            </w:pPr>
            <w:r>
              <w:rPr>
                <w:kern w:val="2"/>
                <w:sz w:val="21"/>
                <w:highlight w:val="none"/>
              </w:rPr>
              <w:t>b）运维技术人员是否持有总站或省中心颁发的在有效期内的上岗证</w:t>
            </w:r>
            <w:r>
              <w:rPr>
                <w:rFonts w:hint="eastAsia"/>
                <w:kern w:val="2"/>
                <w:sz w:val="21"/>
                <w:highlight w:val="none"/>
              </w:rPr>
              <w:t>。</w:t>
            </w:r>
          </w:p>
        </w:tc>
        <w:tc>
          <w:tcPr>
            <w:tcW w:w="851" w:type="dxa"/>
            <w:noWrap w:val="0"/>
            <w:vAlign w:val="center"/>
          </w:tcPr>
          <w:p>
            <w:pPr>
              <w:snapToGrid w:val="0"/>
              <w:jc w:val="center"/>
              <w:rPr>
                <w:kern w:val="2"/>
                <w:sz w:val="21"/>
                <w:highlight w:val="none"/>
              </w:rPr>
            </w:pPr>
            <w:r>
              <w:rPr>
                <w:kern w:val="2"/>
                <w:sz w:val="21"/>
                <w:highlight w:val="none"/>
              </w:rPr>
              <w:t>2</w:t>
            </w:r>
          </w:p>
        </w:tc>
        <w:tc>
          <w:tcPr>
            <w:tcW w:w="709" w:type="dxa"/>
            <w:noWrap w:val="0"/>
            <w:vAlign w:val="center"/>
          </w:tcPr>
          <w:p>
            <w:pPr>
              <w:snapToGrid w:val="0"/>
              <w:rPr>
                <w:kern w:val="2"/>
                <w:sz w:val="21"/>
                <w:highlight w:val="none"/>
              </w:rPr>
            </w:pPr>
          </w:p>
        </w:tc>
        <w:tc>
          <w:tcPr>
            <w:tcW w:w="4677" w:type="dxa"/>
            <w:noWrap w:val="0"/>
            <w:vAlign w:val="center"/>
          </w:tcPr>
          <w:p>
            <w:pPr>
              <w:snapToGrid w:val="0"/>
              <w:rPr>
                <w:rFonts w:hint="eastAsia"/>
                <w:kern w:val="2"/>
                <w:sz w:val="21"/>
                <w:highlight w:val="none"/>
              </w:rPr>
            </w:pPr>
            <w:r>
              <w:rPr>
                <w:kern w:val="2"/>
                <w:sz w:val="21"/>
                <w:highlight w:val="none"/>
              </w:rPr>
              <w:t>平均每个仪器至少有1人持证才能得分，否则不得分</w:t>
            </w:r>
            <w:r>
              <w:rPr>
                <w:rFonts w:hint="eastAsia"/>
                <w:kern w:val="2"/>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Merge w:val="continue"/>
            <w:noWrap w:val="0"/>
            <w:vAlign w:val="center"/>
          </w:tcPr>
          <w:p>
            <w:pPr>
              <w:snapToGrid w:val="0"/>
              <w:rPr>
                <w:kern w:val="2"/>
                <w:sz w:val="21"/>
                <w:highlight w:val="none"/>
              </w:rPr>
            </w:pPr>
          </w:p>
        </w:tc>
        <w:tc>
          <w:tcPr>
            <w:tcW w:w="1418" w:type="dxa"/>
            <w:vMerge w:val="continue"/>
            <w:noWrap w:val="0"/>
            <w:vAlign w:val="center"/>
          </w:tcPr>
          <w:p>
            <w:pPr>
              <w:snapToGrid w:val="0"/>
              <w:rPr>
                <w:kern w:val="2"/>
                <w:sz w:val="21"/>
                <w:highlight w:val="none"/>
              </w:rPr>
            </w:pPr>
          </w:p>
        </w:tc>
        <w:tc>
          <w:tcPr>
            <w:tcW w:w="5030" w:type="dxa"/>
            <w:noWrap w:val="0"/>
            <w:vAlign w:val="center"/>
          </w:tcPr>
          <w:p>
            <w:pPr>
              <w:snapToGrid w:val="0"/>
              <w:rPr>
                <w:rFonts w:hint="eastAsia"/>
                <w:kern w:val="2"/>
                <w:sz w:val="21"/>
                <w:highlight w:val="none"/>
              </w:rPr>
            </w:pPr>
            <w:r>
              <w:rPr>
                <w:kern w:val="2"/>
                <w:sz w:val="21"/>
                <w:highlight w:val="none"/>
              </w:rPr>
              <w:t>c)现场考核人员操作（至少考核2人）</w:t>
            </w:r>
            <w:r>
              <w:rPr>
                <w:rFonts w:hint="eastAsia"/>
                <w:kern w:val="2"/>
                <w:sz w:val="21"/>
                <w:highlight w:val="none"/>
              </w:rPr>
              <w:t>。</w:t>
            </w:r>
          </w:p>
        </w:tc>
        <w:tc>
          <w:tcPr>
            <w:tcW w:w="851" w:type="dxa"/>
            <w:noWrap w:val="0"/>
            <w:vAlign w:val="center"/>
          </w:tcPr>
          <w:p>
            <w:pPr>
              <w:snapToGrid w:val="0"/>
              <w:jc w:val="center"/>
              <w:rPr>
                <w:kern w:val="2"/>
                <w:sz w:val="21"/>
                <w:highlight w:val="none"/>
              </w:rPr>
            </w:pPr>
            <w:r>
              <w:rPr>
                <w:kern w:val="2"/>
                <w:sz w:val="21"/>
                <w:highlight w:val="none"/>
              </w:rPr>
              <w:t>3</w:t>
            </w:r>
          </w:p>
        </w:tc>
        <w:tc>
          <w:tcPr>
            <w:tcW w:w="709" w:type="dxa"/>
            <w:noWrap w:val="0"/>
            <w:vAlign w:val="center"/>
          </w:tcPr>
          <w:p>
            <w:pPr>
              <w:snapToGrid w:val="0"/>
              <w:rPr>
                <w:kern w:val="2"/>
                <w:sz w:val="21"/>
                <w:highlight w:val="none"/>
              </w:rPr>
            </w:pPr>
          </w:p>
        </w:tc>
        <w:tc>
          <w:tcPr>
            <w:tcW w:w="4677" w:type="dxa"/>
            <w:noWrap w:val="0"/>
            <w:vAlign w:val="center"/>
          </w:tcPr>
          <w:p>
            <w:pPr>
              <w:snapToGrid w:val="0"/>
              <w:rPr>
                <w:rFonts w:hint="eastAsia"/>
                <w:kern w:val="2"/>
                <w:sz w:val="21"/>
                <w:highlight w:val="none"/>
              </w:rPr>
            </w:pPr>
            <w:r>
              <w:rPr>
                <w:kern w:val="2"/>
                <w:sz w:val="21"/>
                <w:highlight w:val="none"/>
              </w:rPr>
              <w:t>熟练 3分</w:t>
            </w:r>
            <w:r>
              <w:rPr>
                <w:rFonts w:hint="eastAsia"/>
                <w:kern w:val="2"/>
                <w:sz w:val="21"/>
                <w:highlight w:val="none"/>
              </w:rPr>
              <w:t xml:space="preserve"> </w:t>
            </w:r>
            <w:r>
              <w:rPr>
                <w:kern w:val="2"/>
                <w:sz w:val="21"/>
                <w:highlight w:val="none"/>
              </w:rPr>
              <w:t>能够完成 1  其他0</w:t>
            </w:r>
            <w:r>
              <w:rPr>
                <w:rFonts w:hint="eastAsia"/>
                <w:kern w:val="2"/>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Merge w:val="continue"/>
            <w:noWrap w:val="0"/>
            <w:vAlign w:val="center"/>
          </w:tcPr>
          <w:p>
            <w:pPr>
              <w:snapToGrid w:val="0"/>
              <w:rPr>
                <w:kern w:val="2"/>
                <w:sz w:val="21"/>
                <w:highlight w:val="none"/>
              </w:rPr>
            </w:pPr>
          </w:p>
        </w:tc>
        <w:tc>
          <w:tcPr>
            <w:tcW w:w="1418" w:type="dxa"/>
            <w:vMerge w:val="continue"/>
            <w:noWrap w:val="0"/>
            <w:vAlign w:val="center"/>
          </w:tcPr>
          <w:p>
            <w:pPr>
              <w:snapToGrid w:val="0"/>
              <w:rPr>
                <w:kern w:val="2"/>
                <w:sz w:val="21"/>
                <w:highlight w:val="none"/>
              </w:rPr>
            </w:pPr>
          </w:p>
        </w:tc>
        <w:tc>
          <w:tcPr>
            <w:tcW w:w="5030" w:type="dxa"/>
            <w:noWrap w:val="0"/>
            <w:vAlign w:val="center"/>
          </w:tcPr>
          <w:p>
            <w:pPr>
              <w:snapToGrid w:val="0"/>
              <w:rPr>
                <w:rFonts w:hint="eastAsia"/>
                <w:kern w:val="2"/>
                <w:sz w:val="21"/>
                <w:highlight w:val="none"/>
              </w:rPr>
            </w:pPr>
            <w:r>
              <w:rPr>
                <w:kern w:val="2"/>
                <w:sz w:val="21"/>
                <w:highlight w:val="none"/>
              </w:rPr>
              <w:t>d）定期清洗</w:t>
            </w:r>
            <w:r>
              <w:rPr>
                <w:rFonts w:hint="eastAsia"/>
                <w:kern w:val="2"/>
                <w:sz w:val="21"/>
                <w:highlight w:val="none"/>
              </w:rPr>
              <w:t>管路</w:t>
            </w:r>
            <w:r>
              <w:rPr>
                <w:kern w:val="2"/>
                <w:sz w:val="21"/>
                <w:highlight w:val="none"/>
              </w:rPr>
              <w:t>、</w:t>
            </w:r>
            <w:r>
              <w:rPr>
                <w:rFonts w:hint="eastAsia"/>
                <w:kern w:val="2"/>
                <w:sz w:val="21"/>
                <w:highlight w:val="none"/>
              </w:rPr>
              <w:t>冷水机水箱、</w:t>
            </w:r>
            <w:r>
              <w:rPr>
                <w:kern w:val="2"/>
                <w:sz w:val="21"/>
                <w:highlight w:val="none"/>
              </w:rPr>
              <w:t>泵管</w:t>
            </w:r>
            <w:r>
              <w:rPr>
                <w:rFonts w:hint="eastAsia"/>
                <w:kern w:val="2"/>
                <w:sz w:val="21"/>
                <w:highlight w:val="none"/>
              </w:rPr>
              <w:t>、采样锥</w:t>
            </w:r>
            <w:r>
              <w:rPr>
                <w:kern w:val="2"/>
                <w:sz w:val="21"/>
                <w:highlight w:val="none"/>
              </w:rPr>
              <w:t>等关键部位，填写记录</w:t>
            </w:r>
            <w:r>
              <w:rPr>
                <w:rFonts w:hint="eastAsia"/>
                <w:kern w:val="2"/>
                <w:sz w:val="21"/>
                <w:highlight w:val="none"/>
              </w:rPr>
              <w:t>。</w:t>
            </w:r>
          </w:p>
        </w:tc>
        <w:tc>
          <w:tcPr>
            <w:tcW w:w="851" w:type="dxa"/>
            <w:noWrap w:val="0"/>
            <w:vAlign w:val="center"/>
          </w:tcPr>
          <w:p>
            <w:pPr>
              <w:snapToGrid w:val="0"/>
              <w:jc w:val="center"/>
              <w:rPr>
                <w:kern w:val="2"/>
                <w:sz w:val="21"/>
                <w:highlight w:val="none"/>
              </w:rPr>
            </w:pPr>
            <w:r>
              <w:rPr>
                <w:kern w:val="2"/>
                <w:sz w:val="21"/>
                <w:highlight w:val="none"/>
              </w:rPr>
              <w:t>2</w:t>
            </w:r>
          </w:p>
        </w:tc>
        <w:tc>
          <w:tcPr>
            <w:tcW w:w="709" w:type="dxa"/>
            <w:noWrap w:val="0"/>
            <w:vAlign w:val="center"/>
          </w:tcPr>
          <w:p>
            <w:pPr>
              <w:snapToGrid w:val="0"/>
              <w:rPr>
                <w:kern w:val="2"/>
                <w:sz w:val="21"/>
                <w:highlight w:val="none"/>
              </w:rPr>
            </w:pPr>
          </w:p>
        </w:tc>
        <w:tc>
          <w:tcPr>
            <w:tcW w:w="4677" w:type="dxa"/>
            <w:noWrap w:val="0"/>
            <w:vAlign w:val="center"/>
          </w:tcPr>
          <w:p>
            <w:pPr>
              <w:snapToGrid w:val="0"/>
              <w:rPr>
                <w:kern w:val="2"/>
                <w:sz w:val="21"/>
                <w:highlight w:val="none"/>
              </w:rPr>
            </w:pPr>
            <w:r>
              <w:rPr>
                <w:kern w:val="2"/>
                <w:sz w:val="21"/>
                <w:highlight w:val="none"/>
              </w:rPr>
              <w:t>缺少其中一项记录的扣1分，扣完为止。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490" w:type="dxa"/>
            <w:vMerge w:val="continue"/>
            <w:noWrap w:val="0"/>
            <w:vAlign w:val="center"/>
          </w:tcPr>
          <w:p>
            <w:pPr>
              <w:snapToGrid w:val="0"/>
              <w:rPr>
                <w:kern w:val="2"/>
                <w:sz w:val="21"/>
                <w:highlight w:val="none"/>
              </w:rPr>
            </w:pPr>
          </w:p>
        </w:tc>
        <w:tc>
          <w:tcPr>
            <w:tcW w:w="1418" w:type="dxa"/>
            <w:vMerge w:val="continue"/>
            <w:noWrap w:val="0"/>
            <w:vAlign w:val="center"/>
          </w:tcPr>
          <w:p>
            <w:pPr>
              <w:snapToGrid w:val="0"/>
              <w:rPr>
                <w:kern w:val="2"/>
                <w:sz w:val="21"/>
                <w:highlight w:val="none"/>
              </w:rPr>
            </w:pPr>
          </w:p>
        </w:tc>
        <w:tc>
          <w:tcPr>
            <w:tcW w:w="5030" w:type="dxa"/>
            <w:noWrap w:val="0"/>
            <w:vAlign w:val="center"/>
          </w:tcPr>
          <w:p>
            <w:pPr>
              <w:snapToGrid w:val="0"/>
              <w:rPr>
                <w:rFonts w:hint="eastAsia"/>
                <w:kern w:val="2"/>
                <w:sz w:val="21"/>
                <w:highlight w:val="none"/>
              </w:rPr>
            </w:pPr>
            <w:r>
              <w:rPr>
                <w:kern w:val="2"/>
                <w:sz w:val="21"/>
                <w:highlight w:val="none"/>
              </w:rPr>
              <w:t>e）定期</w:t>
            </w:r>
            <w:r>
              <w:rPr>
                <w:rFonts w:hint="eastAsia"/>
                <w:kern w:val="2"/>
                <w:sz w:val="21"/>
                <w:highlight w:val="none"/>
              </w:rPr>
              <w:t>更换调谐试剂、校准试剂、标准试剂、内标试剂、</w:t>
            </w:r>
            <w:r>
              <w:rPr>
                <w:kern w:val="2"/>
                <w:sz w:val="21"/>
                <w:highlight w:val="none"/>
              </w:rPr>
              <w:t>实验用水</w:t>
            </w:r>
            <w:r>
              <w:rPr>
                <w:rFonts w:hint="eastAsia"/>
                <w:kern w:val="2"/>
                <w:sz w:val="21"/>
                <w:highlight w:val="none"/>
              </w:rPr>
              <w:t>，并</w:t>
            </w:r>
            <w:r>
              <w:rPr>
                <w:kern w:val="2"/>
                <w:sz w:val="21"/>
                <w:highlight w:val="none"/>
              </w:rPr>
              <w:t>填写记录</w:t>
            </w:r>
            <w:r>
              <w:rPr>
                <w:rFonts w:hint="eastAsia"/>
                <w:kern w:val="2"/>
                <w:sz w:val="21"/>
                <w:highlight w:val="none"/>
              </w:rPr>
              <w:t>。</w:t>
            </w:r>
          </w:p>
        </w:tc>
        <w:tc>
          <w:tcPr>
            <w:tcW w:w="851" w:type="dxa"/>
            <w:noWrap w:val="0"/>
            <w:vAlign w:val="center"/>
          </w:tcPr>
          <w:p>
            <w:pPr>
              <w:snapToGrid w:val="0"/>
              <w:jc w:val="center"/>
              <w:rPr>
                <w:kern w:val="2"/>
                <w:sz w:val="21"/>
                <w:highlight w:val="none"/>
              </w:rPr>
            </w:pPr>
            <w:r>
              <w:rPr>
                <w:kern w:val="2"/>
                <w:sz w:val="21"/>
                <w:highlight w:val="none"/>
              </w:rPr>
              <w:t>2</w:t>
            </w:r>
          </w:p>
        </w:tc>
        <w:tc>
          <w:tcPr>
            <w:tcW w:w="709" w:type="dxa"/>
            <w:noWrap w:val="0"/>
            <w:vAlign w:val="center"/>
          </w:tcPr>
          <w:p>
            <w:pPr>
              <w:snapToGrid w:val="0"/>
              <w:rPr>
                <w:kern w:val="2"/>
                <w:sz w:val="21"/>
                <w:highlight w:val="none"/>
              </w:rPr>
            </w:pPr>
          </w:p>
        </w:tc>
        <w:tc>
          <w:tcPr>
            <w:tcW w:w="4677" w:type="dxa"/>
            <w:noWrap w:val="0"/>
            <w:vAlign w:val="center"/>
          </w:tcPr>
          <w:p>
            <w:pPr>
              <w:snapToGrid w:val="0"/>
              <w:rPr>
                <w:kern w:val="2"/>
                <w:sz w:val="21"/>
                <w:highlight w:val="none"/>
              </w:rPr>
            </w:pPr>
            <w:r>
              <w:rPr>
                <w:kern w:val="2"/>
                <w:sz w:val="21"/>
                <w:highlight w:val="none"/>
              </w:rPr>
              <w:t>缺少其中一项记录的扣1分，扣完为止。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2" w:hRule="atLeast"/>
        </w:trPr>
        <w:tc>
          <w:tcPr>
            <w:tcW w:w="1490" w:type="dxa"/>
            <w:vMerge w:val="continue"/>
            <w:noWrap w:val="0"/>
            <w:vAlign w:val="center"/>
          </w:tcPr>
          <w:p>
            <w:pPr>
              <w:snapToGrid w:val="0"/>
              <w:rPr>
                <w:kern w:val="2"/>
                <w:sz w:val="21"/>
                <w:highlight w:val="none"/>
              </w:rPr>
            </w:pPr>
          </w:p>
        </w:tc>
        <w:tc>
          <w:tcPr>
            <w:tcW w:w="1418" w:type="dxa"/>
            <w:vMerge w:val="continue"/>
            <w:noWrap w:val="0"/>
            <w:vAlign w:val="center"/>
          </w:tcPr>
          <w:p>
            <w:pPr>
              <w:snapToGrid w:val="0"/>
              <w:rPr>
                <w:kern w:val="2"/>
                <w:sz w:val="21"/>
                <w:highlight w:val="none"/>
              </w:rPr>
            </w:pPr>
          </w:p>
        </w:tc>
        <w:tc>
          <w:tcPr>
            <w:tcW w:w="5030" w:type="dxa"/>
            <w:noWrap w:val="0"/>
            <w:vAlign w:val="center"/>
          </w:tcPr>
          <w:p>
            <w:pPr>
              <w:snapToGrid w:val="0"/>
              <w:rPr>
                <w:rFonts w:hint="eastAsia"/>
                <w:kern w:val="2"/>
                <w:sz w:val="21"/>
                <w:highlight w:val="none"/>
              </w:rPr>
            </w:pPr>
            <w:r>
              <w:rPr>
                <w:kern w:val="2"/>
                <w:sz w:val="21"/>
                <w:highlight w:val="none"/>
              </w:rPr>
              <w:t>f）更换使用到期的耗材和备件，填写记录</w:t>
            </w:r>
            <w:r>
              <w:rPr>
                <w:rFonts w:hint="eastAsia"/>
                <w:kern w:val="2"/>
                <w:sz w:val="21"/>
                <w:highlight w:val="none"/>
              </w:rPr>
              <w:t>。</w:t>
            </w:r>
          </w:p>
        </w:tc>
        <w:tc>
          <w:tcPr>
            <w:tcW w:w="851" w:type="dxa"/>
            <w:noWrap w:val="0"/>
            <w:vAlign w:val="center"/>
          </w:tcPr>
          <w:p>
            <w:pPr>
              <w:snapToGrid w:val="0"/>
              <w:jc w:val="center"/>
              <w:rPr>
                <w:kern w:val="2"/>
                <w:sz w:val="21"/>
                <w:highlight w:val="none"/>
              </w:rPr>
            </w:pPr>
            <w:r>
              <w:rPr>
                <w:kern w:val="2"/>
                <w:sz w:val="21"/>
                <w:highlight w:val="none"/>
              </w:rPr>
              <w:t>2</w:t>
            </w:r>
          </w:p>
        </w:tc>
        <w:tc>
          <w:tcPr>
            <w:tcW w:w="709" w:type="dxa"/>
            <w:noWrap w:val="0"/>
            <w:vAlign w:val="center"/>
          </w:tcPr>
          <w:p>
            <w:pPr>
              <w:snapToGrid w:val="0"/>
              <w:rPr>
                <w:kern w:val="2"/>
                <w:sz w:val="21"/>
                <w:highlight w:val="none"/>
              </w:rPr>
            </w:pPr>
          </w:p>
        </w:tc>
        <w:tc>
          <w:tcPr>
            <w:tcW w:w="4677" w:type="dxa"/>
            <w:noWrap w:val="0"/>
            <w:vAlign w:val="center"/>
          </w:tcPr>
          <w:p>
            <w:pPr>
              <w:snapToGrid w:val="0"/>
              <w:rPr>
                <w:kern w:val="2"/>
                <w:sz w:val="21"/>
                <w:highlight w:val="none"/>
              </w:rPr>
            </w:pPr>
            <w:r>
              <w:rPr>
                <w:kern w:val="2"/>
                <w:sz w:val="21"/>
                <w:highlight w:val="none"/>
              </w:rPr>
              <w:t>缺少其中一项记录的扣1分，扣完为止。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Merge w:val="continue"/>
            <w:noWrap w:val="0"/>
            <w:vAlign w:val="center"/>
          </w:tcPr>
          <w:p>
            <w:pPr>
              <w:snapToGrid w:val="0"/>
              <w:rPr>
                <w:kern w:val="2"/>
                <w:sz w:val="21"/>
                <w:highlight w:val="none"/>
              </w:rPr>
            </w:pPr>
          </w:p>
        </w:tc>
        <w:tc>
          <w:tcPr>
            <w:tcW w:w="1418" w:type="dxa"/>
            <w:vMerge w:val="continue"/>
            <w:noWrap w:val="0"/>
            <w:vAlign w:val="center"/>
          </w:tcPr>
          <w:p>
            <w:pPr>
              <w:snapToGrid w:val="0"/>
              <w:rPr>
                <w:kern w:val="2"/>
                <w:sz w:val="21"/>
                <w:highlight w:val="none"/>
              </w:rPr>
            </w:pPr>
          </w:p>
        </w:tc>
        <w:tc>
          <w:tcPr>
            <w:tcW w:w="5030" w:type="dxa"/>
            <w:noWrap w:val="0"/>
            <w:vAlign w:val="center"/>
          </w:tcPr>
          <w:p>
            <w:pPr>
              <w:snapToGrid w:val="0"/>
              <w:rPr>
                <w:kern w:val="2"/>
                <w:sz w:val="21"/>
                <w:highlight w:val="none"/>
              </w:rPr>
            </w:pPr>
            <w:r>
              <w:rPr>
                <w:kern w:val="2"/>
                <w:sz w:val="21"/>
                <w:highlight w:val="none"/>
              </w:rPr>
              <w:t>g）站房内是否保持卫生、整洁</w:t>
            </w:r>
          </w:p>
        </w:tc>
        <w:tc>
          <w:tcPr>
            <w:tcW w:w="851" w:type="dxa"/>
            <w:noWrap w:val="0"/>
            <w:vAlign w:val="center"/>
          </w:tcPr>
          <w:p>
            <w:pPr>
              <w:snapToGrid w:val="0"/>
              <w:jc w:val="center"/>
              <w:rPr>
                <w:kern w:val="2"/>
                <w:sz w:val="21"/>
                <w:highlight w:val="none"/>
              </w:rPr>
            </w:pPr>
            <w:r>
              <w:rPr>
                <w:kern w:val="2"/>
                <w:sz w:val="21"/>
                <w:highlight w:val="none"/>
              </w:rPr>
              <w:t>1</w:t>
            </w:r>
          </w:p>
        </w:tc>
        <w:tc>
          <w:tcPr>
            <w:tcW w:w="709" w:type="dxa"/>
            <w:noWrap w:val="0"/>
            <w:vAlign w:val="center"/>
          </w:tcPr>
          <w:p>
            <w:pPr>
              <w:snapToGrid w:val="0"/>
              <w:rPr>
                <w:kern w:val="2"/>
                <w:sz w:val="21"/>
                <w:highlight w:val="none"/>
              </w:rPr>
            </w:pPr>
          </w:p>
        </w:tc>
        <w:tc>
          <w:tcPr>
            <w:tcW w:w="4677" w:type="dxa"/>
            <w:noWrap w:val="0"/>
            <w:vAlign w:val="center"/>
          </w:tcPr>
          <w:p>
            <w:pPr>
              <w:snapToGrid w:val="0"/>
              <w:rPr>
                <w:kern w:val="2"/>
                <w:sz w:val="21"/>
                <w:highlight w:val="none"/>
              </w:rPr>
            </w:pPr>
            <w:r>
              <w:rPr>
                <w:kern w:val="2"/>
                <w:sz w:val="21"/>
                <w:highlight w:val="none"/>
              </w:rPr>
              <w:t>不满足的不得分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Merge w:val="continue"/>
            <w:noWrap w:val="0"/>
            <w:vAlign w:val="center"/>
          </w:tcPr>
          <w:p>
            <w:pPr>
              <w:snapToGrid w:val="0"/>
              <w:rPr>
                <w:kern w:val="2"/>
                <w:sz w:val="21"/>
                <w:highlight w:val="none"/>
              </w:rPr>
            </w:pPr>
          </w:p>
        </w:tc>
        <w:tc>
          <w:tcPr>
            <w:tcW w:w="1418" w:type="dxa"/>
            <w:vMerge w:val="continue"/>
            <w:noWrap w:val="0"/>
            <w:vAlign w:val="center"/>
          </w:tcPr>
          <w:p>
            <w:pPr>
              <w:snapToGrid w:val="0"/>
              <w:rPr>
                <w:kern w:val="2"/>
                <w:sz w:val="21"/>
                <w:highlight w:val="none"/>
              </w:rPr>
            </w:pPr>
          </w:p>
        </w:tc>
        <w:tc>
          <w:tcPr>
            <w:tcW w:w="5030" w:type="dxa"/>
            <w:noWrap w:val="0"/>
            <w:vAlign w:val="center"/>
          </w:tcPr>
          <w:p>
            <w:pPr>
              <w:snapToGrid w:val="0"/>
              <w:rPr>
                <w:rFonts w:hint="eastAsia"/>
                <w:kern w:val="2"/>
                <w:sz w:val="21"/>
                <w:highlight w:val="none"/>
              </w:rPr>
            </w:pPr>
            <w:r>
              <w:rPr>
                <w:kern w:val="2"/>
                <w:sz w:val="21"/>
                <w:highlight w:val="none"/>
              </w:rPr>
              <w:t>i）每周运维仪器，现场登录“河南省水质自动站运维质控管理系统”，填报工作情况</w:t>
            </w:r>
            <w:r>
              <w:rPr>
                <w:rFonts w:hint="eastAsia"/>
                <w:kern w:val="2"/>
                <w:sz w:val="21"/>
                <w:highlight w:val="none"/>
                <w:lang w:val="en-US" w:eastAsia="zh-CN"/>
              </w:rPr>
              <w:t>或留有纸质记录</w:t>
            </w:r>
            <w:r>
              <w:rPr>
                <w:rFonts w:hint="eastAsia"/>
                <w:kern w:val="2"/>
                <w:sz w:val="21"/>
                <w:highlight w:val="none"/>
              </w:rPr>
              <w:t>。</w:t>
            </w:r>
          </w:p>
        </w:tc>
        <w:tc>
          <w:tcPr>
            <w:tcW w:w="851" w:type="dxa"/>
            <w:noWrap w:val="0"/>
            <w:vAlign w:val="center"/>
          </w:tcPr>
          <w:p>
            <w:pPr>
              <w:snapToGrid w:val="0"/>
              <w:jc w:val="center"/>
              <w:rPr>
                <w:kern w:val="2"/>
                <w:sz w:val="21"/>
                <w:highlight w:val="none"/>
              </w:rPr>
            </w:pPr>
            <w:r>
              <w:rPr>
                <w:kern w:val="2"/>
                <w:sz w:val="21"/>
                <w:highlight w:val="none"/>
              </w:rPr>
              <w:t>1</w:t>
            </w:r>
          </w:p>
        </w:tc>
        <w:tc>
          <w:tcPr>
            <w:tcW w:w="709" w:type="dxa"/>
            <w:noWrap w:val="0"/>
            <w:vAlign w:val="center"/>
          </w:tcPr>
          <w:p>
            <w:pPr>
              <w:snapToGrid w:val="0"/>
              <w:rPr>
                <w:kern w:val="2"/>
                <w:sz w:val="21"/>
                <w:highlight w:val="none"/>
              </w:rPr>
            </w:pPr>
          </w:p>
        </w:tc>
        <w:tc>
          <w:tcPr>
            <w:tcW w:w="4677" w:type="dxa"/>
            <w:noWrap w:val="0"/>
            <w:vAlign w:val="center"/>
          </w:tcPr>
          <w:p>
            <w:pPr>
              <w:snapToGrid w:val="0"/>
              <w:rPr>
                <w:kern w:val="2"/>
                <w:sz w:val="21"/>
                <w:highlight w:val="none"/>
              </w:rPr>
            </w:pPr>
            <w:r>
              <w:rPr>
                <w:kern w:val="2"/>
                <w:sz w:val="21"/>
                <w:highlight w:val="none"/>
              </w:rPr>
              <w:t>缺少一次扣0.5分，扣完为止。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Merge w:val="continue"/>
            <w:noWrap w:val="0"/>
            <w:vAlign w:val="center"/>
          </w:tcPr>
          <w:p>
            <w:pPr>
              <w:snapToGrid w:val="0"/>
              <w:rPr>
                <w:kern w:val="2"/>
                <w:sz w:val="21"/>
                <w:highlight w:val="none"/>
              </w:rPr>
            </w:pPr>
          </w:p>
        </w:tc>
        <w:tc>
          <w:tcPr>
            <w:tcW w:w="1418" w:type="dxa"/>
            <w:vMerge w:val="restart"/>
            <w:noWrap w:val="0"/>
            <w:vAlign w:val="center"/>
          </w:tcPr>
          <w:p>
            <w:pPr>
              <w:numPr>
                <w:ilvl w:val="0"/>
                <w:numId w:val="40"/>
              </w:numPr>
              <w:snapToGrid w:val="0"/>
              <w:spacing w:line="360" w:lineRule="auto"/>
              <w:rPr>
                <w:kern w:val="2"/>
                <w:sz w:val="21"/>
                <w:highlight w:val="none"/>
              </w:rPr>
            </w:pPr>
            <w:r>
              <w:rPr>
                <w:kern w:val="2"/>
                <w:sz w:val="21"/>
                <w:highlight w:val="none"/>
              </w:rPr>
              <w:t>质控措施</w:t>
            </w:r>
          </w:p>
          <w:p>
            <w:pPr>
              <w:snapToGrid w:val="0"/>
              <w:rPr>
                <w:kern w:val="2"/>
                <w:sz w:val="21"/>
                <w:highlight w:val="none"/>
              </w:rPr>
            </w:pPr>
            <w:r>
              <w:rPr>
                <w:kern w:val="2"/>
                <w:sz w:val="21"/>
                <w:highlight w:val="none"/>
              </w:rPr>
              <w:t>（</w:t>
            </w:r>
            <w:r>
              <w:rPr>
                <w:rFonts w:hint="eastAsia"/>
                <w:kern w:val="2"/>
                <w:sz w:val="21"/>
                <w:highlight w:val="none"/>
              </w:rPr>
              <w:t>20</w:t>
            </w:r>
            <w:r>
              <w:rPr>
                <w:kern w:val="2"/>
                <w:sz w:val="21"/>
                <w:highlight w:val="none"/>
              </w:rPr>
              <w:t>分）</w:t>
            </w:r>
          </w:p>
        </w:tc>
        <w:tc>
          <w:tcPr>
            <w:tcW w:w="5030" w:type="dxa"/>
            <w:noWrap w:val="0"/>
            <w:vAlign w:val="center"/>
          </w:tcPr>
          <w:p>
            <w:pPr>
              <w:snapToGrid w:val="0"/>
              <w:rPr>
                <w:kern w:val="2"/>
                <w:sz w:val="21"/>
                <w:highlight w:val="none"/>
              </w:rPr>
            </w:pPr>
            <w:r>
              <w:rPr>
                <w:kern w:val="2"/>
                <w:sz w:val="21"/>
                <w:highlight w:val="none"/>
              </w:rPr>
              <w:t>a）日监视：是否每天查看仪器运行情况，</w:t>
            </w:r>
            <w:r>
              <w:rPr>
                <w:rFonts w:hint="eastAsia"/>
                <w:kern w:val="2"/>
                <w:sz w:val="21"/>
                <w:highlight w:val="none"/>
              </w:rPr>
              <w:t>在省平台审核前一天数据。</w:t>
            </w:r>
          </w:p>
        </w:tc>
        <w:tc>
          <w:tcPr>
            <w:tcW w:w="851" w:type="dxa"/>
            <w:noWrap w:val="0"/>
            <w:vAlign w:val="center"/>
          </w:tcPr>
          <w:p>
            <w:pPr>
              <w:snapToGrid w:val="0"/>
              <w:jc w:val="center"/>
              <w:rPr>
                <w:rFonts w:hint="eastAsia"/>
                <w:kern w:val="2"/>
                <w:sz w:val="21"/>
                <w:highlight w:val="none"/>
              </w:rPr>
            </w:pPr>
            <w:r>
              <w:rPr>
                <w:rFonts w:hint="eastAsia"/>
                <w:kern w:val="2"/>
                <w:sz w:val="21"/>
                <w:highlight w:val="none"/>
              </w:rPr>
              <w:t>4</w:t>
            </w:r>
          </w:p>
        </w:tc>
        <w:tc>
          <w:tcPr>
            <w:tcW w:w="709" w:type="dxa"/>
            <w:noWrap w:val="0"/>
            <w:vAlign w:val="center"/>
          </w:tcPr>
          <w:p>
            <w:pPr>
              <w:snapToGrid w:val="0"/>
              <w:rPr>
                <w:kern w:val="2"/>
                <w:sz w:val="21"/>
                <w:highlight w:val="none"/>
              </w:rPr>
            </w:pPr>
          </w:p>
        </w:tc>
        <w:tc>
          <w:tcPr>
            <w:tcW w:w="4677" w:type="dxa"/>
            <w:noWrap w:val="0"/>
            <w:vAlign w:val="center"/>
          </w:tcPr>
          <w:p>
            <w:pPr>
              <w:snapToGrid w:val="0"/>
              <w:rPr>
                <w:kern w:val="2"/>
                <w:sz w:val="21"/>
                <w:highlight w:val="none"/>
              </w:rPr>
            </w:pPr>
            <w:r>
              <w:rPr>
                <w:rFonts w:hint="eastAsia"/>
                <w:kern w:val="2"/>
                <w:sz w:val="21"/>
                <w:highlight w:val="none"/>
              </w:rPr>
              <w:t>数据未审核一次不得分。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Merge w:val="continue"/>
            <w:noWrap w:val="0"/>
            <w:vAlign w:val="center"/>
          </w:tcPr>
          <w:p>
            <w:pPr>
              <w:snapToGrid w:val="0"/>
              <w:rPr>
                <w:kern w:val="2"/>
                <w:sz w:val="21"/>
                <w:highlight w:val="none"/>
              </w:rPr>
            </w:pPr>
          </w:p>
        </w:tc>
        <w:tc>
          <w:tcPr>
            <w:tcW w:w="1418" w:type="dxa"/>
            <w:vMerge w:val="continue"/>
            <w:noWrap w:val="0"/>
            <w:vAlign w:val="center"/>
          </w:tcPr>
          <w:p>
            <w:pPr>
              <w:snapToGrid w:val="0"/>
              <w:rPr>
                <w:kern w:val="2"/>
                <w:sz w:val="21"/>
                <w:highlight w:val="none"/>
              </w:rPr>
            </w:pPr>
          </w:p>
        </w:tc>
        <w:tc>
          <w:tcPr>
            <w:tcW w:w="5030" w:type="dxa"/>
            <w:noWrap w:val="0"/>
            <w:vAlign w:val="center"/>
          </w:tcPr>
          <w:p>
            <w:pPr>
              <w:snapToGrid w:val="0"/>
              <w:rPr>
                <w:kern w:val="2"/>
                <w:sz w:val="21"/>
                <w:highlight w:val="none"/>
              </w:rPr>
            </w:pPr>
            <w:r>
              <w:rPr>
                <w:kern w:val="2"/>
                <w:sz w:val="21"/>
                <w:highlight w:val="none"/>
              </w:rPr>
              <w:t>b）月核查：是否每月进行一次标准溶液核查，相对误差应该在±10%以内，否则需对自动监测仪器重新校准。</w:t>
            </w:r>
          </w:p>
        </w:tc>
        <w:tc>
          <w:tcPr>
            <w:tcW w:w="851" w:type="dxa"/>
            <w:noWrap w:val="0"/>
            <w:vAlign w:val="center"/>
          </w:tcPr>
          <w:p>
            <w:pPr>
              <w:snapToGrid w:val="0"/>
              <w:jc w:val="center"/>
              <w:rPr>
                <w:rFonts w:hint="eastAsia"/>
                <w:kern w:val="2"/>
                <w:sz w:val="21"/>
                <w:highlight w:val="none"/>
              </w:rPr>
            </w:pPr>
            <w:r>
              <w:rPr>
                <w:rFonts w:hint="eastAsia"/>
                <w:kern w:val="2"/>
                <w:sz w:val="21"/>
                <w:highlight w:val="none"/>
              </w:rPr>
              <w:t>8</w:t>
            </w:r>
          </w:p>
        </w:tc>
        <w:tc>
          <w:tcPr>
            <w:tcW w:w="709" w:type="dxa"/>
            <w:noWrap w:val="0"/>
            <w:vAlign w:val="center"/>
          </w:tcPr>
          <w:p>
            <w:pPr>
              <w:snapToGrid w:val="0"/>
              <w:rPr>
                <w:kern w:val="2"/>
                <w:sz w:val="21"/>
                <w:highlight w:val="none"/>
              </w:rPr>
            </w:pPr>
          </w:p>
        </w:tc>
        <w:tc>
          <w:tcPr>
            <w:tcW w:w="4677" w:type="dxa"/>
            <w:noWrap w:val="0"/>
            <w:vAlign w:val="center"/>
          </w:tcPr>
          <w:p>
            <w:pPr>
              <w:snapToGrid w:val="0"/>
              <w:rPr>
                <w:rFonts w:hint="eastAsia"/>
                <w:kern w:val="2"/>
                <w:sz w:val="21"/>
                <w:highlight w:val="none"/>
              </w:rPr>
            </w:pPr>
            <w:r>
              <w:rPr>
                <w:kern w:val="2"/>
                <w:sz w:val="21"/>
                <w:highlight w:val="none"/>
              </w:rPr>
              <w:t>没有记录的不得分，记录不完整的扣</w:t>
            </w:r>
            <w:r>
              <w:rPr>
                <w:rFonts w:hint="eastAsia"/>
                <w:kern w:val="2"/>
                <w:sz w:val="21"/>
                <w:highlight w:val="none"/>
              </w:rPr>
              <w:t>3</w:t>
            </w:r>
            <w:r>
              <w:rPr>
                <w:kern w:val="2"/>
                <w:sz w:val="21"/>
                <w:highlight w:val="none"/>
              </w:rPr>
              <w:t>分</w:t>
            </w:r>
            <w:r>
              <w:rPr>
                <w:rFonts w:hint="eastAsia"/>
                <w:kern w:val="2"/>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Merge w:val="continue"/>
            <w:noWrap w:val="0"/>
            <w:vAlign w:val="center"/>
          </w:tcPr>
          <w:p>
            <w:pPr>
              <w:snapToGrid w:val="0"/>
              <w:rPr>
                <w:kern w:val="2"/>
                <w:sz w:val="21"/>
                <w:highlight w:val="none"/>
              </w:rPr>
            </w:pPr>
          </w:p>
        </w:tc>
        <w:tc>
          <w:tcPr>
            <w:tcW w:w="1418" w:type="dxa"/>
            <w:vMerge w:val="continue"/>
            <w:noWrap w:val="0"/>
            <w:vAlign w:val="center"/>
          </w:tcPr>
          <w:p>
            <w:pPr>
              <w:snapToGrid w:val="0"/>
              <w:rPr>
                <w:kern w:val="2"/>
                <w:sz w:val="21"/>
                <w:highlight w:val="none"/>
              </w:rPr>
            </w:pPr>
          </w:p>
        </w:tc>
        <w:tc>
          <w:tcPr>
            <w:tcW w:w="5030" w:type="dxa"/>
            <w:noWrap w:val="0"/>
            <w:vAlign w:val="center"/>
          </w:tcPr>
          <w:p>
            <w:pPr>
              <w:snapToGrid w:val="0"/>
              <w:rPr>
                <w:kern w:val="2"/>
                <w:sz w:val="21"/>
                <w:highlight w:val="none"/>
              </w:rPr>
            </w:pPr>
            <w:r>
              <w:rPr>
                <w:kern w:val="2"/>
                <w:sz w:val="21"/>
                <w:highlight w:val="none"/>
              </w:rPr>
              <w:t>c）月比对：是否每月进行一次重金属20项因子的实验室常规分析的比对试验。</w:t>
            </w:r>
          </w:p>
        </w:tc>
        <w:tc>
          <w:tcPr>
            <w:tcW w:w="851" w:type="dxa"/>
            <w:noWrap w:val="0"/>
            <w:vAlign w:val="center"/>
          </w:tcPr>
          <w:p>
            <w:pPr>
              <w:snapToGrid w:val="0"/>
              <w:jc w:val="center"/>
              <w:rPr>
                <w:rFonts w:hint="eastAsia"/>
                <w:kern w:val="2"/>
                <w:sz w:val="21"/>
                <w:highlight w:val="none"/>
              </w:rPr>
            </w:pPr>
            <w:r>
              <w:rPr>
                <w:rFonts w:hint="eastAsia"/>
                <w:kern w:val="2"/>
                <w:sz w:val="21"/>
                <w:highlight w:val="none"/>
              </w:rPr>
              <w:t>8</w:t>
            </w:r>
          </w:p>
        </w:tc>
        <w:tc>
          <w:tcPr>
            <w:tcW w:w="709" w:type="dxa"/>
            <w:noWrap w:val="0"/>
            <w:vAlign w:val="center"/>
          </w:tcPr>
          <w:p>
            <w:pPr>
              <w:snapToGrid w:val="0"/>
              <w:rPr>
                <w:kern w:val="2"/>
                <w:sz w:val="21"/>
                <w:highlight w:val="none"/>
              </w:rPr>
            </w:pPr>
          </w:p>
        </w:tc>
        <w:tc>
          <w:tcPr>
            <w:tcW w:w="4677" w:type="dxa"/>
            <w:noWrap w:val="0"/>
            <w:vAlign w:val="center"/>
          </w:tcPr>
          <w:p>
            <w:pPr>
              <w:snapToGrid w:val="0"/>
              <w:rPr>
                <w:rFonts w:hint="eastAsia"/>
                <w:kern w:val="2"/>
                <w:sz w:val="21"/>
                <w:highlight w:val="none"/>
              </w:rPr>
            </w:pPr>
            <w:r>
              <w:rPr>
                <w:kern w:val="2"/>
                <w:sz w:val="21"/>
                <w:highlight w:val="none"/>
              </w:rPr>
              <w:t>没有记录的不得分，记录不完整的扣1分</w:t>
            </w:r>
            <w:r>
              <w:rPr>
                <w:rFonts w:hint="eastAsia"/>
                <w:kern w:val="2"/>
                <w:sz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3" w:hRule="atLeast"/>
        </w:trPr>
        <w:tc>
          <w:tcPr>
            <w:tcW w:w="1490" w:type="dxa"/>
            <w:vMerge w:val="continue"/>
            <w:noWrap w:val="0"/>
            <w:vAlign w:val="center"/>
          </w:tcPr>
          <w:p>
            <w:pPr>
              <w:snapToGrid w:val="0"/>
              <w:rPr>
                <w:kern w:val="2"/>
                <w:sz w:val="21"/>
                <w:highlight w:val="none"/>
              </w:rPr>
            </w:pPr>
          </w:p>
        </w:tc>
        <w:tc>
          <w:tcPr>
            <w:tcW w:w="1418" w:type="dxa"/>
            <w:vMerge w:val="restart"/>
            <w:noWrap w:val="0"/>
            <w:vAlign w:val="center"/>
          </w:tcPr>
          <w:p>
            <w:pPr>
              <w:numPr>
                <w:ilvl w:val="0"/>
                <w:numId w:val="40"/>
              </w:numPr>
              <w:snapToGrid w:val="0"/>
              <w:spacing w:line="360" w:lineRule="auto"/>
              <w:rPr>
                <w:kern w:val="2"/>
                <w:sz w:val="21"/>
                <w:highlight w:val="none"/>
              </w:rPr>
            </w:pPr>
            <w:r>
              <w:rPr>
                <w:kern w:val="2"/>
                <w:sz w:val="21"/>
                <w:highlight w:val="none"/>
              </w:rPr>
              <w:t>数据管理</w:t>
            </w:r>
          </w:p>
          <w:p>
            <w:pPr>
              <w:snapToGrid w:val="0"/>
              <w:rPr>
                <w:kern w:val="2"/>
                <w:sz w:val="21"/>
                <w:highlight w:val="none"/>
              </w:rPr>
            </w:pPr>
            <w:r>
              <w:rPr>
                <w:kern w:val="2"/>
                <w:sz w:val="21"/>
                <w:highlight w:val="none"/>
              </w:rPr>
              <w:t>（</w:t>
            </w:r>
            <w:r>
              <w:rPr>
                <w:rFonts w:hint="eastAsia"/>
                <w:kern w:val="2"/>
                <w:sz w:val="21"/>
                <w:highlight w:val="none"/>
                <w:lang w:val="en-US" w:eastAsia="zh-CN"/>
              </w:rPr>
              <w:t>5</w:t>
            </w:r>
            <w:r>
              <w:rPr>
                <w:kern w:val="2"/>
                <w:sz w:val="21"/>
                <w:highlight w:val="none"/>
              </w:rPr>
              <w:t>分）</w:t>
            </w:r>
          </w:p>
        </w:tc>
        <w:tc>
          <w:tcPr>
            <w:tcW w:w="5030" w:type="dxa"/>
            <w:noWrap w:val="0"/>
            <w:vAlign w:val="center"/>
          </w:tcPr>
          <w:p>
            <w:pPr>
              <w:snapToGrid w:val="0"/>
              <w:rPr>
                <w:kern w:val="2"/>
                <w:sz w:val="21"/>
                <w:highlight w:val="none"/>
              </w:rPr>
            </w:pPr>
            <w:r>
              <w:rPr>
                <w:kern w:val="2"/>
                <w:sz w:val="21"/>
                <w:highlight w:val="none"/>
              </w:rPr>
              <w:t>a）数据是否及时备份（每月对监测数据应刻盘备份1次。）</w:t>
            </w:r>
          </w:p>
        </w:tc>
        <w:tc>
          <w:tcPr>
            <w:tcW w:w="851" w:type="dxa"/>
            <w:noWrap w:val="0"/>
            <w:vAlign w:val="center"/>
          </w:tcPr>
          <w:p>
            <w:pPr>
              <w:snapToGrid w:val="0"/>
              <w:jc w:val="center"/>
              <w:rPr>
                <w:kern w:val="2"/>
                <w:sz w:val="21"/>
                <w:highlight w:val="none"/>
              </w:rPr>
            </w:pPr>
            <w:r>
              <w:rPr>
                <w:kern w:val="2"/>
                <w:sz w:val="21"/>
                <w:highlight w:val="none"/>
              </w:rPr>
              <w:t>2</w:t>
            </w:r>
          </w:p>
        </w:tc>
        <w:tc>
          <w:tcPr>
            <w:tcW w:w="709" w:type="dxa"/>
            <w:noWrap w:val="0"/>
            <w:vAlign w:val="center"/>
          </w:tcPr>
          <w:p>
            <w:pPr>
              <w:snapToGrid w:val="0"/>
              <w:rPr>
                <w:kern w:val="2"/>
                <w:sz w:val="21"/>
                <w:highlight w:val="none"/>
              </w:rPr>
            </w:pPr>
          </w:p>
        </w:tc>
        <w:tc>
          <w:tcPr>
            <w:tcW w:w="4677" w:type="dxa"/>
            <w:noWrap w:val="0"/>
            <w:vAlign w:val="center"/>
          </w:tcPr>
          <w:p>
            <w:pPr>
              <w:snapToGrid w:val="0"/>
              <w:rPr>
                <w:kern w:val="2"/>
                <w:sz w:val="21"/>
                <w:highlight w:val="none"/>
              </w:rPr>
            </w:pPr>
            <w:r>
              <w:rPr>
                <w:kern w:val="2"/>
                <w:sz w:val="21"/>
                <w:highlight w:val="none"/>
              </w:rPr>
              <w:t>没有数据备份的不得分；将数据存在电脑里但未定期刻成光盘或考入硬盘进行备份的扣1分。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Merge w:val="continue"/>
            <w:noWrap w:val="0"/>
            <w:vAlign w:val="center"/>
          </w:tcPr>
          <w:p>
            <w:pPr>
              <w:snapToGrid w:val="0"/>
              <w:rPr>
                <w:kern w:val="2"/>
                <w:sz w:val="21"/>
                <w:highlight w:val="none"/>
              </w:rPr>
            </w:pPr>
          </w:p>
        </w:tc>
        <w:tc>
          <w:tcPr>
            <w:tcW w:w="1418" w:type="dxa"/>
            <w:vMerge w:val="continue"/>
            <w:noWrap w:val="0"/>
            <w:vAlign w:val="center"/>
          </w:tcPr>
          <w:p>
            <w:pPr>
              <w:snapToGrid w:val="0"/>
              <w:rPr>
                <w:kern w:val="2"/>
                <w:sz w:val="21"/>
                <w:highlight w:val="none"/>
              </w:rPr>
            </w:pPr>
          </w:p>
        </w:tc>
        <w:tc>
          <w:tcPr>
            <w:tcW w:w="5030" w:type="dxa"/>
            <w:noWrap w:val="0"/>
            <w:vAlign w:val="center"/>
          </w:tcPr>
          <w:p>
            <w:pPr>
              <w:snapToGrid w:val="0"/>
              <w:rPr>
                <w:rFonts w:hint="eastAsia"/>
                <w:kern w:val="2"/>
                <w:sz w:val="21"/>
                <w:highlight w:val="none"/>
              </w:rPr>
            </w:pPr>
            <w:r>
              <w:rPr>
                <w:kern w:val="2"/>
                <w:sz w:val="21"/>
                <w:highlight w:val="none"/>
              </w:rPr>
              <w:t>b）数据异常时是否有相关处理措施与上报程序</w:t>
            </w:r>
            <w:r>
              <w:rPr>
                <w:rFonts w:hint="eastAsia"/>
                <w:kern w:val="2"/>
                <w:sz w:val="21"/>
                <w:highlight w:val="none"/>
              </w:rPr>
              <w:t>。</w:t>
            </w:r>
          </w:p>
        </w:tc>
        <w:tc>
          <w:tcPr>
            <w:tcW w:w="851" w:type="dxa"/>
            <w:noWrap w:val="0"/>
            <w:vAlign w:val="center"/>
          </w:tcPr>
          <w:p>
            <w:pPr>
              <w:snapToGrid w:val="0"/>
              <w:jc w:val="center"/>
              <w:rPr>
                <w:rFonts w:hint="eastAsia" w:eastAsia="宋体"/>
                <w:kern w:val="2"/>
                <w:sz w:val="21"/>
                <w:highlight w:val="none"/>
                <w:lang w:eastAsia="zh-CN"/>
              </w:rPr>
            </w:pPr>
            <w:r>
              <w:rPr>
                <w:rFonts w:hint="eastAsia"/>
                <w:kern w:val="2"/>
                <w:sz w:val="21"/>
                <w:highlight w:val="none"/>
                <w:lang w:val="en-US" w:eastAsia="zh-CN"/>
              </w:rPr>
              <w:t>3</w:t>
            </w:r>
          </w:p>
        </w:tc>
        <w:tc>
          <w:tcPr>
            <w:tcW w:w="709" w:type="dxa"/>
            <w:noWrap w:val="0"/>
            <w:vAlign w:val="center"/>
          </w:tcPr>
          <w:p>
            <w:pPr>
              <w:snapToGrid w:val="0"/>
              <w:rPr>
                <w:kern w:val="2"/>
                <w:sz w:val="21"/>
                <w:highlight w:val="none"/>
              </w:rPr>
            </w:pPr>
          </w:p>
        </w:tc>
        <w:tc>
          <w:tcPr>
            <w:tcW w:w="4677" w:type="dxa"/>
            <w:noWrap w:val="0"/>
            <w:vAlign w:val="center"/>
          </w:tcPr>
          <w:p>
            <w:pPr>
              <w:snapToGrid w:val="0"/>
              <w:rPr>
                <w:kern w:val="2"/>
                <w:sz w:val="21"/>
                <w:highlight w:val="none"/>
              </w:rPr>
            </w:pPr>
            <w:r>
              <w:rPr>
                <w:kern w:val="2"/>
                <w:sz w:val="21"/>
                <w:highlight w:val="none"/>
              </w:rPr>
              <w:t>在工作中有相关处理措施与上报程序，但没有体现在管理文件或制度上的扣2分。异常情况上报是否与值班记录、维修记录、工控机数据一致（3分）。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9" w:hRule="atLeast"/>
        </w:trPr>
        <w:tc>
          <w:tcPr>
            <w:tcW w:w="1490" w:type="dxa"/>
            <w:vMerge w:val="continue"/>
            <w:noWrap w:val="0"/>
            <w:vAlign w:val="center"/>
          </w:tcPr>
          <w:p>
            <w:pPr>
              <w:snapToGrid w:val="0"/>
              <w:rPr>
                <w:kern w:val="2"/>
                <w:sz w:val="21"/>
                <w:highlight w:val="none"/>
              </w:rPr>
            </w:pPr>
          </w:p>
        </w:tc>
        <w:tc>
          <w:tcPr>
            <w:tcW w:w="1418" w:type="dxa"/>
            <w:noWrap w:val="0"/>
            <w:vAlign w:val="center"/>
          </w:tcPr>
          <w:p>
            <w:pPr>
              <w:numPr>
                <w:ilvl w:val="0"/>
                <w:numId w:val="40"/>
              </w:numPr>
              <w:snapToGrid w:val="0"/>
              <w:spacing w:line="360" w:lineRule="auto"/>
              <w:rPr>
                <w:kern w:val="2"/>
                <w:sz w:val="21"/>
                <w:highlight w:val="none"/>
              </w:rPr>
            </w:pPr>
            <w:r>
              <w:rPr>
                <w:kern w:val="2"/>
                <w:sz w:val="21"/>
                <w:highlight w:val="none"/>
              </w:rPr>
              <w:t>档案管理</w:t>
            </w:r>
          </w:p>
          <w:p>
            <w:pPr>
              <w:snapToGrid w:val="0"/>
              <w:rPr>
                <w:kern w:val="2"/>
                <w:sz w:val="21"/>
                <w:highlight w:val="none"/>
              </w:rPr>
            </w:pPr>
            <w:r>
              <w:rPr>
                <w:kern w:val="2"/>
                <w:sz w:val="21"/>
                <w:highlight w:val="none"/>
              </w:rPr>
              <w:t>（</w:t>
            </w:r>
            <w:r>
              <w:rPr>
                <w:rFonts w:hint="eastAsia"/>
                <w:kern w:val="2"/>
                <w:sz w:val="21"/>
                <w:highlight w:val="none"/>
              </w:rPr>
              <w:t>5</w:t>
            </w:r>
            <w:r>
              <w:rPr>
                <w:kern w:val="2"/>
                <w:sz w:val="21"/>
                <w:highlight w:val="none"/>
              </w:rPr>
              <w:t>分）</w:t>
            </w:r>
          </w:p>
        </w:tc>
        <w:tc>
          <w:tcPr>
            <w:tcW w:w="5030" w:type="dxa"/>
            <w:noWrap w:val="0"/>
            <w:vAlign w:val="center"/>
          </w:tcPr>
          <w:p>
            <w:pPr>
              <w:snapToGrid w:val="0"/>
              <w:rPr>
                <w:rFonts w:hint="eastAsia"/>
                <w:kern w:val="2"/>
                <w:sz w:val="21"/>
                <w:highlight w:val="none"/>
              </w:rPr>
            </w:pPr>
            <w:r>
              <w:rPr>
                <w:kern w:val="2"/>
                <w:sz w:val="21"/>
                <w:highlight w:val="none"/>
              </w:rPr>
              <w:t>备份数据、周报及运行记录是否按规定进行归档</w:t>
            </w:r>
            <w:r>
              <w:rPr>
                <w:rFonts w:hint="eastAsia"/>
                <w:kern w:val="2"/>
                <w:sz w:val="21"/>
                <w:highlight w:val="none"/>
              </w:rPr>
              <w:t>。</w:t>
            </w:r>
          </w:p>
        </w:tc>
        <w:tc>
          <w:tcPr>
            <w:tcW w:w="851" w:type="dxa"/>
            <w:noWrap w:val="0"/>
            <w:vAlign w:val="center"/>
          </w:tcPr>
          <w:p>
            <w:pPr>
              <w:snapToGrid w:val="0"/>
              <w:jc w:val="center"/>
              <w:rPr>
                <w:rFonts w:hint="eastAsia"/>
                <w:kern w:val="2"/>
                <w:sz w:val="21"/>
                <w:highlight w:val="none"/>
              </w:rPr>
            </w:pPr>
            <w:r>
              <w:rPr>
                <w:rFonts w:hint="eastAsia"/>
                <w:kern w:val="2"/>
                <w:sz w:val="21"/>
                <w:highlight w:val="none"/>
              </w:rPr>
              <w:t>5</w:t>
            </w:r>
          </w:p>
        </w:tc>
        <w:tc>
          <w:tcPr>
            <w:tcW w:w="709" w:type="dxa"/>
            <w:noWrap w:val="0"/>
            <w:vAlign w:val="center"/>
          </w:tcPr>
          <w:p>
            <w:pPr>
              <w:snapToGrid w:val="0"/>
              <w:rPr>
                <w:kern w:val="2"/>
                <w:sz w:val="21"/>
                <w:highlight w:val="none"/>
              </w:rPr>
            </w:pPr>
          </w:p>
        </w:tc>
        <w:tc>
          <w:tcPr>
            <w:tcW w:w="4677" w:type="dxa"/>
            <w:noWrap w:val="0"/>
            <w:vAlign w:val="center"/>
          </w:tcPr>
          <w:p>
            <w:pPr>
              <w:snapToGrid w:val="0"/>
              <w:rPr>
                <w:kern w:val="2"/>
                <w:sz w:val="21"/>
                <w:highlight w:val="none"/>
              </w:rPr>
            </w:pPr>
            <w:r>
              <w:rPr>
                <w:kern w:val="2"/>
                <w:sz w:val="21"/>
                <w:highlight w:val="none"/>
              </w:rPr>
              <w:t>缺少其中一项扣1分，扣完为止。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Merge w:val="restart"/>
            <w:noWrap w:val="0"/>
            <w:vAlign w:val="center"/>
          </w:tcPr>
          <w:p>
            <w:pPr>
              <w:snapToGrid w:val="0"/>
              <w:rPr>
                <w:kern w:val="2"/>
                <w:sz w:val="21"/>
                <w:highlight w:val="none"/>
              </w:rPr>
            </w:pPr>
            <w:r>
              <w:rPr>
                <w:rFonts w:hint="eastAsia"/>
                <w:kern w:val="2"/>
                <w:sz w:val="21"/>
                <w:highlight w:val="none"/>
              </w:rPr>
              <w:t>3</w:t>
            </w:r>
            <w:r>
              <w:rPr>
                <w:kern w:val="2"/>
                <w:sz w:val="21"/>
                <w:highlight w:val="none"/>
              </w:rPr>
              <w:t>.仪器运行状况统计（</w:t>
            </w:r>
            <w:r>
              <w:rPr>
                <w:rFonts w:hint="eastAsia"/>
                <w:kern w:val="2"/>
                <w:sz w:val="21"/>
                <w:highlight w:val="none"/>
              </w:rPr>
              <w:t>3</w:t>
            </w:r>
            <w:r>
              <w:rPr>
                <w:kern w:val="2"/>
                <w:sz w:val="21"/>
                <w:highlight w:val="none"/>
              </w:rPr>
              <w:t>4分）</w:t>
            </w:r>
          </w:p>
        </w:tc>
        <w:tc>
          <w:tcPr>
            <w:tcW w:w="1418" w:type="dxa"/>
            <w:noWrap w:val="0"/>
            <w:vAlign w:val="center"/>
          </w:tcPr>
          <w:p>
            <w:pPr>
              <w:numPr>
                <w:ilvl w:val="0"/>
                <w:numId w:val="41"/>
              </w:numPr>
              <w:snapToGrid w:val="0"/>
              <w:spacing w:line="360" w:lineRule="auto"/>
              <w:rPr>
                <w:kern w:val="2"/>
                <w:sz w:val="21"/>
                <w:highlight w:val="none"/>
              </w:rPr>
            </w:pPr>
            <w:r>
              <w:rPr>
                <w:kern w:val="2"/>
                <w:sz w:val="21"/>
                <w:highlight w:val="none"/>
              </w:rPr>
              <w:t>运行数据有效率</w:t>
            </w:r>
          </w:p>
          <w:p>
            <w:pPr>
              <w:snapToGrid w:val="0"/>
              <w:rPr>
                <w:kern w:val="2"/>
                <w:sz w:val="21"/>
                <w:highlight w:val="none"/>
              </w:rPr>
            </w:pPr>
            <w:r>
              <w:rPr>
                <w:kern w:val="2"/>
                <w:sz w:val="21"/>
                <w:highlight w:val="none"/>
              </w:rPr>
              <w:t>（</w:t>
            </w:r>
            <w:r>
              <w:rPr>
                <w:rFonts w:hint="eastAsia"/>
                <w:kern w:val="2"/>
                <w:sz w:val="21"/>
                <w:highlight w:val="none"/>
              </w:rPr>
              <w:t>10</w:t>
            </w:r>
            <w:r>
              <w:rPr>
                <w:kern w:val="2"/>
                <w:sz w:val="21"/>
                <w:highlight w:val="none"/>
              </w:rPr>
              <w:t>分）</w:t>
            </w:r>
          </w:p>
        </w:tc>
        <w:tc>
          <w:tcPr>
            <w:tcW w:w="5030" w:type="dxa"/>
            <w:noWrap w:val="0"/>
            <w:vAlign w:val="center"/>
          </w:tcPr>
          <w:p>
            <w:pPr>
              <w:snapToGrid w:val="0"/>
              <w:rPr>
                <w:rFonts w:hint="eastAsia"/>
                <w:kern w:val="2"/>
                <w:sz w:val="21"/>
                <w:highlight w:val="none"/>
              </w:rPr>
            </w:pPr>
            <w:r>
              <w:rPr>
                <w:kern w:val="2"/>
                <w:sz w:val="21"/>
                <w:highlight w:val="none"/>
              </w:rPr>
              <w:t>达到90%以上得</w:t>
            </w:r>
            <w:r>
              <w:rPr>
                <w:rFonts w:hint="eastAsia"/>
                <w:kern w:val="2"/>
                <w:sz w:val="21"/>
                <w:highlight w:val="none"/>
              </w:rPr>
              <w:t>10</w:t>
            </w:r>
            <w:r>
              <w:rPr>
                <w:kern w:val="2"/>
                <w:sz w:val="21"/>
                <w:highlight w:val="none"/>
              </w:rPr>
              <w:t>分，80%~90%得</w:t>
            </w:r>
            <w:r>
              <w:rPr>
                <w:rFonts w:hint="eastAsia"/>
                <w:kern w:val="2"/>
                <w:sz w:val="21"/>
                <w:highlight w:val="none"/>
              </w:rPr>
              <w:t>6</w:t>
            </w:r>
            <w:r>
              <w:rPr>
                <w:kern w:val="2"/>
                <w:sz w:val="21"/>
                <w:highlight w:val="none"/>
              </w:rPr>
              <w:t>分，60%~80%得</w:t>
            </w:r>
            <w:r>
              <w:rPr>
                <w:rFonts w:hint="eastAsia"/>
                <w:kern w:val="2"/>
                <w:sz w:val="21"/>
                <w:highlight w:val="none"/>
              </w:rPr>
              <w:t>3</w:t>
            </w:r>
            <w:r>
              <w:rPr>
                <w:kern w:val="2"/>
                <w:sz w:val="21"/>
                <w:highlight w:val="none"/>
              </w:rPr>
              <w:t>分，60%以下不得分</w:t>
            </w:r>
            <w:r>
              <w:rPr>
                <w:rFonts w:hint="eastAsia"/>
                <w:kern w:val="2"/>
                <w:sz w:val="21"/>
                <w:highlight w:val="none"/>
              </w:rPr>
              <w:t>。</w:t>
            </w:r>
          </w:p>
        </w:tc>
        <w:tc>
          <w:tcPr>
            <w:tcW w:w="851" w:type="dxa"/>
            <w:noWrap w:val="0"/>
            <w:vAlign w:val="center"/>
          </w:tcPr>
          <w:p>
            <w:pPr>
              <w:snapToGrid w:val="0"/>
              <w:jc w:val="center"/>
              <w:rPr>
                <w:kern w:val="2"/>
                <w:sz w:val="21"/>
                <w:highlight w:val="none"/>
              </w:rPr>
            </w:pPr>
            <w:r>
              <w:rPr>
                <w:rFonts w:hint="eastAsia"/>
                <w:kern w:val="2"/>
                <w:sz w:val="21"/>
                <w:highlight w:val="none"/>
              </w:rPr>
              <w:t>10</w:t>
            </w:r>
          </w:p>
        </w:tc>
        <w:tc>
          <w:tcPr>
            <w:tcW w:w="709" w:type="dxa"/>
            <w:noWrap w:val="0"/>
            <w:vAlign w:val="center"/>
          </w:tcPr>
          <w:p>
            <w:pPr>
              <w:snapToGrid w:val="0"/>
              <w:rPr>
                <w:kern w:val="2"/>
                <w:sz w:val="21"/>
                <w:highlight w:val="none"/>
              </w:rPr>
            </w:pPr>
          </w:p>
        </w:tc>
        <w:tc>
          <w:tcPr>
            <w:tcW w:w="4677" w:type="dxa"/>
            <w:noWrap w:val="0"/>
            <w:vAlign w:val="center"/>
          </w:tcPr>
          <w:p>
            <w:pPr>
              <w:snapToGrid w:val="0"/>
              <w:rPr>
                <w:kern w:val="2"/>
                <w:sz w:val="21"/>
                <w:highlight w:val="none"/>
              </w:rPr>
            </w:pPr>
            <w:r>
              <w:rPr>
                <w:kern w:val="2"/>
                <w:sz w:val="21"/>
                <w:highlight w:val="none"/>
              </w:rPr>
              <w:t>缺少一次扣0.5分，扣完为止。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Merge w:val="continue"/>
            <w:noWrap w:val="0"/>
            <w:vAlign w:val="center"/>
          </w:tcPr>
          <w:p>
            <w:pPr>
              <w:snapToGrid w:val="0"/>
              <w:rPr>
                <w:kern w:val="2"/>
                <w:sz w:val="21"/>
                <w:highlight w:val="none"/>
              </w:rPr>
            </w:pPr>
          </w:p>
        </w:tc>
        <w:tc>
          <w:tcPr>
            <w:tcW w:w="1418" w:type="dxa"/>
            <w:noWrap w:val="0"/>
            <w:vAlign w:val="center"/>
          </w:tcPr>
          <w:p>
            <w:pPr>
              <w:snapToGrid w:val="0"/>
              <w:rPr>
                <w:kern w:val="2"/>
                <w:sz w:val="21"/>
                <w:highlight w:val="none"/>
              </w:rPr>
            </w:pPr>
            <w:r>
              <w:rPr>
                <w:kern w:val="2"/>
                <w:sz w:val="21"/>
                <w:highlight w:val="none"/>
              </w:rPr>
              <w:t>周报上传率（</w:t>
            </w:r>
            <w:r>
              <w:rPr>
                <w:rFonts w:hint="eastAsia"/>
                <w:kern w:val="2"/>
                <w:sz w:val="21"/>
                <w:highlight w:val="none"/>
              </w:rPr>
              <w:t>8</w:t>
            </w:r>
            <w:r>
              <w:rPr>
                <w:kern w:val="2"/>
                <w:sz w:val="21"/>
                <w:highlight w:val="none"/>
              </w:rPr>
              <w:t>分）</w:t>
            </w:r>
          </w:p>
        </w:tc>
        <w:tc>
          <w:tcPr>
            <w:tcW w:w="5030" w:type="dxa"/>
            <w:noWrap w:val="0"/>
            <w:vAlign w:val="center"/>
          </w:tcPr>
          <w:p>
            <w:pPr>
              <w:snapToGrid w:val="0"/>
              <w:rPr>
                <w:rFonts w:hint="eastAsia"/>
                <w:kern w:val="2"/>
                <w:sz w:val="21"/>
                <w:highlight w:val="none"/>
              </w:rPr>
            </w:pPr>
            <w:r>
              <w:rPr>
                <w:kern w:val="2"/>
                <w:sz w:val="21"/>
                <w:highlight w:val="none"/>
              </w:rPr>
              <w:t>达到90%以上得</w:t>
            </w:r>
            <w:r>
              <w:rPr>
                <w:rFonts w:hint="eastAsia"/>
                <w:kern w:val="2"/>
                <w:sz w:val="21"/>
                <w:highlight w:val="none"/>
              </w:rPr>
              <w:t>8</w:t>
            </w:r>
            <w:r>
              <w:rPr>
                <w:kern w:val="2"/>
                <w:sz w:val="21"/>
                <w:highlight w:val="none"/>
              </w:rPr>
              <w:t>分，80%~90%得</w:t>
            </w:r>
            <w:r>
              <w:rPr>
                <w:rFonts w:hint="eastAsia"/>
                <w:kern w:val="2"/>
                <w:sz w:val="21"/>
                <w:highlight w:val="none"/>
              </w:rPr>
              <w:t>6</w:t>
            </w:r>
            <w:r>
              <w:rPr>
                <w:kern w:val="2"/>
                <w:sz w:val="21"/>
                <w:highlight w:val="none"/>
              </w:rPr>
              <w:t>分，60%~80%得</w:t>
            </w:r>
            <w:r>
              <w:rPr>
                <w:rFonts w:hint="eastAsia"/>
                <w:kern w:val="2"/>
                <w:sz w:val="21"/>
                <w:highlight w:val="none"/>
              </w:rPr>
              <w:t>3</w:t>
            </w:r>
            <w:r>
              <w:rPr>
                <w:kern w:val="2"/>
                <w:sz w:val="21"/>
                <w:highlight w:val="none"/>
              </w:rPr>
              <w:t>分，60%以下不得分</w:t>
            </w:r>
            <w:r>
              <w:rPr>
                <w:rFonts w:hint="eastAsia"/>
                <w:kern w:val="2"/>
                <w:sz w:val="21"/>
                <w:highlight w:val="none"/>
              </w:rPr>
              <w:t>。</w:t>
            </w:r>
          </w:p>
        </w:tc>
        <w:tc>
          <w:tcPr>
            <w:tcW w:w="851" w:type="dxa"/>
            <w:noWrap w:val="0"/>
            <w:vAlign w:val="center"/>
          </w:tcPr>
          <w:p>
            <w:pPr>
              <w:snapToGrid w:val="0"/>
              <w:jc w:val="center"/>
              <w:rPr>
                <w:rFonts w:hint="eastAsia"/>
                <w:kern w:val="2"/>
                <w:sz w:val="21"/>
                <w:highlight w:val="none"/>
              </w:rPr>
            </w:pPr>
            <w:r>
              <w:rPr>
                <w:rFonts w:hint="eastAsia"/>
                <w:kern w:val="2"/>
                <w:sz w:val="21"/>
                <w:highlight w:val="none"/>
              </w:rPr>
              <w:t>8</w:t>
            </w:r>
          </w:p>
        </w:tc>
        <w:tc>
          <w:tcPr>
            <w:tcW w:w="709" w:type="dxa"/>
            <w:noWrap w:val="0"/>
            <w:vAlign w:val="center"/>
          </w:tcPr>
          <w:p>
            <w:pPr>
              <w:snapToGrid w:val="0"/>
              <w:rPr>
                <w:kern w:val="2"/>
                <w:sz w:val="21"/>
                <w:highlight w:val="none"/>
              </w:rPr>
            </w:pPr>
          </w:p>
        </w:tc>
        <w:tc>
          <w:tcPr>
            <w:tcW w:w="4677" w:type="dxa"/>
            <w:noWrap w:val="0"/>
            <w:vAlign w:val="center"/>
          </w:tcPr>
          <w:p>
            <w:pPr>
              <w:snapToGrid w:val="0"/>
              <w:rPr>
                <w:kern w:val="2"/>
                <w:sz w:val="21"/>
                <w:highlight w:val="none"/>
              </w:rPr>
            </w:pPr>
            <w:r>
              <w:rPr>
                <w:kern w:val="2"/>
                <w:sz w:val="21"/>
                <w:highlight w:val="none"/>
              </w:rPr>
              <w:t>缺少一次扣0.5分，扣完为止。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Merge w:val="continue"/>
            <w:noWrap w:val="0"/>
            <w:vAlign w:val="center"/>
          </w:tcPr>
          <w:p>
            <w:pPr>
              <w:snapToGrid w:val="0"/>
              <w:rPr>
                <w:kern w:val="2"/>
                <w:sz w:val="21"/>
                <w:highlight w:val="none"/>
              </w:rPr>
            </w:pPr>
          </w:p>
        </w:tc>
        <w:tc>
          <w:tcPr>
            <w:tcW w:w="1418" w:type="dxa"/>
            <w:noWrap w:val="0"/>
            <w:vAlign w:val="center"/>
          </w:tcPr>
          <w:p>
            <w:pPr>
              <w:numPr>
                <w:ilvl w:val="0"/>
                <w:numId w:val="41"/>
              </w:numPr>
              <w:snapToGrid w:val="0"/>
              <w:spacing w:line="360" w:lineRule="auto"/>
              <w:rPr>
                <w:kern w:val="2"/>
                <w:sz w:val="21"/>
                <w:highlight w:val="none"/>
              </w:rPr>
            </w:pPr>
            <w:r>
              <w:rPr>
                <w:kern w:val="2"/>
                <w:sz w:val="21"/>
                <w:highlight w:val="none"/>
              </w:rPr>
              <w:t>核查率（</w:t>
            </w:r>
            <w:r>
              <w:rPr>
                <w:rFonts w:hint="eastAsia"/>
                <w:kern w:val="2"/>
                <w:sz w:val="21"/>
                <w:highlight w:val="none"/>
              </w:rPr>
              <w:t>8</w:t>
            </w:r>
            <w:r>
              <w:rPr>
                <w:kern w:val="2"/>
                <w:sz w:val="21"/>
                <w:highlight w:val="none"/>
              </w:rPr>
              <w:t>分）</w:t>
            </w:r>
          </w:p>
        </w:tc>
        <w:tc>
          <w:tcPr>
            <w:tcW w:w="5030" w:type="dxa"/>
            <w:noWrap w:val="0"/>
            <w:vAlign w:val="center"/>
          </w:tcPr>
          <w:p>
            <w:pPr>
              <w:snapToGrid w:val="0"/>
              <w:rPr>
                <w:rFonts w:hint="eastAsia"/>
                <w:kern w:val="2"/>
                <w:sz w:val="21"/>
                <w:highlight w:val="none"/>
              </w:rPr>
            </w:pPr>
            <w:r>
              <w:rPr>
                <w:kern w:val="2"/>
                <w:sz w:val="21"/>
                <w:highlight w:val="none"/>
              </w:rPr>
              <w:t>达到90%以上得</w:t>
            </w:r>
            <w:r>
              <w:rPr>
                <w:rFonts w:hint="eastAsia"/>
                <w:kern w:val="2"/>
                <w:sz w:val="21"/>
                <w:highlight w:val="none"/>
              </w:rPr>
              <w:t>8</w:t>
            </w:r>
            <w:r>
              <w:rPr>
                <w:kern w:val="2"/>
                <w:sz w:val="21"/>
                <w:highlight w:val="none"/>
              </w:rPr>
              <w:t>分，80%~90%得</w:t>
            </w:r>
            <w:r>
              <w:rPr>
                <w:rFonts w:hint="eastAsia"/>
                <w:kern w:val="2"/>
                <w:sz w:val="21"/>
                <w:highlight w:val="none"/>
              </w:rPr>
              <w:t>6</w:t>
            </w:r>
            <w:r>
              <w:rPr>
                <w:kern w:val="2"/>
                <w:sz w:val="21"/>
                <w:highlight w:val="none"/>
              </w:rPr>
              <w:t>分，60%~80%得</w:t>
            </w:r>
            <w:r>
              <w:rPr>
                <w:rFonts w:hint="eastAsia"/>
                <w:kern w:val="2"/>
                <w:sz w:val="21"/>
                <w:highlight w:val="none"/>
              </w:rPr>
              <w:t>3</w:t>
            </w:r>
            <w:r>
              <w:rPr>
                <w:kern w:val="2"/>
                <w:sz w:val="21"/>
                <w:highlight w:val="none"/>
              </w:rPr>
              <w:t>分，60%以下不得分</w:t>
            </w:r>
            <w:r>
              <w:rPr>
                <w:rFonts w:hint="eastAsia"/>
                <w:kern w:val="2"/>
                <w:sz w:val="21"/>
                <w:highlight w:val="none"/>
              </w:rPr>
              <w:t>。</w:t>
            </w:r>
          </w:p>
        </w:tc>
        <w:tc>
          <w:tcPr>
            <w:tcW w:w="851" w:type="dxa"/>
            <w:noWrap w:val="0"/>
            <w:vAlign w:val="center"/>
          </w:tcPr>
          <w:p>
            <w:pPr>
              <w:snapToGrid w:val="0"/>
              <w:jc w:val="center"/>
              <w:rPr>
                <w:rFonts w:hint="eastAsia"/>
                <w:kern w:val="2"/>
                <w:sz w:val="21"/>
                <w:highlight w:val="none"/>
              </w:rPr>
            </w:pPr>
            <w:r>
              <w:rPr>
                <w:rFonts w:hint="eastAsia"/>
                <w:kern w:val="2"/>
                <w:sz w:val="21"/>
                <w:highlight w:val="none"/>
              </w:rPr>
              <w:t>8</w:t>
            </w:r>
          </w:p>
        </w:tc>
        <w:tc>
          <w:tcPr>
            <w:tcW w:w="709" w:type="dxa"/>
            <w:noWrap w:val="0"/>
            <w:vAlign w:val="center"/>
          </w:tcPr>
          <w:p>
            <w:pPr>
              <w:snapToGrid w:val="0"/>
              <w:rPr>
                <w:kern w:val="2"/>
                <w:sz w:val="21"/>
                <w:highlight w:val="none"/>
              </w:rPr>
            </w:pPr>
          </w:p>
        </w:tc>
        <w:tc>
          <w:tcPr>
            <w:tcW w:w="4677" w:type="dxa"/>
            <w:vMerge w:val="restart"/>
            <w:noWrap w:val="0"/>
            <w:vAlign w:val="center"/>
          </w:tcPr>
          <w:p>
            <w:pPr>
              <w:snapToGrid w:val="0"/>
              <w:rPr>
                <w:kern w:val="2"/>
                <w:sz w:val="21"/>
                <w:highlight w:val="none"/>
              </w:rPr>
            </w:pPr>
            <w:r>
              <w:rPr>
                <w:kern w:val="2"/>
                <w:sz w:val="21"/>
                <w:highlight w:val="none"/>
              </w:rPr>
              <w:t>现场检查上次检查至今标液核查、比对情况，少一周一项扣0.2分。</w:t>
            </w:r>
          </w:p>
          <w:p>
            <w:pPr>
              <w:snapToGrid w:val="0"/>
              <w:rPr>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90" w:type="dxa"/>
            <w:vMerge w:val="continue"/>
            <w:noWrap w:val="0"/>
            <w:vAlign w:val="center"/>
          </w:tcPr>
          <w:p>
            <w:pPr>
              <w:snapToGrid w:val="0"/>
              <w:rPr>
                <w:kern w:val="2"/>
                <w:sz w:val="21"/>
                <w:highlight w:val="none"/>
              </w:rPr>
            </w:pPr>
          </w:p>
        </w:tc>
        <w:tc>
          <w:tcPr>
            <w:tcW w:w="1418" w:type="dxa"/>
            <w:noWrap w:val="0"/>
            <w:vAlign w:val="center"/>
          </w:tcPr>
          <w:p>
            <w:pPr>
              <w:numPr>
                <w:ilvl w:val="0"/>
                <w:numId w:val="41"/>
              </w:numPr>
              <w:snapToGrid w:val="0"/>
              <w:spacing w:line="360" w:lineRule="auto"/>
              <w:rPr>
                <w:kern w:val="2"/>
                <w:sz w:val="21"/>
                <w:highlight w:val="none"/>
              </w:rPr>
            </w:pPr>
            <w:r>
              <w:rPr>
                <w:kern w:val="2"/>
                <w:sz w:val="21"/>
                <w:highlight w:val="none"/>
              </w:rPr>
              <w:t>比对率（</w:t>
            </w:r>
            <w:r>
              <w:rPr>
                <w:rFonts w:hint="eastAsia"/>
                <w:kern w:val="2"/>
                <w:sz w:val="21"/>
                <w:highlight w:val="none"/>
              </w:rPr>
              <w:t>8</w:t>
            </w:r>
            <w:r>
              <w:rPr>
                <w:kern w:val="2"/>
                <w:sz w:val="21"/>
                <w:highlight w:val="none"/>
              </w:rPr>
              <w:t>分）</w:t>
            </w:r>
          </w:p>
        </w:tc>
        <w:tc>
          <w:tcPr>
            <w:tcW w:w="5030" w:type="dxa"/>
            <w:noWrap w:val="0"/>
            <w:vAlign w:val="center"/>
          </w:tcPr>
          <w:p>
            <w:pPr>
              <w:snapToGrid w:val="0"/>
              <w:rPr>
                <w:rFonts w:hint="eastAsia"/>
                <w:kern w:val="2"/>
                <w:sz w:val="21"/>
                <w:highlight w:val="none"/>
              </w:rPr>
            </w:pPr>
            <w:r>
              <w:rPr>
                <w:kern w:val="2"/>
                <w:sz w:val="21"/>
                <w:highlight w:val="none"/>
              </w:rPr>
              <w:t>达到90%以上得</w:t>
            </w:r>
            <w:r>
              <w:rPr>
                <w:rFonts w:hint="eastAsia"/>
                <w:kern w:val="2"/>
                <w:sz w:val="21"/>
                <w:highlight w:val="none"/>
              </w:rPr>
              <w:t>8</w:t>
            </w:r>
            <w:r>
              <w:rPr>
                <w:kern w:val="2"/>
                <w:sz w:val="21"/>
                <w:highlight w:val="none"/>
              </w:rPr>
              <w:t>分，80%~90%得</w:t>
            </w:r>
            <w:r>
              <w:rPr>
                <w:rFonts w:hint="eastAsia"/>
                <w:kern w:val="2"/>
                <w:sz w:val="21"/>
                <w:highlight w:val="none"/>
              </w:rPr>
              <w:t>6</w:t>
            </w:r>
            <w:r>
              <w:rPr>
                <w:kern w:val="2"/>
                <w:sz w:val="21"/>
                <w:highlight w:val="none"/>
              </w:rPr>
              <w:t>分，60%~80%得</w:t>
            </w:r>
            <w:r>
              <w:rPr>
                <w:rFonts w:hint="eastAsia"/>
                <w:kern w:val="2"/>
                <w:sz w:val="21"/>
                <w:highlight w:val="none"/>
              </w:rPr>
              <w:t>3</w:t>
            </w:r>
            <w:r>
              <w:rPr>
                <w:kern w:val="2"/>
                <w:sz w:val="21"/>
                <w:highlight w:val="none"/>
              </w:rPr>
              <w:t>分，60%以下不得分</w:t>
            </w:r>
            <w:r>
              <w:rPr>
                <w:rFonts w:hint="eastAsia"/>
                <w:kern w:val="2"/>
                <w:sz w:val="21"/>
                <w:highlight w:val="none"/>
              </w:rPr>
              <w:t>。</w:t>
            </w:r>
          </w:p>
        </w:tc>
        <w:tc>
          <w:tcPr>
            <w:tcW w:w="851" w:type="dxa"/>
            <w:noWrap w:val="0"/>
            <w:vAlign w:val="center"/>
          </w:tcPr>
          <w:p>
            <w:pPr>
              <w:snapToGrid w:val="0"/>
              <w:jc w:val="center"/>
              <w:rPr>
                <w:rFonts w:hint="eastAsia"/>
                <w:kern w:val="2"/>
                <w:sz w:val="21"/>
                <w:highlight w:val="none"/>
              </w:rPr>
            </w:pPr>
            <w:r>
              <w:rPr>
                <w:rFonts w:hint="eastAsia"/>
                <w:kern w:val="2"/>
                <w:sz w:val="21"/>
                <w:highlight w:val="none"/>
              </w:rPr>
              <w:t>8</w:t>
            </w:r>
          </w:p>
        </w:tc>
        <w:tc>
          <w:tcPr>
            <w:tcW w:w="709" w:type="dxa"/>
            <w:noWrap w:val="0"/>
            <w:vAlign w:val="center"/>
          </w:tcPr>
          <w:p>
            <w:pPr>
              <w:snapToGrid w:val="0"/>
              <w:rPr>
                <w:kern w:val="2"/>
                <w:sz w:val="21"/>
                <w:highlight w:val="none"/>
              </w:rPr>
            </w:pPr>
          </w:p>
        </w:tc>
        <w:tc>
          <w:tcPr>
            <w:tcW w:w="4677" w:type="dxa"/>
            <w:vMerge w:val="continue"/>
            <w:noWrap w:val="0"/>
            <w:vAlign w:val="center"/>
          </w:tcPr>
          <w:p>
            <w:pPr>
              <w:snapToGrid w:val="0"/>
              <w:rPr>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938" w:type="dxa"/>
            <w:gridSpan w:val="3"/>
            <w:noWrap w:val="0"/>
            <w:vAlign w:val="center"/>
          </w:tcPr>
          <w:p>
            <w:pPr>
              <w:snapToGrid w:val="0"/>
              <w:rPr>
                <w:kern w:val="2"/>
                <w:sz w:val="21"/>
                <w:highlight w:val="none"/>
              </w:rPr>
            </w:pPr>
            <w:r>
              <w:rPr>
                <w:kern w:val="2"/>
                <w:sz w:val="21"/>
                <w:highlight w:val="none"/>
              </w:rPr>
              <w:t>总分</w:t>
            </w:r>
          </w:p>
        </w:tc>
        <w:tc>
          <w:tcPr>
            <w:tcW w:w="1560" w:type="dxa"/>
            <w:gridSpan w:val="2"/>
            <w:noWrap w:val="0"/>
            <w:vAlign w:val="center"/>
          </w:tcPr>
          <w:p>
            <w:pPr>
              <w:snapToGrid w:val="0"/>
              <w:rPr>
                <w:kern w:val="2"/>
                <w:sz w:val="21"/>
                <w:highlight w:val="none"/>
              </w:rPr>
            </w:pPr>
          </w:p>
        </w:tc>
        <w:tc>
          <w:tcPr>
            <w:tcW w:w="4677" w:type="dxa"/>
            <w:noWrap w:val="0"/>
            <w:vAlign w:val="center"/>
          </w:tcPr>
          <w:p>
            <w:pPr>
              <w:snapToGrid w:val="0"/>
              <w:rPr>
                <w:kern w:val="2"/>
                <w:sz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14175" w:type="dxa"/>
            <w:gridSpan w:val="6"/>
            <w:noWrap w:val="0"/>
            <w:vAlign w:val="center"/>
          </w:tcPr>
          <w:p>
            <w:pPr>
              <w:snapToGrid w:val="0"/>
              <w:rPr>
                <w:rFonts w:hint="eastAsia"/>
                <w:kern w:val="2"/>
                <w:sz w:val="21"/>
                <w:highlight w:val="none"/>
              </w:rPr>
            </w:pPr>
            <w:r>
              <w:rPr>
                <w:rFonts w:hint="eastAsia"/>
                <w:kern w:val="2"/>
                <w:sz w:val="21"/>
                <w:highlight w:val="none"/>
              </w:rPr>
              <w:t>备注：</w:t>
            </w:r>
          </w:p>
          <w:p>
            <w:pPr>
              <w:snapToGrid w:val="0"/>
              <w:rPr>
                <w:rFonts w:hint="eastAsia"/>
                <w:kern w:val="2"/>
                <w:sz w:val="21"/>
                <w:highlight w:val="none"/>
              </w:rPr>
            </w:pPr>
          </w:p>
          <w:p>
            <w:pPr>
              <w:snapToGrid w:val="0"/>
              <w:rPr>
                <w:rFonts w:hint="eastAsia"/>
                <w:kern w:val="2"/>
                <w:sz w:val="21"/>
                <w:highlight w:val="none"/>
              </w:rPr>
            </w:pPr>
          </w:p>
          <w:p>
            <w:pPr>
              <w:snapToGrid w:val="0"/>
              <w:rPr>
                <w:rFonts w:hint="eastAsia"/>
                <w:kern w:val="2"/>
                <w:sz w:val="21"/>
                <w:highlight w:val="none"/>
              </w:rPr>
            </w:pPr>
          </w:p>
          <w:p>
            <w:pPr>
              <w:snapToGrid w:val="0"/>
              <w:rPr>
                <w:rFonts w:hint="eastAsia"/>
                <w:kern w:val="2"/>
                <w:sz w:val="21"/>
                <w:highlight w:val="none"/>
              </w:rPr>
            </w:pPr>
          </w:p>
          <w:p>
            <w:pPr>
              <w:snapToGrid w:val="0"/>
              <w:rPr>
                <w:rFonts w:hint="eastAsia"/>
                <w:kern w:val="2"/>
                <w:sz w:val="21"/>
                <w:highlight w:val="none"/>
              </w:rPr>
            </w:pPr>
          </w:p>
          <w:p>
            <w:pPr>
              <w:snapToGrid w:val="0"/>
              <w:rPr>
                <w:rFonts w:hint="eastAsia"/>
                <w:kern w:val="2"/>
                <w:sz w:val="21"/>
                <w:highlight w:val="none"/>
              </w:rPr>
            </w:pPr>
          </w:p>
        </w:tc>
      </w:tr>
    </w:tbl>
    <w:p>
      <w:pPr>
        <w:spacing w:line="360" w:lineRule="auto"/>
        <w:rPr>
          <w:rFonts w:ascii="仿宋" w:hAnsi="仿宋" w:eastAsia="仿宋"/>
          <w:kern w:val="2"/>
          <w:sz w:val="32"/>
          <w:szCs w:val="32"/>
          <w:highlight w:val="none"/>
        </w:rPr>
      </w:pPr>
      <w:r>
        <w:rPr>
          <w:rFonts w:cs="仿宋"/>
          <w:b/>
          <w:bCs/>
          <w:kern w:val="2"/>
          <w:highlight w:val="none"/>
        </w:rPr>
        <w:t>注：</w:t>
      </w:r>
      <w:r>
        <w:rPr>
          <w:rFonts w:cs="仿宋"/>
          <w:kern w:val="2"/>
          <w:highlight w:val="none"/>
        </w:rPr>
        <w:t>此表适用于中标方月度、季度自查、招标方飞行检查、</w:t>
      </w:r>
      <w:r>
        <w:rPr>
          <w:rFonts w:cs="仿宋_GB2312"/>
          <w:kern w:val="2"/>
          <w:highlight w:val="none"/>
        </w:rPr>
        <w:t>交叉检查、抽测检查、</w:t>
      </w:r>
      <w:r>
        <w:rPr>
          <w:rFonts w:cs="仿宋"/>
          <w:kern w:val="2"/>
          <w:highlight w:val="none"/>
        </w:rPr>
        <w:t>专项检查等工作。招标方可</w:t>
      </w:r>
      <w:r>
        <w:rPr>
          <w:rFonts w:hint="eastAsia" w:cs="仿宋"/>
          <w:kern w:val="2"/>
          <w:highlight w:val="none"/>
        </w:rPr>
        <w:t>根据实际情况</w:t>
      </w:r>
      <w:r>
        <w:rPr>
          <w:rFonts w:cs="仿宋"/>
          <w:kern w:val="2"/>
          <w:highlight w:val="none"/>
        </w:rPr>
        <w:t>进行修改。</w:t>
      </w:r>
    </w:p>
    <w:p>
      <w:pPr>
        <w:spacing w:line="360" w:lineRule="auto"/>
        <w:rPr>
          <w:rFonts w:ascii="仿宋" w:hAnsi="仿宋" w:eastAsia="仿宋"/>
          <w:sz w:val="32"/>
          <w:szCs w:val="32"/>
          <w:highlight w:val="none"/>
        </w:rPr>
      </w:pPr>
    </w:p>
    <w:p>
      <w:pPr>
        <w:pStyle w:val="13"/>
        <w:rPr>
          <w:highlight w:val="none"/>
        </w:rPr>
        <w:sectPr>
          <w:pgSz w:w="16838" w:h="11906" w:orient="landscape"/>
          <w:pgMar w:top="1797" w:right="1440" w:bottom="1797" w:left="1440" w:header="851" w:footer="992" w:gutter="0"/>
          <w:pgNumType w:fmt="decimal"/>
          <w:cols w:space="720" w:num="1"/>
          <w:docGrid w:linePitch="435" w:charSpace="0"/>
        </w:sectPr>
      </w:pPr>
    </w:p>
    <w:p>
      <w:pPr>
        <w:spacing w:before="71" w:line="219" w:lineRule="auto"/>
        <w:jc w:val="center"/>
        <w:rPr>
          <w:rFonts w:hint="eastAsia" w:ascii="宋体" w:hAnsi="宋体" w:eastAsia="宋体" w:cs="宋体"/>
          <w:b/>
          <w:bCs/>
          <w:spacing w:val="-3"/>
          <w:sz w:val="36"/>
          <w:szCs w:val="36"/>
          <w:highlight w:val="none"/>
        </w:rPr>
      </w:pPr>
    </w:p>
    <w:p>
      <w:pPr>
        <w:pStyle w:val="7"/>
        <w:spacing w:line="416" w:lineRule="auto"/>
        <w:rPr>
          <w:rFonts w:hint="eastAsia" w:ascii="宋体" w:hAnsi="宋体" w:eastAsia="宋体" w:cs="宋体"/>
          <w:highlight w:val="none"/>
        </w:rPr>
      </w:pPr>
    </w:p>
    <w:p>
      <w:pPr>
        <w:pStyle w:val="3"/>
        <w:bidi w:val="0"/>
        <w:jc w:val="center"/>
        <w:rPr>
          <w:rFonts w:hint="eastAsia"/>
          <w:highlight w:val="none"/>
          <w:lang w:val="en-US" w:eastAsia="zh-CN"/>
        </w:rPr>
      </w:pPr>
      <w:bookmarkStart w:id="43" w:name="_Toc11832"/>
      <w:r>
        <w:rPr>
          <w:rFonts w:hint="eastAsia"/>
          <w:highlight w:val="none"/>
          <w:lang w:val="en-US" w:eastAsia="zh-CN"/>
        </w:rPr>
        <w:t>第七章 评审标准</w:t>
      </w:r>
      <w:bookmarkEnd w:id="43"/>
    </w:p>
    <w:p>
      <w:pPr>
        <w:spacing w:before="175" w:line="219" w:lineRule="auto"/>
        <w:rPr>
          <w:rFonts w:hint="eastAsia" w:ascii="宋体" w:hAnsi="宋体" w:eastAsia="宋体" w:cs="宋体"/>
          <w:sz w:val="24"/>
          <w:szCs w:val="24"/>
          <w:highlight w:val="none"/>
        </w:rPr>
      </w:pPr>
      <w:r>
        <w:rPr>
          <w:rFonts w:hint="eastAsia" w:ascii="宋体" w:hAnsi="宋体" w:eastAsia="宋体" w:cs="宋体"/>
          <w:spacing w:val="-10"/>
          <w:sz w:val="24"/>
          <w:szCs w:val="24"/>
          <w:highlight w:val="none"/>
        </w:rPr>
        <w:t>具体评审步骤如下：</w:t>
      </w:r>
    </w:p>
    <w:p>
      <w:pPr>
        <w:spacing w:before="211" w:line="219" w:lineRule="auto"/>
        <w:ind w:left="473"/>
        <w:outlineLvl w:val="2"/>
        <w:rPr>
          <w:rFonts w:hint="eastAsia" w:ascii="宋体" w:hAnsi="宋体" w:eastAsia="宋体" w:cs="宋体"/>
          <w:sz w:val="24"/>
          <w:szCs w:val="24"/>
          <w:highlight w:val="none"/>
        </w:rPr>
      </w:pPr>
      <w:bookmarkStart w:id="44" w:name="_Toc18436"/>
      <w:r>
        <w:rPr>
          <w:rFonts w:hint="eastAsia" w:ascii="宋体" w:hAnsi="宋体" w:eastAsia="宋体" w:cs="宋体"/>
          <w:b/>
          <w:bCs/>
          <w:spacing w:val="9"/>
          <w:sz w:val="24"/>
          <w:szCs w:val="24"/>
          <w:highlight w:val="none"/>
        </w:rPr>
        <w:t>一、资格性审查</w:t>
      </w:r>
      <w:bookmarkEnd w:id="44"/>
    </w:p>
    <w:p>
      <w:pPr>
        <w:spacing w:before="156" w:line="339" w:lineRule="auto"/>
        <w:ind w:right="119" w:firstLine="469"/>
        <w:jc w:val="both"/>
        <w:rPr>
          <w:rFonts w:hint="eastAsia" w:ascii="宋体" w:hAnsi="宋体" w:eastAsia="宋体" w:cs="宋体"/>
          <w:sz w:val="24"/>
          <w:szCs w:val="24"/>
          <w:highlight w:val="none"/>
        </w:rPr>
      </w:pPr>
      <w:r>
        <w:rPr>
          <w:rFonts w:hint="eastAsia" w:ascii="宋体" w:hAnsi="宋体" w:eastAsia="宋体" w:cs="宋体"/>
          <w:spacing w:val="12"/>
          <w:sz w:val="24"/>
          <w:szCs w:val="24"/>
          <w:highlight w:val="none"/>
        </w:rPr>
        <w:t>开标结束后，磋商小组应当依法对供应商的资格进行审查，以确</w:t>
      </w:r>
      <w:r>
        <w:rPr>
          <w:rFonts w:hint="eastAsia" w:ascii="宋体" w:hAnsi="宋体" w:eastAsia="宋体" w:cs="宋体"/>
          <w:spacing w:val="11"/>
          <w:sz w:val="24"/>
          <w:szCs w:val="24"/>
          <w:highlight w:val="none"/>
        </w:rPr>
        <w:t>定供应商是</w:t>
      </w:r>
      <w:r>
        <w:rPr>
          <w:rFonts w:hint="eastAsia" w:ascii="宋体" w:hAnsi="宋体" w:eastAsia="宋体" w:cs="宋体"/>
          <w:spacing w:val="17"/>
          <w:sz w:val="24"/>
          <w:szCs w:val="24"/>
          <w:highlight w:val="none"/>
        </w:rPr>
        <w:t>否具备磋商资格。资格性审查未通过的磋商无效，不得进入评审环节；资格性审</w:t>
      </w:r>
      <w:r>
        <w:rPr>
          <w:rFonts w:hint="eastAsia" w:ascii="宋体" w:hAnsi="宋体" w:eastAsia="宋体" w:cs="宋体"/>
          <w:spacing w:val="11"/>
          <w:sz w:val="24"/>
          <w:szCs w:val="24"/>
          <w:highlight w:val="none"/>
        </w:rPr>
        <w:t>查通过的响应文件将由磋商小组进行磋商。</w:t>
      </w:r>
    </w:p>
    <w:p>
      <w:pPr>
        <w:spacing w:before="112" w:line="219" w:lineRule="auto"/>
        <w:ind w:left="473"/>
        <w:outlineLvl w:val="2"/>
        <w:rPr>
          <w:rFonts w:hint="eastAsia" w:ascii="宋体" w:hAnsi="宋体" w:eastAsia="宋体" w:cs="宋体"/>
          <w:sz w:val="24"/>
          <w:szCs w:val="24"/>
          <w:highlight w:val="none"/>
        </w:rPr>
      </w:pPr>
      <w:bookmarkStart w:id="45" w:name="_Toc29720"/>
      <w:r>
        <w:rPr>
          <w:rFonts w:hint="eastAsia" w:ascii="宋体" w:hAnsi="宋体" w:eastAsia="宋体" w:cs="宋体"/>
          <w:b/>
          <w:bCs/>
          <w:spacing w:val="-1"/>
          <w:sz w:val="24"/>
          <w:szCs w:val="24"/>
          <w:highlight w:val="none"/>
        </w:rPr>
        <w:t>二、</w:t>
      </w:r>
      <w:r>
        <w:rPr>
          <w:rFonts w:hint="eastAsia" w:ascii="宋体" w:hAnsi="宋体" w:eastAsia="宋体" w:cs="宋体"/>
          <w:spacing w:val="-47"/>
          <w:sz w:val="24"/>
          <w:szCs w:val="24"/>
          <w:highlight w:val="none"/>
        </w:rPr>
        <w:t xml:space="preserve"> </w:t>
      </w:r>
      <w:r>
        <w:rPr>
          <w:rFonts w:hint="eastAsia" w:ascii="宋体" w:hAnsi="宋体" w:eastAsia="宋体" w:cs="宋体"/>
          <w:b/>
          <w:bCs/>
          <w:spacing w:val="-1"/>
          <w:sz w:val="24"/>
          <w:szCs w:val="24"/>
          <w:highlight w:val="none"/>
        </w:rPr>
        <w:t>符合性审查</w:t>
      </w:r>
      <w:bookmarkEnd w:id="45"/>
    </w:p>
    <w:p>
      <w:pPr>
        <w:spacing w:before="257" w:line="471" w:lineRule="exact"/>
        <w:ind w:left="469"/>
        <w:rPr>
          <w:rFonts w:hint="eastAsia" w:ascii="宋体" w:hAnsi="宋体" w:eastAsia="宋体" w:cs="宋体"/>
          <w:sz w:val="24"/>
          <w:szCs w:val="24"/>
          <w:highlight w:val="none"/>
        </w:rPr>
      </w:pPr>
      <w:r>
        <w:rPr>
          <w:rFonts w:hint="eastAsia" w:ascii="宋体" w:hAnsi="宋体" w:eastAsia="宋体" w:cs="宋体"/>
          <w:spacing w:val="9"/>
          <w:position w:val="17"/>
          <w:sz w:val="24"/>
          <w:szCs w:val="24"/>
          <w:highlight w:val="none"/>
        </w:rPr>
        <w:t>磋商小组应当对符合资格的供应商的响应文件进行符合性审查</w:t>
      </w:r>
      <w:r>
        <w:rPr>
          <w:rFonts w:hint="eastAsia" w:ascii="宋体" w:hAnsi="宋体" w:eastAsia="宋体" w:cs="宋体"/>
          <w:spacing w:val="8"/>
          <w:position w:val="17"/>
          <w:sz w:val="24"/>
          <w:szCs w:val="24"/>
          <w:highlight w:val="none"/>
        </w:rPr>
        <w:t>，以确定其是</w:t>
      </w:r>
    </w:p>
    <w:p>
      <w:pPr>
        <w:spacing w:line="219" w:lineRule="auto"/>
        <w:rPr>
          <w:rFonts w:hint="eastAsia" w:ascii="宋体" w:hAnsi="宋体" w:eastAsia="宋体" w:cs="宋体"/>
          <w:sz w:val="24"/>
          <w:szCs w:val="24"/>
          <w:highlight w:val="none"/>
        </w:rPr>
      </w:pPr>
      <w:r>
        <w:rPr>
          <w:rFonts w:hint="eastAsia" w:ascii="宋体" w:hAnsi="宋体" w:eastAsia="宋体" w:cs="宋体"/>
          <w:spacing w:val="9"/>
          <w:sz w:val="24"/>
          <w:szCs w:val="24"/>
          <w:highlight w:val="none"/>
        </w:rPr>
        <w:t>否满足竞争性磋商文件的实质性要求。</w:t>
      </w:r>
    </w:p>
    <w:p>
      <w:pPr>
        <w:spacing w:before="200" w:line="219" w:lineRule="auto"/>
        <w:ind w:left="473"/>
        <w:rPr>
          <w:rFonts w:hint="eastAsia" w:ascii="宋体" w:hAnsi="宋体" w:eastAsia="宋体" w:cs="宋体"/>
          <w:sz w:val="24"/>
          <w:szCs w:val="24"/>
          <w:highlight w:val="none"/>
        </w:rPr>
      </w:pPr>
      <w:r>
        <w:rPr>
          <w:rFonts w:hint="eastAsia" w:ascii="宋体" w:hAnsi="宋体" w:eastAsia="宋体" w:cs="宋体"/>
          <w:b/>
          <w:bCs/>
          <w:spacing w:val="-5"/>
          <w:sz w:val="24"/>
          <w:szCs w:val="24"/>
          <w:highlight w:val="none"/>
        </w:rPr>
        <w:t>在本次采购中，出现下列情形之一的，应予</w:t>
      </w:r>
      <w:r>
        <w:rPr>
          <w:rFonts w:hint="eastAsia" w:ascii="宋体" w:hAnsi="宋体" w:eastAsia="宋体" w:cs="宋体"/>
          <w:b/>
          <w:bCs/>
          <w:spacing w:val="-6"/>
          <w:sz w:val="24"/>
          <w:szCs w:val="24"/>
          <w:highlight w:val="none"/>
        </w:rPr>
        <w:t>废标：</w:t>
      </w:r>
    </w:p>
    <w:p>
      <w:pPr>
        <w:spacing w:before="199" w:line="219" w:lineRule="auto"/>
        <w:ind w:left="719"/>
        <w:rPr>
          <w:rFonts w:hint="eastAsia" w:ascii="宋体" w:hAnsi="宋体" w:eastAsia="宋体" w:cs="宋体"/>
          <w:sz w:val="24"/>
          <w:szCs w:val="24"/>
          <w:highlight w:val="none"/>
        </w:rPr>
      </w:pPr>
      <w:r>
        <w:rPr>
          <w:rFonts w:hint="eastAsia" w:ascii="宋体" w:hAnsi="宋体" w:eastAsia="宋体" w:cs="宋体"/>
          <w:spacing w:val="15"/>
          <w:sz w:val="24"/>
          <w:szCs w:val="24"/>
          <w:highlight w:val="none"/>
        </w:rPr>
        <w:t>(1)投标(响应)文件制作机器码一致的。</w:t>
      </w:r>
    </w:p>
    <w:p>
      <w:pPr>
        <w:spacing w:before="196" w:line="480" w:lineRule="exact"/>
        <w:ind w:left="719"/>
        <w:rPr>
          <w:rFonts w:hint="eastAsia" w:ascii="宋体" w:hAnsi="宋体" w:eastAsia="宋体" w:cs="宋体"/>
          <w:sz w:val="24"/>
          <w:szCs w:val="24"/>
          <w:highlight w:val="none"/>
        </w:rPr>
      </w:pPr>
      <w:r>
        <w:rPr>
          <w:rFonts w:hint="eastAsia" w:ascii="宋体" w:hAnsi="宋体" w:eastAsia="宋体" w:cs="宋体"/>
          <w:spacing w:val="3"/>
          <w:position w:val="18"/>
          <w:sz w:val="24"/>
          <w:szCs w:val="24"/>
          <w:highlight w:val="none"/>
        </w:rPr>
        <w:t>(2)出现影响采购公正的违法、违规行为的。</w:t>
      </w:r>
    </w:p>
    <w:p>
      <w:pPr>
        <w:spacing w:before="1" w:line="218" w:lineRule="auto"/>
        <w:ind w:left="71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(3)因重大变故，采购任务取消的。</w:t>
      </w:r>
    </w:p>
    <w:p>
      <w:pPr>
        <w:spacing w:before="195" w:line="219" w:lineRule="auto"/>
        <w:jc w:val="right"/>
        <w:rPr>
          <w:rFonts w:hint="eastAsia" w:ascii="宋体" w:hAnsi="宋体" w:eastAsia="宋体" w:cs="宋体"/>
          <w:sz w:val="24"/>
          <w:szCs w:val="24"/>
          <w:highlight w:val="none"/>
        </w:rPr>
      </w:pPr>
      <w:r>
        <w:rPr>
          <w:rFonts w:hint="eastAsia" w:ascii="宋体" w:hAnsi="宋体" w:eastAsia="宋体" w:cs="宋体"/>
          <w:spacing w:val="7"/>
          <w:sz w:val="24"/>
          <w:szCs w:val="24"/>
          <w:highlight w:val="none"/>
          <w:lang w:val="en-US" w:eastAsia="zh-CN"/>
        </w:rPr>
        <w:t xml:space="preserve">   </w:t>
      </w:r>
      <w:r>
        <w:rPr>
          <w:rFonts w:hint="eastAsia" w:ascii="宋体" w:hAnsi="宋体" w:eastAsia="宋体" w:cs="宋体"/>
          <w:spacing w:val="7"/>
          <w:sz w:val="24"/>
          <w:szCs w:val="24"/>
          <w:highlight w:val="none"/>
        </w:rPr>
        <w:t>(4)有效供应商不足三家的，符合第二章第3</w:t>
      </w:r>
      <w:r>
        <w:rPr>
          <w:rFonts w:hint="eastAsia" w:ascii="宋体" w:hAnsi="宋体" w:eastAsia="宋体" w:cs="宋体"/>
          <w:spacing w:val="6"/>
          <w:sz w:val="24"/>
          <w:szCs w:val="24"/>
          <w:highlight w:val="none"/>
        </w:rPr>
        <w:t>0.3条情形的，供应商可以为2家。</w:t>
      </w:r>
    </w:p>
    <w:p>
      <w:pPr>
        <w:spacing w:before="124" w:line="219" w:lineRule="auto"/>
        <w:ind w:left="473"/>
        <w:rPr>
          <w:rFonts w:hint="eastAsia" w:ascii="宋体" w:hAnsi="宋体" w:eastAsia="宋体" w:cs="宋体"/>
          <w:sz w:val="24"/>
          <w:szCs w:val="24"/>
          <w:highlight w:val="none"/>
        </w:rPr>
      </w:pPr>
      <w:r>
        <w:rPr>
          <w:rFonts w:hint="eastAsia" w:ascii="宋体" w:hAnsi="宋体" w:eastAsia="宋体" w:cs="宋体"/>
          <w:b/>
          <w:bCs/>
          <w:spacing w:val="-4"/>
          <w:sz w:val="24"/>
          <w:szCs w:val="24"/>
          <w:highlight w:val="none"/>
        </w:rPr>
        <w:t>符合性评审中，响应文件应符合下列条款，否则按响应无效处理：</w:t>
      </w:r>
    </w:p>
    <w:p>
      <w:pPr>
        <w:spacing w:before="258" w:line="479" w:lineRule="exact"/>
        <w:ind w:left="600"/>
        <w:rPr>
          <w:rFonts w:hint="eastAsia" w:ascii="宋体" w:hAnsi="宋体" w:eastAsia="宋体" w:cs="宋体"/>
          <w:sz w:val="24"/>
          <w:szCs w:val="24"/>
          <w:highlight w:val="none"/>
        </w:rPr>
      </w:pPr>
      <w:r>
        <w:rPr>
          <w:rFonts w:hint="eastAsia" w:ascii="宋体" w:hAnsi="宋体" w:eastAsia="宋体" w:cs="宋体"/>
          <w:spacing w:val="3"/>
          <w:position w:val="18"/>
          <w:sz w:val="24"/>
          <w:szCs w:val="24"/>
          <w:highlight w:val="none"/>
        </w:rPr>
        <w:t>(1)按要求提交磋商承诺函。</w:t>
      </w:r>
    </w:p>
    <w:p>
      <w:pPr>
        <w:spacing w:before="1" w:line="218" w:lineRule="auto"/>
        <w:ind w:left="600"/>
        <w:rPr>
          <w:rFonts w:hint="eastAsia" w:ascii="宋体" w:hAnsi="宋体" w:eastAsia="宋体" w:cs="宋体"/>
          <w:sz w:val="24"/>
          <w:szCs w:val="24"/>
          <w:highlight w:val="none"/>
        </w:rPr>
      </w:pPr>
      <w:r>
        <w:rPr>
          <w:rFonts w:hint="eastAsia" w:ascii="宋体" w:hAnsi="宋体" w:eastAsia="宋体" w:cs="宋体"/>
          <w:spacing w:val="3"/>
          <w:sz w:val="24"/>
          <w:szCs w:val="24"/>
          <w:highlight w:val="none"/>
        </w:rPr>
        <w:t>(2)提供磋商代表身份证明。</w:t>
      </w:r>
    </w:p>
    <w:p>
      <w:pPr>
        <w:spacing w:before="197" w:line="480" w:lineRule="exact"/>
        <w:ind w:left="600"/>
        <w:rPr>
          <w:rFonts w:hint="eastAsia" w:ascii="宋体" w:hAnsi="宋体" w:eastAsia="宋体" w:cs="宋体"/>
          <w:sz w:val="24"/>
          <w:szCs w:val="24"/>
          <w:highlight w:val="none"/>
        </w:rPr>
      </w:pPr>
      <w:r>
        <w:rPr>
          <w:rFonts w:hint="eastAsia" w:ascii="宋体" w:hAnsi="宋体" w:eastAsia="宋体" w:cs="宋体"/>
          <w:spacing w:val="2"/>
          <w:position w:val="18"/>
          <w:sz w:val="24"/>
          <w:szCs w:val="24"/>
          <w:highlight w:val="none"/>
        </w:rPr>
        <w:t>(3)服务期限及服务地点符合竞争性磋商文件要求。</w:t>
      </w:r>
    </w:p>
    <w:p>
      <w:pPr>
        <w:spacing w:line="219" w:lineRule="auto"/>
        <w:ind w:left="60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(4)投标有效期符合竞争性磋商文件。</w:t>
      </w:r>
    </w:p>
    <w:p>
      <w:pPr>
        <w:spacing w:before="193" w:line="218" w:lineRule="auto"/>
        <w:ind w:left="60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(5)供应商的报价没有超过采购预算和最高限价。</w:t>
      </w:r>
    </w:p>
    <w:p>
      <w:pPr>
        <w:spacing w:before="195" w:line="370" w:lineRule="auto"/>
        <w:ind w:right="90" w:firstLine="600"/>
        <w:rPr>
          <w:rFonts w:hint="eastAsia" w:ascii="宋体" w:hAnsi="宋体" w:eastAsia="宋体" w:cs="宋体"/>
          <w:sz w:val="24"/>
          <w:szCs w:val="24"/>
          <w:highlight w:val="none"/>
        </w:rPr>
      </w:pPr>
      <w:r>
        <w:rPr>
          <w:rFonts w:hint="eastAsia" w:ascii="宋体" w:hAnsi="宋体" w:eastAsia="宋体" w:cs="宋体"/>
          <w:spacing w:val="8"/>
          <w:sz w:val="24"/>
          <w:szCs w:val="24"/>
          <w:highlight w:val="none"/>
        </w:rPr>
        <w:t>(6)磋商报价合理(磋商小组认为供应商的报价明显低</w:t>
      </w:r>
      <w:r>
        <w:rPr>
          <w:rFonts w:hint="eastAsia" w:ascii="宋体" w:hAnsi="宋体" w:eastAsia="宋体" w:cs="宋体"/>
          <w:spacing w:val="7"/>
          <w:sz w:val="24"/>
          <w:szCs w:val="24"/>
          <w:highlight w:val="none"/>
        </w:rPr>
        <w:t>于其他通过符合性审查供</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应商的报价，有可能影响产品质量或者不能诚信履约的，应当要求其在合理</w:t>
      </w:r>
      <w:r>
        <w:rPr>
          <w:rFonts w:hint="eastAsia" w:ascii="宋体" w:hAnsi="宋体" w:eastAsia="宋体" w:cs="宋体"/>
          <w:spacing w:val="-3"/>
          <w:sz w:val="24"/>
          <w:szCs w:val="24"/>
          <w:highlight w:val="none"/>
        </w:rPr>
        <w:t>的时间内提</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供书面说明，必要时提交相关证明材料；供应商不能证明其报价合理性的，</w:t>
      </w:r>
      <w:r>
        <w:rPr>
          <w:rFonts w:hint="eastAsia" w:ascii="宋体" w:hAnsi="宋体" w:eastAsia="宋体" w:cs="宋体"/>
          <w:spacing w:val="-3"/>
          <w:sz w:val="24"/>
          <w:szCs w:val="24"/>
          <w:highlight w:val="none"/>
        </w:rPr>
        <w:t>磋商小组应</w:t>
      </w:r>
      <w:r>
        <w:rPr>
          <w:rFonts w:hint="eastAsia" w:ascii="宋体" w:hAnsi="宋体" w:eastAsia="宋体" w:cs="宋体"/>
          <w:spacing w:val="1"/>
          <w:sz w:val="24"/>
          <w:szCs w:val="24"/>
          <w:highlight w:val="none"/>
        </w:rPr>
        <w:t>当将其作为无效磋商处理)。</w:t>
      </w:r>
    </w:p>
    <w:p>
      <w:pPr>
        <w:spacing w:before="195" w:line="219" w:lineRule="auto"/>
        <w:ind w:left="600"/>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(7)符合法律、法规和竞争性磋商文件中规定的其它实质性要</w:t>
      </w:r>
      <w:r>
        <w:rPr>
          <w:rFonts w:hint="eastAsia" w:ascii="宋体" w:hAnsi="宋体" w:eastAsia="宋体" w:cs="宋体"/>
          <w:spacing w:val="1"/>
          <w:sz w:val="24"/>
          <w:szCs w:val="24"/>
          <w:highlight w:val="none"/>
        </w:rPr>
        <w:t>求。</w:t>
      </w:r>
    </w:p>
    <w:p>
      <w:pPr>
        <w:spacing w:before="133" w:line="220" w:lineRule="auto"/>
        <w:ind w:left="223"/>
        <w:outlineLvl w:val="2"/>
        <w:rPr>
          <w:rFonts w:hint="eastAsia" w:ascii="宋体" w:hAnsi="宋体" w:eastAsia="宋体" w:cs="宋体"/>
          <w:sz w:val="24"/>
          <w:szCs w:val="24"/>
          <w:highlight w:val="none"/>
        </w:rPr>
      </w:pPr>
      <w:bookmarkStart w:id="46" w:name="_Toc22817"/>
      <w:r>
        <w:rPr>
          <w:rFonts w:hint="eastAsia" w:ascii="宋体" w:hAnsi="宋体" w:eastAsia="宋体" w:cs="宋体"/>
          <w:b/>
          <w:bCs/>
          <w:spacing w:val="-10"/>
          <w:sz w:val="24"/>
          <w:szCs w:val="24"/>
          <w:highlight w:val="none"/>
        </w:rPr>
        <w:t>三、磋商</w:t>
      </w:r>
      <w:bookmarkEnd w:id="46"/>
    </w:p>
    <w:p>
      <w:pPr>
        <w:spacing w:before="1" w:line="218" w:lineRule="auto"/>
        <w:ind w:firstLine="472" w:firstLineChars="200"/>
        <w:rPr>
          <w:rFonts w:hint="eastAsia" w:ascii="宋体" w:hAnsi="宋体" w:eastAsia="宋体" w:cs="宋体"/>
          <w:spacing w:val="-2"/>
          <w:sz w:val="24"/>
          <w:szCs w:val="24"/>
          <w:highlight w:val="none"/>
          <w:lang w:eastAsia="zh-CN"/>
        </w:rPr>
      </w:pPr>
      <w:r>
        <w:rPr>
          <w:rFonts w:hint="eastAsia" w:ascii="宋体" w:hAnsi="宋体" w:eastAsia="宋体" w:cs="宋体"/>
          <w:spacing w:val="-2"/>
          <w:sz w:val="24"/>
          <w:szCs w:val="24"/>
          <w:highlight w:val="none"/>
        </w:rPr>
        <w:t>磋商小组所有成员应当集中与单一的通过资格审查、符合性审查的供应商分别进行磋商，并给予所有参加磋商的供应商平等的磋商机会</w:t>
      </w:r>
      <w:r>
        <w:rPr>
          <w:rFonts w:hint="eastAsia" w:ascii="宋体" w:hAnsi="宋体" w:eastAsia="宋体" w:cs="宋体"/>
          <w:spacing w:val="-2"/>
          <w:sz w:val="24"/>
          <w:szCs w:val="24"/>
          <w:highlight w:val="none"/>
          <w:lang w:eastAsia="zh-CN"/>
        </w:rPr>
        <w:t>。</w:t>
      </w:r>
    </w:p>
    <w:p>
      <w:pPr>
        <w:spacing w:before="1" w:line="218"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竞争性磋商文件不能详细列明采购标的的技术、服务要求，磋商小组可以根据竞争性磋商文件和磋商情况实质性变动采购需求中的技术、服务要求以及合同草案条款，实质性变动作为竞争性磋商文件的有效组成部分，供应商应按照竞争性磋商文件的变动情况和磋商小组的要求重新提交响应文件。然后要求供应商在规定时间内提交最后报价。</w:t>
      </w:r>
    </w:p>
    <w:p>
      <w:pPr>
        <w:spacing w:before="175" w:line="220" w:lineRule="auto"/>
        <w:ind w:left="483"/>
        <w:outlineLvl w:val="2"/>
        <w:rPr>
          <w:rFonts w:hint="eastAsia" w:ascii="宋体" w:hAnsi="宋体" w:eastAsia="宋体" w:cs="宋体"/>
          <w:b/>
          <w:bCs/>
          <w:spacing w:val="-4"/>
          <w:sz w:val="24"/>
          <w:szCs w:val="24"/>
          <w:highlight w:val="none"/>
        </w:rPr>
      </w:pPr>
      <w:bookmarkStart w:id="47" w:name="_Toc11563"/>
      <w:r>
        <w:rPr>
          <w:rFonts w:hint="eastAsia" w:ascii="宋体" w:hAnsi="宋体" w:eastAsia="宋体" w:cs="宋体"/>
          <w:b/>
          <w:bCs/>
          <w:spacing w:val="-4"/>
          <w:sz w:val="24"/>
          <w:szCs w:val="24"/>
          <w:highlight w:val="none"/>
          <w:lang w:val="en-US" w:eastAsia="zh-CN"/>
        </w:rPr>
        <w:t>四、</w:t>
      </w:r>
      <w:r>
        <w:rPr>
          <w:rFonts w:hint="eastAsia" w:ascii="宋体" w:hAnsi="宋体" w:eastAsia="宋体" w:cs="宋体"/>
          <w:b/>
          <w:bCs/>
          <w:spacing w:val="-4"/>
          <w:sz w:val="24"/>
          <w:szCs w:val="24"/>
          <w:highlight w:val="none"/>
        </w:rPr>
        <w:t>最后报价</w:t>
      </w:r>
      <w:bookmarkEnd w:id="47"/>
    </w:p>
    <w:p>
      <w:pPr>
        <w:spacing w:before="1" w:line="218" w:lineRule="auto"/>
        <w:ind w:firstLine="472" w:firstLineChars="200"/>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 xml:space="preserve"> 磋商结束后，磋商小组应当要求所有实质性响应的供应商在规定时间内提交最后报价，二次报价(最后报价)视为响应文件的一部分。</w:t>
      </w:r>
    </w:p>
    <w:p>
      <w:pPr>
        <w:spacing w:before="175" w:line="220" w:lineRule="auto"/>
        <w:ind w:left="483"/>
        <w:outlineLvl w:val="2"/>
        <w:rPr>
          <w:rFonts w:hint="eastAsia" w:ascii="宋体" w:hAnsi="宋体" w:eastAsia="宋体" w:cs="宋体"/>
          <w:sz w:val="24"/>
          <w:szCs w:val="24"/>
          <w:highlight w:val="none"/>
        </w:rPr>
      </w:pPr>
      <w:bookmarkStart w:id="48" w:name="_Toc10952"/>
      <w:r>
        <w:rPr>
          <w:rFonts w:hint="eastAsia" w:ascii="宋体" w:hAnsi="宋体" w:eastAsia="宋体" w:cs="宋体"/>
          <w:b/>
          <w:bCs/>
          <w:spacing w:val="-4"/>
          <w:sz w:val="24"/>
          <w:szCs w:val="24"/>
          <w:highlight w:val="none"/>
        </w:rPr>
        <w:t>五、详细评审</w:t>
      </w:r>
      <w:bookmarkEnd w:id="48"/>
    </w:p>
    <w:p>
      <w:pPr>
        <w:spacing w:before="187" w:line="354" w:lineRule="auto"/>
        <w:ind w:right="89" w:firstLine="479"/>
        <w:rPr>
          <w:rFonts w:hint="eastAsia" w:ascii="宋体" w:hAnsi="宋体" w:eastAsia="宋体" w:cs="宋体"/>
          <w:spacing w:val="-7"/>
          <w:sz w:val="24"/>
          <w:szCs w:val="24"/>
          <w:highlight w:val="none"/>
        </w:rPr>
      </w:pPr>
      <w:r>
        <w:rPr>
          <w:rFonts w:hint="eastAsia" w:ascii="宋体" w:hAnsi="宋体" w:eastAsia="宋体" w:cs="宋体"/>
          <w:spacing w:val="-7"/>
          <w:sz w:val="24"/>
          <w:szCs w:val="24"/>
          <w:highlight w:val="none"/>
        </w:rPr>
        <w:t>采用综合评分法，充分考虑供应商技术服务和商务服务对竞争性磋商文件的响应程度、供应商的实力等综合因素的方法进行评标。</w:t>
      </w:r>
    </w:p>
    <w:p>
      <w:pPr>
        <w:spacing w:before="187" w:line="354" w:lineRule="auto"/>
        <w:ind w:right="89" w:firstLine="479"/>
        <w:rPr>
          <w:rFonts w:hint="eastAsia" w:ascii="宋体" w:hAnsi="宋体" w:eastAsia="宋体" w:cs="宋体"/>
          <w:sz w:val="24"/>
          <w:szCs w:val="24"/>
          <w:highlight w:val="none"/>
        </w:rPr>
      </w:pPr>
      <w:r>
        <w:rPr>
          <w:rFonts w:hint="eastAsia" w:ascii="宋体" w:hAnsi="宋体" w:eastAsia="宋体" w:cs="宋体"/>
          <w:spacing w:val="-7"/>
          <w:sz w:val="24"/>
          <w:szCs w:val="24"/>
          <w:highlight w:val="none"/>
        </w:rPr>
        <w:t>供应商应保证响应文件所提供的证件扫描件等相关</w:t>
      </w:r>
      <w:r>
        <w:rPr>
          <w:rFonts w:hint="eastAsia" w:ascii="宋体" w:hAnsi="宋体" w:eastAsia="宋体" w:cs="宋体"/>
          <w:spacing w:val="-8"/>
          <w:sz w:val="24"/>
          <w:szCs w:val="24"/>
          <w:highlight w:val="none"/>
        </w:rPr>
        <w:t>证明材料的真实性，否则，一经</w:t>
      </w:r>
      <w:r>
        <w:rPr>
          <w:rFonts w:hint="eastAsia" w:ascii="宋体" w:hAnsi="宋体" w:eastAsia="宋体" w:cs="宋体"/>
          <w:spacing w:val="4"/>
          <w:sz w:val="24"/>
          <w:szCs w:val="24"/>
          <w:highlight w:val="none"/>
        </w:rPr>
        <w:t>查出将按提供虚假材料谋取中标(成交)处理，其响应文件将作为无效响应。响应文件</w:t>
      </w:r>
      <w:r>
        <w:rPr>
          <w:rFonts w:hint="eastAsia" w:ascii="宋体" w:hAnsi="宋体" w:eastAsia="宋体" w:cs="宋体"/>
          <w:spacing w:val="-2"/>
          <w:sz w:val="24"/>
          <w:szCs w:val="24"/>
          <w:highlight w:val="none"/>
        </w:rPr>
        <w:t>中应附所提供的证件的扫描件。响应文件中未按要求提交相应扫描件的，磋</w:t>
      </w:r>
      <w:r>
        <w:rPr>
          <w:rFonts w:hint="eastAsia" w:ascii="宋体" w:hAnsi="宋体" w:eastAsia="宋体" w:cs="宋体"/>
          <w:spacing w:val="-3"/>
          <w:sz w:val="24"/>
          <w:szCs w:val="24"/>
          <w:highlight w:val="none"/>
        </w:rPr>
        <w:t>商小组将对</w:t>
      </w:r>
      <w:r>
        <w:rPr>
          <w:rFonts w:hint="eastAsia" w:ascii="宋体" w:hAnsi="宋体" w:eastAsia="宋体" w:cs="宋体"/>
          <w:spacing w:val="-8"/>
          <w:sz w:val="24"/>
          <w:szCs w:val="24"/>
          <w:highlight w:val="none"/>
        </w:rPr>
        <w:t>此项不予评审打分。</w:t>
      </w:r>
    </w:p>
    <w:p>
      <w:pPr>
        <w:spacing w:before="222" w:line="354" w:lineRule="auto"/>
        <w:ind w:right="71" w:firstLine="47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磋商小组根据评分细则综合评审后，按综合总得分由高至低顺序排出各有效磋商供</w:t>
      </w:r>
      <w:r>
        <w:rPr>
          <w:rFonts w:hint="eastAsia" w:ascii="宋体" w:hAnsi="宋体" w:eastAsia="宋体" w:cs="宋体"/>
          <w:spacing w:val="10"/>
          <w:sz w:val="24"/>
          <w:szCs w:val="24"/>
          <w:highlight w:val="none"/>
        </w:rPr>
        <w:t>应商的名次，推荐3名成交候选人，符合第二章第30.3条情形的，可以推荐2家成交</w:t>
      </w:r>
      <w:r>
        <w:rPr>
          <w:rFonts w:hint="eastAsia" w:ascii="宋体" w:hAnsi="宋体" w:eastAsia="宋体" w:cs="宋体"/>
          <w:spacing w:val="-7"/>
          <w:sz w:val="24"/>
          <w:szCs w:val="24"/>
          <w:highlight w:val="none"/>
        </w:rPr>
        <w:t>候选供应商。</w:t>
      </w:r>
    </w:p>
    <w:p>
      <w:pPr>
        <w:spacing w:before="224" w:line="219" w:lineRule="auto"/>
        <w:ind w:left="479"/>
        <w:rPr>
          <w:rFonts w:hint="eastAsia" w:ascii="宋体" w:hAnsi="宋体" w:eastAsia="宋体" w:cs="宋体"/>
          <w:sz w:val="24"/>
          <w:szCs w:val="24"/>
          <w:highlight w:val="none"/>
        </w:rPr>
      </w:pPr>
      <w:r>
        <w:rPr>
          <w:rFonts w:hint="eastAsia" w:ascii="宋体" w:hAnsi="宋体" w:eastAsia="宋体" w:cs="宋体"/>
          <w:spacing w:val="26"/>
          <w:sz w:val="24"/>
          <w:szCs w:val="24"/>
          <w:highlight w:val="none"/>
        </w:rPr>
        <w:t>供应商综合总得分=经济标得分+技术标得分+综合标得分</w:t>
      </w:r>
    </w:p>
    <w:p>
      <w:pPr>
        <w:spacing w:before="175" w:line="219" w:lineRule="auto"/>
        <w:ind w:left="479"/>
        <w:rPr>
          <w:rFonts w:hint="eastAsia" w:ascii="宋体" w:hAnsi="宋体" w:eastAsia="宋体" w:cs="宋体"/>
          <w:sz w:val="24"/>
          <w:szCs w:val="24"/>
          <w:highlight w:val="none"/>
        </w:rPr>
      </w:pPr>
      <w:r>
        <w:rPr>
          <w:rFonts w:hint="eastAsia" w:ascii="宋体" w:hAnsi="宋体" w:eastAsia="宋体" w:cs="宋体"/>
          <w:spacing w:val="-2"/>
          <w:sz w:val="24"/>
          <w:szCs w:val="24"/>
          <w:highlight w:val="none"/>
        </w:rPr>
        <w:t>供应商综合总得分按四舍五入法则，保留小数点后两位。</w:t>
      </w:r>
    </w:p>
    <w:p>
      <w:pPr>
        <w:spacing w:before="178" w:line="354" w:lineRule="auto"/>
        <w:ind w:right="80" w:firstLine="479"/>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对于小型和微型企业产品以扣除优惠比率后的报价参与价格打分，但不作为成交价和合同签约价。成交价和合同签约价仍以其最后报价为准。</w:t>
      </w:r>
    </w:p>
    <w:p>
      <w:pPr>
        <w:spacing w:before="178" w:line="354" w:lineRule="auto"/>
        <w:ind w:right="80" w:firstLine="479"/>
        <w:rPr>
          <w:rFonts w:hint="eastAsia" w:ascii="宋体" w:hAnsi="宋体" w:eastAsia="宋体" w:cs="宋体"/>
          <w:spacing w:val="-2"/>
          <w:sz w:val="24"/>
          <w:szCs w:val="24"/>
          <w:highlight w:val="none"/>
        </w:rPr>
      </w:pPr>
      <w:r>
        <w:rPr>
          <w:rFonts w:hint="eastAsia" w:ascii="宋体" w:hAnsi="宋体" w:eastAsia="宋体" w:cs="宋体"/>
          <w:spacing w:val="-2"/>
          <w:sz w:val="24"/>
          <w:szCs w:val="24"/>
          <w:highlight w:val="none"/>
        </w:rPr>
        <w:t>澄清有关问题。对响应文件中含义不明确、同类问题表述不一致或者有明显文字和</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计算错误的内容，磋商小组可采用书面形式要求供应商做出必要的澄清、说明。供应商</w:t>
      </w:r>
      <w:r>
        <w:rPr>
          <w:rFonts w:hint="eastAsia" w:ascii="宋体" w:hAnsi="宋体" w:eastAsia="宋体" w:cs="宋体"/>
          <w:sz w:val="24"/>
          <w:szCs w:val="24"/>
          <w:highlight w:val="none"/>
        </w:rPr>
        <w:t xml:space="preserve"> </w:t>
      </w:r>
      <w:r>
        <w:rPr>
          <w:rFonts w:hint="eastAsia" w:ascii="宋体" w:hAnsi="宋体" w:eastAsia="宋体" w:cs="宋体"/>
          <w:spacing w:val="-2"/>
          <w:sz w:val="24"/>
          <w:szCs w:val="24"/>
          <w:highlight w:val="none"/>
        </w:rPr>
        <w:t>的说明或者澄清应当采用相应书面形式，由其授权的代表确认，并不得超出响应文件的范围或者改变响应文件的实质性内</w:t>
      </w:r>
      <w:r>
        <w:rPr>
          <w:rFonts w:hint="eastAsia" w:ascii="宋体" w:hAnsi="宋体" w:eastAsia="宋体" w:cs="宋体"/>
          <w:spacing w:val="-2"/>
          <w:sz w:val="24"/>
          <w:szCs w:val="24"/>
          <w:highlight w:val="none"/>
          <w:lang w:val="en-US" w:eastAsia="zh-CN"/>
        </w:rPr>
        <w:t>容</w:t>
      </w:r>
      <w:r>
        <w:rPr>
          <w:rFonts w:hint="eastAsia" w:ascii="宋体" w:hAnsi="宋体" w:eastAsia="宋体" w:cs="宋体"/>
          <w:spacing w:val="-2"/>
          <w:sz w:val="24"/>
          <w:szCs w:val="24"/>
          <w:highlight w:val="none"/>
        </w:rPr>
        <w:t>评委最终得分的算术平均值即为该供应商的最终得分。出具评审报告。</w:t>
      </w:r>
    </w:p>
    <w:p>
      <w:pPr>
        <w:spacing w:before="189" w:line="217" w:lineRule="auto"/>
        <w:ind w:left="628"/>
        <w:outlineLvl w:val="2"/>
        <w:rPr>
          <w:rFonts w:hint="eastAsia" w:ascii="宋体" w:hAnsi="宋体" w:eastAsia="宋体" w:cs="宋体"/>
          <w:sz w:val="22"/>
          <w:szCs w:val="22"/>
          <w:highlight w:val="none"/>
        </w:rPr>
      </w:pPr>
      <w:bookmarkStart w:id="49" w:name="_Toc31538"/>
      <w:r>
        <w:rPr>
          <w:rFonts w:hint="eastAsia" w:ascii="宋体" w:hAnsi="宋体" w:eastAsia="宋体" w:cs="宋体"/>
          <w:b/>
          <w:bCs/>
          <w:spacing w:val="-1"/>
          <w:sz w:val="22"/>
          <w:szCs w:val="22"/>
          <w:highlight w:val="none"/>
        </w:rPr>
        <w:t>六、评分细则</w:t>
      </w:r>
      <w:bookmarkEnd w:id="49"/>
    </w:p>
    <w:tbl>
      <w:tblPr>
        <w:tblStyle w:val="30"/>
        <w:tblW w:w="8599" w:type="dxa"/>
        <w:tblInd w:w="5"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03"/>
        <w:gridCol w:w="1128"/>
        <w:gridCol w:w="919"/>
        <w:gridCol w:w="5149"/>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715" w:hRule="atLeast"/>
        </w:trPr>
        <w:tc>
          <w:tcPr>
            <w:tcW w:w="1403" w:type="dxa"/>
            <w:vAlign w:val="top"/>
          </w:tcPr>
          <w:p>
            <w:pPr>
              <w:pStyle w:val="31"/>
              <w:spacing w:before="253" w:line="219" w:lineRule="auto"/>
              <w:ind w:left="275"/>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评审类别</w:t>
            </w:r>
          </w:p>
        </w:tc>
        <w:tc>
          <w:tcPr>
            <w:tcW w:w="1128" w:type="dxa"/>
            <w:vAlign w:val="top"/>
          </w:tcPr>
          <w:p>
            <w:pPr>
              <w:pStyle w:val="31"/>
              <w:spacing w:before="253" w:line="219" w:lineRule="auto"/>
              <w:ind w:left="132"/>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评分内容</w:t>
            </w:r>
          </w:p>
        </w:tc>
        <w:tc>
          <w:tcPr>
            <w:tcW w:w="919" w:type="dxa"/>
            <w:vAlign w:val="center"/>
          </w:tcPr>
          <w:p>
            <w:pPr>
              <w:pStyle w:val="31"/>
              <w:spacing w:before="253" w:line="219" w:lineRule="auto"/>
              <w:ind w:left="244"/>
              <w:jc w:val="center"/>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分值</w:t>
            </w:r>
          </w:p>
        </w:tc>
        <w:tc>
          <w:tcPr>
            <w:tcW w:w="5149" w:type="dxa"/>
            <w:vAlign w:val="top"/>
          </w:tcPr>
          <w:p>
            <w:pPr>
              <w:pStyle w:val="31"/>
              <w:spacing w:before="254" w:line="220" w:lineRule="auto"/>
              <w:ind w:left="2194"/>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78" w:hRule="atLeast"/>
        </w:trPr>
        <w:tc>
          <w:tcPr>
            <w:tcW w:w="1403" w:type="dxa"/>
            <w:vAlign w:val="top"/>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经济标</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(10)</w:t>
            </w:r>
          </w:p>
        </w:tc>
        <w:tc>
          <w:tcPr>
            <w:tcW w:w="1128" w:type="dxa"/>
            <w:vAlign w:val="top"/>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磋商报价</w:t>
            </w:r>
          </w:p>
        </w:tc>
        <w:tc>
          <w:tcPr>
            <w:tcW w:w="919" w:type="dxa"/>
            <w:vAlign w:val="center"/>
          </w:tcPr>
          <w:p>
            <w:pPr>
              <w:kinsoku/>
              <w:autoSpaceDE/>
              <w:autoSpaceDN/>
              <w:adjustRightInd/>
              <w:snapToGrid/>
              <w:spacing w:line="400" w:lineRule="exact"/>
              <w:jc w:val="center"/>
              <w:textAlignment w:val="auto"/>
              <w:rPr>
                <w:rFonts w:hint="eastAsia" w:ascii="宋体" w:hAnsi="宋体" w:eastAsia="宋体" w:cs="宋体"/>
                <w:snapToGrid/>
                <w:kern w:val="0"/>
                <w:sz w:val="24"/>
                <w:szCs w:val="21"/>
                <w:highlight w:val="none"/>
                <w:lang w:val="en-US" w:eastAsia="zh-CN" w:bidi="ar-SA"/>
              </w:rPr>
            </w:pPr>
          </w:p>
          <w:p>
            <w:pPr>
              <w:kinsoku/>
              <w:autoSpaceDE/>
              <w:autoSpaceDN/>
              <w:adjustRightInd/>
              <w:snapToGrid/>
              <w:spacing w:line="400" w:lineRule="exact"/>
              <w:jc w:val="center"/>
              <w:textAlignment w:val="auto"/>
              <w:rPr>
                <w:rFonts w:hint="default"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10</w:t>
            </w:r>
          </w:p>
        </w:tc>
        <w:tc>
          <w:tcPr>
            <w:tcW w:w="5149" w:type="dxa"/>
            <w:vAlign w:val="top"/>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价格分采用低价优先法计算，即满足招标文件要求且最 后报价最低的投标报价为评标基准价，其价格分为满 分。其他投标人的价格分统一按下列公式计算：</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投标报价得分=(评标基准价/投标报价)×10,计算结果保留至小数点后两位。</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参与计算的投标报价要考虑小微型企业产品的价格扣 除因素。根据《政府采购促进中小企业发展管理办法》 (财库[2020]46号)的规定，对小型和微型企业产品的价格给予10%的扣除，用扣除后的价格参与评审。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9" w:hRule="atLeast"/>
        </w:trPr>
        <w:tc>
          <w:tcPr>
            <w:tcW w:w="1403" w:type="dxa"/>
            <w:vMerge w:val="restart"/>
            <w:tcBorders>
              <w:bottom w:val="nil"/>
            </w:tcBorders>
            <w:vAlign w:val="top"/>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技术标</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(75分)</w:t>
            </w:r>
          </w:p>
        </w:tc>
        <w:tc>
          <w:tcPr>
            <w:tcW w:w="1128"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 xml:space="preserve">项目负责人(3分) </w:t>
            </w:r>
          </w:p>
        </w:tc>
        <w:tc>
          <w:tcPr>
            <w:tcW w:w="919" w:type="dxa"/>
            <w:vAlign w:val="center"/>
          </w:tcPr>
          <w:p>
            <w:pPr>
              <w:kinsoku/>
              <w:autoSpaceDE/>
              <w:autoSpaceDN/>
              <w:adjustRightInd/>
              <w:snapToGrid/>
              <w:spacing w:line="400" w:lineRule="exact"/>
              <w:jc w:val="center"/>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3</w:t>
            </w:r>
          </w:p>
        </w:tc>
        <w:tc>
          <w:tcPr>
            <w:tcW w:w="5149"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①具备仪器仪表类中高级工程师职称；②学历本科及以上。</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满足第①或②项得1分；同时满足①和②得3分；其他不得分。注：提供学历证书或毕业证扫描件。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49" w:hRule="atLeast"/>
        </w:trPr>
        <w:tc>
          <w:tcPr>
            <w:tcW w:w="1403" w:type="dxa"/>
            <w:vMerge w:val="continue"/>
            <w:tcBorders>
              <w:top w:val="nil"/>
              <w:bottom w:val="nil"/>
            </w:tcBorders>
            <w:vAlign w:val="top"/>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tc>
        <w:tc>
          <w:tcPr>
            <w:tcW w:w="1128"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运维人员证件（10分）</w:t>
            </w:r>
          </w:p>
        </w:tc>
        <w:tc>
          <w:tcPr>
            <w:tcW w:w="919" w:type="dxa"/>
            <w:vAlign w:val="center"/>
          </w:tcPr>
          <w:p>
            <w:pPr>
              <w:kinsoku/>
              <w:autoSpaceDE/>
              <w:autoSpaceDN/>
              <w:adjustRightInd/>
              <w:snapToGrid/>
              <w:spacing w:line="400" w:lineRule="exact"/>
              <w:jc w:val="center"/>
              <w:textAlignment w:val="auto"/>
              <w:rPr>
                <w:rFonts w:hint="default"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10</w:t>
            </w:r>
          </w:p>
        </w:tc>
        <w:tc>
          <w:tcPr>
            <w:tcW w:w="5149"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运维人员须持证上岗：持有省级及以上环境监测机构颁发的水质自动监测仪器运维资质证书的运维人员数量不少于2人。基础分4分，少于2人不得分；3人得6分，4人得8分，5人得10分。</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注：投标人须提供处于有效期内的运维资质证书和该运维人员在证书标注公司内任职的劳动合同、近三个月内的社保缴费记录等。</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403" w:type="dxa"/>
            <w:vMerge w:val="continue"/>
            <w:tcBorders>
              <w:top w:val="nil"/>
              <w:bottom w:val="nil"/>
            </w:tcBorders>
            <w:vAlign w:val="top"/>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tc>
        <w:tc>
          <w:tcPr>
            <w:tcW w:w="1128"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车辆配置</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（3分）</w:t>
            </w:r>
          </w:p>
        </w:tc>
        <w:tc>
          <w:tcPr>
            <w:tcW w:w="919" w:type="dxa"/>
            <w:vAlign w:val="center"/>
          </w:tcPr>
          <w:p>
            <w:pPr>
              <w:kinsoku/>
              <w:autoSpaceDE/>
              <w:autoSpaceDN/>
              <w:adjustRightInd/>
              <w:snapToGrid/>
              <w:spacing w:line="400" w:lineRule="exact"/>
              <w:jc w:val="center"/>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3</w:t>
            </w:r>
          </w:p>
        </w:tc>
        <w:tc>
          <w:tcPr>
            <w:tcW w:w="5149"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投标人为实施本项目车辆基础配置满足3辆车。车辆购置或租赁均可。已购车辆，以购车合同为准；租赁车辆，以租车合同为准。</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满足条件的，得3分；提供承诺达到以上条件的，得1分；不满足无承诺的，得0分。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403" w:type="dxa"/>
            <w:vMerge w:val="continue"/>
            <w:tcBorders>
              <w:top w:val="nil"/>
              <w:bottom w:val="nil"/>
            </w:tcBorders>
            <w:vAlign w:val="top"/>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tc>
        <w:tc>
          <w:tcPr>
            <w:tcW w:w="1128"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运行管理机构、运行管理制度和操作规程（4分）</w:t>
            </w:r>
          </w:p>
        </w:tc>
        <w:tc>
          <w:tcPr>
            <w:tcW w:w="919" w:type="dxa"/>
            <w:vAlign w:val="center"/>
          </w:tcPr>
          <w:p>
            <w:pPr>
              <w:kinsoku/>
              <w:autoSpaceDE/>
              <w:autoSpaceDN/>
              <w:adjustRightInd/>
              <w:snapToGrid/>
              <w:spacing w:line="400" w:lineRule="exact"/>
              <w:jc w:val="center"/>
              <w:textAlignment w:val="auto"/>
              <w:rPr>
                <w:rFonts w:hint="default"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4</w:t>
            </w:r>
          </w:p>
        </w:tc>
        <w:tc>
          <w:tcPr>
            <w:tcW w:w="5149"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投标人为本项目在河南省建立运维管理机构、运行管理制度和操作规程的情况，综合评审，团队机构设置合理、管理制度健全、操作规程完善，得4分；一般的，得3分；较差的，得0分。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403" w:type="dxa"/>
            <w:vMerge w:val="continue"/>
            <w:tcBorders>
              <w:top w:val="nil"/>
              <w:bottom w:val="nil"/>
            </w:tcBorders>
            <w:vAlign w:val="top"/>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tc>
        <w:tc>
          <w:tcPr>
            <w:tcW w:w="1128"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运维方案</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（30分）</w:t>
            </w:r>
          </w:p>
        </w:tc>
        <w:tc>
          <w:tcPr>
            <w:tcW w:w="919" w:type="dxa"/>
            <w:vAlign w:val="center"/>
          </w:tcPr>
          <w:p>
            <w:pPr>
              <w:kinsoku/>
              <w:autoSpaceDE/>
              <w:autoSpaceDN/>
              <w:adjustRightInd/>
              <w:snapToGrid/>
              <w:spacing w:line="400" w:lineRule="exact"/>
              <w:jc w:val="center"/>
              <w:textAlignment w:val="auto"/>
              <w:rPr>
                <w:rFonts w:hint="default"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30</w:t>
            </w:r>
          </w:p>
        </w:tc>
        <w:tc>
          <w:tcPr>
            <w:tcW w:w="5149"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1.重金属在线监测仪器(ICP-MS)的运维方案须分采水单元、配水单元、控制单元、监测单元等，即招标文件中“运维要求”部分。方案须制定运维人员进入水站后，对重金属在线监测仪器(ICP-MS)单元展开运维的每一个步骤和内容。运维步骤中明确描述运维的完整操作过程，操作过程详细到仪器的操作方法，写出仪器的运维步骤的目的和注意事项，按照运维方案可行性及是否全面评分。此项16分，方案齐全，包括以上要求所有方面，包括突发情况处理，运维人员在不同情况下采取的措施步骤的，方案切实可行的，得16分；写出仪器的运维步骤的目的和注意事项，此小项12分，方案包括以上所有方面、措施可行的，得8分；方案笼统的，得0-4分。</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2.方案须包括对重金属在线监测仪器(ICP-MS)的质控方案。质控方案应包括监测仪器的质控频次、质控标准样品的配置、标样校准方法、实际水样的比对等实施计划。质控方案须包括监测仪器月、周、日须做的质控工作。质控方案须包括监测仪器的质控结果是否有效的判定标准以及标准的出处或依据。</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质控方案编制完整，方法步骤明确的得10分；方案编制相对规范的得7分；方案编制一般得5分；方案编制差得0-4分。</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3.根据投标人提供的确保重金属在线监测仪器(ICP-MS)安全有效措施综合评审。</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（1）措施应包括防火、防盗、防雷、防电4方面，措施应考虑实际情况，切实可行，此项2分，不满足不得分。</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（2）运维中其他情况处理（主要包括与仪器所在水站当地部门的工作措施和原则）等措施。措施应考虑实际情况，切实可行此项2分，不满足不得分。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403" w:type="dxa"/>
            <w:vMerge w:val="continue"/>
            <w:tcBorders>
              <w:top w:val="nil"/>
              <w:bottom w:val="nil"/>
            </w:tcBorders>
            <w:vAlign w:val="top"/>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tc>
        <w:tc>
          <w:tcPr>
            <w:tcW w:w="1128"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应急方案（5分）</w:t>
            </w:r>
          </w:p>
        </w:tc>
        <w:tc>
          <w:tcPr>
            <w:tcW w:w="919" w:type="dxa"/>
            <w:vAlign w:val="center"/>
          </w:tcPr>
          <w:p>
            <w:pPr>
              <w:kinsoku/>
              <w:autoSpaceDE/>
              <w:autoSpaceDN/>
              <w:adjustRightInd/>
              <w:snapToGrid/>
              <w:spacing w:line="400" w:lineRule="exact"/>
              <w:jc w:val="center"/>
              <w:textAlignment w:val="auto"/>
              <w:rPr>
                <w:rFonts w:hint="default"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5</w:t>
            </w:r>
          </w:p>
        </w:tc>
        <w:tc>
          <w:tcPr>
            <w:tcW w:w="5149"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根据投标人提供的应急方案（方案应涉及突发性水质污染、特殊时期（丰水期、枯水期、冰封期等）、自然灾害、水电检修、临时停电或节假日、重大活动或被偷盗破坏等情况）进行评定。方案科学合理、切实可行、针对性明确、预防有效的得5分；方案合理可行，有针对性、预防性的得3分；方案合理性、可行性、针对性、预防性不足、有欠缺的得1分。未作说明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403" w:type="dxa"/>
            <w:vMerge w:val="continue"/>
            <w:tcBorders>
              <w:top w:val="nil"/>
              <w:bottom w:val="nil"/>
            </w:tcBorders>
            <w:vAlign w:val="top"/>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tc>
        <w:tc>
          <w:tcPr>
            <w:tcW w:w="1128"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 xml:space="preserve">投标人委托相关认证实验室 </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（5分）</w:t>
            </w:r>
          </w:p>
        </w:tc>
        <w:tc>
          <w:tcPr>
            <w:tcW w:w="919" w:type="dxa"/>
            <w:vAlign w:val="center"/>
          </w:tcPr>
          <w:p>
            <w:pPr>
              <w:kinsoku/>
              <w:autoSpaceDE/>
              <w:autoSpaceDN/>
              <w:adjustRightInd/>
              <w:snapToGrid/>
              <w:spacing w:line="400" w:lineRule="exact"/>
              <w:jc w:val="center"/>
              <w:textAlignment w:val="auto"/>
              <w:rPr>
                <w:rFonts w:hint="default"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5</w:t>
            </w:r>
          </w:p>
        </w:tc>
        <w:tc>
          <w:tcPr>
            <w:tcW w:w="5149"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为更好的完成项目质量控制等相关工作，投标人须在运维过程中对水质进行实验室监测分析。投标人须有具备CMA等资质的实验室，并且监测能力至少覆盖自动监测设备监测项目。实验室可以为自有（含控股、持股），也可与具有CMA资质的实验室签订合作协议（协议期限应至少为1年）。</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投标文件中提供自有实验室或与实验室签订委托协议等相关证明材料以及相关监测项目能力证书扫描的得5分，未提供的不得分。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403" w:type="dxa"/>
            <w:vMerge w:val="continue"/>
            <w:tcBorders>
              <w:top w:val="nil"/>
              <w:bottom w:val="nil"/>
            </w:tcBorders>
            <w:vAlign w:val="top"/>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tc>
        <w:tc>
          <w:tcPr>
            <w:tcW w:w="1128"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备品备件情况</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（5分）</w:t>
            </w:r>
          </w:p>
        </w:tc>
        <w:tc>
          <w:tcPr>
            <w:tcW w:w="919" w:type="dxa"/>
            <w:vAlign w:val="center"/>
          </w:tcPr>
          <w:p>
            <w:pPr>
              <w:kinsoku/>
              <w:autoSpaceDE/>
              <w:autoSpaceDN/>
              <w:adjustRightInd/>
              <w:snapToGrid/>
              <w:spacing w:line="400" w:lineRule="exact"/>
              <w:jc w:val="center"/>
              <w:textAlignment w:val="auto"/>
              <w:rPr>
                <w:rFonts w:hint="default"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5</w:t>
            </w:r>
          </w:p>
        </w:tc>
        <w:tc>
          <w:tcPr>
            <w:tcW w:w="5149"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根据投标人拟为本项目准备的备品备件（含常备耗材及配件）情况（包括数量、型号、配置）进行评定。配置合理、种类齐全、适配性高的得5分；配置有欠缺、种类少、适配性不强的得2分；未提供的不得分。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403" w:type="dxa"/>
            <w:vMerge w:val="continue"/>
            <w:tcBorders>
              <w:top w:val="nil"/>
              <w:bottom w:val="nil"/>
            </w:tcBorders>
            <w:vAlign w:val="top"/>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tc>
        <w:tc>
          <w:tcPr>
            <w:tcW w:w="1128"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投标人委托有资质的废液处理单位</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（5分）</w:t>
            </w:r>
          </w:p>
        </w:tc>
        <w:tc>
          <w:tcPr>
            <w:tcW w:w="919" w:type="dxa"/>
            <w:vAlign w:val="center"/>
          </w:tcPr>
          <w:p>
            <w:pPr>
              <w:kinsoku/>
              <w:autoSpaceDE/>
              <w:autoSpaceDN/>
              <w:adjustRightInd/>
              <w:snapToGrid/>
              <w:spacing w:line="400" w:lineRule="exact"/>
              <w:jc w:val="center"/>
              <w:textAlignment w:val="auto"/>
              <w:rPr>
                <w:rFonts w:hint="default"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5</w:t>
            </w:r>
          </w:p>
        </w:tc>
        <w:tc>
          <w:tcPr>
            <w:tcW w:w="5149"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提供委托废液处理意向协议和投标人承诺中标后严格按照投标文件约定进行废液处理的得5分。</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无承诺或未提供废液处理委托意向协议的，得0分。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9" w:hRule="atLeast"/>
        </w:trPr>
        <w:tc>
          <w:tcPr>
            <w:tcW w:w="1403" w:type="dxa"/>
            <w:vMerge w:val="continue"/>
            <w:tcBorders>
              <w:top w:val="nil"/>
              <w:bottom w:val="nil"/>
            </w:tcBorders>
            <w:vAlign w:val="top"/>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tc>
        <w:tc>
          <w:tcPr>
            <w:tcW w:w="1128"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投标报价组成</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（2分）</w:t>
            </w:r>
          </w:p>
        </w:tc>
        <w:tc>
          <w:tcPr>
            <w:tcW w:w="919" w:type="dxa"/>
            <w:vAlign w:val="center"/>
          </w:tcPr>
          <w:p>
            <w:pPr>
              <w:kinsoku/>
              <w:autoSpaceDE/>
              <w:autoSpaceDN/>
              <w:adjustRightInd/>
              <w:snapToGrid/>
              <w:spacing w:line="400" w:lineRule="exact"/>
              <w:jc w:val="center"/>
              <w:textAlignment w:val="auto"/>
              <w:rPr>
                <w:rFonts w:hint="default"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2</w:t>
            </w:r>
          </w:p>
        </w:tc>
        <w:tc>
          <w:tcPr>
            <w:tcW w:w="5149"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投标人须详细列出运维成本报价，应包括：人员、车辆、监测仪器运维、标准样品、实际水样比对等成本。此项2分，未完全包含以上内容的得0分。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89" w:hRule="atLeast"/>
        </w:trPr>
        <w:tc>
          <w:tcPr>
            <w:tcW w:w="1403" w:type="dxa"/>
            <w:vMerge w:val="continue"/>
            <w:tcBorders>
              <w:top w:val="nil"/>
            </w:tcBorders>
            <w:vAlign w:val="top"/>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tc>
        <w:tc>
          <w:tcPr>
            <w:tcW w:w="1128"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投标人其它技术服务承诺情况（3分）</w:t>
            </w:r>
          </w:p>
        </w:tc>
        <w:tc>
          <w:tcPr>
            <w:tcW w:w="919" w:type="dxa"/>
            <w:vAlign w:val="center"/>
          </w:tcPr>
          <w:p>
            <w:pPr>
              <w:kinsoku/>
              <w:autoSpaceDE/>
              <w:autoSpaceDN/>
              <w:adjustRightInd/>
              <w:snapToGrid/>
              <w:spacing w:line="400" w:lineRule="exact"/>
              <w:jc w:val="center"/>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3</w:t>
            </w:r>
          </w:p>
        </w:tc>
        <w:tc>
          <w:tcPr>
            <w:tcW w:w="5149"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1.投标人承诺按照项目要求提供备机、备品备件、耗材的，得2分。</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2.投标人承诺做好固定资产管理、备品备件使用等工作，做好水站日常监控，填写监控记录等，得1分。</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注：以上承诺不完全不得分。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868" w:hRule="atLeast"/>
        </w:trPr>
        <w:tc>
          <w:tcPr>
            <w:tcW w:w="1403" w:type="dxa"/>
            <w:vMerge w:val="restart"/>
            <w:tcBorders>
              <w:bottom w:val="nil"/>
            </w:tcBorders>
            <w:vAlign w:val="top"/>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综合标</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(15分)</w:t>
            </w:r>
          </w:p>
        </w:tc>
        <w:tc>
          <w:tcPr>
            <w:tcW w:w="1128"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业绩（10分）</w:t>
            </w:r>
          </w:p>
        </w:tc>
        <w:tc>
          <w:tcPr>
            <w:tcW w:w="919" w:type="dxa"/>
            <w:vAlign w:val="center"/>
          </w:tcPr>
          <w:p>
            <w:pPr>
              <w:kinsoku/>
              <w:autoSpaceDE/>
              <w:autoSpaceDN/>
              <w:adjustRightInd/>
              <w:snapToGrid/>
              <w:spacing w:line="400" w:lineRule="exact"/>
              <w:jc w:val="center"/>
              <w:textAlignment w:val="auto"/>
              <w:rPr>
                <w:rFonts w:hint="default"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10</w:t>
            </w:r>
          </w:p>
        </w:tc>
        <w:tc>
          <w:tcPr>
            <w:tcW w:w="5149"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供应商2019年1月1日以来（以合同签署日期为准）具有重金属在线监测仪（ICP-MS）运维业绩的，每提供1份得2分，最高得10分。</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响应文件中需提供业绩合同复印件；</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注：不同年度相同运维合同的不重复统计。</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19" w:hRule="atLeast"/>
        </w:trPr>
        <w:tc>
          <w:tcPr>
            <w:tcW w:w="1403" w:type="dxa"/>
            <w:vMerge w:val="continue"/>
            <w:tcBorders>
              <w:top w:val="nil"/>
              <w:bottom w:val="nil"/>
            </w:tcBorders>
            <w:vAlign w:val="top"/>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p>
        </w:tc>
        <w:tc>
          <w:tcPr>
            <w:tcW w:w="1128"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污染应急处置能力（5分）</w:t>
            </w:r>
          </w:p>
        </w:tc>
        <w:tc>
          <w:tcPr>
            <w:tcW w:w="919" w:type="dxa"/>
            <w:vAlign w:val="center"/>
          </w:tcPr>
          <w:p>
            <w:pPr>
              <w:kinsoku/>
              <w:autoSpaceDE/>
              <w:autoSpaceDN/>
              <w:adjustRightInd/>
              <w:snapToGrid/>
              <w:spacing w:line="400" w:lineRule="exact"/>
              <w:jc w:val="center"/>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5</w:t>
            </w:r>
          </w:p>
        </w:tc>
        <w:tc>
          <w:tcPr>
            <w:tcW w:w="5149" w:type="dxa"/>
            <w:vAlign w:val="center"/>
          </w:tcPr>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投标人在2020年以来，参与过国内重金属污染事故的处置工作，未参与过不得分，每参与1次得1分，最高得5分。</w:t>
            </w:r>
          </w:p>
          <w:p>
            <w:pPr>
              <w:kinsoku/>
              <w:autoSpaceDE/>
              <w:autoSpaceDN/>
              <w:adjustRightInd/>
              <w:snapToGrid/>
              <w:spacing w:line="400" w:lineRule="exact"/>
              <w:jc w:val="left"/>
              <w:textAlignment w:val="auto"/>
              <w:rPr>
                <w:rFonts w:hint="eastAsia" w:ascii="宋体" w:hAnsi="宋体" w:eastAsia="宋体" w:cs="宋体"/>
                <w:snapToGrid/>
                <w:kern w:val="0"/>
                <w:sz w:val="24"/>
                <w:szCs w:val="21"/>
                <w:highlight w:val="none"/>
                <w:lang w:val="en-US" w:eastAsia="zh-CN" w:bidi="ar-SA"/>
              </w:rPr>
            </w:pPr>
            <w:r>
              <w:rPr>
                <w:rFonts w:hint="eastAsia" w:ascii="宋体" w:hAnsi="宋体" w:eastAsia="宋体" w:cs="宋体"/>
                <w:snapToGrid/>
                <w:kern w:val="0"/>
                <w:sz w:val="24"/>
                <w:szCs w:val="21"/>
                <w:highlight w:val="none"/>
                <w:lang w:val="en-US" w:eastAsia="zh-CN" w:bidi="ar-SA"/>
              </w:rPr>
              <w:t>响应文件中需提供用户证明材料。</w:t>
            </w:r>
          </w:p>
        </w:tc>
      </w:tr>
    </w:tbl>
    <w:p>
      <w:pPr>
        <w:pStyle w:val="7"/>
        <w:rPr>
          <w:rFonts w:hint="eastAsia" w:ascii="宋体" w:hAnsi="宋体" w:eastAsia="宋体" w:cs="宋体"/>
          <w:highlight w:val="none"/>
        </w:rPr>
      </w:pPr>
    </w:p>
    <w:sectPr>
      <w:footerReference r:id="rId38" w:type="default"/>
      <w:pgSz w:w="11910" w:h="16840"/>
      <w:pgMar w:top="1354" w:right="1786" w:bottom="1171" w:left="1304" w:header="0" w:footer="973" w:gutter="0"/>
      <w:pgNumType w:fmt="decimal"/>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entury">
    <w:panose1 w:val="02040604050505020304"/>
    <w:charset w:val="00"/>
    <w:family w:val="roman"/>
    <w:pitch w:val="default"/>
    <w:sig w:usb0="00000287" w:usb1="00000000" w:usb2="00000000" w:usb3="00000000" w:csb0="2000009F" w:csb1="DFD7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modern"/>
    <w:pitch w:val="default"/>
    <w:sig w:usb0="800002BF" w:usb1="38CF7CFA" w:usb2="00000016" w:usb3="00000000" w:csb0="00040001" w:csb1="00000000"/>
  </w:font>
  <w:font w:name="Cambria Math">
    <w:panose1 w:val="02040503050406030204"/>
    <w:charset w:val="00"/>
    <w:family w:val="auto"/>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0"/>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08" name="文本框 10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hHZsDICAABl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331"/>
      <w:rPr>
        <w:rFonts w:ascii="宋体" w:hAnsi="宋体" w:eastAsia="宋体" w:cs="宋体"/>
        <w:sz w:val="23"/>
        <w:szCs w:val="23"/>
      </w:rPr>
    </w:pPr>
    <w:r>
      <w:rPr>
        <w:sz w:val="23"/>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8" name="文本框 11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Y3JWo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g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ljclajICAABl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18</w:t>
                    </w:r>
                    <w:r>
                      <w:fldChar w:fldCharType="end"/>
                    </w:r>
                  </w:p>
                </w:txbxContent>
              </v:textbox>
            </v:shape>
          </w:pict>
        </mc:Fallback>
      </mc:AlternateContent>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486"/>
      <w:rPr>
        <w:rFonts w:ascii="宋体" w:hAnsi="宋体" w:eastAsia="宋体" w:cs="宋体"/>
        <w:sz w:val="18"/>
        <w:szCs w:val="18"/>
      </w:rPr>
    </w:pPr>
    <w:r>
      <w:rPr>
        <w:sz w:val="18"/>
      </w:rPr>
      <mc:AlternateContent>
        <mc:Choice Requires="wps">
          <w:drawing>
            <wp:anchor distT="0" distB="0" distL="114300" distR="114300" simplePos="0" relativeHeight="25166950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9" name="文本框 11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2Lu/Y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9i7v2NAIAAGUEAAAOAAAAAAAAAAEAIAAAAB8BAABkcnMvZTJvRG9jLnhtbFBL&#10;BQYAAAAABgAGAFkBAADF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19</w:t>
                    </w:r>
                    <w:r>
                      <w:fldChar w:fldCharType="end"/>
                    </w:r>
                  </w:p>
                </w:txbxContent>
              </v:textbox>
            </v:shape>
          </w:pict>
        </mc:Fallback>
      </mc:AlternateContent>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76"/>
      <w:rPr>
        <w:rFonts w:ascii="宋体" w:hAnsi="宋体" w:eastAsia="宋体" w:cs="宋体"/>
        <w:sz w:val="20"/>
        <w:szCs w:val="20"/>
      </w:rPr>
    </w:pPr>
    <w:r>
      <w:rPr>
        <w:sz w:val="20"/>
      </w:rPr>
      <mc:AlternateContent>
        <mc:Choice Requires="wps">
          <w:drawing>
            <wp:anchor distT="0" distB="0" distL="114300" distR="114300" simplePos="0" relativeHeight="25167052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0" name="文本框 12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2tg+E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va2D4TICAABl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20</w:t>
                    </w:r>
                    <w:r>
                      <w:fldChar w:fldCharType="end"/>
                    </w:r>
                  </w:p>
                </w:txbxContent>
              </v:textbox>
            </v:shape>
          </w:pict>
        </mc:Fallback>
      </mc:AlternateContent>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56"/>
      <w:rPr>
        <w:rFonts w:ascii="宋体" w:hAnsi="宋体" w:eastAsia="宋体" w:cs="宋体"/>
        <w:sz w:val="20"/>
        <w:szCs w:val="20"/>
      </w:rPr>
    </w:pPr>
    <w:r>
      <w:rPr>
        <w:sz w:val="20"/>
      </w:rPr>
      <mc:AlternateContent>
        <mc:Choice Requires="wps">
          <w:drawing>
            <wp:anchor distT="0" distB="0" distL="114300" distR="114300" simplePos="0" relativeHeight="25167155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1" name="文本框 1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YRHX0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4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1hEdfTICAABl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21</w:t>
                    </w:r>
                    <w:r>
                      <w:fldChar w:fldCharType="end"/>
                    </w:r>
                  </w:p>
                </w:txbxContent>
              </v:textbox>
            </v:shape>
          </w:pict>
        </mc:Fallback>
      </mc:AlternateContent>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361"/>
      <w:rPr>
        <w:rFonts w:ascii="宋体" w:hAnsi="宋体" w:eastAsia="宋体" w:cs="宋体"/>
        <w:sz w:val="18"/>
        <w:szCs w:val="18"/>
      </w:rPr>
    </w:pPr>
    <w:r>
      <w:rPr>
        <w:sz w:val="18"/>
      </w:rPr>
      <mc:AlternateContent>
        <mc:Choice Requires="wps">
          <w:drawing>
            <wp:anchor distT="0" distB="0" distL="114300" distR="114300" simplePos="0" relativeHeight="25167257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2" name="文本框 12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rTzwM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n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rTzwMzAgAAZQ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22</w:t>
                    </w:r>
                    <w:r>
                      <w:fldChar w:fldCharType="end"/>
                    </w:r>
                  </w:p>
                </w:txbxContent>
              </v:textbox>
            </v:shape>
          </w:pict>
        </mc:Fallback>
      </mc:AlternateContent>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95"/>
      <w:rPr>
        <w:rFonts w:ascii="宋体" w:hAnsi="宋体" w:eastAsia="宋体" w:cs="宋体"/>
        <w:sz w:val="20"/>
        <w:szCs w:val="20"/>
      </w:rPr>
    </w:pPr>
    <w:r>
      <w:rPr>
        <w:sz w:val="20"/>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3" name="文本框 12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FvUZ8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FvUZ8zAgAAZQ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23</w:t>
                    </w:r>
                    <w:r>
                      <w:fldChar w:fldCharType="end"/>
                    </w:r>
                  </w:p>
                </w:txbxContent>
              </v:textbox>
            </v:shape>
          </w:pict>
        </mc:Fallback>
      </mc:AlternateContent>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95"/>
      <w:rPr>
        <w:rFonts w:ascii="宋体" w:hAnsi="宋体" w:eastAsia="宋体" w:cs="宋体"/>
        <w:sz w:val="20"/>
        <w:szCs w:val="20"/>
      </w:rPr>
    </w:pPr>
    <w:r>
      <w:rPr>
        <w:sz w:val="20"/>
      </w:rPr>
      <mc:AlternateContent>
        <mc:Choice Requires="wps">
          <w:drawing>
            <wp:anchor distT="0" distB="0" distL="114300" distR="114300" simplePos="0" relativeHeight="25167462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4" name="文本框 12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462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JWav4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SVmr+NAIAAGUEAAAOAAAAAAAAAAEAIAAAAB8BAABkcnMvZTJvRG9jLnhtbFBL&#10;BQYAAAAABgAGAFkBAADF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24</w:t>
                    </w:r>
                    <w:r>
                      <w:fldChar w:fldCharType="end"/>
                    </w:r>
                  </w:p>
                </w:txbxContent>
              </v:textbox>
            </v:shape>
          </w:pict>
        </mc:Fallback>
      </mc:AlternateContent>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32"/>
      <w:rPr>
        <w:rFonts w:ascii="宋体" w:hAnsi="宋体" w:eastAsia="宋体" w:cs="宋体"/>
        <w:sz w:val="19"/>
        <w:szCs w:val="19"/>
      </w:rPr>
    </w:pPr>
    <w:r>
      <w:rPr>
        <w:sz w:val="19"/>
      </w:rPr>
      <mc:AlternateContent>
        <mc:Choice Requires="wps">
          <w:drawing>
            <wp:anchor distT="0" distB="0" distL="114300" distR="114300" simplePos="0" relativeHeight="251675648" behindDoc="0" locked="0" layoutInCell="1" allowOverlap="1">
              <wp:simplePos x="0" y="0"/>
              <wp:positionH relativeFrom="margin">
                <wp:align>center</wp:align>
              </wp:positionH>
              <wp:positionV relativeFrom="paragraph">
                <wp:posOffset>0</wp:posOffset>
              </wp:positionV>
              <wp:extent cx="1828800" cy="1828800"/>
              <wp:effectExtent l="0" t="0" r="0" b="0"/>
              <wp:wrapNone/>
              <wp:docPr id="125" name="文本框 1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nq9GIzAgAAZQQAAA4AAABkcnMvZTJvRG9jLnhtbK1US44TMRDdI3EH&#10;y3vSSdC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9osQwjZKff3w/&#10;//x9/vWNpENIVLswR+SDQ2xs3tkG4cN5wGFi3pRepy84Efgh8OkisGgi4enSbDqbjeHi8A0b4GdP&#10;150P8b2wmiQjpx4VbIVlx22IXegQkrIZu5FKtVVUhtQ5vX57NW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nq9GIzAgAAZQ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25</w:t>
                    </w:r>
                    <w:r>
                      <w:fldChar w:fldCharType="end"/>
                    </w:r>
                  </w:p>
                </w:txbxContent>
              </v:textbox>
            </v:shape>
          </w:pict>
        </mc:Fallback>
      </mc:AlternateContent>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31"/>
      <w:rPr>
        <w:rFonts w:ascii="宋体" w:hAnsi="宋体" w:eastAsia="宋体" w:cs="宋体"/>
        <w:sz w:val="20"/>
        <w:szCs w:val="20"/>
      </w:rPr>
    </w:pPr>
    <w:r>
      <w:rPr>
        <w:sz w:val="20"/>
      </w:rPr>
      <mc:AlternateContent>
        <mc:Choice Requires="wps">
          <w:drawing>
            <wp:anchor distT="0" distB="0" distL="114300" distR="114300" simplePos="0" relativeHeight="251676672" behindDoc="0" locked="0" layoutInCell="1" allowOverlap="1">
              <wp:simplePos x="0" y="0"/>
              <wp:positionH relativeFrom="margin">
                <wp:align>center</wp:align>
              </wp:positionH>
              <wp:positionV relativeFrom="paragraph">
                <wp:posOffset>0</wp:posOffset>
              </wp:positionV>
              <wp:extent cx="1828800" cy="1828800"/>
              <wp:effectExtent l="0" t="0" r="0" b="0"/>
              <wp:wrapNone/>
              <wp:docPr id="126" name="文本框 1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UoJhwzAgAAZ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UoJhwzAgAAZQ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26</w:t>
                    </w:r>
                    <w:r>
                      <w:fldChar w:fldCharType="end"/>
                    </w:r>
                  </w:p>
                </w:txbxContent>
              </v:textbox>
            </v:shape>
          </w:pict>
        </mc:Fallback>
      </mc:AlternateContent>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31"/>
      <w:rPr>
        <w:rFonts w:ascii="宋体" w:hAnsi="宋体" w:eastAsia="宋体" w:cs="宋体"/>
        <w:sz w:val="20"/>
        <w:szCs w:val="20"/>
      </w:rPr>
    </w:pPr>
    <w:r>
      <w:rPr>
        <w:sz w:val="20"/>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ragraph">
                <wp:posOffset>0</wp:posOffset>
              </wp:positionV>
              <wp:extent cx="1828800" cy="1828800"/>
              <wp:effectExtent l="0" t="0" r="0" b="0"/>
              <wp:wrapNone/>
              <wp:docPr id="127" name="文本框 1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769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6UuIA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ulLiANAIAAGUEAAAOAAAAAAAAAAEAIAAAAB8BAABkcnMvZTJvRG9jLnhtbFBL&#10;BQYAAAAABgAGAFkBAADF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27</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571"/>
      <w:rPr>
        <w:rFonts w:ascii="宋体" w:hAnsi="宋体" w:eastAsia="宋体" w:cs="宋体"/>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09" name="文本框 10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GtRywz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JGtRywzAgAAZQ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8" w:lineRule="auto"/>
      <w:ind w:left="4340"/>
      <w:rPr>
        <w:rFonts w:ascii="Times New Roman" w:hAnsi="Times New Roman" w:eastAsia="Times New Roman" w:cs="Times New Roman"/>
        <w:sz w:val="22"/>
        <w:szCs w:val="22"/>
      </w:rPr>
    </w:pPr>
    <w:r>
      <w:rPr>
        <w:sz w:val="22"/>
      </w:rPr>
      <mc:AlternateContent>
        <mc:Choice Requires="wps">
          <w:drawing>
            <wp:anchor distT="0" distB="0" distL="114300" distR="114300" simplePos="0" relativeHeight="251678720" behindDoc="0" locked="0" layoutInCell="1" allowOverlap="1">
              <wp:simplePos x="0" y="0"/>
              <wp:positionH relativeFrom="margin">
                <wp:align>center</wp:align>
              </wp:positionH>
              <wp:positionV relativeFrom="paragraph">
                <wp:posOffset>0</wp:posOffset>
              </wp:positionV>
              <wp:extent cx="1828800" cy="1828800"/>
              <wp:effectExtent l="0" t="0" r="0" b="0"/>
              <wp:wrapNone/>
              <wp:docPr id="128" name="文本框 1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28</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872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bUN4y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Y1tQ3jICAABl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28</w:t>
                    </w:r>
                    <w:r>
                      <w:fldChar w:fldCharType="end"/>
                    </w:r>
                  </w:p>
                </w:txbxContent>
              </v:textbox>
            </v:shape>
          </w:pict>
        </mc:Fallback>
      </mc:AlternateContent>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371"/>
      <w:rPr>
        <w:rFonts w:ascii="宋体" w:hAnsi="宋体" w:eastAsia="宋体" w:cs="宋体"/>
        <w:sz w:val="23"/>
        <w:szCs w:val="23"/>
      </w:rPr>
    </w:pPr>
    <w:r>
      <w:rPr>
        <w:sz w:val="23"/>
      </w:rPr>
      <mc:AlternateContent>
        <mc:Choice Requires="wps">
          <w:drawing>
            <wp:anchor distT="0" distB="0" distL="114300" distR="114300" simplePos="0" relativeHeight="25167974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9" name="文本框 1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29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974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nzkI0AgAAZQ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y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I585CNAIAAGUEAAAOAAAAAAAAAAEAIAAAAB8BAABkcnMvZTJvRG9jLnhtbFBL&#10;BQYAAAAABgAGAFkBAADF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32"/>
      <w:rPr>
        <w:rFonts w:ascii="宋体" w:hAnsi="宋体" w:eastAsia="宋体" w:cs="宋体"/>
        <w:sz w:val="19"/>
        <w:szCs w:val="19"/>
      </w:rPr>
    </w:pPr>
    <w:r>
      <w:rPr>
        <w:sz w:val="19"/>
      </w:rPr>
      <mc:AlternateContent>
        <mc:Choice Requires="wps">
          <w:drawing>
            <wp:anchor distT="0" distB="0" distL="114300" distR="114300" simplePos="0" relativeHeight="25168076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0" name="文本框 13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076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GLfz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GLfzszAgAAZQ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30</w:t>
                    </w:r>
                    <w:r>
                      <w:fldChar w:fldCharType="end"/>
                    </w:r>
                  </w:p>
                </w:txbxContent>
              </v:textbox>
            </v:shape>
          </w:pict>
        </mc:Fallback>
      </mc:AlternateContent>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85"/>
      <w:rPr>
        <w:rFonts w:ascii="宋体" w:hAnsi="宋体" w:eastAsia="宋体" w:cs="宋体"/>
        <w:sz w:val="20"/>
        <w:szCs w:val="20"/>
      </w:rPr>
    </w:pPr>
    <w:r>
      <w:rPr>
        <w:sz w:val="20"/>
      </w:rPr>
      <mc:AlternateContent>
        <mc:Choice Requires="wps">
          <w:drawing>
            <wp:anchor distT="0" distB="0" distL="114300" distR="114300" simplePos="0" relativeHeight="25168179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1" name="文本框 13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179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o34aczAgAAZQ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31</w:t>
                    </w:r>
                    <w:r>
                      <w:fldChar w:fldCharType="end"/>
                    </w:r>
                  </w:p>
                </w:txbxContent>
              </v:textbox>
            </v:shape>
          </w:pict>
        </mc:Fallback>
      </mc:AlternateContent>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786"/>
      <w:rPr>
        <w:rFonts w:ascii="宋体" w:hAnsi="宋体" w:eastAsia="宋体" w:cs="宋体"/>
        <w:sz w:val="20"/>
        <w:szCs w:val="20"/>
      </w:rPr>
    </w:pPr>
    <w:r>
      <w:rPr>
        <w:sz w:val="20"/>
      </w:rPr>
      <mc:AlternateContent>
        <mc:Choice Requires="wps">
          <w:drawing>
            <wp:anchor distT="0" distB="0" distL="114300" distR="114300" simplePos="0" relativeHeight="25168281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2" name="文本框 13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281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b1M9k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A1pc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b1M9kzAgAAZQ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32</w:t>
                    </w:r>
                    <w:r>
                      <w:fldChar w:fldCharType="end"/>
                    </w:r>
                  </w:p>
                </w:txbxContent>
              </v:textbox>
            </v:shape>
          </w:pict>
        </mc:Fallback>
      </mc:AlternateContent>
    </w:r>
  </w:p>
</w:ftr>
</file>

<file path=word/footer2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3975"/>
      <w:rPr>
        <w:rFonts w:ascii="宋体" w:hAnsi="宋体" w:eastAsia="宋体" w:cs="宋体"/>
        <w:sz w:val="18"/>
        <w:szCs w:val="18"/>
      </w:rPr>
    </w:pPr>
    <w:r>
      <w:rPr>
        <w:sz w:val="18"/>
      </w:rPr>
      <mc:AlternateContent>
        <mc:Choice Requires="wps">
          <w:drawing>
            <wp:anchor distT="0" distB="0" distL="114300" distR="114300" simplePos="0" relativeHeight="2516838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3" name="文本框 13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38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1JrUUzAgAAZ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6ITplBLNFEp++fH9&#10;8vP35dc3Eg8hUW39HJE7i9jQvDMNwodzj8PIvCmcil9wIvBD4PNVYNEEwuOl2WQ2S+Hi8A0b4CdP&#10;163z4b0wikQjow4VbIVlp60PXegQErNps6mkbKsoNakzejN9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1JrUUzAgAAZQ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33</w:t>
                    </w:r>
                    <w:r>
                      <w:fldChar w:fldCharType="end"/>
                    </w:r>
                  </w:p>
                </w:txbxContent>
              </v:textbox>
            </v:shape>
          </w:pict>
        </mc:Fallback>
      </mc:AlternateContent>
    </w:r>
  </w:p>
</w:ftr>
</file>

<file path=word/footer2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31" w:lineRule="auto"/>
      <w:ind w:left="4332"/>
      <w:rPr>
        <w:rFonts w:ascii="宋体" w:hAnsi="宋体" w:eastAsia="宋体" w:cs="宋体"/>
        <w:sz w:val="23"/>
        <w:szCs w:val="23"/>
      </w:rPr>
    </w:pPr>
    <w:r>
      <w:rPr>
        <w:sz w:val="23"/>
      </w:rPr>
      <mc:AlternateContent>
        <mc:Choice Requires="wps">
          <w:drawing>
            <wp:anchor distT="0" distB="0" distL="114300" distR="114300" simplePos="0" relativeHeight="2516848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4" name="文本框 1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48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5wliQ0AgAAZQ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5eU2KYRslP37+d&#10;fvw6/fxK0iEkalyYIfLBITa2b22L8OE84DAxbyuv0xecCPwQ+HgRWLSR8HRpOplOc7g4fMMG+Nnj&#10;dedDfCesJskoqEcFO2HZYRNiHzqEpGzGrqVSXRWVIU1Br6/e5N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cJYkNAIAAGUEAAAOAAAAAAAAAAEAIAAAAB8BAABkcnMvZTJvRG9jLnhtbFBL&#10;BQYAAAAABgAGAFkBAADF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34</w:t>
                    </w:r>
                    <w:r>
                      <w:fldChar w:fldCharType="end"/>
                    </w:r>
                  </w:p>
                </w:txbxContent>
              </v:textbox>
            </v:shape>
          </w:pict>
        </mc:Fallback>
      </mc:AlternateContent>
    </w:r>
  </w:p>
</w:ftr>
</file>

<file path=word/footer2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351"/>
      <w:rPr>
        <w:rFonts w:ascii="宋体" w:hAnsi="宋体" w:eastAsia="宋体" w:cs="宋体"/>
        <w:sz w:val="23"/>
        <w:szCs w:val="23"/>
      </w:rPr>
    </w:pPr>
    <w:r>
      <w:rPr>
        <w:sz w:val="23"/>
      </w:rPr>
      <mc:AlternateContent>
        <mc:Choice Requires="wps">
          <w:drawing>
            <wp:anchor distT="0" distB="0" distL="114300" distR="114300" simplePos="0" relativeHeight="2516858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35" name="文本框 1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58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XMCLg0AgAAZQ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VzAi4NAIAAGUEAAAOAAAAAAAAAAEAIAAAAB8BAABkcnMvZTJvRG9jLnhtbFBL&#10;BQYAAAAABgAGAFkBAADF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35</w:t>
                    </w:r>
                    <w:r>
                      <w:fldChar w:fldCharType="end"/>
                    </w:r>
                  </w:p>
                </w:txbxContent>
              </v:textbox>
            </v:shape>
          </w:pict>
        </mc:Fallback>
      </mc:AlternateContent>
    </w:r>
  </w:p>
</w:ftr>
</file>

<file path=word/footer2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342"/>
      <w:rPr>
        <w:rFonts w:ascii="宋体" w:hAnsi="宋体" w:eastAsia="宋体" w:cs="宋体"/>
        <w:sz w:val="17"/>
        <w:szCs w:val="17"/>
      </w:rPr>
    </w:pPr>
    <w:r>
      <w:rPr>
        <w:sz w:val="17"/>
      </w:rPr>
      <mc:AlternateContent>
        <mc:Choice Requires="wps">
          <w:drawing>
            <wp:anchor distT="0" distB="0" distL="114300" distR="114300" simplePos="0" relativeHeight="2516869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36" name="文本框 13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69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CkO2sYzAgAAZQ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36</w:t>
                    </w:r>
                    <w:r>
                      <w:fldChar w:fldCharType="end"/>
                    </w:r>
                  </w:p>
                </w:txbxContent>
              </v:textbox>
            </v:shape>
          </w:pict>
        </mc:Fallback>
      </mc:AlternateContent>
    </w:r>
  </w:p>
</w:ftr>
</file>

<file path=word/footer2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321"/>
      <w:rPr>
        <w:rFonts w:ascii="宋体" w:hAnsi="宋体" w:eastAsia="宋体" w:cs="宋体"/>
        <w:sz w:val="18"/>
        <w:szCs w:val="18"/>
      </w:rPr>
    </w:pPr>
    <w:r>
      <w:rPr>
        <w:sz w:val="18"/>
      </w:rPr>
      <mc:AlternateContent>
        <mc:Choice Requires="wps">
          <w:drawing>
            <wp:anchor distT="0" distB="0" distL="114300" distR="114300" simplePos="0" relativeHeight="2516879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37" name="文本框 13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37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79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KyRFo0AgAAZQQAAA4AAABkcnMvZTJvRG9jLnhtbK1UzY7TMBC+I/EO&#10;lu80aVcs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CskRaNAIAAGUEAAAOAAAAAAAAAAEAIAAAAB8BAABkcnMvZTJvRG9jLnhtbFBL&#10;BQYAAAAABgAGAFkBAADF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37</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rPr>
        <w:rFonts w:ascii="宋体" w:hAnsi="宋体" w:eastAsia="宋体" w:cs="宋体"/>
        <w:sz w:val="20"/>
        <w:szCs w:val="20"/>
      </w:rPr>
    </w:pPr>
    <w:r>
      <w:rPr>
        <w:sz w:val="20"/>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1" name="文本框 1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31oyTICAABlBAAADgAAAAAAAAABACAAAAAfAQAAZHJzL2Uyb0RvYy54bWxQSwUG&#10;AAAAAAYABgBZAQAAwwU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3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68" w:lineRule="auto"/>
      <w:rPr>
        <w:rFonts w:ascii="宋体" w:hAnsi="宋体" w:eastAsia="宋体" w:cs="宋体"/>
        <w:sz w:val="13"/>
        <w:szCs w:val="13"/>
      </w:rPr>
    </w:pPr>
    <w:r>
      <w:rPr>
        <w:sz w:val="13"/>
      </w:rPr>
      <mc:AlternateContent>
        <mc:Choice Requires="wps">
          <w:drawing>
            <wp:anchor distT="0" distB="0" distL="114300" distR="114300" simplePos="0" relativeHeight="2516889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38" name="文本框 1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89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99rAQ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99rAQzAgAAZQ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40</w:t>
                    </w:r>
                    <w:r>
                      <w:fldChar w:fldCharType="end"/>
                    </w:r>
                  </w:p>
                </w:txbxContent>
              </v:textbox>
            </v:shape>
          </w:pict>
        </mc:Fallback>
      </mc:AlternateContent>
    </w:r>
  </w:p>
</w:ftr>
</file>

<file path=word/footer3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3995"/>
      <w:rPr>
        <w:rFonts w:ascii="宋体" w:hAnsi="宋体" w:eastAsia="宋体" w:cs="宋体"/>
        <w:sz w:val="20"/>
        <w:szCs w:val="20"/>
      </w:rPr>
    </w:pPr>
    <w:r>
      <w:rPr>
        <w:sz w:val="20"/>
      </w:rPr>
      <mc:AlternateContent>
        <mc:Choice Requires="wps">
          <w:drawing>
            <wp:anchor distT="0" distB="0" distL="114300" distR="114300" simplePos="0" relativeHeight="2516899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39" name="文本框 13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41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899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TBMpg0AgAAZQQAAA4AAABkcnMvZTJvRG9jLnhtbK1UzY7TMBC+I/EO&#10;lu80aVesSt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kwTKYNAIAAGUEAAAOAAAAAAAAAAEAIAAAAB8BAABkcnMvZTJvRG9jLnhtbFBL&#10;BQYAAAAABgAGAFkBAADF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41</w:t>
                    </w:r>
                    <w:r>
                      <w:fldChar w:fldCharType="end"/>
                    </w:r>
                  </w:p>
                </w:txbxContent>
              </v:textbox>
            </v:shape>
          </w:pict>
        </mc:Fallback>
      </mc:AlternateContent>
    </w:r>
  </w:p>
</w:ftr>
</file>

<file path=word/footer3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95"/>
      <w:rPr>
        <w:rFonts w:ascii="宋体" w:hAnsi="宋体" w:eastAsia="宋体" w:cs="宋体"/>
        <w:sz w:val="18"/>
        <w:szCs w:val="18"/>
      </w:rPr>
    </w:pPr>
    <w:r>
      <w:rPr>
        <w:sz w:val="18"/>
      </w:rPr>
      <mc:AlternateContent>
        <mc:Choice Requires="wps">
          <w:drawing>
            <wp:anchor distT="0" distB="0" distL="114300" distR="114300" simplePos="0" relativeHeight="2516910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0" name="文本框 140"/>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10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ZyGFIz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BZyGFIzAgAAZQ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66</w:t>
                    </w:r>
                    <w:r>
                      <w:fldChar w:fldCharType="end"/>
                    </w:r>
                  </w:p>
                </w:txbxContent>
              </v:textbox>
            </v:shape>
          </w:pict>
        </mc:Fallback>
      </mc:AlternateContent>
    </w:r>
  </w:p>
</w:ftr>
</file>

<file path=word/footer3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665"/>
      <w:rPr>
        <w:rFonts w:ascii="宋体" w:hAnsi="宋体" w:eastAsia="宋体" w:cs="宋体"/>
        <w:sz w:val="20"/>
        <w:szCs w:val="20"/>
      </w:rPr>
    </w:pPr>
    <w:r>
      <w:rPr>
        <w:sz w:val="20"/>
      </w:rPr>
      <mc:AlternateContent>
        <mc:Choice Requires="wps">
          <w:drawing>
            <wp:anchor distT="0" distB="0" distL="114300" distR="114300" simplePos="0" relativeHeight="2516920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41" name="文本框 14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20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3Ohs4zAgAAZQ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70</w:t>
                    </w:r>
                    <w:r>
                      <w:fldChar w:fldCharType="end"/>
                    </w:r>
                  </w:p>
                </w:txbxContent>
              </v:textbox>
            </v:shape>
          </w:pict>
        </mc:Fallback>
      </mc:AlternateContent>
    </w:r>
  </w:p>
</w:ftr>
</file>

<file path=word/footer3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66"/>
      <w:rPr>
        <w:rFonts w:ascii="宋体" w:hAnsi="宋体" w:eastAsia="宋体" w:cs="宋体"/>
        <w:sz w:val="20"/>
        <w:szCs w:val="20"/>
      </w:rPr>
    </w:pPr>
    <w:r>
      <w:rPr>
        <w:sz w:val="20"/>
      </w:rPr>
      <mc:AlternateContent>
        <mc:Choice Requires="wps">
          <w:drawing>
            <wp:anchor distT="0" distB="0" distL="114300" distR="114300" simplePos="0" relativeHeight="2516930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42" name="文本框 1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101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930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EMVLA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M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CBDFSwNAIAAGUEAAAOAAAAAAAAAAEAIAAAAB8BAABkcnMvZTJvRG9jLnhtbFBL&#10;BQYAAAAABgAGAFkBAADF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101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01"/>
      <w:rPr>
        <w:rFonts w:ascii="宋体" w:hAnsi="宋体" w:eastAsia="宋体" w:cs="宋体"/>
        <w:sz w:val="20"/>
        <w:szCs w:val="20"/>
      </w:rPr>
    </w:pPr>
    <w:r>
      <w:rPr>
        <w:sz w:val="20"/>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2" name="文本框 1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urczAgAAZ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urczAgAAZQ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91"/>
      <w:rPr>
        <w:rFonts w:ascii="宋体" w:hAnsi="宋体" w:eastAsia="宋体" w:cs="宋体"/>
        <w:sz w:val="20"/>
        <w:szCs w:val="20"/>
      </w:rPr>
    </w:pPr>
    <w:r>
      <w:rPr>
        <w:sz w:val="20"/>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113" name="文本框 11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DJCszAgAAZQ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QDJCszAgAAZQ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400"/>
      <w:rPr>
        <w:rFonts w:ascii="宋体" w:hAnsi="宋体" w:eastAsia="宋体" w:cs="宋体"/>
        <w:sz w:val="20"/>
        <w:szCs w:val="20"/>
      </w:rPr>
    </w:pPr>
    <w:r>
      <w:rPr>
        <w:sz w:val="20"/>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4" name="文本框 1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9</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c6H0o0AgAAZQ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DFMo+SnH99P&#10;Px9Ov76RdAiJGhdmiLx3iI3tO9sifDgPOEzM28rr9AUnAj8EPl4EFm0kPF2aTqbTHC4O37ABfvZ4&#10;3fkQ3wurSTIK6lHBTlh22ITYhw4hKZuxa6lUV0VlSFPQq9dv8+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AnOh9KNAIAAGUEAAAOAAAAAAAAAAEAIAAAAB8BAABkcnMvZTJvRG9jLnhtbFBL&#10;BQYAAAAABgAGAFkBAADF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9</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4" w:lineRule="auto"/>
      <w:ind w:left="4386"/>
      <w:rPr>
        <w:rFonts w:ascii="宋体" w:hAnsi="宋体" w:eastAsia="宋体" w:cs="宋体"/>
        <w:sz w:val="20"/>
        <w:szCs w:val="20"/>
      </w:rPr>
    </w:pPr>
    <w:r>
      <w:rPr>
        <w:sz w:val="20"/>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15" name="文本框 1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yGgdY0AgAAZQ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BMhoHWNAIAAGUEAAAOAAAAAAAAAAEAIAAAAB8BAABkcnMvZTJvRG9jLnhtbFBL&#10;BQYAAAAABgAGAFkBAADF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3" w:lineRule="auto"/>
      <w:ind w:left="4356"/>
      <w:rPr>
        <w:rFonts w:ascii="Times New Roman" w:hAnsi="Times New Roman" w:eastAsia="Times New Roman" w:cs="Times New Roman"/>
        <w:sz w:val="14"/>
        <w:szCs w:val="14"/>
      </w:rPr>
    </w:pPr>
    <w:r>
      <w:rPr>
        <w:sz w:val="14"/>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16" name="文本框 1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BEU6gzAgAAZ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LBEU6gzAgAAZQQAAA4AAAAAAAAAAQAgAAAAHwEAAGRycy9lMm9Eb2MueG1sUEsF&#10;BgAAAAAGAAYAWQEAAMQFA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16</w:t>
                    </w:r>
                    <w:r>
                      <w:fldChar w:fldCharType="end"/>
                    </w:r>
                  </w:p>
                </w:txbxContent>
              </v:textbox>
            </v:shape>
          </w:pict>
        </mc:Fallback>
      </mc:AlternateContent>
    </w:r>
    <w:r>
      <w:rPr>
        <w:rFonts w:ascii="Times New Roman" w:hAnsi="Times New Roman" w:eastAsia="Times New Roman" w:cs="Times New Roman"/>
        <w:b/>
        <w:bCs/>
        <w:spacing w:val="-4"/>
        <w:w w:val="92"/>
        <w:sz w:val="14"/>
        <w:szCs w:val="14"/>
      </w:rPr>
      <w:t>—18—</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5" w:lineRule="auto"/>
      <w:ind w:left="4341"/>
      <w:rPr>
        <w:rFonts w:ascii="宋体" w:hAnsi="宋体" w:eastAsia="宋体" w:cs="宋体"/>
        <w:sz w:val="23"/>
        <w:szCs w:val="23"/>
      </w:rPr>
    </w:pPr>
    <w:r>
      <w:rPr>
        <w:sz w:val="23"/>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17" name="文本框 1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0"/>
                          </w:pPr>
                          <w:r>
                            <w:fldChar w:fldCharType="begin"/>
                          </w:r>
                          <w:r>
                            <w:instrText xml:space="preserve"> PAGE  \* MERGEFORMAT </w:instrText>
                          </w:r>
                          <w:r>
                            <w:fldChar w:fldCharType="separate"/>
                          </w:r>
                          <w:r>
                            <w:t>17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v4zTQ0AgAAZQ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">
              <v:fill on="f" focussize="0,0"/>
              <v:stroke on="f" weight="0.5pt"/>
              <v:imagedata o:title=""/>
              <o:lock v:ext="edit" aspectratio="f"/>
              <v:textbox inset="0mm,0mm,0mm,0mm" style="mso-fit-shape-to-text:t;">
                <w:txbxContent>
                  <w:p>
                    <w:pPr>
                      <w:pStyle w:val="10"/>
                    </w:pPr>
                    <w:r>
                      <w:fldChar w:fldCharType="begin"/>
                    </w:r>
                    <w:r>
                      <w:instrText xml:space="preserve"> PAGE  \* MERGEFORMAT </w:instrText>
                    </w:r>
                    <w:r>
                      <w:fldChar w:fldCharType="separate"/>
                    </w:r>
                    <w:r>
                      <w:t>17</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AD5B69"/>
    <w:multiLevelType w:val="singleLevel"/>
    <w:tmpl w:val="B4AD5B69"/>
    <w:lvl w:ilvl="0" w:tentative="0">
      <w:start w:val="1"/>
      <w:numFmt w:val="decimal"/>
      <w:lvlText w:val="%1."/>
      <w:lvlJc w:val="left"/>
      <w:pPr>
        <w:tabs>
          <w:tab w:val="left" w:pos="312"/>
        </w:tabs>
      </w:pPr>
    </w:lvl>
  </w:abstractNum>
  <w:abstractNum w:abstractNumId="1">
    <w:nsid w:val="C63A7889"/>
    <w:multiLevelType w:val="singleLevel"/>
    <w:tmpl w:val="C63A7889"/>
    <w:lvl w:ilvl="0" w:tentative="0">
      <w:start w:val="14"/>
      <w:numFmt w:val="chineseCounting"/>
      <w:suff w:val="nothing"/>
      <w:lvlText w:val="%1、"/>
      <w:lvlJc w:val="left"/>
      <w:rPr>
        <w:rFonts w:hint="eastAsia"/>
      </w:rPr>
    </w:lvl>
  </w:abstractNum>
  <w:abstractNum w:abstractNumId="2">
    <w:nsid w:val="CE89470D"/>
    <w:multiLevelType w:val="singleLevel"/>
    <w:tmpl w:val="CE89470D"/>
    <w:lvl w:ilvl="0" w:tentative="0">
      <w:start w:val="1"/>
      <w:numFmt w:val="decimal"/>
      <w:lvlText w:val="%1."/>
      <w:lvlJc w:val="left"/>
      <w:pPr>
        <w:tabs>
          <w:tab w:val="left" w:pos="312"/>
        </w:tabs>
      </w:pPr>
    </w:lvl>
  </w:abstractNum>
  <w:abstractNum w:abstractNumId="3">
    <w:nsid w:val="042B1F01"/>
    <w:multiLevelType w:val="multilevel"/>
    <w:tmpl w:val="042B1F01"/>
    <w:lvl w:ilvl="0" w:tentative="0">
      <w:start w:val="1"/>
      <w:numFmt w:val="decimal"/>
      <w:lvlText w:val="%1."/>
      <w:lvlJc w:val="left"/>
      <w:pPr>
        <w:ind w:left="1060" w:hanging="420"/>
      </w:pPr>
      <w:rPr>
        <w:rFonts w:hint="eastAsia"/>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4">
    <w:nsid w:val="0AF05D0D"/>
    <w:multiLevelType w:val="multilevel"/>
    <w:tmpl w:val="0AF05D0D"/>
    <w:lvl w:ilvl="0" w:tentative="0">
      <w:start w:val="1"/>
      <w:numFmt w:val="decimal"/>
      <w:lvlText w:val="%1."/>
      <w:lvlJc w:val="left"/>
      <w:pPr>
        <w:ind w:left="1060" w:hanging="420"/>
      </w:pPr>
      <w:rPr>
        <w:rFonts w:hint="default"/>
      </w:rPr>
    </w:lvl>
    <w:lvl w:ilvl="1" w:tentative="0">
      <w:start w:val="1"/>
      <w:numFmt w:val="decimal"/>
      <w:lvlText w:val="%2."/>
      <w:lvlJc w:val="left"/>
      <w:pPr>
        <w:ind w:left="1480" w:hanging="42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5">
    <w:nsid w:val="0CD75325"/>
    <w:multiLevelType w:val="multilevel"/>
    <w:tmpl w:val="0CD75325"/>
    <w:lvl w:ilvl="0" w:tentative="0">
      <w:start w:val="1"/>
      <w:numFmt w:val="decimal"/>
      <w:lvlText w:val="(%1)"/>
      <w:lvlJc w:val="left"/>
      <w:pPr>
        <w:ind w:left="420" w:hanging="420"/>
      </w:pPr>
      <w:rPr>
        <w:rFonts w:hint="eastAsia"/>
        <w:snapToGrid w:val="0"/>
        <w:ker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6">
    <w:nsid w:val="0D1D43EE"/>
    <w:multiLevelType w:val="multilevel"/>
    <w:tmpl w:val="0D1D43EE"/>
    <w:lvl w:ilvl="0" w:tentative="0">
      <w:start w:val="1"/>
      <w:numFmt w:val="decimalEnclosedCircle"/>
      <w:lvlText w:val="%1"/>
      <w:lvlJc w:val="left"/>
      <w:pPr>
        <w:ind w:left="1060" w:hanging="420"/>
      </w:pPr>
      <w:rPr>
        <w:rFonts w:hint="default"/>
      </w:rPr>
    </w:lvl>
    <w:lvl w:ilvl="1" w:tentative="0">
      <w:start w:val="1"/>
      <w:numFmt w:val="decimalEnclosedCircle"/>
      <w:lvlText w:val="%2"/>
      <w:lvlJc w:val="left"/>
      <w:pPr>
        <w:ind w:left="1413" w:hanging="42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7">
    <w:nsid w:val="0F530C1E"/>
    <w:multiLevelType w:val="multilevel"/>
    <w:tmpl w:val="0F530C1E"/>
    <w:lvl w:ilvl="0" w:tentative="0">
      <w:start w:val="1"/>
      <w:numFmt w:val="decimal"/>
      <w:lvlText w:val="（%1）"/>
      <w:lvlJc w:val="left"/>
      <w:pPr>
        <w:ind w:left="1060" w:hanging="420"/>
      </w:pPr>
      <w:rPr>
        <w:rFonts w:hint="eastAsia" w:eastAsia="仿宋"/>
        <w:b w:val="0"/>
        <w:i w:val="0"/>
        <w:sz w:val="32"/>
      </w:rPr>
    </w:lvl>
    <w:lvl w:ilvl="1" w:tentative="0">
      <w:start w:val="1"/>
      <w:numFmt w:val="decimal"/>
      <w:lvlText w:val="（%2）"/>
      <w:lvlJc w:val="left"/>
      <w:pPr>
        <w:ind w:left="1480" w:hanging="420"/>
      </w:pPr>
      <w:rPr>
        <w:rFonts w:hint="eastAsia" w:eastAsia="仿宋"/>
        <w:b w:val="0"/>
        <w:i w:val="0"/>
        <w:sz w:val="21"/>
        <w:szCs w:val="21"/>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8">
    <w:nsid w:val="112450FD"/>
    <w:multiLevelType w:val="multilevel"/>
    <w:tmpl w:val="112450FD"/>
    <w:lvl w:ilvl="0" w:tentative="0">
      <w:start w:val="1"/>
      <w:numFmt w:val="chineseCountingThousand"/>
      <w:lvlText w:val="（%1） "/>
      <w:lvlJc w:val="left"/>
      <w:pPr>
        <w:ind w:left="1060" w:hanging="420"/>
      </w:pPr>
      <w:rPr>
        <w:rFonts w:hint="eastAsia" w:eastAsia="仿宋"/>
        <w:sz w:val="32"/>
      </w:rPr>
    </w:lvl>
    <w:lvl w:ilvl="1" w:tentative="0">
      <w:start w:val="1"/>
      <w:numFmt w:val="chineseCountingThousand"/>
      <w:lvlText w:val="（%2） "/>
      <w:lvlJc w:val="left"/>
      <w:pPr>
        <w:ind w:left="3785" w:hanging="420"/>
      </w:pPr>
      <w:rPr>
        <w:rFonts w:hint="eastAsia" w:eastAsia="仿宋"/>
        <w:sz w:val="21"/>
        <w:szCs w:val="21"/>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9">
    <w:nsid w:val="11576A0A"/>
    <w:multiLevelType w:val="multilevel"/>
    <w:tmpl w:val="11576A0A"/>
    <w:lvl w:ilvl="0" w:tentative="0">
      <w:start w:val="1"/>
      <w:numFmt w:val="decimalEnclosedCircle"/>
      <w:lvlText w:val="%1"/>
      <w:lvlJc w:val="left"/>
      <w:pPr>
        <w:ind w:left="1060" w:hanging="420"/>
      </w:pPr>
      <w:rPr>
        <w:rFonts w:hint="default"/>
      </w:rPr>
    </w:lvl>
    <w:lvl w:ilvl="1" w:tentative="0">
      <w:start w:val="1"/>
      <w:numFmt w:val="decimalEnclosedCircle"/>
      <w:lvlText w:val="%2"/>
      <w:lvlJc w:val="left"/>
      <w:pPr>
        <w:ind w:left="1480" w:hanging="42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0">
    <w:nsid w:val="16C539E6"/>
    <w:multiLevelType w:val="multilevel"/>
    <w:tmpl w:val="16C539E6"/>
    <w:lvl w:ilvl="0" w:tentative="0">
      <w:start w:val="1"/>
      <w:numFmt w:val="decimal"/>
      <w:lvlText w:val="%1."/>
      <w:lvlJc w:val="left"/>
      <w:pPr>
        <w:ind w:left="106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1">
    <w:nsid w:val="1AF56E18"/>
    <w:multiLevelType w:val="multilevel"/>
    <w:tmpl w:val="1AF56E18"/>
    <w:lvl w:ilvl="0" w:tentative="0">
      <w:start w:val="1"/>
      <w:numFmt w:val="decimal"/>
      <w:lvlText w:val="（%1）"/>
      <w:lvlJc w:val="left"/>
      <w:pPr>
        <w:ind w:left="1060" w:hanging="420"/>
      </w:pPr>
      <w:rPr>
        <w:rFonts w:hint="eastAsia" w:eastAsia="仿宋"/>
        <w:b w:val="0"/>
        <w:i w:val="0"/>
        <w:sz w:val="32"/>
      </w:rPr>
    </w:lvl>
    <w:lvl w:ilvl="1" w:tentative="0">
      <w:start w:val="1"/>
      <w:numFmt w:val="decimal"/>
      <w:lvlText w:val="（%2）"/>
      <w:lvlJc w:val="left"/>
      <w:pPr>
        <w:ind w:left="1480" w:hanging="420"/>
      </w:pPr>
      <w:rPr>
        <w:rFonts w:hint="eastAsia" w:eastAsia="仿宋"/>
        <w:b w:val="0"/>
        <w:i w:val="0"/>
        <w:sz w:val="21"/>
        <w:szCs w:val="21"/>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2">
    <w:nsid w:val="1BE01AD0"/>
    <w:multiLevelType w:val="multilevel"/>
    <w:tmpl w:val="1BE01AD0"/>
    <w:lvl w:ilvl="0" w:tentative="0">
      <w:start w:val="1"/>
      <w:numFmt w:val="decimal"/>
      <w:lvlText w:val="（%1）"/>
      <w:lvlJc w:val="left"/>
      <w:pPr>
        <w:ind w:left="420" w:hanging="420"/>
      </w:pPr>
      <w:rPr>
        <w:rFonts w:hint="eastAsia" w:eastAsia="仿宋"/>
        <w:b w:val="0"/>
        <w:i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3">
    <w:nsid w:val="1FBF16A8"/>
    <w:multiLevelType w:val="multilevel"/>
    <w:tmpl w:val="1FBF16A8"/>
    <w:lvl w:ilvl="0" w:tentative="0">
      <w:start w:val="1"/>
      <w:numFmt w:val="japaneseCounting"/>
      <w:lvlText w:val="%1、"/>
      <w:lvlJc w:val="left"/>
      <w:pPr>
        <w:ind w:left="720" w:hanging="720"/>
      </w:pPr>
      <w:rPr>
        <w:rFonts w:hint="default"/>
        <w:b w:val="0"/>
        <w:sz w:val="24"/>
        <w:szCs w:val="24"/>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4">
    <w:nsid w:val="1FF37087"/>
    <w:multiLevelType w:val="multilevel"/>
    <w:tmpl w:val="1FF37087"/>
    <w:lvl w:ilvl="0" w:tentative="0">
      <w:start w:val="1"/>
      <w:numFmt w:val="decimal"/>
      <w:lvlText w:val="%1."/>
      <w:lvlJc w:val="left"/>
      <w:pPr>
        <w:ind w:left="420" w:hanging="420"/>
      </w:pPr>
      <w:rPr>
        <w:rFonts w:hint="eastAsia"/>
      </w:rPr>
    </w:lvl>
    <w:lvl w:ilvl="1" w:tentative="0">
      <w:start w:val="1"/>
      <w:numFmt w:val="decimal"/>
      <w:lvlText w:val="%2."/>
      <w:lvlJc w:val="left"/>
      <w:pPr>
        <w:ind w:left="840" w:hanging="420"/>
      </w:pPr>
      <w:rPr>
        <w:rFonts w:hint="eastAsia" w:ascii="仿宋" w:hAnsi="仿宋" w:eastAsia="仿宋"/>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5">
    <w:nsid w:val="284F1599"/>
    <w:multiLevelType w:val="multilevel"/>
    <w:tmpl w:val="284F1599"/>
    <w:lvl w:ilvl="0" w:tentative="0">
      <w:start w:val="1"/>
      <w:numFmt w:val="decimal"/>
      <w:lvlText w:val="%1."/>
      <w:lvlJc w:val="left"/>
      <w:pPr>
        <w:ind w:left="1060" w:hanging="420"/>
      </w:pPr>
      <w:rPr>
        <w:rFonts w:hint="default"/>
        <w:b w:val="0"/>
        <w:i w:val="0"/>
        <w:sz w:val="32"/>
      </w:rPr>
    </w:lvl>
    <w:lvl w:ilvl="1" w:tentative="0">
      <w:start w:val="1"/>
      <w:numFmt w:val="decimal"/>
      <w:lvlText w:val="%2."/>
      <w:lvlJc w:val="left"/>
      <w:pPr>
        <w:ind w:left="1420" w:hanging="36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16">
    <w:nsid w:val="376B4C1F"/>
    <w:multiLevelType w:val="multilevel"/>
    <w:tmpl w:val="376B4C1F"/>
    <w:lvl w:ilvl="0" w:tentative="0">
      <w:start w:val="1"/>
      <w:numFmt w:val="decimal"/>
      <w:lvlText w:val="(%1)"/>
      <w:lvlJc w:val="left"/>
      <w:pPr>
        <w:ind w:left="420" w:hanging="420"/>
      </w:pPr>
      <w:rPr>
        <w:rFonts w:hint="eastAsia"/>
        <w:snapToGrid w:val="0"/>
        <w:ker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7">
    <w:nsid w:val="3E7854EB"/>
    <w:multiLevelType w:val="multilevel"/>
    <w:tmpl w:val="3E7854EB"/>
    <w:lvl w:ilvl="0" w:tentative="0">
      <w:start w:val="1"/>
      <w:numFmt w:val="decimal"/>
      <w:lvlText w:val="(%1)"/>
      <w:lvlJc w:val="left"/>
      <w:pPr>
        <w:ind w:left="420" w:hanging="420"/>
      </w:pPr>
      <w:rPr>
        <w:rFonts w:hint="eastAsia"/>
        <w:snapToGrid w:val="0"/>
        <w:ker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8">
    <w:nsid w:val="3EDE1AE9"/>
    <w:multiLevelType w:val="multilevel"/>
    <w:tmpl w:val="3EDE1AE9"/>
    <w:lvl w:ilvl="0" w:tentative="0">
      <w:start w:val="1"/>
      <w:numFmt w:val="decimal"/>
      <w:lvlText w:val="(%1)"/>
      <w:lvlJc w:val="left"/>
      <w:pPr>
        <w:ind w:left="420" w:hanging="420"/>
      </w:pPr>
      <w:rPr>
        <w:rFonts w:hint="eastAsia"/>
        <w:snapToGrid w:val="0"/>
        <w:ker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9">
    <w:nsid w:val="46282E3D"/>
    <w:multiLevelType w:val="multilevel"/>
    <w:tmpl w:val="46282E3D"/>
    <w:lvl w:ilvl="0" w:tentative="0">
      <w:start w:val="1"/>
      <w:numFmt w:val="decimal"/>
      <w:lvlText w:val="(%1)"/>
      <w:lvlJc w:val="left"/>
      <w:pPr>
        <w:tabs>
          <w:tab w:val="left" w:pos="360"/>
        </w:tabs>
        <w:ind w:left="360" w:hanging="360"/>
      </w:pPr>
      <w:rPr>
        <w:rFonts w:hint="eastAsia"/>
        <w:snapToGrid w:val="0"/>
        <w:kern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0">
    <w:nsid w:val="495E5AC1"/>
    <w:multiLevelType w:val="multilevel"/>
    <w:tmpl w:val="495E5AC1"/>
    <w:lvl w:ilvl="0" w:tentative="0">
      <w:start w:val="1"/>
      <w:numFmt w:val="decimal"/>
      <w:lvlText w:val="（%1）"/>
      <w:lvlJc w:val="left"/>
      <w:pPr>
        <w:ind w:left="1060" w:hanging="420"/>
      </w:pPr>
      <w:rPr>
        <w:rFonts w:hint="eastAsia" w:eastAsia="仿宋"/>
        <w:b w:val="0"/>
        <w:i w:val="0"/>
        <w:sz w:val="21"/>
        <w:szCs w:val="21"/>
        <w:lang w:val="en-US"/>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1">
    <w:nsid w:val="4ACF25D1"/>
    <w:multiLevelType w:val="multilevel"/>
    <w:tmpl w:val="4ACF25D1"/>
    <w:lvl w:ilvl="0" w:tentative="0">
      <w:start w:val="1"/>
      <w:numFmt w:val="decimal"/>
      <w:lvlText w:val="（%1）"/>
      <w:lvlJc w:val="left"/>
      <w:pPr>
        <w:ind w:left="420" w:hanging="420"/>
      </w:pPr>
      <w:rPr>
        <w:rFonts w:hint="eastAsia" w:eastAsia="仿宋"/>
        <w:b w:val="0"/>
        <w:i w:val="0"/>
        <w:sz w:val="32"/>
      </w:rPr>
    </w:lvl>
    <w:lvl w:ilvl="1" w:tentative="0">
      <w:start w:val="1"/>
      <w:numFmt w:val="decimal"/>
      <w:lvlText w:val="（%2）"/>
      <w:lvlJc w:val="left"/>
      <w:pPr>
        <w:ind w:left="840" w:hanging="420"/>
      </w:pPr>
      <w:rPr>
        <w:rFonts w:hint="eastAsia" w:eastAsia="仿宋"/>
        <w:b w:val="0"/>
        <w:i w:val="0"/>
        <w:sz w:val="24"/>
        <w:szCs w:val="24"/>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2">
    <w:nsid w:val="4DA32B20"/>
    <w:multiLevelType w:val="singleLevel"/>
    <w:tmpl w:val="4DA32B20"/>
    <w:lvl w:ilvl="0" w:tentative="0">
      <w:start w:val="11"/>
      <w:numFmt w:val="chineseCounting"/>
      <w:suff w:val="nothing"/>
      <w:lvlText w:val="%1、"/>
      <w:lvlJc w:val="left"/>
      <w:rPr>
        <w:rFonts w:hint="eastAsia"/>
      </w:rPr>
    </w:lvl>
  </w:abstractNum>
  <w:abstractNum w:abstractNumId="23">
    <w:nsid w:val="4E2475D0"/>
    <w:multiLevelType w:val="multilevel"/>
    <w:tmpl w:val="4E2475D0"/>
    <w:lvl w:ilvl="0" w:tentative="0">
      <w:start w:val="1"/>
      <w:numFmt w:val="decimal"/>
      <w:lvlText w:val="%1."/>
      <w:lvlJc w:val="left"/>
      <w:pPr>
        <w:ind w:left="106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4">
    <w:nsid w:val="4EAB2D7B"/>
    <w:multiLevelType w:val="multilevel"/>
    <w:tmpl w:val="4EAB2D7B"/>
    <w:lvl w:ilvl="0" w:tentative="0">
      <w:start w:val="1"/>
      <w:numFmt w:val="decimal"/>
      <w:lvlText w:val="(%1)"/>
      <w:lvlJc w:val="left"/>
      <w:pPr>
        <w:tabs>
          <w:tab w:val="left" w:pos="360"/>
        </w:tabs>
        <w:ind w:left="360" w:hanging="360"/>
      </w:pPr>
      <w:rPr>
        <w:rFonts w:hint="eastAsia"/>
        <w:snapToGrid w:val="0"/>
        <w:kern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25">
    <w:nsid w:val="52415DDC"/>
    <w:multiLevelType w:val="multilevel"/>
    <w:tmpl w:val="52415DDC"/>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57A5168B"/>
    <w:multiLevelType w:val="multilevel"/>
    <w:tmpl w:val="57A5168B"/>
    <w:lvl w:ilvl="0" w:tentative="0">
      <w:start w:val="1"/>
      <w:numFmt w:val="chineseCountingThousand"/>
      <w:lvlText w:val="（%1）"/>
      <w:lvlJc w:val="left"/>
      <w:pPr>
        <w:ind w:left="420" w:hanging="420"/>
      </w:pPr>
      <w:rPr>
        <w:rFonts w:hint="eastAsia" w:eastAsia="仿宋"/>
        <w:sz w:val="32"/>
      </w:rPr>
    </w:lvl>
    <w:lvl w:ilvl="1" w:tentative="0">
      <w:start w:val="1"/>
      <w:numFmt w:val="chineseCountingThousand"/>
      <w:lvlText w:val="（%2）"/>
      <w:lvlJc w:val="left"/>
      <w:pPr>
        <w:ind w:left="763" w:hanging="420"/>
      </w:pPr>
      <w:rPr>
        <w:rFonts w:hint="eastAsia" w:eastAsia="仿宋"/>
        <w:sz w:val="24"/>
        <w:szCs w:val="24"/>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7">
    <w:nsid w:val="5C173825"/>
    <w:multiLevelType w:val="multilevel"/>
    <w:tmpl w:val="5C173825"/>
    <w:lvl w:ilvl="0" w:tentative="0">
      <w:start w:val="1"/>
      <w:numFmt w:val="decimalEnclosedCircle"/>
      <w:lvlText w:val="%1"/>
      <w:lvlJc w:val="left"/>
      <w:pPr>
        <w:ind w:left="1060" w:hanging="420"/>
      </w:pPr>
      <w:rPr>
        <w:rFonts w:hint="default"/>
      </w:rPr>
    </w:lvl>
    <w:lvl w:ilvl="1" w:tentative="0">
      <w:start w:val="1"/>
      <w:numFmt w:val="decimalEnclosedCircle"/>
      <w:lvlText w:val="%2"/>
      <w:lvlJc w:val="left"/>
      <w:pPr>
        <w:ind w:left="1413" w:hanging="420"/>
      </w:pPr>
      <w:rPr>
        <w:rFonts w:hint="default"/>
      </w:r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8">
    <w:nsid w:val="5DC34C42"/>
    <w:multiLevelType w:val="multilevel"/>
    <w:tmpl w:val="5DC34C42"/>
    <w:lvl w:ilvl="0" w:tentative="0">
      <w:start w:val="1"/>
      <w:numFmt w:val="decimal"/>
      <w:lvlText w:val="%1."/>
      <w:lvlJc w:val="left"/>
      <w:pPr>
        <w:ind w:left="106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29">
    <w:nsid w:val="5F66219E"/>
    <w:multiLevelType w:val="multilevel"/>
    <w:tmpl w:val="5F66219E"/>
    <w:lvl w:ilvl="0" w:tentative="0">
      <w:start w:val="1"/>
      <w:numFmt w:val="decimal"/>
      <w:lvlText w:val="%1."/>
      <w:lvlJc w:val="left"/>
      <w:pPr>
        <w:ind w:left="1060" w:hanging="420"/>
      </w:pPr>
      <w:rPr>
        <w:rFonts w:hint="default"/>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0">
    <w:nsid w:val="62645DD7"/>
    <w:multiLevelType w:val="singleLevel"/>
    <w:tmpl w:val="62645DD7"/>
    <w:lvl w:ilvl="0" w:tentative="0">
      <w:start w:val="1"/>
      <w:numFmt w:val="chineseCounting"/>
      <w:lvlText w:val="(%1)"/>
      <w:lvlJc w:val="left"/>
      <w:pPr>
        <w:tabs>
          <w:tab w:val="left" w:pos="312"/>
        </w:tabs>
      </w:pPr>
      <w:rPr>
        <w:rFonts w:hint="eastAsia"/>
      </w:rPr>
    </w:lvl>
  </w:abstractNum>
  <w:abstractNum w:abstractNumId="31">
    <w:nsid w:val="68541E44"/>
    <w:multiLevelType w:val="multilevel"/>
    <w:tmpl w:val="68541E44"/>
    <w:lvl w:ilvl="0" w:tentative="0">
      <w:start w:val="1"/>
      <w:numFmt w:val="decimal"/>
      <w:lvlText w:val="%1."/>
      <w:lvlJc w:val="left"/>
      <w:pPr>
        <w:ind w:left="1060" w:hanging="4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2">
    <w:nsid w:val="692D2254"/>
    <w:multiLevelType w:val="multilevel"/>
    <w:tmpl w:val="692D2254"/>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3">
    <w:nsid w:val="6A120D48"/>
    <w:multiLevelType w:val="multilevel"/>
    <w:tmpl w:val="6A120D48"/>
    <w:lvl w:ilvl="0" w:tentative="0">
      <w:start w:val="1"/>
      <w:numFmt w:val="decimal"/>
      <w:lvlText w:val="(%1)"/>
      <w:lvlJc w:val="left"/>
      <w:pPr>
        <w:ind w:left="420" w:hanging="420"/>
      </w:pPr>
      <w:rPr>
        <w:rFonts w:hint="eastAsia"/>
        <w:snapToGrid w:val="0"/>
        <w:ker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4">
    <w:nsid w:val="6A7D5D94"/>
    <w:multiLevelType w:val="singleLevel"/>
    <w:tmpl w:val="6A7D5D94"/>
    <w:lvl w:ilvl="0" w:tentative="0">
      <w:start w:val="8"/>
      <w:numFmt w:val="chineseCounting"/>
      <w:suff w:val="nothing"/>
      <w:lvlText w:val="%1、"/>
      <w:lvlJc w:val="left"/>
      <w:rPr>
        <w:rFonts w:hint="eastAsia"/>
      </w:rPr>
    </w:lvl>
  </w:abstractNum>
  <w:abstractNum w:abstractNumId="35">
    <w:nsid w:val="6DA47C20"/>
    <w:multiLevelType w:val="multilevel"/>
    <w:tmpl w:val="6DA47C20"/>
    <w:lvl w:ilvl="0" w:tentative="0">
      <w:start w:val="1"/>
      <w:numFmt w:val="decimal"/>
      <w:lvlText w:val="(%1)"/>
      <w:lvlJc w:val="left"/>
      <w:pPr>
        <w:ind w:left="420" w:hanging="420"/>
      </w:pPr>
      <w:rPr>
        <w:rFonts w:hint="eastAsia"/>
        <w:snapToGrid w:val="0"/>
        <w:kern w:val="0"/>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6">
    <w:nsid w:val="6FF673D0"/>
    <w:multiLevelType w:val="multilevel"/>
    <w:tmpl w:val="6FF673D0"/>
    <w:lvl w:ilvl="0" w:tentative="0">
      <w:start w:val="1"/>
      <w:numFmt w:val="decimal"/>
      <w:lvlText w:val="(%1)"/>
      <w:lvlJc w:val="left"/>
      <w:pPr>
        <w:tabs>
          <w:tab w:val="left" w:pos="360"/>
        </w:tabs>
        <w:ind w:left="360" w:hanging="360"/>
      </w:pPr>
      <w:rPr>
        <w:rFonts w:hint="eastAsia"/>
        <w:snapToGrid w:val="0"/>
        <w:kern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37">
    <w:nsid w:val="7375189C"/>
    <w:multiLevelType w:val="multilevel"/>
    <w:tmpl w:val="7375189C"/>
    <w:lvl w:ilvl="0" w:tentative="0">
      <w:start w:val="1"/>
      <w:numFmt w:val="decimal"/>
      <w:lvlText w:val="（%1）"/>
      <w:lvlJc w:val="left"/>
      <w:pPr>
        <w:ind w:left="1060" w:hanging="420"/>
      </w:pPr>
      <w:rPr>
        <w:rFonts w:hint="eastAsia" w:eastAsia="仿宋"/>
        <w:b w:val="0"/>
        <w:i w:val="0"/>
        <w:sz w:val="21"/>
        <w:szCs w:val="21"/>
      </w:rPr>
    </w:lvl>
    <w:lvl w:ilvl="1" w:tentative="0">
      <w:start w:val="1"/>
      <w:numFmt w:val="lowerLetter"/>
      <w:lvlText w:val="%2)"/>
      <w:lvlJc w:val="left"/>
      <w:pPr>
        <w:ind w:left="1480" w:hanging="420"/>
      </w:pPr>
    </w:lvl>
    <w:lvl w:ilvl="2" w:tentative="0">
      <w:start w:val="1"/>
      <w:numFmt w:val="lowerRoman"/>
      <w:lvlText w:val="%3."/>
      <w:lvlJc w:val="right"/>
      <w:pPr>
        <w:ind w:left="1900" w:hanging="420"/>
      </w:pPr>
    </w:lvl>
    <w:lvl w:ilvl="3" w:tentative="0">
      <w:start w:val="1"/>
      <w:numFmt w:val="decimal"/>
      <w:lvlText w:val="%4."/>
      <w:lvlJc w:val="left"/>
      <w:pPr>
        <w:ind w:left="2320" w:hanging="420"/>
      </w:pPr>
    </w:lvl>
    <w:lvl w:ilvl="4" w:tentative="0">
      <w:start w:val="1"/>
      <w:numFmt w:val="lowerLetter"/>
      <w:lvlText w:val="%5)"/>
      <w:lvlJc w:val="left"/>
      <w:pPr>
        <w:ind w:left="2740" w:hanging="420"/>
      </w:pPr>
    </w:lvl>
    <w:lvl w:ilvl="5" w:tentative="0">
      <w:start w:val="1"/>
      <w:numFmt w:val="lowerRoman"/>
      <w:lvlText w:val="%6."/>
      <w:lvlJc w:val="right"/>
      <w:pPr>
        <w:ind w:left="3160" w:hanging="420"/>
      </w:pPr>
    </w:lvl>
    <w:lvl w:ilvl="6" w:tentative="0">
      <w:start w:val="1"/>
      <w:numFmt w:val="decimal"/>
      <w:lvlText w:val="%7."/>
      <w:lvlJc w:val="left"/>
      <w:pPr>
        <w:ind w:left="3580" w:hanging="420"/>
      </w:pPr>
    </w:lvl>
    <w:lvl w:ilvl="7" w:tentative="0">
      <w:start w:val="1"/>
      <w:numFmt w:val="lowerLetter"/>
      <w:lvlText w:val="%8)"/>
      <w:lvlJc w:val="left"/>
      <w:pPr>
        <w:ind w:left="4000" w:hanging="420"/>
      </w:pPr>
    </w:lvl>
    <w:lvl w:ilvl="8" w:tentative="0">
      <w:start w:val="1"/>
      <w:numFmt w:val="lowerRoman"/>
      <w:lvlText w:val="%9."/>
      <w:lvlJc w:val="right"/>
      <w:pPr>
        <w:ind w:left="4420" w:hanging="420"/>
      </w:pPr>
    </w:lvl>
  </w:abstractNum>
  <w:abstractNum w:abstractNumId="38">
    <w:nsid w:val="7BFF44D8"/>
    <w:multiLevelType w:val="multilevel"/>
    <w:tmpl w:val="7BFF44D8"/>
    <w:lvl w:ilvl="0" w:tentative="0">
      <w:start w:val="1"/>
      <w:numFmt w:val="chineseCountingThousand"/>
      <w:lvlText w:val="（%1）"/>
      <w:lvlJc w:val="left"/>
      <w:pPr>
        <w:ind w:left="420" w:hanging="420"/>
      </w:pPr>
      <w:rPr>
        <w:rFonts w:hint="eastAsia" w:eastAsia="仿宋"/>
        <w:sz w:val="32"/>
      </w:rPr>
    </w:lvl>
    <w:lvl w:ilvl="1" w:tentative="0">
      <w:start w:val="1"/>
      <w:numFmt w:val="chineseCountingThousand"/>
      <w:lvlText w:val="（%2）"/>
      <w:lvlJc w:val="left"/>
      <w:pPr>
        <w:ind w:left="900" w:hanging="420"/>
      </w:pPr>
      <w:rPr>
        <w:rFonts w:hint="eastAsia" w:eastAsia="仿宋"/>
        <w:sz w:val="24"/>
        <w:szCs w:val="24"/>
      </w:r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9">
    <w:nsid w:val="7DE631A9"/>
    <w:multiLevelType w:val="multilevel"/>
    <w:tmpl w:val="7DE631A9"/>
    <w:lvl w:ilvl="0" w:tentative="0">
      <w:start w:val="1"/>
      <w:numFmt w:val="decimal"/>
      <w:lvlText w:val="(%1)"/>
      <w:lvlJc w:val="left"/>
      <w:pPr>
        <w:tabs>
          <w:tab w:val="left" w:pos="360"/>
        </w:tabs>
        <w:ind w:left="360" w:hanging="360"/>
      </w:pPr>
      <w:rPr>
        <w:rFonts w:hint="eastAsia"/>
        <w:snapToGrid w:val="0"/>
        <w:kern w:val="0"/>
      </w:rPr>
    </w:lvl>
    <w:lvl w:ilvl="1" w:tentative="0">
      <w:start w:val="1"/>
      <w:numFmt w:val="lowerLetter"/>
      <w:lvlText w:val="%2)"/>
      <w:lvlJc w:val="left"/>
      <w:pPr>
        <w:tabs>
          <w:tab w:val="left" w:pos="840"/>
        </w:tabs>
        <w:ind w:left="840" w:hanging="420"/>
      </w:pPr>
      <w:rPr>
        <w:rFonts w:hint="default" w:ascii="Times New Roman" w:hAnsi="Times New Roman" w:cs="Times New Roman"/>
      </w:rPr>
    </w:lvl>
    <w:lvl w:ilvl="2" w:tentative="0">
      <w:start w:val="1"/>
      <w:numFmt w:val="lowerRoman"/>
      <w:lvlText w:val="%3."/>
      <w:lvlJc w:val="right"/>
      <w:pPr>
        <w:tabs>
          <w:tab w:val="left" w:pos="1260"/>
        </w:tabs>
        <w:ind w:left="1260" w:hanging="420"/>
      </w:pPr>
      <w:rPr>
        <w:rFonts w:hint="default" w:ascii="Times New Roman" w:hAnsi="Times New Roman" w:cs="Times New Roman"/>
      </w:rPr>
    </w:lvl>
    <w:lvl w:ilvl="3" w:tentative="0">
      <w:start w:val="1"/>
      <w:numFmt w:val="decimal"/>
      <w:lvlText w:val="%4."/>
      <w:lvlJc w:val="left"/>
      <w:pPr>
        <w:tabs>
          <w:tab w:val="left" w:pos="1680"/>
        </w:tabs>
        <w:ind w:left="1680" w:hanging="420"/>
      </w:pPr>
      <w:rPr>
        <w:rFonts w:hint="default" w:ascii="Times New Roman" w:hAnsi="Times New Roman" w:cs="Times New Roman"/>
      </w:rPr>
    </w:lvl>
    <w:lvl w:ilvl="4" w:tentative="0">
      <w:start w:val="1"/>
      <w:numFmt w:val="lowerLetter"/>
      <w:lvlText w:val="%5)"/>
      <w:lvlJc w:val="left"/>
      <w:pPr>
        <w:tabs>
          <w:tab w:val="left" w:pos="2100"/>
        </w:tabs>
        <w:ind w:left="2100" w:hanging="420"/>
      </w:pPr>
      <w:rPr>
        <w:rFonts w:hint="default" w:ascii="Times New Roman" w:hAnsi="Times New Roman" w:cs="Times New Roman"/>
      </w:rPr>
    </w:lvl>
    <w:lvl w:ilvl="5" w:tentative="0">
      <w:start w:val="1"/>
      <w:numFmt w:val="lowerRoman"/>
      <w:lvlText w:val="%6."/>
      <w:lvlJc w:val="right"/>
      <w:pPr>
        <w:tabs>
          <w:tab w:val="left" w:pos="2520"/>
        </w:tabs>
        <w:ind w:left="2520" w:hanging="420"/>
      </w:pPr>
      <w:rPr>
        <w:rFonts w:hint="default" w:ascii="Times New Roman" w:hAnsi="Times New Roman" w:cs="Times New Roman"/>
      </w:rPr>
    </w:lvl>
    <w:lvl w:ilvl="6" w:tentative="0">
      <w:start w:val="1"/>
      <w:numFmt w:val="decimal"/>
      <w:lvlText w:val="%7."/>
      <w:lvlJc w:val="left"/>
      <w:pPr>
        <w:tabs>
          <w:tab w:val="left" w:pos="2940"/>
        </w:tabs>
        <w:ind w:left="2940" w:hanging="420"/>
      </w:pPr>
      <w:rPr>
        <w:rFonts w:hint="default" w:ascii="Times New Roman" w:hAnsi="Times New Roman" w:cs="Times New Roman"/>
      </w:rPr>
    </w:lvl>
    <w:lvl w:ilvl="7" w:tentative="0">
      <w:start w:val="1"/>
      <w:numFmt w:val="lowerLetter"/>
      <w:lvlText w:val="%8)"/>
      <w:lvlJc w:val="left"/>
      <w:pPr>
        <w:tabs>
          <w:tab w:val="left" w:pos="3360"/>
        </w:tabs>
        <w:ind w:left="3360" w:hanging="420"/>
      </w:pPr>
      <w:rPr>
        <w:rFonts w:hint="default" w:ascii="Times New Roman" w:hAnsi="Times New Roman" w:cs="Times New Roman"/>
      </w:rPr>
    </w:lvl>
    <w:lvl w:ilvl="8" w:tentative="0">
      <w:start w:val="1"/>
      <w:numFmt w:val="lowerRoman"/>
      <w:lvlText w:val="%9."/>
      <w:lvlJc w:val="right"/>
      <w:pPr>
        <w:tabs>
          <w:tab w:val="left" w:pos="3780"/>
        </w:tabs>
        <w:ind w:left="3780" w:hanging="420"/>
      </w:pPr>
      <w:rPr>
        <w:rFonts w:hint="default" w:ascii="Times New Roman" w:hAnsi="Times New Roman" w:cs="Times New Roman"/>
      </w:rPr>
    </w:lvl>
  </w:abstractNum>
  <w:abstractNum w:abstractNumId="40">
    <w:nsid w:val="7F356F1D"/>
    <w:multiLevelType w:val="multilevel"/>
    <w:tmpl w:val="7F356F1D"/>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4"/>
  </w:num>
  <w:num w:numId="3">
    <w:abstractNumId w:val="36"/>
  </w:num>
  <w:num w:numId="4">
    <w:abstractNumId w:val="19"/>
  </w:num>
  <w:num w:numId="5">
    <w:abstractNumId w:val="5"/>
  </w:num>
  <w:num w:numId="6">
    <w:abstractNumId w:val="17"/>
  </w:num>
  <w:num w:numId="7">
    <w:abstractNumId w:val="33"/>
  </w:num>
  <w:num w:numId="8">
    <w:abstractNumId w:val="39"/>
  </w:num>
  <w:num w:numId="9">
    <w:abstractNumId w:val="16"/>
  </w:num>
  <w:num w:numId="10">
    <w:abstractNumId w:val="18"/>
  </w:num>
  <w:num w:numId="11">
    <w:abstractNumId w:val="35"/>
  </w:num>
  <w:num w:numId="12">
    <w:abstractNumId w:val="34"/>
  </w:num>
  <w:num w:numId="13">
    <w:abstractNumId w:val="30"/>
  </w:num>
  <w:num w:numId="14">
    <w:abstractNumId w:val="22"/>
  </w:num>
  <w:num w:numId="15">
    <w:abstractNumId w:val="1"/>
  </w:num>
  <w:num w:numId="16">
    <w:abstractNumId w:val="2"/>
  </w:num>
  <w:num w:numId="17">
    <w:abstractNumId w:val="13"/>
  </w:num>
  <w:num w:numId="18">
    <w:abstractNumId w:val="31"/>
  </w:num>
  <w:num w:numId="19">
    <w:abstractNumId w:val="28"/>
  </w:num>
  <w:num w:numId="20">
    <w:abstractNumId w:val="26"/>
  </w:num>
  <w:num w:numId="21">
    <w:abstractNumId w:val="15"/>
  </w:num>
  <w:num w:numId="22">
    <w:abstractNumId w:val="12"/>
  </w:num>
  <w:num w:numId="23">
    <w:abstractNumId w:val="14"/>
  </w:num>
  <w:num w:numId="24">
    <w:abstractNumId w:val="4"/>
  </w:num>
  <w:num w:numId="25">
    <w:abstractNumId w:val="38"/>
  </w:num>
  <w:num w:numId="26">
    <w:abstractNumId w:val="3"/>
  </w:num>
  <w:num w:numId="27">
    <w:abstractNumId w:val="10"/>
  </w:num>
  <w:num w:numId="28">
    <w:abstractNumId w:val="21"/>
  </w:num>
  <w:num w:numId="29">
    <w:abstractNumId w:val="11"/>
  </w:num>
  <w:num w:numId="30">
    <w:abstractNumId w:val="29"/>
  </w:num>
  <w:num w:numId="31">
    <w:abstractNumId w:val="37"/>
  </w:num>
  <w:num w:numId="32">
    <w:abstractNumId w:val="23"/>
  </w:num>
  <w:num w:numId="33">
    <w:abstractNumId w:val="20"/>
  </w:num>
  <w:num w:numId="34">
    <w:abstractNumId w:val="27"/>
  </w:num>
  <w:num w:numId="35">
    <w:abstractNumId w:val="6"/>
  </w:num>
  <w:num w:numId="36">
    <w:abstractNumId w:val="7"/>
  </w:num>
  <w:num w:numId="37">
    <w:abstractNumId w:val="9"/>
  </w:num>
  <w:num w:numId="38">
    <w:abstractNumId w:val="8"/>
  </w:num>
  <w:num w:numId="39">
    <w:abstractNumId w:val="25"/>
  </w:num>
  <w:num w:numId="40">
    <w:abstractNumId w:val="40"/>
  </w:num>
  <w:num w:numId="4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isplayBackgroundShape w:val="1"/>
  <w:bordersDoNotSurroundHeader w:val="0"/>
  <w:bordersDoNotSurroundFooter w:val="0"/>
  <w:documentProtection w:enforcement="0"/>
  <w:displayHorizontalDrawingGridEvery w:val="1"/>
  <w:displayVerticalDrawingGridEvery w:val="1"/>
  <w:noPunctuationKerning w:val="1"/>
  <w:characterSpacingControl w:val="doNotCompress"/>
  <w:footnotePr>
    <w:footnote w:id="0"/>
    <w:footnote w:id="1"/>
  </w:footnotePr>
  <w:endnotePr>
    <w:endnote w:id="0"/>
    <w:endnote w:id="1"/>
  </w:endnotePr>
  <w:compat>
    <w:spaceForUL/>
    <w:ulTrailSpace/>
    <w:doNotExpandShiftReturn/>
    <w:doNotWrapTextWithPunct/>
    <w:doNotUseEastAsianBreakRules/>
    <w:useFELayout/>
    <w:doNotUseIndentAsNumberingTabStop/>
    <w:compatSetting w:name="compatibilityMode" w:uri="http://schemas.microsoft.com/office/word" w:val="14"/>
  </w:compat>
  <w:docVars>
    <w:docVar w:name="commondata" w:val="eyJoZGlkIjoiMDVjNzI3ZGE3MjYxNzJlOTE4YTBiYzc3YzZjZjFmZTUifQ=="/>
  </w:docVars>
  <w:rsids>
    <w:rsidRoot w:val="00000000"/>
    <w:rsid w:val="000C5AC8"/>
    <w:rsid w:val="00F76805"/>
    <w:rsid w:val="01B36BD0"/>
    <w:rsid w:val="030A6CC4"/>
    <w:rsid w:val="044E498E"/>
    <w:rsid w:val="0580326D"/>
    <w:rsid w:val="0731292A"/>
    <w:rsid w:val="0BA31A63"/>
    <w:rsid w:val="0BE14389"/>
    <w:rsid w:val="0C2D57D1"/>
    <w:rsid w:val="0C2D757F"/>
    <w:rsid w:val="0DD51C7C"/>
    <w:rsid w:val="0E372937"/>
    <w:rsid w:val="0EAA22B7"/>
    <w:rsid w:val="0EEB3304"/>
    <w:rsid w:val="0FB75ADD"/>
    <w:rsid w:val="10703EDE"/>
    <w:rsid w:val="10841E9B"/>
    <w:rsid w:val="117143B2"/>
    <w:rsid w:val="119D51A7"/>
    <w:rsid w:val="12105979"/>
    <w:rsid w:val="125E4936"/>
    <w:rsid w:val="12D93FBD"/>
    <w:rsid w:val="12FE1C75"/>
    <w:rsid w:val="14264FE0"/>
    <w:rsid w:val="15EE6943"/>
    <w:rsid w:val="161377E5"/>
    <w:rsid w:val="17B44FF8"/>
    <w:rsid w:val="17E56F60"/>
    <w:rsid w:val="18622CA6"/>
    <w:rsid w:val="18754787"/>
    <w:rsid w:val="196A1E12"/>
    <w:rsid w:val="19DE635C"/>
    <w:rsid w:val="1C817B9F"/>
    <w:rsid w:val="1F0A0121"/>
    <w:rsid w:val="20401B1F"/>
    <w:rsid w:val="21CB0F34"/>
    <w:rsid w:val="21ED3089"/>
    <w:rsid w:val="22401962"/>
    <w:rsid w:val="22423F2C"/>
    <w:rsid w:val="238C3C1E"/>
    <w:rsid w:val="24A26904"/>
    <w:rsid w:val="24AF1021"/>
    <w:rsid w:val="27541772"/>
    <w:rsid w:val="27547C5E"/>
    <w:rsid w:val="27EB6814"/>
    <w:rsid w:val="28100029"/>
    <w:rsid w:val="283C7103"/>
    <w:rsid w:val="2AB70C30"/>
    <w:rsid w:val="2C5C383D"/>
    <w:rsid w:val="2E3A5DFF"/>
    <w:rsid w:val="2F3E547B"/>
    <w:rsid w:val="2F57653D"/>
    <w:rsid w:val="30C32F6A"/>
    <w:rsid w:val="329D070B"/>
    <w:rsid w:val="33DB598F"/>
    <w:rsid w:val="35CF507F"/>
    <w:rsid w:val="364F4412"/>
    <w:rsid w:val="377F2AD5"/>
    <w:rsid w:val="382B0567"/>
    <w:rsid w:val="39900FC9"/>
    <w:rsid w:val="39BC1DBE"/>
    <w:rsid w:val="3B464AC5"/>
    <w:rsid w:val="3DA23079"/>
    <w:rsid w:val="409E3FCC"/>
    <w:rsid w:val="40F47DFE"/>
    <w:rsid w:val="41377E57"/>
    <w:rsid w:val="43301127"/>
    <w:rsid w:val="43AA2C88"/>
    <w:rsid w:val="441427F7"/>
    <w:rsid w:val="455C4456"/>
    <w:rsid w:val="47013507"/>
    <w:rsid w:val="482374AD"/>
    <w:rsid w:val="498F4DFA"/>
    <w:rsid w:val="4A9D2E1F"/>
    <w:rsid w:val="4B180E1F"/>
    <w:rsid w:val="4B3317B5"/>
    <w:rsid w:val="4B447E66"/>
    <w:rsid w:val="4B614574"/>
    <w:rsid w:val="4D41465D"/>
    <w:rsid w:val="4DD21759"/>
    <w:rsid w:val="4F4A3571"/>
    <w:rsid w:val="4FF534DD"/>
    <w:rsid w:val="52575E4D"/>
    <w:rsid w:val="52734B8D"/>
    <w:rsid w:val="52972F71"/>
    <w:rsid w:val="535071AA"/>
    <w:rsid w:val="53794425"/>
    <w:rsid w:val="540D34EB"/>
    <w:rsid w:val="54B17ECD"/>
    <w:rsid w:val="57430FD1"/>
    <w:rsid w:val="575B27BF"/>
    <w:rsid w:val="581513C7"/>
    <w:rsid w:val="584E40D2"/>
    <w:rsid w:val="59452E3D"/>
    <w:rsid w:val="5AC33B31"/>
    <w:rsid w:val="5B0A2DF5"/>
    <w:rsid w:val="5CF276BB"/>
    <w:rsid w:val="5D861C18"/>
    <w:rsid w:val="5DD961EC"/>
    <w:rsid w:val="5E1733DB"/>
    <w:rsid w:val="5EDB32CA"/>
    <w:rsid w:val="5EF92FC1"/>
    <w:rsid w:val="5F4955F3"/>
    <w:rsid w:val="60765F74"/>
    <w:rsid w:val="608C5797"/>
    <w:rsid w:val="617F354E"/>
    <w:rsid w:val="63844E4C"/>
    <w:rsid w:val="646627A3"/>
    <w:rsid w:val="65E120E1"/>
    <w:rsid w:val="693B7312"/>
    <w:rsid w:val="6B2D401B"/>
    <w:rsid w:val="6B804DE4"/>
    <w:rsid w:val="6BDF5315"/>
    <w:rsid w:val="6CE34991"/>
    <w:rsid w:val="6DCD241E"/>
    <w:rsid w:val="6E013E0A"/>
    <w:rsid w:val="6E276AFF"/>
    <w:rsid w:val="73927111"/>
    <w:rsid w:val="768F5B89"/>
    <w:rsid w:val="76911902"/>
    <w:rsid w:val="774469BC"/>
    <w:rsid w:val="778B6F54"/>
    <w:rsid w:val="78014865"/>
    <w:rsid w:val="7A597759"/>
    <w:rsid w:val="7D0746CC"/>
    <w:rsid w:val="7E103805"/>
    <w:rsid w:val="7EBC7738"/>
    <w:rsid w:val="7FA76ED1"/>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semiHidden="0" w:name="heading 4"/>
    <w:lsdException w:qFormat="1" w:uiPriority="0" w:semiHidden="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lang w:val="en-US" w:eastAsia="en-US" w:bidi="ar-SA"/>
    </w:rPr>
  </w:style>
  <w:style w:type="paragraph" w:styleId="2">
    <w:name w:val="heading 1"/>
    <w:basedOn w:val="1"/>
    <w:next w:val="1"/>
    <w:autoRedefine/>
    <w:qFormat/>
    <w:uiPriority w:val="0"/>
    <w:pPr>
      <w:keepNext/>
      <w:keepLines/>
      <w:spacing w:before="340" w:beforeLines="0" w:beforeAutospacing="0" w:after="330" w:afterLines="0" w:afterAutospacing="0" w:line="576" w:lineRule="auto"/>
      <w:outlineLvl w:val="0"/>
    </w:pPr>
    <w:rPr>
      <w:b/>
      <w:kern w:val="44"/>
      <w:sz w:val="44"/>
    </w:rPr>
  </w:style>
  <w:style w:type="paragraph" w:styleId="3">
    <w:name w:val="heading 2"/>
    <w:basedOn w:val="1"/>
    <w:next w:val="1"/>
    <w:autoRedefine/>
    <w:unhideWhenUsed/>
    <w:qFormat/>
    <w:uiPriority w:val="0"/>
    <w:pPr>
      <w:keepNext/>
      <w:keepLines/>
      <w:spacing w:before="260" w:beforeLines="0" w:beforeAutospacing="0" w:after="260" w:afterLines="0" w:afterAutospacing="0" w:line="413" w:lineRule="auto"/>
      <w:outlineLvl w:val="1"/>
    </w:pPr>
    <w:rPr>
      <w:rFonts w:ascii="Arial" w:hAnsi="Arial" w:eastAsia="黑体"/>
      <w:b/>
      <w:sz w:val="32"/>
    </w:rPr>
  </w:style>
  <w:style w:type="paragraph" w:styleId="4">
    <w:name w:val="heading 4"/>
    <w:basedOn w:val="1"/>
    <w:next w:val="1"/>
    <w:autoRedefine/>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paragraph" w:styleId="5">
    <w:name w:val="heading 5"/>
    <w:basedOn w:val="1"/>
    <w:next w:val="1"/>
    <w:autoRedefine/>
    <w:unhideWhenUsed/>
    <w:qFormat/>
    <w:uiPriority w:val="0"/>
    <w:pPr>
      <w:keepNext/>
      <w:keepLines/>
      <w:spacing w:before="280" w:beforeLines="0" w:beforeAutospacing="0" w:after="290" w:afterLines="0" w:afterAutospacing="0" w:line="372" w:lineRule="auto"/>
      <w:outlineLvl w:val="4"/>
    </w:pPr>
    <w:rPr>
      <w:b/>
      <w:sz w:val="28"/>
    </w:rPr>
  </w:style>
  <w:style w:type="character" w:default="1" w:styleId="17">
    <w:name w:val="Default Paragraph Font"/>
    <w:autoRedefine/>
    <w:semiHidden/>
    <w:qFormat/>
    <w:uiPriority w:val="0"/>
  </w:style>
  <w:style w:type="table" w:default="1" w:styleId="16">
    <w:name w:val="Normal Table"/>
    <w:autoRedefine/>
    <w:semiHidden/>
    <w:qFormat/>
    <w:uiPriority w:val="0"/>
    <w:tblPr>
      <w:tblCellMar>
        <w:top w:w="0" w:type="dxa"/>
        <w:left w:w="108" w:type="dxa"/>
        <w:bottom w:w="0" w:type="dxa"/>
        <w:right w:w="108" w:type="dxa"/>
      </w:tblCellMar>
    </w:tblPr>
  </w:style>
  <w:style w:type="paragraph" w:styleId="6">
    <w:name w:val="annotation text"/>
    <w:basedOn w:val="1"/>
    <w:autoRedefine/>
    <w:qFormat/>
    <w:uiPriority w:val="0"/>
    <w:pPr>
      <w:adjustRightInd w:val="0"/>
      <w:spacing w:line="360" w:lineRule="atLeast"/>
      <w:jc w:val="left"/>
      <w:textAlignment w:val="baseline"/>
    </w:pPr>
    <w:rPr>
      <w:kern w:val="0"/>
      <w:sz w:val="24"/>
      <w:szCs w:val="20"/>
    </w:rPr>
  </w:style>
  <w:style w:type="paragraph" w:styleId="7">
    <w:name w:val="Body Text"/>
    <w:basedOn w:val="1"/>
    <w:autoRedefine/>
    <w:semiHidden/>
    <w:qFormat/>
    <w:uiPriority w:val="0"/>
    <w:rPr>
      <w:rFonts w:ascii="Arial" w:hAnsi="Arial" w:eastAsia="Arial" w:cs="Arial"/>
      <w:sz w:val="21"/>
      <w:szCs w:val="21"/>
      <w:lang w:val="en-US" w:eastAsia="en-US" w:bidi="ar-SA"/>
    </w:rPr>
  </w:style>
  <w:style w:type="paragraph" w:styleId="8">
    <w:name w:val="Body Text Indent"/>
    <w:basedOn w:val="1"/>
    <w:next w:val="1"/>
    <w:autoRedefine/>
    <w:qFormat/>
    <w:uiPriority w:val="0"/>
    <w:pPr>
      <w:spacing w:line="440" w:lineRule="exact"/>
      <w:ind w:firstLine="419" w:firstLineChars="196"/>
    </w:pPr>
    <w:rPr>
      <w:rFonts w:ascii="宋体" w:hAnsi="宋体" w:cs="Century"/>
      <w:spacing w:val="2"/>
    </w:rPr>
  </w:style>
  <w:style w:type="paragraph" w:styleId="9">
    <w:name w:val="toc 3"/>
    <w:basedOn w:val="1"/>
    <w:next w:val="1"/>
    <w:autoRedefine/>
    <w:qFormat/>
    <w:uiPriority w:val="0"/>
    <w:pPr>
      <w:ind w:left="840" w:leftChars="400"/>
    </w:pPr>
  </w:style>
  <w:style w:type="paragraph" w:styleId="10">
    <w:name w:val="footer"/>
    <w:basedOn w:val="1"/>
    <w:autoRedefine/>
    <w:qFormat/>
    <w:uiPriority w:val="0"/>
    <w:pPr>
      <w:tabs>
        <w:tab w:val="center" w:pos="4153"/>
        <w:tab w:val="right" w:pos="8306"/>
      </w:tabs>
      <w:snapToGrid w:val="0"/>
      <w:jc w:val="left"/>
    </w:pPr>
    <w:rPr>
      <w:sz w:val="18"/>
    </w:rPr>
  </w:style>
  <w:style w:type="paragraph" w:styleId="11">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2">
    <w:name w:val="toc 2"/>
    <w:basedOn w:val="1"/>
    <w:next w:val="1"/>
    <w:autoRedefine/>
    <w:qFormat/>
    <w:uiPriority w:val="0"/>
    <w:pPr>
      <w:ind w:left="420" w:leftChars="200"/>
    </w:pPr>
  </w:style>
  <w:style w:type="paragraph" w:styleId="13">
    <w:name w:val="Body Text 2"/>
    <w:basedOn w:val="1"/>
    <w:autoRedefine/>
    <w:qFormat/>
    <w:uiPriority w:val="0"/>
    <w:pPr>
      <w:spacing w:line="280" w:lineRule="exact"/>
      <w:jc w:val="center"/>
    </w:pPr>
  </w:style>
  <w:style w:type="paragraph" w:styleId="14">
    <w:name w:val="Body Text First Indent"/>
    <w:basedOn w:val="7"/>
    <w:next w:val="15"/>
    <w:autoRedefine/>
    <w:qFormat/>
    <w:uiPriority w:val="0"/>
    <w:pPr>
      <w:ind w:firstLine="420" w:firstLineChars="100"/>
    </w:pPr>
    <w:rPr>
      <w:rFonts w:ascii="Times New Roman" w:hAnsi="Times New Roman" w:eastAsia="宋体" w:cs="Times New Roman"/>
    </w:rPr>
  </w:style>
  <w:style w:type="paragraph" w:styleId="15">
    <w:name w:val="Body Text First Indent 2"/>
    <w:basedOn w:val="8"/>
    <w:next w:val="14"/>
    <w:autoRedefine/>
    <w:qFormat/>
    <w:uiPriority w:val="99"/>
    <w:pPr>
      <w:ind w:firstLine="420"/>
    </w:pPr>
  </w:style>
  <w:style w:type="character" w:styleId="18">
    <w:name w:val="Strong"/>
    <w:basedOn w:val="17"/>
    <w:qFormat/>
    <w:uiPriority w:val="0"/>
    <w:rPr>
      <w:b/>
      <w:bCs/>
    </w:rPr>
  </w:style>
  <w:style w:type="character" w:styleId="19">
    <w:name w:val="FollowedHyperlink"/>
    <w:basedOn w:val="17"/>
    <w:uiPriority w:val="0"/>
    <w:rPr>
      <w:color w:val="5C5C5C"/>
      <w:u w:val="none"/>
    </w:rPr>
  </w:style>
  <w:style w:type="character" w:styleId="20">
    <w:name w:val="Emphasis"/>
    <w:basedOn w:val="17"/>
    <w:qFormat/>
    <w:uiPriority w:val="0"/>
    <w:rPr>
      <w:b/>
      <w:bCs/>
    </w:rPr>
  </w:style>
  <w:style w:type="character" w:styleId="21">
    <w:name w:val="HTML Definition"/>
    <w:basedOn w:val="17"/>
    <w:uiPriority w:val="0"/>
  </w:style>
  <w:style w:type="character" w:styleId="22">
    <w:name w:val="HTML Typewriter"/>
    <w:basedOn w:val="17"/>
    <w:uiPriority w:val="0"/>
    <w:rPr>
      <w:rFonts w:hint="default" w:ascii="monospace" w:hAnsi="monospace" w:eastAsia="monospace" w:cs="monospace"/>
      <w:sz w:val="20"/>
    </w:rPr>
  </w:style>
  <w:style w:type="character" w:styleId="23">
    <w:name w:val="HTML Acronym"/>
    <w:basedOn w:val="17"/>
    <w:uiPriority w:val="0"/>
  </w:style>
  <w:style w:type="character" w:styleId="24">
    <w:name w:val="HTML Variable"/>
    <w:basedOn w:val="17"/>
    <w:uiPriority w:val="0"/>
  </w:style>
  <w:style w:type="character" w:styleId="25">
    <w:name w:val="Hyperlink"/>
    <w:basedOn w:val="17"/>
    <w:uiPriority w:val="0"/>
    <w:rPr>
      <w:color w:val="5C5C5C"/>
      <w:u w:val="none"/>
    </w:rPr>
  </w:style>
  <w:style w:type="character" w:styleId="26">
    <w:name w:val="HTML Code"/>
    <w:basedOn w:val="17"/>
    <w:uiPriority w:val="0"/>
    <w:rPr>
      <w:rFonts w:hint="default" w:ascii="monospace" w:hAnsi="monospace" w:eastAsia="monospace" w:cs="monospace"/>
      <w:sz w:val="20"/>
    </w:rPr>
  </w:style>
  <w:style w:type="character" w:styleId="27">
    <w:name w:val="HTML Cite"/>
    <w:basedOn w:val="17"/>
    <w:uiPriority w:val="0"/>
  </w:style>
  <w:style w:type="character" w:styleId="28">
    <w:name w:val="HTML Keyboard"/>
    <w:basedOn w:val="17"/>
    <w:uiPriority w:val="0"/>
    <w:rPr>
      <w:rFonts w:ascii="monospace" w:hAnsi="monospace" w:eastAsia="monospace" w:cs="monospace"/>
      <w:sz w:val="20"/>
    </w:rPr>
  </w:style>
  <w:style w:type="character" w:styleId="29">
    <w:name w:val="HTML Sample"/>
    <w:basedOn w:val="17"/>
    <w:uiPriority w:val="0"/>
    <w:rPr>
      <w:rFonts w:hint="default" w:ascii="monospace" w:hAnsi="monospace" w:eastAsia="monospace" w:cs="monospace"/>
    </w:rPr>
  </w:style>
  <w:style w:type="table" w:customStyle="1" w:styleId="30">
    <w:name w:val="Table Normal"/>
    <w:autoRedefine/>
    <w:semiHidden/>
    <w:unhideWhenUsed/>
    <w:qFormat/>
    <w:uiPriority w:val="0"/>
    <w:tblPr>
      <w:tblCellMar>
        <w:top w:w="0" w:type="dxa"/>
        <w:left w:w="0" w:type="dxa"/>
        <w:bottom w:w="0" w:type="dxa"/>
        <w:right w:w="0" w:type="dxa"/>
      </w:tblCellMar>
    </w:tblPr>
  </w:style>
  <w:style w:type="paragraph" w:customStyle="1" w:styleId="31">
    <w:name w:val="Table Text"/>
    <w:basedOn w:val="1"/>
    <w:autoRedefine/>
    <w:semiHidden/>
    <w:qFormat/>
    <w:uiPriority w:val="0"/>
    <w:rPr>
      <w:rFonts w:ascii="宋体" w:hAnsi="宋体" w:eastAsia="宋体" w:cs="宋体"/>
      <w:sz w:val="21"/>
      <w:szCs w:val="21"/>
      <w:lang w:val="en-US" w:eastAsia="en-US" w:bidi="ar-SA"/>
    </w:rPr>
  </w:style>
  <w:style w:type="paragraph" w:customStyle="1" w:styleId="32">
    <w:name w:val="二级标题"/>
    <w:basedOn w:val="1"/>
    <w:autoRedefine/>
    <w:qFormat/>
    <w:uiPriority w:val="0"/>
    <w:pPr>
      <w:spacing w:beforeAutospacing="1" w:line="660" w:lineRule="exact"/>
      <w:ind w:firstLine="516" w:firstLineChars="200"/>
    </w:pPr>
    <w:rPr>
      <w:rFonts w:ascii="仿宋" w:hAnsi="仿宋" w:eastAsia="仿宋" w:cs="仿宋"/>
      <w:spacing w:val="-6"/>
      <w:sz w:val="27"/>
      <w:szCs w:val="27"/>
    </w:rPr>
  </w:style>
  <w:style w:type="character" w:customStyle="1" w:styleId="33">
    <w:name w:val="hover1"/>
    <w:basedOn w:val="17"/>
    <w:uiPriority w:val="0"/>
    <w:rPr>
      <w:color w:val="2590EB"/>
      <w:shd w:val="clear" w:fill="E9F4FD"/>
    </w:rPr>
  </w:style>
  <w:style w:type="character" w:customStyle="1" w:styleId="34">
    <w:name w:val="hover2"/>
    <w:basedOn w:val="17"/>
    <w:uiPriority w:val="0"/>
  </w:style>
  <w:style w:type="character" w:customStyle="1" w:styleId="35">
    <w:name w:val="hover3"/>
    <w:basedOn w:val="17"/>
    <w:uiPriority w:val="0"/>
    <w:rPr>
      <w:color w:val="2590EB"/>
    </w:rPr>
  </w:style>
  <w:style w:type="character" w:customStyle="1" w:styleId="36">
    <w:name w:val="hover4"/>
    <w:basedOn w:val="17"/>
    <w:uiPriority w:val="0"/>
    <w:rPr>
      <w:color w:val="2590EB"/>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2" Type="http://schemas.openxmlformats.org/officeDocument/2006/relationships/fontTable" Target="fontTable.xml"/><Relationship Id="rId41" Type="http://schemas.openxmlformats.org/officeDocument/2006/relationships/numbering" Target="numbering.xml"/><Relationship Id="rId40" Type="http://schemas.openxmlformats.org/officeDocument/2006/relationships/customXml" Target="../customXml/item1.xml"/><Relationship Id="rId4" Type="http://schemas.openxmlformats.org/officeDocument/2006/relationships/endnotes" Target="endnotes.xml"/><Relationship Id="rId39" Type="http://schemas.openxmlformats.org/officeDocument/2006/relationships/theme" Target="theme/theme1.xml"/><Relationship Id="rId38" Type="http://schemas.openxmlformats.org/officeDocument/2006/relationships/footer" Target="footer34.xml"/><Relationship Id="rId37" Type="http://schemas.openxmlformats.org/officeDocument/2006/relationships/footer" Target="footer33.xml"/><Relationship Id="rId36" Type="http://schemas.openxmlformats.org/officeDocument/2006/relationships/footer" Target="footer32.xml"/><Relationship Id="rId35" Type="http://schemas.openxmlformats.org/officeDocument/2006/relationships/footer" Target="footer31.xml"/><Relationship Id="rId34" Type="http://schemas.openxmlformats.org/officeDocument/2006/relationships/footer" Target="footer30.xml"/><Relationship Id="rId33" Type="http://schemas.openxmlformats.org/officeDocument/2006/relationships/footer" Target="footer29.xml"/><Relationship Id="rId32" Type="http://schemas.openxmlformats.org/officeDocument/2006/relationships/footer" Target="footer28.xml"/><Relationship Id="rId31" Type="http://schemas.openxmlformats.org/officeDocument/2006/relationships/footer" Target="footer27.xml"/><Relationship Id="rId30" Type="http://schemas.openxmlformats.org/officeDocument/2006/relationships/footer" Target="footer26.xml"/><Relationship Id="rId3" Type="http://schemas.openxmlformats.org/officeDocument/2006/relationships/footnotes" Target="footnotes.xml"/><Relationship Id="rId29" Type="http://schemas.openxmlformats.org/officeDocument/2006/relationships/footer" Target="footer25.xml"/><Relationship Id="rId28" Type="http://schemas.openxmlformats.org/officeDocument/2006/relationships/footer" Target="footer24.xml"/><Relationship Id="rId27" Type="http://schemas.openxmlformats.org/officeDocument/2006/relationships/footer" Target="footer23.xml"/><Relationship Id="rId26" Type="http://schemas.openxmlformats.org/officeDocument/2006/relationships/footer" Target="footer22.xml"/><Relationship Id="rId25" Type="http://schemas.openxmlformats.org/officeDocument/2006/relationships/footer" Target="footer21.xml"/><Relationship Id="rId24" Type="http://schemas.openxmlformats.org/officeDocument/2006/relationships/footer" Target="footer20.xml"/><Relationship Id="rId23" Type="http://schemas.openxmlformats.org/officeDocument/2006/relationships/footer" Target="footer19.xml"/><Relationship Id="rId22" Type="http://schemas.openxmlformats.org/officeDocument/2006/relationships/footer" Target="footer18.xml"/><Relationship Id="rId21" Type="http://schemas.openxmlformats.org/officeDocument/2006/relationships/footer" Target="footer17.xml"/><Relationship Id="rId20" Type="http://schemas.openxmlformats.org/officeDocument/2006/relationships/footer" Target="footer16.xml"/><Relationship Id="rId2" Type="http://schemas.openxmlformats.org/officeDocument/2006/relationships/settings" Target="settings.xml"/><Relationship Id="rId19" Type="http://schemas.openxmlformats.org/officeDocument/2006/relationships/footer" Target="footer15.xml"/><Relationship Id="rId18" Type="http://schemas.openxmlformats.org/officeDocument/2006/relationships/footer" Target="footer14.xml"/><Relationship Id="rId17" Type="http://schemas.openxmlformats.org/officeDocument/2006/relationships/footer" Target="footer13.xml"/><Relationship Id="rId16" Type="http://schemas.openxmlformats.org/officeDocument/2006/relationships/footer" Target="footer12.xml"/><Relationship Id="rId15" Type="http://schemas.openxmlformats.org/officeDocument/2006/relationships/footer" Target="footer11.xml"/><Relationship Id="rId14" Type="http://schemas.openxmlformats.org/officeDocument/2006/relationships/footer" Target="footer10.xml"/><Relationship Id="rId13" Type="http://schemas.openxmlformats.org/officeDocument/2006/relationships/footer" Target="footer9.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otalTime>266</TotalTime>
  <ScaleCrop>false</ScaleCrop>
  <LinksUpToDate>false</LinksUpToDate>
  <Application>WPS Office_12.1.0.16417_F1E327BC-269C-435d-A152-05C5408002CA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2024-03-19T15:17:00Z</dcterms:created>
  <dc:creator>1</dc:creator>
  <cp:lastModifiedBy>吃芒果吗～</cp:lastModifiedBy>
  <dcterms:modified xsi:type="dcterms:W3CDTF">2024-04-01T08:07:39Z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2024-03-19T15:17:19Z</vt:filetime>
  </property>
  <property fmtid="{D5CDD505-2E9C-101B-9397-08002B2CF9AE}" pid="4" name="UsrData">
    <vt:lpwstr>65f93beb54cdff001fe3bd3awl</vt:lpwstr>
  </property>
  <property fmtid="{D5CDD505-2E9C-101B-9397-08002B2CF9AE}" pid="5" name="KSOProductBuildVer">
    <vt:lpwstr>2052-12.1.0.16417</vt:lpwstr>
  </property>
  <property fmtid="{D5CDD505-2E9C-101B-9397-08002B2CF9AE}" pid="6" name="ICV">
    <vt:lpwstr>B95E0101C9AC45E48ACE023E4275A15F_13</vt:lpwstr>
  </property>
</Properties>
</file>