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auto"/>
          <w:sz w:val="44"/>
          <w:szCs w:val="44"/>
        </w:rPr>
      </w:pPr>
      <w:bookmarkStart w:id="0" w:name="_Toc144974478"/>
      <w:bookmarkEnd w:id="0"/>
      <w:bookmarkStart w:id="1" w:name="_Toc152042286"/>
      <w:bookmarkEnd w:id="1"/>
    </w:p>
    <w:p>
      <w:pPr>
        <w:spacing w:line="360" w:lineRule="auto"/>
        <w:jc w:val="center"/>
        <w:rPr>
          <w:rFonts w:ascii="宋体" w:hAnsi="宋体"/>
          <w:b/>
          <w:color w:val="auto"/>
          <w:sz w:val="44"/>
          <w:szCs w:val="44"/>
        </w:rPr>
      </w:pPr>
      <w:r>
        <w:rPr>
          <w:rFonts w:hint="eastAsia" w:ascii="宋体" w:hAnsi="宋体"/>
          <w:b/>
          <w:color w:val="auto"/>
          <w:sz w:val="44"/>
          <w:szCs w:val="44"/>
        </w:rPr>
        <w:t>邓州市人民法院</w:t>
      </w:r>
    </w:p>
    <w:p>
      <w:pPr>
        <w:spacing w:line="360" w:lineRule="auto"/>
        <w:jc w:val="center"/>
        <w:rPr>
          <w:rFonts w:ascii="宋体" w:hAnsi="宋体"/>
          <w:b/>
          <w:color w:val="auto"/>
          <w:sz w:val="44"/>
          <w:szCs w:val="44"/>
        </w:rPr>
      </w:pPr>
      <w:r>
        <w:rPr>
          <w:rFonts w:hint="eastAsia" w:ascii="宋体" w:hAnsi="宋体"/>
          <w:b/>
          <w:color w:val="auto"/>
          <w:sz w:val="44"/>
          <w:szCs w:val="44"/>
        </w:rPr>
        <w:t>审判法庭和青少年法治教育基地综合布线项目</w:t>
      </w:r>
    </w:p>
    <w:p>
      <w:pPr>
        <w:adjustRightInd w:val="0"/>
        <w:snapToGrid w:val="0"/>
        <w:spacing w:before="360" w:beforeLines="150"/>
        <w:jc w:val="center"/>
        <w:rPr>
          <w:rFonts w:ascii="宋体" w:hAnsi="宋体"/>
          <w:b/>
          <w:color w:val="auto"/>
          <w:sz w:val="84"/>
          <w:szCs w:val="84"/>
        </w:rPr>
      </w:pPr>
      <w:r>
        <w:rPr>
          <w:rFonts w:hint="eastAsia" w:ascii="宋体" w:hAnsi="宋体"/>
          <w:b/>
          <w:color w:val="auto"/>
          <w:sz w:val="84"/>
          <w:szCs w:val="84"/>
        </w:rPr>
        <w:t>竞争性磋商文件</w:t>
      </w:r>
    </w:p>
    <w:p>
      <w:pPr>
        <w:jc w:val="center"/>
        <w:rPr>
          <w:rFonts w:ascii="宋体" w:hAnsi="宋体"/>
          <w:b/>
          <w:color w:val="auto"/>
          <w:sz w:val="32"/>
          <w:szCs w:val="32"/>
        </w:rPr>
      </w:pPr>
    </w:p>
    <w:p>
      <w:pPr>
        <w:ind w:left="0" w:leftChars="0" w:firstLine="0" w:firstLineChars="0"/>
        <w:jc w:val="center"/>
        <w:rPr>
          <w:rFonts w:hint="eastAsia" w:ascii="宋体" w:hAnsi="宋体" w:eastAsia="宋体"/>
          <w:b/>
          <w:color w:val="auto"/>
          <w:sz w:val="28"/>
          <w:szCs w:val="28"/>
          <w:u w:val="none"/>
          <w:lang w:eastAsia="zh-CN"/>
        </w:rPr>
      </w:pPr>
      <w:r>
        <w:rPr>
          <w:rFonts w:hint="eastAsia" w:ascii="宋体" w:hAnsi="宋体"/>
          <w:b/>
          <w:color w:val="auto"/>
          <w:sz w:val="28"/>
          <w:szCs w:val="28"/>
          <w:u w:val="none"/>
        </w:rPr>
        <w:t>项目编号：</w:t>
      </w:r>
      <w:r>
        <w:rPr>
          <w:rFonts w:hint="eastAsia" w:ascii="宋体" w:hAnsi="宋体"/>
          <w:b/>
          <w:color w:val="auto"/>
          <w:sz w:val="28"/>
          <w:szCs w:val="28"/>
          <w:u w:val="none"/>
          <w:lang w:eastAsia="zh-CN"/>
        </w:rPr>
        <w:t>豫财磋商采购-2024-338</w:t>
      </w:r>
    </w:p>
    <w:p>
      <w:pPr>
        <w:ind w:left="0" w:leftChars="0" w:firstLine="0" w:firstLineChars="0"/>
        <w:jc w:val="center"/>
        <w:rPr>
          <w:rFonts w:hint="eastAsia" w:ascii="宋体" w:hAnsi="宋体"/>
          <w:b/>
          <w:color w:val="auto"/>
          <w:sz w:val="32"/>
          <w:szCs w:val="32"/>
          <w:u w:val="none"/>
        </w:rPr>
      </w:pPr>
    </w:p>
    <w:p>
      <w:pPr>
        <w:adjustRightInd w:val="0"/>
        <w:snapToGrid w:val="0"/>
        <w:jc w:val="center"/>
        <w:rPr>
          <w:rFonts w:ascii="宋体" w:hAnsi="宋体"/>
          <w:b/>
          <w:color w:val="auto"/>
          <w:sz w:val="36"/>
          <w:szCs w:val="36"/>
        </w:rPr>
      </w:pPr>
      <w:r>
        <w:rPr>
          <w:rFonts w:hint="eastAsia" w:asciiTheme="minorEastAsia" w:hAnsiTheme="minorEastAsia" w:eastAsiaTheme="minorEastAsia" w:cstheme="minorEastAsia"/>
          <w:color w:val="auto"/>
        </w:rPr>
        <w:drawing>
          <wp:inline distT="0" distB="0" distL="114300" distR="114300">
            <wp:extent cx="2171700" cy="2733675"/>
            <wp:effectExtent l="0" t="0" r="7620" b="9525"/>
            <wp:docPr id="2" name="图片 1" descr="微信图片_20211021094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微信图片_20211021094822"/>
                    <pic:cNvPicPr>
                      <a:picLocks noChangeAspect="1"/>
                    </pic:cNvPicPr>
                  </pic:nvPicPr>
                  <pic:blipFill>
                    <a:blip r:embed="rId7"/>
                    <a:stretch>
                      <a:fillRect/>
                    </a:stretch>
                  </pic:blipFill>
                  <pic:spPr>
                    <a:xfrm>
                      <a:off x="0" y="0"/>
                      <a:ext cx="2171700" cy="2733675"/>
                    </a:xfrm>
                    <a:prstGeom prst="rect">
                      <a:avLst/>
                    </a:prstGeom>
                    <a:noFill/>
                    <a:ln>
                      <a:noFill/>
                    </a:ln>
                  </pic:spPr>
                </pic:pic>
              </a:graphicData>
            </a:graphic>
          </wp:inline>
        </w:drawing>
      </w:r>
    </w:p>
    <w:p>
      <w:pPr>
        <w:rPr>
          <w:color w:val="auto"/>
        </w:rPr>
      </w:pPr>
    </w:p>
    <w:p>
      <w:pPr>
        <w:rPr>
          <w:color w:val="auto"/>
        </w:rPr>
      </w:pPr>
    </w:p>
    <w:p>
      <w:pPr>
        <w:rPr>
          <w:color w:val="auto"/>
        </w:rPr>
      </w:pPr>
    </w:p>
    <w:p>
      <w:pPr>
        <w:rPr>
          <w:color w:val="auto"/>
        </w:rPr>
      </w:pPr>
    </w:p>
    <w:p>
      <w:pPr>
        <w:jc w:val="center"/>
        <w:rPr>
          <w:rFonts w:ascii="宋体" w:hAnsi="宋体"/>
          <w:b/>
          <w:color w:val="auto"/>
          <w:sz w:val="32"/>
          <w:szCs w:val="32"/>
        </w:rPr>
      </w:pPr>
    </w:p>
    <w:p>
      <w:pPr>
        <w:spacing w:line="360" w:lineRule="auto"/>
        <w:ind w:firstLine="1263" w:firstLineChars="393"/>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采   购   人：邓州市人民法院</w:t>
      </w:r>
    </w:p>
    <w:p>
      <w:pPr>
        <w:spacing w:line="360" w:lineRule="auto"/>
        <w:ind w:firstLine="1263" w:firstLineChars="393"/>
        <w:rPr>
          <w:rFonts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采购代理机构：中建山河建设管理集团有限公司</w:t>
      </w:r>
    </w:p>
    <w:p>
      <w:pPr>
        <w:spacing w:line="360" w:lineRule="auto"/>
        <w:ind w:firstLine="1263" w:firstLineChars="393"/>
        <w:rPr>
          <w:rFonts w:asciiTheme="minorEastAsia" w:hAnsiTheme="minorEastAsia" w:eastAsiaTheme="minorEastAsia" w:cstheme="minorEastAsia"/>
          <w:b/>
          <w:bCs/>
          <w:color w:val="auto"/>
          <w:sz w:val="24"/>
          <w:szCs w:val="24"/>
        </w:rPr>
        <w:sectPr>
          <w:headerReference r:id="rId4" w:type="first"/>
          <w:headerReference r:id="rId3" w:type="default"/>
          <w:footerReference r:id="rId5" w:type="default"/>
          <w:pgSz w:w="11905" w:h="16838"/>
          <w:pgMar w:top="1440" w:right="1429" w:bottom="1440" w:left="1451" w:header="850" w:footer="850" w:gutter="0"/>
          <w:pgNumType w:start="0"/>
          <w:cols w:space="0" w:num="1"/>
          <w:titlePg/>
          <w:rtlGutter w:val="0"/>
          <w:docGrid w:type="lines" w:linePitch="317" w:charSpace="0"/>
        </w:sectPr>
      </w:pPr>
      <w:bookmarkStart w:id="2" w:name="_Toc16328"/>
      <w:r>
        <w:rPr>
          <w:rFonts w:hint="eastAsia" w:asciiTheme="minorEastAsia" w:hAnsiTheme="minorEastAsia" w:eastAsiaTheme="minorEastAsia" w:cstheme="minorEastAsia"/>
          <w:b/>
          <w:color w:val="auto"/>
          <w:sz w:val="32"/>
          <w:szCs w:val="32"/>
        </w:rPr>
        <w:t>日        期：二〇二四年</w:t>
      </w:r>
      <w:r>
        <w:rPr>
          <w:rFonts w:hint="eastAsia" w:asciiTheme="minorEastAsia" w:hAnsiTheme="minorEastAsia" w:eastAsiaTheme="minorEastAsia" w:cstheme="minorEastAsia"/>
          <w:b/>
          <w:color w:val="auto"/>
          <w:sz w:val="32"/>
          <w:szCs w:val="32"/>
          <w:lang w:val="en-US" w:eastAsia="zh-CN"/>
        </w:rPr>
        <w:t>五</w:t>
      </w:r>
      <w:r>
        <w:rPr>
          <w:rFonts w:hint="eastAsia" w:asciiTheme="minorEastAsia" w:hAnsiTheme="minorEastAsia" w:eastAsiaTheme="minorEastAsia" w:cstheme="minorEastAsia"/>
          <w:b/>
          <w:color w:val="auto"/>
          <w:sz w:val="32"/>
          <w:szCs w:val="32"/>
        </w:rPr>
        <w:t>月</w:t>
      </w:r>
      <w:bookmarkEnd w:id="2"/>
    </w:p>
    <w:p>
      <w:pPr>
        <w:pStyle w:val="8"/>
        <w:jc w:val="center"/>
        <w:rPr>
          <w:rFonts w:ascii="宋体" w:hAnsi="宋体"/>
          <w:b/>
          <w:color w:val="auto"/>
          <w:sz w:val="32"/>
          <w:szCs w:val="32"/>
        </w:rPr>
      </w:pPr>
      <w:r>
        <w:rPr>
          <w:rFonts w:hint="eastAsia" w:ascii="宋体" w:hAnsi="宋体"/>
          <w:b/>
          <w:color w:val="auto"/>
          <w:sz w:val="32"/>
          <w:szCs w:val="32"/>
        </w:rPr>
        <w:t>目     录</w:t>
      </w:r>
    </w:p>
    <w:p>
      <w:pPr>
        <w:pStyle w:val="23"/>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jc w:val="both"/>
        <w:textAlignment w:val="auto"/>
        <w:rPr>
          <w:rFonts w:hint="eastAsia" w:ascii="宋体" w:hAnsi="宋体" w:eastAsia="宋体" w:cs="宋体"/>
          <w:color w:val="auto"/>
          <w:sz w:val="21"/>
          <w:szCs w:val="21"/>
        </w:rPr>
      </w:pPr>
      <w:bookmarkStart w:id="3" w:name="_Toc509667258"/>
      <w:bookmarkEnd w:id="3"/>
      <w:bookmarkStart w:id="4" w:name="_Toc144974495"/>
      <w:bookmarkEnd w:id="4"/>
      <w:bookmarkStart w:id="5" w:name="_Toc152045527"/>
      <w:bookmarkEnd w:id="5"/>
      <w:bookmarkStart w:id="6" w:name="_Toc1838"/>
      <w:bookmarkEnd w:id="6"/>
      <w:bookmarkStart w:id="7" w:name="_Toc152042303"/>
      <w:bookmarkEnd w:id="7"/>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"1-2"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_Toc1038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rPr>
        <w:t>第一章  竞争性磋商公告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_Toc1038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3"/>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_Toc9914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sz w:val="21"/>
          <w:szCs w:val="21"/>
        </w:rPr>
        <w:t>第二章  供应商须知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_Toc9914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_Toc8009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供应商须知前附表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_Toc8009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_Toc18840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供应商须知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_Toc18840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_Toc11688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 总则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_Toc11688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_Toc15275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 磋商文件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_Toc15275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_Toc31097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 响应文件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_Toc31097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_Toc1338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 磋商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_Toc1338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_Toc23657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 磋商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_Toc23657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_Toc17080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 磋商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_Toc17080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_Toc2213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 合同授予</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_Toc2213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_Toc4164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 重新招标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_Toc4164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_Toc12463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 纪律和监督</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_Toc12463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_Toc1802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 需要补充的其他内容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_Toc1802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3"/>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_Toc3569 </w:instrText>
      </w:r>
      <w:r>
        <w:rPr>
          <w:rFonts w:hint="eastAsia" w:ascii="宋体" w:hAnsi="宋体" w:eastAsia="宋体" w:cs="宋体"/>
          <w:color w:val="auto"/>
          <w:sz w:val="21"/>
          <w:szCs w:val="21"/>
        </w:rPr>
        <w:fldChar w:fldCharType="separate"/>
      </w:r>
      <w:r>
        <w:rPr>
          <w:rFonts w:hint="eastAsia" w:ascii="宋体" w:hAnsi="宋体" w:eastAsia="宋体" w:cs="宋体"/>
          <w:color w:val="auto"/>
          <w:kern w:val="44"/>
          <w:sz w:val="21"/>
          <w:szCs w:val="21"/>
        </w:rPr>
        <w:t>第三章  评审办法（综合评分法）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_Toc3569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_Toc1618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第四章  合同条款及格式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_Toc1618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3"/>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_Toc29394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第五章  工程量清单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_Toc29394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3"/>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_Toc17610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第六章  图纸</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_Toc17610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3"/>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_Toc2092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rPr>
        <w:t>第七章  技术标准和要求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_Toc2092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3"/>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_Toc16217 </w:instrText>
      </w:r>
      <w:r>
        <w:rPr>
          <w:rFonts w:hint="eastAsia" w:ascii="宋体" w:hAnsi="宋体" w:eastAsia="宋体" w:cs="宋体"/>
          <w:color w:val="auto"/>
          <w:sz w:val="21"/>
          <w:szCs w:val="21"/>
        </w:rPr>
        <w:fldChar w:fldCharType="separate"/>
      </w:r>
      <w:r>
        <w:rPr>
          <w:rFonts w:hint="eastAsia" w:ascii="宋体" w:hAnsi="宋体" w:eastAsia="宋体" w:cs="宋体"/>
          <w:bCs w:val="0"/>
          <w:color w:val="auto"/>
          <w:sz w:val="21"/>
          <w:szCs w:val="21"/>
        </w:rPr>
        <w:t>第八章  响应文件格式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_Toc16217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_Toc20040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目    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_Toc20040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_Toc6857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一、磋商函及磋商函附录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_Toc6857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_Toc17740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二、法定代表身份证明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_Toc17740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_Toc25059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三、授权委托书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_Toc25059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_Toc4909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四、主要设备材料技术偏离表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_Toc4909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_Toc6096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eastAsia="zh-CN"/>
        </w:rPr>
        <w:t>五、</w:t>
      </w:r>
      <w:r>
        <w:rPr>
          <w:rFonts w:hint="eastAsia" w:ascii="宋体" w:hAnsi="宋体" w:eastAsia="宋体" w:cs="宋体"/>
          <w:color w:val="auto"/>
          <w:sz w:val="21"/>
          <w:szCs w:val="21"/>
        </w:rPr>
        <w:t>已标价工程量清单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_Toc6096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_Toc30547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eastAsia="zh-CN"/>
        </w:rPr>
        <w:t>六</w:t>
      </w:r>
      <w:r>
        <w:rPr>
          <w:rFonts w:hint="eastAsia" w:ascii="宋体" w:hAnsi="宋体" w:eastAsia="宋体" w:cs="宋体"/>
          <w:color w:val="auto"/>
          <w:sz w:val="21"/>
          <w:szCs w:val="21"/>
        </w:rPr>
        <w:t>、施工组织设计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_Toc30547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_Toc11188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0"/>
          <w:sz w:val="21"/>
          <w:szCs w:val="21"/>
          <w:lang w:val="en-US" w:eastAsia="zh-CN" w:bidi="ar-SA"/>
        </w:rPr>
        <w:t>七、项目管理机构</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_Toc11188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_Toc1094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eastAsia="zh-CN"/>
        </w:rPr>
        <w:t>八</w:t>
      </w:r>
      <w:r>
        <w:rPr>
          <w:rFonts w:hint="eastAsia" w:ascii="宋体" w:hAnsi="宋体" w:eastAsia="宋体" w:cs="宋体"/>
          <w:color w:val="auto"/>
          <w:sz w:val="21"/>
          <w:szCs w:val="21"/>
        </w:rPr>
        <w:t>、资格审查资料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_Toc1094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_Toc3616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0"/>
          <w:sz w:val="21"/>
          <w:szCs w:val="21"/>
          <w:lang w:val="en-US" w:eastAsia="zh-CN" w:bidi="ar-SA"/>
        </w:rPr>
        <w:t>九、近年完成的类似项目业绩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_Toc3616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_Toc6098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eastAsia="zh-CN"/>
        </w:rPr>
        <w:t>十、综合实力认证</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_Toc6098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_Toc7978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eastAsia="zh-CN"/>
        </w:rPr>
        <w:t>十一、 服务承诺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_Toc7978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27"/>
        <w:keepNext w:val="0"/>
        <w:keepLines w:val="0"/>
        <w:pageBreakBefore w:val="0"/>
        <w:tabs>
          <w:tab w:val="right" w:leader="dot" w:pos="8969"/>
        </w:tabs>
        <w:kinsoku/>
        <w:wordWrap/>
        <w:overflowPunct/>
        <w:topLinePunct w:val="0"/>
        <w:autoSpaceDE/>
        <w:autoSpaceDN/>
        <w:bidi w:val="0"/>
        <w:adjustRightInd w:val="0"/>
        <w:snapToGrid w:val="0"/>
        <w:spacing w:before="0" w:beforeAutospacing="0" w:after="0" w:line="480" w:lineRule="exact"/>
        <w:ind w:lef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_Toc3400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十二、 其他材料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_Toc3400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keepNext w:val="0"/>
        <w:keepLines w:val="0"/>
        <w:pageBreakBefore w:val="0"/>
        <w:widowControl w:val="0"/>
        <w:kinsoku/>
        <w:wordWrap/>
        <w:overflowPunct/>
        <w:topLinePunct w:val="0"/>
        <w:autoSpaceDE/>
        <w:autoSpaceDN/>
        <w:bidi w:val="0"/>
        <w:adjustRightInd w:val="0"/>
        <w:snapToGrid w:val="0"/>
        <w:spacing w:beforeAutospacing="0" w:line="480" w:lineRule="exact"/>
        <w:ind w:left="0" w:firstLine="420" w:firstLineChars="200"/>
        <w:jc w:val="left"/>
        <w:textAlignment w:val="auto"/>
        <w:rPr>
          <w:color w:val="auto"/>
        </w:rPr>
      </w:pPr>
      <w:r>
        <w:rPr>
          <w:rFonts w:hint="eastAsia" w:ascii="宋体" w:hAnsi="宋体" w:eastAsia="宋体" w:cs="宋体"/>
          <w:color w:val="auto"/>
          <w:sz w:val="21"/>
          <w:szCs w:val="21"/>
        </w:rPr>
        <w:fldChar w:fldCharType="end"/>
      </w:r>
    </w:p>
    <w:p>
      <w:pPr>
        <w:jc w:val="left"/>
        <w:rPr>
          <w:rFonts w:ascii="宋体" w:hAnsi="宋体"/>
          <w:b/>
          <w:bCs/>
          <w:color w:val="auto"/>
          <w:sz w:val="32"/>
          <w:szCs w:val="32"/>
        </w:rPr>
      </w:pPr>
      <w:r>
        <w:rPr>
          <w:rFonts w:hint="eastAsia" w:ascii="宋体" w:hAnsi="宋体"/>
          <w:b/>
          <w:bCs/>
          <w:color w:val="auto"/>
          <w:sz w:val="32"/>
          <w:szCs w:val="32"/>
        </w:rPr>
        <w:br w:type="page"/>
      </w:r>
    </w:p>
    <w:p>
      <w:pPr>
        <w:snapToGrid w:val="0"/>
        <w:spacing w:before="156" w:beforeLines="50"/>
        <w:jc w:val="center"/>
        <w:rPr>
          <w:b/>
          <w:bCs/>
          <w:color w:val="auto"/>
          <w:sz w:val="32"/>
          <w:szCs w:val="32"/>
        </w:rPr>
      </w:pPr>
      <w:r>
        <w:rPr>
          <w:rFonts w:hint="eastAsia" w:ascii="宋体" w:hAnsi="宋体"/>
          <w:b/>
          <w:bCs/>
          <w:color w:val="auto"/>
          <w:sz w:val="32"/>
          <w:szCs w:val="32"/>
        </w:rPr>
        <w:t>特 别 提 示</w:t>
      </w:r>
    </w:p>
    <w:p>
      <w:pPr>
        <w:spacing w:line="360" w:lineRule="auto"/>
        <w:ind w:firstLine="420" w:firstLineChars="200"/>
        <w:rPr>
          <w:rFonts w:ascii="宋体" w:hAnsi="宋体"/>
          <w:color w:val="auto"/>
        </w:rPr>
      </w:pPr>
      <w:r>
        <w:rPr>
          <w:rFonts w:hint="eastAsia" w:ascii="宋体" w:hAnsi="宋体"/>
          <w:color w:val="auto"/>
        </w:rPr>
        <w:t>1、供应商首先通过“河南省公共资源交易中心（</w:t>
      </w:r>
      <w:r>
        <w:rPr>
          <w:color w:val="auto"/>
        </w:rPr>
        <w:fldChar w:fldCharType="begin"/>
      </w:r>
      <w:r>
        <w:rPr>
          <w:color w:val="auto"/>
        </w:rPr>
        <w:instrText xml:space="preserve"> HYPERLINK "http://www.hnggzy.com/" </w:instrText>
      </w:r>
      <w:r>
        <w:rPr>
          <w:color w:val="auto"/>
        </w:rPr>
        <w:fldChar w:fldCharType="separate"/>
      </w:r>
      <w:r>
        <w:rPr>
          <w:rFonts w:hint="eastAsia" w:ascii="宋体" w:hAnsi="宋体"/>
          <w:color w:val="auto"/>
        </w:rPr>
        <w:t>www.hnggzy.net</w:t>
      </w:r>
      <w:r>
        <w:rPr>
          <w:rFonts w:hint="eastAsia" w:ascii="宋体" w:hAnsi="宋体"/>
          <w:color w:val="auto"/>
        </w:rPr>
        <w:fldChar w:fldCharType="end"/>
      </w:r>
      <w:r>
        <w:rPr>
          <w:rFonts w:hint="eastAsia" w:ascii="宋体" w:hAnsi="宋体"/>
          <w:color w:val="auto"/>
        </w:rPr>
        <w:t>）”网站进行注册，然后按网站公共服务（办事指南及下载专区）公共资源项目CA办理流程准备齐注册资料，最后根据《河南省公共资源交易中心关于数字证书（CA）互认功能上线试运行的通知》办理CA密钥，完成注册。</w:t>
      </w:r>
    </w:p>
    <w:p>
      <w:pPr>
        <w:spacing w:line="360" w:lineRule="auto"/>
        <w:ind w:firstLine="420" w:firstLineChars="200"/>
        <w:rPr>
          <w:rFonts w:ascii="宋体" w:hAnsi="宋体"/>
          <w:color w:val="auto"/>
        </w:rPr>
      </w:pPr>
      <w:r>
        <w:rPr>
          <w:rFonts w:hint="eastAsia" w:ascii="宋体" w:hAnsi="宋体"/>
          <w:color w:val="auto"/>
        </w:rPr>
        <w:t>2、投标（响应）文件制作</w:t>
      </w:r>
    </w:p>
    <w:p>
      <w:pPr>
        <w:spacing w:line="360" w:lineRule="auto"/>
        <w:ind w:firstLine="420" w:firstLineChars="200"/>
        <w:rPr>
          <w:rFonts w:ascii="宋体" w:hAnsi="宋体"/>
          <w:color w:val="auto"/>
        </w:rPr>
      </w:pPr>
      <w:r>
        <w:rPr>
          <w:rFonts w:hint="eastAsia" w:ascii="宋体" w:hAnsi="宋体"/>
          <w:color w:val="auto"/>
        </w:rPr>
        <w:t>2.1供应商通过“河南省公共资源交易中心（http://www.hnggzy.net）”网站公共服务（办事指南及下载专区）：下载“响应文件制作工具安装包压缩文件下载”等。</w:t>
      </w:r>
    </w:p>
    <w:p>
      <w:pPr>
        <w:spacing w:line="360" w:lineRule="auto"/>
        <w:ind w:firstLine="420" w:firstLineChars="200"/>
        <w:rPr>
          <w:rFonts w:ascii="宋体" w:hAnsi="宋体"/>
          <w:color w:val="auto"/>
        </w:rPr>
      </w:pPr>
      <w:r>
        <w:rPr>
          <w:rFonts w:hint="eastAsia" w:ascii="宋体" w:hAnsi="宋体"/>
          <w:color w:val="auto"/>
        </w:rPr>
        <w:t>2.2供应商凭CA密钥登陆并按网上提示自行下载每个项目所含格式(.hnzf)的竞争性磋商文件。</w:t>
      </w:r>
    </w:p>
    <w:p>
      <w:pPr>
        <w:spacing w:line="360" w:lineRule="auto"/>
        <w:ind w:firstLine="420" w:firstLineChars="200"/>
        <w:rPr>
          <w:rFonts w:ascii="宋体" w:hAnsi="宋体"/>
          <w:color w:val="auto"/>
        </w:rPr>
      </w:pPr>
      <w:r>
        <w:rPr>
          <w:rFonts w:hint="eastAsia" w:ascii="宋体" w:hAnsi="宋体"/>
          <w:color w:val="auto"/>
        </w:rPr>
        <w:t>2.3供应商须在投标（响应）文件递交截止时间前制作并提交：（1）加密的电子投标（响应）文件（*.hntf格式）,应在投标（响应）文件截止时间前通过“河南省公共资源交易中心（http://www.hnggzy.net）”电子交易平台内上传；</w:t>
      </w:r>
    </w:p>
    <w:p>
      <w:pPr>
        <w:spacing w:line="360" w:lineRule="auto"/>
        <w:ind w:firstLine="420" w:firstLineChars="200"/>
        <w:rPr>
          <w:rFonts w:ascii="宋体" w:hAnsi="宋体"/>
          <w:color w:val="auto"/>
        </w:rPr>
      </w:pPr>
      <w:r>
        <w:rPr>
          <w:rFonts w:hint="eastAsia" w:ascii="宋体" w:hAnsi="宋体"/>
          <w:color w:val="auto"/>
        </w:rPr>
        <w:t>2.4加密的电子投标（响应）文件为“河南省公共资源交易中心（http://www.hnggzy.net）”网站提供的“投标（响应）文件制作工具”软件制作生成的加密版投标（响应）文件。</w:t>
      </w:r>
    </w:p>
    <w:p>
      <w:pPr>
        <w:spacing w:line="360" w:lineRule="auto"/>
        <w:ind w:firstLine="422" w:firstLineChars="200"/>
        <w:rPr>
          <w:rFonts w:ascii="宋体" w:hAnsi="宋体"/>
          <w:b/>
          <w:bCs/>
          <w:color w:val="auto"/>
        </w:rPr>
      </w:pPr>
      <w:r>
        <w:rPr>
          <w:rFonts w:hint="eastAsia" w:ascii="宋体" w:hAnsi="宋体"/>
          <w:b/>
          <w:bCs/>
          <w:color w:val="auto"/>
        </w:rPr>
        <w:t>2.5供应商在制作电子投标（响应）文件时，“投标（响应）文件制作工具”左侧栏目“封面”、“报价一览表”制作完成后须加盖电子签章（包括企业电子签章、个人电子签章）。</w:t>
      </w:r>
    </w:p>
    <w:p>
      <w:pPr>
        <w:spacing w:line="360" w:lineRule="auto"/>
        <w:ind w:firstLine="422" w:firstLineChars="200"/>
        <w:rPr>
          <w:rFonts w:ascii="宋体" w:hAnsi="宋体"/>
          <w:b/>
          <w:bCs/>
          <w:color w:val="auto"/>
        </w:rPr>
      </w:pPr>
      <w:r>
        <w:rPr>
          <w:rFonts w:hint="eastAsia" w:ascii="宋体" w:hAnsi="宋体"/>
          <w:b/>
          <w:bCs/>
          <w:color w:val="auto"/>
        </w:rPr>
        <w:t>2.6竞争性磋商文件格式所要求包含的全部资料应全部制作在响应文件内，严格按照本项目竞争性磋商文件所有格式如实填写（不涉及的内容除外），不应存在漏项或缺项，否则将存在投标（响应）文件被拒绝的风险。报价一览表，须严格按照格式编辑，并作为电子开评标系统上传的依据。“投标（响应）文件制作工具”左侧栏目中“报价一览表”为公共资源交易中心系统默认设置，该“报价一览表”若与竞争性磋商文件中规定格式不一致，不作为实质性条款及废标条款。</w:t>
      </w:r>
    </w:p>
    <w:p>
      <w:pPr>
        <w:spacing w:line="360" w:lineRule="auto"/>
        <w:ind w:firstLine="420" w:firstLineChars="200"/>
        <w:rPr>
          <w:rFonts w:ascii="宋体" w:hAnsi="宋体"/>
          <w:color w:val="auto"/>
        </w:rPr>
      </w:pPr>
      <w:r>
        <w:rPr>
          <w:rFonts w:hint="eastAsia" w:ascii="宋体" w:hAnsi="宋体"/>
          <w:color w:val="auto"/>
        </w:rPr>
        <w:t>2.7供应商（供应商）编制投标（响应）文件时，涉及营业执照、资质、业绩、获奖、人员、财务、社保、纳税、各类证书等内容，应及时对市场主体信息库的相关内容进行补充、更新。</w:t>
      </w:r>
    </w:p>
    <w:p>
      <w:pPr>
        <w:spacing w:line="360" w:lineRule="auto"/>
        <w:ind w:firstLine="420" w:firstLineChars="200"/>
        <w:rPr>
          <w:rFonts w:ascii="宋体" w:hAnsi="宋体"/>
          <w:color w:val="auto"/>
        </w:rPr>
      </w:pPr>
      <w:r>
        <w:rPr>
          <w:rFonts w:hint="eastAsia" w:ascii="宋体" w:hAnsi="宋体"/>
          <w:color w:val="auto"/>
        </w:rPr>
        <w:t>2.8供应商编辑电子投标（响应）文件时，根据竞争性磋商文件要求用法人CA密钥和企业CA密钥进行签章制作；最后一步生成电子响应文件（*.hntf格式和*.nhntf格式）时，只能用本单位的企业CA密钥。</w:t>
      </w:r>
    </w:p>
    <w:p>
      <w:pPr>
        <w:spacing w:line="360" w:lineRule="auto"/>
        <w:ind w:firstLine="420" w:firstLineChars="200"/>
        <w:rPr>
          <w:rFonts w:ascii="宋体" w:hAnsi="宋体"/>
          <w:color w:val="auto"/>
        </w:rPr>
      </w:pPr>
      <w:r>
        <w:rPr>
          <w:rFonts w:hint="eastAsia" w:ascii="宋体" w:hAnsi="宋体"/>
          <w:color w:val="auto"/>
        </w:rPr>
        <w:t>3、澄清与变更</w:t>
      </w:r>
    </w:p>
    <w:p>
      <w:pPr>
        <w:spacing w:line="360" w:lineRule="auto"/>
        <w:ind w:firstLine="420" w:firstLineChars="200"/>
        <w:rPr>
          <w:rFonts w:ascii="宋体" w:hAnsi="宋体"/>
          <w:color w:val="auto"/>
        </w:rPr>
      </w:pPr>
      <w:r>
        <w:rPr>
          <w:rFonts w:hint="eastAsia" w:ascii="宋体" w:hAnsi="宋体"/>
          <w:color w:val="auto"/>
        </w:rPr>
        <w:t>采购人、采购代理机构对已发出的竞争性磋商文件进行的澄清、更正或更改，澄清、更正或更改的内容将作为竞争性磋商文件的组成部分。采购代理机构将通过网站“变更公告”和系统内部“答疑文件”告知供应商，对于各项目中已经成功报名并下载竞争性磋商文件的项目供应商，系统将通过第三方短信群发方式提醒供应商进行查询。各供应商须重新下载最新的竞争性磋商文件和答疑文件，以此编制响应文件。供应商注册时所留手机联系方式要保持畅通，因联系方式变更而未及时更新系统内联系方式的，将会造成收不到短信。此短信仅系友情提示，并不具有任何约束性和必要性，采购代理机构不承担供应商未收到短信而引起的一切后果和法律责任。</w:t>
      </w:r>
    </w:p>
    <w:p>
      <w:pPr>
        <w:numPr>
          <w:ilvl w:val="0"/>
          <w:numId w:val="1"/>
        </w:numPr>
        <w:spacing w:line="360" w:lineRule="auto"/>
        <w:ind w:firstLine="420" w:firstLineChars="200"/>
        <w:rPr>
          <w:rFonts w:ascii="宋体" w:hAnsi="宋体"/>
          <w:color w:val="auto"/>
        </w:rPr>
      </w:pPr>
      <w:r>
        <w:rPr>
          <w:rFonts w:hint="eastAsia" w:ascii="宋体" w:hAnsi="宋体"/>
          <w:color w:val="auto"/>
        </w:rPr>
        <w:t>因河南省公共资源交易中心平台在开标前具有保密性，供应商在响应文件递交截止时间前须自行查看项目进展、变更通知、澄清及回复，因供应商未及时查看而造成的后果自负。</w:t>
      </w:r>
    </w:p>
    <w:p>
      <w:pPr>
        <w:numPr>
          <w:ilvl w:val="0"/>
          <w:numId w:val="1"/>
        </w:numPr>
        <w:spacing w:line="360" w:lineRule="auto"/>
        <w:ind w:firstLine="422" w:firstLineChars="200"/>
        <w:rPr>
          <w:rFonts w:ascii="宋体" w:hAnsi="宋体"/>
          <w:b/>
          <w:bCs/>
          <w:color w:val="auto"/>
        </w:rPr>
      </w:pPr>
      <w:r>
        <w:rPr>
          <w:rFonts w:hint="eastAsia" w:ascii="宋体" w:hAnsi="宋体"/>
          <w:b/>
          <w:bCs/>
          <w:color w:val="auto"/>
        </w:rPr>
        <w:t>根据《河南省发展和改革委员会关于对〈关于认定供应商响应文件制作机器码一致视为串通投标行为的请示〉相关问题的批复》（豫发改公管〔2019〕198号的文件精神，如出现“响应文件制作机器码一致”的情形，响应文件制作机器码一致的响应文件均作无效标处理。</w:t>
      </w:r>
    </w:p>
    <w:p>
      <w:pPr>
        <w:numPr>
          <w:ilvl w:val="0"/>
          <w:numId w:val="1"/>
        </w:numPr>
        <w:spacing w:line="360" w:lineRule="auto"/>
        <w:ind w:firstLine="422" w:firstLineChars="200"/>
        <w:rPr>
          <w:rFonts w:ascii="宋体" w:hAnsi="宋体"/>
          <w:b/>
          <w:bCs/>
          <w:color w:val="auto"/>
        </w:rPr>
      </w:pPr>
      <w:r>
        <w:rPr>
          <w:rFonts w:hint="eastAsia" w:ascii="宋体" w:hAnsi="宋体"/>
          <w:b/>
          <w:bCs/>
          <w:color w:val="auto"/>
        </w:rPr>
        <w:t>投标保证金：本项目不收取投标保证金，若交易中心系统内开标一览表确需填写，保证金金额可以填写“0”。</w:t>
      </w:r>
    </w:p>
    <w:p>
      <w:pPr>
        <w:numPr>
          <w:ilvl w:val="0"/>
          <w:numId w:val="1"/>
        </w:numPr>
        <w:spacing w:line="360" w:lineRule="auto"/>
        <w:ind w:firstLine="422" w:firstLineChars="200"/>
        <w:rPr>
          <w:rFonts w:ascii="宋体" w:hAnsi="宋体"/>
          <w:b/>
          <w:bCs/>
          <w:color w:val="auto"/>
        </w:rPr>
      </w:pPr>
      <w:r>
        <w:rPr>
          <w:rFonts w:hint="eastAsia" w:ascii="宋体" w:hAnsi="宋体"/>
          <w:b/>
          <w:bCs/>
          <w:color w:val="auto"/>
        </w:rPr>
        <w:t>请参照河南省公共资源交易中心首页-公共服务-办事指南-《河南省公共资源交易平台不见面服务系统使用指南》，本次项目实行远程不见面招标。</w:t>
      </w:r>
    </w:p>
    <w:p>
      <w:pPr>
        <w:numPr>
          <w:ilvl w:val="0"/>
          <w:numId w:val="1"/>
        </w:numPr>
        <w:spacing w:line="360" w:lineRule="auto"/>
        <w:ind w:firstLine="422" w:firstLineChars="200"/>
        <w:rPr>
          <w:rFonts w:ascii="宋体" w:hAnsi="宋体"/>
          <w:b/>
          <w:bCs/>
          <w:color w:val="auto"/>
        </w:rPr>
      </w:pPr>
      <w:r>
        <w:rPr>
          <w:rFonts w:hint="eastAsia" w:ascii="宋体" w:hAnsi="宋体"/>
          <w:b/>
          <w:bCs/>
          <w:color w:val="auto"/>
        </w:rPr>
        <w:t>未到现场解密的供应商，请持编制响应文件的CA钥匙进行在线远程解密，逾期解密或超时解密将被拒绝。</w:t>
      </w:r>
    </w:p>
    <w:p>
      <w:pPr>
        <w:numPr>
          <w:ilvl w:val="0"/>
          <w:numId w:val="1"/>
        </w:numPr>
        <w:spacing w:line="360" w:lineRule="auto"/>
        <w:ind w:firstLine="422" w:firstLineChars="200"/>
        <w:rPr>
          <w:rFonts w:ascii="宋体" w:hAnsi="宋体"/>
          <w:b/>
          <w:bCs/>
          <w:color w:val="auto"/>
        </w:rPr>
      </w:pPr>
      <w:r>
        <w:rPr>
          <w:rFonts w:hint="eastAsia" w:ascii="宋体" w:hAnsi="宋体"/>
          <w:b/>
          <w:bCs/>
          <w:color w:val="auto"/>
        </w:rPr>
        <w:t>各供应商请注意根据竞争性磋商文件要求，在规定的时间内完成第二轮报价。</w:t>
      </w:r>
    </w:p>
    <w:p>
      <w:pPr>
        <w:rPr>
          <w:rFonts w:ascii="宋体" w:hAnsi="宋体"/>
          <w:b/>
          <w:bCs/>
          <w:color w:val="auto"/>
          <w:kern w:val="44"/>
          <w:sz w:val="32"/>
          <w:szCs w:val="32"/>
        </w:rPr>
      </w:pPr>
      <w:r>
        <w:rPr>
          <w:rFonts w:hint="eastAsia" w:ascii="宋体" w:hAnsi="宋体"/>
          <w:b/>
          <w:bCs/>
          <w:color w:val="auto"/>
          <w:kern w:val="44"/>
          <w:sz w:val="32"/>
          <w:szCs w:val="32"/>
        </w:rPr>
        <w:br w:type="page"/>
      </w:r>
    </w:p>
    <w:p>
      <w:pPr>
        <w:pStyle w:val="27"/>
        <w:spacing w:line="312" w:lineRule="auto"/>
        <w:ind w:left="0"/>
        <w:jc w:val="center"/>
        <w:outlineLvl w:val="0"/>
        <w:rPr>
          <w:rFonts w:ascii="宋体" w:hAnsi="宋体"/>
          <w:b/>
          <w:bCs/>
          <w:color w:val="auto"/>
          <w:kern w:val="44"/>
          <w:sz w:val="32"/>
          <w:szCs w:val="32"/>
        </w:rPr>
      </w:pPr>
      <w:bookmarkStart w:id="8" w:name="_Toc20327"/>
      <w:bookmarkEnd w:id="8"/>
      <w:bookmarkStart w:id="9" w:name="_Toc2182"/>
      <w:bookmarkStart w:id="10" w:name="_Toc1038"/>
      <w:bookmarkStart w:id="11" w:name="_Toc9698"/>
      <w:bookmarkStart w:id="12" w:name="_Toc5854"/>
      <w:bookmarkStart w:id="13" w:name="_Toc19726"/>
      <w:bookmarkStart w:id="14" w:name="_Toc129073454"/>
      <w:r>
        <w:rPr>
          <w:rFonts w:hint="eastAsia" w:ascii="宋体" w:hAnsi="宋体"/>
          <w:b/>
          <w:bCs/>
          <w:color w:val="auto"/>
          <w:kern w:val="44"/>
          <w:sz w:val="32"/>
          <w:szCs w:val="32"/>
        </w:rPr>
        <w:t>第一章  竞争性磋商公告</w:t>
      </w:r>
      <w:bookmarkEnd w:id="9"/>
      <w:bookmarkEnd w:id="10"/>
      <w:bookmarkEnd w:id="11"/>
      <w:bookmarkEnd w:id="12"/>
      <w:bookmarkEnd w:id="13"/>
      <w:bookmarkEnd w:id="14"/>
    </w:p>
    <w:p>
      <w:pPr>
        <w:spacing w:line="360" w:lineRule="auto"/>
        <w:jc w:val="center"/>
        <w:rPr>
          <w:rFonts w:ascii="宋体" w:hAnsi="宋体"/>
          <w:b/>
          <w:bCs/>
          <w:color w:val="auto"/>
          <w:sz w:val="24"/>
          <w:szCs w:val="24"/>
        </w:rPr>
      </w:pPr>
      <w:bookmarkStart w:id="15" w:name="_Toc20071"/>
      <w:bookmarkEnd w:id="15"/>
      <w:r>
        <w:rPr>
          <w:rFonts w:hint="eastAsia" w:ascii="宋体" w:hAnsi="宋体"/>
          <w:b/>
          <w:bCs/>
          <w:color w:val="auto"/>
          <w:sz w:val="24"/>
          <w:szCs w:val="24"/>
        </w:rPr>
        <w:t>邓州市人民法院审判法庭和青少年法治教育基地综合布线项目</w:t>
      </w:r>
    </w:p>
    <w:p>
      <w:pPr>
        <w:spacing w:line="360" w:lineRule="auto"/>
        <w:jc w:val="center"/>
        <w:rPr>
          <w:rFonts w:ascii="宋体" w:hAnsi="宋体"/>
          <w:b/>
          <w:bCs/>
          <w:color w:val="auto"/>
          <w:sz w:val="24"/>
          <w:szCs w:val="24"/>
        </w:rPr>
      </w:pPr>
      <w:r>
        <w:rPr>
          <w:rFonts w:hint="eastAsia" w:ascii="宋体" w:hAnsi="宋体"/>
          <w:b/>
          <w:bCs/>
          <w:color w:val="auto"/>
          <w:sz w:val="24"/>
          <w:szCs w:val="24"/>
        </w:rPr>
        <w:t>竞争性磋商公告</w:t>
      </w:r>
    </w:p>
    <w:p>
      <w:pPr>
        <w:widowControl/>
        <w:spacing w:line="360" w:lineRule="auto"/>
        <w:jc w:val="left"/>
        <w:rPr>
          <w:rFonts w:ascii="宋体" w:hAnsi="宋体"/>
          <w:b/>
          <w:bCs/>
          <w:color w:val="auto"/>
        </w:rPr>
      </w:pPr>
      <w:bookmarkStart w:id="16" w:name="_Toc28883314"/>
      <w:bookmarkEnd w:id="16"/>
      <w:bookmarkStart w:id="17" w:name="_Toc21785"/>
      <w:r>
        <w:rPr>
          <w:rFonts w:hint="eastAsia" w:ascii="宋体" w:hAnsi="宋体"/>
          <w:b/>
          <w:bCs/>
          <w:color w:val="auto"/>
        </w:rPr>
        <w:t>项目概况</w:t>
      </w:r>
      <w:bookmarkEnd w:id="17"/>
    </w:p>
    <w:p>
      <w:pPr>
        <w:spacing w:line="360" w:lineRule="auto"/>
        <w:ind w:firstLine="420" w:firstLineChars="200"/>
        <w:rPr>
          <w:color w:val="auto"/>
          <w:highlight w:val="none"/>
        </w:rPr>
      </w:pPr>
      <w:r>
        <w:rPr>
          <w:rFonts w:hint="eastAsia"/>
          <w:color w:val="auto"/>
        </w:rPr>
        <w:t>邓州市人民法院审判法庭和青少年法治教育基地综合布线项目招标项目的潜在</w:t>
      </w:r>
      <w:r>
        <w:rPr>
          <w:rFonts w:hint="eastAsia"/>
          <w:color w:val="auto"/>
          <w:lang w:eastAsia="zh-CN"/>
        </w:rPr>
        <w:t>供应商</w:t>
      </w:r>
      <w:r>
        <w:rPr>
          <w:rFonts w:hint="eastAsia"/>
          <w:color w:val="auto"/>
        </w:rPr>
        <w:t>应在河南省公共资源交易中心网站获取</w:t>
      </w:r>
      <w:r>
        <w:rPr>
          <w:rFonts w:hint="eastAsia"/>
          <w:color w:val="auto"/>
          <w:lang w:val="en-US" w:eastAsia="zh-CN"/>
        </w:rPr>
        <w:t>招标</w:t>
      </w:r>
      <w:r>
        <w:rPr>
          <w:rFonts w:hint="eastAsia"/>
          <w:color w:val="auto"/>
        </w:rPr>
        <w:t>文件</w:t>
      </w:r>
      <w:r>
        <w:rPr>
          <w:rFonts w:hint="eastAsia"/>
          <w:color w:val="auto"/>
          <w:highlight w:val="none"/>
        </w:rPr>
        <w:t>，并于2024年</w:t>
      </w:r>
      <w:r>
        <w:rPr>
          <w:rFonts w:hint="eastAsia"/>
          <w:color w:val="auto"/>
          <w:highlight w:val="none"/>
          <w:lang w:val="en-US" w:eastAsia="zh-CN"/>
        </w:rPr>
        <w:t>5</w:t>
      </w:r>
      <w:r>
        <w:rPr>
          <w:rFonts w:hint="eastAsia"/>
          <w:color w:val="auto"/>
          <w:highlight w:val="none"/>
        </w:rPr>
        <w:t>月</w:t>
      </w:r>
      <w:r>
        <w:rPr>
          <w:rFonts w:hint="eastAsia"/>
          <w:color w:val="auto"/>
          <w:highlight w:val="none"/>
          <w:lang w:val="en-US" w:eastAsia="zh-CN"/>
        </w:rPr>
        <w:t>30</w:t>
      </w:r>
      <w:r>
        <w:rPr>
          <w:rFonts w:hint="eastAsia"/>
          <w:color w:val="auto"/>
          <w:highlight w:val="none"/>
        </w:rPr>
        <w:t>日09时00分（北京时间）前递交响应文件。</w:t>
      </w:r>
    </w:p>
    <w:p>
      <w:pPr>
        <w:widowControl/>
        <w:spacing w:line="360" w:lineRule="auto"/>
        <w:jc w:val="left"/>
        <w:rPr>
          <w:rFonts w:ascii="宋体" w:hAnsi="宋体"/>
          <w:b/>
          <w:bCs/>
          <w:color w:val="auto"/>
          <w:highlight w:val="none"/>
        </w:rPr>
      </w:pPr>
      <w:r>
        <w:rPr>
          <w:rFonts w:hint="eastAsia" w:ascii="宋体" w:hAnsi="宋体"/>
          <w:b/>
          <w:bCs/>
          <w:color w:val="auto"/>
          <w:highlight w:val="none"/>
        </w:rPr>
        <w:t>一、项目基本情况</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1、项目编号：</w:t>
      </w:r>
      <w:r>
        <w:rPr>
          <w:rFonts w:hint="eastAsia" w:ascii="宋体" w:hAnsi="宋体"/>
          <w:color w:val="auto"/>
          <w:highlight w:val="none"/>
          <w:lang w:eastAsia="zh-CN"/>
        </w:rPr>
        <w:t>豫财磋商采购-2024-338</w:t>
      </w:r>
      <w:r>
        <w:rPr>
          <w:rFonts w:hint="eastAsia" w:ascii="宋体" w:hAnsi="宋体"/>
          <w:color w:val="auto"/>
          <w:highlight w:val="none"/>
        </w:rPr>
        <w:t>；</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2、项目名称：邓州市人民法院审判法庭和青少年法治教育基地综合布线项目；</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3、采购方式：竞争性磋商；</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4、预算金额：</w:t>
      </w:r>
      <w:r>
        <w:rPr>
          <w:rFonts w:hint="eastAsia" w:ascii="宋体" w:hAnsi="宋体"/>
          <w:color w:val="auto"/>
          <w:highlight w:val="none"/>
          <w:lang w:eastAsia="zh-CN"/>
        </w:rPr>
        <w:t>3441170.64</w:t>
      </w:r>
      <w:r>
        <w:rPr>
          <w:rFonts w:hint="eastAsia" w:ascii="宋体" w:hAnsi="宋体"/>
          <w:color w:val="auto"/>
          <w:highlight w:val="none"/>
        </w:rPr>
        <w:t>元；</w:t>
      </w:r>
    </w:p>
    <w:p>
      <w:pPr>
        <w:widowControl/>
        <w:spacing w:line="360" w:lineRule="auto"/>
        <w:ind w:firstLine="630" w:firstLineChars="300"/>
        <w:jc w:val="left"/>
        <w:rPr>
          <w:rFonts w:ascii="宋体" w:hAnsi="宋体"/>
          <w:color w:val="auto"/>
          <w:highlight w:val="none"/>
        </w:rPr>
      </w:pPr>
      <w:r>
        <w:rPr>
          <w:rFonts w:hint="eastAsia" w:ascii="宋体" w:hAnsi="宋体"/>
          <w:color w:val="auto"/>
          <w:highlight w:val="none"/>
        </w:rPr>
        <w:t>最高限价：</w:t>
      </w:r>
      <w:r>
        <w:rPr>
          <w:rFonts w:hint="eastAsia" w:ascii="宋体" w:hAnsi="宋体"/>
          <w:color w:val="auto"/>
          <w:highlight w:val="none"/>
          <w:lang w:eastAsia="zh-CN"/>
        </w:rPr>
        <w:t>3441170.64</w:t>
      </w:r>
      <w:r>
        <w:rPr>
          <w:rFonts w:hint="eastAsia" w:ascii="宋体" w:hAnsi="宋体"/>
          <w:color w:val="auto"/>
          <w:highlight w:val="none"/>
        </w:rPr>
        <w:t>元；</w:t>
      </w:r>
    </w:p>
    <w:tbl>
      <w:tblPr>
        <w:tblStyle w:val="33"/>
        <w:tblW w:w="504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54"/>
        <w:gridCol w:w="1131"/>
        <w:gridCol w:w="2277"/>
        <w:gridCol w:w="1127"/>
        <w:gridCol w:w="1271"/>
        <w:gridCol w:w="1214"/>
        <w:gridCol w:w="145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1" w:hRule="atLeast"/>
          <w:jc w:val="center"/>
        </w:trPr>
        <w:tc>
          <w:tcPr>
            <w:tcW w:w="649" w:type="dxa"/>
            <w:tcBorders>
              <w:top w:val="inset" w:color="auto" w:sz="6" w:space="0"/>
              <w:left w:val="inset" w:color="auto" w:sz="6" w:space="0"/>
              <w:bottom w:val="inset" w:color="auto" w:sz="6" w:space="0"/>
              <w:right w:val="inset" w:color="auto" w:sz="6" w:space="0"/>
            </w:tcBorders>
            <w:vAlign w:val="center"/>
          </w:tcPr>
          <w:p>
            <w:pPr>
              <w:spacing w:line="360" w:lineRule="auto"/>
              <w:jc w:val="center"/>
              <w:rPr>
                <w:rFonts w:ascii="宋体" w:hAnsi="宋体"/>
                <w:color w:val="auto"/>
              </w:rPr>
            </w:pPr>
            <w:r>
              <w:rPr>
                <w:rFonts w:hint="eastAsia" w:ascii="宋体" w:hAnsi="宋体"/>
                <w:color w:val="auto"/>
              </w:rPr>
              <w:t>序号</w:t>
            </w:r>
          </w:p>
        </w:tc>
        <w:tc>
          <w:tcPr>
            <w:tcW w:w="1122" w:type="dxa"/>
            <w:tcBorders>
              <w:top w:val="inset" w:color="auto" w:sz="6" w:space="0"/>
              <w:left w:val="nil"/>
              <w:bottom w:val="inset" w:color="auto" w:sz="6" w:space="0"/>
              <w:right w:val="inset" w:color="auto" w:sz="6" w:space="0"/>
            </w:tcBorders>
            <w:vAlign w:val="center"/>
          </w:tcPr>
          <w:p>
            <w:pPr>
              <w:spacing w:line="360" w:lineRule="auto"/>
              <w:jc w:val="center"/>
              <w:rPr>
                <w:rFonts w:ascii="宋体" w:hAnsi="宋体"/>
                <w:color w:val="auto"/>
              </w:rPr>
            </w:pPr>
            <w:r>
              <w:rPr>
                <w:rFonts w:hint="eastAsia" w:ascii="宋体" w:hAnsi="宋体"/>
                <w:color w:val="auto"/>
              </w:rPr>
              <w:t>包号</w:t>
            </w:r>
          </w:p>
        </w:tc>
        <w:tc>
          <w:tcPr>
            <w:tcW w:w="2259" w:type="dxa"/>
            <w:tcBorders>
              <w:top w:val="inset" w:color="auto" w:sz="6" w:space="0"/>
              <w:left w:val="nil"/>
              <w:bottom w:val="inset" w:color="auto" w:sz="6" w:space="0"/>
              <w:right w:val="inset" w:color="auto" w:sz="6" w:space="0"/>
            </w:tcBorders>
            <w:vAlign w:val="center"/>
          </w:tcPr>
          <w:p>
            <w:pPr>
              <w:spacing w:line="360" w:lineRule="auto"/>
              <w:jc w:val="center"/>
              <w:rPr>
                <w:rFonts w:ascii="宋体" w:hAnsi="宋体"/>
                <w:color w:val="auto"/>
              </w:rPr>
            </w:pPr>
            <w:r>
              <w:rPr>
                <w:rFonts w:hint="eastAsia" w:ascii="宋体" w:hAnsi="宋体"/>
                <w:color w:val="auto"/>
              </w:rPr>
              <w:t>包名称</w:t>
            </w:r>
          </w:p>
        </w:tc>
        <w:tc>
          <w:tcPr>
            <w:tcW w:w="1118" w:type="dxa"/>
            <w:tcBorders>
              <w:top w:val="inset" w:color="auto" w:sz="6" w:space="0"/>
              <w:left w:val="nil"/>
              <w:bottom w:val="inset" w:color="auto" w:sz="6" w:space="0"/>
              <w:right w:val="inset" w:color="auto" w:sz="6" w:space="0"/>
            </w:tcBorders>
            <w:vAlign w:val="center"/>
          </w:tcPr>
          <w:p>
            <w:pPr>
              <w:spacing w:line="360" w:lineRule="auto"/>
              <w:jc w:val="center"/>
              <w:rPr>
                <w:rFonts w:ascii="宋体" w:hAnsi="宋体"/>
                <w:color w:val="auto"/>
              </w:rPr>
            </w:pPr>
            <w:r>
              <w:rPr>
                <w:rFonts w:hint="eastAsia" w:ascii="宋体" w:hAnsi="宋体"/>
                <w:color w:val="auto"/>
              </w:rPr>
              <w:t>包预算</w:t>
            </w:r>
          </w:p>
          <w:p>
            <w:pPr>
              <w:spacing w:line="360" w:lineRule="auto"/>
              <w:jc w:val="center"/>
              <w:rPr>
                <w:rFonts w:ascii="宋体" w:hAnsi="宋体"/>
                <w:color w:val="auto"/>
              </w:rPr>
            </w:pPr>
            <w:r>
              <w:rPr>
                <w:rFonts w:hint="eastAsia" w:ascii="宋体" w:hAnsi="宋体"/>
                <w:color w:val="auto"/>
              </w:rPr>
              <w:t>（元）</w:t>
            </w:r>
          </w:p>
        </w:tc>
        <w:tc>
          <w:tcPr>
            <w:tcW w:w="1261" w:type="dxa"/>
            <w:tcBorders>
              <w:top w:val="inset" w:color="auto" w:sz="6" w:space="0"/>
              <w:left w:val="nil"/>
              <w:bottom w:val="inset" w:color="auto" w:sz="6" w:space="0"/>
              <w:right w:val="inset" w:color="auto" w:sz="6" w:space="0"/>
            </w:tcBorders>
            <w:vAlign w:val="center"/>
          </w:tcPr>
          <w:p>
            <w:pPr>
              <w:snapToGrid w:val="0"/>
              <w:spacing w:line="360" w:lineRule="auto"/>
              <w:jc w:val="center"/>
              <w:rPr>
                <w:rFonts w:ascii="宋体" w:hAnsi="宋体"/>
                <w:color w:val="auto"/>
              </w:rPr>
            </w:pPr>
            <w:r>
              <w:rPr>
                <w:rFonts w:hint="eastAsia" w:ascii="宋体" w:hAnsi="宋体"/>
                <w:color w:val="auto"/>
              </w:rPr>
              <w:t>包最高限价</w:t>
            </w:r>
          </w:p>
          <w:p>
            <w:pPr>
              <w:snapToGrid w:val="0"/>
              <w:spacing w:line="360" w:lineRule="auto"/>
              <w:jc w:val="center"/>
              <w:rPr>
                <w:rFonts w:ascii="宋体" w:hAnsi="宋体"/>
                <w:color w:val="auto"/>
              </w:rPr>
            </w:pPr>
            <w:r>
              <w:rPr>
                <w:rFonts w:hint="eastAsia" w:ascii="宋体" w:hAnsi="宋体"/>
                <w:color w:val="auto"/>
              </w:rPr>
              <w:t>（元）</w:t>
            </w:r>
          </w:p>
        </w:tc>
        <w:tc>
          <w:tcPr>
            <w:tcW w:w="1204" w:type="dxa"/>
            <w:tcBorders>
              <w:top w:val="inset" w:color="auto" w:sz="6" w:space="0"/>
              <w:left w:val="nil"/>
              <w:bottom w:val="inset" w:color="auto" w:sz="6" w:space="0"/>
              <w:right w:val="inset" w:color="auto" w:sz="6" w:space="0"/>
            </w:tcBorders>
            <w:vAlign w:val="center"/>
          </w:tcPr>
          <w:p>
            <w:pPr>
              <w:adjustRightInd w:val="0"/>
              <w:snapToGrid w:val="0"/>
              <w:spacing w:line="440" w:lineRule="exact"/>
              <w:jc w:val="center"/>
              <w:textAlignment w:val="baseline"/>
              <w:rPr>
                <w:rFonts w:ascii="宋体" w:hAnsi="宋体"/>
                <w:color w:val="auto"/>
              </w:rPr>
            </w:pPr>
            <w:r>
              <w:rPr>
                <w:rStyle w:val="69"/>
                <w:rFonts w:hint="eastAsia" w:ascii="宋体" w:hAnsi="宋体" w:cs="宋体"/>
                <w:color w:val="auto"/>
              </w:rPr>
              <w:t>是否专门面向中小企业</w:t>
            </w:r>
          </w:p>
        </w:tc>
        <w:tc>
          <w:tcPr>
            <w:tcW w:w="1441" w:type="dxa"/>
            <w:tcBorders>
              <w:top w:val="inset" w:color="auto" w:sz="6" w:space="0"/>
              <w:left w:val="nil"/>
              <w:bottom w:val="inset" w:color="auto" w:sz="6" w:space="0"/>
              <w:right w:val="inset" w:color="auto" w:sz="6" w:space="0"/>
            </w:tcBorders>
            <w:vAlign w:val="center"/>
          </w:tcPr>
          <w:p>
            <w:pPr>
              <w:adjustRightInd w:val="0"/>
              <w:snapToGrid w:val="0"/>
              <w:spacing w:line="440" w:lineRule="exact"/>
              <w:jc w:val="center"/>
              <w:textAlignment w:val="baseline"/>
              <w:rPr>
                <w:rStyle w:val="69"/>
                <w:rFonts w:ascii="宋体" w:hAnsi="宋体" w:cs="宋体"/>
                <w:color w:val="auto"/>
              </w:rPr>
            </w:pPr>
            <w:r>
              <w:rPr>
                <w:rStyle w:val="69"/>
                <w:rFonts w:hint="eastAsia" w:ascii="宋体" w:hAnsi="宋体" w:cs="宋体"/>
                <w:color w:val="auto"/>
              </w:rPr>
              <w:t>采购预留金额</w:t>
            </w:r>
          </w:p>
          <w:p>
            <w:pPr>
              <w:adjustRightInd w:val="0"/>
              <w:snapToGrid w:val="0"/>
              <w:spacing w:line="440" w:lineRule="exact"/>
              <w:jc w:val="center"/>
              <w:textAlignment w:val="baseline"/>
              <w:rPr>
                <w:rFonts w:ascii="宋体" w:hAnsi="宋体"/>
                <w:color w:val="auto"/>
              </w:rPr>
            </w:pPr>
            <w:r>
              <w:rPr>
                <w:rStyle w:val="69"/>
                <w:rFonts w:hint="eastAsia" w:ascii="宋体" w:hAnsi="宋体" w:cs="宋体"/>
                <w:color w:val="auto"/>
              </w:rPr>
              <w:t>（元）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6" w:hRule="atLeast"/>
          <w:jc w:val="center"/>
        </w:trPr>
        <w:tc>
          <w:tcPr>
            <w:tcW w:w="649" w:type="dxa"/>
            <w:tcBorders>
              <w:top w:val="inset" w:color="auto" w:sz="6" w:space="0"/>
              <w:left w:val="inset" w:color="auto" w:sz="6" w:space="0"/>
              <w:bottom w:val="inset" w:color="auto" w:sz="6" w:space="0"/>
              <w:right w:val="inset" w:color="auto" w:sz="6" w:space="0"/>
            </w:tcBorders>
            <w:vAlign w:val="center"/>
          </w:tcPr>
          <w:p>
            <w:pPr>
              <w:spacing w:line="360" w:lineRule="auto"/>
              <w:jc w:val="center"/>
              <w:rPr>
                <w:rFonts w:ascii="宋体" w:hAnsi="宋体"/>
                <w:color w:val="auto"/>
              </w:rPr>
            </w:pPr>
            <w:r>
              <w:rPr>
                <w:rFonts w:hint="eastAsia" w:ascii="宋体" w:hAnsi="宋体"/>
                <w:color w:val="auto"/>
              </w:rPr>
              <w:t>1</w:t>
            </w:r>
          </w:p>
        </w:tc>
        <w:tc>
          <w:tcPr>
            <w:tcW w:w="1122" w:type="dxa"/>
            <w:tcBorders>
              <w:top w:val="inset" w:color="auto" w:sz="6" w:space="0"/>
              <w:left w:val="nil"/>
              <w:bottom w:val="inset" w:color="auto" w:sz="6" w:space="0"/>
              <w:right w:val="inset" w:color="auto" w:sz="6" w:space="0"/>
            </w:tcBorders>
            <w:vAlign w:val="center"/>
          </w:tcPr>
          <w:p>
            <w:pPr>
              <w:spacing w:line="360" w:lineRule="auto"/>
              <w:jc w:val="center"/>
              <w:rPr>
                <w:rFonts w:hint="eastAsia" w:ascii="宋体" w:hAnsi="宋体"/>
                <w:color w:val="auto"/>
                <w:highlight w:val="none"/>
              </w:rPr>
            </w:pPr>
            <w:r>
              <w:rPr>
                <w:rFonts w:hint="eastAsia" w:ascii="宋体" w:hAnsi="宋体"/>
                <w:color w:val="auto"/>
                <w:highlight w:val="none"/>
              </w:rPr>
              <w:t>豫政采(2)20240512-1</w:t>
            </w:r>
          </w:p>
        </w:tc>
        <w:tc>
          <w:tcPr>
            <w:tcW w:w="2259" w:type="dxa"/>
            <w:tcBorders>
              <w:top w:val="inset" w:color="auto" w:sz="6" w:space="0"/>
              <w:left w:val="nil"/>
              <w:bottom w:val="inset" w:color="auto" w:sz="6" w:space="0"/>
              <w:right w:val="inset" w:color="auto" w:sz="6" w:space="0"/>
            </w:tcBorders>
            <w:vAlign w:val="center"/>
          </w:tcPr>
          <w:p>
            <w:pPr>
              <w:spacing w:line="360" w:lineRule="auto"/>
              <w:jc w:val="center"/>
              <w:rPr>
                <w:rFonts w:hint="eastAsia" w:ascii="宋体" w:hAnsi="宋体"/>
                <w:color w:val="auto"/>
                <w:highlight w:val="none"/>
              </w:rPr>
            </w:pPr>
            <w:r>
              <w:rPr>
                <w:rFonts w:hint="eastAsia" w:ascii="宋体" w:hAnsi="宋体"/>
                <w:color w:val="auto"/>
                <w:highlight w:val="none"/>
              </w:rPr>
              <w:t>邓州市人民法院审判法庭和青少年法治教育基地综合布线项目</w:t>
            </w:r>
          </w:p>
        </w:tc>
        <w:tc>
          <w:tcPr>
            <w:tcW w:w="1118" w:type="dxa"/>
            <w:tcBorders>
              <w:top w:val="inset" w:color="auto" w:sz="6" w:space="0"/>
              <w:left w:val="nil"/>
              <w:bottom w:val="inset" w:color="auto" w:sz="6" w:space="0"/>
              <w:right w:val="inset" w:color="auto" w:sz="6" w:space="0"/>
            </w:tcBorders>
            <w:vAlign w:val="center"/>
          </w:tcPr>
          <w:p>
            <w:pPr>
              <w:spacing w:line="360" w:lineRule="auto"/>
              <w:jc w:val="center"/>
              <w:rPr>
                <w:rFonts w:hint="eastAsia" w:ascii="宋体" w:hAnsi="宋体" w:eastAsia="宋体"/>
                <w:color w:val="auto"/>
                <w:highlight w:val="none"/>
                <w:lang w:eastAsia="zh-CN"/>
              </w:rPr>
            </w:pPr>
            <w:r>
              <w:rPr>
                <w:rFonts w:hint="eastAsia" w:ascii="宋体" w:hAnsi="宋体"/>
                <w:color w:val="auto"/>
                <w:highlight w:val="none"/>
                <w:lang w:eastAsia="zh-CN"/>
              </w:rPr>
              <w:t>3441170.64</w:t>
            </w:r>
          </w:p>
        </w:tc>
        <w:tc>
          <w:tcPr>
            <w:tcW w:w="1261" w:type="dxa"/>
            <w:tcBorders>
              <w:top w:val="inset" w:color="auto" w:sz="6" w:space="0"/>
              <w:left w:val="nil"/>
              <w:bottom w:val="inset" w:color="auto" w:sz="6" w:space="0"/>
              <w:right w:val="inset" w:color="auto" w:sz="6" w:space="0"/>
            </w:tcBorders>
            <w:vAlign w:val="center"/>
          </w:tcPr>
          <w:p>
            <w:pPr>
              <w:spacing w:line="360" w:lineRule="auto"/>
              <w:jc w:val="center"/>
              <w:rPr>
                <w:rFonts w:hint="eastAsia" w:ascii="宋体" w:hAnsi="宋体" w:eastAsia="宋体"/>
                <w:color w:val="auto"/>
                <w:highlight w:val="none"/>
                <w:lang w:eastAsia="zh-CN"/>
              </w:rPr>
            </w:pPr>
            <w:r>
              <w:rPr>
                <w:rFonts w:hint="eastAsia" w:ascii="宋体" w:hAnsi="宋体"/>
                <w:color w:val="auto"/>
                <w:highlight w:val="none"/>
                <w:lang w:eastAsia="zh-CN"/>
              </w:rPr>
              <w:t>3441170.64</w:t>
            </w:r>
          </w:p>
        </w:tc>
        <w:tc>
          <w:tcPr>
            <w:tcW w:w="1204" w:type="dxa"/>
            <w:tcBorders>
              <w:top w:val="inset" w:color="auto" w:sz="6" w:space="0"/>
              <w:left w:val="nil"/>
              <w:bottom w:val="inset" w:color="auto" w:sz="6" w:space="0"/>
              <w:right w:val="inset" w:color="auto" w:sz="6" w:space="0"/>
            </w:tcBorders>
            <w:vAlign w:val="center"/>
          </w:tcPr>
          <w:p>
            <w:pPr>
              <w:adjustRightInd w:val="0"/>
              <w:snapToGrid w:val="0"/>
              <w:spacing w:line="440" w:lineRule="exact"/>
              <w:jc w:val="center"/>
              <w:textAlignment w:val="baseline"/>
              <w:rPr>
                <w:rFonts w:ascii="宋体" w:hAnsi="宋体"/>
                <w:color w:val="auto"/>
                <w:highlight w:val="none"/>
              </w:rPr>
            </w:pPr>
            <w:r>
              <w:rPr>
                <w:rStyle w:val="69"/>
                <w:rFonts w:hint="eastAsia" w:ascii="宋体" w:hAnsi="宋体" w:cs="宋体"/>
                <w:color w:val="auto"/>
                <w:highlight w:val="none"/>
              </w:rPr>
              <w:t>是</w:t>
            </w:r>
          </w:p>
        </w:tc>
        <w:tc>
          <w:tcPr>
            <w:tcW w:w="1441" w:type="dxa"/>
            <w:tcBorders>
              <w:top w:val="inset" w:color="auto" w:sz="6" w:space="0"/>
              <w:left w:val="nil"/>
              <w:bottom w:val="inset" w:color="auto" w:sz="6" w:space="0"/>
              <w:right w:val="inset" w:color="auto" w:sz="6" w:space="0"/>
            </w:tcBorders>
            <w:vAlign w:val="center"/>
          </w:tcPr>
          <w:p>
            <w:pPr>
              <w:adjustRightInd w:val="0"/>
              <w:snapToGrid w:val="0"/>
              <w:spacing w:line="440" w:lineRule="exact"/>
              <w:jc w:val="center"/>
              <w:textAlignment w:val="baseline"/>
              <w:rPr>
                <w:rFonts w:hint="eastAsia" w:ascii="宋体" w:hAnsi="宋体" w:eastAsia="宋体"/>
                <w:color w:val="auto"/>
                <w:highlight w:val="none"/>
                <w:lang w:eastAsia="zh-CN"/>
              </w:rPr>
            </w:pPr>
            <w:r>
              <w:rPr>
                <w:rFonts w:hint="eastAsia" w:ascii="宋体" w:hAnsi="宋体"/>
                <w:color w:val="auto"/>
                <w:highlight w:val="none"/>
                <w:lang w:eastAsia="zh-CN"/>
              </w:rPr>
              <w:t>3441170.64</w:t>
            </w:r>
          </w:p>
        </w:tc>
      </w:tr>
    </w:tbl>
    <w:p>
      <w:pPr>
        <w:widowControl/>
        <w:spacing w:line="360" w:lineRule="auto"/>
        <w:ind w:firstLine="420" w:firstLineChars="200"/>
        <w:jc w:val="left"/>
        <w:rPr>
          <w:rFonts w:ascii="宋体" w:hAnsi="宋体"/>
          <w:color w:val="auto"/>
        </w:rPr>
      </w:pPr>
      <w:r>
        <w:rPr>
          <w:rFonts w:hint="eastAsia" w:ascii="宋体" w:hAnsi="宋体"/>
          <w:color w:val="auto"/>
        </w:rPr>
        <w:t>5、采购需求（包括但不限于标的名称、数量、简要技术需求或服务要求等）：</w:t>
      </w:r>
    </w:p>
    <w:p>
      <w:pPr>
        <w:widowControl/>
        <w:spacing w:line="360" w:lineRule="auto"/>
        <w:ind w:firstLine="420" w:firstLineChars="200"/>
        <w:jc w:val="left"/>
        <w:rPr>
          <w:rFonts w:ascii="宋体" w:hAnsi="宋体"/>
          <w:color w:val="auto"/>
        </w:rPr>
      </w:pPr>
      <w:r>
        <w:rPr>
          <w:rFonts w:hint="eastAsia" w:ascii="宋体" w:hAnsi="宋体"/>
          <w:color w:val="auto"/>
        </w:rPr>
        <w:t>5.1、采购内容：邓州市人民法院审判法庭和青少年法治教育基地的综合布线</w:t>
      </w:r>
      <w:r>
        <w:rPr>
          <w:rFonts w:hint="eastAsia" w:ascii="宋体" w:hAnsi="宋体"/>
          <w:color w:val="auto"/>
          <w:lang w:eastAsia="zh-CN"/>
        </w:rPr>
        <w:t>，</w:t>
      </w:r>
      <w:r>
        <w:rPr>
          <w:rFonts w:hint="eastAsia" w:ascii="宋体" w:hAnsi="宋体"/>
          <w:color w:val="auto"/>
        </w:rPr>
        <w:t>包括综合布线系统的桥架、线管、面板、网线、光纤、配线架等内容的相关设备采购以及施工安装，详见图纸以及工程量清单。</w:t>
      </w:r>
    </w:p>
    <w:p>
      <w:pPr>
        <w:widowControl/>
        <w:spacing w:line="360" w:lineRule="auto"/>
        <w:ind w:firstLine="420" w:firstLineChars="200"/>
        <w:jc w:val="left"/>
        <w:rPr>
          <w:rFonts w:ascii="宋体" w:hAnsi="宋体"/>
          <w:color w:val="auto"/>
        </w:rPr>
      </w:pPr>
      <w:r>
        <w:rPr>
          <w:rFonts w:hint="eastAsia" w:ascii="宋体" w:hAnsi="宋体"/>
          <w:color w:val="auto"/>
        </w:rPr>
        <w:t>5.2、采购范围：施工图纸及工程量清单范围内的所有内容</w:t>
      </w:r>
    </w:p>
    <w:p>
      <w:pPr>
        <w:widowControl/>
        <w:spacing w:line="360" w:lineRule="auto"/>
        <w:ind w:firstLine="420" w:firstLineChars="200"/>
        <w:jc w:val="left"/>
        <w:rPr>
          <w:rFonts w:ascii="宋体" w:hAnsi="宋体"/>
          <w:color w:val="auto"/>
        </w:rPr>
      </w:pPr>
      <w:r>
        <w:rPr>
          <w:rFonts w:hint="eastAsia" w:ascii="宋体" w:hAnsi="宋体"/>
          <w:color w:val="auto"/>
        </w:rPr>
        <w:t>5.3、资金来源：财政资金；</w:t>
      </w:r>
    </w:p>
    <w:p>
      <w:pPr>
        <w:widowControl/>
        <w:spacing w:line="360" w:lineRule="auto"/>
        <w:ind w:firstLine="420" w:firstLineChars="200"/>
        <w:jc w:val="left"/>
        <w:rPr>
          <w:rFonts w:ascii="宋体" w:hAnsi="宋体"/>
          <w:color w:val="auto"/>
        </w:rPr>
      </w:pPr>
      <w:r>
        <w:rPr>
          <w:rFonts w:hint="eastAsia" w:ascii="宋体" w:hAnsi="宋体"/>
          <w:color w:val="auto"/>
        </w:rPr>
        <w:t>5.4、质量要求：符合国家、行业现行规范合格标准；</w:t>
      </w:r>
    </w:p>
    <w:p>
      <w:pPr>
        <w:widowControl/>
        <w:spacing w:line="360" w:lineRule="auto"/>
        <w:ind w:firstLine="420" w:firstLineChars="200"/>
        <w:jc w:val="left"/>
        <w:rPr>
          <w:rFonts w:ascii="宋体" w:hAnsi="宋体"/>
          <w:color w:val="auto"/>
          <w:highlight w:val="none"/>
          <w:u w:val="none"/>
        </w:rPr>
      </w:pPr>
      <w:r>
        <w:rPr>
          <w:rFonts w:hint="eastAsia" w:ascii="宋体" w:hAnsi="宋体"/>
          <w:color w:val="auto"/>
          <w:highlight w:val="none"/>
          <w:u w:val="none"/>
        </w:rPr>
        <w:t>5.5、工期要求： 90 日历天；</w:t>
      </w:r>
    </w:p>
    <w:p>
      <w:pPr>
        <w:widowControl/>
        <w:spacing w:line="360" w:lineRule="auto"/>
        <w:ind w:firstLine="420" w:firstLineChars="200"/>
        <w:jc w:val="left"/>
        <w:rPr>
          <w:rFonts w:ascii="宋体" w:hAnsi="宋体"/>
          <w:color w:val="auto"/>
          <w:highlight w:val="none"/>
          <w:u w:val="none"/>
        </w:rPr>
      </w:pPr>
      <w:r>
        <w:rPr>
          <w:rFonts w:hint="eastAsia" w:ascii="宋体" w:hAnsi="宋体"/>
          <w:color w:val="auto"/>
          <w:highlight w:val="none"/>
          <w:u w:val="none"/>
        </w:rPr>
        <w:t>5.6、缺陷责任期：24个月；</w:t>
      </w:r>
    </w:p>
    <w:p>
      <w:pPr>
        <w:widowControl/>
        <w:spacing w:line="360" w:lineRule="auto"/>
        <w:ind w:firstLine="420" w:firstLineChars="200"/>
        <w:jc w:val="left"/>
        <w:rPr>
          <w:rFonts w:ascii="宋体" w:hAnsi="宋体"/>
          <w:color w:val="auto"/>
        </w:rPr>
      </w:pPr>
      <w:r>
        <w:rPr>
          <w:rFonts w:hint="eastAsia" w:ascii="宋体" w:hAnsi="宋体"/>
          <w:color w:val="auto"/>
        </w:rPr>
        <w:t>5.7、标段划分：本项目共划分1个标段。</w:t>
      </w:r>
    </w:p>
    <w:p>
      <w:pPr>
        <w:widowControl/>
        <w:spacing w:line="360" w:lineRule="auto"/>
        <w:ind w:firstLine="420" w:firstLineChars="200"/>
        <w:jc w:val="left"/>
        <w:rPr>
          <w:rFonts w:ascii="宋体" w:hAnsi="宋体"/>
          <w:color w:val="auto"/>
        </w:rPr>
      </w:pPr>
      <w:r>
        <w:rPr>
          <w:rFonts w:hint="eastAsia" w:ascii="宋体" w:hAnsi="宋体"/>
          <w:color w:val="auto"/>
        </w:rPr>
        <w:t>6、合同履行期限：合同签订</w:t>
      </w:r>
      <w:r>
        <w:rPr>
          <w:rFonts w:hint="eastAsia" w:ascii="宋体" w:hAnsi="宋体"/>
          <w:color w:val="auto"/>
          <w:lang w:eastAsia="zh-CN"/>
        </w:rPr>
        <w:t>后</w:t>
      </w:r>
      <w:r>
        <w:rPr>
          <w:rFonts w:hint="eastAsia" w:ascii="宋体" w:hAnsi="宋体"/>
          <w:color w:val="auto"/>
        </w:rPr>
        <w:t>至质保期结束；</w:t>
      </w:r>
      <w:bookmarkStart w:id="1219" w:name="_GoBack"/>
      <w:bookmarkEnd w:id="1219"/>
    </w:p>
    <w:p>
      <w:pPr>
        <w:widowControl/>
        <w:spacing w:line="360" w:lineRule="auto"/>
        <w:ind w:firstLine="420" w:firstLineChars="200"/>
        <w:jc w:val="left"/>
        <w:rPr>
          <w:rFonts w:ascii="宋体" w:hAnsi="宋体"/>
          <w:color w:val="auto"/>
        </w:rPr>
      </w:pPr>
      <w:r>
        <w:rPr>
          <w:rFonts w:hint="eastAsia" w:ascii="宋体" w:hAnsi="宋体"/>
          <w:color w:val="auto"/>
        </w:rPr>
        <w:t>7、本项目是否接受联合体投标：否；</w:t>
      </w:r>
    </w:p>
    <w:p>
      <w:pPr>
        <w:widowControl/>
        <w:spacing w:line="360" w:lineRule="auto"/>
        <w:ind w:firstLine="420" w:firstLineChars="200"/>
        <w:jc w:val="left"/>
        <w:rPr>
          <w:rFonts w:ascii="宋体" w:hAnsi="宋体"/>
          <w:color w:val="auto"/>
        </w:rPr>
      </w:pPr>
      <w:r>
        <w:rPr>
          <w:rFonts w:hint="eastAsia" w:ascii="宋体" w:hAnsi="宋体"/>
          <w:color w:val="auto"/>
        </w:rPr>
        <w:t>8、是否接受进口产品：否；</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9</w:t>
      </w:r>
      <w:r>
        <w:rPr>
          <w:rFonts w:hint="eastAsia" w:ascii="宋体" w:hAnsi="宋体"/>
          <w:color w:val="auto"/>
          <w:highlight w:val="none"/>
          <w:lang w:eastAsia="zh-CN"/>
        </w:rPr>
        <w:t>、</w:t>
      </w:r>
      <w:r>
        <w:rPr>
          <w:rFonts w:hint="eastAsia" w:ascii="宋体" w:hAnsi="宋体"/>
          <w:color w:val="auto"/>
          <w:highlight w:val="none"/>
        </w:rPr>
        <w:t>是否专门面向中小企业：是。</w:t>
      </w:r>
    </w:p>
    <w:p>
      <w:pPr>
        <w:widowControl/>
        <w:spacing w:line="360" w:lineRule="auto"/>
        <w:jc w:val="left"/>
        <w:rPr>
          <w:rFonts w:ascii="宋体" w:hAnsi="宋体"/>
          <w:b/>
          <w:bCs/>
          <w:color w:val="auto"/>
          <w:highlight w:val="none"/>
        </w:rPr>
      </w:pPr>
      <w:r>
        <w:rPr>
          <w:rFonts w:hint="eastAsia" w:ascii="宋体" w:hAnsi="宋体"/>
          <w:b/>
          <w:bCs/>
          <w:color w:val="auto"/>
          <w:highlight w:val="none"/>
        </w:rPr>
        <w:t>二、申请人资格要求</w:t>
      </w:r>
    </w:p>
    <w:p>
      <w:pPr>
        <w:adjustRightInd w:val="0"/>
        <w:spacing w:line="360" w:lineRule="auto"/>
        <w:ind w:firstLine="420" w:firstLineChars="200"/>
        <w:textAlignment w:val="baseline"/>
        <w:rPr>
          <w:rFonts w:ascii="宋体" w:hAnsi="宋体"/>
          <w:color w:val="auto"/>
          <w:highlight w:val="none"/>
        </w:rPr>
      </w:pPr>
      <w:bookmarkStart w:id="18" w:name="_Toc19929"/>
      <w:bookmarkEnd w:id="18"/>
      <w:bookmarkStart w:id="19" w:name="_Toc11610"/>
      <w:bookmarkEnd w:id="19"/>
      <w:bookmarkStart w:id="20" w:name="_Toc29588"/>
      <w:r>
        <w:rPr>
          <w:rFonts w:hint="eastAsia" w:ascii="宋体" w:hAnsi="宋体"/>
          <w:color w:val="auto"/>
          <w:highlight w:val="none"/>
        </w:rPr>
        <w:t>1、满足《中华人民共和国政府采购法》第二十二条规定；</w:t>
      </w:r>
      <w:bookmarkEnd w:id="20"/>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2、落实政府采购政策满足的资格要求：本项目专门面向中小企业采购（监狱企业、残疾人福利性企业视同小微企业）工程，由中小微企业或监狱企业或残疾人福利性企业承建，提供有效的中小企业声明函。</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3、本项目的特定资格要求：</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3.1具备建设行政主管部门颁发的电子与智能化工程专业承包二级及以上资质并在人员、设备、资金等方面具备相应的施工能力，具备有效的安全生产许可证；</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3.2拟派项目经理须具备有效的机电</w:t>
      </w:r>
      <w:r>
        <w:rPr>
          <w:rFonts w:hint="eastAsia" w:ascii="宋体" w:hAnsi="宋体"/>
          <w:color w:val="auto"/>
          <w:highlight w:val="none"/>
          <w:lang w:val="en-US" w:eastAsia="zh-CN"/>
        </w:rPr>
        <w:t>工程</w:t>
      </w:r>
      <w:r>
        <w:rPr>
          <w:rFonts w:hint="eastAsia" w:ascii="宋体" w:hAnsi="宋体"/>
          <w:color w:val="auto"/>
          <w:highlight w:val="none"/>
        </w:rPr>
        <w:t>专业二级及以上注册建造师资格；并具备有效的安全生产考核合格证书，且同时未在其他在建施工项目担任项目经理；</w:t>
      </w:r>
    </w:p>
    <w:p>
      <w:pPr>
        <w:widowControl/>
        <w:spacing w:line="360" w:lineRule="auto"/>
        <w:ind w:firstLine="420" w:firstLineChars="200"/>
        <w:jc w:val="left"/>
        <w:rPr>
          <w:rFonts w:ascii="宋体" w:hAnsi="宋体"/>
          <w:color w:val="auto"/>
        </w:rPr>
      </w:pPr>
      <w:r>
        <w:rPr>
          <w:rFonts w:hint="eastAsia" w:ascii="宋体" w:hAnsi="宋体"/>
          <w:color w:val="auto"/>
        </w:rPr>
        <w:t>3.3 根据财政部《关于在政府采购活动中查询及使用信用记录有关问题的通知》（财库〔2016〕125号）规定，列入“中国执行信息公开网”网站的“失信被执行人”、“信用中国”网站的“重大税收违法失信主体”、“中国政府采购网”网站的“政府采购严重违法失信行为记录名单”的供应商，将拒绝参与本次政府采购活动。（采购人、采购代理机构于开标时间后通过“信用中国”网站、中国政府采购网等渠道查询相关主体信用记录,信用信息查询记录及相关证据与其他采购文件一并保存）。</w:t>
      </w:r>
    </w:p>
    <w:p>
      <w:pPr>
        <w:widowControl/>
        <w:spacing w:line="360" w:lineRule="auto"/>
        <w:ind w:firstLine="420" w:firstLineChars="200"/>
        <w:jc w:val="left"/>
        <w:rPr>
          <w:rFonts w:ascii="宋体" w:hAnsi="宋体"/>
          <w:color w:val="auto"/>
        </w:rPr>
      </w:pPr>
      <w:r>
        <w:rPr>
          <w:rFonts w:hint="eastAsia" w:ascii="宋体" w:hAnsi="宋体"/>
          <w:color w:val="auto"/>
        </w:rPr>
        <w:t>3.4单位负责人为同一人或者存在直接控股、管理关系的不同供应商，不得参加同一合同项下的政府采购活动</w:t>
      </w:r>
      <w:r>
        <w:rPr>
          <w:rFonts w:hint="eastAsia" w:ascii="宋体" w:hAnsi="宋体"/>
          <w:color w:val="auto"/>
          <w:lang w:eastAsia="zh-CN"/>
        </w:rPr>
        <w:t>（</w:t>
      </w:r>
      <w:r>
        <w:rPr>
          <w:rFonts w:hint="eastAsia" w:ascii="宋体" w:hAnsi="宋体"/>
          <w:color w:val="auto"/>
        </w:rPr>
        <w:t>提供加盖响应供应商公章的声明函</w:t>
      </w:r>
      <w:r>
        <w:rPr>
          <w:rFonts w:hint="eastAsia" w:ascii="宋体" w:hAnsi="宋体"/>
          <w:color w:val="auto"/>
          <w:lang w:eastAsia="zh-CN"/>
        </w:rPr>
        <w:t>）</w:t>
      </w:r>
      <w:r>
        <w:rPr>
          <w:rFonts w:hint="eastAsia" w:ascii="宋体" w:hAnsi="宋体"/>
          <w:color w:val="auto"/>
        </w:rPr>
        <w:t>。</w:t>
      </w:r>
    </w:p>
    <w:p>
      <w:pPr>
        <w:spacing w:line="360" w:lineRule="auto"/>
        <w:rPr>
          <w:rStyle w:val="64"/>
          <w:rFonts w:ascii="宋体" w:hAnsi="宋体" w:eastAsia="宋体"/>
          <w:color w:val="auto"/>
          <w:sz w:val="21"/>
          <w:szCs w:val="21"/>
        </w:rPr>
      </w:pPr>
      <w:bookmarkStart w:id="21" w:name="_Toc9046"/>
      <w:bookmarkEnd w:id="21"/>
      <w:bookmarkStart w:id="22" w:name="_Toc30140"/>
      <w:r>
        <w:rPr>
          <w:rStyle w:val="64"/>
          <w:rFonts w:hint="eastAsia" w:ascii="宋体" w:hAnsi="宋体" w:eastAsia="宋体"/>
          <w:color w:val="auto"/>
          <w:sz w:val="21"/>
          <w:szCs w:val="21"/>
        </w:rPr>
        <w:t>三、</w:t>
      </w:r>
      <w:bookmarkEnd w:id="22"/>
      <w:r>
        <w:rPr>
          <w:rStyle w:val="64"/>
          <w:rFonts w:hint="eastAsia" w:ascii="宋体" w:hAnsi="宋体" w:eastAsia="宋体"/>
          <w:color w:val="auto"/>
          <w:sz w:val="21"/>
          <w:szCs w:val="21"/>
        </w:rPr>
        <w:t>获取</w:t>
      </w:r>
      <w:r>
        <w:rPr>
          <w:rStyle w:val="64"/>
          <w:rFonts w:hint="eastAsia" w:ascii="宋体" w:hAnsi="宋体"/>
          <w:color w:val="auto"/>
          <w:sz w:val="21"/>
          <w:szCs w:val="21"/>
        </w:rPr>
        <w:t>采购</w:t>
      </w:r>
      <w:r>
        <w:rPr>
          <w:rStyle w:val="64"/>
          <w:rFonts w:hint="eastAsia" w:ascii="宋体" w:hAnsi="宋体" w:eastAsia="宋体"/>
          <w:color w:val="auto"/>
          <w:sz w:val="21"/>
          <w:szCs w:val="21"/>
        </w:rPr>
        <w:t>文件</w:t>
      </w:r>
    </w:p>
    <w:p>
      <w:pPr>
        <w:widowControl/>
        <w:spacing w:line="360" w:lineRule="auto"/>
        <w:ind w:firstLine="420" w:firstLineChars="200"/>
        <w:jc w:val="left"/>
        <w:rPr>
          <w:color w:val="auto"/>
          <w:highlight w:val="none"/>
        </w:rPr>
      </w:pPr>
      <w:r>
        <w:rPr>
          <w:rFonts w:hint="eastAsia" w:ascii="宋体" w:hAnsi="宋体"/>
          <w:color w:val="auto"/>
          <w:highlight w:val="none"/>
        </w:rPr>
        <w:t xml:space="preserve">1、时间：2024年 </w:t>
      </w:r>
      <w:r>
        <w:rPr>
          <w:rFonts w:hint="eastAsia" w:ascii="宋体" w:hAnsi="宋体"/>
          <w:color w:val="auto"/>
          <w:highlight w:val="none"/>
          <w:lang w:val="en-US" w:eastAsia="zh-CN"/>
        </w:rPr>
        <w:t>5</w:t>
      </w:r>
      <w:r>
        <w:rPr>
          <w:rFonts w:hint="eastAsia" w:ascii="宋体" w:hAnsi="宋体"/>
          <w:color w:val="auto"/>
          <w:highlight w:val="none"/>
        </w:rPr>
        <w:t xml:space="preserve"> 月 </w:t>
      </w:r>
      <w:r>
        <w:rPr>
          <w:rFonts w:hint="eastAsia" w:ascii="宋体" w:hAnsi="宋体"/>
          <w:color w:val="auto"/>
          <w:highlight w:val="none"/>
          <w:lang w:val="en-US" w:eastAsia="zh-CN"/>
        </w:rPr>
        <w:t>20</w:t>
      </w:r>
      <w:r>
        <w:rPr>
          <w:rFonts w:hint="eastAsia" w:ascii="宋体" w:hAnsi="宋体"/>
          <w:color w:val="auto"/>
          <w:highlight w:val="none"/>
        </w:rPr>
        <w:t xml:space="preserve"> 日至2024年 </w:t>
      </w:r>
      <w:r>
        <w:rPr>
          <w:rFonts w:hint="eastAsia" w:ascii="宋体" w:hAnsi="宋体"/>
          <w:color w:val="auto"/>
          <w:highlight w:val="none"/>
          <w:lang w:val="en-US" w:eastAsia="zh-CN"/>
        </w:rPr>
        <w:t>5</w:t>
      </w:r>
      <w:r>
        <w:rPr>
          <w:rFonts w:hint="eastAsia" w:ascii="宋体" w:hAnsi="宋体"/>
          <w:color w:val="auto"/>
          <w:highlight w:val="none"/>
        </w:rPr>
        <w:t xml:space="preserve"> 月 </w:t>
      </w:r>
      <w:r>
        <w:rPr>
          <w:rFonts w:hint="eastAsia" w:ascii="宋体" w:hAnsi="宋体"/>
          <w:color w:val="auto"/>
          <w:highlight w:val="none"/>
          <w:lang w:val="en-US" w:eastAsia="zh-CN"/>
        </w:rPr>
        <w:t>24</w:t>
      </w:r>
      <w:r>
        <w:rPr>
          <w:rFonts w:hint="eastAsia" w:ascii="宋体" w:hAnsi="宋体"/>
          <w:color w:val="auto"/>
          <w:highlight w:val="none"/>
        </w:rPr>
        <w:t xml:space="preserve"> 日，每天上午00:00至12:00，下午12:00至23:59（北京时间，法定节假日除外）；</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2、地点：河南省公共资源交易中心网站；</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3、方式：登录“河南省公共资源交易中心（http://www.hnggzy.net）”，凭企业身份认证锁（CA 密钥）下载磋商文件。市场主体需要完成信息登记及 CA 数字证书办理，才能通过河南省公共资源交易平台参与交易活动，具体办理事宜请查阅河南省公共资源交易中心网站“办事指南”专区的《河南省公共资源交易中心新交易平台操作手册》。</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4、售价：0元；</w:t>
      </w:r>
    </w:p>
    <w:p>
      <w:pPr>
        <w:widowControl/>
        <w:spacing w:line="360" w:lineRule="auto"/>
        <w:jc w:val="left"/>
        <w:rPr>
          <w:rFonts w:ascii="宋体" w:hAnsi="宋体"/>
          <w:b/>
          <w:bCs/>
          <w:color w:val="auto"/>
          <w:highlight w:val="none"/>
        </w:rPr>
      </w:pPr>
      <w:r>
        <w:rPr>
          <w:rFonts w:hint="eastAsia" w:ascii="宋体" w:hAnsi="宋体"/>
          <w:b/>
          <w:bCs/>
          <w:color w:val="auto"/>
          <w:highlight w:val="none"/>
        </w:rPr>
        <w:t>四、响应文件提交</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 xml:space="preserve">1、时间：2024年 </w:t>
      </w:r>
      <w:r>
        <w:rPr>
          <w:rFonts w:hint="eastAsia" w:ascii="宋体" w:hAnsi="宋体"/>
          <w:color w:val="auto"/>
          <w:highlight w:val="none"/>
          <w:lang w:val="en-US" w:eastAsia="zh-CN"/>
        </w:rPr>
        <w:t>5</w:t>
      </w:r>
      <w:r>
        <w:rPr>
          <w:rFonts w:hint="eastAsia" w:ascii="宋体" w:hAnsi="宋体"/>
          <w:color w:val="auto"/>
          <w:highlight w:val="none"/>
        </w:rPr>
        <w:t xml:space="preserve"> 月 </w:t>
      </w:r>
      <w:r>
        <w:rPr>
          <w:rFonts w:hint="eastAsia" w:ascii="宋体" w:hAnsi="宋体"/>
          <w:color w:val="auto"/>
          <w:highlight w:val="none"/>
          <w:lang w:val="en-US" w:eastAsia="zh-CN"/>
        </w:rPr>
        <w:t>30</w:t>
      </w:r>
      <w:r>
        <w:rPr>
          <w:rFonts w:hint="eastAsia" w:ascii="宋体" w:hAnsi="宋体"/>
          <w:color w:val="auto"/>
          <w:highlight w:val="none"/>
        </w:rPr>
        <w:t xml:space="preserve"> 日09时00分（北京时间）；</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2、地点：加密电子响应文件须在投标截止时间前通过“河南省公共资源交易中心（</w:t>
      </w:r>
      <w:r>
        <w:rPr>
          <w:color w:val="auto"/>
          <w:highlight w:val="none"/>
        </w:rPr>
        <w:fldChar w:fldCharType="begin"/>
      </w:r>
      <w:r>
        <w:rPr>
          <w:color w:val="auto"/>
          <w:highlight w:val="none"/>
        </w:rPr>
        <w:instrText xml:space="preserve"> HYPERLINK "http://www.hnggzy.net/" </w:instrText>
      </w:r>
      <w:r>
        <w:rPr>
          <w:color w:val="auto"/>
          <w:highlight w:val="none"/>
        </w:rPr>
        <w:fldChar w:fldCharType="separate"/>
      </w:r>
      <w:r>
        <w:rPr>
          <w:rFonts w:hint="eastAsia" w:ascii="宋体" w:hAnsi="宋体"/>
          <w:color w:val="auto"/>
          <w:highlight w:val="none"/>
        </w:rPr>
        <w:t>http://www.hnggzy.net/</w:t>
      </w:r>
      <w:r>
        <w:rPr>
          <w:rFonts w:hint="eastAsia" w:ascii="宋体" w:hAnsi="宋体"/>
          <w:color w:val="auto"/>
          <w:highlight w:val="none"/>
        </w:rPr>
        <w:fldChar w:fldCharType="end"/>
      </w:r>
      <w:r>
        <w:rPr>
          <w:rFonts w:hint="eastAsia" w:ascii="宋体" w:hAnsi="宋体"/>
          <w:color w:val="auto"/>
          <w:highlight w:val="none"/>
        </w:rPr>
        <w:t>）”电子交易平台加密上传。逾期上传的或者未上传指定地点的响应文件，采购人不予受理。</w:t>
      </w:r>
    </w:p>
    <w:p>
      <w:pPr>
        <w:widowControl/>
        <w:spacing w:line="360" w:lineRule="auto"/>
        <w:jc w:val="left"/>
        <w:rPr>
          <w:rFonts w:ascii="宋体" w:hAnsi="宋体"/>
          <w:b/>
          <w:bCs/>
          <w:color w:val="auto"/>
          <w:highlight w:val="none"/>
        </w:rPr>
      </w:pPr>
      <w:r>
        <w:rPr>
          <w:rFonts w:hint="eastAsia" w:ascii="宋体" w:hAnsi="宋体"/>
          <w:b/>
          <w:bCs/>
          <w:color w:val="auto"/>
          <w:highlight w:val="none"/>
        </w:rPr>
        <w:t>五、响应文件开启</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 xml:space="preserve">1、时间：2024年 </w:t>
      </w:r>
      <w:r>
        <w:rPr>
          <w:rFonts w:hint="eastAsia" w:ascii="宋体" w:hAnsi="宋体"/>
          <w:color w:val="auto"/>
          <w:highlight w:val="none"/>
          <w:lang w:val="en-US" w:eastAsia="zh-CN"/>
        </w:rPr>
        <w:t>5</w:t>
      </w:r>
      <w:r>
        <w:rPr>
          <w:rFonts w:hint="eastAsia" w:ascii="宋体" w:hAnsi="宋体"/>
          <w:color w:val="auto"/>
          <w:highlight w:val="none"/>
        </w:rPr>
        <w:t xml:space="preserve"> 月 </w:t>
      </w:r>
      <w:r>
        <w:rPr>
          <w:rFonts w:hint="eastAsia" w:ascii="宋体" w:hAnsi="宋体"/>
          <w:color w:val="auto"/>
          <w:highlight w:val="none"/>
          <w:lang w:val="en-US" w:eastAsia="zh-CN"/>
        </w:rPr>
        <w:t>30</w:t>
      </w:r>
      <w:r>
        <w:rPr>
          <w:rFonts w:hint="eastAsia" w:ascii="宋体" w:hAnsi="宋体"/>
          <w:color w:val="auto"/>
          <w:highlight w:val="none"/>
        </w:rPr>
        <w:t xml:space="preserve"> 日09时00分（北京时间）；</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2、地点：河南省公共资源交易中心（</w:t>
      </w:r>
      <w:r>
        <w:rPr>
          <w:rFonts w:hint="eastAsia" w:ascii="宋体" w:hAnsi="宋体"/>
          <w:color w:val="auto"/>
          <w:highlight w:val="none"/>
          <w:lang w:val="en-US" w:eastAsia="zh-CN"/>
        </w:rPr>
        <w:t>郑州市</w:t>
      </w:r>
      <w:r>
        <w:rPr>
          <w:rFonts w:hint="eastAsia" w:ascii="宋体" w:hAnsi="宋体"/>
          <w:color w:val="auto"/>
          <w:highlight w:val="none"/>
        </w:rPr>
        <w:t>经二路与纬四路向南50米路西）远程开标室(</w:t>
      </w:r>
      <w:r>
        <w:rPr>
          <w:rFonts w:hint="eastAsia" w:ascii="宋体" w:hAnsi="宋体"/>
          <w:color w:val="auto"/>
          <w:highlight w:val="none"/>
          <w:lang w:eastAsia="zh-CN"/>
        </w:rPr>
        <w:t>二</w:t>
      </w: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w:t>
      </w:r>
    </w:p>
    <w:p>
      <w:pPr>
        <w:widowControl/>
        <w:spacing w:line="360" w:lineRule="auto"/>
        <w:jc w:val="left"/>
        <w:rPr>
          <w:rFonts w:ascii="宋体" w:hAnsi="宋体"/>
          <w:b/>
          <w:bCs/>
          <w:color w:val="auto"/>
        </w:rPr>
      </w:pPr>
      <w:r>
        <w:rPr>
          <w:rFonts w:hint="eastAsia" w:ascii="宋体" w:hAnsi="宋体"/>
          <w:b/>
          <w:bCs/>
          <w:color w:val="auto"/>
        </w:rPr>
        <w:t>六、发布公告的媒介及招标公告期限</w:t>
      </w:r>
    </w:p>
    <w:p>
      <w:pPr>
        <w:widowControl/>
        <w:spacing w:line="360" w:lineRule="auto"/>
        <w:ind w:firstLine="420" w:firstLineChars="200"/>
        <w:jc w:val="left"/>
        <w:rPr>
          <w:rFonts w:ascii="宋体" w:hAnsi="宋体"/>
          <w:color w:val="auto"/>
        </w:rPr>
      </w:pPr>
      <w:r>
        <w:rPr>
          <w:rFonts w:hint="eastAsia" w:ascii="宋体" w:hAnsi="宋体"/>
          <w:color w:val="auto"/>
        </w:rPr>
        <w:t>本次招标公告在《河南省政府采购网》</w:t>
      </w:r>
      <w:r>
        <w:rPr>
          <w:rFonts w:hint="eastAsia" w:ascii="宋体" w:hAnsi="宋体"/>
          <w:color w:val="auto"/>
          <w:lang w:eastAsia="zh-CN"/>
        </w:rPr>
        <w:t>、</w:t>
      </w:r>
      <w:r>
        <w:rPr>
          <w:rFonts w:hint="eastAsia" w:ascii="宋体" w:hAnsi="宋体"/>
          <w:color w:val="auto"/>
        </w:rPr>
        <w:t>《河南省公共资源交易中心网站》</w:t>
      </w:r>
      <w:r>
        <w:rPr>
          <w:rFonts w:hint="eastAsia" w:ascii="宋体" w:hAnsi="宋体"/>
          <w:color w:val="auto"/>
          <w:lang w:eastAsia="zh-CN"/>
        </w:rPr>
        <w:t>、</w:t>
      </w:r>
      <w:r>
        <w:rPr>
          <w:rFonts w:hint="eastAsia" w:ascii="宋体" w:hAnsi="宋体"/>
          <w:color w:val="auto"/>
        </w:rPr>
        <w:t>《河南省电子招标投标公共服务平台》上发布，招标公告期限为三个工作日。</w:t>
      </w:r>
    </w:p>
    <w:p>
      <w:pPr>
        <w:widowControl/>
        <w:spacing w:line="360" w:lineRule="auto"/>
        <w:jc w:val="left"/>
        <w:rPr>
          <w:rFonts w:ascii="宋体" w:hAnsi="宋体"/>
          <w:b/>
          <w:bCs/>
          <w:color w:val="auto"/>
        </w:rPr>
      </w:pPr>
      <w:r>
        <w:rPr>
          <w:rFonts w:hint="eastAsia" w:ascii="宋体" w:hAnsi="宋体"/>
          <w:b/>
          <w:bCs/>
          <w:color w:val="auto"/>
        </w:rPr>
        <w:t>七、其他补充事宜</w:t>
      </w:r>
    </w:p>
    <w:p>
      <w:pPr>
        <w:widowControl/>
        <w:spacing w:line="360" w:lineRule="auto"/>
        <w:ind w:firstLine="420" w:firstLineChars="200"/>
        <w:jc w:val="left"/>
        <w:rPr>
          <w:rFonts w:ascii="宋体" w:hAnsi="宋体"/>
          <w:bCs/>
          <w:color w:val="auto"/>
        </w:rPr>
      </w:pPr>
      <w:r>
        <w:rPr>
          <w:rFonts w:hint="eastAsia" w:ascii="宋体" w:hAnsi="宋体"/>
          <w:bCs/>
          <w:color w:val="auto"/>
        </w:rPr>
        <w:t>本项目采用“远程不见面”开标方式；响应人应当在响应文件开启时间前,登录远程开标大厅,在线准时参加开标活动并进行响应文件解密、答疑澄清等 ；远程开标大厅的网址为 （http://www.hnggzy.net/BidOpening/bidopeninghallaction/hall/login）；不见面服务的具体事宜请查阅河南省公共资源交易中心网站“办事指南”专区的《河南省公共资源交易平台不见面服务系统使用指南》。供应商如在交易平台系统规定时间内没有解密成功的，视为放弃投标。</w:t>
      </w:r>
    </w:p>
    <w:p>
      <w:pPr>
        <w:widowControl/>
        <w:spacing w:line="360" w:lineRule="auto"/>
        <w:jc w:val="left"/>
        <w:rPr>
          <w:rFonts w:ascii="宋体" w:hAnsi="宋体"/>
          <w:b/>
          <w:bCs/>
          <w:color w:val="auto"/>
        </w:rPr>
      </w:pPr>
      <w:r>
        <w:rPr>
          <w:rFonts w:hint="eastAsia" w:ascii="宋体" w:hAnsi="宋体"/>
          <w:b/>
          <w:bCs/>
          <w:color w:val="auto"/>
        </w:rPr>
        <w:t>八、凡对本次招标提出询问，请按照以下方式联系</w:t>
      </w:r>
    </w:p>
    <w:p>
      <w:pPr>
        <w:widowControl/>
        <w:spacing w:line="360" w:lineRule="auto"/>
        <w:ind w:firstLine="420" w:firstLineChars="200"/>
        <w:jc w:val="left"/>
        <w:rPr>
          <w:rFonts w:ascii="宋体" w:hAnsi="宋体"/>
          <w:color w:val="auto"/>
        </w:rPr>
      </w:pPr>
      <w:r>
        <w:rPr>
          <w:rFonts w:hint="eastAsia" w:ascii="宋体" w:hAnsi="宋体"/>
          <w:color w:val="auto"/>
        </w:rPr>
        <w:t>1、采购人信息</w:t>
      </w:r>
    </w:p>
    <w:p>
      <w:pPr>
        <w:widowControl/>
        <w:spacing w:line="360" w:lineRule="auto"/>
        <w:ind w:firstLine="420" w:firstLineChars="200"/>
        <w:jc w:val="left"/>
        <w:rPr>
          <w:rFonts w:ascii="宋体" w:hAnsi="宋体"/>
          <w:color w:val="auto"/>
        </w:rPr>
      </w:pPr>
      <w:r>
        <w:rPr>
          <w:rFonts w:hint="eastAsia" w:ascii="宋体" w:hAnsi="宋体"/>
          <w:color w:val="auto"/>
        </w:rPr>
        <w:t>名称：邓州市人民法院</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地址：邓州市湍宾南路366号</w:t>
      </w:r>
    </w:p>
    <w:p>
      <w:pPr>
        <w:widowControl/>
        <w:spacing w:line="360" w:lineRule="auto"/>
        <w:ind w:firstLine="420" w:firstLineChars="200"/>
        <w:jc w:val="left"/>
        <w:rPr>
          <w:rFonts w:hint="eastAsia" w:ascii="宋体" w:hAnsi="宋体"/>
          <w:color w:val="auto"/>
          <w:highlight w:val="none"/>
        </w:rPr>
      </w:pPr>
      <w:r>
        <w:rPr>
          <w:rFonts w:hint="eastAsia" w:ascii="宋体" w:hAnsi="宋体"/>
          <w:color w:val="auto"/>
          <w:highlight w:val="none"/>
        </w:rPr>
        <w:t>联系人：杨先生</w:t>
      </w:r>
    </w:p>
    <w:p>
      <w:pPr>
        <w:widowControl/>
        <w:spacing w:line="360" w:lineRule="auto"/>
        <w:ind w:firstLine="420" w:firstLineChars="200"/>
        <w:jc w:val="left"/>
        <w:rPr>
          <w:rFonts w:ascii="宋体" w:hAnsi="宋体"/>
          <w:color w:val="auto"/>
          <w:highlight w:val="none"/>
        </w:rPr>
      </w:pPr>
      <w:r>
        <w:rPr>
          <w:rFonts w:hint="eastAsia" w:ascii="宋体" w:hAnsi="宋体"/>
          <w:color w:val="auto"/>
          <w:highlight w:val="none"/>
        </w:rPr>
        <w:t>联系方式：0377-62755318</w:t>
      </w:r>
    </w:p>
    <w:p>
      <w:pPr>
        <w:widowControl/>
        <w:spacing w:line="360" w:lineRule="auto"/>
        <w:ind w:firstLine="420" w:firstLineChars="200"/>
        <w:jc w:val="left"/>
        <w:rPr>
          <w:rFonts w:ascii="宋体" w:hAnsi="宋体"/>
          <w:color w:val="auto"/>
        </w:rPr>
      </w:pPr>
      <w:r>
        <w:rPr>
          <w:color w:val="auto"/>
        </w:rPr>
        <w:t>2、采购代理机构信息（如有）</w:t>
      </w:r>
    </w:p>
    <w:p>
      <w:pPr>
        <w:widowControl/>
        <w:spacing w:line="360" w:lineRule="auto"/>
        <w:ind w:firstLine="420" w:firstLineChars="200"/>
        <w:jc w:val="left"/>
        <w:rPr>
          <w:rFonts w:asciiTheme="minorEastAsia" w:hAnsiTheme="minorEastAsia" w:eastAsiaTheme="minorEastAsia" w:cstheme="minorEastAsia"/>
          <w:color w:val="auto"/>
          <w:kern w:val="0"/>
        </w:rPr>
      </w:pPr>
      <w:r>
        <w:rPr>
          <w:rFonts w:hint="eastAsia" w:ascii="宋体" w:hAnsi="宋体"/>
          <w:color w:val="auto"/>
        </w:rPr>
        <w:t>名称：</w:t>
      </w:r>
      <w:r>
        <w:rPr>
          <w:rFonts w:hint="eastAsia" w:asciiTheme="minorEastAsia" w:hAnsiTheme="minorEastAsia" w:eastAsiaTheme="minorEastAsia" w:cstheme="minorEastAsia"/>
          <w:color w:val="auto"/>
          <w:kern w:val="0"/>
        </w:rPr>
        <w:t>中建山河建设管理集团有限公司</w:t>
      </w:r>
    </w:p>
    <w:p>
      <w:pPr>
        <w:widowControl/>
        <w:spacing w:line="360" w:lineRule="auto"/>
        <w:ind w:firstLine="420" w:firstLineChars="200"/>
        <w:jc w:val="left"/>
        <w:rPr>
          <w:rFonts w:ascii="宋体" w:hAnsi="宋体"/>
          <w:color w:val="auto"/>
        </w:rPr>
      </w:pPr>
      <w:r>
        <w:rPr>
          <w:rFonts w:hint="eastAsia" w:ascii="宋体" w:hAnsi="宋体"/>
          <w:color w:val="auto"/>
        </w:rPr>
        <w:t>地址：</w:t>
      </w:r>
      <w:r>
        <w:rPr>
          <w:rFonts w:hint="eastAsia" w:asciiTheme="minorEastAsia" w:hAnsiTheme="minorEastAsia" w:eastAsiaTheme="minorEastAsia" w:cstheme="minorEastAsia"/>
          <w:color w:val="auto"/>
          <w:kern w:val="0"/>
          <w:lang w:eastAsia="zh-CN"/>
        </w:rPr>
        <w:t>郑州市</w:t>
      </w:r>
      <w:r>
        <w:rPr>
          <w:rFonts w:hint="eastAsia" w:asciiTheme="minorEastAsia" w:hAnsiTheme="minorEastAsia" w:eastAsiaTheme="minorEastAsia" w:cstheme="minorEastAsia"/>
          <w:color w:val="auto"/>
          <w:kern w:val="0"/>
        </w:rPr>
        <w:t>郑东新区圃田西路与七里河南路交叉口西南角明亮环保大楼三楼</w:t>
      </w:r>
    </w:p>
    <w:p>
      <w:pPr>
        <w:widowControl/>
        <w:spacing w:line="360" w:lineRule="auto"/>
        <w:ind w:firstLine="420" w:firstLineChars="200"/>
        <w:jc w:val="left"/>
        <w:rPr>
          <w:rFonts w:hint="eastAsia" w:ascii="宋体" w:hAnsi="宋体" w:eastAsia="宋体"/>
          <w:color w:val="auto"/>
          <w:lang w:eastAsia="zh-CN"/>
        </w:rPr>
      </w:pPr>
      <w:r>
        <w:rPr>
          <w:rFonts w:hint="eastAsia" w:ascii="宋体" w:hAnsi="宋体"/>
          <w:color w:val="auto"/>
        </w:rPr>
        <w:t>联系人：王</w:t>
      </w:r>
      <w:r>
        <w:rPr>
          <w:rFonts w:hint="eastAsia" w:ascii="宋体" w:hAnsi="宋体"/>
          <w:color w:val="auto"/>
          <w:lang w:eastAsia="zh-CN"/>
        </w:rPr>
        <w:t>朝艳、夏鹏程</w:t>
      </w:r>
    </w:p>
    <w:p>
      <w:pPr>
        <w:widowControl/>
        <w:spacing w:line="360" w:lineRule="auto"/>
        <w:ind w:firstLine="420" w:firstLineChars="200"/>
        <w:jc w:val="left"/>
        <w:rPr>
          <w:rFonts w:hint="default" w:ascii="宋体" w:hAnsi="宋体" w:eastAsiaTheme="minorEastAsia"/>
          <w:color w:val="auto"/>
          <w:lang w:val="en-US" w:eastAsia="zh-CN"/>
        </w:rPr>
      </w:pPr>
      <w:r>
        <w:rPr>
          <w:rFonts w:hint="eastAsia" w:ascii="宋体" w:hAnsi="宋体"/>
          <w:color w:val="auto"/>
        </w:rPr>
        <w:t>联系方式：</w:t>
      </w:r>
      <w:r>
        <w:rPr>
          <w:rFonts w:hint="eastAsia" w:asciiTheme="minorEastAsia" w:hAnsiTheme="minorEastAsia" w:eastAsiaTheme="minorEastAsia" w:cstheme="minorEastAsia"/>
          <w:color w:val="auto"/>
          <w:kern w:val="0"/>
        </w:rPr>
        <w:t>0371-86556161、15903670586、</w:t>
      </w:r>
      <w:r>
        <w:rPr>
          <w:rFonts w:hint="eastAsia" w:asciiTheme="minorEastAsia" w:hAnsiTheme="minorEastAsia" w:eastAsiaTheme="minorEastAsia" w:cstheme="minorEastAsia"/>
          <w:color w:val="auto"/>
          <w:kern w:val="0"/>
          <w:lang w:val="en-US" w:eastAsia="zh-CN"/>
        </w:rPr>
        <w:t>19937233779</w:t>
      </w:r>
    </w:p>
    <w:p>
      <w:pPr>
        <w:widowControl/>
        <w:spacing w:line="360" w:lineRule="auto"/>
        <w:ind w:firstLine="420" w:firstLineChars="200"/>
        <w:jc w:val="left"/>
        <w:rPr>
          <w:rFonts w:ascii="宋体" w:hAnsi="宋体"/>
          <w:color w:val="auto"/>
        </w:rPr>
      </w:pPr>
      <w:r>
        <w:rPr>
          <w:rFonts w:hint="eastAsia" w:ascii="宋体" w:hAnsi="宋体"/>
          <w:color w:val="auto"/>
        </w:rPr>
        <w:t>3、项目联系方式</w:t>
      </w:r>
    </w:p>
    <w:p>
      <w:pPr>
        <w:widowControl/>
        <w:spacing w:line="360" w:lineRule="auto"/>
        <w:ind w:firstLine="420" w:firstLineChars="200"/>
        <w:jc w:val="left"/>
        <w:rPr>
          <w:rFonts w:ascii="宋体" w:hAnsi="宋体" w:eastAsiaTheme="minorEastAsia"/>
          <w:color w:val="auto"/>
        </w:rPr>
      </w:pPr>
      <w:r>
        <w:rPr>
          <w:rFonts w:hint="eastAsia" w:ascii="宋体" w:hAnsi="宋体"/>
          <w:color w:val="auto"/>
        </w:rPr>
        <w:t>项目联系人：王</w:t>
      </w:r>
      <w:r>
        <w:rPr>
          <w:rFonts w:hint="eastAsia" w:ascii="宋体" w:hAnsi="宋体"/>
          <w:color w:val="auto"/>
          <w:lang w:eastAsia="zh-CN"/>
        </w:rPr>
        <w:t>朝艳、夏鹏程</w:t>
      </w:r>
    </w:p>
    <w:p>
      <w:pPr>
        <w:widowControl/>
        <w:spacing w:line="360" w:lineRule="auto"/>
        <w:ind w:firstLine="420" w:firstLineChars="200"/>
        <w:jc w:val="left"/>
        <w:rPr>
          <w:rFonts w:ascii="宋体" w:hAnsi="宋体"/>
          <w:color w:val="auto"/>
        </w:rPr>
      </w:pPr>
      <w:r>
        <w:rPr>
          <w:rFonts w:hint="eastAsia" w:ascii="宋体" w:hAnsi="宋体"/>
          <w:color w:val="auto"/>
        </w:rPr>
        <w:t>联系方式：</w:t>
      </w:r>
      <w:r>
        <w:rPr>
          <w:rFonts w:hint="eastAsia" w:asciiTheme="minorEastAsia" w:hAnsiTheme="minorEastAsia" w:eastAsiaTheme="minorEastAsia" w:cstheme="minorEastAsia"/>
          <w:color w:val="auto"/>
          <w:kern w:val="0"/>
        </w:rPr>
        <w:t>0371-86556161、15903670586、13849049707</w:t>
      </w:r>
    </w:p>
    <w:p>
      <w:pPr>
        <w:spacing w:before="120" w:after="120" w:line="400" w:lineRule="exact"/>
        <w:jc w:val="center"/>
        <w:rPr>
          <w:rFonts w:ascii="宋体" w:hAnsi="宋体"/>
          <w:color w:val="auto"/>
          <w:sz w:val="32"/>
          <w:szCs w:val="32"/>
        </w:rPr>
      </w:pPr>
      <w:bookmarkStart w:id="23" w:name="_Toc5536"/>
      <w:bookmarkEnd w:id="23"/>
      <w:bookmarkStart w:id="24" w:name="_Toc129073455"/>
      <w:r>
        <w:rPr>
          <w:rFonts w:hint="eastAsia" w:ascii="宋体" w:hAnsi="宋体"/>
          <w:color w:val="auto"/>
          <w:sz w:val="32"/>
          <w:szCs w:val="32"/>
        </w:rPr>
        <w:br w:type="page"/>
      </w:r>
    </w:p>
    <w:p>
      <w:pPr>
        <w:pStyle w:val="2"/>
        <w:spacing w:before="120" w:after="120" w:line="400" w:lineRule="exact"/>
        <w:jc w:val="center"/>
        <w:rPr>
          <w:rFonts w:ascii="宋体" w:hAnsi="宋体"/>
          <w:color w:val="auto"/>
          <w:sz w:val="32"/>
          <w:szCs w:val="32"/>
        </w:rPr>
      </w:pPr>
      <w:bookmarkStart w:id="25" w:name="_Toc9776"/>
      <w:bookmarkStart w:id="26" w:name="_Toc25034"/>
      <w:bookmarkStart w:id="27" w:name="_Toc3173"/>
      <w:bookmarkStart w:id="28" w:name="_Toc7576"/>
      <w:bookmarkStart w:id="29" w:name="_Toc9914"/>
      <w:r>
        <w:rPr>
          <w:rFonts w:hint="eastAsia" w:ascii="宋体" w:hAnsi="宋体"/>
          <w:bCs w:val="0"/>
          <w:color w:val="auto"/>
          <w:sz w:val="32"/>
          <w:szCs w:val="32"/>
        </w:rPr>
        <w:t>第二章  供应商须知</w:t>
      </w:r>
      <w:bookmarkEnd w:id="24"/>
      <w:bookmarkEnd w:id="25"/>
      <w:bookmarkEnd w:id="26"/>
      <w:bookmarkEnd w:id="27"/>
      <w:bookmarkEnd w:id="28"/>
      <w:bookmarkEnd w:id="29"/>
    </w:p>
    <w:p>
      <w:pPr>
        <w:pStyle w:val="57"/>
        <w:rPr>
          <w:color w:val="auto"/>
        </w:rPr>
      </w:pPr>
      <w:bookmarkStart w:id="30" w:name="_Toc144974496"/>
      <w:bookmarkEnd w:id="30"/>
      <w:bookmarkStart w:id="31" w:name="_Toc152045528"/>
      <w:bookmarkEnd w:id="31"/>
      <w:bookmarkStart w:id="32" w:name="_Toc455080107"/>
      <w:bookmarkEnd w:id="32"/>
      <w:bookmarkStart w:id="33" w:name="_Toc22779"/>
      <w:bookmarkEnd w:id="33"/>
      <w:bookmarkStart w:id="34" w:name="_Toc466298090"/>
      <w:bookmarkEnd w:id="34"/>
      <w:bookmarkStart w:id="35" w:name="_Toc152042304"/>
      <w:bookmarkEnd w:id="35"/>
      <w:bookmarkStart w:id="36" w:name="_Toc509667259"/>
      <w:bookmarkStart w:id="37" w:name="_Toc129073456"/>
      <w:bookmarkStart w:id="38" w:name="_Toc29515"/>
      <w:bookmarkStart w:id="39" w:name="_Toc17549"/>
      <w:bookmarkStart w:id="40" w:name="_Toc17024"/>
      <w:bookmarkStart w:id="41" w:name="_Toc6471"/>
      <w:bookmarkStart w:id="42" w:name="_Toc8009"/>
      <w:r>
        <w:rPr>
          <w:rFonts w:hint="eastAsia"/>
          <w:color w:val="auto"/>
        </w:rPr>
        <w:t>供应商须知前附表</w:t>
      </w:r>
      <w:bookmarkEnd w:id="36"/>
      <w:bookmarkEnd w:id="37"/>
      <w:bookmarkEnd w:id="38"/>
      <w:bookmarkEnd w:id="39"/>
      <w:bookmarkEnd w:id="40"/>
      <w:bookmarkEnd w:id="41"/>
      <w:bookmarkEnd w:id="42"/>
    </w:p>
    <w:tbl>
      <w:tblPr>
        <w:tblStyle w:val="33"/>
        <w:tblW w:w="8827" w:type="dxa"/>
        <w:jc w:val="center"/>
        <w:tblLayout w:type="fixed"/>
        <w:tblCellMar>
          <w:top w:w="0" w:type="dxa"/>
          <w:left w:w="108" w:type="dxa"/>
          <w:bottom w:w="0" w:type="dxa"/>
          <w:right w:w="108" w:type="dxa"/>
        </w:tblCellMar>
      </w:tblPr>
      <w:tblGrid>
        <w:gridCol w:w="980"/>
        <w:gridCol w:w="20"/>
        <w:gridCol w:w="2414"/>
        <w:gridCol w:w="5413"/>
      </w:tblGrid>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b/>
                <w:bCs/>
                <w:color w:val="auto"/>
              </w:rPr>
            </w:pPr>
            <w:r>
              <w:rPr>
                <w:rFonts w:hint="eastAsia" w:ascii="宋体" w:hAnsi="宋体"/>
                <w:b/>
                <w:bCs/>
                <w:color w:val="auto"/>
              </w:rPr>
              <w:t>条款号</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b/>
                <w:bCs/>
                <w:color w:val="auto"/>
              </w:rPr>
            </w:pPr>
            <w:r>
              <w:rPr>
                <w:rFonts w:hint="eastAsia" w:ascii="宋体" w:hAnsi="宋体"/>
                <w:b/>
                <w:bCs/>
                <w:color w:val="auto"/>
              </w:rPr>
              <w:t>条款名称</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b/>
                <w:bCs/>
                <w:color w:val="auto"/>
              </w:rPr>
            </w:pPr>
            <w:r>
              <w:rPr>
                <w:rFonts w:hint="eastAsia" w:ascii="宋体" w:hAnsi="宋体"/>
                <w:b/>
                <w:bCs/>
                <w:color w:val="auto"/>
              </w:rPr>
              <w:t>编  列  内  容</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1.1.2</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采购人</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ascii="宋体" w:hAnsi="宋体"/>
                <w:color w:val="auto"/>
              </w:rPr>
            </w:pPr>
            <w:r>
              <w:rPr>
                <w:rFonts w:hint="eastAsia" w:ascii="宋体" w:hAnsi="宋体"/>
                <w:color w:val="auto"/>
              </w:rPr>
              <w:t>名称：邓州市人民法院</w:t>
            </w:r>
          </w:p>
          <w:p>
            <w:pPr>
              <w:adjustRightInd w:val="0"/>
              <w:spacing w:line="360" w:lineRule="auto"/>
              <w:textAlignment w:val="baseline"/>
              <w:rPr>
                <w:rFonts w:ascii="宋体" w:hAnsi="宋体"/>
                <w:color w:val="auto"/>
                <w:highlight w:val="none"/>
              </w:rPr>
            </w:pPr>
            <w:r>
              <w:rPr>
                <w:rFonts w:hint="eastAsia" w:ascii="宋体" w:hAnsi="宋体"/>
                <w:color w:val="auto"/>
              </w:rPr>
              <w:t>地</w:t>
            </w:r>
            <w:r>
              <w:rPr>
                <w:rFonts w:hint="eastAsia" w:ascii="宋体" w:hAnsi="宋体"/>
                <w:color w:val="auto"/>
                <w:highlight w:val="none"/>
              </w:rPr>
              <w:t>址：邓州市湍宾南路366号</w:t>
            </w:r>
          </w:p>
          <w:p>
            <w:pPr>
              <w:adjustRightInd w:val="0"/>
              <w:spacing w:line="360" w:lineRule="auto"/>
              <w:textAlignment w:val="baseline"/>
              <w:rPr>
                <w:rFonts w:hint="eastAsia" w:ascii="宋体" w:hAnsi="宋体"/>
                <w:color w:val="auto"/>
                <w:highlight w:val="none"/>
              </w:rPr>
            </w:pPr>
            <w:r>
              <w:rPr>
                <w:rFonts w:hint="eastAsia" w:ascii="宋体" w:hAnsi="宋体"/>
                <w:color w:val="auto"/>
                <w:highlight w:val="none"/>
              </w:rPr>
              <w:t>联系人：杨先生</w:t>
            </w:r>
          </w:p>
          <w:p>
            <w:pPr>
              <w:adjustRightInd w:val="0"/>
              <w:spacing w:line="360" w:lineRule="auto"/>
              <w:textAlignment w:val="baseline"/>
              <w:rPr>
                <w:rFonts w:ascii="宋体" w:hAnsi="宋体"/>
                <w:color w:val="auto"/>
              </w:rPr>
            </w:pPr>
            <w:r>
              <w:rPr>
                <w:rFonts w:hint="eastAsia" w:ascii="宋体" w:hAnsi="宋体"/>
                <w:color w:val="auto"/>
                <w:highlight w:val="none"/>
              </w:rPr>
              <w:t>联系方式：0377-62755318</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1.1.3</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采购代理机构</w:t>
            </w:r>
          </w:p>
        </w:tc>
        <w:tc>
          <w:tcPr>
            <w:tcW w:w="54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olor w:val="auto"/>
              </w:rPr>
            </w:pPr>
            <w:r>
              <w:rPr>
                <w:rFonts w:hint="eastAsia" w:ascii="宋体" w:hAnsi="宋体"/>
                <w:color w:val="auto"/>
              </w:rPr>
              <w:t>名称：中建山河建设管理集团有限公司</w:t>
            </w:r>
          </w:p>
          <w:p>
            <w:pPr>
              <w:widowControl/>
              <w:spacing w:line="360" w:lineRule="auto"/>
              <w:jc w:val="left"/>
              <w:rPr>
                <w:rFonts w:ascii="宋体" w:hAnsi="宋体"/>
                <w:color w:val="auto"/>
              </w:rPr>
            </w:pPr>
            <w:r>
              <w:rPr>
                <w:rFonts w:hint="eastAsia" w:ascii="宋体" w:hAnsi="宋体"/>
                <w:color w:val="auto"/>
              </w:rPr>
              <w:t>地址：</w:t>
            </w:r>
            <w:r>
              <w:rPr>
                <w:rFonts w:hint="eastAsia" w:ascii="宋体" w:hAnsi="宋体"/>
                <w:color w:val="auto"/>
                <w:highlight w:val="none"/>
              </w:rPr>
              <w:t>郑州市</w:t>
            </w:r>
            <w:r>
              <w:rPr>
                <w:rFonts w:hint="eastAsia" w:ascii="宋体" w:hAnsi="宋体"/>
                <w:color w:val="auto"/>
              </w:rPr>
              <w:t>郑东新区圃田西路与七里河南路交叉口西南角明亮环保大楼三楼</w:t>
            </w:r>
          </w:p>
          <w:p>
            <w:pPr>
              <w:widowControl/>
              <w:spacing w:line="360" w:lineRule="auto"/>
              <w:jc w:val="left"/>
              <w:rPr>
                <w:rFonts w:ascii="宋体" w:hAnsi="宋体"/>
                <w:color w:val="auto"/>
              </w:rPr>
            </w:pPr>
            <w:r>
              <w:rPr>
                <w:rFonts w:hint="eastAsia" w:ascii="宋体" w:hAnsi="宋体"/>
                <w:color w:val="auto"/>
              </w:rPr>
              <w:t>联系人：王</w:t>
            </w:r>
            <w:r>
              <w:rPr>
                <w:rFonts w:hint="eastAsia" w:ascii="宋体" w:hAnsi="宋体"/>
                <w:color w:val="auto"/>
                <w:lang w:eastAsia="zh-CN"/>
              </w:rPr>
              <w:t>朝艳、夏鹏程</w:t>
            </w:r>
          </w:p>
          <w:p>
            <w:pPr>
              <w:widowControl/>
              <w:spacing w:line="360" w:lineRule="auto"/>
              <w:jc w:val="left"/>
              <w:rPr>
                <w:rFonts w:ascii="宋体" w:hAnsi="宋体"/>
                <w:color w:val="auto"/>
              </w:rPr>
            </w:pPr>
            <w:r>
              <w:rPr>
                <w:rFonts w:hint="eastAsia" w:ascii="宋体" w:hAnsi="宋体"/>
                <w:color w:val="auto"/>
              </w:rPr>
              <w:t>联系方式：</w:t>
            </w:r>
            <w:r>
              <w:rPr>
                <w:rFonts w:hint="eastAsia" w:asciiTheme="minorEastAsia" w:hAnsiTheme="minorEastAsia" w:eastAsiaTheme="minorEastAsia" w:cstheme="minorEastAsia"/>
                <w:color w:val="auto"/>
                <w:kern w:val="0"/>
              </w:rPr>
              <w:t>0371-86556161、15903670586、19937233779</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1.1.4</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项目名称</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rPr>
            </w:pPr>
            <w:r>
              <w:rPr>
                <w:rFonts w:hint="eastAsia" w:ascii="宋体" w:hAnsi="宋体"/>
                <w:color w:val="auto"/>
              </w:rPr>
              <w:t>邓州市人民法院审判法庭和青少年法治教育基地综合布线项目</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1.2.1</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资金来源</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rPr>
            </w:pPr>
            <w:r>
              <w:rPr>
                <w:rFonts w:hint="eastAsia" w:ascii="宋体" w:hAnsi="宋体"/>
                <w:color w:val="auto"/>
              </w:rPr>
              <w:t>财政资金</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1.2.2</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落实情况</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rPr>
            </w:pPr>
            <w:r>
              <w:rPr>
                <w:rFonts w:hint="eastAsia" w:ascii="宋体" w:hAnsi="宋体"/>
                <w:color w:val="auto"/>
              </w:rPr>
              <w:t>已落实</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1.3.1</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采购内容及范围</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rPr>
            </w:pPr>
            <w:r>
              <w:rPr>
                <w:rFonts w:hint="eastAsia" w:ascii="宋体" w:hAnsi="宋体"/>
                <w:color w:val="auto"/>
              </w:rPr>
              <w:t>采购内容：邓州市人民法院审判法庭和青少年法治教育基地的综合布线（包括综合布线系统的桥架、线管、面板、网线、光纤、配线架等内容的相关设备采购以及施工安装，详见图纸以及工程量清单）。</w:t>
            </w:r>
          </w:p>
          <w:p>
            <w:pPr>
              <w:spacing w:line="360" w:lineRule="auto"/>
              <w:rPr>
                <w:rFonts w:ascii="宋体" w:hAnsi="宋体"/>
                <w:color w:val="auto"/>
              </w:rPr>
            </w:pPr>
            <w:r>
              <w:rPr>
                <w:rFonts w:hint="eastAsia" w:ascii="宋体" w:hAnsi="宋体"/>
                <w:color w:val="auto"/>
              </w:rPr>
              <w:t>采购范围：施工图纸及工程量清单范围内的所有内容</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1.3.2</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highlight w:val="none"/>
              </w:rPr>
            </w:pPr>
            <w:r>
              <w:rPr>
                <w:rFonts w:hint="eastAsia" w:ascii="宋体" w:hAnsi="宋体"/>
                <w:color w:val="auto"/>
                <w:highlight w:val="none"/>
              </w:rPr>
              <w:t>建设地点</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olor w:val="auto"/>
                <w:highlight w:val="none"/>
                <w:lang w:eastAsia="zh-CN"/>
              </w:rPr>
            </w:pPr>
            <w:r>
              <w:rPr>
                <w:rFonts w:hint="eastAsia" w:ascii="宋体" w:hAnsi="宋体"/>
                <w:color w:val="auto"/>
                <w:highlight w:val="none"/>
                <w:lang w:eastAsia="zh-CN"/>
              </w:rPr>
              <w:t>邓州市</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1.3.3</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highlight w:val="none"/>
              </w:rPr>
            </w:pPr>
            <w:r>
              <w:rPr>
                <w:rFonts w:hint="eastAsia" w:ascii="宋体" w:hAnsi="宋体"/>
                <w:color w:val="auto"/>
                <w:highlight w:val="none"/>
              </w:rPr>
              <w:t>工期要求</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highlight w:val="none"/>
              </w:rPr>
            </w:pPr>
            <w:r>
              <w:rPr>
                <w:rFonts w:hint="eastAsia" w:ascii="宋体" w:hAnsi="宋体"/>
                <w:color w:val="auto"/>
                <w:highlight w:val="none"/>
              </w:rPr>
              <w:t>90日历天</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1.3.4</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质量要求</w:t>
            </w:r>
          </w:p>
        </w:tc>
        <w:tc>
          <w:tcPr>
            <w:tcW w:w="5413" w:type="dxa"/>
            <w:tcBorders>
              <w:top w:val="single" w:color="auto" w:sz="4" w:space="0"/>
              <w:left w:val="nil"/>
              <w:bottom w:val="single" w:color="auto" w:sz="4" w:space="0"/>
              <w:right w:val="single" w:color="auto" w:sz="4" w:space="0"/>
            </w:tcBorders>
            <w:vAlign w:val="center"/>
          </w:tcPr>
          <w:p>
            <w:pPr>
              <w:pStyle w:val="8"/>
              <w:rPr>
                <w:rFonts w:ascii="宋体" w:hAnsi="宋体"/>
                <w:color w:val="auto"/>
              </w:rPr>
            </w:pPr>
            <w:r>
              <w:rPr>
                <w:rFonts w:hint="eastAsia" w:ascii="宋体" w:hAnsi="宋体"/>
                <w:color w:val="auto"/>
                <w:sz w:val="21"/>
                <w:szCs w:val="21"/>
              </w:rPr>
              <w:t>符合国家、行业现行规范合格标准</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1.3.5</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highlight w:val="none"/>
              </w:rPr>
            </w:pPr>
            <w:r>
              <w:rPr>
                <w:rFonts w:hint="eastAsia" w:ascii="宋体" w:hAnsi="宋体"/>
                <w:color w:val="auto"/>
                <w:highlight w:val="none"/>
              </w:rPr>
              <w:t>缺陷责任期</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eastAsia="宋体"/>
                <w:color w:val="auto"/>
                <w:highlight w:val="none"/>
                <w:lang w:val="en-US" w:eastAsia="zh-CN"/>
              </w:rPr>
            </w:pPr>
            <w:r>
              <w:rPr>
                <w:rFonts w:hint="eastAsia" w:ascii="宋体" w:hAnsi="宋体"/>
                <w:color w:val="auto"/>
                <w:highlight w:val="none"/>
                <w:lang w:val="en-US" w:eastAsia="zh-CN"/>
              </w:rPr>
              <w:t>24个月</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1.4.1</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供应商资质条件和能力</w:t>
            </w:r>
          </w:p>
        </w:tc>
        <w:tc>
          <w:tcPr>
            <w:tcW w:w="54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olor w:val="auto"/>
              </w:rPr>
            </w:pPr>
            <w:r>
              <w:rPr>
                <w:rFonts w:hint="eastAsia" w:ascii="宋体" w:hAnsi="宋体"/>
                <w:color w:val="auto"/>
              </w:rPr>
              <w:t>同竞争性磋商公告“二、申请人资格要求”</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1.4.2</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是否接受联合体</w:t>
            </w:r>
          </w:p>
        </w:tc>
        <w:tc>
          <w:tcPr>
            <w:tcW w:w="5413" w:type="dxa"/>
            <w:tcBorders>
              <w:top w:val="single" w:color="auto" w:sz="4" w:space="0"/>
              <w:left w:val="nil"/>
              <w:bottom w:val="single" w:color="auto" w:sz="4" w:space="0"/>
              <w:right w:val="single" w:color="auto" w:sz="4" w:space="0"/>
            </w:tcBorders>
            <w:vAlign w:val="center"/>
          </w:tcPr>
          <w:p>
            <w:pPr>
              <w:pStyle w:val="9"/>
              <w:topLinePunct/>
              <w:adjustRightInd w:val="0"/>
              <w:spacing w:line="360" w:lineRule="auto"/>
              <w:textAlignment w:val="baseline"/>
              <w:rPr>
                <w:rFonts w:ascii="宋体" w:hAnsi="宋体"/>
                <w:color w:val="auto"/>
                <w:kern w:val="2"/>
                <w:sz w:val="21"/>
                <w:szCs w:val="21"/>
              </w:rPr>
            </w:pPr>
            <w:r>
              <w:rPr>
                <w:rFonts w:hint="eastAsia" w:ascii="宋体" w:hAnsi="宋体"/>
                <w:color w:val="auto"/>
                <w:kern w:val="2"/>
                <w:sz w:val="21"/>
                <w:szCs w:val="21"/>
              </w:rPr>
              <w:t>不接受</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2.1</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构成磋商文件的其他材料</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ascii="宋体" w:hAnsi="宋体"/>
                <w:color w:val="auto"/>
              </w:rPr>
            </w:pPr>
            <w:r>
              <w:rPr>
                <w:rFonts w:hint="eastAsia" w:ascii="宋体" w:hAnsi="宋体"/>
                <w:color w:val="auto"/>
              </w:rPr>
              <w:t>除磋商文件外，采购人在磋商期间发出的澄清、修改、补充、补遗和其它有效正式函件等内容均是磋商文件的组成部分</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2.2.1</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olor w:val="auto"/>
                <w:lang w:eastAsia="zh-CN"/>
              </w:rPr>
            </w:pPr>
            <w:r>
              <w:rPr>
                <w:rFonts w:hint="eastAsia" w:ascii="宋体" w:hAnsi="宋体"/>
                <w:color w:val="auto"/>
              </w:rPr>
              <w:t>供应商要求澄清磋商文件的截止时间</w:t>
            </w:r>
            <w:r>
              <w:rPr>
                <w:rFonts w:hint="eastAsia" w:ascii="宋体" w:hAnsi="宋体"/>
                <w:color w:val="auto"/>
                <w:lang w:eastAsia="zh-CN"/>
              </w:rPr>
              <w:t>及形式</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ascii="宋体" w:hAnsi="宋体"/>
                <w:color w:val="auto"/>
              </w:rPr>
            </w:pPr>
            <w:r>
              <w:rPr>
                <w:rFonts w:hint="eastAsia" w:ascii="宋体" w:hAnsi="宋体"/>
                <w:color w:val="auto"/>
              </w:rPr>
              <w:t>应当在收到磋商文件或公告期限届满之日起7个工作日内，在河南省公共资源交易中心系统内提出</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2.2.2</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提交响应文件截止时间</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ascii="宋体" w:hAnsi="宋体"/>
                <w:color w:val="auto"/>
              </w:rPr>
            </w:pPr>
            <w:r>
              <w:rPr>
                <w:rFonts w:hint="eastAsia" w:ascii="宋体" w:hAnsi="宋体"/>
                <w:b/>
                <w:bCs/>
                <w:color w:val="auto"/>
              </w:rPr>
              <w:t xml:space="preserve">2024年 </w:t>
            </w:r>
            <w:r>
              <w:rPr>
                <w:rFonts w:hint="eastAsia" w:ascii="宋体" w:hAnsi="宋体"/>
                <w:b/>
                <w:bCs/>
                <w:color w:val="auto"/>
                <w:lang w:val="en-US" w:eastAsia="zh-CN"/>
              </w:rPr>
              <w:t>5</w:t>
            </w:r>
            <w:r>
              <w:rPr>
                <w:rFonts w:hint="eastAsia" w:ascii="宋体" w:hAnsi="宋体"/>
                <w:b/>
                <w:bCs/>
                <w:color w:val="auto"/>
              </w:rPr>
              <w:t xml:space="preserve"> 月 </w:t>
            </w:r>
            <w:r>
              <w:rPr>
                <w:rFonts w:hint="eastAsia" w:ascii="宋体" w:hAnsi="宋体"/>
                <w:b/>
                <w:bCs/>
                <w:color w:val="auto"/>
                <w:lang w:val="en-US" w:eastAsia="zh-CN"/>
              </w:rPr>
              <w:t>30</w:t>
            </w:r>
            <w:r>
              <w:rPr>
                <w:rFonts w:hint="eastAsia" w:ascii="宋体" w:hAnsi="宋体"/>
                <w:b/>
                <w:bCs/>
                <w:color w:val="auto"/>
              </w:rPr>
              <w:t xml:space="preserve"> 日 9 时00分</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2.2.3</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olor w:val="auto"/>
                <w:lang w:eastAsia="zh-CN"/>
              </w:rPr>
            </w:pPr>
            <w:r>
              <w:rPr>
                <w:rFonts w:hint="eastAsia" w:ascii="宋体" w:hAnsi="宋体"/>
                <w:color w:val="auto"/>
              </w:rPr>
              <w:t>供应商确认收到磋商文件澄清的</w:t>
            </w:r>
            <w:r>
              <w:rPr>
                <w:rFonts w:hint="eastAsia" w:ascii="宋体" w:hAnsi="宋体"/>
                <w:color w:val="auto"/>
                <w:lang w:eastAsia="zh-CN"/>
              </w:rPr>
              <w:t>形式</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hint="eastAsia" w:ascii="宋体" w:hAnsi="宋体" w:eastAsia="宋体"/>
                <w:color w:val="auto"/>
                <w:lang w:eastAsia="zh-CN"/>
              </w:rPr>
            </w:pPr>
            <w:r>
              <w:rPr>
                <w:rFonts w:hint="eastAsia" w:ascii="宋体" w:hAnsi="宋体"/>
                <w:color w:val="auto"/>
              </w:rPr>
              <w:t>在河南省公共资源交易中心电子交易平台上传，供应商自行下载，同时在原公告发布媒介上发布</w:t>
            </w:r>
            <w:r>
              <w:rPr>
                <w:rFonts w:hint="eastAsia" w:ascii="宋体" w:hAnsi="宋体"/>
                <w:color w:val="auto"/>
                <w:lang w:eastAsia="zh-CN"/>
              </w:rPr>
              <w:t>，</w:t>
            </w:r>
            <w:r>
              <w:rPr>
                <w:rFonts w:hint="eastAsia" w:ascii="宋体" w:hAnsi="宋体"/>
                <w:color w:val="auto"/>
              </w:rPr>
              <w:t>一经发出即视为供应商已确认收到</w:t>
            </w:r>
          </w:p>
        </w:tc>
      </w:tr>
      <w:tr>
        <w:tblPrEx>
          <w:tblCellMar>
            <w:top w:w="0" w:type="dxa"/>
            <w:left w:w="108" w:type="dxa"/>
            <w:bottom w:w="0" w:type="dxa"/>
            <w:right w:w="108" w:type="dxa"/>
          </w:tblCellMar>
        </w:tblPrEx>
        <w:trPr>
          <w:trHeight w:val="133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2.3.2</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eastAsia="宋体"/>
                <w:color w:val="auto"/>
                <w:lang w:eastAsia="zh-CN"/>
              </w:rPr>
            </w:pPr>
            <w:r>
              <w:rPr>
                <w:rFonts w:hint="eastAsia" w:ascii="宋体" w:hAnsi="宋体"/>
                <w:color w:val="auto"/>
              </w:rPr>
              <w:t>供应商确认收到磋商文件修改的</w:t>
            </w:r>
            <w:r>
              <w:rPr>
                <w:rFonts w:hint="eastAsia" w:ascii="宋体" w:hAnsi="宋体"/>
                <w:color w:val="auto"/>
                <w:lang w:eastAsia="zh-CN"/>
              </w:rPr>
              <w:t>形式</w:t>
            </w:r>
          </w:p>
        </w:tc>
        <w:tc>
          <w:tcPr>
            <w:tcW w:w="5413" w:type="dxa"/>
            <w:tcBorders>
              <w:top w:val="single" w:color="auto" w:sz="4" w:space="0"/>
              <w:left w:val="nil"/>
              <w:bottom w:val="single" w:color="auto" w:sz="4" w:space="0"/>
              <w:right w:val="single" w:color="auto" w:sz="4" w:space="0"/>
            </w:tcBorders>
            <w:vAlign w:val="center"/>
          </w:tcPr>
          <w:p>
            <w:pPr>
              <w:pStyle w:val="80"/>
              <w:spacing w:before="119" w:line="468" w:lineRule="exact"/>
              <w:ind w:left="114"/>
              <w:jc w:val="both"/>
              <w:rPr>
                <w:rFonts w:ascii="宋体" w:hAnsi="宋体"/>
                <w:color w:val="auto"/>
              </w:rPr>
            </w:pPr>
            <w:r>
              <w:rPr>
                <w:rFonts w:hint="eastAsia" w:ascii="宋体" w:hAnsi="宋体" w:eastAsia="宋体" w:cs="Times New Roman"/>
                <w:color w:val="auto"/>
                <w:kern w:val="2"/>
                <w:sz w:val="21"/>
                <w:szCs w:val="21"/>
                <w:lang w:val="en-US" w:eastAsia="zh-CN" w:bidi="ar-SA"/>
              </w:rPr>
              <w:t>在河南省公共资源交易中心电子交易平台上传，供应商自行下载，同时在原公告发布媒介上发布，一经发出即视为供应商已确认收到</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3.1.1</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构成响应文件的其他材料</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ascii="宋体" w:hAnsi="宋体"/>
                <w:color w:val="auto"/>
              </w:rPr>
            </w:pPr>
            <w:r>
              <w:rPr>
                <w:rFonts w:hint="eastAsia" w:ascii="宋体" w:hAnsi="宋体"/>
                <w:color w:val="auto"/>
              </w:rPr>
              <w:t>供应商认为需要提交的其他证明材料</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3.2</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textAlignment w:val="center"/>
              <w:rPr>
                <w:rFonts w:ascii="宋体" w:hAnsi="宋体"/>
                <w:color w:val="auto"/>
              </w:rPr>
            </w:pPr>
            <w:r>
              <w:rPr>
                <w:rFonts w:hint="eastAsia" w:ascii="宋体" w:hAnsi="宋体"/>
                <w:color w:val="auto"/>
              </w:rPr>
              <w:t>磋商报价</w:t>
            </w:r>
          </w:p>
        </w:tc>
        <w:tc>
          <w:tcPr>
            <w:tcW w:w="5413" w:type="dxa"/>
            <w:tcBorders>
              <w:top w:val="single" w:color="auto" w:sz="4" w:space="0"/>
              <w:left w:val="nil"/>
              <w:bottom w:val="single" w:color="auto" w:sz="4" w:space="0"/>
              <w:right w:val="single" w:color="auto" w:sz="4" w:space="0"/>
            </w:tcBorders>
            <w:vAlign w:val="center"/>
          </w:tcPr>
          <w:p>
            <w:pPr>
              <w:spacing w:line="360" w:lineRule="auto"/>
              <w:jc w:val="left"/>
              <w:textAlignment w:val="center"/>
              <w:rPr>
                <w:rFonts w:ascii="宋体" w:hAnsi="宋体"/>
                <w:color w:val="auto"/>
              </w:rPr>
            </w:pPr>
            <w:r>
              <w:rPr>
                <w:rFonts w:hint="eastAsia" w:ascii="宋体" w:hAnsi="宋体"/>
                <w:color w:val="auto"/>
              </w:rPr>
              <w:t>响应报价：随同响应文件密封递交的响应报价为第一轮报价，供应商通过符合性审查后，将进行第二轮报价（采购人可根据报价情况进行多轮磋商并要求供应商进行最后报价）。供应商的后一次报价不得高于前一次报价（磋商过程中采购需求发生实质性变动的除外），否则磋商申请将被拒绝。</w:t>
            </w:r>
          </w:p>
          <w:p>
            <w:pPr>
              <w:spacing w:line="360" w:lineRule="auto"/>
              <w:jc w:val="left"/>
              <w:textAlignment w:val="center"/>
              <w:rPr>
                <w:rFonts w:hint="eastAsia" w:ascii="宋体" w:hAnsi="宋体"/>
                <w:color w:val="auto"/>
              </w:rPr>
            </w:pPr>
            <w:r>
              <w:rPr>
                <w:rFonts w:hint="eastAsia" w:ascii="宋体" w:hAnsi="宋体"/>
                <w:color w:val="auto"/>
              </w:rPr>
              <w:t>注：磋商小组认为供应商的报价明显低于其他通过符合性审查供应商的报价，有可能影响工程质量或者不能诚信履约的，应当要求其在评标现场合理的时间（建议30分钟）内提供书面说明，必要时提交相关证明材料；供应商不能证明其报价合理性的，磋商小组应当将其作为无效响应处理。</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3.3.1</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磋商有效期</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ascii="宋体" w:hAnsi="宋体"/>
                <w:color w:val="auto"/>
              </w:rPr>
            </w:pPr>
            <w:r>
              <w:rPr>
                <w:rFonts w:hint="eastAsia" w:ascii="宋体" w:hAnsi="宋体"/>
                <w:color w:val="auto"/>
                <w:kern w:val="0"/>
              </w:rPr>
              <w:t>60日历天（响应文件提交截止之日起）</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3.4.1</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磋商保证金</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rPr>
            </w:pPr>
            <w:r>
              <w:rPr>
                <w:rFonts w:hint="eastAsia" w:ascii="宋体" w:hAnsi="宋体"/>
                <w:color w:val="auto"/>
              </w:rPr>
              <w:t>不收取</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3.6</w:t>
            </w:r>
          </w:p>
        </w:tc>
        <w:tc>
          <w:tcPr>
            <w:tcW w:w="243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是否允许递交备选磋商方案</w:t>
            </w:r>
          </w:p>
        </w:tc>
        <w:tc>
          <w:tcPr>
            <w:tcW w:w="5413" w:type="dxa"/>
            <w:tcBorders>
              <w:top w:val="single" w:color="auto" w:sz="4" w:space="0"/>
              <w:left w:val="nil"/>
              <w:bottom w:val="single" w:color="auto" w:sz="4" w:space="0"/>
              <w:right w:val="single" w:color="auto" w:sz="4" w:space="0"/>
            </w:tcBorders>
            <w:vAlign w:val="center"/>
          </w:tcPr>
          <w:p>
            <w:pPr>
              <w:pStyle w:val="9"/>
              <w:topLinePunct/>
              <w:adjustRightInd w:val="0"/>
              <w:spacing w:line="360" w:lineRule="auto"/>
              <w:textAlignment w:val="baseline"/>
              <w:rPr>
                <w:rFonts w:ascii="宋体" w:hAnsi="宋体"/>
                <w:color w:val="auto"/>
                <w:kern w:val="2"/>
                <w:sz w:val="21"/>
                <w:szCs w:val="21"/>
              </w:rPr>
            </w:pPr>
            <w:r>
              <w:rPr>
                <w:rFonts w:hint="eastAsia" w:ascii="宋体" w:hAnsi="宋体"/>
                <w:color w:val="auto"/>
                <w:kern w:val="2"/>
                <w:sz w:val="21"/>
                <w:szCs w:val="21"/>
              </w:rPr>
              <w:t>不允许</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3.7.3</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签字盖章要求</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ascii="宋体" w:hAnsi="宋体"/>
                <w:color w:val="auto"/>
              </w:rPr>
            </w:pPr>
            <w:r>
              <w:rPr>
                <w:rFonts w:hint="eastAsia" w:ascii="宋体" w:hAnsi="宋体"/>
                <w:color w:val="auto"/>
              </w:rPr>
              <w:t>（1）所有要求供应商加盖公章的地方都应用供应商单位的CA签章。</w:t>
            </w:r>
          </w:p>
          <w:p>
            <w:pPr>
              <w:adjustRightInd w:val="0"/>
              <w:spacing w:line="360" w:lineRule="auto"/>
              <w:textAlignment w:val="baseline"/>
              <w:rPr>
                <w:rFonts w:ascii="宋体" w:hAnsi="宋体"/>
                <w:color w:val="auto"/>
              </w:rPr>
            </w:pPr>
            <w:r>
              <w:rPr>
                <w:rFonts w:hint="eastAsia" w:ascii="宋体" w:hAnsi="宋体"/>
                <w:color w:val="auto"/>
              </w:rPr>
              <w:t>（2）所有要求法定代表人签字的地方都应用法定代表人的CA签章。若有委托代理人，且委托代理人没有CA签章，则需上传有手写签名的扫描件。</w:t>
            </w:r>
          </w:p>
          <w:p>
            <w:pPr>
              <w:adjustRightInd w:val="0"/>
              <w:spacing w:line="360" w:lineRule="auto"/>
              <w:textAlignment w:val="baseline"/>
              <w:rPr>
                <w:rFonts w:ascii="宋体" w:hAnsi="宋体"/>
                <w:color w:val="auto"/>
              </w:rPr>
            </w:pPr>
            <w:r>
              <w:rPr>
                <w:rFonts w:hint="eastAsia" w:ascii="宋体" w:hAnsi="宋体"/>
                <w:color w:val="auto"/>
              </w:rPr>
              <w:t>（3）已标价工程量清单仅在封面加盖供应商公章及造价师执业资格章并签字（委托造价咨询单位编制已标价工程量清单的需盖造价单位公章及其单位造价师执业资格章并签字，并加盖供应商公章）。</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3.7.4</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响应文件份数</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ascii="宋体" w:hAnsi="宋体"/>
                <w:b/>
                <w:color w:val="auto"/>
              </w:rPr>
            </w:pPr>
            <w:r>
              <w:rPr>
                <w:rFonts w:hint="eastAsia" w:ascii="宋体" w:hAnsi="宋体"/>
                <w:b/>
                <w:color w:val="auto"/>
              </w:rPr>
              <w:t>网上上传的电子响应文件应使用数字证书认证并加密的电子响应文件壹份（*.hntf 格式，在会员系统指定位置上传）。</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4.2.2</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提交响应文件地点</w:t>
            </w:r>
          </w:p>
        </w:tc>
        <w:tc>
          <w:tcPr>
            <w:tcW w:w="54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olor w:val="auto"/>
              </w:rPr>
            </w:pPr>
            <w:r>
              <w:rPr>
                <w:rFonts w:hint="eastAsia" w:ascii="宋体" w:hAnsi="宋体"/>
                <w:color w:val="auto"/>
              </w:rPr>
              <w:t>加密电子响应文件须在响应文件提交截止时间前通过“河南省公共资源交易中心（</w:t>
            </w:r>
            <w:r>
              <w:rPr>
                <w:color w:val="auto"/>
              </w:rPr>
              <w:fldChar w:fldCharType="begin"/>
            </w:r>
            <w:r>
              <w:rPr>
                <w:color w:val="auto"/>
              </w:rPr>
              <w:instrText xml:space="preserve"> HYPERLINK "http://www.hnggzy.net/" </w:instrText>
            </w:r>
            <w:r>
              <w:rPr>
                <w:color w:val="auto"/>
              </w:rPr>
              <w:fldChar w:fldCharType="separate"/>
            </w:r>
            <w:r>
              <w:rPr>
                <w:rFonts w:ascii="宋体" w:hAnsi="宋体"/>
                <w:color w:val="auto"/>
              </w:rPr>
              <w:t>http://www.hnggzy.net/</w:t>
            </w:r>
            <w:r>
              <w:rPr>
                <w:rFonts w:ascii="宋体" w:hAnsi="宋体"/>
                <w:color w:val="auto"/>
              </w:rPr>
              <w:fldChar w:fldCharType="end"/>
            </w:r>
            <w:r>
              <w:rPr>
                <w:rFonts w:hint="eastAsia" w:ascii="宋体" w:hAnsi="宋体"/>
                <w:color w:val="auto"/>
              </w:rPr>
              <w:t>）”电子交易平台加密上传。逾期上传的或者未上传指定地点的响应文件，采购人不予受理。</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4.2.3</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是否退还响应文件</w:t>
            </w:r>
          </w:p>
        </w:tc>
        <w:tc>
          <w:tcPr>
            <w:tcW w:w="5413" w:type="dxa"/>
            <w:tcBorders>
              <w:top w:val="single" w:color="auto" w:sz="4" w:space="0"/>
              <w:left w:val="nil"/>
              <w:bottom w:val="single" w:color="auto" w:sz="4" w:space="0"/>
              <w:right w:val="single" w:color="auto" w:sz="4" w:space="0"/>
            </w:tcBorders>
            <w:vAlign w:val="center"/>
          </w:tcPr>
          <w:p>
            <w:pPr>
              <w:pStyle w:val="9"/>
              <w:topLinePunct/>
              <w:adjustRightInd w:val="0"/>
              <w:spacing w:line="360" w:lineRule="auto"/>
              <w:textAlignment w:val="baseline"/>
              <w:rPr>
                <w:rFonts w:ascii="宋体" w:hAnsi="宋体"/>
                <w:color w:val="auto"/>
                <w:kern w:val="2"/>
                <w:sz w:val="21"/>
                <w:szCs w:val="21"/>
              </w:rPr>
            </w:pPr>
            <w:r>
              <w:rPr>
                <w:rFonts w:hint="eastAsia" w:ascii="宋体" w:hAnsi="宋体"/>
                <w:color w:val="auto"/>
                <w:kern w:val="2"/>
                <w:sz w:val="21"/>
                <w:szCs w:val="21"/>
              </w:rPr>
              <w:t>否</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5.1</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磋商时间和地点</w:t>
            </w:r>
          </w:p>
        </w:tc>
        <w:tc>
          <w:tcPr>
            <w:tcW w:w="541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rPr>
                <w:rFonts w:ascii="宋体" w:hAnsi="宋体"/>
                <w:b/>
                <w:bCs/>
                <w:color w:val="auto"/>
              </w:rPr>
            </w:pPr>
            <w:r>
              <w:rPr>
                <w:rFonts w:hint="eastAsia" w:ascii="宋体" w:hAnsi="宋体"/>
                <w:b/>
                <w:bCs/>
                <w:color w:val="auto"/>
              </w:rPr>
              <w:t>磋商时间：同提交响应文件截止时间</w:t>
            </w:r>
          </w:p>
          <w:p>
            <w:pPr>
              <w:autoSpaceDE w:val="0"/>
              <w:autoSpaceDN w:val="0"/>
              <w:adjustRightInd w:val="0"/>
              <w:spacing w:line="360" w:lineRule="auto"/>
              <w:rPr>
                <w:rFonts w:ascii="宋体" w:hAnsi="宋体"/>
                <w:color w:val="auto"/>
              </w:rPr>
            </w:pPr>
            <w:r>
              <w:rPr>
                <w:rFonts w:hint="eastAsia" w:ascii="宋体" w:hAnsi="宋体"/>
                <w:b/>
                <w:bCs/>
                <w:color w:val="auto"/>
                <w:highlight w:val="none"/>
              </w:rPr>
              <w:t>磋商地点：河南省公共资源交易中心（郑州市经二路与纬四路向南50米路西）远程开标室(</w:t>
            </w:r>
            <w:r>
              <w:rPr>
                <w:rFonts w:hint="eastAsia" w:ascii="宋体" w:hAnsi="宋体"/>
                <w:b/>
                <w:bCs/>
                <w:color w:val="auto"/>
                <w:highlight w:val="none"/>
                <w:lang w:eastAsia="zh-CN"/>
              </w:rPr>
              <w:t>二</w:t>
            </w:r>
            <w:r>
              <w:rPr>
                <w:rFonts w:hint="eastAsia" w:ascii="宋体" w:hAnsi="宋体"/>
                <w:b/>
                <w:bCs/>
                <w:color w:val="auto"/>
                <w:highlight w:val="none"/>
              </w:rPr>
              <w:t>)-</w:t>
            </w:r>
            <w:r>
              <w:rPr>
                <w:rFonts w:hint="eastAsia" w:ascii="宋体" w:hAnsi="宋体"/>
                <w:b/>
                <w:bCs/>
                <w:color w:val="auto"/>
                <w:highlight w:val="none"/>
                <w:lang w:val="en-US" w:eastAsia="zh-CN"/>
              </w:rPr>
              <w:t>4</w:t>
            </w:r>
            <w:r>
              <w:rPr>
                <w:rFonts w:hint="eastAsia" w:ascii="宋体" w:hAnsi="宋体"/>
                <w:b/>
                <w:bCs/>
                <w:color w:val="auto"/>
                <w:highlight w:val="none"/>
              </w:rPr>
              <w:t>。</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6.1.1</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磋商小组的组建</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ascii="宋体" w:hAnsi="宋体"/>
                <w:color w:val="auto"/>
                <w:highlight w:val="none"/>
              </w:rPr>
            </w:pPr>
            <w:r>
              <w:rPr>
                <w:rFonts w:hint="eastAsia" w:ascii="宋体" w:hAnsi="宋体"/>
                <w:color w:val="auto"/>
              </w:rPr>
              <w:t>磋商小组构成：3人</w:t>
            </w:r>
            <w:r>
              <w:rPr>
                <w:rFonts w:hint="eastAsia" w:ascii="宋体" w:hAnsi="宋体"/>
                <w:color w:val="auto"/>
                <w:highlight w:val="none"/>
              </w:rPr>
              <w:t>，由1名采购人代表、1名技术和1名经济评标专家组成；</w:t>
            </w:r>
          </w:p>
          <w:p>
            <w:pPr>
              <w:adjustRightInd w:val="0"/>
              <w:spacing w:line="360" w:lineRule="auto"/>
              <w:textAlignment w:val="baseline"/>
              <w:rPr>
                <w:rFonts w:ascii="宋体" w:hAnsi="宋体"/>
                <w:color w:val="auto"/>
              </w:rPr>
            </w:pPr>
            <w:r>
              <w:rPr>
                <w:rFonts w:hint="eastAsia" w:ascii="宋体" w:hAnsi="宋体"/>
                <w:color w:val="auto"/>
              </w:rPr>
              <w:t>技术、经济评标专家确定方式：磋商前从河南省</w:t>
            </w:r>
            <w:r>
              <w:rPr>
                <w:rFonts w:hint="eastAsia" w:ascii="宋体" w:hAnsi="宋体"/>
                <w:color w:val="auto"/>
                <w:kern w:val="0"/>
              </w:rPr>
              <w:t>政府采购评审</w:t>
            </w:r>
            <w:r>
              <w:rPr>
                <w:rFonts w:hint="eastAsia" w:ascii="宋体" w:hAnsi="宋体"/>
                <w:color w:val="auto"/>
              </w:rPr>
              <w:t>专家库中随机抽取。</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7.1</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是否授权磋商小组确定成交人</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ascii="宋体" w:hAnsi="宋体"/>
                <w:color w:val="auto"/>
              </w:rPr>
            </w:pPr>
            <w:r>
              <w:rPr>
                <w:rFonts w:hint="eastAsia" w:ascii="宋体" w:hAnsi="宋体"/>
                <w:color w:val="auto"/>
              </w:rPr>
              <w:t>否；推荐的成交候选人数：3名</w:t>
            </w:r>
          </w:p>
        </w:tc>
      </w:tr>
      <w:tr>
        <w:tblPrEx>
          <w:tblCellMar>
            <w:top w:w="0" w:type="dxa"/>
            <w:left w:w="108" w:type="dxa"/>
            <w:bottom w:w="0" w:type="dxa"/>
            <w:right w:w="108" w:type="dxa"/>
          </w:tblCellMar>
        </w:tblPrEx>
        <w:trPr>
          <w:trHeight w:val="23" w:hRule="atLeast"/>
          <w:jc w:val="center"/>
        </w:trPr>
        <w:tc>
          <w:tcPr>
            <w:tcW w:w="98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7.3.1</w:t>
            </w:r>
          </w:p>
        </w:tc>
        <w:tc>
          <w:tcPr>
            <w:tcW w:w="2434" w:type="dxa"/>
            <w:gridSpan w:val="2"/>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r>
              <w:rPr>
                <w:rFonts w:hint="eastAsia" w:ascii="宋体" w:hAnsi="宋体"/>
                <w:color w:val="auto"/>
              </w:rPr>
              <w:t>履约保证金</w:t>
            </w:r>
          </w:p>
        </w:tc>
        <w:tc>
          <w:tcPr>
            <w:tcW w:w="5413" w:type="dxa"/>
            <w:tcBorders>
              <w:top w:val="single" w:color="auto" w:sz="4" w:space="0"/>
              <w:left w:val="nil"/>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olor w:val="auto"/>
                <w:lang w:eastAsia="zh-CN"/>
              </w:rPr>
            </w:pPr>
            <w:r>
              <w:rPr>
                <w:rFonts w:hint="eastAsia" w:ascii="宋体" w:hAnsi="宋体"/>
                <w:color w:val="auto"/>
                <w:highlight w:val="none"/>
              </w:rPr>
              <w:t>履约担保的金额：</w:t>
            </w:r>
            <w:r>
              <w:rPr>
                <w:rFonts w:hint="eastAsia" w:ascii="宋体" w:hAnsi="宋体"/>
                <w:color w:val="auto"/>
                <w:highlight w:val="none"/>
                <w:lang w:eastAsia="zh-CN"/>
              </w:rPr>
              <w:t>不收取</w:t>
            </w:r>
          </w:p>
        </w:tc>
      </w:tr>
      <w:tr>
        <w:tblPrEx>
          <w:tblCellMar>
            <w:top w:w="0" w:type="dxa"/>
            <w:left w:w="108" w:type="dxa"/>
            <w:bottom w:w="0" w:type="dxa"/>
            <w:right w:w="108" w:type="dxa"/>
          </w:tblCellMar>
        </w:tblPrEx>
        <w:trPr>
          <w:trHeight w:val="23" w:hRule="atLeast"/>
          <w:jc w:val="center"/>
        </w:trPr>
        <w:tc>
          <w:tcPr>
            <w:tcW w:w="8827" w:type="dxa"/>
            <w:gridSpan w:val="4"/>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textAlignment w:val="baseline"/>
              <w:rPr>
                <w:rFonts w:ascii="宋体" w:hAnsi="宋体"/>
                <w:color w:val="auto"/>
              </w:rPr>
            </w:pPr>
            <w:r>
              <w:rPr>
                <w:rFonts w:hint="eastAsia" w:ascii="宋体" w:hAnsi="宋体"/>
                <w:b/>
                <w:bCs/>
                <w:color w:val="auto"/>
              </w:rPr>
              <w:t>10.需要补充的其他内容</w:t>
            </w:r>
          </w:p>
        </w:tc>
      </w:tr>
      <w:tr>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rPr>
            </w:pPr>
            <w:bookmarkStart w:id="43" w:name="_Toc144974497"/>
            <w:r>
              <w:rPr>
                <w:rFonts w:hint="eastAsia" w:ascii="宋体" w:hAnsi="宋体"/>
                <w:color w:val="auto"/>
              </w:rPr>
              <w:t>10.1</w:t>
            </w:r>
            <w:bookmarkEnd w:id="43"/>
          </w:p>
        </w:tc>
        <w:tc>
          <w:tcPr>
            <w:tcW w:w="2414" w:type="dxa"/>
            <w:tcBorders>
              <w:top w:val="single" w:color="auto" w:sz="4" w:space="0"/>
              <w:left w:val="nil"/>
              <w:bottom w:val="single" w:color="auto" w:sz="4" w:space="0"/>
              <w:right w:val="single" w:color="auto" w:sz="4" w:space="0"/>
            </w:tcBorders>
            <w:vAlign w:val="center"/>
          </w:tcPr>
          <w:p>
            <w:pPr>
              <w:adjustRightInd w:val="0"/>
              <w:spacing w:line="360" w:lineRule="auto"/>
              <w:jc w:val="center"/>
              <w:textAlignment w:val="baseline"/>
              <w:rPr>
                <w:rFonts w:ascii="宋体" w:hAnsi="宋体"/>
                <w:color w:val="auto"/>
                <w:highlight w:val="none"/>
              </w:rPr>
            </w:pPr>
            <w:r>
              <w:rPr>
                <w:rFonts w:hint="eastAsia" w:ascii="宋体" w:hAnsi="宋体"/>
                <w:color w:val="auto"/>
                <w:highlight w:val="none"/>
              </w:rPr>
              <w:t>解释权</w:t>
            </w:r>
          </w:p>
        </w:tc>
        <w:tc>
          <w:tcPr>
            <w:tcW w:w="5413" w:type="dxa"/>
            <w:tcBorders>
              <w:top w:val="single" w:color="auto" w:sz="4" w:space="0"/>
              <w:left w:val="nil"/>
              <w:bottom w:val="single" w:color="auto" w:sz="4" w:space="0"/>
              <w:right w:val="single" w:color="auto" w:sz="4" w:space="0"/>
            </w:tcBorders>
            <w:vAlign w:val="center"/>
          </w:tcPr>
          <w:p>
            <w:pPr>
              <w:adjustRightInd w:val="0"/>
              <w:spacing w:line="360" w:lineRule="auto"/>
              <w:textAlignment w:val="baseline"/>
              <w:rPr>
                <w:rFonts w:ascii="宋体" w:hAnsi="宋体"/>
                <w:color w:val="auto"/>
                <w:highlight w:val="none"/>
              </w:rPr>
            </w:pPr>
            <w:r>
              <w:rPr>
                <w:rFonts w:hint="eastAsia" w:ascii="宋体" w:hAnsi="宋体"/>
                <w:color w:val="auto"/>
                <w:highlight w:val="none"/>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525"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rPr>
            </w:pPr>
            <w:r>
              <w:rPr>
                <w:rFonts w:hint="eastAsia" w:ascii="宋体" w:hAnsi="宋体"/>
                <w:color w:val="auto"/>
              </w:rPr>
              <w:t>10.2</w:t>
            </w:r>
          </w:p>
        </w:tc>
        <w:tc>
          <w:tcPr>
            <w:tcW w:w="241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color w:val="auto"/>
                <w:highlight w:val="none"/>
              </w:rPr>
            </w:pPr>
            <w:r>
              <w:rPr>
                <w:rFonts w:hint="eastAsia" w:ascii="宋体" w:hAnsi="宋体"/>
                <w:b/>
                <w:bCs/>
                <w:color w:val="auto"/>
                <w:highlight w:val="none"/>
              </w:rPr>
              <w:t>最高限价</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hint="eastAsia" w:ascii="宋体" w:hAnsi="宋体"/>
                <w:b/>
                <w:bCs/>
                <w:color w:val="auto"/>
                <w:highlight w:val="none"/>
                <w:lang w:eastAsia="zh-CN"/>
              </w:rPr>
            </w:pPr>
            <w:r>
              <w:rPr>
                <w:rFonts w:hint="eastAsia" w:ascii="宋体" w:hAnsi="宋体"/>
                <w:b/>
                <w:bCs/>
                <w:color w:val="auto"/>
                <w:highlight w:val="none"/>
                <w:lang w:eastAsia="zh-CN"/>
              </w:rPr>
              <w:t>大写：</w:t>
            </w:r>
            <w:r>
              <w:rPr>
                <w:rFonts w:hint="eastAsia" w:ascii="宋体" w:hAnsi="宋体"/>
                <w:b/>
                <w:bCs/>
                <w:color w:val="auto"/>
                <w:highlight w:val="none"/>
              </w:rPr>
              <w:t>人民币</w:t>
            </w:r>
            <w:r>
              <w:rPr>
                <w:rFonts w:hint="eastAsia" w:ascii="宋体" w:hAnsi="宋体"/>
                <w:b/>
                <w:bCs/>
                <w:color w:val="auto"/>
                <w:highlight w:val="none"/>
                <w:lang w:eastAsia="zh-CN"/>
              </w:rPr>
              <w:t>叁佰肆拾肆万壹仟壹佰柒拾元陆角肆分</w:t>
            </w:r>
          </w:p>
          <w:p>
            <w:pPr>
              <w:spacing w:line="360" w:lineRule="auto"/>
              <w:rPr>
                <w:rFonts w:hint="eastAsia" w:ascii="宋体" w:hAnsi="宋体"/>
                <w:color w:val="auto"/>
                <w:highlight w:val="none"/>
              </w:rPr>
            </w:pPr>
            <w:r>
              <w:rPr>
                <w:rFonts w:hint="eastAsia" w:ascii="宋体" w:hAnsi="宋体"/>
                <w:b/>
                <w:bCs/>
                <w:color w:val="auto"/>
                <w:highlight w:val="none"/>
                <w:lang w:eastAsia="zh-CN"/>
              </w:rPr>
              <w:t>小写：</w:t>
            </w:r>
            <w:r>
              <w:rPr>
                <w:rFonts w:hint="default" w:ascii="Arial" w:hAnsi="Arial" w:cs="Arial"/>
                <w:b/>
                <w:bCs/>
                <w:color w:val="auto"/>
                <w:highlight w:val="none"/>
              </w:rPr>
              <w:t>¥</w:t>
            </w:r>
            <w:r>
              <w:rPr>
                <w:rFonts w:hint="eastAsia" w:ascii="宋体" w:hAnsi="宋体"/>
                <w:b/>
                <w:bCs/>
                <w:color w:val="auto"/>
                <w:highlight w:val="none"/>
                <w:lang w:eastAsia="zh-CN"/>
              </w:rPr>
              <w:t>3441170.64</w:t>
            </w:r>
            <w:r>
              <w:rPr>
                <w:rFonts w:hint="eastAsia" w:ascii="宋体" w:hAnsi="宋体"/>
                <w:b/>
                <w:bCs/>
                <w:color w:val="auto"/>
                <w:highlight w:val="none"/>
              </w:rPr>
              <w:t>元</w:t>
            </w:r>
          </w:p>
          <w:p>
            <w:pPr>
              <w:spacing w:line="360" w:lineRule="auto"/>
              <w:rPr>
                <w:rFonts w:ascii="宋体" w:hAnsi="宋体"/>
                <w:color w:val="auto"/>
                <w:highlight w:val="none"/>
              </w:rPr>
            </w:pPr>
            <w:r>
              <w:rPr>
                <w:rFonts w:hint="eastAsia" w:ascii="宋体" w:hAnsi="宋体"/>
                <w:color w:val="auto"/>
                <w:highlight w:val="none"/>
              </w:rPr>
              <w:t>超过最高限价的按无效</w:t>
            </w:r>
            <w:r>
              <w:rPr>
                <w:rFonts w:hint="eastAsia" w:ascii="宋体" w:hAnsi="宋体"/>
                <w:color w:val="auto"/>
                <w:highlight w:val="none"/>
                <w:lang w:eastAsia="zh-CN"/>
              </w:rPr>
              <w:t>响应</w:t>
            </w:r>
            <w:r>
              <w:rPr>
                <w:rFonts w:hint="eastAsia" w:ascii="宋体" w:hAnsi="宋体"/>
                <w:color w:val="auto"/>
                <w:highlight w:val="none"/>
              </w:rPr>
              <w:t>处理</w:t>
            </w:r>
          </w:p>
        </w:tc>
      </w:tr>
      <w:tr>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rPr>
            </w:pPr>
            <w:r>
              <w:rPr>
                <w:rFonts w:hint="eastAsia" w:ascii="宋体" w:hAnsi="宋体"/>
                <w:color w:val="auto"/>
              </w:rPr>
              <w:t>10.3</w:t>
            </w:r>
          </w:p>
        </w:tc>
        <w:tc>
          <w:tcPr>
            <w:tcW w:w="2414"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b/>
                <w:bCs/>
                <w:color w:val="auto"/>
              </w:rPr>
            </w:pPr>
            <w:r>
              <w:rPr>
                <w:rFonts w:hint="eastAsia" w:ascii="宋体" w:hAnsi="宋体"/>
                <w:b/>
                <w:bCs/>
                <w:color w:val="auto"/>
              </w:rPr>
              <w:t>付款方式</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hint="default" w:ascii="宋体" w:hAnsi="宋体"/>
                <w:color w:val="auto"/>
                <w:lang w:val="en-US"/>
              </w:rPr>
            </w:pPr>
            <w:r>
              <w:rPr>
                <w:rFonts w:hint="eastAsia" w:ascii="宋体" w:hAnsi="宋体"/>
                <w:color w:val="auto"/>
              </w:rPr>
              <w:t>签订合同后，支付合同价款的</w:t>
            </w:r>
            <w:r>
              <w:rPr>
                <w:rFonts w:hint="eastAsia" w:ascii="宋体" w:hAnsi="宋体"/>
                <w:color w:val="auto"/>
                <w:lang w:val="en-US" w:eastAsia="zh-CN"/>
              </w:rPr>
              <w:t>2</w:t>
            </w:r>
            <w:r>
              <w:rPr>
                <w:rFonts w:hint="eastAsia" w:ascii="宋体" w:hAnsi="宋体"/>
                <w:color w:val="auto"/>
              </w:rPr>
              <w:t>0%作为预付款，乙方按月申报实际完工量，经甲方审核无误后按月支付实际已完工程量的80%，竣工验收合格后支付至实际完工量的90%，审计完成后支付至结算价款的97%，剩余3%作为质保金缺陷责任期满后支付。</w:t>
            </w:r>
          </w:p>
        </w:tc>
      </w:tr>
      <w:tr>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rPr>
            </w:pPr>
            <w:r>
              <w:rPr>
                <w:rFonts w:hint="eastAsia" w:ascii="宋体" w:hAnsi="宋体"/>
                <w:color w:val="auto"/>
              </w:rPr>
              <w:t>10.4</w:t>
            </w:r>
          </w:p>
        </w:tc>
        <w:tc>
          <w:tcPr>
            <w:tcW w:w="2414"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color w:val="auto"/>
              </w:rPr>
            </w:pPr>
            <w:r>
              <w:rPr>
                <w:rFonts w:hint="eastAsia" w:ascii="宋体" w:hAnsi="宋体"/>
                <w:color w:val="auto"/>
              </w:rPr>
              <w:t>成交服务费</w:t>
            </w:r>
          </w:p>
        </w:tc>
        <w:tc>
          <w:tcPr>
            <w:tcW w:w="5413" w:type="dxa"/>
            <w:tcBorders>
              <w:top w:val="single" w:color="auto" w:sz="4" w:space="0"/>
              <w:left w:val="nil"/>
              <w:bottom w:val="single" w:color="auto" w:sz="4" w:space="0"/>
              <w:right w:val="single" w:color="auto" w:sz="4" w:space="0"/>
            </w:tcBorders>
            <w:vAlign w:val="center"/>
          </w:tcPr>
          <w:p>
            <w:pPr>
              <w:spacing w:line="360" w:lineRule="auto"/>
              <w:rPr>
                <w:rFonts w:ascii="宋体" w:hAnsi="宋体"/>
                <w:color w:val="auto"/>
                <w:kern w:val="0"/>
              </w:rPr>
            </w:pPr>
            <w:r>
              <w:rPr>
                <w:rFonts w:hint="eastAsia"/>
                <w:color w:val="auto"/>
              </w:rPr>
              <w:t>招标代理服务费参照豫招协[2023]002号《河南省招标投标协会关于印发&lt;河南省招标代理服务收费指导意见&gt;的通知》的收费标准，由成交人支付，成交人领取成交通知书的同时缴纳招标代理服务费。</w:t>
            </w:r>
          </w:p>
        </w:tc>
      </w:tr>
      <w:tr>
        <w:tblPrEx>
          <w:tblCellMar>
            <w:top w:w="0" w:type="dxa"/>
            <w:left w:w="108" w:type="dxa"/>
            <w:bottom w:w="0" w:type="dxa"/>
            <w:right w:w="108" w:type="dxa"/>
          </w:tblCellMar>
        </w:tblPrEx>
        <w:trPr>
          <w:trHeight w:val="1461"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rPr>
            </w:pPr>
            <w:r>
              <w:rPr>
                <w:rFonts w:hint="eastAsia" w:ascii="宋体" w:hAnsi="宋体"/>
                <w:color w:val="auto"/>
              </w:rPr>
              <w:t>10.5</w:t>
            </w:r>
          </w:p>
        </w:tc>
        <w:tc>
          <w:tcPr>
            <w:tcW w:w="2414"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color w:val="auto"/>
              </w:rPr>
            </w:pPr>
            <w:r>
              <w:rPr>
                <w:rFonts w:hint="eastAsia" w:ascii="宋体" w:hAnsi="宋体"/>
                <w:color w:val="auto"/>
              </w:rPr>
              <w:t>政府采购政策要求</w:t>
            </w:r>
          </w:p>
        </w:tc>
        <w:tc>
          <w:tcPr>
            <w:tcW w:w="541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olor w:val="auto"/>
              </w:rPr>
            </w:pPr>
            <w:r>
              <w:rPr>
                <w:rFonts w:hint="eastAsia" w:ascii="宋体" w:hAnsi="宋体"/>
                <w:color w:val="auto"/>
              </w:rPr>
              <w:t>政府采购相关政策信息</w:t>
            </w:r>
          </w:p>
          <w:p>
            <w:pPr>
              <w:widowControl/>
              <w:spacing w:line="360" w:lineRule="auto"/>
              <w:jc w:val="left"/>
              <w:rPr>
                <w:rFonts w:ascii="宋体" w:hAnsi="宋体"/>
                <w:color w:val="auto"/>
              </w:rPr>
            </w:pPr>
            <w:r>
              <w:rPr>
                <w:rFonts w:hint="eastAsia" w:ascii="宋体" w:hAnsi="宋体"/>
                <w:color w:val="auto"/>
              </w:rPr>
              <w:t>A．为贯彻落实《财政部 工业和信息化部关于印发《政府采购促进中小企业发展管理办法》的通知》（财库〔2020〕46号）和《关于进一步加大政府采购支持中小企业力度的通知》（财库〔2022〕19号），本项目专门面向中小企业采购，供应商应提交《中小企业声明函》原件；若不能提供，则视为非中小微型企业，未实质性响应资格要求（声明函格式详见附件）。</w:t>
            </w:r>
          </w:p>
          <w:p>
            <w:pPr>
              <w:widowControl/>
              <w:spacing w:line="360" w:lineRule="auto"/>
              <w:jc w:val="left"/>
              <w:rPr>
                <w:rFonts w:ascii="宋体" w:hAnsi="宋体"/>
                <w:color w:val="auto"/>
              </w:rPr>
            </w:pPr>
            <w:r>
              <w:rPr>
                <w:rFonts w:hint="eastAsia" w:ascii="宋体" w:hAnsi="宋体"/>
                <w:color w:val="auto"/>
              </w:rPr>
              <w:t>B．中小企业划型标准以《工业和信息化部国家统计局国家发展和改革委财政部关于印发中小企业划型标准规定的通知》（工信部联企业〔2011〕300号）为依据。其中企业的营业收入、资产总额判定依据为最近一年度的财务审计报告，企业从业人员总数判定依据为缴纳统筹人员总数。</w:t>
            </w:r>
          </w:p>
          <w:p>
            <w:pPr>
              <w:widowControl/>
              <w:spacing w:line="360" w:lineRule="auto"/>
              <w:jc w:val="left"/>
              <w:rPr>
                <w:rFonts w:ascii="宋体" w:hAnsi="宋体"/>
                <w:color w:val="auto"/>
              </w:rPr>
            </w:pPr>
            <w:r>
              <w:rPr>
                <w:rFonts w:hint="eastAsia" w:ascii="宋体" w:hAnsi="宋体"/>
                <w:color w:val="auto"/>
              </w:rPr>
              <w:t>C．根据《财政部、司法部关于政府采购支持监狱企业发展有关问题的通知》（财库〔2014〕68号）规定，本项目支持监狱企业参与政府采购活动。监狱企业参加本项目投标时，须提供由省级以上监狱管理局、戒毒管理局（含新疆生产建设兵团）出具的属于监狱企业的证明文件，视同小型、微型企业。</w:t>
            </w:r>
          </w:p>
          <w:p>
            <w:pPr>
              <w:widowControl/>
              <w:spacing w:line="360" w:lineRule="auto"/>
              <w:jc w:val="left"/>
              <w:rPr>
                <w:rFonts w:ascii="宋体" w:hAnsi="宋体"/>
                <w:color w:val="auto"/>
              </w:rPr>
            </w:pPr>
            <w:r>
              <w:rPr>
                <w:rFonts w:hint="eastAsia" w:ascii="宋体" w:hAnsi="宋体"/>
                <w:color w:val="auto"/>
              </w:rPr>
              <w:t>D．根据《财政部、民政部、中国残疾人联合会关于关于促进残疾人就业政府采购政策的通知》（财库〔2017〕141号）规定，本项目支持残疾人福利性单位参与政府采购活动，符合条件的残疾人福利性单位参加本项目投标时，应当提供《残疾人福利性单位声明函》，视同小型、微型企业。</w:t>
            </w:r>
          </w:p>
          <w:p>
            <w:pPr>
              <w:widowControl/>
              <w:spacing w:line="360" w:lineRule="auto"/>
              <w:jc w:val="left"/>
              <w:rPr>
                <w:rFonts w:ascii="宋体" w:hAnsi="宋体"/>
                <w:color w:val="auto"/>
              </w:rPr>
            </w:pPr>
            <w:r>
              <w:rPr>
                <w:rFonts w:hint="eastAsia" w:ascii="宋体" w:hAnsi="宋体"/>
                <w:color w:val="auto"/>
              </w:rPr>
              <w:t>供应商提供的《声明函》与事实不符的，将依照《政府采购法》第七十七条第一款的规定追究法律责任。</w:t>
            </w:r>
          </w:p>
          <w:p>
            <w:pPr>
              <w:widowControl/>
              <w:numPr>
                <w:ilvl w:val="0"/>
                <w:numId w:val="0"/>
              </w:numPr>
              <w:spacing w:line="360" w:lineRule="auto"/>
              <w:jc w:val="left"/>
              <w:rPr>
                <w:rFonts w:hint="eastAsia" w:ascii="宋体" w:hAnsi="宋体"/>
                <w:color w:val="auto"/>
                <w:lang w:eastAsia="zh-CN"/>
              </w:rPr>
            </w:pPr>
            <w:r>
              <w:rPr>
                <w:rFonts w:hint="eastAsia" w:ascii="宋体" w:hAnsi="宋体" w:eastAsia="宋体" w:cs="Times New Roman"/>
                <w:color w:val="auto"/>
                <w:kern w:val="2"/>
                <w:sz w:val="21"/>
                <w:szCs w:val="21"/>
                <w:lang w:val="en-US" w:eastAsia="zh-CN" w:bidi="ar-SA"/>
              </w:rPr>
              <w:t>E.</w:t>
            </w:r>
            <w:r>
              <w:rPr>
                <w:rFonts w:hint="eastAsia" w:ascii="宋体" w:hAnsi="宋体"/>
                <w:color w:val="auto"/>
              </w:rPr>
              <w:t>根据《财政部 发展改革委 生态环境部 市场监管总局关于调整优化节能产品、环境标志产品政府采购执行机制的通知》（财库〔2019〕9 号）和《关于印发节能产品政府采购品目清单的通知》（财库〔2019〕19 号）的规定，采购需求中的产品属于节能产品政府采购品目清单内标注“★”的，</w:t>
            </w:r>
            <w:r>
              <w:rPr>
                <w:rFonts w:hint="eastAsia" w:ascii="宋体" w:hAnsi="宋体"/>
                <w:color w:val="auto"/>
                <w:lang w:eastAsia="zh-CN"/>
              </w:rPr>
              <w:t>供应商</w:t>
            </w:r>
            <w:r>
              <w:rPr>
                <w:rFonts w:hint="eastAsia" w:ascii="宋体" w:hAnsi="宋体"/>
                <w:color w:val="auto"/>
              </w:rPr>
              <w:t>的投标货物必须使用政府强制采购的节能产品，</w:t>
            </w:r>
            <w:r>
              <w:rPr>
                <w:rFonts w:hint="eastAsia" w:ascii="宋体" w:hAnsi="宋体"/>
                <w:color w:val="auto"/>
                <w:lang w:eastAsia="zh-CN"/>
              </w:rPr>
              <w:t>供应商</w:t>
            </w:r>
            <w:r>
              <w:rPr>
                <w:rFonts w:hint="eastAsia" w:ascii="宋体" w:hAnsi="宋体"/>
                <w:color w:val="auto"/>
              </w:rPr>
              <w:t>必须在</w:t>
            </w:r>
            <w:r>
              <w:rPr>
                <w:rFonts w:hint="eastAsia" w:ascii="宋体" w:hAnsi="宋体"/>
                <w:color w:val="auto"/>
                <w:lang w:eastAsia="zh-CN"/>
              </w:rPr>
              <w:t>响应文件</w:t>
            </w:r>
            <w:r>
              <w:rPr>
                <w:rFonts w:hint="eastAsia" w:ascii="宋体" w:hAnsi="宋体"/>
                <w:color w:val="auto"/>
              </w:rPr>
              <w:t>中提供所投标产品的节能产品认证证书复印件（加盖</w:t>
            </w:r>
            <w:r>
              <w:rPr>
                <w:rFonts w:hint="eastAsia" w:ascii="宋体" w:hAnsi="宋体"/>
                <w:color w:val="auto"/>
                <w:lang w:eastAsia="zh-CN"/>
              </w:rPr>
              <w:t>供应商</w:t>
            </w:r>
            <w:r>
              <w:rPr>
                <w:rFonts w:hint="eastAsia" w:ascii="宋体" w:hAnsi="宋体"/>
                <w:color w:val="auto"/>
              </w:rPr>
              <w:t>公章），</w:t>
            </w:r>
            <w:r>
              <w:rPr>
                <w:rFonts w:hint="eastAsia" w:ascii="宋体" w:hAnsi="宋体"/>
                <w:b/>
                <w:bCs/>
                <w:color w:val="auto"/>
              </w:rPr>
              <w:t>否则</w:t>
            </w:r>
            <w:r>
              <w:rPr>
                <w:rFonts w:hint="eastAsia" w:ascii="宋体" w:hAnsi="宋体"/>
                <w:b/>
                <w:bCs/>
                <w:color w:val="auto"/>
                <w:lang w:eastAsia="zh-CN"/>
              </w:rPr>
              <w:t>响应文件</w:t>
            </w:r>
            <w:r>
              <w:rPr>
                <w:rFonts w:hint="eastAsia" w:ascii="宋体" w:hAnsi="宋体"/>
                <w:b/>
                <w:bCs/>
                <w:color w:val="auto"/>
              </w:rPr>
              <w:t>作无效处理。</w:t>
            </w:r>
            <w:r>
              <w:rPr>
                <w:rFonts w:hint="eastAsia" w:ascii="宋体" w:hAnsi="宋体"/>
                <w:color w:val="auto"/>
              </w:rPr>
              <w:t>如本项目包含的货物属于品目清单内非标注“★”的产品时，应优先采购</w:t>
            </w:r>
            <w:r>
              <w:rPr>
                <w:rFonts w:hint="eastAsia" w:ascii="宋体" w:hAnsi="宋体"/>
                <w:color w:val="auto"/>
                <w:lang w:eastAsia="zh-CN"/>
              </w:rPr>
              <w:t>。采购需求中产品类别属于环境标志产品的，应当依据国家确定的认证机构出具的、处于有效期之内的环境标志产品认证证书，对获得证书的产品实施优先采购。</w:t>
            </w:r>
          </w:p>
          <w:p>
            <w:pPr>
              <w:widowControl/>
              <w:numPr>
                <w:ilvl w:val="0"/>
                <w:numId w:val="0"/>
              </w:numPr>
              <w:spacing w:line="360" w:lineRule="auto"/>
              <w:jc w:val="left"/>
              <w:rPr>
                <w:rFonts w:hint="eastAsia" w:ascii="宋体" w:hAnsi="宋体"/>
                <w:color w:val="auto"/>
              </w:rPr>
            </w:pPr>
            <w:r>
              <w:rPr>
                <w:rFonts w:hint="eastAsia" w:ascii="宋体" w:hAnsi="宋体"/>
                <w:color w:val="auto"/>
              </w:rPr>
              <w:t>F.根据《关于调整网络安全专用产品安全管理有关事项的公告》（2023年1号）规定，本项目采购需求中的产品如果包括《网络关键设备和网络安全专用产品目录》的网络安全专用产品，供应商在</w:t>
            </w:r>
            <w:r>
              <w:rPr>
                <w:rFonts w:hint="eastAsia" w:ascii="宋体" w:hAnsi="宋体"/>
                <w:color w:val="auto"/>
                <w:lang w:eastAsia="zh-CN"/>
              </w:rPr>
              <w:t>响应文件</w:t>
            </w:r>
            <w:r>
              <w:rPr>
                <w:rFonts w:hint="eastAsia" w:ascii="宋体" w:hAnsi="宋体"/>
                <w:color w:val="auto"/>
              </w:rPr>
              <w:t>中应主动列明供货范围中属于网络安全专用产品的投标产品，并在</w:t>
            </w:r>
            <w:r>
              <w:rPr>
                <w:rFonts w:hint="eastAsia" w:ascii="宋体" w:hAnsi="宋体"/>
                <w:color w:val="auto"/>
                <w:lang w:eastAsia="zh-CN"/>
              </w:rPr>
              <w:t>响应文件</w:t>
            </w:r>
            <w:r>
              <w:rPr>
                <w:rFonts w:hint="eastAsia" w:ascii="宋体" w:hAnsi="宋体"/>
                <w:color w:val="auto"/>
              </w:rPr>
              <w:t xml:space="preserve">中提供由中国网信网（ </w:t>
            </w:r>
            <w:r>
              <w:rPr>
                <w:rFonts w:hint="eastAsia" w:ascii="宋体" w:hAnsi="宋体"/>
                <w:color w:val="auto"/>
              </w:rPr>
              <w:fldChar w:fldCharType="begin"/>
            </w:r>
            <w:r>
              <w:rPr>
                <w:rFonts w:hint="eastAsia" w:ascii="宋体" w:hAnsi="宋体"/>
                <w:color w:val="auto"/>
              </w:rPr>
              <w:instrText xml:space="preserve"> HYPERLINK "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 </w:instrText>
            </w:r>
            <w:r>
              <w:rPr>
                <w:rFonts w:hint="eastAsia" w:ascii="宋体" w:hAnsi="宋体"/>
                <w:color w:val="auto"/>
              </w:rPr>
              <w:fldChar w:fldCharType="separate"/>
            </w:r>
            <w:r>
              <w:rPr>
                <w:rFonts w:hint="eastAsia" w:ascii="宋体" w:hAnsi="宋体"/>
                <w:color w:val="auto"/>
              </w:rPr>
              <w:t>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如属于《网络关键设备和网络安全专用产品目录》中“二、网络安全专用产品”内“产品类别”中的所描述的产品，但不属于所列“产品描述”情形的，应提供相应的说明及证明材料。</w:t>
            </w:r>
            <w:r>
              <w:rPr>
                <w:rFonts w:hint="eastAsia" w:ascii="宋体" w:hAnsi="宋体"/>
                <w:color w:val="auto"/>
              </w:rPr>
              <w:fldChar w:fldCharType="end"/>
            </w:r>
          </w:p>
          <w:p>
            <w:pPr>
              <w:widowControl/>
              <w:spacing w:line="360" w:lineRule="auto"/>
              <w:jc w:val="left"/>
              <w:rPr>
                <w:rFonts w:hint="eastAsia" w:ascii="宋体" w:hAnsi="宋体"/>
                <w:color w:val="auto"/>
              </w:rPr>
            </w:pPr>
            <w:r>
              <w:rPr>
                <w:rFonts w:hint="eastAsia" w:ascii="宋体" w:hAnsi="宋体"/>
                <w:color w:val="auto"/>
                <w:lang w:val="en-US" w:eastAsia="zh-CN"/>
              </w:rPr>
              <w:t>G.</w:t>
            </w:r>
            <w:r>
              <w:rPr>
                <w:rFonts w:hint="eastAsia" w:ascii="宋体" w:hAnsi="宋体"/>
                <w:color w:val="auto"/>
              </w:rPr>
              <w:t>投标产品的包装应符合《财政部等三部门联合印发商品包装和快递包装政府采购需求标准（试行）》（财办库〔2020〕123 号）的规定。</w:t>
            </w:r>
          </w:p>
          <w:p>
            <w:pPr>
              <w:widowControl/>
              <w:spacing w:line="360" w:lineRule="auto"/>
              <w:jc w:val="left"/>
              <w:rPr>
                <w:rFonts w:hint="eastAsia" w:ascii="宋体" w:hAnsi="宋体"/>
                <w:color w:val="auto"/>
              </w:rPr>
            </w:pPr>
            <w:r>
              <w:rPr>
                <w:rFonts w:hint="eastAsia" w:ascii="宋体" w:hAnsi="宋体"/>
                <w:color w:val="auto"/>
                <w:lang w:val="en-US" w:eastAsia="zh-CN"/>
              </w:rPr>
              <w:t>H.</w:t>
            </w:r>
            <w:r>
              <w:rPr>
                <w:rFonts w:hint="eastAsia" w:ascii="宋体" w:hAnsi="宋体"/>
                <w:color w:val="auto"/>
              </w:rPr>
              <w:t>根据政府采购政策，本项目如涉及到计算机办公设备产品，</w:t>
            </w:r>
            <w:r>
              <w:rPr>
                <w:rFonts w:hint="eastAsia" w:ascii="宋体" w:hAnsi="宋体"/>
                <w:color w:val="auto"/>
                <w:lang w:eastAsia="zh-CN"/>
              </w:rPr>
              <w:t>供应商</w:t>
            </w:r>
            <w:r>
              <w:rPr>
                <w:rFonts w:hint="eastAsia" w:ascii="宋体" w:hAnsi="宋体"/>
                <w:color w:val="auto"/>
              </w:rPr>
              <w:t>所投产品必须是预装正版操作系统软件的计算机产品。</w:t>
            </w:r>
          </w:p>
          <w:p>
            <w:pPr>
              <w:widowControl/>
              <w:spacing w:line="360" w:lineRule="auto"/>
              <w:jc w:val="left"/>
              <w:rPr>
                <w:rFonts w:hint="eastAsia" w:ascii="宋体" w:hAnsi="宋体" w:eastAsia="宋体"/>
                <w:color w:val="auto"/>
                <w:lang w:eastAsia="zh-CN"/>
              </w:rPr>
            </w:pPr>
            <w:r>
              <w:rPr>
                <w:rFonts w:hint="eastAsia" w:ascii="宋体" w:hAnsi="宋体"/>
                <w:color w:val="auto"/>
                <w:lang w:val="en-US" w:eastAsia="zh-CN"/>
              </w:rPr>
              <w:t>I.</w:t>
            </w:r>
            <w:r>
              <w:rPr>
                <w:rFonts w:hint="eastAsia" w:ascii="宋体" w:hAnsi="宋体"/>
                <w:color w:val="auto"/>
              </w:rPr>
              <w:t>为落实河南省财政厅关于印发深入推进政府采购合同融资工作实施方案的通知（豫财办﹝2020﹞33号），中标供应商可以持政府采购合同向融资机构申请贷款</w:t>
            </w:r>
            <w:r>
              <w:rPr>
                <w:rFonts w:hint="eastAsia" w:ascii="宋体" w:hAnsi="宋体"/>
                <w:color w:val="auto"/>
                <w:lang w:eastAsia="zh-CN"/>
              </w:rPr>
              <w:t>。</w:t>
            </w:r>
          </w:p>
        </w:tc>
      </w:tr>
      <w:tr>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rPr>
            </w:pPr>
            <w:bookmarkStart w:id="44" w:name="_Toc466298091"/>
            <w:r>
              <w:rPr>
                <w:rFonts w:hint="eastAsia" w:ascii="宋体" w:hAnsi="宋体"/>
                <w:color w:val="auto"/>
              </w:rPr>
              <w:t>10.6</w:t>
            </w:r>
          </w:p>
        </w:tc>
        <w:tc>
          <w:tcPr>
            <w:tcW w:w="2414"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color w:val="auto"/>
              </w:rPr>
            </w:pPr>
            <w:r>
              <w:rPr>
                <w:rStyle w:val="69"/>
                <w:rFonts w:hint="eastAsia" w:ascii="宋体" w:hAnsi="宋体" w:cs="宋体"/>
                <w:color w:val="auto"/>
                <w:szCs w:val="24"/>
              </w:rPr>
              <w:t>本项目所属行业</w:t>
            </w:r>
          </w:p>
        </w:tc>
        <w:tc>
          <w:tcPr>
            <w:tcW w:w="5413" w:type="dxa"/>
            <w:tcBorders>
              <w:top w:val="single" w:color="auto" w:sz="4" w:space="0"/>
              <w:left w:val="nil"/>
              <w:bottom w:val="single" w:color="auto" w:sz="4" w:space="0"/>
              <w:right w:val="single" w:color="auto" w:sz="4" w:space="0"/>
            </w:tcBorders>
            <w:vAlign w:val="center"/>
          </w:tcPr>
          <w:p>
            <w:pPr>
              <w:spacing w:line="440" w:lineRule="exact"/>
              <w:rPr>
                <w:rStyle w:val="69"/>
                <w:rFonts w:ascii="宋体" w:hAnsi="宋体" w:cs="宋体"/>
                <w:b/>
                <w:bCs/>
                <w:color w:val="auto"/>
                <w:szCs w:val="24"/>
              </w:rPr>
            </w:pPr>
            <w:r>
              <w:rPr>
                <w:rStyle w:val="69"/>
                <w:rFonts w:hint="eastAsia" w:ascii="宋体" w:hAnsi="宋体" w:cs="宋体"/>
                <w:b/>
                <w:bCs/>
                <w:color w:val="auto"/>
                <w:szCs w:val="24"/>
              </w:rPr>
              <w:t>本项目所属行业:建筑业</w:t>
            </w:r>
          </w:p>
          <w:p>
            <w:pPr>
              <w:widowControl/>
              <w:spacing w:line="360" w:lineRule="auto"/>
              <w:jc w:val="left"/>
              <w:rPr>
                <w:rFonts w:ascii="宋体" w:hAnsi="宋体"/>
                <w:color w:val="auto"/>
              </w:rPr>
            </w:pPr>
            <w:r>
              <w:rPr>
                <w:rStyle w:val="69"/>
                <w:rFonts w:hint="eastAsia" w:ascii="宋体" w:hAnsi="宋体" w:cs="宋体"/>
                <w:color w:val="auto"/>
                <w:szCs w:val="24"/>
              </w:rPr>
              <w:t>中小企业划型标准：中小微企业划分按照“工业和信息化部、国家统计局、国家发展和改革委员会、财政部文件《关于印发中小企业划型标准规定的通知》（工信部联企业【2011】300号）”规定的划型标准为依据。</w:t>
            </w:r>
          </w:p>
        </w:tc>
      </w:tr>
      <w:tr>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rPr>
            </w:pPr>
            <w:r>
              <w:rPr>
                <w:rFonts w:hint="eastAsia" w:ascii="宋体" w:hAnsi="宋体"/>
                <w:color w:val="auto"/>
              </w:rPr>
              <w:t>10.7</w:t>
            </w:r>
          </w:p>
        </w:tc>
        <w:tc>
          <w:tcPr>
            <w:tcW w:w="2414" w:type="dxa"/>
            <w:tcBorders>
              <w:top w:val="single" w:color="auto" w:sz="4" w:space="0"/>
              <w:left w:val="nil"/>
              <w:bottom w:val="single" w:color="auto" w:sz="4" w:space="0"/>
              <w:right w:val="single" w:color="auto" w:sz="4" w:space="0"/>
            </w:tcBorders>
            <w:vAlign w:val="center"/>
          </w:tcPr>
          <w:p>
            <w:pPr>
              <w:snapToGrid w:val="0"/>
              <w:spacing w:line="360" w:lineRule="auto"/>
              <w:jc w:val="center"/>
              <w:rPr>
                <w:rStyle w:val="69"/>
                <w:rFonts w:ascii="宋体" w:hAnsi="宋体" w:cs="宋体"/>
                <w:color w:val="auto"/>
                <w:szCs w:val="24"/>
              </w:rPr>
            </w:pPr>
            <w:r>
              <w:rPr>
                <w:rStyle w:val="69"/>
                <w:rFonts w:hint="eastAsia" w:ascii="宋体" w:hAnsi="宋体" w:cs="宋体"/>
                <w:color w:val="auto"/>
                <w:szCs w:val="24"/>
              </w:rPr>
              <w:t>质疑投诉</w:t>
            </w:r>
          </w:p>
        </w:tc>
        <w:tc>
          <w:tcPr>
            <w:tcW w:w="5413" w:type="dxa"/>
            <w:tcBorders>
              <w:top w:val="single" w:color="auto" w:sz="4" w:space="0"/>
              <w:left w:val="nil"/>
              <w:bottom w:val="single" w:color="auto" w:sz="4" w:space="0"/>
              <w:right w:val="single" w:color="auto" w:sz="4" w:space="0"/>
            </w:tcBorders>
            <w:vAlign w:val="center"/>
          </w:tcPr>
          <w:p>
            <w:pPr>
              <w:spacing w:line="360" w:lineRule="auto"/>
              <w:rPr>
                <w:color w:val="auto"/>
              </w:rPr>
            </w:pPr>
            <w:r>
              <w:rPr>
                <w:rFonts w:hint="eastAsia"/>
                <w:color w:val="auto"/>
              </w:rPr>
              <w:t>针对同一采购程序环节的质疑次数：</w:t>
            </w:r>
            <w:r>
              <w:rPr>
                <w:rFonts w:hint="eastAsia"/>
                <w:b/>
                <w:bCs/>
                <w:color w:val="auto"/>
              </w:rPr>
              <w:t>一次性提出</w:t>
            </w:r>
          </w:p>
          <w:p>
            <w:pPr>
              <w:spacing w:line="360" w:lineRule="auto"/>
              <w:rPr>
                <w:color w:val="auto"/>
              </w:rPr>
            </w:pPr>
            <w:r>
              <w:rPr>
                <w:rFonts w:hint="eastAsia"/>
                <w:color w:val="auto"/>
              </w:rPr>
              <w:t>供应商认为竞争性磋商文件、采购过程、中标或者成交结果使自己的权益受到损害的，可以在知道或者应知其权益受到损害之日起7个工作日内，以书面形式向采购人、采购代理机构提出质疑，具体事项按照《中华人民共和国财政部令第94号--政府采购质疑和投诉办法》执行。</w:t>
            </w:r>
          </w:p>
          <w:p>
            <w:pPr>
              <w:spacing w:line="360" w:lineRule="auto"/>
              <w:rPr>
                <w:color w:val="auto"/>
              </w:rPr>
            </w:pPr>
            <w:r>
              <w:rPr>
                <w:rFonts w:hint="eastAsia"/>
                <w:color w:val="auto"/>
              </w:rPr>
              <w:t>提出质疑的供应商（以下简称质疑供应商）应当是参与所质疑项目采购活动的供应商。</w:t>
            </w:r>
          </w:p>
          <w:p>
            <w:pPr>
              <w:spacing w:line="360" w:lineRule="auto"/>
              <w:rPr>
                <w:color w:val="auto"/>
              </w:rPr>
            </w:pPr>
            <w:r>
              <w:rPr>
                <w:rFonts w:hint="eastAsia"/>
                <w:color w:val="auto"/>
              </w:rPr>
              <w:t>采购人、采购代理机构接收质疑函的方式：</w:t>
            </w:r>
          </w:p>
          <w:p>
            <w:pPr>
              <w:spacing w:line="360" w:lineRule="auto"/>
              <w:rPr>
                <w:color w:val="auto"/>
              </w:rPr>
            </w:pPr>
            <w:r>
              <w:rPr>
                <w:rFonts w:hint="eastAsia"/>
                <w:color w:val="auto"/>
              </w:rPr>
              <w:t>对竞争性磋商文件、采购过程提出的质疑：在河南省公共资源交易系统内提出；</w:t>
            </w:r>
          </w:p>
          <w:p>
            <w:pPr>
              <w:spacing w:line="360" w:lineRule="auto"/>
              <w:rPr>
                <w:color w:val="auto"/>
              </w:rPr>
            </w:pPr>
            <w:r>
              <w:rPr>
                <w:rFonts w:hint="eastAsia"/>
                <w:color w:val="auto"/>
              </w:rPr>
              <w:t>对成交结果提出的质疑：书面形式当面递交，由法定代表人或其授权代表携带本人身份证件（原件和加盖公章的复印件）、质疑函原件(加盖公章及法定代表人或其授权代表签字)及相关证明材料向采购人和采购代理机构提出质疑（邮寄件、传真件不予受理），逾期将不再受理，质疑函格式详见附件1。</w:t>
            </w:r>
          </w:p>
          <w:p>
            <w:pPr>
              <w:spacing w:line="360" w:lineRule="auto"/>
              <w:rPr>
                <w:rStyle w:val="69"/>
                <w:rFonts w:ascii="宋体" w:hAnsi="宋体" w:cs="宋体"/>
                <w:color w:val="auto"/>
                <w:szCs w:val="24"/>
              </w:rPr>
            </w:pPr>
            <w:r>
              <w:rPr>
                <w:rFonts w:hint="eastAsia"/>
                <w:color w:val="auto"/>
              </w:rPr>
              <w:t>接受质疑的联系电话和通讯地址详见竞争性磋商公告。</w:t>
            </w:r>
          </w:p>
        </w:tc>
      </w:tr>
      <w:tr>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rPr>
            </w:pPr>
            <w:r>
              <w:rPr>
                <w:rFonts w:hint="eastAsia" w:ascii="宋体" w:hAnsi="宋体"/>
                <w:color w:val="auto"/>
              </w:rPr>
              <w:t>10.</w:t>
            </w:r>
            <w:bookmarkEnd w:id="44"/>
            <w:r>
              <w:rPr>
                <w:rFonts w:hint="eastAsia" w:ascii="宋体" w:hAnsi="宋体"/>
                <w:color w:val="auto"/>
              </w:rPr>
              <w:t>8</w:t>
            </w:r>
          </w:p>
        </w:tc>
        <w:tc>
          <w:tcPr>
            <w:tcW w:w="241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auto"/>
              </w:rPr>
            </w:pPr>
            <w:r>
              <w:rPr>
                <w:rFonts w:hint="eastAsia" w:ascii="宋体" w:hAnsi="宋体"/>
                <w:color w:val="auto"/>
              </w:rPr>
              <w:t>政府采购合同融资政策</w:t>
            </w:r>
          </w:p>
        </w:tc>
        <w:tc>
          <w:tcPr>
            <w:tcW w:w="5413" w:type="dxa"/>
            <w:tcBorders>
              <w:top w:val="single" w:color="auto" w:sz="4" w:space="0"/>
              <w:left w:val="nil"/>
              <w:bottom w:val="single" w:color="auto" w:sz="4" w:space="0"/>
              <w:right w:val="single" w:color="auto" w:sz="4" w:space="0"/>
            </w:tcBorders>
            <w:vAlign w:val="center"/>
          </w:tcPr>
          <w:p>
            <w:pPr>
              <w:pStyle w:val="8"/>
              <w:spacing w:line="360" w:lineRule="auto"/>
              <w:rPr>
                <w:rFonts w:ascii="宋体" w:hAnsi="宋体"/>
                <w:color w:val="auto"/>
                <w:sz w:val="21"/>
                <w:szCs w:val="21"/>
              </w:rPr>
            </w:pPr>
            <w:r>
              <w:rPr>
                <w:rFonts w:hint="eastAsia" w:ascii="宋体" w:hAnsi="宋体"/>
                <w:color w:val="auto"/>
                <w:sz w:val="21"/>
                <w:szCs w:val="21"/>
              </w:rPr>
              <w:t>河南省政府采购合同融资政策告知函</w:t>
            </w:r>
          </w:p>
          <w:p>
            <w:pPr>
              <w:pStyle w:val="8"/>
              <w:spacing w:line="360" w:lineRule="auto"/>
              <w:rPr>
                <w:rFonts w:ascii="宋体" w:hAnsi="宋体"/>
                <w:color w:val="auto"/>
                <w:sz w:val="21"/>
                <w:szCs w:val="21"/>
              </w:rPr>
            </w:pPr>
            <w:r>
              <w:rPr>
                <w:rFonts w:hint="eastAsia" w:ascii="宋体" w:hAnsi="宋体"/>
                <w:color w:val="auto"/>
                <w:sz w:val="21"/>
                <w:szCs w:val="21"/>
              </w:rPr>
              <w:t>各供应商：</w:t>
            </w:r>
          </w:p>
          <w:p>
            <w:pPr>
              <w:pStyle w:val="8"/>
              <w:spacing w:line="360" w:lineRule="auto"/>
              <w:rPr>
                <w:rFonts w:ascii="宋体" w:hAnsi="宋体"/>
                <w:color w:val="auto"/>
                <w:sz w:val="21"/>
                <w:szCs w:val="21"/>
              </w:rPr>
            </w:pPr>
            <w:r>
              <w:rPr>
                <w:rFonts w:hint="eastAsia" w:ascii="宋体" w:hAnsi="宋体"/>
                <w:color w:val="auto"/>
                <w:sz w:val="21"/>
                <w:szCs w:val="21"/>
              </w:rPr>
              <w:t>欢迎贵公司参与河南省政府采购活动！</w:t>
            </w:r>
          </w:p>
          <w:p>
            <w:pPr>
              <w:pStyle w:val="8"/>
              <w:spacing w:line="360" w:lineRule="auto"/>
              <w:rPr>
                <w:rFonts w:ascii="宋体" w:hAnsi="宋体"/>
                <w:color w:val="auto"/>
                <w:sz w:val="21"/>
                <w:szCs w:val="21"/>
              </w:rPr>
            </w:pPr>
            <w:r>
              <w:rPr>
                <w:rFonts w:hint="eastAsia" w:ascii="宋体" w:hAnsi="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8"/>
              <w:spacing w:line="360" w:lineRule="auto"/>
              <w:rPr>
                <w:rFonts w:ascii="宋体" w:hAnsi="宋体"/>
                <w:color w:val="auto"/>
                <w:sz w:val="21"/>
                <w:szCs w:val="21"/>
              </w:rPr>
            </w:pPr>
            <w:r>
              <w:rPr>
                <w:rFonts w:hint="eastAsia" w:ascii="宋体" w:hAnsi="宋体"/>
                <w:color w:val="auto"/>
                <w:sz w:val="21"/>
                <w:szCs w:val="21"/>
              </w:rPr>
              <w:t>贷款渠道和提供贷款的金融机构，可在河南省政府采购网“河南省政府采购合同融资平台”查询联系。</w:t>
            </w:r>
          </w:p>
        </w:tc>
      </w:tr>
      <w:tr>
        <w:tblPrEx>
          <w:tblCellMar>
            <w:top w:w="0" w:type="dxa"/>
            <w:left w:w="108" w:type="dxa"/>
            <w:bottom w:w="0" w:type="dxa"/>
            <w:right w:w="108" w:type="dxa"/>
          </w:tblCellMar>
        </w:tblPrEx>
        <w:trPr>
          <w:trHeight w:val="23" w:hRule="atLeast"/>
          <w:jc w:val="center"/>
        </w:trPr>
        <w:tc>
          <w:tcPr>
            <w:tcW w:w="10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rPr>
            </w:pPr>
            <w:bookmarkStart w:id="45" w:name="_Toc129073457"/>
            <w:r>
              <w:rPr>
                <w:rFonts w:hint="eastAsia" w:ascii="宋体" w:hAnsi="宋体"/>
                <w:color w:val="auto"/>
              </w:rPr>
              <w:t>10.9</w:t>
            </w:r>
          </w:p>
        </w:tc>
        <w:tc>
          <w:tcPr>
            <w:tcW w:w="2414"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color w:val="auto"/>
              </w:rPr>
            </w:pPr>
            <w:r>
              <w:rPr>
                <w:rFonts w:hint="eastAsia" w:ascii="宋体" w:hAnsi="宋体"/>
                <w:color w:val="auto"/>
              </w:rPr>
              <w:t>解释权</w:t>
            </w:r>
          </w:p>
        </w:tc>
        <w:tc>
          <w:tcPr>
            <w:tcW w:w="5413" w:type="dxa"/>
            <w:tcBorders>
              <w:top w:val="single" w:color="auto" w:sz="4" w:space="0"/>
              <w:left w:val="nil"/>
              <w:bottom w:val="single" w:color="auto" w:sz="4" w:space="0"/>
              <w:right w:val="single" w:color="auto" w:sz="4" w:space="0"/>
            </w:tcBorders>
            <w:vAlign w:val="center"/>
          </w:tcPr>
          <w:p>
            <w:pPr>
              <w:pStyle w:val="8"/>
              <w:spacing w:line="360" w:lineRule="auto"/>
              <w:rPr>
                <w:rFonts w:hint="eastAsia" w:ascii="宋体" w:hAnsi="宋体" w:eastAsia="宋体"/>
                <w:color w:val="auto"/>
                <w:sz w:val="21"/>
                <w:szCs w:val="21"/>
                <w:lang w:eastAsia="zh-CN"/>
              </w:rPr>
            </w:pPr>
            <w:r>
              <w:rPr>
                <w:rFonts w:hint="eastAsia" w:ascii="宋体" w:hAnsi="宋体"/>
                <w:color w:val="auto"/>
                <w:sz w:val="21"/>
                <w:szCs w:val="21"/>
              </w:rPr>
              <w:t>竞争性磋商文件的最终解释权归采购人，其它未尽事宜，按国家有关法律、法规执行</w:t>
            </w:r>
            <w:r>
              <w:rPr>
                <w:rFonts w:hint="eastAsia" w:ascii="宋体" w:hAnsi="宋体"/>
                <w:color w:val="auto"/>
                <w:sz w:val="21"/>
                <w:szCs w:val="21"/>
                <w:lang w:eastAsia="zh-CN"/>
              </w:rPr>
              <w:t>。</w:t>
            </w:r>
          </w:p>
        </w:tc>
      </w:tr>
    </w:tbl>
    <w:p>
      <w:pPr>
        <w:rPr>
          <w:rFonts w:ascii="宋体" w:hAnsi="宋体"/>
          <w:color w:val="auto"/>
        </w:rPr>
      </w:pPr>
      <w:bookmarkStart w:id="46" w:name="_Toc21190"/>
      <w:bookmarkEnd w:id="46"/>
      <w:r>
        <w:rPr>
          <w:rFonts w:hint="eastAsia" w:ascii="宋体" w:hAnsi="宋体"/>
          <w:color w:val="auto"/>
        </w:rPr>
        <w:br w:type="page"/>
      </w:r>
    </w:p>
    <w:p>
      <w:pPr>
        <w:pStyle w:val="57"/>
        <w:rPr>
          <w:color w:val="auto"/>
        </w:rPr>
      </w:pPr>
      <w:bookmarkStart w:id="47" w:name="_Toc22051"/>
      <w:bookmarkStart w:id="48" w:name="_Toc15071"/>
      <w:bookmarkStart w:id="49" w:name="_Toc18840"/>
      <w:bookmarkStart w:id="50" w:name="_Toc21936"/>
      <w:bookmarkStart w:id="51" w:name="_Toc3643"/>
      <w:r>
        <w:rPr>
          <w:rFonts w:hint="eastAsia"/>
          <w:color w:val="auto"/>
        </w:rPr>
        <w:t>供应商须知</w:t>
      </w:r>
      <w:bookmarkEnd w:id="47"/>
      <w:bookmarkEnd w:id="48"/>
      <w:bookmarkEnd w:id="49"/>
      <w:bookmarkEnd w:id="50"/>
      <w:bookmarkEnd w:id="51"/>
    </w:p>
    <w:p>
      <w:pPr>
        <w:pStyle w:val="57"/>
        <w:rPr>
          <w:color w:val="auto"/>
        </w:rPr>
      </w:pPr>
      <w:bookmarkStart w:id="52" w:name="_Toc19288"/>
      <w:bookmarkStart w:id="53" w:name="_Toc12696"/>
      <w:bookmarkStart w:id="54" w:name="_Toc11688"/>
      <w:bookmarkStart w:id="55" w:name="_Toc19593"/>
      <w:bookmarkStart w:id="56" w:name="_Toc7338"/>
      <w:r>
        <w:rPr>
          <w:rFonts w:hint="eastAsia"/>
          <w:color w:val="auto"/>
        </w:rPr>
        <w:t>1. 总则</w:t>
      </w:r>
      <w:bookmarkEnd w:id="45"/>
      <w:bookmarkEnd w:id="52"/>
      <w:bookmarkEnd w:id="53"/>
      <w:bookmarkEnd w:id="54"/>
      <w:bookmarkEnd w:id="55"/>
      <w:bookmarkEnd w:id="56"/>
    </w:p>
    <w:p>
      <w:pPr>
        <w:pStyle w:val="58"/>
        <w:keepNext w:val="0"/>
        <w:keepLines w:val="0"/>
        <w:spacing w:line="360" w:lineRule="auto"/>
        <w:ind w:firstLine="422" w:firstLineChars="200"/>
        <w:rPr>
          <w:rFonts w:ascii="宋体" w:hAnsi="宋体" w:eastAsia="宋体"/>
          <w:b/>
          <w:bCs/>
          <w:color w:val="auto"/>
          <w:sz w:val="21"/>
          <w:szCs w:val="21"/>
        </w:rPr>
      </w:pPr>
      <w:bookmarkStart w:id="57" w:name="_Toc466298092"/>
      <w:bookmarkEnd w:id="57"/>
      <w:bookmarkStart w:id="58" w:name="_Toc1172"/>
      <w:bookmarkEnd w:id="58"/>
      <w:bookmarkStart w:id="59" w:name="_Toc490667828"/>
      <w:bookmarkEnd w:id="59"/>
      <w:bookmarkStart w:id="60" w:name="_Toc152045531"/>
      <w:bookmarkEnd w:id="60"/>
      <w:bookmarkStart w:id="61" w:name="_Toc509667261"/>
      <w:bookmarkEnd w:id="61"/>
      <w:bookmarkStart w:id="62" w:name="_Toc455867769"/>
      <w:bookmarkEnd w:id="62"/>
      <w:bookmarkStart w:id="63" w:name="_Toc10273"/>
      <w:bookmarkEnd w:id="63"/>
      <w:bookmarkStart w:id="64" w:name="_Toc31404"/>
      <w:bookmarkEnd w:id="64"/>
      <w:bookmarkStart w:id="65" w:name="_Toc21458"/>
      <w:bookmarkEnd w:id="65"/>
      <w:bookmarkStart w:id="66" w:name="_Toc318450675"/>
      <w:bookmarkEnd w:id="66"/>
      <w:bookmarkStart w:id="67" w:name="_Toc455080109"/>
      <w:bookmarkEnd w:id="67"/>
      <w:bookmarkStart w:id="68" w:name="_Toc15709"/>
      <w:bookmarkEnd w:id="68"/>
      <w:bookmarkStart w:id="69" w:name="_Toc274409866"/>
      <w:bookmarkEnd w:id="69"/>
      <w:bookmarkStart w:id="70" w:name="_Toc281380952"/>
      <w:bookmarkEnd w:id="70"/>
      <w:bookmarkStart w:id="71" w:name="_Toc29023"/>
      <w:bookmarkEnd w:id="71"/>
      <w:bookmarkStart w:id="72" w:name="_Toc144974499"/>
      <w:bookmarkEnd w:id="72"/>
      <w:bookmarkStart w:id="73" w:name="_Toc129073458"/>
      <w:bookmarkStart w:id="74" w:name="_Toc22280"/>
      <w:bookmarkStart w:id="75" w:name="_Toc152042307"/>
      <w:r>
        <w:rPr>
          <w:rFonts w:hint="eastAsia" w:ascii="宋体" w:hAnsi="宋体" w:eastAsia="宋体"/>
          <w:b/>
          <w:bCs/>
          <w:color w:val="auto"/>
          <w:sz w:val="21"/>
          <w:szCs w:val="21"/>
        </w:rPr>
        <w:t>1.1 适用范围</w:t>
      </w:r>
      <w:bookmarkEnd w:id="73"/>
      <w:bookmarkEnd w:id="74"/>
      <w:bookmarkEnd w:id="75"/>
    </w:p>
    <w:p>
      <w:pPr>
        <w:spacing w:line="360" w:lineRule="auto"/>
        <w:ind w:firstLine="420" w:firstLineChars="200"/>
        <w:rPr>
          <w:rFonts w:ascii="宋体" w:hAnsi="宋体"/>
          <w:color w:val="auto"/>
        </w:rPr>
      </w:pPr>
      <w:r>
        <w:rPr>
          <w:rFonts w:hint="eastAsia" w:ascii="宋体" w:hAnsi="宋体"/>
          <w:color w:val="auto"/>
        </w:rPr>
        <w:t>1.1.1根据《中华人民共和国政府采购法》等有关法律、法规和规章的规定，编制本项目磋商文件。</w:t>
      </w:r>
    </w:p>
    <w:p>
      <w:pPr>
        <w:spacing w:line="360" w:lineRule="auto"/>
        <w:ind w:firstLine="420" w:firstLineChars="200"/>
        <w:rPr>
          <w:rFonts w:ascii="宋体" w:hAnsi="宋体"/>
          <w:color w:val="auto"/>
        </w:rPr>
      </w:pPr>
      <w:bookmarkStart w:id="76" w:name="_Toc274409867"/>
      <w:bookmarkEnd w:id="76"/>
      <w:bookmarkStart w:id="77" w:name="_Toc281405468"/>
      <w:bookmarkEnd w:id="77"/>
      <w:bookmarkStart w:id="78" w:name="_Toc455080110"/>
      <w:bookmarkEnd w:id="78"/>
      <w:bookmarkStart w:id="79" w:name="_Toc490667829"/>
      <w:bookmarkEnd w:id="79"/>
      <w:bookmarkStart w:id="80" w:name="_Toc710"/>
      <w:bookmarkEnd w:id="80"/>
      <w:bookmarkStart w:id="81" w:name="_Toc32619"/>
      <w:bookmarkEnd w:id="81"/>
      <w:bookmarkStart w:id="82" w:name="_Toc25773"/>
      <w:bookmarkEnd w:id="82"/>
      <w:bookmarkStart w:id="83" w:name="_Toc318450676"/>
      <w:bookmarkEnd w:id="83"/>
      <w:bookmarkStart w:id="84" w:name="_Toc2929"/>
      <w:bookmarkEnd w:id="84"/>
      <w:bookmarkStart w:id="85" w:name="_Toc509667262"/>
      <w:bookmarkEnd w:id="85"/>
      <w:bookmarkStart w:id="86" w:name="_Toc455867770"/>
      <w:bookmarkEnd w:id="86"/>
      <w:bookmarkStart w:id="87" w:name="_Toc30891"/>
      <w:bookmarkEnd w:id="87"/>
      <w:bookmarkStart w:id="88" w:name="_Toc3336"/>
      <w:bookmarkEnd w:id="88"/>
      <w:r>
        <w:rPr>
          <w:rFonts w:hint="eastAsia" w:ascii="宋体" w:hAnsi="宋体"/>
          <w:color w:val="auto"/>
        </w:rPr>
        <w:t>1.1.2 本项目采购人：见供应商须知前附表。</w:t>
      </w:r>
    </w:p>
    <w:p>
      <w:pPr>
        <w:spacing w:line="360" w:lineRule="auto"/>
        <w:ind w:firstLine="420" w:firstLineChars="200"/>
        <w:rPr>
          <w:rFonts w:ascii="宋体" w:hAnsi="宋体"/>
          <w:color w:val="auto"/>
        </w:rPr>
      </w:pPr>
      <w:r>
        <w:rPr>
          <w:rFonts w:hint="eastAsia" w:ascii="宋体" w:hAnsi="宋体"/>
          <w:color w:val="auto"/>
        </w:rPr>
        <w:t>1.1.3 本项目采购代理机构：见供应商须知前附表。</w:t>
      </w:r>
    </w:p>
    <w:p>
      <w:pPr>
        <w:spacing w:line="360" w:lineRule="auto"/>
        <w:ind w:firstLine="420" w:firstLineChars="200"/>
        <w:rPr>
          <w:rFonts w:ascii="宋体" w:hAnsi="宋体"/>
          <w:color w:val="auto"/>
        </w:rPr>
      </w:pPr>
      <w:r>
        <w:rPr>
          <w:rFonts w:hint="eastAsia" w:ascii="宋体" w:hAnsi="宋体"/>
          <w:color w:val="auto"/>
        </w:rPr>
        <w:t>1.1.4 本项目名称：见供应商须知前附表。</w:t>
      </w:r>
    </w:p>
    <w:p>
      <w:pPr>
        <w:pStyle w:val="58"/>
        <w:keepNext w:val="0"/>
        <w:keepLines w:val="0"/>
        <w:spacing w:line="360" w:lineRule="auto"/>
        <w:ind w:firstLine="422" w:firstLineChars="200"/>
        <w:rPr>
          <w:rFonts w:ascii="宋体" w:hAnsi="宋体" w:eastAsia="宋体"/>
          <w:b/>
          <w:bCs/>
          <w:color w:val="auto"/>
          <w:sz w:val="21"/>
          <w:szCs w:val="21"/>
        </w:rPr>
      </w:pPr>
      <w:bookmarkStart w:id="89" w:name="_Toc20229"/>
      <w:r>
        <w:rPr>
          <w:rFonts w:hint="eastAsia" w:ascii="宋体" w:hAnsi="宋体" w:eastAsia="宋体"/>
          <w:b/>
          <w:bCs/>
          <w:color w:val="auto"/>
          <w:sz w:val="21"/>
          <w:szCs w:val="21"/>
        </w:rPr>
        <w:t>1.2 资金来源及落实情况</w:t>
      </w:r>
      <w:bookmarkEnd w:id="89"/>
      <w:r>
        <w:rPr>
          <w:rFonts w:hint="eastAsia" w:ascii="宋体" w:hAnsi="宋体" w:eastAsia="宋体"/>
          <w:b/>
          <w:bCs/>
          <w:color w:val="auto"/>
          <w:sz w:val="21"/>
          <w:szCs w:val="21"/>
        </w:rPr>
        <w:t xml:space="preserve"> </w:t>
      </w:r>
    </w:p>
    <w:p>
      <w:pPr>
        <w:spacing w:line="360" w:lineRule="auto"/>
        <w:ind w:firstLine="420" w:firstLineChars="200"/>
        <w:rPr>
          <w:rFonts w:ascii="宋体" w:hAnsi="宋体"/>
          <w:color w:val="auto"/>
        </w:rPr>
      </w:pPr>
      <w:r>
        <w:rPr>
          <w:rFonts w:hint="eastAsia" w:ascii="宋体" w:hAnsi="宋体"/>
          <w:color w:val="auto"/>
        </w:rPr>
        <w:t>1.2.1资金来源：见供应商须知前附表。</w:t>
      </w:r>
    </w:p>
    <w:p>
      <w:pPr>
        <w:spacing w:line="360" w:lineRule="auto"/>
        <w:ind w:firstLine="420" w:firstLineChars="200"/>
        <w:rPr>
          <w:rFonts w:ascii="宋体" w:hAnsi="宋体"/>
          <w:color w:val="auto"/>
        </w:rPr>
      </w:pPr>
      <w:r>
        <w:rPr>
          <w:rFonts w:hint="eastAsia" w:ascii="宋体" w:hAnsi="宋体"/>
          <w:color w:val="auto"/>
        </w:rPr>
        <w:t>1.2.2 资金落实情况：见供应商须知前附表。</w:t>
      </w:r>
    </w:p>
    <w:p>
      <w:pPr>
        <w:pStyle w:val="58"/>
        <w:keepNext w:val="0"/>
        <w:keepLines w:val="0"/>
        <w:spacing w:line="360" w:lineRule="auto"/>
        <w:ind w:firstLine="422" w:firstLineChars="200"/>
        <w:rPr>
          <w:rFonts w:ascii="宋体" w:hAnsi="宋体" w:eastAsia="宋体"/>
          <w:b/>
          <w:bCs/>
          <w:color w:val="auto"/>
          <w:sz w:val="21"/>
          <w:szCs w:val="21"/>
        </w:rPr>
      </w:pPr>
      <w:bookmarkStart w:id="90" w:name="_Toc466298094"/>
      <w:bookmarkEnd w:id="90"/>
      <w:bookmarkStart w:id="91" w:name="_Toc455867771"/>
      <w:bookmarkEnd w:id="91"/>
      <w:bookmarkStart w:id="92" w:name="_Toc4952"/>
      <w:bookmarkEnd w:id="92"/>
      <w:bookmarkStart w:id="93" w:name="_Toc152045532"/>
      <w:bookmarkEnd w:id="93"/>
      <w:bookmarkStart w:id="94" w:name="_Toc1373"/>
      <w:bookmarkEnd w:id="94"/>
      <w:bookmarkStart w:id="95" w:name="_Toc144974500"/>
      <w:bookmarkEnd w:id="95"/>
      <w:bookmarkStart w:id="96" w:name="_Toc12752"/>
      <w:bookmarkEnd w:id="96"/>
      <w:bookmarkStart w:id="97" w:name="_Toc455080112"/>
      <w:bookmarkEnd w:id="97"/>
      <w:bookmarkStart w:id="98" w:name="_Toc509667264"/>
      <w:bookmarkEnd w:id="98"/>
      <w:bookmarkStart w:id="99" w:name="_Toc27407"/>
      <w:bookmarkEnd w:id="99"/>
      <w:bookmarkStart w:id="100" w:name="_Toc490667831"/>
      <w:bookmarkEnd w:id="100"/>
      <w:bookmarkStart w:id="101" w:name="_Toc281405469"/>
      <w:bookmarkEnd w:id="101"/>
      <w:bookmarkStart w:id="102" w:name="_Toc16931"/>
      <w:bookmarkEnd w:id="102"/>
      <w:bookmarkStart w:id="103" w:name="_Toc318450677"/>
      <w:bookmarkEnd w:id="103"/>
      <w:bookmarkStart w:id="104" w:name="_Toc274409868"/>
      <w:bookmarkEnd w:id="104"/>
      <w:bookmarkStart w:id="105" w:name="_Toc152042308"/>
      <w:bookmarkEnd w:id="105"/>
      <w:bookmarkStart w:id="106" w:name="_Toc455867772"/>
      <w:bookmarkEnd w:id="106"/>
      <w:bookmarkStart w:id="107" w:name="_Toc21766"/>
      <w:bookmarkEnd w:id="107"/>
      <w:bookmarkStart w:id="108" w:name="_Toc19363"/>
      <w:bookmarkEnd w:id="108"/>
      <w:bookmarkStart w:id="109" w:name="_Toc16470"/>
      <w:bookmarkEnd w:id="109"/>
      <w:bookmarkStart w:id="110" w:name="_Toc14043"/>
      <w:bookmarkEnd w:id="110"/>
      <w:bookmarkStart w:id="111" w:name="_Toc18960"/>
      <w:bookmarkEnd w:id="111"/>
      <w:bookmarkStart w:id="112" w:name="_Toc466298095"/>
      <w:bookmarkEnd w:id="112"/>
      <w:bookmarkStart w:id="113" w:name="_Toc509667263"/>
      <w:bookmarkEnd w:id="113"/>
      <w:bookmarkStart w:id="114" w:name="_Toc17016"/>
      <w:bookmarkEnd w:id="114"/>
      <w:bookmarkStart w:id="115" w:name="_Toc490667830"/>
      <w:bookmarkEnd w:id="115"/>
      <w:bookmarkStart w:id="116" w:name="_Toc3477"/>
      <w:bookmarkEnd w:id="116"/>
      <w:bookmarkStart w:id="117" w:name="_Toc318450678"/>
      <w:bookmarkStart w:id="118" w:name="_Toc129073461"/>
      <w:bookmarkStart w:id="119" w:name="_Toc24274"/>
      <w:r>
        <w:rPr>
          <w:rFonts w:hint="eastAsia" w:ascii="宋体" w:hAnsi="宋体" w:eastAsia="宋体"/>
          <w:b/>
          <w:bCs/>
          <w:color w:val="auto"/>
          <w:sz w:val="21"/>
          <w:szCs w:val="21"/>
        </w:rPr>
        <w:t>1.3 磋商内容、和</w:t>
      </w:r>
      <w:bookmarkEnd w:id="117"/>
      <w:r>
        <w:rPr>
          <w:rFonts w:hint="eastAsia" w:ascii="宋体" w:hAnsi="宋体" w:eastAsia="宋体"/>
          <w:b/>
          <w:bCs/>
          <w:color w:val="auto"/>
          <w:sz w:val="21"/>
          <w:szCs w:val="21"/>
        </w:rPr>
        <w:t>质量要求</w:t>
      </w:r>
      <w:bookmarkEnd w:id="118"/>
      <w:r>
        <w:rPr>
          <w:rFonts w:hint="eastAsia" w:ascii="宋体" w:hAnsi="宋体" w:eastAsia="宋体"/>
          <w:b/>
          <w:bCs/>
          <w:color w:val="auto"/>
          <w:sz w:val="21"/>
          <w:szCs w:val="21"/>
        </w:rPr>
        <w:t>等</w:t>
      </w:r>
      <w:bookmarkEnd w:id="119"/>
    </w:p>
    <w:p>
      <w:pPr>
        <w:spacing w:line="360" w:lineRule="auto"/>
        <w:ind w:firstLine="420" w:firstLineChars="200"/>
        <w:rPr>
          <w:rFonts w:ascii="宋体" w:hAnsi="宋体"/>
          <w:color w:val="auto"/>
        </w:rPr>
      </w:pPr>
      <w:r>
        <w:rPr>
          <w:rFonts w:hint="eastAsia" w:ascii="宋体" w:hAnsi="宋体"/>
          <w:color w:val="auto"/>
        </w:rPr>
        <w:t>1.3.1 本次磋商内容及范围：见供应商须知前附表。</w:t>
      </w:r>
    </w:p>
    <w:p>
      <w:pPr>
        <w:spacing w:line="360" w:lineRule="auto"/>
        <w:ind w:firstLine="420" w:firstLineChars="200"/>
        <w:rPr>
          <w:rFonts w:ascii="宋体" w:hAnsi="宋体"/>
          <w:color w:val="auto"/>
        </w:rPr>
      </w:pPr>
      <w:r>
        <w:rPr>
          <w:rFonts w:hint="eastAsia" w:ascii="宋体" w:hAnsi="宋体"/>
          <w:color w:val="auto"/>
        </w:rPr>
        <w:t>1.3.2 本项目的建设地点：见供应商须知前附表。</w:t>
      </w:r>
    </w:p>
    <w:p>
      <w:pPr>
        <w:spacing w:line="360" w:lineRule="auto"/>
        <w:ind w:firstLine="420" w:firstLineChars="200"/>
        <w:rPr>
          <w:rFonts w:ascii="宋体" w:hAnsi="宋体"/>
          <w:color w:val="auto"/>
        </w:rPr>
      </w:pPr>
      <w:r>
        <w:rPr>
          <w:rFonts w:hint="eastAsia" w:ascii="宋体" w:hAnsi="宋体"/>
          <w:color w:val="auto"/>
        </w:rPr>
        <w:t>1.3.3 本项目的工期要求：见供应商须知前附表。</w:t>
      </w:r>
    </w:p>
    <w:p>
      <w:pPr>
        <w:spacing w:line="360" w:lineRule="auto"/>
        <w:ind w:firstLine="420" w:firstLineChars="200"/>
        <w:rPr>
          <w:rFonts w:ascii="宋体" w:hAnsi="宋体"/>
          <w:color w:val="auto"/>
        </w:rPr>
      </w:pPr>
      <w:r>
        <w:rPr>
          <w:rFonts w:hint="eastAsia" w:ascii="宋体" w:hAnsi="宋体"/>
          <w:color w:val="auto"/>
        </w:rPr>
        <w:t>1.3.4 本项目的质量要求：见供应商须知前附表。</w:t>
      </w:r>
    </w:p>
    <w:p>
      <w:pPr>
        <w:spacing w:line="360" w:lineRule="auto"/>
        <w:ind w:firstLine="420" w:firstLineChars="200"/>
        <w:rPr>
          <w:rFonts w:ascii="宋体" w:hAnsi="宋体"/>
          <w:color w:val="auto"/>
        </w:rPr>
      </w:pPr>
      <w:r>
        <w:rPr>
          <w:rFonts w:hint="eastAsia" w:ascii="宋体" w:hAnsi="宋体"/>
          <w:color w:val="auto"/>
        </w:rPr>
        <w:t>1.3.5 本项目的缺陷责任期：见供应商须知前附表。</w:t>
      </w:r>
    </w:p>
    <w:p>
      <w:pPr>
        <w:pStyle w:val="58"/>
        <w:keepNext w:val="0"/>
        <w:keepLines w:val="0"/>
        <w:spacing w:line="360" w:lineRule="auto"/>
        <w:ind w:firstLine="422" w:firstLineChars="200"/>
        <w:rPr>
          <w:rFonts w:ascii="宋体" w:hAnsi="宋体" w:eastAsia="宋体"/>
          <w:b/>
          <w:bCs/>
          <w:color w:val="auto"/>
          <w:sz w:val="21"/>
          <w:szCs w:val="21"/>
        </w:rPr>
      </w:pPr>
      <w:bookmarkStart w:id="120" w:name="_Toc455867773"/>
      <w:bookmarkEnd w:id="120"/>
      <w:bookmarkStart w:id="121" w:name="_Toc509667265"/>
      <w:bookmarkEnd w:id="121"/>
      <w:bookmarkStart w:id="122" w:name="_Toc152042310"/>
      <w:bookmarkEnd w:id="122"/>
      <w:bookmarkStart w:id="123" w:name="_Toc18689"/>
      <w:bookmarkEnd w:id="123"/>
      <w:bookmarkStart w:id="124" w:name="_Toc5019"/>
      <w:bookmarkEnd w:id="124"/>
      <w:bookmarkStart w:id="125" w:name="_Toc152045534"/>
      <w:bookmarkEnd w:id="125"/>
      <w:bookmarkStart w:id="126" w:name="_Toc144974502"/>
      <w:bookmarkEnd w:id="126"/>
      <w:bookmarkStart w:id="127" w:name="_Toc318450679"/>
      <w:bookmarkEnd w:id="127"/>
      <w:bookmarkStart w:id="128" w:name="_Toc11063"/>
      <w:bookmarkEnd w:id="128"/>
      <w:bookmarkStart w:id="129" w:name="_Toc455080113"/>
      <w:bookmarkEnd w:id="129"/>
      <w:bookmarkStart w:id="130" w:name="_Toc22643"/>
      <w:bookmarkEnd w:id="130"/>
      <w:bookmarkStart w:id="131" w:name="_Toc466298096"/>
      <w:bookmarkEnd w:id="131"/>
      <w:bookmarkStart w:id="132" w:name="_Toc490667832"/>
      <w:bookmarkEnd w:id="132"/>
      <w:bookmarkStart w:id="133" w:name="_Toc4301"/>
      <w:bookmarkEnd w:id="133"/>
      <w:bookmarkStart w:id="134" w:name="_Toc7209"/>
      <w:bookmarkStart w:id="135" w:name="_Toc129073462"/>
      <w:bookmarkStart w:id="136" w:name="_Toc19858"/>
      <w:r>
        <w:rPr>
          <w:rFonts w:hint="eastAsia" w:ascii="宋体" w:hAnsi="宋体" w:eastAsia="宋体"/>
          <w:b/>
          <w:bCs/>
          <w:color w:val="auto"/>
          <w:sz w:val="21"/>
          <w:szCs w:val="21"/>
        </w:rPr>
        <w:t xml:space="preserve">1.4 </w:t>
      </w:r>
      <w:bookmarkEnd w:id="134"/>
      <w:r>
        <w:rPr>
          <w:rFonts w:hint="eastAsia" w:ascii="宋体" w:hAnsi="宋体" w:eastAsia="宋体"/>
          <w:b/>
          <w:bCs/>
          <w:color w:val="auto"/>
          <w:sz w:val="21"/>
          <w:szCs w:val="21"/>
        </w:rPr>
        <w:t>供应商资质条件和能力</w:t>
      </w:r>
      <w:bookmarkEnd w:id="135"/>
      <w:bookmarkEnd w:id="136"/>
    </w:p>
    <w:p>
      <w:pPr>
        <w:spacing w:line="360" w:lineRule="auto"/>
        <w:ind w:firstLine="420" w:firstLineChars="200"/>
        <w:rPr>
          <w:rFonts w:ascii="宋体" w:hAnsi="宋体"/>
          <w:color w:val="auto"/>
        </w:rPr>
      </w:pPr>
      <w:r>
        <w:rPr>
          <w:rFonts w:hint="eastAsia" w:ascii="宋体" w:hAnsi="宋体"/>
          <w:color w:val="auto"/>
        </w:rPr>
        <w:t>1.4.1供应商资质及能力要求：见供应商须知前附表。</w:t>
      </w:r>
    </w:p>
    <w:p>
      <w:pPr>
        <w:spacing w:line="360" w:lineRule="auto"/>
        <w:ind w:firstLine="420" w:firstLineChars="200"/>
        <w:rPr>
          <w:rFonts w:ascii="宋体" w:hAnsi="宋体"/>
          <w:color w:val="auto"/>
        </w:rPr>
      </w:pPr>
      <w:r>
        <w:rPr>
          <w:rFonts w:hint="eastAsia" w:ascii="宋体" w:hAnsi="宋体"/>
          <w:color w:val="auto"/>
        </w:rPr>
        <w:t>1.4.2是否接受联合体：见供应商须知前附表。</w:t>
      </w:r>
    </w:p>
    <w:p>
      <w:pPr>
        <w:spacing w:line="360" w:lineRule="auto"/>
        <w:ind w:firstLine="420" w:firstLineChars="200"/>
        <w:rPr>
          <w:rFonts w:ascii="宋体" w:hAnsi="宋体"/>
          <w:color w:val="auto"/>
        </w:rPr>
      </w:pPr>
      <w:r>
        <w:rPr>
          <w:rFonts w:hint="eastAsia" w:ascii="宋体" w:hAnsi="宋体"/>
          <w:color w:val="auto"/>
        </w:rPr>
        <w:t>1.4.3 供应商不得存在下列情形之一:</w:t>
      </w:r>
    </w:p>
    <w:p>
      <w:pPr>
        <w:spacing w:line="360" w:lineRule="auto"/>
        <w:ind w:firstLine="420" w:firstLineChars="200"/>
        <w:rPr>
          <w:rFonts w:ascii="宋体" w:hAnsi="宋体"/>
          <w:color w:val="auto"/>
        </w:rPr>
      </w:pPr>
      <w:r>
        <w:rPr>
          <w:rFonts w:hint="eastAsia" w:ascii="宋体" w:hAnsi="宋体"/>
          <w:color w:val="auto"/>
        </w:rPr>
        <w:t>(1)与采购人存在利害关系且可能影响磋商公正性；</w:t>
      </w:r>
    </w:p>
    <w:p>
      <w:pPr>
        <w:spacing w:line="360" w:lineRule="auto"/>
        <w:ind w:firstLine="420" w:firstLineChars="200"/>
        <w:rPr>
          <w:rFonts w:ascii="宋体" w:hAnsi="宋体"/>
          <w:color w:val="auto"/>
        </w:rPr>
      </w:pPr>
      <w:r>
        <w:rPr>
          <w:rFonts w:hint="eastAsia" w:ascii="宋体" w:hAnsi="宋体"/>
          <w:color w:val="auto"/>
        </w:rPr>
        <w:t>(2)与本磋商项目的其他供应商为同一个单位负责人；</w:t>
      </w:r>
    </w:p>
    <w:p>
      <w:pPr>
        <w:spacing w:line="360" w:lineRule="auto"/>
        <w:ind w:firstLine="420" w:firstLineChars="200"/>
        <w:rPr>
          <w:rFonts w:ascii="宋体" w:hAnsi="宋体"/>
          <w:color w:val="auto"/>
        </w:rPr>
      </w:pPr>
      <w:r>
        <w:rPr>
          <w:rFonts w:hint="eastAsia" w:ascii="宋体" w:hAnsi="宋体"/>
          <w:color w:val="auto"/>
        </w:rPr>
        <w:t>(3)与本磋商项目的其他供应商存在控股、管理关系；</w:t>
      </w:r>
    </w:p>
    <w:p>
      <w:pPr>
        <w:spacing w:line="360" w:lineRule="auto"/>
        <w:ind w:firstLine="420" w:firstLineChars="200"/>
        <w:rPr>
          <w:rFonts w:ascii="宋体" w:hAnsi="宋体"/>
          <w:color w:val="auto"/>
        </w:rPr>
      </w:pPr>
      <w:r>
        <w:rPr>
          <w:rFonts w:hint="eastAsia" w:ascii="宋体" w:hAnsi="宋体"/>
          <w:color w:val="auto"/>
        </w:rPr>
        <w:t>(4)为本磋商项目提供过整体设计、规范编制或者项目管理、监理、检测等服务；</w:t>
      </w:r>
    </w:p>
    <w:p>
      <w:pPr>
        <w:spacing w:line="360" w:lineRule="auto"/>
        <w:ind w:firstLine="420" w:firstLineChars="200"/>
        <w:rPr>
          <w:rFonts w:ascii="宋体" w:hAnsi="宋体"/>
          <w:color w:val="auto"/>
        </w:rPr>
      </w:pPr>
      <w:r>
        <w:rPr>
          <w:rFonts w:hint="eastAsia" w:ascii="宋体" w:hAnsi="宋体"/>
          <w:color w:val="auto"/>
        </w:rPr>
        <w:t>(5)为本项目的监理人；</w:t>
      </w:r>
    </w:p>
    <w:p>
      <w:pPr>
        <w:spacing w:line="360" w:lineRule="auto"/>
        <w:ind w:firstLine="420" w:firstLineChars="200"/>
        <w:rPr>
          <w:rFonts w:ascii="宋体" w:hAnsi="宋体"/>
          <w:color w:val="auto"/>
        </w:rPr>
      </w:pPr>
      <w:r>
        <w:rPr>
          <w:rFonts w:hint="eastAsia" w:ascii="宋体" w:hAnsi="宋体"/>
          <w:color w:val="auto"/>
        </w:rPr>
        <w:t>(6)为本项目的代建人；</w:t>
      </w:r>
    </w:p>
    <w:p>
      <w:pPr>
        <w:spacing w:line="360" w:lineRule="auto"/>
        <w:ind w:firstLine="420" w:firstLineChars="200"/>
        <w:rPr>
          <w:rFonts w:ascii="宋体" w:hAnsi="宋体"/>
          <w:color w:val="auto"/>
        </w:rPr>
      </w:pPr>
      <w:r>
        <w:rPr>
          <w:rFonts w:hint="eastAsia" w:ascii="宋体" w:hAnsi="宋体"/>
          <w:color w:val="auto"/>
        </w:rPr>
        <w:t>(7)与本项目的监理人或代建人或采购代理机构同为一个法定代表人；</w:t>
      </w:r>
    </w:p>
    <w:p>
      <w:pPr>
        <w:spacing w:line="360" w:lineRule="auto"/>
        <w:ind w:firstLine="420" w:firstLineChars="200"/>
        <w:rPr>
          <w:rFonts w:ascii="宋体" w:hAnsi="宋体"/>
          <w:color w:val="auto"/>
        </w:rPr>
      </w:pPr>
      <w:r>
        <w:rPr>
          <w:rFonts w:hint="eastAsia" w:ascii="宋体" w:hAnsi="宋体"/>
          <w:color w:val="auto"/>
        </w:rPr>
        <w:t>(8)与本项目的监理人或代建人或采购代理机构存在控股或参股关系；</w:t>
      </w:r>
    </w:p>
    <w:p>
      <w:pPr>
        <w:spacing w:line="360" w:lineRule="auto"/>
        <w:ind w:firstLine="420" w:firstLineChars="200"/>
        <w:rPr>
          <w:rFonts w:ascii="宋体" w:hAnsi="宋体"/>
          <w:color w:val="auto"/>
        </w:rPr>
      </w:pPr>
      <w:r>
        <w:rPr>
          <w:rFonts w:hint="eastAsia" w:ascii="宋体" w:hAnsi="宋体"/>
          <w:color w:val="auto"/>
        </w:rPr>
        <w:t>(9)为本磋商项目的采购代理机构；</w:t>
      </w:r>
    </w:p>
    <w:p>
      <w:pPr>
        <w:spacing w:line="360" w:lineRule="auto"/>
        <w:ind w:firstLine="420" w:firstLineChars="200"/>
        <w:rPr>
          <w:rFonts w:ascii="宋体" w:hAnsi="宋体"/>
          <w:color w:val="auto"/>
        </w:rPr>
      </w:pPr>
      <w:r>
        <w:rPr>
          <w:rFonts w:hint="eastAsia" w:ascii="宋体" w:hAnsi="宋体"/>
          <w:color w:val="auto"/>
        </w:rPr>
        <w:t>(10)供应商以他人名义投标、串通投标、以行贿手段牟取中标，或在投标中弄虚作假的；</w:t>
      </w:r>
    </w:p>
    <w:p>
      <w:pPr>
        <w:spacing w:line="360" w:lineRule="auto"/>
        <w:ind w:firstLine="420" w:firstLineChars="200"/>
        <w:rPr>
          <w:rFonts w:ascii="宋体" w:hAnsi="宋体"/>
          <w:color w:val="auto"/>
        </w:rPr>
      </w:pPr>
      <w:r>
        <w:rPr>
          <w:rFonts w:hint="eastAsia" w:ascii="宋体" w:hAnsi="宋体"/>
          <w:color w:val="auto"/>
        </w:rPr>
        <w:t>(11)法律法规规定的其他情形。</w:t>
      </w:r>
    </w:p>
    <w:p>
      <w:pPr>
        <w:pStyle w:val="58"/>
        <w:keepNext w:val="0"/>
        <w:keepLines w:val="0"/>
        <w:spacing w:line="360" w:lineRule="auto"/>
        <w:ind w:firstLine="422" w:firstLineChars="200"/>
        <w:rPr>
          <w:rFonts w:ascii="宋体" w:hAnsi="宋体" w:eastAsia="宋体"/>
          <w:b/>
          <w:bCs/>
          <w:color w:val="auto"/>
          <w:sz w:val="21"/>
          <w:szCs w:val="21"/>
        </w:rPr>
      </w:pPr>
      <w:bookmarkStart w:id="137" w:name="_Toc12403"/>
      <w:bookmarkEnd w:id="137"/>
      <w:bookmarkStart w:id="138" w:name="_Toc466298097"/>
      <w:bookmarkEnd w:id="138"/>
      <w:bookmarkStart w:id="139" w:name="_Toc981"/>
      <w:bookmarkEnd w:id="139"/>
      <w:bookmarkStart w:id="140" w:name="_Toc455080114"/>
      <w:bookmarkEnd w:id="140"/>
      <w:bookmarkStart w:id="141" w:name="_Toc152042311"/>
      <w:bookmarkEnd w:id="141"/>
      <w:bookmarkStart w:id="142" w:name="_Toc455867774"/>
      <w:bookmarkEnd w:id="142"/>
      <w:bookmarkStart w:id="143" w:name="_Toc5162"/>
      <w:bookmarkEnd w:id="143"/>
      <w:bookmarkStart w:id="144" w:name="_Toc490667833"/>
      <w:bookmarkEnd w:id="144"/>
      <w:bookmarkStart w:id="145" w:name="_Toc16889"/>
      <w:bookmarkEnd w:id="145"/>
      <w:bookmarkStart w:id="146" w:name="_Toc509667266"/>
      <w:bookmarkEnd w:id="146"/>
      <w:bookmarkStart w:id="147" w:name="_Toc318450680"/>
      <w:bookmarkEnd w:id="147"/>
      <w:bookmarkStart w:id="148" w:name="_Toc651"/>
      <w:bookmarkEnd w:id="148"/>
      <w:bookmarkStart w:id="149" w:name="_Toc144974503"/>
      <w:bookmarkEnd w:id="149"/>
      <w:bookmarkStart w:id="150" w:name="_Toc31854"/>
      <w:bookmarkEnd w:id="150"/>
      <w:bookmarkStart w:id="151" w:name="_Toc152045535"/>
      <w:bookmarkStart w:id="152" w:name="_Toc129073463"/>
      <w:bookmarkStart w:id="153" w:name="_Toc22152"/>
      <w:r>
        <w:rPr>
          <w:rFonts w:hint="eastAsia" w:ascii="宋体" w:hAnsi="宋体" w:eastAsia="宋体"/>
          <w:b/>
          <w:bCs/>
          <w:color w:val="auto"/>
          <w:sz w:val="21"/>
          <w:szCs w:val="21"/>
        </w:rPr>
        <w:t>1.5 费用承担</w:t>
      </w:r>
      <w:bookmarkEnd w:id="151"/>
      <w:bookmarkEnd w:id="152"/>
      <w:bookmarkEnd w:id="153"/>
    </w:p>
    <w:p>
      <w:pPr>
        <w:spacing w:line="360" w:lineRule="auto"/>
        <w:ind w:firstLine="420" w:firstLineChars="200"/>
        <w:rPr>
          <w:rFonts w:ascii="宋体" w:hAnsi="宋体"/>
          <w:color w:val="auto"/>
        </w:rPr>
      </w:pPr>
      <w:r>
        <w:rPr>
          <w:rFonts w:hint="eastAsia" w:ascii="宋体" w:hAnsi="宋体"/>
          <w:color w:val="auto"/>
        </w:rPr>
        <w:t>供应商准备和参加磋商活动发生的费用自理，不论磋商的结果如何，采购人和采购代理机构在任何情况下均无义务和责任承担这些费用。</w:t>
      </w:r>
    </w:p>
    <w:p>
      <w:pPr>
        <w:pStyle w:val="58"/>
        <w:keepNext w:val="0"/>
        <w:keepLines w:val="0"/>
        <w:spacing w:line="360" w:lineRule="auto"/>
        <w:ind w:firstLine="422" w:firstLineChars="200"/>
        <w:rPr>
          <w:rFonts w:ascii="宋体" w:hAnsi="宋体" w:eastAsia="宋体"/>
          <w:b/>
          <w:bCs/>
          <w:color w:val="auto"/>
          <w:sz w:val="21"/>
          <w:szCs w:val="21"/>
        </w:rPr>
      </w:pPr>
      <w:bookmarkStart w:id="154" w:name="_Toc32053"/>
      <w:bookmarkEnd w:id="154"/>
      <w:bookmarkStart w:id="155" w:name="_Toc455867775"/>
      <w:bookmarkEnd w:id="155"/>
      <w:bookmarkStart w:id="156" w:name="_Toc152042312"/>
      <w:bookmarkEnd w:id="156"/>
      <w:bookmarkStart w:id="157" w:name="_Toc152045536"/>
      <w:bookmarkEnd w:id="157"/>
      <w:bookmarkStart w:id="158" w:name="_Toc318450681"/>
      <w:bookmarkEnd w:id="158"/>
      <w:bookmarkStart w:id="159" w:name="_Toc144974504"/>
      <w:bookmarkEnd w:id="159"/>
      <w:bookmarkStart w:id="160" w:name="_Toc455080115"/>
      <w:bookmarkEnd w:id="160"/>
      <w:bookmarkStart w:id="161" w:name="_Toc20145"/>
      <w:bookmarkEnd w:id="161"/>
      <w:bookmarkStart w:id="162" w:name="_Toc509667267"/>
      <w:bookmarkEnd w:id="162"/>
      <w:bookmarkStart w:id="163" w:name="_Toc490667834"/>
      <w:bookmarkEnd w:id="163"/>
      <w:bookmarkStart w:id="164" w:name="_Toc6014"/>
      <w:bookmarkEnd w:id="164"/>
      <w:bookmarkStart w:id="165" w:name="_Toc2622"/>
      <w:bookmarkEnd w:id="165"/>
      <w:bookmarkStart w:id="166" w:name="_Toc5402"/>
      <w:bookmarkEnd w:id="166"/>
      <w:bookmarkStart w:id="167" w:name="_Toc8055"/>
      <w:bookmarkEnd w:id="167"/>
      <w:bookmarkStart w:id="168" w:name="_Toc129073464"/>
      <w:bookmarkStart w:id="169" w:name="_Toc27888"/>
      <w:bookmarkStart w:id="170" w:name="_Toc466298098"/>
      <w:r>
        <w:rPr>
          <w:rFonts w:hint="eastAsia" w:ascii="宋体" w:hAnsi="宋体" w:eastAsia="宋体"/>
          <w:b/>
          <w:bCs/>
          <w:color w:val="auto"/>
          <w:sz w:val="21"/>
          <w:szCs w:val="21"/>
        </w:rPr>
        <w:t>1.6保密</w:t>
      </w:r>
      <w:bookmarkEnd w:id="168"/>
      <w:bookmarkEnd w:id="169"/>
      <w:bookmarkEnd w:id="170"/>
    </w:p>
    <w:p>
      <w:pPr>
        <w:spacing w:line="360" w:lineRule="auto"/>
        <w:ind w:firstLine="420" w:firstLineChars="200"/>
        <w:rPr>
          <w:rFonts w:ascii="宋体" w:hAnsi="宋体"/>
          <w:color w:val="auto"/>
        </w:rPr>
      </w:pPr>
      <w:r>
        <w:rPr>
          <w:rFonts w:hint="eastAsia" w:ascii="宋体" w:hAnsi="宋体"/>
          <w:color w:val="auto"/>
        </w:rPr>
        <w:t xml:space="preserve">参与磋商活动的各方应对磋商文件和响应文件中的商业和技术等秘密保密，违者应对由此造成的后果承担法律责任。 </w:t>
      </w:r>
    </w:p>
    <w:p>
      <w:pPr>
        <w:pStyle w:val="58"/>
        <w:keepNext w:val="0"/>
        <w:keepLines w:val="0"/>
        <w:spacing w:line="360" w:lineRule="auto"/>
        <w:ind w:firstLine="422" w:firstLineChars="200"/>
        <w:rPr>
          <w:rFonts w:ascii="宋体" w:hAnsi="宋体" w:eastAsia="宋体"/>
          <w:b/>
          <w:bCs/>
          <w:color w:val="auto"/>
          <w:sz w:val="21"/>
          <w:szCs w:val="21"/>
        </w:rPr>
      </w:pPr>
      <w:bookmarkStart w:id="171" w:name="_Toc455867776"/>
      <w:bookmarkEnd w:id="171"/>
      <w:bookmarkStart w:id="172" w:name="_Toc318450682"/>
      <w:bookmarkEnd w:id="172"/>
      <w:bookmarkStart w:id="173" w:name="_Toc25517"/>
      <w:bookmarkEnd w:id="173"/>
      <w:bookmarkStart w:id="174" w:name="_Toc490667835"/>
      <w:bookmarkEnd w:id="174"/>
      <w:bookmarkStart w:id="175" w:name="_Toc144974505"/>
      <w:bookmarkEnd w:id="175"/>
      <w:bookmarkStart w:id="176" w:name="_Toc455080116"/>
      <w:bookmarkEnd w:id="176"/>
      <w:bookmarkStart w:id="177" w:name="_Toc509667268"/>
      <w:bookmarkEnd w:id="177"/>
      <w:bookmarkStart w:id="178" w:name="_Toc21089"/>
      <w:bookmarkEnd w:id="178"/>
      <w:bookmarkStart w:id="179" w:name="_Toc30747"/>
      <w:bookmarkEnd w:id="179"/>
      <w:bookmarkStart w:id="180" w:name="_Toc14775"/>
      <w:bookmarkEnd w:id="180"/>
      <w:bookmarkStart w:id="181" w:name="_Toc30583"/>
      <w:bookmarkEnd w:id="181"/>
      <w:bookmarkStart w:id="182" w:name="_Toc152042313"/>
      <w:bookmarkEnd w:id="182"/>
      <w:bookmarkStart w:id="183" w:name="_Toc3628"/>
      <w:bookmarkEnd w:id="183"/>
      <w:bookmarkStart w:id="184" w:name="_Toc466298099"/>
      <w:bookmarkEnd w:id="184"/>
      <w:bookmarkStart w:id="185" w:name="_Toc152045537"/>
      <w:bookmarkStart w:id="186" w:name="_Toc17163"/>
      <w:bookmarkStart w:id="187" w:name="_Toc129073465"/>
      <w:r>
        <w:rPr>
          <w:rFonts w:hint="eastAsia" w:ascii="宋体" w:hAnsi="宋体" w:eastAsia="宋体"/>
          <w:b/>
          <w:bCs/>
          <w:color w:val="auto"/>
          <w:sz w:val="21"/>
          <w:szCs w:val="21"/>
        </w:rPr>
        <w:t>1.7 语言</w:t>
      </w:r>
      <w:bookmarkEnd w:id="185"/>
      <w:r>
        <w:rPr>
          <w:rFonts w:hint="eastAsia" w:ascii="宋体" w:hAnsi="宋体" w:eastAsia="宋体"/>
          <w:b/>
          <w:bCs/>
          <w:color w:val="auto"/>
          <w:sz w:val="21"/>
          <w:szCs w:val="21"/>
        </w:rPr>
        <w:t>文字</w:t>
      </w:r>
      <w:bookmarkEnd w:id="186"/>
      <w:bookmarkEnd w:id="187"/>
    </w:p>
    <w:p>
      <w:pPr>
        <w:spacing w:line="360" w:lineRule="auto"/>
        <w:ind w:firstLine="420" w:firstLineChars="200"/>
        <w:rPr>
          <w:rFonts w:ascii="宋体" w:hAnsi="宋体"/>
          <w:color w:val="auto"/>
        </w:rPr>
      </w:pPr>
      <w:r>
        <w:rPr>
          <w:rFonts w:hint="eastAsia" w:ascii="宋体" w:hAnsi="宋体"/>
          <w:color w:val="auto"/>
        </w:rPr>
        <w:t>除专用术语外，与磋商有关的语言均使用中文。必要时专用术语应附有中文注释，对不同文字文本响应文件的解释发生异议的，以中文文本为准。</w:t>
      </w:r>
    </w:p>
    <w:p>
      <w:pPr>
        <w:pStyle w:val="58"/>
        <w:keepNext w:val="0"/>
        <w:keepLines w:val="0"/>
        <w:spacing w:line="360" w:lineRule="auto"/>
        <w:ind w:firstLine="422" w:firstLineChars="200"/>
        <w:rPr>
          <w:rFonts w:ascii="宋体" w:hAnsi="宋体" w:eastAsia="宋体"/>
          <w:b/>
          <w:bCs/>
          <w:color w:val="auto"/>
          <w:sz w:val="21"/>
          <w:szCs w:val="21"/>
        </w:rPr>
      </w:pPr>
      <w:bookmarkStart w:id="188" w:name="_Toc22378"/>
      <w:bookmarkEnd w:id="188"/>
      <w:bookmarkStart w:id="189" w:name="_Toc490667836"/>
      <w:bookmarkEnd w:id="189"/>
      <w:bookmarkStart w:id="190" w:name="_Toc2702"/>
      <w:bookmarkEnd w:id="190"/>
      <w:bookmarkStart w:id="191" w:name="_Toc152045538"/>
      <w:bookmarkEnd w:id="191"/>
      <w:bookmarkStart w:id="192" w:name="_Toc144974506"/>
      <w:bookmarkEnd w:id="192"/>
      <w:bookmarkStart w:id="193" w:name="_Toc466298100"/>
      <w:bookmarkEnd w:id="193"/>
      <w:bookmarkStart w:id="194" w:name="_Toc152042314"/>
      <w:bookmarkEnd w:id="194"/>
      <w:bookmarkStart w:id="195" w:name="_Toc509667269"/>
      <w:bookmarkEnd w:id="195"/>
      <w:bookmarkStart w:id="196" w:name="_Toc318450683"/>
      <w:bookmarkEnd w:id="196"/>
      <w:bookmarkStart w:id="197" w:name="_Toc455080117"/>
      <w:bookmarkEnd w:id="197"/>
      <w:bookmarkStart w:id="198" w:name="_Toc455867777"/>
      <w:bookmarkEnd w:id="198"/>
      <w:bookmarkStart w:id="199" w:name="_Toc4237"/>
      <w:bookmarkEnd w:id="199"/>
      <w:bookmarkStart w:id="200" w:name="_Toc24337"/>
      <w:bookmarkEnd w:id="200"/>
      <w:bookmarkStart w:id="201" w:name="_Toc9446"/>
      <w:bookmarkEnd w:id="201"/>
      <w:bookmarkStart w:id="202" w:name="_Toc32507"/>
      <w:bookmarkStart w:id="203" w:name="_Toc11568"/>
      <w:bookmarkStart w:id="204" w:name="_Toc129073466"/>
      <w:r>
        <w:rPr>
          <w:rFonts w:hint="eastAsia" w:ascii="宋体" w:hAnsi="宋体" w:eastAsia="宋体"/>
          <w:b/>
          <w:bCs/>
          <w:color w:val="auto"/>
          <w:sz w:val="21"/>
          <w:szCs w:val="21"/>
        </w:rPr>
        <w:t>1.8 计量单位</w:t>
      </w:r>
      <w:bookmarkEnd w:id="202"/>
      <w:bookmarkEnd w:id="203"/>
      <w:bookmarkEnd w:id="204"/>
    </w:p>
    <w:p>
      <w:pPr>
        <w:spacing w:line="360" w:lineRule="auto"/>
        <w:ind w:firstLine="420" w:firstLineChars="200"/>
        <w:rPr>
          <w:rFonts w:ascii="宋体" w:hAnsi="宋体"/>
          <w:color w:val="auto"/>
        </w:rPr>
      </w:pPr>
      <w:r>
        <w:rPr>
          <w:rFonts w:hint="eastAsia" w:ascii="宋体" w:hAnsi="宋体"/>
          <w:color w:val="auto"/>
        </w:rPr>
        <w:t>所有计量均采用中华人民共和国法定计量单位。</w:t>
      </w:r>
    </w:p>
    <w:p>
      <w:pPr>
        <w:pStyle w:val="58"/>
        <w:keepNext w:val="0"/>
        <w:keepLines w:val="0"/>
        <w:spacing w:line="360" w:lineRule="auto"/>
        <w:ind w:firstLine="422" w:firstLineChars="200"/>
        <w:rPr>
          <w:rFonts w:hint="eastAsia" w:ascii="宋体" w:hAnsi="宋体" w:eastAsia="宋体"/>
          <w:b/>
          <w:bCs/>
          <w:color w:val="auto"/>
          <w:sz w:val="21"/>
          <w:szCs w:val="21"/>
        </w:rPr>
      </w:pPr>
      <w:bookmarkStart w:id="205" w:name="_Toc466298101"/>
      <w:bookmarkEnd w:id="205"/>
      <w:bookmarkStart w:id="206" w:name="_Toc152045540"/>
      <w:bookmarkEnd w:id="206"/>
      <w:bookmarkStart w:id="207" w:name="_Toc455867778"/>
      <w:bookmarkEnd w:id="207"/>
      <w:bookmarkStart w:id="208" w:name="_Toc2508"/>
      <w:bookmarkEnd w:id="208"/>
      <w:bookmarkStart w:id="209" w:name="_Toc152045542"/>
      <w:bookmarkEnd w:id="209"/>
      <w:bookmarkStart w:id="210" w:name="_Toc144974510"/>
      <w:bookmarkEnd w:id="210"/>
      <w:bookmarkStart w:id="211" w:name="_Toc13675"/>
      <w:bookmarkEnd w:id="211"/>
      <w:bookmarkStart w:id="212" w:name="_Toc509667270"/>
      <w:bookmarkEnd w:id="212"/>
      <w:bookmarkStart w:id="213" w:name="_Toc509667272"/>
      <w:bookmarkEnd w:id="213"/>
      <w:bookmarkStart w:id="214" w:name="_Toc27570"/>
      <w:bookmarkEnd w:id="214"/>
      <w:bookmarkStart w:id="215" w:name="_Toc152042318"/>
      <w:bookmarkEnd w:id="215"/>
      <w:bookmarkStart w:id="216" w:name="_Toc284"/>
      <w:bookmarkEnd w:id="216"/>
      <w:bookmarkStart w:id="217" w:name="_Toc21248"/>
      <w:bookmarkEnd w:id="217"/>
      <w:bookmarkStart w:id="218" w:name="_Toc490667837"/>
      <w:bookmarkEnd w:id="218"/>
      <w:bookmarkStart w:id="219" w:name="_Toc144974508"/>
      <w:bookmarkEnd w:id="219"/>
      <w:bookmarkStart w:id="220" w:name="_Toc12027"/>
      <w:bookmarkEnd w:id="220"/>
      <w:bookmarkStart w:id="221" w:name="_Toc152042316"/>
      <w:bookmarkEnd w:id="221"/>
      <w:bookmarkStart w:id="222" w:name="_Toc318450684"/>
      <w:bookmarkEnd w:id="222"/>
      <w:bookmarkStart w:id="223" w:name="_Toc455080118"/>
      <w:bookmarkEnd w:id="223"/>
      <w:bookmarkStart w:id="224" w:name="_Toc10532"/>
      <w:bookmarkStart w:id="225" w:name="_Toc16399"/>
      <w:bookmarkStart w:id="226" w:name="_Toc9995"/>
      <w:bookmarkStart w:id="227" w:name="_Toc455080120"/>
      <w:bookmarkStart w:id="228" w:name="_Toc129073469"/>
      <w:r>
        <w:rPr>
          <w:rFonts w:hint="eastAsia" w:ascii="宋体" w:hAnsi="宋体" w:eastAsia="宋体"/>
          <w:b/>
          <w:bCs/>
          <w:color w:val="auto"/>
          <w:sz w:val="21"/>
          <w:szCs w:val="21"/>
        </w:rPr>
        <w:t>1.9 踏勘现场</w:t>
      </w:r>
      <w:bookmarkEnd w:id="224"/>
      <w:bookmarkEnd w:id="225"/>
      <w:bookmarkEnd w:id="226"/>
    </w:p>
    <w:p>
      <w:pPr>
        <w:spacing w:line="360" w:lineRule="auto"/>
        <w:ind w:firstLine="420" w:firstLineChars="200"/>
        <w:rPr>
          <w:color w:val="auto"/>
        </w:rPr>
      </w:pPr>
      <w:r>
        <w:rPr>
          <w:rFonts w:hint="eastAsia"/>
          <w:color w:val="auto"/>
        </w:rPr>
        <w:t>本项目不组织踏勘现场。</w:t>
      </w:r>
    </w:p>
    <w:p>
      <w:pPr>
        <w:pStyle w:val="58"/>
        <w:keepNext w:val="0"/>
        <w:keepLines w:val="0"/>
        <w:spacing w:line="360" w:lineRule="auto"/>
        <w:ind w:firstLine="422" w:firstLineChars="200"/>
        <w:rPr>
          <w:rFonts w:hint="eastAsia" w:ascii="宋体" w:hAnsi="宋体" w:eastAsia="宋体"/>
          <w:b/>
          <w:bCs/>
          <w:color w:val="auto"/>
          <w:sz w:val="21"/>
          <w:szCs w:val="21"/>
        </w:rPr>
      </w:pPr>
      <w:bookmarkStart w:id="229" w:name="_Toc11734"/>
      <w:bookmarkStart w:id="230" w:name="_Toc16108"/>
      <w:bookmarkStart w:id="231" w:name="_Toc3960"/>
      <w:r>
        <w:rPr>
          <w:rFonts w:hint="eastAsia" w:ascii="宋体" w:hAnsi="宋体" w:eastAsia="宋体"/>
          <w:b/>
          <w:bCs/>
          <w:color w:val="auto"/>
          <w:sz w:val="21"/>
          <w:szCs w:val="21"/>
        </w:rPr>
        <w:t>1.10 投标预备会</w:t>
      </w:r>
      <w:bookmarkEnd w:id="229"/>
      <w:bookmarkEnd w:id="230"/>
      <w:bookmarkEnd w:id="231"/>
    </w:p>
    <w:p>
      <w:pPr>
        <w:spacing w:line="360" w:lineRule="auto"/>
        <w:ind w:firstLine="420" w:firstLineChars="200"/>
        <w:rPr>
          <w:color w:val="auto"/>
        </w:rPr>
      </w:pPr>
      <w:r>
        <w:rPr>
          <w:rFonts w:hint="eastAsia"/>
          <w:color w:val="auto"/>
        </w:rPr>
        <w:t>采购人不召开磋商预备会。</w:t>
      </w:r>
    </w:p>
    <w:p>
      <w:pPr>
        <w:pStyle w:val="58"/>
        <w:keepNext w:val="0"/>
        <w:keepLines w:val="0"/>
        <w:spacing w:line="360" w:lineRule="auto"/>
        <w:ind w:firstLine="422" w:firstLineChars="200"/>
        <w:rPr>
          <w:rFonts w:hint="eastAsia" w:ascii="宋体" w:hAnsi="宋体" w:eastAsia="宋体"/>
          <w:b/>
          <w:bCs/>
          <w:color w:val="auto"/>
          <w:sz w:val="21"/>
          <w:szCs w:val="21"/>
        </w:rPr>
      </w:pPr>
      <w:bookmarkStart w:id="232" w:name="_Toc21853"/>
      <w:bookmarkStart w:id="233" w:name="_Toc8079"/>
      <w:bookmarkStart w:id="234" w:name="_Toc27923"/>
      <w:r>
        <w:rPr>
          <w:rFonts w:hint="eastAsia" w:ascii="宋体" w:hAnsi="宋体" w:eastAsia="宋体"/>
          <w:b/>
          <w:bCs/>
          <w:color w:val="auto"/>
          <w:sz w:val="21"/>
          <w:szCs w:val="21"/>
        </w:rPr>
        <w:t>1.11 偏离</w:t>
      </w:r>
      <w:bookmarkEnd w:id="232"/>
      <w:bookmarkEnd w:id="233"/>
      <w:bookmarkEnd w:id="234"/>
    </w:p>
    <w:p>
      <w:pPr>
        <w:spacing w:line="360" w:lineRule="auto"/>
        <w:ind w:firstLine="420" w:firstLineChars="200"/>
        <w:rPr>
          <w:rFonts w:hint="eastAsia" w:ascii="宋体" w:hAnsi="宋体"/>
          <w:color w:val="auto"/>
        </w:rPr>
      </w:pPr>
      <w:r>
        <w:rPr>
          <w:rFonts w:hint="eastAsia" w:ascii="宋体" w:hAnsi="宋体"/>
          <w:color w:val="auto"/>
        </w:rPr>
        <w:t>本项目商务条款不允许负偏离，技术条款负偏离的依照</w:t>
      </w:r>
      <w:r>
        <w:rPr>
          <w:rFonts w:hint="eastAsia" w:ascii="宋体" w:hAnsi="宋体"/>
          <w:color w:val="auto"/>
          <w:lang w:eastAsia="zh-CN"/>
        </w:rPr>
        <w:t>第三章</w:t>
      </w:r>
      <w:r>
        <w:rPr>
          <w:rFonts w:hint="eastAsia" w:ascii="宋体" w:hAnsi="宋体"/>
          <w:color w:val="auto"/>
        </w:rPr>
        <w:t>评审办法执行。</w:t>
      </w:r>
    </w:p>
    <w:p>
      <w:pPr>
        <w:pStyle w:val="58"/>
        <w:keepNext w:val="0"/>
        <w:keepLines w:val="0"/>
        <w:spacing w:line="360" w:lineRule="auto"/>
        <w:ind w:firstLine="422" w:firstLineChars="200"/>
        <w:rPr>
          <w:rFonts w:hint="eastAsia" w:ascii="宋体" w:hAnsi="宋体" w:eastAsia="宋体"/>
          <w:b/>
          <w:bCs/>
          <w:color w:val="auto"/>
          <w:sz w:val="21"/>
          <w:szCs w:val="21"/>
        </w:rPr>
      </w:pPr>
      <w:bookmarkStart w:id="235" w:name="_Toc9300"/>
      <w:bookmarkStart w:id="236" w:name="_Toc23549"/>
      <w:bookmarkStart w:id="237" w:name="_Toc17085"/>
      <w:r>
        <w:rPr>
          <w:rFonts w:hint="eastAsia" w:ascii="宋体" w:hAnsi="宋体" w:eastAsia="宋体"/>
          <w:b/>
          <w:bCs/>
          <w:color w:val="auto"/>
          <w:sz w:val="21"/>
          <w:szCs w:val="21"/>
        </w:rPr>
        <w:t>1.12 分包</w:t>
      </w:r>
      <w:bookmarkEnd w:id="235"/>
      <w:bookmarkEnd w:id="236"/>
      <w:bookmarkEnd w:id="237"/>
    </w:p>
    <w:p>
      <w:pPr>
        <w:spacing w:line="360" w:lineRule="auto"/>
        <w:ind w:firstLine="420" w:firstLineChars="200"/>
        <w:rPr>
          <w:color w:val="auto"/>
        </w:rPr>
      </w:pPr>
      <w:r>
        <w:rPr>
          <w:rFonts w:hint="eastAsia"/>
          <w:color w:val="auto"/>
        </w:rPr>
        <w:t>本项目不允许分包。</w:t>
      </w:r>
    </w:p>
    <w:p>
      <w:pPr>
        <w:pStyle w:val="58"/>
        <w:keepNext w:val="0"/>
        <w:keepLines w:val="0"/>
        <w:spacing w:line="360" w:lineRule="auto"/>
        <w:ind w:firstLine="422" w:firstLineChars="200"/>
        <w:rPr>
          <w:rFonts w:hint="eastAsia" w:ascii="宋体" w:hAnsi="宋体" w:eastAsia="宋体"/>
          <w:b/>
          <w:bCs/>
          <w:color w:val="auto"/>
          <w:sz w:val="21"/>
          <w:szCs w:val="21"/>
        </w:rPr>
      </w:pPr>
      <w:bookmarkStart w:id="238" w:name="_Toc23605"/>
      <w:bookmarkStart w:id="239" w:name="_Toc18645"/>
      <w:bookmarkStart w:id="240" w:name="_Toc27423"/>
      <w:r>
        <w:rPr>
          <w:rFonts w:hint="eastAsia" w:ascii="宋体" w:hAnsi="宋体" w:eastAsia="宋体"/>
          <w:b/>
          <w:bCs/>
          <w:color w:val="auto"/>
          <w:sz w:val="21"/>
          <w:szCs w:val="21"/>
        </w:rPr>
        <w:t>1.13 知识产权</w:t>
      </w:r>
      <w:bookmarkEnd w:id="238"/>
      <w:bookmarkEnd w:id="239"/>
      <w:bookmarkEnd w:id="240"/>
    </w:p>
    <w:p>
      <w:pPr>
        <w:spacing w:line="360" w:lineRule="auto"/>
        <w:ind w:firstLine="420" w:firstLineChars="200"/>
        <w:rPr>
          <w:color w:val="auto"/>
        </w:rPr>
      </w:pPr>
      <w:r>
        <w:rPr>
          <w:rFonts w:hint="eastAsia"/>
          <w:color w:val="auto"/>
        </w:rPr>
        <w:t>所有涉及知识产权的成果，供应商必须确保采购人拥有其合法的、不受限制的无偿使用权，并免受任何侵权诉讼或索偿，否则，由此产生的一切经济损失和法律责任由供应商承担。</w:t>
      </w:r>
    </w:p>
    <w:p>
      <w:pPr>
        <w:pStyle w:val="57"/>
        <w:rPr>
          <w:color w:val="auto"/>
        </w:rPr>
      </w:pPr>
      <w:bookmarkStart w:id="241" w:name="_Toc15275"/>
      <w:bookmarkStart w:id="242" w:name="_Toc22375"/>
      <w:bookmarkStart w:id="243" w:name="_Toc16623"/>
      <w:bookmarkStart w:id="244" w:name="_Toc13286"/>
      <w:bookmarkStart w:id="245" w:name="_Toc14992"/>
      <w:r>
        <w:rPr>
          <w:rFonts w:hint="eastAsia"/>
          <w:color w:val="auto"/>
        </w:rPr>
        <w:t xml:space="preserve">2. </w:t>
      </w:r>
      <w:bookmarkEnd w:id="227"/>
      <w:r>
        <w:rPr>
          <w:rFonts w:hint="eastAsia"/>
          <w:color w:val="auto"/>
        </w:rPr>
        <w:t>磋商文件</w:t>
      </w:r>
      <w:bookmarkEnd w:id="228"/>
      <w:bookmarkEnd w:id="241"/>
      <w:bookmarkEnd w:id="242"/>
      <w:bookmarkEnd w:id="243"/>
      <w:bookmarkEnd w:id="244"/>
      <w:bookmarkEnd w:id="245"/>
    </w:p>
    <w:p>
      <w:pPr>
        <w:pStyle w:val="58"/>
        <w:keepNext w:val="0"/>
        <w:keepLines w:val="0"/>
        <w:spacing w:line="360" w:lineRule="auto"/>
        <w:ind w:firstLine="422" w:firstLineChars="200"/>
        <w:rPr>
          <w:rFonts w:ascii="宋体" w:hAnsi="宋体" w:eastAsia="宋体"/>
          <w:b/>
          <w:bCs/>
          <w:color w:val="auto"/>
          <w:sz w:val="21"/>
          <w:szCs w:val="21"/>
        </w:rPr>
      </w:pPr>
      <w:bookmarkStart w:id="246" w:name="_Toc12640"/>
      <w:bookmarkEnd w:id="246"/>
      <w:bookmarkStart w:id="247" w:name="_Toc11599"/>
      <w:bookmarkEnd w:id="247"/>
      <w:bookmarkStart w:id="248" w:name="_Toc466298104"/>
      <w:bookmarkEnd w:id="248"/>
      <w:bookmarkStart w:id="249" w:name="_Toc1008"/>
      <w:bookmarkEnd w:id="249"/>
      <w:bookmarkStart w:id="250" w:name="_Toc32711"/>
      <w:bookmarkEnd w:id="250"/>
      <w:bookmarkStart w:id="251" w:name="_Toc144974511"/>
      <w:bookmarkEnd w:id="251"/>
      <w:bookmarkStart w:id="252" w:name="_Toc490667840"/>
      <w:bookmarkEnd w:id="252"/>
      <w:bookmarkStart w:id="253" w:name="_Toc11567"/>
      <w:bookmarkEnd w:id="253"/>
      <w:bookmarkStart w:id="254" w:name="_Toc9780"/>
      <w:bookmarkEnd w:id="254"/>
      <w:bookmarkStart w:id="255" w:name="_Toc455867781"/>
      <w:bookmarkEnd w:id="255"/>
      <w:bookmarkStart w:id="256" w:name="_Toc509667273"/>
      <w:bookmarkEnd w:id="256"/>
      <w:bookmarkStart w:id="257" w:name="_Toc455080121"/>
      <w:bookmarkEnd w:id="257"/>
      <w:bookmarkStart w:id="258" w:name="_Toc152045543"/>
      <w:bookmarkEnd w:id="258"/>
      <w:bookmarkStart w:id="259" w:name="_Toc152042319"/>
      <w:bookmarkEnd w:id="259"/>
      <w:bookmarkStart w:id="260" w:name="_Toc318450687"/>
      <w:bookmarkStart w:id="261" w:name="_Toc32119"/>
      <w:bookmarkStart w:id="262" w:name="_Toc129073470"/>
      <w:r>
        <w:rPr>
          <w:rFonts w:hint="eastAsia" w:ascii="宋体" w:hAnsi="宋体" w:eastAsia="宋体"/>
          <w:b/>
          <w:bCs/>
          <w:color w:val="auto"/>
          <w:sz w:val="21"/>
          <w:szCs w:val="21"/>
        </w:rPr>
        <w:t>2.1 磋商文件的组成</w:t>
      </w:r>
      <w:bookmarkEnd w:id="260"/>
      <w:bookmarkEnd w:id="261"/>
      <w:bookmarkEnd w:id="262"/>
    </w:p>
    <w:p>
      <w:pPr>
        <w:spacing w:line="360" w:lineRule="auto"/>
        <w:ind w:firstLine="420" w:firstLineChars="200"/>
        <w:rPr>
          <w:rFonts w:ascii="宋体" w:hAnsi="宋体"/>
          <w:color w:val="auto"/>
        </w:rPr>
      </w:pPr>
      <w:r>
        <w:rPr>
          <w:rFonts w:hint="eastAsia" w:ascii="宋体" w:hAnsi="宋体"/>
          <w:color w:val="auto"/>
        </w:rPr>
        <w:t>第一章  竞争性磋商公告</w:t>
      </w:r>
    </w:p>
    <w:p>
      <w:pPr>
        <w:spacing w:line="360" w:lineRule="auto"/>
        <w:ind w:firstLine="420" w:firstLineChars="200"/>
        <w:rPr>
          <w:rFonts w:ascii="宋体" w:hAnsi="宋体"/>
          <w:color w:val="auto"/>
        </w:rPr>
      </w:pPr>
      <w:r>
        <w:rPr>
          <w:rFonts w:hint="eastAsia" w:ascii="宋体" w:hAnsi="宋体"/>
          <w:color w:val="auto"/>
        </w:rPr>
        <w:t>第二章  供应商须知</w:t>
      </w:r>
    </w:p>
    <w:p>
      <w:pPr>
        <w:spacing w:line="360" w:lineRule="auto"/>
        <w:ind w:firstLine="420" w:firstLineChars="200"/>
        <w:rPr>
          <w:rFonts w:hint="default" w:ascii="宋体" w:hAnsi="宋体" w:eastAsia="宋体"/>
          <w:color w:val="auto"/>
          <w:lang w:val="en-US" w:eastAsia="zh-CN"/>
        </w:rPr>
      </w:pPr>
      <w:r>
        <w:rPr>
          <w:rFonts w:hint="eastAsia" w:ascii="宋体" w:hAnsi="宋体"/>
          <w:color w:val="auto"/>
        </w:rPr>
        <w:t xml:space="preserve">第三章  </w:t>
      </w:r>
      <w:r>
        <w:rPr>
          <w:rFonts w:hint="eastAsia" w:ascii="宋体" w:hAnsi="宋体"/>
          <w:color w:val="auto"/>
          <w:lang w:val="en-US" w:eastAsia="zh-CN"/>
        </w:rPr>
        <w:t>评审办法（综合评分法）</w:t>
      </w:r>
    </w:p>
    <w:p>
      <w:pPr>
        <w:spacing w:line="360" w:lineRule="auto"/>
        <w:ind w:firstLine="420" w:firstLineChars="200"/>
        <w:rPr>
          <w:rFonts w:ascii="宋体" w:hAnsi="宋体"/>
          <w:color w:val="auto"/>
        </w:rPr>
      </w:pPr>
      <w:r>
        <w:rPr>
          <w:rFonts w:hint="eastAsia" w:ascii="宋体" w:hAnsi="宋体"/>
          <w:color w:val="auto"/>
        </w:rPr>
        <w:t>第四章  合同条款及格式</w:t>
      </w:r>
    </w:p>
    <w:p>
      <w:pPr>
        <w:spacing w:line="360" w:lineRule="auto"/>
        <w:ind w:firstLine="420" w:firstLineChars="200"/>
        <w:rPr>
          <w:rFonts w:ascii="宋体" w:hAnsi="宋体"/>
          <w:color w:val="auto"/>
        </w:rPr>
      </w:pPr>
      <w:r>
        <w:rPr>
          <w:rFonts w:hint="eastAsia" w:ascii="宋体" w:hAnsi="宋体"/>
          <w:color w:val="auto"/>
        </w:rPr>
        <w:t>第五章  工程量清单</w:t>
      </w:r>
    </w:p>
    <w:p>
      <w:pPr>
        <w:spacing w:line="360" w:lineRule="auto"/>
        <w:ind w:firstLine="420" w:firstLineChars="200"/>
        <w:rPr>
          <w:rFonts w:ascii="宋体" w:hAnsi="宋体"/>
          <w:color w:val="auto"/>
        </w:rPr>
      </w:pPr>
      <w:r>
        <w:rPr>
          <w:rFonts w:hint="eastAsia" w:ascii="宋体" w:hAnsi="宋体"/>
          <w:color w:val="auto"/>
        </w:rPr>
        <w:t>第六章  图纸</w:t>
      </w:r>
    </w:p>
    <w:p>
      <w:pPr>
        <w:spacing w:line="360" w:lineRule="auto"/>
        <w:ind w:firstLine="420" w:firstLineChars="200"/>
        <w:rPr>
          <w:rFonts w:ascii="宋体" w:hAnsi="宋体"/>
          <w:color w:val="auto"/>
        </w:rPr>
      </w:pPr>
      <w:r>
        <w:rPr>
          <w:rFonts w:hint="eastAsia" w:ascii="宋体" w:hAnsi="宋体"/>
          <w:color w:val="auto"/>
        </w:rPr>
        <w:t>第七章  技术标准和要求</w:t>
      </w:r>
    </w:p>
    <w:p>
      <w:pPr>
        <w:spacing w:line="360" w:lineRule="auto"/>
        <w:ind w:firstLine="420" w:firstLineChars="200"/>
        <w:rPr>
          <w:rFonts w:ascii="宋体" w:hAnsi="宋体"/>
          <w:color w:val="auto"/>
        </w:rPr>
      </w:pPr>
      <w:r>
        <w:rPr>
          <w:rFonts w:hint="eastAsia" w:ascii="宋体" w:hAnsi="宋体"/>
          <w:color w:val="auto"/>
        </w:rPr>
        <w:t>第八章  响应文件格式</w:t>
      </w:r>
    </w:p>
    <w:p>
      <w:pPr>
        <w:spacing w:line="360" w:lineRule="auto"/>
        <w:ind w:firstLine="420" w:firstLineChars="200"/>
        <w:rPr>
          <w:rFonts w:ascii="宋体" w:hAnsi="宋体"/>
          <w:color w:val="auto"/>
        </w:rPr>
      </w:pPr>
      <w:r>
        <w:rPr>
          <w:rFonts w:hint="eastAsia" w:ascii="宋体" w:hAnsi="宋体"/>
          <w:color w:val="auto"/>
        </w:rPr>
        <w:t>根据本章第1.10款、第2.2款和第2.3款对磋商文件所作的澄清、修改，构成磋商文件的组成部分。</w:t>
      </w:r>
    </w:p>
    <w:p>
      <w:pPr>
        <w:pStyle w:val="58"/>
        <w:keepNext w:val="0"/>
        <w:keepLines w:val="0"/>
        <w:spacing w:line="360" w:lineRule="auto"/>
        <w:ind w:firstLine="422" w:firstLineChars="200"/>
        <w:rPr>
          <w:rFonts w:ascii="宋体" w:hAnsi="宋体" w:eastAsia="宋体"/>
          <w:b/>
          <w:bCs/>
          <w:color w:val="auto"/>
          <w:sz w:val="21"/>
          <w:szCs w:val="21"/>
        </w:rPr>
      </w:pPr>
      <w:bookmarkStart w:id="263" w:name="_Toc509667274"/>
      <w:bookmarkEnd w:id="263"/>
      <w:bookmarkStart w:id="264" w:name="_Toc466298105"/>
      <w:bookmarkEnd w:id="264"/>
      <w:bookmarkStart w:id="265" w:name="_Toc455867782"/>
      <w:bookmarkEnd w:id="265"/>
      <w:bookmarkStart w:id="266" w:name="_Toc152042320"/>
      <w:bookmarkEnd w:id="266"/>
      <w:bookmarkStart w:id="267" w:name="_Toc8875"/>
      <w:bookmarkEnd w:id="267"/>
      <w:bookmarkStart w:id="268" w:name="_Toc8943"/>
      <w:bookmarkEnd w:id="268"/>
      <w:bookmarkStart w:id="269" w:name="_Toc7939"/>
      <w:bookmarkEnd w:id="269"/>
      <w:bookmarkStart w:id="270" w:name="_Toc318450688"/>
      <w:bookmarkEnd w:id="270"/>
      <w:bookmarkStart w:id="271" w:name="_Toc152045544"/>
      <w:bookmarkEnd w:id="271"/>
      <w:bookmarkStart w:id="272" w:name="_Toc490667841"/>
      <w:bookmarkEnd w:id="272"/>
      <w:bookmarkStart w:id="273" w:name="_Toc455080122"/>
      <w:bookmarkEnd w:id="273"/>
      <w:bookmarkStart w:id="274" w:name="_Toc18661"/>
      <w:bookmarkEnd w:id="274"/>
      <w:bookmarkStart w:id="275" w:name="_Toc17296"/>
      <w:bookmarkEnd w:id="275"/>
      <w:bookmarkStart w:id="276" w:name="_Toc144974512"/>
      <w:bookmarkEnd w:id="276"/>
      <w:bookmarkStart w:id="277" w:name="_Toc13700"/>
      <w:bookmarkStart w:id="278" w:name="_Toc129073471"/>
      <w:bookmarkStart w:id="279" w:name="_Toc14590"/>
      <w:r>
        <w:rPr>
          <w:rFonts w:hint="eastAsia" w:ascii="宋体" w:hAnsi="宋体" w:eastAsia="宋体"/>
          <w:b/>
          <w:bCs/>
          <w:color w:val="auto"/>
          <w:sz w:val="21"/>
          <w:szCs w:val="21"/>
        </w:rPr>
        <w:t>2.2 磋商文件的澄清</w:t>
      </w:r>
      <w:bookmarkEnd w:id="277"/>
      <w:bookmarkEnd w:id="278"/>
      <w:bookmarkEnd w:id="279"/>
    </w:p>
    <w:p>
      <w:pPr>
        <w:spacing w:line="360" w:lineRule="auto"/>
        <w:ind w:firstLine="420" w:firstLineChars="200"/>
        <w:rPr>
          <w:rFonts w:ascii="宋体" w:hAnsi="宋体"/>
          <w:color w:val="auto"/>
        </w:rPr>
      </w:pPr>
      <w:bookmarkStart w:id="280" w:name="_Toc509667275"/>
      <w:bookmarkEnd w:id="280"/>
      <w:bookmarkStart w:id="281" w:name="_Toc318450689"/>
      <w:bookmarkEnd w:id="281"/>
      <w:bookmarkStart w:id="282" w:name="_Toc455867783"/>
      <w:bookmarkEnd w:id="282"/>
      <w:bookmarkStart w:id="283" w:name="_Toc490667842"/>
      <w:bookmarkEnd w:id="283"/>
      <w:bookmarkStart w:id="284" w:name="_Toc152042321"/>
      <w:bookmarkEnd w:id="284"/>
      <w:bookmarkStart w:id="285" w:name="_Toc11948"/>
      <w:bookmarkEnd w:id="285"/>
      <w:bookmarkStart w:id="286" w:name="_Toc17619"/>
      <w:bookmarkEnd w:id="286"/>
      <w:bookmarkStart w:id="287" w:name="_Toc5907"/>
      <w:bookmarkEnd w:id="287"/>
      <w:bookmarkStart w:id="288" w:name="_Toc2131"/>
      <w:bookmarkEnd w:id="288"/>
      <w:bookmarkStart w:id="289" w:name="_Toc13617"/>
      <w:bookmarkEnd w:id="289"/>
      <w:bookmarkStart w:id="290" w:name="_Toc466298106"/>
      <w:bookmarkEnd w:id="290"/>
      <w:bookmarkStart w:id="291" w:name="_Toc14966"/>
      <w:bookmarkEnd w:id="291"/>
      <w:bookmarkStart w:id="292" w:name="_Toc455080123"/>
      <w:bookmarkEnd w:id="292"/>
      <w:bookmarkStart w:id="293" w:name="_Toc152045545"/>
      <w:bookmarkEnd w:id="293"/>
      <w:bookmarkStart w:id="294" w:name="_Toc144974513"/>
      <w:bookmarkStart w:id="295" w:name="_Toc129073472"/>
      <w:r>
        <w:rPr>
          <w:rFonts w:ascii="宋体" w:hAnsi="宋体"/>
          <w:color w:val="auto"/>
        </w:rPr>
        <w:t>2.2.1 供应商应仔细阅读和检查磋商文件的全部内容。如有疑问，应在供应商须知前附表规定的时间前在河南省公共资源交易中心交易平台上进行提问，要求采购人对磋商文件予以澄清</w:t>
      </w:r>
      <w:r>
        <w:rPr>
          <w:rFonts w:hint="eastAsia" w:ascii="宋体" w:hAnsi="宋体"/>
          <w:color w:val="auto"/>
        </w:rPr>
        <w:t>，</w:t>
      </w:r>
      <w:r>
        <w:rPr>
          <w:rFonts w:ascii="宋体" w:hAnsi="宋体"/>
          <w:color w:val="auto"/>
        </w:rPr>
        <w:t>并及时电话</w:t>
      </w:r>
      <w:r>
        <w:rPr>
          <w:rFonts w:hint="eastAsia" w:ascii="宋体" w:hAnsi="宋体"/>
          <w:color w:val="auto"/>
        </w:rPr>
        <w:t>告知</w:t>
      </w:r>
      <w:r>
        <w:rPr>
          <w:rFonts w:ascii="宋体" w:hAnsi="宋体"/>
          <w:color w:val="auto"/>
        </w:rPr>
        <w:t>采购人和采购代理机构。供应商在规定的时间内未</w:t>
      </w:r>
      <w:r>
        <w:rPr>
          <w:rFonts w:hint="eastAsia" w:ascii="宋体" w:hAnsi="宋体"/>
          <w:color w:val="auto"/>
        </w:rPr>
        <w:t>按</w:t>
      </w:r>
      <w:r>
        <w:rPr>
          <w:rFonts w:ascii="宋体" w:hAnsi="宋体"/>
          <w:color w:val="auto"/>
        </w:rPr>
        <w:t>要求对磋商文件提出疑问的，采购人和采购代理机构将视其为无异议，开标后，采购人和采购代理机构</w:t>
      </w:r>
      <w:r>
        <w:rPr>
          <w:rFonts w:hint="eastAsia" w:ascii="宋体" w:hAnsi="宋体"/>
          <w:color w:val="auto"/>
        </w:rPr>
        <w:t>可以</w:t>
      </w:r>
      <w:r>
        <w:rPr>
          <w:rFonts w:ascii="宋体" w:hAnsi="宋体"/>
          <w:color w:val="auto"/>
        </w:rPr>
        <w:t>不接受其对磋商文件内容的质疑。</w:t>
      </w:r>
    </w:p>
    <w:p>
      <w:pPr>
        <w:spacing w:line="360" w:lineRule="auto"/>
        <w:ind w:firstLine="420" w:firstLineChars="200"/>
        <w:rPr>
          <w:rFonts w:ascii="宋体" w:hAnsi="宋体"/>
          <w:color w:val="auto"/>
        </w:rPr>
      </w:pPr>
      <w:r>
        <w:rPr>
          <w:rFonts w:hint="eastAsia" w:ascii="宋体" w:hAnsi="宋体"/>
          <w:color w:val="auto"/>
        </w:rPr>
        <w:t xml:space="preserve">2.2.2 </w:t>
      </w:r>
      <w:r>
        <w:rPr>
          <w:rFonts w:ascii="宋体" w:hAnsi="宋体"/>
          <w:color w:val="auto"/>
        </w:rPr>
        <w:t>磋商文件的澄清或答疑将在供应商须知前附表规定的时间前发给领取磋商文件的供应商，但不指明澄清或答疑问题的来源。如果澄清发出的时间距提交响应文件截止时间不足5天，并且澄清内容影响磋商响应文件编制的，</w:t>
      </w:r>
      <w:r>
        <w:rPr>
          <w:rFonts w:hint="eastAsia" w:ascii="宋体" w:hAnsi="宋体"/>
          <w:color w:val="auto"/>
        </w:rPr>
        <w:t>将</w:t>
      </w:r>
      <w:r>
        <w:rPr>
          <w:rFonts w:ascii="宋体" w:hAnsi="宋体"/>
          <w:color w:val="auto"/>
        </w:rPr>
        <w:t>相应延长响应文件递交截止时间。</w:t>
      </w:r>
    </w:p>
    <w:p>
      <w:pPr>
        <w:spacing w:line="360" w:lineRule="auto"/>
        <w:ind w:firstLine="420" w:firstLineChars="200"/>
        <w:rPr>
          <w:rFonts w:ascii="宋体" w:hAnsi="宋体"/>
          <w:color w:val="auto"/>
        </w:rPr>
      </w:pPr>
      <w:r>
        <w:rPr>
          <w:rFonts w:ascii="宋体" w:hAnsi="宋体"/>
          <w:color w:val="auto"/>
        </w:rPr>
        <w:t>2.2.3澄清内容是磋商文件的组成部分，澄清内容一经在项目公告网站和电子交易平台发布，视作已送达所有供应商，并对供应商具有约束力。</w:t>
      </w:r>
    </w:p>
    <w:p>
      <w:pPr>
        <w:spacing w:line="360" w:lineRule="auto"/>
        <w:ind w:firstLine="420" w:firstLineChars="200"/>
        <w:rPr>
          <w:rFonts w:ascii="宋体" w:hAnsi="宋体"/>
          <w:color w:val="auto"/>
        </w:rPr>
      </w:pPr>
      <w:r>
        <w:rPr>
          <w:rFonts w:ascii="宋体" w:hAnsi="宋体"/>
          <w:color w:val="auto"/>
        </w:rPr>
        <w:t>2.2.4供应商在投标截止时间前须自行查看项目进展、下载磋商文件的澄清等，因供应商未及时查看和下载而造成的后果自负。</w:t>
      </w:r>
    </w:p>
    <w:p>
      <w:pPr>
        <w:spacing w:line="360" w:lineRule="auto"/>
        <w:ind w:firstLine="422" w:firstLineChars="200"/>
        <w:rPr>
          <w:rFonts w:ascii="宋体" w:hAnsi="宋体"/>
          <w:b/>
          <w:bCs/>
          <w:color w:val="auto"/>
        </w:rPr>
      </w:pPr>
      <w:r>
        <w:rPr>
          <w:rFonts w:hint="eastAsia" w:ascii="宋体" w:hAnsi="宋体"/>
          <w:b/>
          <w:bCs/>
          <w:color w:val="auto"/>
        </w:rPr>
        <w:t>2.3 磋商文件的修改</w:t>
      </w:r>
      <w:bookmarkEnd w:id="294"/>
      <w:bookmarkEnd w:id="295"/>
    </w:p>
    <w:p>
      <w:pPr>
        <w:spacing w:line="360" w:lineRule="auto"/>
        <w:ind w:firstLine="420" w:firstLineChars="200"/>
        <w:rPr>
          <w:rFonts w:ascii="宋体" w:hAnsi="宋体"/>
          <w:color w:val="auto"/>
        </w:rPr>
      </w:pPr>
      <w:r>
        <w:rPr>
          <w:rFonts w:hint="eastAsia" w:ascii="宋体" w:hAnsi="宋体"/>
          <w:color w:val="auto"/>
        </w:rPr>
        <w:t>2.3.1采购人或者采购代理机构可以对已发出的竞争性磋商文件进行必要的修改，但不得改变采购标的和资格条件，修改的内容为竞争性磋商文件的组成部分。</w:t>
      </w:r>
    </w:p>
    <w:p>
      <w:pPr>
        <w:spacing w:line="360" w:lineRule="auto"/>
        <w:ind w:firstLine="420" w:firstLineChars="200"/>
        <w:rPr>
          <w:rFonts w:ascii="宋体" w:hAnsi="宋体"/>
          <w:color w:val="auto"/>
        </w:rPr>
      </w:pPr>
      <w:r>
        <w:rPr>
          <w:rFonts w:hint="eastAsia" w:ascii="宋体" w:hAnsi="宋体"/>
          <w:color w:val="auto"/>
        </w:rPr>
        <w:t>2.3.2采购人或采购代理机构以供应商须知前附表规定的形式修改竞争性磋商文件，并通知所有已获取竞争性磋商文件的供应商，同时在原公告媒体发布变更公告。修改竞争性磋商文件的时间距提交首次响应文件截止时间不足5日的，并且修改内容可能影响响应文件编制的，将相应延长提交首次响应文件截止时间。</w:t>
      </w:r>
    </w:p>
    <w:p>
      <w:pPr>
        <w:spacing w:line="360" w:lineRule="auto"/>
        <w:ind w:firstLine="420" w:firstLineChars="200"/>
        <w:rPr>
          <w:rFonts w:ascii="宋体" w:hAnsi="宋体"/>
          <w:color w:val="auto"/>
        </w:rPr>
      </w:pPr>
      <w:r>
        <w:rPr>
          <w:rFonts w:hint="eastAsia" w:ascii="宋体" w:hAnsi="宋体"/>
          <w:color w:val="auto"/>
        </w:rPr>
        <w:t>2.3.3修改内容是竞争性磋商文件的组成部分，修改内容一经在项目公告网站和电子交易平台发布，视作已送达所有供应商，并对供应商具有约束力。若供应商对修改内容仍有疑问，应在修改内容发出后24小时内在电子交易平台进行提问，否则视为已接收，并同意修改或澄清内容。开标后，采购人和采购代理机构不接受其对竞争性磋商文件内容的质疑。</w:t>
      </w:r>
    </w:p>
    <w:p>
      <w:pPr>
        <w:spacing w:line="360" w:lineRule="auto"/>
        <w:ind w:firstLine="420" w:firstLineChars="200"/>
        <w:rPr>
          <w:rFonts w:ascii="宋体" w:hAnsi="宋体"/>
          <w:color w:val="auto"/>
        </w:rPr>
      </w:pPr>
      <w:r>
        <w:rPr>
          <w:rFonts w:hint="eastAsia" w:ascii="宋体" w:hAnsi="宋体"/>
          <w:color w:val="auto"/>
        </w:rPr>
        <w:t>2.3.4供应商在投标截止时间前须自行查看项目进展、下载竞争性磋商文件的修改等，因供应商未及时查看和下载而造成的后果自负。</w:t>
      </w:r>
    </w:p>
    <w:p>
      <w:pPr>
        <w:pStyle w:val="57"/>
        <w:rPr>
          <w:color w:val="auto"/>
        </w:rPr>
      </w:pPr>
      <w:bookmarkStart w:id="296" w:name="_Toc509667276"/>
      <w:bookmarkEnd w:id="296"/>
      <w:bookmarkStart w:id="297" w:name="_Toc152045546"/>
      <w:bookmarkEnd w:id="297"/>
      <w:bookmarkStart w:id="298" w:name="_Toc455080124"/>
      <w:bookmarkEnd w:id="298"/>
      <w:bookmarkStart w:id="299" w:name="_Toc144974514"/>
      <w:bookmarkEnd w:id="299"/>
      <w:bookmarkStart w:id="300" w:name="_Toc152042322"/>
      <w:bookmarkEnd w:id="300"/>
      <w:bookmarkStart w:id="301" w:name="_Toc7665"/>
      <w:bookmarkStart w:id="302" w:name="_Toc29175"/>
      <w:bookmarkStart w:id="303" w:name="_Toc10728"/>
      <w:bookmarkStart w:id="304" w:name="_Toc6779"/>
      <w:bookmarkStart w:id="305" w:name="_Toc129073473"/>
      <w:bookmarkStart w:id="306" w:name="_Toc20123"/>
      <w:bookmarkStart w:id="307" w:name="_Toc31097"/>
      <w:r>
        <w:rPr>
          <w:rFonts w:hint="eastAsia"/>
          <w:color w:val="auto"/>
        </w:rPr>
        <w:t xml:space="preserve">3. </w:t>
      </w:r>
      <w:bookmarkEnd w:id="301"/>
      <w:r>
        <w:rPr>
          <w:rFonts w:hint="eastAsia"/>
          <w:color w:val="auto"/>
        </w:rPr>
        <w:t>响应文件</w:t>
      </w:r>
      <w:bookmarkEnd w:id="302"/>
      <w:bookmarkEnd w:id="303"/>
      <w:bookmarkEnd w:id="304"/>
      <w:bookmarkEnd w:id="305"/>
      <w:bookmarkEnd w:id="306"/>
      <w:bookmarkEnd w:id="307"/>
    </w:p>
    <w:p>
      <w:pPr>
        <w:pStyle w:val="58"/>
        <w:keepNext w:val="0"/>
        <w:keepLines w:val="0"/>
        <w:spacing w:line="360" w:lineRule="auto"/>
        <w:ind w:firstLine="422" w:firstLineChars="200"/>
        <w:rPr>
          <w:rFonts w:ascii="宋体" w:hAnsi="宋体" w:eastAsia="宋体"/>
          <w:b/>
          <w:bCs/>
          <w:color w:val="auto"/>
          <w:sz w:val="21"/>
          <w:szCs w:val="21"/>
        </w:rPr>
      </w:pPr>
      <w:bookmarkStart w:id="308" w:name="_Toc152042323"/>
      <w:bookmarkEnd w:id="308"/>
      <w:bookmarkStart w:id="309" w:name="_Toc490667844"/>
      <w:bookmarkEnd w:id="309"/>
      <w:bookmarkStart w:id="310" w:name="_Toc144974515"/>
      <w:bookmarkEnd w:id="310"/>
      <w:bookmarkStart w:id="311" w:name="_Toc15810"/>
      <w:bookmarkEnd w:id="311"/>
      <w:bookmarkStart w:id="312" w:name="_Toc24440"/>
      <w:bookmarkEnd w:id="312"/>
      <w:bookmarkStart w:id="313" w:name="_Toc152045547"/>
      <w:bookmarkEnd w:id="313"/>
      <w:bookmarkStart w:id="314" w:name="_Toc26190"/>
      <w:bookmarkStart w:id="315" w:name="_Toc318450691"/>
      <w:bookmarkStart w:id="316" w:name="_Toc129073474"/>
      <w:r>
        <w:rPr>
          <w:rFonts w:hint="eastAsia" w:ascii="宋体" w:hAnsi="宋体" w:eastAsia="宋体"/>
          <w:b/>
          <w:bCs/>
          <w:color w:val="auto"/>
          <w:sz w:val="21"/>
          <w:szCs w:val="21"/>
        </w:rPr>
        <w:t>3.1 响应文件的组成</w:t>
      </w:r>
      <w:bookmarkEnd w:id="314"/>
      <w:bookmarkEnd w:id="315"/>
      <w:bookmarkEnd w:id="316"/>
    </w:p>
    <w:p>
      <w:pPr>
        <w:spacing w:line="360" w:lineRule="auto"/>
        <w:ind w:firstLine="420" w:firstLineChars="200"/>
        <w:rPr>
          <w:rFonts w:ascii="宋体" w:hAnsi="宋体"/>
          <w:color w:val="auto"/>
        </w:rPr>
      </w:pPr>
      <w:bookmarkStart w:id="317" w:name="_Toc318450692"/>
      <w:bookmarkEnd w:id="317"/>
      <w:bookmarkStart w:id="318" w:name="_Toc144974516"/>
      <w:bookmarkEnd w:id="318"/>
      <w:bookmarkStart w:id="319" w:name="_Toc152042324"/>
      <w:bookmarkEnd w:id="319"/>
      <w:bookmarkStart w:id="320" w:name="_Toc22864"/>
      <w:bookmarkEnd w:id="320"/>
      <w:bookmarkStart w:id="321" w:name="_Toc26291"/>
      <w:bookmarkEnd w:id="321"/>
      <w:bookmarkStart w:id="322" w:name="_Toc152045548"/>
      <w:bookmarkEnd w:id="322"/>
      <w:bookmarkStart w:id="323" w:name="_Toc455080125"/>
      <w:bookmarkEnd w:id="323"/>
      <w:bookmarkStart w:id="324" w:name="_Toc466298108"/>
      <w:bookmarkEnd w:id="324"/>
      <w:bookmarkStart w:id="325" w:name="_Toc30182"/>
      <w:bookmarkEnd w:id="325"/>
      <w:bookmarkStart w:id="326" w:name="_Toc279156232"/>
      <w:bookmarkEnd w:id="326"/>
      <w:bookmarkStart w:id="327" w:name="_Toc779"/>
      <w:bookmarkEnd w:id="327"/>
      <w:bookmarkStart w:id="328" w:name="_Toc455867785"/>
      <w:bookmarkEnd w:id="328"/>
      <w:bookmarkStart w:id="329" w:name="_Toc18750"/>
      <w:bookmarkEnd w:id="329"/>
      <w:bookmarkStart w:id="330" w:name="_Toc13280"/>
      <w:bookmarkEnd w:id="330"/>
      <w:bookmarkStart w:id="331" w:name="_Toc899"/>
      <w:r>
        <w:rPr>
          <w:rFonts w:hint="eastAsia" w:ascii="宋体" w:hAnsi="宋体"/>
          <w:color w:val="auto"/>
        </w:rPr>
        <w:t>详见第八章“响应文件格式”</w:t>
      </w:r>
      <w:bookmarkEnd w:id="331"/>
    </w:p>
    <w:p>
      <w:pPr>
        <w:pStyle w:val="58"/>
        <w:keepNext w:val="0"/>
        <w:keepLines w:val="0"/>
        <w:spacing w:line="360" w:lineRule="auto"/>
        <w:ind w:firstLine="422" w:firstLineChars="200"/>
        <w:rPr>
          <w:rFonts w:ascii="宋体" w:hAnsi="宋体" w:eastAsia="宋体"/>
          <w:b/>
          <w:bCs/>
          <w:color w:val="auto"/>
          <w:sz w:val="21"/>
          <w:szCs w:val="21"/>
        </w:rPr>
      </w:pPr>
      <w:bookmarkStart w:id="332" w:name="_Toc129073475"/>
      <w:bookmarkStart w:id="333" w:name="_Toc17845"/>
      <w:r>
        <w:rPr>
          <w:rFonts w:hint="eastAsia" w:ascii="宋体" w:hAnsi="宋体" w:eastAsia="宋体"/>
          <w:b/>
          <w:bCs/>
          <w:color w:val="auto"/>
          <w:sz w:val="21"/>
          <w:szCs w:val="21"/>
        </w:rPr>
        <w:t>3.2 磋商报价</w:t>
      </w:r>
      <w:bookmarkEnd w:id="332"/>
      <w:bookmarkEnd w:id="333"/>
    </w:p>
    <w:p>
      <w:pPr>
        <w:spacing w:line="360" w:lineRule="auto"/>
        <w:ind w:firstLine="420" w:firstLineChars="200"/>
        <w:rPr>
          <w:rFonts w:ascii="宋体" w:hAnsi="宋体"/>
          <w:color w:val="auto"/>
        </w:rPr>
      </w:pPr>
      <w:bookmarkStart w:id="334" w:name="_Toc7910"/>
      <w:bookmarkEnd w:id="334"/>
      <w:bookmarkStart w:id="335" w:name="_Toc318450693"/>
      <w:bookmarkEnd w:id="335"/>
      <w:bookmarkStart w:id="336" w:name="_Toc6105"/>
      <w:bookmarkEnd w:id="336"/>
      <w:bookmarkStart w:id="337" w:name="_Toc21680"/>
      <w:bookmarkEnd w:id="337"/>
      <w:bookmarkStart w:id="338" w:name="_Toc455867786"/>
      <w:bookmarkEnd w:id="338"/>
      <w:bookmarkStart w:id="339" w:name="_Toc3624"/>
      <w:bookmarkEnd w:id="339"/>
      <w:bookmarkStart w:id="340" w:name="_Toc21600"/>
      <w:bookmarkEnd w:id="340"/>
      <w:bookmarkStart w:id="341" w:name="_Toc152042325"/>
      <w:bookmarkEnd w:id="341"/>
      <w:bookmarkStart w:id="342" w:name="_Toc490667846"/>
      <w:bookmarkEnd w:id="342"/>
      <w:bookmarkStart w:id="343" w:name="_Toc509667277"/>
      <w:bookmarkEnd w:id="343"/>
      <w:bookmarkStart w:id="344" w:name="_Toc455080126"/>
      <w:bookmarkEnd w:id="344"/>
      <w:bookmarkStart w:id="345" w:name="_Toc2425"/>
      <w:bookmarkEnd w:id="345"/>
      <w:bookmarkStart w:id="346" w:name="_Toc152045549"/>
      <w:bookmarkEnd w:id="346"/>
      <w:bookmarkStart w:id="347" w:name="_Toc144974517"/>
      <w:bookmarkEnd w:id="347"/>
      <w:bookmarkStart w:id="348" w:name="_Toc466298109"/>
      <w:bookmarkStart w:id="349" w:name="_Toc129073476"/>
      <w:r>
        <w:rPr>
          <w:rFonts w:hint="eastAsia" w:ascii="宋体" w:hAnsi="宋体"/>
          <w:color w:val="auto"/>
        </w:rPr>
        <w:t>3.2.1 供应商应按第八章“磋商函附录”的要求填写相应表格，投标总报价应包括完成该项目的成本、利润、税金、风险等所有伴随的其他费用。</w:t>
      </w:r>
    </w:p>
    <w:p>
      <w:pPr>
        <w:spacing w:line="360" w:lineRule="auto"/>
        <w:ind w:firstLine="420" w:firstLineChars="200"/>
        <w:rPr>
          <w:rFonts w:ascii="宋体" w:hAnsi="宋体"/>
          <w:color w:val="auto"/>
        </w:rPr>
      </w:pPr>
      <w:r>
        <w:rPr>
          <w:rFonts w:hint="eastAsia" w:ascii="宋体" w:hAnsi="宋体"/>
          <w:color w:val="auto"/>
        </w:rPr>
        <w:t>3.2.2 供应商在投标截止时间前修改磋商函中的投标总报价，应同时修改第八章“磋商函附录”中的相应报价。此修改须符合本章第4.3 款的有关要求。</w:t>
      </w:r>
    </w:p>
    <w:p>
      <w:pPr>
        <w:spacing w:line="360" w:lineRule="auto"/>
        <w:ind w:firstLine="420" w:firstLineChars="200"/>
        <w:rPr>
          <w:rFonts w:ascii="宋体" w:hAnsi="宋体"/>
          <w:color w:val="auto"/>
        </w:rPr>
      </w:pPr>
      <w:r>
        <w:rPr>
          <w:rFonts w:hint="eastAsia" w:ascii="宋体" w:hAnsi="宋体"/>
          <w:color w:val="auto"/>
        </w:rPr>
        <w:t>3.2.3 投标总报价应是采购人指定地点的包括履约完成前发生的各种税费、保险费、运杂费、全部建筑安装费、技术服务费以及伴随的其它服务费总报价。各项报价应准确填入投标总报价表相应栏内。</w:t>
      </w:r>
    </w:p>
    <w:p>
      <w:pPr>
        <w:spacing w:line="360" w:lineRule="auto"/>
        <w:ind w:firstLine="420" w:firstLineChars="200"/>
        <w:rPr>
          <w:rFonts w:ascii="宋体" w:hAnsi="宋体"/>
          <w:color w:val="auto"/>
        </w:rPr>
      </w:pPr>
      <w:r>
        <w:rPr>
          <w:rFonts w:hint="eastAsia" w:ascii="宋体" w:hAnsi="宋体"/>
          <w:color w:val="auto"/>
        </w:rPr>
        <w:t>3.2.4 供应商每次只能提出一个不变报价，采购人不接受任何选择价。磋商报价不作为中标的唯一因素，不保证最低价中标。</w:t>
      </w:r>
    </w:p>
    <w:p>
      <w:pPr>
        <w:spacing w:line="360" w:lineRule="auto"/>
        <w:ind w:firstLine="420" w:firstLineChars="200"/>
        <w:rPr>
          <w:rFonts w:ascii="宋体" w:hAnsi="宋体"/>
          <w:color w:val="auto"/>
        </w:rPr>
      </w:pPr>
      <w:r>
        <w:rPr>
          <w:rFonts w:hint="eastAsia" w:ascii="宋体" w:hAnsi="宋体"/>
          <w:color w:val="auto"/>
        </w:rPr>
        <w:t>3.2.5 采购人设有最高投标限价的，供应商的投标报价不得超过最高投标限价，最高投标限价在供应商须知前附表中载明。</w:t>
      </w:r>
    </w:p>
    <w:p>
      <w:pPr>
        <w:pStyle w:val="58"/>
        <w:keepNext w:val="0"/>
        <w:keepLines w:val="0"/>
        <w:spacing w:line="360" w:lineRule="auto"/>
        <w:ind w:firstLine="422" w:firstLineChars="200"/>
        <w:rPr>
          <w:rFonts w:ascii="宋体" w:hAnsi="宋体" w:eastAsia="宋体"/>
          <w:b/>
          <w:bCs/>
          <w:color w:val="auto"/>
          <w:sz w:val="21"/>
          <w:szCs w:val="21"/>
        </w:rPr>
      </w:pPr>
      <w:bookmarkStart w:id="350" w:name="_Toc25512"/>
      <w:r>
        <w:rPr>
          <w:rFonts w:hint="eastAsia" w:ascii="宋体" w:hAnsi="宋体" w:eastAsia="宋体"/>
          <w:b/>
          <w:bCs/>
          <w:color w:val="auto"/>
          <w:sz w:val="21"/>
          <w:szCs w:val="21"/>
        </w:rPr>
        <w:t>3.3 磋商有效期</w:t>
      </w:r>
      <w:bookmarkEnd w:id="348"/>
      <w:bookmarkEnd w:id="349"/>
      <w:bookmarkEnd w:id="350"/>
    </w:p>
    <w:p>
      <w:pPr>
        <w:spacing w:line="360" w:lineRule="auto"/>
        <w:ind w:firstLine="420" w:firstLineChars="200"/>
        <w:rPr>
          <w:rFonts w:ascii="宋体" w:hAnsi="宋体"/>
          <w:color w:val="auto"/>
        </w:rPr>
      </w:pPr>
      <w:r>
        <w:rPr>
          <w:rFonts w:hint="eastAsia" w:ascii="宋体" w:hAnsi="宋体"/>
          <w:color w:val="auto"/>
        </w:rPr>
        <w:t>3.3.1在供应商须知前附表规定的磋商有效期内，供应商不得要求撤销或修改其响应文件。</w:t>
      </w:r>
    </w:p>
    <w:p>
      <w:pPr>
        <w:spacing w:line="360" w:lineRule="auto"/>
        <w:ind w:firstLine="420" w:firstLineChars="200"/>
        <w:rPr>
          <w:rFonts w:ascii="宋体" w:hAnsi="宋体"/>
          <w:color w:val="auto"/>
        </w:rPr>
      </w:pPr>
      <w:r>
        <w:rPr>
          <w:rFonts w:hint="eastAsia" w:ascii="宋体" w:hAnsi="宋体"/>
          <w:color w:val="auto"/>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pPr>
        <w:pStyle w:val="58"/>
        <w:keepNext w:val="0"/>
        <w:keepLines w:val="0"/>
        <w:spacing w:line="360" w:lineRule="auto"/>
        <w:ind w:firstLine="422" w:firstLineChars="200"/>
        <w:rPr>
          <w:rFonts w:ascii="宋体" w:hAnsi="宋体" w:eastAsia="宋体"/>
          <w:b/>
          <w:bCs/>
          <w:color w:val="auto"/>
          <w:sz w:val="21"/>
          <w:szCs w:val="21"/>
        </w:rPr>
      </w:pPr>
      <w:bookmarkStart w:id="351" w:name="_Toc4165"/>
      <w:bookmarkEnd w:id="351"/>
      <w:bookmarkStart w:id="352" w:name="_Toc466298110"/>
      <w:bookmarkEnd w:id="352"/>
      <w:bookmarkStart w:id="353" w:name="_Toc152042326"/>
      <w:bookmarkEnd w:id="353"/>
      <w:bookmarkStart w:id="354" w:name="_Toc30697"/>
      <w:bookmarkEnd w:id="354"/>
      <w:bookmarkStart w:id="355" w:name="_Toc318450694"/>
      <w:bookmarkEnd w:id="355"/>
      <w:bookmarkStart w:id="356" w:name="_Toc7973"/>
      <w:bookmarkEnd w:id="356"/>
      <w:bookmarkStart w:id="357" w:name="_Toc144974518"/>
      <w:bookmarkEnd w:id="357"/>
      <w:bookmarkStart w:id="358" w:name="_Toc490667847"/>
      <w:bookmarkEnd w:id="358"/>
      <w:bookmarkStart w:id="359" w:name="_Toc7057"/>
      <w:bookmarkEnd w:id="359"/>
      <w:bookmarkStart w:id="360" w:name="_Toc2505"/>
      <w:bookmarkEnd w:id="360"/>
      <w:bookmarkStart w:id="361" w:name="_Toc509667278"/>
      <w:bookmarkEnd w:id="361"/>
      <w:bookmarkStart w:id="362" w:name="_Toc455867787"/>
      <w:bookmarkEnd w:id="362"/>
      <w:bookmarkStart w:id="363" w:name="_Toc455080127"/>
      <w:bookmarkEnd w:id="363"/>
      <w:bookmarkStart w:id="364" w:name="_Toc152045550"/>
      <w:bookmarkEnd w:id="364"/>
      <w:bookmarkStart w:id="365" w:name="_Toc16649"/>
      <w:bookmarkStart w:id="366" w:name="_Toc10370"/>
      <w:bookmarkStart w:id="367" w:name="_Toc129073477"/>
      <w:r>
        <w:rPr>
          <w:rFonts w:hint="eastAsia" w:ascii="宋体" w:hAnsi="宋体" w:eastAsia="宋体"/>
          <w:b/>
          <w:bCs/>
          <w:color w:val="auto"/>
          <w:sz w:val="21"/>
          <w:szCs w:val="21"/>
        </w:rPr>
        <w:t>3.4 磋商保证金</w:t>
      </w:r>
      <w:bookmarkEnd w:id="365"/>
    </w:p>
    <w:bookmarkEnd w:id="366"/>
    <w:bookmarkEnd w:id="367"/>
    <w:p>
      <w:pPr>
        <w:spacing w:line="360" w:lineRule="auto"/>
        <w:ind w:firstLine="420" w:firstLineChars="200"/>
        <w:rPr>
          <w:rFonts w:ascii="宋体" w:hAnsi="宋体"/>
          <w:color w:val="auto"/>
        </w:rPr>
      </w:pPr>
      <w:bookmarkStart w:id="368" w:name="_Toc152045552"/>
      <w:bookmarkEnd w:id="368"/>
      <w:bookmarkStart w:id="369" w:name="_Toc152042328"/>
      <w:bookmarkEnd w:id="369"/>
      <w:bookmarkStart w:id="370" w:name="_Toc144974520"/>
      <w:bookmarkEnd w:id="370"/>
      <w:bookmarkStart w:id="371" w:name="_Toc27579"/>
      <w:bookmarkEnd w:id="371"/>
      <w:bookmarkStart w:id="372" w:name="_Toc318450695"/>
      <w:bookmarkEnd w:id="372"/>
      <w:bookmarkStart w:id="373" w:name="_Toc509667279"/>
      <w:bookmarkEnd w:id="373"/>
      <w:bookmarkStart w:id="374" w:name="_Toc455080128"/>
      <w:bookmarkEnd w:id="374"/>
      <w:bookmarkStart w:id="375" w:name="_Toc22527"/>
      <w:bookmarkEnd w:id="375"/>
      <w:bookmarkStart w:id="376" w:name="_Toc17153"/>
      <w:bookmarkEnd w:id="376"/>
      <w:bookmarkStart w:id="377" w:name="_Toc490667848"/>
      <w:bookmarkEnd w:id="377"/>
      <w:bookmarkStart w:id="378" w:name="_Toc455867788"/>
      <w:bookmarkEnd w:id="378"/>
      <w:bookmarkStart w:id="379" w:name="_Toc16747"/>
      <w:bookmarkEnd w:id="379"/>
      <w:bookmarkStart w:id="380" w:name="_Toc22384"/>
      <w:bookmarkEnd w:id="380"/>
      <w:bookmarkStart w:id="381" w:name="_Toc466298111"/>
      <w:bookmarkEnd w:id="381"/>
      <w:bookmarkStart w:id="382" w:name="_Toc11077"/>
      <w:bookmarkStart w:id="383" w:name="_Toc129073478"/>
      <w:r>
        <w:rPr>
          <w:rFonts w:hint="eastAsia" w:ascii="宋体" w:hAnsi="宋体"/>
          <w:color w:val="auto"/>
        </w:rPr>
        <w:t>根据《关于优化政府采购营商环境有关问题的通知》(豫财购〔2019〕4号)的相关要求，本项目不再收取磋商保证金。</w:t>
      </w:r>
    </w:p>
    <w:p>
      <w:pPr>
        <w:pStyle w:val="58"/>
        <w:keepNext w:val="0"/>
        <w:keepLines w:val="0"/>
        <w:spacing w:line="360" w:lineRule="auto"/>
        <w:ind w:firstLine="422" w:firstLineChars="200"/>
        <w:rPr>
          <w:rFonts w:ascii="宋体" w:hAnsi="宋体" w:eastAsia="宋体"/>
          <w:b/>
          <w:bCs/>
          <w:color w:val="auto"/>
          <w:sz w:val="21"/>
          <w:szCs w:val="21"/>
        </w:rPr>
      </w:pPr>
      <w:bookmarkStart w:id="384" w:name="_Toc39"/>
      <w:r>
        <w:rPr>
          <w:rFonts w:hint="eastAsia" w:ascii="宋体" w:hAnsi="宋体" w:eastAsia="宋体"/>
          <w:b/>
          <w:bCs/>
          <w:color w:val="auto"/>
          <w:sz w:val="21"/>
          <w:szCs w:val="21"/>
        </w:rPr>
        <w:t>3.5资格审查资料</w:t>
      </w:r>
      <w:bookmarkEnd w:id="382"/>
      <w:bookmarkEnd w:id="383"/>
      <w:bookmarkEnd w:id="384"/>
    </w:p>
    <w:p>
      <w:pPr>
        <w:spacing w:line="360" w:lineRule="auto"/>
        <w:ind w:firstLine="420" w:firstLineChars="200"/>
        <w:rPr>
          <w:rFonts w:ascii="宋体" w:hAnsi="宋体"/>
          <w:color w:val="auto"/>
        </w:rPr>
      </w:pPr>
      <w:bookmarkStart w:id="385" w:name="_Toc318450696"/>
      <w:bookmarkEnd w:id="385"/>
      <w:bookmarkStart w:id="386" w:name="_Toc144974521"/>
      <w:bookmarkEnd w:id="386"/>
      <w:bookmarkStart w:id="387" w:name="_Toc152042329"/>
      <w:bookmarkEnd w:id="387"/>
      <w:bookmarkStart w:id="388" w:name="_Toc26258"/>
      <w:bookmarkEnd w:id="388"/>
      <w:bookmarkStart w:id="389" w:name="_Toc152045553"/>
      <w:bookmarkEnd w:id="389"/>
      <w:bookmarkStart w:id="390" w:name="_Toc5132"/>
      <w:r>
        <w:rPr>
          <w:rFonts w:hint="eastAsia" w:ascii="宋体" w:hAnsi="宋体"/>
          <w:color w:val="auto"/>
        </w:rPr>
        <w:t>见供应商须知前附表。</w:t>
      </w:r>
      <w:bookmarkEnd w:id="390"/>
    </w:p>
    <w:p>
      <w:pPr>
        <w:pStyle w:val="58"/>
        <w:keepNext w:val="0"/>
        <w:keepLines w:val="0"/>
        <w:spacing w:line="360" w:lineRule="auto"/>
        <w:ind w:firstLine="422" w:firstLineChars="200"/>
        <w:rPr>
          <w:rFonts w:ascii="宋体" w:hAnsi="宋体" w:eastAsia="宋体"/>
          <w:b/>
          <w:bCs/>
          <w:color w:val="auto"/>
          <w:sz w:val="21"/>
          <w:szCs w:val="21"/>
        </w:rPr>
      </w:pPr>
      <w:bookmarkStart w:id="391" w:name="_Toc19724"/>
      <w:bookmarkEnd w:id="391"/>
      <w:bookmarkStart w:id="392" w:name="_Toc466298112"/>
      <w:bookmarkEnd w:id="392"/>
      <w:bookmarkStart w:id="393" w:name="_Toc9015"/>
      <w:bookmarkEnd w:id="393"/>
      <w:bookmarkStart w:id="394" w:name="_Toc509667280"/>
      <w:bookmarkEnd w:id="394"/>
      <w:bookmarkStart w:id="395" w:name="_Toc490667849"/>
      <w:bookmarkEnd w:id="395"/>
      <w:bookmarkStart w:id="396" w:name="_Toc30442"/>
      <w:bookmarkEnd w:id="396"/>
      <w:bookmarkStart w:id="397" w:name="_Toc455080129"/>
      <w:bookmarkEnd w:id="397"/>
      <w:bookmarkStart w:id="398" w:name="_Toc11694"/>
      <w:bookmarkEnd w:id="398"/>
      <w:bookmarkStart w:id="399" w:name="_Toc129073479"/>
      <w:bookmarkStart w:id="400" w:name="_Toc1596"/>
      <w:bookmarkStart w:id="401" w:name="_Toc455867789"/>
      <w:r>
        <w:rPr>
          <w:rFonts w:hint="eastAsia" w:ascii="宋体" w:hAnsi="宋体" w:eastAsia="宋体"/>
          <w:b/>
          <w:bCs/>
          <w:color w:val="auto"/>
          <w:sz w:val="21"/>
          <w:szCs w:val="21"/>
        </w:rPr>
        <w:t>3.6 备选方案</w:t>
      </w:r>
      <w:bookmarkEnd w:id="399"/>
      <w:bookmarkEnd w:id="400"/>
      <w:bookmarkEnd w:id="401"/>
    </w:p>
    <w:p>
      <w:pPr>
        <w:spacing w:line="360" w:lineRule="auto"/>
        <w:ind w:firstLine="420" w:firstLineChars="200"/>
        <w:rPr>
          <w:rFonts w:ascii="宋体" w:hAnsi="宋体"/>
          <w:color w:val="auto"/>
        </w:rPr>
      </w:pPr>
      <w:r>
        <w:rPr>
          <w:rFonts w:hint="eastAsia" w:ascii="宋体" w:hAnsi="宋体"/>
          <w:color w:val="auto"/>
        </w:rPr>
        <w:t>除供应商须知前附表另有规定外，供应商不得递交备选磋商方案。</w:t>
      </w:r>
    </w:p>
    <w:p>
      <w:pPr>
        <w:pStyle w:val="58"/>
        <w:keepNext w:val="0"/>
        <w:keepLines w:val="0"/>
        <w:spacing w:line="360" w:lineRule="auto"/>
        <w:ind w:firstLine="422" w:firstLineChars="200"/>
        <w:rPr>
          <w:rFonts w:ascii="宋体" w:hAnsi="宋体" w:eastAsia="宋体"/>
          <w:b/>
          <w:bCs/>
          <w:color w:val="auto"/>
          <w:sz w:val="21"/>
          <w:szCs w:val="21"/>
        </w:rPr>
      </w:pPr>
      <w:bookmarkStart w:id="402" w:name="_Toc152042330"/>
      <w:bookmarkEnd w:id="402"/>
      <w:bookmarkStart w:id="403" w:name="_Toc455080130"/>
      <w:bookmarkEnd w:id="403"/>
      <w:bookmarkStart w:id="404" w:name="_Toc509667281"/>
      <w:bookmarkEnd w:id="404"/>
      <w:bookmarkStart w:id="405" w:name="_Toc25620"/>
      <w:bookmarkEnd w:id="405"/>
      <w:bookmarkStart w:id="406" w:name="_Toc455867790"/>
      <w:bookmarkEnd w:id="406"/>
      <w:bookmarkStart w:id="407" w:name="_Toc318450697"/>
      <w:bookmarkEnd w:id="407"/>
      <w:bookmarkStart w:id="408" w:name="_Toc466298113"/>
      <w:bookmarkEnd w:id="408"/>
      <w:bookmarkStart w:id="409" w:name="_Toc7966"/>
      <w:bookmarkEnd w:id="409"/>
      <w:bookmarkStart w:id="410" w:name="_Toc28656"/>
      <w:bookmarkEnd w:id="410"/>
      <w:bookmarkStart w:id="411" w:name="_Toc6323"/>
      <w:bookmarkEnd w:id="411"/>
      <w:bookmarkStart w:id="412" w:name="_Toc144974522"/>
      <w:bookmarkEnd w:id="412"/>
      <w:bookmarkStart w:id="413" w:name="_Toc12275"/>
      <w:bookmarkEnd w:id="413"/>
      <w:bookmarkStart w:id="414" w:name="_Toc152045554"/>
      <w:bookmarkEnd w:id="414"/>
      <w:bookmarkStart w:id="415" w:name="_Toc7626"/>
      <w:bookmarkEnd w:id="415"/>
      <w:bookmarkStart w:id="416" w:name="_Toc129073480"/>
      <w:bookmarkStart w:id="417" w:name="_Toc490667850"/>
      <w:bookmarkStart w:id="418" w:name="_Toc3619"/>
      <w:r>
        <w:rPr>
          <w:rFonts w:hint="eastAsia" w:ascii="宋体" w:hAnsi="宋体" w:eastAsia="宋体"/>
          <w:b/>
          <w:bCs/>
          <w:color w:val="auto"/>
          <w:sz w:val="21"/>
          <w:szCs w:val="21"/>
        </w:rPr>
        <w:t>3.7 响应文件的编制</w:t>
      </w:r>
      <w:bookmarkEnd w:id="416"/>
      <w:bookmarkEnd w:id="417"/>
      <w:bookmarkEnd w:id="418"/>
    </w:p>
    <w:p>
      <w:pPr>
        <w:pStyle w:val="15"/>
        <w:adjustRightInd w:val="0"/>
        <w:snapToGrid w:val="0"/>
        <w:spacing w:line="360" w:lineRule="auto"/>
        <w:ind w:firstLine="420" w:firstLineChars="200"/>
        <w:rPr>
          <w:rFonts w:ascii="宋体" w:hAnsi="宋体"/>
          <w:color w:val="auto"/>
          <w:kern w:val="2"/>
          <w:sz w:val="21"/>
          <w:szCs w:val="21"/>
        </w:rPr>
      </w:pPr>
      <w:r>
        <w:rPr>
          <w:rFonts w:hint="eastAsia" w:ascii="宋体" w:hAnsi="宋体"/>
          <w:color w:val="auto"/>
          <w:kern w:val="2"/>
          <w:sz w:val="21"/>
          <w:szCs w:val="21"/>
        </w:rPr>
        <w:t>3.7.1 响应文件应按“第八章响应文件格式”进行编写，如有必要，可以增加附页，作为响应文件的组成部分。其中，磋商函附录在满足磋商文件实质性要求的基础上，可以提出比磋商文件要求更有利于采购人的承诺。</w:t>
      </w:r>
    </w:p>
    <w:p>
      <w:pPr>
        <w:pStyle w:val="15"/>
        <w:adjustRightInd w:val="0"/>
        <w:snapToGrid w:val="0"/>
        <w:spacing w:line="360" w:lineRule="auto"/>
        <w:ind w:firstLine="420" w:firstLineChars="200"/>
        <w:rPr>
          <w:rFonts w:ascii="宋体" w:hAnsi="宋体"/>
          <w:color w:val="auto"/>
          <w:kern w:val="2"/>
          <w:sz w:val="21"/>
          <w:szCs w:val="21"/>
        </w:rPr>
      </w:pPr>
      <w:r>
        <w:rPr>
          <w:rFonts w:hint="eastAsia" w:ascii="宋体" w:hAnsi="宋体"/>
          <w:color w:val="auto"/>
          <w:kern w:val="2"/>
          <w:sz w:val="21"/>
          <w:szCs w:val="21"/>
        </w:rPr>
        <w:t xml:space="preserve">3.7.2 响应文件应当对磋商文件有关工期、磋商有效期、质量要求、采购内容及范围等实质性内容作出响应。 </w:t>
      </w:r>
    </w:p>
    <w:p>
      <w:pPr>
        <w:pStyle w:val="15"/>
        <w:adjustRightInd w:val="0"/>
        <w:snapToGrid w:val="0"/>
        <w:spacing w:line="360" w:lineRule="auto"/>
        <w:ind w:firstLine="420" w:firstLineChars="200"/>
        <w:rPr>
          <w:rFonts w:ascii="宋体" w:hAnsi="宋体"/>
          <w:color w:val="auto"/>
          <w:kern w:val="2"/>
          <w:sz w:val="21"/>
          <w:szCs w:val="21"/>
        </w:rPr>
      </w:pPr>
      <w:r>
        <w:rPr>
          <w:rFonts w:hint="eastAsia" w:ascii="宋体" w:hAnsi="宋体"/>
          <w:color w:val="auto"/>
          <w:kern w:val="2"/>
          <w:sz w:val="21"/>
          <w:szCs w:val="21"/>
        </w:rPr>
        <w:t xml:space="preserve">3.7.3 响应文件全部采用电子文档，除供应商须知前附表另有规定外，响应文件所附证书证件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签字或盖章的具体要求见供应商须知前附表。 </w:t>
      </w:r>
    </w:p>
    <w:p>
      <w:pPr>
        <w:pStyle w:val="15"/>
        <w:adjustRightInd w:val="0"/>
        <w:snapToGrid w:val="0"/>
        <w:spacing w:line="360" w:lineRule="auto"/>
        <w:ind w:firstLine="420" w:firstLineChars="200"/>
        <w:rPr>
          <w:rFonts w:ascii="宋体" w:hAnsi="宋体"/>
          <w:color w:val="auto"/>
          <w:kern w:val="2"/>
          <w:sz w:val="21"/>
          <w:szCs w:val="21"/>
        </w:rPr>
      </w:pPr>
      <w:r>
        <w:rPr>
          <w:rFonts w:hint="eastAsia" w:ascii="宋体" w:hAnsi="宋体"/>
          <w:color w:val="auto"/>
          <w:kern w:val="2"/>
          <w:sz w:val="21"/>
          <w:szCs w:val="21"/>
        </w:rPr>
        <w:t xml:space="preserve">3.7.4 供应商编制响应文件时，涉及营业执照、资质、业绩、获奖、人员、财务、社保、纳税、各类证书等内容，在市场主体信息库中已登记的信息中选取，并附进响应文件中。供应商应及时对市场主体信息库的相关内容进行补充、更新。 </w:t>
      </w:r>
    </w:p>
    <w:p>
      <w:pPr>
        <w:pStyle w:val="15"/>
        <w:adjustRightInd w:val="0"/>
        <w:snapToGrid w:val="0"/>
        <w:spacing w:line="360" w:lineRule="auto"/>
        <w:ind w:firstLine="420" w:firstLineChars="200"/>
        <w:rPr>
          <w:rFonts w:ascii="宋体" w:hAnsi="宋体"/>
          <w:color w:val="auto"/>
          <w:kern w:val="2"/>
          <w:sz w:val="21"/>
          <w:szCs w:val="21"/>
        </w:rPr>
      </w:pPr>
      <w:r>
        <w:rPr>
          <w:rFonts w:hint="eastAsia" w:ascii="宋体" w:hAnsi="宋体"/>
          <w:color w:val="auto"/>
          <w:kern w:val="2"/>
          <w:sz w:val="21"/>
          <w:szCs w:val="21"/>
        </w:rPr>
        <w:t>3.7.5 主体信息库中上传的资料扫描件必须完整、清晰、易辨，如因证件上传问题导致未能给予认定的，供应商自行承担责任。</w:t>
      </w:r>
    </w:p>
    <w:p>
      <w:pPr>
        <w:pStyle w:val="57"/>
        <w:rPr>
          <w:color w:val="auto"/>
        </w:rPr>
      </w:pPr>
      <w:bookmarkStart w:id="419" w:name="_Toc23788"/>
      <w:bookmarkEnd w:id="419"/>
      <w:bookmarkStart w:id="420" w:name="_Toc1627"/>
      <w:bookmarkStart w:id="421" w:name="_Toc12348"/>
      <w:bookmarkStart w:id="422" w:name="_Toc11915"/>
      <w:bookmarkStart w:id="423" w:name="_Toc28728"/>
      <w:bookmarkStart w:id="424" w:name="_Toc1338"/>
      <w:bookmarkStart w:id="425" w:name="_Toc129073481"/>
      <w:r>
        <w:rPr>
          <w:rFonts w:hint="eastAsia"/>
          <w:color w:val="auto"/>
        </w:rPr>
        <w:t>4. 磋商</w:t>
      </w:r>
      <w:bookmarkEnd w:id="420"/>
      <w:bookmarkEnd w:id="421"/>
      <w:bookmarkEnd w:id="422"/>
      <w:bookmarkEnd w:id="423"/>
      <w:bookmarkEnd w:id="424"/>
      <w:bookmarkEnd w:id="425"/>
    </w:p>
    <w:p>
      <w:pPr>
        <w:pStyle w:val="58"/>
        <w:keepNext w:val="0"/>
        <w:keepLines w:val="0"/>
        <w:spacing w:line="360" w:lineRule="auto"/>
        <w:ind w:firstLine="422" w:firstLineChars="200"/>
        <w:rPr>
          <w:rFonts w:ascii="宋体" w:hAnsi="宋体" w:eastAsia="宋体"/>
          <w:b/>
          <w:bCs/>
          <w:color w:val="auto"/>
          <w:sz w:val="21"/>
          <w:szCs w:val="21"/>
        </w:rPr>
      </w:pPr>
      <w:bookmarkStart w:id="426" w:name="_Toc26550"/>
      <w:bookmarkEnd w:id="426"/>
      <w:bookmarkStart w:id="427" w:name="_Toc466298116"/>
      <w:bookmarkEnd w:id="427"/>
      <w:bookmarkStart w:id="428" w:name="_Toc16344"/>
      <w:bookmarkEnd w:id="428"/>
      <w:bookmarkStart w:id="429" w:name="_Toc455080133"/>
      <w:bookmarkEnd w:id="429"/>
      <w:bookmarkStart w:id="430" w:name="_Toc152042333"/>
      <w:bookmarkEnd w:id="430"/>
      <w:bookmarkStart w:id="431" w:name="_Toc455867793"/>
      <w:bookmarkEnd w:id="431"/>
      <w:bookmarkStart w:id="432" w:name="_Toc509667284"/>
      <w:bookmarkEnd w:id="432"/>
      <w:bookmarkStart w:id="433" w:name="_Toc21072"/>
      <w:bookmarkEnd w:id="433"/>
      <w:bookmarkStart w:id="434" w:name="_Toc462"/>
      <w:bookmarkEnd w:id="434"/>
      <w:bookmarkStart w:id="435" w:name="_Toc152045556"/>
      <w:bookmarkEnd w:id="435"/>
      <w:bookmarkStart w:id="436" w:name="_Toc27132"/>
      <w:bookmarkEnd w:id="436"/>
      <w:bookmarkStart w:id="437" w:name="_Toc16832"/>
      <w:bookmarkEnd w:id="437"/>
      <w:bookmarkStart w:id="438" w:name="_Toc152045557"/>
      <w:bookmarkEnd w:id="438"/>
      <w:bookmarkStart w:id="439" w:name="_Toc28272"/>
      <w:bookmarkEnd w:id="439"/>
      <w:bookmarkStart w:id="440" w:name="_Toc144974525"/>
      <w:bookmarkEnd w:id="440"/>
      <w:bookmarkStart w:id="441" w:name="_Toc466298115"/>
      <w:bookmarkEnd w:id="441"/>
      <w:bookmarkStart w:id="442" w:name="_Toc16783"/>
      <w:bookmarkEnd w:id="442"/>
      <w:bookmarkStart w:id="443" w:name="_Toc144974524"/>
      <w:bookmarkEnd w:id="443"/>
      <w:bookmarkStart w:id="444" w:name="_Toc318450699"/>
      <w:bookmarkEnd w:id="444"/>
      <w:bookmarkStart w:id="445" w:name="_Toc16962"/>
      <w:bookmarkEnd w:id="445"/>
      <w:bookmarkStart w:id="446" w:name="_Toc11243"/>
      <w:bookmarkEnd w:id="446"/>
      <w:bookmarkStart w:id="447" w:name="_Toc509667283"/>
      <w:bookmarkEnd w:id="447"/>
      <w:bookmarkStart w:id="448" w:name="_Toc455867792"/>
      <w:bookmarkEnd w:id="448"/>
      <w:bookmarkStart w:id="449" w:name="_Toc455080132"/>
      <w:bookmarkEnd w:id="449"/>
      <w:bookmarkStart w:id="450" w:name="_Toc31492"/>
      <w:bookmarkEnd w:id="450"/>
      <w:bookmarkStart w:id="451" w:name="_Toc490667852"/>
      <w:bookmarkEnd w:id="451"/>
      <w:bookmarkStart w:id="452" w:name="_Toc8754"/>
      <w:bookmarkEnd w:id="452"/>
      <w:bookmarkStart w:id="453" w:name="_Toc318450700"/>
      <w:bookmarkEnd w:id="453"/>
      <w:bookmarkStart w:id="454" w:name="_Toc17989"/>
      <w:bookmarkStart w:id="455" w:name="_Toc129073483"/>
      <w:r>
        <w:rPr>
          <w:rFonts w:hint="eastAsia" w:ascii="宋体" w:hAnsi="宋体" w:eastAsia="宋体"/>
          <w:b/>
          <w:bCs/>
          <w:color w:val="auto"/>
          <w:sz w:val="21"/>
          <w:szCs w:val="21"/>
        </w:rPr>
        <w:t>4.1 响应文件的递交</w:t>
      </w:r>
      <w:bookmarkEnd w:id="454"/>
      <w:bookmarkEnd w:id="455"/>
    </w:p>
    <w:p>
      <w:pPr>
        <w:pStyle w:val="58"/>
        <w:keepNext w:val="0"/>
        <w:keepLines w:val="0"/>
        <w:spacing w:line="360" w:lineRule="auto"/>
        <w:ind w:firstLine="420" w:firstLineChars="200"/>
        <w:rPr>
          <w:rFonts w:ascii="宋体" w:hAnsi="宋体" w:eastAsia="宋体" w:cs="Times New Roman"/>
          <w:color w:val="auto"/>
          <w:kern w:val="2"/>
          <w:sz w:val="21"/>
          <w:szCs w:val="21"/>
        </w:rPr>
      </w:pPr>
      <w:bookmarkStart w:id="456" w:name="_Toc10125"/>
      <w:bookmarkStart w:id="457" w:name="_Toc129073484"/>
      <w:r>
        <w:rPr>
          <w:rFonts w:hint="eastAsia" w:ascii="宋体" w:hAnsi="宋体" w:eastAsia="宋体" w:cs="Times New Roman"/>
          <w:color w:val="auto"/>
          <w:kern w:val="2"/>
          <w:sz w:val="21"/>
          <w:szCs w:val="21"/>
        </w:rPr>
        <w:t>4.1.1 加密的电子响应文件（*.hntf 格式）,应在响应文件递交截止时间前通过“河南省公共资源交易中心（</w:t>
      </w:r>
      <w:r>
        <w:rPr>
          <w:color w:val="auto"/>
        </w:rPr>
        <w:fldChar w:fldCharType="begin"/>
      </w:r>
      <w:r>
        <w:rPr>
          <w:color w:val="auto"/>
        </w:rPr>
        <w:instrText xml:space="preserve"> HYPERLINK "http://www.hnggzy.net/" </w:instrText>
      </w:r>
      <w:r>
        <w:rPr>
          <w:color w:val="auto"/>
        </w:rPr>
        <w:fldChar w:fldCharType="separate"/>
      </w:r>
      <w:r>
        <w:rPr>
          <w:rFonts w:ascii="宋体" w:hAnsi="宋体"/>
          <w:color w:val="auto"/>
        </w:rPr>
        <w:t>http://www.hnggzy.net/</w:t>
      </w:r>
      <w:r>
        <w:rPr>
          <w:rFonts w:ascii="宋体" w:hAnsi="宋体"/>
          <w:color w:val="auto"/>
        </w:rPr>
        <w:fldChar w:fldCharType="end"/>
      </w:r>
      <w:r>
        <w:rPr>
          <w:rFonts w:hint="eastAsia" w:ascii="宋体" w:hAnsi="宋体" w:eastAsia="宋体" w:cs="Times New Roman"/>
          <w:color w:val="auto"/>
          <w:kern w:val="2"/>
          <w:sz w:val="21"/>
          <w:szCs w:val="21"/>
        </w:rPr>
        <w:t>）”电子交易平台内上传。</w:t>
      </w:r>
      <w:bookmarkEnd w:id="456"/>
      <w:r>
        <w:rPr>
          <w:rFonts w:hint="eastAsia" w:ascii="宋体" w:hAnsi="宋体" w:eastAsia="宋体" w:cs="Times New Roman"/>
          <w:color w:val="auto"/>
          <w:kern w:val="2"/>
          <w:sz w:val="21"/>
          <w:szCs w:val="21"/>
        </w:rPr>
        <w:t xml:space="preserve"> </w:t>
      </w:r>
    </w:p>
    <w:p>
      <w:pPr>
        <w:pStyle w:val="58"/>
        <w:keepNext w:val="0"/>
        <w:keepLines w:val="0"/>
        <w:spacing w:line="360" w:lineRule="auto"/>
        <w:ind w:firstLine="420" w:firstLineChars="200"/>
        <w:rPr>
          <w:rFonts w:ascii="宋体" w:hAnsi="宋体" w:eastAsia="宋体" w:cs="Times New Roman"/>
          <w:color w:val="auto"/>
          <w:kern w:val="2"/>
          <w:sz w:val="21"/>
          <w:szCs w:val="21"/>
        </w:rPr>
      </w:pPr>
      <w:bookmarkStart w:id="458" w:name="_Toc17177"/>
      <w:r>
        <w:rPr>
          <w:rFonts w:hint="eastAsia" w:ascii="宋体" w:hAnsi="宋体" w:eastAsia="宋体" w:cs="Times New Roman"/>
          <w:color w:val="auto"/>
          <w:kern w:val="2"/>
          <w:sz w:val="21"/>
          <w:szCs w:val="21"/>
        </w:rPr>
        <w:t>4.1.2 供应商必须使用企业 CA 密钥对本单位的加密电子响应文件进行解密。供应商用来解密的企业 CA 锁应与制作本项目电子响应文件时所用的 CA 锁为同一把锁，否则由此造成的无法解密或解密失败等问题由供应商自行承担。</w:t>
      </w:r>
      <w:bookmarkEnd w:id="458"/>
    </w:p>
    <w:p>
      <w:pPr>
        <w:pStyle w:val="58"/>
        <w:keepNext w:val="0"/>
        <w:keepLines w:val="0"/>
        <w:spacing w:line="360" w:lineRule="auto"/>
        <w:ind w:firstLine="420" w:firstLineChars="200"/>
        <w:rPr>
          <w:rFonts w:ascii="宋体" w:hAnsi="宋体" w:eastAsia="宋体" w:cs="Times New Roman"/>
          <w:color w:val="auto"/>
          <w:kern w:val="2"/>
          <w:sz w:val="21"/>
          <w:szCs w:val="21"/>
        </w:rPr>
      </w:pPr>
      <w:bookmarkStart w:id="459" w:name="_Toc13627"/>
      <w:r>
        <w:rPr>
          <w:rFonts w:hint="eastAsia" w:ascii="宋体" w:hAnsi="宋体" w:eastAsia="宋体" w:cs="Times New Roman"/>
          <w:color w:val="auto"/>
          <w:kern w:val="2"/>
          <w:sz w:val="21"/>
          <w:szCs w:val="21"/>
        </w:rPr>
        <w:t>4.1.3 逾期提交的响应文件，电子招标投标交易平台将予以拒收。</w:t>
      </w:r>
      <w:bookmarkEnd w:id="459"/>
    </w:p>
    <w:p>
      <w:pPr>
        <w:pStyle w:val="58"/>
        <w:keepNext w:val="0"/>
        <w:keepLines w:val="0"/>
        <w:spacing w:line="360" w:lineRule="auto"/>
        <w:ind w:firstLine="422" w:firstLineChars="200"/>
        <w:rPr>
          <w:rFonts w:ascii="宋体" w:hAnsi="宋体" w:eastAsia="宋体"/>
          <w:b/>
          <w:bCs/>
          <w:color w:val="auto"/>
          <w:sz w:val="21"/>
          <w:szCs w:val="21"/>
        </w:rPr>
      </w:pPr>
      <w:bookmarkStart w:id="460" w:name="_Toc18361"/>
      <w:r>
        <w:rPr>
          <w:rFonts w:hint="eastAsia" w:ascii="宋体" w:hAnsi="宋体" w:eastAsia="宋体"/>
          <w:b/>
          <w:bCs/>
          <w:color w:val="auto"/>
          <w:sz w:val="21"/>
          <w:szCs w:val="21"/>
        </w:rPr>
        <w:t>4.2 响应文件的修改与撤回</w:t>
      </w:r>
      <w:bookmarkEnd w:id="457"/>
      <w:bookmarkEnd w:id="460"/>
    </w:p>
    <w:p>
      <w:pPr>
        <w:spacing w:line="440" w:lineRule="exact"/>
        <w:ind w:firstLine="420" w:firstLineChars="200"/>
        <w:textAlignment w:val="baseline"/>
        <w:rPr>
          <w:rStyle w:val="69"/>
          <w:rFonts w:hint="eastAsia" w:ascii="宋体" w:hAnsi="宋体" w:cs="宋体"/>
          <w:color w:val="auto"/>
        </w:rPr>
      </w:pPr>
      <w:bookmarkStart w:id="461" w:name="_Toc4093"/>
      <w:bookmarkStart w:id="462" w:name="_Toc21628"/>
      <w:bookmarkStart w:id="463" w:name="_Toc28674"/>
      <w:r>
        <w:rPr>
          <w:rStyle w:val="69"/>
          <w:rFonts w:hint="eastAsia" w:ascii="宋体" w:hAnsi="宋体" w:cs="宋体"/>
          <w:color w:val="auto"/>
        </w:rPr>
        <w:t xml:space="preserve">4.2.1 </w:t>
      </w:r>
      <w:bookmarkStart w:id="464" w:name="_Toc144974527"/>
      <w:bookmarkEnd w:id="464"/>
      <w:bookmarkStart w:id="465" w:name="_Toc509667286"/>
      <w:bookmarkEnd w:id="465"/>
      <w:bookmarkStart w:id="466" w:name="_Toc455080135"/>
      <w:bookmarkEnd w:id="466"/>
      <w:bookmarkStart w:id="467" w:name="_Toc152042335"/>
      <w:bookmarkEnd w:id="467"/>
      <w:bookmarkStart w:id="468" w:name="_Toc152045559"/>
      <w:bookmarkEnd w:id="468"/>
      <w:bookmarkStart w:id="469" w:name="_Toc30851"/>
      <w:bookmarkStart w:id="470" w:name="_Toc129073485"/>
      <w:r>
        <w:rPr>
          <w:rStyle w:val="69"/>
          <w:rFonts w:hint="eastAsia" w:ascii="宋体" w:hAnsi="宋体" w:cs="宋体"/>
          <w:color w:val="auto"/>
        </w:rPr>
        <w:t>在规定的响应文件递交截止时间前，供应商可以在河南省公共资源交易中心系统内撤回已上传的响应文件。</w:t>
      </w:r>
      <w:bookmarkEnd w:id="461"/>
      <w:bookmarkEnd w:id="462"/>
      <w:bookmarkEnd w:id="463"/>
      <w:r>
        <w:rPr>
          <w:rStyle w:val="69"/>
          <w:rFonts w:hint="eastAsia" w:ascii="宋体" w:hAnsi="宋体" w:cs="宋体"/>
          <w:color w:val="auto"/>
        </w:rPr>
        <w:t xml:space="preserve"> </w:t>
      </w:r>
    </w:p>
    <w:p>
      <w:pPr>
        <w:spacing w:line="440" w:lineRule="exact"/>
        <w:ind w:firstLine="420" w:firstLineChars="200"/>
        <w:textAlignment w:val="baseline"/>
        <w:rPr>
          <w:rStyle w:val="69"/>
          <w:rFonts w:hint="eastAsia" w:ascii="宋体" w:hAnsi="宋体" w:cs="宋体"/>
          <w:color w:val="auto"/>
        </w:rPr>
      </w:pPr>
      <w:bookmarkStart w:id="471" w:name="_Toc18569"/>
      <w:bookmarkStart w:id="472" w:name="_Toc13601"/>
      <w:bookmarkStart w:id="473" w:name="_Toc22230"/>
      <w:r>
        <w:rPr>
          <w:rStyle w:val="69"/>
          <w:rFonts w:hint="eastAsia" w:ascii="宋体" w:hAnsi="宋体" w:cs="宋体"/>
          <w:color w:val="auto"/>
        </w:rPr>
        <w:t>4.</w:t>
      </w:r>
      <w:r>
        <w:rPr>
          <w:rStyle w:val="69"/>
          <w:rFonts w:hint="eastAsia" w:ascii="宋体" w:hAnsi="宋体" w:cs="宋体"/>
          <w:color w:val="auto"/>
          <w:lang w:val="en-US" w:eastAsia="zh-CN"/>
        </w:rPr>
        <w:t>2</w:t>
      </w:r>
      <w:r>
        <w:rPr>
          <w:rStyle w:val="69"/>
          <w:rFonts w:hint="eastAsia" w:ascii="宋体" w:hAnsi="宋体" w:cs="宋体"/>
          <w:color w:val="auto"/>
        </w:rPr>
        <w:t>.2 供应商补充、修改或撤回已递交响应文件的通知，应按照本章第 3.7.3 项的要求加盖电子印章。电子招标投标交易平台收到通知后，即时向供应商发出确认回执通知。</w:t>
      </w:r>
    </w:p>
    <w:p>
      <w:pPr>
        <w:spacing w:line="440" w:lineRule="exact"/>
        <w:ind w:firstLine="420" w:firstLineChars="200"/>
        <w:textAlignment w:val="baseline"/>
        <w:rPr>
          <w:rStyle w:val="69"/>
          <w:rFonts w:hint="eastAsia" w:ascii="宋体" w:hAnsi="宋体" w:cs="宋体"/>
          <w:color w:val="auto"/>
        </w:rPr>
      </w:pPr>
      <w:r>
        <w:rPr>
          <w:rStyle w:val="69"/>
          <w:rFonts w:hint="eastAsia" w:ascii="宋体" w:hAnsi="宋体" w:cs="宋体"/>
          <w:color w:val="auto"/>
        </w:rPr>
        <w:t>4.</w:t>
      </w:r>
      <w:r>
        <w:rPr>
          <w:rStyle w:val="69"/>
          <w:rFonts w:hint="eastAsia" w:ascii="宋体" w:hAnsi="宋体" w:cs="宋体"/>
          <w:color w:val="auto"/>
          <w:lang w:val="en-US" w:eastAsia="zh-CN"/>
        </w:rPr>
        <w:t>2</w:t>
      </w:r>
      <w:r>
        <w:rPr>
          <w:rStyle w:val="69"/>
          <w:rFonts w:hint="eastAsia" w:ascii="宋体" w:hAnsi="宋体" w:cs="宋体"/>
          <w:color w:val="auto"/>
        </w:rPr>
        <w:t>.3 补充、修改的内容为磋商响应文件的组成部分。补充、修改的内容与响应文件不一致的，以补充、修改的内容为准。修改的磋商响应文件应按照本章规定进行编制、密封、标记和递交。</w:t>
      </w:r>
    </w:p>
    <w:p>
      <w:pPr>
        <w:spacing w:line="440" w:lineRule="exact"/>
        <w:ind w:firstLine="420" w:firstLineChars="200"/>
        <w:textAlignment w:val="baseline"/>
        <w:rPr>
          <w:rStyle w:val="69"/>
          <w:rFonts w:hint="eastAsia" w:ascii="宋体" w:hAnsi="宋体" w:cs="宋体"/>
          <w:color w:val="auto"/>
        </w:rPr>
      </w:pPr>
      <w:r>
        <w:rPr>
          <w:rStyle w:val="69"/>
          <w:rFonts w:hint="eastAsia" w:ascii="宋体" w:hAnsi="宋体" w:cs="宋体"/>
          <w:color w:val="auto"/>
        </w:rPr>
        <w:t>4.2.</w:t>
      </w:r>
      <w:r>
        <w:rPr>
          <w:rStyle w:val="69"/>
          <w:rFonts w:hint="eastAsia" w:ascii="宋体" w:hAnsi="宋体" w:cs="宋体"/>
          <w:color w:val="auto"/>
          <w:lang w:val="en-US" w:eastAsia="zh-CN"/>
        </w:rPr>
        <w:t>4</w:t>
      </w:r>
      <w:r>
        <w:rPr>
          <w:rStyle w:val="69"/>
          <w:rFonts w:hint="eastAsia" w:ascii="宋体" w:hAnsi="宋体" w:cs="宋体"/>
          <w:color w:val="auto"/>
        </w:rPr>
        <w:t xml:space="preserve"> 供应商有下列情形之一的，采购人将拒绝接受其响应性文件：</w:t>
      </w:r>
      <w:bookmarkEnd w:id="471"/>
      <w:bookmarkEnd w:id="472"/>
      <w:bookmarkEnd w:id="473"/>
    </w:p>
    <w:p>
      <w:pPr>
        <w:spacing w:line="440" w:lineRule="exact"/>
        <w:ind w:firstLine="420" w:firstLineChars="200"/>
        <w:textAlignment w:val="baseline"/>
        <w:rPr>
          <w:rStyle w:val="69"/>
          <w:rFonts w:hint="eastAsia" w:ascii="宋体" w:hAnsi="宋体" w:cs="宋体"/>
          <w:color w:val="auto"/>
        </w:rPr>
      </w:pPr>
      <w:bookmarkStart w:id="474" w:name="_Toc14523"/>
      <w:bookmarkStart w:id="475" w:name="_Toc1030"/>
      <w:bookmarkStart w:id="476" w:name="_Toc16943"/>
      <w:r>
        <w:rPr>
          <w:rStyle w:val="69"/>
          <w:rFonts w:hint="eastAsia" w:ascii="宋体" w:hAnsi="宋体" w:cs="宋体"/>
          <w:color w:val="auto"/>
        </w:rPr>
        <w:t>（1）在竞争性磋商文件规定的递交竞争性磋商文件截止时间之后递交响应文件的。</w:t>
      </w:r>
      <w:bookmarkEnd w:id="474"/>
      <w:bookmarkEnd w:id="475"/>
      <w:bookmarkEnd w:id="476"/>
    </w:p>
    <w:p>
      <w:pPr>
        <w:spacing w:line="440" w:lineRule="exact"/>
        <w:ind w:firstLine="420" w:firstLineChars="200"/>
        <w:textAlignment w:val="baseline"/>
        <w:rPr>
          <w:rStyle w:val="69"/>
          <w:rFonts w:hint="eastAsia" w:ascii="宋体" w:hAnsi="宋体" w:cs="宋体"/>
          <w:color w:val="auto"/>
        </w:rPr>
      </w:pPr>
      <w:bookmarkStart w:id="477" w:name="_Toc28927"/>
      <w:bookmarkStart w:id="478" w:name="_Toc2177"/>
      <w:bookmarkStart w:id="479" w:name="_Toc12398"/>
      <w:r>
        <w:rPr>
          <w:rStyle w:val="69"/>
          <w:rFonts w:hint="eastAsia" w:ascii="宋体" w:hAnsi="宋体" w:cs="宋体"/>
          <w:color w:val="auto"/>
        </w:rPr>
        <w:t>（2）响应性文件未按竞争性磋商文件规定上传解密、密封的。</w:t>
      </w:r>
      <w:bookmarkEnd w:id="477"/>
      <w:bookmarkEnd w:id="478"/>
      <w:bookmarkEnd w:id="479"/>
    </w:p>
    <w:p>
      <w:pPr>
        <w:spacing w:line="440" w:lineRule="exact"/>
        <w:ind w:firstLine="420" w:firstLineChars="200"/>
        <w:textAlignment w:val="baseline"/>
        <w:rPr>
          <w:rStyle w:val="69"/>
          <w:rFonts w:hint="eastAsia" w:ascii="宋体" w:hAnsi="宋体" w:cs="宋体"/>
          <w:color w:val="auto"/>
        </w:rPr>
      </w:pPr>
      <w:bookmarkStart w:id="480" w:name="_Toc1096"/>
      <w:bookmarkStart w:id="481" w:name="_Toc2843"/>
      <w:bookmarkStart w:id="482" w:name="_Toc23862"/>
      <w:r>
        <w:rPr>
          <w:rStyle w:val="69"/>
          <w:rFonts w:hint="eastAsia" w:ascii="宋体" w:hAnsi="宋体" w:cs="宋体"/>
          <w:color w:val="auto"/>
        </w:rPr>
        <w:t>（3）未按规定方式取得竞争性磋商文件参加磋商的。</w:t>
      </w:r>
      <w:bookmarkEnd w:id="480"/>
      <w:bookmarkEnd w:id="481"/>
      <w:bookmarkEnd w:id="482"/>
    </w:p>
    <w:p>
      <w:pPr>
        <w:pStyle w:val="57"/>
        <w:rPr>
          <w:color w:val="auto"/>
        </w:rPr>
      </w:pPr>
      <w:bookmarkStart w:id="483" w:name="_Toc23657"/>
      <w:bookmarkStart w:id="484" w:name="_Toc32703"/>
      <w:bookmarkStart w:id="485" w:name="_Toc5904"/>
      <w:bookmarkStart w:id="486" w:name="_Toc7982"/>
      <w:bookmarkStart w:id="487" w:name="_Toc7107"/>
      <w:r>
        <w:rPr>
          <w:rFonts w:hint="eastAsia"/>
          <w:color w:val="auto"/>
        </w:rPr>
        <w:t xml:space="preserve">5. </w:t>
      </w:r>
      <w:bookmarkEnd w:id="469"/>
      <w:r>
        <w:rPr>
          <w:rFonts w:hint="eastAsia"/>
          <w:color w:val="auto"/>
        </w:rPr>
        <w:t>磋商</w:t>
      </w:r>
      <w:bookmarkEnd w:id="470"/>
      <w:bookmarkEnd w:id="483"/>
      <w:bookmarkEnd w:id="484"/>
      <w:bookmarkEnd w:id="485"/>
      <w:bookmarkEnd w:id="486"/>
      <w:bookmarkEnd w:id="487"/>
    </w:p>
    <w:p>
      <w:pPr>
        <w:pStyle w:val="58"/>
        <w:keepNext w:val="0"/>
        <w:keepLines w:val="0"/>
        <w:spacing w:line="360" w:lineRule="auto"/>
        <w:ind w:firstLine="422" w:firstLineChars="200"/>
        <w:rPr>
          <w:rFonts w:ascii="宋体" w:hAnsi="宋体" w:eastAsia="宋体"/>
          <w:b/>
          <w:bCs/>
          <w:color w:val="auto"/>
          <w:sz w:val="21"/>
          <w:szCs w:val="21"/>
        </w:rPr>
      </w:pPr>
      <w:bookmarkStart w:id="488" w:name="_Toc9969"/>
      <w:bookmarkEnd w:id="488"/>
      <w:bookmarkStart w:id="489" w:name="_Toc509667287"/>
      <w:bookmarkEnd w:id="489"/>
      <w:bookmarkStart w:id="490" w:name="_Toc20333"/>
      <w:bookmarkEnd w:id="490"/>
      <w:bookmarkStart w:id="491" w:name="_Toc152042336"/>
      <w:bookmarkEnd w:id="491"/>
      <w:bookmarkStart w:id="492" w:name="_Toc466298119"/>
      <w:bookmarkEnd w:id="492"/>
      <w:bookmarkStart w:id="493" w:name="_Toc25809"/>
      <w:bookmarkEnd w:id="493"/>
      <w:bookmarkStart w:id="494" w:name="_Toc26426"/>
      <w:bookmarkEnd w:id="494"/>
      <w:bookmarkStart w:id="495" w:name="_Toc152045560"/>
      <w:bookmarkEnd w:id="495"/>
      <w:bookmarkStart w:id="496" w:name="_Toc144974528"/>
      <w:bookmarkEnd w:id="496"/>
      <w:bookmarkStart w:id="497" w:name="_Toc490667856"/>
      <w:bookmarkEnd w:id="497"/>
      <w:bookmarkStart w:id="498" w:name="_Toc25533"/>
      <w:bookmarkEnd w:id="498"/>
      <w:bookmarkStart w:id="499" w:name="_Toc14"/>
      <w:bookmarkEnd w:id="499"/>
      <w:bookmarkStart w:id="500" w:name="_Toc455080136"/>
      <w:bookmarkEnd w:id="500"/>
      <w:bookmarkStart w:id="501" w:name="_Toc455867796"/>
      <w:bookmarkEnd w:id="501"/>
      <w:bookmarkStart w:id="502" w:name="_Toc5569"/>
      <w:bookmarkStart w:id="503" w:name="_Toc318450703"/>
      <w:bookmarkStart w:id="504" w:name="_Toc129073486"/>
      <w:r>
        <w:rPr>
          <w:rFonts w:hint="eastAsia" w:ascii="宋体" w:hAnsi="宋体" w:eastAsia="宋体"/>
          <w:b/>
          <w:bCs/>
          <w:color w:val="auto"/>
          <w:sz w:val="21"/>
          <w:szCs w:val="21"/>
        </w:rPr>
        <w:t>5.1 磋商时间和地点</w:t>
      </w:r>
      <w:bookmarkEnd w:id="502"/>
      <w:bookmarkEnd w:id="503"/>
      <w:bookmarkEnd w:id="504"/>
    </w:p>
    <w:p>
      <w:pPr>
        <w:spacing w:line="360" w:lineRule="auto"/>
        <w:ind w:firstLine="420" w:firstLineChars="200"/>
        <w:rPr>
          <w:rFonts w:ascii="宋体" w:hAnsi="宋体"/>
          <w:color w:val="auto"/>
        </w:rPr>
      </w:pPr>
      <w:bookmarkStart w:id="505" w:name="_Toc318450704"/>
      <w:bookmarkEnd w:id="505"/>
      <w:bookmarkStart w:id="506" w:name="_Toc25911"/>
      <w:bookmarkEnd w:id="506"/>
      <w:bookmarkStart w:id="507" w:name="_Toc455080137"/>
      <w:bookmarkEnd w:id="507"/>
      <w:bookmarkStart w:id="508" w:name="_Toc144974529"/>
      <w:bookmarkEnd w:id="508"/>
      <w:bookmarkStart w:id="509" w:name="_Toc30074"/>
      <w:bookmarkEnd w:id="509"/>
      <w:bookmarkStart w:id="510" w:name="_Toc11148"/>
      <w:bookmarkEnd w:id="510"/>
      <w:bookmarkStart w:id="511" w:name="_Toc152042337"/>
      <w:bookmarkEnd w:id="511"/>
      <w:bookmarkStart w:id="512" w:name="_Toc152045561"/>
      <w:bookmarkEnd w:id="512"/>
      <w:bookmarkStart w:id="513" w:name="_Toc3865"/>
      <w:bookmarkEnd w:id="513"/>
      <w:bookmarkStart w:id="514" w:name="_Toc30965"/>
      <w:bookmarkEnd w:id="514"/>
      <w:bookmarkStart w:id="515" w:name="_Toc17491"/>
      <w:r>
        <w:rPr>
          <w:rFonts w:hint="eastAsia" w:ascii="宋体" w:hAnsi="宋体"/>
          <w:color w:val="auto"/>
        </w:rPr>
        <w:t>采购人在规定的响应文件递交截止时间和供应商须知前附表规定的地点进行磋商，本项目采用“远程不见面”开标方式，远程开标大厅网址为 http://www.hnggzy.net/BidOpening/bidopeninghallaction/hall/login， 供应商无需到河南省公共资源交易中心现场参加开标会议。供应商应当在响应文件递交截止时间前，登录远程开标大厅，在线准时参加开标活动并进行文件解密等。在规定时间内响应文件未解密的供应商，视为放弃磋商投标。</w:t>
      </w:r>
      <w:bookmarkEnd w:id="515"/>
    </w:p>
    <w:p>
      <w:pPr>
        <w:spacing w:line="360" w:lineRule="auto"/>
        <w:ind w:firstLine="422" w:firstLineChars="200"/>
        <w:rPr>
          <w:rFonts w:ascii="宋体" w:hAnsi="宋体"/>
          <w:b/>
          <w:bCs/>
          <w:color w:val="auto"/>
        </w:rPr>
      </w:pPr>
      <w:r>
        <w:rPr>
          <w:rFonts w:hint="eastAsia" w:ascii="宋体" w:hAnsi="宋体"/>
          <w:b/>
          <w:bCs/>
          <w:color w:val="auto"/>
        </w:rPr>
        <w:t>5.2 磋商会议程序（按河南省公共资源交易中心“远程不见面”开标程序进行）</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（1）公布供应商；</w:t>
      </w:r>
    </w:p>
    <w:p>
      <w:pPr>
        <w:spacing w:line="440" w:lineRule="exact"/>
        <w:ind w:firstLine="420" w:firstLineChars="200"/>
        <w:rPr>
          <w:rFonts w:ascii="宋体" w:hAnsi="宋体" w:cs="宋体"/>
          <w:snapToGrid w:val="0"/>
          <w:color w:val="auto"/>
        </w:rPr>
      </w:pPr>
      <w:r>
        <w:rPr>
          <w:rStyle w:val="69"/>
          <w:rFonts w:hint="eastAsia" w:ascii="宋体" w:hAnsi="宋体" w:cs="宋体"/>
          <w:color w:val="auto"/>
        </w:rPr>
        <w:t>（2）供应商解密</w:t>
      </w:r>
      <w:r>
        <w:rPr>
          <w:rFonts w:hint="eastAsia" w:ascii="宋体" w:hAnsi="宋体" w:cs="宋体"/>
          <w:snapToGrid w:val="0"/>
          <w:color w:val="auto"/>
        </w:rPr>
        <w:t>；</w:t>
      </w:r>
    </w:p>
    <w:p>
      <w:pPr>
        <w:spacing w:line="440" w:lineRule="exact"/>
        <w:ind w:firstLine="420" w:firstLineChars="200"/>
        <w:rPr>
          <w:rFonts w:ascii="宋体" w:hAnsi="宋体" w:cs="宋体"/>
          <w:snapToGrid w:val="0"/>
          <w:color w:val="auto"/>
        </w:rPr>
      </w:pPr>
      <w:r>
        <w:rPr>
          <w:rStyle w:val="69"/>
          <w:rFonts w:hint="eastAsia" w:ascii="宋体" w:hAnsi="宋体" w:cs="宋体"/>
          <w:color w:val="auto"/>
        </w:rPr>
        <w:t>（3）</w:t>
      </w:r>
      <w:r>
        <w:rPr>
          <w:rFonts w:hint="eastAsia" w:ascii="宋体" w:hAnsi="宋体" w:cs="宋体"/>
          <w:snapToGrid w:val="0"/>
          <w:color w:val="auto"/>
        </w:rPr>
        <w:t>招标人解密；</w:t>
      </w:r>
    </w:p>
    <w:p>
      <w:pPr>
        <w:spacing w:line="440" w:lineRule="exact"/>
        <w:ind w:firstLine="420" w:firstLineChars="200"/>
        <w:rPr>
          <w:rFonts w:ascii="宋体" w:hAnsi="宋体" w:cs="宋体"/>
          <w:snapToGrid w:val="0"/>
          <w:color w:val="auto"/>
        </w:rPr>
      </w:pPr>
      <w:r>
        <w:rPr>
          <w:rStyle w:val="69"/>
          <w:rFonts w:hint="eastAsia" w:ascii="宋体" w:hAnsi="宋体" w:cs="宋体"/>
          <w:color w:val="auto"/>
        </w:rPr>
        <w:t>（4）</w:t>
      </w:r>
      <w:r>
        <w:rPr>
          <w:rFonts w:hint="eastAsia" w:ascii="宋体" w:hAnsi="宋体" w:cs="宋体"/>
          <w:snapToGrid w:val="0"/>
          <w:color w:val="auto"/>
        </w:rPr>
        <w:t>开标结束。</w:t>
      </w:r>
    </w:p>
    <w:p>
      <w:pPr>
        <w:spacing w:line="440" w:lineRule="exact"/>
        <w:ind w:firstLine="422" w:firstLineChars="200"/>
        <w:rPr>
          <w:rFonts w:ascii="宋体" w:hAnsi="宋体" w:cs="宋体"/>
          <w:b/>
          <w:bCs/>
          <w:snapToGrid w:val="0"/>
          <w:color w:val="auto"/>
        </w:rPr>
      </w:pPr>
      <w:r>
        <w:rPr>
          <w:rFonts w:hint="eastAsia" w:ascii="宋体" w:hAnsi="宋体" w:cs="宋体"/>
          <w:b/>
          <w:bCs/>
          <w:snapToGrid w:val="0"/>
          <w:color w:val="auto"/>
        </w:rPr>
        <w:t>5.3 开标异议</w:t>
      </w:r>
    </w:p>
    <w:p>
      <w:pPr>
        <w:spacing w:line="440" w:lineRule="exact"/>
        <w:ind w:firstLine="420" w:firstLineChars="200"/>
        <w:rPr>
          <w:rFonts w:ascii="宋体" w:hAnsi="宋体" w:cs="宋体"/>
          <w:snapToGrid w:val="0"/>
          <w:color w:val="auto"/>
        </w:rPr>
      </w:pPr>
      <w:r>
        <w:rPr>
          <w:rFonts w:ascii="宋体" w:hAnsi="宋体" w:cs="宋体"/>
          <w:snapToGrid w:val="0"/>
          <w:color w:val="auto"/>
        </w:rPr>
        <w:t>供应商对开标过程有异议的，应当在开标现场提出，采购人当场作出答复。供应商未参加开标的，视同认可开标结果。</w:t>
      </w:r>
    </w:p>
    <w:p>
      <w:pPr>
        <w:spacing w:line="440" w:lineRule="exact"/>
        <w:ind w:firstLine="422" w:firstLineChars="200"/>
        <w:rPr>
          <w:rFonts w:hint="eastAsia" w:ascii="宋体" w:hAnsi="宋体" w:cs="宋体"/>
          <w:b/>
          <w:bCs/>
          <w:snapToGrid w:val="0"/>
          <w:color w:val="auto"/>
          <w:lang w:val="en-US" w:eastAsia="zh-CN"/>
        </w:rPr>
      </w:pPr>
      <w:r>
        <w:rPr>
          <w:rFonts w:hint="eastAsia" w:ascii="宋体" w:hAnsi="宋体" w:cs="宋体"/>
          <w:b/>
          <w:bCs/>
          <w:snapToGrid w:val="0"/>
          <w:color w:val="auto"/>
          <w:lang w:val="en-US" w:eastAsia="zh-CN"/>
        </w:rPr>
        <w:t>5.4异常情况处理</w:t>
      </w:r>
    </w:p>
    <w:p>
      <w:pPr>
        <w:spacing w:line="440" w:lineRule="exact"/>
        <w:ind w:firstLine="420" w:firstLineChars="200"/>
        <w:rPr>
          <w:rFonts w:ascii="宋体" w:hAnsi="宋体" w:cs="宋体"/>
          <w:snapToGrid w:val="0"/>
          <w:color w:val="auto"/>
        </w:rPr>
      </w:pPr>
      <w:r>
        <w:rPr>
          <w:rFonts w:hint="eastAsia" w:ascii="宋体" w:hAnsi="宋体" w:cs="宋体"/>
          <w:snapToGrid w:val="0"/>
          <w:color w:val="auto"/>
        </w:rPr>
        <w:t>在开标、评标过程中，若出现异常情况导致无法正常采用电子开标时，如出现网络中断、服务器发生故障或停电等其它不可抗力情形，导致电子交易系统无法正常运行的，应由采购人、采购代理机构视情况提出解决方案，及时通报监管部门和交易中心研究处理。</w:t>
      </w:r>
    </w:p>
    <w:p>
      <w:pPr>
        <w:pStyle w:val="57"/>
        <w:rPr>
          <w:color w:val="auto"/>
        </w:rPr>
      </w:pPr>
      <w:bookmarkStart w:id="516" w:name="_Toc490667857"/>
      <w:bookmarkEnd w:id="516"/>
      <w:bookmarkStart w:id="517" w:name="_Toc509667288"/>
      <w:bookmarkEnd w:id="517"/>
      <w:bookmarkStart w:id="518" w:name="_Toc466298120"/>
      <w:bookmarkEnd w:id="518"/>
      <w:bookmarkStart w:id="519" w:name="_Toc152042338"/>
      <w:bookmarkEnd w:id="519"/>
      <w:bookmarkStart w:id="520" w:name="_Toc144974530"/>
      <w:bookmarkEnd w:id="520"/>
      <w:bookmarkStart w:id="521" w:name="_Toc455080138"/>
      <w:bookmarkEnd w:id="521"/>
      <w:bookmarkStart w:id="522" w:name="_Toc13397"/>
      <w:bookmarkEnd w:id="522"/>
      <w:bookmarkStart w:id="523" w:name="_Toc152045562"/>
      <w:bookmarkEnd w:id="523"/>
      <w:bookmarkStart w:id="524" w:name="_Toc509667289"/>
      <w:bookmarkEnd w:id="524"/>
      <w:bookmarkStart w:id="525" w:name="_Toc29816"/>
      <w:bookmarkStart w:id="526" w:name="_Toc129073488"/>
      <w:bookmarkStart w:id="527" w:name="_Toc17080"/>
      <w:bookmarkStart w:id="528" w:name="_Toc26210"/>
      <w:bookmarkStart w:id="529" w:name="_Toc30088"/>
      <w:bookmarkStart w:id="530" w:name="_Toc2321"/>
      <w:r>
        <w:rPr>
          <w:rFonts w:hint="eastAsia"/>
          <w:color w:val="auto"/>
        </w:rPr>
        <w:t>6. 磋商</w:t>
      </w:r>
      <w:bookmarkEnd w:id="525"/>
      <w:bookmarkEnd w:id="526"/>
      <w:bookmarkEnd w:id="527"/>
      <w:bookmarkEnd w:id="528"/>
      <w:bookmarkEnd w:id="529"/>
      <w:bookmarkEnd w:id="530"/>
    </w:p>
    <w:p>
      <w:pPr>
        <w:pStyle w:val="58"/>
        <w:keepNext w:val="0"/>
        <w:keepLines w:val="0"/>
        <w:spacing w:line="360" w:lineRule="auto"/>
        <w:ind w:firstLine="422" w:firstLineChars="200"/>
        <w:rPr>
          <w:rFonts w:ascii="宋体" w:hAnsi="宋体" w:eastAsia="宋体"/>
          <w:b/>
          <w:bCs/>
          <w:color w:val="auto"/>
          <w:sz w:val="21"/>
          <w:szCs w:val="21"/>
        </w:rPr>
      </w:pPr>
      <w:bookmarkStart w:id="531" w:name="_Toc22250"/>
      <w:bookmarkEnd w:id="531"/>
      <w:bookmarkStart w:id="532" w:name="_Toc144974531"/>
      <w:bookmarkEnd w:id="532"/>
      <w:bookmarkStart w:id="533" w:name="_Toc9808"/>
      <w:bookmarkEnd w:id="533"/>
      <w:bookmarkStart w:id="534" w:name="_Toc490667859"/>
      <w:bookmarkEnd w:id="534"/>
      <w:bookmarkStart w:id="535" w:name="_Toc455867799"/>
      <w:bookmarkEnd w:id="535"/>
      <w:bookmarkStart w:id="536" w:name="_Toc18985"/>
      <w:bookmarkEnd w:id="536"/>
      <w:bookmarkStart w:id="537" w:name="_Toc509667290"/>
      <w:bookmarkEnd w:id="537"/>
      <w:bookmarkStart w:id="538" w:name="_Toc1574"/>
      <w:bookmarkEnd w:id="538"/>
      <w:bookmarkStart w:id="539" w:name="_Toc152045563"/>
      <w:bookmarkEnd w:id="539"/>
      <w:bookmarkStart w:id="540" w:name="_Toc26098"/>
      <w:bookmarkEnd w:id="540"/>
      <w:bookmarkStart w:id="541" w:name="_Toc318450706"/>
      <w:bookmarkEnd w:id="541"/>
      <w:bookmarkStart w:id="542" w:name="_Toc455080139"/>
      <w:bookmarkEnd w:id="542"/>
      <w:bookmarkStart w:id="543" w:name="_Toc152042339"/>
      <w:bookmarkEnd w:id="543"/>
      <w:bookmarkStart w:id="544" w:name="_Toc466298122"/>
      <w:bookmarkEnd w:id="544"/>
      <w:bookmarkStart w:id="545" w:name="_Toc1546"/>
      <w:bookmarkStart w:id="546" w:name="_Toc129073489"/>
      <w:bookmarkStart w:id="547" w:name="_Toc7092"/>
      <w:r>
        <w:rPr>
          <w:rFonts w:hint="eastAsia" w:ascii="宋体" w:hAnsi="宋体" w:eastAsia="宋体"/>
          <w:b/>
          <w:bCs/>
          <w:color w:val="auto"/>
          <w:sz w:val="21"/>
          <w:szCs w:val="21"/>
        </w:rPr>
        <w:t>6.1</w:t>
      </w:r>
      <w:bookmarkEnd w:id="545"/>
      <w:r>
        <w:rPr>
          <w:rFonts w:hint="eastAsia" w:ascii="宋体" w:hAnsi="宋体" w:eastAsia="宋体"/>
          <w:b/>
          <w:bCs/>
          <w:color w:val="auto"/>
          <w:sz w:val="21"/>
          <w:szCs w:val="21"/>
        </w:rPr>
        <w:t>磋商小组</w:t>
      </w:r>
      <w:bookmarkEnd w:id="546"/>
      <w:bookmarkEnd w:id="547"/>
    </w:p>
    <w:p>
      <w:pPr>
        <w:spacing w:line="360" w:lineRule="auto"/>
        <w:ind w:firstLine="420" w:firstLineChars="200"/>
        <w:rPr>
          <w:rFonts w:ascii="宋体" w:hAnsi="宋体"/>
          <w:color w:val="auto"/>
        </w:rPr>
      </w:pPr>
      <w:r>
        <w:rPr>
          <w:rFonts w:hint="eastAsia" w:ascii="宋体" w:hAnsi="宋体"/>
          <w:color w:val="auto"/>
        </w:rPr>
        <w:t>6.1.1 磋商由采购人依法组建的磋商小组负责。磋商小组由采购人代表以及有关技术、经济等方面的专家组成。磋商小组成员人数以及技术、经济等方面专家的确定方式见供应商须知前附表。</w:t>
      </w:r>
    </w:p>
    <w:p>
      <w:pPr>
        <w:spacing w:line="360" w:lineRule="auto"/>
        <w:ind w:firstLine="420" w:firstLineChars="200"/>
        <w:rPr>
          <w:rFonts w:ascii="宋体" w:hAnsi="宋体"/>
          <w:color w:val="auto"/>
        </w:rPr>
      </w:pPr>
      <w:r>
        <w:rPr>
          <w:rFonts w:hint="eastAsia" w:ascii="宋体" w:hAnsi="宋体"/>
          <w:color w:val="auto"/>
        </w:rPr>
        <w:t>6.1.2评审专家与参加采购活动的供应商存在下列利害关系之一的，应当回避：</w:t>
      </w:r>
    </w:p>
    <w:p>
      <w:pPr>
        <w:spacing w:line="360" w:lineRule="auto"/>
        <w:ind w:firstLine="420" w:firstLineChars="200"/>
        <w:rPr>
          <w:rFonts w:ascii="宋体" w:hAnsi="宋体"/>
          <w:color w:val="auto"/>
        </w:rPr>
      </w:pPr>
      <w:r>
        <w:rPr>
          <w:rFonts w:hint="eastAsia" w:ascii="宋体" w:hAnsi="宋体"/>
          <w:color w:val="auto"/>
        </w:rPr>
        <w:t>(一)参加采购活动前三年内,与供应商存在劳动关系，或者担任过供应商的董事、监事，或者是供应商的控股股东或实际控制人；</w:t>
      </w:r>
    </w:p>
    <w:p>
      <w:pPr>
        <w:spacing w:line="360" w:lineRule="auto"/>
        <w:ind w:firstLine="420" w:firstLineChars="200"/>
        <w:rPr>
          <w:rFonts w:ascii="宋体" w:hAnsi="宋体"/>
          <w:color w:val="auto"/>
        </w:rPr>
      </w:pPr>
      <w:r>
        <w:rPr>
          <w:rFonts w:hint="eastAsia" w:ascii="宋体" w:hAnsi="宋体"/>
          <w:color w:val="auto"/>
        </w:rPr>
        <w:t>(二)与供应商的法定代表人或者负责人有夫妻、直系血亲、三代以内旁系血亲或者近姻亲关系；</w:t>
      </w:r>
    </w:p>
    <w:p>
      <w:pPr>
        <w:spacing w:line="360" w:lineRule="auto"/>
        <w:ind w:firstLine="420" w:firstLineChars="200"/>
        <w:rPr>
          <w:rFonts w:ascii="宋体" w:hAnsi="宋体"/>
          <w:color w:val="auto"/>
        </w:rPr>
      </w:pPr>
      <w:r>
        <w:rPr>
          <w:rFonts w:hint="eastAsia" w:ascii="宋体" w:hAnsi="宋体"/>
          <w:color w:val="auto"/>
        </w:rPr>
        <w:t>(三)与供应商有其他可能影响政府采购活动公平、公正进行的关系。</w:t>
      </w:r>
    </w:p>
    <w:p>
      <w:pPr>
        <w:spacing w:line="360" w:lineRule="auto"/>
        <w:ind w:firstLine="420" w:firstLineChars="200"/>
        <w:rPr>
          <w:rFonts w:ascii="宋体" w:hAnsi="宋体"/>
          <w:color w:val="auto"/>
        </w:rPr>
      </w:pPr>
      <w:r>
        <w:rPr>
          <w:rFonts w:hint="eastAsia" w:ascii="宋体" w:hAnsi="宋体"/>
          <w:color w:val="auto"/>
        </w:rPr>
        <w:t>评审专家发现本人与参加采购活动的供应商有利害关系的，应当主动提出回避。采购人或者采购代理机构发现评审专家与参加采购活动的供应商有利害关系的，应当要求其回避。</w:t>
      </w:r>
    </w:p>
    <w:p>
      <w:pPr>
        <w:spacing w:line="360" w:lineRule="auto"/>
        <w:ind w:firstLine="420" w:firstLineChars="200"/>
        <w:rPr>
          <w:rFonts w:ascii="宋体" w:hAnsi="宋体"/>
          <w:color w:val="auto"/>
        </w:rPr>
      </w:pPr>
      <w:r>
        <w:rPr>
          <w:rFonts w:hint="eastAsia" w:ascii="宋体" w:hAnsi="宋体"/>
          <w:color w:val="auto"/>
        </w:rPr>
        <w:t>6.1.3磋商小组履行下列义务：</w:t>
      </w:r>
    </w:p>
    <w:p>
      <w:pPr>
        <w:spacing w:line="360" w:lineRule="auto"/>
        <w:ind w:firstLine="420" w:firstLineChars="200"/>
        <w:rPr>
          <w:rFonts w:ascii="宋体" w:hAnsi="宋体"/>
          <w:color w:val="auto"/>
        </w:rPr>
      </w:pPr>
      <w:r>
        <w:rPr>
          <w:rFonts w:hint="eastAsia" w:ascii="宋体" w:hAnsi="宋体"/>
          <w:color w:val="auto"/>
        </w:rPr>
        <w:t>（1）遵纪守法，客观、公正、廉洁地履行职责；</w:t>
      </w:r>
    </w:p>
    <w:p>
      <w:pPr>
        <w:spacing w:line="360" w:lineRule="auto"/>
        <w:ind w:firstLine="420" w:firstLineChars="200"/>
        <w:rPr>
          <w:rFonts w:ascii="宋体" w:hAnsi="宋体"/>
          <w:color w:val="auto"/>
        </w:rPr>
      </w:pPr>
      <w:r>
        <w:rPr>
          <w:rFonts w:hint="eastAsia" w:ascii="宋体" w:hAnsi="宋体"/>
          <w:color w:val="auto"/>
        </w:rPr>
        <w:t>（2）根据竞争性磋商文件的规定独立进行评审，对个人的评审意见承担法律责任；</w:t>
      </w:r>
    </w:p>
    <w:p>
      <w:pPr>
        <w:spacing w:line="360" w:lineRule="auto"/>
        <w:ind w:firstLine="420" w:firstLineChars="200"/>
        <w:rPr>
          <w:rFonts w:ascii="宋体" w:hAnsi="宋体"/>
          <w:color w:val="auto"/>
        </w:rPr>
      </w:pPr>
      <w:r>
        <w:rPr>
          <w:rFonts w:hint="eastAsia" w:ascii="宋体" w:hAnsi="宋体"/>
          <w:color w:val="auto"/>
        </w:rPr>
        <w:t>（3）参与评审报告的起草；</w:t>
      </w:r>
    </w:p>
    <w:p>
      <w:pPr>
        <w:spacing w:line="360" w:lineRule="auto"/>
        <w:ind w:firstLine="420" w:firstLineChars="200"/>
        <w:rPr>
          <w:rFonts w:ascii="宋体" w:hAnsi="宋体"/>
          <w:color w:val="auto"/>
        </w:rPr>
      </w:pPr>
      <w:r>
        <w:rPr>
          <w:rFonts w:hint="eastAsia" w:ascii="宋体" w:hAnsi="宋体"/>
          <w:color w:val="auto"/>
        </w:rPr>
        <w:t>（4）配合采购人、采购代理机构答复供应商提出的质疑；</w:t>
      </w:r>
    </w:p>
    <w:p>
      <w:pPr>
        <w:spacing w:line="360" w:lineRule="auto"/>
        <w:ind w:firstLine="420" w:firstLineChars="200"/>
        <w:rPr>
          <w:rFonts w:ascii="宋体" w:hAnsi="宋体"/>
          <w:color w:val="auto"/>
        </w:rPr>
      </w:pPr>
      <w:r>
        <w:rPr>
          <w:rFonts w:hint="eastAsia" w:ascii="宋体" w:hAnsi="宋体"/>
          <w:color w:val="auto"/>
        </w:rPr>
        <w:t>（5）配合监督部门的投诉处理和监督检查工作。</w:t>
      </w:r>
    </w:p>
    <w:p>
      <w:pPr>
        <w:spacing w:line="360" w:lineRule="auto"/>
        <w:ind w:firstLine="420" w:firstLineChars="200"/>
        <w:rPr>
          <w:rFonts w:ascii="宋体" w:hAnsi="宋体"/>
          <w:color w:val="auto"/>
        </w:rPr>
      </w:pPr>
      <w:r>
        <w:rPr>
          <w:rFonts w:hint="eastAsia" w:ascii="宋体" w:hAnsi="宋体"/>
          <w:color w:val="auto"/>
        </w:rPr>
        <w:t>6.1.4评标过程中，磋商小组成员有回避事由、擅离职守或者因健康等原因不能继续评审的，采购人有权更换。被更换的磋商小组成员作出的评审结论无效，由更换后的磋商小组成员重新进行评审。</w:t>
      </w:r>
    </w:p>
    <w:p>
      <w:pPr>
        <w:pStyle w:val="58"/>
        <w:keepNext w:val="0"/>
        <w:keepLines w:val="0"/>
        <w:spacing w:line="360" w:lineRule="auto"/>
        <w:ind w:firstLine="422" w:firstLineChars="200"/>
        <w:rPr>
          <w:rFonts w:ascii="宋体" w:hAnsi="宋体" w:eastAsia="宋体"/>
          <w:b/>
          <w:bCs/>
          <w:color w:val="auto"/>
          <w:sz w:val="21"/>
          <w:szCs w:val="21"/>
        </w:rPr>
      </w:pPr>
      <w:bookmarkStart w:id="548" w:name="_Toc152045564"/>
      <w:bookmarkEnd w:id="548"/>
      <w:bookmarkStart w:id="549" w:name="_Toc4435"/>
      <w:bookmarkEnd w:id="549"/>
      <w:bookmarkStart w:id="550" w:name="_Toc25721"/>
      <w:bookmarkEnd w:id="550"/>
      <w:bookmarkStart w:id="551" w:name="_Toc22143"/>
      <w:bookmarkEnd w:id="551"/>
      <w:bookmarkStart w:id="552" w:name="_Toc490667860"/>
      <w:bookmarkEnd w:id="552"/>
      <w:bookmarkStart w:id="553" w:name="_Toc509667291"/>
      <w:bookmarkEnd w:id="553"/>
      <w:bookmarkStart w:id="554" w:name="_Toc8248"/>
      <w:bookmarkEnd w:id="554"/>
      <w:bookmarkStart w:id="555" w:name="_Toc455867800"/>
      <w:bookmarkEnd w:id="555"/>
      <w:bookmarkStart w:id="556" w:name="_Toc152042340"/>
      <w:bookmarkEnd w:id="556"/>
      <w:bookmarkStart w:id="557" w:name="_Toc455080140"/>
      <w:bookmarkEnd w:id="557"/>
      <w:bookmarkStart w:id="558" w:name="_Toc318450707"/>
      <w:bookmarkEnd w:id="558"/>
      <w:bookmarkStart w:id="559" w:name="_Toc144974532"/>
      <w:bookmarkEnd w:id="559"/>
      <w:bookmarkStart w:id="560" w:name="_Toc21102"/>
      <w:bookmarkEnd w:id="560"/>
      <w:bookmarkStart w:id="561" w:name="_Toc466298123"/>
      <w:bookmarkEnd w:id="561"/>
      <w:bookmarkStart w:id="562" w:name="_Toc129073490"/>
      <w:bookmarkStart w:id="563" w:name="_Toc8240"/>
      <w:bookmarkStart w:id="564" w:name="_Toc11456"/>
      <w:r>
        <w:rPr>
          <w:rFonts w:hint="eastAsia" w:ascii="宋体" w:hAnsi="宋体" w:eastAsia="宋体"/>
          <w:b/>
          <w:bCs/>
          <w:color w:val="auto"/>
          <w:sz w:val="21"/>
          <w:szCs w:val="21"/>
        </w:rPr>
        <w:t>6.2 磋商原则</w:t>
      </w:r>
      <w:bookmarkEnd w:id="562"/>
      <w:bookmarkEnd w:id="563"/>
      <w:bookmarkEnd w:id="564"/>
    </w:p>
    <w:p>
      <w:pPr>
        <w:spacing w:line="360" w:lineRule="auto"/>
        <w:ind w:firstLine="420" w:firstLineChars="200"/>
        <w:rPr>
          <w:rFonts w:ascii="宋体" w:hAnsi="宋体"/>
          <w:color w:val="auto"/>
        </w:rPr>
      </w:pPr>
      <w:r>
        <w:rPr>
          <w:rFonts w:hint="eastAsia" w:ascii="宋体" w:hAnsi="宋体"/>
          <w:color w:val="auto"/>
        </w:rPr>
        <w:t>磋商活动遵循客观、公正、审慎的原则。</w:t>
      </w:r>
    </w:p>
    <w:p>
      <w:pPr>
        <w:pStyle w:val="58"/>
        <w:keepNext w:val="0"/>
        <w:keepLines w:val="0"/>
        <w:spacing w:line="360" w:lineRule="auto"/>
        <w:ind w:firstLine="422" w:firstLineChars="200"/>
        <w:rPr>
          <w:rFonts w:ascii="宋体" w:hAnsi="宋体" w:eastAsia="宋体"/>
          <w:b/>
          <w:bCs/>
          <w:color w:val="auto"/>
          <w:sz w:val="21"/>
          <w:szCs w:val="21"/>
        </w:rPr>
      </w:pPr>
      <w:bookmarkStart w:id="565" w:name="_Toc455080141"/>
      <w:bookmarkEnd w:id="565"/>
      <w:bookmarkStart w:id="566" w:name="_Toc466298124"/>
      <w:bookmarkEnd w:id="566"/>
      <w:bookmarkStart w:id="567" w:name="_Toc16725"/>
      <w:bookmarkEnd w:id="567"/>
      <w:bookmarkStart w:id="568" w:name="_Toc18756"/>
      <w:bookmarkEnd w:id="568"/>
      <w:bookmarkStart w:id="569" w:name="_Toc509667292"/>
      <w:bookmarkEnd w:id="569"/>
      <w:bookmarkStart w:id="570" w:name="_Toc152042341"/>
      <w:bookmarkEnd w:id="570"/>
      <w:bookmarkStart w:id="571" w:name="_Toc27036"/>
      <w:bookmarkEnd w:id="571"/>
      <w:bookmarkStart w:id="572" w:name="_Toc144974533"/>
      <w:bookmarkEnd w:id="572"/>
      <w:bookmarkStart w:id="573" w:name="_Toc152045565"/>
      <w:bookmarkEnd w:id="573"/>
      <w:bookmarkStart w:id="574" w:name="_Toc8705"/>
      <w:bookmarkEnd w:id="574"/>
      <w:bookmarkStart w:id="575" w:name="_Toc24358"/>
      <w:bookmarkEnd w:id="575"/>
      <w:bookmarkStart w:id="576" w:name="_Toc15595"/>
      <w:bookmarkEnd w:id="576"/>
      <w:bookmarkStart w:id="577" w:name="_Toc455867801"/>
      <w:bookmarkEnd w:id="577"/>
      <w:bookmarkStart w:id="578" w:name="_Toc318450708"/>
      <w:bookmarkEnd w:id="578"/>
      <w:bookmarkStart w:id="579" w:name="_Toc490667861"/>
      <w:bookmarkStart w:id="580" w:name="_Toc129073491"/>
      <w:bookmarkStart w:id="581" w:name="_Toc12976"/>
      <w:r>
        <w:rPr>
          <w:rFonts w:hint="eastAsia" w:ascii="宋体" w:hAnsi="宋体" w:eastAsia="宋体"/>
          <w:b/>
          <w:bCs/>
          <w:color w:val="auto"/>
          <w:sz w:val="21"/>
          <w:szCs w:val="21"/>
        </w:rPr>
        <w:t>6.3</w:t>
      </w:r>
      <w:bookmarkEnd w:id="579"/>
      <w:bookmarkEnd w:id="580"/>
      <w:r>
        <w:rPr>
          <w:rFonts w:hint="eastAsia" w:ascii="宋体" w:hAnsi="宋体" w:eastAsia="宋体"/>
          <w:b/>
          <w:bCs/>
          <w:color w:val="auto"/>
          <w:sz w:val="21"/>
          <w:szCs w:val="21"/>
        </w:rPr>
        <w:t>磋商</w:t>
      </w:r>
      <w:bookmarkEnd w:id="581"/>
    </w:p>
    <w:p>
      <w:pPr>
        <w:pStyle w:val="58"/>
        <w:keepNext w:val="0"/>
        <w:keepLines w:val="0"/>
        <w:spacing w:line="360" w:lineRule="auto"/>
        <w:ind w:firstLine="420" w:firstLineChars="200"/>
        <w:outlineLvl w:val="9"/>
        <w:rPr>
          <w:rFonts w:ascii="宋体" w:hAnsi="宋体" w:eastAsia="宋体"/>
          <w:color w:val="auto"/>
          <w:sz w:val="21"/>
          <w:szCs w:val="21"/>
        </w:rPr>
      </w:pPr>
      <w:bookmarkStart w:id="582" w:name="_Toc31190"/>
      <w:r>
        <w:rPr>
          <w:rFonts w:hint="eastAsia" w:ascii="宋体" w:hAnsi="宋体" w:eastAsia="宋体"/>
          <w:color w:val="auto"/>
          <w:sz w:val="21"/>
          <w:szCs w:val="21"/>
        </w:rPr>
        <w:t>6.3.1磋商小组按照第三章“评标办法”规定的方法、评审因素、标准和程序对响应文件进行评审。第三章“评标办法”没有规定的方法、评审因素和标准，不作为评标依据。</w:t>
      </w:r>
      <w:bookmarkEnd w:id="582"/>
    </w:p>
    <w:p>
      <w:pPr>
        <w:pStyle w:val="58"/>
        <w:keepNext w:val="0"/>
        <w:keepLines w:val="0"/>
        <w:spacing w:line="360" w:lineRule="auto"/>
        <w:ind w:firstLine="420" w:firstLineChars="200"/>
        <w:outlineLvl w:val="9"/>
        <w:rPr>
          <w:rFonts w:ascii="宋体" w:hAnsi="宋体" w:eastAsia="宋体"/>
          <w:color w:val="auto"/>
          <w:sz w:val="21"/>
          <w:szCs w:val="21"/>
        </w:rPr>
      </w:pPr>
      <w:bookmarkStart w:id="583" w:name="_Toc19699"/>
      <w:r>
        <w:rPr>
          <w:rFonts w:hint="eastAsia" w:ascii="宋体" w:hAnsi="宋体" w:eastAsia="宋体"/>
          <w:color w:val="auto"/>
          <w:sz w:val="21"/>
          <w:szCs w:val="21"/>
        </w:rPr>
        <w:t>6.3.2磋商过程中，磋商小组可以根据竞争性磋商文件和磋商情况实质性变动采购需求中的技术、服务要求以及合同草案条款，但不得变动竞争性磋商文件中的其他内容。实质性变动的内容，须经采购人代表确认。该变动是竞争性磋商文件的有效组成部分。对竞争性磋商文件作出的实质性变动是竞争性磋商文件的有效组成部分，磋商小组以书面形式同时通知所有参加磋商的供应商，并要求所有实质性响应的供应商在规定时间内提交最后报价，未提交最终报价的作为无效</w:t>
      </w:r>
      <w:r>
        <w:rPr>
          <w:rFonts w:hint="eastAsia" w:ascii="宋体" w:hAnsi="宋体" w:eastAsia="宋体"/>
          <w:color w:val="auto"/>
          <w:sz w:val="21"/>
          <w:szCs w:val="21"/>
          <w:lang w:eastAsia="zh-CN"/>
        </w:rPr>
        <w:t>响应</w:t>
      </w:r>
      <w:r>
        <w:rPr>
          <w:rFonts w:hint="eastAsia" w:ascii="宋体" w:hAnsi="宋体" w:eastAsia="宋体"/>
          <w:color w:val="auto"/>
          <w:sz w:val="21"/>
          <w:szCs w:val="21"/>
        </w:rPr>
        <w:t>处理。提交最终报价的供应商不得少于3家。</w:t>
      </w:r>
      <w:bookmarkEnd w:id="583"/>
    </w:p>
    <w:p>
      <w:pPr>
        <w:pStyle w:val="58"/>
        <w:keepNext w:val="0"/>
        <w:keepLines w:val="0"/>
        <w:spacing w:line="360" w:lineRule="auto"/>
        <w:ind w:firstLine="420" w:firstLineChars="200"/>
        <w:outlineLvl w:val="9"/>
        <w:rPr>
          <w:rFonts w:ascii="宋体" w:hAnsi="宋体" w:eastAsia="宋体"/>
          <w:color w:val="auto"/>
          <w:sz w:val="21"/>
          <w:szCs w:val="21"/>
        </w:rPr>
      </w:pPr>
      <w:bookmarkStart w:id="584" w:name="_Toc32675"/>
      <w:r>
        <w:rPr>
          <w:rFonts w:hint="eastAsia" w:ascii="宋体" w:hAnsi="宋体" w:eastAsia="宋体"/>
          <w:color w:val="auto"/>
          <w:sz w:val="21"/>
          <w:szCs w:val="21"/>
        </w:rPr>
        <w:t>6.3.3已提交响应文件的供应商，在提交最后报价之前，可以根据磋商情况退出磋商。</w:t>
      </w:r>
      <w:bookmarkEnd w:id="584"/>
    </w:p>
    <w:p>
      <w:pPr>
        <w:pStyle w:val="58"/>
        <w:keepNext w:val="0"/>
        <w:keepLines w:val="0"/>
        <w:spacing w:line="360" w:lineRule="auto"/>
        <w:ind w:firstLine="420" w:firstLineChars="200"/>
        <w:outlineLvl w:val="9"/>
        <w:rPr>
          <w:rFonts w:ascii="宋体" w:hAnsi="宋体" w:eastAsia="宋体"/>
          <w:color w:val="auto"/>
          <w:sz w:val="21"/>
          <w:szCs w:val="21"/>
        </w:rPr>
      </w:pPr>
      <w:bookmarkStart w:id="585" w:name="_Toc12910"/>
      <w:r>
        <w:rPr>
          <w:rFonts w:hint="eastAsia" w:ascii="宋体" w:hAnsi="宋体" w:eastAsia="宋体"/>
          <w:color w:val="auto"/>
          <w:sz w:val="21"/>
          <w:szCs w:val="21"/>
        </w:rPr>
        <w:t>6.3.4经磋商确定最终采购需求和提交最后报价的供应商后，由磋商小组采用综合评分法对提交最后报价的供应商的响应文件和最后报价进行综合评分。</w:t>
      </w:r>
      <w:bookmarkEnd w:id="585"/>
    </w:p>
    <w:p>
      <w:pPr>
        <w:pStyle w:val="58"/>
        <w:keepNext w:val="0"/>
        <w:keepLines w:val="0"/>
        <w:spacing w:line="360" w:lineRule="auto"/>
        <w:ind w:firstLine="420" w:firstLineChars="200"/>
        <w:outlineLvl w:val="9"/>
        <w:rPr>
          <w:rFonts w:ascii="宋体" w:hAnsi="宋体" w:eastAsia="宋体"/>
          <w:color w:val="auto"/>
          <w:sz w:val="21"/>
          <w:szCs w:val="21"/>
        </w:rPr>
      </w:pPr>
      <w:bookmarkStart w:id="586" w:name="_Toc3244"/>
      <w:r>
        <w:rPr>
          <w:rFonts w:hint="eastAsia" w:ascii="宋体" w:hAnsi="宋体" w:eastAsia="宋体"/>
          <w:color w:val="auto"/>
          <w:sz w:val="21"/>
          <w:szCs w:val="21"/>
        </w:rPr>
        <w:t>6.3.5评审完成后，磋商小组应当向采购人提交书面评标报告和成交候选供应商名单。磋商小组推荐成交候选供应商数量见供应商须知前附表。</w:t>
      </w:r>
      <w:bookmarkEnd w:id="586"/>
    </w:p>
    <w:p>
      <w:pPr>
        <w:pStyle w:val="57"/>
        <w:rPr>
          <w:color w:val="auto"/>
        </w:rPr>
      </w:pPr>
      <w:bookmarkStart w:id="587" w:name="_Toc509667293"/>
      <w:bookmarkEnd w:id="587"/>
      <w:bookmarkStart w:id="588" w:name="_Toc144974534"/>
      <w:bookmarkEnd w:id="588"/>
      <w:bookmarkStart w:id="589" w:name="_Toc455080142"/>
      <w:bookmarkEnd w:id="589"/>
      <w:bookmarkStart w:id="590" w:name="_Toc152045566"/>
      <w:bookmarkEnd w:id="590"/>
      <w:bookmarkStart w:id="591" w:name="_Toc152042342"/>
      <w:bookmarkEnd w:id="591"/>
      <w:bookmarkStart w:id="592" w:name="_Toc2213"/>
      <w:bookmarkStart w:id="593" w:name="_Toc20633"/>
      <w:bookmarkStart w:id="594" w:name="_Toc2433"/>
      <w:bookmarkStart w:id="595" w:name="_Toc27782"/>
      <w:bookmarkStart w:id="596" w:name="_Toc129073493"/>
      <w:bookmarkStart w:id="597" w:name="_Toc25268"/>
      <w:bookmarkStart w:id="598" w:name="_Toc19595"/>
      <w:r>
        <w:rPr>
          <w:rFonts w:hint="eastAsia"/>
          <w:color w:val="auto"/>
        </w:rPr>
        <w:t>7. 合同授予</w:t>
      </w:r>
      <w:bookmarkEnd w:id="592"/>
      <w:bookmarkEnd w:id="593"/>
      <w:bookmarkEnd w:id="594"/>
      <w:bookmarkEnd w:id="595"/>
      <w:bookmarkEnd w:id="596"/>
      <w:bookmarkEnd w:id="597"/>
      <w:bookmarkEnd w:id="598"/>
    </w:p>
    <w:p>
      <w:pPr>
        <w:pStyle w:val="58"/>
        <w:keepNext w:val="0"/>
        <w:keepLines w:val="0"/>
        <w:spacing w:line="360" w:lineRule="auto"/>
        <w:ind w:firstLine="422" w:firstLineChars="200"/>
        <w:rPr>
          <w:rFonts w:ascii="宋体" w:hAnsi="宋体" w:eastAsia="宋体"/>
          <w:b/>
          <w:bCs/>
          <w:color w:val="auto"/>
          <w:sz w:val="21"/>
          <w:szCs w:val="21"/>
        </w:rPr>
      </w:pPr>
      <w:bookmarkStart w:id="599" w:name="_Toc466298126"/>
      <w:bookmarkEnd w:id="599"/>
      <w:bookmarkStart w:id="600" w:name="_Toc318450710"/>
      <w:bookmarkEnd w:id="600"/>
      <w:bookmarkStart w:id="601" w:name="_Toc455867803"/>
      <w:bookmarkEnd w:id="601"/>
      <w:bookmarkStart w:id="602" w:name="_Toc29664"/>
      <w:bookmarkEnd w:id="602"/>
      <w:bookmarkStart w:id="603" w:name="_Toc11409"/>
      <w:bookmarkEnd w:id="603"/>
      <w:bookmarkStart w:id="604" w:name="_Toc490667863"/>
      <w:bookmarkEnd w:id="604"/>
      <w:bookmarkStart w:id="605" w:name="_Toc144974535"/>
      <w:bookmarkEnd w:id="605"/>
      <w:bookmarkStart w:id="606" w:name="_Toc28919"/>
      <w:bookmarkEnd w:id="606"/>
      <w:bookmarkStart w:id="607" w:name="_Toc509667294"/>
      <w:bookmarkEnd w:id="607"/>
      <w:bookmarkStart w:id="608" w:name="_Toc455080143"/>
      <w:bookmarkEnd w:id="608"/>
      <w:bookmarkStart w:id="609" w:name="_Toc152042343"/>
      <w:bookmarkEnd w:id="609"/>
      <w:bookmarkStart w:id="610" w:name="_Toc14528"/>
      <w:bookmarkEnd w:id="610"/>
      <w:bookmarkStart w:id="611" w:name="_Toc7358"/>
      <w:bookmarkEnd w:id="611"/>
      <w:bookmarkStart w:id="612" w:name="_Toc152045567"/>
      <w:bookmarkEnd w:id="612"/>
      <w:bookmarkStart w:id="613" w:name="_Toc129073494"/>
      <w:bookmarkStart w:id="614" w:name="_Toc28142"/>
      <w:bookmarkStart w:id="615" w:name="_Toc25316"/>
      <w:r>
        <w:rPr>
          <w:rFonts w:hint="eastAsia" w:ascii="宋体" w:hAnsi="宋体" w:eastAsia="宋体"/>
          <w:b/>
          <w:bCs/>
          <w:color w:val="auto"/>
          <w:sz w:val="21"/>
          <w:szCs w:val="21"/>
        </w:rPr>
        <w:t>7.1 定标方式</w:t>
      </w:r>
      <w:bookmarkEnd w:id="613"/>
      <w:bookmarkEnd w:id="614"/>
      <w:bookmarkEnd w:id="615"/>
    </w:p>
    <w:p>
      <w:pPr>
        <w:spacing w:line="360" w:lineRule="auto"/>
        <w:ind w:firstLine="420" w:firstLineChars="200"/>
        <w:rPr>
          <w:rFonts w:ascii="宋体" w:hAnsi="宋体"/>
          <w:color w:val="auto"/>
        </w:rPr>
      </w:pPr>
      <w:bookmarkStart w:id="616" w:name="_Toc7066"/>
      <w:bookmarkEnd w:id="616"/>
      <w:bookmarkStart w:id="617" w:name="_Toc152042344"/>
      <w:bookmarkEnd w:id="617"/>
      <w:bookmarkStart w:id="618" w:name="_Toc144974536"/>
      <w:bookmarkEnd w:id="618"/>
      <w:bookmarkStart w:id="619" w:name="_Toc28254"/>
      <w:bookmarkEnd w:id="619"/>
      <w:bookmarkStart w:id="620" w:name="_Toc152045568"/>
      <w:bookmarkEnd w:id="620"/>
      <w:bookmarkStart w:id="621" w:name="_Toc318450711"/>
      <w:bookmarkEnd w:id="621"/>
      <w:bookmarkStart w:id="622" w:name="_Toc10868"/>
      <w:r>
        <w:rPr>
          <w:rFonts w:hint="eastAsia" w:ascii="宋体" w:hAnsi="宋体"/>
          <w:color w:val="auto"/>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人，也可以重新磋商。</w:t>
      </w:r>
      <w:bookmarkEnd w:id="622"/>
    </w:p>
    <w:p>
      <w:pPr>
        <w:spacing w:line="440" w:lineRule="exact"/>
        <w:ind w:firstLine="422" w:firstLineChars="200"/>
        <w:textAlignment w:val="baseline"/>
        <w:rPr>
          <w:rStyle w:val="69"/>
          <w:rFonts w:ascii="宋体" w:hAnsi="宋体" w:cs="宋体"/>
          <w:b/>
          <w:bCs/>
          <w:color w:val="auto"/>
        </w:rPr>
      </w:pPr>
      <w:bookmarkStart w:id="623" w:name="_Toc455867804"/>
      <w:bookmarkEnd w:id="623"/>
      <w:bookmarkStart w:id="624" w:name="_Toc9897"/>
      <w:bookmarkEnd w:id="624"/>
      <w:bookmarkStart w:id="625" w:name="_Toc5428"/>
      <w:bookmarkEnd w:id="625"/>
      <w:bookmarkStart w:id="626" w:name="_Toc31386"/>
      <w:bookmarkEnd w:id="626"/>
      <w:bookmarkStart w:id="627" w:name="_Toc152045574"/>
      <w:bookmarkEnd w:id="627"/>
      <w:bookmarkStart w:id="628" w:name="_Toc455080146"/>
      <w:bookmarkEnd w:id="628"/>
      <w:bookmarkStart w:id="629" w:name="_Toc455080144"/>
      <w:bookmarkEnd w:id="629"/>
      <w:bookmarkStart w:id="630" w:name="_Toc490667864"/>
      <w:bookmarkEnd w:id="630"/>
      <w:bookmarkStart w:id="631" w:name="_Toc144974542"/>
      <w:bookmarkEnd w:id="631"/>
      <w:bookmarkStart w:id="632" w:name="_Toc509667297"/>
      <w:bookmarkEnd w:id="632"/>
      <w:bookmarkStart w:id="633" w:name="_Toc15825"/>
      <w:bookmarkEnd w:id="633"/>
      <w:bookmarkStart w:id="634" w:name="_Toc152042350"/>
      <w:bookmarkEnd w:id="634"/>
      <w:bookmarkStart w:id="635" w:name="_Toc466298127"/>
      <w:bookmarkEnd w:id="635"/>
      <w:bookmarkStart w:id="636" w:name="_Toc129073498"/>
      <w:r>
        <w:rPr>
          <w:rStyle w:val="69"/>
          <w:rFonts w:hint="eastAsia" w:ascii="宋体" w:hAnsi="宋体" w:cs="宋体"/>
          <w:b/>
          <w:bCs/>
          <w:color w:val="auto"/>
        </w:rPr>
        <w:t>7.2成交公告及成交通知</w:t>
      </w:r>
    </w:p>
    <w:p>
      <w:pPr>
        <w:spacing w:line="440" w:lineRule="exact"/>
        <w:ind w:firstLine="420" w:firstLineChars="200"/>
        <w:textAlignment w:val="baseline"/>
        <w:rPr>
          <w:rStyle w:val="69"/>
          <w:rFonts w:ascii="宋体" w:hAnsi="宋体" w:cs="宋体"/>
          <w:color w:val="auto"/>
        </w:rPr>
      </w:pPr>
      <w:r>
        <w:rPr>
          <w:rFonts w:hint="eastAsia" w:ascii="宋体" w:hAnsi="宋体" w:cs="宋体"/>
          <w:color w:val="auto"/>
        </w:rPr>
        <w:t>采购代理机构应当自评审结束之日起 2 个工作日内将评审报告送交采购人。采购人应当自收到评审报告之日起 5 个工作日内按评审报告中推荐的成交候选人顺序确定成交人。采购人或者采购代理机构应当自成交人确定之日起 2 个工作日内在省级以上人民政府财政部门指定的媒体上公告成交结果。</w:t>
      </w:r>
    </w:p>
    <w:p>
      <w:pPr>
        <w:spacing w:line="440" w:lineRule="exact"/>
        <w:ind w:firstLine="420" w:firstLineChars="200"/>
        <w:textAlignment w:val="baseline"/>
        <w:rPr>
          <w:rStyle w:val="69"/>
          <w:rFonts w:ascii="宋体" w:hAnsi="宋体" w:cs="宋体"/>
          <w:color w:val="auto"/>
          <w:kern w:val="0"/>
        </w:rPr>
      </w:pPr>
      <w:r>
        <w:rPr>
          <w:rStyle w:val="69"/>
          <w:rFonts w:hint="eastAsia" w:ascii="宋体" w:hAnsi="宋体" w:cs="宋体"/>
          <w:color w:val="auto"/>
          <w:kern w:val="0"/>
        </w:rPr>
        <w:t>在公告成交结果的同时，采购人或者采购代理机构应当向成交供应商发出成交通知书，对未通过资格审查的供应商，告知其未通过的原因并公告成交人得分及排序。</w:t>
      </w:r>
    </w:p>
    <w:p>
      <w:pPr>
        <w:pStyle w:val="71"/>
        <w:keepNext w:val="0"/>
        <w:keepLines w:val="0"/>
        <w:spacing w:line="440" w:lineRule="exact"/>
        <w:ind w:firstLine="422" w:firstLineChars="200"/>
        <w:rPr>
          <w:rStyle w:val="69"/>
          <w:rFonts w:ascii="宋体" w:hAnsi="宋体" w:cs="宋体"/>
          <w:color w:val="auto"/>
        </w:rPr>
      </w:pPr>
      <w:r>
        <w:rPr>
          <w:rStyle w:val="69"/>
          <w:rFonts w:hint="eastAsia" w:ascii="宋体" w:hAnsi="宋体" w:cs="宋体"/>
          <w:color w:val="auto"/>
        </w:rPr>
        <w:t>7.3 履约保证金</w:t>
      </w:r>
    </w:p>
    <w:p>
      <w:pPr>
        <w:spacing w:line="440" w:lineRule="exact"/>
        <w:ind w:firstLine="420" w:firstLineChars="200"/>
        <w:rPr>
          <w:rStyle w:val="69"/>
          <w:rFonts w:ascii="宋体" w:hAnsi="宋体" w:cs="宋体"/>
          <w:color w:val="auto"/>
          <w:kern w:val="0"/>
        </w:rPr>
      </w:pPr>
      <w:r>
        <w:rPr>
          <w:rStyle w:val="69"/>
          <w:rFonts w:hint="eastAsia" w:ascii="宋体" w:hAnsi="宋体" w:cs="宋体"/>
          <w:color w:val="auto"/>
          <w:kern w:val="0"/>
        </w:rPr>
        <w:t>7.3.1 在签订合同前，成交供应商应按供应商须知前附表规定的金额、担保形式和竞争性磋商文件第四章“合同条款及格式”规定的履约担保格式向采购人提交履约担保。</w:t>
      </w:r>
    </w:p>
    <w:p>
      <w:pPr>
        <w:spacing w:line="440" w:lineRule="exact"/>
        <w:ind w:firstLine="420" w:firstLineChars="200"/>
        <w:rPr>
          <w:rStyle w:val="69"/>
          <w:rFonts w:ascii="宋体" w:hAnsi="宋体" w:cs="宋体"/>
          <w:color w:val="auto"/>
          <w:kern w:val="0"/>
        </w:rPr>
      </w:pPr>
      <w:r>
        <w:rPr>
          <w:rStyle w:val="69"/>
          <w:rFonts w:hint="eastAsia" w:ascii="宋体" w:hAnsi="宋体" w:cs="宋体"/>
          <w:color w:val="auto"/>
          <w:kern w:val="0"/>
        </w:rPr>
        <w:t>7.3.2 成交供应商不能按本章第7.3.1 项要求提交履约担保的，视为放弃中标，给采购人造成的损失较大的，成交供应商还应当对超过部分予以赔偿。</w:t>
      </w:r>
    </w:p>
    <w:p>
      <w:pPr>
        <w:pStyle w:val="71"/>
        <w:keepNext w:val="0"/>
        <w:keepLines w:val="0"/>
        <w:spacing w:line="440" w:lineRule="exact"/>
        <w:ind w:firstLine="422" w:firstLineChars="200"/>
        <w:rPr>
          <w:rStyle w:val="69"/>
          <w:rFonts w:ascii="宋体" w:hAnsi="宋体" w:cs="宋体"/>
          <w:color w:val="auto"/>
        </w:rPr>
      </w:pPr>
      <w:r>
        <w:rPr>
          <w:rStyle w:val="69"/>
          <w:rFonts w:hint="eastAsia" w:ascii="宋体" w:hAnsi="宋体" w:cs="宋体"/>
          <w:color w:val="auto"/>
        </w:rPr>
        <w:t>7.4 签订合同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Style w:val="69"/>
          <w:rFonts w:ascii="宋体" w:hAnsi="宋体" w:cs="宋体"/>
          <w:color w:val="auto"/>
          <w:kern w:val="0"/>
        </w:rPr>
      </w:pPr>
      <w:r>
        <w:rPr>
          <w:rStyle w:val="69"/>
          <w:rFonts w:hint="eastAsia" w:ascii="宋体" w:hAnsi="宋体" w:cs="宋体"/>
          <w:color w:val="auto"/>
          <w:kern w:val="0"/>
        </w:rPr>
        <w:t>7.4.1 采购人应当自成交通知书发出之日起15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pPr>
        <w:pStyle w:val="57"/>
        <w:keepNext w:val="0"/>
        <w:keepLines w:val="0"/>
        <w:pageBreakBefore w:val="0"/>
        <w:widowControl w:val="0"/>
        <w:kinsoku/>
        <w:wordWrap/>
        <w:overflowPunct/>
        <w:topLinePunct w:val="0"/>
        <w:autoSpaceDE/>
        <w:autoSpaceDN/>
        <w:bidi w:val="0"/>
        <w:adjustRightInd/>
        <w:snapToGrid/>
        <w:spacing w:before="0"/>
        <w:ind w:left="0" w:leftChars="0" w:firstLine="420" w:firstLineChars="200"/>
        <w:jc w:val="left"/>
        <w:textAlignment w:val="auto"/>
        <w:rPr>
          <w:rStyle w:val="69"/>
          <w:rFonts w:ascii="宋体" w:hAnsi="宋体" w:eastAsia="宋体"/>
          <w:color w:val="auto"/>
          <w:sz w:val="21"/>
          <w:szCs w:val="21"/>
        </w:rPr>
      </w:pPr>
      <w:bookmarkStart w:id="637" w:name="_Toc5586"/>
      <w:bookmarkStart w:id="638" w:name="_Toc2288"/>
      <w:bookmarkStart w:id="639" w:name="_Toc32361"/>
      <w:bookmarkStart w:id="640" w:name="_Toc196"/>
      <w:bookmarkStart w:id="641" w:name="_Toc20362"/>
      <w:r>
        <w:rPr>
          <w:rStyle w:val="69"/>
          <w:rFonts w:hint="eastAsia" w:ascii="宋体" w:hAnsi="宋体" w:eastAsia="宋体"/>
          <w:color w:val="auto"/>
          <w:sz w:val="21"/>
          <w:szCs w:val="21"/>
        </w:rPr>
        <w:t>7.4.2 发出成交通知书后，成交供应商无正当理由拒签合同的，采购人取消其中标资格；给采购人造成的损失较大的，成交供应商还应当予以赔偿；采购人无正当理由拒签合同，给成交供应商造成损失的，还应当赔偿损失。</w:t>
      </w:r>
      <w:bookmarkEnd w:id="637"/>
      <w:bookmarkEnd w:id="638"/>
      <w:bookmarkEnd w:id="639"/>
      <w:bookmarkEnd w:id="640"/>
      <w:bookmarkEnd w:id="641"/>
    </w:p>
    <w:p>
      <w:pPr>
        <w:pStyle w:val="57"/>
        <w:keepNext w:val="0"/>
        <w:keepLines w:val="0"/>
        <w:pageBreakBefore w:val="0"/>
        <w:widowControl w:val="0"/>
        <w:kinsoku/>
        <w:wordWrap/>
        <w:overflowPunct/>
        <w:topLinePunct w:val="0"/>
        <w:autoSpaceDE/>
        <w:autoSpaceDN/>
        <w:bidi w:val="0"/>
        <w:adjustRightInd/>
        <w:snapToGrid/>
        <w:spacing w:before="0"/>
        <w:ind w:left="0" w:leftChars="0" w:firstLine="420" w:firstLineChars="200"/>
        <w:jc w:val="left"/>
        <w:textAlignment w:val="auto"/>
        <w:rPr>
          <w:rStyle w:val="69"/>
          <w:rFonts w:ascii="宋体" w:hAnsi="宋体" w:eastAsia="宋体"/>
          <w:color w:val="auto"/>
          <w:sz w:val="21"/>
          <w:szCs w:val="21"/>
        </w:rPr>
      </w:pPr>
      <w:bookmarkStart w:id="642" w:name="_Toc19495"/>
      <w:bookmarkStart w:id="643" w:name="_Toc18081"/>
      <w:bookmarkStart w:id="644" w:name="_Toc8969"/>
      <w:bookmarkStart w:id="645" w:name="_Toc21827"/>
      <w:bookmarkStart w:id="646" w:name="_Toc21762"/>
      <w:r>
        <w:rPr>
          <w:rStyle w:val="69"/>
          <w:rFonts w:hint="eastAsia" w:ascii="宋体" w:hAnsi="宋体" w:eastAsia="宋体"/>
          <w:color w:val="auto"/>
          <w:sz w:val="21"/>
          <w:szCs w:val="21"/>
        </w:rPr>
        <w:t>7.4.3采购人需追加（或减少）与合同标的相同的服务的，在不改变合同其它条款的前提下，可以与供应商签订补充合同，但所有补充合同的采购金额不得超过原合同金额的百分之十，且不得对服务内容、单价或其它实质性条款和条件做任何改变。</w:t>
      </w:r>
      <w:bookmarkEnd w:id="642"/>
      <w:bookmarkEnd w:id="643"/>
      <w:bookmarkEnd w:id="644"/>
      <w:bookmarkEnd w:id="645"/>
      <w:bookmarkEnd w:id="646"/>
    </w:p>
    <w:p>
      <w:pPr>
        <w:pStyle w:val="57"/>
        <w:rPr>
          <w:color w:val="auto"/>
        </w:rPr>
      </w:pPr>
      <w:bookmarkStart w:id="647" w:name="_Toc30194"/>
      <w:bookmarkStart w:id="648" w:name="_Toc31275"/>
      <w:bookmarkStart w:id="649" w:name="_Toc11357"/>
      <w:bookmarkStart w:id="650" w:name="_Toc23422"/>
      <w:bookmarkStart w:id="651" w:name="_Toc4164"/>
      <w:r>
        <w:rPr>
          <w:rFonts w:hint="eastAsia"/>
          <w:color w:val="auto"/>
        </w:rPr>
        <w:t>8. 重新招标</w:t>
      </w:r>
      <w:bookmarkEnd w:id="636"/>
      <w:bookmarkEnd w:id="647"/>
      <w:bookmarkEnd w:id="648"/>
      <w:bookmarkEnd w:id="649"/>
      <w:bookmarkEnd w:id="650"/>
      <w:bookmarkEnd w:id="651"/>
    </w:p>
    <w:p>
      <w:pPr>
        <w:spacing w:line="360" w:lineRule="auto"/>
        <w:ind w:firstLine="420" w:firstLineChars="200"/>
        <w:rPr>
          <w:rFonts w:ascii="宋体" w:hAnsi="宋体"/>
          <w:color w:val="auto"/>
        </w:rPr>
      </w:pPr>
      <w:bookmarkStart w:id="652" w:name="_Toc16556"/>
      <w:bookmarkEnd w:id="652"/>
      <w:r>
        <w:rPr>
          <w:rFonts w:hint="eastAsia" w:ascii="宋体" w:hAnsi="宋体"/>
          <w:color w:val="auto"/>
        </w:rPr>
        <w:t>出现下列情形之一的，采购人或者采购代理机构应当终止竞争性磋商采购活动，发布项目终止公告并说明原因，重新开展采购活动：</w:t>
      </w:r>
    </w:p>
    <w:p>
      <w:pPr>
        <w:spacing w:line="360" w:lineRule="auto"/>
        <w:ind w:firstLine="420" w:firstLineChars="200"/>
        <w:rPr>
          <w:rFonts w:ascii="宋体" w:hAnsi="宋体"/>
          <w:color w:val="auto"/>
        </w:rPr>
      </w:pPr>
      <w:r>
        <w:rPr>
          <w:rFonts w:hint="eastAsia" w:ascii="宋体" w:hAnsi="宋体"/>
          <w:color w:val="auto"/>
        </w:rPr>
        <w:t>（一）因情况变化，不再符合规定的竞争性磋商采购方式适用情形的；</w:t>
      </w:r>
    </w:p>
    <w:p>
      <w:pPr>
        <w:spacing w:line="360" w:lineRule="auto"/>
        <w:ind w:firstLine="420" w:firstLineChars="200"/>
        <w:rPr>
          <w:rFonts w:ascii="宋体" w:hAnsi="宋体"/>
          <w:color w:val="auto"/>
        </w:rPr>
      </w:pPr>
      <w:r>
        <w:rPr>
          <w:rFonts w:hint="eastAsia" w:ascii="宋体" w:hAnsi="宋体"/>
          <w:color w:val="auto"/>
        </w:rPr>
        <w:t>（二）出现影响采购公正的违法、违规行为的；</w:t>
      </w:r>
    </w:p>
    <w:p>
      <w:pPr>
        <w:spacing w:line="360" w:lineRule="auto"/>
        <w:ind w:firstLine="420" w:firstLineChars="200"/>
        <w:rPr>
          <w:rFonts w:ascii="宋体" w:hAnsi="宋体"/>
          <w:color w:val="auto"/>
        </w:rPr>
      </w:pPr>
      <w:r>
        <w:rPr>
          <w:rFonts w:hint="eastAsia" w:ascii="宋体" w:hAnsi="宋体"/>
          <w:color w:val="auto"/>
        </w:rPr>
        <w:t>（三）除《政府采购竞争性磋商采购方式管理暂行办法》第二十一条第三款规定的情形外，在采购过程中符合要求的供应商或者报价未超过采购预算的供应商不足 3 家的。</w:t>
      </w:r>
    </w:p>
    <w:p>
      <w:pPr>
        <w:pStyle w:val="57"/>
        <w:rPr>
          <w:color w:val="auto"/>
        </w:rPr>
      </w:pPr>
      <w:bookmarkStart w:id="653" w:name="_Toc509667298"/>
      <w:bookmarkEnd w:id="653"/>
      <w:bookmarkStart w:id="654" w:name="_Toc16204"/>
      <w:bookmarkEnd w:id="654"/>
      <w:bookmarkStart w:id="655" w:name="_Toc27285"/>
      <w:bookmarkStart w:id="656" w:name="_Toc129073499"/>
      <w:bookmarkStart w:id="657" w:name="_Toc2036"/>
      <w:bookmarkStart w:id="658" w:name="_Toc28192"/>
      <w:bookmarkStart w:id="659" w:name="_Toc455080147"/>
      <w:bookmarkStart w:id="660" w:name="_Toc12463"/>
      <w:bookmarkStart w:id="661" w:name="_Toc27461"/>
      <w:r>
        <w:rPr>
          <w:rFonts w:hint="eastAsia"/>
          <w:color w:val="auto"/>
        </w:rPr>
        <w:t>9. 纪律和监督</w:t>
      </w:r>
      <w:bookmarkEnd w:id="655"/>
      <w:bookmarkEnd w:id="656"/>
      <w:bookmarkEnd w:id="657"/>
      <w:bookmarkEnd w:id="658"/>
      <w:bookmarkEnd w:id="659"/>
      <w:bookmarkEnd w:id="660"/>
      <w:bookmarkEnd w:id="661"/>
    </w:p>
    <w:p>
      <w:pPr>
        <w:pStyle w:val="71"/>
        <w:keepNext w:val="0"/>
        <w:keepLines w:val="0"/>
        <w:spacing w:line="440" w:lineRule="exact"/>
        <w:ind w:firstLine="422" w:firstLineChars="200"/>
        <w:rPr>
          <w:rStyle w:val="69"/>
          <w:rFonts w:ascii="宋体" w:hAnsi="宋体" w:cs="宋体"/>
          <w:color w:val="auto"/>
        </w:rPr>
      </w:pPr>
      <w:bookmarkStart w:id="662" w:name="_Toc19159"/>
      <w:bookmarkEnd w:id="662"/>
      <w:bookmarkStart w:id="663" w:name="_Toc466298135"/>
      <w:bookmarkEnd w:id="663"/>
      <w:bookmarkStart w:id="664" w:name="_Toc490667868"/>
      <w:bookmarkEnd w:id="664"/>
      <w:bookmarkStart w:id="665" w:name="_Toc152045575"/>
      <w:bookmarkEnd w:id="665"/>
      <w:bookmarkStart w:id="666" w:name="_Toc3303"/>
      <w:bookmarkEnd w:id="666"/>
      <w:bookmarkStart w:id="667" w:name="_Toc152042356"/>
      <w:bookmarkEnd w:id="667"/>
      <w:bookmarkStart w:id="668" w:name="_Toc25751"/>
      <w:bookmarkEnd w:id="668"/>
      <w:bookmarkStart w:id="669" w:name="_Toc318450714"/>
      <w:bookmarkEnd w:id="669"/>
      <w:bookmarkStart w:id="670" w:name="_Toc455867812"/>
      <w:bookmarkEnd w:id="670"/>
      <w:bookmarkStart w:id="671" w:name="_Toc144974543"/>
      <w:bookmarkEnd w:id="671"/>
      <w:bookmarkStart w:id="672" w:name="_Toc1282"/>
      <w:bookmarkEnd w:id="672"/>
      <w:bookmarkStart w:id="673" w:name="_Toc152042351"/>
      <w:bookmarkEnd w:id="673"/>
      <w:bookmarkStart w:id="674" w:name="_Toc13970"/>
      <w:bookmarkEnd w:id="674"/>
      <w:bookmarkStart w:id="675" w:name="_Toc12992"/>
      <w:bookmarkEnd w:id="675"/>
      <w:bookmarkStart w:id="676" w:name="_Toc20009"/>
      <w:bookmarkEnd w:id="676"/>
      <w:bookmarkStart w:id="677" w:name="_Toc455080148"/>
      <w:bookmarkEnd w:id="677"/>
      <w:bookmarkStart w:id="678" w:name="_Toc318450718"/>
      <w:bookmarkEnd w:id="678"/>
      <w:bookmarkStart w:id="679" w:name="_Toc509667299"/>
      <w:bookmarkEnd w:id="679"/>
      <w:bookmarkStart w:id="680" w:name="_Toc490667872"/>
      <w:bookmarkEnd w:id="680"/>
      <w:bookmarkStart w:id="681" w:name="_Toc1820"/>
      <w:bookmarkEnd w:id="681"/>
      <w:bookmarkStart w:id="682" w:name="_Toc15592"/>
      <w:bookmarkEnd w:id="682"/>
      <w:bookmarkStart w:id="683" w:name="_Toc8074"/>
      <w:bookmarkEnd w:id="683"/>
      <w:bookmarkStart w:id="684" w:name="_Toc152045579"/>
      <w:bookmarkEnd w:id="684"/>
      <w:bookmarkStart w:id="685" w:name="_Toc455867808"/>
      <w:bookmarkEnd w:id="685"/>
      <w:bookmarkStart w:id="686" w:name="_Toc455080152"/>
      <w:bookmarkEnd w:id="686"/>
      <w:bookmarkStart w:id="687" w:name="_Toc509667303"/>
      <w:bookmarkEnd w:id="687"/>
      <w:bookmarkStart w:id="688" w:name="_Toc17735"/>
      <w:bookmarkEnd w:id="688"/>
      <w:bookmarkStart w:id="689" w:name="_Toc3617"/>
      <w:bookmarkStart w:id="690" w:name="_Toc129073504"/>
      <w:r>
        <w:rPr>
          <w:rStyle w:val="69"/>
          <w:rFonts w:hint="eastAsia" w:ascii="宋体" w:hAnsi="宋体" w:cs="宋体"/>
          <w:color w:val="auto"/>
        </w:rPr>
        <w:t>9.1 对采购人的纪律要求</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采购人不得泄漏招标投标活动中应当保密的情况和资料，不得与供应商串通损害国家利益、社会公共利益或者他人合法权益。</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有下列情形之一的，属于采购人与供应商串通投标：</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（一）采购人在开标前开启响应文件并将有关信息泄露给其他供应商；</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（二）采购人直接或者间接向供应商泄露标底、磋商小组成员等信息；</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（三）采购人明示或者暗示供应商压低或者抬高磋商报价；</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（四）采购人授意供应商撤换、修改响应文件；</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（五）采购人明示或者暗示供应商为特定供应商中标提供方便；</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（六）采购人与供应商为谋求特定供应商中标而采取的其他串通行为。</w:t>
      </w:r>
    </w:p>
    <w:p>
      <w:pPr>
        <w:pStyle w:val="71"/>
        <w:keepNext w:val="0"/>
        <w:keepLines w:val="0"/>
        <w:spacing w:line="440" w:lineRule="exact"/>
        <w:ind w:firstLine="422" w:firstLineChars="200"/>
        <w:rPr>
          <w:rStyle w:val="69"/>
          <w:rFonts w:ascii="宋体" w:hAnsi="宋体" w:cs="宋体"/>
          <w:color w:val="auto"/>
        </w:rPr>
      </w:pPr>
      <w:r>
        <w:rPr>
          <w:rStyle w:val="69"/>
          <w:rFonts w:hint="eastAsia" w:ascii="宋体" w:hAnsi="宋体" w:cs="宋体"/>
          <w:color w:val="auto"/>
        </w:rPr>
        <w:t>9.2 对供应商的纪律要求</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供应商不得相互串通投标或者与采购人串通投标，不得向采购人或者磋商小组成员行贿谋取中标，不得以他人名义投标或者以其他方式弄虚作假骗取中标；供应商不得以任何方式干扰、影响评审工作。</w:t>
      </w:r>
    </w:p>
    <w:p>
      <w:pPr>
        <w:spacing w:line="440" w:lineRule="exact"/>
        <w:ind w:firstLine="422" w:firstLineChars="200"/>
        <w:rPr>
          <w:rStyle w:val="69"/>
          <w:rFonts w:ascii="宋体" w:hAnsi="宋体" w:cs="宋体"/>
          <w:b/>
          <w:bCs/>
          <w:color w:val="auto"/>
        </w:rPr>
      </w:pPr>
      <w:r>
        <w:rPr>
          <w:rStyle w:val="69"/>
          <w:rFonts w:hint="eastAsia" w:ascii="宋体" w:hAnsi="宋体" w:cs="宋体"/>
          <w:b/>
          <w:bCs/>
          <w:color w:val="auto"/>
        </w:rPr>
        <w:t>9.2.1 有下列情形之一的，视为供应商相互串通投标，其投标无效：</w:t>
      </w:r>
    </w:p>
    <w:p>
      <w:pPr>
        <w:spacing w:line="440" w:lineRule="exact"/>
        <w:ind w:firstLine="422" w:firstLineChars="200"/>
        <w:rPr>
          <w:rStyle w:val="69"/>
          <w:rFonts w:ascii="宋体" w:hAnsi="宋体" w:cs="宋体"/>
          <w:b/>
          <w:bCs/>
          <w:color w:val="auto"/>
        </w:rPr>
      </w:pPr>
      <w:r>
        <w:rPr>
          <w:rStyle w:val="69"/>
          <w:rFonts w:hint="eastAsia" w:ascii="宋体" w:hAnsi="宋体" w:cs="宋体"/>
          <w:b/>
          <w:bCs/>
          <w:color w:val="auto"/>
        </w:rPr>
        <w:t>（一）不同供应商的电子投标（响应）文件上传计算机的网卡MAC地址、CPU序列号和硬盘序列号等硬件信息相同的；</w:t>
      </w:r>
    </w:p>
    <w:p>
      <w:pPr>
        <w:spacing w:line="440" w:lineRule="exact"/>
        <w:ind w:firstLine="422" w:firstLineChars="200"/>
        <w:rPr>
          <w:rStyle w:val="69"/>
          <w:rFonts w:ascii="宋体" w:hAnsi="宋体" w:cs="宋体"/>
          <w:b/>
          <w:bCs/>
          <w:color w:val="auto"/>
        </w:rPr>
      </w:pPr>
      <w:r>
        <w:rPr>
          <w:rStyle w:val="69"/>
          <w:rFonts w:hint="eastAsia" w:ascii="宋体" w:hAnsi="宋体" w:cs="宋体"/>
          <w:b/>
          <w:bCs/>
          <w:color w:val="auto"/>
        </w:rPr>
        <w:t>（二）不同供应商的投标（响应）文件由同一电子设备编制、打印加密或者上传；</w:t>
      </w:r>
    </w:p>
    <w:p>
      <w:pPr>
        <w:spacing w:line="440" w:lineRule="exact"/>
        <w:ind w:firstLine="422" w:firstLineChars="200"/>
        <w:rPr>
          <w:rStyle w:val="69"/>
          <w:rFonts w:ascii="宋体" w:hAnsi="宋体" w:cs="宋体"/>
          <w:b/>
          <w:bCs/>
          <w:color w:val="auto"/>
        </w:rPr>
      </w:pPr>
      <w:r>
        <w:rPr>
          <w:rStyle w:val="69"/>
          <w:rFonts w:hint="eastAsia" w:ascii="宋体" w:hAnsi="宋体" w:cs="宋体"/>
          <w:b/>
          <w:bCs/>
          <w:color w:val="auto"/>
        </w:rPr>
        <w:t>（三）不同供应商的投标（响应）文件由同一电子设备打印、复印；</w:t>
      </w:r>
    </w:p>
    <w:p>
      <w:pPr>
        <w:spacing w:line="440" w:lineRule="exact"/>
        <w:ind w:firstLine="422" w:firstLineChars="200"/>
        <w:rPr>
          <w:rStyle w:val="69"/>
          <w:rFonts w:ascii="宋体" w:hAnsi="宋体" w:cs="宋体"/>
          <w:b/>
          <w:bCs/>
          <w:color w:val="auto"/>
        </w:rPr>
      </w:pPr>
      <w:r>
        <w:rPr>
          <w:rStyle w:val="69"/>
          <w:rFonts w:hint="eastAsia" w:ascii="宋体" w:hAnsi="宋体" w:cs="宋体"/>
          <w:b/>
          <w:bCs/>
          <w:color w:val="auto"/>
        </w:rPr>
        <w:t>（四）不同供应商的投标（响应）文件由同一人送达或者分发，或者不同供应商联系人为同一人或不同联系人的联系电话一致的；</w:t>
      </w:r>
    </w:p>
    <w:p>
      <w:pPr>
        <w:spacing w:line="440" w:lineRule="exact"/>
        <w:ind w:firstLine="422" w:firstLineChars="200"/>
        <w:rPr>
          <w:rStyle w:val="69"/>
          <w:rFonts w:ascii="宋体" w:hAnsi="宋体" w:cs="宋体"/>
          <w:b/>
          <w:bCs/>
          <w:color w:val="auto"/>
        </w:rPr>
      </w:pPr>
      <w:r>
        <w:rPr>
          <w:rStyle w:val="69"/>
          <w:rFonts w:hint="eastAsia" w:ascii="宋体" w:hAnsi="宋体" w:cs="宋体"/>
          <w:b/>
          <w:bCs/>
          <w:color w:val="auto"/>
        </w:rPr>
        <w:t>（五）不同供应商的投标（响应）文件的内容存在两处以上细节错误一致；</w:t>
      </w:r>
    </w:p>
    <w:p>
      <w:pPr>
        <w:spacing w:line="440" w:lineRule="exact"/>
        <w:ind w:firstLine="422" w:firstLineChars="200"/>
        <w:rPr>
          <w:rStyle w:val="69"/>
          <w:rFonts w:ascii="宋体" w:hAnsi="宋体" w:cs="宋体"/>
          <w:b/>
          <w:bCs/>
          <w:color w:val="auto"/>
        </w:rPr>
      </w:pPr>
      <w:r>
        <w:rPr>
          <w:rStyle w:val="69"/>
          <w:rFonts w:hint="eastAsia" w:ascii="宋体" w:hAnsi="宋体" w:cs="宋体"/>
          <w:b/>
          <w:bCs/>
          <w:color w:val="auto"/>
        </w:rPr>
        <w:t>（六）不同供应商的法定代表人、委托代理人、项目经理、项目负责人等由同一个单位缴纳社会保险或者领取报酬的；</w:t>
      </w:r>
    </w:p>
    <w:p>
      <w:pPr>
        <w:spacing w:line="440" w:lineRule="exact"/>
        <w:ind w:firstLine="422" w:firstLineChars="200"/>
        <w:rPr>
          <w:rStyle w:val="69"/>
          <w:rFonts w:ascii="宋体" w:hAnsi="宋体" w:cs="宋体"/>
          <w:b/>
          <w:bCs/>
          <w:color w:val="auto"/>
        </w:rPr>
      </w:pPr>
      <w:r>
        <w:rPr>
          <w:rStyle w:val="69"/>
          <w:rFonts w:hint="eastAsia" w:ascii="宋体" w:hAnsi="宋体" w:cs="宋体"/>
          <w:b/>
          <w:bCs/>
          <w:color w:val="auto"/>
        </w:rPr>
        <w:t>（七）不同供应商投标（响应）文件中法定代表人或者负责人签字出自同一人之手；</w:t>
      </w:r>
    </w:p>
    <w:p>
      <w:pPr>
        <w:spacing w:line="440" w:lineRule="exact"/>
        <w:ind w:firstLine="422" w:firstLineChars="200"/>
        <w:rPr>
          <w:rStyle w:val="69"/>
          <w:rFonts w:ascii="宋体" w:hAnsi="宋体" w:cs="宋体"/>
          <w:b/>
          <w:bCs/>
          <w:color w:val="auto"/>
        </w:rPr>
      </w:pPr>
      <w:r>
        <w:rPr>
          <w:rStyle w:val="69"/>
          <w:rFonts w:hint="eastAsia" w:ascii="宋体" w:hAnsi="宋体" w:cs="宋体"/>
          <w:b/>
          <w:bCs/>
          <w:color w:val="auto"/>
        </w:rPr>
        <w:t>（八）其它涉嫌串通的情形。</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9.2.2 有下列情形之一的，属于以他人名义投标：</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（一）使用通过受让或者租借等方式获取的资格、资质证书投标的。</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9.2.3有下列情形之一的，属于以其他方式弄虚作假的行为：</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（一）使用伪造、变造的许可证件；</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（二）提供虚假的财务状况或者业绩；</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（三）提供虚假的项目负责人或者主要技术人员简历、劳动关系证明；</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（四）提供虚假的信用状况；</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（五）其他弄虚作假的行为。</w:t>
      </w:r>
    </w:p>
    <w:p>
      <w:pPr>
        <w:pStyle w:val="71"/>
        <w:keepNext w:val="0"/>
        <w:keepLines w:val="0"/>
        <w:spacing w:line="440" w:lineRule="exact"/>
        <w:ind w:firstLine="422" w:firstLineChars="200"/>
        <w:rPr>
          <w:rStyle w:val="69"/>
          <w:rFonts w:ascii="宋体" w:hAnsi="宋体" w:cs="宋体"/>
          <w:color w:val="auto"/>
        </w:rPr>
      </w:pPr>
      <w:r>
        <w:rPr>
          <w:rStyle w:val="69"/>
          <w:rFonts w:hint="eastAsia" w:ascii="宋体" w:hAnsi="宋体" w:cs="宋体"/>
          <w:color w:val="auto"/>
        </w:rPr>
        <w:t>9.3 对磋商小组成员的纪律要求</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（一）确定参与评审至评审结束前私自接触供应商；</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（二）接受供应商提出的与响应文件不一致的澄清或者说明；</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（三）违反评审纪律发表倾向性意见或者征询采购人的倾向性意见；</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（四）对需要专业判断的主观评审因素协商评分；</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（五）在评审过程中擅离职守，影响评审程序正常进行的；</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（六）记录、复制或者带走任何评审资料；</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（七）其他不遵守评审纪律的行为。</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磋商小组成员有前款第一至五项行为之一的，其评审意见无效，并不得获取评审劳务报酬和报销异地评审差旅费。</w:t>
      </w:r>
    </w:p>
    <w:p>
      <w:pPr>
        <w:pStyle w:val="71"/>
        <w:keepNext w:val="0"/>
        <w:keepLines w:val="0"/>
        <w:spacing w:line="440" w:lineRule="exact"/>
        <w:ind w:firstLine="422" w:firstLineChars="200"/>
        <w:rPr>
          <w:rStyle w:val="69"/>
          <w:rFonts w:ascii="宋体" w:hAnsi="宋体" w:cs="宋体"/>
          <w:color w:val="auto"/>
        </w:rPr>
      </w:pPr>
      <w:r>
        <w:rPr>
          <w:rStyle w:val="69"/>
          <w:rFonts w:hint="eastAsia" w:ascii="宋体" w:hAnsi="宋体" w:cs="宋体"/>
          <w:color w:val="auto"/>
        </w:rPr>
        <w:t>9.4 对与评审活动有关的工作人员的纪律要求</w:t>
      </w:r>
    </w:p>
    <w:p>
      <w:pPr>
        <w:spacing w:line="440" w:lineRule="exact"/>
        <w:ind w:firstLine="420" w:firstLineChars="200"/>
        <w:rPr>
          <w:rStyle w:val="69"/>
          <w:rFonts w:ascii="宋体" w:hAnsi="宋体" w:cs="宋体"/>
          <w:color w:val="auto"/>
        </w:rPr>
      </w:pPr>
      <w:r>
        <w:rPr>
          <w:rStyle w:val="69"/>
          <w:rFonts w:hint="eastAsia" w:ascii="宋体" w:hAnsi="宋体" w:cs="宋体"/>
          <w:color w:val="auto"/>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pPr>
        <w:spacing w:line="360" w:lineRule="auto"/>
        <w:ind w:firstLine="422" w:firstLineChars="200"/>
        <w:rPr>
          <w:rFonts w:ascii="宋体" w:hAnsi="宋体"/>
          <w:b/>
          <w:bCs/>
          <w:color w:val="auto"/>
        </w:rPr>
      </w:pPr>
      <w:r>
        <w:rPr>
          <w:rFonts w:hint="eastAsia" w:ascii="宋体" w:hAnsi="宋体"/>
          <w:b/>
          <w:bCs/>
          <w:color w:val="auto"/>
        </w:rPr>
        <w:t xml:space="preserve">9.5 </w:t>
      </w:r>
      <w:bookmarkEnd w:id="689"/>
      <w:bookmarkEnd w:id="690"/>
      <w:r>
        <w:rPr>
          <w:rFonts w:hint="eastAsia" w:ascii="宋体" w:hAnsi="宋体"/>
          <w:b/>
          <w:bCs/>
          <w:color w:val="auto"/>
        </w:rPr>
        <w:t>质疑和投诉</w:t>
      </w:r>
    </w:p>
    <w:p>
      <w:pPr>
        <w:spacing w:line="360" w:lineRule="auto"/>
        <w:ind w:firstLine="420" w:firstLineChars="200"/>
        <w:rPr>
          <w:rFonts w:ascii="宋体" w:hAnsi="宋体"/>
          <w:color w:val="auto"/>
        </w:rPr>
      </w:pPr>
      <w:r>
        <w:rPr>
          <w:rFonts w:hint="eastAsia" w:ascii="宋体" w:hAnsi="宋体"/>
          <w:color w:val="auto"/>
        </w:rPr>
        <w:t>9.5.1供应商认为竞争性磋商文件、采购过程和成交结果使自己的权益受到损害的，可以在知道或者应知其权益受到损害之日起七个工作日内，以书面形式向采购代理机构提出质疑。（格式见本章附件1）</w:t>
      </w:r>
    </w:p>
    <w:p>
      <w:pPr>
        <w:spacing w:line="360" w:lineRule="auto"/>
        <w:ind w:firstLine="420" w:firstLineChars="200"/>
        <w:rPr>
          <w:rFonts w:ascii="宋体" w:hAnsi="宋体"/>
          <w:color w:val="auto"/>
        </w:rPr>
      </w:pPr>
      <w:r>
        <w:rPr>
          <w:rFonts w:hint="eastAsia" w:ascii="宋体" w:hAnsi="宋体"/>
          <w:color w:val="auto"/>
        </w:rPr>
        <w:t>9.5.2供应商应知其权益受到损害之日，是指：</w:t>
      </w:r>
    </w:p>
    <w:p>
      <w:pPr>
        <w:spacing w:line="360" w:lineRule="auto"/>
        <w:ind w:firstLine="420" w:firstLineChars="200"/>
        <w:rPr>
          <w:rFonts w:ascii="宋体" w:hAnsi="宋体"/>
          <w:color w:val="auto"/>
        </w:rPr>
      </w:pPr>
      <w:r>
        <w:rPr>
          <w:rFonts w:hint="eastAsia" w:ascii="宋体" w:hAnsi="宋体"/>
          <w:color w:val="auto"/>
        </w:rPr>
        <w:t>（1）对可以质疑的竞争性磋商文件提出质疑的，为收到竞争性磋商文件之日或者竞争性磋商文件公告期限届满之日；</w:t>
      </w:r>
    </w:p>
    <w:p>
      <w:pPr>
        <w:spacing w:line="360" w:lineRule="auto"/>
        <w:ind w:firstLine="420" w:firstLineChars="200"/>
        <w:rPr>
          <w:rFonts w:ascii="宋体" w:hAnsi="宋体"/>
          <w:color w:val="auto"/>
        </w:rPr>
      </w:pPr>
      <w:r>
        <w:rPr>
          <w:rFonts w:hint="eastAsia" w:ascii="宋体" w:hAnsi="宋体"/>
          <w:color w:val="auto"/>
        </w:rPr>
        <w:t>（2）对采购过程提出质疑的，为各采购程序环节结束之日；</w:t>
      </w:r>
    </w:p>
    <w:p>
      <w:pPr>
        <w:spacing w:line="360" w:lineRule="auto"/>
        <w:ind w:firstLine="420" w:firstLineChars="200"/>
        <w:rPr>
          <w:rFonts w:ascii="宋体" w:hAnsi="宋体"/>
          <w:color w:val="auto"/>
        </w:rPr>
      </w:pPr>
      <w:r>
        <w:rPr>
          <w:rFonts w:hint="eastAsia" w:ascii="宋体" w:hAnsi="宋体"/>
          <w:color w:val="auto"/>
        </w:rPr>
        <w:t>（3）对成交结果提出质疑的，为成交结果公告期限届满之日。</w:t>
      </w:r>
    </w:p>
    <w:p>
      <w:pPr>
        <w:spacing w:line="360" w:lineRule="auto"/>
        <w:ind w:firstLine="420" w:firstLineChars="200"/>
        <w:rPr>
          <w:rFonts w:ascii="宋体" w:hAnsi="宋体"/>
          <w:color w:val="auto"/>
        </w:rPr>
      </w:pPr>
      <w:r>
        <w:rPr>
          <w:rFonts w:hint="eastAsia" w:ascii="宋体" w:hAnsi="宋体"/>
          <w:color w:val="auto"/>
        </w:rPr>
        <w:t>9.5.3质疑供应商应按照财政部制定的《政府采购质疑函范本》格式（可从财政部官方网站下载）或本章附件1格式及《政府采购质疑和投诉办法》的要求，以书面形式提出质疑，针对同一采购程序环节的质疑次数应符合供应商须知前附表的规定。</w:t>
      </w:r>
    </w:p>
    <w:p>
      <w:pPr>
        <w:spacing w:line="360" w:lineRule="auto"/>
        <w:ind w:firstLine="420" w:firstLineChars="200"/>
        <w:rPr>
          <w:rFonts w:ascii="宋体" w:hAnsi="宋体"/>
          <w:color w:val="auto"/>
        </w:rPr>
      </w:pPr>
      <w:r>
        <w:rPr>
          <w:rFonts w:hint="eastAsia" w:ascii="宋体" w:hAnsi="宋体"/>
          <w:color w:val="auto"/>
        </w:rPr>
        <w:t>9.5.4超出法定质疑期提交的质疑将被拒绝。重复或分次提出的、内容或形式不符合《政府采购质疑和投诉办法》的，质疑供应商将依法承担不利后果。</w:t>
      </w:r>
    </w:p>
    <w:p>
      <w:pPr>
        <w:spacing w:line="360" w:lineRule="auto"/>
        <w:ind w:firstLine="420" w:firstLineChars="200"/>
        <w:rPr>
          <w:rFonts w:ascii="宋体" w:hAnsi="宋体"/>
          <w:color w:val="auto"/>
        </w:rPr>
      </w:pPr>
      <w:r>
        <w:rPr>
          <w:rFonts w:hint="eastAsia" w:ascii="宋体" w:hAnsi="宋体"/>
          <w:color w:val="auto"/>
        </w:rPr>
        <w:t>9.5.5质疑函接收部门、联系电话和通讯地址，见供应商须知前附表。</w:t>
      </w:r>
    </w:p>
    <w:p>
      <w:pPr>
        <w:spacing w:line="360" w:lineRule="auto"/>
        <w:ind w:firstLine="420" w:firstLineChars="200"/>
        <w:rPr>
          <w:rFonts w:ascii="宋体" w:hAnsi="宋体"/>
          <w:color w:val="auto"/>
        </w:rPr>
      </w:pPr>
      <w:r>
        <w:rPr>
          <w:rFonts w:hint="eastAsia" w:ascii="宋体" w:hAnsi="宋体"/>
          <w:color w:val="auto"/>
        </w:rPr>
        <w:t>9.5.6采购人或采购代理机构在收到供应商的书面质疑后七个工作日内作出答复，并以书面形式通知质疑供应商和其他有关供应商，答复内容不涉及商业秘密。</w:t>
      </w:r>
    </w:p>
    <w:p>
      <w:pPr>
        <w:pStyle w:val="57"/>
        <w:rPr>
          <w:color w:val="auto"/>
        </w:rPr>
      </w:pPr>
      <w:bookmarkStart w:id="691" w:name="_Toc152045580"/>
      <w:bookmarkEnd w:id="691"/>
      <w:bookmarkStart w:id="692" w:name="_Toc152042357"/>
      <w:bookmarkEnd w:id="692"/>
      <w:bookmarkStart w:id="693" w:name="_Toc509667304"/>
      <w:bookmarkEnd w:id="693"/>
      <w:bookmarkStart w:id="694" w:name="_Toc144974547"/>
      <w:bookmarkEnd w:id="694"/>
      <w:bookmarkStart w:id="695" w:name="_Toc455080153"/>
      <w:bookmarkEnd w:id="695"/>
      <w:bookmarkStart w:id="696" w:name="_Toc90653427"/>
      <w:bookmarkStart w:id="697" w:name="_Toc32264"/>
      <w:bookmarkStart w:id="698" w:name="_Toc18843"/>
      <w:bookmarkStart w:id="699" w:name="_Toc11205"/>
      <w:bookmarkStart w:id="700" w:name="_Toc25505"/>
      <w:bookmarkStart w:id="701" w:name="_Toc129073505"/>
      <w:bookmarkStart w:id="702" w:name="_Toc10975"/>
      <w:bookmarkStart w:id="703" w:name="_Toc1802"/>
      <w:r>
        <w:rPr>
          <w:rFonts w:hint="eastAsia"/>
          <w:color w:val="auto"/>
        </w:rPr>
        <w:t>10.</w:t>
      </w:r>
      <w:bookmarkEnd w:id="696"/>
      <w:r>
        <w:rPr>
          <w:rFonts w:hint="eastAsia"/>
          <w:color w:val="auto"/>
        </w:rPr>
        <w:t xml:space="preserve"> 需要补充的其他内容</w:t>
      </w:r>
      <w:bookmarkEnd w:id="697"/>
      <w:bookmarkEnd w:id="698"/>
      <w:bookmarkEnd w:id="699"/>
      <w:bookmarkEnd w:id="700"/>
      <w:bookmarkEnd w:id="701"/>
      <w:bookmarkEnd w:id="702"/>
      <w:bookmarkEnd w:id="703"/>
    </w:p>
    <w:p>
      <w:pPr>
        <w:spacing w:line="360" w:lineRule="auto"/>
        <w:ind w:firstLine="420" w:firstLineChars="200"/>
        <w:rPr>
          <w:rFonts w:ascii="宋体" w:hAnsi="宋体"/>
          <w:color w:val="auto"/>
        </w:rPr>
      </w:pPr>
      <w:bookmarkStart w:id="704" w:name="_Toc509667305"/>
      <w:bookmarkEnd w:id="704"/>
      <w:bookmarkStart w:id="705" w:name="_Toc490667874"/>
      <w:bookmarkEnd w:id="705"/>
      <w:bookmarkStart w:id="706" w:name="_Toc466298137"/>
      <w:bookmarkEnd w:id="706"/>
      <w:bookmarkStart w:id="707" w:name="_Toc455867814"/>
      <w:bookmarkEnd w:id="707"/>
      <w:bookmarkStart w:id="708" w:name="_Toc455080154"/>
      <w:r>
        <w:rPr>
          <w:rFonts w:hint="eastAsia" w:ascii="宋体" w:hAnsi="宋体"/>
          <w:color w:val="auto"/>
        </w:rPr>
        <w:t>需要补充的其他内容：见供应商须知前附表。</w:t>
      </w:r>
      <w:bookmarkEnd w:id="708"/>
      <w:bookmarkStart w:id="709" w:name="_Toc152042375"/>
      <w:bookmarkEnd w:id="709"/>
      <w:bookmarkStart w:id="710" w:name="_Toc144974565"/>
      <w:bookmarkEnd w:id="710"/>
      <w:bookmarkStart w:id="711" w:name="_Toc152045598"/>
      <w:bookmarkEnd w:id="711"/>
    </w:p>
    <w:p>
      <w:pPr>
        <w:rPr>
          <w:rFonts w:ascii="宋体" w:hAnsi="宋体"/>
          <w:color w:val="auto"/>
        </w:rPr>
      </w:pPr>
      <w:r>
        <w:rPr>
          <w:rFonts w:hint="eastAsia" w:ascii="宋体" w:hAnsi="宋体"/>
          <w:color w:val="auto"/>
        </w:rPr>
        <w:br w:type="page"/>
      </w:r>
    </w:p>
    <w:p>
      <w:pPr>
        <w:ind w:firstLine="422" w:firstLineChars="200"/>
        <w:rPr>
          <w:rFonts w:ascii="宋体" w:hAnsi="宋体" w:cs="宋体"/>
          <w:b/>
          <w:bCs/>
          <w:color w:val="auto"/>
          <w:kern w:val="0"/>
        </w:rPr>
      </w:pPr>
      <w:r>
        <w:rPr>
          <w:rFonts w:hint="eastAsia" w:ascii="宋体" w:hAnsi="宋体" w:cs="宋体"/>
          <w:b/>
          <w:bCs/>
          <w:color w:val="auto"/>
          <w:kern w:val="0"/>
        </w:rPr>
        <w:t xml:space="preserve">附件1 </w:t>
      </w:r>
    </w:p>
    <w:p>
      <w:pPr>
        <w:autoSpaceDE w:val="0"/>
        <w:autoSpaceDN w:val="0"/>
        <w:adjustRightInd w:val="0"/>
        <w:jc w:val="center"/>
        <w:rPr>
          <w:rFonts w:cs="宋体"/>
          <w:b/>
          <w:color w:val="auto"/>
          <w:kern w:val="0"/>
        </w:rPr>
      </w:pPr>
      <w:r>
        <w:rPr>
          <w:rFonts w:hint="eastAsia" w:cs="宋体"/>
          <w:b/>
          <w:color w:val="auto"/>
          <w:kern w:val="0"/>
        </w:rPr>
        <w:t>质 疑 函</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一、质疑供应商基本信息</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质疑供应商：</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地址：             邮编：</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联系人：           联系电话：</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授权代表：</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联系电话：</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地址：             邮编：</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二、质疑项目基本信息</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质疑项目的名称：</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质疑项目的编号：</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包号：</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采购人名称：</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竞争性磋商文件获取日期：</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三、质疑事项具体内容</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质疑事项</w:t>
      </w:r>
      <w:r>
        <w:rPr>
          <w:rFonts w:cs="宋体"/>
          <w:color w:val="auto"/>
          <w:kern w:val="0"/>
        </w:rPr>
        <w:t>1</w:t>
      </w:r>
      <w:r>
        <w:rPr>
          <w:rFonts w:hint="eastAsia" w:cs="宋体"/>
          <w:color w:val="auto"/>
          <w:kern w:val="0"/>
        </w:rPr>
        <w:t>：</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事实依据：</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法律依据：</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质疑事项</w:t>
      </w:r>
      <w:r>
        <w:rPr>
          <w:rFonts w:cs="宋体"/>
          <w:color w:val="auto"/>
          <w:kern w:val="0"/>
        </w:rPr>
        <w:t>2</w:t>
      </w:r>
      <w:r>
        <w:rPr>
          <w:rFonts w:hint="eastAsia" w:cs="宋体"/>
          <w:color w:val="auto"/>
          <w:kern w:val="0"/>
        </w:rPr>
        <w:t>：</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四、与质疑事项相关的质疑请求：</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签字（签章）：</w:t>
      </w:r>
    </w:p>
    <w:p>
      <w:pPr>
        <w:autoSpaceDE w:val="0"/>
        <w:autoSpaceDN w:val="0"/>
        <w:adjustRightInd w:val="0"/>
        <w:spacing w:line="480" w:lineRule="auto"/>
        <w:ind w:firstLine="420" w:firstLineChars="200"/>
        <w:jc w:val="left"/>
        <w:rPr>
          <w:rFonts w:cs="宋体"/>
          <w:color w:val="auto"/>
          <w:kern w:val="0"/>
        </w:rPr>
      </w:pPr>
      <w:r>
        <w:rPr>
          <w:rFonts w:hint="eastAsia" w:cs="宋体"/>
          <w:color w:val="auto"/>
          <w:kern w:val="0"/>
        </w:rPr>
        <w:t>公章：</w:t>
      </w:r>
    </w:p>
    <w:p>
      <w:pPr>
        <w:spacing w:line="480" w:lineRule="auto"/>
        <w:ind w:firstLine="420" w:firstLineChars="200"/>
        <w:jc w:val="left"/>
        <w:rPr>
          <w:color w:val="auto"/>
        </w:rPr>
      </w:pPr>
      <w:r>
        <w:rPr>
          <w:rFonts w:hint="eastAsia"/>
          <w:color w:val="auto"/>
        </w:rPr>
        <w:t>日期：</w:t>
      </w:r>
    </w:p>
    <w:p>
      <w:pPr>
        <w:spacing w:line="360" w:lineRule="auto"/>
        <w:jc w:val="left"/>
        <w:rPr>
          <w:color w:val="auto"/>
        </w:rPr>
      </w:pPr>
    </w:p>
    <w:p>
      <w:pPr>
        <w:spacing w:line="360" w:lineRule="auto"/>
        <w:jc w:val="left"/>
        <w:rPr>
          <w:color w:val="auto"/>
        </w:rPr>
      </w:pPr>
    </w:p>
    <w:p>
      <w:pPr>
        <w:spacing w:line="360" w:lineRule="auto"/>
        <w:jc w:val="left"/>
        <w:rPr>
          <w:color w:val="auto"/>
        </w:rPr>
      </w:pPr>
    </w:p>
    <w:p>
      <w:pPr>
        <w:spacing w:line="480" w:lineRule="auto"/>
        <w:jc w:val="left"/>
        <w:rPr>
          <w:bCs/>
          <w:color w:val="auto"/>
        </w:rPr>
      </w:pPr>
      <w:r>
        <w:rPr>
          <w:rFonts w:hint="eastAsia"/>
          <w:bCs/>
          <w:color w:val="auto"/>
        </w:rPr>
        <w:t>质疑函制作说明：</w:t>
      </w:r>
    </w:p>
    <w:p>
      <w:pPr>
        <w:spacing w:line="480" w:lineRule="auto"/>
        <w:ind w:firstLine="420" w:firstLineChars="200"/>
        <w:jc w:val="left"/>
        <w:rPr>
          <w:bCs/>
          <w:color w:val="auto"/>
        </w:rPr>
      </w:pPr>
      <w:r>
        <w:rPr>
          <w:rFonts w:hint="eastAsia"/>
          <w:bCs/>
          <w:color w:val="auto"/>
        </w:rPr>
        <w:t>1.供应商提出质疑时，应提交质疑函和必要的证明材料。</w:t>
      </w:r>
    </w:p>
    <w:p>
      <w:pPr>
        <w:spacing w:line="480" w:lineRule="auto"/>
        <w:ind w:firstLine="420" w:firstLineChars="200"/>
        <w:jc w:val="left"/>
        <w:rPr>
          <w:bCs/>
          <w:color w:val="auto"/>
        </w:rPr>
      </w:pPr>
      <w:r>
        <w:rPr>
          <w:rFonts w:hint="eastAsia"/>
          <w:bCs/>
          <w:color w:val="auto"/>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480" w:lineRule="auto"/>
        <w:ind w:firstLine="420" w:firstLineChars="200"/>
        <w:jc w:val="left"/>
        <w:rPr>
          <w:bCs/>
          <w:color w:val="auto"/>
        </w:rPr>
      </w:pPr>
      <w:r>
        <w:rPr>
          <w:bCs/>
          <w:color w:val="auto"/>
        </w:rPr>
        <w:t>3</w:t>
      </w:r>
      <w:r>
        <w:rPr>
          <w:rFonts w:hint="eastAsia"/>
          <w:bCs/>
          <w:color w:val="auto"/>
        </w:rPr>
        <w:t>.质疑函的质疑事项应具体、明确，并有必要的事实依据和法律依据。</w:t>
      </w:r>
    </w:p>
    <w:p>
      <w:pPr>
        <w:spacing w:line="480" w:lineRule="auto"/>
        <w:ind w:firstLine="420" w:firstLineChars="200"/>
        <w:jc w:val="left"/>
        <w:rPr>
          <w:bCs/>
          <w:color w:val="auto"/>
        </w:rPr>
      </w:pPr>
      <w:r>
        <w:rPr>
          <w:bCs/>
          <w:color w:val="auto"/>
        </w:rPr>
        <w:t>4</w:t>
      </w:r>
      <w:r>
        <w:rPr>
          <w:rFonts w:hint="eastAsia"/>
          <w:bCs/>
          <w:color w:val="auto"/>
        </w:rPr>
        <w:t>.质疑函的质疑请求应与质疑事项相关。</w:t>
      </w:r>
    </w:p>
    <w:p>
      <w:pPr>
        <w:spacing w:line="480" w:lineRule="auto"/>
        <w:ind w:firstLine="420" w:firstLineChars="200"/>
        <w:rPr>
          <w:rFonts w:ascii="宋体" w:hAnsi="宋体" w:cs="宋体"/>
          <w:b/>
          <w:bCs/>
          <w:color w:val="auto"/>
          <w:kern w:val="0"/>
        </w:rPr>
      </w:pPr>
      <w:r>
        <w:rPr>
          <w:bCs/>
          <w:color w:val="auto"/>
        </w:rPr>
        <w:t>5</w:t>
      </w:r>
      <w:r>
        <w:rPr>
          <w:rFonts w:hint="eastAsia"/>
          <w:bCs/>
          <w:color w:val="auto"/>
        </w:rPr>
        <w:t>.质疑供应商为自然人的，质疑函应由本人签字；质疑供应商为法人或者其他组织的，质疑函应由法定代表人、主要负责人或者他授权代表签字或者盖章，并加盖公章。</w:t>
      </w:r>
    </w:p>
    <w:p>
      <w:pPr>
        <w:rPr>
          <w:rFonts w:ascii="方正小标宋简体" w:hAnsi="方正小标宋简体" w:eastAsia="方正小标宋简体" w:cs="方正小标宋简体"/>
          <w:color w:val="auto"/>
          <w:kern w:val="0"/>
          <w:sz w:val="28"/>
          <w:szCs w:val="28"/>
          <w:shd w:val="clear" w:color="auto" w:fill="F9F9F9"/>
        </w:rPr>
      </w:pPr>
      <w:r>
        <w:rPr>
          <w:rFonts w:ascii="方正小标宋简体" w:hAnsi="方正小标宋简体" w:eastAsia="方正小标宋简体" w:cs="方正小标宋简体"/>
          <w:color w:val="auto"/>
          <w:kern w:val="0"/>
          <w:sz w:val="28"/>
          <w:szCs w:val="28"/>
          <w:shd w:val="clear" w:color="auto" w:fill="F9F9F9"/>
        </w:rPr>
        <w:br w:type="page"/>
      </w:r>
    </w:p>
    <w:p>
      <w:pPr>
        <w:rPr>
          <w:rFonts w:ascii="宋体" w:hAnsi="宋体" w:cs="宋体"/>
          <w:b/>
          <w:bCs/>
          <w:color w:val="auto"/>
          <w:kern w:val="0"/>
        </w:rPr>
      </w:pPr>
      <w:r>
        <w:rPr>
          <w:rFonts w:hint="eastAsia" w:ascii="宋体" w:hAnsi="宋体" w:cs="宋体"/>
          <w:b/>
          <w:bCs/>
          <w:color w:val="auto"/>
          <w:kern w:val="0"/>
        </w:rPr>
        <w:t>附件2</w:t>
      </w:r>
    </w:p>
    <w:p>
      <w:pPr>
        <w:ind w:firstLine="560" w:firstLineChars="200"/>
        <w:jc w:val="center"/>
        <w:rPr>
          <w:color w:val="auto"/>
        </w:rPr>
      </w:pPr>
      <w:r>
        <w:rPr>
          <w:rFonts w:ascii="方正小标宋简体" w:hAnsi="方正小标宋简体" w:eastAsia="方正小标宋简体" w:cs="方正小标宋简体"/>
          <w:color w:val="auto"/>
          <w:kern w:val="0"/>
          <w:sz w:val="28"/>
          <w:szCs w:val="28"/>
          <w:shd w:val="clear" w:color="auto" w:fill="F9F9F9"/>
        </w:rPr>
        <w:t>中小企业划型标准规定</w:t>
      </w:r>
    </w:p>
    <w:tbl>
      <w:tblPr>
        <w:tblStyle w:val="33"/>
        <w:tblW w:w="9896" w:type="dxa"/>
        <w:jc w:val="center"/>
        <w:shd w:val="clear" w:color="auto" w:fill="FFFFFF"/>
        <w:tblLayout w:type="autofit"/>
        <w:tblCellMar>
          <w:top w:w="0" w:type="dxa"/>
          <w:left w:w="0" w:type="dxa"/>
          <w:bottom w:w="0" w:type="dxa"/>
          <w:right w:w="0" w:type="dxa"/>
        </w:tblCellMar>
      </w:tblPr>
      <w:tblGrid>
        <w:gridCol w:w="1687"/>
        <w:gridCol w:w="1492"/>
        <w:gridCol w:w="728"/>
        <w:gridCol w:w="1245"/>
        <w:gridCol w:w="1965"/>
        <w:gridCol w:w="1756"/>
        <w:gridCol w:w="1023"/>
      </w:tblGrid>
      <w:tr>
        <w:tblPrEx>
          <w:shd w:val="clear" w:color="auto" w:fill="FFFFFF"/>
          <w:tblCellMar>
            <w:top w:w="0" w:type="dxa"/>
            <w:left w:w="0" w:type="dxa"/>
            <w:bottom w:w="0" w:type="dxa"/>
            <w:right w:w="0" w:type="dxa"/>
          </w:tblCellMar>
        </w:tblPrEx>
        <w:trPr>
          <w:trHeight w:val="653" w:hRule="atLeast"/>
          <w:jc w:val="center"/>
        </w:trPr>
        <w:tc>
          <w:tcPr>
            <w:tcW w:w="1687"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pPr>
              <w:pStyle w:val="29"/>
              <w:wordWrap w:val="0"/>
              <w:spacing w:line="240" w:lineRule="auto"/>
              <w:jc w:val="center"/>
              <w:rPr>
                <w:rFonts w:ascii="宋体" w:hAnsi="宋体" w:cs="宋体"/>
                <w:color w:val="auto"/>
              </w:rPr>
            </w:pPr>
            <w:r>
              <w:rPr>
                <w:rStyle w:val="36"/>
                <w:rFonts w:hint="eastAsia" w:ascii="宋体" w:hAnsi="宋体" w:cs="宋体"/>
                <w:color w:val="auto"/>
                <w:spacing w:val="8"/>
              </w:rPr>
              <w:t>行业名称</w:t>
            </w:r>
          </w:p>
        </w:tc>
        <w:tc>
          <w:tcPr>
            <w:tcW w:w="1492"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29"/>
              <w:wordWrap w:val="0"/>
              <w:spacing w:line="240" w:lineRule="auto"/>
              <w:jc w:val="center"/>
              <w:rPr>
                <w:rFonts w:ascii="宋体" w:hAnsi="宋体" w:cs="宋体"/>
                <w:color w:val="auto"/>
              </w:rPr>
            </w:pPr>
            <w:r>
              <w:rPr>
                <w:rStyle w:val="36"/>
                <w:rFonts w:hint="eastAsia" w:ascii="宋体" w:hAnsi="宋体" w:cs="宋体"/>
                <w:color w:val="auto"/>
                <w:spacing w:val="8"/>
              </w:rPr>
              <w:t>指标名称</w:t>
            </w:r>
          </w:p>
        </w:tc>
        <w:tc>
          <w:tcPr>
            <w:tcW w:w="728"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29"/>
              <w:wordWrap w:val="0"/>
              <w:spacing w:line="240" w:lineRule="auto"/>
              <w:jc w:val="center"/>
              <w:rPr>
                <w:rFonts w:ascii="宋体" w:hAnsi="宋体" w:cs="宋体"/>
                <w:color w:val="auto"/>
              </w:rPr>
            </w:pPr>
            <w:r>
              <w:rPr>
                <w:rStyle w:val="36"/>
                <w:rFonts w:hint="eastAsia" w:ascii="宋体" w:hAnsi="宋体" w:cs="宋体"/>
                <w:color w:val="auto"/>
                <w:spacing w:val="8"/>
              </w:rPr>
              <w:t>计量单位</w:t>
            </w:r>
          </w:p>
        </w:tc>
        <w:tc>
          <w:tcPr>
            <w:tcW w:w="124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29"/>
              <w:wordWrap w:val="0"/>
              <w:spacing w:line="240" w:lineRule="auto"/>
              <w:jc w:val="center"/>
              <w:rPr>
                <w:rFonts w:ascii="宋体" w:hAnsi="宋体" w:cs="宋体"/>
                <w:color w:val="auto"/>
              </w:rPr>
            </w:pPr>
            <w:r>
              <w:rPr>
                <w:rStyle w:val="36"/>
                <w:rFonts w:hint="eastAsia" w:ascii="宋体" w:hAnsi="宋体" w:cs="宋体"/>
                <w:color w:val="auto"/>
                <w:spacing w:val="8"/>
              </w:rPr>
              <w:t>大型</w:t>
            </w:r>
          </w:p>
        </w:tc>
        <w:tc>
          <w:tcPr>
            <w:tcW w:w="196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29"/>
              <w:wordWrap w:val="0"/>
              <w:spacing w:line="240" w:lineRule="auto"/>
              <w:jc w:val="center"/>
              <w:rPr>
                <w:rFonts w:ascii="宋体" w:hAnsi="宋体" w:cs="宋体"/>
                <w:color w:val="auto"/>
              </w:rPr>
            </w:pPr>
            <w:r>
              <w:rPr>
                <w:rStyle w:val="36"/>
                <w:rFonts w:hint="eastAsia" w:ascii="宋体" w:hAnsi="宋体" w:cs="宋体"/>
                <w:color w:val="auto"/>
                <w:spacing w:val="8"/>
              </w:rPr>
              <w:t>中型</w:t>
            </w:r>
          </w:p>
        </w:tc>
        <w:tc>
          <w:tcPr>
            <w:tcW w:w="1756"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29"/>
              <w:wordWrap w:val="0"/>
              <w:spacing w:line="240" w:lineRule="auto"/>
              <w:jc w:val="center"/>
              <w:rPr>
                <w:rFonts w:ascii="宋体" w:hAnsi="宋体" w:cs="宋体"/>
                <w:color w:val="auto"/>
              </w:rPr>
            </w:pPr>
            <w:r>
              <w:rPr>
                <w:rStyle w:val="36"/>
                <w:rFonts w:hint="eastAsia" w:ascii="宋体" w:hAnsi="宋体" w:cs="宋体"/>
                <w:color w:val="auto"/>
                <w:spacing w:val="8"/>
              </w:rPr>
              <w:t>小型</w:t>
            </w:r>
          </w:p>
        </w:tc>
        <w:tc>
          <w:tcPr>
            <w:tcW w:w="1023"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pPr>
              <w:pStyle w:val="29"/>
              <w:wordWrap w:val="0"/>
              <w:spacing w:line="240" w:lineRule="auto"/>
              <w:jc w:val="center"/>
              <w:rPr>
                <w:rFonts w:ascii="宋体" w:hAnsi="宋体" w:cs="宋体"/>
                <w:color w:val="auto"/>
              </w:rPr>
            </w:pPr>
            <w:r>
              <w:rPr>
                <w:rStyle w:val="36"/>
                <w:rFonts w:hint="eastAsia" w:ascii="宋体" w:hAnsi="宋体" w:cs="宋体"/>
                <w:color w:val="auto"/>
                <w:spacing w:val="8"/>
              </w:rPr>
              <w:t>微型</w:t>
            </w:r>
          </w:p>
        </w:tc>
      </w:tr>
      <w:tr>
        <w:tblPrEx>
          <w:tblCellMar>
            <w:top w:w="0" w:type="dxa"/>
            <w:left w:w="0" w:type="dxa"/>
            <w:bottom w:w="0" w:type="dxa"/>
            <w:right w:w="0" w:type="dxa"/>
          </w:tblCellMar>
        </w:tblPrEx>
        <w:trPr>
          <w:trHeight w:val="682" w:hRule="atLeast"/>
          <w:jc w:val="center"/>
        </w:trPr>
        <w:tc>
          <w:tcPr>
            <w:tcW w:w="1687"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农、林、牧、渔业</w:t>
            </w: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500≤Y＜20000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50≤Y＜500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Y＜50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工业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X＜20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Y≥40000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2000≤Y＜40000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300≤Y＜2000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Y＜300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建筑业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Y≥80000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6000≤Y＜80000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300≤Y＜6000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Y＜300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Z≥80000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5000≤Z＜80000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300≤Z＜5000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Z＜300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批发业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X≥200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20≤X＜200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5≤X＜20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X＜5</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Y≥40000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5000≤Y＜40000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1000≤Y＜5000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零售业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50≤X＜300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10≤X＜50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500≤Y＜20000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100≤Y＜500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交通运输业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X＜20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3000≤Y＜30000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200≤Y＜3000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Y＜200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仓储业*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X≥200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100≤X＜200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X＜20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邮政业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X＜20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Y≥30000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2000≤Y＜30000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住宿业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2000≤Y＜10000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餐饮业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2000≤Y＜10000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100≤Y＜2000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信息传输业 *</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X≥2000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100≤X＜2000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1000≤Y＜100000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15"/>
              </w:rPr>
              <w:t>软件和信息技术服</w:t>
            </w:r>
            <w:r>
              <w:rPr>
                <w:rFonts w:hint="eastAsia" w:ascii="宋体" w:hAnsi="宋体" w:cs="宋体"/>
                <w:color w:val="auto"/>
                <w:spacing w:val="8"/>
              </w:rPr>
              <w:t>务业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1000≤Y＜10000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50≤Y＜1000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Y＜50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房地产开发经营</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Y≥200000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1000≤Y＜200000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100≤Y＜1000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Y＜100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Z≥10000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5000≤Z＜10000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2000≤Z＜5000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Z＜2000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物业管理</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300≤X＜1000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100≤X＜300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营业收入(Y)</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Y≥5000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1000≤Y＜5000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500≤Y＜1000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Y＜500</w:t>
            </w:r>
          </w:p>
        </w:tc>
      </w:tr>
      <w:tr>
        <w:tblPrEx>
          <w:tblCellMar>
            <w:top w:w="0" w:type="dxa"/>
            <w:left w:w="0" w:type="dxa"/>
            <w:bottom w:w="0" w:type="dxa"/>
            <w:right w:w="0" w:type="dxa"/>
          </w:tblCellMar>
        </w:tblPrEx>
        <w:trPr>
          <w:trHeight w:val="589" w:hRule="atLeast"/>
          <w:jc w:val="center"/>
        </w:trPr>
        <w:tc>
          <w:tcPr>
            <w:tcW w:w="1687"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租赁和商务服务业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w:t>
            </w:r>
          </w:p>
        </w:tc>
      </w:tr>
      <w:tr>
        <w:tblPrEx>
          <w:tblCellMar>
            <w:top w:w="0" w:type="dxa"/>
            <w:left w:w="0" w:type="dxa"/>
            <w:bottom w:w="0" w:type="dxa"/>
            <w:right w:w="0" w:type="dxa"/>
          </w:tblCellMar>
        </w:tblPrEx>
        <w:trPr>
          <w:trHeight w:val="589" w:hRule="atLeast"/>
          <w:jc w:val="center"/>
        </w:trPr>
        <w:tc>
          <w:tcPr>
            <w:tcW w:w="1687"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jc w:val="center"/>
              <w:rPr>
                <w:rFonts w:ascii="宋体" w:hAnsi="宋体" w:cs="宋体"/>
                <w:color w:val="auto"/>
                <w:spacing w:val="8"/>
              </w:rPr>
            </w:pPr>
          </w:p>
        </w:tc>
        <w:tc>
          <w:tcPr>
            <w:tcW w:w="1492"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资产总额(Z)</w:t>
            </w:r>
          </w:p>
        </w:tc>
        <w:tc>
          <w:tcPr>
            <w:tcW w:w="728"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万元</w:t>
            </w:r>
          </w:p>
        </w:tc>
        <w:tc>
          <w:tcPr>
            <w:tcW w:w="124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Z≥120000</w:t>
            </w:r>
          </w:p>
        </w:tc>
        <w:tc>
          <w:tcPr>
            <w:tcW w:w="1965"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8000≤Z＜120000</w:t>
            </w:r>
          </w:p>
        </w:tc>
        <w:tc>
          <w:tcPr>
            <w:tcW w:w="1756"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100≤Z＜8000</w:t>
            </w:r>
          </w:p>
        </w:tc>
        <w:tc>
          <w:tcPr>
            <w:tcW w:w="1023" w:type="dxa"/>
            <w:tcBorders>
              <w:top w:val="nil"/>
              <w:left w:val="nil"/>
              <w:bottom w:val="single" w:color="4F81BD" w:sz="6" w:space="0"/>
              <w:right w:val="single" w:color="4F81BD" w:sz="6" w:space="0"/>
            </w:tcBorders>
            <w:shd w:val="clear" w:color="auto" w:fill="B8CCE4"/>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Z＜100</w:t>
            </w:r>
          </w:p>
        </w:tc>
      </w:tr>
      <w:tr>
        <w:tblPrEx>
          <w:tblCellMar>
            <w:top w:w="0" w:type="dxa"/>
            <w:left w:w="0" w:type="dxa"/>
            <w:bottom w:w="0" w:type="dxa"/>
            <w:right w:w="0" w:type="dxa"/>
          </w:tblCellMar>
        </w:tblPrEx>
        <w:trPr>
          <w:trHeight w:val="668" w:hRule="atLeast"/>
          <w:jc w:val="center"/>
        </w:trPr>
        <w:tc>
          <w:tcPr>
            <w:tcW w:w="1687"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pPr>
              <w:pStyle w:val="29"/>
              <w:wordWrap w:val="0"/>
              <w:spacing w:line="240" w:lineRule="atLeast"/>
              <w:jc w:val="center"/>
              <w:rPr>
                <w:rFonts w:ascii="宋体" w:hAnsi="宋体" w:cs="宋体"/>
                <w:color w:val="auto"/>
              </w:rPr>
            </w:pPr>
            <w:r>
              <w:rPr>
                <w:rFonts w:hint="eastAsia" w:ascii="宋体" w:hAnsi="宋体" w:cs="宋体"/>
                <w:color w:val="auto"/>
                <w:spacing w:val="8"/>
              </w:rPr>
              <w:t>其他未列明行业*</w:t>
            </w:r>
          </w:p>
        </w:tc>
        <w:tc>
          <w:tcPr>
            <w:tcW w:w="1492"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从业人员(X)</w:t>
            </w:r>
          </w:p>
        </w:tc>
        <w:tc>
          <w:tcPr>
            <w:tcW w:w="728"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人</w:t>
            </w:r>
          </w:p>
        </w:tc>
        <w:tc>
          <w:tcPr>
            <w:tcW w:w="124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X≥300</w:t>
            </w:r>
          </w:p>
        </w:tc>
        <w:tc>
          <w:tcPr>
            <w:tcW w:w="1965"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100≤X＜300</w:t>
            </w:r>
          </w:p>
        </w:tc>
        <w:tc>
          <w:tcPr>
            <w:tcW w:w="1756"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10≤X＜100</w:t>
            </w:r>
          </w:p>
        </w:tc>
        <w:tc>
          <w:tcPr>
            <w:tcW w:w="1023" w:type="dxa"/>
            <w:tcBorders>
              <w:top w:val="nil"/>
              <w:left w:val="nil"/>
              <w:bottom w:val="single" w:color="4F81BD" w:sz="6" w:space="0"/>
              <w:right w:val="single" w:color="4F81BD" w:sz="6" w:space="0"/>
            </w:tcBorders>
            <w:shd w:val="clear" w:color="auto" w:fill="FFFFFF"/>
            <w:tcMar>
              <w:left w:w="105" w:type="dxa"/>
              <w:right w:w="105" w:type="dxa"/>
            </w:tcMar>
            <w:vAlign w:val="center"/>
          </w:tcPr>
          <w:p>
            <w:pPr>
              <w:pStyle w:val="29"/>
              <w:wordWrap w:val="0"/>
              <w:jc w:val="center"/>
              <w:rPr>
                <w:rFonts w:ascii="宋体" w:hAnsi="宋体" w:cs="宋体"/>
                <w:color w:val="auto"/>
              </w:rPr>
            </w:pPr>
            <w:r>
              <w:rPr>
                <w:rFonts w:hint="eastAsia" w:ascii="宋体" w:hAnsi="宋体" w:cs="宋体"/>
                <w:color w:val="auto"/>
                <w:spacing w:val="8"/>
              </w:rPr>
              <w:t>X＜10</w:t>
            </w:r>
          </w:p>
        </w:tc>
      </w:tr>
    </w:tbl>
    <w:p>
      <w:pPr>
        <w:spacing w:line="420" w:lineRule="exact"/>
        <w:ind w:firstLine="420" w:firstLineChars="200"/>
        <w:rPr>
          <w:rFonts w:ascii="宋体" w:hAnsi="宋体" w:cs="宋体"/>
          <w:color w:val="auto"/>
          <w:kern w:val="0"/>
        </w:rPr>
      </w:pPr>
      <w:r>
        <w:rPr>
          <w:rFonts w:hint="eastAsia" w:ascii="宋体" w:hAnsi="宋体" w:cs="宋体"/>
          <w:color w:val="auto"/>
          <w:kern w:val="0"/>
        </w:rPr>
        <w:t>说明：1.大型、中型和小型企业须</w:t>
      </w:r>
      <w:r>
        <w:rPr>
          <w:rFonts w:hint="eastAsia" w:ascii="宋体" w:hAnsi="宋体" w:cs="宋体"/>
          <w:b/>
          <w:bCs/>
          <w:color w:val="auto"/>
          <w:kern w:val="0"/>
        </w:rPr>
        <w:t>同时满足所列指标的下限</w:t>
      </w:r>
      <w:r>
        <w:rPr>
          <w:rFonts w:hint="eastAsia" w:ascii="宋体" w:hAnsi="宋体" w:cs="宋体"/>
          <w:color w:val="auto"/>
          <w:kern w:val="0"/>
        </w:rPr>
        <w:t>；微型企业只须满足所列指标中的一项即可。</w:t>
      </w:r>
    </w:p>
    <w:p>
      <w:pPr>
        <w:numPr>
          <w:ilvl w:val="0"/>
          <w:numId w:val="2"/>
        </w:numPr>
        <w:spacing w:line="420" w:lineRule="exact"/>
        <w:ind w:firstLine="420" w:firstLineChars="200"/>
        <w:rPr>
          <w:rFonts w:ascii="宋体" w:hAnsi="宋体" w:cs="宋体"/>
          <w:color w:val="auto"/>
          <w:kern w:val="0"/>
        </w:rPr>
      </w:pPr>
      <w:r>
        <w:rPr>
          <w:rFonts w:hint="eastAsia" w:ascii="宋体" w:hAnsi="宋体" w:cs="宋体"/>
          <w:color w:val="auto"/>
          <w:kern w:val="0"/>
        </w:rPr>
        <w:t>附表中各行业的范围以《国民经济行业分类》（GB/T4754-2017）为准。</w:t>
      </w:r>
      <w:r>
        <w:rPr>
          <w:rFonts w:hint="eastAsia" w:ascii="宋体" w:hAnsi="宋体" w:cs="宋体"/>
          <w:b/>
          <w:bCs/>
          <w:color w:val="auto"/>
          <w:kern w:val="0"/>
        </w:rPr>
        <w:t>带*的项为行业组合类别</w:t>
      </w:r>
      <w:r>
        <w:rPr>
          <w:rFonts w:hint="eastAsia" w:ascii="宋体" w:hAnsi="宋体" w:cs="宋体"/>
          <w:color w:val="auto"/>
          <w:kern w:val="0"/>
        </w:rPr>
        <w:t>，其中，</w:t>
      </w:r>
      <w:r>
        <w:rPr>
          <w:rFonts w:hint="eastAsia" w:ascii="宋体" w:hAnsi="宋体" w:cs="宋体"/>
          <w:b/>
          <w:bCs/>
          <w:color w:val="auto"/>
          <w:kern w:val="0"/>
        </w:rPr>
        <w:t>工业</w:t>
      </w:r>
      <w:r>
        <w:rPr>
          <w:rFonts w:hint="eastAsia" w:ascii="宋体" w:hAnsi="宋体" w:cs="宋体"/>
          <w:color w:val="auto"/>
          <w:kern w:val="0"/>
        </w:rPr>
        <w:t>包括采矿业，制造业，电力、热力、燃气及水生产和供应业；</w:t>
      </w:r>
      <w:r>
        <w:rPr>
          <w:rFonts w:hint="eastAsia" w:ascii="宋体" w:hAnsi="宋体" w:cs="宋体"/>
          <w:b/>
          <w:bCs/>
          <w:color w:val="auto"/>
          <w:kern w:val="0"/>
        </w:rPr>
        <w:t>交通运输业</w:t>
      </w:r>
      <w:r>
        <w:rPr>
          <w:rFonts w:hint="eastAsia" w:ascii="宋体" w:hAnsi="宋体" w:cs="宋体"/>
          <w:color w:val="auto"/>
          <w:kern w:val="0"/>
        </w:rPr>
        <w:t>包括道路运输业，水上运输业，航空运输业，管道运输业，多式联运和运输代理业、装卸搬运，不包括铁路运输业；</w:t>
      </w:r>
      <w:r>
        <w:rPr>
          <w:rFonts w:hint="eastAsia" w:ascii="宋体" w:hAnsi="宋体" w:cs="宋体"/>
          <w:b/>
          <w:bCs/>
          <w:color w:val="auto"/>
          <w:kern w:val="0"/>
        </w:rPr>
        <w:t>仓储业</w:t>
      </w:r>
      <w:r>
        <w:rPr>
          <w:rFonts w:hint="eastAsia" w:ascii="宋体" w:hAnsi="宋体" w:cs="宋体"/>
          <w:color w:val="auto"/>
          <w:kern w:val="0"/>
        </w:rPr>
        <w:t>包括通用仓储，低温仓储，危险品仓储，谷物、棉花等农产品仓储，中药材仓储和其他仓储业；</w:t>
      </w:r>
      <w:r>
        <w:rPr>
          <w:rFonts w:hint="eastAsia" w:ascii="宋体" w:hAnsi="宋体" w:cs="宋体"/>
          <w:b/>
          <w:bCs/>
          <w:color w:val="auto"/>
          <w:kern w:val="0"/>
        </w:rPr>
        <w:t>信息传输业</w:t>
      </w:r>
      <w:r>
        <w:rPr>
          <w:rFonts w:hint="eastAsia" w:ascii="宋体" w:hAnsi="宋体" w:cs="宋体"/>
          <w:color w:val="auto"/>
          <w:kern w:val="0"/>
        </w:rPr>
        <w:t>包括电信、广播电视和卫星传输服务，互联网和相关服务；</w:t>
      </w:r>
      <w:r>
        <w:rPr>
          <w:rFonts w:hint="eastAsia" w:ascii="宋体" w:hAnsi="宋体" w:cs="宋体"/>
          <w:b/>
          <w:bCs/>
          <w:color w:val="auto"/>
          <w:kern w:val="0"/>
        </w:rPr>
        <w:t>其他未列明行业</w:t>
      </w:r>
      <w:r>
        <w:rPr>
          <w:rFonts w:hint="eastAsia" w:ascii="宋体" w:hAnsi="宋体" w:cs="宋体"/>
          <w:color w:val="auto"/>
          <w:kern w:val="0"/>
        </w:rPr>
        <w:t>包括科学研究和技术服务业，水利、环境和公共设施管理业，居民服务、修理和其他服务业，社会工作，文化、体育和娱乐业，以及房地产中介服务，其他房地产业等，不包括自有房地产经营活动。</w:t>
      </w:r>
    </w:p>
    <w:p>
      <w:pPr>
        <w:numPr>
          <w:ilvl w:val="0"/>
          <w:numId w:val="2"/>
        </w:numPr>
        <w:outlineLvl w:val="1"/>
        <w:rPr>
          <w:color w:val="auto"/>
        </w:rPr>
      </w:pPr>
      <w:bookmarkStart w:id="712" w:name="_Toc26187"/>
      <w:bookmarkStart w:id="713" w:name="_Toc27607"/>
      <w:bookmarkStart w:id="714" w:name="_Toc19791"/>
      <w:bookmarkStart w:id="715" w:name="_Toc20472"/>
      <w:bookmarkStart w:id="716" w:name="_Toc22443"/>
      <w:bookmarkStart w:id="717" w:name="_Toc28330"/>
      <w:bookmarkStart w:id="718" w:name="_Toc16050"/>
      <w:r>
        <w:rPr>
          <w:rFonts w:hint="eastAsia"/>
          <w:color w:val="auto"/>
        </w:rPr>
        <w:t>企业划分指标以现行统计制度为准。</w:t>
      </w:r>
      <w:bookmarkEnd w:id="712"/>
      <w:bookmarkEnd w:id="713"/>
      <w:bookmarkEnd w:id="714"/>
      <w:bookmarkEnd w:id="715"/>
      <w:bookmarkEnd w:id="716"/>
      <w:bookmarkEnd w:id="717"/>
      <w:bookmarkEnd w:id="718"/>
    </w:p>
    <w:p>
      <w:pPr>
        <w:spacing w:line="420" w:lineRule="exact"/>
        <w:ind w:firstLine="420" w:firstLineChars="200"/>
        <w:rPr>
          <w:rFonts w:ascii="宋体" w:hAnsi="宋体" w:cs="宋体"/>
          <w:color w:val="auto"/>
          <w:kern w:val="0"/>
        </w:rPr>
      </w:pPr>
      <w:r>
        <w:rPr>
          <w:rFonts w:hint="eastAsia" w:ascii="宋体" w:hAnsi="宋体" w:cs="宋体"/>
          <w:color w:val="auto"/>
          <w:kern w:val="0"/>
        </w:rPr>
        <w:t>（1）从业人员，是指期末从业人员数，没有期末从业人员数的，采用全年平均人员数代替。</w:t>
      </w:r>
    </w:p>
    <w:p>
      <w:pPr>
        <w:spacing w:line="420" w:lineRule="exact"/>
        <w:ind w:firstLine="420" w:firstLineChars="200"/>
        <w:rPr>
          <w:rFonts w:ascii="宋体" w:hAnsi="宋体" w:cs="宋体"/>
          <w:color w:val="auto"/>
          <w:kern w:val="0"/>
        </w:rPr>
      </w:pPr>
      <w:r>
        <w:rPr>
          <w:rFonts w:hint="eastAsia" w:ascii="宋体" w:hAnsi="宋体" w:cs="宋体"/>
          <w:color w:val="auto"/>
          <w:kern w:val="0"/>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spacing w:line="420" w:lineRule="exact"/>
        <w:ind w:left="420" w:leftChars="200"/>
        <w:rPr>
          <w:rFonts w:ascii="宋体" w:hAnsi="宋体" w:cs="宋体"/>
          <w:color w:val="auto"/>
          <w:kern w:val="0"/>
        </w:rPr>
      </w:pPr>
      <w:r>
        <w:rPr>
          <w:rFonts w:hint="eastAsia" w:ascii="宋体" w:hAnsi="宋体" w:cs="宋体"/>
          <w:color w:val="auto"/>
          <w:kern w:val="0"/>
        </w:rPr>
        <w:t>（3）资产总额，采用资产总计代替。</w:t>
      </w:r>
    </w:p>
    <w:p>
      <w:pPr>
        <w:jc w:val="center"/>
        <w:outlineLvl w:val="0"/>
        <w:rPr>
          <w:rFonts w:ascii="宋体" w:hAnsi="宋体"/>
          <w:bCs/>
          <w:color w:val="auto"/>
          <w:sz w:val="32"/>
          <w:szCs w:val="32"/>
        </w:rPr>
      </w:pPr>
      <w:r>
        <w:rPr>
          <w:rFonts w:hint="eastAsia" w:ascii="宋体" w:hAnsi="宋体"/>
          <w:color w:val="auto"/>
        </w:rPr>
        <w:br w:type="page"/>
      </w:r>
      <w:bookmarkStart w:id="719" w:name="_Toc509667306"/>
      <w:bookmarkEnd w:id="719"/>
      <w:bookmarkStart w:id="720" w:name="_Toc14283"/>
      <w:bookmarkStart w:id="721" w:name="_Toc129073506"/>
      <w:bookmarkStart w:id="722" w:name="_Toc20598"/>
      <w:bookmarkStart w:id="723" w:name="_Toc283"/>
      <w:bookmarkStart w:id="724" w:name="_Toc23208"/>
      <w:bookmarkStart w:id="725" w:name="_Toc3569"/>
      <w:bookmarkStart w:id="726" w:name="_Toc29145"/>
      <w:r>
        <w:rPr>
          <w:rFonts w:hint="eastAsia" w:ascii="宋体" w:hAnsi="宋体"/>
          <w:b/>
          <w:color w:val="auto"/>
          <w:kern w:val="44"/>
          <w:sz w:val="36"/>
          <w:szCs w:val="36"/>
        </w:rPr>
        <w:t>第三章  评审办法（综合评分法）</w:t>
      </w:r>
      <w:bookmarkEnd w:id="720"/>
      <w:bookmarkEnd w:id="721"/>
      <w:bookmarkEnd w:id="722"/>
      <w:bookmarkEnd w:id="723"/>
      <w:bookmarkEnd w:id="724"/>
      <w:bookmarkEnd w:id="725"/>
      <w:bookmarkEnd w:id="726"/>
    </w:p>
    <w:p>
      <w:pPr>
        <w:jc w:val="center"/>
        <w:outlineLvl w:val="1"/>
        <w:rPr>
          <w:rFonts w:ascii="宋体" w:hAnsi="宋体"/>
          <w:b/>
          <w:bCs/>
          <w:color w:val="auto"/>
          <w:sz w:val="28"/>
          <w:szCs w:val="28"/>
        </w:rPr>
      </w:pPr>
      <w:bookmarkStart w:id="727" w:name="_Toc144974566"/>
      <w:bookmarkEnd w:id="727"/>
      <w:bookmarkStart w:id="728" w:name="_Toc455080156"/>
      <w:bookmarkEnd w:id="728"/>
      <w:bookmarkStart w:id="729" w:name="_Toc318450721"/>
      <w:bookmarkEnd w:id="729"/>
      <w:bookmarkStart w:id="730" w:name="_Toc152045599"/>
      <w:bookmarkEnd w:id="730"/>
      <w:bookmarkStart w:id="731" w:name="_Toc466298139"/>
      <w:bookmarkEnd w:id="731"/>
      <w:bookmarkStart w:id="732" w:name="_Toc4489"/>
      <w:bookmarkEnd w:id="732"/>
      <w:bookmarkStart w:id="733" w:name="_Toc455867816"/>
      <w:bookmarkEnd w:id="733"/>
      <w:bookmarkStart w:id="734" w:name="_Toc152042376"/>
      <w:bookmarkEnd w:id="734"/>
      <w:bookmarkStart w:id="735" w:name="_Toc281405527"/>
      <w:bookmarkEnd w:id="735"/>
      <w:bookmarkStart w:id="736" w:name="_Toc129073507"/>
      <w:bookmarkStart w:id="737" w:name="_Toc9372"/>
      <w:bookmarkStart w:id="738" w:name="_Toc10898"/>
      <w:bookmarkStart w:id="739" w:name="_Toc873"/>
      <w:bookmarkStart w:id="740" w:name="_Toc8371"/>
      <w:bookmarkStart w:id="741" w:name="_Toc27806"/>
      <w:bookmarkStart w:id="742" w:name="_Toc4950"/>
      <w:r>
        <w:rPr>
          <w:rFonts w:hint="eastAsia" w:ascii="宋体" w:hAnsi="宋体"/>
          <w:b/>
          <w:bCs/>
          <w:color w:val="auto"/>
          <w:sz w:val="28"/>
          <w:szCs w:val="28"/>
        </w:rPr>
        <w:t>2.1评审办法前附表</w:t>
      </w:r>
      <w:bookmarkEnd w:id="736"/>
      <w:bookmarkEnd w:id="737"/>
      <w:bookmarkEnd w:id="738"/>
      <w:bookmarkEnd w:id="739"/>
      <w:bookmarkEnd w:id="740"/>
      <w:bookmarkEnd w:id="741"/>
      <w:bookmarkEnd w:id="742"/>
    </w:p>
    <w:tbl>
      <w:tblPr>
        <w:tblStyle w:val="33"/>
        <w:tblW w:w="92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40"/>
        <w:gridCol w:w="1845"/>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4" w:type="dxa"/>
            <w:gridSpan w:val="2"/>
            <w:vAlign w:val="center"/>
          </w:tcPr>
          <w:p>
            <w:pPr>
              <w:adjustRightInd w:val="0"/>
              <w:snapToGrid w:val="0"/>
              <w:spacing w:line="360" w:lineRule="auto"/>
              <w:jc w:val="center"/>
              <w:textAlignment w:val="baseline"/>
              <w:rPr>
                <w:rFonts w:ascii="宋体" w:hAnsi="宋体"/>
                <w:b/>
                <w:bCs/>
                <w:color w:val="auto"/>
              </w:rPr>
            </w:pPr>
            <w:r>
              <w:rPr>
                <w:rFonts w:hint="eastAsia" w:ascii="宋体" w:hAnsi="宋体"/>
                <w:b/>
                <w:bCs/>
                <w:color w:val="auto"/>
              </w:rPr>
              <w:t>条款号</w:t>
            </w:r>
          </w:p>
        </w:tc>
        <w:tc>
          <w:tcPr>
            <w:tcW w:w="1845" w:type="dxa"/>
            <w:vAlign w:val="center"/>
          </w:tcPr>
          <w:p>
            <w:pPr>
              <w:adjustRightInd w:val="0"/>
              <w:snapToGrid w:val="0"/>
              <w:spacing w:line="360" w:lineRule="auto"/>
              <w:jc w:val="center"/>
              <w:textAlignment w:val="baseline"/>
              <w:rPr>
                <w:rFonts w:ascii="宋体" w:hAnsi="宋体"/>
                <w:b/>
                <w:bCs/>
                <w:color w:val="auto"/>
              </w:rPr>
            </w:pPr>
            <w:r>
              <w:rPr>
                <w:rFonts w:hint="eastAsia" w:ascii="宋体" w:hAnsi="宋体"/>
                <w:b/>
                <w:bCs/>
                <w:color w:val="auto"/>
              </w:rPr>
              <w:t>评审因素</w:t>
            </w:r>
          </w:p>
        </w:tc>
        <w:tc>
          <w:tcPr>
            <w:tcW w:w="5869" w:type="dxa"/>
            <w:vAlign w:val="center"/>
          </w:tcPr>
          <w:p>
            <w:pPr>
              <w:adjustRightInd w:val="0"/>
              <w:snapToGrid w:val="0"/>
              <w:spacing w:line="360" w:lineRule="auto"/>
              <w:jc w:val="center"/>
              <w:textAlignment w:val="baseline"/>
              <w:rPr>
                <w:rFonts w:ascii="宋体" w:hAnsi="宋体"/>
                <w:b/>
                <w:bCs/>
                <w:color w:val="auto"/>
              </w:rPr>
            </w:pPr>
            <w:r>
              <w:rPr>
                <w:rFonts w:hint="eastAsia" w:ascii="宋体" w:hAnsi="宋体"/>
                <w:b/>
                <w:bCs/>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94" w:type="dxa"/>
            <w:vMerge w:val="restart"/>
            <w:vAlign w:val="center"/>
          </w:tcPr>
          <w:p>
            <w:pPr>
              <w:pStyle w:val="40"/>
              <w:snapToGrid w:val="0"/>
              <w:spacing w:line="360" w:lineRule="auto"/>
              <w:jc w:val="center"/>
              <w:rPr>
                <w:rFonts w:cs="Times New Roman"/>
                <w:color w:val="auto"/>
                <w:sz w:val="21"/>
                <w:szCs w:val="21"/>
              </w:rPr>
            </w:pPr>
            <w:r>
              <w:rPr>
                <w:rFonts w:hint="eastAsia" w:cs="Times New Roman"/>
                <w:color w:val="auto"/>
                <w:sz w:val="21"/>
                <w:szCs w:val="21"/>
              </w:rPr>
              <w:t>2.1.1</w:t>
            </w:r>
          </w:p>
        </w:tc>
        <w:tc>
          <w:tcPr>
            <w:tcW w:w="640" w:type="dxa"/>
            <w:vMerge w:val="restart"/>
            <w:vAlign w:val="center"/>
          </w:tcPr>
          <w:p>
            <w:pPr>
              <w:pStyle w:val="40"/>
              <w:snapToGrid w:val="0"/>
              <w:spacing w:line="360" w:lineRule="auto"/>
              <w:jc w:val="center"/>
              <w:rPr>
                <w:rFonts w:cs="Times New Roman"/>
                <w:color w:val="auto"/>
                <w:sz w:val="21"/>
                <w:szCs w:val="21"/>
              </w:rPr>
            </w:pPr>
            <w:r>
              <w:rPr>
                <w:rFonts w:hint="eastAsia" w:cs="Times New Roman"/>
                <w:color w:val="auto"/>
                <w:sz w:val="21"/>
                <w:szCs w:val="21"/>
              </w:rPr>
              <w:t>资</w:t>
            </w:r>
          </w:p>
          <w:p>
            <w:pPr>
              <w:pStyle w:val="40"/>
              <w:snapToGrid w:val="0"/>
              <w:spacing w:line="360" w:lineRule="auto"/>
              <w:jc w:val="center"/>
              <w:rPr>
                <w:rFonts w:cs="Times New Roman"/>
                <w:color w:val="auto"/>
                <w:sz w:val="21"/>
                <w:szCs w:val="21"/>
              </w:rPr>
            </w:pPr>
            <w:r>
              <w:rPr>
                <w:rFonts w:hint="eastAsia" w:cs="Times New Roman"/>
                <w:color w:val="auto"/>
                <w:sz w:val="21"/>
                <w:szCs w:val="21"/>
              </w:rPr>
              <w:t>格</w:t>
            </w:r>
          </w:p>
          <w:p>
            <w:pPr>
              <w:pStyle w:val="40"/>
              <w:snapToGrid w:val="0"/>
              <w:spacing w:line="360" w:lineRule="auto"/>
              <w:jc w:val="center"/>
              <w:rPr>
                <w:rFonts w:cs="Times New Roman"/>
                <w:color w:val="auto"/>
                <w:sz w:val="21"/>
                <w:szCs w:val="21"/>
              </w:rPr>
            </w:pPr>
            <w:r>
              <w:rPr>
                <w:rFonts w:hint="eastAsia" w:cs="Times New Roman"/>
                <w:color w:val="auto"/>
                <w:sz w:val="21"/>
                <w:szCs w:val="21"/>
              </w:rPr>
              <w:t>评</w:t>
            </w:r>
          </w:p>
          <w:p>
            <w:pPr>
              <w:pStyle w:val="40"/>
              <w:snapToGrid w:val="0"/>
              <w:spacing w:line="360" w:lineRule="auto"/>
              <w:jc w:val="center"/>
              <w:rPr>
                <w:rFonts w:cs="Times New Roman"/>
                <w:color w:val="auto"/>
                <w:sz w:val="21"/>
                <w:szCs w:val="21"/>
              </w:rPr>
            </w:pPr>
            <w:r>
              <w:rPr>
                <w:rFonts w:hint="eastAsia" w:cs="Times New Roman"/>
                <w:color w:val="auto"/>
                <w:sz w:val="21"/>
                <w:szCs w:val="21"/>
              </w:rPr>
              <w:t>审</w:t>
            </w:r>
          </w:p>
          <w:p>
            <w:pPr>
              <w:pStyle w:val="40"/>
              <w:snapToGrid w:val="0"/>
              <w:spacing w:line="360" w:lineRule="auto"/>
              <w:jc w:val="center"/>
              <w:rPr>
                <w:rFonts w:cs="Times New Roman"/>
                <w:color w:val="auto"/>
                <w:sz w:val="21"/>
                <w:szCs w:val="21"/>
              </w:rPr>
            </w:pPr>
            <w:r>
              <w:rPr>
                <w:rFonts w:hint="eastAsia" w:cs="Times New Roman"/>
                <w:color w:val="auto"/>
                <w:sz w:val="21"/>
                <w:szCs w:val="21"/>
              </w:rPr>
              <w:t>标</w:t>
            </w:r>
          </w:p>
          <w:p>
            <w:pPr>
              <w:pStyle w:val="40"/>
              <w:snapToGrid w:val="0"/>
              <w:spacing w:line="360" w:lineRule="auto"/>
              <w:jc w:val="center"/>
              <w:rPr>
                <w:rFonts w:cs="Times New Roman"/>
                <w:color w:val="auto"/>
                <w:sz w:val="21"/>
                <w:szCs w:val="21"/>
              </w:rPr>
            </w:pPr>
            <w:r>
              <w:rPr>
                <w:rFonts w:hint="eastAsia" w:cs="Times New Roman"/>
                <w:color w:val="auto"/>
                <w:sz w:val="21"/>
                <w:szCs w:val="21"/>
              </w:rPr>
              <w:t>准</w:t>
            </w:r>
          </w:p>
        </w:tc>
        <w:tc>
          <w:tcPr>
            <w:tcW w:w="1845" w:type="dxa"/>
            <w:vAlign w:val="center"/>
          </w:tcPr>
          <w:p>
            <w:pPr>
              <w:pStyle w:val="59"/>
              <w:widowControl/>
              <w:adjustRightInd w:val="0"/>
              <w:snapToGrid w:val="0"/>
              <w:spacing w:line="360" w:lineRule="auto"/>
              <w:jc w:val="center"/>
              <w:rPr>
                <w:rFonts w:ascii="宋体" w:hAnsi="宋体"/>
                <w:color w:val="auto"/>
              </w:rPr>
            </w:pPr>
            <w:r>
              <w:rPr>
                <w:rFonts w:hint="eastAsia" w:ascii="宋体" w:hAnsi="宋体"/>
                <w:color w:val="auto"/>
              </w:rPr>
              <w:t>具有独立承担民事责任的能力</w:t>
            </w:r>
          </w:p>
        </w:tc>
        <w:tc>
          <w:tcPr>
            <w:tcW w:w="5869" w:type="dxa"/>
            <w:vAlign w:val="center"/>
          </w:tcPr>
          <w:p>
            <w:pPr>
              <w:pStyle w:val="40"/>
              <w:snapToGrid w:val="0"/>
              <w:spacing w:line="360" w:lineRule="auto"/>
              <w:rPr>
                <w:rFonts w:cs="Times New Roman"/>
                <w:color w:val="auto"/>
                <w:sz w:val="21"/>
                <w:szCs w:val="21"/>
              </w:rPr>
            </w:pPr>
            <w:r>
              <w:rPr>
                <w:rFonts w:hint="eastAsia" w:cs="Times New Roman"/>
                <w:color w:val="auto"/>
                <w:sz w:val="21"/>
                <w:szCs w:val="21"/>
              </w:rPr>
              <w:t>提供法人或者其它组织的营业执照等证明文件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59"/>
              <w:widowControl/>
              <w:adjustRightInd w:val="0"/>
              <w:snapToGrid w:val="0"/>
              <w:spacing w:line="360" w:lineRule="auto"/>
              <w:jc w:val="center"/>
              <w:rPr>
                <w:rFonts w:ascii="宋体" w:hAnsi="宋体"/>
                <w:color w:val="auto"/>
                <w:kern w:val="0"/>
              </w:rPr>
            </w:pPr>
            <w:r>
              <w:rPr>
                <w:rFonts w:hint="eastAsia" w:ascii="宋体" w:hAnsi="宋体"/>
                <w:color w:val="auto"/>
                <w:kern w:val="0"/>
              </w:rPr>
              <w:t>具有良好的商业信誉和健全的财务会计制度</w:t>
            </w:r>
          </w:p>
        </w:tc>
        <w:tc>
          <w:tcPr>
            <w:tcW w:w="5869" w:type="dxa"/>
            <w:vAlign w:val="center"/>
          </w:tcPr>
          <w:p>
            <w:pPr>
              <w:adjustRightInd w:val="0"/>
              <w:snapToGrid w:val="0"/>
              <w:spacing w:line="360" w:lineRule="auto"/>
              <w:rPr>
                <w:rFonts w:hint="eastAsia" w:ascii="宋体" w:hAnsi="宋体" w:eastAsia="宋体"/>
                <w:color w:val="auto"/>
                <w:kern w:val="0"/>
                <w:lang w:eastAsia="zh-CN"/>
              </w:rPr>
            </w:pPr>
            <w:r>
              <w:rPr>
                <w:rFonts w:hint="eastAsia" w:ascii="宋体" w:hAnsi="宋体"/>
                <w:color w:val="auto"/>
                <w:kern w:val="0"/>
              </w:rPr>
              <w:t>提供2022年度或2023年度经第三方审计机构出具的审计报告：包含资产负债表、利润表、现金流量表和财务报表附注，供应商成立不满一年</w:t>
            </w:r>
            <w:r>
              <w:rPr>
                <w:rFonts w:hint="eastAsia" w:ascii="宋体" w:hAnsi="宋体"/>
                <w:color w:val="auto"/>
                <w:kern w:val="0"/>
                <w:lang w:eastAsia="zh-CN"/>
              </w:rPr>
              <w:t>可</w:t>
            </w:r>
            <w:r>
              <w:rPr>
                <w:rFonts w:hint="eastAsia" w:ascii="宋体" w:hAnsi="宋体"/>
                <w:color w:val="auto"/>
                <w:kern w:val="0"/>
              </w:rPr>
              <w:t>提供自成立以来的财务报表或基本户银行资信证明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59"/>
              <w:widowControl/>
              <w:adjustRightInd w:val="0"/>
              <w:snapToGrid w:val="0"/>
              <w:spacing w:line="360" w:lineRule="auto"/>
              <w:jc w:val="center"/>
              <w:rPr>
                <w:rFonts w:ascii="宋体" w:hAnsi="宋体"/>
                <w:color w:val="auto"/>
                <w:kern w:val="0"/>
              </w:rPr>
            </w:pPr>
            <w:r>
              <w:rPr>
                <w:rFonts w:hint="eastAsia" w:ascii="宋体" w:hAnsi="宋体"/>
                <w:color w:val="auto"/>
                <w:kern w:val="0"/>
              </w:rPr>
              <w:t>具有履行合同所必需的设备和专业技术能力</w:t>
            </w:r>
          </w:p>
        </w:tc>
        <w:tc>
          <w:tcPr>
            <w:tcW w:w="5869" w:type="dxa"/>
            <w:vAlign w:val="center"/>
          </w:tcPr>
          <w:p>
            <w:pPr>
              <w:adjustRightInd w:val="0"/>
              <w:snapToGrid w:val="0"/>
              <w:spacing w:line="360" w:lineRule="auto"/>
              <w:rPr>
                <w:rFonts w:ascii="宋体" w:hAnsi="宋体"/>
                <w:color w:val="auto"/>
                <w:kern w:val="0"/>
              </w:rPr>
            </w:pPr>
            <w:r>
              <w:rPr>
                <w:rFonts w:hint="eastAsia" w:ascii="宋体" w:hAnsi="宋体"/>
                <w:color w:val="auto"/>
                <w:kern w:val="0"/>
              </w:rPr>
              <w:t>具有履行合同所必需的设备和专业技术能力（自行承诺，格式自拟）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59"/>
              <w:widowControl/>
              <w:adjustRightInd w:val="0"/>
              <w:snapToGrid w:val="0"/>
              <w:spacing w:line="360" w:lineRule="auto"/>
              <w:jc w:val="center"/>
              <w:rPr>
                <w:rFonts w:ascii="宋体" w:hAnsi="宋体"/>
                <w:color w:val="auto"/>
                <w:kern w:val="0"/>
              </w:rPr>
            </w:pPr>
            <w:r>
              <w:rPr>
                <w:rFonts w:hint="eastAsia" w:ascii="宋体" w:hAnsi="宋体"/>
                <w:color w:val="auto"/>
              </w:rPr>
              <w:t>具有依法缴纳税收和社会保障资金的良好记录</w:t>
            </w:r>
          </w:p>
        </w:tc>
        <w:tc>
          <w:tcPr>
            <w:tcW w:w="5869" w:type="dxa"/>
            <w:vAlign w:val="center"/>
          </w:tcPr>
          <w:p>
            <w:pPr>
              <w:adjustRightInd w:val="0"/>
              <w:snapToGrid w:val="0"/>
              <w:spacing w:line="360" w:lineRule="auto"/>
              <w:rPr>
                <w:rFonts w:ascii="宋体" w:hAnsi="宋体"/>
                <w:color w:val="auto"/>
                <w:kern w:val="0"/>
              </w:rPr>
            </w:pPr>
            <w:r>
              <w:rPr>
                <w:rFonts w:hint="eastAsia" w:ascii="宋体" w:hAnsi="宋体"/>
                <w:color w:val="auto"/>
                <w:kern w:val="0"/>
              </w:rPr>
              <w:t>提供2024年1月以来任意1月依法缴纳税收和社会保障资金的证明资料，依法免税或免缴社会保障资金的供应商，应提供相应文件证明其依法免税或免缴社会保障资金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59"/>
              <w:widowControl/>
              <w:adjustRightInd w:val="0"/>
              <w:snapToGrid w:val="0"/>
              <w:spacing w:line="360" w:lineRule="auto"/>
              <w:jc w:val="center"/>
              <w:rPr>
                <w:rFonts w:ascii="宋体" w:hAnsi="宋体"/>
                <w:color w:val="auto"/>
              </w:rPr>
            </w:pPr>
            <w:r>
              <w:rPr>
                <w:rFonts w:hint="eastAsia" w:ascii="宋体" w:hAnsi="宋体"/>
                <w:color w:val="auto"/>
              </w:rPr>
              <w:t>参加政府采购活动前三年内，在经营活动中没有违法记录</w:t>
            </w:r>
          </w:p>
        </w:tc>
        <w:tc>
          <w:tcPr>
            <w:tcW w:w="5869" w:type="dxa"/>
            <w:vAlign w:val="center"/>
          </w:tcPr>
          <w:p>
            <w:pPr>
              <w:adjustRightInd w:val="0"/>
              <w:snapToGrid w:val="0"/>
              <w:spacing w:line="360" w:lineRule="auto"/>
              <w:rPr>
                <w:rFonts w:ascii="宋体" w:hAnsi="宋体"/>
                <w:color w:val="auto"/>
                <w:kern w:val="0"/>
              </w:rPr>
            </w:pPr>
            <w:r>
              <w:rPr>
                <w:rFonts w:hint="eastAsia" w:ascii="宋体" w:hAnsi="宋体"/>
                <w:color w:val="auto"/>
              </w:rPr>
              <w:t>参加政府采购活动前三年内，在经营活动中没有违法记录（自行承诺，</w:t>
            </w:r>
            <w:r>
              <w:rPr>
                <w:rFonts w:hint="eastAsia" w:ascii="宋体" w:hAnsi="宋体"/>
                <w:color w:val="auto"/>
                <w:kern w:val="0"/>
              </w:rPr>
              <w:t>格式自拟</w:t>
            </w: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59"/>
              <w:widowControl/>
              <w:adjustRightInd w:val="0"/>
              <w:snapToGrid w:val="0"/>
              <w:spacing w:line="360" w:lineRule="auto"/>
              <w:jc w:val="center"/>
              <w:rPr>
                <w:rFonts w:ascii="宋体" w:hAnsi="宋体"/>
                <w:color w:val="auto"/>
              </w:rPr>
            </w:pPr>
            <w:r>
              <w:rPr>
                <w:rFonts w:hint="eastAsia" w:ascii="宋体" w:hAnsi="宋体"/>
                <w:color w:val="auto"/>
              </w:rPr>
              <w:t>落实政府采购政策满足的资格要求</w:t>
            </w:r>
          </w:p>
        </w:tc>
        <w:tc>
          <w:tcPr>
            <w:tcW w:w="5869" w:type="dxa"/>
            <w:vAlign w:val="center"/>
          </w:tcPr>
          <w:p>
            <w:pPr>
              <w:adjustRightInd w:val="0"/>
              <w:snapToGrid w:val="0"/>
              <w:spacing w:line="360" w:lineRule="auto"/>
              <w:rPr>
                <w:rFonts w:ascii="宋体" w:hAnsi="宋体"/>
                <w:color w:val="auto"/>
              </w:rPr>
            </w:pPr>
            <w:r>
              <w:rPr>
                <w:rFonts w:hint="eastAsia" w:ascii="宋体" w:hAnsi="宋体"/>
                <w:color w:val="auto"/>
              </w:rPr>
              <w:t>本项目专门面向中小企业采购，监狱企业和残疾人福利性单位视同小型、微型企业。供应商应当出具有效的《中小企业声明函》，监狱企业应当提供由省级以上监狱管理局、戒毒管理局（含新疆生产建设兵团）出具的属于监狱企业的证明文件；符合条件的残疾人福利性单位应当提供《残疾人福利性单位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59"/>
              <w:widowControl/>
              <w:adjustRightInd w:val="0"/>
              <w:snapToGrid w:val="0"/>
              <w:spacing w:line="360" w:lineRule="auto"/>
              <w:jc w:val="center"/>
              <w:rPr>
                <w:rFonts w:ascii="宋体" w:hAnsi="宋体"/>
                <w:color w:val="auto"/>
              </w:rPr>
            </w:pPr>
            <w:r>
              <w:rPr>
                <w:rFonts w:hint="eastAsia" w:ascii="宋体" w:hAnsi="宋体"/>
                <w:color w:val="auto"/>
              </w:rPr>
              <w:t>企业资质</w:t>
            </w:r>
          </w:p>
        </w:tc>
        <w:tc>
          <w:tcPr>
            <w:tcW w:w="5869" w:type="dxa"/>
            <w:vAlign w:val="center"/>
          </w:tcPr>
          <w:p>
            <w:pPr>
              <w:adjustRightInd w:val="0"/>
              <w:snapToGrid w:val="0"/>
              <w:spacing w:line="360" w:lineRule="auto"/>
              <w:rPr>
                <w:rFonts w:ascii="宋体" w:hAnsi="宋体"/>
                <w:color w:val="auto"/>
              </w:rPr>
            </w:pPr>
            <w:r>
              <w:rPr>
                <w:rFonts w:hint="eastAsia" w:ascii="宋体" w:hAnsi="宋体"/>
                <w:color w:val="auto"/>
              </w:rPr>
              <w:t>具备建设行政主管部门颁发的电子与智能化工程专业承包二级及以上资质并在人员、设备、资金等方面具备相应的施工能力，具备有效的安全生产许可证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59"/>
              <w:widowControl/>
              <w:adjustRightInd w:val="0"/>
              <w:snapToGrid w:val="0"/>
              <w:spacing w:line="360" w:lineRule="auto"/>
              <w:jc w:val="center"/>
              <w:rPr>
                <w:rFonts w:ascii="宋体" w:hAnsi="宋体"/>
                <w:color w:val="auto"/>
              </w:rPr>
            </w:pPr>
            <w:r>
              <w:rPr>
                <w:rFonts w:hint="eastAsia" w:ascii="宋体" w:hAnsi="宋体"/>
                <w:color w:val="auto"/>
              </w:rPr>
              <w:t>项目经理资格</w:t>
            </w:r>
          </w:p>
        </w:tc>
        <w:tc>
          <w:tcPr>
            <w:tcW w:w="5869" w:type="dxa"/>
            <w:vAlign w:val="center"/>
          </w:tcPr>
          <w:p>
            <w:pPr>
              <w:adjustRightInd w:val="0"/>
              <w:snapToGrid w:val="0"/>
              <w:spacing w:line="360" w:lineRule="auto"/>
              <w:rPr>
                <w:rFonts w:ascii="宋体" w:hAnsi="宋体"/>
                <w:color w:val="auto"/>
              </w:rPr>
            </w:pPr>
            <w:r>
              <w:rPr>
                <w:rFonts w:hint="eastAsia" w:ascii="宋体" w:hAnsi="宋体"/>
                <w:color w:val="auto"/>
              </w:rPr>
              <w:t>拟派项目经理须具备有效的机电</w:t>
            </w:r>
            <w:r>
              <w:rPr>
                <w:rFonts w:hint="eastAsia" w:ascii="宋体" w:hAnsi="宋体"/>
                <w:color w:val="auto"/>
                <w:lang w:val="en-US" w:eastAsia="zh-CN"/>
              </w:rPr>
              <w:t>工程</w:t>
            </w:r>
            <w:r>
              <w:rPr>
                <w:rFonts w:hint="eastAsia" w:ascii="宋体" w:hAnsi="宋体"/>
                <w:color w:val="auto"/>
              </w:rPr>
              <w:t>专业二级及以上注册建造师资格；并具备有效的安全生产考核合格证书，且同时未在其他在建施工项目担任项目经理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59"/>
              <w:widowControl/>
              <w:adjustRightInd w:val="0"/>
              <w:snapToGrid w:val="0"/>
              <w:spacing w:line="360" w:lineRule="auto"/>
              <w:jc w:val="center"/>
              <w:rPr>
                <w:rFonts w:ascii="宋体" w:hAnsi="宋体"/>
                <w:color w:val="auto"/>
              </w:rPr>
            </w:pPr>
            <w:r>
              <w:rPr>
                <w:rFonts w:hint="eastAsia" w:ascii="宋体" w:hAnsi="宋体"/>
                <w:color w:val="auto"/>
              </w:rPr>
              <w:t>信用查询</w:t>
            </w:r>
          </w:p>
        </w:tc>
        <w:tc>
          <w:tcPr>
            <w:tcW w:w="5869" w:type="dxa"/>
            <w:vAlign w:val="center"/>
          </w:tcPr>
          <w:p>
            <w:pPr>
              <w:widowControl/>
              <w:wordWrap w:val="0"/>
              <w:adjustRightInd w:val="0"/>
              <w:snapToGrid w:val="0"/>
              <w:spacing w:line="360" w:lineRule="auto"/>
              <w:jc w:val="left"/>
              <w:rPr>
                <w:rFonts w:ascii="宋体" w:hAnsi="宋体"/>
                <w:color w:val="auto"/>
                <w:kern w:val="0"/>
              </w:rPr>
            </w:pPr>
            <w:r>
              <w:rPr>
                <w:rFonts w:hint="eastAsia" w:ascii="宋体" w:hAnsi="宋体"/>
                <w:color w:val="auto"/>
                <w:kern w:val="0"/>
              </w:rPr>
              <w:t>根据财政部《关于在政府采购活动中查询及使用信用记录有关问题的通知》（财库〔2016〕125号）规定，列入“中国执行信息公开网”网站的“失信被执行人”、“信用中国”网站的“重大税收违法失信主体”、“中国政府采购网”网站的“政府采购严重违法失信行为记录名单”的供应商，将拒绝参与本次政府采购活动。（采购人、采购代理机构于开标时间后通过“信用中国”网站、中国政府采购网等渠道查询相关主体信用记录,信用信息查询记录及相关证据与其他采购文件一并保存）。</w:t>
            </w:r>
          </w:p>
          <w:p>
            <w:pPr>
              <w:widowControl/>
              <w:wordWrap w:val="0"/>
              <w:adjustRightInd w:val="0"/>
              <w:snapToGrid w:val="0"/>
              <w:spacing w:line="360" w:lineRule="auto"/>
              <w:jc w:val="left"/>
              <w:rPr>
                <w:rFonts w:ascii="宋体" w:hAnsi="宋体"/>
                <w:color w:val="auto"/>
                <w:kern w:val="0"/>
              </w:rPr>
            </w:pPr>
            <w:r>
              <w:rPr>
                <w:rFonts w:hint="eastAsia" w:ascii="宋体" w:hAnsi="宋体"/>
                <w:color w:val="auto"/>
                <w:kern w:val="0"/>
              </w:rPr>
              <w:t>注：经查询之后，网站信息发生的任何变更均不再作为评审依据，以采购代理机构开标当日查询结果作为评审依据。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59"/>
              <w:widowControl/>
              <w:adjustRightInd w:val="0"/>
              <w:snapToGrid w:val="0"/>
              <w:spacing w:line="360" w:lineRule="auto"/>
              <w:jc w:val="center"/>
              <w:rPr>
                <w:rFonts w:ascii="宋体" w:hAnsi="宋体"/>
                <w:color w:val="auto"/>
              </w:rPr>
            </w:pPr>
            <w:r>
              <w:rPr>
                <w:rFonts w:hint="eastAsia" w:ascii="宋体" w:hAnsi="宋体"/>
                <w:color w:val="auto"/>
              </w:rPr>
              <w:t>其他要求</w:t>
            </w:r>
          </w:p>
        </w:tc>
        <w:tc>
          <w:tcPr>
            <w:tcW w:w="5869" w:type="dxa"/>
            <w:vAlign w:val="center"/>
          </w:tcPr>
          <w:p>
            <w:pPr>
              <w:widowControl/>
              <w:numPr>
                <w:ilvl w:val="0"/>
                <w:numId w:val="3"/>
              </w:numPr>
              <w:wordWrap w:val="0"/>
              <w:adjustRightInd w:val="0"/>
              <w:snapToGrid w:val="0"/>
              <w:spacing w:line="360" w:lineRule="auto"/>
              <w:jc w:val="left"/>
              <w:rPr>
                <w:rFonts w:ascii="宋体" w:hAnsi="宋体"/>
                <w:color w:val="auto"/>
              </w:rPr>
            </w:pPr>
            <w:r>
              <w:rPr>
                <w:rFonts w:hint="eastAsia" w:ascii="宋体" w:hAnsi="宋体"/>
                <w:color w:val="auto"/>
              </w:rPr>
              <w:t>单位负责人为同一人或者存在直接控股、管理关系的不同供应商，不得参加同一合同项下的政府采购活动。提供声明函。</w:t>
            </w:r>
          </w:p>
          <w:p>
            <w:pPr>
              <w:pStyle w:val="40"/>
              <w:numPr>
                <w:ilvl w:val="0"/>
                <w:numId w:val="3"/>
              </w:numPr>
              <w:snapToGrid w:val="0"/>
              <w:spacing w:line="360" w:lineRule="auto"/>
              <w:rPr>
                <w:color w:val="auto"/>
                <w:sz w:val="21"/>
                <w:szCs w:val="21"/>
              </w:rPr>
            </w:pPr>
            <w:r>
              <w:rPr>
                <w:rFonts w:hint="eastAsia"/>
                <w:color w:val="auto"/>
                <w:sz w:val="21"/>
                <w:szCs w:val="21"/>
              </w:rPr>
              <w:t>不存在供应商须知“1.4.3”及“9.2.1”规定的情形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restart"/>
            <w:vAlign w:val="center"/>
          </w:tcPr>
          <w:p>
            <w:pPr>
              <w:pStyle w:val="40"/>
              <w:snapToGrid w:val="0"/>
              <w:spacing w:line="360" w:lineRule="auto"/>
              <w:jc w:val="center"/>
              <w:rPr>
                <w:rFonts w:cs="Times New Roman"/>
                <w:color w:val="auto"/>
                <w:sz w:val="21"/>
                <w:szCs w:val="21"/>
              </w:rPr>
            </w:pPr>
            <w:r>
              <w:rPr>
                <w:rFonts w:hint="eastAsia" w:cs="Times New Roman"/>
                <w:color w:val="auto"/>
                <w:sz w:val="21"/>
                <w:szCs w:val="21"/>
              </w:rPr>
              <w:t>2.1.2</w:t>
            </w:r>
          </w:p>
        </w:tc>
        <w:tc>
          <w:tcPr>
            <w:tcW w:w="640" w:type="dxa"/>
            <w:vMerge w:val="restart"/>
            <w:vAlign w:val="center"/>
          </w:tcPr>
          <w:p>
            <w:pPr>
              <w:pStyle w:val="40"/>
              <w:snapToGrid w:val="0"/>
              <w:spacing w:line="360" w:lineRule="auto"/>
              <w:jc w:val="center"/>
              <w:rPr>
                <w:rFonts w:cs="Times New Roman"/>
                <w:color w:val="auto"/>
                <w:sz w:val="21"/>
                <w:szCs w:val="21"/>
              </w:rPr>
            </w:pPr>
            <w:r>
              <w:rPr>
                <w:rFonts w:hint="eastAsia" w:cs="Times New Roman"/>
                <w:color w:val="auto"/>
                <w:sz w:val="21"/>
                <w:szCs w:val="21"/>
              </w:rPr>
              <w:t>符合性评审标准</w:t>
            </w:r>
          </w:p>
        </w:tc>
        <w:tc>
          <w:tcPr>
            <w:tcW w:w="1845" w:type="dxa"/>
            <w:vAlign w:val="center"/>
          </w:tcPr>
          <w:p>
            <w:pPr>
              <w:adjustRightInd w:val="0"/>
              <w:snapToGrid w:val="0"/>
              <w:spacing w:line="360" w:lineRule="auto"/>
              <w:jc w:val="center"/>
              <w:rPr>
                <w:rFonts w:ascii="宋体" w:hAnsi="宋体"/>
                <w:color w:val="auto"/>
              </w:rPr>
            </w:pPr>
            <w:r>
              <w:rPr>
                <w:rFonts w:hint="eastAsia" w:ascii="宋体" w:hAnsi="宋体"/>
                <w:color w:val="auto"/>
              </w:rPr>
              <w:t>标书雷同性分析</w:t>
            </w:r>
          </w:p>
        </w:tc>
        <w:tc>
          <w:tcPr>
            <w:tcW w:w="5869" w:type="dxa"/>
            <w:vAlign w:val="center"/>
          </w:tcPr>
          <w:p>
            <w:pPr>
              <w:adjustRightInd w:val="0"/>
              <w:snapToGrid w:val="0"/>
              <w:spacing w:line="360" w:lineRule="auto"/>
              <w:jc w:val="left"/>
              <w:textAlignment w:val="baseline"/>
              <w:rPr>
                <w:rFonts w:ascii="宋体" w:hAnsi="宋体"/>
                <w:color w:val="auto"/>
              </w:rPr>
            </w:pPr>
            <w:r>
              <w:rPr>
                <w:rFonts w:hint="eastAsia" w:ascii="宋体" w:hAnsi="宋体"/>
                <w:color w:val="auto"/>
              </w:rPr>
              <w:t>投标（响应）文件制作机器码不能一致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adjustRightInd w:val="0"/>
              <w:snapToGrid w:val="0"/>
              <w:spacing w:line="360" w:lineRule="auto"/>
              <w:jc w:val="center"/>
              <w:rPr>
                <w:rFonts w:ascii="宋体" w:hAnsi="宋体"/>
                <w:color w:val="auto"/>
              </w:rPr>
            </w:pPr>
            <w:r>
              <w:rPr>
                <w:rFonts w:hint="eastAsia" w:ascii="宋体" w:hAnsi="宋体"/>
                <w:color w:val="auto"/>
              </w:rPr>
              <w:t>磋商内容及范围</w:t>
            </w:r>
          </w:p>
        </w:tc>
        <w:tc>
          <w:tcPr>
            <w:tcW w:w="5869" w:type="dxa"/>
            <w:vAlign w:val="center"/>
          </w:tcPr>
          <w:p>
            <w:pPr>
              <w:adjustRightInd w:val="0"/>
              <w:snapToGrid w:val="0"/>
              <w:spacing w:line="360" w:lineRule="auto"/>
              <w:jc w:val="left"/>
              <w:textAlignment w:val="baseline"/>
              <w:rPr>
                <w:rFonts w:ascii="宋体" w:hAnsi="宋体"/>
                <w:color w:val="auto"/>
              </w:rPr>
            </w:pPr>
            <w:r>
              <w:rPr>
                <w:rFonts w:hint="eastAsia" w:ascii="宋体" w:hAnsi="宋体"/>
                <w:color w:val="auto"/>
              </w:rPr>
              <w:t>符合第二章“供应商须知前附表”第1.3.1项规定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adjustRightInd w:val="0"/>
              <w:snapToGrid w:val="0"/>
              <w:spacing w:line="360" w:lineRule="auto"/>
              <w:jc w:val="center"/>
              <w:rPr>
                <w:rFonts w:ascii="宋体" w:hAnsi="宋体"/>
                <w:color w:val="auto"/>
              </w:rPr>
            </w:pPr>
            <w:r>
              <w:rPr>
                <w:rFonts w:hint="eastAsia" w:ascii="宋体" w:hAnsi="宋体"/>
                <w:color w:val="auto"/>
              </w:rPr>
              <w:t>建设地点</w:t>
            </w:r>
          </w:p>
        </w:tc>
        <w:tc>
          <w:tcPr>
            <w:tcW w:w="5869" w:type="dxa"/>
            <w:vAlign w:val="center"/>
          </w:tcPr>
          <w:p>
            <w:pPr>
              <w:adjustRightInd w:val="0"/>
              <w:snapToGrid w:val="0"/>
              <w:spacing w:line="360" w:lineRule="auto"/>
              <w:jc w:val="left"/>
              <w:textAlignment w:val="baseline"/>
              <w:rPr>
                <w:rFonts w:ascii="宋体" w:hAnsi="宋体"/>
                <w:color w:val="auto"/>
              </w:rPr>
            </w:pPr>
            <w:r>
              <w:rPr>
                <w:rFonts w:hint="eastAsia" w:ascii="宋体" w:hAnsi="宋体"/>
                <w:color w:val="auto"/>
              </w:rPr>
              <w:t>符合第二章“供应商须知前附表”第1.3.2项规定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adjustRightInd w:val="0"/>
              <w:snapToGrid w:val="0"/>
              <w:spacing w:line="360" w:lineRule="auto"/>
              <w:jc w:val="center"/>
              <w:rPr>
                <w:rFonts w:ascii="宋体" w:hAnsi="宋体"/>
                <w:color w:val="auto"/>
              </w:rPr>
            </w:pPr>
            <w:r>
              <w:rPr>
                <w:rFonts w:hint="eastAsia" w:ascii="宋体" w:hAnsi="宋体"/>
                <w:color w:val="auto"/>
              </w:rPr>
              <w:t>工期要求</w:t>
            </w:r>
          </w:p>
        </w:tc>
        <w:tc>
          <w:tcPr>
            <w:tcW w:w="5869" w:type="dxa"/>
            <w:vAlign w:val="center"/>
          </w:tcPr>
          <w:p>
            <w:pPr>
              <w:adjustRightInd w:val="0"/>
              <w:snapToGrid w:val="0"/>
              <w:spacing w:line="360" w:lineRule="auto"/>
              <w:jc w:val="left"/>
              <w:textAlignment w:val="baseline"/>
              <w:rPr>
                <w:rFonts w:ascii="宋体" w:hAnsi="宋体"/>
                <w:color w:val="auto"/>
              </w:rPr>
            </w:pPr>
            <w:r>
              <w:rPr>
                <w:rFonts w:hint="eastAsia" w:ascii="宋体" w:hAnsi="宋体"/>
                <w:color w:val="auto"/>
              </w:rPr>
              <w:t>符合第二章“供应商须知前附表”第1.3.3项规定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adjustRightInd w:val="0"/>
              <w:snapToGrid w:val="0"/>
              <w:spacing w:line="360" w:lineRule="auto"/>
              <w:jc w:val="center"/>
              <w:rPr>
                <w:rFonts w:ascii="宋体" w:hAnsi="宋体"/>
                <w:color w:val="auto"/>
              </w:rPr>
            </w:pPr>
            <w:r>
              <w:rPr>
                <w:rFonts w:hint="eastAsia" w:ascii="宋体" w:hAnsi="宋体"/>
                <w:color w:val="auto"/>
              </w:rPr>
              <w:t>质量要求</w:t>
            </w:r>
          </w:p>
        </w:tc>
        <w:tc>
          <w:tcPr>
            <w:tcW w:w="5869" w:type="dxa"/>
            <w:vAlign w:val="center"/>
          </w:tcPr>
          <w:p>
            <w:pPr>
              <w:adjustRightInd w:val="0"/>
              <w:snapToGrid w:val="0"/>
              <w:spacing w:line="360" w:lineRule="auto"/>
              <w:jc w:val="left"/>
              <w:textAlignment w:val="baseline"/>
              <w:rPr>
                <w:rFonts w:ascii="宋体" w:hAnsi="宋体"/>
                <w:color w:val="auto"/>
              </w:rPr>
            </w:pPr>
            <w:r>
              <w:rPr>
                <w:rFonts w:hint="eastAsia" w:ascii="宋体" w:hAnsi="宋体"/>
                <w:color w:val="auto"/>
              </w:rPr>
              <w:t>符合第二章“供应商须知前附表”第1.3.4项规定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adjustRightInd w:val="0"/>
              <w:snapToGrid w:val="0"/>
              <w:spacing w:line="360" w:lineRule="auto"/>
              <w:jc w:val="center"/>
              <w:rPr>
                <w:rFonts w:ascii="宋体" w:hAnsi="宋体"/>
                <w:color w:val="auto"/>
              </w:rPr>
            </w:pPr>
            <w:r>
              <w:rPr>
                <w:rFonts w:hint="eastAsia" w:ascii="宋体" w:hAnsi="宋体"/>
                <w:color w:val="auto"/>
              </w:rPr>
              <w:t>缺陷责任期</w:t>
            </w:r>
          </w:p>
        </w:tc>
        <w:tc>
          <w:tcPr>
            <w:tcW w:w="5869" w:type="dxa"/>
            <w:vAlign w:val="center"/>
          </w:tcPr>
          <w:p>
            <w:pPr>
              <w:adjustRightInd w:val="0"/>
              <w:snapToGrid w:val="0"/>
              <w:spacing w:line="360" w:lineRule="auto"/>
              <w:jc w:val="left"/>
              <w:textAlignment w:val="baseline"/>
              <w:rPr>
                <w:rFonts w:ascii="宋体" w:hAnsi="宋体"/>
                <w:color w:val="auto"/>
              </w:rPr>
            </w:pPr>
            <w:r>
              <w:rPr>
                <w:rFonts w:hint="eastAsia" w:ascii="宋体" w:hAnsi="宋体"/>
                <w:color w:val="auto"/>
              </w:rPr>
              <w:t>符合第二章“供应商须知前附表”第1.3.5项规定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adjustRightInd w:val="0"/>
              <w:snapToGrid w:val="0"/>
              <w:spacing w:line="360" w:lineRule="auto"/>
              <w:jc w:val="center"/>
              <w:rPr>
                <w:rFonts w:ascii="宋体" w:hAnsi="宋体"/>
                <w:color w:val="auto"/>
              </w:rPr>
            </w:pPr>
            <w:r>
              <w:rPr>
                <w:rFonts w:hint="eastAsia" w:ascii="宋体" w:hAnsi="宋体"/>
                <w:color w:val="auto"/>
              </w:rPr>
              <w:t>磋商有效期</w:t>
            </w:r>
          </w:p>
        </w:tc>
        <w:tc>
          <w:tcPr>
            <w:tcW w:w="5869" w:type="dxa"/>
            <w:vAlign w:val="center"/>
          </w:tcPr>
          <w:p>
            <w:pPr>
              <w:adjustRightInd w:val="0"/>
              <w:snapToGrid w:val="0"/>
              <w:spacing w:line="360" w:lineRule="auto"/>
              <w:jc w:val="left"/>
              <w:textAlignment w:val="baseline"/>
              <w:rPr>
                <w:rFonts w:ascii="宋体" w:hAnsi="宋体"/>
                <w:color w:val="auto"/>
              </w:rPr>
            </w:pPr>
            <w:r>
              <w:rPr>
                <w:rFonts w:hint="eastAsia" w:ascii="宋体" w:hAnsi="宋体"/>
                <w:color w:val="auto"/>
              </w:rPr>
              <w:t>符合第二章“供应商须知前附表”第3.3.1项规定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40"/>
              <w:snapToGrid w:val="0"/>
              <w:spacing w:line="360" w:lineRule="auto"/>
              <w:jc w:val="center"/>
              <w:rPr>
                <w:rFonts w:cs="Times New Roman"/>
                <w:color w:val="auto"/>
                <w:sz w:val="21"/>
                <w:szCs w:val="21"/>
              </w:rPr>
            </w:pPr>
            <w:r>
              <w:rPr>
                <w:rFonts w:hint="eastAsia" w:cs="Times New Roman"/>
                <w:color w:val="auto"/>
                <w:sz w:val="21"/>
                <w:szCs w:val="21"/>
              </w:rPr>
              <w:t>签字盖章</w:t>
            </w:r>
          </w:p>
        </w:tc>
        <w:tc>
          <w:tcPr>
            <w:tcW w:w="5869" w:type="dxa"/>
            <w:vAlign w:val="center"/>
          </w:tcPr>
          <w:p>
            <w:pPr>
              <w:pStyle w:val="40"/>
              <w:snapToGrid w:val="0"/>
              <w:spacing w:line="360" w:lineRule="auto"/>
              <w:rPr>
                <w:rFonts w:cs="Times New Roman"/>
                <w:color w:val="auto"/>
                <w:sz w:val="21"/>
                <w:szCs w:val="21"/>
              </w:rPr>
            </w:pPr>
            <w:r>
              <w:rPr>
                <w:rFonts w:hint="eastAsia" w:cs="Times New Roman"/>
                <w:color w:val="auto"/>
                <w:sz w:val="21"/>
                <w:szCs w:val="21"/>
              </w:rPr>
              <w:t>符合第二章“供应商须知</w:t>
            </w:r>
            <w:r>
              <w:rPr>
                <w:rFonts w:hint="eastAsia"/>
                <w:color w:val="auto"/>
              </w:rPr>
              <w:t>前附表</w:t>
            </w:r>
            <w:r>
              <w:rPr>
                <w:rFonts w:hint="eastAsia" w:cs="Times New Roman"/>
                <w:color w:val="auto"/>
                <w:sz w:val="21"/>
                <w:szCs w:val="21"/>
              </w:rPr>
              <w:t>”第3.7.3项规定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pStyle w:val="40"/>
              <w:snapToGrid w:val="0"/>
              <w:spacing w:line="360" w:lineRule="auto"/>
              <w:jc w:val="center"/>
              <w:rPr>
                <w:rFonts w:cs="Times New Roman"/>
                <w:color w:val="auto"/>
                <w:sz w:val="21"/>
                <w:szCs w:val="21"/>
              </w:rPr>
            </w:pPr>
            <w:r>
              <w:rPr>
                <w:rFonts w:hint="eastAsia" w:cs="Times New Roman"/>
                <w:color w:val="auto"/>
                <w:sz w:val="21"/>
                <w:szCs w:val="21"/>
              </w:rPr>
              <w:t>付款方式</w:t>
            </w:r>
          </w:p>
        </w:tc>
        <w:tc>
          <w:tcPr>
            <w:tcW w:w="5869" w:type="dxa"/>
            <w:vAlign w:val="center"/>
          </w:tcPr>
          <w:p>
            <w:pPr>
              <w:pStyle w:val="40"/>
              <w:snapToGrid w:val="0"/>
              <w:spacing w:line="360" w:lineRule="auto"/>
              <w:rPr>
                <w:rFonts w:cs="Times New Roman"/>
                <w:color w:val="auto"/>
                <w:sz w:val="21"/>
                <w:szCs w:val="21"/>
              </w:rPr>
            </w:pPr>
            <w:r>
              <w:rPr>
                <w:rFonts w:hint="eastAsia" w:cs="Times New Roman"/>
                <w:color w:val="auto"/>
                <w:sz w:val="21"/>
                <w:szCs w:val="21"/>
              </w:rPr>
              <w:t>符合第二章“供应商须知</w:t>
            </w:r>
            <w:r>
              <w:rPr>
                <w:rFonts w:hint="eastAsia"/>
                <w:color w:val="auto"/>
              </w:rPr>
              <w:t>前附表</w:t>
            </w:r>
            <w:r>
              <w:rPr>
                <w:rFonts w:hint="eastAsia" w:cs="Times New Roman"/>
                <w:color w:val="auto"/>
                <w:sz w:val="21"/>
                <w:szCs w:val="21"/>
              </w:rPr>
              <w:t>”第10.3项规定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adjustRightInd w:val="0"/>
              <w:snapToGrid w:val="0"/>
              <w:spacing w:line="360" w:lineRule="auto"/>
              <w:jc w:val="center"/>
              <w:rPr>
                <w:rFonts w:ascii="宋体" w:hAnsi="宋体"/>
                <w:color w:val="auto"/>
              </w:rPr>
            </w:pPr>
            <w:r>
              <w:rPr>
                <w:rFonts w:hint="eastAsia" w:ascii="宋体" w:hAnsi="宋体"/>
                <w:color w:val="auto"/>
              </w:rPr>
              <w:t>已标价工程量清单</w:t>
            </w:r>
          </w:p>
        </w:tc>
        <w:tc>
          <w:tcPr>
            <w:tcW w:w="5869" w:type="dxa"/>
            <w:vAlign w:val="center"/>
          </w:tcPr>
          <w:p>
            <w:pPr>
              <w:adjustRightInd w:val="0"/>
              <w:snapToGrid w:val="0"/>
              <w:spacing w:line="360" w:lineRule="auto"/>
              <w:rPr>
                <w:rFonts w:ascii="宋体" w:hAnsi="宋体"/>
                <w:color w:val="auto"/>
              </w:rPr>
            </w:pPr>
            <w:r>
              <w:rPr>
                <w:rFonts w:hint="eastAsia" w:ascii="宋体" w:hAnsi="宋体"/>
                <w:color w:val="auto"/>
              </w:rPr>
              <w:t>符合第五章“工程量清单”给出的子目编码、子目名称、子目特征、计量单位和工程量。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vMerge w:val="continue"/>
            <w:vAlign w:val="center"/>
          </w:tcPr>
          <w:p>
            <w:pPr>
              <w:widowControl/>
              <w:adjustRightInd w:val="0"/>
              <w:snapToGrid w:val="0"/>
              <w:spacing w:line="360" w:lineRule="auto"/>
              <w:jc w:val="left"/>
              <w:rPr>
                <w:rFonts w:ascii="宋体" w:hAnsi="宋体"/>
                <w:color w:val="auto"/>
                <w:kern w:val="0"/>
              </w:rPr>
            </w:pPr>
          </w:p>
        </w:tc>
        <w:tc>
          <w:tcPr>
            <w:tcW w:w="640" w:type="dxa"/>
            <w:vMerge w:val="continue"/>
            <w:vAlign w:val="center"/>
          </w:tcPr>
          <w:p>
            <w:pPr>
              <w:widowControl/>
              <w:adjustRightInd w:val="0"/>
              <w:snapToGrid w:val="0"/>
              <w:spacing w:line="360" w:lineRule="auto"/>
              <w:jc w:val="left"/>
              <w:rPr>
                <w:rFonts w:ascii="宋体" w:hAnsi="宋体"/>
                <w:color w:val="auto"/>
                <w:kern w:val="0"/>
              </w:rPr>
            </w:pPr>
          </w:p>
        </w:tc>
        <w:tc>
          <w:tcPr>
            <w:tcW w:w="1845" w:type="dxa"/>
            <w:vAlign w:val="center"/>
          </w:tcPr>
          <w:p>
            <w:pPr>
              <w:adjustRightInd w:val="0"/>
              <w:snapToGrid w:val="0"/>
              <w:spacing w:line="360" w:lineRule="auto"/>
              <w:jc w:val="center"/>
              <w:rPr>
                <w:rFonts w:ascii="宋体" w:hAnsi="宋体"/>
                <w:color w:val="auto"/>
              </w:rPr>
            </w:pPr>
            <w:r>
              <w:rPr>
                <w:rFonts w:hint="eastAsia" w:ascii="宋体" w:hAnsi="宋体"/>
                <w:color w:val="auto"/>
              </w:rPr>
              <w:t>磋商报价</w:t>
            </w:r>
          </w:p>
        </w:tc>
        <w:tc>
          <w:tcPr>
            <w:tcW w:w="5869" w:type="dxa"/>
            <w:vAlign w:val="center"/>
          </w:tcPr>
          <w:p>
            <w:pPr>
              <w:adjustRightInd w:val="0"/>
              <w:snapToGrid w:val="0"/>
              <w:spacing w:line="360" w:lineRule="auto"/>
              <w:textAlignment w:val="baseline"/>
              <w:rPr>
                <w:rFonts w:ascii="宋体" w:hAnsi="宋体"/>
                <w:color w:val="auto"/>
              </w:rPr>
            </w:pPr>
            <w:r>
              <w:rPr>
                <w:rFonts w:hint="eastAsia" w:ascii="宋体" w:hAnsi="宋体"/>
                <w:color w:val="auto"/>
              </w:rPr>
              <w:t>磋商报价不得高于本项目最高限价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auto"/>
              </w:rPr>
            </w:pPr>
            <w:bookmarkStart w:id="743" w:name="_Toc144974567"/>
            <w:bookmarkEnd w:id="743"/>
            <w:bookmarkStart w:id="744" w:name="_Toc152045600"/>
            <w:bookmarkEnd w:id="744"/>
            <w:bookmarkStart w:id="745" w:name="_Toc152042377"/>
            <w:bookmarkEnd w:id="745"/>
            <w:bookmarkStart w:id="746" w:name="_Toc318450722"/>
            <w:bookmarkEnd w:id="746"/>
            <w:bookmarkStart w:id="747" w:name="_Hlk129683989"/>
            <w:r>
              <w:rPr>
                <w:rFonts w:hint="eastAsia" w:ascii="宋体" w:hAnsi="宋体"/>
                <w:b/>
                <w:color w:val="auto"/>
              </w:rPr>
              <w:t>条款号</w:t>
            </w:r>
          </w:p>
        </w:tc>
        <w:tc>
          <w:tcPr>
            <w:tcW w:w="1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auto"/>
              </w:rPr>
            </w:pPr>
            <w:r>
              <w:rPr>
                <w:rFonts w:hint="eastAsia" w:ascii="宋体" w:hAnsi="宋体"/>
                <w:b/>
                <w:color w:val="auto"/>
              </w:rPr>
              <w:t>条款内容</w:t>
            </w:r>
          </w:p>
        </w:tc>
        <w:tc>
          <w:tcPr>
            <w:tcW w:w="5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auto"/>
              </w:rPr>
            </w:pPr>
            <w:r>
              <w:rPr>
                <w:rFonts w:hint="eastAsia" w:ascii="宋体" w:hAnsi="宋体"/>
                <w:b/>
                <w:color w:val="auto"/>
              </w:rPr>
              <w:t xml:space="preserve"> 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color w:val="auto"/>
              </w:rPr>
            </w:pPr>
            <w:r>
              <w:rPr>
                <w:rFonts w:hint="eastAsia" w:ascii="宋体" w:hAnsi="宋体"/>
                <w:b/>
                <w:color w:val="auto"/>
              </w:rPr>
              <w:t>2.2.1</w:t>
            </w:r>
          </w:p>
        </w:tc>
        <w:tc>
          <w:tcPr>
            <w:tcW w:w="184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olor w:val="auto"/>
              </w:rPr>
            </w:pPr>
            <w:r>
              <w:rPr>
                <w:rFonts w:hint="eastAsia" w:ascii="宋体" w:hAnsi="宋体"/>
                <w:color w:val="auto"/>
                <w:kern w:val="0"/>
              </w:rPr>
              <w:t>分值构成</w:t>
            </w:r>
          </w:p>
          <w:p>
            <w:pPr>
              <w:widowControl/>
              <w:adjustRightInd w:val="0"/>
              <w:snapToGrid w:val="0"/>
              <w:spacing w:line="360" w:lineRule="auto"/>
              <w:jc w:val="center"/>
              <w:rPr>
                <w:rFonts w:ascii="宋体" w:hAnsi="宋体"/>
                <w:b/>
                <w:color w:val="auto"/>
              </w:rPr>
            </w:pPr>
            <w:r>
              <w:rPr>
                <w:rFonts w:hint="eastAsia" w:ascii="宋体" w:hAnsi="宋体"/>
                <w:color w:val="auto"/>
                <w:kern w:val="0"/>
              </w:rPr>
              <w:t>(总分100分)</w:t>
            </w:r>
          </w:p>
        </w:tc>
        <w:tc>
          <w:tcPr>
            <w:tcW w:w="5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bCs/>
                <w:color w:val="auto"/>
                <w:kern w:val="0"/>
              </w:rPr>
            </w:pPr>
            <w:r>
              <w:rPr>
                <w:rFonts w:hint="eastAsia" w:ascii="宋体" w:hAnsi="宋体"/>
                <w:bCs/>
                <w:color w:val="auto"/>
                <w:kern w:val="0"/>
              </w:rPr>
              <w:t>磋商报价：30分</w:t>
            </w:r>
          </w:p>
          <w:p>
            <w:pPr>
              <w:adjustRightInd w:val="0"/>
              <w:snapToGrid w:val="0"/>
              <w:spacing w:line="360" w:lineRule="auto"/>
              <w:jc w:val="left"/>
              <w:rPr>
                <w:rFonts w:ascii="宋体" w:hAnsi="宋体"/>
                <w:bCs/>
                <w:color w:val="auto"/>
                <w:kern w:val="0"/>
              </w:rPr>
            </w:pPr>
            <w:r>
              <w:rPr>
                <w:rFonts w:hint="eastAsia" w:ascii="宋体" w:hAnsi="宋体"/>
                <w:bCs/>
                <w:color w:val="auto"/>
                <w:kern w:val="0"/>
              </w:rPr>
              <w:t>技术部分：</w:t>
            </w:r>
            <w:r>
              <w:rPr>
                <w:rFonts w:hint="eastAsia" w:ascii="宋体" w:hAnsi="宋体"/>
                <w:bCs/>
                <w:color w:val="auto"/>
                <w:kern w:val="0"/>
                <w:lang w:val="en-US" w:eastAsia="zh-CN"/>
              </w:rPr>
              <w:t>45</w:t>
            </w:r>
            <w:r>
              <w:rPr>
                <w:rFonts w:hint="eastAsia" w:ascii="宋体" w:hAnsi="宋体"/>
                <w:bCs/>
                <w:color w:val="auto"/>
                <w:kern w:val="0"/>
              </w:rPr>
              <w:t>分</w:t>
            </w:r>
          </w:p>
          <w:p>
            <w:pPr>
              <w:adjustRightInd w:val="0"/>
              <w:snapToGrid w:val="0"/>
              <w:spacing w:line="360" w:lineRule="auto"/>
              <w:jc w:val="left"/>
              <w:rPr>
                <w:rFonts w:ascii="宋体" w:hAnsi="宋体"/>
                <w:b/>
                <w:color w:val="auto"/>
              </w:rPr>
            </w:pPr>
            <w:r>
              <w:rPr>
                <w:rFonts w:hint="eastAsia" w:ascii="宋体" w:hAnsi="宋体"/>
                <w:bCs/>
                <w:color w:val="auto"/>
                <w:kern w:val="0"/>
              </w:rPr>
              <w:t>商务部分：</w:t>
            </w:r>
            <w:r>
              <w:rPr>
                <w:rFonts w:hint="eastAsia" w:ascii="宋体" w:hAnsi="宋体"/>
                <w:bCs/>
                <w:color w:val="auto"/>
                <w:kern w:val="0"/>
                <w:lang w:val="en-US" w:eastAsia="zh-CN"/>
              </w:rPr>
              <w:t>25</w:t>
            </w:r>
            <w:r>
              <w:rPr>
                <w:rFonts w:hint="eastAsia" w:ascii="宋体" w:hAnsi="宋体"/>
                <w:bCs/>
                <w:color w:val="auto"/>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Cs/>
                <w:color w:val="auto"/>
              </w:rPr>
            </w:pPr>
            <w:r>
              <w:rPr>
                <w:rFonts w:hint="eastAsia" w:ascii="宋体" w:hAnsi="宋体"/>
                <w:bCs/>
                <w:color w:val="auto"/>
              </w:rPr>
              <w:t>2.2.2（1）</w:t>
            </w:r>
          </w:p>
        </w:tc>
        <w:tc>
          <w:tcPr>
            <w:tcW w:w="6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bCs/>
                <w:color w:val="auto"/>
                <w:lang w:eastAsia="zh-CN"/>
              </w:rPr>
            </w:pPr>
            <w:r>
              <w:rPr>
                <w:rFonts w:hint="eastAsia" w:ascii="宋体" w:hAnsi="宋体"/>
                <w:bCs/>
                <w:color w:val="auto"/>
                <w:lang w:eastAsia="zh-CN"/>
              </w:rPr>
              <w:t>磋商报价</w:t>
            </w:r>
          </w:p>
          <w:p>
            <w:pPr>
              <w:adjustRightInd w:val="0"/>
              <w:snapToGrid w:val="0"/>
              <w:spacing w:line="360" w:lineRule="auto"/>
              <w:jc w:val="center"/>
              <w:rPr>
                <w:rFonts w:hint="default" w:ascii="宋体" w:hAnsi="宋体" w:eastAsia="宋体"/>
                <w:bCs/>
                <w:color w:val="auto"/>
                <w:lang w:val="en-US" w:eastAsia="zh-CN"/>
              </w:rPr>
            </w:pPr>
            <w:r>
              <w:rPr>
                <w:rFonts w:hint="eastAsia" w:ascii="宋体" w:hAnsi="宋体"/>
                <w:bCs/>
                <w:color w:val="auto"/>
                <w:lang w:val="en-US" w:eastAsia="zh-CN"/>
              </w:rPr>
              <w:t>30分</w:t>
            </w:r>
          </w:p>
        </w:tc>
        <w:tc>
          <w:tcPr>
            <w:tcW w:w="18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Cs/>
                <w:color w:val="auto"/>
              </w:rPr>
            </w:pPr>
            <w:r>
              <w:rPr>
                <w:rFonts w:hint="eastAsia" w:ascii="宋体" w:hAnsi="宋体"/>
                <w:bCs/>
                <w:color w:val="auto"/>
              </w:rPr>
              <w:t>磋商报价</w:t>
            </w:r>
          </w:p>
          <w:p>
            <w:pPr>
              <w:adjustRightInd w:val="0"/>
              <w:snapToGrid w:val="0"/>
              <w:spacing w:line="360" w:lineRule="auto"/>
              <w:jc w:val="center"/>
              <w:rPr>
                <w:rFonts w:ascii="宋体" w:hAnsi="宋体"/>
                <w:bCs/>
                <w:color w:val="auto"/>
              </w:rPr>
            </w:pPr>
            <w:r>
              <w:rPr>
                <w:rFonts w:ascii="宋体" w:hAnsi="宋体"/>
                <w:bCs/>
                <w:color w:val="auto"/>
              </w:rPr>
              <w:t>3</w:t>
            </w:r>
            <w:r>
              <w:rPr>
                <w:rFonts w:hint="eastAsia" w:ascii="宋体" w:hAnsi="宋体"/>
                <w:bCs/>
                <w:color w:val="auto"/>
              </w:rPr>
              <w:t>0分</w:t>
            </w:r>
          </w:p>
        </w:tc>
        <w:tc>
          <w:tcPr>
            <w:tcW w:w="5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rFonts w:ascii="宋体" w:hAnsi="宋体"/>
                <w:bCs/>
                <w:color w:val="auto"/>
              </w:rPr>
            </w:pPr>
            <w:r>
              <w:rPr>
                <w:rFonts w:hint="eastAsia" w:ascii="宋体" w:hAnsi="宋体"/>
                <w:bCs/>
                <w:color w:val="auto"/>
              </w:rPr>
              <w:t>价格分统一采用低价优先法，即满足竞争性磋商文件要求且磋商报价最低的磋商报价为评标基准价，其价格分为满分30分。其他供应商的价格分统一按照下列公式计算：</w:t>
            </w:r>
          </w:p>
          <w:p>
            <w:pPr>
              <w:adjustRightInd w:val="0"/>
              <w:snapToGrid w:val="0"/>
              <w:spacing w:line="360" w:lineRule="auto"/>
              <w:jc w:val="left"/>
              <w:rPr>
                <w:rFonts w:ascii="宋体" w:hAnsi="宋体"/>
                <w:bCs/>
                <w:color w:val="auto"/>
              </w:rPr>
            </w:pPr>
            <w:r>
              <w:rPr>
                <w:rFonts w:hint="eastAsia" w:ascii="宋体" w:hAnsi="宋体"/>
                <w:bCs/>
                <w:color w:val="auto"/>
              </w:rPr>
              <w:t>磋商报价得分＝（评标基准价/磋商报价）×30</w:t>
            </w:r>
          </w:p>
          <w:p>
            <w:pPr>
              <w:adjustRightInd w:val="0"/>
              <w:snapToGrid w:val="0"/>
              <w:spacing w:line="360" w:lineRule="auto"/>
              <w:jc w:val="left"/>
              <w:rPr>
                <w:rFonts w:hint="eastAsia" w:ascii="宋体" w:hAnsi="宋体"/>
                <w:bCs/>
                <w:color w:val="auto"/>
              </w:rPr>
            </w:pPr>
            <w:r>
              <w:rPr>
                <w:rFonts w:hint="eastAsia" w:ascii="宋体" w:hAnsi="宋体"/>
                <w:bCs/>
                <w:color w:val="auto"/>
                <w:lang w:eastAsia="zh-CN"/>
              </w:rPr>
              <w:t>本项目专门面向中小企业采购，磋商报价不予折扣。</w:t>
            </w:r>
          </w:p>
          <w:p>
            <w:pPr>
              <w:adjustRightInd w:val="0"/>
              <w:snapToGrid w:val="0"/>
              <w:spacing w:line="360" w:lineRule="auto"/>
              <w:jc w:val="left"/>
              <w:rPr>
                <w:rFonts w:hint="eastAsia" w:ascii="宋体" w:hAnsi="宋体"/>
                <w:bCs/>
                <w:color w:val="auto"/>
              </w:rPr>
            </w:pPr>
            <w:r>
              <w:rPr>
                <w:rFonts w:hint="eastAsia" w:ascii="宋体" w:hAnsi="宋体"/>
                <w:bCs/>
                <w:color w:val="auto"/>
              </w:rPr>
              <w:t>注：磋商小组认为供应商的报价明显低于其他通过符合性审查供应商的报价，有可能影响工程质量或者不能诚信履约的，应当要求其在开标现场合理的时间内提供书面说明，必要时提交相关证明材料；供应商不能证明其报价合理性的，磋商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vMerge w:val="restart"/>
            <w:tcBorders>
              <w:top w:val="nil"/>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r>
              <w:rPr>
                <w:rFonts w:hint="eastAsia" w:ascii="宋体" w:hAnsi="宋体"/>
                <w:bCs/>
                <w:color w:val="auto"/>
              </w:rPr>
              <w:t>2.2.2（2）</w:t>
            </w:r>
          </w:p>
        </w:tc>
        <w:tc>
          <w:tcPr>
            <w:tcW w:w="640" w:type="dxa"/>
            <w:vMerge w:val="restart"/>
            <w:tcBorders>
              <w:top w:val="nil"/>
              <w:left w:val="single" w:color="auto" w:sz="4" w:space="0"/>
              <w:right w:val="single" w:color="auto" w:sz="4" w:space="0"/>
            </w:tcBorders>
            <w:vAlign w:val="center"/>
          </w:tcPr>
          <w:p>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0" w:firstLineChars="0"/>
              <w:jc w:val="center"/>
              <w:textAlignment w:val="auto"/>
              <w:rPr>
                <w:rFonts w:hint="default" w:ascii="宋体" w:hAnsi="宋体" w:eastAsia="宋体"/>
                <w:bCs/>
                <w:color w:val="auto"/>
                <w:lang w:val="en-US" w:eastAsia="zh-CN"/>
              </w:rPr>
            </w:pPr>
            <w:r>
              <w:rPr>
                <w:rFonts w:hint="eastAsia" w:ascii="宋体" w:hAnsi="宋体"/>
                <w:bCs/>
                <w:color w:val="auto"/>
                <w:lang w:val="en-US" w:eastAsia="zh-CN"/>
              </w:rPr>
              <w:t>1、</w:t>
            </w:r>
            <w:r>
              <w:rPr>
                <w:rFonts w:hint="eastAsia" w:ascii="宋体" w:hAnsi="宋体"/>
                <w:bCs/>
                <w:color w:val="auto"/>
              </w:rPr>
              <w:t>技术部分：施工组织设计</w:t>
            </w:r>
            <w:r>
              <w:rPr>
                <w:rFonts w:hint="eastAsia" w:ascii="宋体" w:hAnsi="宋体"/>
                <w:bCs/>
                <w:color w:val="auto"/>
                <w:lang w:val="en-US" w:eastAsia="zh-CN"/>
              </w:rPr>
              <w:t>45分</w:t>
            </w:r>
          </w:p>
        </w:tc>
        <w:tc>
          <w:tcPr>
            <w:tcW w:w="1845" w:type="dxa"/>
            <w:tcBorders>
              <w:top w:val="nil"/>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rPr>
            </w:pPr>
            <w:r>
              <w:rPr>
                <w:rFonts w:hint="eastAsia" w:ascii="宋体" w:hAnsi="宋体" w:cs="宋体"/>
                <w:color w:val="auto"/>
                <w:lang w:eastAsia="zh-CN"/>
              </w:rPr>
              <w:t>（</w:t>
            </w:r>
            <w:r>
              <w:rPr>
                <w:rFonts w:hint="eastAsia" w:ascii="宋体" w:hAnsi="宋体" w:cs="宋体"/>
                <w:color w:val="auto"/>
                <w:lang w:val="en-US" w:eastAsia="zh-CN"/>
              </w:rPr>
              <w:t>1</w:t>
            </w:r>
            <w:r>
              <w:rPr>
                <w:rFonts w:hint="eastAsia" w:ascii="宋体" w:hAnsi="宋体" w:cs="宋体"/>
                <w:color w:val="auto"/>
                <w:lang w:eastAsia="zh-CN"/>
              </w:rPr>
              <w:t>）、</w:t>
            </w:r>
            <w:r>
              <w:rPr>
                <w:rFonts w:hint="eastAsia" w:ascii="宋体" w:hAnsi="宋体" w:cs="宋体"/>
                <w:color w:val="auto"/>
              </w:rPr>
              <w:t>主要施工方案与技术措施6分</w:t>
            </w:r>
          </w:p>
        </w:tc>
        <w:tc>
          <w:tcPr>
            <w:tcW w:w="58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rPr>
                <w:rFonts w:ascii="宋体" w:hAnsi="宋体" w:cs="宋体"/>
                <w:color w:val="auto"/>
                <w:lang w:bidi="ar"/>
              </w:rPr>
            </w:pPr>
            <w:r>
              <w:rPr>
                <w:rFonts w:hint="eastAsia" w:ascii="宋体" w:hAnsi="宋体" w:cs="宋体"/>
                <w:color w:val="auto"/>
                <w:lang w:bidi="ar"/>
              </w:rPr>
              <w:t>包含施工方案（含工程特点、施工重点与难点及绿色施工）总体安排；施工工艺、施工机械；对施工难点的建议进行综合评审：</w:t>
            </w:r>
          </w:p>
          <w:p>
            <w:pPr>
              <w:spacing w:line="360" w:lineRule="auto"/>
              <w:rPr>
                <w:rFonts w:ascii="宋体" w:hAnsi="宋体" w:cs="宋体"/>
                <w:color w:val="auto"/>
              </w:rPr>
            </w:pPr>
            <w:r>
              <w:rPr>
                <w:rFonts w:hint="eastAsia" w:ascii="宋体" w:hAnsi="宋体" w:cs="宋体"/>
                <w:b/>
                <w:bCs/>
                <w:color w:val="auto"/>
              </w:rPr>
              <w:t>A:</w:t>
            </w:r>
            <w:r>
              <w:rPr>
                <w:rFonts w:hint="eastAsia" w:ascii="宋体" w:hAnsi="宋体" w:cs="宋体"/>
                <w:color w:val="auto"/>
              </w:rPr>
              <w:t>综合考虑各方面需求，施工方案与技术措施内容详尽、完整可行，完全满足项目需要，得6分；</w:t>
            </w:r>
          </w:p>
          <w:p>
            <w:pPr>
              <w:spacing w:line="360" w:lineRule="auto"/>
              <w:rPr>
                <w:rFonts w:ascii="宋体" w:hAnsi="宋体" w:cs="宋体"/>
                <w:color w:val="auto"/>
              </w:rPr>
            </w:pPr>
            <w:r>
              <w:rPr>
                <w:rFonts w:hint="eastAsia" w:ascii="宋体" w:hAnsi="宋体" w:cs="宋体"/>
                <w:b/>
                <w:bCs/>
                <w:color w:val="auto"/>
              </w:rPr>
              <w:t>B:</w:t>
            </w:r>
            <w:r>
              <w:rPr>
                <w:rFonts w:hint="eastAsia" w:ascii="宋体" w:hAnsi="宋体" w:cs="宋体"/>
                <w:color w:val="auto"/>
              </w:rPr>
              <w:t>综合考虑各方面需求，施工方案与技术措施内容基本完整、不够详尽，能够满足项目基本要求，得4分；</w:t>
            </w:r>
          </w:p>
          <w:p>
            <w:pPr>
              <w:spacing w:line="360" w:lineRule="auto"/>
              <w:rPr>
                <w:rFonts w:ascii="宋体" w:hAnsi="宋体" w:cs="宋体"/>
                <w:color w:val="auto"/>
              </w:rPr>
            </w:pPr>
            <w:r>
              <w:rPr>
                <w:rFonts w:hint="eastAsia" w:ascii="宋体" w:hAnsi="宋体" w:cs="宋体"/>
                <w:b/>
                <w:bCs/>
                <w:color w:val="auto"/>
              </w:rPr>
              <w:t>C:</w:t>
            </w:r>
            <w:r>
              <w:rPr>
                <w:rFonts w:hint="eastAsia" w:ascii="宋体" w:hAnsi="宋体" w:cs="宋体"/>
                <w:color w:val="auto"/>
              </w:rPr>
              <w:t>施工方案与技术措施内容不够完整，有部分缺项，与本项目实际需要存在偏差，得2分；</w:t>
            </w:r>
          </w:p>
          <w:p>
            <w:pPr>
              <w:widowControl/>
              <w:adjustRightInd w:val="0"/>
              <w:snapToGrid w:val="0"/>
              <w:spacing w:line="360" w:lineRule="auto"/>
              <w:rPr>
                <w:color w:val="auto"/>
              </w:rPr>
            </w:pPr>
            <w:r>
              <w:rPr>
                <w:rFonts w:hint="eastAsia" w:ascii="宋体" w:hAnsi="宋体" w:cs="宋体"/>
                <w:b/>
                <w:bCs/>
                <w:color w:val="auto"/>
              </w:rPr>
              <w:t>D:</w:t>
            </w:r>
            <w:r>
              <w:rPr>
                <w:rFonts w:hint="eastAsia" w:ascii="宋体" w:hAnsi="宋体" w:cs="宋体"/>
                <w:color w:val="auto"/>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tcBorders>
              <w:left w:val="single" w:color="auto" w:sz="4" w:space="0"/>
              <w:right w:val="single" w:color="auto" w:sz="4" w:space="0"/>
            </w:tcBorders>
            <w:vAlign w:val="center"/>
          </w:tcPr>
          <w:p>
            <w:pPr>
              <w:numPr>
                <w:ilvl w:val="-1"/>
                <w:numId w:val="0"/>
              </w:numPr>
              <w:adjustRightInd w:val="0"/>
              <w:snapToGrid w:val="0"/>
              <w:spacing w:line="360" w:lineRule="auto"/>
              <w:ind w:left="0" w:leftChars="0" w:firstLine="0" w:firstLineChars="0"/>
              <w:jc w:val="center"/>
              <w:rPr>
                <w:rFonts w:ascii="宋体" w:hAnsi="宋体" w:cs="宋体"/>
                <w:color w:val="auto"/>
              </w:rPr>
            </w:pPr>
            <w:r>
              <w:rPr>
                <w:rFonts w:hint="eastAsia" w:ascii="宋体" w:hAnsi="宋体" w:cs="宋体"/>
                <w:color w:val="auto"/>
                <w:lang w:eastAsia="zh-CN"/>
              </w:rPr>
              <w:t>（</w:t>
            </w:r>
            <w:r>
              <w:rPr>
                <w:rFonts w:hint="eastAsia" w:ascii="宋体" w:hAnsi="宋体" w:cs="宋体"/>
                <w:color w:val="auto"/>
                <w:lang w:val="en-US" w:eastAsia="zh-CN"/>
              </w:rPr>
              <w:t>2</w:t>
            </w:r>
            <w:r>
              <w:rPr>
                <w:rFonts w:hint="eastAsia" w:ascii="宋体" w:hAnsi="宋体" w:cs="宋体"/>
                <w:color w:val="auto"/>
                <w:lang w:eastAsia="zh-CN"/>
              </w:rPr>
              <w:t>）、</w:t>
            </w:r>
            <w:r>
              <w:rPr>
                <w:rFonts w:hint="eastAsia" w:ascii="宋体" w:hAnsi="宋体" w:cs="宋体"/>
                <w:color w:val="auto"/>
              </w:rPr>
              <w:t>质量保证措施6分</w:t>
            </w:r>
          </w:p>
        </w:tc>
        <w:tc>
          <w:tcPr>
            <w:tcW w:w="586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结合采购需求，针对本项目的实际情况，制定完善的质量管理体系与措施(组织机构形式；指挥系统、质量监控系统、联络协调系统；质量责任制度、检验检测制度)进行评审：</w:t>
            </w:r>
          </w:p>
          <w:p>
            <w:pPr>
              <w:spacing w:line="360" w:lineRule="auto"/>
              <w:rPr>
                <w:rFonts w:ascii="宋体" w:hAnsi="宋体" w:cs="宋体"/>
                <w:color w:val="auto"/>
              </w:rPr>
            </w:pPr>
            <w:r>
              <w:rPr>
                <w:rFonts w:hint="eastAsia" w:ascii="宋体" w:hAnsi="宋体" w:cs="宋体"/>
                <w:b/>
                <w:bCs/>
                <w:color w:val="auto"/>
              </w:rPr>
              <w:t>A:</w:t>
            </w:r>
            <w:r>
              <w:rPr>
                <w:rFonts w:hint="eastAsia" w:ascii="宋体" w:hAnsi="宋体" w:cs="宋体"/>
                <w:color w:val="auto"/>
              </w:rPr>
              <w:t xml:space="preserve">组织机构形式科学，指挥系统、质量监控系统、联络协调系统完善，质量责任制度、检验检测制度科学健全，对项目提出先进、可行、具体的保证措施得6分； </w:t>
            </w:r>
          </w:p>
          <w:p>
            <w:pPr>
              <w:spacing w:line="360" w:lineRule="auto"/>
              <w:rPr>
                <w:rFonts w:ascii="宋体" w:hAnsi="宋体" w:cs="宋体"/>
                <w:color w:val="auto"/>
              </w:rPr>
            </w:pPr>
            <w:r>
              <w:rPr>
                <w:rFonts w:hint="eastAsia" w:ascii="宋体" w:hAnsi="宋体" w:cs="宋体"/>
                <w:b/>
                <w:bCs/>
                <w:color w:val="auto"/>
              </w:rPr>
              <w:t>B:</w:t>
            </w:r>
            <w:r>
              <w:rPr>
                <w:rFonts w:hint="eastAsia" w:ascii="宋体" w:hAnsi="宋体" w:cs="宋体"/>
                <w:color w:val="auto"/>
              </w:rPr>
              <w:t xml:space="preserve">组织机构形式基本合理，有指挥系统、质量监控系统、联络协调系统，质量责任制度、检验检测制度健全，措施基本可行得 4 分； </w:t>
            </w:r>
          </w:p>
          <w:p>
            <w:pPr>
              <w:spacing w:line="360" w:lineRule="auto"/>
              <w:rPr>
                <w:rFonts w:ascii="宋体" w:hAnsi="宋体" w:cs="宋体"/>
                <w:color w:val="auto"/>
              </w:rPr>
            </w:pPr>
            <w:r>
              <w:rPr>
                <w:rFonts w:hint="eastAsia" w:ascii="宋体" w:hAnsi="宋体" w:cs="宋体"/>
                <w:b/>
                <w:bCs/>
                <w:color w:val="auto"/>
              </w:rPr>
              <w:t>C:</w:t>
            </w:r>
            <w:r>
              <w:rPr>
                <w:rFonts w:hint="eastAsia" w:ascii="宋体" w:hAnsi="宋体" w:cs="宋体"/>
                <w:color w:val="auto"/>
              </w:rPr>
              <w:t xml:space="preserve">组织机构形式、系统、措施需要进一步完善，质量责任制度、检验检测制度不健全得2分； </w:t>
            </w:r>
          </w:p>
          <w:p>
            <w:pPr>
              <w:adjustRightInd w:val="0"/>
              <w:snapToGrid w:val="0"/>
              <w:spacing w:line="360" w:lineRule="auto"/>
              <w:jc w:val="left"/>
              <w:rPr>
                <w:rFonts w:ascii="宋体" w:hAnsi="宋体" w:cs="宋体"/>
                <w:color w:val="auto"/>
              </w:rPr>
            </w:pPr>
            <w:r>
              <w:rPr>
                <w:rFonts w:hint="eastAsia" w:ascii="宋体" w:hAnsi="宋体" w:cs="宋体"/>
                <w:b/>
                <w:bCs/>
                <w:color w:val="auto"/>
              </w:rPr>
              <w:t>D:</w:t>
            </w:r>
            <w:r>
              <w:rPr>
                <w:rFonts w:hint="eastAsia" w:ascii="宋体" w:hAnsi="宋体" w:cs="宋体"/>
                <w:color w:val="auto"/>
              </w:rPr>
              <w:t>未提供不得分。</w:t>
            </w:r>
            <w:r>
              <w:rPr>
                <w:rFonts w:hint="eastAsia" w:ascii="宋体" w:hAnsi="宋体" w:cs="宋体"/>
                <w:color w:val="auto"/>
                <w:kern w:val="0"/>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tcBorders>
              <w:left w:val="single" w:color="auto" w:sz="4" w:space="0"/>
              <w:right w:val="single" w:color="auto" w:sz="4" w:space="0"/>
            </w:tcBorders>
            <w:vAlign w:val="center"/>
          </w:tcPr>
          <w:p>
            <w:pPr>
              <w:numPr>
                <w:numId w:val="0"/>
              </w:numPr>
              <w:adjustRightInd w:val="0"/>
              <w:snapToGrid w:val="0"/>
              <w:spacing w:line="360" w:lineRule="auto"/>
              <w:ind w:leftChars="0"/>
              <w:jc w:val="center"/>
              <w:rPr>
                <w:rFonts w:ascii="宋体" w:hAnsi="宋体" w:cs="宋体"/>
                <w:color w:val="auto"/>
              </w:rPr>
            </w:pPr>
            <w:r>
              <w:rPr>
                <w:rFonts w:hint="eastAsia" w:ascii="宋体" w:hAnsi="宋体" w:cs="宋体"/>
                <w:color w:val="auto"/>
                <w:lang w:eastAsia="zh-CN" w:bidi="ar"/>
              </w:rPr>
              <w:t>（</w:t>
            </w:r>
            <w:r>
              <w:rPr>
                <w:rFonts w:hint="eastAsia" w:ascii="宋体" w:hAnsi="宋体" w:cs="宋体"/>
                <w:color w:val="auto"/>
                <w:lang w:val="en-US" w:eastAsia="zh-CN" w:bidi="ar"/>
              </w:rPr>
              <w:t>3</w:t>
            </w:r>
            <w:r>
              <w:rPr>
                <w:rFonts w:hint="eastAsia" w:ascii="宋体" w:hAnsi="宋体" w:cs="宋体"/>
                <w:color w:val="auto"/>
                <w:lang w:eastAsia="zh-CN" w:bidi="ar"/>
              </w:rPr>
              <w:t>）、</w:t>
            </w:r>
            <w:r>
              <w:rPr>
                <w:rFonts w:hint="eastAsia" w:ascii="宋体" w:hAnsi="宋体" w:cs="宋体"/>
                <w:color w:val="auto"/>
                <w:lang w:bidi="ar"/>
              </w:rPr>
              <w:t>工期承诺</w:t>
            </w:r>
            <w:r>
              <w:rPr>
                <w:rFonts w:hint="eastAsia" w:ascii="宋体" w:hAnsi="宋体" w:cs="宋体"/>
                <w:color w:val="auto"/>
              </w:rPr>
              <w:t>5分</w:t>
            </w:r>
          </w:p>
        </w:tc>
        <w:tc>
          <w:tcPr>
            <w:tcW w:w="5869" w:type="dxa"/>
            <w:tcBorders>
              <w:top w:val="single" w:color="auto" w:sz="4" w:space="0"/>
              <w:left w:val="single" w:color="auto" w:sz="4" w:space="0"/>
              <w:bottom w:val="single" w:color="auto" w:sz="4" w:space="0"/>
              <w:right w:val="single" w:color="auto" w:sz="4" w:space="0"/>
            </w:tcBorders>
            <w:vAlign w:val="center"/>
          </w:tcPr>
          <w:p>
            <w:pPr>
              <w:numPr>
                <w:ilvl w:val="0"/>
                <w:numId w:val="4"/>
              </w:numPr>
              <w:adjustRightInd w:val="0"/>
              <w:snapToGrid w:val="0"/>
              <w:spacing w:line="360" w:lineRule="auto"/>
              <w:jc w:val="left"/>
              <w:rPr>
                <w:rFonts w:ascii="宋体" w:hAnsi="宋体" w:cs="宋体"/>
                <w:color w:val="auto"/>
                <w:lang w:bidi="ar"/>
              </w:rPr>
            </w:pPr>
            <w:r>
              <w:rPr>
                <w:rFonts w:hint="eastAsia" w:ascii="宋体" w:hAnsi="宋体" w:cs="宋体"/>
                <w:color w:val="auto"/>
                <w:lang w:bidi="ar"/>
              </w:rPr>
              <w:t>工期承诺短于要求工期，保证措施合理且有针对性，有具体的违约责任承诺，得5分；</w:t>
            </w:r>
          </w:p>
          <w:p>
            <w:pPr>
              <w:numPr>
                <w:ilvl w:val="0"/>
                <w:numId w:val="4"/>
              </w:numPr>
              <w:adjustRightInd w:val="0"/>
              <w:snapToGrid w:val="0"/>
              <w:spacing w:line="360" w:lineRule="auto"/>
              <w:jc w:val="left"/>
              <w:rPr>
                <w:rFonts w:ascii="宋体" w:hAnsi="宋体" w:cs="宋体"/>
                <w:color w:val="auto"/>
                <w:lang w:bidi="ar"/>
              </w:rPr>
            </w:pPr>
            <w:r>
              <w:rPr>
                <w:rFonts w:hint="eastAsia" w:ascii="宋体" w:hAnsi="宋体" w:cs="宋体"/>
                <w:color w:val="auto"/>
                <w:lang w:bidi="ar"/>
              </w:rPr>
              <w:t>工期承诺满足项目要求，工期保证措施基本合理、有针对性，有违约责任承诺，得3分；</w:t>
            </w:r>
          </w:p>
          <w:p>
            <w:pPr>
              <w:numPr>
                <w:ilvl w:val="0"/>
                <w:numId w:val="4"/>
              </w:numPr>
              <w:adjustRightInd w:val="0"/>
              <w:snapToGrid w:val="0"/>
              <w:spacing w:line="360" w:lineRule="auto"/>
              <w:jc w:val="left"/>
              <w:rPr>
                <w:rFonts w:ascii="宋体" w:hAnsi="宋体" w:cs="宋体"/>
                <w:color w:val="auto"/>
                <w:lang w:bidi="ar"/>
              </w:rPr>
            </w:pPr>
            <w:r>
              <w:rPr>
                <w:rFonts w:hint="eastAsia" w:ascii="宋体" w:hAnsi="宋体" w:cs="宋体"/>
                <w:color w:val="auto"/>
                <w:lang w:bidi="ar"/>
              </w:rPr>
              <w:t>工期承诺基本满足项目要求，工期保证措施基本合理、有针对性，违约责任承诺不明确，得1分；</w:t>
            </w:r>
          </w:p>
          <w:p>
            <w:pPr>
              <w:numPr>
                <w:ilvl w:val="0"/>
                <w:numId w:val="4"/>
              </w:numPr>
              <w:adjustRightInd w:val="0"/>
              <w:snapToGrid w:val="0"/>
              <w:spacing w:line="360" w:lineRule="auto"/>
              <w:jc w:val="left"/>
              <w:rPr>
                <w:rFonts w:ascii="宋体" w:hAnsi="宋体" w:cs="宋体"/>
                <w:color w:val="auto"/>
                <w:lang w:bidi="ar"/>
              </w:rPr>
            </w:pPr>
            <w:r>
              <w:rPr>
                <w:rFonts w:hint="eastAsia" w:ascii="宋体" w:hAnsi="宋体" w:cs="宋体"/>
                <w:color w:val="auto"/>
              </w:rPr>
              <w:t>未提供不得分。</w:t>
            </w:r>
            <w:r>
              <w:rPr>
                <w:rFonts w:hint="eastAsia" w:ascii="宋体" w:hAnsi="宋体" w:cs="宋体"/>
                <w:color w:val="auto"/>
                <w:kern w:val="0"/>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tcBorders>
              <w:left w:val="single" w:color="auto" w:sz="4" w:space="0"/>
              <w:right w:val="single" w:color="auto" w:sz="4" w:space="0"/>
            </w:tcBorders>
            <w:vAlign w:val="center"/>
          </w:tcPr>
          <w:p>
            <w:pPr>
              <w:numPr>
                <w:numId w:val="0"/>
              </w:numPr>
              <w:adjustRightInd w:val="0"/>
              <w:snapToGrid w:val="0"/>
              <w:spacing w:line="360" w:lineRule="auto"/>
              <w:ind w:leftChars="0"/>
              <w:jc w:val="center"/>
              <w:rPr>
                <w:rFonts w:ascii="宋体" w:hAnsi="宋体" w:cs="宋体"/>
                <w:color w:val="auto"/>
              </w:rPr>
            </w:pPr>
            <w:r>
              <w:rPr>
                <w:rFonts w:hint="eastAsia" w:ascii="宋体" w:hAnsi="宋体" w:cs="宋体"/>
                <w:color w:val="auto"/>
                <w:lang w:eastAsia="zh-CN"/>
              </w:rPr>
              <w:t>（</w:t>
            </w:r>
            <w:r>
              <w:rPr>
                <w:rFonts w:hint="eastAsia" w:ascii="宋体" w:hAnsi="宋体" w:cs="宋体"/>
                <w:color w:val="auto"/>
                <w:lang w:val="en-US" w:eastAsia="zh-CN"/>
              </w:rPr>
              <w:t>4</w:t>
            </w:r>
            <w:r>
              <w:rPr>
                <w:rFonts w:hint="eastAsia" w:ascii="宋体" w:hAnsi="宋体" w:cs="宋体"/>
                <w:color w:val="auto"/>
                <w:lang w:eastAsia="zh-CN"/>
              </w:rPr>
              <w:t>）、</w:t>
            </w:r>
            <w:r>
              <w:rPr>
                <w:rFonts w:hint="eastAsia" w:ascii="宋体" w:hAnsi="宋体" w:cs="宋体"/>
                <w:color w:val="auto"/>
              </w:rPr>
              <w:t>安全管理体系与措施5分</w:t>
            </w:r>
          </w:p>
        </w:tc>
        <w:tc>
          <w:tcPr>
            <w:tcW w:w="586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结合采购需求，针对本项目的实际情况，制定完善的安全管理体系与措施(安全生产保障体系、制度、目标、安全责任制、组织机构、安全人员配备）进行评审：</w:t>
            </w:r>
          </w:p>
          <w:p>
            <w:pPr>
              <w:numPr>
                <w:ilvl w:val="0"/>
                <w:numId w:val="5"/>
              </w:numPr>
              <w:spacing w:line="360" w:lineRule="auto"/>
              <w:rPr>
                <w:rFonts w:ascii="宋体" w:hAnsi="宋体" w:cs="宋体"/>
                <w:color w:val="auto"/>
              </w:rPr>
            </w:pPr>
            <w:r>
              <w:rPr>
                <w:rFonts w:hint="eastAsia" w:ascii="宋体" w:hAnsi="宋体" w:cs="宋体"/>
                <w:color w:val="auto"/>
              </w:rPr>
              <w:t>安全生产保障体系健全合理，安全管理制度科学完善，安全管理目标具体，全员安全责任制明确，现场安全管理组织机构、人员配备科学完善的，得5分；</w:t>
            </w:r>
          </w:p>
          <w:p>
            <w:pPr>
              <w:numPr>
                <w:ilvl w:val="0"/>
                <w:numId w:val="5"/>
              </w:numPr>
              <w:spacing w:line="360" w:lineRule="auto"/>
              <w:rPr>
                <w:rFonts w:ascii="宋体" w:hAnsi="宋体" w:cs="宋体"/>
                <w:color w:val="auto"/>
              </w:rPr>
            </w:pPr>
            <w:r>
              <w:rPr>
                <w:rFonts w:hint="eastAsia" w:ascii="宋体" w:hAnsi="宋体" w:cs="宋体"/>
                <w:color w:val="auto"/>
              </w:rPr>
              <w:t>安全生产保障体系合理，安全管理制度完善，安全管理目标具体，全员安全责任制基本明确，现场安全管理组织机构、人员配备基本完善的，得3分；</w:t>
            </w:r>
          </w:p>
          <w:p>
            <w:pPr>
              <w:numPr>
                <w:ilvl w:val="0"/>
                <w:numId w:val="5"/>
              </w:numPr>
              <w:spacing w:line="360" w:lineRule="auto"/>
              <w:rPr>
                <w:rFonts w:ascii="宋体" w:hAnsi="宋体" w:cs="宋体"/>
                <w:color w:val="auto"/>
              </w:rPr>
            </w:pPr>
            <w:r>
              <w:rPr>
                <w:rFonts w:hint="eastAsia" w:ascii="宋体" w:hAnsi="宋体" w:cs="宋体"/>
                <w:color w:val="auto"/>
              </w:rPr>
              <w:t>安全生产保障体系和安全管理，制度需要进一步完善，现场安全管理组织机构、人员配备不完善的，得1 分；</w:t>
            </w:r>
          </w:p>
          <w:p>
            <w:pPr>
              <w:widowControl/>
              <w:numPr>
                <w:ilvl w:val="0"/>
                <w:numId w:val="5"/>
              </w:numPr>
              <w:adjustRightInd w:val="0"/>
              <w:snapToGrid w:val="0"/>
              <w:spacing w:line="360" w:lineRule="auto"/>
              <w:jc w:val="left"/>
              <w:rPr>
                <w:rFonts w:ascii="宋体" w:hAnsi="宋体" w:cs="宋体"/>
                <w:color w:val="auto"/>
              </w:rPr>
            </w:pPr>
            <w:r>
              <w:rPr>
                <w:rFonts w:hint="eastAsia" w:ascii="宋体" w:hAnsi="宋体" w:cs="宋体"/>
                <w:color w:val="auto"/>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9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tcBorders>
              <w:left w:val="single" w:color="auto" w:sz="4" w:space="0"/>
              <w:right w:val="single" w:color="auto" w:sz="4" w:space="0"/>
            </w:tcBorders>
            <w:vAlign w:val="center"/>
          </w:tcPr>
          <w:p>
            <w:pPr>
              <w:widowControl/>
              <w:numPr>
                <w:numId w:val="0"/>
              </w:numPr>
              <w:adjustRightInd w:val="0"/>
              <w:snapToGrid w:val="0"/>
              <w:spacing w:line="360" w:lineRule="auto"/>
              <w:jc w:val="center"/>
              <w:rPr>
                <w:rFonts w:ascii="宋体" w:hAnsi="宋体" w:cs="宋体"/>
                <w:color w:val="auto"/>
              </w:rPr>
            </w:pPr>
            <w:r>
              <w:rPr>
                <w:rFonts w:hint="eastAsia" w:ascii="宋体" w:hAnsi="宋体" w:cs="宋体"/>
                <w:color w:val="auto"/>
                <w:kern w:val="0"/>
                <w:lang w:eastAsia="zh-CN" w:bidi="ar"/>
              </w:rPr>
              <w:t>（</w:t>
            </w:r>
            <w:r>
              <w:rPr>
                <w:rFonts w:hint="eastAsia" w:ascii="宋体" w:hAnsi="宋体" w:cs="宋体"/>
                <w:color w:val="auto"/>
                <w:kern w:val="0"/>
                <w:lang w:val="en-US" w:eastAsia="zh-CN" w:bidi="ar"/>
              </w:rPr>
              <w:t>5</w:t>
            </w:r>
            <w:r>
              <w:rPr>
                <w:rFonts w:hint="eastAsia" w:ascii="宋体" w:hAnsi="宋体" w:cs="宋体"/>
                <w:color w:val="auto"/>
                <w:kern w:val="0"/>
                <w:lang w:eastAsia="zh-CN" w:bidi="ar"/>
              </w:rPr>
              <w:t>）、</w:t>
            </w:r>
            <w:r>
              <w:rPr>
                <w:rFonts w:hint="eastAsia" w:ascii="宋体" w:hAnsi="宋体" w:cs="宋体"/>
                <w:color w:val="auto"/>
                <w:kern w:val="0"/>
                <w:lang w:bidi="ar"/>
              </w:rPr>
              <w:t>文明施工</w:t>
            </w:r>
            <w:r>
              <w:rPr>
                <w:rFonts w:hint="eastAsia" w:ascii="宋体" w:hAnsi="宋体" w:cs="宋体"/>
                <w:color w:val="auto"/>
                <w:kern w:val="0"/>
              </w:rPr>
              <w:t>、环境保护管理体系与措施5分</w:t>
            </w:r>
          </w:p>
        </w:tc>
        <w:tc>
          <w:tcPr>
            <w:tcW w:w="5869"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rPr>
            </w:pPr>
            <w:r>
              <w:rPr>
                <w:rFonts w:hint="eastAsia" w:ascii="宋体" w:hAnsi="宋体" w:cs="宋体"/>
                <w:color w:val="auto"/>
              </w:rPr>
              <w:t>结合采购需求，针对本项目的实际情况，制定完善的文明、环境保护管理体系与措施（文明施工的目标、实施措施、环境保护管理的组织机构及职责、扬尘污染防治方案、垃圾清运方案）进行评审：</w:t>
            </w:r>
          </w:p>
          <w:p>
            <w:pPr>
              <w:numPr>
                <w:ilvl w:val="0"/>
                <w:numId w:val="6"/>
              </w:numPr>
              <w:spacing w:line="360" w:lineRule="auto"/>
              <w:rPr>
                <w:rFonts w:ascii="宋体" w:hAnsi="宋体" w:cs="宋体"/>
                <w:color w:val="auto"/>
              </w:rPr>
            </w:pPr>
            <w:r>
              <w:rPr>
                <w:rFonts w:hint="eastAsia" w:ascii="宋体" w:hAnsi="宋体" w:cs="宋体"/>
                <w:color w:val="auto"/>
              </w:rPr>
              <w:t>确保文明及环保施工的组织措施先进、科学，责任清晰，体系机制健全，措施到位的，得5分；</w:t>
            </w:r>
          </w:p>
          <w:p>
            <w:pPr>
              <w:numPr>
                <w:ilvl w:val="0"/>
                <w:numId w:val="6"/>
              </w:numPr>
              <w:spacing w:line="360" w:lineRule="auto"/>
              <w:rPr>
                <w:rFonts w:ascii="宋体" w:hAnsi="宋体" w:cs="宋体"/>
                <w:color w:val="auto"/>
              </w:rPr>
            </w:pPr>
            <w:r>
              <w:rPr>
                <w:rFonts w:hint="eastAsia" w:ascii="宋体" w:hAnsi="宋体" w:cs="宋体"/>
                <w:color w:val="auto"/>
              </w:rPr>
              <w:t>确保文明及环保施工的组织措施科学，责任清晰，体系机制健全，措施基本到位的，得3分；</w:t>
            </w:r>
          </w:p>
          <w:p>
            <w:pPr>
              <w:numPr>
                <w:ilvl w:val="0"/>
                <w:numId w:val="6"/>
              </w:numPr>
              <w:spacing w:line="360" w:lineRule="auto"/>
              <w:rPr>
                <w:rFonts w:ascii="宋体" w:hAnsi="宋体" w:cs="宋体"/>
                <w:color w:val="auto"/>
              </w:rPr>
            </w:pPr>
            <w:r>
              <w:rPr>
                <w:rFonts w:hint="eastAsia" w:ascii="宋体" w:hAnsi="宋体" w:cs="宋体"/>
                <w:color w:val="auto"/>
              </w:rPr>
              <w:t>确保文明及环保施工的组织措施不完整，责任划分与体系机制需要进一步完善的，得1分；</w:t>
            </w:r>
          </w:p>
          <w:p>
            <w:pPr>
              <w:numPr>
                <w:ilvl w:val="0"/>
                <w:numId w:val="6"/>
              </w:numPr>
              <w:spacing w:line="360" w:lineRule="auto"/>
              <w:rPr>
                <w:rFonts w:ascii="宋体" w:hAnsi="宋体" w:cs="宋体"/>
                <w:color w:val="auto"/>
              </w:rPr>
            </w:pPr>
            <w:r>
              <w:rPr>
                <w:rFonts w:hint="eastAsia" w:ascii="宋体" w:hAnsi="宋体" w:cs="宋体"/>
                <w:color w:val="auto"/>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tcBorders>
              <w:left w:val="single" w:color="auto" w:sz="4" w:space="0"/>
              <w:right w:val="single" w:color="auto" w:sz="4" w:space="0"/>
            </w:tcBorders>
            <w:vAlign w:val="center"/>
          </w:tcPr>
          <w:p>
            <w:pPr>
              <w:numPr>
                <w:numId w:val="0"/>
              </w:numPr>
              <w:adjustRightInd w:val="0"/>
              <w:snapToGrid w:val="0"/>
              <w:spacing w:line="360" w:lineRule="auto"/>
              <w:jc w:val="center"/>
              <w:rPr>
                <w:rFonts w:ascii="宋体" w:hAnsi="宋体" w:cs="宋体"/>
                <w:color w:val="auto"/>
              </w:rPr>
            </w:pPr>
            <w:r>
              <w:rPr>
                <w:rFonts w:hint="eastAsia" w:ascii="宋体" w:hAnsi="宋体" w:cs="宋体"/>
                <w:color w:val="auto"/>
                <w:lang w:eastAsia="zh-CN"/>
              </w:rPr>
              <w:t>（</w:t>
            </w:r>
            <w:r>
              <w:rPr>
                <w:rFonts w:hint="eastAsia" w:ascii="宋体" w:hAnsi="宋体" w:cs="宋体"/>
                <w:color w:val="auto"/>
                <w:lang w:val="en-US" w:eastAsia="zh-CN"/>
              </w:rPr>
              <w:t>6</w:t>
            </w:r>
            <w:r>
              <w:rPr>
                <w:rFonts w:hint="eastAsia" w:ascii="宋体" w:hAnsi="宋体" w:cs="宋体"/>
                <w:color w:val="auto"/>
                <w:lang w:eastAsia="zh-CN"/>
              </w:rPr>
              <w:t>）、</w:t>
            </w:r>
            <w:r>
              <w:rPr>
                <w:rFonts w:hint="eastAsia" w:ascii="宋体" w:hAnsi="宋体" w:cs="宋体"/>
                <w:color w:val="auto"/>
              </w:rPr>
              <w:t>资源配备计划5分</w:t>
            </w:r>
          </w:p>
        </w:tc>
        <w:tc>
          <w:tcPr>
            <w:tcW w:w="58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olor w:val="auto"/>
              </w:rPr>
            </w:pPr>
            <w:r>
              <w:rPr>
                <w:rFonts w:hint="eastAsia" w:ascii="宋体" w:hAnsi="宋体"/>
                <w:color w:val="auto"/>
              </w:rPr>
              <w:t>资源配置计划包括但不限于：</w:t>
            </w:r>
          </w:p>
          <w:p>
            <w:pPr>
              <w:widowControl/>
              <w:adjustRightInd w:val="0"/>
              <w:snapToGrid w:val="0"/>
              <w:spacing w:line="360" w:lineRule="auto"/>
              <w:jc w:val="left"/>
              <w:rPr>
                <w:rFonts w:ascii="宋体" w:hAnsi="宋体" w:cs="宋体"/>
                <w:color w:val="auto"/>
                <w:kern w:val="0"/>
                <w:lang w:bidi="ar"/>
              </w:rPr>
            </w:pPr>
            <w:r>
              <w:rPr>
                <w:rFonts w:hint="eastAsia" w:ascii="宋体" w:hAnsi="宋体"/>
                <w:color w:val="auto"/>
              </w:rPr>
              <w:t>（1）</w:t>
            </w:r>
            <w:r>
              <w:rPr>
                <w:rFonts w:hint="eastAsia" w:ascii="宋体" w:hAnsi="宋体" w:cs="宋体"/>
                <w:color w:val="auto"/>
                <w:kern w:val="0"/>
                <w:lang w:bidi="ar"/>
              </w:rPr>
              <w:t>机械:投入计划与进度计划呼应,机械设备及配置；</w:t>
            </w:r>
          </w:p>
          <w:p>
            <w:pPr>
              <w:widowControl/>
              <w:adjustRightInd w:val="0"/>
              <w:snapToGrid w:val="0"/>
              <w:spacing w:line="360" w:lineRule="auto"/>
              <w:jc w:val="left"/>
              <w:rPr>
                <w:rFonts w:ascii="宋体" w:hAnsi="宋体"/>
                <w:color w:val="auto"/>
              </w:rPr>
            </w:pPr>
            <w:r>
              <w:rPr>
                <w:rFonts w:hint="eastAsia" w:ascii="宋体" w:hAnsi="宋体"/>
                <w:color w:val="auto"/>
              </w:rPr>
              <w:t>（2）劳动力配置计划：确定工程用工量并编制专业工种劳动力计划表。</w:t>
            </w:r>
          </w:p>
          <w:p>
            <w:pPr>
              <w:widowControl/>
              <w:adjustRightInd w:val="0"/>
              <w:snapToGrid w:val="0"/>
              <w:spacing w:line="360" w:lineRule="auto"/>
              <w:jc w:val="left"/>
              <w:rPr>
                <w:rFonts w:ascii="宋体" w:hAnsi="宋体"/>
                <w:color w:val="auto"/>
              </w:rPr>
            </w:pPr>
            <w:r>
              <w:rPr>
                <w:rFonts w:hint="eastAsia" w:ascii="宋体" w:hAnsi="宋体"/>
                <w:color w:val="auto"/>
              </w:rPr>
              <w:t>（3）主要物资配置计划：包括工程材料和设备配置计划、施工机具配置计划以及计量、测量和检验仪器配置计划等。</w:t>
            </w:r>
          </w:p>
          <w:p>
            <w:pPr>
              <w:widowControl/>
              <w:numPr>
                <w:ilvl w:val="0"/>
                <w:numId w:val="7"/>
              </w:numPr>
              <w:adjustRightInd w:val="0"/>
              <w:snapToGrid w:val="0"/>
              <w:spacing w:line="360" w:lineRule="auto"/>
              <w:jc w:val="left"/>
              <w:rPr>
                <w:rFonts w:ascii="宋体" w:hAnsi="宋体"/>
                <w:color w:val="auto"/>
              </w:rPr>
            </w:pPr>
            <w:r>
              <w:rPr>
                <w:rFonts w:hint="eastAsia" w:ascii="宋体" w:hAnsi="宋体"/>
                <w:color w:val="auto"/>
              </w:rPr>
              <w:t>劳动力及设备设施配备配置齐全合理，针对性强，完全满足项目实际需要的，得5分；</w:t>
            </w:r>
          </w:p>
          <w:p>
            <w:pPr>
              <w:widowControl/>
              <w:numPr>
                <w:ilvl w:val="0"/>
                <w:numId w:val="7"/>
              </w:numPr>
              <w:adjustRightInd w:val="0"/>
              <w:snapToGrid w:val="0"/>
              <w:spacing w:line="360" w:lineRule="auto"/>
              <w:jc w:val="left"/>
              <w:rPr>
                <w:rFonts w:ascii="宋体" w:hAnsi="宋体"/>
                <w:color w:val="auto"/>
              </w:rPr>
            </w:pPr>
            <w:r>
              <w:rPr>
                <w:rFonts w:hint="eastAsia" w:ascii="宋体" w:hAnsi="宋体"/>
                <w:color w:val="auto"/>
              </w:rPr>
              <w:t>劳动力及设备设施配备配置齐全，对本项目具有针对性，基本满足项目实际需要的，得3分；</w:t>
            </w:r>
          </w:p>
          <w:p>
            <w:pPr>
              <w:widowControl/>
              <w:numPr>
                <w:ilvl w:val="0"/>
                <w:numId w:val="7"/>
              </w:numPr>
              <w:adjustRightInd w:val="0"/>
              <w:snapToGrid w:val="0"/>
              <w:spacing w:line="360" w:lineRule="auto"/>
              <w:jc w:val="left"/>
              <w:rPr>
                <w:rFonts w:ascii="宋体" w:hAnsi="宋体"/>
                <w:color w:val="auto"/>
              </w:rPr>
            </w:pPr>
            <w:r>
              <w:rPr>
                <w:rFonts w:hint="eastAsia" w:ascii="宋体" w:hAnsi="宋体"/>
                <w:color w:val="auto"/>
              </w:rPr>
              <w:t>劳动力及设备设施配备配置不齐全，部分配置未针对本项目，得1分；</w:t>
            </w:r>
          </w:p>
          <w:p>
            <w:pPr>
              <w:widowControl/>
              <w:numPr>
                <w:ilvl w:val="0"/>
                <w:numId w:val="7"/>
              </w:numPr>
              <w:adjustRightInd w:val="0"/>
              <w:snapToGrid w:val="0"/>
              <w:spacing w:line="360" w:lineRule="auto"/>
              <w:jc w:val="left"/>
              <w:rPr>
                <w:rFonts w:ascii="宋体" w:hAnsi="宋体" w:cs="宋体"/>
                <w:color w:val="auto"/>
              </w:rPr>
            </w:pPr>
            <w:r>
              <w:rPr>
                <w:rFonts w:hint="eastAsia" w:ascii="宋体" w:hAnsi="宋体"/>
                <w:color w:val="auto"/>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tcBorders>
              <w:left w:val="single" w:color="auto" w:sz="4" w:space="0"/>
              <w:right w:val="single" w:color="auto" w:sz="4" w:space="0"/>
            </w:tcBorders>
            <w:vAlign w:val="center"/>
          </w:tcPr>
          <w:p>
            <w:pPr>
              <w:adjustRightInd w:val="0"/>
              <w:snapToGrid w:val="0"/>
              <w:spacing w:line="360" w:lineRule="auto"/>
              <w:jc w:val="center"/>
              <w:rPr>
                <w:rFonts w:ascii="宋体" w:hAnsi="宋体" w:cs="宋体"/>
                <w:color w:val="auto"/>
              </w:rPr>
            </w:pPr>
            <w:r>
              <w:rPr>
                <w:rFonts w:hint="eastAsia" w:ascii="宋体" w:hAnsi="宋体" w:cs="宋体"/>
                <w:color w:val="auto"/>
                <w:lang w:eastAsia="zh-CN"/>
              </w:rPr>
              <w:t>（</w:t>
            </w:r>
            <w:r>
              <w:rPr>
                <w:rFonts w:hint="eastAsia" w:ascii="宋体" w:hAnsi="宋体" w:cs="宋体"/>
                <w:color w:val="auto"/>
                <w:lang w:val="en-US" w:eastAsia="zh-CN"/>
              </w:rPr>
              <w:t>7</w:t>
            </w:r>
            <w:r>
              <w:rPr>
                <w:rFonts w:hint="eastAsia" w:ascii="宋体" w:hAnsi="宋体" w:cs="宋体"/>
                <w:color w:val="auto"/>
                <w:lang w:eastAsia="zh-CN"/>
              </w:rPr>
              <w:t>）、</w:t>
            </w:r>
            <w:r>
              <w:rPr>
                <w:rFonts w:hint="eastAsia" w:ascii="宋体" w:hAnsi="宋体" w:cs="宋体"/>
                <w:color w:val="auto"/>
              </w:rPr>
              <w:t>应急预案以及风险控制措施5分</w:t>
            </w:r>
          </w:p>
        </w:tc>
        <w:tc>
          <w:tcPr>
            <w:tcW w:w="58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rPr>
            </w:pPr>
            <w:r>
              <w:rPr>
                <w:rFonts w:hint="eastAsia" w:ascii="宋体" w:hAnsi="宋体" w:cs="宋体"/>
                <w:color w:val="auto"/>
              </w:rPr>
              <w:t>结合采购需求，针对可能出现的突发紧急事件、对紧急事件响应情况和应对措施等方面进行评审：</w:t>
            </w:r>
          </w:p>
          <w:p>
            <w:pPr>
              <w:widowControl/>
              <w:numPr>
                <w:ilvl w:val="0"/>
                <w:numId w:val="8"/>
              </w:numPr>
              <w:adjustRightInd w:val="0"/>
              <w:snapToGrid w:val="0"/>
              <w:spacing w:line="360" w:lineRule="auto"/>
              <w:jc w:val="left"/>
              <w:rPr>
                <w:rFonts w:ascii="宋体" w:hAnsi="宋体" w:cs="宋体"/>
                <w:color w:val="auto"/>
              </w:rPr>
            </w:pPr>
            <w:r>
              <w:rPr>
                <w:rFonts w:hint="eastAsia" w:ascii="宋体" w:hAnsi="宋体" w:cs="宋体"/>
                <w:color w:val="auto"/>
              </w:rPr>
              <w:t>应急预案完善具体，突发紧急事件预见全面，应对紧急事件响应及时，应对措施科学合理的，得5分；</w:t>
            </w:r>
          </w:p>
          <w:p>
            <w:pPr>
              <w:widowControl/>
              <w:numPr>
                <w:ilvl w:val="0"/>
                <w:numId w:val="8"/>
              </w:numPr>
              <w:adjustRightInd w:val="0"/>
              <w:snapToGrid w:val="0"/>
              <w:spacing w:line="360" w:lineRule="auto"/>
              <w:jc w:val="left"/>
              <w:rPr>
                <w:rFonts w:ascii="宋体" w:hAnsi="宋体" w:cs="宋体"/>
                <w:color w:val="auto"/>
              </w:rPr>
            </w:pPr>
            <w:r>
              <w:rPr>
                <w:rFonts w:hint="eastAsia" w:ascii="宋体" w:hAnsi="宋体" w:cs="宋体"/>
                <w:color w:val="auto"/>
              </w:rPr>
              <w:t>应急预案具体，突发紧急事件预见较为全面，应对紧急事件响应较为及时，应对措施合理的，得3分；</w:t>
            </w:r>
          </w:p>
          <w:p>
            <w:pPr>
              <w:widowControl/>
              <w:numPr>
                <w:ilvl w:val="0"/>
                <w:numId w:val="8"/>
              </w:numPr>
              <w:adjustRightInd w:val="0"/>
              <w:snapToGrid w:val="0"/>
              <w:spacing w:line="360" w:lineRule="auto"/>
              <w:jc w:val="left"/>
              <w:rPr>
                <w:rFonts w:ascii="宋体" w:hAnsi="宋体" w:cs="宋体"/>
                <w:color w:val="auto"/>
              </w:rPr>
            </w:pPr>
            <w:r>
              <w:rPr>
                <w:rFonts w:hint="eastAsia" w:ascii="宋体" w:hAnsi="宋体" w:cs="宋体"/>
                <w:color w:val="auto"/>
              </w:rPr>
              <w:t>应急预案不完善，突发紧急事件预见不全面，应对紧急事件响应不及时，应对措施需要进一步完善的，得1 分；</w:t>
            </w:r>
          </w:p>
          <w:p>
            <w:pPr>
              <w:widowControl/>
              <w:numPr>
                <w:ilvl w:val="0"/>
                <w:numId w:val="8"/>
              </w:numPr>
              <w:adjustRightInd w:val="0"/>
              <w:snapToGrid w:val="0"/>
              <w:spacing w:line="360" w:lineRule="auto"/>
              <w:jc w:val="left"/>
              <w:rPr>
                <w:rFonts w:ascii="宋体" w:hAnsi="宋体" w:cs="宋体"/>
                <w:color w:val="auto"/>
              </w:rPr>
            </w:pPr>
            <w:r>
              <w:rPr>
                <w:rFonts w:hint="eastAsia" w:ascii="宋体" w:hAnsi="宋体" w:cs="宋体"/>
                <w:color w:val="auto"/>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tcBorders>
              <w:left w:val="single" w:color="auto" w:sz="4" w:space="0"/>
              <w:bottom w:val="single" w:color="auto" w:sz="4" w:space="0"/>
              <w:right w:val="single" w:color="auto" w:sz="4" w:space="0"/>
            </w:tcBorders>
            <w:vAlign w:val="center"/>
          </w:tcPr>
          <w:p>
            <w:pPr>
              <w:numPr>
                <w:ilvl w:val="-1"/>
                <w:numId w:val="0"/>
              </w:numPr>
              <w:adjustRightInd w:val="0"/>
              <w:snapToGrid w:val="0"/>
              <w:spacing w:line="360" w:lineRule="auto"/>
              <w:ind w:left="0" w:leftChars="0" w:firstLine="0" w:firstLineChars="0"/>
              <w:jc w:val="center"/>
              <w:rPr>
                <w:rFonts w:ascii="宋体" w:hAnsi="宋体" w:cs="宋体"/>
                <w:color w:val="auto"/>
              </w:rPr>
            </w:pPr>
            <w:r>
              <w:rPr>
                <w:rFonts w:hint="eastAsia" w:ascii="宋体" w:hAnsi="宋体" w:cs="宋体"/>
                <w:color w:val="auto"/>
                <w:lang w:eastAsia="zh-CN"/>
              </w:rPr>
              <w:t>（</w:t>
            </w:r>
            <w:r>
              <w:rPr>
                <w:rFonts w:hint="eastAsia" w:ascii="宋体" w:hAnsi="宋体" w:cs="宋体"/>
                <w:color w:val="auto"/>
                <w:lang w:val="en-US" w:eastAsia="zh-CN"/>
              </w:rPr>
              <w:t>8</w:t>
            </w:r>
            <w:r>
              <w:rPr>
                <w:rFonts w:hint="eastAsia" w:ascii="宋体" w:hAnsi="宋体" w:cs="宋体"/>
                <w:color w:val="auto"/>
                <w:lang w:eastAsia="zh-CN"/>
              </w:rPr>
              <w:t>）、</w:t>
            </w:r>
            <w:r>
              <w:rPr>
                <w:rFonts w:hint="eastAsia" w:ascii="宋体" w:hAnsi="宋体" w:cs="宋体"/>
                <w:color w:val="auto"/>
              </w:rPr>
              <w:t>合理化建议3分</w:t>
            </w:r>
          </w:p>
        </w:tc>
        <w:tc>
          <w:tcPr>
            <w:tcW w:w="58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rPr>
            </w:pPr>
            <w:r>
              <w:rPr>
                <w:rFonts w:hint="eastAsia" w:ascii="宋体" w:hAnsi="宋体" w:cs="宋体"/>
                <w:color w:val="auto"/>
              </w:rPr>
              <w:t>采用新工艺、新技术、新设备、新材料的情况及利于采购人的合理化建议进行综合评审：</w:t>
            </w:r>
          </w:p>
          <w:p>
            <w:pPr>
              <w:widowControl/>
              <w:numPr>
                <w:ilvl w:val="0"/>
                <w:numId w:val="9"/>
              </w:numPr>
              <w:adjustRightInd w:val="0"/>
              <w:snapToGrid w:val="0"/>
              <w:spacing w:line="360" w:lineRule="auto"/>
              <w:ind w:left="425" w:leftChars="0" w:hanging="425" w:firstLineChars="0"/>
              <w:jc w:val="left"/>
              <w:rPr>
                <w:rFonts w:ascii="宋体" w:hAnsi="宋体" w:cs="宋体"/>
                <w:color w:val="auto"/>
              </w:rPr>
            </w:pPr>
            <w:r>
              <w:rPr>
                <w:rFonts w:hint="eastAsia" w:ascii="宋体" w:hAnsi="宋体" w:cs="宋体"/>
                <w:color w:val="auto"/>
              </w:rPr>
              <w:t>采用新工艺、新技术、新设备、新材料程度在缩短工期、降低工程费用、提高工程质量等方面的措施具体有效、可实施性强，且合理化建议切实可行的，得3分；</w:t>
            </w:r>
          </w:p>
          <w:p>
            <w:pPr>
              <w:widowControl/>
              <w:numPr>
                <w:ilvl w:val="0"/>
                <w:numId w:val="9"/>
              </w:numPr>
              <w:adjustRightInd w:val="0"/>
              <w:snapToGrid w:val="0"/>
              <w:spacing w:line="360" w:lineRule="auto"/>
              <w:ind w:left="425" w:leftChars="0" w:hanging="425" w:firstLineChars="0"/>
              <w:jc w:val="left"/>
              <w:rPr>
                <w:rFonts w:ascii="宋体" w:hAnsi="宋体" w:cs="宋体"/>
                <w:color w:val="auto"/>
              </w:rPr>
            </w:pPr>
            <w:r>
              <w:rPr>
                <w:rFonts w:hint="eastAsia" w:ascii="宋体" w:hAnsi="宋体" w:cs="宋体"/>
                <w:color w:val="auto"/>
              </w:rPr>
              <w:t>相关措施有可实施性，合理化建议可行的，得2分；</w:t>
            </w:r>
          </w:p>
          <w:p>
            <w:pPr>
              <w:widowControl/>
              <w:numPr>
                <w:ilvl w:val="0"/>
                <w:numId w:val="9"/>
              </w:numPr>
              <w:adjustRightInd w:val="0"/>
              <w:snapToGrid w:val="0"/>
              <w:spacing w:line="360" w:lineRule="auto"/>
              <w:ind w:left="425" w:leftChars="0" w:hanging="425" w:firstLineChars="0"/>
              <w:jc w:val="left"/>
              <w:rPr>
                <w:rFonts w:ascii="宋体" w:hAnsi="宋体" w:cs="宋体"/>
                <w:color w:val="auto"/>
              </w:rPr>
            </w:pPr>
            <w:r>
              <w:rPr>
                <w:rFonts w:hint="eastAsia" w:ascii="宋体" w:hAnsi="宋体" w:cs="宋体"/>
                <w:color w:val="auto"/>
              </w:rPr>
              <w:t>相关措施可实施性、合理化建议均一般的，得1分。</w:t>
            </w:r>
          </w:p>
          <w:p>
            <w:pPr>
              <w:widowControl/>
              <w:numPr>
                <w:ilvl w:val="0"/>
                <w:numId w:val="9"/>
              </w:numPr>
              <w:adjustRightInd w:val="0"/>
              <w:snapToGrid w:val="0"/>
              <w:spacing w:line="360" w:lineRule="auto"/>
              <w:ind w:left="425" w:leftChars="0" w:hanging="425" w:firstLineChars="0"/>
              <w:jc w:val="left"/>
              <w:rPr>
                <w:rFonts w:ascii="宋体" w:hAnsi="宋体" w:cs="宋体"/>
                <w:color w:val="auto"/>
              </w:rPr>
            </w:pPr>
            <w:r>
              <w:rPr>
                <w:rFonts w:hint="eastAsia" w:ascii="宋体" w:hAnsi="宋体" w:cs="宋体"/>
                <w:color w:val="auto"/>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highlight w:val="none"/>
              </w:rPr>
            </w:pPr>
          </w:p>
        </w:tc>
        <w:tc>
          <w:tcPr>
            <w:tcW w:w="640" w:type="dxa"/>
            <w:tcBorders>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bCs/>
                <w:color w:val="auto"/>
                <w:highlight w:val="none"/>
              </w:rPr>
            </w:pPr>
            <w:r>
              <w:rPr>
                <w:rFonts w:hint="eastAsia" w:ascii="宋体" w:hAnsi="宋体"/>
                <w:bCs/>
                <w:color w:val="auto"/>
                <w:highlight w:val="none"/>
                <w:lang w:val="en-US" w:eastAsia="zh-CN"/>
              </w:rPr>
              <w:t>2、</w:t>
            </w:r>
            <w:r>
              <w:rPr>
                <w:rFonts w:hint="eastAsia" w:ascii="宋体" w:hAnsi="宋体"/>
                <w:bCs/>
                <w:color w:val="auto"/>
                <w:highlight w:val="none"/>
              </w:rPr>
              <w:t>技术部分</w:t>
            </w:r>
          </w:p>
        </w:tc>
        <w:tc>
          <w:tcPr>
            <w:tcW w:w="1845" w:type="dxa"/>
            <w:tcBorders>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cs="宋体"/>
                <w:color w:val="auto"/>
                <w:highlight w:val="none"/>
              </w:rPr>
            </w:pPr>
            <w:r>
              <w:rPr>
                <w:rFonts w:hint="eastAsia" w:ascii="宋体" w:hAnsi="宋体"/>
                <w:bCs/>
                <w:color w:val="auto"/>
                <w:highlight w:val="none"/>
              </w:rPr>
              <w:t>主要设备材料技术标准5分</w:t>
            </w:r>
          </w:p>
        </w:tc>
        <w:tc>
          <w:tcPr>
            <w:tcW w:w="5869" w:type="dxa"/>
            <w:tcBorders>
              <w:top w:val="single" w:color="auto" w:sz="4" w:space="0"/>
              <w:left w:val="single" w:color="auto" w:sz="4" w:space="0"/>
              <w:bottom w:val="single" w:color="auto" w:sz="4" w:space="0"/>
              <w:right w:val="single" w:color="auto" w:sz="4" w:space="0"/>
            </w:tcBorders>
            <w:vAlign w:val="center"/>
          </w:tcPr>
          <w:p>
            <w:pPr>
              <w:wordWrap w:val="0"/>
              <w:topLinePunct/>
              <w:spacing w:line="360" w:lineRule="auto"/>
              <w:jc w:val="left"/>
              <w:rPr>
                <w:color w:val="auto"/>
                <w:highlight w:val="none"/>
              </w:rPr>
            </w:pPr>
            <w:r>
              <w:rPr>
                <w:rFonts w:hint="eastAsia"/>
                <w:color w:val="auto"/>
                <w:highlight w:val="none"/>
              </w:rPr>
              <w:t>投标产品技术指标符合或优于第七章“</w:t>
            </w:r>
            <w:r>
              <w:rPr>
                <w:rFonts w:hint="eastAsia"/>
                <w:color w:val="auto"/>
                <w:highlight w:val="none"/>
                <w:lang w:val="en-US" w:eastAsia="zh-CN"/>
              </w:rPr>
              <w:t>2、</w:t>
            </w:r>
            <w:r>
              <w:rPr>
                <w:rFonts w:hint="eastAsia"/>
                <w:color w:val="auto"/>
                <w:highlight w:val="none"/>
              </w:rPr>
              <w:t>技术标准和要求”基本要求得5分，未加</w:t>
            </w:r>
            <w:r>
              <w:rPr>
                <w:rFonts w:hint="eastAsia" w:ascii="宋体" w:hAnsi="宋体" w:cs="宋体"/>
                <w:color w:val="auto"/>
                <w:sz w:val="24"/>
                <w:szCs w:val="24"/>
                <w:highlight w:val="none"/>
              </w:rPr>
              <w:t>★的技术指标</w:t>
            </w:r>
            <w:r>
              <w:rPr>
                <w:rFonts w:hint="eastAsia"/>
                <w:color w:val="auto"/>
                <w:highlight w:val="none"/>
              </w:rPr>
              <w:t>负偏离一项扣0.2分，加</w:t>
            </w:r>
            <w:r>
              <w:rPr>
                <w:rFonts w:hint="eastAsia" w:ascii="宋体" w:hAnsi="宋体" w:cs="宋体"/>
                <w:color w:val="auto"/>
                <w:sz w:val="24"/>
                <w:szCs w:val="24"/>
                <w:highlight w:val="none"/>
              </w:rPr>
              <w:t>★的技术指标</w:t>
            </w:r>
            <w:r>
              <w:rPr>
                <w:rFonts w:hint="eastAsia"/>
                <w:color w:val="auto"/>
                <w:highlight w:val="none"/>
              </w:rPr>
              <w:t>负偏离一项扣0.5分，扣完5分为止。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94" w:type="dxa"/>
            <w:vMerge w:val="restart"/>
            <w:tcBorders>
              <w:top w:val="nil"/>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Cs/>
                <w:color w:val="auto"/>
                <w:highlight w:val="none"/>
              </w:rPr>
            </w:pPr>
            <w:r>
              <w:rPr>
                <w:rFonts w:hint="eastAsia" w:ascii="宋体" w:hAnsi="宋体"/>
                <w:bCs/>
                <w:color w:val="auto"/>
                <w:highlight w:val="none"/>
              </w:rPr>
              <w:t>2.2.2（3）</w:t>
            </w:r>
          </w:p>
        </w:tc>
        <w:tc>
          <w:tcPr>
            <w:tcW w:w="640"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hint="eastAsia" w:ascii="宋体" w:hAnsi="宋体"/>
                <w:bCs/>
                <w:color w:val="auto"/>
                <w:kern w:val="0"/>
                <w:highlight w:val="none"/>
              </w:rPr>
            </w:pPr>
            <w:r>
              <w:rPr>
                <w:rFonts w:hint="eastAsia" w:ascii="宋体" w:hAnsi="宋体"/>
                <w:bCs/>
                <w:color w:val="auto"/>
                <w:kern w:val="0"/>
                <w:highlight w:val="none"/>
              </w:rPr>
              <w:t>商务</w:t>
            </w:r>
          </w:p>
          <w:p>
            <w:pPr>
              <w:widowControl/>
              <w:adjustRightInd w:val="0"/>
              <w:snapToGrid w:val="0"/>
              <w:spacing w:line="360" w:lineRule="auto"/>
              <w:jc w:val="center"/>
              <w:rPr>
                <w:rFonts w:ascii="宋体" w:hAnsi="宋体"/>
                <w:bCs/>
                <w:color w:val="auto"/>
                <w:highlight w:val="none"/>
              </w:rPr>
            </w:pPr>
            <w:r>
              <w:rPr>
                <w:rFonts w:hint="eastAsia" w:ascii="宋体" w:hAnsi="宋体"/>
                <w:bCs/>
                <w:color w:val="auto"/>
                <w:kern w:val="0"/>
                <w:highlight w:val="none"/>
              </w:rPr>
              <w:t>部分</w:t>
            </w:r>
          </w:p>
          <w:p>
            <w:pPr>
              <w:adjustRightInd w:val="0"/>
              <w:snapToGrid w:val="0"/>
              <w:spacing w:line="360" w:lineRule="auto"/>
              <w:jc w:val="center"/>
              <w:rPr>
                <w:rFonts w:hint="eastAsia" w:ascii="宋体" w:hAnsi="宋体"/>
                <w:bCs/>
                <w:color w:val="auto"/>
                <w:highlight w:val="none"/>
              </w:rPr>
            </w:pPr>
            <w:r>
              <w:rPr>
                <w:rFonts w:hint="eastAsia" w:ascii="宋体" w:hAnsi="宋体"/>
                <w:bCs/>
                <w:color w:val="auto"/>
                <w:highlight w:val="none"/>
              </w:rPr>
              <w:t>标准</w:t>
            </w:r>
          </w:p>
          <w:p>
            <w:pPr>
              <w:adjustRightInd w:val="0"/>
              <w:snapToGrid w:val="0"/>
              <w:spacing w:line="360" w:lineRule="auto"/>
              <w:jc w:val="center"/>
              <w:rPr>
                <w:rFonts w:hint="eastAsia" w:ascii="宋体" w:hAnsi="宋体"/>
                <w:bCs/>
                <w:color w:val="auto"/>
                <w:highlight w:val="none"/>
              </w:rPr>
            </w:pPr>
            <w:r>
              <w:rPr>
                <w:rFonts w:hint="eastAsia" w:ascii="宋体" w:hAnsi="宋体"/>
                <w:bCs/>
                <w:color w:val="auto"/>
                <w:highlight w:val="none"/>
                <w:lang w:val="en-US" w:eastAsia="zh-CN"/>
              </w:rPr>
              <w:t>25</w:t>
            </w:r>
            <w:r>
              <w:rPr>
                <w:rFonts w:hint="eastAsia" w:ascii="宋体" w:hAnsi="宋体"/>
                <w:bCs/>
                <w:color w:val="auto"/>
                <w:highlight w:val="none"/>
              </w:rPr>
              <w:t>分</w:t>
            </w:r>
          </w:p>
        </w:tc>
        <w:tc>
          <w:tcPr>
            <w:tcW w:w="1845" w:type="dxa"/>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bCs/>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业绩4分</w:t>
            </w:r>
          </w:p>
        </w:tc>
        <w:tc>
          <w:tcPr>
            <w:tcW w:w="58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供应商2021年以来具有类似综合布线或建筑智能化项目业绩，每提供一份得2分，最高得4分：</w:t>
            </w:r>
          </w:p>
          <w:p>
            <w:pPr>
              <w:widowControl/>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注：须</w:t>
            </w:r>
            <w:r>
              <w:rPr>
                <w:rFonts w:hint="eastAsia" w:ascii="宋体" w:hAnsi="宋体" w:cs="宋体"/>
                <w:color w:val="auto"/>
                <w:highlight w:val="none"/>
                <w:shd w:val="clear" w:color="auto" w:fill="FFFFFF"/>
              </w:rPr>
              <w:t>具有中标/成交通知书、</w:t>
            </w:r>
            <w:r>
              <w:rPr>
                <w:rFonts w:hint="eastAsia" w:ascii="宋体" w:hAnsi="宋体" w:cs="宋体"/>
                <w:color w:val="auto"/>
                <w:highlight w:val="none"/>
              </w:rPr>
              <w:t>中标/成交结果截图、</w:t>
            </w:r>
            <w:r>
              <w:rPr>
                <w:rFonts w:hint="eastAsia" w:ascii="宋体" w:hAnsi="宋体" w:cs="宋体"/>
                <w:color w:val="auto"/>
                <w:highlight w:val="none"/>
                <w:shd w:val="clear" w:color="auto" w:fill="FFFFFF"/>
              </w:rPr>
              <w:t>合同协议书（关键页）、竣工验收证明</w:t>
            </w:r>
            <w:r>
              <w:rPr>
                <w:rFonts w:hint="eastAsia" w:ascii="宋体" w:hAnsi="宋体" w:cs="宋体"/>
                <w:color w:val="auto"/>
                <w:highlight w:val="none"/>
              </w:rPr>
              <w:t>，时间以合同签订时间为准，提供不全不得分。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94"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auto"/>
                <w:highlight w:val="none"/>
              </w:rPr>
            </w:pPr>
          </w:p>
        </w:tc>
        <w:tc>
          <w:tcPr>
            <w:tcW w:w="640"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auto"/>
                <w:highlight w:val="none"/>
              </w:rPr>
            </w:pPr>
          </w:p>
        </w:tc>
        <w:tc>
          <w:tcPr>
            <w:tcW w:w="1845" w:type="dxa"/>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lang w:eastAsia="zh-CN"/>
              </w:rPr>
              <w:t>、企业综合实力认证</w:t>
            </w:r>
            <w:r>
              <w:rPr>
                <w:rFonts w:hint="eastAsia" w:ascii="宋体" w:hAnsi="宋体" w:cs="宋体"/>
                <w:color w:val="auto"/>
                <w:highlight w:val="none"/>
              </w:rPr>
              <w:t>5分</w:t>
            </w:r>
          </w:p>
        </w:tc>
        <w:tc>
          <w:tcPr>
            <w:tcW w:w="58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供应商同时具有有效的质量管理体系认证证书、环境管理体系认证证书、职业安全健康管理体系认证证书、信息技术服务管理体系认证证书、信息安全管理体系认证证书的得 5分，每缺一项扣 1 分，扣完为止 (附扫描件及证书网上查询截图，否则该项不得分)。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94"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auto"/>
                <w:highlight w:val="none"/>
              </w:rPr>
            </w:pPr>
          </w:p>
        </w:tc>
        <w:tc>
          <w:tcPr>
            <w:tcW w:w="640" w:type="dxa"/>
            <w:vMerge w:val="continue"/>
            <w:tcBorders>
              <w:left w:val="single" w:color="auto" w:sz="4" w:space="0"/>
              <w:right w:val="single" w:color="auto" w:sz="4" w:space="0"/>
            </w:tcBorders>
            <w:vAlign w:val="center"/>
          </w:tcPr>
          <w:p>
            <w:pPr>
              <w:adjustRightInd w:val="0"/>
              <w:snapToGrid w:val="0"/>
              <w:spacing w:line="360" w:lineRule="auto"/>
              <w:jc w:val="center"/>
              <w:rPr>
                <w:rFonts w:ascii="宋体" w:hAnsi="宋体"/>
                <w:bCs/>
                <w:color w:val="auto"/>
                <w:highlight w:val="none"/>
              </w:rPr>
            </w:pPr>
          </w:p>
        </w:tc>
        <w:tc>
          <w:tcPr>
            <w:tcW w:w="1845" w:type="dxa"/>
            <w:tcBorders>
              <w:left w:val="single" w:color="auto" w:sz="4" w:space="0"/>
              <w:right w:val="single" w:color="auto" w:sz="4" w:space="0"/>
            </w:tcBorders>
            <w:vAlign w:val="center"/>
          </w:tcPr>
          <w:p>
            <w:pPr>
              <w:widowControl/>
              <w:numPr>
                <w:ilvl w:val="-1"/>
                <w:numId w:val="0"/>
              </w:num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项目管理机构4分</w:t>
            </w:r>
          </w:p>
        </w:tc>
        <w:tc>
          <w:tcPr>
            <w:tcW w:w="5869" w:type="dxa"/>
            <w:tcBorders>
              <w:top w:val="single" w:color="auto" w:sz="4" w:space="0"/>
              <w:left w:val="single" w:color="auto" w:sz="4" w:space="0"/>
              <w:bottom w:val="single" w:color="auto" w:sz="4" w:space="0"/>
              <w:right w:val="single" w:color="auto" w:sz="4" w:space="0"/>
            </w:tcBorders>
            <w:vAlign w:val="center"/>
          </w:tcPr>
          <w:p>
            <w:pPr>
              <w:spacing w:line="360" w:lineRule="auto"/>
              <w:rPr>
                <w:bCs/>
                <w:color w:val="auto"/>
                <w:kern w:val="0"/>
                <w:highlight w:val="none"/>
              </w:rPr>
            </w:pPr>
            <w:r>
              <w:rPr>
                <w:rFonts w:hint="eastAsia" w:ascii="宋体" w:hAnsi="宋体" w:cs="宋体"/>
                <w:color w:val="auto"/>
                <w:highlight w:val="none"/>
                <w:shd w:val="clear" w:color="auto" w:fill="FFFFFF"/>
              </w:rPr>
              <w:t>（1）</w:t>
            </w:r>
            <w:r>
              <w:rPr>
                <w:rFonts w:hint="eastAsia"/>
                <w:bCs/>
                <w:color w:val="auto"/>
                <w:kern w:val="0"/>
                <w:highlight w:val="none"/>
              </w:rPr>
              <w:t>拟派技术</w:t>
            </w:r>
            <w:r>
              <w:rPr>
                <w:bCs/>
                <w:color w:val="auto"/>
                <w:kern w:val="0"/>
                <w:highlight w:val="none"/>
              </w:rPr>
              <w:t>负责人</w:t>
            </w:r>
            <w:r>
              <w:rPr>
                <w:rFonts w:hint="eastAsia"/>
                <w:bCs/>
                <w:color w:val="auto"/>
                <w:kern w:val="0"/>
                <w:highlight w:val="none"/>
              </w:rPr>
              <w:t>具有相关专业（机电、</w:t>
            </w:r>
            <w:r>
              <w:rPr>
                <w:bCs/>
                <w:color w:val="auto"/>
                <w:kern w:val="0"/>
                <w:highlight w:val="none"/>
              </w:rPr>
              <w:t>电气</w:t>
            </w:r>
            <w:r>
              <w:rPr>
                <w:rFonts w:hint="eastAsia"/>
                <w:bCs/>
                <w:color w:val="auto"/>
                <w:kern w:val="0"/>
                <w:highlight w:val="none"/>
              </w:rPr>
              <w:t>、自动化、计算机、电子、通信等专业）</w:t>
            </w:r>
            <w:r>
              <w:rPr>
                <w:bCs/>
                <w:color w:val="auto"/>
                <w:kern w:val="0"/>
                <w:highlight w:val="none"/>
              </w:rPr>
              <w:t>高级工程师职称</w:t>
            </w:r>
            <w:r>
              <w:rPr>
                <w:rFonts w:hint="eastAsia"/>
                <w:bCs/>
                <w:color w:val="auto"/>
                <w:kern w:val="0"/>
                <w:highlight w:val="none"/>
              </w:rPr>
              <w:t>证书</w:t>
            </w:r>
            <w:r>
              <w:rPr>
                <w:bCs/>
                <w:color w:val="auto"/>
                <w:kern w:val="0"/>
                <w:highlight w:val="none"/>
              </w:rPr>
              <w:t>的，得</w:t>
            </w:r>
            <w:r>
              <w:rPr>
                <w:rFonts w:hint="eastAsia"/>
                <w:bCs/>
                <w:color w:val="auto"/>
                <w:kern w:val="0"/>
                <w:highlight w:val="none"/>
              </w:rPr>
              <w:t>1分</w:t>
            </w:r>
            <w:r>
              <w:rPr>
                <w:bCs/>
                <w:color w:val="auto"/>
                <w:kern w:val="0"/>
                <w:highlight w:val="none"/>
              </w:rPr>
              <w:t>；</w:t>
            </w:r>
          </w:p>
          <w:p>
            <w:pPr>
              <w:widowControl/>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shd w:val="clear" w:color="auto" w:fill="FFFFFF"/>
              </w:rPr>
              <w:t>（2）</w:t>
            </w:r>
            <w:r>
              <w:rPr>
                <w:rFonts w:hint="eastAsia" w:ascii="宋体" w:hAnsi="宋体" w:cs="宋体"/>
                <w:color w:val="auto"/>
                <w:highlight w:val="none"/>
              </w:rPr>
              <w:t>造价工程师或预算员、施工员、质量员、材料员、安全员岗位齐全，全部配备齐全的得 3 分，缺少1人得0分。</w:t>
            </w:r>
          </w:p>
          <w:p>
            <w:pPr>
              <w:widowControl/>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备注：响应文件中附相应人员岗位证书扫描件及在本单位缴纳社保证明为准。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vMerge w:val="restart"/>
            <w:tcBorders>
              <w:top w:val="nil"/>
              <w:left w:val="single" w:color="auto" w:sz="4" w:space="0"/>
              <w:right w:val="single" w:color="auto" w:sz="4" w:space="0"/>
            </w:tcBorders>
            <w:vAlign w:val="center"/>
          </w:tcPr>
          <w:p>
            <w:pPr>
              <w:adjustRightInd w:val="0"/>
              <w:snapToGrid w:val="0"/>
              <w:spacing w:line="360" w:lineRule="auto"/>
              <w:jc w:val="center"/>
              <w:rPr>
                <w:rFonts w:ascii="宋体" w:hAnsi="宋体"/>
                <w:bCs/>
                <w:color w:val="auto"/>
              </w:rPr>
            </w:pPr>
            <w:r>
              <w:rPr>
                <w:rFonts w:hint="eastAsia" w:ascii="宋体" w:hAnsi="宋体"/>
                <w:bCs/>
                <w:color w:val="auto"/>
                <w:lang w:val="en-US" w:eastAsia="zh-CN"/>
              </w:rPr>
              <w:t>4</w:t>
            </w:r>
            <w:r>
              <w:rPr>
                <w:rFonts w:hint="eastAsia" w:ascii="宋体" w:hAnsi="宋体"/>
                <w:bCs/>
                <w:color w:val="auto"/>
                <w:lang w:eastAsia="zh-CN"/>
              </w:rPr>
              <w:t>、</w:t>
            </w:r>
            <w:r>
              <w:rPr>
                <w:rFonts w:hint="eastAsia" w:ascii="宋体" w:hAnsi="宋体"/>
                <w:bCs/>
                <w:color w:val="auto"/>
              </w:rPr>
              <w:t>服务承诺12分</w:t>
            </w:r>
          </w:p>
        </w:tc>
        <w:tc>
          <w:tcPr>
            <w:tcW w:w="5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color w:val="auto"/>
              </w:rPr>
            </w:pPr>
            <w:r>
              <w:rPr>
                <w:rFonts w:hint="eastAsia" w:ascii="宋体" w:hAnsi="宋体"/>
                <w:color w:val="auto"/>
              </w:rPr>
              <w:t>（</w:t>
            </w:r>
            <w:r>
              <w:rPr>
                <w:rFonts w:hint="eastAsia"/>
                <w:color w:val="auto"/>
              </w:rPr>
              <w:t>1</w:t>
            </w:r>
            <w:r>
              <w:rPr>
                <w:rFonts w:hint="eastAsia" w:ascii="宋体" w:hAnsi="宋体"/>
                <w:color w:val="auto"/>
              </w:rPr>
              <w:t>）供应商针对该工程的特点和要求，结合自身的条件和潜力，承诺加快工程进度及资金、技术、机械设备、劳务投入的承诺；（</w:t>
            </w:r>
            <w:r>
              <w:rPr>
                <w:rFonts w:hint="eastAsia"/>
                <w:color w:val="auto"/>
              </w:rPr>
              <w:t>3</w:t>
            </w:r>
            <w:r>
              <w:rPr>
                <w:rFonts w:hint="eastAsia" w:ascii="宋体" w:hAnsi="宋体"/>
                <w:color w:val="auto"/>
              </w:rPr>
              <w:t>分）</w:t>
            </w:r>
          </w:p>
          <w:p>
            <w:pPr>
              <w:widowControl/>
              <w:numPr>
                <w:ilvl w:val="0"/>
                <w:numId w:val="10"/>
              </w:numPr>
              <w:adjustRightInd w:val="0"/>
              <w:snapToGrid w:val="0"/>
              <w:spacing w:line="360" w:lineRule="auto"/>
              <w:rPr>
                <w:rFonts w:ascii="宋体" w:hAnsi="宋体"/>
                <w:color w:val="auto"/>
              </w:rPr>
            </w:pPr>
            <w:r>
              <w:rPr>
                <w:rFonts w:hint="eastAsia" w:ascii="宋体" w:hAnsi="宋体"/>
                <w:color w:val="auto"/>
              </w:rPr>
              <w:t>内容详实，方案科学、合理，考虑周全，措施到位，针对性强，完全满足招标要求，得3分；</w:t>
            </w:r>
          </w:p>
          <w:p>
            <w:pPr>
              <w:widowControl/>
              <w:numPr>
                <w:ilvl w:val="0"/>
                <w:numId w:val="10"/>
              </w:numPr>
              <w:adjustRightInd w:val="0"/>
              <w:snapToGrid w:val="0"/>
              <w:spacing w:line="360" w:lineRule="auto"/>
              <w:rPr>
                <w:rFonts w:ascii="宋体" w:hAnsi="宋体"/>
                <w:color w:val="auto"/>
              </w:rPr>
            </w:pPr>
            <w:r>
              <w:rPr>
                <w:rFonts w:hint="eastAsia" w:ascii="宋体" w:hAnsi="宋体"/>
                <w:color w:val="auto"/>
              </w:rPr>
              <w:t>内容完整，方案基本科学、合理，基本考虑周全，措施基本到位，针对性较强，基本满足招标需求，得2分；</w:t>
            </w:r>
          </w:p>
          <w:p>
            <w:pPr>
              <w:widowControl/>
              <w:numPr>
                <w:ilvl w:val="0"/>
                <w:numId w:val="10"/>
              </w:numPr>
              <w:adjustRightInd w:val="0"/>
              <w:snapToGrid w:val="0"/>
              <w:spacing w:line="360" w:lineRule="auto"/>
              <w:rPr>
                <w:rFonts w:ascii="宋体" w:hAnsi="宋体"/>
                <w:bCs/>
                <w:color w:val="auto"/>
              </w:rPr>
            </w:pPr>
            <w:r>
              <w:rPr>
                <w:rFonts w:hint="eastAsia" w:ascii="宋体" w:hAnsi="宋体"/>
                <w:color w:val="auto"/>
              </w:rPr>
              <w:t>内容较完整，方案基本科学、合理，基本考虑周全，措施基本，到位，针对性较强，基本满足招标需求，得1分；</w:t>
            </w:r>
          </w:p>
          <w:p>
            <w:pPr>
              <w:widowControl/>
              <w:numPr>
                <w:ilvl w:val="0"/>
                <w:numId w:val="10"/>
              </w:numPr>
              <w:adjustRightInd w:val="0"/>
              <w:snapToGrid w:val="0"/>
              <w:spacing w:line="360" w:lineRule="auto"/>
              <w:rPr>
                <w:rFonts w:ascii="宋体" w:hAnsi="宋体"/>
                <w:bCs/>
                <w:color w:val="auto"/>
              </w:rPr>
            </w:pPr>
            <w:r>
              <w:rPr>
                <w:rFonts w:hint="eastAsia" w:ascii="宋体" w:hAnsi="宋体"/>
                <w:color w:val="auto"/>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vMerge w:val="continue"/>
            <w:tcBorders>
              <w:left w:val="single" w:color="auto" w:sz="4" w:space="0"/>
              <w:right w:val="single" w:color="auto" w:sz="4" w:space="0"/>
            </w:tcBorders>
            <w:vAlign w:val="center"/>
          </w:tcPr>
          <w:p>
            <w:pPr>
              <w:widowControl/>
              <w:adjustRightInd w:val="0"/>
              <w:snapToGrid w:val="0"/>
              <w:spacing w:line="360" w:lineRule="auto"/>
              <w:jc w:val="center"/>
              <w:rPr>
                <w:rFonts w:ascii="宋体" w:hAnsi="宋体"/>
                <w:bCs/>
                <w:color w:val="auto"/>
              </w:rPr>
            </w:pPr>
          </w:p>
        </w:tc>
        <w:tc>
          <w:tcPr>
            <w:tcW w:w="5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宋体" w:hAnsi="宋体"/>
                <w:color w:val="auto"/>
              </w:rPr>
            </w:pPr>
            <w:r>
              <w:rPr>
                <w:rFonts w:hint="eastAsia" w:ascii="宋体" w:hAnsi="宋体"/>
                <w:color w:val="auto"/>
              </w:rPr>
              <w:t>（2）做到连续施工，不因资金问题影响工程进度的承诺和措施；保证及时兑现农民工工资，不拖欠工人工资，不造成上访事件，保证项目顺利实施的</w:t>
            </w:r>
            <w:r>
              <w:rPr>
                <w:rFonts w:hint="eastAsia" w:ascii="宋体" w:hAnsi="宋体"/>
                <w:color w:val="auto"/>
                <w:lang w:eastAsia="zh-CN"/>
              </w:rPr>
              <w:t>承诺及措施</w:t>
            </w:r>
            <w:r>
              <w:rPr>
                <w:rFonts w:hint="eastAsia" w:ascii="宋体" w:hAnsi="宋体"/>
                <w:color w:val="auto"/>
              </w:rPr>
              <w:t>；(3分)</w:t>
            </w:r>
          </w:p>
          <w:p>
            <w:pPr>
              <w:numPr>
                <w:ilvl w:val="0"/>
                <w:numId w:val="11"/>
              </w:numPr>
              <w:adjustRightInd w:val="0"/>
              <w:snapToGrid w:val="0"/>
              <w:spacing w:line="360" w:lineRule="auto"/>
              <w:rPr>
                <w:rFonts w:ascii="宋体" w:hAnsi="宋体"/>
                <w:color w:val="auto"/>
              </w:rPr>
            </w:pPr>
            <w:r>
              <w:rPr>
                <w:rFonts w:hint="eastAsia" w:ascii="宋体" w:hAnsi="宋体"/>
                <w:color w:val="auto"/>
              </w:rPr>
              <w:t>相关承诺和措施有针对性，承诺内容详尽，措施合理、可行性强的，得 3 分；</w:t>
            </w:r>
          </w:p>
          <w:p>
            <w:pPr>
              <w:numPr>
                <w:ilvl w:val="0"/>
                <w:numId w:val="11"/>
              </w:numPr>
              <w:adjustRightInd w:val="0"/>
              <w:snapToGrid w:val="0"/>
              <w:spacing w:line="360" w:lineRule="auto"/>
              <w:rPr>
                <w:rFonts w:ascii="宋体" w:hAnsi="宋体"/>
                <w:color w:val="auto"/>
              </w:rPr>
            </w:pPr>
            <w:r>
              <w:rPr>
                <w:rFonts w:hint="eastAsia" w:ascii="宋体" w:hAnsi="宋体"/>
                <w:color w:val="auto"/>
              </w:rPr>
              <w:t>相关承诺和措施针对性一般，承诺内容一般，措施合理、切实可行的，得 2 分；</w:t>
            </w:r>
          </w:p>
          <w:p>
            <w:pPr>
              <w:numPr>
                <w:ilvl w:val="0"/>
                <w:numId w:val="11"/>
              </w:numPr>
              <w:adjustRightInd w:val="0"/>
              <w:snapToGrid w:val="0"/>
              <w:spacing w:line="360" w:lineRule="auto"/>
              <w:rPr>
                <w:rFonts w:ascii="宋体" w:hAnsi="宋体"/>
                <w:color w:val="auto"/>
              </w:rPr>
            </w:pPr>
            <w:r>
              <w:rPr>
                <w:rFonts w:hint="eastAsia" w:ascii="宋体" w:hAnsi="宋体"/>
                <w:color w:val="auto"/>
              </w:rPr>
              <w:t>相关承诺内容和措施一般的，得 1 分；</w:t>
            </w:r>
          </w:p>
          <w:p>
            <w:pPr>
              <w:numPr>
                <w:ilvl w:val="0"/>
                <w:numId w:val="11"/>
              </w:numPr>
              <w:adjustRightInd w:val="0"/>
              <w:snapToGrid w:val="0"/>
              <w:spacing w:line="360" w:lineRule="auto"/>
              <w:rPr>
                <w:color w:val="auto"/>
              </w:rPr>
            </w:pPr>
            <w:r>
              <w:rPr>
                <w:rFonts w:hint="eastAsia" w:ascii="宋体" w:hAnsi="宋体"/>
                <w:color w:val="auto"/>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89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vMerge w:val="continue"/>
            <w:tcBorders>
              <w:left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5869" w:type="dxa"/>
            <w:tcBorders>
              <w:top w:val="single" w:color="auto" w:sz="4" w:space="0"/>
              <w:left w:val="single" w:color="auto" w:sz="4" w:space="0"/>
              <w:bottom w:val="single" w:color="auto" w:sz="4" w:space="0"/>
              <w:right w:val="single" w:color="auto" w:sz="4" w:space="0"/>
            </w:tcBorders>
            <w:vAlign w:val="center"/>
          </w:tcPr>
          <w:p>
            <w:pPr>
              <w:numPr>
                <w:ilvl w:val="0"/>
                <w:numId w:val="12"/>
              </w:numPr>
              <w:adjustRightInd w:val="0"/>
              <w:snapToGrid w:val="0"/>
              <w:spacing w:line="360" w:lineRule="auto"/>
              <w:rPr>
                <w:color w:val="auto"/>
              </w:rPr>
            </w:pPr>
            <w:r>
              <w:rPr>
                <w:rFonts w:hint="eastAsia"/>
                <w:color w:val="auto"/>
              </w:rPr>
              <w:t>保证服从建设单位、监理单位和总承包单位管理，妥善协调当地关系等的承诺：</w:t>
            </w:r>
          </w:p>
          <w:p>
            <w:pPr>
              <w:numPr>
                <w:ilvl w:val="0"/>
                <w:numId w:val="13"/>
              </w:numPr>
              <w:adjustRightInd w:val="0"/>
              <w:snapToGrid w:val="0"/>
              <w:spacing w:line="360" w:lineRule="auto"/>
              <w:rPr>
                <w:color w:val="auto"/>
              </w:rPr>
            </w:pPr>
            <w:r>
              <w:rPr>
                <w:rFonts w:hint="eastAsia"/>
                <w:color w:val="auto"/>
              </w:rPr>
              <w:t>内容全面、详实的，得 3 分；</w:t>
            </w:r>
          </w:p>
          <w:p>
            <w:pPr>
              <w:numPr>
                <w:ilvl w:val="0"/>
                <w:numId w:val="13"/>
              </w:numPr>
              <w:adjustRightInd w:val="0"/>
              <w:snapToGrid w:val="0"/>
              <w:spacing w:line="360" w:lineRule="auto"/>
              <w:rPr>
                <w:color w:val="auto"/>
              </w:rPr>
            </w:pPr>
            <w:r>
              <w:rPr>
                <w:rFonts w:hint="eastAsia"/>
                <w:color w:val="auto"/>
              </w:rPr>
              <w:t>内容全面基本详实的，得 2 分。</w:t>
            </w:r>
          </w:p>
          <w:p>
            <w:pPr>
              <w:numPr>
                <w:ilvl w:val="0"/>
                <w:numId w:val="13"/>
              </w:numPr>
              <w:adjustRightInd w:val="0"/>
              <w:snapToGrid w:val="0"/>
              <w:spacing w:line="360" w:lineRule="auto"/>
              <w:rPr>
                <w:color w:val="auto"/>
              </w:rPr>
            </w:pPr>
            <w:r>
              <w:rPr>
                <w:rFonts w:hint="eastAsia"/>
                <w:color w:val="auto"/>
              </w:rPr>
              <w:t>内容全面及详实度一般的，得1分；</w:t>
            </w:r>
          </w:p>
          <w:p>
            <w:pPr>
              <w:numPr>
                <w:ilvl w:val="0"/>
                <w:numId w:val="13"/>
              </w:numPr>
              <w:adjustRightInd w:val="0"/>
              <w:snapToGrid w:val="0"/>
              <w:spacing w:line="360" w:lineRule="auto"/>
              <w:rPr>
                <w:color w:val="auto"/>
              </w:rPr>
            </w:pPr>
            <w:r>
              <w:rPr>
                <w:rFonts w:hint="eastAsia"/>
                <w:color w:val="auto"/>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94"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640"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1845"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bCs/>
                <w:color w:val="auto"/>
              </w:rPr>
            </w:pPr>
          </w:p>
        </w:tc>
        <w:tc>
          <w:tcPr>
            <w:tcW w:w="5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color w:val="auto"/>
              </w:rPr>
            </w:pPr>
            <w:r>
              <w:rPr>
                <w:rFonts w:hint="eastAsia"/>
                <w:color w:val="auto"/>
              </w:rPr>
              <w:t>（4）质保期内、外的服务内容、服务标准及承诺情况进行综合比较：</w:t>
            </w:r>
          </w:p>
          <w:p>
            <w:pPr>
              <w:adjustRightInd w:val="0"/>
              <w:snapToGrid w:val="0"/>
              <w:spacing w:line="360" w:lineRule="auto"/>
              <w:rPr>
                <w:color w:val="auto"/>
              </w:rPr>
            </w:pPr>
            <w:r>
              <w:rPr>
                <w:rFonts w:hint="eastAsia"/>
                <w:color w:val="auto"/>
              </w:rPr>
              <w:t>A.内容全面、详实的，得 3 分；</w:t>
            </w:r>
          </w:p>
          <w:p>
            <w:pPr>
              <w:adjustRightInd w:val="0"/>
              <w:snapToGrid w:val="0"/>
              <w:spacing w:line="360" w:lineRule="auto"/>
              <w:rPr>
                <w:color w:val="auto"/>
              </w:rPr>
            </w:pPr>
            <w:r>
              <w:rPr>
                <w:rFonts w:hint="eastAsia"/>
                <w:color w:val="auto"/>
              </w:rPr>
              <w:t>B.内容全面基本详实的，得 2 分。</w:t>
            </w:r>
          </w:p>
          <w:p>
            <w:pPr>
              <w:adjustRightInd w:val="0"/>
              <w:snapToGrid w:val="0"/>
              <w:spacing w:line="360" w:lineRule="auto"/>
              <w:rPr>
                <w:color w:val="auto"/>
              </w:rPr>
            </w:pPr>
            <w:r>
              <w:rPr>
                <w:rFonts w:hint="eastAsia"/>
                <w:color w:val="auto"/>
              </w:rPr>
              <w:t>C.内容全面及详实度一般的，得1分；</w:t>
            </w:r>
          </w:p>
          <w:p>
            <w:pPr>
              <w:adjustRightInd w:val="0"/>
              <w:snapToGrid w:val="0"/>
              <w:spacing w:line="360" w:lineRule="auto"/>
              <w:rPr>
                <w:color w:val="auto"/>
              </w:rPr>
            </w:pPr>
            <w:r>
              <w:rPr>
                <w:rFonts w:hint="eastAsia"/>
                <w:color w:val="auto"/>
              </w:rPr>
              <w:t>D未提供不得分。</w:t>
            </w:r>
          </w:p>
        </w:tc>
      </w:tr>
      <w:bookmarkEnd w:id="747"/>
    </w:tbl>
    <w:p>
      <w:pPr>
        <w:rPr>
          <w:rFonts w:ascii="宋体" w:hAnsi="宋体"/>
          <w:b/>
          <w:color w:val="auto"/>
          <w:sz w:val="24"/>
          <w:szCs w:val="24"/>
        </w:rPr>
      </w:pPr>
      <w:r>
        <w:rPr>
          <w:rFonts w:ascii="宋体" w:hAnsi="宋体"/>
          <w:b/>
          <w:color w:val="auto"/>
          <w:sz w:val="24"/>
          <w:szCs w:val="24"/>
        </w:rPr>
        <w:br w:type="page"/>
      </w:r>
    </w:p>
    <w:p>
      <w:pPr>
        <w:pStyle w:val="57"/>
        <w:rPr>
          <w:rFonts w:hint="eastAsia"/>
          <w:color w:val="auto"/>
        </w:rPr>
      </w:pPr>
      <w:bookmarkStart w:id="748" w:name="_Toc19682"/>
      <w:bookmarkEnd w:id="748"/>
      <w:bookmarkStart w:id="749" w:name="_Toc21426"/>
      <w:bookmarkStart w:id="750" w:name="_Toc7129"/>
      <w:bookmarkStart w:id="751" w:name="_Toc3577"/>
      <w:bookmarkStart w:id="752" w:name="_Toc2271"/>
      <w:bookmarkStart w:id="753" w:name="_Toc129073508"/>
      <w:bookmarkStart w:id="754" w:name="_Toc26583"/>
      <w:r>
        <w:rPr>
          <w:rFonts w:hint="eastAsia"/>
          <w:color w:val="auto"/>
        </w:rPr>
        <w:t>1. 评审方法</w:t>
      </w:r>
      <w:bookmarkEnd w:id="749"/>
      <w:bookmarkEnd w:id="750"/>
      <w:bookmarkEnd w:id="751"/>
      <w:bookmarkEnd w:id="752"/>
      <w:bookmarkEnd w:id="753"/>
      <w:bookmarkEnd w:id="754"/>
    </w:p>
    <w:p>
      <w:pPr>
        <w:spacing w:line="360" w:lineRule="auto"/>
        <w:ind w:firstLine="420" w:firstLineChars="200"/>
        <w:rPr>
          <w:rFonts w:ascii="宋体" w:hAnsi="宋体" w:cs="宋体"/>
          <w:color w:val="auto"/>
        </w:rPr>
      </w:pPr>
      <w:r>
        <w:rPr>
          <w:rFonts w:hint="eastAsia" w:ascii="宋体" w:hAnsi="宋体" w:cs="宋体"/>
          <w:color w:val="auto"/>
        </w:rPr>
        <w:t>本次评审采用综合评分法。磋商小组对满足磋商文件实质性要求的响应文件，按照本章规定的评分标准进行打分，并按得分由高到低顺序推荐成交候选人，</w:t>
      </w:r>
      <w:r>
        <w:rPr>
          <w:rFonts w:hint="eastAsia" w:ascii="宋体" w:hAnsi="宋体" w:cs="宋体"/>
          <w:color w:val="auto"/>
          <w:kern w:val="0"/>
        </w:rPr>
        <w:t>综合评分相等时，以报价得分高的优先；报价得分也相等的，由使用产品质量性能好的优先。响应文件满足竞争性磋商文件全部实质性要求，且按照评审因素的量化指标评审得分由高到低推荐3名成交候选人。</w:t>
      </w:r>
    </w:p>
    <w:p>
      <w:pPr>
        <w:pStyle w:val="57"/>
        <w:rPr>
          <w:color w:val="auto"/>
        </w:rPr>
      </w:pPr>
      <w:bookmarkStart w:id="755" w:name="_Toc466298140"/>
      <w:bookmarkEnd w:id="755"/>
      <w:bookmarkStart w:id="756" w:name="_Toc152045601"/>
      <w:bookmarkEnd w:id="756"/>
      <w:bookmarkStart w:id="757" w:name="_Toc455867817"/>
      <w:bookmarkEnd w:id="757"/>
      <w:bookmarkStart w:id="758" w:name="_Toc24936"/>
      <w:bookmarkEnd w:id="758"/>
      <w:bookmarkStart w:id="759" w:name="_Toc509667307"/>
      <w:bookmarkEnd w:id="759"/>
      <w:bookmarkStart w:id="760" w:name="_Toc455080157"/>
      <w:bookmarkEnd w:id="760"/>
      <w:bookmarkStart w:id="761" w:name="_Toc281405529"/>
      <w:bookmarkEnd w:id="761"/>
      <w:bookmarkStart w:id="762" w:name="_Toc15132"/>
      <w:bookmarkEnd w:id="762"/>
      <w:bookmarkStart w:id="763" w:name="_Toc144974568"/>
      <w:bookmarkEnd w:id="763"/>
      <w:bookmarkStart w:id="764" w:name="_Toc152042378"/>
      <w:bookmarkEnd w:id="764"/>
      <w:bookmarkStart w:id="765" w:name="_Toc490667876"/>
      <w:bookmarkEnd w:id="765"/>
      <w:bookmarkStart w:id="766" w:name="_Toc8131"/>
      <w:bookmarkStart w:id="767" w:name="_Toc3394"/>
      <w:bookmarkStart w:id="768" w:name="_Toc129073509"/>
      <w:bookmarkStart w:id="769" w:name="_Toc318450723"/>
      <w:bookmarkStart w:id="770" w:name="_Toc27453"/>
      <w:bookmarkStart w:id="771" w:name="_Toc31929"/>
      <w:bookmarkStart w:id="772" w:name="_Toc28356"/>
      <w:r>
        <w:rPr>
          <w:rFonts w:hint="eastAsia"/>
          <w:color w:val="auto"/>
        </w:rPr>
        <w:t>2. 评审标准</w:t>
      </w:r>
      <w:bookmarkEnd w:id="766"/>
      <w:bookmarkEnd w:id="767"/>
      <w:bookmarkEnd w:id="768"/>
      <w:bookmarkEnd w:id="769"/>
      <w:bookmarkEnd w:id="770"/>
      <w:bookmarkEnd w:id="771"/>
      <w:bookmarkEnd w:id="772"/>
    </w:p>
    <w:p>
      <w:pPr>
        <w:pStyle w:val="58"/>
        <w:spacing w:line="360" w:lineRule="auto"/>
        <w:rPr>
          <w:rFonts w:ascii="宋体" w:hAnsi="宋体" w:eastAsia="宋体"/>
          <w:color w:val="auto"/>
          <w:sz w:val="21"/>
          <w:szCs w:val="21"/>
        </w:rPr>
      </w:pPr>
      <w:bookmarkStart w:id="773" w:name="_Toc19934"/>
      <w:bookmarkEnd w:id="773"/>
      <w:bookmarkStart w:id="774" w:name="_Toc455867818"/>
      <w:bookmarkEnd w:id="774"/>
      <w:bookmarkStart w:id="775" w:name="_Toc144974569"/>
      <w:bookmarkEnd w:id="775"/>
      <w:bookmarkStart w:id="776" w:name="_Toc490667877"/>
      <w:bookmarkEnd w:id="776"/>
      <w:bookmarkStart w:id="777" w:name="_Toc21120"/>
      <w:bookmarkEnd w:id="777"/>
      <w:bookmarkStart w:id="778" w:name="_Toc281405530"/>
      <w:bookmarkEnd w:id="778"/>
      <w:bookmarkStart w:id="779" w:name="_Toc466298141"/>
      <w:bookmarkEnd w:id="779"/>
      <w:bookmarkStart w:id="780" w:name="_Toc25637"/>
      <w:bookmarkEnd w:id="780"/>
      <w:bookmarkStart w:id="781" w:name="_Toc318450724"/>
      <w:bookmarkEnd w:id="781"/>
      <w:bookmarkStart w:id="782" w:name="_Toc31037"/>
      <w:bookmarkEnd w:id="782"/>
      <w:bookmarkStart w:id="783" w:name="_Toc15813"/>
      <w:bookmarkEnd w:id="783"/>
      <w:bookmarkStart w:id="784" w:name="_Toc455080158"/>
      <w:bookmarkEnd w:id="784"/>
      <w:bookmarkStart w:id="785" w:name="_Toc152045602"/>
      <w:bookmarkEnd w:id="785"/>
      <w:bookmarkStart w:id="786" w:name="_Toc509667308"/>
      <w:bookmarkEnd w:id="786"/>
      <w:bookmarkStart w:id="787" w:name="_Toc19151"/>
      <w:bookmarkStart w:id="788" w:name="_Toc129073510"/>
      <w:bookmarkStart w:id="789" w:name="_Toc152042379"/>
      <w:r>
        <w:rPr>
          <w:rFonts w:hint="eastAsia" w:ascii="宋体" w:hAnsi="宋体" w:eastAsia="宋体"/>
          <w:color w:val="auto"/>
          <w:sz w:val="21"/>
          <w:szCs w:val="21"/>
        </w:rPr>
        <w:t>2.1 初步评审标准</w:t>
      </w:r>
      <w:bookmarkEnd w:id="787"/>
      <w:bookmarkEnd w:id="788"/>
      <w:bookmarkEnd w:id="789"/>
    </w:p>
    <w:p>
      <w:pPr>
        <w:spacing w:line="360" w:lineRule="auto"/>
        <w:ind w:firstLine="420" w:firstLineChars="200"/>
        <w:rPr>
          <w:rFonts w:ascii="宋体" w:hAnsi="宋体" w:cs="宋体"/>
          <w:color w:val="auto"/>
        </w:rPr>
      </w:pPr>
      <w:r>
        <w:rPr>
          <w:rFonts w:hint="eastAsia" w:ascii="宋体" w:hAnsi="宋体" w:cs="宋体"/>
          <w:color w:val="auto"/>
        </w:rPr>
        <w:t>2.1.1 资格性检查评审标准：见评审办法前附表。</w:t>
      </w:r>
    </w:p>
    <w:p>
      <w:pPr>
        <w:spacing w:line="360" w:lineRule="auto"/>
        <w:ind w:firstLine="420" w:firstLineChars="200"/>
        <w:rPr>
          <w:rFonts w:ascii="宋体" w:hAnsi="宋体" w:cs="宋体"/>
          <w:color w:val="auto"/>
        </w:rPr>
      </w:pPr>
      <w:r>
        <w:rPr>
          <w:rFonts w:hint="eastAsia" w:ascii="宋体" w:hAnsi="宋体" w:cs="宋体"/>
          <w:color w:val="auto"/>
        </w:rPr>
        <w:t>2.1.2 符合性检查评审标准：见评审办法前附表。</w:t>
      </w:r>
    </w:p>
    <w:p>
      <w:pPr>
        <w:pStyle w:val="58"/>
        <w:spacing w:line="360" w:lineRule="auto"/>
        <w:rPr>
          <w:rFonts w:ascii="宋体" w:hAnsi="宋体" w:eastAsia="宋体"/>
          <w:color w:val="auto"/>
          <w:sz w:val="21"/>
          <w:szCs w:val="21"/>
        </w:rPr>
      </w:pPr>
      <w:bookmarkStart w:id="790" w:name="_Toc30189"/>
      <w:bookmarkEnd w:id="790"/>
      <w:bookmarkStart w:id="791" w:name="_Toc11061"/>
      <w:bookmarkEnd w:id="791"/>
      <w:bookmarkStart w:id="792" w:name="_Toc318450725"/>
      <w:bookmarkEnd w:id="792"/>
      <w:bookmarkStart w:id="793" w:name="_Toc144974570"/>
      <w:bookmarkEnd w:id="793"/>
      <w:bookmarkStart w:id="794" w:name="_Toc281405531"/>
      <w:bookmarkEnd w:id="794"/>
      <w:bookmarkStart w:id="795" w:name="_Toc12013"/>
      <w:bookmarkEnd w:id="795"/>
      <w:bookmarkStart w:id="796" w:name="_Toc466298142"/>
      <w:bookmarkEnd w:id="796"/>
      <w:bookmarkStart w:id="797" w:name="_Toc25492"/>
      <w:bookmarkEnd w:id="797"/>
      <w:bookmarkStart w:id="798" w:name="_Toc22439"/>
      <w:bookmarkEnd w:id="798"/>
      <w:bookmarkStart w:id="799" w:name="_Toc152042380"/>
      <w:bookmarkEnd w:id="799"/>
      <w:bookmarkStart w:id="800" w:name="_Toc509667309"/>
      <w:bookmarkEnd w:id="800"/>
      <w:bookmarkStart w:id="801" w:name="_Toc455080159"/>
      <w:bookmarkEnd w:id="801"/>
      <w:bookmarkStart w:id="802" w:name="_Toc152045603"/>
      <w:bookmarkEnd w:id="802"/>
      <w:bookmarkStart w:id="803" w:name="_Toc455867819"/>
      <w:bookmarkEnd w:id="803"/>
      <w:bookmarkStart w:id="804" w:name="_Toc490667878"/>
      <w:bookmarkStart w:id="805" w:name="_Toc7450"/>
      <w:bookmarkStart w:id="806" w:name="_Toc129073511"/>
      <w:r>
        <w:rPr>
          <w:rFonts w:hint="eastAsia" w:ascii="宋体" w:hAnsi="宋体" w:eastAsia="宋体"/>
          <w:color w:val="auto"/>
          <w:sz w:val="21"/>
          <w:szCs w:val="21"/>
        </w:rPr>
        <w:t>2.2 分值构成与评分标准</w:t>
      </w:r>
      <w:bookmarkEnd w:id="804"/>
      <w:bookmarkEnd w:id="805"/>
      <w:bookmarkEnd w:id="806"/>
    </w:p>
    <w:p>
      <w:pPr>
        <w:spacing w:line="360" w:lineRule="auto"/>
        <w:ind w:firstLine="420" w:firstLineChars="200"/>
        <w:rPr>
          <w:rFonts w:ascii="宋体" w:hAnsi="宋体" w:cs="宋体"/>
          <w:color w:val="auto"/>
        </w:rPr>
      </w:pPr>
      <w:r>
        <w:rPr>
          <w:rFonts w:hint="eastAsia" w:ascii="宋体" w:hAnsi="宋体" w:cs="宋体"/>
          <w:color w:val="auto"/>
        </w:rPr>
        <w:t>（1）磋商报价：见评审办法前附表</w:t>
      </w:r>
    </w:p>
    <w:p>
      <w:pPr>
        <w:spacing w:line="360" w:lineRule="auto"/>
        <w:ind w:firstLine="420" w:firstLineChars="200"/>
        <w:rPr>
          <w:rFonts w:ascii="宋体" w:hAnsi="宋体" w:cs="宋体"/>
          <w:color w:val="auto"/>
        </w:rPr>
      </w:pPr>
      <w:r>
        <w:rPr>
          <w:rFonts w:hint="eastAsia" w:ascii="宋体" w:hAnsi="宋体" w:cs="宋体"/>
          <w:color w:val="auto"/>
        </w:rPr>
        <w:t>（2）技术部分：见评审办法前附表；</w:t>
      </w:r>
    </w:p>
    <w:p>
      <w:pPr>
        <w:spacing w:line="360" w:lineRule="auto"/>
        <w:ind w:firstLine="420" w:firstLineChars="200"/>
        <w:rPr>
          <w:rFonts w:ascii="宋体" w:hAnsi="宋体" w:cs="宋体"/>
          <w:color w:val="auto"/>
        </w:rPr>
      </w:pPr>
      <w:r>
        <w:rPr>
          <w:rFonts w:hint="eastAsia" w:ascii="宋体" w:hAnsi="宋体" w:cs="宋体"/>
          <w:color w:val="auto"/>
        </w:rPr>
        <w:t>（3）商务部分：见评审办法前附表；</w:t>
      </w:r>
    </w:p>
    <w:p>
      <w:pPr>
        <w:pStyle w:val="57"/>
        <w:rPr>
          <w:color w:val="auto"/>
        </w:rPr>
      </w:pPr>
      <w:bookmarkStart w:id="807" w:name="_Toc318450726"/>
      <w:bookmarkEnd w:id="807"/>
      <w:bookmarkStart w:id="808" w:name="_Toc509667310"/>
      <w:bookmarkEnd w:id="808"/>
      <w:bookmarkStart w:id="809" w:name="_Toc466298143"/>
      <w:bookmarkEnd w:id="809"/>
      <w:bookmarkStart w:id="810" w:name="_Toc455080160"/>
      <w:bookmarkEnd w:id="810"/>
      <w:bookmarkStart w:id="811" w:name="_Toc17308"/>
      <w:bookmarkEnd w:id="811"/>
      <w:bookmarkStart w:id="812" w:name="_Toc490667879"/>
      <w:bookmarkEnd w:id="812"/>
      <w:bookmarkStart w:id="813" w:name="_Toc281405532"/>
      <w:bookmarkEnd w:id="813"/>
      <w:bookmarkStart w:id="814" w:name="_Toc455867820"/>
      <w:bookmarkEnd w:id="814"/>
      <w:bookmarkStart w:id="815" w:name="_Toc129073512"/>
      <w:bookmarkStart w:id="816" w:name="_Toc25244"/>
      <w:bookmarkStart w:id="817" w:name="_Toc3562"/>
      <w:bookmarkStart w:id="818" w:name="_Toc2305"/>
      <w:bookmarkStart w:id="819" w:name="_Toc4465"/>
      <w:bookmarkStart w:id="820" w:name="_Toc18998"/>
      <w:bookmarkStart w:id="821" w:name="_Toc16853"/>
      <w:r>
        <w:rPr>
          <w:rFonts w:hint="eastAsia"/>
          <w:color w:val="auto"/>
        </w:rPr>
        <w:t>3. 磋商程序</w:t>
      </w:r>
      <w:bookmarkEnd w:id="815"/>
      <w:bookmarkEnd w:id="816"/>
      <w:bookmarkEnd w:id="817"/>
      <w:bookmarkEnd w:id="818"/>
      <w:bookmarkEnd w:id="819"/>
      <w:bookmarkEnd w:id="820"/>
      <w:bookmarkEnd w:id="821"/>
    </w:p>
    <w:p>
      <w:pPr>
        <w:pStyle w:val="58"/>
        <w:spacing w:line="360" w:lineRule="auto"/>
        <w:rPr>
          <w:rFonts w:ascii="宋体" w:hAnsi="宋体" w:eastAsia="宋体"/>
          <w:color w:val="auto"/>
          <w:kern w:val="2"/>
          <w:sz w:val="21"/>
          <w:szCs w:val="21"/>
        </w:rPr>
      </w:pPr>
      <w:bookmarkStart w:id="822" w:name="_Toc281405533"/>
      <w:bookmarkEnd w:id="822"/>
      <w:bookmarkStart w:id="823" w:name="_Toc30986"/>
      <w:bookmarkEnd w:id="823"/>
      <w:bookmarkStart w:id="824" w:name="_Toc29614"/>
      <w:bookmarkEnd w:id="824"/>
      <w:bookmarkStart w:id="825" w:name="_Toc18886"/>
      <w:bookmarkEnd w:id="825"/>
      <w:bookmarkStart w:id="826" w:name="_Toc509667311"/>
      <w:bookmarkEnd w:id="826"/>
      <w:bookmarkStart w:id="827" w:name="_Toc318450727"/>
      <w:bookmarkEnd w:id="827"/>
      <w:bookmarkStart w:id="828" w:name="_Toc490667880"/>
      <w:bookmarkEnd w:id="828"/>
      <w:bookmarkStart w:id="829" w:name="_Toc466298144"/>
      <w:bookmarkEnd w:id="829"/>
      <w:bookmarkStart w:id="830" w:name="_Toc7272"/>
      <w:bookmarkEnd w:id="830"/>
      <w:bookmarkStart w:id="831" w:name="_Toc14633"/>
      <w:bookmarkEnd w:id="831"/>
      <w:bookmarkStart w:id="832" w:name="_Toc455867821"/>
      <w:bookmarkEnd w:id="832"/>
      <w:bookmarkStart w:id="833" w:name="_Toc455080161"/>
      <w:bookmarkEnd w:id="833"/>
      <w:bookmarkStart w:id="834" w:name="_Toc129073513"/>
      <w:bookmarkStart w:id="835" w:name="_Toc5427"/>
      <w:bookmarkStart w:id="836" w:name="_Toc29587"/>
      <w:r>
        <w:rPr>
          <w:rFonts w:hint="eastAsia" w:ascii="宋体" w:hAnsi="宋体" w:eastAsia="宋体"/>
          <w:color w:val="auto"/>
          <w:sz w:val="21"/>
          <w:szCs w:val="21"/>
        </w:rPr>
        <w:t>3.1 初步评审</w:t>
      </w:r>
      <w:bookmarkEnd w:id="834"/>
      <w:bookmarkEnd w:id="835"/>
      <w:r>
        <w:rPr>
          <w:rFonts w:hint="eastAsia" w:ascii="宋体" w:hAnsi="宋体" w:eastAsia="宋体"/>
          <w:color w:val="auto"/>
          <w:kern w:val="2"/>
          <w:sz w:val="21"/>
          <w:szCs w:val="21"/>
        </w:rPr>
        <w:t>（资格性审查、符合性审查）</w:t>
      </w:r>
      <w:bookmarkEnd w:id="836"/>
    </w:p>
    <w:p>
      <w:pPr>
        <w:spacing w:line="360" w:lineRule="auto"/>
        <w:ind w:firstLine="420" w:firstLineChars="200"/>
        <w:rPr>
          <w:rFonts w:ascii="宋体" w:hAnsi="宋体" w:cs="宋体"/>
          <w:color w:val="auto"/>
        </w:rPr>
      </w:pPr>
      <w:r>
        <w:rPr>
          <w:rFonts w:hint="eastAsia" w:ascii="宋体" w:hAnsi="宋体" w:cs="宋体"/>
          <w:color w:val="auto"/>
        </w:rPr>
        <w:t>3.1.1 磋商小组依据本章第2.1款规定的标准对响应文件进行初步评审。有一项不符合评审标准的，作无效响应处理。</w:t>
      </w:r>
    </w:p>
    <w:p>
      <w:pPr>
        <w:spacing w:line="360" w:lineRule="auto"/>
        <w:ind w:firstLine="420" w:firstLineChars="200"/>
        <w:rPr>
          <w:rFonts w:ascii="宋体" w:hAnsi="宋体" w:cs="宋体"/>
          <w:color w:val="auto"/>
        </w:rPr>
      </w:pPr>
      <w:r>
        <w:rPr>
          <w:rFonts w:hint="eastAsia" w:ascii="宋体" w:hAnsi="宋体" w:cs="宋体"/>
          <w:color w:val="auto"/>
        </w:rPr>
        <w:t>3.1.2 供应商有以下情形之一的，其响应文件作无效处理：</w:t>
      </w:r>
    </w:p>
    <w:p>
      <w:pPr>
        <w:spacing w:line="360" w:lineRule="auto"/>
        <w:ind w:firstLine="420" w:firstLineChars="200"/>
        <w:rPr>
          <w:rFonts w:ascii="宋体" w:hAnsi="宋体" w:cs="宋体"/>
          <w:color w:val="auto"/>
        </w:rPr>
      </w:pPr>
      <w:r>
        <w:rPr>
          <w:rFonts w:hint="eastAsia" w:ascii="宋体" w:hAnsi="宋体" w:cs="宋体"/>
          <w:color w:val="auto"/>
        </w:rPr>
        <w:t>（1）串通或弄虚作假或有其他违法行为的；</w:t>
      </w:r>
    </w:p>
    <w:p>
      <w:pPr>
        <w:spacing w:line="360" w:lineRule="auto"/>
        <w:ind w:firstLine="420" w:firstLineChars="200"/>
        <w:rPr>
          <w:rFonts w:ascii="宋体" w:hAnsi="宋体" w:cs="宋体"/>
          <w:color w:val="auto"/>
        </w:rPr>
      </w:pPr>
      <w:r>
        <w:rPr>
          <w:rFonts w:hint="eastAsia" w:ascii="宋体" w:hAnsi="宋体" w:cs="宋体"/>
          <w:color w:val="auto"/>
        </w:rPr>
        <w:t>（2）不按磋商小组要求澄清、说明或补正的；</w:t>
      </w:r>
    </w:p>
    <w:p>
      <w:pPr>
        <w:spacing w:line="360" w:lineRule="auto"/>
        <w:ind w:firstLine="420" w:firstLineChars="200"/>
        <w:rPr>
          <w:rFonts w:ascii="宋体" w:hAnsi="宋体" w:cs="宋体"/>
          <w:color w:val="auto"/>
        </w:rPr>
      </w:pPr>
      <w:r>
        <w:rPr>
          <w:rFonts w:hint="eastAsia" w:ascii="宋体" w:hAnsi="宋体" w:cs="宋体"/>
          <w:color w:val="auto"/>
        </w:rPr>
        <w:t>（3）未按规定格式填写、内容不全或关键字迹模糊、无法辨认的；</w:t>
      </w:r>
    </w:p>
    <w:p>
      <w:pPr>
        <w:spacing w:line="360" w:lineRule="auto"/>
        <w:ind w:firstLine="420" w:firstLineChars="200"/>
        <w:rPr>
          <w:rFonts w:ascii="宋体" w:hAnsi="宋体" w:cs="宋体"/>
          <w:color w:val="auto"/>
        </w:rPr>
      </w:pPr>
      <w:r>
        <w:rPr>
          <w:rFonts w:hint="eastAsia" w:ascii="宋体" w:hAnsi="宋体" w:cs="宋体"/>
          <w:color w:val="auto"/>
        </w:rPr>
        <w:t>（4）响应文件附有采购人不能接受的条件；</w:t>
      </w:r>
    </w:p>
    <w:p>
      <w:pPr>
        <w:spacing w:line="360" w:lineRule="auto"/>
        <w:ind w:firstLine="420" w:firstLineChars="200"/>
        <w:rPr>
          <w:rFonts w:ascii="宋体" w:hAnsi="宋体" w:cs="宋体"/>
          <w:color w:val="auto"/>
        </w:rPr>
      </w:pPr>
      <w:r>
        <w:rPr>
          <w:rFonts w:hint="eastAsia" w:ascii="宋体" w:hAnsi="宋体" w:cs="宋体"/>
          <w:color w:val="auto"/>
        </w:rPr>
        <w:t>（5）不符合磋商文件规定的其他实质性要求。</w:t>
      </w:r>
    </w:p>
    <w:p>
      <w:pPr>
        <w:spacing w:line="360" w:lineRule="auto"/>
        <w:ind w:firstLine="420" w:firstLineChars="200"/>
        <w:rPr>
          <w:rFonts w:ascii="宋体" w:hAnsi="宋体" w:cs="宋体"/>
          <w:color w:val="auto"/>
        </w:rPr>
      </w:pPr>
      <w:r>
        <w:rPr>
          <w:rFonts w:hint="eastAsia" w:ascii="宋体" w:hAnsi="宋体" w:cs="宋体"/>
          <w:color w:val="auto"/>
        </w:rPr>
        <w:t>3.1.3 响应文件报价出现前后不一致的，按照下列规定修正：</w:t>
      </w:r>
    </w:p>
    <w:p>
      <w:pPr>
        <w:spacing w:line="360" w:lineRule="auto"/>
        <w:ind w:firstLine="420" w:firstLineChars="200"/>
        <w:rPr>
          <w:rFonts w:ascii="宋体" w:hAnsi="宋体" w:cs="宋体"/>
          <w:color w:val="auto"/>
        </w:rPr>
      </w:pPr>
      <w:r>
        <w:rPr>
          <w:rFonts w:hint="eastAsia" w:ascii="宋体" w:hAnsi="宋体" w:cs="宋体"/>
          <w:color w:val="auto"/>
        </w:rPr>
        <w:t>（一）响应文件中磋商函附录（报价表）内容与响应文件中相应内容不一致的，以磋商函附录（报价表）为准；</w:t>
      </w:r>
    </w:p>
    <w:p>
      <w:pPr>
        <w:spacing w:line="360" w:lineRule="auto"/>
        <w:ind w:firstLine="420" w:firstLineChars="200"/>
        <w:rPr>
          <w:rFonts w:ascii="宋体" w:hAnsi="宋体" w:cs="宋体"/>
          <w:color w:val="auto"/>
        </w:rPr>
      </w:pPr>
      <w:r>
        <w:rPr>
          <w:rFonts w:hint="eastAsia" w:ascii="宋体" w:hAnsi="宋体" w:cs="宋体"/>
          <w:color w:val="auto"/>
        </w:rPr>
        <w:t>（二）大写金额和小写金额不一致的，以大写金额为准；</w:t>
      </w:r>
    </w:p>
    <w:p>
      <w:pPr>
        <w:spacing w:line="360" w:lineRule="auto"/>
        <w:ind w:firstLine="420" w:firstLineChars="200"/>
        <w:rPr>
          <w:rFonts w:ascii="宋体" w:hAnsi="宋体" w:cs="宋体"/>
          <w:color w:val="auto"/>
        </w:rPr>
      </w:pPr>
      <w:r>
        <w:rPr>
          <w:rFonts w:hint="eastAsia" w:ascii="宋体" w:hAnsi="宋体" w:cs="宋体"/>
          <w:color w:val="auto"/>
        </w:rPr>
        <w:t>（三）单价金额小数点或者百分比有明显错位的，以磋商函附录的总价为准，并修改单价；</w:t>
      </w:r>
    </w:p>
    <w:p>
      <w:pPr>
        <w:spacing w:line="360" w:lineRule="auto"/>
        <w:ind w:firstLine="420" w:firstLineChars="200"/>
        <w:rPr>
          <w:rFonts w:ascii="宋体" w:hAnsi="宋体" w:cs="宋体"/>
          <w:color w:val="auto"/>
        </w:rPr>
      </w:pPr>
      <w:r>
        <w:rPr>
          <w:rFonts w:hint="eastAsia" w:ascii="宋体" w:hAnsi="宋体" w:cs="宋体"/>
          <w:color w:val="auto"/>
        </w:rPr>
        <w:t>（四）总价金额与按单价汇总金额不一致的，以单价金额计算结果为准。</w:t>
      </w:r>
    </w:p>
    <w:p>
      <w:pPr>
        <w:spacing w:line="360" w:lineRule="auto"/>
        <w:ind w:firstLine="420" w:firstLineChars="200"/>
        <w:rPr>
          <w:rFonts w:ascii="宋体" w:hAnsi="宋体" w:cs="宋体"/>
          <w:color w:val="auto"/>
        </w:rPr>
      </w:pPr>
      <w:r>
        <w:rPr>
          <w:rFonts w:hint="eastAsia" w:ascii="宋体" w:hAnsi="宋体" w:cs="宋体"/>
          <w:color w:val="auto"/>
        </w:rPr>
        <w:t>同时出现两种以上不一致的，按照前款规定的顺序修正。</w:t>
      </w:r>
    </w:p>
    <w:p>
      <w:pPr>
        <w:pStyle w:val="58"/>
        <w:spacing w:line="360" w:lineRule="auto"/>
        <w:rPr>
          <w:rFonts w:ascii="宋体" w:hAnsi="宋体" w:eastAsia="宋体"/>
          <w:color w:val="auto"/>
          <w:sz w:val="21"/>
          <w:szCs w:val="21"/>
        </w:rPr>
      </w:pPr>
      <w:bookmarkStart w:id="837" w:name="_Toc318450728"/>
      <w:bookmarkEnd w:id="837"/>
      <w:bookmarkStart w:id="838" w:name="_Toc12406"/>
      <w:bookmarkEnd w:id="838"/>
      <w:bookmarkStart w:id="839" w:name="_Toc10692"/>
      <w:bookmarkEnd w:id="839"/>
      <w:bookmarkStart w:id="840" w:name="_Toc490667881"/>
      <w:bookmarkEnd w:id="840"/>
      <w:bookmarkStart w:id="841" w:name="_Toc7121"/>
      <w:bookmarkEnd w:id="841"/>
      <w:bookmarkStart w:id="842" w:name="_Toc281405534"/>
      <w:bookmarkEnd w:id="842"/>
      <w:bookmarkStart w:id="843" w:name="_Toc455080162"/>
      <w:bookmarkEnd w:id="843"/>
      <w:bookmarkStart w:id="844" w:name="_Toc509667312"/>
      <w:bookmarkEnd w:id="844"/>
      <w:bookmarkStart w:id="845" w:name="_Toc466298145"/>
      <w:bookmarkEnd w:id="845"/>
      <w:bookmarkStart w:id="846" w:name="_Toc21032"/>
      <w:bookmarkEnd w:id="846"/>
      <w:bookmarkStart w:id="847" w:name="_Toc455867822"/>
      <w:bookmarkEnd w:id="847"/>
      <w:bookmarkStart w:id="848" w:name="_Toc21570"/>
      <w:bookmarkEnd w:id="848"/>
      <w:bookmarkStart w:id="849" w:name="_Toc3258"/>
      <w:bookmarkStart w:id="850" w:name="_Toc129073514"/>
      <w:bookmarkStart w:id="851" w:name="_Toc26049"/>
      <w:r>
        <w:rPr>
          <w:rFonts w:hint="eastAsia" w:ascii="宋体" w:hAnsi="宋体" w:eastAsia="宋体"/>
          <w:color w:val="auto"/>
          <w:sz w:val="21"/>
          <w:szCs w:val="21"/>
        </w:rPr>
        <w:t>3.2 磋商及详细评审</w:t>
      </w:r>
      <w:bookmarkEnd w:id="849"/>
      <w:bookmarkEnd w:id="850"/>
      <w:bookmarkEnd w:id="851"/>
    </w:p>
    <w:p>
      <w:pPr>
        <w:adjustRightInd w:val="0"/>
        <w:snapToGrid w:val="0"/>
        <w:spacing w:line="480" w:lineRule="exact"/>
        <w:ind w:firstLine="420" w:firstLineChars="200"/>
        <w:jc w:val="left"/>
        <w:rPr>
          <w:rStyle w:val="69"/>
          <w:rFonts w:ascii="宋体" w:hAnsi="宋体" w:cs="宋体"/>
          <w:b/>
          <w:bCs/>
          <w:color w:val="auto"/>
        </w:rPr>
      </w:pPr>
      <w:r>
        <w:rPr>
          <w:rFonts w:hint="eastAsia" w:ascii="宋体" w:hAnsi="宋体" w:cs="宋体"/>
          <w:color w:val="auto"/>
        </w:rPr>
        <w:t xml:space="preserve">3.2.1 </w:t>
      </w:r>
      <w:r>
        <w:rPr>
          <w:rStyle w:val="69"/>
          <w:rFonts w:hint="eastAsia" w:ascii="宋体" w:hAnsi="宋体" w:cs="宋体"/>
          <w:color w:val="auto"/>
          <w:kern w:val="0"/>
        </w:rPr>
        <w:t>磋商小组</w:t>
      </w:r>
      <w:r>
        <w:rPr>
          <w:rStyle w:val="69"/>
          <w:rFonts w:hint="eastAsia" w:ascii="宋体" w:hAnsi="宋体" w:cs="宋体"/>
          <w:color w:val="auto"/>
        </w:rPr>
        <w:t>要求通过初步评审的供应商进行最终报价（二次报价）。</w:t>
      </w:r>
      <w:r>
        <w:rPr>
          <w:rStyle w:val="69"/>
          <w:rFonts w:hint="eastAsia" w:ascii="宋体" w:hAnsi="宋体" w:cs="宋体"/>
          <w:b/>
          <w:bCs/>
          <w:color w:val="auto"/>
        </w:rPr>
        <w:t>原则上进行两次报价，响应文件中的报价为首次报价，如采购需求无实质性变更，各供应商的报价应逐次降低。供应商应在磋商小组发出报价指令后30分钟内提交最后报价，在规定时间内没有提交最后报价的供应商，作为无效响应处理。</w:t>
      </w:r>
    </w:p>
    <w:p>
      <w:pPr>
        <w:adjustRightInd w:val="0"/>
        <w:snapToGrid w:val="0"/>
        <w:spacing w:line="480" w:lineRule="exact"/>
        <w:ind w:firstLine="420" w:firstLineChars="200"/>
        <w:jc w:val="left"/>
        <w:rPr>
          <w:rStyle w:val="69"/>
          <w:rFonts w:ascii="宋体" w:hAnsi="宋体" w:cs="宋体"/>
          <w:color w:val="auto"/>
        </w:rPr>
      </w:pPr>
      <w:r>
        <w:rPr>
          <w:rStyle w:val="69"/>
          <w:rFonts w:hint="eastAsia" w:ascii="宋体" w:hAnsi="宋体" w:cs="宋体"/>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本项目不适用）</w:t>
      </w:r>
    </w:p>
    <w:p>
      <w:pPr>
        <w:spacing w:line="360" w:lineRule="auto"/>
        <w:ind w:firstLine="420" w:firstLineChars="200"/>
        <w:rPr>
          <w:rFonts w:ascii="宋体" w:hAnsi="宋体" w:cs="宋体"/>
          <w:color w:val="auto"/>
        </w:rPr>
      </w:pPr>
      <w:r>
        <w:rPr>
          <w:rFonts w:hint="eastAsia" w:ascii="宋体" w:hAnsi="宋体" w:cs="宋体"/>
          <w:color w:val="auto"/>
        </w:rPr>
        <w:t>3.2.2磋商小组按本章第2.2款规定的量化因素和分值进行打分，并计算出综合评分得分。</w:t>
      </w:r>
    </w:p>
    <w:p>
      <w:pPr>
        <w:spacing w:line="360" w:lineRule="auto"/>
        <w:ind w:firstLine="480"/>
        <w:rPr>
          <w:rFonts w:ascii="宋体" w:hAnsi="宋体" w:cs="宋体"/>
          <w:color w:val="auto"/>
        </w:rPr>
      </w:pPr>
      <w:r>
        <w:rPr>
          <w:rFonts w:hint="eastAsia" w:ascii="宋体" w:hAnsi="宋体" w:cs="宋体"/>
          <w:color w:val="auto"/>
        </w:rPr>
        <w:t>（1）按本章第 2.2.2（1）目规定的评审因素和分值对磋商报价计算出得分 A；</w:t>
      </w:r>
    </w:p>
    <w:p>
      <w:pPr>
        <w:spacing w:line="360" w:lineRule="auto"/>
        <w:ind w:firstLine="480"/>
        <w:rPr>
          <w:rFonts w:ascii="宋体" w:hAnsi="宋体" w:cs="宋体"/>
          <w:color w:val="auto"/>
        </w:rPr>
      </w:pPr>
      <w:r>
        <w:rPr>
          <w:rFonts w:hint="eastAsia" w:ascii="宋体" w:hAnsi="宋体" w:cs="宋体"/>
          <w:color w:val="auto"/>
        </w:rPr>
        <w:t>（2）按本章第 2.2.2（2）目规定的评审因素和分值对技术部分计算出得分 B；</w:t>
      </w:r>
    </w:p>
    <w:p>
      <w:pPr>
        <w:spacing w:line="360" w:lineRule="auto"/>
        <w:ind w:firstLine="480"/>
        <w:rPr>
          <w:rFonts w:ascii="宋体" w:hAnsi="宋体" w:cs="宋体"/>
          <w:color w:val="auto"/>
        </w:rPr>
      </w:pPr>
      <w:r>
        <w:rPr>
          <w:rFonts w:hint="eastAsia" w:ascii="宋体" w:hAnsi="宋体" w:cs="宋体"/>
          <w:color w:val="auto"/>
        </w:rPr>
        <w:t>（3）按本章第 2.2.2（3）目规定的评审因素和分值对商务部分计算出得分 C；</w:t>
      </w:r>
    </w:p>
    <w:p>
      <w:pPr>
        <w:spacing w:line="360" w:lineRule="auto"/>
        <w:ind w:firstLine="420" w:firstLineChars="200"/>
        <w:rPr>
          <w:rFonts w:ascii="宋体" w:hAnsi="宋体" w:cs="宋体"/>
          <w:color w:val="auto"/>
        </w:rPr>
      </w:pPr>
      <w:r>
        <w:rPr>
          <w:rFonts w:hint="eastAsia" w:ascii="宋体" w:hAnsi="宋体" w:cs="宋体"/>
          <w:color w:val="auto"/>
        </w:rPr>
        <w:t>3.2.3 评分分值计算保留小数点后两位，小数点后第三位“四舍五入”。</w:t>
      </w:r>
    </w:p>
    <w:p>
      <w:pPr>
        <w:spacing w:line="360" w:lineRule="auto"/>
        <w:ind w:firstLine="480"/>
        <w:rPr>
          <w:rFonts w:ascii="宋体" w:hAnsi="宋体" w:cs="宋体"/>
          <w:color w:val="auto"/>
        </w:rPr>
      </w:pPr>
      <w:r>
        <w:rPr>
          <w:rFonts w:hint="eastAsia" w:ascii="宋体" w:hAnsi="宋体" w:cs="宋体"/>
          <w:color w:val="auto"/>
        </w:rPr>
        <w:t>3.2.4 供应商得分=A+B+C。</w:t>
      </w:r>
    </w:p>
    <w:p>
      <w:pPr>
        <w:spacing w:line="360" w:lineRule="auto"/>
        <w:ind w:firstLine="420" w:firstLineChars="200"/>
        <w:rPr>
          <w:rFonts w:ascii="宋体" w:hAnsi="宋体" w:cs="宋体"/>
          <w:color w:val="auto"/>
        </w:rPr>
      </w:pPr>
      <w:r>
        <w:rPr>
          <w:rFonts w:hint="eastAsia" w:ascii="宋体" w:hAnsi="宋体" w:cs="宋体"/>
          <w:color w:val="auto"/>
        </w:rPr>
        <w:t>3.2.5在磋商过程中，凡遇到磋商文件中无界定或界定不清、前后不一致使磋商小组意见有分歧且又难以协商一致的问题，均由磋商小组予以表决，获半数以上同意的即为通过，未获半数同意的即为否决。</w:t>
      </w:r>
    </w:p>
    <w:p>
      <w:pPr>
        <w:pStyle w:val="58"/>
        <w:spacing w:line="360" w:lineRule="auto"/>
        <w:rPr>
          <w:rFonts w:ascii="宋体" w:hAnsi="宋体" w:eastAsia="宋体"/>
          <w:color w:val="auto"/>
          <w:sz w:val="21"/>
          <w:szCs w:val="21"/>
        </w:rPr>
      </w:pPr>
      <w:bookmarkStart w:id="852" w:name="_Toc281405535"/>
      <w:bookmarkEnd w:id="852"/>
      <w:bookmarkStart w:id="853" w:name="_Toc24862"/>
      <w:bookmarkEnd w:id="853"/>
      <w:bookmarkStart w:id="854" w:name="_Toc318450729"/>
      <w:bookmarkEnd w:id="854"/>
      <w:bookmarkStart w:id="855" w:name="_Toc10153"/>
      <w:bookmarkEnd w:id="855"/>
      <w:bookmarkStart w:id="856" w:name="_Toc28633"/>
      <w:bookmarkEnd w:id="856"/>
      <w:bookmarkStart w:id="857" w:name="_Toc509667313"/>
      <w:bookmarkEnd w:id="857"/>
      <w:bookmarkStart w:id="858" w:name="_Toc11958"/>
      <w:bookmarkEnd w:id="858"/>
      <w:bookmarkStart w:id="859" w:name="_Toc455080163"/>
      <w:bookmarkEnd w:id="859"/>
      <w:bookmarkStart w:id="860" w:name="_Toc455867823"/>
      <w:bookmarkEnd w:id="860"/>
      <w:bookmarkStart w:id="861" w:name="_Toc8813"/>
      <w:bookmarkEnd w:id="861"/>
      <w:bookmarkStart w:id="862" w:name="_Toc8342"/>
      <w:bookmarkEnd w:id="862"/>
      <w:bookmarkStart w:id="863" w:name="_Toc466298146"/>
      <w:bookmarkEnd w:id="863"/>
      <w:bookmarkStart w:id="864" w:name="_Toc129073515"/>
      <w:bookmarkStart w:id="865" w:name="_Toc490667882"/>
      <w:bookmarkStart w:id="866" w:name="_Toc19344"/>
      <w:r>
        <w:rPr>
          <w:rFonts w:hint="eastAsia" w:ascii="宋体" w:hAnsi="宋体" w:eastAsia="宋体"/>
          <w:color w:val="auto"/>
          <w:sz w:val="21"/>
          <w:szCs w:val="21"/>
        </w:rPr>
        <w:t>3.3 响应文件的澄清和补正</w:t>
      </w:r>
      <w:bookmarkEnd w:id="864"/>
      <w:bookmarkEnd w:id="865"/>
      <w:bookmarkEnd w:id="866"/>
    </w:p>
    <w:p>
      <w:pPr>
        <w:spacing w:line="360" w:lineRule="auto"/>
        <w:ind w:firstLine="420" w:firstLineChars="200"/>
        <w:rPr>
          <w:rFonts w:ascii="宋体" w:hAnsi="宋体" w:cs="宋体"/>
          <w:color w:val="auto"/>
        </w:rPr>
      </w:pPr>
      <w:r>
        <w:rPr>
          <w:rFonts w:hint="eastAsia" w:ascii="宋体" w:hAnsi="宋体" w:cs="宋体"/>
          <w:color w:val="auto"/>
        </w:rPr>
        <w:t>3.3.1在磋商过程中，磋商小组可以要求供应商对响应文件中含义不明确、同类问题表述不一致或者有明显文字和计算错误的内容或者对细微偏离等作出必要的澄清、说明或者更正。磋商小组不接受供应商主动提出的澄清、说明或补正。</w:t>
      </w:r>
    </w:p>
    <w:p>
      <w:pPr>
        <w:spacing w:line="360" w:lineRule="auto"/>
        <w:ind w:firstLine="420" w:firstLineChars="200"/>
        <w:rPr>
          <w:rFonts w:ascii="宋体" w:hAnsi="宋体" w:cs="宋体"/>
          <w:color w:val="auto"/>
        </w:rPr>
      </w:pPr>
      <w:r>
        <w:rPr>
          <w:rFonts w:hint="eastAsia" w:ascii="宋体" w:hAnsi="宋体" w:cs="宋体"/>
          <w:color w:val="auto"/>
        </w:rPr>
        <w:t>3.3.2 磋商小组对供应商提交的澄清、说明或补正有疑问的，可以要求供应商进一步澄清、说明或补正，直至满足磋商小组的要求。</w:t>
      </w:r>
    </w:p>
    <w:p>
      <w:pPr>
        <w:pStyle w:val="58"/>
        <w:keepNext w:val="0"/>
        <w:keepLines w:val="0"/>
        <w:spacing w:line="360" w:lineRule="auto"/>
        <w:ind w:firstLine="420" w:firstLineChars="200"/>
        <w:rPr>
          <w:rFonts w:ascii="宋体" w:hAnsi="宋体" w:eastAsia="宋体"/>
          <w:color w:val="auto"/>
          <w:sz w:val="21"/>
          <w:szCs w:val="21"/>
        </w:rPr>
      </w:pPr>
      <w:bookmarkStart w:id="867" w:name="_Toc30243"/>
      <w:r>
        <w:rPr>
          <w:rFonts w:hint="eastAsia" w:ascii="宋体" w:hAnsi="宋体" w:eastAsia="宋体"/>
          <w:color w:val="auto"/>
          <w:sz w:val="21"/>
          <w:szCs w:val="21"/>
        </w:rPr>
        <w:t>3.3.4磋商小组要求供应商澄清、说明或者更正响应文件应当以书面形式作出。</w:t>
      </w:r>
      <w:bookmarkEnd w:id="867"/>
    </w:p>
    <w:p>
      <w:pPr>
        <w:pStyle w:val="58"/>
        <w:spacing w:line="360" w:lineRule="auto"/>
        <w:rPr>
          <w:rFonts w:ascii="宋体" w:hAnsi="宋体" w:eastAsia="宋体"/>
          <w:color w:val="auto"/>
          <w:sz w:val="21"/>
          <w:szCs w:val="21"/>
        </w:rPr>
      </w:pPr>
      <w:bookmarkStart w:id="868" w:name="_Toc455867824"/>
      <w:bookmarkEnd w:id="868"/>
      <w:bookmarkStart w:id="869" w:name="_Toc19453"/>
      <w:bookmarkEnd w:id="869"/>
      <w:bookmarkStart w:id="870" w:name="_Toc466298147"/>
      <w:bookmarkEnd w:id="870"/>
      <w:bookmarkStart w:id="871" w:name="_Toc5903"/>
      <w:bookmarkEnd w:id="871"/>
      <w:bookmarkStart w:id="872" w:name="_Toc490667883"/>
      <w:bookmarkEnd w:id="872"/>
      <w:bookmarkStart w:id="873" w:name="_Toc455080164"/>
      <w:bookmarkEnd w:id="873"/>
      <w:bookmarkStart w:id="874" w:name="_Toc509667314"/>
      <w:bookmarkEnd w:id="874"/>
      <w:bookmarkStart w:id="875" w:name="_Toc281405536"/>
      <w:bookmarkEnd w:id="875"/>
      <w:bookmarkStart w:id="876" w:name="_Toc22986"/>
      <w:bookmarkEnd w:id="876"/>
      <w:bookmarkStart w:id="877" w:name="_Toc32183"/>
      <w:bookmarkEnd w:id="877"/>
      <w:bookmarkStart w:id="878" w:name="_Toc318450730"/>
      <w:bookmarkEnd w:id="878"/>
      <w:bookmarkStart w:id="879" w:name="_Toc26894"/>
      <w:bookmarkEnd w:id="879"/>
      <w:bookmarkStart w:id="880" w:name="_Toc28505"/>
      <w:bookmarkStart w:id="881" w:name="_Toc129073516"/>
      <w:bookmarkStart w:id="882" w:name="_Toc1857"/>
      <w:r>
        <w:rPr>
          <w:rFonts w:hint="eastAsia" w:ascii="宋体" w:hAnsi="宋体" w:eastAsia="宋体"/>
          <w:color w:val="auto"/>
          <w:sz w:val="21"/>
          <w:szCs w:val="21"/>
        </w:rPr>
        <w:t>3.4 评审结果</w:t>
      </w:r>
      <w:bookmarkEnd w:id="880"/>
      <w:bookmarkEnd w:id="881"/>
      <w:bookmarkEnd w:id="882"/>
    </w:p>
    <w:p>
      <w:pPr>
        <w:spacing w:line="360" w:lineRule="auto"/>
        <w:ind w:firstLine="420" w:firstLineChars="200"/>
        <w:rPr>
          <w:rFonts w:ascii="宋体" w:hAnsi="宋体" w:cs="宋体"/>
          <w:color w:val="auto"/>
        </w:rPr>
      </w:pPr>
      <w:r>
        <w:rPr>
          <w:rFonts w:hint="eastAsia" w:ascii="宋体" w:hAnsi="宋体" w:cs="宋体"/>
          <w:color w:val="auto"/>
        </w:rPr>
        <w:t>3.4.1除第二章“供应商须知”前附表授权直接确定成交人外，磋商小组按照得分由高到低的顺序推荐成交候选人。</w:t>
      </w:r>
    </w:p>
    <w:p>
      <w:pPr>
        <w:spacing w:line="360" w:lineRule="auto"/>
        <w:rPr>
          <w:rFonts w:ascii="宋体" w:hAnsi="宋体" w:cs="宋体"/>
          <w:color w:val="auto"/>
        </w:rPr>
      </w:pPr>
      <w:r>
        <w:rPr>
          <w:rFonts w:hint="eastAsia" w:ascii="宋体" w:hAnsi="宋体" w:cs="宋体"/>
          <w:color w:val="auto"/>
        </w:rPr>
        <w:t xml:space="preserve">   3.4.2 磋商小组完成评审后，应当向采购人提交书面评审报告。</w:t>
      </w:r>
    </w:p>
    <w:p>
      <w:pPr>
        <w:spacing w:line="360" w:lineRule="auto"/>
        <w:ind w:firstLine="426" w:firstLineChars="202"/>
        <w:jc w:val="left"/>
        <w:rPr>
          <w:rFonts w:ascii="宋体" w:hAnsi="宋体" w:cs="宋体"/>
          <w:b/>
          <w:bCs/>
          <w:color w:val="auto"/>
        </w:rPr>
      </w:pPr>
      <w:r>
        <w:rPr>
          <w:rFonts w:hint="eastAsia" w:ascii="宋体" w:hAnsi="宋体" w:cs="宋体"/>
          <w:b/>
          <w:bCs/>
          <w:color w:val="auto"/>
        </w:rPr>
        <w:t>3.5评标结果汇总完成后，除下列情形外，任何人不得修改评标结果：</w:t>
      </w:r>
    </w:p>
    <w:p>
      <w:pPr>
        <w:spacing w:line="360" w:lineRule="auto"/>
        <w:ind w:firstLine="424" w:firstLineChars="202"/>
        <w:jc w:val="left"/>
        <w:rPr>
          <w:rFonts w:ascii="宋体" w:hAnsi="宋体" w:cs="宋体"/>
          <w:color w:val="auto"/>
        </w:rPr>
      </w:pPr>
      <w:r>
        <w:rPr>
          <w:rFonts w:hint="eastAsia" w:ascii="宋体" w:hAnsi="宋体" w:cs="宋体"/>
          <w:color w:val="auto"/>
        </w:rPr>
        <w:t>1）分值汇总计算错误的；</w:t>
      </w:r>
    </w:p>
    <w:p>
      <w:pPr>
        <w:spacing w:line="360" w:lineRule="auto"/>
        <w:ind w:firstLine="424" w:firstLineChars="202"/>
        <w:jc w:val="left"/>
        <w:rPr>
          <w:rFonts w:ascii="宋体" w:hAnsi="宋体" w:cs="宋体"/>
          <w:color w:val="auto"/>
        </w:rPr>
      </w:pPr>
      <w:r>
        <w:rPr>
          <w:rFonts w:hint="eastAsia" w:ascii="宋体" w:hAnsi="宋体" w:cs="宋体"/>
          <w:color w:val="auto"/>
        </w:rPr>
        <w:t>2）分项评分超出评分标准范围的；</w:t>
      </w:r>
    </w:p>
    <w:p>
      <w:pPr>
        <w:spacing w:line="360" w:lineRule="auto"/>
        <w:ind w:firstLine="424" w:firstLineChars="202"/>
        <w:jc w:val="left"/>
        <w:rPr>
          <w:rFonts w:ascii="宋体" w:hAnsi="宋体" w:cs="宋体"/>
          <w:color w:val="auto"/>
        </w:rPr>
      </w:pPr>
      <w:r>
        <w:rPr>
          <w:rFonts w:hint="eastAsia" w:ascii="宋体" w:hAnsi="宋体" w:cs="宋体"/>
          <w:color w:val="auto"/>
        </w:rPr>
        <w:t>3）磋商小组成员对客观评审因素评分不一致的；</w:t>
      </w:r>
    </w:p>
    <w:p>
      <w:pPr>
        <w:spacing w:line="360" w:lineRule="auto"/>
        <w:ind w:firstLine="424" w:firstLineChars="202"/>
        <w:jc w:val="left"/>
        <w:rPr>
          <w:rFonts w:ascii="宋体" w:hAnsi="宋体" w:cs="宋体"/>
          <w:color w:val="auto"/>
        </w:rPr>
      </w:pPr>
      <w:r>
        <w:rPr>
          <w:rFonts w:hint="eastAsia" w:ascii="宋体" w:hAnsi="宋体" w:cs="宋体"/>
          <w:color w:val="auto"/>
        </w:rPr>
        <w:t>4）经磋商小组认定评分畸高、畸低的。</w:t>
      </w:r>
    </w:p>
    <w:p>
      <w:pPr>
        <w:spacing w:line="360" w:lineRule="auto"/>
        <w:rPr>
          <w:rFonts w:ascii="宋体" w:hAnsi="宋体" w:cs="宋体"/>
          <w:color w:val="auto"/>
        </w:rPr>
      </w:pPr>
      <w:r>
        <w:rPr>
          <w:rFonts w:hint="eastAsia" w:ascii="宋体" w:hAnsi="宋体" w:cs="宋体"/>
          <w:color w:val="auto"/>
        </w:rPr>
        <w:t>评标报告签署前，经复核发现存在以上情形之一的，磋商小组应当当场修改评标结果，并在评标报告中记载；评标报告签署后，采购人或者采购代理机构发现存在以上情形之一的，应当组织原磋商小组进行重新评审。</w:t>
      </w:r>
    </w:p>
    <w:p>
      <w:pPr>
        <w:spacing w:line="360" w:lineRule="auto"/>
        <w:jc w:val="center"/>
        <w:outlineLvl w:val="1"/>
        <w:rPr>
          <w:rFonts w:ascii="宋体" w:hAnsi="宋体"/>
          <w:color w:val="auto"/>
          <w:sz w:val="36"/>
          <w:szCs w:val="36"/>
          <w:highlight w:val="none"/>
        </w:rPr>
      </w:pPr>
      <w:r>
        <w:rPr>
          <w:rFonts w:hint="eastAsia" w:ascii="宋体" w:hAnsi="宋体"/>
          <w:color w:val="auto"/>
          <w:sz w:val="36"/>
          <w:szCs w:val="36"/>
        </w:rPr>
        <w:br w:type="page"/>
      </w:r>
      <w:bookmarkStart w:id="883" w:name="_Toc152042387"/>
      <w:bookmarkEnd w:id="883"/>
      <w:bookmarkStart w:id="884" w:name="_Toc144974577"/>
      <w:bookmarkEnd w:id="884"/>
      <w:bookmarkStart w:id="885" w:name="_Toc152045609"/>
      <w:bookmarkEnd w:id="885"/>
      <w:bookmarkStart w:id="886" w:name="_Toc2239"/>
      <w:bookmarkEnd w:id="886"/>
      <w:bookmarkStart w:id="887" w:name="_Toc509667315"/>
      <w:bookmarkStart w:id="888" w:name="_Toc1618"/>
      <w:bookmarkStart w:id="889" w:name="_Toc129073517"/>
      <w:bookmarkStart w:id="890" w:name="_Toc6404"/>
      <w:bookmarkStart w:id="891" w:name="_Toc26753"/>
      <w:r>
        <w:rPr>
          <w:rFonts w:hint="eastAsia" w:ascii="宋体" w:hAnsi="宋体"/>
          <w:color w:val="auto"/>
          <w:sz w:val="28"/>
          <w:szCs w:val="28"/>
          <w:highlight w:val="none"/>
        </w:rPr>
        <w:t>第四章  合同条款及格式</w:t>
      </w:r>
      <w:bookmarkEnd w:id="887"/>
      <w:bookmarkEnd w:id="888"/>
      <w:bookmarkEnd w:id="889"/>
      <w:bookmarkEnd w:id="890"/>
      <w:bookmarkEnd w:id="891"/>
    </w:p>
    <w:p>
      <w:pPr>
        <w:jc w:val="left"/>
        <w:rPr>
          <w:rFonts w:ascii="宋体" w:hAnsi="宋体"/>
          <w:b/>
          <w:color w:val="auto"/>
          <w:sz w:val="28"/>
          <w:szCs w:val="28"/>
        </w:rPr>
      </w:pPr>
      <w:bookmarkStart w:id="892" w:name="_Toc152045786"/>
      <w:bookmarkEnd w:id="892"/>
      <w:bookmarkStart w:id="893" w:name="_Toc152042575"/>
      <w:bookmarkEnd w:id="893"/>
      <w:bookmarkStart w:id="894" w:name="_Toc144974855"/>
      <w:bookmarkEnd w:id="894"/>
      <w:bookmarkStart w:id="895" w:name="_Toc509667320"/>
      <w:bookmarkEnd w:id="895"/>
    </w:p>
    <w:p>
      <w:pPr>
        <w:jc w:val="left"/>
        <w:rPr>
          <w:rFonts w:ascii="宋体" w:hAnsi="宋体"/>
          <w:b/>
          <w:color w:val="auto"/>
          <w:sz w:val="28"/>
          <w:szCs w:val="28"/>
        </w:rPr>
      </w:pPr>
      <w:r>
        <w:rPr>
          <w:rFonts w:hint="eastAsia" w:ascii="宋体" w:hAnsi="宋体"/>
          <w:b/>
          <w:color w:val="auto"/>
          <w:sz w:val="28"/>
          <w:szCs w:val="28"/>
        </w:rPr>
        <w:t>（GF—2017—0201）</w:t>
      </w:r>
    </w:p>
    <w:p>
      <w:pPr>
        <w:jc w:val="center"/>
        <w:rPr>
          <w:rFonts w:ascii="宋体" w:hAnsi="宋体"/>
          <w:b/>
          <w:color w:val="auto"/>
          <w:sz w:val="52"/>
          <w:szCs w:val="52"/>
        </w:rPr>
      </w:pPr>
    </w:p>
    <w:p>
      <w:pPr>
        <w:jc w:val="center"/>
        <w:rPr>
          <w:rFonts w:ascii="宋体" w:hAnsi="宋体"/>
          <w:b/>
          <w:color w:val="auto"/>
          <w:sz w:val="52"/>
          <w:szCs w:val="52"/>
        </w:rPr>
      </w:pPr>
    </w:p>
    <w:p>
      <w:pPr>
        <w:jc w:val="center"/>
        <w:rPr>
          <w:rFonts w:ascii="宋体" w:hAnsi="宋体"/>
          <w:b/>
          <w:color w:val="auto"/>
          <w:sz w:val="72"/>
          <w:szCs w:val="72"/>
        </w:rPr>
      </w:pPr>
      <w:r>
        <w:rPr>
          <w:rFonts w:hint="eastAsia" w:ascii="宋体" w:hAnsi="宋体"/>
          <w:b/>
          <w:color w:val="auto"/>
          <w:sz w:val="72"/>
          <w:szCs w:val="72"/>
        </w:rPr>
        <w:t>建设工程施工合同</w:t>
      </w:r>
    </w:p>
    <w:p>
      <w:pPr>
        <w:jc w:val="center"/>
        <w:rPr>
          <w:rFonts w:ascii="宋体" w:hAnsi="宋体"/>
          <w:b/>
          <w:color w:val="auto"/>
          <w:sz w:val="52"/>
          <w:szCs w:val="52"/>
        </w:rPr>
      </w:pPr>
    </w:p>
    <w:p>
      <w:pPr>
        <w:jc w:val="center"/>
        <w:rPr>
          <w:rFonts w:ascii="宋体" w:hAnsi="宋体"/>
          <w:b/>
          <w:color w:val="auto"/>
          <w:sz w:val="72"/>
          <w:szCs w:val="72"/>
        </w:rPr>
      </w:pPr>
    </w:p>
    <w:p>
      <w:pPr>
        <w:jc w:val="center"/>
        <w:rPr>
          <w:rFonts w:ascii="宋体" w:hAnsi="宋体"/>
          <w:b/>
          <w:color w:val="auto"/>
          <w:sz w:val="72"/>
          <w:szCs w:val="72"/>
        </w:rPr>
      </w:pPr>
    </w:p>
    <w:p>
      <w:pPr>
        <w:rPr>
          <w:rFonts w:ascii="宋体" w:hAnsi="宋体"/>
          <w:b/>
          <w:color w:val="auto"/>
          <w:sz w:val="28"/>
          <w:szCs w:val="28"/>
        </w:rPr>
      </w:pPr>
    </w:p>
    <w:p>
      <w:pPr>
        <w:rPr>
          <w:rFonts w:ascii="宋体" w:hAnsi="宋体"/>
          <w:b/>
          <w:color w:val="auto"/>
          <w:sz w:val="28"/>
          <w:szCs w:val="28"/>
        </w:rPr>
      </w:pPr>
    </w:p>
    <w:p>
      <w:pPr>
        <w:rPr>
          <w:rFonts w:ascii="宋体" w:hAnsi="宋体"/>
          <w:b/>
          <w:color w:val="auto"/>
          <w:sz w:val="28"/>
          <w:szCs w:val="28"/>
        </w:rPr>
      </w:pPr>
    </w:p>
    <w:p>
      <w:pPr>
        <w:rPr>
          <w:rFonts w:ascii="宋体" w:hAnsi="宋体"/>
          <w:color w:val="auto"/>
        </w:rPr>
      </w:pPr>
    </w:p>
    <w:p>
      <w:pPr>
        <w:rPr>
          <w:rFonts w:ascii="宋体" w:hAnsi="宋体"/>
          <w:b/>
          <w:color w:val="auto"/>
          <w:sz w:val="28"/>
          <w:szCs w:val="28"/>
        </w:rPr>
      </w:pPr>
    </w:p>
    <w:p>
      <w:pPr>
        <w:rPr>
          <w:rFonts w:ascii="宋体" w:hAnsi="宋体"/>
          <w:b/>
          <w:color w:val="auto"/>
          <w:sz w:val="28"/>
          <w:szCs w:val="28"/>
        </w:rPr>
      </w:pPr>
    </w:p>
    <w:p>
      <w:pPr>
        <w:ind w:right="2719" w:rightChars="1295" w:firstLine="2570" w:firstLineChars="800"/>
        <w:rPr>
          <w:rFonts w:ascii="宋体" w:hAnsi="宋体"/>
          <w:b/>
          <w:color w:val="auto"/>
          <w:sz w:val="32"/>
          <w:szCs w:val="32"/>
        </w:rPr>
      </w:pPr>
      <w:r>
        <w:rPr>
          <w:rFonts w:hint="eastAsia" w:ascii="宋体" w:hAnsi="宋体"/>
          <w:b/>
          <w:color w:val="auto"/>
          <w:sz w:val="32"/>
          <w:szCs w:val="32"/>
        </w:rPr>
        <w:t xml:space="preserve">住房城乡建设部  </w:t>
      </w:r>
    </w:p>
    <w:p>
      <w:pPr>
        <w:tabs>
          <w:tab w:val="left" w:pos="7980"/>
        </w:tabs>
        <w:ind w:right="1344" w:rightChars="640"/>
        <w:jc w:val="center"/>
        <w:rPr>
          <w:rFonts w:ascii="宋体" w:hAnsi="宋体"/>
          <w:b/>
          <w:color w:val="auto"/>
          <w:sz w:val="32"/>
          <w:szCs w:val="32"/>
        </w:rPr>
      </w:pPr>
      <w:r>
        <w:rPr>
          <w:rFonts w:hint="eastAsia" w:ascii="宋体" w:hAnsi="宋体"/>
          <w:b/>
          <w:color w:val="auto"/>
          <w:sz w:val="32"/>
          <w:szCs w:val="32"/>
        </w:rPr>
        <w:t xml:space="preserve">                                     制定</w:t>
      </w:r>
    </w:p>
    <w:p>
      <w:pPr>
        <w:ind w:right="2203" w:rightChars="1049" w:firstLine="2570" w:firstLineChars="800"/>
        <w:rPr>
          <w:rFonts w:ascii="宋体" w:hAnsi="宋体"/>
          <w:b/>
          <w:color w:val="auto"/>
          <w:sz w:val="32"/>
          <w:szCs w:val="32"/>
        </w:rPr>
      </w:pPr>
      <w:r>
        <w:rPr>
          <w:rFonts w:hint="eastAsia" w:ascii="宋体" w:hAnsi="宋体"/>
          <w:b/>
          <w:color w:val="auto"/>
          <w:sz w:val="32"/>
          <w:szCs w:val="32"/>
        </w:rPr>
        <w:t>国家工商行政管理总局</w:t>
      </w:r>
    </w:p>
    <w:p>
      <w:pPr>
        <w:ind w:right="2203" w:rightChars="1049" w:firstLine="2750" w:firstLineChars="856"/>
        <w:jc w:val="distribute"/>
        <w:rPr>
          <w:rFonts w:ascii="宋体" w:hAnsi="宋体"/>
          <w:b/>
          <w:color w:val="auto"/>
          <w:sz w:val="32"/>
          <w:szCs w:val="32"/>
        </w:rPr>
      </w:pPr>
    </w:p>
    <w:p>
      <w:pPr>
        <w:jc w:val="center"/>
        <w:rPr>
          <w:rFonts w:ascii="宋体" w:hAnsi="宋体"/>
          <w:color w:val="auto"/>
          <w:sz w:val="30"/>
          <w:szCs w:val="30"/>
        </w:rPr>
      </w:pPr>
      <w:r>
        <w:rPr>
          <w:rFonts w:hint="eastAsia" w:ascii="宋体" w:hAnsi="宋体"/>
          <w:color w:val="auto"/>
          <w:sz w:val="30"/>
          <w:szCs w:val="30"/>
        </w:rPr>
        <w:br w:type="page"/>
      </w:r>
    </w:p>
    <w:p>
      <w:pPr>
        <w:pStyle w:val="3"/>
        <w:rPr>
          <w:bCs/>
          <w:color w:val="auto"/>
        </w:rPr>
      </w:pPr>
      <w:bookmarkStart w:id="896" w:name="_Toc21843"/>
      <w:bookmarkEnd w:id="896"/>
      <w:bookmarkStart w:id="897" w:name="_Toc5114"/>
      <w:bookmarkEnd w:id="897"/>
      <w:bookmarkStart w:id="898" w:name="_Toc11971"/>
      <w:bookmarkStart w:id="899" w:name="_Toc20059"/>
      <w:bookmarkStart w:id="900" w:name="_Toc13133"/>
      <w:bookmarkStart w:id="901" w:name="_Toc30934"/>
      <w:bookmarkStart w:id="902" w:name="_Toc18216"/>
      <w:bookmarkStart w:id="903" w:name="_Toc12317"/>
      <w:bookmarkStart w:id="904" w:name="_Toc129073518"/>
      <w:r>
        <w:rPr>
          <w:rFonts w:hint="eastAsia"/>
          <w:color w:val="auto"/>
        </w:rPr>
        <w:t>第一部分 合同协议书</w:t>
      </w:r>
      <w:bookmarkEnd w:id="898"/>
      <w:bookmarkEnd w:id="899"/>
      <w:bookmarkEnd w:id="900"/>
      <w:bookmarkEnd w:id="901"/>
      <w:bookmarkEnd w:id="902"/>
      <w:bookmarkEnd w:id="903"/>
      <w:bookmarkEnd w:id="904"/>
    </w:p>
    <w:p>
      <w:pPr>
        <w:spacing w:line="360" w:lineRule="auto"/>
        <w:rPr>
          <w:rFonts w:ascii="宋体" w:hAnsi="宋体"/>
          <w:b/>
          <w:color w:val="auto"/>
          <w:u w:val="single"/>
        </w:rPr>
      </w:pPr>
      <w:r>
        <w:rPr>
          <w:rFonts w:hint="eastAsia" w:ascii="宋体" w:hAnsi="宋体"/>
          <w:b/>
          <w:color w:val="auto"/>
        </w:rPr>
        <w:t>发包人（全称）：</w:t>
      </w:r>
      <w:r>
        <w:rPr>
          <w:rFonts w:hint="eastAsia" w:ascii="宋体" w:hAnsi="宋体"/>
          <w:b/>
          <w:color w:val="auto"/>
          <w:u w:val="single"/>
        </w:rPr>
        <w:t>邓州市人民法院 </w:t>
      </w:r>
    </w:p>
    <w:p>
      <w:pPr>
        <w:spacing w:line="360" w:lineRule="auto"/>
        <w:rPr>
          <w:rFonts w:ascii="宋体" w:hAnsi="宋体"/>
          <w:b/>
          <w:color w:val="auto"/>
          <w:u w:val="single"/>
        </w:rPr>
      </w:pPr>
      <w:r>
        <w:rPr>
          <w:rFonts w:hint="eastAsia" w:ascii="宋体" w:hAnsi="宋体"/>
          <w:b/>
          <w:color w:val="auto"/>
        </w:rPr>
        <w:t>承包人（全称）：</w:t>
      </w:r>
      <w:r>
        <w:rPr>
          <w:rFonts w:hint="eastAsia" w:ascii="宋体" w:hAnsi="宋体"/>
          <w:b/>
          <w:color w:val="auto"/>
          <w:u w:val="single"/>
        </w:rPr>
        <w:t xml:space="preserve">                   </w:t>
      </w:r>
    </w:p>
    <w:p>
      <w:pPr>
        <w:spacing w:line="360" w:lineRule="auto"/>
        <w:ind w:firstLine="420" w:firstLineChars="200"/>
        <w:rPr>
          <w:rFonts w:ascii="宋体" w:hAnsi="宋体"/>
          <w:color w:val="auto"/>
        </w:rPr>
      </w:pPr>
      <w:r>
        <w:rPr>
          <w:rFonts w:hint="eastAsia" w:ascii="宋体" w:hAnsi="宋体"/>
          <w:color w:val="auto"/>
        </w:rPr>
        <w:t>根据《中华人民共和国民法典》、《中华人民共和国建筑法》及有关法律规定，遵循平等、自愿、公平和诚实信用的原则，双方就</w:t>
      </w:r>
      <w:r>
        <w:rPr>
          <w:rFonts w:hint="eastAsia" w:ascii="宋体" w:hAnsi="宋体"/>
          <w:color w:val="auto"/>
          <w:u w:val="single"/>
        </w:rPr>
        <w:t xml:space="preserve"> 邓州市人民法院审判法庭和青少年法治教育基地综合布线项目 </w:t>
      </w:r>
      <w:r>
        <w:rPr>
          <w:rFonts w:hint="eastAsia" w:ascii="宋体" w:hAnsi="宋体"/>
          <w:color w:val="auto"/>
        </w:rPr>
        <w:t>及有关事项协商一致，共同达成如下协议：</w:t>
      </w:r>
    </w:p>
    <w:p>
      <w:pPr>
        <w:pStyle w:val="5"/>
        <w:spacing w:before="120" w:after="120" w:line="360" w:lineRule="auto"/>
        <w:rPr>
          <w:rFonts w:ascii="宋体" w:hAnsi="宋体" w:eastAsia="宋体"/>
          <w:bCs w:val="0"/>
          <w:color w:val="auto"/>
          <w:sz w:val="21"/>
          <w:szCs w:val="21"/>
        </w:rPr>
      </w:pPr>
      <w:bookmarkStart w:id="905" w:name="_Toc351203481"/>
      <w:bookmarkEnd w:id="905"/>
      <w:r>
        <w:rPr>
          <w:rFonts w:hint="eastAsia" w:ascii="宋体" w:hAnsi="宋体" w:eastAsia="宋体"/>
          <w:bCs w:val="0"/>
          <w:color w:val="auto"/>
          <w:sz w:val="21"/>
          <w:szCs w:val="21"/>
        </w:rPr>
        <w:t>一、工程概况</w:t>
      </w:r>
    </w:p>
    <w:p>
      <w:pPr>
        <w:spacing w:line="360" w:lineRule="auto"/>
        <w:ind w:firstLine="411" w:firstLineChars="196"/>
        <w:rPr>
          <w:rFonts w:ascii="宋体" w:hAnsi="宋体"/>
          <w:color w:val="auto"/>
          <w:u w:val="single"/>
        </w:rPr>
      </w:pPr>
      <w:r>
        <w:rPr>
          <w:rFonts w:hint="eastAsia" w:ascii="宋体" w:hAnsi="宋体"/>
          <w:bCs/>
          <w:color w:val="auto"/>
        </w:rPr>
        <w:t>1.工程名称</w:t>
      </w:r>
      <w:r>
        <w:rPr>
          <w:rFonts w:hint="eastAsia" w:ascii="宋体" w:hAnsi="宋体"/>
          <w:color w:val="auto"/>
        </w:rPr>
        <w:t>：</w:t>
      </w:r>
      <w:r>
        <w:rPr>
          <w:rFonts w:hint="eastAsia" w:ascii="宋体" w:hAnsi="宋体"/>
          <w:color w:val="auto"/>
          <w:u w:val="single"/>
        </w:rPr>
        <w:t>邓州市人民法院审判法庭和青少年法治教育基地综合布线项目</w:t>
      </w:r>
      <w:r>
        <w:rPr>
          <w:rFonts w:hint="eastAsia" w:ascii="宋体" w:hAnsi="宋体"/>
          <w:color w:val="auto"/>
        </w:rPr>
        <w:t>。</w:t>
      </w:r>
    </w:p>
    <w:p>
      <w:pPr>
        <w:spacing w:line="360" w:lineRule="auto"/>
        <w:ind w:firstLine="411" w:firstLineChars="196"/>
        <w:rPr>
          <w:rFonts w:ascii="宋体" w:hAnsi="宋体"/>
          <w:bCs/>
          <w:color w:val="auto"/>
        </w:rPr>
      </w:pPr>
      <w:r>
        <w:rPr>
          <w:rFonts w:hint="eastAsia" w:ascii="宋体" w:hAnsi="宋体"/>
          <w:bCs/>
          <w:color w:val="auto"/>
        </w:rPr>
        <w:t>2.工程地点：</w:t>
      </w:r>
      <w:r>
        <w:rPr>
          <w:rFonts w:hint="eastAsia" w:ascii="宋体" w:hAnsi="宋体"/>
          <w:color w:val="auto"/>
          <w:u w:val="single"/>
        </w:rPr>
        <w:t xml:space="preserve">       </w:t>
      </w:r>
      <w:r>
        <w:rPr>
          <w:rFonts w:hint="eastAsia" w:ascii="宋体" w:hAnsi="宋体"/>
          <w:color w:val="auto"/>
        </w:rPr>
        <w:t>。</w:t>
      </w:r>
    </w:p>
    <w:p>
      <w:pPr>
        <w:spacing w:line="360" w:lineRule="auto"/>
        <w:ind w:firstLine="411" w:firstLineChars="196"/>
        <w:rPr>
          <w:rFonts w:ascii="宋体" w:hAnsi="宋体"/>
          <w:bCs/>
          <w:color w:val="auto"/>
        </w:rPr>
      </w:pPr>
      <w:r>
        <w:rPr>
          <w:rFonts w:hint="eastAsia" w:ascii="宋体" w:hAnsi="宋体"/>
          <w:bCs/>
          <w:color w:val="auto"/>
        </w:rPr>
        <w:t>3.工程立项批准文号：</w:t>
      </w:r>
      <w:r>
        <w:rPr>
          <w:rFonts w:hint="eastAsia" w:ascii="宋体" w:hAnsi="宋体"/>
          <w:color w:val="auto"/>
          <w:u w:val="single"/>
        </w:rPr>
        <w:t xml:space="preserve">       </w:t>
      </w:r>
      <w:r>
        <w:rPr>
          <w:rFonts w:hint="eastAsia" w:ascii="宋体" w:hAnsi="宋体"/>
          <w:bCs/>
          <w:color w:val="auto"/>
        </w:rPr>
        <w:t>。</w:t>
      </w:r>
    </w:p>
    <w:p>
      <w:pPr>
        <w:spacing w:line="360" w:lineRule="auto"/>
        <w:ind w:firstLine="411" w:firstLineChars="196"/>
        <w:rPr>
          <w:rFonts w:ascii="宋体" w:hAnsi="宋体"/>
          <w:bCs/>
          <w:color w:val="auto"/>
        </w:rPr>
      </w:pPr>
      <w:r>
        <w:rPr>
          <w:rFonts w:hint="eastAsia" w:ascii="宋体" w:hAnsi="宋体"/>
          <w:bCs/>
          <w:color w:val="auto"/>
        </w:rPr>
        <w:t>4.资金来源：</w:t>
      </w:r>
      <w:r>
        <w:rPr>
          <w:rFonts w:hint="eastAsia" w:ascii="宋体" w:hAnsi="宋体"/>
          <w:color w:val="auto"/>
          <w:u w:val="single"/>
        </w:rPr>
        <w:t xml:space="preserve">       </w:t>
      </w:r>
      <w:r>
        <w:rPr>
          <w:rFonts w:hint="eastAsia" w:ascii="宋体" w:hAnsi="宋体"/>
          <w:bCs/>
          <w:color w:val="auto"/>
        </w:rPr>
        <w:t>。</w:t>
      </w:r>
    </w:p>
    <w:p>
      <w:pPr>
        <w:spacing w:line="360" w:lineRule="auto"/>
        <w:ind w:firstLine="411" w:firstLineChars="196"/>
        <w:rPr>
          <w:rFonts w:ascii="宋体" w:hAnsi="宋体"/>
          <w:bCs/>
          <w:color w:val="auto"/>
        </w:rPr>
      </w:pPr>
      <w:r>
        <w:rPr>
          <w:rFonts w:hint="eastAsia" w:ascii="宋体" w:hAnsi="宋体"/>
          <w:bCs/>
          <w:color w:val="auto"/>
        </w:rPr>
        <w:t>5.工程内容：</w:t>
      </w:r>
      <w:r>
        <w:rPr>
          <w:rFonts w:hint="eastAsia" w:ascii="宋体" w:hAnsi="宋体"/>
          <w:color w:val="auto"/>
          <w:u w:val="single"/>
        </w:rPr>
        <w:t xml:space="preserve">       </w:t>
      </w:r>
      <w:r>
        <w:rPr>
          <w:rFonts w:hint="eastAsia" w:ascii="宋体" w:hAnsi="宋体"/>
          <w:bCs/>
          <w:color w:val="auto"/>
        </w:rPr>
        <w:t>。</w:t>
      </w:r>
    </w:p>
    <w:p>
      <w:pPr>
        <w:spacing w:line="360" w:lineRule="auto"/>
        <w:ind w:firstLine="411" w:firstLineChars="196"/>
        <w:rPr>
          <w:rFonts w:ascii="宋体" w:hAnsi="宋体"/>
          <w:bCs/>
          <w:color w:val="auto"/>
        </w:rPr>
      </w:pPr>
      <w:r>
        <w:rPr>
          <w:rFonts w:hint="eastAsia" w:ascii="宋体" w:hAnsi="宋体"/>
          <w:color w:val="auto"/>
        </w:rPr>
        <w:t>群体工程应附《承包人承揽工程项目一览表》（附件1）。</w:t>
      </w:r>
    </w:p>
    <w:p>
      <w:pPr>
        <w:spacing w:line="360" w:lineRule="auto"/>
        <w:ind w:firstLine="411" w:firstLineChars="196"/>
        <w:rPr>
          <w:rFonts w:ascii="宋体" w:hAnsi="宋体"/>
          <w:bCs/>
          <w:color w:val="auto"/>
        </w:rPr>
      </w:pPr>
      <w:r>
        <w:rPr>
          <w:rFonts w:hint="eastAsia" w:ascii="宋体" w:hAnsi="宋体"/>
          <w:bCs/>
          <w:color w:val="auto"/>
        </w:rPr>
        <w:t>6.工程承包范围：</w:t>
      </w:r>
      <w:r>
        <w:rPr>
          <w:rFonts w:hint="eastAsia" w:ascii="宋体" w:hAnsi="宋体"/>
          <w:color w:val="auto"/>
          <w:u w:val="single"/>
        </w:rPr>
        <w:t xml:space="preserve">         </w:t>
      </w:r>
      <w:r>
        <w:rPr>
          <w:rFonts w:hint="eastAsia" w:ascii="宋体" w:hAnsi="宋体"/>
          <w:bCs/>
          <w:color w:val="auto"/>
        </w:rPr>
        <w:t>。</w:t>
      </w:r>
    </w:p>
    <w:p>
      <w:pPr>
        <w:pStyle w:val="5"/>
        <w:spacing w:before="120" w:after="120" w:line="360" w:lineRule="auto"/>
        <w:rPr>
          <w:rFonts w:ascii="宋体" w:hAnsi="宋体" w:eastAsia="宋体"/>
          <w:b w:val="0"/>
          <w:color w:val="auto"/>
          <w:sz w:val="21"/>
          <w:szCs w:val="21"/>
        </w:rPr>
      </w:pPr>
      <w:bookmarkStart w:id="906" w:name="_Toc351203482"/>
      <w:bookmarkEnd w:id="906"/>
      <w:r>
        <w:rPr>
          <w:rFonts w:hint="eastAsia" w:ascii="宋体" w:hAnsi="宋体" w:eastAsia="宋体"/>
          <w:bCs w:val="0"/>
          <w:color w:val="auto"/>
          <w:sz w:val="21"/>
          <w:szCs w:val="21"/>
        </w:rPr>
        <w:t>二、合同工期</w:t>
      </w:r>
    </w:p>
    <w:p>
      <w:pPr>
        <w:spacing w:line="360" w:lineRule="auto"/>
        <w:ind w:firstLine="459"/>
        <w:rPr>
          <w:rFonts w:ascii="宋体" w:hAnsi="宋体"/>
          <w:color w:val="auto"/>
          <w:u w:val="none"/>
        </w:rPr>
      </w:pPr>
      <w:r>
        <w:rPr>
          <w:rFonts w:hint="eastAsia" w:ascii="宋体" w:hAnsi="宋体"/>
          <w:color w:val="auto"/>
          <w:u w:val="none"/>
        </w:rPr>
        <w:t>计划开工日期：年月</w:t>
      </w:r>
      <w:r>
        <w:rPr>
          <w:rFonts w:hint="eastAsia" w:ascii="宋体" w:hAnsi="宋体"/>
          <w:color w:val="auto"/>
          <w:u w:val="none"/>
          <w:lang w:val="en-US" w:eastAsia="zh-CN"/>
        </w:rPr>
        <w:t xml:space="preserve"> </w:t>
      </w:r>
      <w:r>
        <w:rPr>
          <w:rFonts w:hint="eastAsia" w:ascii="宋体" w:hAnsi="宋体"/>
          <w:color w:val="auto"/>
          <w:u w:val="none"/>
        </w:rPr>
        <w:t>日。</w:t>
      </w:r>
    </w:p>
    <w:p>
      <w:pPr>
        <w:spacing w:line="360" w:lineRule="auto"/>
        <w:ind w:firstLine="459"/>
        <w:rPr>
          <w:rFonts w:ascii="宋体" w:hAnsi="宋体"/>
          <w:color w:val="auto"/>
          <w:u w:val="none"/>
        </w:rPr>
      </w:pPr>
      <w:r>
        <w:rPr>
          <w:rFonts w:hint="eastAsia" w:ascii="宋体" w:hAnsi="宋体"/>
          <w:color w:val="auto"/>
          <w:u w:val="none"/>
        </w:rPr>
        <w:t>计划竣工日期：年月</w:t>
      </w:r>
      <w:r>
        <w:rPr>
          <w:rFonts w:hint="eastAsia" w:ascii="宋体" w:hAnsi="宋体"/>
          <w:color w:val="auto"/>
          <w:u w:val="none"/>
          <w:lang w:val="en-US" w:eastAsia="zh-CN"/>
        </w:rPr>
        <w:t xml:space="preserve"> </w:t>
      </w:r>
      <w:r>
        <w:rPr>
          <w:rFonts w:hint="eastAsia" w:ascii="宋体" w:hAnsi="宋体"/>
          <w:color w:val="auto"/>
          <w:u w:val="none"/>
        </w:rPr>
        <w:t>日。</w:t>
      </w:r>
    </w:p>
    <w:p>
      <w:pPr>
        <w:spacing w:line="360" w:lineRule="auto"/>
        <w:ind w:firstLine="459"/>
        <w:rPr>
          <w:rFonts w:ascii="宋体" w:hAnsi="宋体"/>
          <w:color w:val="auto"/>
        </w:rPr>
      </w:pPr>
      <w:r>
        <w:rPr>
          <w:rFonts w:hint="eastAsia" w:ascii="宋体" w:hAnsi="宋体"/>
          <w:color w:val="auto"/>
          <w:u w:val="none"/>
        </w:rPr>
        <w:t>工期总日历天数：</w:t>
      </w:r>
      <w:r>
        <w:rPr>
          <w:rFonts w:hint="eastAsia" w:ascii="宋体" w:hAnsi="宋体"/>
          <w:color w:val="auto"/>
          <w:u w:val="none"/>
          <w:lang w:val="en-US" w:eastAsia="zh-CN"/>
        </w:rPr>
        <w:t xml:space="preserve">  </w:t>
      </w:r>
      <w:r>
        <w:rPr>
          <w:rFonts w:hint="eastAsia" w:ascii="宋体" w:hAnsi="宋体"/>
          <w:color w:val="auto"/>
          <w:u w:val="none"/>
        </w:rPr>
        <w:t>天。工期总日历</w:t>
      </w:r>
      <w:r>
        <w:rPr>
          <w:rFonts w:hint="eastAsia" w:ascii="宋体" w:hAnsi="宋体"/>
          <w:color w:val="auto"/>
        </w:rPr>
        <w:t>天数与根据前述计划开竣工日期计算的工期天数不一致的，以工期总日历天数为准。</w:t>
      </w:r>
    </w:p>
    <w:p>
      <w:pPr>
        <w:pStyle w:val="5"/>
        <w:spacing w:before="120" w:after="120" w:line="360" w:lineRule="auto"/>
        <w:rPr>
          <w:rFonts w:ascii="宋体" w:hAnsi="宋体" w:eastAsia="宋体"/>
          <w:bCs w:val="0"/>
          <w:color w:val="auto"/>
          <w:sz w:val="21"/>
          <w:szCs w:val="21"/>
        </w:rPr>
      </w:pPr>
      <w:bookmarkStart w:id="907" w:name="_Toc351203483"/>
      <w:bookmarkEnd w:id="907"/>
      <w:r>
        <w:rPr>
          <w:rFonts w:hint="eastAsia" w:ascii="宋体" w:hAnsi="宋体" w:eastAsia="宋体"/>
          <w:bCs w:val="0"/>
          <w:color w:val="auto"/>
          <w:sz w:val="21"/>
          <w:szCs w:val="21"/>
        </w:rPr>
        <w:t>三、质量标准</w:t>
      </w:r>
    </w:p>
    <w:p>
      <w:pPr>
        <w:spacing w:line="360" w:lineRule="auto"/>
        <w:ind w:firstLine="459"/>
        <w:rPr>
          <w:rFonts w:ascii="宋体" w:hAnsi="宋体"/>
          <w:color w:val="auto"/>
        </w:rPr>
      </w:pPr>
      <w:r>
        <w:rPr>
          <w:rFonts w:hint="eastAsia" w:ascii="宋体" w:hAnsi="宋体"/>
          <w:color w:val="auto"/>
        </w:rPr>
        <w:t>工程质量符合</w:t>
      </w:r>
      <w:r>
        <w:rPr>
          <w:rFonts w:hint="eastAsia" w:ascii="宋体" w:hAnsi="宋体"/>
          <w:color w:val="auto"/>
          <w:u w:val="single"/>
        </w:rPr>
        <w:t></w:t>
      </w:r>
      <w:r>
        <w:rPr>
          <w:rFonts w:hint="eastAsia" w:ascii="宋体" w:hAnsi="宋体"/>
          <w:color w:val="auto"/>
        </w:rPr>
        <w:t>标准。</w:t>
      </w:r>
    </w:p>
    <w:p>
      <w:pPr>
        <w:pStyle w:val="5"/>
        <w:spacing w:before="120" w:after="120" w:line="360" w:lineRule="auto"/>
        <w:rPr>
          <w:rFonts w:ascii="宋体" w:hAnsi="宋体" w:eastAsia="宋体"/>
          <w:bCs w:val="0"/>
          <w:color w:val="auto"/>
          <w:sz w:val="21"/>
          <w:szCs w:val="21"/>
        </w:rPr>
      </w:pPr>
      <w:bookmarkStart w:id="908" w:name="_Toc351203484"/>
      <w:bookmarkEnd w:id="908"/>
      <w:r>
        <w:rPr>
          <w:rFonts w:hint="eastAsia" w:ascii="宋体" w:hAnsi="宋体" w:eastAsia="宋体"/>
          <w:bCs w:val="0"/>
          <w:color w:val="auto"/>
          <w:sz w:val="21"/>
          <w:szCs w:val="21"/>
        </w:rPr>
        <w:t>四、签约合同价与合同价格形式</w:t>
      </w:r>
    </w:p>
    <w:p>
      <w:pPr>
        <w:spacing w:line="360" w:lineRule="auto"/>
        <w:ind w:firstLine="420" w:firstLineChars="200"/>
        <w:rPr>
          <w:rFonts w:ascii="宋体" w:hAnsi="宋体"/>
          <w:color w:val="auto"/>
        </w:rPr>
      </w:pPr>
      <w:r>
        <w:rPr>
          <w:rFonts w:hint="eastAsia" w:ascii="宋体" w:hAnsi="宋体"/>
          <w:color w:val="auto"/>
        </w:rPr>
        <w:t>1.签约合同价为：</w:t>
      </w:r>
    </w:p>
    <w:p>
      <w:pPr>
        <w:spacing w:line="360" w:lineRule="auto"/>
        <w:ind w:firstLine="525" w:firstLineChars="250"/>
        <w:rPr>
          <w:rFonts w:ascii="宋体" w:hAnsi="宋体"/>
          <w:color w:val="auto"/>
        </w:rPr>
      </w:pPr>
      <w:r>
        <w:rPr>
          <w:rFonts w:hint="eastAsia" w:ascii="宋体" w:hAnsi="宋体"/>
          <w:color w:val="auto"/>
        </w:rPr>
        <w:t>人民币（大写）(¥元)；</w:t>
      </w:r>
    </w:p>
    <w:p>
      <w:pPr>
        <w:spacing w:line="360" w:lineRule="auto"/>
        <w:ind w:firstLine="420" w:firstLineChars="200"/>
        <w:rPr>
          <w:rFonts w:ascii="宋体" w:hAnsi="宋体"/>
          <w:color w:val="auto"/>
        </w:rPr>
      </w:pPr>
      <w:r>
        <w:rPr>
          <w:rFonts w:hint="eastAsia" w:ascii="宋体" w:hAnsi="宋体"/>
          <w:color w:val="auto"/>
        </w:rPr>
        <w:t>其中：</w:t>
      </w:r>
    </w:p>
    <w:p>
      <w:pPr>
        <w:spacing w:line="360" w:lineRule="auto"/>
        <w:ind w:firstLine="420" w:firstLineChars="200"/>
        <w:rPr>
          <w:rFonts w:ascii="宋体" w:hAnsi="宋体"/>
          <w:color w:val="auto"/>
        </w:rPr>
      </w:pPr>
      <w:r>
        <w:rPr>
          <w:rFonts w:hint="eastAsia" w:ascii="宋体" w:hAnsi="宋体"/>
          <w:color w:val="auto"/>
        </w:rPr>
        <w:t>（1）安全文明施工费：</w:t>
      </w:r>
    </w:p>
    <w:p>
      <w:pPr>
        <w:spacing w:line="360" w:lineRule="auto"/>
        <w:ind w:firstLine="945" w:firstLineChars="450"/>
        <w:rPr>
          <w:rFonts w:ascii="宋体" w:hAnsi="宋体"/>
          <w:color w:val="auto"/>
        </w:rPr>
      </w:pPr>
      <w:r>
        <w:rPr>
          <w:rFonts w:hint="eastAsia" w:ascii="宋体" w:hAnsi="宋体"/>
          <w:color w:val="auto"/>
        </w:rPr>
        <w:t>人民币（大写） (¥元)；</w:t>
      </w:r>
    </w:p>
    <w:p>
      <w:pPr>
        <w:spacing w:line="360" w:lineRule="auto"/>
        <w:ind w:firstLine="420" w:firstLineChars="200"/>
        <w:rPr>
          <w:rFonts w:ascii="宋体" w:hAnsi="宋体"/>
          <w:color w:val="auto"/>
        </w:rPr>
      </w:pPr>
      <w:r>
        <w:rPr>
          <w:rFonts w:hint="eastAsia" w:ascii="宋体" w:hAnsi="宋体"/>
          <w:color w:val="auto"/>
        </w:rPr>
        <w:t>（2）材料和工程设备暂估价金额：</w:t>
      </w:r>
    </w:p>
    <w:p>
      <w:pPr>
        <w:spacing w:line="360" w:lineRule="auto"/>
        <w:ind w:firstLine="945" w:firstLineChars="450"/>
        <w:rPr>
          <w:rFonts w:ascii="宋体" w:hAnsi="宋体"/>
          <w:color w:val="auto"/>
        </w:rPr>
      </w:pPr>
      <w:r>
        <w:rPr>
          <w:rFonts w:hint="eastAsia" w:ascii="宋体" w:hAnsi="宋体"/>
          <w:color w:val="auto"/>
        </w:rPr>
        <w:t>人民币（大写） (¥元)；</w:t>
      </w:r>
    </w:p>
    <w:p>
      <w:pPr>
        <w:spacing w:line="360" w:lineRule="auto"/>
        <w:ind w:firstLine="420" w:firstLineChars="200"/>
        <w:rPr>
          <w:rFonts w:ascii="宋体" w:hAnsi="宋体"/>
          <w:color w:val="auto"/>
        </w:rPr>
      </w:pPr>
      <w:r>
        <w:rPr>
          <w:rFonts w:hint="eastAsia" w:ascii="宋体" w:hAnsi="宋体"/>
          <w:color w:val="auto"/>
        </w:rPr>
        <w:t>（3）专业工程暂估价金额：</w:t>
      </w:r>
    </w:p>
    <w:p>
      <w:pPr>
        <w:spacing w:line="360" w:lineRule="auto"/>
        <w:ind w:firstLine="945" w:firstLineChars="450"/>
        <w:rPr>
          <w:rFonts w:ascii="宋体" w:hAnsi="宋体"/>
          <w:color w:val="auto"/>
        </w:rPr>
      </w:pPr>
      <w:r>
        <w:rPr>
          <w:rFonts w:hint="eastAsia" w:ascii="宋体" w:hAnsi="宋体"/>
          <w:color w:val="auto"/>
        </w:rPr>
        <w:t>人民币（大写） (¥元)；</w:t>
      </w:r>
    </w:p>
    <w:p>
      <w:pPr>
        <w:spacing w:line="360" w:lineRule="auto"/>
        <w:ind w:firstLine="420" w:firstLineChars="200"/>
        <w:rPr>
          <w:rFonts w:ascii="宋体" w:hAnsi="宋体"/>
          <w:color w:val="auto"/>
        </w:rPr>
      </w:pPr>
      <w:r>
        <w:rPr>
          <w:rFonts w:hint="eastAsia" w:ascii="宋体" w:hAnsi="宋体"/>
          <w:color w:val="auto"/>
        </w:rPr>
        <w:t>（4）暂列金额：</w:t>
      </w:r>
    </w:p>
    <w:p>
      <w:pPr>
        <w:spacing w:line="360" w:lineRule="auto"/>
        <w:ind w:firstLine="945" w:firstLineChars="450"/>
        <w:rPr>
          <w:rFonts w:ascii="宋体" w:hAnsi="宋体"/>
          <w:color w:val="auto"/>
        </w:rPr>
      </w:pPr>
      <w:r>
        <w:rPr>
          <w:rFonts w:hint="eastAsia" w:ascii="宋体" w:hAnsi="宋体"/>
          <w:color w:val="auto"/>
        </w:rPr>
        <w:t>人民币（大写） (¥元)。</w:t>
      </w:r>
    </w:p>
    <w:p>
      <w:pPr>
        <w:spacing w:line="360" w:lineRule="auto"/>
        <w:ind w:firstLine="420" w:firstLineChars="200"/>
        <w:rPr>
          <w:rFonts w:ascii="宋体" w:hAnsi="宋体"/>
          <w:color w:val="auto"/>
        </w:rPr>
      </w:pPr>
      <w:r>
        <w:rPr>
          <w:rFonts w:hint="eastAsia" w:ascii="宋体" w:hAnsi="宋体"/>
          <w:color w:val="auto"/>
        </w:rPr>
        <w:t>2.合同价格形式：</w:t>
      </w:r>
      <w:r>
        <w:rPr>
          <w:rFonts w:hint="eastAsia" w:ascii="宋体" w:hAnsi="宋体"/>
          <w:color w:val="auto"/>
          <w:u w:val="single"/>
        </w:rPr>
        <w:t xml:space="preserve">                  </w:t>
      </w:r>
      <w:r>
        <w:rPr>
          <w:rFonts w:hint="eastAsia" w:ascii="宋体" w:hAnsi="宋体"/>
          <w:color w:val="auto"/>
        </w:rPr>
        <w:t>。</w:t>
      </w:r>
    </w:p>
    <w:p>
      <w:pPr>
        <w:pStyle w:val="5"/>
        <w:spacing w:before="120" w:after="120" w:line="360" w:lineRule="auto"/>
        <w:rPr>
          <w:rFonts w:ascii="宋体" w:hAnsi="宋体" w:eastAsia="宋体"/>
          <w:b w:val="0"/>
          <w:color w:val="auto"/>
          <w:sz w:val="21"/>
          <w:szCs w:val="21"/>
        </w:rPr>
      </w:pPr>
      <w:bookmarkStart w:id="909" w:name="_Toc351203485"/>
      <w:bookmarkEnd w:id="909"/>
      <w:r>
        <w:rPr>
          <w:rFonts w:hint="eastAsia" w:ascii="宋体" w:hAnsi="宋体" w:eastAsia="宋体"/>
          <w:bCs w:val="0"/>
          <w:color w:val="auto"/>
          <w:sz w:val="21"/>
          <w:szCs w:val="21"/>
        </w:rPr>
        <w:t>五、项目经理</w:t>
      </w:r>
    </w:p>
    <w:p>
      <w:pPr>
        <w:spacing w:line="360" w:lineRule="auto"/>
        <w:ind w:firstLine="420" w:firstLineChars="200"/>
        <w:rPr>
          <w:rFonts w:ascii="宋体" w:hAnsi="宋体"/>
          <w:color w:val="auto"/>
        </w:rPr>
      </w:pPr>
      <w:r>
        <w:rPr>
          <w:rFonts w:hint="eastAsia" w:ascii="宋体" w:hAnsi="宋体"/>
          <w:color w:val="auto"/>
        </w:rPr>
        <w:t>承包人项目经理：</w:t>
      </w:r>
      <w:r>
        <w:rPr>
          <w:rFonts w:hint="eastAsia" w:ascii="宋体" w:hAnsi="宋体"/>
          <w:color w:val="auto"/>
          <w:u w:val="single"/>
        </w:rPr>
        <w:t xml:space="preserve">                 </w:t>
      </w:r>
      <w:r>
        <w:rPr>
          <w:rFonts w:hint="eastAsia" w:ascii="宋体" w:hAnsi="宋体"/>
          <w:color w:val="auto"/>
        </w:rPr>
        <w:t>。</w:t>
      </w:r>
    </w:p>
    <w:p>
      <w:pPr>
        <w:pStyle w:val="5"/>
        <w:spacing w:before="120" w:after="120" w:line="360" w:lineRule="auto"/>
        <w:rPr>
          <w:rFonts w:ascii="宋体" w:hAnsi="宋体" w:eastAsia="宋体"/>
          <w:bCs w:val="0"/>
          <w:color w:val="auto"/>
          <w:sz w:val="21"/>
          <w:szCs w:val="21"/>
        </w:rPr>
      </w:pPr>
      <w:bookmarkStart w:id="910" w:name="_Toc351203486"/>
      <w:bookmarkEnd w:id="910"/>
      <w:r>
        <w:rPr>
          <w:rFonts w:hint="eastAsia" w:ascii="宋体" w:hAnsi="宋体" w:eastAsia="宋体"/>
          <w:bCs w:val="0"/>
          <w:color w:val="auto"/>
          <w:sz w:val="21"/>
          <w:szCs w:val="21"/>
        </w:rPr>
        <w:t>六、合同文件构成</w:t>
      </w:r>
    </w:p>
    <w:p>
      <w:pPr>
        <w:spacing w:line="360" w:lineRule="auto"/>
        <w:ind w:firstLine="420" w:firstLineChars="200"/>
        <w:rPr>
          <w:rFonts w:ascii="宋体" w:hAnsi="宋体"/>
          <w:bCs/>
          <w:color w:val="auto"/>
        </w:rPr>
      </w:pPr>
      <w:r>
        <w:rPr>
          <w:rFonts w:hint="eastAsia" w:ascii="宋体" w:hAnsi="宋体"/>
          <w:bCs/>
          <w:color w:val="auto"/>
        </w:rPr>
        <w:t>本协议书与下列文件一起构成合同文件：</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（1）中标通知书（如果有）；</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 xml:space="preserve">（2）投标函及其附录（如果有）； </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（3）专用合同条款及其附件；</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（4）通用合同条款；</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（5）技术标准和要求；</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（6）图纸；</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（7）已标价工程量清单或预算书；</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（8）其他合同文件。</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ascii="宋体" w:hAnsi="宋体"/>
          <w:color w:val="auto"/>
        </w:rPr>
      </w:pPr>
      <w:r>
        <w:rPr>
          <w:rFonts w:hint="eastAsia" w:ascii="宋体" w:hAnsi="宋体"/>
          <w:color w:val="auto"/>
        </w:rPr>
        <w:t>上述各项合同文件包括合同当事人就该项合同文件所作出的补充和修改，属于同一类内容的文件，应以最新签署的为准。专用合同条款及其附件须经合同当事人签字或盖章。</w:t>
      </w:r>
    </w:p>
    <w:p>
      <w:pPr>
        <w:pStyle w:val="5"/>
        <w:spacing w:before="120" w:after="120" w:line="360" w:lineRule="auto"/>
        <w:rPr>
          <w:rFonts w:ascii="宋体" w:hAnsi="宋体" w:eastAsia="宋体"/>
          <w:b w:val="0"/>
          <w:bCs w:val="0"/>
          <w:color w:val="auto"/>
          <w:sz w:val="21"/>
          <w:szCs w:val="21"/>
        </w:rPr>
      </w:pPr>
      <w:bookmarkStart w:id="911" w:name="_Toc351203487"/>
      <w:bookmarkEnd w:id="911"/>
      <w:r>
        <w:rPr>
          <w:rFonts w:hint="eastAsia" w:ascii="宋体" w:hAnsi="宋体" w:eastAsia="宋体"/>
          <w:bCs w:val="0"/>
          <w:color w:val="auto"/>
          <w:sz w:val="21"/>
          <w:szCs w:val="21"/>
        </w:rPr>
        <w:t>七、承诺</w:t>
      </w:r>
    </w:p>
    <w:p>
      <w:pPr>
        <w:spacing w:line="360" w:lineRule="auto"/>
        <w:ind w:firstLine="420" w:firstLineChars="200"/>
        <w:rPr>
          <w:rFonts w:ascii="宋体" w:hAnsi="宋体"/>
          <w:bCs/>
          <w:color w:val="auto"/>
        </w:rPr>
      </w:pPr>
      <w:r>
        <w:rPr>
          <w:rFonts w:hint="eastAsia" w:ascii="宋体" w:hAnsi="宋体"/>
          <w:bCs/>
          <w:color w:val="auto"/>
        </w:rPr>
        <w:t>1.发包人承诺按照法律规定履行项目审批手续、筹集工程建设资金并按照合同约定的期限和方式支付合同价款。</w:t>
      </w:r>
    </w:p>
    <w:p>
      <w:pPr>
        <w:spacing w:line="360" w:lineRule="auto"/>
        <w:ind w:firstLine="420" w:firstLineChars="200"/>
        <w:rPr>
          <w:rFonts w:ascii="宋体" w:hAnsi="宋体"/>
          <w:bCs/>
          <w:color w:val="auto"/>
        </w:rPr>
      </w:pPr>
      <w:r>
        <w:rPr>
          <w:rFonts w:hint="eastAsia" w:ascii="宋体" w:hAnsi="宋体"/>
          <w:bCs/>
          <w:color w:val="auto"/>
        </w:rPr>
        <w:t>2.承包人承诺按照法律规定及合同约定组织完成工程施工，确保工程质量和安全，不进行转包及违法分包，并在缺陷责任期及保修期内承担相应的工程维修责任。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ascii="宋体" w:hAnsi="宋体"/>
          <w:bCs/>
          <w:color w:val="auto"/>
        </w:rPr>
      </w:pPr>
      <w:r>
        <w:rPr>
          <w:rFonts w:hint="eastAsia" w:ascii="宋体" w:hAnsi="宋体"/>
          <w:bCs/>
          <w:color w:val="auto"/>
        </w:rPr>
        <w:t>3.发包人和承包人通过招投标形式签订合同的，双方理解并承诺不再就同一工程另行签订与合同实质性内容相背离的协议。</w:t>
      </w:r>
    </w:p>
    <w:p>
      <w:pPr>
        <w:pStyle w:val="5"/>
        <w:spacing w:before="120" w:after="120" w:line="360" w:lineRule="auto"/>
        <w:rPr>
          <w:rFonts w:ascii="宋体" w:hAnsi="宋体" w:eastAsia="宋体"/>
          <w:color w:val="auto"/>
          <w:sz w:val="21"/>
          <w:szCs w:val="21"/>
        </w:rPr>
      </w:pPr>
      <w:bookmarkStart w:id="912" w:name="_Toc351203488"/>
      <w:bookmarkEnd w:id="912"/>
      <w:r>
        <w:rPr>
          <w:rFonts w:hint="eastAsia" w:ascii="宋体" w:hAnsi="宋体" w:eastAsia="宋体"/>
          <w:bCs w:val="0"/>
          <w:color w:val="auto"/>
          <w:sz w:val="21"/>
          <w:szCs w:val="21"/>
        </w:rPr>
        <w:t>八、词语含义</w:t>
      </w:r>
    </w:p>
    <w:p>
      <w:pPr>
        <w:spacing w:line="360" w:lineRule="auto"/>
        <w:ind w:firstLine="420" w:firstLineChars="200"/>
        <w:rPr>
          <w:rFonts w:ascii="宋体" w:hAnsi="宋体"/>
          <w:bCs/>
          <w:color w:val="auto"/>
        </w:rPr>
      </w:pPr>
      <w:r>
        <w:rPr>
          <w:rFonts w:hint="eastAsia" w:ascii="宋体" w:hAnsi="宋体"/>
          <w:bCs/>
          <w:color w:val="auto"/>
        </w:rPr>
        <w:t>本协议书中词语含义与第二部分通用合同条款中赋予的含义相同。</w:t>
      </w:r>
    </w:p>
    <w:p>
      <w:pPr>
        <w:pStyle w:val="5"/>
        <w:spacing w:before="120" w:after="120" w:line="360" w:lineRule="auto"/>
        <w:rPr>
          <w:rFonts w:ascii="宋体" w:hAnsi="宋体" w:eastAsia="宋体"/>
          <w:bCs w:val="0"/>
          <w:color w:val="auto"/>
          <w:sz w:val="21"/>
          <w:szCs w:val="21"/>
        </w:rPr>
      </w:pPr>
      <w:bookmarkStart w:id="913" w:name="_Toc351203489"/>
      <w:bookmarkEnd w:id="913"/>
      <w:r>
        <w:rPr>
          <w:rFonts w:hint="eastAsia" w:ascii="宋体" w:hAnsi="宋体" w:eastAsia="宋体"/>
          <w:bCs w:val="0"/>
          <w:color w:val="auto"/>
          <w:sz w:val="21"/>
          <w:szCs w:val="21"/>
        </w:rPr>
        <w:t>九、签订时间</w:t>
      </w:r>
    </w:p>
    <w:p>
      <w:pPr>
        <w:spacing w:line="360" w:lineRule="auto"/>
        <w:ind w:firstLine="420" w:firstLineChars="200"/>
        <w:rPr>
          <w:rFonts w:ascii="宋体" w:hAnsi="宋体"/>
          <w:bCs/>
          <w:color w:val="auto"/>
        </w:rPr>
      </w:pPr>
      <w:r>
        <w:rPr>
          <w:rFonts w:hint="eastAsia" w:ascii="宋体" w:hAnsi="宋体"/>
          <w:bCs/>
          <w:color w:val="auto"/>
        </w:rPr>
        <w:t>本合同于年月日签订。</w:t>
      </w:r>
    </w:p>
    <w:p>
      <w:pPr>
        <w:pStyle w:val="5"/>
        <w:spacing w:before="120" w:after="120" w:line="360" w:lineRule="auto"/>
        <w:rPr>
          <w:rFonts w:ascii="宋体" w:hAnsi="宋体" w:eastAsia="宋体"/>
          <w:bCs w:val="0"/>
          <w:color w:val="auto"/>
          <w:sz w:val="21"/>
          <w:szCs w:val="21"/>
        </w:rPr>
      </w:pPr>
      <w:bookmarkStart w:id="914" w:name="_Toc351203490"/>
      <w:bookmarkEnd w:id="914"/>
      <w:r>
        <w:rPr>
          <w:rFonts w:hint="eastAsia" w:ascii="宋体" w:hAnsi="宋体" w:eastAsia="宋体"/>
          <w:bCs w:val="0"/>
          <w:color w:val="auto"/>
          <w:sz w:val="21"/>
          <w:szCs w:val="21"/>
        </w:rPr>
        <w:t>十、签订地点</w:t>
      </w:r>
    </w:p>
    <w:p>
      <w:pPr>
        <w:spacing w:line="360" w:lineRule="auto"/>
        <w:ind w:firstLine="420" w:firstLineChars="200"/>
        <w:rPr>
          <w:rFonts w:ascii="宋体" w:hAnsi="宋体"/>
          <w:bCs/>
          <w:color w:val="auto"/>
        </w:rPr>
      </w:pPr>
      <w:r>
        <w:rPr>
          <w:rFonts w:hint="eastAsia" w:ascii="宋体" w:hAnsi="宋体"/>
          <w:bCs/>
          <w:color w:val="auto"/>
        </w:rPr>
        <w:t>本合同在签订。</w:t>
      </w:r>
    </w:p>
    <w:p>
      <w:pPr>
        <w:pStyle w:val="5"/>
        <w:spacing w:before="120" w:after="120" w:line="360" w:lineRule="auto"/>
        <w:rPr>
          <w:rFonts w:ascii="宋体" w:hAnsi="宋体" w:eastAsia="宋体"/>
          <w:bCs w:val="0"/>
          <w:color w:val="auto"/>
          <w:sz w:val="21"/>
          <w:szCs w:val="21"/>
        </w:rPr>
      </w:pPr>
      <w:bookmarkStart w:id="915" w:name="_Toc351203491"/>
      <w:bookmarkEnd w:id="915"/>
      <w:r>
        <w:rPr>
          <w:rFonts w:hint="eastAsia" w:ascii="宋体" w:hAnsi="宋体" w:eastAsia="宋体"/>
          <w:bCs w:val="0"/>
          <w:color w:val="auto"/>
          <w:sz w:val="21"/>
          <w:szCs w:val="21"/>
        </w:rPr>
        <w:t>十一、补充协议</w:t>
      </w:r>
    </w:p>
    <w:p>
      <w:pPr>
        <w:spacing w:line="360" w:lineRule="auto"/>
        <w:ind w:firstLine="420" w:firstLineChars="200"/>
        <w:rPr>
          <w:rFonts w:ascii="宋体" w:hAnsi="宋体"/>
          <w:b/>
          <w:bCs/>
          <w:color w:val="auto"/>
        </w:rPr>
      </w:pPr>
      <w:r>
        <w:rPr>
          <w:rFonts w:hint="eastAsia" w:ascii="宋体" w:hAnsi="宋体"/>
          <w:bCs/>
          <w:color w:val="auto"/>
        </w:rPr>
        <w:t>合同未尽事宜，合同当事人另行签订补充协议，补充协议是合同的组成部分。</w:t>
      </w:r>
    </w:p>
    <w:p>
      <w:pPr>
        <w:pStyle w:val="5"/>
        <w:spacing w:before="120" w:after="120" w:line="360" w:lineRule="auto"/>
        <w:rPr>
          <w:rFonts w:ascii="宋体" w:hAnsi="宋体" w:eastAsia="宋体"/>
          <w:bCs w:val="0"/>
          <w:color w:val="auto"/>
          <w:sz w:val="21"/>
          <w:szCs w:val="21"/>
        </w:rPr>
      </w:pPr>
      <w:bookmarkStart w:id="916" w:name="_Toc351203492"/>
      <w:bookmarkEnd w:id="916"/>
      <w:r>
        <w:rPr>
          <w:rFonts w:hint="eastAsia" w:ascii="宋体" w:hAnsi="宋体" w:eastAsia="宋体"/>
          <w:bCs w:val="0"/>
          <w:color w:val="auto"/>
          <w:sz w:val="21"/>
          <w:szCs w:val="21"/>
        </w:rPr>
        <w:t>十二、合同生效</w:t>
      </w:r>
    </w:p>
    <w:p>
      <w:pPr>
        <w:spacing w:line="360" w:lineRule="auto"/>
        <w:ind w:firstLine="420" w:firstLineChars="200"/>
        <w:rPr>
          <w:rFonts w:ascii="宋体" w:hAnsi="宋体"/>
          <w:bCs/>
          <w:color w:val="auto"/>
        </w:rPr>
      </w:pPr>
      <w:r>
        <w:rPr>
          <w:rFonts w:hint="eastAsia" w:ascii="宋体" w:hAnsi="宋体"/>
          <w:bCs/>
          <w:color w:val="auto"/>
        </w:rPr>
        <w:t>本合同自生效。</w:t>
      </w:r>
    </w:p>
    <w:p>
      <w:pPr>
        <w:pStyle w:val="5"/>
        <w:spacing w:before="120" w:after="120" w:line="360" w:lineRule="auto"/>
        <w:rPr>
          <w:rFonts w:ascii="宋体" w:hAnsi="宋体" w:eastAsia="宋体"/>
          <w:bCs w:val="0"/>
          <w:color w:val="auto"/>
          <w:sz w:val="21"/>
          <w:szCs w:val="21"/>
        </w:rPr>
      </w:pPr>
      <w:bookmarkStart w:id="917" w:name="_Toc351203493"/>
      <w:bookmarkEnd w:id="917"/>
      <w:r>
        <w:rPr>
          <w:rFonts w:hint="eastAsia" w:ascii="宋体" w:hAnsi="宋体" w:eastAsia="宋体"/>
          <w:bCs w:val="0"/>
          <w:color w:val="auto"/>
          <w:sz w:val="21"/>
          <w:szCs w:val="21"/>
        </w:rPr>
        <w:t>十三、合同份数</w:t>
      </w:r>
    </w:p>
    <w:p>
      <w:pPr>
        <w:spacing w:line="360" w:lineRule="auto"/>
        <w:ind w:firstLine="420" w:firstLineChars="200"/>
        <w:rPr>
          <w:rFonts w:ascii="宋体" w:hAnsi="宋体"/>
          <w:bCs/>
          <w:color w:val="auto"/>
        </w:rPr>
      </w:pPr>
      <w:r>
        <w:rPr>
          <w:rFonts w:hint="eastAsia" w:ascii="宋体" w:hAnsi="宋体"/>
          <w:bCs/>
          <w:color w:val="auto"/>
        </w:rPr>
        <w:t>本合同一式份，均具有同等法律效力，发包人执份，承包人执份。</w:t>
      </w:r>
    </w:p>
    <w:p>
      <w:pPr>
        <w:spacing w:line="312" w:lineRule="auto"/>
        <w:ind w:firstLine="420" w:firstLineChars="200"/>
        <w:rPr>
          <w:rFonts w:ascii="宋体" w:hAnsi="宋体"/>
          <w:color w:val="auto"/>
        </w:rPr>
      </w:pPr>
    </w:p>
    <w:p>
      <w:pPr>
        <w:spacing w:line="288" w:lineRule="auto"/>
        <w:ind w:firstLine="420" w:firstLineChars="200"/>
        <w:rPr>
          <w:rFonts w:ascii="宋体" w:hAnsi="宋体"/>
          <w:color w:val="auto"/>
        </w:rPr>
      </w:pPr>
      <w:r>
        <w:rPr>
          <w:rFonts w:hint="eastAsia" w:ascii="宋体" w:hAnsi="宋体"/>
          <w:color w:val="auto"/>
        </w:rPr>
        <w:t>发包人：  (公章)             承包人：  (公章)</w:t>
      </w:r>
    </w:p>
    <w:p>
      <w:pPr>
        <w:spacing w:line="288" w:lineRule="auto"/>
        <w:ind w:firstLine="420" w:firstLineChars="200"/>
        <w:rPr>
          <w:rFonts w:ascii="宋体" w:hAnsi="宋体"/>
          <w:color w:val="auto"/>
        </w:rPr>
      </w:pPr>
    </w:p>
    <w:p>
      <w:pPr>
        <w:spacing w:line="288" w:lineRule="auto"/>
        <w:ind w:firstLine="420" w:firstLineChars="200"/>
        <w:rPr>
          <w:rFonts w:ascii="宋体" w:hAnsi="宋体"/>
          <w:color w:val="auto"/>
        </w:rPr>
      </w:pPr>
      <w:r>
        <w:rPr>
          <w:rFonts w:hint="eastAsia" w:ascii="宋体" w:hAnsi="宋体"/>
          <w:color w:val="auto"/>
        </w:rPr>
        <w:t>法定代表人或其委托代理人：  法定代表人或其委托代理人：</w:t>
      </w:r>
    </w:p>
    <w:p>
      <w:pPr>
        <w:spacing w:line="288" w:lineRule="auto"/>
        <w:ind w:firstLine="420" w:firstLineChars="200"/>
        <w:rPr>
          <w:rFonts w:ascii="宋体" w:hAnsi="宋体"/>
          <w:color w:val="auto"/>
        </w:rPr>
      </w:pPr>
      <w:r>
        <w:rPr>
          <w:rFonts w:hint="eastAsia" w:ascii="宋体" w:hAnsi="宋体"/>
          <w:color w:val="auto"/>
        </w:rPr>
        <w:t>（签字）                    （签字）</w:t>
      </w:r>
    </w:p>
    <w:p>
      <w:pPr>
        <w:spacing w:line="288" w:lineRule="auto"/>
        <w:ind w:firstLine="420" w:firstLineChars="200"/>
        <w:rPr>
          <w:rFonts w:ascii="宋体" w:hAnsi="宋体"/>
          <w:color w:val="auto"/>
        </w:rPr>
      </w:pPr>
      <w:r>
        <w:rPr>
          <w:rFonts w:hint="eastAsia" w:ascii="宋体" w:hAnsi="宋体"/>
          <w:color w:val="auto"/>
        </w:rPr>
        <w:t>组织机构代码：</w:t>
      </w:r>
      <w:r>
        <w:rPr>
          <w:rFonts w:hint="eastAsia" w:ascii="宋体" w:hAnsi="宋体"/>
          <w:color w:val="auto"/>
          <w:u w:val="single"/>
        </w:rPr>
        <w:t xml:space="preserve">       </w:t>
      </w:r>
      <w:r>
        <w:rPr>
          <w:rFonts w:hint="eastAsia" w:ascii="宋体" w:hAnsi="宋体"/>
          <w:color w:val="auto"/>
        </w:rPr>
        <w:t xml:space="preserve">  组织机构代码：</w:t>
      </w:r>
      <w:r>
        <w:rPr>
          <w:rFonts w:hint="eastAsia" w:ascii="宋体" w:hAnsi="宋体"/>
          <w:color w:val="auto"/>
          <w:u w:val="single"/>
        </w:rPr>
        <w:t xml:space="preserve">          </w:t>
      </w:r>
    </w:p>
    <w:p>
      <w:pPr>
        <w:spacing w:line="288" w:lineRule="auto"/>
        <w:ind w:firstLine="420" w:firstLineChars="200"/>
        <w:rPr>
          <w:rFonts w:ascii="宋体" w:hAnsi="宋体"/>
          <w:color w:val="auto"/>
        </w:rPr>
      </w:pPr>
      <w:r>
        <w:rPr>
          <w:rFonts w:hint="eastAsia" w:ascii="宋体" w:hAnsi="宋体"/>
          <w:color w:val="auto"/>
        </w:rPr>
        <w:t>地  址：</w:t>
      </w:r>
      <w:r>
        <w:rPr>
          <w:rFonts w:hint="eastAsia" w:ascii="宋体" w:hAnsi="宋体"/>
          <w:color w:val="auto"/>
          <w:u w:val="single"/>
        </w:rPr>
        <w:t xml:space="preserve">     </w:t>
      </w:r>
      <w:r>
        <w:rPr>
          <w:rFonts w:hint="eastAsia" w:ascii="宋体" w:hAnsi="宋体"/>
          <w:color w:val="auto"/>
        </w:rPr>
        <w:t xml:space="preserve">  地  址：</w:t>
      </w:r>
      <w:r>
        <w:rPr>
          <w:rFonts w:hint="eastAsia" w:ascii="宋体" w:hAnsi="宋体"/>
          <w:color w:val="auto"/>
          <w:u w:val="single"/>
        </w:rPr>
        <w:t xml:space="preserve">        </w:t>
      </w:r>
    </w:p>
    <w:p>
      <w:pPr>
        <w:spacing w:line="288" w:lineRule="auto"/>
        <w:ind w:firstLine="420" w:firstLineChars="200"/>
        <w:rPr>
          <w:rFonts w:ascii="宋体" w:hAnsi="宋体"/>
          <w:color w:val="auto"/>
        </w:rPr>
      </w:pPr>
      <w:r>
        <w:rPr>
          <w:rFonts w:hint="eastAsia" w:ascii="宋体" w:hAnsi="宋体"/>
          <w:color w:val="auto"/>
        </w:rPr>
        <w:t>邮政编码：</w:t>
      </w:r>
      <w:r>
        <w:rPr>
          <w:rFonts w:hint="eastAsia" w:ascii="宋体" w:hAnsi="宋体"/>
          <w:color w:val="auto"/>
          <w:u w:val="single"/>
        </w:rPr>
        <w:t xml:space="preserve">      </w:t>
      </w:r>
      <w:r>
        <w:rPr>
          <w:rFonts w:hint="eastAsia" w:ascii="宋体" w:hAnsi="宋体"/>
          <w:color w:val="auto"/>
        </w:rPr>
        <w:t xml:space="preserve">  邮政编码：</w:t>
      </w:r>
      <w:r>
        <w:rPr>
          <w:rFonts w:hint="eastAsia" w:ascii="宋体" w:hAnsi="宋体"/>
          <w:color w:val="auto"/>
          <w:u w:val="single"/>
        </w:rPr>
        <w:t xml:space="preserve">   </w:t>
      </w:r>
    </w:p>
    <w:p>
      <w:pPr>
        <w:spacing w:line="288" w:lineRule="auto"/>
        <w:ind w:firstLine="420" w:firstLineChars="200"/>
        <w:rPr>
          <w:rFonts w:ascii="宋体" w:hAnsi="宋体"/>
          <w:color w:val="auto"/>
        </w:rPr>
      </w:pPr>
      <w:r>
        <w:rPr>
          <w:rFonts w:hint="eastAsia" w:ascii="宋体" w:hAnsi="宋体"/>
          <w:color w:val="auto"/>
        </w:rPr>
        <w:t>法定代表人：</w:t>
      </w:r>
      <w:r>
        <w:rPr>
          <w:rFonts w:hint="eastAsia" w:ascii="宋体" w:hAnsi="宋体"/>
          <w:color w:val="auto"/>
          <w:u w:val="single"/>
        </w:rPr>
        <w:t xml:space="preserve">           </w:t>
      </w:r>
      <w:r>
        <w:rPr>
          <w:rFonts w:hint="eastAsia" w:ascii="宋体" w:hAnsi="宋体"/>
          <w:color w:val="auto"/>
        </w:rPr>
        <w:t xml:space="preserve">  法定代表人：</w:t>
      </w:r>
      <w:r>
        <w:rPr>
          <w:rFonts w:hint="eastAsia" w:ascii="宋体" w:hAnsi="宋体"/>
          <w:color w:val="auto"/>
          <w:u w:val="single"/>
        </w:rPr>
        <w:t xml:space="preserve">             </w:t>
      </w:r>
    </w:p>
    <w:p>
      <w:pPr>
        <w:spacing w:line="288" w:lineRule="auto"/>
        <w:ind w:firstLine="420" w:firstLineChars="200"/>
        <w:rPr>
          <w:rFonts w:ascii="宋体" w:hAnsi="宋体"/>
          <w:color w:val="auto"/>
        </w:rPr>
      </w:pPr>
      <w:r>
        <w:rPr>
          <w:rFonts w:hint="eastAsia" w:ascii="宋体" w:hAnsi="宋体"/>
          <w:color w:val="auto"/>
        </w:rPr>
        <w:t>委托代理人：</w:t>
      </w:r>
      <w:r>
        <w:rPr>
          <w:rFonts w:hint="eastAsia" w:ascii="宋体" w:hAnsi="宋体"/>
          <w:color w:val="auto"/>
          <w:u w:val="single"/>
        </w:rPr>
        <w:t xml:space="preserve">           </w:t>
      </w:r>
      <w:r>
        <w:rPr>
          <w:rFonts w:hint="eastAsia" w:ascii="宋体" w:hAnsi="宋体"/>
          <w:color w:val="auto"/>
        </w:rPr>
        <w:t xml:space="preserve">  委托代理人：</w:t>
      </w:r>
      <w:r>
        <w:rPr>
          <w:rFonts w:hint="eastAsia" w:ascii="宋体" w:hAnsi="宋体"/>
          <w:color w:val="auto"/>
          <w:u w:val="single"/>
        </w:rPr>
        <w:t xml:space="preserve">             </w:t>
      </w:r>
    </w:p>
    <w:p>
      <w:pPr>
        <w:spacing w:line="288" w:lineRule="auto"/>
        <w:ind w:firstLine="420" w:firstLineChars="200"/>
        <w:rPr>
          <w:rFonts w:ascii="宋体" w:hAnsi="宋体"/>
          <w:color w:val="auto"/>
        </w:rPr>
      </w:pPr>
      <w:r>
        <w:rPr>
          <w:rFonts w:hint="eastAsia" w:ascii="宋体" w:hAnsi="宋体"/>
          <w:color w:val="auto"/>
        </w:rPr>
        <w:t>电  话：</w:t>
      </w:r>
      <w:r>
        <w:rPr>
          <w:rFonts w:hint="eastAsia" w:ascii="宋体" w:hAnsi="宋体"/>
          <w:color w:val="auto"/>
          <w:u w:val="single"/>
        </w:rPr>
        <w:t xml:space="preserve">   </w:t>
      </w:r>
      <w:r>
        <w:rPr>
          <w:rFonts w:hint="eastAsia" w:ascii="宋体" w:hAnsi="宋体"/>
          <w:color w:val="auto"/>
        </w:rPr>
        <w:t xml:space="preserve">  电  话：</w:t>
      </w:r>
      <w:r>
        <w:rPr>
          <w:rFonts w:hint="eastAsia" w:ascii="宋体" w:hAnsi="宋体"/>
          <w:color w:val="auto"/>
          <w:u w:val="single"/>
        </w:rPr>
        <w:t xml:space="preserve">     </w:t>
      </w:r>
    </w:p>
    <w:p>
      <w:pPr>
        <w:spacing w:line="288" w:lineRule="auto"/>
        <w:ind w:firstLine="420" w:firstLineChars="200"/>
        <w:rPr>
          <w:rFonts w:ascii="宋体" w:hAnsi="宋体"/>
          <w:color w:val="auto"/>
        </w:rPr>
      </w:pP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 xml:space="preserve">  传  真：</w:t>
      </w:r>
      <w:r>
        <w:rPr>
          <w:rFonts w:hint="eastAsia" w:ascii="宋体" w:hAnsi="宋体"/>
          <w:color w:val="auto"/>
          <w:u w:val="single"/>
        </w:rPr>
        <w:t xml:space="preserve">     </w:t>
      </w:r>
    </w:p>
    <w:p>
      <w:pPr>
        <w:spacing w:line="288" w:lineRule="auto"/>
        <w:ind w:firstLine="420" w:firstLineChars="200"/>
        <w:rPr>
          <w:rFonts w:ascii="宋体" w:hAnsi="宋体"/>
          <w:color w:val="auto"/>
        </w:rPr>
      </w:pPr>
      <w:r>
        <w:rPr>
          <w:rFonts w:hint="eastAsia" w:ascii="宋体" w:hAnsi="宋体"/>
          <w:color w:val="auto"/>
        </w:rPr>
        <w:t>电子信箱：  电子信箱：</w:t>
      </w:r>
      <w:r>
        <w:rPr>
          <w:rFonts w:hint="eastAsia" w:ascii="宋体" w:hAnsi="宋体"/>
          <w:color w:val="auto"/>
          <w:u w:val="single"/>
        </w:rPr>
        <w:t xml:space="preserve">   </w:t>
      </w:r>
    </w:p>
    <w:p>
      <w:pPr>
        <w:spacing w:line="288" w:lineRule="auto"/>
        <w:ind w:firstLine="420" w:firstLineChars="200"/>
        <w:rPr>
          <w:rFonts w:ascii="宋体" w:hAnsi="宋体"/>
          <w:color w:val="auto"/>
        </w:rPr>
      </w:pPr>
      <w:r>
        <w:rPr>
          <w:rFonts w:hint="eastAsia" w:ascii="宋体" w:hAnsi="宋体"/>
          <w:color w:val="auto"/>
        </w:rPr>
        <w:t>开户银行：</w:t>
      </w:r>
      <w:r>
        <w:rPr>
          <w:rFonts w:hint="eastAsia" w:ascii="宋体" w:hAnsi="宋体"/>
          <w:color w:val="auto"/>
          <w:u w:val="single"/>
        </w:rPr>
        <w:t xml:space="preserve">   </w:t>
      </w:r>
      <w:r>
        <w:rPr>
          <w:rFonts w:hint="eastAsia" w:ascii="宋体" w:hAnsi="宋体"/>
          <w:color w:val="auto"/>
        </w:rPr>
        <w:t xml:space="preserve">  开户银行：</w:t>
      </w:r>
      <w:r>
        <w:rPr>
          <w:rFonts w:hint="eastAsia" w:ascii="宋体" w:hAnsi="宋体"/>
          <w:color w:val="auto"/>
          <w:u w:val="single"/>
        </w:rPr>
        <w:t xml:space="preserve">   </w:t>
      </w:r>
    </w:p>
    <w:p>
      <w:pPr>
        <w:spacing w:line="288" w:lineRule="auto"/>
        <w:ind w:firstLine="420" w:firstLineChars="200"/>
        <w:rPr>
          <w:rFonts w:ascii="宋体" w:hAnsi="宋体"/>
          <w:color w:val="auto"/>
          <w:u w:val="single"/>
        </w:rPr>
      </w:pPr>
      <w:r>
        <w:rPr>
          <w:rFonts w:hint="eastAsia" w:ascii="宋体" w:hAnsi="宋体"/>
          <w:color w:val="auto"/>
        </w:rPr>
        <w:t>账  号：</w:t>
      </w:r>
      <w:r>
        <w:rPr>
          <w:rFonts w:hint="eastAsia" w:ascii="宋体" w:hAnsi="宋体"/>
          <w:color w:val="auto"/>
          <w:u w:val="single"/>
        </w:rPr>
        <w:t xml:space="preserve">       </w:t>
      </w:r>
      <w:r>
        <w:rPr>
          <w:rFonts w:hint="eastAsia" w:ascii="宋体" w:hAnsi="宋体"/>
          <w:color w:val="auto"/>
        </w:rPr>
        <w:t xml:space="preserve">  账  号：</w:t>
      </w:r>
      <w:r>
        <w:rPr>
          <w:rFonts w:hint="eastAsia" w:ascii="宋体" w:hAnsi="宋体"/>
          <w:color w:val="auto"/>
          <w:u w:val="single"/>
        </w:rPr>
        <w:t xml:space="preserve">     </w:t>
      </w:r>
    </w:p>
    <w:p>
      <w:pPr>
        <w:spacing w:line="288" w:lineRule="auto"/>
        <w:ind w:firstLine="420" w:firstLineChars="200"/>
        <w:rPr>
          <w:rFonts w:ascii="宋体" w:hAnsi="宋体"/>
          <w:color w:val="auto"/>
        </w:rPr>
      </w:pPr>
      <w:r>
        <w:rPr>
          <w:rFonts w:hint="eastAsia" w:ascii="宋体" w:hAnsi="宋体"/>
          <w:color w:val="auto"/>
        </w:rPr>
        <w:t>日  期：</w:t>
      </w:r>
      <w:r>
        <w:rPr>
          <w:rFonts w:hint="eastAsia" w:ascii="宋体" w:hAnsi="宋体"/>
          <w:color w:val="auto"/>
          <w:u w:val="single"/>
        </w:rPr>
        <w:t xml:space="preserve">   </w:t>
      </w:r>
      <w:r>
        <w:rPr>
          <w:rFonts w:hint="eastAsia" w:ascii="宋体" w:hAnsi="宋体"/>
          <w:color w:val="auto"/>
        </w:rPr>
        <w:t xml:space="preserve">  日  期：</w:t>
      </w:r>
      <w:r>
        <w:rPr>
          <w:rFonts w:hint="eastAsia" w:ascii="宋体" w:hAnsi="宋体"/>
          <w:color w:val="auto"/>
          <w:u w:val="single"/>
        </w:rPr>
        <w:t xml:space="preserve">     </w:t>
      </w:r>
    </w:p>
    <w:p>
      <w:pPr>
        <w:spacing w:line="288" w:lineRule="auto"/>
        <w:ind w:firstLine="420" w:firstLineChars="200"/>
        <w:jc w:val="center"/>
        <w:outlineLvl w:val="1"/>
        <w:rPr>
          <w:rFonts w:ascii="宋体" w:hAnsi="宋体"/>
          <w:color w:val="auto"/>
          <w:sz w:val="44"/>
          <w:szCs w:val="44"/>
        </w:rPr>
      </w:pPr>
      <w:r>
        <w:rPr>
          <w:rFonts w:hint="eastAsia" w:ascii="宋体" w:hAnsi="宋体"/>
          <w:color w:val="auto"/>
        </w:rPr>
        <w:br w:type="page"/>
      </w:r>
      <w:bookmarkStart w:id="918" w:name="_Toc12478"/>
      <w:bookmarkEnd w:id="918"/>
      <w:bookmarkStart w:id="919" w:name="_Toc23161"/>
      <w:bookmarkEnd w:id="919"/>
      <w:bookmarkStart w:id="920" w:name="_Toc32534"/>
      <w:bookmarkEnd w:id="920"/>
      <w:bookmarkStart w:id="921" w:name="_Toc11278"/>
      <w:bookmarkEnd w:id="921"/>
      <w:bookmarkStart w:id="922" w:name="_Toc129073519"/>
      <w:bookmarkStart w:id="923" w:name="_Toc351203494"/>
      <w:bookmarkStart w:id="924" w:name="_Toc23889"/>
      <w:bookmarkStart w:id="925" w:name="_Toc28953"/>
      <w:bookmarkStart w:id="926" w:name="_Toc7407"/>
      <w:bookmarkStart w:id="927" w:name="_Toc25703"/>
      <w:bookmarkStart w:id="928" w:name="_Toc19036"/>
      <w:r>
        <w:rPr>
          <w:rFonts w:hint="eastAsia" w:ascii="宋体" w:hAnsi="宋体"/>
          <w:b/>
          <w:bCs/>
          <w:color w:val="auto"/>
          <w:sz w:val="28"/>
          <w:szCs w:val="28"/>
        </w:rPr>
        <w:t>第二部分 通用合同条款</w:t>
      </w:r>
      <w:bookmarkEnd w:id="922"/>
      <w:bookmarkEnd w:id="923"/>
      <w:bookmarkEnd w:id="924"/>
      <w:bookmarkEnd w:id="925"/>
      <w:bookmarkEnd w:id="926"/>
      <w:bookmarkEnd w:id="927"/>
      <w:bookmarkEnd w:id="928"/>
      <w:bookmarkStart w:id="929" w:name="_Toc337558727"/>
      <w:bookmarkEnd w:id="929"/>
    </w:p>
    <w:p>
      <w:pPr>
        <w:autoSpaceDE w:val="0"/>
        <w:autoSpaceDN w:val="0"/>
        <w:adjustRightInd w:val="0"/>
        <w:spacing w:line="360" w:lineRule="auto"/>
        <w:jc w:val="center"/>
        <w:rPr>
          <w:rFonts w:ascii="宋体" w:hAnsi="宋体"/>
          <w:color w:val="auto"/>
          <w:kern w:val="0"/>
        </w:rPr>
      </w:pPr>
      <w:bookmarkStart w:id="930" w:name="_Toc351203632"/>
      <w:bookmarkEnd w:id="930"/>
      <w:r>
        <w:rPr>
          <w:rFonts w:hint="eastAsia" w:ascii="宋体" w:hAnsi="宋体"/>
          <w:color w:val="auto"/>
          <w:kern w:val="0"/>
        </w:rPr>
        <w:t>通用合同条款内容请见中华人民共和国《建设工程施工合同（示范文本）》（GF-2017-0201）</w:t>
      </w:r>
    </w:p>
    <w:p>
      <w:pPr>
        <w:pStyle w:val="3"/>
        <w:rPr>
          <w:color w:val="auto"/>
        </w:rPr>
      </w:pPr>
      <w:r>
        <w:rPr>
          <w:rFonts w:hint="eastAsia"/>
          <w:color w:val="auto"/>
        </w:rPr>
        <w:br w:type="page"/>
      </w:r>
      <w:bookmarkStart w:id="931" w:name="_Toc18939"/>
      <w:bookmarkEnd w:id="931"/>
    </w:p>
    <w:p>
      <w:pPr>
        <w:pStyle w:val="4"/>
        <w:ind w:left="420"/>
        <w:jc w:val="center"/>
        <w:rPr>
          <w:rFonts w:ascii="宋体" w:hAnsi="宋体" w:eastAsia="宋体" w:cs="宋体"/>
          <w:color w:val="auto"/>
          <w:sz w:val="28"/>
          <w:szCs w:val="28"/>
        </w:rPr>
      </w:pPr>
      <w:bookmarkStart w:id="932" w:name="_Toc351203633"/>
      <w:bookmarkEnd w:id="932"/>
      <w:bookmarkStart w:id="933" w:name="_Toc3178"/>
      <w:bookmarkStart w:id="934" w:name="_Toc10884"/>
      <w:r>
        <w:rPr>
          <w:rFonts w:hint="eastAsia" w:ascii="宋体" w:hAnsi="宋体" w:eastAsia="宋体" w:cs="宋体"/>
          <w:color w:val="auto"/>
          <w:sz w:val="28"/>
          <w:szCs w:val="28"/>
        </w:rPr>
        <w:t>第三部分 专用合同条款</w:t>
      </w:r>
      <w:bookmarkEnd w:id="933"/>
      <w:bookmarkEnd w:id="934"/>
    </w:p>
    <w:p>
      <w:pPr>
        <w:numPr>
          <w:ilvl w:val="0"/>
          <w:numId w:val="14"/>
        </w:numPr>
        <w:tabs>
          <w:tab w:val="left" w:pos="438"/>
        </w:tabs>
        <w:spacing w:line="440" w:lineRule="exact"/>
        <w:ind w:left="0" w:firstLine="420" w:firstLineChars="200"/>
        <w:jc w:val="left"/>
        <w:textAlignment w:val="baseline"/>
        <w:rPr>
          <w:rFonts w:ascii="宋体" w:hAnsi="宋体" w:cs="宋体"/>
          <w:color w:val="auto"/>
          <w:kern w:val="0"/>
        </w:rPr>
      </w:pPr>
      <w:bookmarkStart w:id="935" w:name="_Toc15901"/>
      <w:r>
        <w:rPr>
          <w:rFonts w:hint="eastAsia" w:ascii="宋体" w:hAnsi="宋体" w:cs="宋体"/>
          <w:color w:val="auto"/>
          <w:kern w:val="0"/>
        </w:rPr>
        <w:t>一般约定</w:t>
      </w:r>
      <w:bookmarkEnd w:id="935"/>
    </w:p>
    <w:p>
      <w:pPr>
        <w:pStyle w:val="68"/>
        <w:numPr>
          <w:ilvl w:val="1"/>
          <w:numId w:val="14"/>
        </w:numPr>
        <w:tabs>
          <w:tab w:val="left" w:pos="966"/>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词语定义</w:t>
      </w:r>
    </w:p>
    <w:p>
      <w:pPr>
        <w:pStyle w:val="68"/>
        <w:numPr>
          <w:ilvl w:val="2"/>
          <w:numId w:val="14"/>
        </w:numPr>
        <w:tabs>
          <w:tab w:val="left" w:pos="1124"/>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合同</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1.1.1.10 其他合同文件包括：</w:t>
      </w:r>
      <w:r>
        <w:rPr>
          <w:rFonts w:hint="eastAsia" w:ascii="宋体" w:hAnsi="宋体" w:cs="宋体"/>
          <w:color w:val="auto"/>
          <w:sz w:val="21"/>
          <w:szCs w:val="21"/>
          <w:u w:val="single"/>
        </w:rPr>
        <w:t>（1）本合同的补充协议（2）双方有关工程的洽商，变更等书面协议及文件（包括但不限于本合同履行及工程施工过程中所形成的补充协议、会议纪要、设计变更、技术联系单、现场签证等修正文件或资料、工程进行过程中的有关函件、数据文件（传真数据交换、电子邮件）等）（3）招、</w:t>
      </w:r>
      <w:r>
        <w:rPr>
          <w:rFonts w:hint="eastAsia" w:ascii="宋体" w:hAnsi="宋体" w:cs="宋体"/>
          <w:color w:val="auto"/>
          <w:sz w:val="21"/>
          <w:szCs w:val="21"/>
          <w:u w:val="single"/>
          <w:lang w:eastAsia="zh-CN"/>
        </w:rPr>
        <w:t>响应文件</w:t>
      </w:r>
      <w:r>
        <w:rPr>
          <w:rFonts w:hint="eastAsia" w:ascii="宋体" w:hAnsi="宋体" w:cs="宋体"/>
          <w:color w:val="auto"/>
          <w:sz w:val="21"/>
          <w:szCs w:val="21"/>
          <w:u w:val="single"/>
        </w:rPr>
        <w:t>（4）经审批的施工组织设计及专项施工方案等资料（5）其他与本工程相关的资料。</w:t>
      </w:r>
    </w:p>
    <w:p>
      <w:pPr>
        <w:numPr>
          <w:ilvl w:val="2"/>
          <w:numId w:val="14"/>
        </w:numPr>
        <w:tabs>
          <w:tab w:val="left" w:pos="1177"/>
        </w:tabs>
        <w:spacing w:line="440" w:lineRule="exact"/>
        <w:ind w:left="0" w:firstLine="420" w:firstLineChars="200"/>
        <w:textAlignment w:val="baseline"/>
        <w:rPr>
          <w:rFonts w:ascii="宋体" w:hAnsi="宋体" w:cs="宋体"/>
          <w:color w:val="auto"/>
          <w:kern w:val="0"/>
        </w:rPr>
      </w:pPr>
      <w:bookmarkStart w:id="936" w:name="_Toc16648"/>
      <w:r>
        <w:rPr>
          <w:rFonts w:hint="eastAsia" w:ascii="宋体" w:hAnsi="宋体" w:cs="宋体"/>
          <w:color w:val="auto"/>
          <w:kern w:val="0"/>
        </w:rPr>
        <w:t>合同当事人及其他相关方</w:t>
      </w:r>
      <w:bookmarkEnd w:id="936"/>
    </w:p>
    <w:p>
      <w:pPr>
        <w:pStyle w:val="68"/>
        <w:numPr>
          <w:ilvl w:val="3"/>
          <w:numId w:val="14"/>
        </w:numPr>
        <w:tabs>
          <w:tab w:val="left" w:pos="1330"/>
          <w:tab w:val="left" w:pos="3900"/>
          <w:tab w:val="left" w:pos="3953"/>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监理人：</w:t>
      </w:r>
      <w:r>
        <w:rPr>
          <w:rFonts w:hint="eastAsia" w:ascii="宋体" w:hAnsi="宋体" w:cs="宋体"/>
          <w:color w:val="auto"/>
          <w:kern w:val="0"/>
          <w:u w:val="single"/>
        </w:rPr>
        <w:t xml:space="preserve">                          </w:t>
      </w:r>
      <w:r>
        <w:rPr>
          <w:rFonts w:hint="eastAsia" w:ascii="宋体" w:hAnsi="宋体" w:cs="宋体"/>
          <w:color w:val="auto"/>
          <w:kern w:val="0"/>
        </w:rPr>
        <w:t>；</w:t>
      </w:r>
    </w:p>
    <w:p>
      <w:pPr>
        <w:pStyle w:val="68"/>
        <w:tabs>
          <w:tab w:val="left" w:pos="1330"/>
          <w:tab w:val="left" w:pos="3900"/>
          <w:tab w:val="left" w:pos="3953"/>
        </w:tabs>
        <w:spacing w:line="440" w:lineRule="exact"/>
        <w:ind w:left="0" w:firstLine="420" w:firstLineChars="200"/>
        <w:jc w:val="left"/>
        <w:textAlignment w:val="baseline"/>
        <w:rPr>
          <w:rFonts w:ascii="宋体" w:hAnsi="宋体" w:cs="宋体"/>
          <w:color w:val="auto"/>
          <w:kern w:val="0"/>
          <w:u w:val="single"/>
        </w:rPr>
      </w:pPr>
      <w:r>
        <w:rPr>
          <w:rFonts w:hint="eastAsia" w:ascii="宋体" w:hAnsi="宋体" w:cs="宋体"/>
          <w:color w:val="auto"/>
          <w:kern w:val="0"/>
        </w:rPr>
        <w:t>名    称：</w:t>
      </w:r>
      <w:r>
        <w:rPr>
          <w:rFonts w:hint="eastAsia" w:ascii="宋体" w:hAnsi="宋体" w:cs="宋体"/>
          <w:color w:val="auto"/>
          <w:kern w:val="0"/>
          <w:u w:val="single"/>
        </w:rPr>
        <w:t xml:space="preserve">                          </w:t>
      </w:r>
      <w:r>
        <w:rPr>
          <w:rFonts w:hint="eastAsia" w:ascii="宋体" w:hAnsi="宋体" w:cs="宋体"/>
          <w:color w:val="auto"/>
          <w:kern w:val="0"/>
        </w:rPr>
        <w:t xml:space="preserve">； </w:t>
      </w:r>
    </w:p>
    <w:p>
      <w:pPr>
        <w:pStyle w:val="68"/>
        <w:tabs>
          <w:tab w:val="left" w:pos="1330"/>
          <w:tab w:val="left" w:pos="3900"/>
          <w:tab w:val="left" w:pos="3953"/>
        </w:tabs>
        <w:spacing w:line="440" w:lineRule="exact"/>
        <w:ind w:left="0" w:firstLine="420" w:firstLineChars="200"/>
        <w:jc w:val="left"/>
        <w:textAlignment w:val="baseline"/>
        <w:rPr>
          <w:rFonts w:ascii="宋体" w:hAnsi="宋体" w:cs="宋体"/>
          <w:color w:val="auto"/>
          <w:kern w:val="0"/>
          <w:u w:val="single"/>
        </w:rPr>
      </w:pPr>
      <w:r>
        <w:rPr>
          <w:rFonts w:hint="eastAsia" w:ascii="宋体" w:hAnsi="宋体" w:cs="宋体"/>
          <w:color w:val="auto"/>
          <w:kern w:val="0"/>
        </w:rPr>
        <w:t>资质类别和等级：</w:t>
      </w:r>
      <w:r>
        <w:rPr>
          <w:rFonts w:hint="eastAsia" w:ascii="宋体" w:hAnsi="宋体" w:cs="宋体"/>
          <w:color w:val="auto"/>
          <w:kern w:val="0"/>
          <w:u w:val="single"/>
        </w:rPr>
        <w:t xml:space="preserve">                   ； </w:t>
      </w:r>
    </w:p>
    <w:p>
      <w:pPr>
        <w:pStyle w:val="68"/>
        <w:tabs>
          <w:tab w:val="left" w:pos="1330"/>
          <w:tab w:val="left" w:pos="3900"/>
          <w:tab w:val="left" w:pos="3953"/>
        </w:tabs>
        <w:spacing w:line="440" w:lineRule="exact"/>
        <w:ind w:left="0" w:firstLine="420" w:firstLineChars="200"/>
        <w:jc w:val="left"/>
        <w:textAlignment w:val="baseline"/>
        <w:rPr>
          <w:rFonts w:ascii="宋体" w:hAnsi="宋体" w:cs="宋体"/>
          <w:color w:val="auto"/>
          <w:kern w:val="0"/>
          <w:u w:val="single"/>
        </w:rPr>
      </w:pPr>
      <w:r>
        <w:rPr>
          <w:rFonts w:hint="eastAsia" w:ascii="宋体" w:hAnsi="宋体" w:cs="宋体"/>
          <w:color w:val="auto"/>
          <w:kern w:val="0"/>
        </w:rPr>
        <w:t>联系电话：</w:t>
      </w:r>
      <w:r>
        <w:rPr>
          <w:rFonts w:hint="eastAsia" w:ascii="宋体" w:hAnsi="宋体" w:cs="宋体"/>
          <w:color w:val="auto"/>
          <w:kern w:val="0"/>
          <w:u w:val="single"/>
        </w:rPr>
        <w:t xml:space="preserve">                          ； </w:t>
      </w:r>
    </w:p>
    <w:p>
      <w:pPr>
        <w:pStyle w:val="68"/>
        <w:tabs>
          <w:tab w:val="left" w:pos="1330"/>
          <w:tab w:val="left" w:pos="3900"/>
          <w:tab w:val="left" w:pos="3953"/>
        </w:tabs>
        <w:spacing w:line="440" w:lineRule="exact"/>
        <w:ind w:left="0" w:firstLine="420" w:firstLineChars="200"/>
        <w:jc w:val="left"/>
        <w:textAlignment w:val="baseline"/>
        <w:rPr>
          <w:rFonts w:ascii="宋体" w:hAnsi="宋体" w:cs="宋体"/>
          <w:color w:val="auto"/>
          <w:kern w:val="0"/>
          <w:u w:val="single"/>
        </w:rPr>
      </w:pPr>
      <w:r>
        <w:rPr>
          <w:rFonts w:hint="eastAsia" w:ascii="宋体" w:hAnsi="宋体" w:cs="宋体"/>
          <w:color w:val="auto"/>
          <w:kern w:val="0"/>
        </w:rPr>
        <w:t>电子信箱：</w:t>
      </w:r>
      <w:r>
        <w:rPr>
          <w:rFonts w:hint="eastAsia" w:ascii="宋体" w:hAnsi="宋体" w:cs="宋体"/>
          <w:color w:val="auto"/>
          <w:kern w:val="0"/>
          <w:u w:val="single"/>
        </w:rPr>
        <w:t xml:space="preserve">                            ；</w:t>
      </w:r>
    </w:p>
    <w:p>
      <w:pPr>
        <w:pStyle w:val="68"/>
        <w:tabs>
          <w:tab w:val="left" w:pos="1330"/>
          <w:tab w:val="left" w:pos="3900"/>
          <w:tab w:val="left" w:pos="3953"/>
        </w:tabs>
        <w:spacing w:line="440" w:lineRule="exact"/>
        <w:ind w:left="0" w:firstLine="420" w:firstLineChars="200"/>
        <w:jc w:val="left"/>
        <w:textAlignment w:val="baseline"/>
        <w:rPr>
          <w:rFonts w:ascii="宋体" w:hAnsi="宋体" w:cs="宋体"/>
          <w:color w:val="auto"/>
          <w:kern w:val="0"/>
        </w:rPr>
      </w:pPr>
      <w:r>
        <w:rPr>
          <w:rFonts w:hint="eastAsia" w:ascii="宋体" w:hAnsi="宋体" w:cs="宋体"/>
          <w:color w:val="auto"/>
          <w:kern w:val="0"/>
        </w:rPr>
        <w:t>通信地址：</w:t>
      </w:r>
      <w:r>
        <w:rPr>
          <w:rFonts w:hint="eastAsia" w:ascii="宋体" w:hAnsi="宋体" w:cs="宋体"/>
          <w:color w:val="auto"/>
          <w:kern w:val="0"/>
          <w:u w:val="single"/>
        </w:rPr>
        <w:t xml:space="preserve">                             。</w:t>
      </w:r>
    </w:p>
    <w:p>
      <w:pPr>
        <w:pStyle w:val="68"/>
        <w:numPr>
          <w:ilvl w:val="3"/>
          <w:numId w:val="14"/>
        </w:numPr>
        <w:tabs>
          <w:tab w:val="left" w:pos="1383"/>
          <w:tab w:val="left" w:pos="390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设计人：</w:t>
      </w:r>
      <w:r>
        <w:rPr>
          <w:rFonts w:hint="eastAsia" w:ascii="宋体" w:hAnsi="宋体" w:cs="宋体"/>
          <w:color w:val="auto"/>
          <w:kern w:val="0"/>
          <w:u w:val="single"/>
        </w:rPr>
        <w:t xml:space="preserve">                            ； </w:t>
      </w:r>
    </w:p>
    <w:p>
      <w:pPr>
        <w:pStyle w:val="68"/>
        <w:tabs>
          <w:tab w:val="left" w:pos="1383"/>
          <w:tab w:val="left" w:pos="3900"/>
        </w:tabs>
        <w:spacing w:line="440" w:lineRule="exact"/>
        <w:ind w:left="0" w:firstLine="420" w:firstLineChars="200"/>
        <w:jc w:val="left"/>
        <w:textAlignment w:val="baseline"/>
        <w:rPr>
          <w:rFonts w:ascii="宋体" w:hAnsi="宋体" w:cs="宋体"/>
          <w:color w:val="auto"/>
          <w:kern w:val="0"/>
          <w:u w:val="single"/>
        </w:rPr>
      </w:pPr>
      <w:r>
        <w:rPr>
          <w:rFonts w:hint="eastAsia" w:ascii="宋体" w:hAnsi="宋体" w:cs="宋体"/>
          <w:color w:val="auto"/>
          <w:kern w:val="0"/>
        </w:rPr>
        <w:t>名    称：</w:t>
      </w:r>
      <w:r>
        <w:rPr>
          <w:rFonts w:hint="eastAsia" w:ascii="宋体" w:hAnsi="宋体" w:cs="宋体"/>
          <w:color w:val="auto"/>
          <w:kern w:val="0"/>
          <w:u w:val="single"/>
        </w:rPr>
        <w:t xml:space="preserve">                           ； </w:t>
      </w:r>
    </w:p>
    <w:p>
      <w:pPr>
        <w:pStyle w:val="68"/>
        <w:tabs>
          <w:tab w:val="left" w:pos="1383"/>
          <w:tab w:val="left" w:pos="3900"/>
        </w:tabs>
        <w:spacing w:line="440" w:lineRule="exact"/>
        <w:ind w:left="0" w:firstLine="420" w:firstLineChars="200"/>
        <w:jc w:val="left"/>
        <w:textAlignment w:val="baseline"/>
        <w:rPr>
          <w:rFonts w:ascii="宋体" w:hAnsi="宋体" w:cs="宋体"/>
          <w:color w:val="auto"/>
          <w:kern w:val="0"/>
          <w:u w:val="single"/>
        </w:rPr>
      </w:pPr>
      <w:r>
        <w:rPr>
          <w:rFonts w:hint="eastAsia" w:ascii="宋体" w:hAnsi="宋体" w:cs="宋体"/>
          <w:color w:val="auto"/>
          <w:kern w:val="0"/>
        </w:rPr>
        <w:t>资质类别和等级：</w:t>
      </w:r>
      <w:r>
        <w:rPr>
          <w:rFonts w:hint="eastAsia" w:ascii="宋体" w:hAnsi="宋体" w:cs="宋体"/>
          <w:color w:val="auto"/>
          <w:kern w:val="0"/>
          <w:u w:val="single"/>
        </w:rPr>
        <w:t xml:space="preserve">                     ； </w:t>
      </w:r>
    </w:p>
    <w:p>
      <w:pPr>
        <w:pStyle w:val="68"/>
        <w:tabs>
          <w:tab w:val="left" w:pos="1383"/>
          <w:tab w:val="left" w:pos="3900"/>
        </w:tabs>
        <w:spacing w:line="440" w:lineRule="exact"/>
        <w:ind w:left="0" w:firstLine="420" w:firstLineChars="200"/>
        <w:jc w:val="left"/>
        <w:textAlignment w:val="baseline"/>
        <w:rPr>
          <w:rFonts w:ascii="宋体" w:hAnsi="宋体" w:cs="宋体"/>
          <w:color w:val="auto"/>
          <w:kern w:val="0"/>
          <w:u w:val="single"/>
        </w:rPr>
      </w:pPr>
      <w:r>
        <w:rPr>
          <w:rFonts w:hint="eastAsia" w:ascii="宋体" w:hAnsi="宋体" w:cs="宋体"/>
          <w:color w:val="auto"/>
          <w:kern w:val="0"/>
        </w:rPr>
        <w:t>联系电话：</w:t>
      </w:r>
      <w:r>
        <w:rPr>
          <w:rFonts w:hint="eastAsia" w:ascii="宋体" w:hAnsi="宋体" w:cs="宋体"/>
          <w:color w:val="auto"/>
          <w:kern w:val="0"/>
          <w:u w:val="single"/>
        </w:rPr>
        <w:t xml:space="preserve">                            ； </w:t>
      </w:r>
    </w:p>
    <w:p>
      <w:pPr>
        <w:pStyle w:val="68"/>
        <w:tabs>
          <w:tab w:val="left" w:pos="1383"/>
          <w:tab w:val="left" w:pos="3900"/>
        </w:tabs>
        <w:spacing w:line="440" w:lineRule="exact"/>
        <w:ind w:left="0" w:firstLine="420" w:firstLineChars="200"/>
        <w:jc w:val="left"/>
        <w:textAlignment w:val="baseline"/>
        <w:rPr>
          <w:rFonts w:ascii="宋体" w:hAnsi="宋体" w:cs="宋体"/>
          <w:color w:val="auto"/>
          <w:kern w:val="0"/>
          <w:u w:val="single"/>
        </w:rPr>
      </w:pPr>
      <w:r>
        <w:rPr>
          <w:rFonts w:hint="eastAsia" w:ascii="宋体" w:hAnsi="宋体" w:cs="宋体"/>
          <w:color w:val="auto"/>
          <w:kern w:val="0"/>
        </w:rPr>
        <w:t>电子信箱：</w:t>
      </w:r>
      <w:r>
        <w:rPr>
          <w:rFonts w:hint="eastAsia" w:ascii="宋体" w:hAnsi="宋体" w:cs="宋体"/>
          <w:color w:val="auto"/>
          <w:kern w:val="0"/>
          <w:u w:val="single"/>
        </w:rPr>
        <w:t xml:space="preserve">                            ； </w:t>
      </w:r>
    </w:p>
    <w:p>
      <w:pPr>
        <w:pStyle w:val="68"/>
        <w:tabs>
          <w:tab w:val="left" w:pos="1383"/>
          <w:tab w:val="left" w:pos="3900"/>
        </w:tabs>
        <w:spacing w:line="440" w:lineRule="exact"/>
        <w:ind w:left="0" w:firstLine="420" w:firstLineChars="200"/>
        <w:jc w:val="left"/>
        <w:textAlignment w:val="baseline"/>
        <w:rPr>
          <w:rFonts w:ascii="宋体" w:hAnsi="宋体" w:cs="宋体"/>
          <w:color w:val="auto"/>
          <w:kern w:val="0"/>
        </w:rPr>
      </w:pPr>
      <w:r>
        <w:rPr>
          <w:rFonts w:hint="eastAsia" w:ascii="宋体" w:hAnsi="宋体" w:cs="宋体"/>
          <w:color w:val="auto"/>
          <w:kern w:val="0"/>
        </w:rPr>
        <w:t>通信地址：</w:t>
      </w:r>
      <w:r>
        <w:rPr>
          <w:rFonts w:hint="eastAsia" w:ascii="宋体" w:hAnsi="宋体" w:cs="宋体"/>
          <w:color w:val="auto"/>
          <w:kern w:val="0"/>
          <w:u w:val="single"/>
        </w:rPr>
        <w:t xml:space="preserve">                           。</w:t>
      </w:r>
    </w:p>
    <w:p>
      <w:pPr>
        <w:numPr>
          <w:ilvl w:val="2"/>
          <w:numId w:val="14"/>
        </w:numPr>
        <w:tabs>
          <w:tab w:val="left" w:pos="1177"/>
        </w:tabs>
        <w:spacing w:line="440" w:lineRule="exact"/>
        <w:ind w:left="0" w:firstLine="420" w:firstLineChars="200"/>
        <w:textAlignment w:val="baseline"/>
        <w:rPr>
          <w:rFonts w:ascii="宋体" w:hAnsi="宋体" w:cs="宋体"/>
          <w:color w:val="auto"/>
          <w:kern w:val="0"/>
        </w:rPr>
      </w:pPr>
      <w:bookmarkStart w:id="937" w:name="_Toc13589"/>
      <w:r>
        <w:rPr>
          <w:rFonts w:hint="eastAsia" w:ascii="宋体" w:hAnsi="宋体" w:cs="宋体"/>
          <w:color w:val="auto"/>
          <w:kern w:val="0"/>
        </w:rPr>
        <w:t>工程和设备</w:t>
      </w:r>
      <w:bookmarkEnd w:id="937"/>
    </w:p>
    <w:p>
      <w:pPr>
        <w:pStyle w:val="10"/>
        <w:tabs>
          <w:tab w:val="left" w:pos="5583"/>
          <w:tab w:val="left" w:pos="6106"/>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1.1.3.7 作为施工现场组成部分的其他场所包括：</w:t>
      </w:r>
      <w:r>
        <w:rPr>
          <w:rFonts w:hint="eastAsia" w:ascii="宋体" w:hAnsi="宋体" w:cs="宋体"/>
          <w:color w:val="auto"/>
          <w:sz w:val="21"/>
          <w:szCs w:val="21"/>
          <w:u w:val="single"/>
        </w:rPr>
        <w:t xml:space="preserve"> /</w:t>
      </w:r>
    </w:p>
    <w:p>
      <w:pPr>
        <w:pStyle w:val="68"/>
        <w:numPr>
          <w:ilvl w:val="3"/>
          <w:numId w:val="15"/>
        </w:numPr>
        <w:tabs>
          <w:tab w:val="left" w:pos="1383"/>
          <w:tab w:val="left" w:pos="4426"/>
          <w:tab w:val="left" w:pos="610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永久占地包括：</w:t>
      </w:r>
      <w:r>
        <w:rPr>
          <w:rFonts w:hint="eastAsia" w:ascii="宋体" w:hAnsi="宋体" w:cs="宋体"/>
          <w:color w:val="auto"/>
          <w:kern w:val="0"/>
          <w:u w:val="single"/>
        </w:rPr>
        <w:t xml:space="preserve"> /</w:t>
      </w:r>
    </w:p>
    <w:p>
      <w:pPr>
        <w:pStyle w:val="68"/>
        <w:numPr>
          <w:ilvl w:val="3"/>
          <w:numId w:val="15"/>
        </w:numPr>
        <w:tabs>
          <w:tab w:val="left" w:pos="1486"/>
          <w:tab w:val="left" w:pos="4426"/>
          <w:tab w:val="left" w:pos="610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临时占地包括：</w:t>
      </w:r>
      <w:r>
        <w:rPr>
          <w:rFonts w:hint="eastAsia" w:ascii="宋体" w:hAnsi="宋体" w:cs="宋体"/>
          <w:color w:val="auto"/>
          <w:kern w:val="0"/>
          <w:u w:val="single"/>
        </w:rPr>
        <w:t xml:space="preserve"> /</w:t>
      </w:r>
    </w:p>
    <w:p>
      <w:pPr>
        <w:numPr>
          <w:ilvl w:val="1"/>
          <w:numId w:val="16"/>
        </w:numPr>
        <w:tabs>
          <w:tab w:val="left" w:pos="913"/>
        </w:tabs>
        <w:spacing w:line="440" w:lineRule="exact"/>
        <w:ind w:left="0" w:firstLine="420" w:firstLineChars="200"/>
        <w:textAlignment w:val="baseline"/>
        <w:rPr>
          <w:rFonts w:ascii="宋体" w:hAnsi="宋体" w:cs="宋体"/>
          <w:color w:val="auto"/>
          <w:kern w:val="0"/>
        </w:rPr>
      </w:pPr>
      <w:bookmarkStart w:id="938" w:name="_Toc8117"/>
      <w:r>
        <w:rPr>
          <w:rFonts w:hint="eastAsia" w:ascii="宋体" w:hAnsi="宋体" w:cs="宋体"/>
          <w:color w:val="auto"/>
          <w:kern w:val="0"/>
        </w:rPr>
        <w:t>法律</w:t>
      </w:r>
      <w:bookmarkEnd w:id="938"/>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适用于合同的其他规范性文件：</w:t>
      </w:r>
      <w:r>
        <w:rPr>
          <w:rFonts w:hint="eastAsia" w:ascii="宋体" w:hAnsi="宋体" w:cs="宋体"/>
          <w:color w:val="auto"/>
          <w:sz w:val="21"/>
          <w:szCs w:val="21"/>
          <w:u w:val="single"/>
        </w:rPr>
        <w:t>国家现行有关法律、法规，规章和河南省及邓州市现行有关法规，规章和规范性文件均对本合同有约束力</w:t>
      </w:r>
      <w:r>
        <w:rPr>
          <w:rFonts w:hint="eastAsia" w:ascii="宋体" w:hAnsi="宋体" w:cs="宋体"/>
          <w:color w:val="auto"/>
          <w:sz w:val="21"/>
          <w:szCs w:val="21"/>
        </w:rPr>
        <w:t>。</w:t>
      </w:r>
    </w:p>
    <w:p>
      <w:pPr>
        <w:numPr>
          <w:ilvl w:val="1"/>
          <w:numId w:val="16"/>
        </w:numPr>
        <w:tabs>
          <w:tab w:val="left" w:pos="966"/>
        </w:tabs>
        <w:spacing w:line="440" w:lineRule="exact"/>
        <w:ind w:left="0" w:firstLine="420" w:firstLineChars="200"/>
        <w:textAlignment w:val="baseline"/>
        <w:rPr>
          <w:rFonts w:ascii="宋体" w:hAnsi="宋体" w:cs="宋体"/>
          <w:color w:val="auto"/>
          <w:kern w:val="0"/>
        </w:rPr>
      </w:pPr>
      <w:bookmarkStart w:id="939" w:name="_Toc5102"/>
      <w:r>
        <w:rPr>
          <w:rFonts w:hint="eastAsia" w:ascii="宋体" w:hAnsi="宋体" w:cs="宋体"/>
          <w:color w:val="auto"/>
          <w:kern w:val="0"/>
        </w:rPr>
        <w:t>标准和规范</w:t>
      </w:r>
      <w:bookmarkEnd w:id="939"/>
    </w:p>
    <w:p>
      <w:pPr>
        <w:pStyle w:val="68"/>
        <w:numPr>
          <w:ilvl w:val="2"/>
          <w:numId w:val="16"/>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适用于工程的标准规范包括：</w:t>
      </w:r>
      <w:r>
        <w:rPr>
          <w:rFonts w:hint="eastAsia" w:ascii="宋体" w:hAnsi="宋体" w:cs="宋体"/>
          <w:color w:val="auto"/>
          <w:kern w:val="0"/>
          <w:u w:val="single"/>
        </w:rPr>
        <w:t>⑴本工程设计图纸要求；⑵国家、行业、河南省现行有关工程的施工及验收规范、规程和标准；⑶国家及地方没有规定的，按发包人指定的规范、标准执行；⑷工程施工期间，如果有新版的规范和标准颁布，应依照新分布的规范和标准所要求的开始执行日期执行；⑸对不在规范验评范围内的项目，执行设计院、制造厂家或发包人和承包人双方议定的补充技术标准。上述标准、规范如有矛盾之处，承包人应书面提请发包人和监理工程师予以澄清。</w:t>
      </w:r>
    </w:p>
    <w:p>
      <w:pPr>
        <w:pStyle w:val="68"/>
        <w:numPr>
          <w:ilvl w:val="2"/>
          <w:numId w:val="16"/>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发包人提供国外标准、规范的名称：</w:t>
      </w:r>
      <w:r>
        <w:rPr>
          <w:rFonts w:hint="eastAsia" w:ascii="宋体" w:hAnsi="宋体" w:cs="宋体"/>
          <w:color w:val="auto"/>
          <w:kern w:val="0"/>
          <w:u w:val="single"/>
        </w:rPr>
        <w:t>不提供。如有需要，承包人自备标准、规范</w:t>
      </w:r>
      <w:r>
        <w:rPr>
          <w:rFonts w:hint="eastAsia" w:ascii="宋体" w:hAnsi="宋体" w:cs="宋体"/>
          <w:color w:val="auto"/>
          <w:kern w:val="0"/>
        </w:rPr>
        <w:t>。</w:t>
      </w:r>
    </w:p>
    <w:p>
      <w:pPr>
        <w:pStyle w:val="68"/>
        <w:numPr>
          <w:ilvl w:val="2"/>
          <w:numId w:val="16"/>
        </w:numPr>
        <w:tabs>
          <w:tab w:val="left" w:pos="1119"/>
          <w:tab w:val="left" w:pos="222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发包人对工程的技术标准和功能要求的特殊要求：</w:t>
      </w:r>
      <w:r>
        <w:rPr>
          <w:rFonts w:hint="eastAsia" w:ascii="宋体" w:hAnsi="宋体" w:cs="宋体"/>
          <w:color w:val="auto"/>
          <w:kern w:val="0"/>
          <w:u w:val="single"/>
        </w:rPr>
        <w:t>按照招标文件中约定的技术标准和功能要求。</w:t>
      </w:r>
    </w:p>
    <w:p>
      <w:pPr>
        <w:numPr>
          <w:ilvl w:val="1"/>
          <w:numId w:val="16"/>
        </w:numPr>
        <w:tabs>
          <w:tab w:val="left" w:pos="966"/>
        </w:tabs>
        <w:spacing w:line="440" w:lineRule="exact"/>
        <w:ind w:left="0" w:firstLine="420" w:firstLineChars="200"/>
        <w:textAlignment w:val="baseline"/>
        <w:rPr>
          <w:rFonts w:ascii="宋体" w:hAnsi="宋体" w:cs="宋体"/>
          <w:color w:val="auto"/>
          <w:kern w:val="0"/>
        </w:rPr>
      </w:pPr>
      <w:bookmarkStart w:id="940" w:name="_Toc16807"/>
      <w:r>
        <w:rPr>
          <w:rFonts w:hint="eastAsia" w:ascii="宋体" w:hAnsi="宋体" w:cs="宋体"/>
          <w:color w:val="auto"/>
          <w:kern w:val="0"/>
        </w:rPr>
        <w:t>合同文件的优先顺序</w:t>
      </w:r>
      <w:bookmarkEnd w:id="940"/>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合同文件组成及优先顺序为：</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（1）合同协议书；（2）中标通知书；（3）投标函及其附录；（4）专用合同条款及其附件；（5）通用合同条款；（6）标准、规范及有关技术文件，（7）图纸，（8）招标文件及附件、工程量清单，（9）</w:t>
      </w:r>
      <w:r>
        <w:rPr>
          <w:rFonts w:hint="eastAsia" w:ascii="宋体" w:hAnsi="宋体" w:cs="宋体"/>
          <w:color w:val="auto"/>
          <w:sz w:val="21"/>
          <w:szCs w:val="21"/>
          <w:u w:val="single"/>
          <w:lang w:eastAsia="zh-CN"/>
        </w:rPr>
        <w:t>响应文件</w:t>
      </w:r>
      <w:r>
        <w:rPr>
          <w:rFonts w:hint="eastAsia" w:ascii="宋体" w:hAnsi="宋体" w:cs="宋体"/>
          <w:color w:val="auto"/>
          <w:sz w:val="21"/>
          <w:szCs w:val="21"/>
          <w:u w:val="single"/>
        </w:rPr>
        <w:t>及其附件，（10）其他文件</w:t>
      </w:r>
    </w:p>
    <w:p>
      <w:pPr>
        <w:numPr>
          <w:ilvl w:val="1"/>
          <w:numId w:val="16"/>
        </w:numPr>
        <w:tabs>
          <w:tab w:val="left" w:pos="966"/>
        </w:tabs>
        <w:spacing w:line="440" w:lineRule="exact"/>
        <w:ind w:left="0" w:firstLine="420" w:firstLineChars="200"/>
        <w:textAlignment w:val="baseline"/>
        <w:rPr>
          <w:rFonts w:ascii="宋体" w:hAnsi="宋体" w:cs="宋体"/>
          <w:color w:val="auto"/>
          <w:kern w:val="0"/>
        </w:rPr>
      </w:pPr>
      <w:bookmarkStart w:id="941" w:name="_Toc25925"/>
      <w:r>
        <w:rPr>
          <w:rFonts w:hint="eastAsia" w:ascii="宋体" w:hAnsi="宋体" w:cs="宋体"/>
          <w:color w:val="auto"/>
          <w:kern w:val="0"/>
        </w:rPr>
        <w:t>图纸和承包人文件</w:t>
      </w:r>
      <w:bookmarkEnd w:id="941"/>
    </w:p>
    <w:p>
      <w:pPr>
        <w:pStyle w:val="68"/>
        <w:numPr>
          <w:ilvl w:val="2"/>
          <w:numId w:val="16"/>
        </w:numPr>
        <w:tabs>
          <w:tab w:val="left" w:pos="1177"/>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图纸的提供</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发包人向承包人提供图纸的期限：</w:t>
      </w:r>
      <w:r>
        <w:rPr>
          <w:rFonts w:hint="eastAsia" w:ascii="宋体" w:hAnsi="宋体" w:cs="宋体"/>
          <w:color w:val="auto"/>
          <w:sz w:val="21"/>
          <w:szCs w:val="21"/>
          <w:u w:val="single"/>
        </w:rPr>
        <w:t>计划工程开工 7 日前</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发包人向承包人提供图纸的数量：</w:t>
      </w:r>
      <w:r>
        <w:rPr>
          <w:rFonts w:hint="eastAsia" w:ascii="宋体" w:hAnsi="宋体" w:cs="宋体"/>
          <w:color w:val="auto"/>
          <w:sz w:val="21"/>
          <w:szCs w:val="21"/>
          <w:u w:val="single"/>
        </w:rPr>
        <w:t>贰套；承包人需要增加图纸套数的，发包人可代为复制，复制费用由承包人承担；</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发包人向承包人提供图纸的内容：</w:t>
      </w:r>
      <w:r>
        <w:rPr>
          <w:rFonts w:hint="eastAsia" w:ascii="宋体" w:hAnsi="宋体" w:cs="宋体"/>
          <w:color w:val="auto"/>
          <w:sz w:val="21"/>
          <w:szCs w:val="21"/>
          <w:u w:val="single"/>
        </w:rPr>
        <w:t>与承包人承包范围相对应的图纸；承包人未经发包人同意，不得将本工程图纸转给第三人。工程质量保修期满后，除承包人存档需要的图纸外， 应将全部图纸退还给发包人。</w:t>
      </w:r>
    </w:p>
    <w:p>
      <w:pPr>
        <w:numPr>
          <w:ilvl w:val="2"/>
          <w:numId w:val="17"/>
        </w:numPr>
        <w:tabs>
          <w:tab w:val="left" w:pos="1177"/>
        </w:tabs>
        <w:spacing w:line="440" w:lineRule="exact"/>
        <w:ind w:left="0" w:firstLine="420" w:firstLineChars="200"/>
        <w:textAlignment w:val="baseline"/>
        <w:rPr>
          <w:rFonts w:ascii="宋体" w:hAnsi="宋体" w:cs="宋体"/>
          <w:color w:val="auto"/>
          <w:kern w:val="0"/>
        </w:rPr>
      </w:pPr>
      <w:bookmarkStart w:id="942" w:name="_Toc20543"/>
      <w:r>
        <w:rPr>
          <w:rFonts w:hint="eastAsia" w:ascii="宋体" w:hAnsi="宋体" w:cs="宋体"/>
          <w:color w:val="auto"/>
          <w:kern w:val="0"/>
        </w:rPr>
        <w:t>承包人文件</w:t>
      </w:r>
      <w:bookmarkEnd w:id="942"/>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需要由承包人提供的文件，包括：</w:t>
      </w:r>
      <w:r>
        <w:rPr>
          <w:rFonts w:hint="eastAsia" w:ascii="宋体" w:hAnsi="宋体" w:cs="宋体"/>
          <w:color w:val="auto"/>
          <w:sz w:val="21"/>
          <w:szCs w:val="21"/>
          <w:u w:val="single"/>
        </w:rPr>
        <w:t>施工总进度计划、施工总布置计划、施工组织设计、专项施工方案等满足发包人竣工备案要求的相关资料；</w:t>
      </w:r>
    </w:p>
    <w:p>
      <w:pPr>
        <w:pStyle w:val="10"/>
        <w:tabs>
          <w:tab w:val="left" w:pos="4008"/>
          <w:tab w:val="left" w:pos="4114"/>
          <w:tab w:val="left" w:pos="4428"/>
          <w:tab w:val="left" w:pos="4849"/>
          <w:tab w:val="left" w:pos="7211"/>
          <w:tab w:val="left" w:pos="7264"/>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承包人提供的文件的期限为：</w:t>
      </w:r>
      <w:r>
        <w:rPr>
          <w:rFonts w:hint="eastAsia" w:ascii="宋体" w:hAnsi="宋体" w:cs="宋体"/>
          <w:color w:val="auto"/>
          <w:sz w:val="21"/>
          <w:szCs w:val="21"/>
          <w:u w:val="single"/>
        </w:rPr>
        <w:t xml:space="preserve"> 进场后一周内或开工前七日 </w:t>
      </w:r>
      <w:r>
        <w:rPr>
          <w:rFonts w:hint="eastAsia" w:ascii="宋体" w:hAnsi="宋体" w:cs="宋体"/>
          <w:color w:val="auto"/>
          <w:sz w:val="21"/>
          <w:szCs w:val="21"/>
        </w:rPr>
        <w:t xml:space="preserve">； </w:t>
      </w:r>
    </w:p>
    <w:p>
      <w:pPr>
        <w:pStyle w:val="10"/>
        <w:tabs>
          <w:tab w:val="left" w:pos="4008"/>
          <w:tab w:val="left" w:pos="4114"/>
          <w:tab w:val="left" w:pos="4428"/>
          <w:tab w:val="left" w:pos="4849"/>
          <w:tab w:val="left" w:pos="7211"/>
          <w:tab w:val="left" w:pos="7264"/>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承包人提供的文件的数量为：</w:t>
      </w:r>
      <w:r>
        <w:rPr>
          <w:rFonts w:hint="eastAsia" w:ascii="宋体" w:hAnsi="宋体" w:cs="宋体"/>
          <w:color w:val="auto"/>
          <w:sz w:val="21"/>
          <w:szCs w:val="21"/>
          <w:u w:val="single"/>
        </w:rPr>
        <w:t xml:space="preserve"> 5 套</w:t>
      </w:r>
      <w:r>
        <w:rPr>
          <w:rFonts w:hint="eastAsia" w:ascii="宋体" w:hAnsi="宋体" w:cs="宋体"/>
          <w:color w:val="auto"/>
          <w:sz w:val="21"/>
          <w:szCs w:val="21"/>
        </w:rPr>
        <w:t xml:space="preserve">； </w:t>
      </w:r>
    </w:p>
    <w:p>
      <w:pPr>
        <w:pStyle w:val="10"/>
        <w:tabs>
          <w:tab w:val="left" w:pos="4008"/>
          <w:tab w:val="left" w:pos="4114"/>
          <w:tab w:val="left" w:pos="4428"/>
          <w:tab w:val="left" w:pos="4849"/>
          <w:tab w:val="left" w:pos="7211"/>
          <w:tab w:val="left" w:pos="7264"/>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承包人提供的文件的形式为：</w:t>
      </w:r>
      <w:r>
        <w:rPr>
          <w:rFonts w:hint="eastAsia" w:ascii="宋体" w:hAnsi="宋体" w:cs="宋体"/>
          <w:color w:val="auto"/>
          <w:sz w:val="21"/>
          <w:szCs w:val="21"/>
          <w:u w:val="single"/>
        </w:rPr>
        <w:t xml:space="preserve"> 书面及电子版</w:t>
      </w:r>
      <w:r>
        <w:rPr>
          <w:rFonts w:hint="eastAsia" w:ascii="宋体" w:hAnsi="宋体" w:cs="宋体"/>
          <w:color w:val="auto"/>
          <w:sz w:val="21"/>
          <w:szCs w:val="21"/>
        </w:rPr>
        <w:t>；</w:t>
      </w:r>
    </w:p>
    <w:p>
      <w:pPr>
        <w:pStyle w:val="10"/>
        <w:tabs>
          <w:tab w:val="left" w:pos="4008"/>
          <w:tab w:val="left" w:pos="4114"/>
          <w:tab w:val="left" w:pos="4428"/>
          <w:tab w:val="left" w:pos="4849"/>
          <w:tab w:val="left" w:pos="7211"/>
          <w:tab w:val="left" w:pos="7264"/>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发包人审批承包人文件的期限：</w:t>
      </w:r>
      <w:r>
        <w:rPr>
          <w:rFonts w:hint="eastAsia" w:ascii="宋体" w:hAnsi="宋体" w:cs="宋体"/>
          <w:color w:val="auto"/>
          <w:sz w:val="21"/>
          <w:szCs w:val="21"/>
          <w:u w:val="single"/>
        </w:rPr>
        <w:t xml:space="preserve"> 资料合格后 14 日内内批复 </w:t>
      </w:r>
      <w:r>
        <w:rPr>
          <w:rFonts w:hint="eastAsia" w:ascii="宋体" w:hAnsi="宋体" w:cs="宋体"/>
          <w:color w:val="auto"/>
          <w:sz w:val="21"/>
          <w:szCs w:val="21"/>
        </w:rPr>
        <w:t>。</w:t>
      </w:r>
    </w:p>
    <w:p>
      <w:pPr>
        <w:numPr>
          <w:ilvl w:val="2"/>
          <w:numId w:val="17"/>
        </w:numPr>
        <w:tabs>
          <w:tab w:val="left" w:pos="1177"/>
        </w:tabs>
        <w:spacing w:line="440" w:lineRule="exact"/>
        <w:ind w:left="0" w:firstLine="420" w:firstLineChars="200"/>
        <w:textAlignment w:val="baseline"/>
        <w:rPr>
          <w:rFonts w:ascii="宋体" w:hAnsi="宋体" w:cs="宋体"/>
          <w:color w:val="auto"/>
          <w:kern w:val="0"/>
        </w:rPr>
      </w:pPr>
      <w:bookmarkStart w:id="943" w:name="_Toc14659"/>
      <w:r>
        <w:rPr>
          <w:rFonts w:hint="eastAsia" w:ascii="宋体" w:hAnsi="宋体" w:cs="宋体"/>
          <w:color w:val="auto"/>
          <w:kern w:val="0"/>
        </w:rPr>
        <w:t>现场图纸准备</w:t>
      </w:r>
      <w:bookmarkEnd w:id="943"/>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关于现场图纸准备的约定：</w:t>
      </w:r>
      <w:r>
        <w:rPr>
          <w:rFonts w:hint="eastAsia" w:ascii="宋体" w:hAnsi="宋体" w:cs="宋体"/>
          <w:color w:val="auto"/>
          <w:sz w:val="21"/>
          <w:szCs w:val="21"/>
          <w:u w:val="single"/>
        </w:rPr>
        <w:t>承包人应在现场保留一套完整图纸，供发包人、监理人及有关人员进行工程检查时使用。</w:t>
      </w:r>
    </w:p>
    <w:p>
      <w:pPr>
        <w:numPr>
          <w:ilvl w:val="1"/>
          <w:numId w:val="16"/>
        </w:numPr>
        <w:tabs>
          <w:tab w:val="left" w:pos="966"/>
        </w:tabs>
        <w:spacing w:line="440" w:lineRule="exact"/>
        <w:ind w:left="0" w:firstLine="420" w:firstLineChars="200"/>
        <w:textAlignment w:val="baseline"/>
        <w:rPr>
          <w:rFonts w:ascii="宋体" w:hAnsi="宋体" w:cs="宋体"/>
          <w:color w:val="auto"/>
          <w:kern w:val="0"/>
        </w:rPr>
      </w:pPr>
      <w:bookmarkStart w:id="944" w:name="_Toc15885"/>
      <w:r>
        <w:rPr>
          <w:rFonts w:hint="eastAsia" w:ascii="宋体" w:hAnsi="宋体" w:cs="宋体"/>
          <w:color w:val="auto"/>
          <w:kern w:val="0"/>
        </w:rPr>
        <w:t>联络</w:t>
      </w:r>
      <w:bookmarkEnd w:id="944"/>
    </w:p>
    <w:p>
      <w:pPr>
        <w:pStyle w:val="68"/>
        <w:numPr>
          <w:ilvl w:val="2"/>
          <w:numId w:val="16"/>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发包人和承包人应当在</w:t>
      </w:r>
      <w:r>
        <w:rPr>
          <w:rFonts w:hint="eastAsia" w:ascii="宋体" w:hAnsi="宋体" w:cs="宋体"/>
          <w:color w:val="auto"/>
          <w:kern w:val="0"/>
          <w:u w:val="single"/>
        </w:rPr>
        <w:t xml:space="preserve"> 3</w:t>
      </w:r>
      <w:r>
        <w:rPr>
          <w:rFonts w:hint="eastAsia" w:ascii="宋体" w:hAnsi="宋体" w:cs="宋体"/>
          <w:color w:val="auto"/>
          <w:kern w:val="0"/>
        </w:rPr>
        <w:t xml:space="preserve"> 天内将与合同有关的通知、批准、证明、证书、指示、指令、要求、请求、同意、意见、确定和决定等书面函件送达对方当事人。</w:t>
      </w:r>
    </w:p>
    <w:p>
      <w:pPr>
        <w:pStyle w:val="68"/>
        <w:numPr>
          <w:ilvl w:val="2"/>
          <w:numId w:val="16"/>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发包人接收文件的地点：</w:t>
      </w:r>
      <w:r>
        <w:rPr>
          <w:rFonts w:hint="eastAsia" w:ascii="宋体" w:hAnsi="宋体" w:cs="宋体"/>
          <w:color w:val="auto"/>
          <w:kern w:val="0"/>
          <w:u w:val="single"/>
        </w:rPr>
        <w:t>发包人办公地点</w:t>
      </w:r>
      <w:r>
        <w:rPr>
          <w:rFonts w:hint="eastAsia" w:ascii="宋体" w:hAnsi="宋体" w:cs="宋体"/>
          <w:color w:val="auto"/>
          <w:kern w:val="0"/>
        </w:rPr>
        <w:t>；</w:t>
      </w:r>
    </w:p>
    <w:p>
      <w:pPr>
        <w:pStyle w:val="10"/>
        <w:tabs>
          <w:tab w:val="left" w:pos="4428"/>
          <w:tab w:val="left" w:pos="579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发包人指定的接收人为：</w:t>
      </w:r>
      <w:r>
        <w:rPr>
          <w:rFonts w:hint="eastAsia" w:ascii="宋体" w:hAnsi="宋体" w:cs="宋体"/>
          <w:color w:val="auto"/>
          <w:sz w:val="21"/>
          <w:szCs w:val="21"/>
          <w:u w:val="single"/>
        </w:rPr>
        <w:t xml:space="preserve"> /。</w:t>
      </w:r>
    </w:p>
    <w:p>
      <w:pPr>
        <w:pStyle w:val="10"/>
        <w:tabs>
          <w:tab w:val="left" w:pos="3692"/>
          <w:tab w:val="left" w:pos="3903"/>
          <w:tab w:val="left" w:pos="4323"/>
          <w:tab w:val="left" w:pos="5686"/>
          <w:tab w:val="left" w:pos="579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承包人接收文件的地点：</w:t>
      </w:r>
      <w:r>
        <w:rPr>
          <w:rFonts w:hint="eastAsia" w:ascii="宋体" w:hAnsi="宋体" w:cs="宋体"/>
          <w:color w:val="auto"/>
          <w:sz w:val="21"/>
          <w:szCs w:val="21"/>
          <w:u w:val="single"/>
        </w:rPr>
        <w:t>施工现场承包人办公地点</w:t>
      </w:r>
      <w:r>
        <w:rPr>
          <w:rFonts w:hint="eastAsia" w:ascii="宋体" w:hAnsi="宋体" w:cs="宋体"/>
          <w:color w:val="auto"/>
          <w:sz w:val="21"/>
          <w:szCs w:val="21"/>
        </w:rPr>
        <w:t>；</w:t>
      </w:r>
    </w:p>
    <w:p>
      <w:pPr>
        <w:pStyle w:val="10"/>
        <w:tabs>
          <w:tab w:val="left" w:pos="3692"/>
          <w:tab w:val="left" w:pos="3903"/>
          <w:tab w:val="left" w:pos="4323"/>
          <w:tab w:val="left" w:pos="5686"/>
          <w:tab w:val="left" w:pos="5792"/>
        </w:tabs>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承包人指定的接收人为：</w:t>
      </w:r>
      <w:r>
        <w:rPr>
          <w:rFonts w:hint="eastAsia" w:ascii="宋体" w:hAnsi="宋体" w:cs="宋体"/>
          <w:color w:val="auto"/>
          <w:sz w:val="21"/>
          <w:szCs w:val="21"/>
          <w:u w:val="single"/>
        </w:rPr>
        <w:t xml:space="preserve"> 承包人项目经理。</w:t>
      </w:r>
    </w:p>
    <w:p>
      <w:pPr>
        <w:pStyle w:val="10"/>
        <w:tabs>
          <w:tab w:val="left" w:pos="3692"/>
          <w:tab w:val="left" w:pos="3903"/>
          <w:tab w:val="left" w:pos="4323"/>
          <w:tab w:val="left" w:pos="5686"/>
          <w:tab w:val="left" w:pos="579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监理人接收文件的地点：</w:t>
      </w:r>
      <w:r>
        <w:rPr>
          <w:rFonts w:hint="eastAsia" w:ascii="宋体" w:hAnsi="宋体" w:cs="宋体"/>
          <w:color w:val="auto"/>
          <w:sz w:val="21"/>
          <w:szCs w:val="21"/>
          <w:u w:val="single"/>
        </w:rPr>
        <w:t xml:space="preserve"> 监理办公室</w:t>
      </w:r>
      <w:r>
        <w:rPr>
          <w:rFonts w:hint="eastAsia" w:ascii="宋体" w:hAnsi="宋体" w:cs="宋体"/>
          <w:color w:val="auto"/>
          <w:sz w:val="21"/>
          <w:szCs w:val="21"/>
        </w:rPr>
        <w:t xml:space="preserve">； </w:t>
      </w:r>
    </w:p>
    <w:p>
      <w:pPr>
        <w:pStyle w:val="10"/>
        <w:tabs>
          <w:tab w:val="left" w:pos="3692"/>
          <w:tab w:val="left" w:pos="3903"/>
          <w:tab w:val="left" w:pos="4323"/>
          <w:tab w:val="left" w:pos="5686"/>
          <w:tab w:val="left" w:pos="579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监理人指定的接收人为：</w:t>
      </w:r>
      <w:r>
        <w:rPr>
          <w:rFonts w:hint="eastAsia" w:ascii="宋体" w:hAnsi="宋体" w:cs="宋体"/>
          <w:color w:val="auto"/>
          <w:sz w:val="21"/>
          <w:szCs w:val="21"/>
          <w:u w:val="single"/>
        </w:rPr>
        <w:t xml:space="preserve"> 总监。</w:t>
      </w:r>
    </w:p>
    <w:p>
      <w:pPr>
        <w:numPr>
          <w:ilvl w:val="1"/>
          <w:numId w:val="18"/>
        </w:numPr>
        <w:tabs>
          <w:tab w:val="left" w:pos="1071"/>
        </w:tabs>
        <w:spacing w:line="440" w:lineRule="exact"/>
        <w:ind w:left="0" w:firstLine="420" w:firstLineChars="200"/>
        <w:textAlignment w:val="baseline"/>
        <w:rPr>
          <w:rFonts w:ascii="宋体" w:hAnsi="宋体" w:cs="宋体"/>
          <w:color w:val="auto"/>
          <w:kern w:val="0"/>
        </w:rPr>
      </w:pPr>
      <w:bookmarkStart w:id="945" w:name="_Toc30496"/>
      <w:r>
        <w:rPr>
          <w:rFonts w:hint="eastAsia" w:ascii="宋体" w:hAnsi="宋体" w:cs="宋体"/>
          <w:color w:val="auto"/>
          <w:kern w:val="0"/>
        </w:rPr>
        <w:t>交通运输</w:t>
      </w:r>
      <w:bookmarkEnd w:id="945"/>
    </w:p>
    <w:p>
      <w:pPr>
        <w:pStyle w:val="68"/>
        <w:numPr>
          <w:ilvl w:val="2"/>
          <w:numId w:val="18"/>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出入现场的权利</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关于出入现场的权利的约定：</w:t>
      </w:r>
      <w:r>
        <w:rPr>
          <w:rFonts w:hint="eastAsia" w:ascii="宋体" w:hAnsi="宋体" w:cs="宋体"/>
          <w:color w:val="auto"/>
          <w:sz w:val="21"/>
          <w:szCs w:val="21"/>
          <w:u w:val="single"/>
        </w:rPr>
        <w:t>承包人应在订立合同前查勘施工现场，并根据工程规模及技术参数合理预见工程施工所需的进出施工现场的方式、手段、路径等。因承包人未合理预见所增加的费用和（或）延误的工期由承包人承担。</w:t>
      </w:r>
    </w:p>
    <w:p>
      <w:pPr>
        <w:pStyle w:val="68"/>
        <w:numPr>
          <w:ilvl w:val="2"/>
          <w:numId w:val="19"/>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场内交通</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关于场外交通和场内交通的边界的约定：</w:t>
      </w:r>
      <w:r>
        <w:rPr>
          <w:rFonts w:hint="eastAsia" w:ascii="宋体" w:hAnsi="宋体" w:cs="宋体"/>
          <w:color w:val="auto"/>
          <w:sz w:val="21"/>
          <w:szCs w:val="21"/>
          <w:u w:val="single"/>
        </w:rPr>
        <w:t>以施工现场封闭围挡为界</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关于发包人向承包人免费提供满足工程施工需要的场内道路和交通设施的约定：</w:t>
      </w:r>
      <w:r>
        <w:rPr>
          <w:rFonts w:hint="eastAsia" w:ascii="宋体" w:hAnsi="宋体" w:cs="宋体"/>
          <w:color w:val="auto"/>
          <w:sz w:val="21"/>
          <w:szCs w:val="21"/>
          <w:u w:val="single"/>
        </w:rPr>
        <w:t>发包人不负责免费提供场内道路和交通设施。由承包人负责修建、维修、养护和管理施工所需的场内道路和交通设施，并承担费用 。</w:t>
      </w:r>
    </w:p>
    <w:p>
      <w:pPr>
        <w:pStyle w:val="68"/>
        <w:numPr>
          <w:ilvl w:val="2"/>
          <w:numId w:val="19"/>
        </w:numPr>
        <w:tabs>
          <w:tab w:val="left" w:pos="122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超大件和超重件的运输</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运输超大件或超重件所需的道路和桥梁临时加固改造费用和其他有关费用由</w:t>
      </w:r>
      <w:r>
        <w:rPr>
          <w:rFonts w:hint="eastAsia" w:ascii="宋体" w:hAnsi="宋体" w:cs="宋体"/>
          <w:color w:val="auto"/>
          <w:sz w:val="21"/>
          <w:szCs w:val="21"/>
          <w:u w:val="single"/>
        </w:rPr>
        <w:t>承包人</w:t>
      </w:r>
      <w:r>
        <w:rPr>
          <w:rFonts w:hint="eastAsia" w:ascii="宋体" w:hAnsi="宋体" w:cs="宋体"/>
          <w:color w:val="auto"/>
          <w:sz w:val="21"/>
          <w:szCs w:val="21"/>
        </w:rPr>
        <w:t>承担。</w:t>
      </w:r>
    </w:p>
    <w:p>
      <w:pPr>
        <w:numPr>
          <w:ilvl w:val="1"/>
          <w:numId w:val="18"/>
        </w:numPr>
        <w:tabs>
          <w:tab w:val="left" w:pos="1071"/>
        </w:tabs>
        <w:spacing w:line="440" w:lineRule="exact"/>
        <w:ind w:left="0" w:firstLine="420" w:firstLineChars="200"/>
        <w:textAlignment w:val="baseline"/>
        <w:rPr>
          <w:rFonts w:ascii="宋体" w:hAnsi="宋体" w:cs="宋体"/>
          <w:color w:val="auto"/>
          <w:kern w:val="0"/>
        </w:rPr>
      </w:pPr>
      <w:bookmarkStart w:id="946" w:name="_Toc8389"/>
      <w:r>
        <w:rPr>
          <w:rFonts w:hint="eastAsia" w:ascii="宋体" w:hAnsi="宋体" w:cs="宋体"/>
          <w:color w:val="auto"/>
          <w:kern w:val="0"/>
        </w:rPr>
        <w:t>知识产权</w:t>
      </w:r>
      <w:bookmarkEnd w:id="946"/>
    </w:p>
    <w:p>
      <w:pPr>
        <w:pStyle w:val="68"/>
        <w:numPr>
          <w:ilvl w:val="2"/>
          <w:numId w:val="18"/>
        </w:numPr>
        <w:tabs>
          <w:tab w:val="left" w:pos="122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u w:val="single"/>
        </w:rPr>
        <w:t>归发包人 。</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关于发包人提供的上述文件的使用限制的要求：</w:t>
      </w:r>
      <w:r>
        <w:rPr>
          <w:rFonts w:hint="eastAsia" w:ascii="宋体" w:hAnsi="宋体" w:cs="宋体"/>
          <w:color w:val="auto"/>
          <w:sz w:val="21"/>
          <w:szCs w:val="21"/>
          <w:u w:val="single"/>
        </w:rPr>
        <w:t>未经发包人同意，承包人不得提供给第三人，否则将承担相应的经济和法律责任。工程质量保修期满后，除承包人存档需要的图纸外，应当全部图纸退还给发包人。</w:t>
      </w:r>
    </w:p>
    <w:p>
      <w:pPr>
        <w:pStyle w:val="68"/>
        <w:numPr>
          <w:ilvl w:val="2"/>
          <w:numId w:val="18"/>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关于承包人为实施工程所编制文件的著作权的归属：</w:t>
      </w:r>
      <w:r>
        <w:rPr>
          <w:rFonts w:hint="eastAsia" w:ascii="宋体" w:hAnsi="宋体" w:cs="宋体"/>
          <w:color w:val="auto"/>
          <w:kern w:val="0"/>
          <w:u w:val="single"/>
        </w:rPr>
        <w:t>发包人所有</w:t>
      </w:r>
      <w:r>
        <w:rPr>
          <w:rFonts w:hint="eastAsia" w:ascii="宋体" w:hAnsi="宋体" w:cs="宋体"/>
          <w:color w:val="auto"/>
          <w:kern w:val="0"/>
        </w:rPr>
        <w:t xml:space="preserve"> 。</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关于承包人提供的上述文件的使用限制的要求：</w:t>
      </w:r>
      <w:r>
        <w:rPr>
          <w:rFonts w:hint="eastAsia" w:ascii="宋体" w:hAnsi="宋体" w:cs="宋体"/>
          <w:color w:val="auto"/>
          <w:sz w:val="21"/>
          <w:szCs w:val="21"/>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1.11.4 承包人在施工过程中所采用的专利、专有技术、技术秘密的使用费的承担方式：</w:t>
      </w:r>
      <w:r>
        <w:rPr>
          <w:rFonts w:hint="eastAsia" w:ascii="宋体" w:hAnsi="宋体" w:cs="宋体"/>
          <w:color w:val="auto"/>
          <w:sz w:val="21"/>
          <w:szCs w:val="21"/>
          <w:u w:val="single"/>
        </w:rPr>
        <w:t>已包含在签约合同价中，由承包人承担 。</w:t>
      </w:r>
    </w:p>
    <w:p>
      <w:pPr>
        <w:spacing w:line="440" w:lineRule="exact"/>
        <w:ind w:firstLine="420" w:firstLineChars="200"/>
        <w:jc w:val="left"/>
        <w:textAlignment w:val="baseline"/>
        <w:rPr>
          <w:rFonts w:ascii="宋体" w:hAnsi="宋体" w:cs="宋体"/>
          <w:color w:val="auto"/>
          <w:kern w:val="0"/>
        </w:rPr>
      </w:pPr>
      <w:bookmarkStart w:id="947" w:name="_Toc25518"/>
      <w:r>
        <w:rPr>
          <w:rFonts w:hint="eastAsia" w:ascii="宋体" w:hAnsi="宋体" w:cs="宋体"/>
          <w:color w:val="auto"/>
          <w:kern w:val="0"/>
        </w:rPr>
        <w:t>1.13 工程量清单的修正</w:t>
      </w:r>
      <w:bookmarkEnd w:id="947"/>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工程量清单中工程量出现偏差时，是否调整合同价格：</w:t>
      </w:r>
      <w:r>
        <w:rPr>
          <w:rFonts w:hint="eastAsia" w:ascii="宋体" w:hAnsi="宋体" w:cs="宋体"/>
          <w:color w:val="auto"/>
          <w:sz w:val="21"/>
          <w:szCs w:val="21"/>
          <w:u w:val="single"/>
        </w:rPr>
        <w:t>发包人提供的工程量清单，应被认为是准确的和完整的。出现下列情形之一时，发包人、承包人、监理人确认后应予以修正，可相应调整合同价格，最终调整与否以相关财审部门审定为准：</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u w:val="single"/>
        </w:rPr>
        <w:t>工程量清单存在缺项、漏项的；</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u w:val="single"/>
        </w:rPr>
        <w:t>工程量清单偏差超出专用合同条款约定的工程量偏差范围的；</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u w:val="single"/>
        </w:rPr>
        <w:t>未按照国家现行计量规范强制性规定计量的。</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允许调整合同价格的工程量偏差范围：</w:t>
      </w:r>
      <w:r>
        <w:rPr>
          <w:rFonts w:hint="eastAsia" w:ascii="宋体" w:hAnsi="宋体" w:cs="宋体"/>
          <w:color w:val="auto"/>
          <w:sz w:val="21"/>
          <w:szCs w:val="21"/>
          <w:u w:val="single"/>
        </w:rPr>
        <w:t>工程量清单偏差在±5%（含±5%）以内的，不予以调整工程量，超出招标工程量清单中的工程量±5%以外的部分，工程量调增或者调减， 单价执行投标报价。（工程量清单偏差：是指甲、乙双方就投标图纸（招标答疑修正后） 核算的各项工程量与招标人提供的清单工程量相比较）</w:t>
      </w:r>
    </w:p>
    <w:p>
      <w:pPr>
        <w:numPr>
          <w:ilvl w:val="0"/>
          <w:numId w:val="14"/>
        </w:numPr>
        <w:tabs>
          <w:tab w:val="left" w:pos="438"/>
        </w:tabs>
        <w:spacing w:line="440" w:lineRule="exact"/>
        <w:ind w:left="0" w:firstLine="420" w:firstLineChars="200"/>
        <w:jc w:val="left"/>
        <w:textAlignment w:val="baseline"/>
        <w:rPr>
          <w:rFonts w:ascii="宋体" w:hAnsi="宋体" w:cs="宋体"/>
          <w:color w:val="auto"/>
          <w:kern w:val="0"/>
        </w:rPr>
      </w:pPr>
      <w:bookmarkStart w:id="948" w:name="_Toc24598"/>
      <w:r>
        <w:rPr>
          <w:rFonts w:hint="eastAsia" w:ascii="宋体" w:hAnsi="宋体" w:cs="宋体"/>
          <w:color w:val="auto"/>
          <w:kern w:val="0"/>
        </w:rPr>
        <w:t>发包人</w:t>
      </w:r>
      <w:bookmarkEnd w:id="948"/>
    </w:p>
    <w:p>
      <w:pPr>
        <w:spacing w:line="440" w:lineRule="exact"/>
        <w:ind w:firstLine="422" w:firstLineChars="200"/>
        <w:jc w:val="left"/>
        <w:textAlignment w:val="baseline"/>
        <w:rPr>
          <w:rFonts w:ascii="宋体" w:hAnsi="宋体" w:cs="宋体"/>
          <w:b/>
          <w:color w:val="auto"/>
          <w:kern w:val="0"/>
        </w:rPr>
      </w:pPr>
      <w:r>
        <w:rPr>
          <w:rFonts w:hint="eastAsia" w:ascii="宋体" w:hAnsi="宋体" w:cs="宋体"/>
          <w:b/>
          <w:color w:val="auto"/>
          <w:kern w:val="0"/>
        </w:rPr>
        <w:t>2.2 发包人代表发包人代表：</w:t>
      </w:r>
    </w:p>
    <w:p>
      <w:pPr>
        <w:pStyle w:val="10"/>
        <w:tabs>
          <w:tab w:val="left" w:pos="1171"/>
          <w:tab w:val="left" w:pos="2117"/>
          <w:tab w:val="left" w:pos="2223"/>
          <w:tab w:val="left" w:pos="3060"/>
          <w:tab w:val="left" w:pos="3377"/>
          <w:tab w:val="left" w:pos="3480"/>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姓名：</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pStyle w:val="10"/>
        <w:tabs>
          <w:tab w:val="left" w:pos="1171"/>
          <w:tab w:val="left" w:pos="2117"/>
          <w:tab w:val="left" w:pos="2223"/>
          <w:tab w:val="left" w:pos="3060"/>
          <w:tab w:val="left" w:pos="3377"/>
          <w:tab w:val="left" w:pos="3480"/>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身份证号：</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pPr>
        <w:pStyle w:val="10"/>
        <w:tabs>
          <w:tab w:val="left" w:pos="1171"/>
          <w:tab w:val="left" w:pos="2117"/>
          <w:tab w:val="left" w:pos="2223"/>
          <w:tab w:val="left" w:pos="3060"/>
          <w:tab w:val="left" w:pos="3377"/>
          <w:tab w:val="left" w:pos="3480"/>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职务：</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pStyle w:val="10"/>
        <w:tabs>
          <w:tab w:val="left" w:pos="327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联系电话：</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pStyle w:val="10"/>
        <w:tabs>
          <w:tab w:val="left" w:pos="327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电子信箱：</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pStyle w:val="10"/>
        <w:tabs>
          <w:tab w:val="left" w:pos="327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通信地址：</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发包人对发包人代表的授权范围如下：</w:t>
      </w:r>
      <w:r>
        <w:rPr>
          <w:rFonts w:hint="eastAsia" w:ascii="宋体" w:hAnsi="宋体" w:cs="宋体"/>
          <w:color w:val="auto"/>
          <w:sz w:val="21"/>
          <w:szCs w:val="21"/>
          <w:u w:val="single"/>
        </w:rPr>
        <w:t>1、代表发包人处理与本工程建设相关的事宜；</w:t>
      </w:r>
      <w:r>
        <w:rPr>
          <w:rFonts w:hint="eastAsia" w:ascii="宋体" w:hAnsi="宋体" w:cs="宋体"/>
          <w:color w:val="auto"/>
          <w:sz w:val="21"/>
          <w:szCs w:val="21"/>
        </w:rPr>
        <w:t xml:space="preserve"> </w:t>
      </w:r>
      <w:r>
        <w:rPr>
          <w:rFonts w:hint="eastAsia" w:ascii="宋体" w:hAnsi="宋体" w:cs="宋体"/>
          <w:color w:val="auto"/>
          <w:sz w:val="21"/>
          <w:szCs w:val="21"/>
          <w:u w:val="single"/>
        </w:rPr>
        <w:t>3、进场材料的质量监督和抽查验收；3、负责工程现场的质量和进度控制；4、负责对监理单位（如有）协调、监督</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发包人结合工程实际需要保留随时修改上述授权范围的权力</w:t>
      </w:r>
      <w:r>
        <w:rPr>
          <w:rFonts w:hint="eastAsia" w:ascii="宋体" w:hAnsi="宋体" w:cs="宋体"/>
          <w:color w:val="auto"/>
          <w:sz w:val="21"/>
          <w:szCs w:val="21"/>
        </w:rPr>
        <w:t>。</w:t>
      </w:r>
    </w:p>
    <w:p>
      <w:pPr>
        <w:numPr>
          <w:ilvl w:val="1"/>
          <w:numId w:val="20"/>
        </w:numPr>
        <w:tabs>
          <w:tab w:val="left" w:pos="966"/>
        </w:tabs>
        <w:spacing w:line="440" w:lineRule="exact"/>
        <w:ind w:left="0" w:firstLine="420" w:firstLineChars="200"/>
        <w:textAlignment w:val="baseline"/>
        <w:rPr>
          <w:rFonts w:ascii="宋体" w:hAnsi="宋体" w:cs="宋体"/>
          <w:color w:val="auto"/>
          <w:kern w:val="0"/>
        </w:rPr>
      </w:pPr>
      <w:bookmarkStart w:id="949" w:name="_Toc19810"/>
      <w:r>
        <w:rPr>
          <w:rFonts w:hint="eastAsia" w:ascii="宋体" w:hAnsi="宋体" w:cs="宋体"/>
          <w:color w:val="auto"/>
          <w:kern w:val="0"/>
        </w:rPr>
        <w:t>施工现场、施工条件和基础资料的提供</w:t>
      </w:r>
      <w:bookmarkEnd w:id="949"/>
    </w:p>
    <w:p>
      <w:pPr>
        <w:pStyle w:val="68"/>
        <w:numPr>
          <w:ilvl w:val="2"/>
          <w:numId w:val="20"/>
        </w:numPr>
        <w:tabs>
          <w:tab w:val="left" w:pos="1177"/>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提供施工现场</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关于发包人移交施工现场的期限要求：</w:t>
      </w:r>
      <w:r>
        <w:rPr>
          <w:rFonts w:hint="eastAsia" w:ascii="宋体" w:hAnsi="宋体" w:cs="宋体"/>
          <w:color w:val="auto"/>
          <w:sz w:val="21"/>
          <w:szCs w:val="21"/>
          <w:u w:val="single"/>
        </w:rPr>
        <w:t>承包人已充分勘查现场，承包人应以现状接收并立即展开施工工作；承包人未在接收施工现场的文件上签字的，视为承包人已经在通知注明日期接收施工现场。</w:t>
      </w:r>
    </w:p>
    <w:p>
      <w:pPr>
        <w:numPr>
          <w:ilvl w:val="2"/>
          <w:numId w:val="20"/>
        </w:numPr>
        <w:tabs>
          <w:tab w:val="left" w:pos="1177"/>
        </w:tabs>
        <w:spacing w:line="440" w:lineRule="exact"/>
        <w:ind w:left="0" w:firstLine="420" w:firstLineChars="200"/>
        <w:textAlignment w:val="baseline"/>
        <w:rPr>
          <w:rFonts w:ascii="宋体" w:hAnsi="宋体" w:cs="宋体"/>
          <w:color w:val="auto"/>
          <w:kern w:val="0"/>
        </w:rPr>
      </w:pPr>
      <w:bookmarkStart w:id="950" w:name="_Toc2081"/>
      <w:r>
        <w:rPr>
          <w:rFonts w:hint="eastAsia" w:ascii="宋体" w:hAnsi="宋体" w:cs="宋体"/>
          <w:color w:val="auto"/>
          <w:kern w:val="0"/>
        </w:rPr>
        <w:t>提供施工条件</w:t>
      </w:r>
      <w:bookmarkEnd w:id="950"/>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关于发包人应负责提供施工所需要的条件，包括：</w:t>
      </w:r>
      <w:r>
        <w:rPr>
          <w:rFonts w:hint="eastAsia" w:ascii="宋体" w:hAnsi="宋体" w:cs="宋体"/>
          <w:color w:val="auto"/>
          <w:sz w:val="21"/>
          <w:szCs w:val="21"/>
          <w:u w:val="single"/>
        </w:rPr>
        <w:t>以现场现有条件为准，如承包人以为上述条件不足，须为施工及生活所需要额外采取方案和措施，由工程承包人自行解决，所需的费用已包含在合同价格中。</w:t>
      </w:r>
    </w:p>
    <w:p>
      <w:pPr>
        <w:numPr>
          <w:ilvl w:val="1"/>
          <w:numId w:val="20"/>
        </w:numPr>
        <w:tabs>
          <w:tab w:val="left" w:pos="966"/>
        </w:tabs>
        <w:spacing w:line="440" w:lineRule="exact"/>
        <w:ind w:left="0" w:firstLine="420" w:firstLineChars="200"/>
        <w:textAlignment w:val="baseline"/>
        <w:rPr>
          <w:rFonts w:ascii="宋体" w:hAnsi="宋体" w:cs="宋体"/>
          <w:color w:val="auto"/>
          <w:kern w:val="0"/>
        </w:rPr>
      </w:pPr>
      <w:bookmarkStart w:id="951" w:name="_Toc4464"/>
      <w:r>
        <w:rPr>
          <w:rFonts w:hint="eastAsia" w:ascii="宋体" w:hAnsi="宋体" w:cs="宋体"/>
          <w:color w:val="auto"/>
          <w:kern w:val="0"/>
        </w:rPr>
        <w:t>资金来源证明及支付担保</w:t>
      </w:r>
      <w:bookmarkEnd w:id="951"/>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发包人提供资金来源证明的期限要求：</w:t>
      </w:r>
      <w:r>
        <w:rPr>
          <w:rFonts w:hint="eastAsia" w:ascii="宋体" w:hAnsi="宋体" w:cs="宋体"/>
          <w:color w:val="auto"/>
          <w:sz w:val="21"/>
          <w:szCs w:val="21"/>
          <w:u w:val="single"/>
        </w:rPr>
        <w:t>不提供</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发包人是否提供支付担保：</w:t>
      </w:r>
      <w:r>
        <w:rPr>
          <w:rFonts w:hint="eastAsia" w:ascii="宋体" w:hAnsi="宋体" w:cs="宋体"/>
          <w:color w:val="auto"/>
          <w:sz w:val="21"/>
          <w:szCs w:val="21"/>
          <w:u w:val="single"/>
        </w:rPr>
        <w:t>否</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发包人提供支付担保的形式：</w:t>
      </w:r>
      <w:r>
        <w:rPr>
          <w:rFonts w:hint="eastAsia" w:ascii="宋体" w:hAnsi="宋体" w:cs="宋体"/>
          <w:color w:val="auto"/>
          <w:sz w:val="21"/>
          <w:szCs w:val="21"/>
          <w:u w:val="single"/>
        </w:rPr>
        <w:t>不提供。</w:t>
      </w:r>
    </w:p>
    <w:p>
      <w:pPr>
        <w:numPr>
          <w:ilvl w:val="0"/>
          <w:numId w:val="14"/>
        </w:numPr>
        <w:tabs>
          <w:tab w:val="left" w:pos="438"/>
        </w:tabs>
        <w:spacing w:line="440" w:lineRule="exact"/>
        <w:ind w:left="0" w:firstLine="420" w:firstLineChars="200"/>
        <w:jc w:val="left"/>
        <w:textAlignment w:val="baseline"/>
        <w:rPr>
          <w:rFonts w:ascii="宋体" w:hAnsi="宋体" w:cs="宋体"/>
          <w:color w:val="auto"/>
          <w:kern w:val="0"/>
        </w:rPr>
      </w:pPr>
      <w:bookmarkStart w:id="952" w:name="_Toc17553"/>
      <w:r>
        <w:rPr>
          <w:rFonts w:hint="eastAsia" w:ascii="宋体" w:hAnsi="宋体" w:cs="宋体"/>
          <w:color w:val="auto"/>
          <w:kern w:val="0"/>
        </w:rPr>
        <w:t>承包人</w:t>
      </w:r>
      <w:bookmarkEnd w:id="952"/>
    </w:p>
    <w:p>
      <w:pPr>
        <w:pStyle w:val="68"/>
        <w:numPr>
          <w:ilvl w:val="1"/>
          <w:numId w:val="14"/>
        </w:numPr>
        <w:tabs>
          <w:tab w:val="left" w:pos="966"/>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承包人的一般义务</w:t>
      </w:r>
    </w:p>
    <w:p>
      <w:pPr>
        <w:pStyle w:val="68"/>
        <w:numPr>
          <w:ilvl w:val="0"/>
          <w:numId w:val="21"/>
        </w:numPr>
        <w:tabs>
          <w:tab w:val="left" w:pos="964"/>
        </w:tabs>
        <w:spacing w:line="440" w:lineRule="exact"/>
        <w:ind w:left="0" w:firstLine="420" w:firstLineChars="200"/>
        <w:jc w:val="left"/>
        <w:textAlignment w:val="baseline"/>
        <w:rPr>
          <w:rFonts w:ascii="宋体" w:hAnsi="宋体" w:cs="宋体"/>
          <w:color w:val="auto"/>
          <w:kern w:val="0"/>
        </w:rPr>
      </w:pPr>
      <w:r>
        <w:rPr>
          <w:rFonts w:hint="eastAsia" w:ascii="宋体" w:hAnsi="宋体" w:cs="宋体"/>
          <w:color w:val="auto"/>
          <w:kern w:val="0"/>
        </w:rPr>
        <w:t>承包人提交的竣工资料的内容：</w:t>
      </w:r>
      <w:r>
        <w:rPr>
          <w:rFonts w:hint="eastAsia" w:ascii="宋体" w:hAnsi="宋体" w:cs="宋体"/>
          <w:color w:val="auto"/>
          <w:kern w:val="0"/>
          <w:u w:val="single"/>
        </w:rPr>
        <w:t>竣工工程概况；图纸会审记录；施工组织方案和技 术交底资料；材料、构配件、成品出厂证明和检验报告；施工纪录；试验报告；检验批； 竣工自检记录；隐检记录；工程质量检验评定资料；变更记录；竣工图；施工日记等满足建设行政主管部门要求的相关文件。</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承包人需要提交的竣工资料套数：</w:t>
      </w:r>
      <w:r>
        <w:rPr>
          <w:rFonts w:hint="eastAsia" w:ascii="宋体" w:hAnsi="宋体" w:cs="宋体"/>
          <w:color w:val="auto"/>
          <w:sz w:val="21"/>
          <w:szCs w:val="21"/>
          <w:u w:val="single"/>
        </w:rPr>
        <w:t>竣工资料肆套，竣工图纸需要加晒时，相关费用由承包人承担。</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承包人提交的竣工资料的费用承担：</w:t>
      </w:r>
      <w:r>
        <w:rPr>
          <w:rFonts w:hint="eastAsia" w:ascii="宋体" w:hAnsi="宋体" w:cs="宋体"/>
          <w:color w:val="auto"/>
          <w:sz w:val="21"/>
          <w:szCs w:val="21"/>
          <w:u w:val="single"/>
        </w:rPr>
        <w:t>由承包人承担。</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承包人提交的竣工资料移交时间：</w:t>
      </w:r>
      <w:r>
        <w:rPr>
          <w:rFonts w:hint="eastAsia" w:ascii="宋体" w:hAnsi="宋体" w:cs="宋体"/>
          <w:color w:val="auto"/>
          <w:sz w:val="21"/>
          <w:szCs w:val="21"/>
          <w:u w:val="single"/>
        </w:rPr>
        <w:t>竣工资料在工程竣工验收合格后 7 日内整理完毕提交给发包人，竣工资料每拖延一天承包人给予发包人经济补偿 500 元。</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承包人提交的竣工资料形式要求：</w:t>
      </w:r>
      <w:r>
        <w:rPr>
          <w:rFonts w:hint="eastAsia" w:ascii="宋体" w:hAnsi="宋体" w:cs="宋体"/>
          <w:color w:val="auto"/>
          <w:sz w:val="21"/>
          <w:szCs w:val="21"/>
          <w:u w:val="single"/>
        </w:rPr>
        <w:t>纸质肆套，电子文档 1 套，纸质竣工资料需达到归档要求。</w:t>
      </w:r>
    </w:p>
    <w:p>
      <w:pPr>
        <w:pStyle w:val="68"/>
        <w:numPr>
          <w:ilvl w:val="0"/>
          <w:numId w:val="21"/>
        </w:numPr>
        <w:tabs>
          <w:tab w:val="left" w:pos="1175"/>
        </w:tabs>
        <w:spacing w:line="440" w:lineRule="exact"/>
        <w:ind w:left="0" w:firstLine="420" w:firstLineChars="200"/>
        <w:jc w:val="left"/>
        <w:textAlignment w:val="baseline"/>
        <w:rPr>
          <w:rFonts w:ascii="宋体" w:hAnsi="宋体" w:cs="宋体"/>
          <w:color w:val="auto"/>
          <w:kern w:val="0"/>
        </w:rPr>
      </w:pPr>
      <w:r>
        <w:rPr>
          <w:rFonts w:hint="eastAsia" w:ascii="宋体" w:hAnsi="宋体" w:cs="宋体"/>
          <w:color w:val="auto"/>
          <w:kern w:val="0"/>
        </w:rPr>
        <w:t>承包人应履行的其他义务：</w:t>
      </w:r>
      <w:r>
        <w:rPr>
          <w:rFonts w:hint="eastAsia" w:ascii="宋体" w:hAnsi="宋体" w:cs="宋体"/>
          <w:color w:val="auto"/>
          <w:kern w:val="0"/>
          <w:u w:val="single"/>
        </w:rPr>
        <w:t>除通用合同条款，承包人应履行的义务还包括但不限于以下方面：</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1、承包人必须无偿做好施工场地周围地下管线和邻近建筑物、构筑物（含文物保护建筑） 、古树名木的保护工作，因承包人造成的风险、责任及损失由承包人承担，造成发包人损失的，应予以全部赔偿；</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2、承包人要保持施工场地清洁卫生，施工过程中产生的建筑垃圾、生活垃圾等，承包人应在当天运出施工现场，做到工完场清，承包人负责施工现场建筑垃圾的清运并承担其费用，如不能按时清理出场，发包人有权委托第三方处理，由此产生的全部费用由承包人承担，该费用发包人有权在同期工程款中扣除；</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3、承包人负责协调周边村民、执法队、交警队、市政管理处等群众及有关管理部门的关系，做到文明施工不扰民，同时协调民扰问题，且承担协调费用；</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mc:AlternateContent>
          <mc:Choice Requires="wps">
            <w:drawing>
              <wp:anchor distT="0" distB="0" distL="114300" distR="114300" simplePos="0" relativeHeight="251659264" behindDoc="1" locked="0" layoutInCell="1" allowOverlap="1">
                <wp:simplePos x="0" y="0"/>
                <wp:positionH relativeFrom="page">
                  <wp:posOffset>1143000</wp:posOffset>
                </wp:positionH>
                <wp:positionV relativeFrom="paragraph">
                  <wp:posOffset>749300</wp:posOffset>
                </wp:positionV>
                <wp:extent cx="26670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26670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0pt;margin-top:59pt;height:0pt;width:21pt;mso-position-horizontal-relative:page;z-index:-251657216;mso-width-relative:page;mso-height-relative:page;" filled="f" stroked="t" coordsize="21600,21600" o:gfxdata="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xBckT0wAA&#10;AAsBAAAPAAAAAAAAAAEAIAAAACIAAABkcnMvZG93bnJldi54bWxQSwECFAAUAAAACACHTuJAkJ5T&#10;4uoBAADZAwAADgAAAAAAAAABACAAAAAiAQAAZHJzL2Uyb0RvYy54bWxQSwUGAAAAAAYABgBZAQAA&#10;fgUAAAAA&#10;">
                <v:fill on="f" focussize="0,0"/>
                <v:stroke weight="0.6pt" color="#000000" joinstyle="round"/>
                <v:imagedata o:title=""/>
                <o:lock v:ext="edit" aspectratio="f"/>
              </v:line>
            </w:pict>
          </mc:Fallback>
        </mc:AlternateContent>
      </w:r>
      <w:r>
        <w:rPr>
          <w:rFonts w:hint="eastAsia" w:ascii="宋体" w:hAnsi="宋体" w:cs="宋体"/>
          <w:color w:val="auto"/>
          <w:sz w:val="21"/>
          <w:szCs w:val="21"/>
          <w:u w:val="single"/>
        </w:rPr>
        <w:t>4、承包人对发包人可能另行发包的施工项目应积极配合并给予方便；电、水、热力、天然气等相关市政配套以及桩基、电梯、土方、基坑支护及降水、消防、室外管网等发包人发包的其他项目配合工作内容承包人已充分考虑，费用包括在投标报价内，不再单独计取。</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u w:val="single"/>
        </w:rPr>
        <w:t>5、竣工前，承包人应将因其施工破坏的绿地、公共设施、道路、地上地下构（建）筑物及施工便道恢复至有关单位的要求，并负责清理现场施工及生活垃圾，费用由承包人自理；</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u w:val="single"/>
        </w:rPr>
        <w:t>6、由于承包人原因引起的政府监督管理部门的相关处罚与罚款（含发包人由此遭受的罚款）由承包人承担,并向发包人缴纳同等金额的违约金；且承包人应协调并负责由此引起的整改、复工等工作承担由此产生的费用及风险。</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7、承包人施工过程中应严格遵守邓州市有关安全文明施工的相关要求，严格按要求组织施工；场外运输主干道扬尘治理及清洁费用由使用道路承包人共同分担。</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8、需承包人办理的有关施工场地交通、环卫和施工噪声管理等手续，由承包人按河南省及邓州市有关规定办理，承包人负责处理并承担费用。</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9、拟派项目部的成员不得随意更换，</w:t>
      </w:r>
      <w:r>
        <w:rPr>
          <w:rFonts w:hint="eastAsia" w:ascii="宋体" w:hAnsi="宋体" w:cs="宋体"/>
          <w:color w:val="auto"/>
          <w:sz w:val="21"/>
          <w:szCs w:val="21"/>
          <w:u w:val="single"/>
          <w:lang w:eastAsia="zh-CN"/>
        </w:rPr>
        <w:t>响应文件</w:t>
      </w:r>
      <w:r>
        <w:rPr>
          <w:rFonts w:hint="eastAsia" w:ascii="宋体" w:hAnsi="宋体" w:cs="宋体"/>
          <w:color w:val="auto"/>
          <w:sz w:val="21"/>
          <w:szCs w:val="21"/>
          <w:u w:val="single"/>
        </w:rPr>
        <w:t>中拟投入现场的施工机械设备、人员、材料必须满足施工要求，并保证及时到位。</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10、未经发包人许可，承包人不得以任何理由擅自停工。发包人因工程资金暂时不到位， 承包人应保证工程连续施工，并保证及时支付农民工工资。承包人自进场开始至工程保修期结束，不得发生承包人施工人员或者劳务人员以非正常手段索取工程款或者聚众滋事的情形（如：围堵发包人办公场所、项目现场、政府部门办公地点、网络等媒体发布负面信息等），每发生一次，承包人向发包人支付违约金50万元，并累加计算。</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11、承包人应负责所承揽工程的全部竣工资料的整理、装订、归档工作，配合总包资料整理并通过竣工验收备案，费用已含在合同总价内。</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12、承包人应妥善解决其因本工程或承揽的其他工程所产生的违法、违规及违约行为， 并应避免由此对发包人本工程施工或相关行政审批、证件及手续资料的办理和取得造成不利影响或阻碍。</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13、承包人施工过程中因自身原因无能力继续施工或发包人按照合同约定条件解除本合同的，承包人应按本合同相关约定，结合发包人通知及要求无条件退场。</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14、承包人不得将本合同工程价款转让或担保。</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15、承包人应无条件配合发包人上级单位及有关主管部门的监督、检查，所需费用由承包人自行承担。</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16、承包人在开工前，应按照国家相关文件要求办理“农民工工资保证金”事宜，并在工程实施阶段建立农民工工资发放台账，确保不拖欠农民工工资。</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17、承包人保证工程通过相关部门验收，并承担相关的费用。</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18、自承包人进场施工至向发包人移交工程期间内，承包人自行承担工地发生的一切安全、违法、违规事件。</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19、承包人在施工前应组织专业技术人员详细审阅设计文件，有责任发现并提出设计文件中存在的问题，并对文件的可实施性负责。在实施过程中，承包人如发现设计文件或指令有明显错误的，应及时书面报告监理人、发包人。设计文件或指令有明显错误，因承包人疏忽而未发现并且已施工的，由此增加的费用和延误的工期由承包人承担。在施工过程中图纸未体现但施工规范要求的项目，承包人必须依据施工规范进行施工，相关费用已包含在签约合同价中。</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20、承包人不得对原工程设计进行私自变更，因承包人擅自变更设计发生的费用和由此造成的损失，由承包人承担。</w:t>
      </w:r>
    </w:p>
    <w:p>
      <w:pPr>
        <w:numPr>
          <w:ilvl w:val="1"/>
          <w:numId w:val="14"/>
        </w:numPr>
        <w:tabs>
          <w:tab w:val="left" w:pos="860"/>
        </w:tabs>
        <w:spacing w:line="440" w:lineRule="exact"/>
        <w:ind w:left="0" w:firstLine="420" w:firstLineChars="200"/>
        <w:textAlignment w:val="baseline"/>
        <w:rPr>
          <w:rFonts w:ascii="宋体" w:hAnsi="宋体" w:cs="宋体"/>
          <w:color w:val="auto"/>
          <w:kern w:val="0"/>
        </w:rPr>
      </w:pPr>
      <w:bookmarkStart w:id="953" w:name="_Toc2802"/>
      <w:r>
        <w:rPr>
          <w:rFonts w:hint="eastAsia" w:ascii="宋体" w:hAnsi="宋体" w:cs="宋体"/>
          <w:color w:val="auto"/>
          <w:kern w:val="0"/>
          <w:u w:val="single"/>
        </w:rPr>
        <w:t>合同约定应由承包人承担的义务和责任，不因发包人和监理人对承包人提交文件的审查或批准，对工程、材料和设备的检查和检验，以及发包人和监理人为合同履行作出指示等职务行为而减轻或解除。除非合同双方当事人明确以书面形式对合同条款进行修改，合同当事人实施的任何行为在任何情况下均不构成交易习惯，不得视为对合同的修改。</w:t>
      </w:r>
      <w:bookmarkEnd w:id="953"/>
    </w:p>
    <w:p>
      <w:pPr>
        <w:numPr>
          <w:ilvl w:val="1"/>
          <w:numId w:val="14"/>
        </w:numPr>
        <w:tabs>
          <w:tab w:val="left" w:pos="860"/>
        </w:tabs>
        <w:spacing w:line="440" w:lineRule="exact"/>
        <w:ind w:left="0" w:firstLine="420" w:firstLineChars="200"/>
        <w:textAlignment w:val="baseline"/>
        <w:rPr>
          <w:rFonts w:ascii="宋体" w:hAnsi="宋体" w:cs="宋体"/>
          <w:color w:val="auto"/>
          <w:kern w:val="0"/>
        </w:rPr>
      </w:pPr>
      <w:bookmarkStart w:id="954" w:name="_Toc29105"/>
      <w:r>
        <w:rPr>
          <w:rFonts w:hint="eastAsia" w:ascii="宋体" w:hAnsi="宋体" w:cs="宋体"/>
          <w:color w:val="auto"/>
          <w:kern w:val="0"/>
        </w:rPr>
        <w:t>项目经理</w:t>
      </w:r>
      <w:bookmarkEnd w:id="954"/>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项目经理：</w:t>
      </w:r>
    </w:p>
    <w:p>
      <w:pPr>
        <w:pStyle w:val="10"/>
        <w:tabs>
          <w:tab w:val="left" w:pos="1171"/>
          <w:tab w:val="left" w:pos="2117"/>
          <w:tab w:val="left" w:pos="3377"/>
        </w:tabs>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姓名</w:t>
      </w:r>
      <w:r>
        <w:rPr>
          <w:rFonts w:hint="eastAsia" w:ascii="宋体" w:hAnsi="宋体" w:cs="宋体"/>
          <w:color w:val="auto"/>
          <w:sz w:val="21"/>
          <w:szCs w:val="21"/>
          <w:u w:val="single"/>
        </w:rPr>
        <w:t>：</w:t>
      </w:r>
      <w:r>
        <w:rPr>
          <w:rFonts w:hint="eastAsia" w:cs="宋体"/>
          <w:color w:val="auto"/>
          <w:sz w:val="21"/>
          <w:szCs w:val="21"/>
          <w:u w:val="single"/>
        </w:rPr>
        <w:t xml:space="preserve">                       </w:t>
      </w:r>
      <w:r>
        <w:rPr>
          <w:rFonts w:hint="eastAsia" w:ascii="宋体" w:hAnsi="宋体" w:cs="宋体"/>
          <w:color w:val="auto"/>
          <w:sz w:val="21"/>
          <w:szCs w:val="21"/>
          <w:u w:val="single"/>
        </w:rPr>
        <w:t>；</w:t>
      </w:r>
    </w:p>
    <w:p>
      <w:pPr>
        <w:pStyle w:val="10"/>
        <w:tabs>
          <w:tab w:val="left" w:pos="1171"/>
          <w:tab w:val="left" w:pos="2117"/>
          <w:tab w:val="left" w:pos="3377"/>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证号：</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 xml:space="preserve"> ；</w:t>
      </w:r>
    </w:p>
    <w:p>
      <w:pPr>
        <w:pStyle w:val="10"/>
        <w:tabs>
          <w:tab w:val="left" w:pos="2955"/>
          <w:tab w:val="left" w:pos="369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建造师执业资格等级：</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建造师注册证书号：</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 xml:space="preserve">； </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建造师执业印章号：</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安全生产考核合格证书号：</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 xml:space="preserve">； </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联系电话：</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w:t>
      </w:r>
    </w:p>
    <w:p>
      <w:pPr>
        <w:pStyle w:val="10"/>
        <w:tabs>
          <w:tab w:val="left" w:pos="411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电子信箱：</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通信地址：</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 xml:space="preserve"> ；</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承包人对项目经理的授权范围如下：</w:t>
      </w:r>
      <w:r>
        <w:rPr>
          <w:rFonts w:hint="eastAsia" w:ascii="宋体" w:hAnsi="宋体" w:cs="宋体"/>
          <w:color w:val="auto"/>
          <w:sz w:val="21"/>
          <w:szCs w:val="21"/>
          <w:u w:val="single"/>
        </w:rPr>
        <w:t>项目经理经承包人授权后代表承包人负责履行合同， 对施工过程中的进度、质量、安全等全面管理，交付合格工程；但是下列必须经承包人同意，并加盖承包人单位公章方为有效：</w:t>
      </w:r>
    </w:p>
    <w:p>
      <w:pPr>
        <w:pStyle w:val="68"/>
        <w:numPr>
          <w:ilvl w:val="0"/>
          <w:numId w:val="22"/>
        </w:numPr>
        <w:tabs>
          <w:tab w:val="left" w:pos="961"/>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与本工程相关的任何补充协议的签订；</w:t>
      </w:r>
    </w:p>
    <w:p>
      <w:pPr>
        <w:pStyle w:val="68"/>
        <w:numPr>
          <w:ilvl w:val="0"/>
          <w:numId w:val="22"/>
        </w:numPr>
        <w:tabs>
          <w:tab w:val="left" w:pos="961"/>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与本工程相关的任何分包合同、采购合同、聘任合同的签订；</w:t>
      </w:r>
    </w:p>
    <w:p>
      <w:pPr>
        <w:pStyle w:val="68"/>
        <w:numPr>
          <w:ilvl w:val="0"/>
          <w:numId w:val="22"/>
        </w:numPr>
        <w:tabs>
          <w:tab w:val="left" w:pos="961"/>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同意涉及合同价款变化或合同工期变化的变更指示；</w:t>
      </w:r>
    </w:p>
    <w:p>
      <w:pPr>
        <w:pStyle w:val="68"/>
        <w:numPr>
          <w:ilvl w:val="0"/>
          <w:numId w:val="22"/>
        </w:numPr>
        <w:tabs>
          <w:tab w:val="left" w:pos="961"/>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进度款支付申请；</w:t>
      </w:r>
    </w:p>
    <w:p>
      <w:pPr>
        <w:pStyle w:val="68"/>
        <w:numPr>
          <w:ilvl w:val="0"/>
          <w:numId w:val="22"/>
        </w:numPr>
        <w:tabs>
          <w:tab w:val="left" w:pos="961"/>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竣工验收申请；</w:t>
      </w:r>
    </w:p>
    <w:p>
      <w:pPr>
        <w:pStyle w:val="68"/>
        <w:numPr>
          <w:ilvl w:val="0"/>
          <w:numId w:val="22"/>
        </w:numPr>
        <w:tabs>
          <w:tab w:val="left" w:pos="961"/>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最终结清申请单；</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关于项目经理每月在施工现场的时间要求：</w:t>
      </w:r>
      <w:r>
        <w:rPr>
          <w:rFonts w:hint="eastAsia" w:ascii="宋体" w:hAnsi="宋体" w:cs="宋体"/>
          <w:color w:val="auto"/>
          <w:sz w:val="21"/>
          <w:szCs w:val="21"/>
          <w:u w:val="single"/>
        </w:rPr>
        <w:t xml:space="preserve"> 每月在施工现场出勤天数不少于 24 天， 且每天不少于 8 小时。</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承包人未提交劳动合同，以及没有为项目经理缴纳社会保险证明的违约责任：</w:t>
      </w:r>
      <w:r>
        <w:rPr>
          <w:rFonts w:hint="eastAsia" w:ascii="宋体" w:hAnsi="宋体" w:cs="宋体"/>
          <w:color w:val="auto"/>
          <w:sz w:val="21"/>
          <w:szCs w:val="21"/>
          <w:u w:val="single"/>
        </w:rPr>
        <w:t>每发现一次支付违约金 1000 元。同时要求承包人在收到提交通知后 3 日内补交，3 日内不能补交的， 发包人有权要求承包人更换项目经理，由此增加的费用和（或）延误的工期由承包人承担 。</w:t>
      </w:r>
    </w:p>
    <w:p>
      <w:pPr>
        <w:pStyle w:val="68"/>
        <w:numPr>
          <w:ilvl w:val="2"/>
          <w:numId w:val="23"/>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项目经理未经批准，擅自离开施工现场的违约责任：</w:t>
      </w:r>
      <w:r>
        <w:rPr>
          <w:rFonts w:hint="eastAsia" w:ascii="宋体" w:hAnsi="宋体" w:cs="宋体"/>
          <w:color w:val="auto"/>
          <w:kern w:val="0"/>
          <w:u w:val="single"/>
        </w:rPr>
        <w:t>每发现一次支付违约金 1000 元，</w:t>
      </w:r>
    </w:p>
    <w:p>
      <w:pPr>
        <w:pStyle w:val="68"/>
        <w:numPr>
          <w:ilvl w:val="2"/>
          <w:numId w:val="23"/>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同时发包人还有权要求承包人更换项目经理，由此增加的费用和（或）延误的工期由承包人承担。</w:t>
      </w:r>
    </w:p>
    <w:p>
      <w:pPr>
        <w:pStyle w:val="68"/>
        <w:numPr>
          <w:ilvl w:val="2"/>
          <w:numId w:val="23"/>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承包人擅自更换项目经理的违约责任：</w:t>
      </w:r>
      <w:r>
        <w:rPr>
          <w:rFonts w:hint="eastAsia" w:ascii="宋体" w:hAnsi="宋体" w:cs="宋体"/>
          <w:color w:val="auto"/>
          <w:kern w:val="0"/>
          <w:u w:val="single"/>
        </w:rPr>
        <w:t xml:space="preserve"> 每次支付违约金 1000 元，原项目经理如能够继续履行职责的，应责令承包人撤销其更换决定；如原项目经理客观上已经无法继续履行职责的，发包人有权要求审核确认承包人更换项目经理，由此增加的费用和（或）延误的工期由承包人承担。</w:t>
      </w:r>
    </w:p>
    <w:p>
      <w:pPr>
        <w:pStyle w:val="68"/>
        <w:numPr>
          <w:ilvl w:val="2"/>
          <w:numId w:val="23"/>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承包人无正当理由拒绝更换项目经理的违约责任：</w:t>
      </w:r>
      <w:r>
        <w:rPr>
          <w:rFonts w:hint="eastAsia" w:ascii="宋体" w:hAnsi="宋体" w:cs="宋体"/>
          <w:color w:val="auto"/>
          <w:kern w:val="0"/>
          <w:u w:val="single"/>
        </w:rPr>
        <w:t>每次支付违约金 10000 元， 发包方有权解除本合同并责令承包人退场，还需承担因本合同解除给发包人造成的一切损失， 且发包方有权直接从承包人的工程款中扣除相应款项，并不需要承包人同意。</w:t>
      </w:r>
    </w:p>
    <w:p>
      <w:pPr>
        <w:numPr>
          <w:ilvl w:val="1"/>
          <w:numId w:val="14"/>
        </w:numPr>
        <w:tabs>
          <w:tab w:val="left" w:pos="954"/>
        </w:tabs>
        <w:spacing w:line="440" w:lineRule="exact"/>
        <w:ind w:left="0" w:firstLine="420" w:firstLineChars="200"/>
        <w:textAlignment w:val="baseline"/>
        <w:rPr>
          <w:rFonts w:ascii="宋体" w:hAnsi="宋体" w:cs="宋体"/>
          <w:color w:val="auto"/>
          <w:kern w:val="0"/>
        </w:rPr>
      </w:pPr>
      <w:bookmarkStart w:id="955" w:name="_Toc17468"/>
      <w:r>
        <w:rPr>
          <w:rFonts w:hint="eastAsia" w:ascii="宋体" w:hAnsi="宋体" w:cs="宋体"/>
          <w:color w:val="auto"/>
          <w:kern w:val="0"/>
        </w:rPr>
        <w:t>承包人人员</w:t>
      </w:r>
      <w:bookmarkEnd w:id="955"/>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承包人提交项目管理机构及施工现场管理人员安排报告的期限：</w:t>
      </w:r>
      <w:r>
        <w:rPr>
          <w:rFonts w:hint="eastAsia" w:ascii="宋体" w:hAnsi="宋体" w:cs="宋体"/>
          <w:color w:val="auto"/>
          <w:kern w:val="0"/>
          <w:u w:val="single"/>
        </w:rPr>
        <w:t>签订合同后两日内。</w:t>
      </w:r>
    </w:p>
    <w:p>
      <w:pPr>
        <w:pStyle w:val="68"/>
        <w:numPr>
          <w:ilvl w:val="2"/>
          <w:numId w:val="2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承包人无正当理由拒绝撤换主要施工管理人员的违约责任：</w:t>
      </w:r>
      <w:r>
        <w:rPr>
          <w:rFonts w:hint="eastAsia" w:ascii="宋体" w:hAnsi="宋体" w:cs="宋体"/>
          <w:color w:val="auto"/>
          <w:kern w:val="0"/>
          <w:u w:val="single"/>
        </w:rPr>
        <w:t>承包人须每次支付人民币 1000 元违约金。同时发包人再次发出通知要求承包人 3 天之内予以更换，若承包人在接到第二次通知 3 天内仍拒绝更换的，书面通知该主要施工管理人员停止工作，并指示暂时停止施工，由此增加的费用和（或）延误的工期由承包人承担。</w:t>
      </w:r>
    </w:p>
    <w:p>
      <w:pPr>
        <w:pStyle w:val="68"/>
        <w:numPr>
          <w:ilvl w:val="2"/>
          <w:numId w:val="2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承包人主要施工管理人员离开施工现场的批准要求：</w:t>
      </w:r>
      <w:r>
        <w:rPr>
          <w:rFonts w:hint="eastAsia" w:ascii="宋体" w:hAnsi="宋体" w:cs="宋体"/>
          <w:color w:val="auto"/>
          <w:kern w:val="0"/>
          <w:u w:val="single"/>
        </w:rPr>
        <w:t>须经发包人批准。</w:t>
      </w:r>
    </w:p>
    <w:p>
      <w:pPr>
        <w:pStyle w:val="68"/>
        <w:numPr>
          <w:ilvl w:val="2"/>
          <w:numId w:val="24"/>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承包人擅自更换主要施工管理人员的违约责任：</w:t>
      </w:r>
      <w:r>
        <w:rPr>
          <w:rFonts w:hint="eastAsia" w:ascii="宋体" w:hAnsi="宋体" w:cs="宋体"/>
          <w:color w:val="auto"/>
          <w:kern w:val="0"/>
          <w:u w:val="single"/>
        </w:rPr>
        <w:t>承包人须每次支付人民币 1000元违约金。原管理人员如能够继续履行职责的，应责令承包人撤销其更换决定；如原管理人员客观上已经无法继续履行职责的，发包人有权要求审核确认承包人更换管理人员，由此增加的费用和（或）延误的工期由承包人承担。若发包人不同意更换，但承包人坚持更换的，执行专用条款 16.2.2 条追究承包人的违约责任。</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承包人主要施工管理人员擅自离开施工现场的违约责任：</w:t>
      </w:r>
      <w:r>
        <w:rPr>
          <w:rFonts w:hint="eastAsia" w:ascii="宋体" w:hAnsi="宋体" w:cs="宋体"/>
          <w:color w:val="auto"/>
          <w:sz w:val="21"/>
          <w:szCs w:val="21"/>
          <w:u w:val="single"/>
        </w:rPr>
        <w:t>承包人须每次支付人民币1000 元</w:t>
      </w:r>
      <w:r>
        <w:rPr>
          <w:rFonts w:hint="eastAsia" w:ascii="宋体" w:hAnsi="宋体" w:cs="宋体"/>
          <w:color w:val="auto"/>
          <w:sz w:val="21"/>
          <w:szCs w:val="21"/>
        </w:rPr>
        <w:t>违</w:t>
      </w:r>
      <w:r>
        <w:rPr>
          <w:rFonts w:hint="eastAsia" w:ascii="宋体" w:hAnsi="宋体" w:cs="宋体"/>
          <w:color w:val="auto"/>
          <w:sz w:val="21"/>
          <w:szCs w:val="21"/>
          <w:u w:val="single"/>
        </w:rPr>
        <w:t>约金。同时发包人有权要求承包人更换该管理人员，由此增加的费用和（或）延误的工期由承包人承担 。</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注：承包人存在上述 3.2、3.3 中的违规行为，应当自该行为发生时起 3 日内向发包人支付上述违约金，若承包人超过规定时间未支付的，发包方有权根据付款进度直接从应付承包人的工程款中扣除，并不需要承包人同意。</w:t>
      </w:r>
    </w:p>
    <w:p>
      <w:pPr>
        <w:numPr>
          <w:ilvl w:val="1"/>
          <w:numId w:val="25"/>
        </w:numPr>
        <w:tabs>
          <w:tab w:val="left" w:pos="966"/>
        </w:tabs>
        <w:spacing w:line="440" w:lineRule="exact"/>
        <w:ind w:left="0" w:firstLine="420" w:firstLineChars="200"/>
        <w:textAlignment w:val="baseline"/>
        <w:rPr>
          <w:rFonts w:ascii="宋体" w:hAnsi="宋体" w:cs="宋体"/>
          <w:color w:val="auto"/>
          <w:kern w:val="0"/>
        </w:rPr>
      </w:pPr>
      <w:bookmarkStart w:id="956" w:name="_Toc23281"/>
      <w:r>
        <w:rPr>
          <w:rFonts w:hint="eastAsia" w:ascii="宋体" w:hAnsi="宋体" w:cs="宋体"/>
          <w:color w:val="auto"/>
          <w:kern w:val="0"/>
        </w:rPr>
        <w:t>分包</w:t>
      </w:r>
      <w:bookmarkEnd w:id="956"/>
    </w:p>
    <w:p>
      <w:pPr>
        <w:pStyle w:val="68"/>
        <w:numPr>
          <w:ilvl w:val="2"/>
          <w:numId w:val="25"/>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分包的一般约定</w:t>
      </w:r>
    </w:p>
    <w:p>
      <w:pPr>
        <w:pStyle w:val="10"/>
        <w:tabs>
          <w:tab w:val="left" w:pos="2955"/>
          <w:tab w:val="left" w:pos="4114"/>
          <w:tab w:val="left" w:pos="4849"/>
          <w:tab w:val="left" w:pos="7473"/>
        </w:tabs>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禁止分包的工程包括：</w:t>
      </w:r>
      <w:r>
        <w:rPr>
          <w:rFonts w:hint="eastAsia" w:ascii="宋体" w:hAnsi="宋体" w:cs="宋体"/>
          <w:color w:val="auto"/>
          <w:sz w:val="21"/>
          <w:szCs w:val="21"/>
          <w:u w:val="single"/>
        </w:rPr>
        <w:t xml:space="preserve"> 本项目工程量清单及图纸范围内的全部内容。</w:t>
      </w:r>
    </w:p>
    <w:p>
      <w:pPr>
        <w:pStyle w:val="10"/>
        <w:tabs>
          <w:tab w:val="left" w:pos="2955"/>
          <w:tab w:val="left" w:pos="4114"/>
          <w:tab w:val="left" w:pos="4849"/>
          <w:tab w:val="left" w:pos="7473"/>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主体结构、关键性工作的范围：</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rPr>
        <w:t>。</w:t>
      </w:r>
    </w:p>
    <w:p>
      <w:pPr>
        <w:pStyle w:val="68"/>
        <w:numPr>
          <w:ilvl w:val="2"/>
          <w:numId w:val="25"/>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分包的确定</w:t>
      </w:r>
    </w:p>
    <w:p>
      <w:pPr>
        <w:pStyle w:val="10"/>
        <w:tabs>
          <w:tab w:val="left" w:pos="3586"/>
          <w:tab w:val="left" w:pos="4428"/>
          <w:tab w:val="left" w:pos="4741"/>
          <w:tab w:val="left" w:pos="621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mc:AlternateContent>
          <mc:Choice Requires="wpg">
            <w:drawing>
              <wp:anchor distT="0" distB="0" distL="114300" distR="114300" simplePos="0" relativeHeight="251660288" behindDoc="1" locked="0" layoutInCell="1" allowOverlap="1">
                <wp:simplePos x="0" y="0"/>
                <wp:positionH relativeFrom="page">
                  <wp:posOffset>3011805</wp:posOffset>
                </wp:positionH>
                <wp:positionV relativeFrom="paragraph">
                  <wp:posOffset>99060</wp:posOffset>
                </wp:positionV>
                <wp:extent cx="399415" cy="134620"/>
                <wp:effectExtent l="0" t="0" r="0" b="0"/>
                <wp:wrapNone/>
                <wp:docPr id="9" name="组合 9"/>
                <wp:cNvGraphicFramePr/>
                <a:graphic xmlns:a="http://schemas.openxmlformats.org/drawingml/2006/main">
                  <a:graphicData uri="http://schemas.microsoft.com/office/word/2010/wordprocessingGroup">
                    <wpg:wgp>
                      <wpg:cNvGrpSpPr/>
                      <wpg:grpSpPr>
                        <a:xfrm>
                          <a:off x="0" y="0"/>
                          <a:ext cx="399415" cy="134620"/>
                          <a:chOff x="4743" y="157"/>
                          <a:chExt cx="629" cy="212"/>
                        </a:xfrm>
                      </wpg:grpSpPr>
                      <pic:pic xmlns:pic="http://schemas.openxmlformats.org/drawingml/2006/picture">
                        <pic:nvPicPr>
                          <pic:cNvPr id="7" name="图片 4"/>
                          <pic:cNvPicPr>
                            <a:picLocks noChangeAspect="1"/>
                          </pic:cNvPicPr>
                        </pic:nvPicPr>
                        <pic:blipFill>
                          <a:blip r:embed="rId8"/>
                          <a:stretch>
                            <a:fillRect/>
                          </a:stretch>
                        </pic:blipFill>
                        <pic:spPr>
                          <a:xfrm>
                            <a:off x="4743" y="156"/>
                            <a:ext cx="423" cy="212"/>
                          </a:xfrm>
                          <a:prstGeom prst="rect">
                            <a:avLst/>
                          </a:prstGeom>
                          <a:noFill/>
                          <a:ln>
                            <a:noFill/>
                          </a:ln>
                        </pic:spPr>
                      </pic:pic>
                      <pic:pic xmlns:pic="http://schemas.openxmlformats.org/drawingml/2006/picture">
                        <pic:nvPicPr>
                          <pic:cNvPr id="8" name="图片 5"/>
                          <pic:cNvPicPr>
                            <a:picLocks noChangeAspect="1"/>
                          </pic:cNvPicPr>
                        </pic:nvPicPr>
                        <pic:blipFill>
                          <a:blip r:embed="rId9"/>
                          <a:stretch>
                            <a:fillRect/>
                          </a:stretch>
                        </pic:blipFill>
                        <pic:spPr>
                          <a:xfrm>
                            <a:off x="4954" y="156"/>
                            <a:ext cx="418" cy="212"/>
                          </a:xfrm>
                          <a:prstGeom prst="rect">
                            <a:avLst/>
                          </a:prstGeom>
                          <a:noFill/>
                          <a:ln>
                            <a:noFill/>
                          </a:ln>
                        </pic:spPr>
                      </pic:pic>
                    </wpg:wgp>
                  </a:graphicData>
                </a:graphic>
              </wp:anchor>
            </w:drawing>
          </mc:Choice>
          <mc:Fallback>
            <w:pict>
              <v:group id="_x0000_s1026" o:spid="_x0000_s1026" o:spt="203" style="position:absolute;left:0pt;margin-left:237.15pt;margin-top:7.8pt;height:10.6pt;width:31.45pt;mso-position-horizontal-relative:page;z-index:-251656192;mso-width-relative:page;mso-height-relative:page;" coordorigin="4743,157" coordsize="629,212" o:gfxdata="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LmzwAL8A&#10;AAClAQAAGQAAAGRycy9fcmVscy9lMm9Eb2MueG1sLnJlbHO9kMGKwjAQhu8L+w5h7tu0PSyymPYi&#10;gldxH2BIpmmwmYQkir69gWVBQfDmcWb4v/9j1uPFL+JMKbvACrqmBUGsg3FsFfwetl8rELkgG1wC&#10;k4IrZRiHz4/1nhYsNZRnF7OoFM4K5lLij5RZz+QxNyES18sUksdSx2RlRH1ES7Jv22+Z7hkwPDDF&#10;zihIO9ODOFxjbX7NDtPkNG2CPnni8qRCOl+7KxCTpaLAk3H4t+ybyBbkc4fuPQ7dv4N8eO5wA1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">
                <o:lock v:ext="edit" aspectratio="f"/>
                <v:shape id="图片 4" o:spid="_x0000_s1026" o:spt="75" type="#_x0000_t75" style="position:absolute;left:4743;top:156;height:212;width:423;" filled="f" o:preferrelative="t" stroked="f" coordsize="21600,21600" o:gfxdata="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ARU68AAAA&#10;2gAAAA8AAAAAAAAAAQAgAAAAIgAAAGRycy9kb3ducmV2LnhtbFBLAQIUABQAAAAIAIdO4kAzLwWe&#10;OwAAADkAAAAQAAAAAAAAAAEAIAAAAAsBAABkcnMvc2hhcGV4bWwueG1sUEsFBgAAAAAGAAYAWwEA&#10;ALUDAAAAAA==&#10;">
                  <v:fill on="f" focussize="0,0"/>
                  <v:stroke on="f"/>
                  <v:imagedata r:id="rId8" o:title=""/>
                  <o:lock v:ext="edit" aspectratio="t"/>
                </v:shape>
                <v:shape id="图片 5" o:spid="_x0000_s1026" o:spt="75" type="#_x0000_t75" style="position:absolute;left:4954;top:156;height:212;width:418;" filled="f" o:preferrelative="t" stroked="f" coordsize="21600,21600" o:gfxdata="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rKyWtwAAANoAAAAP&#10;AAAAAAAAAAEAIAAAACIAAABkcnMvZG93bnJldi54bWxQSwECFAAUAAAACACHTuJAMy8FnjsAAAA5&#10;AAAAEAAAAAAAAAABACAAAAAGAQAAZHJzL3NoYXBleG1sLnhtbFBLBQYAAAAABgAGAFsBAACwAwAA&#10;AAA=&#10;">
                  <v:fill on="f" focussize="0,0"/>
                  <v:stroke on="f"/>
                  <v:imagedata r:id="rId9" o:title=""/>
                  <o:lock v:ext="edit" aspectratio="t"/>
                </v:shape>
              </v:group>
            </w:pict>
          </mc:Fallback>
        </mc:AlternateContent>
      </w:r>
      <w:r>
        <w:rPr>
          <w:rFonts w:hint="eastAsia" w:ascii="宋体" w:hAnsi="宋体" w:cs="宋体"/>
          <w:color w:val="auto"/>
          <w:sz w:val="21"/>
          <w:szCs w:val="21"/>
        </w:rPr>
        <w:t>允许分包的专业工程包括：</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rPr>
        <w:t>。</w:t>
      </w:r>
    </w:p>
    <w:p>
      <w:pPr>
        <w:pStyle w:val="10"/>
        <w:tabs>
          <w:tab w:val="left" w:pos="3586"/>
          <w:tab w:val="left" w:pos="4428"/>
          <w:tab w:val="left" w:pos="4741"/>
          <w:tab w:val="left" w:pos="621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其他关于分包的约定：</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3.5.4 分包合同价款</w:t>
      </w:r>
    </w:p>
    <w:p>
      <w:pPr>
        <w:numPr>
          <w:ilvl w:val="1"/>
          <w:numId w:val="25"/>
        </w:numPr>
        <w:tabs>
          <w:tab w:val="left" w:pos="966"/>
        </w:tabs>
        <w:spacing w:line="440" w:lineRule="exact"/>
        <w:ind w:left="0" w:firstLine="420" w:firstLineChars="200"/>
        <w:textAlignment w:val="baseline"/>
        <w:rPr>
          <w:rFonts w:ascii="宋体" w:hAnsi="宋体" w:cs="宋体"/>
          <w:color w:val="auto"/>
          <w:kern w:val="0"/>
        </w:rPr>
      </w:pPr>
      <w:bookmarkStart w:id="957" w:name="_Toc17346"/>
      <w:r>
        <w:rPr>
          <w:rFonts w:hint="eastAsia" w:ascii="宋体" w:hAnsi="宋体" w:cs="宋体"/>
          <w:color w:val="auto"/>
          <w:kern w:val="0"/>
        </w:rPr>
        <mc:AlternateContent>
          <mc:Choice Requires="wpg">
            <w:drawing>
              <wp:anchor distT="0" distB="0" distL="114300" distR="114300" simplePos="0" relativeHeight="251662336" behindDoc="1" locked="0" layoutInCell="1" allowOverlap="1">
                <wp:simplePos x="0" y="0"/>
                <wp:positionH relativeFrom="page">
                  <wp:posOffset>3278505</wp:posOffset>
                </wp:positionH>
                <wp:positionV relativeFrom="paragraph">
                  <wp:posOffset>44450</wp:posOffset>
                </wp:positionV>
                <wp:extent cx="399415" cy="134620"/>
                <wp:effectExtent l="0" t="0" r="0" b="0"/>
                <wp:wrapNone/>
                <wp:docPr id="5" name="组合 5"/>
                <wp:cNvGraphicFramePr/>
                <a:graphic xmlns:a="http://schemas.openxmlformats.org/drawingml/2006/main">
                  <a:graphicData uri="http://schemas.microsoft.com/office/word/2010/wordprocessingGroup">
                    <wpg:wgp>
                      <wpg:cNvGrpSpPr/>
                      <wpg:grpSpPr>
                        <a:xfrm>
                          <a:off x="0" y="0"/>
                          <a:ext cx="399415" cy="134620"/>
                          <a:chOff x="5163" y="71"/>
                          <a:chExt cx="629" cy="212"/>
                        </a:xfrm>
                      </wpg:grpSpPr>
                      <pic:pic xmlns:pic="http://schemas.openxmlformats.org/drawingml/2006/picture">
                        <pic:nvPicPr>
                          <pic:cNvPr id="1" name="图片 7"/>
                          <pic:cNvPicPr>
                            <a:picLocks noChangeAspect="1"/>
                          </pic:cNvPicPr>
                        </pic:nvPicPr>
                        <pic:blipFill>
                          <a:blip r:embed="rId8"/>
                          <a:stretch>
                            <a:fillRect/>
                          </a:stretch>
                        </pic:blipFill>
                        <pic:spPr>
                          <a:xfrm>
                            <a:off x="5163" y="70"/>
                            <a:ext cx="423" cy="212"/>
                          </a:xfrm>
                          <a:prstGeom prst="rect">
                            <a:avLst/>
                          </a:prstGeom>
                          <a:noFill/>
                          <a:ln>
                            <a:noFill/>
                          </a:ln>
                        </pic:spPr>
                      </pic:pic>
                      <pic:pic xmlns:pic="http://schemas.openxmlformats.org/drawingml/2006/picture">
                        <pic:nvPicPr>
                          <pic:cNvPr id="4" name="图片 8"/>
                          <pic:cNvPicPr>
                            <a:picLocks noChangeAspect="1"/>
                          </pic:cNvPicPr>
                        </pic:nvPicPr>
                        <pic:blipFill>
                          <a:blip r:embed="rId9"/>
                          <a:stretch>
                            <a:fillRect/>
                          </a:stretch>
                        </pic:blipFill>
                        <pic:spPr>
                          <a:xfrm>
                            <a:off x="5374" y="70"/>
                            <a:ext cx="418" cy="212"/>
                          </a:xfrm>
                          <a:prstGeom prst="rect">
                            <a:avLst/>
                          </a:prstGeom>
                          <a:noFill/>
                          <a:ln>
                            <a:noFill/>
                          </a:ln>
                        </pic:spPr>
                      </pic:pic>
                    </wpg:wgp>
                  </a:graphicData>
                </a:graphic>
              </wp:anchor>
            </w:drawing>
          </mc:Choice>
          <mc:Fallback>
            <w:pict>
              <v:group id="_x0000_s1026" o:spid="_x0000_s1026" o:spt="203" style="position:absolute;left:0pt;margin-left:258.15pt;margin-top:3.5pt;height:10.6pt;width:31.45pt;mso-position-horizontal-relative:page;z-index:-251654144;mso-width-relative:page;mso-height-relative:page;" coordorigin="5163,71" coordsize="629,212" o:gfxdata="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">
                <o:lock v:ext="edit" aspectratio="f"/>
                <v:shape id="图片 7" o:spid="_x0000_s1026" o:spt="75" type="#_x0000_t75" style="position:absolute;left:5163;top:70;height:212;width:423;" filled="f" o:preferrelative="t" stroked="f" coordsize="21600,21600" o:gfxdata="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YleKG8AAAA&#10;2gAAAA8AAAAAAAAAAQAgAAAAIgAAAGRycy9kb3ducmV2LnhtbFBLAQIUABQAAAAIAIdO4kAzLwWe&#10;OwAAADkAAAAQAAAAAAAAAAEAIAAAAAsBAABkcnMvc2hhcGV4bWwueG1sUEsFBgAAAAAGAAYAWwEA&#10;ALUDAAAAAA==&#10;">
                  <v:fill on="f" focussize="0,0"/>
                  <v:stroke on="f"/>
                  <v:imagedata r:id="rId8" o:title=""/>
                  <o:lock v:ext="edit" aspectratio="t"/>
                </v:shape>
                <v:shape id="图片 8" o:spid="_x0000_s1026" o:spt="75" type="#_x0000_t75" style="position:absolute;left:5374;top:70;height:212;width:418;" filled="f" o:preferrelative="t" stroked="f" coordsize="21600,21600" o:gfxdata="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uGmk7sAAADa&#10;AAAADwAAAAAAAAABACAAAAAiAAAAZHJzL2Rvd25yZXYueG1sUEsBAhQAFAAAAAgAh07iQDMvBZ47&#10;AAAAOQAAABAAAAAAAAAAAQAgAAAACgEAAGRycy9zaGFwZXhtbC54bWxQSwUGAAAAAAYABgBbAQAA&#10;tAMAAAAA&#10;">
                  <v:fill on="f" focussize="0,0"/>
                  <v:stroke on="f"/>
                  <v:imagedata r:id="rId9" o:title=""/>
                  <o:lock v:ext="edit" aspectratio="t"/>
                </v:shape>
              </v:group>
            </w:pict>
          </mc:Fallback>
        </mc:AlternateContent>
      </w:r>
      <w:r>
        <w:rPr>
          <w:rFonts w:hint="eastAsia" w:ascii="宋体" w:hAnsi="宋体" w:cs="宋体"/>
          <w:color w:val="auto"/>
          <w:kern w:val="0"/>
        </w:rPr>
        <w:t>关于分包合同价款支付的约定：</w:t>
      </w:r>
      <w:r>
        <w:rPr>
          <w:rFonts w:hint="eastAsia" w:ascii="宋体" w:hAnsi="宋体" w:cs="宋体"/>
          <w:color w:val="auto"/>
          <w:kern w:val="0"/>
          <w:u w:val="single"/>
        </w:rPr>
        <w:t xml:space="preserve"> /</w:t>
      </w:r>
      <w:r>
        <w:rPr>
          <w:rFonts w:hint="eastAsia" w:ascii="宋体" w:hAnsi="宋体" w:cs="宋体"/>
          <w:color w:val="auto"/>
          <w:kern w:val="0"/>
        </w:rPr>
        <w:t>。</w:t>
      </w:r>
      <w:bookmarkEnd w:id="957"/>
    </w:p>
    <w:p>
      <w:pPr>
        <w:numPr>
          <w:ilvl w:val="1"/>
          <w:numId w:val="25"/>
        </w:numPr>
        <w:tabs>
          <w:tab w:val="left" w:pos="966"/>
        </w:tabs>
        <w:spacing w:line="440" w:lineRule="exact"/>
        <w:ind w:left="0" w:firstLine="420" w:firstLineChars="200"/>
        <w:textAlignment w:val="baseline"/>
        <w:rPr>
          <w:rFonts w:ascii="宋体" w:hAnsi="宋体" w:cs="宋体"/>
          <w:color w:val="auto"/>
          <w:kern w:val="0"/>
        </w:rPr>
      </w:pPr>
      <w:bookmarkStart w:id="958" w:name="_Toc15022"/>
      <w:r>
        <w:rPr>
          <w:rFonts w:hint="eastAsia" w:ascii="宋体" w:hAnsi="宋体" w:cs="宋体"/>
          <w:color w:val="auto"/>
          <w:kern w:val="0"/>
        </w:rPr>
        <w:t>工程照管与成品、半成品保护</w:t>
      </w:r>
      <w:bookmarkEnd w:id="958"/>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承包人负责照管工程及工程相关的材料、工程设备的起始时间：</w:t>
      </w:r>
      <w:r>
        <w:rPr>
          <w:rFonts w:hint="eastAsia" w:ascii="宋体" w:hAnsi="宋体" w:cs="宋体"/>
          <w:color w:val="auto"/>
          <w:sz w:val="21"/>
          <w:szCs w:val="21"/>
          <w:u w:val="single"/>
        </w:rPr>
        <w:t>自发包人向承包人移交施工现场之日起，承包人应负责照管工程及工程相关的材料、工程设备，直到颁发工程接收证书之日止。</w:t>
      </w:r>
    </w:p>
    <w:p>
      <w:pPr>
        <w:numPr>
          <w:ilvl w:val="1"/>
          <w:numId w:val="25"/>
        </w:numPr>
        <w:tabs>
          <w:tab w:val="left" w:pos="966"/>
        </w:tabs>
        <w:spacing w:line="440" w:lineRule="exact"/>
        <w:ind w:left="0" w:firstLine="420" w:firstLineChars="200"/>
        <w:textAlignment w:val="baseline"/>
        <w:rPr>
          <w:rFonts w:ascii="宋体" w:hAnsi="宋体" w:cs="宋体"/>
          <w:color w:val="auto"/>
          <w:kern w:val="0"/>
        </w:rPr>
      </w:pPr>
      <w:bookmarkStart w:id="959" w:name="_Toc22846"/>
      <w:r>
        <w:rPr>
          <w:rFonts w:hint="eastAsia" w:ascii="宋体" w:hAnsi="宋体" w:cs="宋体"/>
          <w:color w:val="auto"/>
          <w:kern w:val="0"/>
        </w:rPr>
        <w:t>履约担保</w:t>
      </w:r>
      <w:bookmarkEnd w:id="959"/>
    </w:p>
    <w:p>
      <w:pPr>
        <w:pStyle w:val="10"/>
        <w:tabs>
          <w:tab w:val="left" w:pos="3483"/>
          <w:tab w:val="left" w:pos="4114"/>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承包人是否提供履约担保：</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rPr>
        <w:t>。</w:t>
      </w:r>
    </w:p>
    <w:p>
      <w:pPr>
        <w:pStyle w:val="10"/>
        <w:tabs>
          <w:tab w:val="left" w:pos="4954"/>
          <w:tab w:val="left" w:pos="558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承包人提供履约担保的形式、金额及期限：</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p>
    <w:p>
      <w:pPr>
        <w:numPr>
          <w:ilvl w:val="0"/>
          <w:numId w:val="14"/>
        </w:numPr>
        <w:tabs>
          <w:tab w:val="left" w:pos="438"/>
        </w:tabs>
        <w:spacing w:line="440" w:lineRule="exact"/>
        <w:ind w:left="0" w:firstLine="420" w:firstLineChars="200"/>
        <w:jc w:val="left"/>
        <w:textAlignment w:val="baseline"/>
        <w:rPr>
          <w:rFonts w:ascii="宋体" w:hAnsi="宋体" w:cs="宋体"/>
          <w:color w:val="auto"/>
          <w:kern w:val="0"/>
        </w:rPr>
      </w:pPr>
      <w:bookmarkStart w:id="960" w:name="_Toc27973"/>
      <w:r>
        <w:rPr>
          <w:rFonts w:hint="eastAsia" w:ascii="宋体" w:hAnsi="宋体" w:cs="宋体"/>
          <w:color w:val="auto"/>
          <w:kern w:val="0"/>
        </w:rPr>
        <w:t>监理人</w:t>
      </w:r>
      <w:bookmarkEnd w:id="960"/>
    </w:p>
    <w:p>
      <w:pPr>
        <w:pStyle w:val="68"/>
        <w:numPr>
          <w:ilvl w:val="1"/>
          <w:numId w:val="14"/>
        </w:numPr>
        <w:tabs>
          <w:tab w:val="left" w:pos="913"/>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监理人的一般规定</w:t>
      </w:r>
    </w:p>
    <w:p>
      <w:pPr>
        <w:pStyle w:val="10"/>
        <w:tabs>
          <w:tab w:val="left" w:pos="3166"/>
          <w:tab w:val="left" w:pos="3480"/>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关于监理人的监理内容：</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rPr>
        <w:t>。关于监理人的监理权限：</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rPr>
        <w:t>。</w:t>
      </w:r>
    </w:p>
    <w:p>
      <w:pPr>
        <w:pStyle w:val="10"/>
        <w:tabs>
          <w:tab w:val="left" w:pos="7578"/>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关于监理人在施工现场的办公场所、生活场所的提供和费用承担的约定：</w:t>
      </w:r>
      <w:r>
        <w:rPr>
          <w:rFonts w:hint="eastAsia" w:ascii="宋体" w:hAnsi="宋体" w:cs="宋体"/>
          <w:color w:val="auto"/>
          <w:sz w:val="21"/>
          <w:szCs w:val="21"/>
          <w:u w:val="single"/>
        </w:rPr>
        <w:t xml:space="preserve"> / </w:t>
      </w:r>
      <w:r>
        <w:rPr>
          <w:rFonts w:hint="eastAsia" w:ascii="宋体" w:hAnsi="宋体" w:cs="宋体"/>
          <w:color w:val="auto"/>
          <w:sz w:val="21"/>
          <w:szCs w:val="21"/>
        </w:rPr>
        <w:t>。</w:t>
      </w:r>
    </w:p>
    <w:p>
      <w:pPr>
        <w:numPr>
          <w:ilvl w:val="1"/>
          <w:numId w:val="14"/>
        </w:numPr>
        <w:tabs>
          <w:tab w:val="left" w:pos="966"/>
        </w:tabs>
        <w:spacing w:line="440" w:lineRule="exact"/>
        <w:ind w:left="0" w:firstLine="420" w:firstLineChars="200"/>
        <w:textAlignment w:val="baseline"/>
        <w:rPr>
          <w:rFonts w:ascii="宋体" w:hAnsi="宋体" w:cs="宋体"/>
          <w:color w:val="auto"/>
          <w:kern w:val="0"/>
        </w:rPr>
      </w:pPr>
      <w:bookmarkStart w:id="961" w:name="_Toc13559"/>
      <w:r>
        <w:rPr>
          <w:rFonts w:hint="eastAsia" w:ascii="宋体" w:hAnsi="宋体" w:cs="宋体"/>
          <w:color w:val="auto"/>
          <w:kern w:val="0"/>
        </w:rPr>
        <w:t>监理人员</w:t>
      </w:r>
      <w:bookmarkEnd w:id="961"/>
    </w:p>
    <w:p>
      <w:pPr>
        <w:pStyle w:val="10"/>
        <w:tabs>
          <w:tab w:val="left" w:pos="1171"/>
          <w:tab w:val="left" w:pos="4006"/>
        </w:tabs>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总监理工程师：</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 xml:space="preserve">； </w:t>
      </w:r>
    </w:p>
    <w:p>
      <w:pPr>
        <w:pStyle w:val="10"/>
        <w:tabs>
          <w:tab w:val="left" w:pos="1171"/>
          <w:tab w:val="left" w:pos="4006"/>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姓名：</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w:t>
      </w:r>
    </w:p>
    <w:p>
      <w:pPr>
        <w:pStyle w:val="10"/>
        <w:tabs>
          <w:tab w:val="left" w:pos="4006"/>
        </w:tabs>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职    务：</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w:t>
      </w:r>
    </w:p>
    <w:p>
      <w:pPr>
        <w:pStyle w:val="10"/>
        <w:tabs>
          <w:tab w:val="left" w:pos="4006"/>
        </w:tabs>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监理工程师执业资格证书号：</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w:t>
      </w:r>
    </w:p>
    <w:p>
      <w:pPr>
        <w:pStyle w:val="10"/>
        <w:tabs>
          <w:tab w:val="left" w:pos="4006"/>
        </w:tabs>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联系电话：</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w:t>
      </w:r>
    </w:p>
    <w:p>
      <w:pPr>
        <w:pStyle w:val="10"/>
        <w:tabs>
          <w:tab w:val="left" w:pos="4006"/>
        </w:tabs>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电子信箱：</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w:t>
      </w:r>
    </w:p>
    <w:p>
      <w:pPr>
        <w:pStyle w:val="10"/>
        <w:tabs>
          <w:tab w:val="left" w:pos="4006"/>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通信地址：</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u w:val="single"/>
        </w:rPr>
        <w:t>；</w:t>
      </w:r>
    </w:p>
    <w:p>
      <w:pPr>
        <w:spacing w:line="440" w:lineRule="exact"/>
        <w:ind w:firstLine="420" w:firstLineChars="200"/>
        <w:jc w:val="left"/>
        <w:textAlignment w:val="baseline"/>
        <w:rPr>
          <w:rFonts w:ascii="宋体" w:hAnsi="宋体" w:cs="宋体"/>
          <w:color w:val="auto"/>
          <w:kern w:val="0"/>
          <w:u w:val="single"/>
        </w:rPr>
      </w:pPr>
      <w:bookmarkStart w:id="962" w:name="_Toc6585"/>
      <w:r>
        <w:rPr>
          <w:rFonts w:hint="eastAsia" w:ascii="宋体" w:hAnsi="宋体" w:cs="宋体"/>
          <w:color w:val="auto"/>
          <w:kern w:val="0"/>
        </w:rPr>
        <w:t>关于监理人的其他约定：</w:t>
      </w:r>
      <w:r>
        <w:rPr>
          <w:rFonts w:hint="eastAsia" w:ascii="宋体" w:hAnsi="宋体" w:cs="宋体"/>
          <w:color w:val="auto"/>
          <w:kern w:val="0"/>
          <w:u w:val="singl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 24 小时内补发书面监理指示，补发的书面监理指示应与口头指示一致。</w:t>
      </w:r>
      <w:bookmarkEnd w:id="962"/>
    </w:p>
    <w:p>
      <w:pPr>
        <w:spacing w:line="440" w:lineRule="exact"/>
        <w:ind w:firstLine="420" w:firstLineChars="200"/>
        <w:jc w:val="left"/>
        <w:textAlignment w:val="baseline"/>
        <w:rPr>
          <w:rFonts w:ascii="宋体" w:hAnsi="宋体" w:cs="宋体"/>
          <w:color w:val="auto"/>
          <w:kern w:val="0"/>
        </w:rPr>
      </w:pPr>
      <w:bookmarkStart w:id="963" w:name="_Toc8796"/>
      <w:r>
        <w:rPr>
          <w:rFonts w:hint="eastAsia" w:ascii="宋体" w:hAnsi="宋体" w:cs="宋体"/>
          <w:color w:val="auto"/>
          <w:kern w:val="0"/>
        </w:rPr>
        <w:t>4.4 商定或确定</w:t>
      </w:r>
      <w:bookmarkEnd w:id="963"/>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在发包人和承包人不能通过协商达成一致意见时，发包人授权监理人对以下事项进行确定：</w:t>
      </w:r>
    </w:p>
    <w:p>
      <w:pPr>
        <w:pStyle w:val="10"/>
        <w:tabs>
          <w:tab w:val="left" w:pos="2432"/>
          <w:tab w:val="left" w:pos="516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u w:val="single"/>
        </w:rPr>
        <w:t xml:space="preserve"> /；</w:t>
      </w:r>
    </w:p>
    <w:p>
      <w:pPr>
        <w:pStyle w:val="10"/>
        <w:tabs>
          <w:tab w:val="left" w:pos="2537"/>
          <w:tab w:val="left" w:pos="516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u w:val="single"/>
        </w:rPr>
        <w:t xml:space="preserve"> /；</w:t>
      </w:r>
    </w:p>
    <w:p>
      <w:pPr>
        <w:pStyle w:val="10"/>
        <w:tabs>
          <w:tab w:val="left" w:pos="2537"/>
          <w:tab w:val="left" w:pos="516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u w:val="single"/>
        </w:rPr>
        <w:t xml:space="preserve"> /；</w:t>
      </w:r>
    </w:p>
    <w:p>
      <w:pPr>
        <w:pStyle w:val="10"/>
        <w:tabs>
          <w:tab w:val="left" w:pos="2537"/>
          <w:tab w:val="left" w:pos="516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u w:val="single"/>
        </w:rPr>
        <w:t xml:space="preserve"> /；</w:t>
      </w:r>
    </w:p>
    <w:p>
      <w:pPr>
        <w:numPr>
          <w:ilvl w:val="0"/>
          <w:numId w:val="14"/>
        </w:numPr>
        <w:tabs>
          <w:tab w:val="left" w:pos="438"/>
        </w:tabs>
        <w:spacing w:line="440" w:lineRule="exact"/>
        <w:ind w:left="0" w:firstLine="420" w:firstLineChars="200"/>
        <w:jc w:val="left"/>
        <w:textAlignment w:val="baseline"/>
        <w:rPr>
          <w:rFonts w:ascii="宋体" w:hAnsi="宋体" w:cs="宋体"/>
          <w:color w:val="auto"/>
          <w:kern w:val="0"/>
        </w:rPr>
      </w:pPr>
      <w:bookmarkStart w:id="964" w:name="_Toc25707"/>
      <w:r>
        <w:rPr>
          <w:rFonts w:hint="eastAsia" w:ascii="宋体" w:hAnsi="宋体" w:cs="宋体"/>
          <w:color w:val="auto"/>
          <w:kern w:val="0"/>
        </w:rPr>
        <w:t>工程质量</w:t>
      </w:r>
      <w:bookmarkEnd w:id="964"/>
    </w:p>
    <w:p>
      <w:pPr>
        <w:pStyle w:val="68"/>
        <w:numPr>
          <w:ilvl w:val="1"/>
          <w:numId w:val="14"/>
        </w:numPr>
        <w:tabs>
          <w:tab w:val="left" w:pos="966"/>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质量要求</w:t>
      </w:r>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特殊质量标准和要求：</w:t>
      </w:r>
      <w:r>
        <w:rPr>
          <w:rFonts w:hint="eastAsia" w:ascii="宋体" w:hAnsi="宋体" w:cs="宋体"/>
          <w:color w:val="auto"/>
          <w:kern w:val="0"/>
          <w:u w:val="single"/>
        </w:rPr>
        <w:t>按图纸、招标文件、招标答疑相关文件及投标承诺执行， 且达到国家质量验收规范合格标准。</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关于工程奖项的约定：</w:t>
      </w:r>
      <w:r>
        <w:rPr>
          <w:rFonts w:hint="eastAsia" w:ascii="宋体" w:hAnsi="宋体" w:cs="宋体"/>
          <w:color w:val="auto"/>
          <w:sz w:val="21"/>
          <w:szCs w:val="21"/>
          <w:u w:val="single"/>
        </w:rPr>
        <w:t>达到投标承诺的质量标准，不予奖励；达不到投标承诺的质量标准，除扣除质量履约保证金外，承包人还须无条件整修直至达到质量标准。</w:t>
      </w:r>
    </w:p>
    <w:p>
      <w:pPr>
        <w:spacing w:line="440" w:lineRule="exact"/>
        <w:ind w:firstLine="420" w:firstLineChars="200"/>
        <w:jc w:val="left"/>
        <w:textAlignment w:val="baseline"/>
        <w:rPr>
          <w:rFonts w:ascii="宋体" w:hAnsi="宋体" w:cs="宋体"/>
          <w:color w:val="auto"/>
          <w:kern w:val="0"/>
        </w:rPr>
      </w:pPr>
      <w:bookmarkStart w:id="965" w:name="_Toc18507"/>
      <w:r>
        <w:rPr>
          <w:rFonts w:hint="eastAsia" w:ascii="宋体" w:hAnsi="宋体" w:cs="宋体"/>
          <w:color w:val="auto"/>
          <w:kern w:val="0"/>
        </w:rPr>
        <w:t>5.3 隐蔽工程检查</w:t>
      </w:r>
      <w:bookmarkEnd w:id="965"/>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5.3.2 承包人提前通知监理人隐蔽工程检查的期限的约定：</w:t>
      </w:r>
      <w:r>
        <w:rPr>
          <w:rFonts w:hint="eastAsia" w:ascii="宋体" w:hAnsi="宋体" w:cs="宋体"/>
          <w:color w:val="auto"/>
          <w:sz w:val="21"/>
          <w:szCs w:val="21"/>
          <w:u w:val="single"/>
        </w:rPr>
        <w:t>应在共同检查前 48 小时书面通知。</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监理人不能按时检查时，应提前</w:t>
      </w:r>
      <w:r>
        <w:rPr>
          <w:rFonts w:hint="eastAsia" w:ascii="宋体" w:hAnsi="宋体" w:cs="宋体"/>
          <w:color w:val="auto"/>
          <w:sz w:val="21"/>
          <w:szCs w:val="21"/>
          <w:u w:val="single"/>
        </w:rPr>
        <w:t xml:space="preserve"> 24</w:t>
      </w:r>
      <w:r>
        <w:rPr>
          <w:rFonts w:hint="eastAsia" w:ascii="宋体" w:hAnsi="宋体" w:cs="宋体"/>
          <w:color w:val="auto"/>
          <w:sz w:val="21"/>
          <w:szCs w:val="21"/>
        </w:rPr>
        <w:t xml:space="preserve"> 小时提交书面延期要求。关于延期最长不得超过：</w:t>
      </w:r>
      <w:r>
        <w:rPr>
          <w:rFonts w:hint="eastAsia" w:ascii="宋体" w:hAnsi="宋体" w:cs="宋体"/>
          <w:color w:val="auto"/>
          <w:sz w:val="21"/>
          <w:szCs w:val="21"/>
          <w:u w:val="single"/>
        </w:rPr>
        <w:t xml:space="preserve"> 48 </w:t>
      </w:r>
      <w:r>
        <w:rPr>
          <w:rFonts w:hint="eastAsia" w:ascii="宋体" w:hAnsi="宋体" w:cs="宋体"/>
          <w:color w:val="auto"/>
          <w:sz w:val="21"/>
          <w:szCs w:val="21"/>
        </w:rPr>
        <w:t>小时。</w:t>
      </w:r>
    </w:p>
    <w:p>
      <w:pPr>
        <w:numPr>
          <w:ilvl w:val="0"/>
          <w:numId w:val="14"/>
        </w:numPr>
        <w:tabs>
          <w:tab w:val="left" w:pos="438"/>
        </w:tabs>
        <w:spacing w:line="440" w:lineRule="exact"/>
        <w:ind w:left="0" w:firstLine="420" w:firstLineChars="200"/>
        <w:jc w:val="left"/>
        <w:textAlignment w:val="baseline"/>
        <w:rPr>
          <w:rFonts w:ascii="宋体" w:hAnsi="宋体" w:cs="宋体"/>
          <w:color w:val="auto"/>
          <w:kern w:val="0"/>
        </w:rPr>
      </w:pPr>
      <w:bookmarkStart w:id="966" w:name="_Toc9399"/>
      <w:r>
        <w:rPr>
          <w:rFonts w:hint="eastAsia" w:ascii="宋体" w:hAnsi="宋体" w:cs="宋体"/>
          <w:color w:val="auto"/>
          <w:kern w:val="0"/>
        </w:rPr>
        <w:t>安全文明施工与环境保护</w:t>
      </w:r>
      <w:bookmarkEnd w:id="966"/>
    </w:p>
    <w:p>
      <w:pPr>
        <w:pStyle w:val="68"/>
        <w:numPr>
          <w:ilvl w:val="1"/>
          <w:numId w:val="14"/>
        </w:numPr>
        <w:tabs>
          <w:tab w:val="left" w:pos="91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安全文明施工</w:t>
      </w:r>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项目安全生产的达标目标及相应事项的约定：</w:t>
      </w:r>
      <w:r>
        <w:rPr>
          <w:rFonts w:hint="eastAsia" w:ascii="宋体" w:hAnsi="宋体" w:cs="宋体"/>
          <w:color w:val="auto"/>
          <w:kern w:val="0"/>
          <w:u w:val="single"/>
        </w:rPr>
        <w:t>遵守国家和工程所在地有关安全生产的要求，服从行业管理部门、发包方及监理单位的监督管理。因承包方原因发生施工安全一般事故及以上等级安全事故的，由承包方承担一切责任和费用，并扣除安全文明施工的全部履约保证金。杜绝一切人员伤亡及重大、特大质量安全事故，如发生上述事故，承包人除接受政府相关部门处罚外，还应承担违约责任，发包人有权要求承包人向发包人支付 30 万违约金，违约金不足以赔偿发包人损失的，发包人仍有权追偿，由此延误的工期由承包人承担。</w:t>
      </w:r>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u w:val="single"/>
        </w:rPr>
      </w:pPr>
      <w:r>
        <w:rPr>
          <w:rFonts w:hint="eastAsia" w:ascii="宋体" w:hAnsi="宋体" w:cs="宋体"/>
          <w:color w:val="auto"/>
          <w:kern w:val="0"/>
        </w:rPr>
        <w:t>关于治安保卫的特别约定：</w:t>
      </w:r>
      <w:r>
        <w:rPr>
          <w:rFonts w:hint="eastAsia" w:ascii="宋体" w:hAnsi="宋体" w:cs="宋体"/>
          <w:color w:val="auto"/>
          <w:kern w:val="0"/>
          <w:u w:val="single"/>
        </w:rPr>
        <w:t>承包人负责设专职安全保卫人员和安全防护措施， 负责施工现场安全保卫，费用由承包人自理。</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关于编制施工场地治安管理计划的约定：</w:t>
      </w:r>
      <w:r>
        <w:rPr>
          <w:rFonts w:hint="eastAsia" w:ascii="宋体" w:hAnsi="宋体" w:cs="宋体"/>
          <w:color w:val="auto"/>
          <w:sz w:val="21"/>
          <w:szCs w:val="21"/>
          <w:u w:val="single"/>
        </w:rPr>
        <w:t>承包人应在工程开工当日编制施工场地治安管理计划。</w:t>
      </w:r>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文明施工</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合同当事人对文明施工的要求：</w:t>
      </w:r>
      <w:r>
        <w:rPr>
          <w:rFonts w:hint="eastAsia" w:ascii="宋体" w:hAnsi="宋体" w:cs="宋体"/>
          <w:color w:val="auto"/>
          <w:sz w:val="21"/>
          <w:szCs w:val="21"/>
          <w:u w:val="single"/>
        </w:rPr>
        <w:t>遵守国家和工程所在地有关安全生产的要求，服从行业管理部门、发包方及监理单位的监督管理。因承包方原因发生施工安全一般事故及以上等级安全事故的，由承包方承担一切责任和费用，并扣除安全文明施工的全部履约保证金。杜绝一切人员伤亡及重大、特大质量安全事故，如发生上述事故，承包人除接受政府相关部门处罚外，还应承担违约责任，发包人有权要求承包人向发包人支付 50 万违约金，违约金不足以赔偿发包人损失的，发包人仍有权追偿，由此延误的工期由承包人承担。承包人开工前应在施工区域搭设围挡，高度不低于规范要求，并且保持场地整洁卫生，对黄土裸露区域铺设防尘网，避免产生扬尘污染 。</w:t>
      </w:r>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关于安全文明施工费支付比例和支付期限的约定：</w:t>
      </w:r>
      <w:r>
        <w:rPr>
          <w:rFonts w:hint="eastAsia" w:ascii="宋体" w:hAnsi="宋体" w:cs="宋体"/>
          <w:color w:val="auto"/>
          <w:kern w:val="0"/>
          <w:u w:val="single"/>
        </w:rPr>
        <w:t>同进度款同期支付，由发包人统筹安排。</w:t>
      </w:r>
    </w:p>
    <w:p>
      <w:pPr>
        <w:pStyle w:val="68"/>
        <w:numPr>
          <w:ilvl w:val="2"/>
          <w:numId w:val="14"/>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承包人须按相关规定为工程和工地所有人员购买相关保险，妥善处理好安全事故等相关纠纷。</w:t>
      </w:r>
    </w:p>
    <w:p>
      <w:pPr>
        <w:numPr>
          <w:ilvl w:val="0"/>
          <w:numId w:val="14"/>
        </w:numPr>
        <w:tabs>
          <w:tab w:val="left" w:pos="438"/>
        </w:tabs>
        <w:spacing w:line="440" w:lineRule="exact"/>
        <w:ind w:left="0" w:firstLine="420" w:firstLineChars="200"/>
        <w:jc w:val="left"/>
        <w:textAlignment w:val="baseline"/>
        <w:rPr>
          <w:rFonts w:ascii="宋体" w:hAnsi="宋体" w:cs="宋体"/>
          <w:color w:val="auto"/>
          <w:kern w:val="0"/>
        </w:rPr>
      </w:pPr>
      <w:bookmarkStart w:id="967" w:name="_Toc9404"/>
      <w:r>
        <w:rPr>
          <w:rFonts w:hint="eastAsia" w:ascii="宋体" w:hAnsi="宋体" w:cs="宋体"/>
          <w:color w:val="auto"/>
          <w:kern w:val="0"/>
        </w:rPr>
        <w:t>工期和进度</w:t>
      </w:r>
      <w:bookmarkEnd w:id="967"/>
    </w:p>
    <w:p>
      <w:pPr>
        <w:pStyle w:val="68"/>
        <w:numPr>
          <w:ilvl w:val="1"/>
          <w:numId w:val="14"/>
        </w:numPr>
        <w:tabs>
          <w:tab w:val="left" w:pos="966"/>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施工组织设计</w:t>
      </w:r>
    </w:p>
    <w:p>
      <w:pPr>
        <w:pStyle w:val="68"/>
        <w:numPr>
          <w:ilvl w:val="2"/>
          <w:numId w:val="14"/>
        </w:numPr>
        <w:tabs>
          <w:tab w:val="left" w:pos="122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合同当事人约定的施工组织设计应包括的其他内容：</w:t>
      </w:r>
      <w:r>
        <w:rPr>
          <w:rFonts w:hint="eastAsia" w:ascii="宋体" w:hAnsi="宋体" w:cs="宋体"/>
          <w:color w:val="auto"/>
          <w:kern w:val="0"/>
          <w:u w:val="single"/>
        </w:rPr>
        <w:t>开工前 3 天内提供保证工程正常施工的合理的、完整的施工组织设计（施工方案）和进度计划，包括冬季、雨季施工方案；夜间施工方案；成品保护和工程保修工作的管理措施；任何可能的紧急情况的处理措施、预案及抵抗风险的措施；总承包管理的认识及对分包工程的配合、协调、管理、服务；与发包人、监理人及设计人的配合。</w:t>
      </w:r>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施工组织设计的提交和修改</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承包人提交详细施工组织设计的期限的约定：</w:t>
      </w:r>
      <w:r>
        <w:rPr>
          <w:rFonts w:hint="eastAsia" w:ascii="宋体" w:hAnsi="宋体" w:cs="宋体"/>
          <w:color w:val="auto"/>
          <w:sz w:val="21"/>
          <w:szCs w:val="21"/>
          <w:u w:val="single"/>
        </w:rPr>
        <w:t>开工前 7 天。</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发包人和监理人在收到详细的施工组织设计后确认或提出修改意见的期限：</w:t>
      </w:r>
      <w:r>
        <w:rPr>
          <w:rFonts w:hint="eastAsia" w:ascii="宋体" w:hAnsi="宋体" w:cs="宋体"/>
          <w:color w:val="auto"/>
          <w:sz w:val="21"/>
          <w:szCs w:val="21"/>
          <w:u w:val="single"/>
        </w:rPr>
        <w:t>收到详细的施工组织设计后 7 天内。</w:t>
      </w:r>
    </w:p>
    <w:p>
      <w:pPr>
        <w:numPr>
          <w:ilvl w:val="1"/>
          <w:numId w:val="14"/>
        </w:numPr>
        <w:tabs>
          <w:tab w:val="left" w:pos="966"/>
        </w:tabs>
        <w:spacing w:line="440" w:lineRule="exact"/>
        <w:ind w:left="0" w:firstLine="420" w:firstLineChars="200"/>
        <w:textAlignment w:val="baseline"/>
        <w:rPr>
          <w:rFonts w:ascii="宋体" w:hAnsi="宋体" w:cs="宋体"/>
          <w:color w:val="auto"/>
          <w:kern w:val="0"/>
        </w:rPr>
      </w:pPr>
      <w:bookmarkStart w:id="968" w:name="_Toc7296"/>
      <w:r>
        <w:rPr>
          <w:rFonts w:hint="eastAsia" w:ascii="宋体" w:hAnsi="宋体" w:cs="宋体"/>
          <w:color w:val="auto"/>
          <w:kern w:val="0"/>
        </w:rPr>
        <w:t>施工进度计划</w:t>
      </w:r>
      <w:bookmarkEnd w:id="968"/>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施工进度计划的修订</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发包人和监理人在收到修订的施工进度计划后确认或提出修改意见的期限：</w:t>
      </w:r>
      <w:r>
        <w:rPr>
          <w:rFonts w:hint="eastAsia" w:ascii="宋体" w:hAnsi="宋体" w:cs="宋体"/>
          <w:color w:val="auto"/>
          <w:sz w:val="21"/>
          <w:szCs w:val="21"/>
          <w:u w:val="single"/>
        </w:rPr>
        <w:t>收到详细的施工组织设计后 7 天内。</w:t>
      </w:r>
    </w:p>
    <w:p>
      <w:pPr>
        <w:numPr>
          <w:ilvl w:val="1"/>
          <w:numId w:val="14"/>
        </w:numPr>
        <w:tabs>
          <w:tab w:val="left" w:pos="966"/>
        </w:tabs>
        <w:spacing w:line="440" w:lineRule="exact"/>
        <w:ind w:left="0" w:firstLine="420" w:firstLineChars="200"/>
        <w:textAlignment w:val="baseline"/>
        <w:rPr>
          <w:rFonts w:ascii="宋体" w:hAnsi="宋体" w:cs="宋体"/>
          <w:color w:val="auto"/>
          <w:kern w:val="0"/>
        </w:rPr>
      </w:pPr>
      <w:bookmarkStart w:id="969" w:name="_Toc26287"/>
      <w:r>
        <w:rPr>
          <w:rFonts w:hint="eastAsia" w:ascii="宋体" w:hAnsi="宋体" w:cs="宋体"/>
          <w:color w:val="auto"/>
          <w:kern w:val="0"/>
        </w:rPr>
        <w:t>开工</w:t>
      </w:r>
      <w:bookmarkEnd w:id="969"/>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开工准备</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关于承包人提交工程开工报审表的期限：</w:t>
      </w:r>
      <w:r>
        <w:rPr>
          <w:rFonts w:hint="eastAsia" w:ascii="宋体" w:hAnsi="宋体" w:cs="宋体"/>
          <w:color w:val="auto"/>
          <w:sz w:val="21"/>
          <w:szCs w:val="21"/>
          <w:u w:val="single"/>
        </w:rPr>
        <w:t>执行通用条款。</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关于发包人应完成的其他开工准备工作及期限：</w:t>
      </w:r>
      <w:r>
        <w:rPr>
          <w:rFonts w:hint="eastAsia" w:ascii="宋体" w:hAnsi="宋体" w:cs="宋体"/>
          <w:color w:val="auto"/>
          <w:sz w:val="21"/>
          <w:szCs w:val="21"/>
          <w:u w:val="single"/>
        </w:rPr>
        <w:t>执行通用条款。</w:t>
      </w:r>
      <w:r>
        <w:rPr>
          <w:rFonts w:hint="eastAsia" w:ascii="宋体" w:hAnsi="宋体" w:cs="宋体"/>
          <w:color w:val="auto"/>
          <w:sz w:val="21"/>
          <w:szCs w:val="21"/>
        </w:rPr>
        <w:t>关于承包人应完成的其他开工准备工作及期限：</w:t>
      </w:r>
      <w:r>
        <w:rPr>
          <w:rFonts w:hint="eastAsia" w:ascii="宋体" w:hAnsi="宋体" w:cs="宋体"/>
          <w:color w:val="auto"/>
          <w:sz w:val="21"/>
          <w:szCs w:val="21"/>
          <w:u w:val="single"/>
        </w:rPr>
        <w:t>执行通用条款。</w:t>
      </w:r>
    </w:p>
    <w:p>
      <w:pPr>
        <w:pStyle w:val="68"/>
        <w:numPr>
          <w:ilvl w:val="2"/>
          <w:numId w:val="14"/>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开工通知</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因发包人原因未能在计划开工日期之日起</w:t>
      </w:r>
      <w:r>
        <w:rPr>
          <w:rFonts w:hint="eastAsia" w:ascii="宋体" w:hAnsi="宋体" w:cs="宋体"/>
          <w:color w:val="auto"/>
          <w:sz w:val="21"/>
          <w:szCs w:val="21"/>
          <w:u w:val="single"/>
        </w:rPr>
        <w:t xml:space="preserve"> 180</w:t>
      </w:r>
      <w:r>
        <w:rPr>
          <w:rFonts w:hint="eastAsia" w:ascii="宋体" w:hAnsi="宋体" w:cs="宋体"/>
          <w:color w:val="auto"/>
          <w:sz w:val="21"/>
          <w:szCs w:val="21"/>
        </w:rPr>
        <w:t xml:space="preserve"> 天内发出开工通知的，承包人有权提出价格调整要求，或者解除合同。</w:t>
      </w:r>
    </w:p>
    <w:p>
      <w:pPr>
        <w:numPr>
          <w:ilvl w:val="1"/>
          <w:numId w:val="14"/>
        </w:numPr>
        <w:tabs>
          <w:tab w:val="left" w:pos="966"/>
        </w:tabs>
        <w:spacing w:line="440" w:lineRule="exact"/>
        <w:ind w:left="0" w:firstLine="420" w:firstLineChars="200"/>
        <w:textAlignment w:val="baseline"/>
        <w:rPr>
          <w:rFonts w:ascii="宋体" w:hAnsi="宋体" w:cs="宋体"/>
          <w:color w:val="auto"/>
          <w:kern w:val="0"/>
        </w:rPr>
      </w:pPr>
      <w:bookmarkStart w:id="970" w:name="_Toc26847"/>
      <w:r>
        <w:rPr>
          <w:rFonts w:hint="eastAsia" w:ascii="宋体" w:hAnsi="宋体" w:cs="宋体"/>
          <w:color w:val="auto"/>
          <w:kern w:val="0"/>
        </w:rPr>
        <w:t>测量放线</w:t>
      </w:r>
      <w:bookmarkEnd w:id="970"/>
    </w:p>
    <w:p>
      <w:pPr>
        <w:pStyle w:val="68"/>
        <w:numPr>
          <w:ilvl w:val="2"/>
          <w:numId w:val="14"/>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发包人向承包人提供测量基准点、基准线和水准点及其书面资料的期限：</w:t>
      </w:r>
      <w:r>
        <w:rPr>
          <w:rFonts w:hint="eastAsia" w:ascii="宋体" w:hAnsi="宋体" w:cs="宋体"/>
          <w:color w:val="auto"/>
          <w:kern w:val="0"/>
          <w:u w:val="single"/>
        </w:rPr>
        <w:t>执行通用条款。</w:t>
      </w:r>
    </w:p>
    <w:p>
      <w:pPr>
        <w:numPr>
          <w:ilvl w:val="1"/>
          <w:numId w:val="14"/>
        </w:numPr>
        <w:tabs>
          <w:tab w:val="left" w:pos="966"/>
        </w:tabs>
        <w:spacing w:line="440" w:lineRule="exact"/>
        <w:ind w:left="0" w:firstLine="420" w:firstLineChars="200"/>
        <w:textAlignment w:val="baseline"/>
        <w:rPr>
          <w:rFonts w:ascii="宋体" w:hAnsi="宋体" w:cs="宋体"/>
          <w:color w:val="auto"/>
          <w:kern w:val="0"/>
        </w:rPr>
      </w:pPr>
      <w:bookmarkStart w:id="971" w:name="_Toc8326"/>
      <w:r>
        <w:rPr>
          <w:rFonts w:hint="eastAsia" w:ascii="宋体" w:hAnsi="宋体" w:cs="宋体"/>
          <w:color w:val="auto"/>
          <w:kern w:val="0"/>
        </w:rPr>
        <w:t>工期延误</w:t>
      </w:r>
      <w:bookmarkEnd w:id="971"/>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因发包人原因导致工期延误</w:t>
      </w:r>
    </w:p>
    <w:p>
      <w:pPr>
        <w:pStyle w:val="68"/>
        <w:numPr>
          <w:ilvl w:val="0"/>
          <w:numId w:val="26"/>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因发包人原因导致工期延误的其他情形：</w:t>
      </w:r>
      <w:r>
        <w:rPr>
          <w:rFonts w:hint="eastAsia" w:ascii="宋体" w:hAnsi="宋体" w:cs="宋体"/>
          <w:color w:val="auto"/>
          <w:kern w:val="0"/>
          <w:u w:val="single"/>
        </w:rPr>
        <w:t xml:space="preserve">重大设计变更和工程量增加经监理工程师及发包人代表确认的情况；  </w:t>
      </w:r>
    </w:p>
    <w:p>
      <w:pPr>
        <w:pStyle w:val="68"/>
        <w:numPr>
          <w:ilvl w:val="0"/>
          <w:numId w:val="26"/>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因不可抗力导致工期延误的其他情形：</w:t>
      </w:r>
    </w:p>
    <w:p>
      <w:pPr>
        <w:pStyle w:val="68"/>
        <w:numPr>
          <w:ilvl w:val="0"/>
          <w:numId w:val="27"/>
        </w:numPr>
        <w:tabs>
          <w:tab w:val="left" w:pos="1070"/>
        </w:tabs>
        <w:spacing w:line="440" w:lineRule="exact"/>
        <w:ind w:left="0" w:firstLine="478" w:firstLineChars="228"/>
        <w:jc w:val="left"/>
        <w:textAlignment w:val="baseline"/>
        <w:rPr>
          <w:rFonts w:ascii="宋体" w:hAnsi="宋体" w:cs="宋体"/>
          <w:color w:val="auto"/>
          <w:kern w:val="0"/>
          <w:u w:val="single"/>
        </w:rPr>
      </w:pPr>
      <w:r>
        <w:rPr>
          <w:rFonts w:hint="eastAsia" w:ascii="宋体" w:hAnsi="宋体" w:cs="宋体"/>
          <w:color w:val="auto"/>
          <w:kern w:val="0"/>
          <w:u w:val="single"/>
        </w:rPr>
        <w:t>由于异常恶劣天气及政府因素造成的不可抗力原因而影响工程施工的；</w:t>
      </w:r>
    </w:p>
    <w:p>
      <w:pPr>
        <w:pStyle w:val="68"/>
        <w:numPr>
          <w:ilvl w:val="0"/>
          <w:numId w:val="27"/>
        </w:numPr>
        <w:tabs>
          <w:tab w:val="left" w:pos="1070"/>
        </w:tabs>
        <w:spacing w:line="440" w:lineRule="exact"/>
        <w:ind w:left="0" w:firstLine="478" w:firstLineChars="228"/>
        <w:jc w:val="left"/>
        <w:textAlignment w:val="baseline"/>
        <w:rPr>
          <w:rFonts w:ascii="宋体" w:hAnsi="宋体" w:cs="宋体"/>
          <w:color w:val="auto"/>
          <w:kern w:val="0"/>
        </w:rPr>
      </w:pPr>
      <w:r>
        <w:rPr>
          <w:rFonts w:hint="eastAsia" w:ascii="宋体" w:hAnsi="宋体" w:cs="宋体"/>
          <w:color w:val="auto"/>
          <w:kern w:val="0"/>
          <w:u w:val="single"/>
        </w:rPr>
        <w:t>施工遇到障碍物或古墓、文物等需要进行基础处理的；</w:t>
      </w:r>
    </w:p>
    <w:p>
      <w:pPr>
        <w:pStyle w:val="10"/>
        <w:spacing w:line="440" w:lineRule="exact"/>
        <w:ind w:firstLine="478" w:firstLineChars="228"/>
        <w:jc w:val="left"/>
        <w:textAlignment w:val="baseline"/>
        <w:rPr>
          <w:rFonts w:ascii="宋体" w:hAnsi="宋体" w:cs="宋体"/>
          <w:color w:val="auto"/>
          <w:sz w:val="21"/>
          <w:szCs w:val="21"/>
        </w:rPr>
      </w:pPr>
      <w:r>
        <w:rPr>
          <w:rFonts w:hint="eastAsia" w:ascii="宋体" w:hAnsi="宋体" w:cs="宋体"/>
          <w:color w:val="auto"/>
          <w:sz w:val="21"/>
          <w:szCs w:val="21"/>
          <w:u w:val="single"/>
        </w:rPr>
        <w:t>c、一周内非承包人原因停水、停电造成停工累计超过 8 小时但不满足 24 小时，工期可相应顺延一天，如超过 24 小时但不满足 48 小时，可相应顺延两天，以此类推；d、施工面不具备施工条件非承包人因素造成的停工、返工等，工期顺延；e、由于自然及社会因素（地震、战争）造成的不可抗力原因而影响工程施工等延误承包人关键线路施工的情况。</w:t>
      </w:r>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因发包人原因或不可抗力（如政府发布扬尘治理、疫情防控、封土令等）导致工期延误，应按有关规定及文件给予工期延期，但停工期间的人员及材料、机械等费用已包含在本合同总价款中，发包方无需再向承包方支付费用。</w:t>
      </w:r>
    </w:p>
    <w:p>
      <w:pPr>
        <w:pStyle w:val="68"/>
        <w:numPr>
          <w:ilvl w:val="2"/>
          <w:numId w:val="14"/>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因承包人原因导致工期延误</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因承包人原因造成工期延误，逾期竣工违约金的计算方法为：</w:t>
      </w:r>
      <w:r>
        <w:rPr>
          <w:rFonts w:hint="eastAsia" w:ascii="宋体" w:hAnsi="宋体" w:cs="宋体"/>
          <w:color w:val="auto"/>
          <w:sz w:val="21"/>
          <w:szCs w:val="21"/>
          <w:u w:val="single"/>
        </w:rPr>
        <w:t>每延期一天按合同金额的万分之一支付违约金，施工过程中实际进度与计划进度的工期延误按上述金额实行暂扣， 待工程竣工后进行最终清算。承包人支付逾期竣工违约金后，不免除承包人继续完成工程及修补缺陷的义务。</w:t>
      </w:r>
    </w:p>
    <w:p>
      <w:pPr>
        <w:pStyle w:val="10"/>
        <w:tabs>
          <w:tab w:val="left" w:pos="6111"/>
          <w:tab w:val="left" w:pos="6846"/>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因承包人原因造成工期延误，逾期竣工违约金的上限：</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numPr>
          <w:ilvl w:val="1"/>
          <w:numId w:val="14"/>
        </w:numPr>
        <w:tabs>
          <w:tab w:val="left" w:pos="966"/>
        </w:tabs>
        <w:spacing w:line="440" w:lineRule="exact"/>
        <w:ind w:left="0" w:firstLine="420" w:firstLineChars="200"/>
        <w:textAlignment w:val="baseline"/>
        <w:rPr>
          <w:rFonts w:ascii="宋体" w:hAnsi="宋体" w:cs="宋体"/>
          <w:color w:val="auto"/>
          <w:kern w:val="0"/>
        </w:rPr>
      </w:pPr>
      <w:bookmarkStart w:id="972" w:name="_Toc23962"/>
      <w:r>
        <w:rPr>
          <w:rFonts w:hint="eastAsia" w:ascii="宋体" w:hAnsi="宋体" w:cs="宋体"/>
          <w:color w:val="auto"/>
          <w:kern w:val="0"/>
        </w:rPr>
        <w:t>不利物质条件</w:t>
      </w:r>
      <w:bookmarkEnd w:id="972"/>
    </w:p>
    <w:p>
      <w:pPr>
        <w:pStyle w:val="10"/>
        <w:tabs>
          <w:tab w:val="left" w:pos="495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不利物质条件的其他情形和有关约定：</w:t>
      </w:r>
      <w:r>
        <w:rPr>
          <w:rFonts w:hint="eastAsia" w:ascii="宋体" w:hAnsi="宋体" w:cs="宋体"/>
          <w:color w:val="auto"/>
          <w:sz w:val="21"/>
          <w:szCs w:val="21"/>
          <w:u w:val="single"/>
        </w:rPr>
        <w:t xml:space="preserve">  无</w:t>
      </w:r>
    </w:p>
    <w:p>
      <w:pPr>
        <w:numPr>
          <w:ilvl w:val="1"/>
          <w:numId w:val="14"/>
        </w:numPr>
        <w:tabs>
          <w:tab w:val="left" w:pos="913"/>
        </w:tabs>
        <w:spacing w:line="440" w:lineRule="exact"/>
        <w:ind w:left="0" w:firstLine="420" w:firstLineChars="200"/>
        <w:textAlignment w:val="baseline"/>
        <w:rPr>
          <w:rFonts w:ascii="宋体" w:hAnsi="宋体" w:cs="宋体"/>
          <w:color w:val="auto"/>
          <w:kern w:val="0"/>
        </w:rPr>
      </w:pPr>
      <w:bookmarkStart w:id="973" w:name="_Toc24116"/>
      <w:r>
        <w:rPr>
          <w:rFonts w:hint="eastAsia" w:ascii="宋体" w:hAnsi="宋体" w:cs="宋体"/>
          <w:color w:val="auto"/>
          <w:kern w:val="0"/>
        </w:rPr>
        <w:t>异常恶劣的气候条件</w:t>
      </w:r>
      <w:bookmarkEnd w:id="973"/>
    </w:p>
    <w:p>
      <w:pPr>
        <w:pStyle w:val="10"/>
        <w:tabs>
          <w:tab w:val="left" w:pos="6634"/>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发包人和承包人同意以下情形视为异常恶劣的气候条件：</w:t>
      </w:r>
      <w:r>
        <w:rPr>
          <w:rFonts w:hint="eastAsia" w:ascii="宋体" w:hAnsi="宋体" w:cs="宋体"/>
          <w:color w:val="auto"/>
          <w:sz w:val="21"/>
          <w:szCs w:val="21"/>
          <w:u w:val="single"/>
        </w:rPr>
        <w:t xml:space="preserve">  无</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7.9 提前竣工的奖励</w:t>
      </w:r>
    </w:p>
    <w:p>
      <w:pPr>
        <w:pStyle w:val="10"/>
        <w:tabs>
          <w:tab w:val="left" w:pos="4270"/>
          <w:tab w:val="left" w:pos="626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7.9.2 提前竣工的奖励：</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numPr>
          <w:ilvl w:val="0"/>
          <w:numId w:val="14"/>
        </w:numPr>
        <w:tabs>
          <w:tab w:val="left" w:pos="812"/>
        </w:tabs>
        <w:spacing w:line="440" w:lineRule="exact"/>
        <w:ind w:left="0" w:firstLine="420" w:firstLineChars="200"/>
        <w:jc w:val="left"/>
        <w:textAlignment w:val="baseline"/>
        <w:rPr>
          <w:rFonts w:ascii="宋体" w:hAnsi="宋体" w:cs="宋体"/>
          <w:color w:val="auto"/>
          <w:kern w:val="0"/>
        </w:rPr>
      </w:pPr>
      <w:r>
        <w:rPr>
          <w:rFonts w:hint="eastAsia" w:ascii="宋体" w:hAnsi="宋体" w:cs="宋体"/>
          <w:color w:val="auto"/>
          <w:kern w:val="0"/>
        </w:rPr>
        <w:t>材料与设备</w:t>
      </w:r>
    </w:p>
    <w:p>
      <w:pPr>
        <w:pStyle w:val="68"/>
        <w:numPr>
          <w:ilvl w:val="1"/>
          <w:numId w:val="28"/>
        </w:numPr>
        <w:tabs>
          <w:tab w:val="left" w:pos="913"/>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材料与工程设备的保管与使用</w:t>
      </w:r>
    </w:p>
    <w:p>
      <w:pPr>
        <w:pStyle w:val="68"/>
        <w:numPr>
          <w:ilvl w:val="2"/>
          <w:numId w:val="28"/>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发包人供应的材料设备的保管费用的承担：</w:t>
      </w:r>
      <w:r>
        <w:rPr>
          <w:rFonts w:hint="eastAsia" w:ascii="宋体" w:hAnsi="宋体" w:cs="宋体"/>
          <w:color w:val="auto"/>
          <w:kern w:val="0"/>
          <w:u w:val="single"/>
        </w:rPr>
        <w:t>由承包人承担。</w:t>
      </w:r>
    </w:p>
    <w:p>
      <w:pPr>
        <w:numPr>
          <w:ilvl w:val="1"/>
          <w:numId w:val="28"/>
        </w:numPr>
        <w:tabs>
          <w:tab w:val="left" w:pos="966"/>
        </w:tabs>
        <w:spacing w:line="440" w:lineRule="exact"/>
        <w:ind w:left="0" w:firstLine="420" w:firstLineChars="200"/>
        <w:textAlignment w:val="baseline"/>
        <w:rPr>
          <w:rFonts w:ascii="宋体" w:hAnsi="宋体" w:cs="宋体"/>
          <w:color w:val="auto"/>
          <w:kern w:val="0"/>
        </w:rPr>
      </w:pPr>
      <w:bookmarkStart w:id="974" w:name="_Toc17899"/>
      <w:r>
        <w:rPr>
          <w:rFonts w:hint="eastAsia" w:ascii="宋体" w:hAnsi="宋体" w:cs="宋体"/>
          <w:color w:val="auto"/>
          <w:kern w:val="0"/>
        </w:rPr>
        <w:t>样品</w:t>
      </w:r>
      <w:bookmarkEnd w:id="974"/>
    </w:p>
    <w:p>
      <w:pPr>
        <w:pStyle w:val="68"/>
        <w:numPr>
          <w:ilvl w:val="2"/>
          <w:numId w:val="28"/>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样品的报送与封存</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需要承包人报送样品的材料或工程设备，样品的种类、名称、规格、数量要求：</w:t>
      </w:r>
      <w:r>
        <w:rPr>
          <w:rFonts w:hint="eastAsia" w:ascii="宋体" w:hAnsi="宋体" w:cs="宋体"/>
          <w:color w:val="auto"/>
          <w:sz w:val="21"/>
          <w:szCs w:val="21"/>
          <w:u w:val="single"/>
        </w:rPr>
        <w:t>承包人进场的所有材料或设备均需向发包人报送样品并经发包人同意方可使用。</w:t>
      </w:r>
    </w:p>
    <w:p>
      <w:pPr>
        <w:numPr>
          <w:ilvl w:val="1"/>
          <w:numId w:val="28"/>
        </w:numPr>
        <w:tabs>
          <w:tab w:val="left" w:pos="913"/>
        </w:tabs>
        <w:spacing w:line="440" w:lineRule="exact"/>
        <w:ind w:left="0" w:firstLine="420" w:firstLineChars="200"/>
        <w:textAlignment w:val="baseline"/>
        <w:rPr>
          <w:rFonts w:ascii="宋体" w:hAnsi="宋体" w:cs="宋体"/>
          <w:color w:val="auto"/>
          <w:kern w:val="0"/>
        </w:rPr>
      </w:pPr>
      <w:bookmarkStart w:id="975" w:name="_Toc19642"/>
      <w:r>
        <w:rPr>
          <w:rFonts w:hint="eastAsia" w:ascii="宋体" w:hAnsi="宋体" w:cs="宋体"/>
          <w:color w:val="auto"/>
          <w:kern w:val="0"/>
        </w:rPr>
        <w:t>施工设备和临时设施</w:t>
      </w:r>
      <w:bookmarkEnd w:id="975"/>
    </w:p>
    <w:p>
      <w:pPr>
        <w:pStyle w:val="68"/>
        <w:numPr>
          <w:ilvl w:val="2"/>
          <w:numId w:val="28"/>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承包人提供的施工设备和临时设施</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关于修建临时设施费用承担的约定：</w:t>
      </w:r>
      <w:r>
        <w:rPr>
          <w:rFonts w:hint="eastAsia" w:ascii="宋体" w:hAnsi="宋体" w:cs="宋体"/>
          <w:color w:val="auto"/>
          <w:sz w:val="21"/>
          <w:szCs w:val="21"/>
          <w:u w:val="single"/>
        </w:rPr>
        <w:t>由承包人承担</w:t>
      </w:r>
      <w:r>
        <w:rPr>
          <w:rFonts w:hint="eastAsia" w:ascii="宋体" w:hAnsi="宋体" w:cs="宋体"/>
          <w:color w:val="auto"/>
          <w:sz w:val="21"/>
          <w:szCs w:val="21"/>
        </w:rPr>
        <w:t>。</w:t>
      </w:r>
    </w:p>
    <w:p>
      <w:pPr>
        <w:numPr>
          <w:ilvl w:val="0"/>
          <w:numId w:val="14"/>
        </w:numPr>
        <w:tabs>
          <w:tab w:val="left" w:pos="438"/>
        </w:tabs>
        <w:spacing w:line="440" w:lineRule="exact"/>
        <w:ind w:left="0" w:firstLine="420" w:firstLineChars="200"/>
        <w:jc w:val="left"/>
        <w:textAlignment w:val="baseline"/>
        <w:rPr>
          <w:rFonts w:ascii="宋体" w:hAnsi="宋体" w:cs="宋体"/>
          <w:color w:val="auto"/>
          <w:kern w:val="0"/>
        </w:rPr>
      </w:pPr>
      <w:bookmarkStart w:id="976" w:name="_Toc24363"/>
      <w:r>
        <w:rPr>
          <w:rFonts w:hint="eastAsia" w:ascii="宋体" w:hAnsi="宋体" w:cs="宋体"/>
          <w:color w:val="auto"/>
          <w:kern w:val="0"/>
        </w:rPr>
        <w:t>试验与检验</w:t>
      </w:r>
      <w:bookmarkEnd w:id="976"/>
    </w:p>
    <w:p>
      <w:pPr>
        <w:pStyle w:val="68"/>
        <w:numPr>
          <w:ilvl w:val="1"/>
          <w:numId w:val="14"/>
        </w:numPr>
        <w:tabs>
          <w:tab w:val="left" w:pos="913"/>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试验设备与试验人员</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9.1.2 试验设备</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施工现场需要配置的试验场所：</w:t>
      </w:r>
      <w:r>
        <w:rPr>
          <w:rFonts w:hint="eastAsia" w:ascii="宋体" w:hAnsi="宋体" w:cs="宋体"/>
          <w:color w:val="auto"/>
          <w:sz w:val="21"/>
          <w:szCs w:val="21"/>
          <w:u w:val="single"/>
        </w:rPr>
        <w:t>由承包人根据需要自行承担。</w:t>
      </w:r>
      <w:r>
        <w:rPr>
          <w:rFonts w:hint="eastAsia" w:ascii="宋体" w:hAnsi="宋体" w:cs="宋体"/>
          <w:color w:val="auto"/>
          <w:sz w:val="21"/>
          <w:szCs w:val="21"/>
        </w:rPr>
        <w:t>施工现场需要配备的试验设备：</w:t>
      </w:r>
      <w:r>
        <w:rPr>
          <w:rFonts w:hint="eastAsia" w:ascii="宋体" w:hAnsi="宋体" w:cs="宋体"/>
          <w:color w:val="auto"/>
          <w:sz w:val="21"/>
          <w:szCs w:val="21"/>
          <w:u w:val="single"/>
        </w:rPr>
        <w:t>由承包人根据需要自行承担。</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施工现场需要具备的其他试验条件：</w:t>
      </w:r>
      <w:r>
        <w:rPr>
          <w:rFonts w:hint="eastAsia" w:ascii="宋体" w:hAnsi="宋体" w:cs="宋体"/>
          <w:color w:val="auto"/>
          <w:sz w:val="21"/>
          <w:szCs w:val="21"/>
          <w:u w:val="single"/>
        </w:rPr>
        <w:t>由承包人根据需要自行承担。</w:t>
      </w:r>
    </w:p>
    <w:p>
      <w:pPr>
        <w:numPr>
          <w:ilvl w:val="1"/>
          <w:numId w:val="14"/>
        </w:numPr>
        <w:tabs>
          <w:tab w:val="left" w:pos="913"/>
        </w:tabs>
        <w:spacing w:line="440" w:lineRule="exact"/>
        <w:ind w:left="0" w:firstLine="420" w:firstLineChars="200"/>
        <w:textAlignment w:val="baseline"/>
        <w:rPr>
          <w:rFonts w:ascii="宋体" w:hAnsi="宋体" w:cs="宋体"/>
          <w:color w:val="auto"/>
          <w:kern w:val="0"/>
        </w:rPr>
      </w:pPr>
      <w:bookmarkStart w:id="977" w:name="_Toc5738"/>
      <w:r>
        <w:rPr>
          <w:rFonts w:hint="eastAsia" w:ascii="宋体" w:hAnsi="宋体" w:cs="宋体"/>
          <w:color w:val="auto"/>
          <w:kern w:val="0"/>
        </w:rPr>
        <w:t>现场工艺试验</w:t>
      </w:r>
      <w:bookmarkEnd w:id="977"/>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现场工艺试验的有关约定：</w:t>
      </w:r>
      <w:r>
        <w:rPr>
          <w:rFonts w:hint="eastAsia" w:ascii="宋体" w:hAnsi="宋体" w:cs="宋体"/>
          <w:color w:val="auto"/>
          <w:sz w:val="21"/>
          <w:szCs w:val="21"/>
          <w:u w:val="single"/>
        </w:rPr>
        <w:t>根据国家、省、市相关规定以及通用条款的规定执行。</w:t>
      </w:r>
    </w:p>
    <w:p>
      <w:pPr>
        <w:numPr>
          <w:ilvl w:val="0"/>
          <w:numId w:val="14"/>
        </w:numPr>
        <w:tabs>
          <w:tab w:val="left" w:pos="543"/>
        </w:tabs>
        <w:spacing w:line="440" w:lineRule="exact"/>
        <w:ind w:left="0" w:firstLine="420" w:firstLineChars="200"/>
        <w:jc w:val="left"/>
        <w:textAlignment w:val="baseline"/>
        <w:rPr>
          <w:rFonts w:ascii="宋体" w:hAnsi="宋体" w:cs="宋体"/>
          <w:color w:val="auto"/>
          <w:kern w:val="0"/>
        </w:rPr>
      </w:pPr>
      <w:bookmarkStart w:id="978" w:name="_Toc15206"/>
      <w:r>
        <w:rPr>
          <w:rFonts w:hint="eastAsia" w:ascii="宋体" w:hAnsi="宋体" w:cs="宋体"/>
          <w:color w:val="auto"/>
          <w:kern w:val="0"/>
        </w:rPr>
        <w:t>变更</w:t>
      </w:r>
      <w:bookmarkEnd w:id="978"/>
    </w:p>
    <w:p>
      <w:pPr>
        <w:pStyle w:val="68"/>
        <w:numPr>
          <w:ilvl w:val="1"/>
          <w:numId w:val="14"/>
        </w:numPr>
        <w:tabs>
          <w:tab w:val="left" w:pos="1018"/>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变更的范围</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关于变更的范围的约定：</w:t>
      </w:r>
      <w:r>
        <w:rPr>
          <w:rFonts w:hint="eastAsia" w:ascii="宋体" w:hAnsi="宋体" w:cs="宋体"/>
          <w:color w:val="auto"/>
          <w:sz w:val="21"/>
          <w:szCs w:val="21"/>
          <w:u w:val="single"/>
        </w:rPr>
        <w:t>所有工程变更需经发包人签字同意后方能办理相应的变更手续， 没有得到发包人签字认可的变更一律无效。因承包人擅自变更设计发生的费用和由此导致发包人的直接损失，由承包人承担，延误的工期不予顺延。</w:t>
      </w:r>
    </w:p>
    <w:p>
      <w:pPr>
        <w:numPr>
          <w:ilvl w:val="1"/>
          <w:numId w:val="14"/>
        </w:numPr>
        <w:tabs>
          <w:tab w:val="left" w:pos="1071"/>
        </w:tabs>
        <w:spacing w:line="440" w:lineRule="exact"/>
        <w:ind w:left="0" w:firstLine="420" w:firstLineChars="200"/>
        <w:textAlignment w:val="baseline"/>
        <w:rPr>
          <w:rFonts w:ascii="宋体" w:hAnsi="宋体" w:cs="宋体"/>
          <w:color w:val="auto"/>
          <w:kern w:val="0"/>
        </w:rPr>
      </w:pPr>
      <w:bookmarkStart w:id="979" w:name="_Toc26876"/>
      <w:r>
        <w:rPr>
          <w:rFonts w:hint="eastAsia" w:ascii="宋体" w:hAnsi="宋体" w:cs="宋体"/>
          <w:color w:val="auto"/>
          <w:kern w:val="0"/>
        </w:rPr>
        <w:t>变更估价</w:t>
      </w:r>
      <w:bookmarkEnd w:id="979"/>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变更估价原则</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 xml:space="preserve">关于变更估价的约定: </w:t>
      </w:r>
      <w:r>
        <w:rPr>
          <w:rFonts w:hint="eastAsia" w:ascii="宋体" w:hAnsi="宋体" w:cs="宋体"/>
          <w:color w:val="auto"/>
          <w:sz w:val="21"/>
          <w:szCs w:val="21"/>
          <w:u w:val="single"/>
        </w:rPr>
        <w:t>施工过程中发生的工程变更费用按实际发生时办理过签证单的有效的工程量给予调整。计价原则是：①合同中已有适用的综合单价，按照合同中已有的综合单价确定；②合同中有类似的综合单价，参照类似的综合单价确定；③合同中没有适用或类似的综合单价，执行《河南省建设工程工程量清单综合单价》（2013 版）及省、市有关造价管理规定，材料价格按照施工同期</w:t>
      </w:r>
      <w:r>
        <w:rPr>
          <w:rFonts w:hint="eastAsia" w:ascii="宋体" w:hAnsi="宋体" w:cs="宋体"/>
          <w:color w:val="auto"/>
          <w:sz w:val="21"/>
          <w:szCs w:val="21"/>
          <w:u w:val="single"/>
          <w:lang w:eastAsia="zh-CN"/>
        </w:rPr>
        <w:t>南阳市建设工程造价管理办公室</w:t>
      </w:r>
      <w:r>
        <w:rPr>
          <w:rFonts w:hint="eastAsia" w:ascii="宋体" w:hAnsi="宋体" w:cs="宋体"/>
          <w:color w:val="auto"/>
          <w:sz w:val="21"/>
          <w:szCs w:val="21"/>
          <w:u w:val="single"/>
        </w:rPr>
        <w:t>发布的《</w:t>
      </w:r>
      <w:r>
        <w:rPr>
          <w:rFonts w:hint="eastAsia" w:ascii="宋体" w:hAnsi="宋体" w:cs="宋体"/>
          <w:color w:val="auto"/>
          <w:sz w:val="21"/>
          <w:szCs w:val="21"/>
          <w:u w:val="single"/>
          <w:lang w:eastAsia="zh-CN"/>
        </w:rPr>
        <w:t>南阳市</w:t>
      </w:r>
      <w:r>
        <w:rPr>
          <w:rFonts w:hint="eastAsia" w:ascii="宋体" w:hAnsi="宋体" w:cs="宋体"/>
          <w:color w:val="auto"/>
          <w:sz w:val="21"/>
          <w:szCs w:val="21"/>
          <w:u w:val="single"/>
        </w:rPr>
        <w:t>建设工程主要材料预结算基准价格表》进行计算，综合单价以浮动率执行优惠（承包人报价浮动率 L=(1-成交价/招标控制价)X100%），发包人确认的费用和认质认价的材料，不再优惠；④工程变更费用计算时措施项目费用不再调整。</w:t>
      </w:r>
    </w:p>
    <w:p>
      <w:pPr>
        <w:spacing w:line="440" w:lineRule="exact"/>
        <w:ind w:firstLine="420" w:firstLineChars="200"/>
        <w:jc w:val="left"/>
        <w:textAlignment w:val="baseline"/>
        <w:rPr>
          <w:rFonts w:ascii="宋体" w:hAnsi="宋体" w:cs="宋体"/>
          <w:color w:val="auto"/>
          <w:kern w:val="0"/>
        </w:rPr>
      </w:pPr>
      <w:bookmarkStart w:id="980" w:name="_Toc21643"/>
      <w:r>
        <w:rPr>
          <w:rFonts w:hint="eastAsia" w:ascii="宋体" w:hAnsi="宋体" w:cs="宋体"/>
          <w:color w:val="auto"/>
          <w:kern w:val="0"/>
        </w:rPr>
        <w:t>10.5 承包人的合理化建议</w:t>
      </w:r>
      <w:bookmarkEnd w:id="980"/>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监理人审批承包人合理化建议的期限：</w:t>
      </w:r>
      <w:r>
        <w:rPr>
          <w:rFonts w:hint="eastAsia" w:ascii="宋体" w:hAnsi="宋体" w:cs="宋体"/>
          <w:color w:val="auto"/>
          <w:sz w:val="21"/>
          <w:szCs w:val="21"/>
          <w:u w:val="single"/>
        </w:rPr>
        <w:t>收到合理化建议后 7 天内。</w:t>
      </w:r>
      <w:r>
        <w:rPr>
          <w:rFonts w:hint="eastAsia" w:ascii="宋体" w:hAnsi="宋体" w:cs="宋体"/>
          <w:color w:val="auto"/>
          <w:sz w:val="21"/>
          <w:szCs w:val="21"/>
        </w:rPr>
        <w:t>发包人审批承包人合理化建议的期限：</w:t>
      </w:r>
      <w:r>
        <w:rPr>
          <w:rFonts w:hint="eastAsia" w:ascii="宋体" w:hAnsi="宋体" w:cs="宋体"/>
          <w:color w:val="auto"/>
          <w:sz w:val="21"/>
          <w:szCs w:val="21"/>
          <w:u w:val="single"/>
        </w:rPr>
        <w:t>收到合理化建议后 7 天内。</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承包人提出的合理化建议降低了合同价格或者提高了工程经济效益的奖励的方法和金额为：</w:t>
      </w:r>
      <w:r>
        <w:rPr>
          <w:rFonts w:hint="eastAsia" w:ascii="宋体" w:hAnsi="宋体" w:cs="宋体"/>
          <w:color w:val="auto"/>
          <w:sz w:val="21"/>
          <w:szCs w:val="21"/>
          <w:u w:val="single"/>
        </w:rPr>
        <w:t>不予奖励</w:t>
      </w:r>
      <w:r>
        <w:rPr>
          <w:rFonts w:hint="eastAsia" w:ascii="宋体" w:hAnsi="宋体" w:cs="宋体"/>
          <w:color w:val="auto"/>
          <w:sz w:val="21"/>
          <w:szCs w:val="21"/>
        </w:rPr>
        <w:t>。</w:t>
      </w:r>
    </w:p>
    <w:p>
      <w:pPr>
        <w:numPr>
          <w:ilvl w:val="1"/>
          <w:numId w:val="29"/>
        </w:numPr>
        <w:tabs>
          <w:tab w:val="left" w:pos="1062"/>
        </w:tabs>
        <w:spacing w:line="440" w:lineRule="exact"/>
        <w:ind w:left="0" w:firstLine="420" w:firstLineChars="200"/>
        <w:textAlignment w:val="baseline"/>
        <w:rPr>
          <w:rFonts w:ascii="宋体" w:hAnsi="宋体" w:cs="宋体"/>
          <w:color w:val="auto"/>
          <w:kern w:val="0"/>
        </w:rPr>
      </w:pPr>
      <w:bookmarkStart w:id="981" w:name="_Toc5909"/>
      <w:r>
        <w:rPr>
          <w:rFonts w:hint="eastAsia" w:ascii="宋体" w:hAnsi="宋体" w:cs="宋体"/>
          <w:color w:val="auto"/>
          <w:kern w:val="0"/>
        </w:rPr>
        <w:t>暂估价</w:t>
      </w:r>
      <w:bookmarkEnd w:id="981"/>
    </w:p>
    <w:p>
      <w:pPr>
        <w:pStyle w:val="10"/>
        <w:tabs>
          <w:tab w:val="left" w:pos="1269"/>
          <w:tab w:val="left" w:pos="2739"/>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 xml:space="preserve"> 无。</w:t>
      </w:r>
    </w:p>
    <w:p>
      <w:pPr>
        <w:numPr>
          <w:ilvl w:val="1"/>
          <w:numId w:val="29"/>
        </w:numPr>
        <w:tabs>
          <w:tab w:val="left" w:pos="1062"/>
        </w:tabs>
        <w:spacing w:line="440" w:lineRule="exact"/>
        <w:ind w:left="0" w:firstLine="420" w:firstLineChars="200"/>
        <w:textAlignment w:val="baseline"/>
        <w:rPr>
          <w:rFonts w:ascii="宋体" w:hAnsi="宋体" w:cs="宋体"/>
          <w:color w:val="auto"/>
          <w:kern w:val="0"/>
        </w:rPr>
      </w:pPr>
      <w:bookmarkStart w:id="982" w:name="_Toc22849"/>
      <w:r>
        <w:rPr>
          <w:rFonts w:hint="eastAsia" w:ascii="宋体" w:hAnsi="宋体" w:cs="宋体"/>
          <w:color w:val="auto"/>
          <w:kern w:val="0"/>
        </w:rPr>
        <w:t>暂列金额</w:t>
      </w:r>
      <w:bookmarkEnd w:id="982"/>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合同当事人关于暂列金额使用的约定：</w:t>
      </w:r>
      <w:r>
        <w:rPr>
          <w:rFonts w:hint="eastAsia" w:ascii="宋体" w:hAnsi="宋体" w:cs="宋体"/>
          <w:color w:val="auto"/>
          <w:sz w:val="21"/>
          <w:szCs w:val="21"/>
          <w:u w:val="single"/>
        </w:rPr>
        <w:t>暂列金额归发包人所有，工程中发生时使用 。</w:t>
      </w:r>
    </w:p>
    <w:p>
      <w:pPr>
        <w:numPr>
          <w:ilvl w:val="0"/>
          <w:numId w:val="14"/>
        </w:numPr>
        <w:tabs>
          <w:tab w:val="left" w:pos="966"/>
        </w:tabs>
        <w:spacing w:line="440" w:lineRule="exact"/>
        <w:ind w:left="0" w:firstLine="420" w:firstLineChars="200"/>
        <w:jc w:val="left"/>
        <w:textAlignment w:val="baseline"/>
        <w:rPr>
          <w:rFonts w:ascii="宋体" w:hAnsi="宋体" w:cs="宋体"/>
          <w:color w:val="auto"/>
          <w:kern w:val="0"/>
        </w:rPr>
      </w:pPr>
      <w:bookmarkStart w:id="983" w:name="_Toc26897"/>
      <w:r>
        <w:rPr>
          <w:rFonts w:hint="eastAsia" w:ascii="宋体" w:hAnsi="宋体" w:cs="宋体"/>
          <w:color w:val="auto"/>
          <w:kern w:val="0"/>
        </w:rPr>
        <w:t>价格调整</w:t>
      </w:r>
      <w:bookmarkEnd w:id="983"/>
    </w:p>
    <w:p>
      <w:pPr>
        <w:pStyle w:val="68"/>
        <w:numPr>
          <w:ilvl w:val="1"/>
          <w:numId w:val="14"/>
        </w:numPr>
        <w:tabs>
          <w:tab w:val="left" w:pos="1066"/>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市场价格波动引起的调整</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市场价格波动是否调整合同价格的约定：</w:t>
      </w:r>
      <w:r>
        <w:rPr>
          <w:rFonts w:hint="eastAsia" w:ascii="宋体" w:hAnsi="宋体" w:cs="宋体"/>
          <w:color w:val="auto"/>
          <w:sz w:val="21"/>
          <w:szCs w:val="21"/>
          <w:u w:val="single"/>
        </w:rPr>
        <w:t>不调整。</w:t>
      </w:r>
    </w:p>
    <w:p>
      <w:pPr>
        <w:numPr>
          <w:ilvl w:val="0"/>
          <w:numId w:val="14"/>
        </w:numPr>
        <w:tabs>
          <w:tab w:val="left" w:pos="543"/>
        </w:tabs>
        <w:spacing w:line="440" w:lineRule="exact"/>
        <w:ind w:left="0" w:firstLine="420" w:firstLineChars="200"/>
        <w:jc w:val="left"/>
        <w:textAlignment w:val="baseline"/>
        <w:rPr>
          <w:rFonts w:ascii="宋体" w:hAnsi="宋体" w:cs="宋体"/>
          <w:color w:val="auto"/>
          <w:kern w:val="0"/>
        </w:rPr>
      </w:pPr>
      <w:bookmarkStart w:id="984" w:name="_Toc7060"/>
      <w:r>
        <w:rPr>
          <w:rFonts w:hint="eastAsia" w:ascii="宋体" w:hAnsi="宋体" w:cs="宋体"/>
          <w:color w:val="auto"/>
          <w:kern w:val="0"/>
        </w:rPr>
        <w:t>合同价格、计量与支付</w:t>
      </w:r>
      <w:bookmarkEnd w:id="984"/>
    </w:p>
    <w:p>
      <w:pPr>
        <w:pStyle w:val="68"/>
        <w:numPr>
          <w:ilvl w:val="1"/>
          <w:numId w:val="14"/>
        </w:numPr>
        <w:tabs>
          <w:tab w:val="left" w:pos="1071"/>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合同价格形式</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1、单价合同。</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综合单价包含的风险范围：</w:t>
      </w:r>
      <w:r>
        <w:rPr>
          <w:rFonts w:hint="eastAsia" w:ascii="宋体" w:hAnsi="宋体" w:cs="宋体"/>
          <w:color w:val="auto"/>
          <w:sz w:val="21"/>
          <w:szCs w:val="21"/>
          <w:u w:val="single"/>
        </w:rPr>
        <w:t>完成该工程工程量清单或措施清单项目所需的人工费、材料费、施工机械使用费和企业管理费与利润等全部费用，以及一定范围内的风险费用。</w:t>
      </w:r>
    </w:p>
    <w:p>
      <w:pPr>
        <w:pStyle w:val="10"/>
        <w:tabs>
          <w:tab w:val="left" w:pos="3692"/>
          <w:tab w:val="left" w:pos="7365"/>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风险费用的计算方法：</w:t>
      </w:r>
      <w:r>
        <w:rPr>
          <w:rFonts w:hint="eastAsia" w:ascii="宋体" w:hAnsi="宋体" w:cs="宋体"/>
          <w:color w:val="auto"/>
          <w:sz w:val="21"/>
          <w:szCs w:val="21"/>
          <w:u w:val="single"/>
        </w:rPr>
        <w:t xml:space="preserve"> 已包含在单价报价中</w:t>
      </w:r>
      <w:r>
        <w:rPr>
          <w:rFonts w:hint="eastAsia" w:ascii="宋体" w:hAnsi="宋体" w:cs="宋体"/>
          <w:color w:val="auto"/>
          <w:sz w:val="21"/>
          <w:szCs w:val="21"/>
        </w:rPr>
        <w:t xml:space="preserve">                       </w:t>
      </w:r>
    </w:p>
    <w:p>
      <w:pPr>
        <w:pStyle w:val="10"/>
        <w:tabs>
          <w:tab w:val="left" w:pos="3692"/>
          <w:tab w:val="left" w:pos="7365"/>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风险范围以外合同价格的调整方法 ：</w:t>
      </w:r>
      <w:r>
        <w:rPr>
          <w:rFonts w:hint="eastAsia" w:ascii="宋体" w:hAnsi="宋体" w:cs="宋体"/>
          <w:color w:val="auto"/>
          <w:sz w:val="21"/>
          <w:szCs w:val="21"/>
          <w:u w:val="single"/>
        </w:rPr>
        <w:t>施工过程中发生的由招标人原因引起的（或招标人同意）施工图调整（变更）造成的工程量变更合同价款调整遵循的计价原则是：①合同中已有适用的综合单价，按照合同中已有的综合单价确定；②合同中有类似的综合单价，参照类似的综合单价确定；③合同中没有适用或类似的综合单价，执行《河南省建设工程工程量清单综合单价》（2013 版）及省、市有关造价管理规定，材料价格按照施工同期</w:t>
      </w:r>
      <w:r>
        <w:rPr>
          <w:rFonts w:hint="eastAsia" w:ascii="宋体" w:hAnsi="宋体" w:cs="宋体"/>
          <w:color w:val="auto"/>
          <w:sz w:val="21"/>
          <w:szCs w:val="21"/>
          <w:u w:val="single"/>
          <w:lang w:eastAsia="zh-CN"/>
        </w:rPr>
        <w:t>南阳市建设工程造价管理办公室</w:t>
      </w:r>
      <w:r>
        <w:rPr>
          <w:rFonts w:hint="eastAsia" w:ascii="宋体" w:hAnsi="宋体" w:cs="宋体"/>
          <w:color w:val="auto"/>
          <w:sz w:val="21"/>
          <w:szCs w:val="21"/>
          <w:u w:val="single"/>
        </w:rPr>
        <w:t>发布的《</w:t>
      </w:r>
      <w:r>
        <w:rPr>
          <w:rFonts w:hint="eastAsia" w:ascii="宋体" w:hAnsi="宋体" w:cs="宋体"/>
          <w:color w:val="auto"/>
          <w:sz w:val="21"/>
          <w:szCs w:val="21"/>
          <w:u w:val="single"/>
          <w:lang w:eastAsia="zh-CN"/>
        </w:rPr>
        <w:t>南阳市建设工程主要材料预结算基准价格表</w:t>
      </w:r>
      <w:r>
        <w:rPr>
          <w:rFonts w:hint="eastAsia" w:ascii="宋体" w:hAnsi="宋体" w:cs="宋体"/>
          <w:color w:val="auto"/>
          <w:sz w:val="21"/>
          <w:szCs w:val="21"/>
          <w:u w:val="single"/>
        </w:rPr>
        <w:t>》进行计算，综合单价乘以浮动率执行优惠（承包人报价浮动率 L=(1-中标价/招标控制价)X100%），④发包人材料暂估价的确认的调整：认定的材料价格与合同中暂估价的差价部分，该部分差价计入结算造价，不再优惠；⑤工程变更费用计算时措施项目费用不再调整。</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2、总价合同。</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总价包含的风险范围：</w:t>
      </w:r>
      <w:r>
        <w:rPr>
          <w:rFonts w:hint="eastAsia" w:ascii="宋体" w:hAnsi="宋体" w:cs="宋体"/>
          <w:color w:val="auto"/>
          <w:sz w:val="21"/>
          <w:szCs w:val="21"/>
          <w:u w:val="single"/>
        </w:rPr>
        <w:t>不适用</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风险费用的计算方法：</w:t>
      </w:r>
      <w:r>
        <w:rPr>
          <w:rFonts w:hint="eastAsia" w:ascii="宋体" w:hAnsi="宋体" w:cs="宋体"/>
          <w:color w:val="auto"/>
          <w:sz w:val="21"/>
          <w:szCs w:val="21"/>
          <w:u w:val="single"/>
        </w:rPr>
        <w:t>不适用</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风险范围以外合同价格的调整方法：</w:t>
      </w:r>
      <w:r>
        <w:rPr>
          <w:rFonts w:hint="eastAsia" w:ascii="宋体" w:hAnsi="宋体" w:cs="宋体"/>
          <w:color w:val="auto"/>
          <w:sz w:val="21"/>
          <w:szCs w:val="21"/>
          <w:u w:val="single"/>
        </w:rPr>
        <w:t>不适用</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3、其他价格方式：</w:t>
      </w:r>
      <w:r>
        <w:rPr>
          <w:rFonts w:hint="eastAsia" w:ascii="宋体" w:hAnsi="宋体" w:cs="宋体"/>
          <w:color w:val="auto"/>
          <w:sz w:val="21"/>
          <w:szCs w:val="21"/>
          <w:u w:val="single"/>
        </w:rPr>
        <w:t>不适用</w:t>
      </w:r>
      <w:r>
        <w:rPr>
          <w:rFonts w:hint="eastAsia" w:ascii="宋体" w:hAnsi="宋体" w:cs="宋体"/>
          <w:color w:val="auto"/>
          <w:sz w:val="21"/>
          <w:szCs w:val="21"/>
        </w:rPr>
        <w:t>。</w:t>
      </w:r>
    </w:p>
    <w:p>
      <w:pPr>
        <w:numPr>
          <w:ilvl w:val="1"/>
          <w:numId w:val="14"/>
        </w:numPr>
        <w:tabs>
          <w:tab w:val="left" w:pos="1071"/>
        </w:tabs>
        <w:spacing w:line="440" w:lineRule="exact"/>
        <w:ind w:left="0" w:firstLine="420" w:firstLineChars="200"/>
        <w:textAlignment w:val="baseline"/>
        <w:rPr>
          <w:rFonts w:ascii="宋体" w:hAnsi="宋体" w:cs="宋体"/>
          <w:color w:val="auto"/>
          <w:kern w:val="0"/>
        </w:rPr>
      </w:pPr>
      <w:bookmarkStart w:id="985" w:name="_Toc28516"/>
      <w:r>
        <w:rPr>
          <w:rFonts w:hint="eastAsia" w:ascii="宋体" w:hAnsi="宋体" w:cs="宋体"/>
          <w:color w:val="auto"/>
          <w:kern w:val="0"/>
        </w:rPr>
        <w:t>预付款</w:t>
      </w:r>
      <w:bookmarkEnd w:id="985"/>
    </w:p>
    <w:p>
      <w:pPr>
        <w:pStyle w:val="10"/>
        <w:tabs>
          <w:tab w:val="left" w:pos="4952"/>
          <w:tab w:val="left" w:pos="684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预付款的支付</w:t>
      </w:r>
    </w:p>
    <w:p>
      <w:pPr>
        <w:pStyle w:val="10"/>
        <w:tabs>
          <w:tab w:val="left" w:pos="4952"/>
          <w:tab w:val="left" w:pos="6841"/>
        </w:tabs>
        <w:spacing w:line="440" w:lineRule="exact"/>
        <w:ind w:firstLine="420" w:firstLineChars="200"/>
        <w:jc w:val="left"/>
        <w:textAlignment w:val="baseline"/>
        <w:rPr>
          <w:rFonts w:ascii="宋体" w:hAnsi="宋体" w:cs="宋体"/>
          <w:color w:val="auto"/>
          <w:sz w:val="21"/>
          <w:szCs w:val="21"/>
          <w:highlight w:val="none"/>
        </w:rPr>
      </w:pPr>
      <w:r>
        <w:rPr>
          <w:rFonts w:hint="eastAsia" w:ascii="宋体" w:hAnsi="宋体" w:cs="宋体"/>
          <w:color w:val="auto"/>
          <w:sz w:val="21"/>
          <w:szCs w:val="21"/>
          <w:highlight w:val="none"/>
        </w:rPr>
        <w:t>预付款支付比例或金额：</w:t>
      </w:r>
      <w:r>
        <w:rPr>
          <w:rFonts w:hint="eastAsia" w:ascii="宋体" w:hAnsi="宋体" w:cs="宋体"/>
          <w:color w:val="auto"/>
          <w:sz w:val="21"/>
          <w:szCs w:val="21"/>
          <w:highlight w:val="none"/>
          <w:u w:val="single"/>
          <w:lang w:val="en-US" w:eastAsia="zh-CN"/>
        </w:rPr>
        <w:t>20%</w:t>
      </w:r>
      <w:r>
        <w:rPr>
          <w:rFonts w:hint="eastAsia" w:ascii="宋体" w:hAnsi="宋体" w:cs="宋体"/>
          <w:color w:val="auto"/>
          <w:sz w:val="21"/>
          <w:szCs w:val="21"/>
          <w:highlight w:val="none"/>
        </w:rPr>
        <w:t>。</w:t>
      </w:r>
    </w:p>
    <w:p>
      <w:pPr>
        <w:pStyle w:val="10"/>
        <w:tabs>
          <w:tab w:val="left" w:pos="4952"/>
          <w:tab w:val="left" w:pos="684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预付款支付期限：</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pStyle w:val="10"/>
        <w:tabs>
          <w:tab w:val="left" w:pos="4952"/>
          <w:tab w:val="left" w:pos="684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预付款扣回的方式：</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pStyle w:val="10"/>
        <w:tabs>
          <w:tab w:val="left" w:pos="4952"/>
          <w:tab w:val="left" w:pos="684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预付款担保</w:t>
      </w:r>
    </w:p>
    <w:p>
      <w:pPr>
        <w:pStyle w:val="10"/>
        <w:tabs>
          <w:tab w:val="left" w:pos="4952"/>
          <w:tab w:val="left" w:pos="684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承包人提交预付款担保的期限：</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pStyle w:val="10"/>
        <w:tabs>
          <w:tab w:val="left" w:pos="4952"/>
          <w:tab w:val="left" w:pos="684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预付款担保的形式为：</w:t>
      </w:r>
      <w:r>
        <w:rPr>
          <w:rFonts w:hint="eastAsia" w:ascii="宋体" w:hAnsi="宋体" w:cs="宋体"/>
          <w:color w:val="auto"/>
          <w:sz w:val="21"/>
          <w:szCs w:val="21"/>
          <w:u w:val="single"/>
        </w:rPr>
        <w:t xml:space="preserve"> /</w:t>
      </w:r>
      <w:r>
        <w:rPr>
          <w:rFonts w:hint="eastAsia" w:ascii="宋体" w:hAnsi="宋体" w:cs="宋体"/>
          <w:color w:val="auto"/>
          <w:sz w:val="21"/>
          <w:szCs w:val="21"/>
        </w:rPr>
        <w:t>。</w:t>
      </w:r>
    </w:p>
    <w:p>
      <w:pPr>
        <w:numPr>
          <w:ilvl w:val="1"/>
          <w:numId w:val="14"/>
        </w:numPr>
        <w:tabs>
          <w:tab w:val="left" w:pos="1071"/>
        </w:tabs>
        <w:spacing w:line="440" w:lineRule="exact"/>
        <w:ind w:left="0" w:firstLine="420" w:firstLineChars="200"/>
        <w:textAlignment w:val="baseline"/>
        <w:rPr>
          <w:rFonts w:ascii="宋体" w:hAnsi="宋体" w:cs="宋体"/>
          <w:color w:val="auto"/>
          <w:kern w:val="0"/>
        </w:rPr>
      </w:pPr>
      <w:bookmarkStart w:id="986" w:name="_Toc15964"/>
      <w:r>
        <w:rPr>
          <w:rFonts w:hint="eastAsia" w:ascii="宋体" w:hAnsi="宋体" w:cs="宋体"/>
          <w:color w:val="auto"/>
          <w:kern w:val="0"/>
        </w:rPr>
        <w:t>计量</w:t>
      </w:r>
      <w:bookmarkEnd w:id="986"/>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计量原则</w:t>
      </w:r>
    </w:p>
    <w:p>
      <w:pPr>
        <w:pStyle w:val="10"/>
        <w:tabs>
          <w:tab w:val="left" w:pos="4426"/>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工程量计算规则：</w:t>
      </w:r>
      <w:r>
        <w:rPr>
          <w:rFonts w:hint="eastAsia" w:ascii="宋体" w:hAnsi="宋体" w:cs="宋体"/>
          <w:color w:val="auto"/>
          <w:sz w:val="21"/>
          <w:szCs w:val="21"/>
          <w:u w:val="single"/>
        </w:rPr>
        <w:t>依据 2013 房屋建筑工程工程量计算规范和通用安装工程计算规范及河南省计价文件规定，采用工程量清单计量</w:t>
      </w:r>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计量周期</w:t>
      </w:r>
    </w:p>
    <w:p>
      <w:pPr>
        <w:pStyle w:val="10"/>
        <w:tabs>
          <w:tab w:val="left" w:pos="6949"/>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关于计量周期的约定：</w:t>
      </w:r>
      <w:r>
        <w:rPr>
          <w:rFonts w:hint="eastAsia" w:ascii="宋体" w:hAnsi="宋体" w:cs="宋体"/>
          <w:color w:val="auto"/>
          <w:sz w:val="21"/>
          <w:szCs w:val="21"/>
          <w:u w:val="single"/>
        </w:rPr>
        <w:t xml:space="preserve"> 按照付款节点计量，但不作为结算的依据</w:t>
      </w:r>
      <w:r>
        <w:rPr>
          <w:rFonts w:hint="eastAsia" w:ascii="宋体" w:hAnsi="宋体" w:cs="宋体"/>
          <w:color w:val="auto"/>
          <w:sz w:val="21"/>
          <w:szCs w:val="21"/>
        </w:rPr>
        <w:t>。</w:t>
      </w:r>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单价合同的计量</w:t>
      </w:r>
    </w:p>
    <w:p>
      <w:pPr>
        <w:pStyle w:val="10"/>
        <w:tabs>
          <w:tab w:val="left" w:pos="6212"/>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关于单价合同计量的约定：</w:t>
      </w:r>
      <w:r>
        <w:rPr>
          <w:rFonts w:hint="eastAsia" w:ascii="宋体" w:hAnsi="宋体" w:cs="宋体"/>
          <w:color w:val="auto"/>
          <w:sz w:val="21"/>
          <w:szCs w:val="21"/>
          <w:u w:val="single"/>
        </w:rPr>
        <w:t xml:space="preserve"> 按照合同约定的风险范围计量</w:t>
      </w:r>
      <w:r>
        <w:rPr>
          <w:rFonts w:hint="eastAsia" w:ascii="宋体" w:hAnsi="宋体" w:cs="宋体"/>
          <w:color w:val="auto"/>
          <w:sz w:val="21"/>
          <w:szCs w:val="21"/>
        </w:rPr>
        <w:t>。</w:t>
      </w:r>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总价合同的计量</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关于总价合同计量的约定：</w:t>
      </w:r>
      <w:r>
        <w:rPr>
          <w:rFonts w:hint="eastAsia" w:ascii="宋体" w:hAnsi="宋体" w:cs="宋体"/>
          <w:color w:val="auto"/>
          <w:sz w:val="21"/>
          <w:szCs w:val="21"/>
          <w:u w:val="single"/>
        </w:rPr>
        <w:t>不适用</w:t>
      </w:r>
      <w:r>
        <w:rPr>
          <w:rFonts w:hint="eastAsia" w:ascii="宋体" w:hAnsi="宋体" w:cs="宋体"/>
          <w:color w:val="auto"/>
          <w:sz w:val="21"/>
          <w:szCs w:val="21"/>
        </w:rPr>
        <w:t>。</w:t>
      </w:r>
    </w:p>
    <w:p>
      <w:pPr>
        <w:pStyle w:val="68"/>
        <w:numPr>
          <w:ilvl w:val="2"/>
          <w:numId w:val="14"/>
        </w:numPr>
        <w:tabs>
          <w:tab w:val="left" w:pos="122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总价合同采用支付分解表计量支付的，是否适用第 12.3.4 项〔总价合同的计量〕约定进行计量：</w:t>
      </w:r>
      <w:r>
        <w:rPr>
          <w:rFonts w:hint="eastAsia" w:ascii="宋体" w:hAnsi="宋体" w:cs="宋体"/>
          <w:color w:val="auto"/>
          <w:kern w:val="0"/>
          <w:u w:val="single"/>
        </w:rPr>
        <w:t>不适用</w:t>
      </w:r>
      <w:r>
        <w:rPr>
          <w:rFonts w:hint="eastAsia" w:ascii="宋体" w:hAnsi="宋体" w:cs="宋体"/>
          <w:color w:val="auto"/>
          <w:kern w:val="0"/>
        </w:rPr>
        <w:t>。</w:t>
      </w:r>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其他价格形式合同的计量</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其他价格形式的计量方式和程序：</w:t>
      </w:r>
      <w:r>
        <w:rPr>
          <w:rFonts w:hint="eastAsia" w:ascii="宋体" w:hAnsi="宋体" w:cs="宋体"/>
          <w:color w:val="auto"/>
          <w:sz w:val="21"/>
          <w:szCs w:val="21"/>
          <w:u w:val="single"/>
        </w:rPr>
        <w:t>不适用</w:t>
      </w:r>
      <w:r>
        <w:rPr>
          <w:rFonts w:hint="eastAsia" w:ascii="宋体" w:hAnsi="宋体" w:cs="宋体"/>
          <w:color w:val="auto"/>
          <w:sz w:val="21"/>
          <w:szCs w:val="21"/>
        </w:rPr>
        <w:t>。</w:t>
      </w:r>
    </w:p>
    <w:p>
      <w:pPr>
        <w:numPr>
          <w:ilvl w:val="1"/>
          <w:numId w:val="14"/>
        </w:numPr>
        <w:tabs>
          <w:tab w:val="left" w:pos="1071"/>
        </w:tabs>
        <w:spacing w:line="440" w:lineRule="exact"/>
        <w:ind w:left="0" w:firstLine="420" w:firstLineChars="200"/>
        <w:textAlignment w:val="baseline"/>
        <w:rPr>
          <w:rFonts w:ascii="宋体" w:hAnsi="宋体" w:cs="宋体"/>
          <w:color w:val="auto"/>
          <w:kern w:val="0"/>
        </w:rPr>
      </w:pPr>
      <w:bookmarkStart w:id="987" w:name="_Toc3311"/>
      <w:r>
        <w:rPr>
          <w:rFonts w:hint="eastAsia" w:ascii="宋体" w:hAnsi="宋体" w:cs="宋体"/>
          <w:color w:val="auto"/>
          <w:kern w:val="0"/>
        </w:rPr>
        <w:t>工程进度款支付</w:t>
      </w:r>
      <w:bookmarkEnd w:id="987"/>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付款周期</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关于付款周期的约定：</w:t>
      </w:r>
      <w:r>
        <w:rPr>
          <w:rFonts w:hint="eastAsia" w:ascii="宋体" w:hAnsi="宋体" w:cs="宋体"/>
          <w:color w:val="auto"/>
          <w:sz w:val="21"/>
          <w:szCs w:val="21"/>
          <w:u w:val="single"/>
        </w:rPr>
        <w:t>按合同专业条款第 12.4.4（3）条约定支付。</w:t>
      </w:r>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进度付款申请单的编制</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关于进度付款申请单编制的约定：</w:t>
      </w:r>
      <w:r>
        <w:rPr>
          <w:rFonts w:hint="eastAsia" w:ascii="宋体" w:hAnsi="宋体" w:cs="宋体"/>
          <w:color w:val="auto"/>
          <w:sz w:val="21"/>
          <w:szCs w:val="21"/>
          <w:u w:val="single"/>
        </w:rPr>
        <w:t xml:space="preserve"> 按合同专业条款第 12.4.4（3）条约定支付。</w:t>
      </w:r>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进度付款申请单的提交</w:t>
      </w:r>
    </w:p>
    <w:p>
      <w:pPr>
        <w:pStyle w:val="68"/>
        <w:numPr>
          <w:ilvl w:val="0"/>
          <w:numId w:val="30"/>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单价合同进度付款申请单提交的约定：</w:t>
      </w:r>
      <w:r>
        <w:rPr>
          <w:rFonts w:hint="eastAsia" w:ascii="宋体" w:hAnsi="宋体" w:cs="宋体"/>
          <w:color w:val="auto"/>
          <w:kern w:val="0"/>
          <w:u w:val="single"/>
        </w:rPr>
        <w:t xml:space="preserve"> 按照投标单价编制及发包人要求执行。</w:t>
      </w:r>
    </w:p>
    <w:p>
      <w:pPr>
        <w:pStyle w:val="68"/>
        <w:numPr>
          <w:ilvl w:val="0"/>
          <w:numId w:val="30"/>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总价合同进度付款申请单提交的约定：</w:t>
      </w:r>
      <w:r>
        <w:rPr>
          <w:rFonts w:hint="eastAsia" w:ascii="宋体" w:hAnsi="宋体" w:cs="宋体"/>
          <w:color w:val="auto"/>
          <w:kern w:val="0"/>
          <w:u w:val="single"/>
        </w:rPr>
        <w:t>不适用</w:t>
      </w:r>
      <w:r>
        <w:rPr>
          <w:rFonts w:hint="eastAsia" w:ascii="宋体" w:hAnsi="宋体" w:cs="宋体"/>
          <w:color w:val="auto"/>
          <w:kern w:val="0"/>
        </w:rPr>
        <w:t>。</w:t>
      </w:r>
    </w:p>
    <w:p>
      <w:pPr>
        <w:pStyle w:val="68"/>
        <w:numPr>
          <w:ilvl w:val="0"/>
          <w:numId w:val="30"/>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其他价格形式合同进度付款申请单提交的约定：</w:t>
      </w:r>
      <w:r>
        <w:rPr>
          <w:rFonts w:hint="eastAsia" w:ascii="宋体" w:hAnsi="宋体" w:cs="宋体"/>
          <w:color w:val="auto"/>
          <w:kern w:val="0"/>
          <w:u w:val="single"/>
        </w:rPr>
        <w:t>不适用</w:t>
      </w:r>
      <w:r>
        <w:rPr>
          <w:rFonts w:hint="eastAsia" w:ascii="宋体" w:hAnsi="宋体" w:cs="宋体"/>
          <w:color w:val="auto"/>
          <w:kern w:val="0"/>
        </w:rPr>
        <w:t>。</w:t>
      </w:r>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进度款审核和支付</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（1）监理人审查并报送发包人的期限：</w:t>
      </w:r>
      <w:r>
        <w:rPr>
          <w:rFonts w:hint="eastAsia" w:ascii="宋体" w:hAnsi="宋体" w:cs="宋体"/>
          <w:color w:val="auto"/>
          <w:sz w:val="21"/>
          <w:szCs w:val="21"/>
          <w:u w:val="single"/>
        </w:rPr>
        <w:t>执行通用条款。</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rPr>
        <w:t>发包人完成审批并签发进度款支付证书的期限：</w:t>
      </w:r>
      <w:r>
        <w:rPr>
          <w:rFonts w:hint="eastAsia" w:ascii="宋体" w:hAnsi="宋体" w:cs="宋体"/>
          <w:color w:val="auto"/>
          <w:sz w:val="21"/>
          <w:szCs w:val="21"/>
          <w:u w:val="single"/>
        </w:rPr>
        <w:t>以评审中心审计为准。</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（2）发包人支付进度款的期限：</w:t>
      </w:r>
      <w:r>
        <w:rPr>
          <w:rFonts w:hint="eastAsia" w:ascii="宋体" w:hAnsi="宋体" w:cs="宋体"/>
          <w:color w:val="auto"/>
          <w:sz w:val="21"/>
          <w:szCs w:val="21"/>
          <w:u w:val="single"/>
        </w:rPr>
        <w:t>以评审中心审计为准。</w:t>
      </w:r>
      <w:r>
        <w:rPr>
          <w:rFonts w:hint="eastAsia" w:ascii="宋体" w:hAnsi="宋体" w:cs="宋体"/>
          <w:color w:val="auto"/>
          <w:sz w:val="21"/>
          <w:szCs w:val="21"/>
        </w:rPr>
        <w:t xml:space="preserve"> 发包人逾期支付进度款的违约金的计算方式：</w:t>
      </w:r>
      <w:r>
        <w:rPr>
          <w:rFonts w:hint="eastAsia" w:ascii="宋体" w:hAnsi="宋体" w:cs="宋体"/>
          <w:color w:val="auto"/>
          <w:sz w:val="21"/>
          <w:szCs w:val="21"/>
          <w:u w:val="single"/>
        </w:rPr>
        <w:t xml:space="preserve"> /。</w:t>
      </w:r>
    </w:p>
    <w:p>
      <w:pPr>
        <w:pStyle w:val="10"/>
        <w:spacing w:line="440" w:lineRule="exact"/>
        <w:ind w:firstLine="420" w:firstLineChars="200"/>
        <w:jc w:val="left"/>
        <w:textAlignment w:val="baseline"/>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rPr>
        <w:t>（3） 双方约定的工程款（进度款）支付的方式和</w:t>
      </w:r>
      <w:r>
        <w:rPr>
          <w:rFonts w:hint="eastAsia" w:ascii="宋体" w:hAnsi="宋体" w:cs="宋体"/>
          <w:color w:val="auto"/>
          <w:sz w:val="21"/>
          <w:szCs w:val="21"/>
          <w:highlight w:val="none"/>
        </w:rPr>
        <w:t>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以本文件须知前附表内容为准；</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u w:val="single"/>
        </w:rPr>
        <w:t>注：在上述每笔款项支付时，承包人均须向发包人提供付款申请、与所付款项等额的、工程项目所在地税务主管部门开具的正规的增值税发票及其他发包人要求的付款资料，否则发包方有权暂缓付款。但双方并不以承包人提供的发票票面显示金额作为直接结算依据。</w:t>
      </w:r>
    </w:p>
    <w:p>
      <w:pPr>
        <w:pStyle w:val="10"/>
        <w:spacing w:line="440" w:lineRule="exact"/>
        <w:ind w:firstLine="420" w:firstLineChars="200"/>
        <w:jc w:val="left"/>
        <w:textAlignment w:val="baseline"/>
        <w:rPr>
          <w:rFonts w:ascii="宋体" w:hAnsi="宋体" w:cs="宋体"/>
          <w:color w:val="auto"/>
          <w:sz w:val="21"/>
          <w:szCs w:val="21"/>
          <w:u w:val="single"/>
        </w:rPr>
      </w:pPr>
      <w:r>
        <w:rPr>
          <w:rFonts w:hint="eastAsia" w:ascii="宋体" w:hAnsi="宋体" w:cs="宋体"/>
          <w:color w:val="auto"/>
          <w:sz w:val="21"/>
          <w:szCs w:val="21"/>
          <w:u w:val="single"/>
        </w:rPr>
        <w:t>本合同所涉所有款项数额及支付期限以政府相关审计部门最终审定确定为准，逾期付款发包人不承担违约责任。</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12.4.6 支付分解表的编制</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2、总价合同支付分解表的编制与审批：</w:t>
      </w:r>
      <w:r>
        <w:rPr>
          <w:rFonts w:hint="eastAsia" w:ascii="宋体" w:hAnsi="宋体" w:cs="宋体"/>
          <w:color w:val="auto"/>
          <w:sz w:val="21"/>
          <w:szCs w:val="21"/>
          <w:u w:val="single"/>
        </w:rPr>
        <w:t>不适用</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3、单价合同的总价项目支付分解表的编制与审批：</w:t>
      </w:r>
      <w:r>
        <w:rPr>
          <w:rFonts w:hint="eastAsia" w:ascii="宋体" w:hAnsi="宋体" w:cs="宋体"/>
          <w:color w:val="auto"/>
          <w:sz w:val="21"/>
          <w:szCs w:val="21"/>
          <w:u w:val="single"/>
        </w:rPr>
        <w:t>不适用</w:t>
      </w:r>
      <w:r>
        <w:rPr>
          <w:rFonts w:hint="eastAsia" w:ascii="宋体" w:hAnsi="宋体" w:cs="宋体"/>
          <w:color w:val="auto"/>
          <w:sz w:val="21"/>
          <w:szCs w:val="21"/>
        </w:rPr>
        <w:t>。</w:t>
      </w:r>
    </w:p>
    <w:p>
      <w:pPr>
        <w:numPr>
          <w:ilvl w:val="0"/>
          <w:numId w:val="14"/>
        </w:numPr>
        <w:tabs>
          <w:tab w:val="left" w:pos="439"/>
        </w:tabs>
        <w:spacing w:line="440" w:lineRule="exact"/>
        <w:ind w:left="0" w:firstLine="420" w:firstLineChars="200"/>
        <w:jc w:val="left"/>
        <w:textAlignment w:val="baseline"/>
        <w:rPr>
          <w:rFonts w:ascii="宋体" w:hAnsi="宋体" w:cs="宋体"/>
          <w:color w:val="auto"/>
          <w:kern w:val="0"/>
        </w:rPr>
      </w:pPr>
      <w:bookmarkStart w:id="988" w:name="_Toc24242"/>
      <w:r>
        <w:rPr>
          <w:rFonts w:hint="eastAsia" w:ascii="宋体" w:hAnsi="宋体" w:cs="宋体"/>
          <w:color w:val="auto"/>
          <w:kern w:val="0"/>
        </w:rPr>
        <w:t>验收和工程试车</w:t>
      </w:r>
      <w:bookmarkEnd w:id="988"/>
    </w:p>
    <w:p>
      <w:pPr>
        <w:pStyle w:val="68"/>
        <w:numPr>
          <w:ilvl w:val="1"/>
          <w:numId w:val="14"/>
        </w:numPr>
        <w:tabs>
          <w:tab w:val="left" w:pos="1071"/>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分部分项工程验收</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 xml:space="preserve">13.1.2 监理人（如有）不能按时进行验收时，应提前 </w:t>
      </w:r>
      <w:r>
        <w:rPr>
          <w:rFonts w:hint="eastAsia" w:ascii="宋体" w:hAnsi="宋体" w:cs="宋体"/>
          <w:color w:val="auto"/>
          <w:sz w:val="21"/>
          <w:szCs w:val="21"/>
          <w:u w:val="single"/>
        </w:rPr>
        <w:t>24</w:t>
      </w:r>
      <w:r>
        <w:rPr>
          <w:rFonts w:hint="eastAsia" w:ascii="宋体" w:hAnsi="宋体" w:cs="宋体"/>
          <w:color w:val="auto"/>
          <w:sz w:val="21"/>
          <w:szCs w:val="21"/>
        </w:rPr>
        <w:t xml:space="preserve"> 小时提交书面延期要求。关于延期最长不得超过：</w:t>
      </w:r>
      <w:r>
        <w:rPr>
          <w:rFonts w:hint="eastAsia" w:ascii="宋体" w:hAnsi="宋体" w:cs="宋体"/>
          <w:color w:val="auto"/>
          <w:sz w:val="21"/>
          <w:szCs w:val="21"/>
          <w:u w:val="single"/>
        </w:rPr>
        <w:t>48</w:t>
      </w:r>
      <w:r>
        <w:rPr>
          <w:rFonts w:hint="eastAsia" w:ascii="宋体" w:hAnsi="宋体" w:cs="宋体"/>
          <w:color w:val="auto"/>
          <w:sz w:val="21"/>
          <w:szCs w:val="21"/>
        </w:rPr>
        <w:t xml:space="preserve"> 小时。</w:t>
      </w:r>
    </w:p>
    <w:p>
      <w:pPr>
        <w:numPr>
          <w:ilvl w:val="1"/>
          <w:numId w:val="14"/>
        </w:numPr>
        <w:tabs>
          <w:tab w:val="left" w:pos="1071"/>
        </w:tabs>
        <w:spacing w:line="440" w:lineRule="exact"/>
        <w:ind w:left="0" w:firstLine="420" w:firstLineChars="200"/>
        <w:textAlignment w:val="baseline"/>
        <w:rPr>
          <w:rFonts w:ascii="宋体" w:hAnsi="宋体" w:cs="宋体"/>
          <w:color w:val="auto"/>
          <w:kern w:val="0"/>
        </w:rPr>
      </w:pPr>
      <w:bookmarkStart w:id="989" w:name="_Toc8479"/>
      <w:r>
        <w:rPr>
          <w:rFonts w:hint="eastAsia" w:ascii="宋体" w:hAnsi="宋体" w:cs="宋体"/>
          <w:color w:val="auto"/>
          <w:kern w:val="0"/>
        </w:rPr>
        <w:t>竣工验收</w:t>
      </w:r>
      <w:bookmarkEnd w:id="989"/>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13.2.2 竣工验收程序</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关于竣工验收程序的约定：</w:t>
      </w:r>
      <w:r>
        <w:rPr>
          <w:rFonts w:hint="eastAsia" w:ascii="宋体" w:hAnsi="宋体" w:cs="宋体"/>
          <w:color w:val="auto"/>
          <w:sz w:val="21"/>
          <w:szCs w:val="21"/>
          <w:u w:val="single"/>
        </w:rPr>
        <w:t>按通用条款及国家、省、市相关规定执行</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发包人不按照本项约定组织竣工验收、颁发工程接收证书的违约金的计算方法：</w:t>
      </w:r>
      <w:r>
        <w:rPr>
          <w:rFonts w:hint="eastAsia" w:cs="宋体"/>
          <w:color w:val="auto"/>
          <w:sz w:val="21"/>
          <w:szCs w:val="21"/>
        </w:rPr>
        <w:t xml:space="preserve"> </w:t>
      </w:r>
      <w:r>
        <w:rPr>
          <w:rFonts w:hint="eastAsia" w:ascii="宋体" w:hAnsi="宋体" w:cs="宋体"/>
          <w:color w:val="auto"/>
          <w:sz w:val="21"/>
          <w:szCs w:val="21"/>
          <w:u w:val="single"/>
        </w:rPr>
        <w:t>/</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13.2.5 移交、接收全部与部分工程</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承包人向发包人移交工程的期限：</w:t>
      </w:r>
      <w:r>
        <w:rPr>
          <w:rFonts w:hint="eastAsia" w:ascii="宋体" w:hAnsi="宋体" w:cs="宋体"/>
          <w:color w:val="auto"/>
          <w:sz w:val="21"/>
          <w:szCs w:val="21"/>
          <w:u w:val="single"/>
        </w:rPr>
        <w:t xml:space="preserve"> 竣工验收合格后 30 日内。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发包人未按本合同约定接收全部或部分工程的，违约金的计算方法为：</w:t>
      </w:r>
      <w:r>
        <w:rPr>
          <w:rFonts w:hint="eastAsia" w:ascii="宋体" w:hAnsi="宋体" w:cs="宋体"/>
          <w:color w:val="auto"/>
          <w:sz w:val="21"/>
          <w:szCs w:val="21"/>
          <w:u w:val="single"/>
        </w:rPr>
        <w:t xml:space="preserve"> /</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承包人未按时移交工程的，违约金的计算方法为：</w:t>
      </w:r>
      <w:r>
        <w:rPr>
          <w:rFonts w:hint="eastAsia" w:ascii="宋体" w:hAnsi="宋体" w:cs="宋体"/>
          <w:color w:val="auto"/>
          <w:sz w:val="21"/>
          <w:szCs w:val="21"/>
          <w:u w:val="single"/>
        </w:rPr>
        <w:t xml:space="preserve"> 付违约金=合同价*万分之一/每日。</w:t>
      </w:r>
    </w:p>
    <w:p>
      <w:pPr>
        <w:numPr>
          <w:ilvl w:val="1"/>
          <w:numId w:val="14"/>
        </w:numPr>
        <w:tabs>
          <w:tab w:val="left" w:pos="1071"/>
        </w:tabs>
        <w:spacing w:line="440" w:lineRule="exact"/>
        <w:ind w:left="0" w:firstLine="420" w:firstLineChars="200"/>
        <w:textAlignment w:val="baseline"/>
        <w:rPr>
          <w:rFonts w:ascii="宋体" w:hAnsi="宋体" w:cs="宋体"/>
          <w:color w:val="auto"/>
          <w:kern w:val="0"/>
        </w:rPr>
      </w:pPr>
      <w:bookmarkStart w:id="990" w:name="_Toc8746"/>
      <w:r>
        <w:rPr>
          <w:rFonts w:hint="eastAsia" w:ascii="宋体" w:hAnsi="宋体" w:cs="宋体"/>
          <w:color w:val="auto"/>
          <w:kern w:val="0"/>
        </w:rPr>
        <w:t>工程试车</w:t>
      </w:r>
      <w:bookmarkEnd w:id="990"/>
    </w:p>
    <w:p>
      <w:pPr>
        <w:pStyle w:val="68"/>
        <w:numPr>
          <w:ilvl w:val="2"/>
          <w:numId w:val="14"/>
        </w:numPr>
        <w:tabs>
          <w:tab w:val="left" w:pos="122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试车程序</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工程试车内容：</w:t>
      </w:r>
      <w:r>
        <w:rPr>
          <w:rFonts w:hint="eastAsia" w:ascii="宋体" w:hAnsi="宋体" w:cs="宋体"/>
          <w:color w:val="auto"/>
          <w:sz w:val="21"/>
          <w:szCs w:val="21"/>
          <w:u w:val="single"/>
        </w:rPr>
        <w:t>执行通用条款</w:t>
      </w:r>
      <w:r>
        <w:rPr>
          <w:rFonts w:hint="eastAsia" w:ascii="宋体" w:hAnsi="宋体" w:cs="宋体"/>
          <w:color w:val="auto"/>
          <w:sz w:val="21"/>
          <w:szCs w:val="21"/>
        </w:rPr>
        <w:t>。</w:t>
      </w:r>
    </w:p>
    <w:p>
      <w:pPr>
        <w:pStyle w:val="68"/>
        <w:numPr>
          <w:ilvl w:val="0"/>
          <w:numId w:val="31"/>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单机无负荷试车费用由</w:t>
      </w:r>
      <w:r>
        <w:rPr>
          <w:rFonts w:hint="eastAsia" w:ascii="宋体" w:hAnsi="宋体" w:cs="宋体"/>
          <w:color w:val="auto"/>
          <w:kern w:val="0"/>
          <w:u w:val="single"/>
        </w:rPr>
        <w:t xml:space="preserve"> 承包人</w:t>
      </w:r>
      <w:r>
        <w:rPr>
          <w:rFonts w:hint="eastAsia" w:ascii="宋体" w:hAnsi="宋体" w:cs="宋体"/>
          <w:color w:val="auto"/>
          <w:kern w:val="0"/>
        </w:rPr>
        <w:t xml:space="preserve"> 承担；</w:t>
      </w:r>
    </w:p>
    <w:p>
      <w:pPr>
        <w:pStyle w:val="68"/>
        <w:numPr>
          <w:ilvl w:val="0"/>
          <w:numId w:val="31"/>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无负荷联动试车费用由</w:t>
      </w:r>
      <w:r>
        <w:rPr>
          <w:rFonts w:hint="eastAsia" w:ascii="宋体" w:hAnsi="宋体" w:cs="宋体"/>
          <w:color w:val="auto"/>
          <w:kern w:val="0"/>
          <w:u w:val="single"/>
        </w:rPr>
        <w:t xml:space="preserve"> 承包人</w:t>
      </w:r>
      <w:r>
        <w:rPr>
          <w:rFonts w:hint="eastAsia" w:ascii="宋体" w:hAnsi="宋体" w:cs="宋体"/>
          <w:color w:val="auto"/>
          <w:kern w:val="0"/>
        </w:rPr>
        <w:t xml:space="preserve"> 承担。</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13.3.3 投料试车</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关于投料试车相关事项的约定：</w:t>
      </w:r>
      <w:r>
        <w:rPr>
          <w:rFonts w:hint="eastAsia" w:ascii="宋体" w:hAnsi="宋体" w:cs="宋体"/>
          <w:color w:val="auto"/>
          <w:sz w:val="21"/>
          <w:szCs w:val="21"/>
          <w:u w:val="single"/>
        </w:rPr>
        <w:t>无</w:t>
      </w:r>
      <w:r>
        <w:rPr>
          <w:rFonts w:hint="eastAsia" w:ascii="宋体" w:hAnsi="宋体" w:cs="宋体"/>
          <w:color w:val="auto"/>
          <w:sz w:val="21"/>
          <w:szCs w:val="21"/>
        </w:rPr>
        <w:t>。</w:t>
      </w:r>
    </w:p>
    <w:p>
      <w:pPr>
        <w:numPr>
          <w:ilvl w:val="1"/>
          <w:numId w:val="32"/>
        </w:numPr>
        <w:tabs>
          <w:tab w:val="left" w:pos="1071"/>
        </w:tabs>
        <w:spacing w:line="440" w:lineRule="exact"/>
        <w:ind w:left="0" w:firstLine="420" w:firstLineChars="200"/>
        <w:textAlignment w:val="baseline"/>
        <w:rPr>
          <w:rFonts w:ascii="宋体" w:hAnsi="宋体" w:cs="宋体"/>
          <w:color w:val="auto"/>
          <w:kern w:val="0"/>
        </w:rPr>
      </w:pPr>
      <w:bookmarkStart w:id="991" w:name="_Toc14279"/>
      <w:r>
        <w:rPr>
          <w:rFonts w:hint="eastAsia" w:ascii="宋体" w:hAnsi="宋体" w:cs="宋体"/>
          <w:color w:val="auto"/>
          <w:kern w:val="0"/>
        </w:rPr>
        <w:t>竣工退场</w:t>
      </w:r>
      <w:bookmarkEnd w:id="991"/>
    </w:p>
    <w:p>
      <w:pPr>
        <w:pStyle w:val="68"/>
        <w:numPr>
          <w:ilvl w:val="2"/>
          <w:numId w:val="32"/>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竣工退场</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承包人完成竣工退场的期限：</w:t>
      </w:r>
      <w:r>
        <w:rPr>
          <w:rFonts w:hint="eastAsia" w:ascii="宋体" w:hAnsi="宋体" w:cs="宋体"/>
          <w:color w:val="auto"/>
          <w:sz w:val="21"/>
          <w:szCs w:val="21"/>
          <w:u w:val="single"/>
        </w:rPr>
        <w:t>竣工验收合格之日起，承包人必须按照发包人规定的退出条件与时间及时退场，并承担因此发生的一切费用。</w:t>
      </w:r>
    </w:p>
    <w:p>
      <w:pPr>
        <w:pStyle w:val="68"/>
        <w:numPr>
          <w:ilvl w:val="2"/>
          <w:numId w:val="32"/>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承包人退场约定</w:t>
      </w:r>
    </w:p>
    <w:p>
      <w:pPr>
        <w:pStyle w:val="68"/>
        <w:numPr>
          <w:ilvl w:val="0"/>
          <w:numId w:val="33"/>
        </w:numPr>
        <w:tabs>
          <w:tab w:val="left" w:pos="72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承包人出于自身考虑要求解除施工合同的，应在发包人批准后的 7 天内完全退场并将工程现场用地、工程设施、工程资料等完整移交给发包人，双方随后安排工程结算、支付等工作。</w:t>
      </w:r>
    </w:p>
    <w:p>
      <w:pPr>
        <w:pStyle w:val="68"/>
        <w:numPr>
          <w:ilvl w:val="0"/>
          <w:numId w:val="33"/>
        </w:numPr>
        <w:tabs>
          <w:tab w:val="left" w:pos="72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无论是否属于承包人的直接责任，在以下情况发生后，发包人有权单方解除施工合同， 承包人应在收到发包人的解除合同通知后 7 天内无条件退场并将工程现场用地、工程设施、工程资料等完整移交给发包人，双方随后安排工程结算、支付等工作：</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①承包人承包范围内的工程发生质量事故，被鉴定为危房或导致工程验收不合格、或导致工程停工超过 60 天；</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②工程发生安全事故，被政府责令停工超过 60 天的。</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u w:val="single"/>
        </w:rPr>
        <w:t>发生本款约定的承包人退场情形的，承包人均无权因任何理由拒绝或拖延退场及移交场地设施、工程资料。</w:t>
      </w:r>
    </w:p>
    <w:p>
      <w:pPr>
        <w:numPr>
          <w:ilvl w:val="0"/>
          <w:numId w:val="14"/>
        </w:numPr>
        <w:tabs>
          <w:tab w:val="left" w:pos="543"/>
        </w:tabs>
        <w:spacing w:line="440" w:lineRule="exact"/>
        <w:ind w:left="0" w:firstLine="420" w:firstLineChars="200"/>
        <w:jc w:val="left"/>
        <w:textAlignment w:val="baseline"/>
        <w:rPr>
          <w:rFonts w:ascii="宋体" w:hAnsi="宋体" w:cs="宋体"/>
          <w:color w:val="auto"/>
          <w:kern w:val="0"/>
        </w:rPr>
      </w:pPr>
      <w:bookmarkStart w:id="992" w:name="_Toc6052"/>
      <w:r>
        <w:rPr>
          <w:rFonts w:hint="eastAsia" w:ascii="宋体" w:hAnsi="宋体" w:cs="宋体"/>
          <w:color w:val="auto"/>
          <w:kern w:val="0"/>
          <w:u w:val="single"/>
        </w:rPr>
        <w:t>承包人退场前存在发包人拖欠工程款的情况或因管理问题和发包人发生意见冲突时，承包人在此承诺：放弃对工程的质押权而无条件退场，发包人在承包人退场后 7 日内出具工程款结算与支付方案的承诺书。</w:t>
      </w:r>
      <w:bookmarkEnd w:id="992"/>
    </w:p>
    <w:p>
      <w:pPr>
        <w:numPr>
          <w:ilvl w:val="0"/>
          <w:numId w:val="14"/>
        </w:numPr>
        <w:tabs>
          <w:tab w:val="left" w:pos="543"/>
        </w:tabs>
        <w:spacing w:line="440" w:lineRule="exact"/>
        <w:ind w:left="0" w:firstLine="420" w:firstLineChars="200"/>
        <w:jc w:val="left"/>
        <w:textAlignment w:val="baseline"/>
        <w:rPr>
          <w:rFonts w:ascii="宋体" w:hAnsi="宋体" w:cs="宋体"/>
          <w:color w:val="auto"/>
          <w:kern w:val="0"/>
        </w:rPr>
      </w:pPr>
      <w:bookmarkStart w:id="993" w:name="_Toc5404"/>
      <w:r>
        <w:rPr>
          <w:rFonts w:hint="eastAsia" w:ascii="宋体" w:hAnsi="宋体" w:cs="宋体"/>
          <w:color w:val="auto"/>
          <w:kern w:val="0"/>
        </w:rPr>
        <w:t>竣工结算</w:t>
      </w:r>
      <w:bookmarkEnd w:id="993"/>
    </w:p>
    <w:p>
      <w:pPr>
        <w:pStyle w:val="68"/>
        <w:numPr>
          <w:ilvl w:val="1"/>
          <w:numId w:val="14"/>
        </w:numPr>
        <w:tabs>
          <w:tab w:val="left" w:pos="1018"/>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竣工付款申请</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承包人提交竣工付款申请单的期限：</w:t>
      </w:r>
      <w:r>
        <w:rPr>
          <w:rFonts w:hint="eastAsia" w:ascii="宋体" w:hAnsi="宋体" w:cs="宋体"/>
          <w:color w:val="auto"/>
          <w:sz w:val="21"/>
          <w:szCs w:val="21"/>
          <w:u w:val="single"/>
        </w:rPr>
        <w:t>整体工程竣工验收通过后 30 日内提交竣工结算书。</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竣工付款申请单应包括的内容：</w:t>
      </w:r>
      <w:r>
        <w:rPr>
          <w:rFonts w:hint="eastAsia" w:ascii="宋体" w:hAnsi="宋体" w:cs="宋体"/>
          <w:color w:val="auto"/>
          <w:sz w:val="21"/>
          <w:szCs w:val="21"/>
          <w:u w:val="single"/>
        </w:rPr>
        <w:t>竣工结算合同总价、已支付的工程价款、应扣回的预付款、应扣留的质量保证金、应支付的竣工付款金额等满足邓州市相关结算规定的材料。</w:t>
      </w:r>
    </w:p>
    <w:p>
      <w:pPr>
        <w:numPr>
          <w:ilvl w:val="1"/>
          <w:numId w:val="14"/>
        </w:numPr>
        <w:tabs>
          <w:tab w:val="left" w:pos="1071"/>
        </w:tabs>
        <w:spacing w:line="440" w:lineRule="exact"/>
        <w:ind w:left="0" w:firstLine="420" w:firstLineChars="200"/>
        <w:textAlignment w:val="baseline"/>
        <w:rPr>
          <w:rFonts w:ascii="宋体" w:hAnsi="宋体" w:cs="宋体"/>
          <w:color w:val="auto"/>
          <w:kern w:val="0"/>
        </w:rPr>
      </w:pPr>
      <w:bookmarkStart w:id="994" w:name="_Toc2044"/>
      <w:r>
        <w:rPr>
          <w:rFonts w:hint="eastAsia" w:ascii="宋体" w:hAnsi="宋体" w:cs="宋体"/>
          <w:color w:val="auto"/>
          <w:kern w:val="0"/>
        </w:rPr>
        <w:t>竣工结算审核</w:t>
      </w:r>
      <w:bookmarkEnd w:id="994"/>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发包人审批竣工付款申请单的期限：</w:t>
      </w:r>
      <w:r>
        <w:rPr>
          <w:rFonts w:hint="eastAsia" w:ascii="宋体" w:hAnsi="宋体" w:cs="宋体"/>
          <w:color w:val="auto"/>
          <w:sz w:val="21"/>
          <w:szCs w:val="21"/>
          <w:u w:val="single"/>
        </w:rPr>
        <w:t>承包人提交竣工结算资料后，按程序提交造价咨询单位及评审中心进行评审。</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发包人完成竣工付款的期限：</w:t>
      </w:r>
      <w:r>
        <w:rPr>
          <w:rFonts w:hint="eastAsia" w:ascii="宋体" w:hAnsi="宋体" w:cs="宋体"/>
          <w:color w:val="auto"/>
          <w:sz w:val="21"/>
          <w:szCs w:val="21"/>
          <w:u w:val="single"/>
        </w:rPr>
        <w:t>工程竣工结算经评审中心结算等相关管理部门审计审定后付至审定价款的 97%；评审完成后支付。</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关于竣工付款证书异议部分复核的方式和程序：</w:t>
      </w:r>
      <w:r>
        <w:rPr>
          <w:rFonts w:hint="eastAsia" w:ascii="宋体" w:hAnsi="宋体" w:cs="宋体"/>
          <w:color w:val="auto"/>
          <w:sz w:val="21"/>
          <w:szCs w:val="21"/>
          <w:u w:val="single"/>
        </w:rPr>
        <w:t>双方协商</w:t>
      </w:r>
      <w:r>
        <w:rPr>
          <w:rFonts w:hint="eastAsia" w:ascii="宋体" w:hAnsi="宋体" w:cs="宋体"/>
          <w:color w:val="auto"/>
          <w:sz w:val="21"/>
          <w:szCs w:val="21"/>
        </w:rPr>
        <w:t>。</w:t>
      </w:r>
    </w:p>
    <w:p>
      <w:pPr>
        <w:numPr>
          <w:ilvl w:val="1"/>
          <w:numId w:val="34"/>
        </w:numPr>
        <w:tabs>
          <w:tab w:val="left" w:pos="1071"/>
        </w:tabs>
        <w:spacing w:line="440" w:lineRule="exact"/>
        <w:ind w:left="0" w:firstLine="420" w:firstLineChars="200"/>
        <w:textAlignment w:val="baseline"/>
        <w:rPr>
          <w:rFonts w:ascii="宋体" w:hAnsi="宋体" w:cs="宋体"/>
          <w:color w:val="auto"/>
          <w:kern w:val="0"/>
        </w:rPr>
      </w:pPr>
      <w:bookmarkStart w:id="995" w:name="_Toc26168"/>
      <w:r>
        <w:rPr>
          <w:rFonts w:hint="eastAsia" w:ascii="宋体" w:hAnsi="宋体" w:cs="宋体"/>
          <w:color w:val="auto"/>
          <w:kern w:val="0"/>
        </w:rPr>
        <w:t>最终结清</w:t>
      </w:r>
      <w:bookmarkEnd w:id="995"/>
    </w:p>
    <w:p>
      <w:pPr>
        <w:pStyle w:val="68"/>
        <w:numPr>
          <w:ilvl w:val="2"/>
          <w:numId w:val="3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最终结清申请单</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承包人提交最终结清申请单的份数：</w:t>
      </w:r>
      <w:r>
        <w:rPr>
          <w:rFonts w:hint="eastAsia" w:ascii="宋体" w:hAnsi="宋体" w:cs="宋体"/>
          <w:color w:val="auto"/>
          <w:sz w:val="21"/>
          <w:szCs w:val="21"/>
          <w:u w:val="single"/>
        </w:rPr>
        <w:t>一式六份</w:t>
      </w:r>
      <w:r>
        <w:rPr>
          <w:rFonts w:hint="eastAsia" w:ascii="宋体" w:hAnsi="宋体" w:cs="宋体"/>
          <w:color w:val="auto"/>
          <w:sz w:val="21"/>
          <w:szCs w:val="21"/>
        </w:rPr>
        <w:t>。承包人提交最终结算申请单的期限：</w:t>
      </w:r>
      <w:r>
        <w:rPr>
          <w:rFonts w:hint="eastAsia" w:ascii="宋体" w:hAnsi="宋体" w:cs="宋体"/>
          <w:color w:val="auto"/>
          <w:sz w:val="21"/>
          <w:szCs w:val="21"/>
          <w:u w:val="single"/>
        </w:rPr>
        <w:t>双方协商</w:t>
      </w:r>
      <w:r>
        <w:rPr>
          <w:rFonts w:hint="eastAsia" w:ascii="宋体" w:hAnsi="宋体" w:cs="宋体"/>
          <w:color w:val="auto"/>
          <w:sz w:val="21"/>
          <w:szCs w:val="21"/>
        </w:rPr>
        <w:t>。</w:t>
      </w:r>
    </w:p>
    <w:p>
      <w:pPr>
        <w:pStyle w:val="68"/>
        <w:numPr>
          <w:ilvl w:val="2"/>
          <w:numId w:val="34"/>
        </w:numPr>
        <w:tabs>
          <w:tab w:val="left" w:pos="122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最终结清证书和支付</w:t>
      </w:r>
    </w:p>
    <w:p>
      <w:pPr>
        <w:pStyle w:val="68"/>
        <w:numPr>
          <w:ilvl w:val="0"/>
          <w:numId w:val="35"/>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发包人完成最终结清申请单的审批并颁发最终结清证书的期限：</w:t>
      </w:r>
      <w:r>
        <w:rPr>
          <w:rFonts w:hint="eastAsia" w:ascii="宋体" w:hAnsi="宋体" w:cs="宋体"/>
          <w:color w:val="auto"/>
          <w:kern w:val="0"/>
          <w:u w:val="single"/>
        </w:rPr>
        <w:t>以最终审计为准</w:t>
      </w:r>
      <w:r>
        <w:rPr>
          <w:rFonts w:hint="eastAsia" w:ascii="宋体" w:hAnsi="宋体" w:cs="宋体"/>
          <w:color w:val="auto"/>
          <w:kern w:val="0"/>
        </w:rPr>
        <w:t>。</w:t>
      </w:r>
    </w:p>
    <w:p>
      <w:pPr>
        <w:pStyle w:val="68"/>
        <w:numPr>
          <w:ilvl w:val="0"/>
          <w:numId w:val="35"/>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发包人完成支付的期限：</w:t>
      </w:r>
      <w:r>
        <w:rPr>
          <w:rFonts w:hint="eastAsia" w:ascii="宋体" w:hAnsi="宋体" w:cs="宋体"/>
          <w:color w:val="auto"/>
          <w:kern w:val="0"/>
          <w:u w:val="single"/>
        </w:rPr>
        <w:t>以最终审计为准</w:t>
      </w:r>
      <w:r>
        <w:rPr>
          <w:rFonts w:hint="eastAsia" w:ascii="宋体" w:hAnsi="宋体" w:cs="宋体"/>
          <w:color w:val="auto"/>
          <w:kern w:val="0"/>
        </w:rPr>
        <w:t xml:space="preserve"> 。</w:t>
      </w:r>
    </w:p>
    <w:p>
      <w:pPr>
        <w:numPr>
          <w:ilvl w:val="0"/>
          <w:numId w:val="14"/>
        </w:numPr>
        <w:tabs>
          <w:tab w:val="left" w:pos="543"/>
        </w:tabs>
        <w:spacing w:line="440" w:lineRule="exact"/>
        <w:ind w:left="0" w:firstLine="420" w:firstLineChars="200"/>
        <w:jc w:val="left"/>
        <w:textAlignment w:val="baseline"/>
        <w:rPr>
          <w:rFonts w:ascii="宋体" w:hAnsi="宋体" w:cs="宋体"/>
          <w:color w:val="auto"/>
          <w:kern w:val="0"/>
        </w:rPr>
      </w:pPr>
      <w:bookmarkStart w:id="996" w:name="_Toc31965"/>
      <w:r>
        <w:rPr>
          <w:rFonts w:hint="eastAsia" w:ascii="宋体" w:hAnsi="宋体" w:cs="宋体"/>
          <w:color w:val="auto"/>
          <w:kern w:val="0"/>
        </w:rPr>
        <w:t>缺陷责任期与保修</w:t>
      </w:r>
      <w:bookmarkEnd w:id="996"/>
    </w:p>
    <w:p>
      <w:pPr>
        <w:pStyle w:val="68"/>
        <w:numPr>
          <w:ilvl w:val="1"/>
          <w:numId w:val="36"/>
        </w:numPr>
        <w:tabs>
          <w:tab w:val="left" w:pos="1018"/>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缺陷责任期</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缺陷责任期的具体期限</w:t>
      </w:r>
      <w:r>
        <w:rPr>
          <w:rFonts w:hint="eastAsia" w:ascii="宋体" w:hAnsi="宋体" w:cs="宋体"/>
          <w:color w:val="auto"/>
          <w:sz w:val="21"/>
          <w:szCs w:val="21"/>
          <w:u w:val="single"/>
        </w:rPr>
        <w:t>：自竣工验收合格后 24 个月。</w:t>
      </w:r>
    </w:p>
    <w:p>
      <w:pPr>
        <w:numPr>
          <w:ilvl w:val="1"/>
          <w:numId w:val="36"/>
        </w:numPr>
        <w:tabs>
          <w:tab w:val="left" w:pos="1071"/>
        </w:tabs>
        <w:spacing w:line="440" w:lineRule="exact"/>
        <w:ind w:left="0" w:firstLine="420" w:firstLineChars="200"/>
        <w:textAlignment w:val="baseline"/>
        <w:rPr>
          <w:rFonts w:ascii="宋体" w:hAnsi="宋体" w:cs="宋体"/>
          <w:color w:val="auto"/>
          <w:kern w:val="0"/>
        </w:rPr>
      </w:pPr>
      <w:bookmarkStart w:id="997" w:name="_Toc25359"/>
      <w:r>
        <w:rPr>
          <w:rFonts w:hint="eastAsia" w:ascii="宋体" w:hAnsi="宋体" w:cs="宋体"/>
          <w:color w:val="auto"/>
          <w:kern w:val="0"/>
        </w:rPr>
        <w:t>质量保证金</w:t>
      </w:r>
      <w:bookmarkEnd w:id="997"/>
    </w:p>
    <w:p>
      <w:pPr>
        <w:pStyle w:val="68"/>
        <w:numPr>
          <w:ilvl w:val="2"/>
          <w:numId w:val="36"/>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关于是否扣留质量保证金的约定：</w:t>
      </w:r>
      <w:r>
        <w:rPr>
          <w:rFonts w:hint="eastAsia" w:ascii="宋体" w:hAnsi="宋体" w:cs="宋体"/>
          <w:color w:val="auto"/>
          <w:kern w:val="0"/>
          <w:u w:val="single"/>
        </w:rPr>
        <w:t xml:space="preserve"> 是</w:t>
      </w:r>
      <w:r>
        <w:rPr>
          <w:rFonts w:hint="eastAsia" w:ascii="宋体" w:hAnsi="宋体" w:cs="宋体"/>
          <w:color w:val="auto"/>
          <w:kern w:val="0"/>
        </w:rPr>
        <w:t>。</w:t>
      </w:r>
    </w:p>
    <w:p>
      <w:pPr>
        <w:pStyle w:val="68"/>
        <w:numPr>
          <w:ilvl w:val="2"/>
          <w:numId w:val="36"/>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在工程项目竣工前，承包人按专用合同条款第 3.7 条提供履约担保的，发包人不得同时预留工程质量保证金。</w:t>
      </w:r>
    </w:p>
    <w:p>
      <w:pPr>
        <w:pStyle w:val="68"/>
        <w:numPr>
          <w:ilvl w:val="2"/>
          <w:numId w:val="36"/>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承包人提供质量保证金的方式质量保证金采用以下第</w:t>
      </w:r>
      <w:r>
        <w:rPr>
          <w:rFonts w:hint="eastAsia" w:ascii="宋体" w:hAnsi="宋体" w:cs="宋体"/>
          <w:color w:val="auto"/>
          <w:kern w:val="0"/>
          <w:u w:val="single"/>
        </w:rPr>
        <w:t>（2）</w:t>
      </w:r>
      <w:r>
        <w:rPr>
          <w:rFonts w:hint="eastAsia" w:ascii="宋体" w:hAnsi="宋体" w:cs="宋体"/>
          <w:color w:val="auto"/>
          <w:kern w:val="0"/>
        </w:rPr>
        <w:t>种方式：</w:t>
      </w:r>
    </w:p>
    <w:p>
      <w:pPr>
        <w:pStyle w:val="68"/>
        <w:numPr>
          <w:ilvl w:val="0"/>
          <w:numId w:val="37"/>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质量保证金保函，保证金额为：</w:t>
      </w:r>
      <w:r>
        <w:rPr>
          <w:rFonts w:hint="eastAsia" w:ascii="宋体" w:hAnsi="宋体" w:cs="宋体"/>
          <w:color w:val="auto"/>
          <w:kern w:val="0"/>
          <w:u w:val="single"/>
        </w:rPr>
        <w:t>不适用</w:t>
      </w:r>
      <w:r>
        <w:rPr>
          <w:rFonts w:hint="eastAsia" w:ascii="宋体" w:hAnsi="宋体" w:cs="宋体"/>
          <w:color w:val="auto"/>
          <w:kern w:val="0"/>
        </w:rPr>
        <w:t>；</w:t>
      </w:r>
    </w:p>
    <w:p>
      <w:pPr>
        <w:pStyle w:val="68"/>
        <w:numPr>
          <w:ilvl w:val="0"/>
          <w:numId w:val="37"/>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 xml:space="preserve"> 3</w:t>
      </w:r>
      <w:r>
        <w:rPr>
          <w:rFonts w:hint="eastAsia" w:ascii="宋体" w:hAnsi="宋体" w:cs="宋体"/>
          <w:color w:val="auto"/>
          <w:kern w:val="0"/>
        </w:rPr>
        <w:t xml:space="preserve"> %的结算价款；</w:t>
      </w:r>
    </w:p>
    <w:p>
      <w:pPr>
        <w:pStyle w:val="68"/>
        <w:numPr>
          <w:ilvl w:val="0"/>
          <w:numId w:val="37"/>
        </w:numPr>
        <w:tabs>
          <w:tab w:val="left" w:pos="1070"/>
          <w:tab w:val="left" w:pos="2223"/>
          <w:tab w:val="left" w:pos="2643"/>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其他方式</w:t>
      </w:r>
      <w:r>
        <w:rPr>
          <w:rFonts w:hint="eastAsia" w:ascii="宋体" w:hAnsi="宋体" w:cs="宋体"/>
          <w:color w:val="auto"/>
          <w:kern w:val="0"/>
          <w:u w:val="single"/>
        </w:rPr>
        <w:t xml:space="preserve"> /</w:t>
      </w:r>
      <w:r>
        <w:rPr>
          <w:rFonts w:hint="eastAsia" w:ascii="宋体" w:hAnsi="宋体" w:cs="宋体"/>
          <w:color w:val="auto"/>
          <w:kern w:val="0"/>
        </w:rPr>
        <w:t>。</w:t>
      </w:r>
    </w:p>
    <w:p>
      <w:pPr>
        <w:pStyle w:val="68"/>
        <w:numPr>
          <w:ilvl w:val="2"/>
          <w:numId w:val="36"/>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质量保证金的扣留</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质量保证金的扣留采取以下第</w:t>
      </w:r>
      <w:r>
        <w:rPr>
          <w:rFonts w:hint="eastAsia" w:ascii="宋体" w:hAnsi="宋体" w:cs="宋体"/>
          <w:color w:val="auto"/>
          <w:sz w:val="21"/>
          <w:szCs w:val="21"/>
          <w:u w:val="single"/>
        </w:rPr>
        <w:t>（2）</w:t>
      </w:r>
      <w:r>
        <w:rPr>
          <w:rFonts w:hint="eastAsia" w:ascii="宋体" w:hAnsi="宋体" w:cs="宋体"/>
          <w:color w:val="auto"/>
          <w:sz w:val="21"/>
          <w:szCs w:val="21"/>
        </w:rPr>
        <w:t>种方式：</w:t>
      </w:r>
    </w:p>
    <w:p>
      <w:pPr>
        <w:pStyle w:val="68"/>
        <w:numPr>
          <w:ilvl w:val="0"/>
          <w:numId w:val="38"/>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在支付工程进度款时逐次扣留，在此情形下，质量保证金的计算基数不包括预付款的支付、扣回以及价格调整的金额；</w:t>
      </w:r>
    </w:p>
    <w:p>
      <w:pPr>
        <w:pStyle w:val="68"/>
        <w:numPr>
          <w:ilvl w:val="0"/>
          <w:numId w:val="38"/>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工程竣工结算时一次性扣留质量保证金；</w:t>
      </w:r>
    </w:p>
    <w:p>
      <w:pPr>
        <w:pStyle w:val="68"/>
        <w:numPr>
          <w:ilvl w:val="0"/>
          <w:numId w:val="38"/>
        </w:numPr>
        <w:tabs>
          <w:tab w:val="left" w:pos="1070"/>
          <w:tab w:val="left" w:pos="2852"/>
          <w:tab w:val="left" w:pos="32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其他扣留方式：/。</w:t>
      </w:r>
    </w:p>
    <w:p>
      <w:pPr>
        <w:pStyle w:val="68"/>
        <w:numPr>
          <w:ilvl w:val="0"/>
          <w:numId w:val="38"/>
        </w:numPr>
        <w:tabs>
          <w:tab w:val="left" w:pos="1070"/>
          <w:tab w:val="left" w:pos="2852"/>
          <w:tab w:val="left" w:pos="32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关于质量保证金的补充约定：缺陷责任期满无争议一次性无息返还缺陷责任期为：24 个月</w:t>
      </w:r>
    </w:p>
    <w:p>
      <w:pPr>
        <w:numPr>
          <w:ilvl w:val="1"/>
          <w:numId w:val="36"/>
        </w:numPr>
        <w:tabs>
          <w:tab w:val="left" w:pos="1018"/>
        </w:tabs>
        <w:spacing w:line="440" w:lineRule="exact"/>
        <w:ind w:left="0" w:firstLine="420" w:firstLineChars="200"/>
        <w:textAlignment w:val="baseline"/>
        <w:rPr>
          <w:rFonts w:ascii="宋体" w:hAnsi="宋体" w:cs="宋体"/>
          <w:color w:val="auto"/>
          <w:kern w:val="0"/>
        </w:rPr>
      </w:pPr>
      <w:bookmarkStart w:id="998" w:name="_Toc14210"/>
      <w:r>
        <w:rPr>
          <w:rFonts w:hint="eastAsia" w:ascii="宋体" w:hAnsi="宋体" w:cs="宋体"/>
          <w:color w:val="auto"/>
          <w:kern w:val="0"/>
        </w:rPr>
        <w:t>保修</w:t>
      </w:r>
      <w:bookmarkEnd w:id="998"/>
    </w:p>
    <w:p>
      <w:pPr>
        <w:pStyle w:val="68"/>
        <w:numPr>
          <w:ilvl w:val="2"/>
          <w:numId w:val="36"/>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保修责任</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工程保修期为：</w:t>
      </w:r>
      <w:r>
        <w:rPr>
          <w:rFonts w:hint="eastAsia" w:ascii="宋体" w:hAnsi="宋体" w:cs="宋体"/>
          <w:color w:val="auto"/>
          <w:sz w:val="21"/>
          <w:szCs w:val="21"/>
          <w:u w:val="single"/>
        </w:rPr>
        <w:t>按照国家相关规定执行（但不得少于自工程竣工验收合格之日起 24 个月）</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15.4.3 修复通知</w:t>
      </w:r>
    </w:p>
    <w:p>
      <w:pPr>
        <w:pStyle w:val="10"/>
        <w:tabs>
          <w:tab w:val="left" w:pos="7211"/>
        </w:tabs>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承包人收到保修通知并到达工程现场的合理时间：</w:t>
      </w:r>
      <w:r>
        <w:rPr>
          <w:rFonts w:hint="eastAsia" w:ascii="宋体" w:hAnsi="宋体" w:cs="宋体"/>
          <w:color w:val="auto"/>
          <w:sz w:val="21"/>
          <w:szCs w:val="21"/>
          <w:u w:val="single"/>
        </w:rPr>
        <w:t xml:space="preserve"> 24 小时内到场解决</w:t>
      </w:r>
      <w:r>
        <w:rPr>
          <w:rFonts w:hint="eastAsia" w:ascii="宋体" w:hAnsi="宋体" w:cs="宋体"/>
          <w:color w:val="auto"/>
          <w:sz w:val="21"/>
          <w:szCs w:val="21"/>
        </w:rPr>
        <w:t>。</w:t>
      </w:r>
    </w:p>
    <w:p>
      <w:pPr>
        <w:numPr>
          <w:ilvl w:val="0"/>
          <w:numId w:val="14"/>
        </w:numPr>
        <w:tabs>
          <w:tab w:val="left" w:pos="543"/>
        </w:tabs>
        <w:spacing w:line="440" w:lineRule="exact"/>
        <w:ind w:left="0" w:firstLine="420" w:firstLineChars="200"/>
        <w:jc w:val="left"/>
        <w:textAlignment w:val="baseline"/>
        <w:rPr>
          <w:rFonts w:ascii="宋体" w:hAnsi="宋体" w:cs="宋体"/>
          <w:color w:val="auto"/>
          <w:kern w:val="0"/>
        </w:rPr>
      </w:pPr>
      <w:bookmarkStart w:id="999" w:name="_Toc21698"/>
      <w:r>
        <w:rPr>
          <w:rFonts w:hint="eastAsia" w:ascii="宋体" w:hAnsi="宋体" w:cs="宋体"/>
          <w:color w:val="auto"/>
          <w:kern w:val="0"/>
        </w:rPr>
        <w:t>违约</w:t>
      </w:r>
      <w:bookmarkEnd w:id="999"/>
    </w:p>
    <w:p>
      <w:pPr>
        <w:pStyle w:val="68"/>
        <w:numPr>
          <w:ilvl w:val="1"/>
          <w:numId w:val="14"/>
        </w:numPr>
        <w:tabs>
          <w:tab w:val="left" w:pos="1018"/>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发包人违约</w:t>
      </w:r>
    </w:p>
    <w:p>
      <w:pPr>
        <w:pStyle w:val="68"/>
        <w:numPr>
          <w:ilvl w:val="2"/>
          <w:numId w:val="14"/>
        </w:numPr>
        <w:tabs>
          <w:tab w:val="left" w:pos="128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发包人违约的情形  发包人违约的其他情形：</w:t>
      </w:r>
      <w:r>
        <w:rPr>
          <w:rFonts w:hint="eastAsia" w:ascii="宋体" w:hAnsi="宋体" w:cs="宋体"/>
          <w:b/>
          <w:color w:val="auto"/>
          <w:kern w:val="0"/>
          <w:u w:val="single"/>
        </w:rPr>
        <w:t>无</w:t>
      </w:r>
      <w:r>
        <w:rPr>
          <w:rFonts w:hint="eastAsia" w:ascii="宋体" w:hAnsi="宋体" w:cs="宋体"/>
          <w:color w:val="auto"/>
          <w:kern w:val="0"/>
        </w:rPr>
        <w:t>。</w:t>
      </w:r>
    </w:p>
    <w:p>
      <w:pPr>
        <w:numPr>
          <w:ilvl w:val="2"/>
          <w:numId w:val="14"/>
        </w:numPr>
        <w:tabs>
          <w:tab w:val="left" w:pos="1285"/>
        </w:tabs>
        <w:spacing w:line="440" w:lineRule="exact"/>
        <w:ind w:left="0" w:firstLine="420" w:firstLineChars="200"/>
        <w:textAlignment w:val="baseline"/>
        <w:rPr>
          <w:rFonts w:ascii="宋体" w:hAnsi="宋体" w:cs="宋体"/>
          <w:color w:val="auto"/>
          <w:kern w:val="0"/>
        </w:rPr>
      </w:pPr>
      <w:bookmarkStart w:id="1000" w:name="_Toc24107"/>
      <w:r>
        <w:rPr>
          <w:rFonts w:hint="eastAsia" w:ascii="宋体" w:hAnsi="宋体" w:cs="宋体"/>
          <w:color w:val="auto"/>
          <w:kern w:val="0"/>
        </w:rPr>
        <w:t>发包人违约的责任</w:t>
      </w:r>
      <w:bookmarkEnd w:id="1000"/>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发包人违约责任的承担方式和计算方法：</w:t>
      </w:r>
    </w:p>
    <w:p>
      <w:pPr>
        <w:pStyle w:val="68"/>
        <w:numPr>
          <w:ilvl w:val="0"/>
          <w:numId w:val="39"/>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因发包人原因未能在计划开工日期前 7 天内下达开工通知的违约责任：</w:t>
      </w:r>
      <w:r>
        <w:rPr>
          <w:rFonts w:hint="eastAsia" w:ascii="宋体" w:hAnsi="宋体" w:cs="宋体"/>
          <w:b/>
          <w:color w:val="auto"/>
          <w:kern w:val="0"/>
          <w:u w:val="single"/>
        </w:rPr>
        <w:t>无</w:t>
      </w:r>
      <w:r>
        <w:rPr>
          <w:rFonts w:hint="eastAsia" w:ascii="宋体" w:hAnsi="宋体" w:cs="宋体"/>
          <w:color w:val="auto"/>
          <w:kern w:val="0"/>
        </w:rPr>
        <w:t>。</w:t>
      </w:r>
    </w:p>
    <w:p>
      <w:pPr>
        <w:pStyle w:val="68"/>
        <w:numPr>
          <w:ilvl w:val="0"/>
          <w:numId w:val="39"/>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因发包人原因未能按合同约定支付合同价款的违约责任：</w:t>
      </w:r>
      <w:r>
        <w:rPr>
          <w:rFonts w:hint="eastAsia" w:ascii="宋体" w:hAnsi="宋体" w:cs="宋体"/>
          <w:color w:val="auto"/>
          <w:kern w:val="0"/>
          <w:u w:val="single"/>
        </w:rPr>
        <w:t>无</w:t>
      </w:r>
      <w:r>
        <w:rPr>
          <w:rFonts w:hint="eastAsia" w:ascii="宋体" w:hAnsi="宋体" w:cs="宋体"/>
          <w:color w:val="auto"/>
          <w:kern w:val="0"/>
        </w:rPr>
        <w:t>。</w:t>
      </w:r>
    </w:p>
    <w:p>
      <w:pPr>
        <w:pStyle w:val="68"/>
        <w:numPr>
          <w:ilvl w:val="0"/>
          <w:numId w:val="39"/>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发包人违反第 10.1 款〔变更的范围〕第（2）项约定，自行实施被取消的工作或转由他人实施的违约责任：</w:t>
      </w:r>
      <w:r>
        <w:rPr>
          <w:rFonts w:hint="eastAsia" w:ascii="宋体" w:hAnsi="宋体" w:cs="宋体"/>
          <w:color w:val="auto"/>
          <w:kern w:val="0"/>
          <w:u w:val="single"/>
        </w:rPr>
        <w:t>无</w:t>
      </w:r>
      <w:r>
        <w:rPr>
          <w:rFonts w:hint="eastAsia" w:ascii="宋体" w:hAnsi="宋体" w:cs="宋体"/>
          <w:color w:val="auto"/>
          <w:kern w:val="0"/>
        </w:rPr>
        <w:t>。</w:t>
      </w:r>
    </w:p>
    <w:p>
      <w:pPr>
        <w:pStyle w:val="68"/>
        <w:numPr>
          <w:ilvl w:val="0"/>
          <w:numId w:val="39"/>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发包人提供的材料、工程设备的规格、数量或质量不符合合同约定，或因发包人原因导致交货日期延误或交货地点变更等情况的违约责任：</w:t>
      </w:r>
      <w:r>
        <w:rPr>
          <w:rFonts w:hint="eastAsia" w:ascii="宋体" w:hAnsi="宋体" w:cs="宋体"/>
          <w:color w:val="auto"/>
          <w:kern w:val="0"/>
          <w:u w:val="single"/>
        </w:rPr>
        <w:t>无</w:t>
      </w:r>
      <w:r>
        <w:rPr>
          <w:rFonts w:hint="eastAsia" w:ascii="宋体" w:hAnsi="宋体" w:cs="宋体"/>
          <w:color w:val="auto"/>
          <w:kern w:val="0"/>
        </w:rPr>
        <w:t>。</w:t>
      </w:r>
    </w:p>
    <w:p>
      <w:pPr>
        <w:pStyle w:val="68"/>
        <w:numPr>
          <w:ilvl w:val="0"/>
          <w:numId w:val="39"/>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因发包人违反合同约定造成暂停施工的违约责任：</w:t>
      </w:r>
      <w:r>
        <w:rPr>
          <w:rFonts w:hint="eastAsia" w:ascii="宋体" w:hAnsi="宋体" w:cs="宋体"/>
          <w:color w:val="auto"/>
          <w:kern w:val="0"/>
          <w:u w:val="single"/>
        </w:rPr>
        <w:t>无</w:t>
      </w:r>
      <w:r>
        <w:rPr>
          <w:rFonts w:hint="eastAsia" w:ascii="宋体" w:hAnsi="宋体" w:cs="宋体"/>
          <w:color w:val="auto"/>
          <w:kern w:val="0"/>
        </w:rPr>
        <w:t>。</w:t>
      </w:r>
    </w:p>
    <w:p>
      <w:pPr>
        <w:pStyle w:val="68"/>
        <w:numPr>
          <w:ilvl w:val="0"/>
          <w:numId w:val="39"/>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发包人无正当理由没有在约定期限内发出复工指示，导致承包人无法复工的违约责任：</w:t>
      </w:r>
      <w:r>
        <w:rPr>
          <w:rFonts w:hint="eastAsia" w:ascii="宋体" w:hAnsi="宋体" w:cs="宋体"/>
          <w:color w:val="auto"/>
          <w:kern w:val="0"/>
          <w:u w:val="single"/>
        </w:rPr>
        <w:t>无</w:t>
      </w:r>
      <w:r>
        <w:rPr>
          <w:rFonts w:hint="eastAsia" w:ascii="宋体" w:hAnsi="宋体" w:cs="宋体"/>
          <w:color w:val="auto"/>
          <w:kern w:val="0"/>
        </w:rPr>
        <w:t>。</w:t>
      </w:r>
    </w:p>
    <w:p>
      <w:pPr>
        <w:pStyle w:val="68"/>
        <w:numPr>
          <w:ilvl w:val="0"/>
          <w:numId w:val="39"/>
        </w:numPr>
        <w:tabs>
          <w:tab w:val="left" w:pos="1070"/>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其他：</w:t>
      </w:r>
      <w:r>
        <w:rPr>
          <w:rFonts w:hint="eastAsia" w:ascii="宋体" w:hAnsi="宋体" w:cs="宋体"/>
          <w:color w:val="auto"/>
          <w:kern w:val="0"/>
          <w:u w:val="single"/>
        </w:rPr>
        <w:t>无</w:t>
      </w:r>
      <w:r>
        <w:rPr>
          <w:rFonts w:hint="eastAsia" w:ascii="宋体" w:hAnsi="宋体" w:cs="宋体"/>
          <w:color w:val="auto"/>
          <w:kern w:val="0"/>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因发包人违约解除合同</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承包人按 16.1.1 项〔发包人违约的情形〕约定暂停施工满</w:t>
      </w:r>
      <w:r>
        <w:rPr>
          <w:rFonts w:hint="eastAsia" w:ascii="宋体" w:hAnsi="宋体" w:cs="宋体"/>
          <w:color w:val="auto"/>
          <w:sz w:val="21"/>
          <w:szCs w:val="21"/>
          <w:u w:val="single"/>
        </w:rPr>
        <w:t xml:space="preserve">  /</w:t>
      </w:r>
      <w:r>
        <w:rPr>
          <w:rFonts w:hint="eastAsia" w:ascii="宋体" w:hAnsi="宋体" w:cs="宋体"/>
          <w:color w:val="auto"/>
          <w:sz w:val="21"/>
          <w:szCs w:val="21"/>
        </w:rPr>
        <w:t>天后发包人仍不纠正</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其违约行为并致使合同目的不能实现的，承包人有权解除合同。</w:t>
      </w:r>
    </w:p>
    <w:p>
      <w:pPr>
        <w:numPr>
          <w:ilvl w:val="1"/>
          <w:numId w:val="14"/>
        </w:numPr>
        <w:tabs>
          <w:tab w:val="left" w:pos="1071"/>
        </w:tabs>
        <w:spacing w:line="440" w:lineRule="exact"/>
        <w:ind w:left="0" w:firstLine="420" w:firstLineChars="200"/>
        <w:textAlignment w:val="baseline"/>
        <w:rPr>
          <w:rFonts w:ascii="宋体" w:hAnsi="宋体" w:cs="宋体"/>
          <w:color w:val="auto"/>
          <w:kern w:val="0"/>
        </w:rPr>
      </w:pPr>
      <w:bookmarkStart w:id="1001" w:name="_Toc19364"/>
      <w:r>
        <w:rPr>
          <w:rFonts w:hint="eastAsia" w:ascii="宋体" w:hAnsi="宋体" w:cs="宋体"/>
          <w:color w:val="auto"/>
          <w:kern w:val="0"/>
        </w:rPr>
        <w:t>承包人违约</w:t>
      </w:r>
      <w:bookmarkEnd w:id="1001"/>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承包人违约的情形</w:t>
      </w:r>
    </w:p>
    <w:p>
      <w:pPr>
        <w:pStyle w:val="68"/>
        <w:tabs>
          <w:tab w:val="left" w:pos="1278"/>
        </w:tabs>
        <w:spacing w:line="440" w:lineRule="exact"/>
        <w:ind w:left="420" w:leftChars="200" w:firstLine="0"/>
        <w:jc w:val="left"/>
        <w:textAlignment w:val="baseline"/>
        <w:rPr>
          <w:rFonts w:ascii="宋体" w:hAnsi="宋体" w:cs="宋体"/>
          <w:color w:val="auto"/>
          <w:kern w:val="0"/>
        </w:rPr>
      </w:pPr>
      <w:r>
        <w:rPr>
          <w:rFonts w:hint="eastAsia" w:ascii="宋体" w:hAnsi="宋体" w:cs="宋体"/>
          <w:color w:val="auto"/>
          <w:kern w:val="0"/>
        </w:rPr>
        <w:t>承包人违约的其他情形：</w:t>
      </w:r>
    </w:p>
    <w:p>
      <w:pPr>
        <w:pStyle w:val="68"/>
        <w:numPr>
          <w:ilvl w:val="0"/>
          <w:numId w:val="40"/>
        </w:numPr>
        <w:tabs>
          <w:tab w:val="left" w:pos="85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工程质量不合格的，承包人应无条件返工、整改，直至通过验收为止，且承包人应承担由此造成的工期延误责任；经两次验收，工程质量仍不符合合同约定的，承包人除按未达合格工程项目造价的 20％向发包人支付违约金之外，同时发包人有权委托第三方完成， 由此产生的费用及工期延误责任由承包人承担。</w:t>
      </w:r>
    </w:p>
    <w:p>
      <w:pPr>
        <w:pStyle w:val="68"/>
        <w:numPr>
          <w:ilvl w:val="0"/>
          <w:numId w:val="40"/>
        </w:numPr>
        <w:tabs>
          <w:tab w:val="left" w:pos="85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承包人在缺陷责任期及保修期内，未能在合理期限对工程缺陷进行修复，或拒绝按发包人要求进行修复的，发包人有权委托第三方完成，由此产生的风险及费用由承包人承</w:t>
      </w:r>
      <w:r>
        <w:rPr>
          <w:rFonts w:hint="eastAsia" w:ascii="宋体" w:hAnsi="宋体" w:cs="宋体"/>
          <w:color w:val="auto"/>
          <w:kern w:val="0"/>
        </w:rPr>
        <w:t>担。</w:t>
      </w:r>
    </w:p>
    <w:p>
      <w:pPr>
        <w:pStyle w:val="68"/>
        <w:numPr>
          <w:ilvl w:val="0"/>
          <w:numId w:val="40"/>
        </w:numPr>
        <w:tabs>
          <w:tab w:val="left" w:pos="85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承包人应安全文明施工，及时对其所属劳务人员进行安全生产培训与管理，按规定提供并设置安全防护措施，如承包人产生安全事故或因不符合安全文明施工要求被相关部门处罚的，由承包人承担一切经济与法律责任，包括但不限于事故赔偿、行政罚款以及因此给发包人造成的损失。与此同时，承包人负责按照有关部门及发包人、监理人要求无条件进行整改，如因此造成停工的，承包人负责积极协调、整改至符合开工条件，由此产生的风险及费用由承包人全部承担。</w:t>
      </w:r>
    </w:p>
    <w:p>
      <w:pPr>
        <w:pStyle w:val="68"/>
        <w:numPr>
          <w:ilvl w:val="0"/>
          <w:numId w:val="40"/>
        </w:numPr>
        <w:tabs>
          <w:tab w:val="left" w:pos="85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承包人进场一个月内，应当将劳动保险及民工工资保证金交纳完毕；承包人施工过程中不得拖欠民工工资，每次付款前承包人须提供应付工人工资名单，付款后 7 天内提供所有工人工资已结清证明，否则，发包人有权暂缓付款，且承包人允许发包人从应付承包人的工程款中扣除民工工资并代为支付，由此造成的一切经济与法律责任由承包人承担。如出现民工讨要工资或聚集项目部等对发包人有负面影响的事件或行为，承包人应按照发包人指定期限内消除影响并支付合同总造价的 10%的违约金。</w:t>
      </w:r>
    </w:p>
    <w:p>
      <w:pPr>
        <w:pStyle w:val="68"/>
        <w:numPr>
          <w:ilvl w:val="0"/>
          <w:numId w:val="40"/>
        </w:numPr>
        <w:tabs>
          <w:tab w:val="left" w:pos="85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承包人拒绝或拖延执行发包人及监理人的相关工程管理制度、合理指令、整改要求、违约处罚的，除应继续履行相关义务外，每发生一次应向发包人支付违约金 5000 元；</w:t>
      </w:r>
    </w:p>
    <w:p>
      <w:pPr>
        <w:pStyle w:val="68"/>
        <w:numPr>
          <w:ilvl w:val="0"/>
          <w:numId w:val="40"/>
        </w:numPr>
        <w:tabs>
          <w:tab w:val="left" w:pos="85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承包人应遵守河南省、邓州市及工程所在地扬尘治理的相关规定，并主动接受发包人、监理人及政府主管部门的监督检查，因承包人违反该项义务造成被政府部门处罚的，由承包人负责限期整改、支付罚款、消除负面影响，同时，承包人按相关罚单的 2 倍向发包人支付违约金。</w:t>
      </w:r>
    </w:p>
    <w:p>
      <w:pPr>
        <w:pStyle w:val="68"/>
        <w:numPr>
          <w:ilvl w:val="0"/>
          <w:numId w:val="40"/>
        </w:numPr>
        <w:tabs>
          <w:tab w:val="left" w:pos="85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承包人应按本合同约定积极办理或协助发包人办理本工程涉及的相关行政审批或文件， 无条件交付应由承包人提供的相关工程技术资料或其他文件，及时按约定履行本工程施工形成的付款义务（包括但不限于承包人物资采购、机械租赁、分包、人员工资等），如承包人因本工程或所承建的其他工程存在违法、违规或违约行为导致本工程相关业务无法办理或导致甲方遭受行政处罚、第三方索赔的，乙方应按甲方通知及要求积极解决，否则，  应每次视情况向甲方支付不低于  5000元的违约金，并承担由此给甲方造成的全部损</w:t>
      </w:r>
      <w:r>
        <w:rPr>
          <w:rFonts w:hint="eastAsia" w:ascii="宋体" w:hAnsi="宋体" w:cs="宋体"/>
          <w:color w:val="auto"/>
          <w:kern w:val="0"/>
        </w:rPr>
        <w:t>失。</w:t>
      </w:r>
    </w:p>
    <w:p>
      <w:pPr>
        <w:pStyle w:val="68"/>
        <w:numPr>
          <w:ilvl w:val="0"/>
          <w:numId w:val="40"/>
        </w:numPr>
        <w:tabs>
          <w:tab w:val="left" w:pos="859"/>
        </w:tabs>
        <w:spacing w:line="440" w:lineRule="exact"/>
        <w:ind w:left="0" w:firstLine="420" w:firstLineChars="200"/>
        <w:textAlignment w:val="baseline"/>
        <w:rPr>
          <w:rFonts w:ascii="宋体" w:hAnsi="宋体" w:cs="宋体"/>
          <w:color w:val="auto"/>
          <w:kern w:val="0"/>
          <w:u w:val="single"/>
        </w:rPr>
      </w:pPr>
      <w:r>
        <w:rPr>
          <w:rFonts w:hint="eastAsia" w:ascii="宋体" w:hAnsi="宋体" w:cs="宋体"/>
          <w:color w:val="auto"/>
          <w:kern w:val="0"/>
          <w:u w:val="single"/>
        </w:rPr>
        <w:t>承包人如违反招</w:t>
      </w:r>
      <w:r>
        <w:rPr>
          <w:rFonts w:hint="eastAsia" w:ascii="宋体" w:hAnsi="宋体" w:cs="宋体"/>
          <w:color w:val="auto"/>
          <w:kern w:val="0"/>
          <w:u w:val="single"/>
          <w:lang w:eastAsia="zh-CN"/>
        </w:rPr>
        <w:t>响应文件</w:t>
      </w:r>
      <w:r>
        <w:rPr>
          <w:rFonts w:hint="eastAsia" w:ascii="宋体" w:hAnsi="宋体" w:cs="宋体"/>
          <w:color w:val="auto"/>
          <w:kern w:val="0"/>
          <w:u w:val="single"/>
        </w:rPr>
        <w:t>所设置的其他要求或所做的承诺的情形，给发包人造成损失的，应负责赔偿。</w:t>
      </w:r>
    </w:p>
    <w:p>
      <w:pPr>
        <w:pStyle w:val="68"/>
        <w:numPr>
          <w:ilvl w:val="0"/>
          <w:numId w:val="40"/>
        </w:numPr>
        <w:tabs>
          <w:tab w:val="left" w:pos="85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承包人违反本合同约定擅自停止施工的，应向发包人每日支付违约金 2 万元，并承担由此给发包人造成的损失。</w:t>
      </w:r>
    </w:p>
    <w:p>
      <w:pPr>
        <w:pStyle w:val="68"/>
        <w:numPr>
          <w:ilvl w:val="0"/>
          <w:numId w:val="40"/>
        </w:numPr>
        <w:tabs>
          <w:tab w:val="left" w:pos="96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承包人不能按照合同约定办理竣工验收、竣工资料整理移交、竣工备案、工程移交的，除按照本合同有关章节要求承担责任外，前述事项只要发生一项行为，承包人将承担本合同工程结算价款总额千分之一的违约金。发包人因与承包人工程结算发生的任何异议， 应当通过协商或诉讼方式解决，但是无论是否发生或者争议责任如何，都不能成为承包人行使工程验收、移交工程资料、配合工程备案、工程移交的抗辩理由。上述争议被确认属于发包人过错的，发包人承担相应责任。</w:t>
      </w:r>
    </w:p>
    <w:p>
      <w:pPr>
        <w:pStyle w:val="68"/>
        <w:numPr>
          <w:ilvl w:val="0"/>
          <w:numId w:val="40"/>
        </w:numPr>
        <w:tabs>
          <w:tab w:val="left" w:pos="96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承包人必须具有从事工程施工的相应资质，不得转包工程。发生转包的，发包人有权解除该部分转包的合同，并有权要求承包人承担转包合同总造价的 20%的违约金。</w:t>
      </w:r>
    </w:p>
    <w:p>
      <w:pPr>
        <w:pStyle w:val="68"/>
        <w:numPr>
          <w:ilvl w:val="0"/>
          <w:numId w:val="40"/>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u w:val="single"/>
        </w:rPr>
        <w:t>其他承包人明确表示或者以其行为表明不履行或不适当履行合同义务的。</w:t>
      </w:r>
    </w:p>
    <w:p>
      <w:pPr>
        <w:pStyle w:val="68"/>
        <w:numPr>
          <w:ilvl w:val="2"/>
          <w:numId w:val="14"/>
        </w:numPr>
        <w:tabs>
          <w:tab w:val="left" w:pos="122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承包人违约的责任</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承包人违约责任的承担方式和计算方法：</w:t>
      </w:r>
      <w:r>
        <w:rPr>
          <w:rFonts w:hint="eastAsia" w:ascii="宋体" w:hAnsi="宋体" w:cs="宋体"/>
          <w:color w:val="auto"/>
          <w:sz w:val="21"/>
          <w:szCs w:val="21"/>
          <w:u w:val="single"/>
        </w:rPr>
        <w:t>本合同有约定的按约定执行，未约定或约定不明的，承包人应向发包人承担其违约所引起的费用增加和（或）工期延误，并赔偿由此给发包人造成的损失。承包人承担的违约金和赔偿金应在限定期限内以现金形式向发包人支付，若不按时缴纳的，发包人有权从承包人的工程款中扣付，否则，由此导致发包人为实现债权增加的费用（包括但不限于律师费、诉讼费用、人员差旅费等）均由承包人承</w:t>
      </w:r>
      <w:r>
        <w:rPr>
          <w:rFonts w:hint="eastAsia" w:ascii="宋体" w:hAnsi="宋体" w:cs="宋体"/>
          <w:color w:val="auto"/>
          <w:sz w:val="21"/>
          <w:szCs w:val="21"/>
        </w:rPr>
        <w:t>担。</w:t>
      </w:r>
    </w:p>
    <w:p>
      <w:pPr>
        <w:pStyle w:val="68"/>
        <w:numPr>
          <w:ilvl w:val="2"/>
          <w:numId w:val="14"/>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因承包人违约解除合同</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关于承包人违约解除合同的特别约定：</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有下列情况之一者，发包人有权停止拨款，并可选择解除合同：</w:t>
      </w:r>
      <w:r>
        <w:rPr>
          <w:rFonts w:hint="eastAsia" w:ascii="宋体" w:hAnsi="宋体" w:cs="宋体"/>
          <w:color w:val="auto"/>
          <w:sz w:val="21"/>
          <w:szCs w:val="21"/>
          <w:u w:val="single"/>
        </w:rPr>
        <w:t>1、因承包人原因造成重大事故，且无能力继续履约；2、承包人与第三方发生债务诉讼，致使法院或银行通过法律程序要冻结或划拨发包人应付的工程款；3、承包人所报的项目经理、副经理（如有）、各工种工长、项目工程师未能按约定上岗时；4、承包人挪用工程款，致使工程进度迟缓，大幅度延缓工期。承包人应承担相应违约金或损害赔偿金，发包人可直接从应付工程款中扣除；5、非因发包人的原因，如承包人不能按本合同约定的工期完工，超过 30 天以上时， 或者连续两次停工的，发包人并有权随时单方解除本合同；6、由于承包人原因累计两次在分项工程或主体工程质量验收不合格，发包方有权单方解除合同；7、承包人因违反本合同其他约定或者违反本合同后未按本合同要求向发包人支付违约金或者赔偿金的。</w:t>
      </w:r>
    </w:p>
    <w:p>
      <w:pPr>
        <w:numPr>
          <w:ilvl w:val="0"/>
          <w:numId w:val="14"/>
        </w:numPr>
        <w:tabs>
          <w:tab w:val="left" w:pos="543"/>
        </w:tabs>
        <w:spacing w:line="440" w:lineRule="exact"/>
        <w:ind w:left="0" w:firstLine="420" w:firstLineChars="200"/>
        <w:jc w:val="left"/>
        <w:textAlignment w:val="baseline"/>
        <w:rPr>
          <w:rFonts w:ascii="宋体" w:hAnsi="宋体" w:cs="宋体"/>
          <w:color w:val="auto"/>
          <w:kern w:val="0"/>
        </w:rPr>
      </w:pPr>
      <w:bookmarkStart w:id="1002" w:name="_Toc7822"/>
      <w:r>
        <w:rPr>
          <w:rFonts w:hint="eastAsia" w:ascii="宋体" w:hAnsi="宋体" w:cs="宋体"/>
          <w:color w:val="auto"/>
          <w:kern w:val="0"/>
        </w:rPr>
        <w:t>不可抗力</w:t>
      </w:r>
      <w:bookmarkEnd w:id="1002"/>
    </w:p>
    <w:p>
      <w:pPr>
        <w:pStyle w:val="68"/>
        <w:numPr>
          <w:ilvl w:val="1"/>
          <w:numId w:val="14"/>
        </w:numPr>
        <w:tabs>
          <w:tab w:val="left" w:pos="1071"/>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不可抗力的确认</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除通用合同条款约定的不可抗力事件之外，视为不可抗力的其他情形：</w:t>
      </w:r>
      <w:r>
        <w:rPr>
          <w:rFonts w:hint="eastAsia" w:ascii="宋体" w:hAnsi="宋体" w:cs="宋体"/>
          <w:color w:val="auto"/>
          <w:sz w:val="21"/>
          <w:szCs w:val="21"/>
          <w:u w:val="single"/>
        </w:rPr>
        <w:t>无</w:t>
      </w:r>
    </w:p>
    <w:p>
      <w:pPr>
        <w:spacing w:line="440" w:lineRule="exact"/>
        <w:ind w:firstLine="420" w:firstLineChars="200"/>
        <w:jc w:val="left"/>
        <w:textAlignment w:val="baseline"/>
        <w:rPr>
          <w:rFonts w:ascii="宋体" w:hAnsi="宋体" w:cs="宋体"/>
          <w:color w:val="auto"/>
          <w:kern w:val="0"/>
        </w:rPr>
      </w:pPr>
      <w:bookmarkStart w:id="1003" w:name="_Toc27261"/>
      <w:r>
        <w:rPr>
          <w:rFonts w:hint="eastAsia" w:ascii="宋体" w:hAnsi="宋体" w:cs="宋体"/>
          <w:color w:val="auto"/>
          <w:kern w:val="0"/>
        </w:rPr>
        <w:t>17.4 因不可抗力解除合同</w:t>
      </w:r>
      <w:bookmarkEnd w:id="1003"/>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合同解除后，发包人应在商定或确定发包人应支付款项后</w:t>
      </w:r>
      <w:r>
        <w:rPr>
          <w:rFonts w:hint="eastAsia" w:ascii="宋体" w:hAnsi="宋体" w:cs="宋体"/>
          <w:color w:val="auto"/>
          <w:sz w:val="21"/>
          <w:szCs w:val="21"/>
          <w:u w:val="single"/>
        </w:rPr>
        <w:t>/</w:t>
      </w:r>
      <w:r>
        <w:rPr>
          <w:rFonts w:hint="eastAsia" w:ascii="宋体" w:hAnsi="宋体" w:cs="宋体"/>
          <w:color w:val="auto"/>
          <w:sz w:val="21"/>
          <w:szCs w:val="21"/>
        </w:rPr>
        <w:t>天内完成款项的支付。</w:t>
      </w:r>
    </w:p>
    <w:p>
      <w:pPr>
        <w:numPr>
          <w:ilvl w:val="0"/>
          <w:numId w:val="14"/>
        </w:numPr>
        <w:tabs>
          <w:tab w:val="left" w:pos="543"/>
        </w:tabs>
        <w:spacing w:line="440" w:lineRule="exact"/>
        <w:ind w:left="0" w:firstLine="420" w:firstLineChars="200"/>
        <w:jc w:val="left"/>
        <w:textAlignment w:val="baseline"/>
        <w:rPr>
          <w:rFonts w:ascii="宋体" w:hAnsi="宋体" w:cs="宋体"/>
          <w:color w:val="auto"/>
          <w:kern w:val="0"/>
        </w:rPr>
      </w:pPr>
      <w:bookmarkStart w:id="1004" w:name="_Toc13462"/>
      <w:r>
        <w:rPr>
          <w:rFonts w:hint="eastAsia" w:ascii="宋体" w:hAnsi="宋体" w:cs="宋体"/>
          <w:color w:val="auto"/>
          <w:kern w:val="0"/>
        </w:rPr>
        <w:t>保险</w:t>
      </w:r>
      <w:bookmarkEnd w:id="1004"/>
    </w:p>
    <w:p>
      <w:pPr>
        <w:pStyle w:val="68"/>
        <w:numPr>
          <w:ilvl w:val="1"/>
          <w:numId w:val="14"/>
        </w:numPr>
        <w:tabs>
          <w:tab w:val="left" w:pos="1071"/>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工程保险</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关于工程保险的特别约定：</w:t>
      </w:r>
      <w:r>
        <w:rPr>
          <w:rFonts w:hint="eastAsia" w:ascii="宋体" w:hAnsi="宋体" w:cs="宋体"/>
          <w:color w:val="auto"/>
          <w:sz w:val="21"/>
          <w:szCs w:val="21"/>
          <w:u w:val="single"/>
        </w:rPr>
        <w:t>承包人应承担建筑工程及安装工程的一切保险，具体如下：1、承包人应以发包人和承包人的共同名义向双方同意的保险人投保保险，保险费由承包人全部承担并支付，其具体的投保内容、保险金额、保险费率、保险期限等有关内容按国家相关规定执行。 2、承包人应依照有关法律规定参加工伤保险，为其履行合同所雇佣的全部人员，缴纳工伤保险。3、承包人应在整个施工期间为其现场机构雇佣的全部人员，投保人身意外伤害险，缴纳保险费。</w:t>
      </w:r>
    </w:p>
    <w:p>
      <w:pPr>
        <w:spacing w:line="440" w:lineRule="exact"/>
        <w:ind w:firstLine="420" w:firstLineChars="200"/>
        <w:jc w:val="left"/>
        <w:textAlignment w:val="baseline"/>
        <w:rPr>
          <w:rFonts w:ascii="宋体" w:hAnsi="宋体" w:cs="宋体"/>
          <w:color w:val="auto"/>
          <w:kern w:val="0"/>
        </w:rPr>
      </w:pPr>
      <w:bookmarkStart w:id="1005" w:name="_Toc6347"/>
      <w:r>
        <w:rPr>
          <w:rFonts w:hint="eastAsia" w:ascii="宋体" w:hAnsi="宋体" w:cs="宋体"/>
          <w:color w:val="auto"/>
          <w:kern w:val="0"/>
        </w:rPr>
        <w:t>18.3 其他保险</w:t>
      </w:r>
      <w:bookmarkEnd w:id="1005"/>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关于其他保险的约定：</w:t>
      </w:r>
      <w:r>
        <w:rPr>
          <w:rFonts w:hint="eastAsia" w:ascii="宋体" w:hAnsi="宋体" w:cs="宋体"/>
          <w:color w:val="auto"/>
          <w:sz w:val="21"/>
          <w:szCs w:val="21"/>
          <w:u w:val="single"/>
        </w:rPr>
        <w:t>由承包人支付。</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承包人是否应为其施工设备等办理财产保险：</w:t>
      </w:r>
      <w:r>
        <w:rPr>
          <w:rFonts w:hint="eastAsia" w:ascii="宋体" w:hAnsi="宋体" w:cs="宋体"/>
          <w:color w:val="auto"/>
          <w:sz w:val="21"/>
          <w:szCs w:val="21"/>
          <w:u w:val="single"/>
        </w:rPr>
        <w:t>是。</w:t>
      </w:r>
    </w:p>
    <w:p>
      <w:pPr>
        <w:spacing w:line="440" w:lineRule="exact"/>
        <w:ind w:firstLine="420" w:firstLineChars="200"/>
        <w:jc w:val="left"/>
        <w:textAlignment w:val="baseline"/>
        <w:rPr>
          <w:rFonts w:ascii="宋体" w:hAnsi="宋体" w:cs="宋体"/>
          <w:color w:val="auto"/>
          <w:kern w:val="0"/>
        </w:rPr>
      </w:pPr>
      <w:bookmarkStart w:id="1006" w:name="_Toc28"/>
      <w:r>
        <w:rPr>
          <w:rFonts w:hint="eastAsia" w:ascii="宋体" w:hAnsi="宋体" w:cs="宋体"/>
          <w:color w:val="auto"/>
          <w:kern w:val="0"/>
        </w:rPr>
        <w:t>18.7 通知义务</w:t>
      </w:r>
      <w:bookmarkEnd w:id="1006"/>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关于变更保险合同时的通知义务的约定：</w:t>
      </w:r>
      <w:r>
        <w:rPr>
          <w:rFonts w:hint="eastAsia" w:ascii="宋体" w:hAnsi="宋体" w:cs="宋体"/>
          <w:color w:val="auto"/>
          <w:sz w:val="21"/>
          <w:szCs w:val="21"/>
          <w:u w:val="single"/>
        </w:rPr>
        <w:t>执行通用条款</w:t>
      </w:r>
      <w:r>
        <w:rPr>
          <w:rFonts w:hint="eastAsia" w:ascii="宋体" w:hAnsi="宋体" w:cs="宋体"/>
          <w:color w:val="auto"/>
          <w:sz w:val="21"/>
          <w:szCs w:val="21"/>
        </w:rPr>
        <w:t>。</w:t>
      </w:r>
    </w:p>
    <w:p>
      <w:pPr>
        <w:spacing w:line="440" w:lineRule="exact"/>
        <w:ind w:firstLine="420" w:firstLineChars="200"/>
        <w:jc w:val="left"/>
        <w:textAlignment w:val="baseline"/>
        <w:rPr>
          <w:rFonts w:ascii="宋体" w:hAnsi="宋体" w:cs="宋体"/>
          <w:color w:val="auto"/>
          <w:kern w:val="0"/>
        </w:rPr>
      </w:pPr>
      <w:bookmarkStart w:id="1007" w:name="_Toc15371"/>
      <w:r>
        <w:rPr>
          <w:rFonts w:hint="eastAsia" w:ascii="宋体" w:hAnsi="宋体" w:cs="宋体"/>
          <w:color w:val="auto"/>
          <w:kern w:val="0"/>
        </w:rPr>
        <w:t>20. 争议解决</w:t>
      </w:r>
      <w:bookmarkEnd w:id="1007"/>
    </w:p>
    <w:p>
      <w:pPr>
        <w:pStyle w:val="68"/>
        <w:numPr>
          <w:ilvl w:val="1"/>
          <w:numId w:val="41"/>
        </w:numPr>
        <w:tabs>
          <w:tab w:val="left" w:pos="1071"/>
        </w:tabs>
        <w:spacing w:line="440" w:lineRule="exact"/>
        <w:ind w:left="0" w:firstLine="422" w:firstLineChars="200"/>
        <w:textAlignment w:val="baseline"/>
        <w:rPr>
          <w:rFonts w:ascii="宋体" w:hAnsi="宋体" w:cs="宋体"/>
          <w:b/>
          <w:color w:val="auto"/>
          <w:kern w:val="0"/>
        </w:rPr>
      </w:pPr>
      <w:r>
        <w:rPr>
          <w:rFonts w:hint="eastAsia" w:ascii="宋体" w:hAnsi="宋体" w:cs="宋体"/>
          <w:b/>
          <w:color w:val="auto"/>
          <w:kern w:val="0"/>
        </w:rPr>
        <w:t>争议评审</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合同当事人是否同意将工程争议提交争议评审小组决定：</w:t>
      </w:r>
      <w:r>
        <w:rPr>
          <w:rFonts w:hint="eastAsia" w:ascii="宋体" w:hAnsi="宋体" w:cs="宋体"/>
          <w:color w:val="auto"/>
          <w:sz w:val="21"/>
          <w:szCs w:val="21"/>
          <w:u w:val="single"/>
        </w:rPr>
        <w:t>否</w:t>
      </w:r>
      <w:r>
        <w:rPr>
          <w:rFonts w:hint="eastAsia" w:ascii="宋体" w:hAnsi="宋体" w:cs="宋体"/>
          <w:color w:val="auto"/>
          <w:sz w:val="21"/>
          <w:szCs w:val="21"/>
        </w:rPr>
        <w:t>。</w:t>
      </w:r>
    </w:p>
    <w:p>
      <w:pPr>
        <w:pStyle w:val="68"/>
        <w:numPr>
          <w:ilvl w:val="2"/>
          <w:numId w:val="41"/>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争议评审小组的确定</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争议评审小组成员的确定：</w:t>
      </w:r>
      <w:r>
        <w:rPr>
          <w:rFonts w:hint="eastAsia" w:ascii="宋体" w:hAnsi="宋体" w:cs="宋体"/>
          <w:color w:val="auto"/>
          <w:sz w:val="21"/>
          <w:szCs w:val="21"/>
          <w:u w:val="single"/>
        </w:rPr>
        <w:t>不选择</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选定争议评审员的期限：</w:t>
      </w:r>
      <w:r>
        <w:rPr>
          <w:rFonts w:hint="eastAsia" w:ascii="宋体" w:hAnsi="宋体" w:cs="宋体"/>
          <w:color w:val="auto"/>
          <w:sz w:val="21"/>
          <w:szCs w:val="21"/>
          <w:u w:val="single"/>
        </w:rPr>
        <w:t>不选择</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争议评审小组成员的报酬承担方式：</w:t>
      </w:r>
      <w:r>
        <w:rPr>
          <w:rFonts w:hint="eastAsia" w:ascii="宋体" w:hAnsi="宋体" w:cs="宋体"/>
          <w:color w:val="auto"/>
          <w:sz w:val="21"/>
          <w:szCs w:val="21"/>
          <w:u w:val="single"/>
        </w:rPr>
        <w:t>不选择</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其他事项的约定：</w:t>
      </w:r>
      <w:r>
        <w:rPr>
          <w:rFonts w:hint="eastAsia" w:ascii="宋体" w:hAnsi="宋体" w:cs="宋体"/>
          <w:color w:val="auto"/>
          <w:sz w:val="21"/>
          <w:szCs w:val="21"/>
          <w:u w:val="single"/>
        </w:rPr>
        <w:t>不选择</w:t>
      </w:r>
      <w:r>
        <w:rPr>
          <w:rFonts w:hint="eastAsia" w:ascii="宋体" w:hAnsi="宋体" w:cs="宋体"/>
          <w:color w:val="auto"/>
          <w:sz w:val="21"/>
          <w:szCs w:val="21"/>
        </w:rPr>
        <w:t>。</w:t>
      </w:r>
    </w:p>
    <w:p>
      <w:pPr>
        <w:pStyle w:val="68"/>
        <w:numPr>
          <w:ilvl w:val="2"/>
          <w:numId w:val="41"/>
        </w:numPr>
        <w:tabs>
          <w:tab w:val="left" w:pos="12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争议评审小组的决定</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合同当事人关于本项的约定：</w:t>
      </w:r>
      <w:r>
        <w:rPr>
          <w:rFonts w:hint="eastAsia" w:ascii="宋体" w:hAnsi="宋体" w:cs="宋体"/>
          <w:color w:val="auto"/>
          <w:sz w:val="21"/>
          <w:szCs w:val="21"/>
          <w:u w:val="single"/>
        </w:rPr>
        <w:t>不选择</w:t>
      </w:r>
      <w:r>
        <w:rPr>
          <w:rFonts w:hint="eastAsia" w:ascii="宋体" w:hAnsi="宋体" w:cs="宋体"/>
          <w:color w:val="auto"/>
          <w:sz w:val="21"/>
          <w:szCs w:val="21"/>
        </w:rPr>
        <w:t>。</w:t>
      </w:r>
    </w:p>
    <w:p>
      <w:pPr>
        <w:numPr>
          <w:ilvl w:val="1"/>
          <w:numId w:val="41"/>
        </w:numPr>
        <w:tabs>
          <w:tab w:val="left" w:pos="1018"/>
        </w:tabs>
        <w:spacing w:line="440" w:lineRule="exact"/>
        <w:ind w:left="0" w:firstLine="420" w:firstLineChars="200"/>
        <w:textAlignment w:val="baseline"/>
        <w:rPr>
          <w:rFonts w:ascii="宋体" w:hAnsi="宋体" w:cs="宋体"/>
          <w:color w:val="auto"/>
          <w:kern w:val="0"/>
        </w:rPr>
      </w:pPr>
      <w:bookmarkStart w:id="1008" w:name="_Toc27019"/>
      <w:r>
        <w:rPr>
          <w:rFonts w:hint="eastAsia" w:ascii="宋体" w:hAnsi="宋体" w:cs="宋体"/>
          <w:color w:val="auto"/>
          <w:kern w:val="0"/>
        </w:rPr>
        <w:t>仲裁或诉讼</w:t>
      </w:r>
      <w:bookmarkEnd w:id="1008"/>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因合同及合同有关事项发生的争议，按下列第</w:t>
      </w:r>
      <w:r>
        <w:rPr>
          <w:rFonts w:hint="eastAsia" w:ascii="宋体" w:hAnsi="宋体" w:cs="宋体"/>
          <w:color w:val="auto"/>
          <w:sz w:val="21"/>
          <w:szCs w:val="21"/>
          <w:u w:val="single"/>
        </w:rPr>
        <w:t>（2）</w:t>
      </w:r>
      <w:r>
        <w:rPr>
          <w:rFonts w:hint="eastAsia" w:ascii="宋体" w:hAnsi="宋体" w:cs="宋体"/>
          <w:color w:val="auto"/>
          <w:sz w:val="21"/>
          <w:szCs w:val="21"/>
        </w:rPr>
        <w:t>种方式解决：</w:t>
      </w:r>
    </w:p>
    <w:p>
      <w:pPr>
        <w:pStyle w:val="68"/>
        <w:numPr>
          <w:ilvl w:val="0"/>
          <w:numId w:val="42"/>
        </w:numPr>
        <w:tabs>
          <w:tab w:val="left" w:pos="1070"/>
          <w:tab w:val="left" w:pos="180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向</w:t>
      </w:r>
      <w:r>
        <w:rPr>
          <w:rFonts w:hint="eastAsia" w:ascii="宋体" w:hAnsi="宋体" w:cs="宋体"/>
          <w:color w:val="auto"/>
          <w:kern w:val="0"/>
          <w:u w:val="single"/>
        </w:rPr>
        <w:t xml:space="preserve">  /</w:t>
      </w:r>
      <w:r>
        <w:rPr>
          <w:rFonts w:hint="eastAsia" w:cs="宋体"/>
          <w:color w:val="auto"/>
          <w:kern w:val="0"/>
          <w:u w:val="single"/>
        </w:rPr>
        <w:t xml:space="preserve">  </w:t>
      </w:r>
      <w:r>
        <w:rPr>
          <w:rFonts w:hint="eastAsia" w:ascii="宋体" w:hAnsi="宋体" w:cs="宋体"/>
          <w:color w:val="auto"/>
          <w:kern w:val="0"/>
        </w:rPr>
        <w:t>仲裁委员会申请仲裁；</w:t>
      </w:r>
    </w:p>
    <w:p>
      <w:pPr>
        <w:pStyle w:val="68"/>
        <w:numPr>
          <w:ilvl w:val="0"/>
          <w:numId w:val="42"/>
        </w:numPr>
        <w:tabs>
          <w:tab w:val="left" w:pos="1070"/>
          <w:tab w:val="left" w:pos="2643"/>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向</w:t>
      </w:r>
      <w:r>
        <w:rPr>
          <w:rFonts w:hint="eastAsia" w:ascii="宋体" w:hAnsi="宋体" w:cs="宋体"/>
          <w:color w:val="auto"/>
          <w:kern w:val="0"/>
          <w:u w:val="single"/>
        </w:rPr>
        <w:t xml:space="preserve"> 项目所在地</w:t>
      </w:r>
      <w:r>
        <w:rPr>
          <w:rFonts w:hint="eastAsia" w:ascii="宋体" w:hAnsi="宋体" w:cs="宋体"/>
          <w:color w:val="auto"/>
          <w:kern w:val="0"/>
        </w:rPr>
        <w:t>人民法院起诉。</w:t>
      </w:r>
    </w:p>
    <w:p>
      <w:pPr>
        <w:spacing w:line="440" w:lineRule="exact"/>
        <w:ind w:firstLine="420" w:firstLineChars="200"/>
        <w:jc w:val="left"/>
        <w:textAlignment w:val="baseline"/>
        <w:rPr>
          <w:rFonts w:ascii="宋体" w:hAnsi="宋体" w:cs="宋体"/>
          <w:color w:val="auto"/>
          <w:kern w:val="0"/>
        </w:rPr>
      </w:pPr>
      <w:bookmarkStart w:id="1009" w:name="_Toc22611"/>
      <w:r>
        <w:rPr>
          <w:rFonts w:hint="eastAsia" w:ascii="宋体" w:hAnsi="宋体" w:cs="宋体"/>
          <w:color w:val="auto"/>
          <w:kern w:val="0"/>
        </w:rPr>
        <w:t>21、补充条款</w:t>
      </w:r>
      <w:bookmarkEnd w:id="1009"/>
    </w:p>
    <w:p>
      <w:pPr>
        <w:pStyle w:val="68"/>
        <w:numPr>
          <w:ilvl w:val="1"/>
          <w:numId w:val="43"/>
        </w:numPr>
        <w:tabs>
          <w:tab w:val="left" w:pos="101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承包人在响应文件中拟定的施工项目经理、主要技术人员、管理人员的有关证 件，进驻现场之日起应交发包人对照审验，凡与招标文件不相符的人员，一律不准进入施工现场参与施工工作，由此造成的一切后果，均由承包人负责。</w:t>
      </w:r>
    </w:p>
    <w:p>
      <w:pPr>
        <w:pStyle w:val="68"/>
        <w:numPr>
          <w:ilvl w:val="1"/>
          <w:numId w:val="43"/>
        </w:numPr>
        <w:tabs>
          <w:tab w:val="left" w:pos="101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承包方对施工人员应加强管理，严格遵守国家和招标人的有关法律法规和制度， 施工期间发生任何事故及其费用均与发包人无关。</w:t>
      </w:r>
    </w:p>
    <w:p>
      <w:pPr>
        <w:pStyle w:val="68"/>
        <w:numPr>
          <w:ilvl w:val="1"/>
          <w:numId w:val="43"/>
        </w:numPr>
        <w:tabs>
          <w:tab w:val="left" w:pos="101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施工垃圾应按指发包方指定地点堆放，及时清理。工程竣工 3 天内，承包人要全部清除运出施工现场的一切垃圾、废料、设备等，保持场地整洁，费用由承包人自理。</w:t>
      </w:r>
    </w:p>
    <w:p>
      <w:pPr>
        <w:pStyle w:val="68"/>
        <w:numPr>
          <w:ilvl w:val="1"/>
          <w:numId w:val="43"/>
        </w:numPr>
        <w:tabs>
          <w:tab w:val="left" w:pos="101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必须服从现场监理、发包人管理，监理及发包人所下发的通知、各项规章制度、监理例会纪要等文件承包人均应严格执行。否则发包方有权对承包人进行处罚，其发生的费用从承包人的工程款中扣除，并不需要承包人同意。</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承包人应履行</w:t>
      </w:r>
      <w:r>
        <w:rPr>
          <w:rFonts w:hint="eastAsia" w:ascii="宋体" w:hAnsi="宋体" w:cs="宋体"/>
          <w:color w:val="auto"/>
          <w:sz w:val="21"/>
          <w:szCs w:val="21"/>
          <w:lang w:eastAsia="zh-CN"/>
        </w:rPr>
        <w:t>响应文件</w:t>
      </w:r>
      <w:r>
        <w:rPr>
          <w:rFonts w:hint="eastAsia" w:ascii="宋体" w:hAnsi="宋体" w:cs="宋体"/>
          <w:color w:val="auto"/>
          <w:sz w:val="21"/>
          <w:szCs w:val="21"/>
        </w:rPr>
        <w:t>中关于工程款专款专用的承诺，按发包人要求针对本项目</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 xml:space="preserve">设立专用账户，专款专用，并接受发包人监督。承包人在合同签订后七个工作日内完成农民工工资保证金缴纳，工程施工期间不得拖欠工人工资，否则，发包人为确保工程顺利施工， 有权自主将工程进度款用于偿付被拖欠的工人工资。如因承包人挪用已领取的工程款，导致拖欠农民工工资，给发包人造成不利影响的，承包人应按合同价款的 20%赔偿发包人损失， 并承担相应的责任。发生一次因拖欠工人工资等引起的纠纷，农民工聚众闹事,造成工人堵门（包括政府、建设单位、监理单位）、堵路、上访、拉条幅、媒体曝光、自残威胁等给发包人造成不利影响的，发包人视情节严重程度结合现场施工管理制度给予承包人不少于 </w:t>
      </w:r>
      <w:r>
        <w:rPr>
          <w:rFonts w:hint="eastAsia" w:ascii="宋体" w:hAnsi="宋体" w:cs="宋体"/>
          <w:color w:val="auto"/>
          <w:sz w:val="21"/>
          <w:szCs w:val="21"/>
          <w:u w:val="single"/>
        </w:rPr>
        <w:t>20</w:t>
      </w:r>
    </w:p>
    <w:p>
      <w:pPr>
        <w:pStyle w:val="68"/>
        <w:numPr>
          <w:ilvl w:val="1"/>
          <w:numId w:val="44"/>
        </w:numPr>
        <w:tabs>
          <w:tab w:val="left" w:pos="101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万元的罚款。</w:t>
      </w:r>
    </w:p>
    <w:p>
      <w:pPr>
        <w:pStyle w:val="68"/>
        <w:numPr>
          <w:ilvl w:val="1"/>
          <w:numId w:val="44"/>
        </w:numPr>
        <w:tabs>
          <w:tab w:val="left" w:pos="101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本工程竣工后严禁“三拖”（拖竣工验收、拖竣工资料、拖工程移交）。否则发包人有权依据监理人出具的鉴定结论书，自行组织有关部门验收，并提出修改意见。承包人必须严格按要求整改，由此发生的整改费用从发包人应付的工程款中扣除，不足部分发包人有权向承包人追偿。当验收通过后具备交付使用条件时，承包人不得以任何借口拒绝移交工程， 否则，发包人有权强行使用，由此发生的一切后果，由承包人负责。</w:t>
      </w:r>
    </w:p>
    <w:p>
      <w:pPr>
        <w:pStyle w:val="68"/>
        <w:numPr>
          <w:ilvl w:val="1"/>
          <w:numId w:val="44"/>
        </w:numPr>
        <w:tabs>
          <w:tab w:val="left" w:pos="1014"/>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承包人应保证在农忙季节做到连续施工,否则停工一天须支付违约金壹万元整，造成本时间段计划工期延误每延误一天支付违约金伍万元，因此造成总工期延误与本合同专用条款 7.5.2 并用执行。</w:t>
      </w:r>
    </w:p>
    <w:p>
      <w:pPr>
        <w:pStyle w:val="68"/>
        <w:numPr>
          <w:ilvl w:val="1"/>
          <w:numId w:val="44"/>
        </w:numPr>
        <w:tabs>
          <w:tab w:val="left" w:pos="1066"/>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承包人应积极配合发包人办理本工程的施工许可证、竣工备案等相关手续。除政府明文规定由发包人承担的费用外,手续办理过程中发生的其他费用由承包人承担。因配合不力给发包人造成的损失由承包人承担。</w:t>
      </w:r>
    </w:p>
    <w:p>
      <w:pPr>
        <w:pStyle w:val="68"/>
        <w:numPr>
          <w:ilvl w:val="1"/>
          <w:numId w:val="44"/>
        </w:numPr>
        <w:tabs>
          <w:tab w:val="left" w:pos="1066"/>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承包人承诺在因征地拆迁、办理相关手续等原因造成的工期顺延的情况下，不增加相关费用。</w:t>
      </w:r>
    </w:p>
    <w:p>
      <w:pPr>
        <w:pStyle w:val="68"/>
        <w:numPr>
          <w:ilvl w:val="1"/>
          <w:numId w:val="44"/>
        </w:numPr>
        <w:tabs>
          <w:tab w:val="left" w:pos="1078"/>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施工中水电费由承包人承担，计量标准按水电收费部门的实际收费（包括损耗及公摊）。发包人提供电驳接点，施工和生活用水由承包人负责解决，费用自理，费用已包含在本合同价中。</w:t>
      </w:r>
    </w:p>
    <w:p>
      <w:pPr>
        <w:pStyle w:val="68"/>
        <w:numPr>
          <w:ilvl w:val="1"/>
          <w:numId w:val="44"/>
        </w:numPr>
        <w:tabs>
          <w:tab w:val="left" w:pos="1066"/>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各项为通过验收、备案发生的所有检测费用中，分包工程发生的检测费用由分包单位承担，其他检测费用（无论该费用规定由发包人还是承包人支付，包括发包人供应的材料，土壤氡检测）</w:t>
      </w:r>
      <w:r>
        <w:rPr>
          <w:rFonts w:hint="eastAsia" w:ascii="宋体" w:hAnsi="宋体" w:cs="宋体"/>
          <w:color w:val="auto"/>
          <w:kern w:val="0"/>
          <w:lang w:eastAsia="zh-CN"/>
        </w:rPr>
        <w:t>供应商</w:t>
      </w:r>
      <w:r>
        <w:rPr>
          <w:rFonts w:hint="eastAsia" w:ascii="宋体" w:hAnsi="宋体" w:cs="宋体"/>
          <w:color w:val="auto"/>
          <w:kern w:val="0"/>
        </w:rPr>
        <w:t>均应在投标报价中充分考虑，不再另行计取，但检测单位须由发包人认可。</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21.9.承包人在签订本合同前已清楚并考虑工地周围环境及周边村民关系影响、交通道路、现场地质资料、周围地下管网、现场条件、承包范围、施工图纸，并已考虑施工技术措施、安全维护、文明工地施工措施等因素已包含在合同价款中，不再额外提出增加费用要求。21.10.承包人自行办理政府规定相关施工场地的交通、环卫和环保等手续，自行解决发</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生民扰、行政执法部门处罚事件，并承担相应的费用。如因承包人没有处理好上述事件给发包人带来的损失和影响，发包人有权视情况对承包人进行索赔。</w:t>
      </w:r>
    </w:p>
    <w:p>
      <w:pPr>
        <w:pStyle w:val="68"/>
        <w:numPr>
          <w:ilvl w:val="1"/>
          <w:numId w:val="45"/>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承包人负责雨雪天气场区及场区周边市政道路清洁、扫雪、排水（包括清扫场地工具及排水用设备），并承担相关费用，否则造成任何市政罚款的均由承包人承担。</w:t>
      </w:r>
    </w:p>
    <w:p>
      <w:pPr>
        <w:pStyle w:val="68"/>
        <w:numPr>
          <w:ilvl w:val="1"/>
          <w:numId w:val="45"/>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因施工形成的施工和生活垃圾承包人应设置专门放置处，并定期清理外运，此部分费用由承包人承担。</w:t>
      </w:r>
    </w:p>
    <w:p>
      <w:pPr>
        <w:pStyle w:val="68"/>
        <w:numPr>
          <w:ilvl w:val="1"/>
          <w:numId w:val="45"/>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施工现场不得布置职工生活区，施工现场只允许在合适的位置搭建彩板房办公区， 施工区不准住人（夜间值班、仓储保卫人员除外）。材料加工区、职工生活及办公区的租地、 搭建临时设施及生活区的配套由承包人承担，费用自理。</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21.14 施工作业和生活区现场安全文明不低于《邓州市建设工程施工安全生产标准化管理实施指南》的要求，创建邓州市安全文明施工标准化工地。</w:t>
      </w:r>
    </w:p>
    <w:p>
      <w:pPr>
        <w:pStyle w:val="68"/>
        <w:numPr>
          <w:ilvl w:val="1"/>
          <w:numId w:val="46"/>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如果承包人的工程进度被同一现场范围内施工工程的其他方延误，则发包人不接受对任何损失或费用的索赔和工期延误要求。</w:t>
      </w:r>
    </w:p>
    <w:p>
      <w:pPr>
        <w:pStyle w:val="68"/>
        <w:numPr>
          <w:ilvl w:val="1"/>
          <w:numId w:val="46"/>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发包人因工程资金不到位，承包人承诺在六个月内正常施工。施工期间承包人未经发包人同意擅自停工、撤场，每日赔偿发包人贰万元损失，并在当月工程款中扣除。</w:t>
      </w:r>
    </w:p>
    <w:p>
      <w:pPr>
        <w:pStyle w:val="68"/>
        <w:numPr>
          <w:ilvl w:val="1"/>
          <w:numId w:val="46"/>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办理夜间施工手续的费用由承包人承担。</w:t>
      </w:r>
    </w:p>
    <w:p>
      <w:pPr>
        <w:pStyle w:val="68"/>
        <w:numPr>
          <w:ilvl w:val="1"/>
          <w:numId w:val="46"/>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电、水、热力、天然气等相关市政配套以及发包人发包的其他项目配合工作内容承包人应充分考虑，费用包括在投标报价内，不再单独计取，并应积极配合。</w:t>
      </w:r>
    </w:p>
    <w:p>
      <w:pPr>
        <w:pStyle w:val="68"/>
        <w:numPr>
          <w:ilvl w:val="1"/>
          <w:numId w:val="46"/>
        </w:numPr>
        <w:tabs>
          <w:tab w:val="left" w:pos="1287"/>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材料二次搬运费、夜间施工增加费、冬雨季施工增加费、赶工措施费等承包方均已在合同价款中计取，实际发生时均不再分行计取。</w:t>
      </w:r>
    </w:p>
    <w:p>
      <w:pPr>
        <w:pStyle w:val="68"/>
        <w:numPr>
          <w:ilvl w:val="1"/>
          <w:numId w:val="46"/>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专项施工方案评审费、论证费用由承包人承担。</w:t>
      </w:r>
    </w:p>
    <w:p>
      <w:pPr>
        <w:pStyle w:val="68"/>
        <w:numPr>
          <w:ilvl w:val="1"/>
          <w:numId w:val="46"/>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项目实施过程中材料、设备、新工艺等内容需要考察，费用由承包人承担。</w:t>
      </w:r>
    </w:p>
    <w:p>
      <w:pPr>
        <w:pStyle w:val="68"/>
        <w:numPr>
          <w:ilvl w:val="1"/>
          <w:numId w:val="46"/>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施工总平面布置图必须经监理、发包人批准后合理布置。</w:t>
      </w:r>
    </w:p>
    <w:p>
      <w:pPr>
        <w:pStyle w:val="68"/>
        <w:numPr>
          <w:ilvl w:val="1"/>
          <w:numId w:val="46"/>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承包人在开工前应向监理和发包人提供有关人员上岗证、有关设备合格证年审证等证件。</w:t>
      </w:r>
    </w:p>
    <w:p>
      <w:pPr>
        <w:pStyle w:val="68"/>
        <w:numPr>
          <w:ilvl w:val="1"/>
          <w:numId w:val="46"/>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如果投标工程量清单中综合单价有明显错误，发包人与承包人共同确定清单中不合理报价。</w:t>
      </w:r>
    </w:p>
    <w:p>
      <w:pPr>
        <w:pStyle w:val="68"/>
        <w:numPr>
          <w:ilvl w:val="1"/>
          <w:numId w:val="47"/>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承包人应充分考虑施工范围内的土方平衡，并自行解决土方堆放场地，租地费用已包含在相应的投标报价中，不再单独计取。</w:t>
      </w:r>
    </w:p>
    <w:p>
      <w:pPr>
        <w:pStyle w:val="68"/>
        <w:numPr>
          <w:ilvl w:val="1"/>
          <w:numId w:val="47"/>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工程中所发生建筑垃圾由承包人按合同工程量清单约定内容清理及外运。</w:t>
      </w:r>
    </w:p>
    <w:p>
      <w:pPr>
        <w:pStyle w:val="68"/>
        <w:numPr>
          <w:ilvl w:val="1"/>
          <w:numId w:val="47"/>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应按时足额发放民工工资，保证工程顺利施工，如出现民工堵门、上访等影响工程施工及工程形象的情形，发包人每次可给予三万元以上处罚并从工程款中提留该笔费用用于发放农民工工资且无需经承包人确认及同意。影响工程质量及工期的，承包人应按有关条款承担违约责任（按合同违约条款执行）。</w:t>
      </w:r>
    </w:p>
    <w:p>
      <w:pPr>
        <w:pStyle w:val="68"/>
        <w:numPr>
          <w:ilvl w:val="1"/>
          <w:numId w:val="47"/>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工程施工中不得损坏发包方公共设施和物品，否则，承包方须承担修复、赔偿责任。</w:t>
      </w:r>
    </w:p>
    <w:p>
      <w:pPr>
        <w:pStyle w:val="68"/>
        <w:numPr>
          <w:ilvl w:val="1"/>
          <w:numId w:val="47"/>
        </w:numPr>
        <w:tabs>
          <w:tab w:val="left" w:pos="1175"/>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工程施工中承包人要制定相应的安全措施，对职工进行安全教育，因违反安全操作规程等原因造成罚款、人身伤亡和伤害他人事故，均由承包人承担一切责任。</w:t>
      </w:r>
    </w:p>
    <w:p>
      <w:pPr>
        <w:pStyle w:val="68"/>
        <w:numPr>
          <w:ilvl w:val="1"/>
          <w:numId w:val="48"/>
        </w:numPr>
        <w:tabs>
          <w:tab w:val="left" w:pos="1119"/>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承包人应遵守发包人制定的相关管理规定（制度）、通知。</w:t>
      </w:r>
    </w:p>
    <w:p>
      <w:pPr>
        <w:pStyle w:val="68"/>
        <w:numPr>
          <w:ilvl w:val="1"/>
          <w:numId w:val="48"/>
        </w:numPr>
        <w:tabs>
          <w:tab w:val="left" w:pos="1172"/>
        </w:tabs>
        <w:spacing w:line="440" w:lineRule="exact"/>
        <w:ind w:left="0" w:firstLine="420" w:firstLineChars="200"/>
        <w:textAlignment w:val="baseline"/>
        <w:rPr>
          <w:rFonts w:ascii="宋体" w:hAnsi="宋体" w:cs="宋体"/>
          <w:color w:val="auto"/>
          <w:kern w:val="0"/>
        </w:rPr>
      </w:pPr>
      <w:r>
        <w:rPr>
          <w:rFonts w:hint="eastAsia" w:ascii="宋体" w:hAnsi="宋体" w:cs="宋体"/>
          <w:color w:val="auto"/>
          <w:kern w:val="0"/>
        </w:rPr>
        <w:t>招、</w:t>
      </w:r>
      <w:r>
        <w:rPr>
          <w:rFonts w:hint="eastAsia" w:ascii="宋体" w:hAnsi="宋体" w:cs="宋体"/>
          <w:color w:val="auto"/>
          <w:kern w:val="0"/>
          <w:lang w:eastAsia="zh-CN"/>
        </w:rPr>
        <w:t>响应文件</w:t>
      </w:r>
      <w:r>
        <w:rPr>
          <w:rFonts w:hint="eastAsia" w:ascii="宋体" w:hAnsi="宋体" w:cs="宋体"/>
          <w:color w:val="auto"/>
          <w:kern w:val="0"/>
        </w:rPr>
        <w:t>做为本合同的一部分，合同中未明确的以招、</w:t>
      </w:r>
      <w:r>
        <w:rPr>
          <w:rFonts w:hint="eastAsia" w:ascii="宋体" w:hAnsi="宋体" w:cs="宋体"/>
          <w:color w:val="auto"/>
          <w:kern w:val="0"/>
          <w:lang w:eastAsia="zh-CN"/>
        </w:rPr>
        <w:t>响应文件</w:t>
      </w:r>
      <w:r>
        <w:rPr>
          <w:rFonts w:hint="eastAsia" w:ascii="宋体" w:hAnsi="宋体" w:cs="宋体"/>
          <w:color w:val="auto"/>
          <w:kern w:val="0"/>
        </w:rPr>
        <w:t>为准。本合同未尽事宜，双方另行签订补充协议，补充协议是本合同的组成部分。</w:t>
      </w:r>
    </w:p>
    <w:p>
      <w:pPr>
        <w:spacing w:line="440" w:lineRule="exact"/>
        <w:ind w:firstLine="420" w:firstLineChars="200"/>
        <w:jc w:val="left"/>
        <w:textAlignment w:val="baseline"/>
        <w:rPr>
          <w:rFonts w:ascii="宋体" w:hAnsi="宋体" w:cs="宋体"/>
          <w:color w:val="auto"/>
          <w:kern w:val="0"/>
        </w:rPr>
      </w:pPr>
      <w:bookmarkStart w:id="1010" w:name="_Toc5264"/>
      <w:r>
        <w:rPr>
          <w:rFonts w:hint="eastAsia" w:ascii="宋体" w:hAnsi="宋体" w:cs="宋体"/>
          <w:color w:val="auto"/>
          <w:kern w:val="0"/>
        </w:rPr>
        <w:t>22. 联系和送达</w:t>
      </w:r>
      <w:bookmarkEnd w:id="1010"/>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1、发包方对本合同签订及履行事宜的联系方式如下：</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联系人</w:t>
      </w:r>
      <w:r>
        <w:rPr>
          <w:rFonts w:hint="eastAsia" w:ascii="宋体" w:hAnsi="宋体" w:cs="宋体"/>
          <w:color w:val="auto"/>
          <w:sz w:val="21"/>
          <w:szCs w:val="21"/>
          <w:u w:val="single"/>
        </w:rPr>
        <w:t>：</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电话</w:t>
      </w:r>
      <w:r>
        <w:rPr>
          <w:rFonts w:hint="eastAsia" w:ascii="宋体" w:hAnsi="宋体" w:cs="宋体"/>
          <w:color w:val="auto"/>
          <w:sz w:val="21"/>
          <w:szCs w:val="21"/>
          <w:u w:val="single"/>
        </w:rPr>
        <w:t>：</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电子邮箱</w:t>
      </w:r>
      <w:r>
        <w:rPr>
          <w:rFonts w:hint="eastAsia" w:ascii="宋体" w:hAnsi="宋体" w:cs="宋体"/>
          <w:color w:val="auto"/>
          <w:sz w:val="21"/>
          <w:szCs w:val="21"/>
          <w:u w:val="single"/>
        </w:rPr>
        <w:t>：</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地址</w:t>
      </w:r>
      <w:r>
        <w:rPr>
          <w:rFonts w:hint="eastAsia" w:ascii="宋体" w:hAnsi="宋体" w:cs="宋体"/>
          <w:color w:val="auto"/>
          <w:sz w:val="21"/>
          <w:szCs w:val="21"/>
          <w:u w:val="single"/>
        </w:rPr>
        <w:t>：</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承包方对本合同签订及履行事宜的联系方式如下：</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联系人</w:t>
      </w:r>
      <w:r>
        <w:rPr>
          <w:rFonts w:hint="eastAsia" w:ascii="宋体" w:hAnsi="宋体" w:cs="宋体"/>
          <w:color w:val="auto"/>
          <w:sz w:val="21"/>
          <w:szCs w:val="21"/>
          <w:u w:val="single"/>
        </w:rPr>
        <w:t>：</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电话</w:t>
      </w:r>
      <w:r>
        <w:rPr>
          <w:rFonts w:hint="eastAsia" w:ascii="宋体" w:hAnsi="宋体" w:cs="宋体"/>
          <w:color w:val="auto"/>
          <w:sz w:val="21"/>
          <w:szCs w:val="21"/>
          <w:u w:val="single"/>
        </w:rPr>
        <w:t>：</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电子邮箱</w:t>
      </w:r>
      <w:r>
        <w:rPr>
          <w:rFonts w:hint="eastAsia" w:ascii="宋体" w:hAnsi="宋体" w:cs="宋体"/>
          <w:color w:val="auto"/>
          <w:sz w:val="21"/>
          <w:szCs w:val="21"/>
          <w:u w:val="single"/>
        </w:rPr>
        <w:t>：</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地址</w:t>
      </w:r>
      <w:r>
        <w:rPr>
          <w:rFonts w:hint="eastAsia" w:ascii="宋体" w:hAnsi="宋体" w:cs="宋体"/>
          <w:color w:val="auto"/>
          <w:sz w:val="21"/>
          <w:szCs w:val="21"/>
          <w:u w:val="single"/>
        </w:rPr>
        <w:t>：</w:t>
      </w:r>
      <w:r>
        <w:rPr>
          <w:rFonts w:hint="eastAsia" w:cs="宋体"/>
          <w:color w:val="auto"/>
          <w:sz w:val="21"/>
          <w:szCs w:val="21"/>
          <w:u w:val="single"/>
        </w:rPr>
        <w:t xml:space="preserve">                               </w:t>
      </w:r>
      <w:r>
        <w:rPr>
          <w:rFonts w:hint="eastAsia" w:ascii="宋体" w:hAnsi="宋体" w:cs="宋体"/>
          <w:color w:val="auto"/>
          <w:sz w:val="21"/>
          <w:szCs w:val="21"/>
        </w:rPr>
        <w:t>。</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2、如须变更以上联系内容，应当及时通知到对方，否则，相关责任由私自变更方承担；</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3、各方的联系和送达相关文书，双方均有权利选择电子邮箱、邮递（包括特快专递、挂号邮寄）方式将文书按照上述约定送达于对方。采用电子邮箱方式联系或送达的，以电子邮件发出之日为送达日；采用邮递方式送达的，以对方指定联系人或其工作人员签收日为送达日，对方拒收或因对方联系方式变更等原因导致未签收的，以邮件上载明的退回日为送达日。</w:t>
      </w:r>
    </w:p>
    <w:p>
      <w:pPr>
        <w:pStyle w:val="10"/>
        <w:spacing w:line="440" w:lineRule="exact"/>
        <w:ind w:firstLine="420" w:firstLineChars="200"/>
        <w:jc w:val="left"/>
        <w:textAlignment w:val="baseline"/>
        <w:rPr>
          <w:rFonts w:ascii="宋体" w:hAnsi="宋体" w:cs="宋体"/>
          <w:color w:val="auto"/>
          <w:sz w:val="21"/>
          <w:szCs w:val="21"/>
        </w:rPr>
      </w:pPr>
      <w:r>
        <w:rPr>
          <w:rFonts w:hint="eastAsia" w:ascii="宋体" w:hAnsi="宋体" w:cs="宋体"/>
          <w:color w:val="auto"/>
          <w:sz w:val="21"/>
          <w:szCs w:val="21"/>
        </w:rPr>
        <w:t>4、如在本合同履行过程中发生纠纷，由第三方（包括但不限于法院）处理双方纠纷， 双方均认可第三方按照本条规定的联系内容（电话、地址、联系人）向双方送达法律文书， 因联系内容变动导致无法送达的或拒收的，第三方无需公告送达，因此所产生的法律后果和其他责任由私自变更方或拒收方承担。</w:t>
      </w:r>
    </w:p>
    <w:p>
      <w:pPr>
        <w:ind w:firstLine="420" w:firstLineChars="200"/>
        <w:jc w:val="left"/>
        <w:rPr>
          <w:rFonts w:ascii="宋体" w:hAnsi="宋体"/>
          <w:color w:val="auto"/>
          <w:sz w:val="30"/>
          <w:szCs w:val="30"/>
        </w:rPr>
      </w:pPr>
      <w:r>
        <w:rPr>
          <w:rFonts w:hint="eastAsia" w:ascii="宋体" w:hAnsi="宋体" w:cs="宋体"/>
          <w:color w:val="auto"/>
          <w:kern w:val="0"/>
        </w:rPr>
        <w:t>以下无正文！</w:t>
      </w:r>
    </w:p>
    <w:p>
      <w:pPr>
        <w:jc w:val="center"/>
        <w:outlineLvl w:val="0"/>
        <w:rPr>
          <w:rFonts w:ascii="宋体" w:hAnsi="宋体"/>
          <w:color w:val="auto"/>
          <w:sz w:val="28"/>
          <w:szCs w:val="28"/>
        </w:rPr>
      </w:pPr>
      <w:r>
        <w:rPr>
          <w:rFonts w:hint="eastAsia" w:ascii="宋体" w:hAnsi="宋体"/>
          <w:color w:val="auto"/>
        </w:rPr>
        <w:br w:type="page"/>
      </w:r>
      <w:bookmarkStart w:id="1011" w:name="_Toc29364"/>
      <w:bookmarkEnd w:id="1011"/>
      <w:bookmarkStart w:id="1012" w:name="_Toc7718"/>
      <w:bookmarkEnd w:id="1012"/>
      <w:bookmarkStart w:id="1013" w:name="_Toc18631"/>
      <w:bookmarkStart w:id="1014" w:name="_Toc13954"/>
      <w:bookmarkStart w:id="1015" w:name="_Toc129073521"/>
      <w:bookmarkStart w:id="1016" w:name="_Toc5346"/>
      <w:bookmarkStart w:id="1017" w:name="_Toc29394"/>
      <w:bookmarkStart w:id="1018" w:name="_Toc24992"/>
      <w:bookmarkStart w:id="1019" w:name="_Toc16363"/>
      <w:r>
        <w:rPr>
          <w:rFonts w:hint="eastAsia" w:ascii="宋体" w:hAnsi="宋体"/>
          <w:b/>
          <w:bCs/>
          <w:color w:val="auto"/>
          <w:sz w:val="30"/>
          <w:szCs w:val="30"/>
        </w:rPr>
        <w:t xml:space="preserve">第五章  </w:t>
      </w:r>
      <w:bookmarkEnd w:id="1013"/>
      <w:r>
        <w:rPr>
          <w:rFonts w:hint="eastAsia" w:ascii="宋体" w:hAnsi="宋体"/>
          <w:b/>
          <w:bCs/>
          <w:color w:val="auto"/>
          <w:sz w:val="30"/>
          <w:szCs w:val="30"/>
        </w:rPr>
        <w:t>工程量清单</w:t>
      </w:r>
      <w:bookmarkEnd w:id="1014"/>
      <w:bookmarkEnd w:id="1015"/>
      <w:bookmarkEnd w:id="1016"/>
      <w:bookmarkEnd w:id="1017"/>
      <w:bookmarkEnd w:id="1018"/>
      <w:bookmarkEnd w:id="1019"/>
    </w:p>
    <w:p>
      <w:pPr>
        <w:spacing w:line="360" w:lineRule="auto"/>
        <w:rPr>
          <w:rFonts w:ascii="宋体" w:hAnsi="宋体"/>
          <w:b/>
          <w:color w:val="auto"/>
        </w:rPr>
      </w:pPr>
      <w:bookmarkStart w:id="1020" w:name="_Toc283382019"/>
      <w:bookmarkEnd w:id="1020"/>
      <w:bookmarkStart w:id="1021" w:name="_Toc291147098"/>
      <w:r>
        <w:rPr>
          <w:rFonts w:hint="eastAsia" w:ascii="宋体" w:hAnsi="宋体"/>
          <w:b/>
          <w:color w:val="auto"/>
          <w:lang w:eastAsia="zh-CN"/>
        </w:rPr>
        <w:t>一、</w:t>
      </w:r>
      <w:r>
        <w:rPr>
          <w:rFonts w:hint="eastAsia" w:ascii="宋体" w:hAnsi="宋体"/>
          <w:b/>
          <w:color w:val="auto"/>
        </w:rPr>
        <w:t>工程量清单说明：</w:t>
      </w:r>
      <w:bookmarkEnd w:id="1021"/>
    </w:p>
    <w:p>
      <w:pPr>
        <w:spacing w:line="360" w:lineRule="auto"/>
        <w:ind w:firstLine="420" w:firstLineChars="200"/>
        <w:rPr>
          <w:rFonts w:ascii="宋体" w:hAnsi="宋体"/>
          <w:color w:val="auto"/>
        </w:rPr>
      </w:pPr>
      <w:r>
        <w:rPr>
          <w:rFonts w:hint="eastAsia" w:ascii="宋体" w:hAnsi="宋体"/>
          <w:color w:val="auto"/>
        </w:rPr>
        <w:t>1.1工程量清单应与招标文件和图纸及图集一起参照阅读；</w:t>
      </w:r>
    </w:p>
    <w:p>
      <w:pPr>
        <w:spacing w:line="360" w:lineRule="auto"/>
        <w:ind w:firstLine="420" w:firstLineChars="200"/>
        <w:rPr>
          <w:rFonts w:ascii="宋体" w:hAnsi="宋体"/>
          <w:color w:val="auto"/>
        </w:rPr>
      </w:pPr>
      <w:r>
        <w:rPr>
          <w:rFonts w:hint="eastAsia" w:ascii="宋体" w:hAnsi="宋体"/>
          <w:color w:val="auto"/>
        </w:rPr>
        <w:t>1.2工程量清单中的工程量除给出的数量外，未给出的部分已包含在已给出的工程量清单中；</w:t>
      </w:r>
    </w:p>
    <w:p>
      <w:pPr>
        <w:spacing w:line="360" w:lineRule="auto"/>
        <w:ind w:firstLine="420" w:firstLineChars="200"/>
        <w:rPr>
          <w:rFonts w:ascii="宋体" w:hAnsi="宋体"/>
          <w:color w:val="auto"/>
        </w:rPr>
      </w:pPr>
      <w:r>
        <w:rPr>
          <w:rFonts w:hint="eastAsia" w:ascii="宋体" w:hAnsi="宋体"/>
          <w:color w:val="auto"/>
        </w:rPr>
        <w:t>1.3除合同另有规定外，工程量清单中的综合单价和合价包括由承包人承担的直接费、间接费、其它费用、税金等全部费用和要求获得的利润以及应由承包人承担的义务、责任和风险所发生的一切费用。</w:t>
      </w:r>
    </w:p>
    <w:p>
      <w:pPr>
        <w:spacing w:line="360" w:lineRule="auto"/>
        <w:ind w:firstLine="420" w:firstLineChars="200"/>
        <w:rPr>
          <w:rFonts w:ascii="宋体" w:hAnsi="宋体"/>
          <w:color w:val="auto"/>
        </w:rPr>
      </w:pPr>
      <w:r>
        <w:rPr>
          <w:rFonts w:hint="eastAsia" w:ascii="宋体" w:hAnsi="宋体"/>
          <w:color w:val="auto"/>
        </w:rPr>
        <w:t>1.4符合合同规定的全部费用和利润都应包括在工程量清单所列的项目中，合同规定应由承包人承担而在工程量清单中未详细列出的项目，其费用和利润应认为已包括在其它有关项目的综合单价和合价中。</w:t>
      </w:r>
    </w:p>
    <w:p>
      <w:pPr>
        <w:spacing w:line="360" w:lineRule="auto"/>
        <w:ind w:firstLine="420" w:firstLineChars="200"/>
        <w:rPr>
          <w:rFonts w:ascii="宋体" w:hAnsi="宋体"/>
          <w:color w:val="auto"/>
        </w:rPr>
      </w:pPr>
      <w:r>
        <w:rPr>
          <w:rFonts w:hint="eastAsia" w:ascii="宋体" w:hAnsi="宋体"/>
          <w:color w:val="auto"/>
        </w:rPr>
        <w:t>1.5工程量清单中的“综合单价”和“合价”栏均应由供应商填报，供应商还应填清单计价汇总表。报价货币为人民币。若供应商对某些项目未填报综合单价和合价，则应认为已包括在其它项目的综合单价和合价以及投标总报价内。</w:t>
      </w:r>
    </w:p>
    <w:p>
      <w:pPr>
        <w:spacing w:line="360" w:lineRule="auto"/>
        <w:ind w:firstLine="420" w:firstLineChars="200"/>
        <w:rPr>
          <w:rFonts w:ascii="宋体" w:hAnsi="宋体"/>
          <w:color w:val="auto"/>
        </w:rPr>
      </w:pPr>
      <w:r>
        <w:rPr>
          <w:rFonts w:hint="eastAsia" w:ascii="宋体" w:hAnsi="宋体"/>
          <w:color w:val="auto"/>
        </w:rPr>
        <w:t>1.6工程量清单中各项目的工作内容和要求及其计量和支付的规定详见招标文件有关部分。</w:t>
      </w:r>
    </w:p>
    <w:p>
      <w:pPr>
        <w:spacing w:line="360" w:lineRule="auto"/>
        <w:ind w:firstLine="420" w:firstLineChars="200"/>
        <w:rPr>
          <w:rFonts w:ascii="宋体" w:hAnsi="宋体"/>
          <w:color w:val="auto"/>
        </w:rPr>
      </w:pPr>
      <w:r>
        <w:rPr>
          <w:rFonts w:hint="eastAsia" w:ascii="宋体" w:hAnsi="宋体"/>
          <w:color w:val="auto"/>
        </w:rPr>
        <w:t>1.7工程量清单中有计算或汇总中的算术错误时，应按以下原则改正：</w:t>
      </w:r>
    </w:p>
    <w:p>
      <w:pPr>
        <w:spacing w:line="360" w:lineRule="auto"/>
        <w:ind w:firstLine="420" w:firstLineChars="200"/>
        <w:rPr>
          <w:rFonts w:ascii="宋体" w:hAnsi="宋体"/>
          <w:color w:val="auto"/>
        </w:rPr>
      </w:pPr>
      <w:r>
        <w:rPr>
          <w:rFonts w:hint="eastAsia" w:ascii="宋体" w:hAnsi="宋体"/>
          <w:color w:val="auto"/>
        </w:rPr>
        <w:t>1.7.1工程量清单中任一项目的综合单价乘其工程量的乘积与该项目的合价不吻合时，应以综合单价为准，改正合价。但经合同双方共同核对后认为综合单价有明显的小数点错位时，则应以合价为准，改正综合单价。</w:t>
      </w:r>
    </w:p>
    <w:p>
      <w:pPr>
        <w:spacing w:line="360" w:lineRule="auto"/>
        <w:ind w:firstLine="420" w:firstLineChars="200"/>
        <w:rPr>
          <w:rFonts w:ascii="宋体" w:hAnsi="宋体"/>
          <w:color w:val="auto"/>
        </w:rPr>
      </w:pPr>
      <w:r>
        <w:rPr>
          <w:rFonts w:hint="eastAsia" w:ascii="宋体" w:hAnsi="宋体"/>
          <w:color w:val="auto"/>
        </w:rPr>
        <w:t>1.7.2若投标报价汇总表中的金额与相应的各分组工程量清单中的合计金额不吻合时，应以修正算术错误后的各分组工程量清单中的合计金额为准，改正投标报价汇总表中相应部分的金额和投标总报价。</w:t>
      </w:r>
    </w:p>
    <w:p>
      <w:pPr>
        <w:spacing w:line="360" w:lineRule="auto"/>
        <w:ind w:firstLine="525" w:firstLineChars="249"/>
        <w:rPr>
          <w:rFonts w:ascii="宋体" w:hAnsi="宋体"/>
          <w:b/>
          <w:color w:val="auto"/>
        </w:rPr>
      </w:pPr>
      <w:r>
        <w:rPr>
          <w:rFonts w:hint="eastAsia" w:ascii="宋体" w:hAnsi="宋体"/>
          <w:b/>
          <w:color w:val="auto"/>
        </w:rPr>
        <w:t>1.8在工程量清单中名称及规格相同的子目，其投标综合单价必须一致。</w:t>
      </w:r>
    </w:p>
    <w:p>
      <w:pPr>
        <w:spacing w:line="360" w:lineRule="auto"/>
        <w:ind w:left="0" w:leftChars="0" w:firstLine="422" w:firstLineChars="200"/>
        <w:rPr>
          <w:rFonts w:hint="eastAsia" w:ascii="宋体" w:hAnsi="宋体" w:eastAsia="宋体"/>
          <w:b/>
          <w:bCs w:val="0"/>
          <w:color w:val="auto"/>
          <w:lang w:eastAsia="zh-CN"/>
        </w:rPr>
      </w:pPr>
      <w:r>
        <w:rPr>
          <w:rFonts w:hint="eastAsia" w:ascii="宋体" w:hAnsi="宋体"/>
          <w:b/>
          <w:bCs w:val="0"/>
          <w:color w:val="auto"/>
          <w:lang w:eastAsia="zh-CN"/>
        </w:rPr>
        <w:t>二、工程量清单编制说明</w:t>
      </w:r>
    </w:p>
    <w:p>
      <w:pPr>
        <w:numPr>
          <w:ilvl w:val="0"/>
          <w:numId w:val="0"/>
        </w:numPr>
        <w:spacing w:line="360" w:lineRule="auto"/>
        <w:ind w:left="0" w:leftChars="0" w:firstLine="420" w:firstLineChars="200"/>
        <w:rPr>
          <w:rFonts w:hint="eastAsia" w:ascii="宋体" w:hAnsi="宋体"/>
          <w:b w:val="0"/>
          <w:bCs/>
          <w:color w:val="auto"/>
        </w:rPr>
      </w:pPr>
      <w:r>
        <w:rPr>
          <w:rFonts w:hint="eastAsia" w:ascii="宋体" w:hAnsi="宋体" w:cs="Times New Roman"/>
          <w:b w:val="0"/>
          <w:bCs/>
          <w:color w:val="auto"/>
          <w:kern w:val="2"/>
          <w:sz w:val="21"/>
          <w:szCs w:val="21"/>
          <w:lang w:val="en-US" w:eastAsia="zh-CN" w:bidi="ar-SA"/>
        </w:rPr>
        <w:t>1、</w:t>
      </w:r>
      <w:r>
        <w:rPr>
          <w:rFonts w:hint="eastAsia" w:ascii="宋体" w:hAnsi="宋体"/>
          <w:b w:val="0"/>
          <w:bCs/>
          <w:color w:val="auto"/>
        </w:rPr>
        <w:t>工程概况：</w:t>
      </w:r>
    </w:p>
    <w:p>
      <w:pPr>
        <w:numPr>
          <w:ilvl w:val="0"/>
          <w:numId w:val="0"/>
        </w:numPr>
        <w:spacing w:line="360" w:lineRule="auto"/>
        <w:ind w:left="0" w:leftChars="0" w:firstLine="420" w:firstLineChars="200"/>
        <w:rPr>
          <w:rFonts w:hint="eastAsia" w:ascii="宋体" w:hAnsi="宋体"/>
          <w:b w:val="0"/>
          <w:bCs/>
          <w:color w:val="auto"/>
        </w:rPr>
      </w:pPr>
      <w:r>
        <w:rPr>
          <w:rFonts w:hint="eastAsia" w:ascii="宋体" w:hAnsi="宋体"/>
          <w:b w:val="0"/>
          <w:bCs/>
          <w:color w:val="auto"/>
        </w:rPr>
        <w:t>该项目建设地点：邓州市。</w:t>
      </w:r>
    </w:p>
    <w:p>
      <w:pPr>
        <w:numPr>
          <w:ilvl w:val="0"/>
          <w:numId w:val="0"/>
        </w:numPr>
        <w:spacing w:line="360" w:lineRule="auto"/>
        <w:ind w:left="0" w:leftChars="0" w:firstLine="420" w:firstLineChars="200"/>
        <w:rPr>
          <w:rFonts w:hint="eastAsia" w:ascii="宋体" w:hAnsi="宋体"/>
          <w:b w:val="0"/>
          <w:bCs/>
          <w:color w:val="auto"/>
        </w:rPr>
      </w:pPr>
      <w:r>
        <w:rPr>
          <w:rFonts w:hint="eastAsia" w:ascii="宋体" w:hAnsi="宋体"/>
          <w:b w:val="0"/>
          <w:bCs/>
          <w:color w:val="auto"/>
        </w:rPr>
        <w:t>该项目概况：本工程主楼长68.70米,宽28.40米,总高度59.70米;副楼(左)长20米;宽32.6米,总高度17.1米;副楼(右)长24.83米;宽32.6米,总高度17.1米.以上均为办公楼。结构形式:主楼为框架—剪力墙结构;副楼为框架结构。</w:t>
      </w:r>
    </w:p>
    <w:p>
      <w:pPr>
        <w:numPr>
          <w:ilvl w:val="0"/>
          <w:numId w:val="0"/>
        </w:numPr>
        <w:spacing w:line="360" w:lineRule="auto"/>
        <w:ind w:left="0" w:leftChars="0" w:firstLine="420" w:firstLineChars="200"/>
        <w:rPr>
          <w:rFonts w:hint="eastAsia" w:ascii="宋体" w:hAnsi="宋体"/>
          <w:b w:val="0"/>
          <w:bCs/>
          <w:color w:val="auto"/>
        </w:rPr>
      </w:pPr>
      <w:r>
        <w:rPr>
          <w:rFonts w:hint="eastAsia" w:ascii="宋体" w:hAnsi="宋体" w:cs="Times New Roman"/>
          <w:b w:val="0"/>
          <w:bCs/>
          <w:color w:val="auto"/>
          <w:kern w:val="2"/>
          <w:sz w:val="21"/>
          <w:szCs w:val="21"/>
          <w:lang w:val="en-US" w:eastAsia="zh-CN" w:bidi="ar-SA"/>
        </w:rPr>
        <w:t>2、</w:t>
      </w:r>
      <w:r>
        <w:rPr>
          <w:rFonts w:hint="eastAsia" w:ascii="宋体" w:hAnsi="宋体"/>
          <w:b w:val="0"/>
          <w:bCs/>
          <w:color w:val="auto"/>
        </w:rPr>
        <w:t>编制范围：</w:t>
      </w:r>
    </w:p>
    <w:p>
      <w:pPr>
        <w:numPr>
          <w:ilvl w:val="0"/>
          <w:numId w:val="0"/>
        </w:numPr>
        <w:spacing w:line="360" w:lineRule="auto"/>
        <w:ind w:left="0" w:leftChars="0" w:firstLine="420" w:firstLineChars="200"/>
        <w:rPr>
          <w:rFonts w:hint="eastAsia" w:ascii="宋体" w:hAnsi="宋体"/>
          <w:b w:val="0"/>
          <w:bCs/>
          <w:color w:val="auto"/>
        </w:rPr>
      </w:pPr>
      <w:r>
        <w:rPr>
          <w:rFonts w:hint="eastAsia" w:ascii="宋体" w:hAnsi="宋体"/>
          <w:b w:val="0"/>
          <w:bCs/>
          <w:color w:val="auto"/>
        </w:rPr>
        <w:t>建设单位提供的施工图纸范围内。</w:t>
      </w:r>
    </w:p>
    <w:p>
      <w:pPr>
        <w:numPr>
          <w:ilvl w:val="0"/>
          <w:numId w:val="0"/>
        </w:numPr>
        <w:spacing w:line="360" w:lineRule="auto"/>
        <w:ind w:left="0" w:leftChars="0" w:firstLine="420" w:firstLineChars="200"/>
        <w:rPr>
          <w:rFonts w:hint="eastAsia" w:ascii="宋体" w:hAnsi="宋体"/>
          <w:b w:val="0"/>
          <w:bCs/>
          <w:color w:val="auto"/>
        </w:rPr>
      </w:pPr>
      <w:r>
        <w:rPr>
          <w:rFonts w:hint="eastAsia" w:ascii="宋体" w:hAnsi="宋体" w:cs="Times New Roman"/>
          <w:b w:val="0"/>
          <w:bCs/>
          <w:color w:val="auto"/>
          <w:kern w:val="2"/>
          <w:sz w:val="21"/>
          <w:szCs w:val="21"/>
          <w:lang w:val="en-US" w:eastAsia="zh-CN" w:bidi="ar-SA"/>
        </w:rPr>
        <w:t>3、</w:t>
      </w:r>
      <w:r>
        <w:rPr>
          <w:rFonts w:hint="eastAsia" w:ascii="宋体" w:hAnsi="宋体"/>
          <w:b w:val="0"/>
          <w:bCs/>
          <w:color w:val="auto"/>
        </w:rPr>
        <w:t xml:space="preserve">编制依据： </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建设单位提供的施工图纸；</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《建设工程工程量清单计价规范》GB50500-2013；</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《房屋建筑与装饰工程工程量计算规范》GB50854-2013；</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《通用安装工程工程量计算规范》GB50856-2013；</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《河南省房屋建筑与装饰工程预算定额》（HA 01-31-2016）、《河南省通用安装工程预算定额》（HA 02-31-2016）及相关计价文件等；</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相关的标准、规范、图集、政策性文件等；</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人工费、机械费、管理费按豫建消技（2023）26号文第14期价格指数编制；</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材料（设备）价格参照2024年2期《南阳工程造价信息》发布的价格调整，缺项的按照市场价格编制；</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税金根据相关文件规定按增值税“一般计税方法，销项税率为9%”的计税方式编制；</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安全文明施工费和规费已按相关计价规定足额计取；</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其他措施费中的夜间施工增加费、二次搬运费、冬雨施工增加费不计取。</w:t>
      </w:r>
    </w:p>
    <w:p>
      <w:pPr>
        <w:numPr>
          <w:ilvl w:val="0"/>
          <w:numId w:val="49"/>
        </w:numPr>
        <w:spacing w:line="360" w:lineRule="auto"/>
        <w:ind w:left="0" w:leftChars="0" w:firstLine="420" w:firstLineChars="0"/>
        <w:rPr>
          <w:rFonts w:hint="eastAsia" w:ascii="宋体" w:hAnsi="宋体"/>
          <w:b w:val="0"/>
          <w:bCs/>
          <w:color w:val="auto"/>
        </w:rPr>
      </w:pPr>
      <w:r>
        <w:rPr>
          <w:rFonts w:hint="eastAsia" w:ascii="宋体" w:hAnsi="宋体"/>
          <w:b w:val="0"/>
          <w:bCs/>
          <w:color w:val="auto"/>
        </w:rPr>
        <w:t>其他未说明的按照设计图纸进行计算。</w:t>
      </w:r>
    </w:p>
    <w:p>
      <w:pPr>
        <w:numPr>
          <w:ilvl w:val="0"/>
          <w:numId w:val="0"/>
        </w:numPr>
        <w:spacing w:line="360" w:lineRule="auto"/>
        <w:ind w:left="0" w:leftChars="0" w:firstLine="420" w:firstLineChars="200"/>
        <w:rPr>
          <w:rFonts w:ascii="宋体" w:hAnsi="宋体"/>
          <w:b w:val="0"/>
          <w:bCs/>
          <w:color w:val="auto"/>
        </w:rPr>
      </w:pPr>
      <w:r>
        <w:rPr>
          <w:rFonts w:hint="eastAsia" w:ascii="宋体" w:hAnsi="宋体"/>
          <w:b w:val="0"/>
          <w:bCs/>
          <w:color w:val="auto"/>
          <w:lang w:eastAsia="zh-CN"/>
        </w:rPr>
        <w:t>三、</w:t>
      </w:r>
      <w:r>
        <w:rPr>
          <w:rFonts w:hint="eastAsia" w:ascii="宋体" w:hAnsi="宋体"/>
          <w:b w:val="0"/>
          <w:bCs/>
          <w:color w:val="auto"/>
        </w:rPr>
        <w:t>工程量清单：（另附）。</w:t>
      </w:r>
    </w:p>
    <w:p>
      <w:pPr>
        <w:jc w:val="center"/>
        <w:rPr>
          <w:rFonts w:ascii="宋体" w:hAnsi="宋体"/>
          <w:b/>
          <w:bCs/>
          <w:color w:val="auto"/>
          <w:sz w:val="28"/>
          <w:szCs w:val="28"/>
        </w:rPr>
      </w:pPr>
    </w:p>
    <w:p>
      <w:pPr>
        <w:jc w:val="left"/>
        <w:rPr>
          <w:rFonts w:ascii="宋体" w:hAnsi="宋体"/>
          <w:b/>
          <w:bCs/>
          <w:color w:val="auto"/>
          <w:sz w:val="30"/>
          <w:szCs w:val="30"/>
        </w:rPr>
      </w:pPr>
      <w:bookmarkStart w:id="1022" w:name="_Toc9582"/>
      <w:bookmarkEnd w:id="1022"/>
      <w:bookmarkStart w:id="1023" w:name="_Toc129073522"/>
      <w:r>
        <w:rPr>
          <w:rFonts w:hint="eastAsia" w:ascii="宋体" w:hAnsi="宋体"/>
          <w:b/>
          <w:bCs/>
          <w:color w:val="auto"/>
          <w:sz w:val="30"/>
          <w:szCs w:val="30"/>
        </w:rPr>
        <w:br w:type="page"/>
      </w:r>
    </w:p>
    <w:p>
      <w:pPr>
        <w:jc w:val="center"/>
        <w:outlineLvl w:val="0"/>
        <w:rPr>
          <w:rFonts w:ascii="宋体" w:hAnsi="宋体"/>
          <w:color w:val="auto"/>
          <w:sz w:val="28"/>
          <w:szCs w:val="28"/>
        </w:rPr>
      </w:pPr>
      <w:bookmarkStart w:id="1024" w:name="_Toc23377"/>
      <w:bookmarkStart w:id="1025" w:name="_Toc17610"/>
      <w:bookmarkStart w:id="1026" w:name="_Toc21049"/>
      <w:bookmarkStart w:id="1027" w:name="_Toc30481"/>
      <w:bookmarkStart w:id="1028" w:name="_Toc25612"/>
      <w:r>
        <w:rPr>
          <w:rFonts w:hint="eastAsia" w:ascii="宋体" w:hAnsi="宋体"/>
          <w:b/>
          <w:bCs/>
          <w:color w:val="auto"/>
          <w:sz w:val="30"/>
          <w:szCs w:val="30"/>
        </w:rPr>
        <w:t>第六章  图纸</w:t>
      </w:r>
      <w:bookmarkEnd w:id="1023"/>
      <w:bookmarkEnd w:id="1024"/>
      <w:bookmarkEnd w:id="1025"/>
      <w:bookmarkEnd w:id="1026"/>
      <w:bookmarkEnd w:id="1027"/>
      <w:bookmarkEnd w:id="1028"/>
    </w:p>
    <w:p>
      <w:pPr>
        <w:jc w:val="center"/>
        <w:rPr>
          <w:rFonts w:ascii="宋体" w:hAnsi="宋体"/>
          <w:color w:val="auto"/>
          <w:sz w:val="28"/>
          <w:szCs w:val="28"/>
        </w:rPr>
      </w:pPr>
    </w:p>
    <w:p>
      <w:pPr>
        <w:jc w:val="center"/>
        <w:rPr>
          <w:rFonts w:ascii="宋体" w:hAnsi="宋体"/>
          <w:b/>
          <w:bCs/>
          <w:color w:val="auto"/>
          <w:sz w:val="28"/>
          <w:szCs w:val="28"/>
        </w:rPr>
      </w:pPr>
      <w:r>
        <w:rPr>
          <w:rFonts w:hint="eastAsia" w:ascii="宋体" w:hAnsi="宋体"/>
          <w:b/>
          <w:bCs/>
          <w:color w:val="auto"/>
          <w:sz w:val="28"/>
          <w:szCs w:val="28"/>
        </w:rPr>
        <w:t>（另附）</w:t>
      </w:r>
    </w:p>
    <w:p>
      <w:pPr>
        <w:widowControl/>
        <w:jc w:val="left"/>
        <w:rPr>
          <w:rFonts w:ascii="宋体" w:hAnsi="宋体" w:cs="宋体"/>
          <w:color w:val="auto"/>
          <w:sz w:val="28"/>
          <w:szCs w:val="28"/>
          <w:u w:val="single"/>
        </w:rPr>
      </w:pPr>
    </w:p>
    <w:p>
      <w:pPr>
        <w:jc w:val="left"/>
        <w:rPr>
          <w:rFonts w:ascii="宋体" w:hAnsi="宋体"/>
          <w:b/>
          <w:bCs/>
          <w:color w:val="auto"/>
          <w:sz w:val="30"/>
          <w:szCs w:val="30"/>
        </w:rPr>
      </w:pPr>
      <w:bookmarkStart w:id="1029" w:name="_Toc6633"/>
      <w:bookmarkEnd w:id="1029"/>
      <w:bookmarkStart w:id="1030" w:name="_Toc129073523"/>
      <w:bookmarkStart w:id="1031" w:name="_Toc17702"/>
      <w:r>
        <w:rPr>
          <w:rFonts w:hint="eastAsia" w:ascii="宋体" w:hAnsi="宋体"/>
          <w:b/>
          <w:bCs/>
          <w:color w:val="auto"/>
          <w:sz w:val="30"/>
          <w:szCs w:val="30"/>
        </w:rPr>
        <w:br w:type="page"/>
      </w:r>
    </w:p>
    <w:p>
      <w:pPr>
        <w:jc w:val="center"/>
        <w:outlineLvl w:val="0"/>
        <w:rPr>
          <w:rFonts w:ascii="宋体" w:hAnsi="宋体"/>
          <w:b/>
          <w:bCs/>
          <w:color w:val="auto"/>
          <w:sz w:val="28"/>
          <w:szCs w:val="28"/>
        </w:rPr>
      </w:pPr>
      <w:bookmarkStart w:id="1032" w:name="_Toc18096"/>
      <w:bookmarkStart w:id="1033" w:name="_Toc5712"/>
      <w:bookmarkStart w:id="1034" w:name="_Toc9598"/>
      <w:bookmarkStart w:id="1035" w:name="_Toc7596"/>
      <w:bookmarkStart w:id="1036" w:name="_Toc2092"/>
      <w:r>
        <w:rPr>
          <w:rFonts w:hint="eastAsia" w:ascii="宋体" w:hAnsi="宋体"/>
          <w:b/>
          <w:bCs/>
          <w:color w:val="auto"/>
          <w:sz w:val="30"/>
          <w:szCs w:val="30"/>
        </w:rPr>
        <w:t>第七章  技术标准和要求</w:t>
      </w:r>
      <w:bookmarkEnd w:id="1030"/>
      <w:bookmarkEnd w:id="1031"/>
      <w:bookmarkEnd w:id="1032"/>
      <w:bookmarkEnd w:id="1033"/>
      <w:bookmarkEnd w:id="1034"/>
      <w:bookmarkEnd w:id="1035"/>
      <w:bookmarkEnd w:id="1036"/>
    </w:p>
    <w:p>
      <w:pPr>
        <w:jc w:val="left"/>
        <w:rPr>
          <w:rFonts w:ascii="宋体" w:hAnsi="宋体"/>
          <w:color w:val="auto"/>
        </w:rPr>
      </w:pPr>
    </w:p>
    <w:p>
      <w:pPr>
        <w:autoSpaceDE w:val="0"/>
        <w:autoSpaceDN w:val="0"/>
        <w:adjustRightInd w:val="0"/>
        <w:spacing w:line="360" w:lineRule="auto"/>
        <w:ind w:firstLine="420" w:firstLineChars="200"/>
        <w:rPr>
          <w:rFonts w:ascii="宋体" w:hAnsi="宋体"/>
          <w:color w:val="auto"/>
          <w:kern w:val="0"/>
          <w:sz w:val="21"/>
          <w:szCs w:val="21"/>
        </w:rPr>
      </w:pPr>
      <w:r>
        <w:rPr>
          <w:rFonts w:hint="eastAsia" w:ascii="宋体" w:hAnsi="宋体"/>
          <w:color w:val="auto"/>
          <w:kern w:val="0"/>
          <w:sz w:val="21"/>
          <w:szCs w:val="21"/>
        </w:rPr>
        <w:t>1.本项目的材料、设备、施工须达到现行中华人民共和国以及省、自治区、直辖市或行业的工程建设标准、规范的合格要求。</w:t>
      </w:r>
    </w:p>
    <w:p>
      <w:pPr>
        <w:autoSpaceDE w:val="0"/>
        <w:autoSpaceDN w:val="0"/>
        <w:adjustRightInd w:val="0"/>
        <w:spacing w:line="360" w:lineRule="auto"/>
        <w:ind w:firstLine="420" w:firstLineChars="200"/>
        <w:rPr>
          <w:rFonts w:ascii="宋体" w:hAnsi="宋体"/>
          <w:color w:val="auto"/>
          <w:kern w:val="0"/>
          <w:sz w:val="21"/>
          <w:szCs w:val="21"/>
          <w:highlight w:val="none"/>
        </w:rPr>
      </w:pPr>
      <w:r>
        <w:rPr>
          <w:rFonts w:hint="eastAsia" w:ascii="宋体" w:hAnsi="宋体"/>
          <w:color w:val="auto"/>
          <w:kern w:val="0"/>
          <w:sz w:val="21"/>
          <w:szCs w:val="21"/>
          <w:highlight w:val="none"/>
        </w:rPr>
        <w:t>2.主要设备材料技术标准和要求：</w:t>
      </w:r>
    </w:p>
    <w:p>
      <w:pPr>
        <w:widowControl/>
        <w:spacing w:line="360" w:lineRule="auto"/>
        <w:ind w:firstLine="420" w:firstLineChars="200"/>
        <w:jc w:val="left"/>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各供应商应依据以下技术要求选配设备材料，如有不满足的按磋商文件“第三章 评审办法”前附表评审标准进行扣分。</w:t>
      </w:r>
    </w:p>
    <w:tbl>
      <w:tblPr>
        <w:tblStyle w:val="3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993"/>
        <w:gridCol w:w="708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993" w:type="dxa"/>
            <w:vAlign w:val="center"/>
          </w:tcPr>
          <w:p>
            <w:pPr>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名称</w:t>
            </w:r>
          </w:p>
        </w:tc>
        <w:tc>
          <w:tcPr>
            <w:tcW w:w="7087" w:type="dxa"/>
            <w:vAlign w:val="center"/>
          </w:tcPr>
          <w:p>
            <w:pPr>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技术要求</w:t>
            </w:r>
          </w:p>
        </w:tc>
        <w:tc>
          <w:tcPr>
            <w:tcW w:w="567" w:type="dxa"/>
            <w:vAlign w:val="center"/>
          </w:tcPr>
          <w:p>
            <w:pPr>
              <w:widowControl/>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93"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单口信息插座</w:t>
            </w:r>
          </w:p>
        </w:tc>
        <w:tc>
          <w:tcPr>
            <w:tcW w:w="7087"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86型单口面板，亮面象牙白；</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端口平面设计，90度模块安装；</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★采用高阻燃工程材料，阻燃性能达到UL94V-0级，提供第三方检测报告；</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整体光面设计，美观大方 ；</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组合式结构，前后双层面板设计，避免固定螺丝孔外露；</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配有防尘滑门用以保护模块、遮蔽灰尘和污物进入；</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面板表面带嵌入式标签；</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兼容所有KEYSTONE结构模块；</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工作温度：-20℃～60℃</w:t>
            </w:r>
            <w:r>
              <w:rPr>
                <w:rFonts w:hint="eastAsia" w:ascii="宋体" w:hAnsi="宋体" w:eastAsia="宋体" w:cs="宋体"/>
                <w:color w:val="auto"/>
                <w:sz w:val="21"/>
                <w:szCs w:val="21"/>
                <w:lang w:eastAsia="zh-CN"/>
              </w:rPr>
              <w:t>。</w:t>
            </w:r>
          </w:p>
        </w:tc>
        <w:tc>
          <w:tcPr>
            <w:tcW w:w="567" w:type="dxa"/>
            <w:vAlign w:val="center"/>
          </w:tcPr>
          <w:p>
            <w:pPr>
              <w:widowControl/>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993"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六类非屏蔽模块</w:t>
            </w:r>
          </w:p>
        </w:tc>
        <w:tc>
          <w:tcPr>
            <w:tcW w:w="7087"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六类非屏蔽网络模块,180°打线式；</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采用阻燃聚碳酸脂PC材料，符合UL94V-0防火要求；</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双用端子，适用110和科隆打线方式；</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支持180°进线方式；</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传输性能参数满足ISO/IEC 11801和TIA/E</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IA 568.2-D的关于六类标准满足带宽250MHz,适用于所有六类或E级信道的应用；</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直流电阻：≤300mΩ；</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接触电阻：≤20mΩ；</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耐压强度1000V(AC750V) 1min 无击穿和飞弧；</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绝缘电阻≥1000MΩ；</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金针：磷青铜、整体50μ镀金；</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IDC端子：磷青铜、整体镀镍、卡接22-26AWG导体；</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插头与插座的插合次数≥800次；</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导线端接次数≥200次；</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rPr>
              <w:t>兼容所有满足标准的keystone接口面板或配线架；</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Snap-in简便卡拉方式；</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工作温度:-10℃～60℃；</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★模块性能须满足ANSI/TIA -568.2-D标准，提供第三方模块单体检测报告作为佐证；</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18、</w:t>
            </w:r>
            <w:r>
              <w:rPr>
                <w:rFonts w:hint="eastAsia" w:ascii="宋体" w:hAnsi="宋体" w:eastAsia="宋体" w:cs="宋体"/>
                <w:color w:val="auto"/>
                <w:sz w:val="21"/>
                <w:szCs w:val="21"/>
              </w:rPr>
              <w:t>★模块性能须满足插入损耗最差值需≤0.02db,提供满足此性能测试的第三方测试报告作为佐证；</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19、</w:t>
            </w:r>
            <w:r>
              <w:rPr>
                <w:rFonts w:hint="eastAsia" w:ascii="宋体" w:hAnsi="宋体" w:eastAsia="宋体" w:cs="宋体"/>
                <w:color w:val="auto"/>
                <w:sz w:val="21"/>
                <w:szCs w:val="21"/>
              </w:rPr>
              <w:t>★模块须具备抗腐蚀能力，提供由第三方出具的满足GB/T2423.17测试方法的72小时盐雾测试试验合格报告作为佐证</w:t>
            </w:r>
            <w:r>
              <w:rPr>
                <w:rFonts w:hint="eastAsia" w:ascii="宋体" w:hAnsi="宋体" w:eastAsia="宋体" w:cs="宋体"/>
                <w:color w:val="auto"/>
                <w:sz w:val="21"/>
                <w:szCs w:val="21"/>
                <w:lang w:eastAsia="zh-CN"/>
              </w:rPr>
              <w:t>。</w:t>
            </w:r>
          </w:p>
        </w:tc>
        <w:tc>
          <w:tcPr>
            <w:tcW w:w="567" w:type="dxa"/>
            <w:vAlign w:val="center"/>
          </w:tcPr>
          <w:p>
            <w:pPr>
              <w:widowControl/>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993"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双口信息插座</w:t>
            </w:r>
          </w:p>
        </w:tc>
        <w:tc>
          <w:tcPr>
            <w:tcW w:w="7087"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双口平口面板,亮面象牙白；</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86型双口面板；</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端口平面设计，90度模块安装；</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★采用高阻燃工程材料，阻燃性能达到UL94V-0级，提供第三方检测报告作为佐证；</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整体光面设计，美观大方 ；</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组合式结构，前后双层面板设计，避免固定螺丝孔外露；</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配有防尘滑门用以保护模块、遮蔽灰尘和污物进入；</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面板表面带嵌入式标签；</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兼容所有KEYSTONE结构模块；</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工作温度：-20℃～60℃</w:t>
            </w:r>
            <w:r>
              <w:rPr>
                <w:rFonts w:hint="eastAsia" w:ascii="宋体" w:hAnsi="宋体" w:eastAsia="宋体" w:cs="宋体"/>
                <w:color w:val="auto"/>
                <w:sz w:val="21"/>
                <w:szCs w:val="21"/>
                <w:lang w:eastAsia="zh-CN"/>
              </w:rPr>
              <w:t>。</w:t>
            </w:r>
          </w:p>
        </w:tc>
        <w:tc>
          <w:tcPr>
            <w:tcW w:w="567" w:type="dxa"/>
            <w:vAlign w:val="center"/>
          </w:tcPr>
          <w:p>
            <w:pPr>
              <w:widowControl/>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993"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六类非屏蔽双绞线</w:t>
            </w:r>
          </w:p>
        </w:tc>
        <w:tc>
          <w:tcPr>
            <w:tcW w:w="7087"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线规符合AWG23线规；</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绝缘层：高密度聚乙烯（HDPE）；</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外护套：聚氯乙烯(PVC)材料满足IEC60332-1阻燃标准；</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性能满足GB 50311，ISO/IEC11801等应用标准；</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通过TIA/EIA-568C.2-2009标准的四、六节点链路检测；</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适合所有E级链路和Cat.6的应用；</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传输带宽250MHz；</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★网线须通过电磁干扰测试，满足EN55032:2015标准、EN55035标准和61000标准；</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★线缆性能须满足TIA/EIA-568.2.D-2018六类链路传输要求，提供第三方关于六非屏蔽网线链路检测报告作为佐证；</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★线缆须满足TIA/EIA-568.2.D-2018六类信道传输要求，提供第三方关于六类非屏蔽网络信道检测报告作为佐证</w:t>
            </w:r>
            <w:r>
              <w:rPr>
                <w:rFonts w:hint="eastAsia" w:ascii="宋体" w:hAnsi="宋体" w:eastAsia="宋体" w:cs="宋体"/>
                <w:color w:val="auto"/>
                <w:sz w:val="21"/>
                <w:szCs w:val="21"/>
                <w:lang w:eastAsia="zh-CN"/>
              </w:rPr>
              <w:t>。</w:t>
            </w:r>
          </w:p>
        </w:tc>
        <w:tc>
          <w:tcPr>
            <w:tcW w:w="567" w:type="dxa"/>
            <w:vAlign w:val="center"/>
          </w:tcPr>
          <w:p>
            <w:pPr>
              <w:widowControl/>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993"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光纤适配器</w:t>
            </w:r>
          </w:p>
        </w:tc>
        <w:tc>
          <w:tcPr>
            <w:tcW w:w="7087" w:type="dxa"/>
            <w:vAlign w:val="center"/>
          </w:tcPr>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LC双工光纤适配器，蓝色；</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颜色：蓝色；</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满足LC双工光纤接头对接使用；</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采用高可靠性的注塑材料一次注塑成型，满足不同环境的使用，性能稳定</w:t>
            </w:r>
            <w:r>
              <w:rPr>
                <w:rFonts w:hint="eastAsia" w:ascii="宋体" w:hAnsi="宋体" w:eastAsia="宋体" w:cs="宋体"/>
                <w:color w:val="auto"/>
                <w:sz w:val="21"/>
                <w:szCs w:val="21"/>
                <w:lang w:eastAsia="zh-CN"/>
              </w:rPr>
              <w:t>；</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内部嵌接高精度陶瓷套管,提供高可靠性的光学性能；</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采用半透明式防尘挡塞设计，方便通光观测；</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满足标准GB 50311, ISO/IEC 11801, ANSI/TIA-568.3-D 中的相关要求；</w:t>
            </w:r>
          </w:p>
          <w:p>
            <w:pPr>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★最大插入损耗（20℃时典型值）：≤0.2dB，提供满足此性能的第三方检测报告作为佐证</w:t>
            </w:r>
            <w:r>
              <w:rPr>
                <w:rFonts w:hint="eastAsia" w:ascii="宋体" w:hAnsi="宋体" w:eastAsia="宋体" w:cs="宋体"/>
                <w:color w:val="auto"/>
                <w:sz w:val="21"/>
                <w:szCs w:val="21"/>
                <w:highlight w:val="none"/>
              </w:rPr>
              <w:t>；</w:t>
            </w:r>
          </w:p>
          <w:p>
            <w:pPr>
              <w:widowControl/>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工作温度：-25℃～70℃</w:t>
            </w:r>
            <w:r>
              <w:rPr>
                <w:rFonts w:hint="eastAsia" w:ascii="宋体" w:hAnsi="宋体" w:eastAsia="宋体" w:cs="宋体"/>
                <w:color w:val="auto"/>
                <w:sz w:val="21"/>
                <w:szCs w:val="21"/>
                <w:lang w:eastAsia="zh-CN"/>
              </w:rPr>
              <w:t>。</w:t>
            </w:r>
          </w:p>
        </w:tc>
        <w:tc>
          <w:tcPr>
            <w:tcW w:w="567" w:type="dxa"/>
            <w:vAlign w:val="center"/>
          </w:tcPr>
          <w:p>
            <w:pPr>
              <w:widowControl/>
              <w:jc w:val="left"/>
              <w:rPr>
                <w:rFonts w:hint="eastAsia" w:ascii="宋体" w:hAnsi="宋体" w:eastAsia="宋体" w:cs="宋体"/>
                <w:color w:val="auto"/>
                <w:sz w:val="21"/>
                <w:szCs w:val="21"/>
              </w:rPr>
            </w:pPr>
          </w:p>
        </w:tc>
      </w:tr>
    </w:tbl>
    <w:p>
      <w:pPr>
        <w:numPr>
          <w:ilvl w:val="0"/>
          <w:numId w:val="50"/>
        </w:numPr>
        <w:autoSpaceDE w:val="0"/>
        <w:autoSpaceDN w:val="0"/>
        <w:adjustRightInd w:val="0"/>
        <w:spacing w:line="360" w:lineRule="auto"/>
        <w:ind w:firstLine="420" w:firstLineChars="200"/>
        <w:rPr>
          <w:rFonts w:hint="eastAsia" w:ascii="宋体" w:hAnsi="宋体"/>
          <w:color w:val="auto"/>
          <w:kern w:val="0"/>
          <w:sz w:val="21"/>
          <w:szCs w:val="21"/>
          <w:lang w:val="en-US" w:eastAsia="zh-CN"/>
        </w:rPr>
      </w:pPr>
      <w:bookmarkStart w:id="1037" w:name="_Toc7280"/>
      <w:bookmarkEnd w:id="1037"/>
      <w:bookmarkStart w:id="1038" w:name="_Toc129073524"/>
      <w:r>
        <w:rPr>
          <w:rFonts w:hint="eastAsia" w:ascii="宋体" w:hAnsi="宋体"/>
          <w:color w:val="auto"/>
          <w:kern w:val="0"/>
          <w:sz w:val="21"/>
          <w:szCs w:val="21"/>
          <w:lang w:val="en-US" w:eastAsia="zh-CN"/>
        </w:rPr>
        <w:t>其他要求</w:t>
      </w:r>
    </w:p>
    <w:p>
      <w:pPr>
        <w:numPr>
          <w:ilvl w:val="1"/>
          <w:numId w:val="2"/>
        </w:numPr>
        <w:autoSpaceDE w:val="0"/>
        <w:autoSpaceDN w:val="0"/>
        <w:adjustRightInd w:val="0"/>
        <w:spacing w:line="360" w:lineRule="auto"/>
        <w:ind w:left="0" w:leftChars="0" w:firstLine="420" w:firstLineChars="200"/>
        <w:rPr>
          <w:rFonts w:hint="eastAsia" w:ascii="宋体" w:hAnsi="宋体"/>
          <w:color w:val="auto"/>
          <w:kern w:val="0"/>
          <w:sz w:val="21"/>
          <w:szCs w:val="21"/>
          <w:lang w:val="en-US" w:eastAsia="zh-CN"/>
        </w:rPr>
      </w:pPr>
      <w:r>
        <w:rPr>
          <w:rFonts w:hint="eastAsia" w:ascii="宋体" w:hAnsi="宋体"/>
          <w:color w:val="auto"/>
          <w:kern w:val="0"/>
          <w:sz w:val="21"/>
          <w:szCs w:val="21"/>
          <w:lang w:val="en-US" w:eastAsia="zh-CN"/>
        </w:rPr>
        <w:t>验收：由采购人组织竣工验收，本项目设计单位、施工单位、监理单位等共同参加，根据综合布线系统工程验收规范进行。</w:t>
      </w:r>
    </w:p>
    <w:p>
      <w:pPr>
        <w:numPr>
          <w:ilvl w:val="1"/>
          <w:numId w:val="2"/>
        </w:numPr>
        <w:autoSpaceDE w:val="0"/>
        <w:autoSpaceDN w:val="0"/>
        <w:adjustRightInd w:val="0"/>
        <w:spacing w:line="360" w:lineRule="auto"/>
        <w:ind w:left="0" w:leftChars="0" w:firstLine="420" w:firstLineChars="200"/>
        <w:rPr>
          <w:rFonts w:hint="eastAsia" w:ascii="宋体" w:hAnsi="宋体"/>
          <w:color w:val="auto"/>
          <w:kern w:val="0"/>
          <w:sz w:val="21"/>
          <w:szCs w:val="21"/>
          <w:lang w:val="en-US" w:eastAsia="zh-CN"/>
        </w:rPr>
      </w:pPr>
      <w:r>
        <w:rPr>
          <w:rFonts w:hint="eastAsia" w:ascii="宋体" w:hAnsi="宋体"/>
          <w:color w:val="auto"/>
          <w:kern w:val="0"/>
          <w:sz w:val="21"/>
          <w:szCs w:val="21"/>
          <w:lang w:val="en-US" w:eastAsia="zh-CN"/>
        </w:rPr>
        <w:t>供应商应具有类似施工经验，建立完善的管理体系，施工期间配备足够的管理机构人员；</w:t>
      </w:r>
    </w:p>
    <w:p>
      <w:pPr>
        <w:numPr>
          <w:ilvl w:val="1"/>
          <w:numId w:val="2"/>
        </w:numPr>
        <w:autoSpaceDE w:val="0"/>
        <w:autoSpaceDN w:val="0"/>
        <w:adjustRightInd w:val="0"/>
        <w:spacing w:line="360" w:lineRule="auto"/>
        <w:ind w:left="0" w:leftChars="0" w:firstLine="420" w:firstLineChars="200"/>
        <w:rPr>
          <w:rFonts w:hint="eastAsia" w:ascii="宋体" w:hAnsi="宋体"/>
          <w:color w:val="auto"/>
          <w:lang w:eastAsia="zh-CN"/>
        </w:rPr>
      </w:pPr>
      <w:r>
        <w:rPr>
          <w:rFonts w:hint="eastAsia" w:ascii="宋体" w:hAnsi="宋体"/>
          <w:color w:val="auto"/>
          <w:kern w:val="0"/>
          <w:sz w:val="21"/>
          <w:szCs w:val="21"/>
          <w:lang w:val="en-US" w:eastAsia="zh-CN"/>
        </w:rPr>
        <w:t>供应商应结合本项目需求提供施工组织设计方案，提供完善的服务承诺（加快工程进度及资金、技术、机械设备、劳务投入的承诺；</w:t>
      </w:r>
      <w:r>
        <w:rPr>
          <w:rFonts w:hint="eastAsia" w:ascii="宋体" w:hAnsi="宋体"/>
          <w:color w:val="auto"/>
        </w:rPr>
        <w:t>做到连续施工，不因资金问题影响工程进度的承诺和措施；保证及时兑现农民工工资，不拖欠工人工资，不造成上访事件，保证项目顺利实施的</w:t>
      </w:r>
      <w:r>
        <w:rPr>
          <w:rFonts w:hint="eastAsia" w:ascii="宋体" w:hAnsi="宋体"/>
          <w:color w:val="auto"/>
          <w:lang w:eastAsia="zh-CN"/>
        </w:rPr>
        <w:t>承诺及措施；保证服从建设单位、监理单位和总承包单位管理，妥善协调当地关系等的承诺；质保期内、外的服务内容、服务标准及承诺）。</w:t>
      </w:r>
    </w:p>
    <w:p>
      <w:pPr>
        <w:spacing w:before="120" w:after="120" w:line="400" w:lineRule="exact"/>
        <w:rPr>
          <w:rFonts w:ascii="宋体" w:hAnsi="宋体"/>
          <w:color w:val="auto"/>
          <w:sz w:val="36"/>
          <w:szCs w:val="36"/>
        </w:rPr>
      </w:pPr>
      <w:r>
        <w:rPr>
          <w:rFonts w:hint="eastAsia" w:ascii="宋体" w:hAnsi="宋体"/>
          <w:color w:val="auto"/>
          <w:sz w:val="36"/>
          <w:szCs w:val="36"/>
        </w:rPr>
        <w:br w:type="page"/>
      </w:r>
    </w:p>
    <w:p>
      <w:pPr>
        <w:pStyle w:val="2"/>
        <w:spacing w:before="120" w:after="120" w:line="400" w:lineRule="exact"/>
        <w:ind w:left="-199" w:leftChars="-95"/>
        <w:jc w:val="center"/>
        <w:rPr>
          <w:rFonts w:ascii="宋体" w:hAnsi="宋体"/>
          <w:bCs w:val="0"/>
          <w:color w:val="auto"/>
          <w:sz w:val="36"/>
          <w:szCs w:val="36"/>
        </w:rPr>
      </w:pPr>
      <w:bookmarkStart w:id="1039" w:name="_Toc16217"/>
      <w:bookmarkStart w:id="1040" w:name="_Toc13710"/>
      <w:bookmarkStart w:id="1041" w:name="_Toc16999"/>
      <w:bookmarkStart w:id="1042" w:name="_Toc15979"/>
      <w:bookmarkStart w:id="1043" w:name="_Toc23662"/>
      <w:r>
        <w:rPr>
          <w:rFonts w:hint="eastAsia" w:ascii="宋体" w:hAnsi="宋体"/>
          <w:bCs w:val="0"/>
          <w:color w:val="auto"/>
          <w:sz w:val="36"/>
          <w:szCs w:val="36"/>
        </w:rPr>
        <w:t>第八章  响应文件格式</w:t>
      </w:r>
      <w:bookmarkEnd w:id="1038"/>
      <w:bookmarkEnd w:id="1039"/>
      <w:bookmarkEnd w:id="1040"/>
      <w:bookmarkEnd w:id="1041"/>
      <w:bookmarkEnd w:id="1042"/>
      <w:bookmarkEnd w:id="1043"/>
    </w:p>
    <w:p>
      <w:pPr>
        <w:spacing w:line="360" w:lineRule="auto"/>
        <w:jc w:val="right"/>
        <w:rPr>
          <w:rFonts w:ascii="宋体" w:hAnsi="宋体"/>
          <w:b/>
          <w:bCs/>
          <w:color w:val="auto"/>
          <w:sz w:val="28"/>
          <w:szCs w:val="28"/>
        </w:rPr>
      </w:pPr>
    </w:p>
    <w:p>
      <w:pPr>
        <w:pStyle w:val="60"/>
        <w:rPr>
          <w:rFonts w:ascii="宋体" w:hAnsi="宋体"/>
          <w:color w:val="auto"/>
        </w:rPr>
      </w:pPr>
    </w:p>
    <w:p>
      <w:pPr>
        <w:spacing w:line="440" w:lineRule="exact"/>
        <w:rPr>
          <w:rFonts w:ascii="宋体" w:hAnsi="宋体"/>
          <w:color w:val="auto"/>
          <w:sz w:val="20"/>
          <w:szCs w:val="20"/>
        </w:rPr>
      </w:pPr>
    </w:p>
    <w:p>
      <w:pPr>
        <w:jc w:val="center"/>
        <w:rPr>
          <w:rFonts w:hint="eastAsia" w:ascii="宋体" w:hAnsi="宋体"/>
          <w:b/>
          <w:bCs/>
          <w:color w:val="auto"/>
          <w:sz w:val="36"/>
          <w:szCs w:val="36"/>
          <w:u w:val="none"/>
        </w:rPr>
      </w:pPr>
      <w:r>
        <w:rPr>
          <w:rFonts w:hint="eastAsia" w:ascii="宋体" w:hAnsi="宋体"/>
          <w:b/>
          <w:bCs/>
          <w:color w:val="auto"/>
          <w:sz w:val="36"/>
          <w:szCs w:val="36"/>
          <w:u w:val="none"/>
        </w:rPr>
        <w:t>邓州市人民法院审判法庭和青少年法治教育基地</w:t>
      </w:r>
    </w:p>
    <w:p>
      <w:pPr>
        <w:jc w:val="center"/>
        <w:rPr>
          <w:rFonts w:hint="eastAsia" w:ascii="宋体" w:hAnsi="宋体"/>
          <w:b/>
          <w:bCs/>
          <w:color w:val="auto"/>
          <w:sz w:val="36"/>
          <w:szCs w:val="36"/>
          <w:u w:val="none"/>
        </w:rPr>
      </w:pPr>
      <w:r>
        <w:rPr>
          <w:rFonts w:hint="eastAsia" w:ascii="宋体" w:hAnsi="宋体"/>
          <w:b/>
          <w:bCs/>
          <w:color w:val="auto"/>
          <w:sz w:val="36"/>
          <w:szCs w:val="36"/>
          <w:u w:val="none"/>
        </w:rPr>
        <w:t>综合布线项目</w:t>
      </w:r>
    </w:p>
    <w:p>
      <w:pPr>
        <w:jc w:val="center"/>
        <w:rPr>
          <w:rFonts w:hint="eastAsia" w:ascii="宋体" w:hAnsi="宋体"/>
          <w:b/>
          <w:bCs/>
          <w:color w:val="auto"/>
          <w:sz w:val="36"/>
          <w:szCs w:val="36"/>
          <w:u w:val="none"/>
        </w:rPr>
      </w:pPr>
    </w:p>
    <w:p>
      <w:pPr>
        <w:jc w:val="center"/>
        <w:rPr>
          <w:rFonts w:ascii="宋体" w:hAnsi="宋体"/>
          <w:color w:val="auto"/>
          <w:sz w:val="84"/>
          <w:szCs w:val="84"/>
        </w:rPr>
      </w:pPr>
      <w:r>
        <w:rPr>
          <w:rFonts w:hint="eastAsia" w:ascii="宋体" w:hAnsi="宋体"/>
          <w:color w:val="auto"/>
          <w:sz w:val="84"/>
          <w:szCs w:val="84"/>
        </w:rPr>
        <w:t>响 应 文 件</w:t>
      </w:r>
    </w:p>
    <w:p>
      <w:pPr>
        <w:spacing w:line="400" w:lineRule="exact"/>
        <w:rPr>
          <w:rFonts w:ascii="宋体" w:hAnsi="宋体"/>
          <w:color w:val="auto"/>
          <w:sz w:val="28"/>
          <w:szCs w:val="28"/>
        </w:rPr>
      </w:pPr>
    </w:p>
    <w:p>
      <w:pPr>
        <w:spacing w:line="400" w:lineRule="exact"/>
        <w:ind w:firstLine="2100" w:firstLineChars="750"/>
        <w:rPr>
          <w:rFonts w:ascii="宋体" w:hAnsi="宋体"/>
          <w:color w:val="auto"/>
          <w:sz w:val="28"/>
          <w:szCs w:val="28"/>
          <w:u w:val="single"/>
        </w:rPr>
      </w:pPr>
      <w:r>
        <w:rPr>
          <w:rFonts w:hint="eastAsia" w:ascii="宋体" w:hAnsi="宋体"/>
          <w:color w:val="auto"/>
          <w:sz w:val="28"/>
          <w:szCs w:val="28"/>
        </w:rPr>
        <w:t>项目编号：</w:t>
      </w:r>
      <w:r>
        <w:rPr>
          <w:rFonts w:hint="eastAsia" w:ascii="宋体" w:hAnsi="宋体"/>
          <w:color w:val="auto"/>
          <w:sz w:val="28"/>
          <w:szCs w:val="28"/>
          <w:u w:val="single"/>
        </w:rPr>
        <w:t xml:space="preserve">                 </w:t>
      </w:r>
    </w:p>
    <w:p>
      <w:pPr>
        <w:spacing w:line="400" w:lineRule="exact"/>
        <w:rPr>
          <w:rFonts w:ascii="宋体" w:hAnsi="宋体"/>
          <w:color w:val="auto"/>
          <w:sz w:val="28"/>
          <w:szCs w:val="28"/>
        </w:rPr>
      </w:pPr>
    </w:p>
    <w:p>
      <w:pPr>
        <w:spacing w:line="400" w:lineRule="exact"/>
        <w:rPr>
          <w:rFonts w:ascii="宋体" w:hAnsi="宋体"/>
          <w:color w:val="auto"/>
          <w:sz w:val="28"/>
          <w:szCs w:val="28"/>
        </w:rPr>
      </w:pPr>
    </w:p>
    <w:p>
      <w:pPr>
        <w:spacing w:line="400" w:lineRule="exact"/>
        <w:rPr>
          <w:rFonts w:ascii="宋体" w:hAnsi="宋体"/>
          <w:color w:val="auto"/>
          <w:sz w:val="28"/>
          <w:szCs w:val="28"/>
        </w:rPr>
      </w:pPr>
    </w:p>
    <w:p>
      <w:pPr>
        <w:spacing w:line="400" w:lineRule="exact"/>
        <w:rPr>
          <w:rFonts w:ascii="宋体" w:hAnsi="宋体"/>
          <w:color w:val="auto"/>
          <w:sz w:val="28"/>
          <w:szCs w:val="28"/>
        </w:rPr>
      </w:pPr>
    </w:p>
    <w:p>
      <w:pPr>
        <w:spacing w:line="400" w:lineRule="exact"/>
        <w:rPr>
          <w:rFonts w:ascii="宋体" w:hAnsi="宋体"/>
          <w:color w:val="auto"/>
          <w:sz w:val="28"/>
          <w:szCs w:val="28"/>
        </w:rPr>
      </w:pPr>
    </w:p>
    <w:p>
      <w:pPr>
        <w:spacing w:line="400" w:lineRule="exact"/>
        <w:rPr>
          <w:rFonts w:ascii="宋体" w:hAnsi="宋体"/>
          <w:color w:val="auto"/>
          <w:sz w:val="28"/>
          <w:szCs w:val="28"/>
        </w:rPr>
      </w:pPr>
    </w:p>
    <w:p>
      <w:pPr>
        <w:spacing w:line="400" w:lineRule="exact"/>
        <w:rPr>
          <w:rFonts w:ascii="宋体" w:hAnsi="宋体"/>
          <w:color w:val="auto"/>
          <w:sz w:val="28"/>
          <w:szCs w:val="28"/>
        </w:rPr>
      </w:pPr>
    </w:p>
    <w:p>
      <w:pPr>
        <w:spacing w:line="400" w:lineRule="exact"/>
        <w:rPr>
          <w:rFonts w:ascii="宋体" w:hAnsi="宋体"/>
          <w:color w:val="auto"/>
          <w:sz w:val="28"/>
          <w:szCs w:val="28"/>
        </w:rPr>
      </w:pPr>
    </w:p>
    <w:p>
      <w:pPr>
        <w:pStyle w:val="61"/>
        <w:ind w:firstLine="560"/>
        <w:rPr>
          <w:color w:val="auto"/>
          <w:sz w:val="28"/>
          <w:szCs w:val="28"/>
        </w:rPr>
      </w:pPr>
    </w:p>
    <w:p>
      <w:pPr>
        <w:rPr>
          <w:rFonts w:ascii="宋体" w:hAnsi="宋体"/>
          <w:color w:val="auto"/>
        </w:rPr>
      </w:pPr>
    </w:p>
    <w:p>
      <w:pPr>
        <w:spacing w:line="480" w:lineRule="auto"/>
        <w:jc w:val="center"/>
        <w:rPr>
          <w:rFonts w:ascii="宋体" w:hAnsi="宋体"/>
          <w:color w:val="auto"/>
          <w:sz w:val="28"/>
          <w:szCs w:val="28"/>
          <w:u w:val="single"/>
        </w:rPr>
      </w:pPr>
      <w:r>
        <w:rPr>
          <w:rFonts w:hint="eastAsia" w:ascii="宋体" w:hAnsi="宋体"/>
          <w:color w:val="auto"/>
          <w:sz w:val="28"/>
          <w:szCs w:val="28"/>
        </w:rPr>
        <w:t>供应商：（盖单位公章）</w:t>
      </w:r>
    </w:p>
    <w:p>
      <w:pPr>
        <w:spacing w:line="480" w:lineRule="auto"/>
        <w:jc w:val="center"/>
        <w:rPr>
          <w:rFonts w:ascii="宋体" w:hAnsi="宋体"/>
          <w:color w:val="auto"/>
          <w:sz w:val="28"/>
          <w:szCs w:val="28"/>
        </w:rPr>
      </w:pPr>
      <w:r>
        <w:rPr>
          <w:rFonts w:hint="eastAsia" w:ascii="宋体" w:hAnsi="宋体"/>
          <w:color w:val="auto"/>
          <w:sz w:val="28"/>
          <w:szCs w:val="28"/>
        </w:rPr>
        <w:t>法定代表人或其委托代理人：（签字或盖章）</w:t>
      </w:r>
    </w:p>
    <w:p>
      <w:pPr>
        <w:spacing w:line="480" w:lineRule="auto"/>
        <w:jc w:val="center"/>
        <w:rPr>
          <w:rFonts w:ascii="宋体" w:hAnsi="宋体"/>
          <w:color w:val="auto"/>
          <w:sz w:val="20"/>
          <w:szCs w:val="20"/>
        </w:rPr>
      </w:pPr>
      <w:r>
        <w:rPr>
          <w:rFonts w:hint="eastAsia" w:ascii="宋体" w:hAnsi="宋体"/>
          <w:color w:val="auto"/>
          <w:sz w:val="28"/>
          <w:szCs w:val="28"/>
        </w:rPr>
        <w:t>年   月   日</w:t>
      </w:r>
    </w:p>
    <w:p>
      <w:pPr>
        <w:spacing w:line="400" w:lineRule="exact"/>
        <w:rPr>
          <w:rFonts w:ascii="宋体" w:hAnsi="宋体"/>
          <w:color w:val="auto"/>
        </w:rPr>
      </w:pPr>
      <w:r>
        <w:rPr>
          <w:rFonts w:hint="eastAsia" w:ascii="宋体" w:hAnsi="宋体"/>
          <w:color w:val="auto"/>
        </w:rPr>
        <w:br w:type="page"/>
      </w:r>
    </w:p>
    <w:p>
      <w:pPr>
        <w:pStyle w:val="57"/>
        <w:rPr>
          <w:color w:val="auto"/>
        </w:rPr>
      </w:pPr>
      <w:bookmarkStart w:id="1044" w:name="_Toc152045787"/>
      <w:bookmarkEnd w:id="1044"/>
      <w:bookmarkStart w:id="1045" w:name="_Toc32443"/>
      <w:bookmarkEnd w:id="1045"/>
      <w:bookmarkStart w:id="1046" w:name="_Toc23656"/>
      <w:bookmarkEnd w:id="1046"/>
      <w:bookmarkStart w:id="1047" w:name="_Toc509667321"/>
      <w:bookmarkEnd w:id="1047"/>
      <w:bookmarkStart w:id="1048" w:name="_Toc27560"/>
      <w:bookmarkEnd w:id="1048"/>
      <w:bookmarkStart w:id="1049" w:name="_Toc28226"/>
      <w:bookmarkEnd w:id="1049"/>
      <w:bookmarkStart w:id="1050" w:name="_Toc8413"/>
      <w:bookmarkEnd w:id="1050"/>
      <w:bookmarkStart w:id="1051" w:name="_Toc10473"/>
      <w:bookmarkEnd w:id="1051"/>
      <w:bookmarkStart w:id="1052" w:name="_Toc466298157"/>
      <w:bookmarkEnd w:id="1052"/>
      <w:bookmarkStart w:id="1053" w:name="_Toc144974856"/>
      <w:bookmarkEnd w:id="1053"/>
      <w:bookmarkStart w:id="1054" w:name="_Toc2645"/>
      <w:bookmarkEnd w:id="1054"/>
      <w:bookmarkStart w:id="1055" w:name="_Toc32683"/>
      <w:bookmarkEnd w:id="1055"/>
      <w:bookmarkStart w:id="1056" w:name="_Toc14373"/>
      <w:bookmarkEnd w:id="1056"/>
      <w:bookmarkStart w:id="1057" w:name="_Toc129073525"/>
      <w:bookmarkStart w:id="1058" w:name="_Toc5126"/>
      <w:bookmarkStart w:id="1059" w:name="_Toc9584"/>
      <w:bookmarkStart w:id="1060" w:name="_Toc11908"/>
      <w:bookmarkStart w:id="1061" w:name="_Toc20040"/>
      <w:bookmarkStart w:id="1062" w:name="_Toc152042576"/>
      <w:bookmarkStart w:id="1063" w:name="_Toc32448"/>
      <w:r>
        <w:rPr>
          <w:rFonts w:hint="eastAsia"/>
          <w:color w:val="auto"/>
        </w:rPr>
        <w:t>目    录</w:t>
      </w:r>
      <w:bookmarkEnd w:id="1057"/>
      <w:bookmarkEnd w:id="1058"/>
      <w:bookmarkEnd w:id="1059"/>
      <w:bookmarkEnd w:id="1060"/>
      <w:bookmarkEnd w:id="1061"/>
      <w:bookmarkEnd w:id="1062"/>
      <w:bookmarkEnd w:id="1063"/>
    </w:p>
    <w:p>
      <w:pPr>
        <w:numPr>
          <w:ilvl w:val="0"/>
          <w:numId w:val="51"/>
        </w:numPr>
        <w:spacing w:line="540" w:lineRule="exact"/>
        <w:ind w:left="0" w:leftChars="0" w:firstLine="420" w:firstLineChars="0"/>
        <w:rPr>
          <w:rFonts w:ascii="宋体" w:hAnsi="宋体"/>
          <w:color w:val="auto"/>
        </w:rPr>
      </w:pPr>
      <w:r>
        <w:rPr>
          <w:rFonts w:hint="eastAsia" w:ascii="宋体" w:hAnsi="宋体"/>
          <w:color w:val="auto"/>
        </w:rPr>
        <w:t>磋商函及磋商函附录</w:t>
      </w:r>
    </w:p>
    <w:p>
      <w:pPr>
        <w:numPr>
          <w:ilvl w:val="0"/>
          <w:numId w:val="51"/>
        </w:numPr>
        <w:spacing w:line="540" w:lineRule="exact"/>
        <w:ind w:left="0" w:leftChars="0" w:firstLine="420" w:firstLineChars="0"/>
        <w:rPr>
          <w:rFonts w:ascii="宋体" w:hAnsi="宋体"/>
          <w:color w:val="auto"/>
        </w:rPr>
      </w:pPr>
      <w:r>
        <w:rPr>
          <w:rFonts w:hint="eastAsia" w:ascii="宋体" w:hAnsi="宋体"/>
          <w:color w:val="auto"/>
        </w:rPr>
        <w:t>法定代表身份证明</w:t>
      </w:r>
    </w:p>
    <w:p>
      <w:pPr>
        <w:numPr>
          <w:ilvl w:val="0"/>
          <w:numId w:val="51"/>
        </w:numPr>
        <w:spacing w:line="540" w:lineRule="exact"/>
        <w:ind w:left="0" w:leftChars="0" w:firstLine="420" w:firstLineChars="0"/>
        <w:rPr>
          <w:rFonts w:ascii="宋体" w:hAnsi="宋体"/>
          <w:color w:val="auto"/>
        </w:rPr>
      </w:pPr>
      <w:r>
        <w:rPr>
          <w:rFonts w:hint="eastAsia" w:ascii="宋体" w:hAnsi="宋体"/>
          <w:color w:val="auto"/>
        </w:rPr>
        <w:t>授权委托书</w:t>
      </w:r>
    </w:p>
    <w:p>
      <w:pPr>
        <w:numPr>
          <w:ilvl w:val="0"/>
          <w:numId w:val="51"/>
        </w:numPr>
        <w:spacing w:line="540" w:lineRule="exact"/>
        <w:ind w:left="0" w:leftChars="0" w:firstLine="420" w:firstLineChars="0"/>
        <w:rPr>
          <w:rFonts w:hint="eastAsia" w:ascii="宋体" w:hAnsi="宋体"/>
          <w:color w:val="auto"/>
          <w:lang w:eastAsia="zh-CN"/>
        </w:rPr>
      </w:pPr>
      <w:r>
        <w:rPr>
          <w:rFonts w:hint="eastAsia" w:ascii="宋体" w:hAnsi="宋体"/>
          <w:color w:val="auto"/>
          <w:lang w:eastAsia="zh-CN"/>
        </w:rPr>
        <w:t>主要设备材料技术偏离表</w:t>
      </w:r>
    </w:p>
    <w:p>
      <w:pPr>
        <w:numPr>
          <w:ilvl w:val="0"/>
          <w:numId w:val="51"/>
        </w:numPr>
        <w:spacing w:line="540" w:lineRule="exact"/>
        <w:ind w:left="0" w:leftChars="0" w:firstLine="420" w:firstLineChars="0"/>
        <w:rPr>
          <w:rFonts w:ascii="宋体" w:hAnsi="宋体"/>
          <w:color w:val="auto"/>
        </w:rPr>
      </w:pPr>
      <w:r>
        <w:rPr>
          <w:rFonts w:hint="eastAsia" w:ascii="宋体" w:hAnsi="宋体"/>
          <w:color w:val="auto"/>
        </w:rPr>
        <w:t>已标价工程量清单</w:t>
      </w:r>
    </w:p>
    <w:p>
      <w:pPr>
        <w:numPr>
          <w:ilvl w:val="0"/>
          <w:numId w:val="51"/>
        </w:numPr>
        <w:spacing w:line="540" w:lineRule="exact"/>
        <w:ind w:left="0" w:leftChars="0" w:firstLine="420" w:firstLineChars="0"/>
        <w:rPr>
          <w:rFonts w:ascii="宋体" w:hAnsi="宋体"/>
          <w:color w:val="auto"/>
        </w:rPr>
      </w:pPr>
      <w:r>
        <w:rPr>
          <w:rFonts w:hint="eastAsia" w:ascii="宋体" w:hAnsi="宋体"/>
          <w:color w:val="auto"/>
        </w:rPr>
        <w:t>施工组织设计</w:t>
      </w:r>
    </w:p>
    <w:p>
      <w:pPr>
        <w:numPr>
          <w:ilvl w:val="0"/>
          <w:numId w:val="51"/>
        </w:numPr>
        <w:spacing w:line="540" w:lineRule="exact"/>
        <w:ind w:left="0" w:leftChars="0" w:firstLine="420" w:firstLineChars="0"/>
        <w:rPr>
          <w:rFonts w:ascii="宋体" w:hAnsi="宋体"/>
          <w:color w:val="auto"/>
        </w:rPr>
      </w:pPr>
      <w:r>
        <w:rPr>
          <w:rFonts w:hint="eastAsia" w:ascii="宋体" w:hAnsi="宋体"/>
          <w:color w:val="auto"/>
        </w:rPr>
        <w:t>项目管理机构</w:t>
      </w:r>
    </w:p>
    <w:p>
      <w:pPr>
        <w:numPr>
          <w:ilvl w:val="0"/>
          <w:numId w:val="51"/>
        </w:numPr>
        <w:spacing w:line="540" w:lineRule="exact"/>
        <w:ind w:left="0" w:leftChars="0" w:firstLine="420" w:firstLineChars="0"/>
        <w:rPr>
          <w:rFonts w:ascii="宋体" w:hAnsi="宋体"/>
          <w:color w:val="auto"/>
        </w:rPr>
      </w:pPr>
      <w:r>
        <w:rPr>
          <w:rFonts w:hint="eastAsia" w:ascii="宋体" w:hAnsi="宋体"/>
          <w:color w:val="auto"/>
        </w:rPr>
        <w:t>资格审查资料</w:t>
      </w:r>
    </w:p>
    <w:p>
      <w:pPr>
        <w:numPr>
          <w:ilvl w:val="0"/>
          <w:numId w:val="51"/>
        </w:numPr>
        <w:spacing w:line="540" w:lineRule="exact"/>
        <w:ind w:left="0" w:leftChars="0" w:firstLine="420" w:firstLineChars="0"/>
        <w:rPr>
          <w:rFonts w:hint="eastAsia" w:ascii="宋体" w:hAnsi="宋体" w:eastAsia="宋体"/>
          <w:color w:val="auto"/>
          <w:lang w:eastAsia="zh-CN"/>
        </w:rPr>
      </w:pPr>
      <w:r>
        <w:rPr>
          <w:rFonts w:hint="eastAsia" w:ascii="宋体" w:hAnsi="宋体"/>
          <w:color w:val="auto"/>
          <w:lang w:eastAsia="zh-CN"/>
        </w:rPr>
        <w:t>近年来完成的类似项目业绩</w:t>
      </w:r>
    </w:p>
    <w:p>
      <w:pPr>
        <w:numPr>
          <w:ilvl w:val="0"/>
          <w:numId w:val="51"/>
        </w:numPr>
        <w:spacing w:line="540" w:lineRule="exact"/>
        <w:ind w:left="0" w:leftChars="0" w:firstLine="420" w:firstLineChars="0"/>
        <w:rPr>
          <w:rFonts w:hint="eastAsia" w:ascii="宋体" w:hAnsi="宋体" w:eastAsia="宋体"/>
          <w:color w:val="auto"/>
          <w:lang w:eastAsia="zh-CN"/>
        </w:rPr>
      </w:pPr>
      <w:r>
        <w:rPr>
          <w:rFonts w:hint="eastAsia" w:ascii="宋体" w:hAnsi="宋体"/>
          <w:color w:val="auto"/>
          <w:lang w:eastAsia="zh-CN"/>
        </w:rPr>
        <w:t>其他材料</w:t>
      </w:r>
    </w:p>
    <w:p>
      <w:pPr>
        <w:spacing w:line="540" w:lineRule="exact"/>
        <w:rPr>
          <w:rFonts w:ascii="宋体" w:hAnsi="宋体"/>
          <w:color w:val="auto"/>
        </w:rPr>
      </w:pPr>
    </w:p>
    <w:p>
      <w:pPr>
        <w:spacing w:line="540" w:lineRule="exact"/>
        <w:jc w:val="center"/>
        <w:rPr>
          <w:rFonts w:hint="eastAsia" w:ascii="宋体" w:hAnsi="宋体" w:eastAsia="宋体"/>
          <w:color w:val="auto"/>
          <w:lang w:eastAsia="zh-CN"/>
        </w:rPr>
      </w:pPr>
      <w:r>
        <w:rPr>
          <w:rFonts w:hint="eastAsia" w:ascii="宋体" w:hAnsi="宋体"/>
          <w:color w:val="auto"/>
          <w:lang w:eastAsia="zh-CN"/>
        </w:rPr>
        <w:t>（为方便评审，建议按评分因素展开目录并设置超链接或书签）</w:t>
      </w:r>
    </w:p>
    <w:p>
      <w:pPr>
        <w:spacing w:line="540" w:lineRule="exact"/>
        <w:rPr>
          <w:rFonts w:ascii="宋体" w:hAnsi="宋体"/>
          <w:color w:val="auto"/>
        </w:rPr>
      </w:pPr>
    </w:p>
    <w:p>
      <w:pPr>
        <w:spacing w:line="540" w:lineRule="exact"/>
        <w:rPr>
          <w:rFonts w:ascii="宋体" w:hAnsi="宋体"/>
          <w:color w:val="auto"/>
        </w:rPr>
      </w:pPr>
    </w:p>
    <w:p>
      <w:pPr>
        <w:spacing w:line="540" w:lineRule="exact"/>
        <w:rPr>
          <w:rFonts w:ascii="宋体" w:hAnsi="宋体"/>
          <w:color w:val="auto"/>
          <w:sz w:val="20"/>
          <w:szCs w:val="20"/>
        </w:rPr>
      </w:pPr>
    </w:p>
    <w:p>
      <w:pPr>
        <w:spacing w:line="540" w:lineRule="exact"/>
        <w:rPr>
          <w:rFonts w:ascii="宋体" w:hAnsi="宋体"/>
          <w:color w:val="auto"/>
          <w:sz w:val="20"/>
          <w:szCs w:val="20"/>
        </w:rPr>
      </w:pPr>
    </w:p>
    <w:p>
      <w:pPr>
        <w:spacing w:line="540" w:lineRule="exact"/>
        <w:rPr>
          <w:rFonts w:ascii="宋体" w:hAnsi="宋体"/>
          <w:color w:val="auto"/>
          <w:sz w:val="20"/>
          <w:szCs w:val="20"/>
        </w:rPr>
      </w:pPr>
    </w:p>
    <w:p>
      <w:pPr>
        <w:spacing w:line="540" w:lineRule="exact"/>
        <w:rPr>
          <w:rFonts w:ascii="宋体" w:hAnsi="宋体"/>
          <w:color w:val="auto"/>
          <w:sz w:val="20"/>
          <w:szCs w:val="20"/>
        </w:rPr>
      </w:pPr>
      <w:r>
        <w:rPr>
          <w:rFonts w:hint="eastAsia" w:ascii="宋体" w:hAnsi="宋体"/>
          <w:color w:val="auto"/>
          <w:sz w:val="20"/>
          <w:szCs w:val="20"/>
        </w:rPr>
        <w:br w:type="page"/>
      </w:r>
    </w:p>
    <w:p>
      <w:pPr>
        <w:pStyle w:val="57"/>
        <w:rPr>
          <w:color w:val="auto"/>
          <w:sz w:val="32"/>
          <w:szCs w:val="32"/>
        </w:rPr>
      </w:pPr>
      <w:bookmarkStart w:id="1064" w:name="_Toc29077"/>
      <w:bookmarkEnd w:id="1064"/>
      <w:bookmarkStart w:id="1065" w:name="_Toc152042577"/>
      <w:bookmarkEnd w:id="1065"/>
      <w:bookmarkStart w:id="1066" w:name="_Toc144974857"/>
      <w:bookmarkEnd w:id="1066"/>
      <w:bookmarkStart w:id="1067" w:name="_Toc466298158"/>
      <w:bookmarkEnd w:id="1067"/>
      <w:bookmarkStart w:id="1068" w:name="_Toc152045788"/>
      <w:bookmarkEnd w:id="1068"/>
      <w:bookmarkStart w:id="1069" w:name="_Toc509667322"/>
      <w:bookmarkStart w:id="1070" w:name="_Toc129073526"/>
      <w:bookmarkStart w:id="1071" w:name="_Toc22392"/>
      <w:bookmarkStart w:id="1072" w:name="_Toc10590"/>
      <w:bookmarkStart w:id="1073" w:name="_Toc29525"/>
      <w:bookmarkStart w:id="1074" w:name="_Toc26690"/>
      <w:bookmarkStart w:id="1075" w:name="_Toc6857"/>
      <w:r>
        <w:rPr>
          <w:rFonts w:hint="eastAsia"/>
          <w:color w:val="auto"/>
          <w:sz w:val="32"/>
          <w:szCs w:val="32"/>
        </w:rPr>
        <w:t>一、磋商函及</w:t>
      </w:r>
      <w:bookmarkEnd w:id="1069"/>
      <w:r>
        <w:rPr>
          <w:rFonts w:hint="eastAsia"/>
          <w:color w:val="auto"/>
          <w:sz w:val="32"/>
          <w:szCs w:val="32"/>
        </w:rPr>
        <w:t>磋商函附录</w:t>
      </w:r>
      <w:bookmarkEnd w:id="1070"/>
      <w:bookmarkEnd w:id="1071"/>
      <w:bookmarkEnd w:id="1072"/>
      <w:bookmarkEnd w:id="1073"/>
      <w:bookmarkEnd w:id="1074"/>
      <w:bookmarkEnd w:id="1075"/>
    </w:p>
    <w:p>
      <w:pPr>
        <w:pStyle w:val="58"/>
        <w:numPr>
          <w:ilvl w:val="0"/>
          <w:numId w:val="52"/>
        </w:numPr>
        <w:jc w:val="center"/>
        <w:rPr>
          <w:rFonts w:ascii="宋体" w:hAnsi="宋体" w:eastAsia="宋体"/>
          <w:b/>
          <w:color w:val="auto"/>
        </w:rPr>
      </w:pPr>
      <w:bookmarkStart w:id="1076" w:name="_Toc152042578"/>
      <w:bookmarkEnd w:id="1076"/>
      <w:bookmarkStart w:id="1077" w:name="_Toc8915"/>
      <w:bookmarkEnd w:id="1077"/>
      <w:bookmarkStart w:id="1078" w:name="_Toc152045789"/>
      <w:bookmarkEnd w:id="1078"/>
      <w:bookmarkStart w:id="1079" w:name="_Toc466298159"/>
      <w:bookmarkEnd w:id="1079"/>
      <w:bookmarkStart w:id="1080" w:name="_Toc26262"/>
      <w:bookmarkEnd w:id="1080"/>
      <w:bookmarkStart w:id="1081" w:name="_Toc509667323"/>
      <w:bookmarkEnd w:id="1081"/>
      <w:bookmarkStart w:id="1082" w:name="_Toc30581"/>
      <w:bookmarkEnd w:id="1082"/>
      <w:bookmarkStart w:id="1083" w:name="_Toc455080170"/>
      <w:bookmarkEnd w:id="1083"/>
      <w:bookmarkStart w:id="1084" w:name="_Toc144974858"/>
      <w:bookmarkEnd w:id="1084"/>
      <w:bookmarkStart w:id="1085" w:name="_Toc23888"/>
      <w:bookmarkEnd w:id="1085"/>
      <w:bookmarkStart w:id="1086" w:name="_Toc490667892"/>
      <w:bookmarkEnd w:id="1086"/>
      <w:bookmarkStart w:id="1087" w:name="_Toc18705"/>
      <w:bookmarkEnd w:id="1087"/>
      <w:bookmarkStart w:id="1088" w:name="_Toc11855"/>
      <w:bookmarkEnd w:id="1088"/>
      <w:bookmarkStart w:id="1089" w:name="_Toc318450744"/>
      <w:bookmarkEnd w:id="1089"/>
      <w:bookmarkStart w:id="1090" w:name="_Toc455867830"/>
      <w:bookmarkStart w:id="1091" w:name="_Toc129073527"/>
      <w:bookmarkStart w:id="1092" w:name="_Toc2587"/>
      <w:r>
        <w:rPr>
          <w:rFonts w:hint="eastAsia" w:ascii="宋体" w:hAnsi="宋体" w:eastAsia="宋体"/>
          <w:b/>
          <w:color w:val="auto"/>
        </w:rPr>
        <w:t>磋商函</w:t>
      </w:r>
      <w:bookmarkEnd w:id="1090"/>
      <w:bookmarkEnd w:id="1091"/>
      <w:bookmarkEnd w:id="1092"/>
    </w:p>
    <w:p>
      <w:pPr>
        <w:spacing w:line="360" w:lineRule="auto"/>
        <w:rPr>
          <w:rFonts w:ascii="宋体" w:hAnsi="宋体"/>
          <w:color w:val="auto"/>
        </w:rPr>
      </w:pPr>
      <w:r>
        <w:rPr>
          <w:rFonts w:hint="eastAsia" w:ascii="宋体" w:hAnsi="宋体"/>
          <w:color w:val="auto"/>
          <w:u w:val="single"/>
        </w:rPr>
        <w:t>（采购人名称）</w:t>
      </w:r>
      <w:r>
        <w:rPr>
          <w:rFonts w:hint="eastAsia" w:ascii="宋体" w:hAnsi="宋体"/>
          <w:color w:val="auto"/>
        </w:rPr>
        <w:t>：</w:t>
      </w:r>
    </w:p>
    <w:p>
      <w:pPr>
        <w:spacing w:line="360" w:lineRule="auto"/>
        <w:ind w:firstLine="420" w:firstLineChars="200"/>
        <w:rPr>
          <w:rFonts w:ascii="宋体" w:hAnsi="宋体"/>
          <w:color w:val="auto"/>
        </w:rPr>
      </w:pPr>
      <w:r>
        <w:rPr>
          <w:rFonts w:hint="eastAsia" w:ascii="宋体" w:hAnsi="宋体"/>
          <w:color w:val="auto"/>
        </w:rPr>
        <w:t>1．我方已仔细研究了</w:t>
      </w:r>
      <w:r>
        <w:rPr>
          <w:rFonts w:hint="eastAsia" w:ascii="宋体" w:hAnsi="宋体"/>
          <w:color w:val="auto"/>
          <w:u w:val="single"/>
        </w:rPr>
        <w:t xml:space="preserve"> 邓州市人民法院审判法庭和青少年法治教育基地综合布线项目 （项目名称）</w:t>
      </w:r>
      <w:r>
        <w:rPr>
          <w:rFonts w:hint="eastAsia" w:ascii="宋体" w:hAnsi="宋体"/>
          <w:color w:val="auto"/>
        </w:rPr>
        <w:t>磋商文件的全部内容，愿意以人民币</w:t>
      </w:r>
      <w:r>
        <w:rPr>
          <w:rFonts w:hint="eastAsia" w:ascii="宋体" w:hAnsi="宋体"/>
          <w:color w:val="auto"/>
          <w:u w:val="single"/>
        </w:rPr>
        <w:t xml:space="preserve">     </w:t>
      </w:r>
      <w:r>
        <w:rPr>
          <w:rFonts w:hint="eastAsia" w:ascii="宋体" w:hAnsi="宋体"/>
          <w:color w:val="auto"/>
        </w:rPr>
        <w:t>（小写：</w:t>
      </w:r>
      <w:r>
        <w:rPr>
          <w:rFonts w:hint="eastAsia" w:ascii="宋体" w:hAnsi="宋体"/>
          <w:color w:val="auto"/>
          <w:u w:val="single"/>
        </w:rPr>
        <w:t xml:space="preserve">     </w:t>
      </w:r>
      <w:r>
        <w:rPr>
          <w:rFonts w:hint="eastAsia" w:ascii="宋体" w:hAnsi="宋体"/>
          <w:color w:val="auto"/>
        </w:rPr>
        <w:t>）的首次报价，工期要求：</w:t>
      </w:r>
      <w:r>
        <w:rPr>
          <w:rFonts w:hint="eastAsia" w:ascii="宋体" w:hAnsi="宋体"/>
          <w:color w:val="auto"/>
          <w:u w:val="single"/>
        </w:rPr>
        <w:t xml:space="preserve">     </w:t>
      </w:r>
      <w:r>
        <w:rPr>
          <w:rFonts w:hint="eastAsia" w:ascii="宋体" w:hAnsi="宋体"/>
          <w:color w:val="auto"/>
        </w:rPr>
        <w:t>，按合同约定实施和完成本项目，质量要求达到：</w:t>
      </w:r>
      <w:r>
        <w:rPr>
          <w:rFonts w:hint="eastAsia" w:ascii="宋体" w:hAnsi="宋体"/>
          <w:color w:val="auto"/>
          <w:u w:val="single"/>
        </w:rPr>
        <w:t xml:space="preserve">     </w:t>
      </w:r>
      <w:r>
        <w:rPr>
          <w:rFonts w:hint="eastAsia" w:ascii="宋体" w:hAnsi="宋体"/>
          <w:color w:val="auto"/>
        </w:rPr>
        <w:t xml:space="preserve">。 </w:t>
      </w:r>
    </w:p>
    <w:p>
      <w:pPr>
        <w:spacing w:line="360" w:lineRule="auto"/>
        <w:ind w:firstLine="420" w:firstLineChars="200"/>
        <w:rPr>
          <w:rFonts w:ascii="宋体" w:hAnsi="宋体"/>
          <w:color w:val="auto"/>
        </w:rPr>
      </w:pPr>
      <w:bookmarkStart w:id="1093" w:name="_Toc466298160"/>
      <w:bookmarkEnd w:id="1093"/>
      <w:bookmarkStart w:id="1094" w:name="_Toc447888814"/>
      <w:r>
        <w:rPr>
          <w:rFonts w:hint="eastAsia" w:ascii="宋体" w:hAnsi="宋体"/>
          <w:color w:val="auto"/>
        </w:rPr>
        <w:t>2．我方承诺在磋商有效期</w:t>
      </w:r>
      <w:bookmarkEnd w:id="1094"/>
      <w:r>
        <w:rPr>
          <w:rFonts w:hint="eastAsia" w:ascii="宋体" w:hAnsi="宋体"/>
          <w:color w:val="auto"/>
          <w:u w:val="single"/>
        </w:rPr>
        <w:t xml:space="preserve"> 60</w:t>
      </w:r>
      <w:r>
        <w:rPr>
          <w:rFonts w:hint="eastAsia" w:ascii="宋体" w:hAnsi="宋体"/>
          <w:color w:val="auto"/>
        </w:rPr>
        <w:t>日历天内不修改、撤销响应文件。</w:t>
      </w:r>
    </w:p>
    <w:p>
      <w:pPr>
        <w:spacing w:line="360" w:lineRule="auto"/>
        <w:ind w:firstLine="420" w:firstLineChars="200"/>
        <w:rPr>
          <w:rFonts w:ascii="宋体" w:hAnsi="宋体"/>
          <w:color w:val="auto"/>
        </w:rPr>
      </w:pPr>
      <w:r>
        <w:rPr>
          <w:rFonts w:hint="eastAsia" w:ascii="宋体" w:hAnsi="宋体"/>
          <w:color w:val="auto"/>
        </w:rPr>
        <w:t>3．如我方中标：</w:t>
      </w:r>
    </w:p>
    <w:p>
      <w:pPr>
        <w:spacing w:line="360" w:lineRule="auto"/>
        <w:ind w:firstLine="420" w:firstLineChars="200"/>
        <w:rPr>
          <w:rFonts w:ascii="宋体" w:hAnsi="宋体"/>
          <w:color w:val="auto"/>
        </w:rPr>
      </w:pPr>
      <w:r>
        <w:rPr>
          <w:rFonts w:hint="eastAsia" w:ascii="宋体" w:hAnsi="宋体"/>
          <w:color w:val="auto"/>
        </w:rPr>
        <w:t>(l）我方承诺在收到成交通知书后，在成交通知书规定的期限内与你方签订合同。</w:t>
      </w:r>
    </w:p>
    <w:p>
      <w:pPr>
        <w:spacing w:line="360" w:lineRule="auto"/>
        <w:ind w:firstLine="420" w:firstLineChars="200"/>
        <w:rPr>
          <w:rFonts w:ascii="宋体" w:hAnsi="宋体"/>
          <w:color w:val="auto"/>
        </w:rPr>
      </w:pPr>
      <w:r>
        <w:rPr>
          <w:rFonts w:hint="eastAsia" w:ascii="宋体" w:hAnsi="宋体"/>
          <w:color w:val="auto"/>
        </w:rPr>
        <w:t>(2）随同本磋商函递交的磋商函附录属于合同文件的组成部分。</w:t>
      </w:r>
    </w:p>
    <w:p>
      <w:pPr>
        <w:spacing w:line="360" w:lineRule="auto"/>
        <w:ind w:firstLine="420" w:firstLineChars="200"/>
        <w:rPr>
          <w:rFonts w:ascii="宋体" w:hAnsi="宋体"/>
          <w:color w:val="auto"/>
        </w:rPr>
      </w:pPr>
      <w:r>
        <w:rPr>
          <w:rFonts w:hint="eastAsia" w:ascii="宋体" w:hAnsi="宋体"/>
          <w:color w:val="auto"/>
        </w:rPr>
        <w:t>(3）我方承诺按照磋商文件规定向你方递交履约担保。</w:t>
      </w:r>
    </w:p>
    <w:p>
      <w:pPr>
        <w:spacing w:line="360" w:lineRule="auto"/>
        <w:ind w:firstLine="420" w:firstLineChars="200"/>
        <w:rPr>
          <w:rFonts w:ascii="宋体" w:hAnsi="宋体"/>
          <w:color w:val="auto"/>
        </w:rPr>
      </w:pPr>
      <w:r>
        <w:rPr>
          <w:rFonts w:hint="eastAsia" w:ascii="宋体" w:hAnsi="宋体"/>
          <w:color w:val="auto"/>
        </w:rPr>
        <w:t>(4）我方承诺在合同约定的期限内完成本项目。</w:t>
      </w:r>
    </w:p>
    <w:p>
      <w:pPr>
        <w:spacing w:line="360" w:lineRule="auto"/>
        <w:ind w:firstLine="420" w:firstLineChars="200"/>
        <w:rPr>
          <w:rFonts w:ascii="宋体" w:hAnsi="宋体"/>
          <w:color w:val="auto"/>
        </w:rPr>
      </w:pPr>
      <w:r>
        <w:rPr>
          <w:rFonts w:hint="eastAsia" w:ascii="宋体" w:hAnsi="宋体"/>
          <w:color w:val="auto"/>
        </w:rPr>
        <w:t>4．我方在此声明，所递交的响应文件及有关资料内容完整、真实和准确。</w:t>
      </w:r>
    </w:p>
    <w:p>
      <w:pPr>
        <w:spacing w:line="360" w:lineRule="auto"/>
        <w:ind w:firstLine="420" w:firstLineChars="200"/>
        <w:rPr>
          <w:rFonts w:ascii="宋体" w:hAnsi="宋体"/>
          <w:color w:val="auto"/>
          <w:u w:val="single"/>
        </w:rPr>
      </w:pPr>
      <w:r>
        <w:rPr>
          <w:rFonts w:hint="eastAsia" w:ascii="宋体" w:hAnsi="宋体"/>
          <w:color w:val="auto"/>
        </w:rPr>
        <w:t xml:space="preserve">5. </w:t>
      </w:r>
      <w:r>
        <w:rPr>
          <w:rFonts w:hint="eastAsia" w:ascii="宋体" w:hAnsi="宋体"/>
          <w:color w:val="auto"/>
          <w:u w:val="single"/>
        </w:rPr>
        <w:t>所有与本招标有关的函件请发往下列地址：</w:t>
      </w:r>
    </w:p>
    <w:p>
      <w:pPr>
        <w:spacing w:line="360" w:lineRule="auto"/>
        <w:ind w:firstLine="420" w:firstLineChars="200"/>
        <w:rPr>
          <w:rFonts w:ascii="宋体" w:hAnsi="宋体"/>
          <w:color w:val="auto"/>
        </w:rPr>
      </w:pPr>
      <w:r>
        <w:rPr>
          <w:rFonts w:hint="eastAsia" w:ascii="宋体" w:hAnsi="宋体"/>
          <w:color w:val="auto"/>
        </w:rPr>
        <w:t xml:space="preserve">地 </w:t>
      </w:r>
      <w:r>
        <w:rPr>
          <w:rFonts w:hint="eastAsia" w:ascii="宋体" w:hAnsi="宋体"/>
          <w:color w:val="auto"/>
          <w:lang w:val="en-US" w:eastAsia="zh-CN"/>
        </w:rPr>
        <w:t xml:space="preserve">   </w:t>
      </w:r>
      <w:r>
        <w:rPr>
          <w:rFonts w:hint="eastAsia" w:ascii="宋体" w:hAnsi="宋体"/>
          <w:color w:val="auto"/>
        </w:rPr>
        <w:t>址：</w:t>
      </w:r>
      <w:r>
        <w:rPr>
          <w:rFonts w:hint="eastAsia" w:ascii="宋体" w:hAnsi="宋体"/>
          <w:color w:val="auto"/>
          <w:u w:val="single"/>
          <w:lang w:val="en-US" w:eastAsia="zh-CN"/>
        </w:rPr>
        <w:t xml:space="preserve">              </w:t>
      </w:r>
      <w:r>
        <w:rPr>
          <w:rFonts w:hint="eastAsia" w:ascii="宋体" w:hAnsi="宋体"/>
          <w:color w:val="auto"/>
        </w:rPr>
        <w:t>邮政编码：</w:t>
      </w:r>
      <w:r>
        <w:rPr>
          <w:rFonts w:hint="eastAsia" w:ascii="宋体" w:hAnsi="宋体"/>
          <w:color w:val="auto"/>
          <w:u w:val="single"/>
          <w:lang w:val="en-US" w:eastAsia="zh-CN"/>
        </w:rPr>
        <w:t xml:space="preserve">              </w:t>
      </w:r>
    </w:p>
    <w:p>
      <w:pPr>
        <w:spacing w:line="360" w:lineRule="auto"/>
        <w:ind w:firstLine="420" w:firstLineChars="200"/>
        <w:rPr>
          <w:rFonts w:ascii="宋体" w:hAnsi="宋体"/>
          <w:color w:val="auto"/>
        </w:rPr>
      </w:pPr>
      <w:r>
        <w:rPr>
          <w:rFonts w:hint="eastAsia" w:ascii="宋体" w:hAnsi="宋体"/>
          <w:color w:val="auto"/>
        </w:rPr>
        <w:t xml:space="preserve">电 </w:t>
      </w:r>
      <w:r>
        <w:rPr>
          <w:rFonts w:hint="eastAsia" w:ascii="宋体" w:hAnsi="宋体"/>
          <w:color w:val="auto"/>
          <w:lang w:val="en-US" w:eastAsia="zh-CN"/>
        </w:rPr>
        <w:t xml:space="preserve">   </w:t>
      </w:r>
      <w:r>
        <w:rPr>
          <w:rFonts w:hint="eastAsia" w:ascii="宋体" w:hAnsi="宋体"/>
          <w:color w:val="auto"/>
        </w:rPr>
        <w:t>话：</w:t>
      </w:r>
      <w:r>
        <w:rPr>
          <w:rFonts w:hint="eastAsia" w:ascii="宋体" w:hAnsi="宋体"/>
          <w:color w:val="auto"/>
          <w:u w:val="single"/>
          <w:lang w:val="en-US" w:eastAsia="zh-CN"/>
        </w:rPr>
        <w:t xml:space="preserve">              </w:t>
      </w:r>
      <w:r>
        <w:rPr>
          <w:rFonts w:hint="eastAsia" w:ascii="宋体" w:hAnsi="宋体"/>
          <w:color w:val="auto"/>
        </w:rPr>
        <w:t>电子邮箱：</w:t>
      </w:r>
      <w:r>
        <w:rPr>
          <w:rFonts w:hint="eastAsia" w:ascii="宋体" w:hAnsi="宋体"/>
          <w:color w:val="auto"/>
          <w:u w:val="single"/>
          <w:lang w:val="en-US" w:eastAsia="zh-CN"/>
        </w:rPr>
        <w:t xml:space="preserve">              </w:t>
      </w:r>
    </w:p>
    <w:p>
      <w:pPr>
        <w:spacing w:line="360" w:lineRule="auto"/>
        <w:ind w:firstLine="420" w:firstLineChars="200"/>
        <w:rPr>
          <w:rFonts w:ascii="宋体" w:hAnsi="宋体"/>
          <w:color w:val="auto"/>
        </w:rPr>
      </w:pPr>
      <w:r>
        <w:rPr>
          <w:rFonts w:hint="eastAsia" w:ascii="宋体" w:hAnsi="宋体"/>
          <w:color w:val="auto"/>
        </w:rPr>
        <w:t>代表姓名：</w:t>
      </w:r>
      <w:r>
        <w:rPr>
          <w:rFonts w:hint="eastAsia" w:ascii="宋体" w:hAnsi="宋体"/>
          <w:color w:val="auto"/>
          <w:u w:val="single"/>
          <w:lang w:val="en-US" w:eastAsia="zh-CN"/>
        </w:rPr>
        <w:t xml:space="preserve">              </w:t>
      </w:r>
      <w:r>
        <w:rPr>
          <w:rFonts w:hint="eastAsia" w:ascii="宋体" w:hAnsi="宋体"/>
          <w:color w:val="auto"/>
        </w:rPr>
        <w:t xml:space="preserve">职 </w:t>
      </w:r>
      <w:r>
        <w:rPr>
          <w:rFonts w:hint="eastAsia" w:ascii="宋体" w:hAnsi="宋体"/>
          <w:color w:val="auto"/>
          <w:lang w:val="en-US" w:eastAsia="zh-CN"/>
        </w:rPr>
        <w:t xml:space="preserve">   </w:t>
      </w:r>
      <w:r>
        <w:rPr>
          <w:rFonts w:hint="eastAsia" w:ascii="宋体" w:hAnsi="宋体"/>
          <w:color w:val="auto"/>
        </w:rPr>
        <w:t>务：</w:t>
      </w:r>
      <w:r>
        <w:rPr>
          <w:rFonts w:hint="eastAsia" w:ascii="宋体" w:hAnsi="宋体"/>
          <w:color w:val="auto"/>
          <w:u w:val="single"/>
          <w:lang w:val="en-US" w:eastAsia="zh-CN"/>
        </w:rPr>
        <w:t xml:space="preserve">              </w:t>
      </w:r>
    </w:p>
    <w:p>
      <w:pPr>
        <w:spacing w:line="360" w:lineRule="auto"/>
        <w:ind w:firstLine="420" w:firstLineChars="200"/>
        <w:rPr>
          <w:rFonts w:ascii="宋体" w:hAnsi="宋体"/>
          <w:color w:val="auto"/>
        </w:rPr>
      </w:pPr>
    </w:p>
    <w:p>
      <w:pPr>
        <w:spacing w:line="360" w:lineRule="auto"/>
        <w:ind w:left="3780" w:leftChars="1800" w:firstLine="525" w:firstLineChars="250"/>
        <w:rPr>
          <w:rFonts w:ascii="宋体" w:hAnsi="宋体"/>
          <w:color w:val="auto"/>
        </w:rPr>
      </w:pPr>
    </w:p>
    <w:p>
      <w:pPr>
        <w:spacing w:line="360" w:lineRule="auto"/>
        <w:ind w:firstLine="3998" w:firstLineChars="1904"/>
        <w:rPr>
          <w:color w:val="auto"/>
        </w:rPr>
      </w:pPr>
      <w:bookmarkStart w:id="1095" w:name="_Toc490667893"/>
      <w:bookmarkEnd w:id="1095"/>
      <w:bookmarkStart w:id="1096" w:name="_Toc509667324"/>
      <w:r>
        <w:rPr>
          <w:rFonts w:hint="eastAsia"/>
          <w:color w:val="auto"/>
        </w:rPr>
        <w:t>供应商名称（盖章）：</w:t>
      </w:r>
    </w:p>
    <w:p>
      <w:pPr>
        <w:spacing w:line="360" w:lineRule="auto"/>
        <w:ind w:firstLine="3998" w:firstLineChars="1904"/>
        <w:rPr>
          <w:color w:val="auto"/>
        </w:rPr>
      </w:pPr>
      <w:r>
        <w:rPr>
          <w:rFonts w:hint="eastAsia"/>
          <w:color w:val="auto"/>
        </w:rPr>
        <w:t>法定代表人或</w:t>
      </w:r>
      <w:r>
        <w:rPr>
          <w:rFonts w:hint="eastAsia"/>
          <w:color w:val="auto"/>
          <w:lang w:val="en-US" w:eastAsia="zh-CN"/>
        </w:rPr>
        <w:t>委托</w:t>
      </w:r>
      <w:r>
        <w:rPr>
          <w:rFonts w:hint="eastAsia"/>
          <w:color w:val="auto"/>
        </w:rPr>
        <w:t>代理人（签字或盖章）：</w:t>
      </w:r>
    </w:p>
    <w:p>
      <w:pPr>
        <w:spacing w:line="360" w:lineRule="auto"/>
        <w:ind w:firstLine="3998" w:firstLineChars="1904"/>
        <w:rPr>
          <w:rFonts w:eastAsiaTheme="minorEastAsia"/>
          <w:b/>
          <w:color w:val="auto"/>
        </w:rPr>
      </w:pPr>
      <w:r>
        <w:rPr>
          <w:rFonts w:hint="eastAsia"/>
          <w:color w:val="auto"/>
        </w:rPr>
        <w:t>日期：    年   月   日</w:t>
      </w:r>
    </w:p>
    <w:p>
      <w:pPr>
        <w:pStyle w:val="4"/>
        <w:jc w:val="center"/>
        <w:rPr>
          <w:rFonts w:ascii="宋体" w:hAnsi="宋体" w:eastAsia="宋体"/>
          <w:color w:val="auto"/>
          <w:sz w:val="28"/>
          <w:szCs w:val="28"/>
        </w:rPr>
      </w:pPr>
      <w:r>
        <w:rPr>
          <w:rFonts w:hint="eastAsia" w:ascii="宋体" w:hAnsi="宋体" w:eastAsia="宋体"/>
          <w:color w:val="auto"/>
          <w:sz w:val="28"/>
          <w:szCs w:val="28"/>
        </w:rPr>
        <w:br w:type="page"/>
      </w:r>
      <w:bookmarkEnd w:id="1096"/>
      <w:bookmarkStart w:id="1097" w:name="_Toc129073528"/>
      <w:bookmarkStart w:id="1098" w:name="_Toc12248"/>
      <w:r>
        <w:rPr>
          <w:rFonts w:hint="eastAsia" w:ascii="宋体" w:hAnsi="宋体" w:eastAsia="宋体"/>
          <w:color w:val="auto"/>
          <w:sz w:val="28"/>
          <w:szCs w:val="28"/>
        </w:rPr>
        <w:t>（二）</w:t>
      </w:r>
      <w:r>
        <w:rPr>
          <w:rFonts w:hint="eastAsia" w:ascii="宋体" w:hAnsi="宋体" w:eastAsia="宋体"/>
          <w:color w:val="auto"/>
        </w:rPr>
        <w:t>磋商函附录</w:t>
      </w:r>
      <w:bookmarkEnd w:id="1097"/>
      <w:bookmarkEnd w:id="1098"/>
    </w:p>
    <w:tbl>
      <w:tblPr>
        <w:tblStyle w:val="3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1424"/>
        <w:gridCol w:w="1662"/>
        <w:gridCol w:w="1260"/>
        <w:gridCol w:w="106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项目名称</w:t>
            </w:r>
          </w:p>
        </w:tc>
        <w:tc>
          <w:tcPr>
            <w:tcW w:w="6861" w:type="dxa"/>
            <w:gridSpan w:val="5"/>
            <w:tcBorders>
              <w:top w:val="single" w:color="auto" w:sz="4" w:space="0"/>
              <w:left w:val="nil"/>
              <w:bottom w:val="single" w:color="auto" w:sz="4" w:space="0"/>
              <w:right w:val="single" w:color="auto" w:sz="4" w:space="0"/>
            </w:tcBorders>
            <w:vAlign w:val="center"/>
          </w:tcPr>
          <w:p>
            <w:pPr>
              <w:rPr>
                <w:rFonts w:ascii="宋体" w:hAnsi="宋体"/>
                <w:color w:val="auto"/>
              </w:rPr>
            </w:pPr>
            <w:r>
              <w:rPr>
                <w:rFonts w:hint="eastAsia" w:ascii="宋体" w:hAnsi="宋体"/>
                <w:color w:val="auto"/>
              </w:rPr>
              <w:t>邓州市人民法院审判法庭和青少年法治教育基地综合布线项目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供应商</w:t>
            </w:r>
          </w:p>
        </w:tc>
        <w:tc>
          <w:tcPr>
            <w:tcW w:w="6861" w:type="dxa"/>
            <w:gridSpan w:val="5"/>
            <w:tcBorders>
              <w:top w:val="single" w:color="auto" w:sz="4" w:space="0"/>
              <w:left w:val="nil"/>
              <w:bottom w:val="single" w:color="auto" w:sz="4" w:space="0"/>
              <w:right w:val="single" w:color="auto" w:sz="4" w:space="0"/>
            </w:tcBorders>
            <w:vAlign w:val="center"/>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磋商范围及内容</w:t>
            </w:r>
          </w:p>
        </w:tc>
        <w:tc>
          <w:tcPr>
            <w:tcW w:w="686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rPr>
            </w:pPr>
            <w:r>
              <w:rPr>
                <w:rFonts w:hint="eastAsia" w:ascii="宋体" w:hAnsi="宋体"/>
                <w:color w:val="auto"/>
              </w:rPr>
              <w:t>首次报价</w:t>
            </w:r>
          </w:p>
        </w:tc>
        <w:tc>
          <w:tcPr>
            <w:tcW w:w="6861" w:type="dxa"/>
            <w:gridSpan w:val="5"/>
            <w:tcBorders>
              <w:top w:val="single" w:color="auto" w:sz="4" w:space="0"/>
              <w:left w:val="nil"/>
              <w:bottom w:val="single" w:color="auto" w:sz="4" w:space="0"/>
              <w:right w:val="single" w:color="auto" w:sz="4" w:space="0"/>
            </w:tcBorders>
            <w:vAlign w:val="center"/>
          </w:tcPr>
          <w:p>
            <w:pPr>
              <w:rPr>
                <w:rFonts w:ascii="宋体" w:hAnsi="宋体"/>
                <w:color w:val="auto"/>
              </w:rPr>
            </w:pPr>
            <w:r>
              <w:rPr>
                <w:rFonts w:hint="eastAsia" w:ascii="宋体" w:hAnsi="宋体"/>
                <w:color w:val="auto"/>
              </w:rPr>
              <w:t>（大写）</w:t>
            </w:r>
          </w:p>
          <w:p>
            <w:pPr>
              <w:rPr>
                <w:rFonts w:ascii="宋体" w:hAnsi="宋体"/>
                <w:color w:val="auto"/>
              </w:rPr>
            </w:pPr>
            <w:r>
              <w:rPr>
                <w:rFonts w:hint="eastAsia" w:ascii="宋体" w:hAnsi="宋体"/>
                <w:color w:val="auto"/>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建设地点</w:t>
            </w:r>
          </w:p>
        </w:tc>
        <w:tc>
          <w:tcPr>
            <w:tcW w:w="6861" w:type="dxa"/>
            <w:gridSpan w:val="5"/>
            <w:tcBorders>
              <w:top w:val="single" w:color="auto" w:sz="4" w:space="0"/>
              <w:left w:val="nil"/>
              <w:bottom w:val="single" w:color="auto" w:sz="4" w:space="0"/>
              <w:right w:val="single" w:color="auto" w:sz="4" w:space="0"/>
            </w:tcBorders>
            <w:vAlign w:val="center"/>
          </w:tcPr>
          <w:p>
            <w:pPr>
              <w:jc w:val="left"/>
              <w:rPr>
                <w:rFonts w:hint="eastAsia" w:ascii="宋体" w:hAnsi="宋体" w:eastAsia="宋体"/>
                <w:color w:val="auto"/>
                <w:lang w:eastAsia="zh-CN"/>
              </w:rPr>
            </w:pPr>
            <w:r>
              <w:rPr>
                <w:rFonts w:hint="eastAsia" w:ascii="宋体" w:hAnsi="宋体"/>
                <w:color w:val="auto"/>
                <w:lang w:eastAsia="zh-CN"/>
              </w:rPr>
              <w:t>邓州市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工期</w:t>
            </w:r>
          </w:p>
        </w:tc>
        <w:tc>
          <w:tcPr>
            <w:tcW w:w="686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质量</w:t>
            </w:r>
          </w:p>
        </w:tc>
        <w:tc>
          <w:tcPr>
            <w:tcW w:w="686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缺陷责任期</w:t>
            </w:r>
          </w:p>
        </w:tc>
        <w:tc>
          <w:tcPr>
            <w:tcW w:w="686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付款方式</w:t>
            </w:r>
          </w:p>
        </w:tc>
        <w:tc>
          <w:tcPr>
            <w:tcW w:w="686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项目经理</w:t>
            </w:r>
          </w:p>
        </w:tc>
        <w:tc>
          <w:tcPr>
            <w:tcW w:w="1424"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c>
          <w:tcPr>
            <w:tcW w:w="1662"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auto"/>
                <w:lang w:val="en-US" w:eastAsia="zh-CN"/>
              </w:rPr>
            </w:pPr>
            <w:r>
              <w:rPr>
                <w:rFonts w:hint="eastAsia" w:ascii="宋体" w:hAnsi="宋体"/>
                <w:color w:val="auto"/>
                <w:lang w:val="en-US" w:eastAsia="zh-CN"/>
              </w:rPr>
              <w:t>注册建造师</w:t>
            </w:r>
          </w:p>
          <w:p>
            <w:pPr>
              <w:jc w:val="center"/>
              <w:rPr>
                <w:rFonts w:hint="default" w:ascii="宋体" w:hAnsi="宋体" w:eastAsia="宋体"/>
                <w:color w:val="auto"/>
                <w:lang w:val="en-US" w:eastAsia="zh-CN"/>
              </w:rPr>
            </w:pPr>
            <w:r>
              <w:rPr>
                <w:rFonts w:hint="eastAsia" w:ascii="宋体" w:hAnsi="宋体"/>
                <w:color w:val="auto"/>
                <w:lang w:val="en-US" w:eastAsia="zh-CN"/>
              </w:rPr>
              <w:t>级别及专业</w:t>
            </w:r>
          </w:p>
        </w:tc>
        <w:tc>
          <w:tcPr>
            <w:tcW w:w="1260" w:type="dxa"/>
            <w:tcBorders>
              <w:top w:val="single" w:color="auto" w:sz="4" w:space="0"/>
              <w:left w:val="nil"/>
              <w:bottom w:val="single" w:color="auto" w:sz="4" w:space="0"/>
              <w:right w:val="single" w:color="auto" w:sz="4" w:space="0"/>
            </w:tcBorders>
            <w:vAlign w:val="center"/>
          </w:tcPr>
          <w:p>
            <w:pPr>
              <w:jc w:val="center"/>
              <w:rPr>
                <w:rFonts w:hint="eastAsia" w:ascii="宋体" w:hAnsi="宋体"/>
                <w:color w:val="auto"/>
                <w:lang w:val="en-US" w:eastAsia="zh-CN"/>
              </w:rPr>
            </w:pPr>
          </w:p>
        </w:tc>
        <w:tc>
          <w:tcPr>
            <w:tcW w:w="1060"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证书编号</w:t>
            </w:r>
          </w:p>
        </w:tc>
        <w:tc>
          <w:tcPr>
            <w:tcW w:w="1455" w:type="dxa"/>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磋商有效期</w:t>
            </w:r>
          </w:p>
        </w:tc>
        <w:tc>
          <w:tcPr>
            <w:tcW w:w="6861" w:type="dxa"/>
            <w:gridSpan w:val="5"/>
            <w:tcBorders>
              <w:top w:val="single" w:color="auto" w:sz="4" w:space="0"/>
              <w:left w:val="nil"/>
              <w:bottom w:val="single" w:color="auto" w:sz="4" w:space="0"/>
              <w:right w:val="single" w:color="auto" w:sz="4" w:space="0"/>
            </w:tcBorders>
            <w:vAlign w:val="center"/>
          </w:tcPr>
          <w:p>
            <w:pPr>
              <w:jc w:val="left"/>
              <w:rPr>
                <w:rFonts w:ascii="宋体" w:hAnsi="宋体"/>
                <w:color w:val="auto"/>
              </w:rPr>
            </w:pPr>
            <w:r>
              <w:rPr>
                <w:rFonts w:hint="eastAsia" w:ascii="宋体" w:hAnsi="宋体"/>
                <w:color w:val="auto"/>
                <w:kern w:val="0"/>
              </w:rPr>
              <w:t>60日历天（响应文件提交截止之日起）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lang w:eastAsia="zh-CN"/>
              </w:rPr>
            </w:pPr>
            <w:r>
              <w:rPr>
                <w:rFonts w:hint="eastAsia" w:ascii="宋体" w:hAnsi="宋体"/>
                <w:color w:val="auto"/>
                <w:lang w:eastAsia="zh-CN"/>
              </w:rPr>
              <w:t>技术标准和要求</w:t>
            </w:r>
          </w:p>
        </w:tc>
        <w:tc>
          <w:tcPr>
            <w:tcW w:w="6861" w:type="dxa"/>
            <w:gridSpan w:val="5"/>
            <w:tcBorders>
              <w:top w:val="single" w:color="auto" w:sz="4" w:space="0"/>
              <w:left w:val="nil"/>
              <w:bottom w:val="single" w:color="auto" w:sz="4" w:space="0"/>
              <w:right w:val="single" w:color="auto" w:sz="4" w:space="0"/>
            </w:tcBorders>
            <w:vAlign w:val="center"/>
          </w:tcPr>
          <w:p>
            <w:pPr>
              <w:jc w:val="left"/>
              <w:rPr>
                <w:rFonts w:hint="eastAsia"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lang w:eastAsia="zh-CN"/>
              </w:rPr>
              <w:t>其他</w:t>
            </w:r>
            <w:r>
              <w:rPr>
                <w:rFonts w:hint="eastAsia" w:ascii="宋体" w:hAnsi="宋体"/>
                <w:color w:val="auto"/>
              </w:rPr>
              <w:t>承诺</w:t>
            </w:r>
          </w:p>
        </w:tc>
        <w:tc>
          <w:tcPr>
            <w:tcW w:w="6861" w:type="dxa"/>
            <w:gridSpan w:val="5"/>
            <w:tcBorders>
              <w:top w:val="single" w:color="auto" w:sz="4" w:space="0"/>
              <w:left w:val="nil"/>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020" w:type="dxa"/>
            <w:gridSpan w:val="6"/>
            <w:tcBorders>
              <w:top w:val="single" w:color="auto" w:sz="4" w:space="0"/>
              <w:left w:val="single" w:color="auto" w:sz="4" w:space="0"/>
              <w:bottom w:val="single" w:color="auto" w:sz="4" w:space="0"/>
              <w:right w:val="single" w:color="auto" w:sz="4" w:space="0"/>
            </w:tcBorders>
          </w:tcPr>
          <w:p>
            <w:pPr>
              <w:rPr>
                <w:rFonts w:ascii="宋体" w:hAnsi="宋体"/>
                <w:color w:val="auto"/>
              </w:rPr>
            </w:pPr>
            <w:r>
              <w:rPr>
                <w:rFonts w:hint="eastAsia" w:ascii="宋体" w:hAnsi="宋体"/>
                <w:b/>
                <w:color w:val="auto"/>
              </w:rPr>
              <w:t>备注：供应商在竞争性磋商文件中规定的实质性要求和条件的基础上，可做出其他有利于采购人的承诺。此类承诺可在本表中予以补充填写，可另附页。</w:t>
            </w:r>
          </w:p>
        </w:tc>
      </w:tr>
    </w:tbl>
    <w:p>
      <w:pPr>
        <w:rPr>
          <w:rFonts w:ascii="宋体" w:hAnsi="宋体"/>
          <w:color w:val="auto"/>
          <w:sz w:val="24"/>
          <w:szCs w:val="24"/>
        </w:rPr>
      </w:pPr>
    </w:p>
    <w:p>
      <w:pPr>
        <w:spacing w:line="360" w:lineRule="auto"/>
        <w:ind w:firstLine="420" w:firstLineChars="200"/>
        <w:rPr>
          <w:color w:val="auto"/>
        </w:rPr>
      </w:pPr>
      <w:bookmarkStart w:id="1099" w:name="_Toc509667325"/>
      <w:bookmarkEnd w:id="1099"/>
      <w:bookmarkStart w:id="1100" w:name="_Toc466298161"/>
      <w:r>
        <w:rPr>
          <w:rFonts w:hint="eastAsia"/>
          <w:color w:val="auto"/>
        </w:rPr>
        <w:t>供应商名称（盖章）：</w:t>
      </w:r>
    </w:p>
    <w:p>
      <w:pPr>
        <w:spacing w:line="360" w:lineRule="auto"/>
        <w:ind w:firstLine="420" w:firstLineChars="200"/>
        <w:rPr>
          <w:color w:val="auto"/>
        </w:rPr>
      </w:pPr>
      <w:r>
        <w:rPr>
          <w:rFonts w:hint="eastAsia"/>
          <w:color w:val="auto"/>
        </w:rPr>
        <w:t>法定代表人或</w:t>
      </w:r>
      <w:r>
        <w:rPr>
          <w:rFonts w:hint="eastAsia"/>
          <w:color w:val="auto"/>
          <w:lang w:val="en-US" w:eastAsia="zh-CN"/>
        </w:rPr>
        <w:t>委托</w:t>
      </w:r>
      <w:r>
        <w:rPr>
          <w:rFonts w:hint="eastAsia"/>
          <w:color w:val="auto"/>
        </w:rPr>
        <w:t>代理人（签字或盖章）：</w:t>
      </w:r>
    </w:p>
    <w:p>
      <w:pPr>
        <w:spacing w:line="360" w:lineRule="auto"/>
        <w:ind w:firstLine="420" w:firstLineChars="200"/>
        <w:rPr>
          <w:rFonts w:eastAsiaTheme="minorEastAsia"/>
          <w:b/>
          <w:color w:val="auto"/>
        </w:rPr>
      </w:pPr>
      <w:r>
        <w:rPr>
          <w:rFonts w:hint="eastAsia"/>
          <w:color w:val="auto"/>
        </w:rPr>
        <w:t>日期：    年   月   日</w:t>
      </w:r>
    </w:p>
    <w:p>
      <w:pPr>
        <w:pStyle w:val="57"/>
        <w:rPr>
          <w:rFonts w:hint="eastAsia"/>
          <w:color w:val="auto"/>
          <w:sz w:val="32"/>
          <w:szCs w:val="32"/>
        </w:rPr>
      </w:pPr>
      <w:r>
        <w:rPr>
          <w:rFonts w:hint="eastAsia"/>
          <w:color w:val="auto"/>
        </w:rPr>
        <w:br w:type="page"/>
      </w:r>
      <w:bookmarkEnd w:id="1100"/>
      <w:bookmarkStart w:id="1101" w:name="_Toc31815"/>
      <w:bookmarkEnd w:id="1101"/>
      <w:bookmarkStart w:id="1102" w:name="_Toc17740"/>
      <w:bookmarkStart w:id="1103" w:name="_Toc129073529"/>
      <w:bookmarkStart w:id="1104" w:name="_Toc10229"/>
      <w:bookmarkStart w:id="1105" w:name="_Toc9228"/>
      <w:bookmarkStart w:id="1106" w:name="_Toc9369"/>
      <w:bookmarkStart w:id="1107" w:name="_Toc30009"/>
      <w:r>
        <w:rPr>
          <w:rFonts w:hint="eastAsia"/>
          <w:color w:val="auto"/>
          <w:sz w:val="32"/>
          <w:szCs w:val="32"/>
        </w:rPr>
        <w:t>二、法定代表身份证明</w:t>
      </w:r>
      <w:bookmarkEnd w:id="1102"/>
      <w:bookmarkEnd w:id="1103"/>
      <w:bookmarkEnd w:id="1104"/>
      <w:bookmarkEnd w:id="1105"/>
      <w:bookmarkEnd w:id="1106"/>
      <w:bookmarkEnd w:id="1107"/>
    </w:p>
    <w:p>
      <w:pPr>
        <w:spacing w:line="440" w:lineRule="exact"/>
        <w:jc w:val="center"/>
        <w:rPr>
          <w:rFonts w:ascii="宋体" w:hAnsi="宋体"/>
          <w:color w:val="auto"/>
        </w:rPr>
      </w:pPr>
    </w:p>
    <w:p>
      <w:pPr>
        <w:spacing w:line="440" w:lineRule="exact"/>
        <w:rPr>
          <w:rFonts w:ascii="宋体" w:hAnsi="宋体"/>
          <w:color w:val="auto"/>
          <w:sz w:val="21"/>
          <w:szCs w:val="21"/>
          <w:u w:val="single"/>
        </w:rPr>
      </w:pPr>
      <w:r>
        <w:rPr>
          <w:rFonts w:hint="eastAsia" w:ascii="宋体" w:hAnsi="宋体"/>
          <w:color w:val="auto"/>
          <w:sz w:val="21"/>
          <w:szCs w:val="21"/>
        </w:rPr>
        <w:t>供应商名称：</w:t>
      </w:r>
      <w:r>
        <w:rPr>
          <w:rFonts w:hint="eastAsia" w:ascii="宋体" w:hAnsi="宋体"/>
          <w:color w:val="auto"/>
          <w:sz w:val="21"/>
          <w:szCs w:val="21"/>
          <w:u w:val="single"/>
        </w:rPr>
        <w:t xml:space="preserve">                    </w:t>
      </w:r>
    </w:p>
    <w:p>
      <w:pPr>
        <w:spacing w:line="440" w:lineRule="exact"/>
        <w:rPr>
          <w:rFonts w:ascii="宋体" w:hAnsi="宋体"/>
          <w:color w:val="auto"/>
          <w:sz w:val="21"/>
          <w:szCs w:val="21"/>
          <w:u w:val="single"/>
        </w:rPr>
      </w:pPr>
      <w:r>
        <w:rPr>
          <w:rFonts w:hint="eastAsia" w:ascii="宋体" w:hAnsi="宋体"/>
          <w:color w:val="auto"/>
          <w:sz w:val="21"/>
          <w:szCs w:val="21"/>
        </w:rPr>
        <w:t>单位性质：</w:t>
      </w:r>
      <w:r>
        <w:rPr>
          <w:rFonts w:hint="eastAsia" w:ascii="宋体" w:hAnsi="宋体"/>
          <w:color w:val="auto"/>
          <w:sz w:val="21"/>
          <w:szCs w:val="21"/>
          <w:u w:val="single"/>
        </w:rPr>
        <w:t xml:space="preserve">                       </w:t>
      </w:r>
    </w:p>
    <w:p>
      <w:pPr>
        <w:spacing w:line="440" w:lineRule="exact"/>
        <w:rPr>
          <w:rFonts w:ascii="宋体" w:hAnsi="宋体"/>
          <w:color w:val="auto"/>
          <w:sz w:val="21"/>
          <w:szCs w:val="21"/>
          <w:u w:val="single"/>
        </w:rPr>
      </w:pPr>
      <w:r>
        <w:rPr>
          <w:rFonts w:hint="eastAsia" w:ascii="宋体" w:hAnsi="宋体"/>
          <w:color w:val="auto"/>
          <w:sz w:val="21"/>
          <w:szCs w:val="21"/>
        </w:rPr>
        <w:t>地址：</w:t>
      </w:r>
      <w:r>
        <w:rPr>
          <w:rFonts w:hint="eastAsia" w:ascii="宋体" w:hAnsi="宋体"/>
          <w:color w:val="auto"/>
          <w:sz w:val="21"/>
          <w:szCs w:val="21"/>
          <w:u w:val="single"/>
        </w:rPr>
        <w:t xml:space="preserve">                       </w:t>
      </w:r>
    </w:p>
    <w:p>
      <w:pPr>
        <w:spacing w:line="440" w:lineRule="exact"/>
        <w:rPr>
          <w:rFonts w:ascii="宋体" w:hAnsi="宋体"/>
          <w:color w:val="auto"/>
          <w:sz w:val="21"/>
          <w:szCs w:val="21"/>
        </w:rPr>
      </w:pPr>
      <w:r>
        <w:rPr>
          <w:rFonts w:hint="eastAsia" w:ascii="宋体" w:hAnsi="宋体"/>
          <w:color w:val="auto"/>
          <w:sz w:val="21"/>
          <w:szCs w:val="21"/>
        </w:rPr>
        <w:t>成立时间：</w:t>
      </w:r>
      <w:r>
        <w:rPr>
          <w:rFonts w:hint="eastAsia" w:ascii="宋体" w:hAnsi="宋体"/>
          <w:color w:val="auto"/>
          <w:sz w:val="21"/>
          <w:szCs w:val="21"/>
          <w:u w:val="single"/>
        </w:rPr>
        <w:t xml:space="preserve">   </w:t>
      </w:r>
      <w:r>
        <w:rPr>
          <w:rFonts w:hint="eastAsia" w:ascii="宋体" w:hAnsi="宋体"/>
          <w:color w:val="auto"/>
          <w:sz w:val="21"/>
          <w:szCs w:val="21"/>
        </w:rPr>
        <w:t>年</w:t>
      </w:r>
      <w:r>
        <w:rPr>
          <w:rFonts w:hint="eastAsia" w:ascii="宋体" w:hAnsi="宋体"/>
          <w:color w:val="auto"/>
          <w:sz w:val="21"/>
          <w:szCs w:val="21"/>
          <w:u w:val="single"/>
        </w:rPr>
        <w:t xml:space="preserve">   </w:t>
      </w:r>
      <w:r>
        <w:rPr>
          <w:rFonts w:hint="eastAsia" w:ascii="宋体" w:hAnsi="宋体"/>
          <w:color w:val="auto"/>
          <w:sz w:val="21"/>
          <w:szCs w:val="21"/>
        </w:rPr>
        <w:t>月</w:t>
      </w:r>
      <w:r>
        <w:rPr>
          <w:rFonts w:hint="eastAsia" w:ascii="宋体" w:hAnsi="宋体"/>
          <w:color w:val="auto"/>
          <w:sz w:val="21"/>
          <w:szCs w:val="21"/>
          <w:u w:val="single"/>
        </w:rPr>
        <w:t xml:space="preserve">   </w:t>
      </w:r>
      <w:r>
        <w:rPr>
          <w:rFonts w:hint="eastAsia" w:ascii="宋体" w:hAnsi="宋体"/>
          <w:color w:val="auto"/>
          <w:sz w:val="21"/>
          <w:szCs w:val="21"/>
        </w:rPr>
        <w:t>日</w:t>
      </w:r>
    </w:p>
    <w:p>
      <w:pPr>
        <w:spacing w:line="440" w:lineRule="exact"/>
        <w:rPr>
          <w:rFonts w:ascii="宋体" w:hAnsi="宋体"/>
          <w:color w:val="auto"/>
          <w:sz w:val="21"/>
          <w:szCs w:val="21"/>
          <w:u w:val="single"/>
        </w:rPr>
      </w:pPr>
      <w:r>
        <w:rPr>
          <w:rFonts w:hint="eastAsia" w:ascii="宋体" w:hAnsi="宋体"/>
          <w:color w:val="auto"/>
          <w:sz w:val="21"/>
          <w:szCs w:val="21"/>
        </w:rPr>
        <w:t>经营期限：</w:t>
      </w:r>
      <w:r>
        <w:rPr>
          <w:rFonts w:hint="eastAsia" w:ascii="宋体" w:hAnsi="宋体"/>
          <w:color w:val="auto"/>
          <w:sz w:val="21"/>
          <w:szCs w:val="21"/>
          <w:u w:val="single"/>
        </w:rPr>
        <w:t xml:space="preserve">                              </w:t>
      </w:r>
    </w:p>
    <w:p>
      <w:pPr>
        <w:spacing w:line="440" w:lineRule="exact"/>
        <w:rPr>
          <w:rFonts w:ascii="宋体" w:hAnsi="宋体"/>
          <w:color w:val="auto"/>
          <w:sz w:val="21"/>
          <w:szCs w:val="21"/>
          <w:u w:val="single"/>
        </w:rPr>
      </w:pPr>
      <w:r>
        <w:rPr>
          <w:rFonts w:hint="eastAsia" w:ascii="宋体" w:hAnsi="宋体"/>
          <w:color w:val="auto"/>
          <w:sz w:val="21"/>
          <w:szCs w:val="21"/>
        </w:rPr>
        <w:t>姓名：</w:t>
      </w:r>
      <w:r>
        <w:rPr>
          <w:rFonts w:hint="eastAsia" w:ascii="宋体" w:hAnsi="宋体"/>
          <w:color w:val="auto"/>
          <w:sz w:val="21"/>
          <w:szCs w:val="21"/>
          <w:u w:val="single"/>
        </w:rPr>
        <w:t xml:space="preserve">      </w:t>
      </w:r>
      <w:r>
        <w:rPr>
          <w:rFonts w:hint="eastAsia" w:ascii="宋体" w:hAnsi="宋体"/>
          <w:color w:val="auto"/>
          <w:sz w:val="21"/>
          <w:szCs w:val="21"/>
        </w:rPr>
        <w:t>性别：</w:t>
      </w:r>
      <w:r>
        <w:rPr>
          <w:rFonts w:hint="eastAsia" w:ascii="宋体" w:hAnsi="宋体"/>
          <w:color w:val="auto"/>
          <w:sz w:val="21"/>
          <w:szCs w:val="21"/>
          <w:u w:val="single"/>
        </w:rPr>
        <w:t xml:space="preserve">     </w:t>
      </w:r>
      <w:r>
        <w:rPr>
          <w:rFonts w:hint="eastAsia" w:ascii="宋体" w:hAnsi="宋体"/>
          <w:color w:val="auto"/>
          <w:sz w:val="21"/>
          <w:szCs w:val="21"/>
        </w:rPr>
        <w:t xml:space="preserve"> 年龄：</w:t>
      </w:r>
      <w:r>
        <w:rPr>
          <w:rFonts w:hint="eastAsia" w:ascii="宋体" w:hAnsi="宋体"/>
          <w:color w:val="auto"/>
          <w:sz w:val="21"/>
          <w:szCs w:val="21"/>
          <w:u w:val="single"/>
        </w:rPr>
        <w:t xml:space="preserve">    </w:t>
      </w:r>
      <w:r>
        <w:rPr>
          <w:rFonts w:hint="eastAsia" w:ascii="宋体" w:hAnsi="宋体"/>
          <w:color w:val="auto"/>
          <w:sz w:val="21"/>
          <w:szCs w:val="21"/>
        </w:rPr>
        <w:t>职务：</w:t>
      </w:r>
      <w:r>
        <w:rPr>
          <w:rFonts w:hint="eastAsia" w:ascii="宋体" w:hAnsi="宋体"/>
          <w:color w:val="auto"/>
          <w:sz w:val="21"/>
          <w:szCs w:val="21"/>
          <w:u w:val="single"/>
        </w:rPr>
        <w:t xml:space="preserve">        </w:t>
      </w:r>
    </w:p>
    <w:p>
      <w:pPr>
        <w:spacing w:line="440" w:lineRule="exact"/>
        <w:rPr>
          <w:rFonts w:ascii="宋体" w:hAnsi="宋体"/>
          <w:color w:val="auto"/>
          <w:sz w:val="21"/>
          <w:szCs w:val="21"/>
        </w:rPr>
      </w:pPr>
      <w:r>
        <w:rPr>
          <w:rFonts w:hint="eastAsia" w:ascii="宋体" w:hAnsi="宋体"/>
          <w:color w:val="auto"/>
          <w:sz w:val="21"/>
          <w:szCs w:val="21"/>
        </w:rPr>
        <w:t>系</w:t>
      </w:r>
      <w:r>
        <w:rPr>
          <w:rFonts w:hint="eastAsia" w:ascii="宋体" w:hAnsi="宋体"/>
          <w:color w:val="auto"/>
          <w:sz w:val="21"/>
          <w:szCs w:val="21"/>
          <w:u w:val="single"/>
        </w:rPr>
        <w:t xml:space="preserve"> （供应商名称）</w:t>
      </w:r>
      <w:r>
        <w:rPr>
          <w:rFonts w:hint="eastAsia" w:ascii="宋体" w:hAnsi="宋体"/>
          <w:color w:val="auto"/>
          <w:sz w:val="21"/>
          <w:szCs w:val="21"/>
        </w:rPr>
        <w:t>的法定代表人。</w:t>
      </w:r>
    </w:p>
    <w:p>
      <w:pPr>
        <w:spacing w:line="440" w:lineRule="exact"/>
        <w:ind w:firstLine="420" w:firstLineChars="200"/>
        <w:rPr>
          <w:rFonts w:ascii="宋体" w:hAnsi="宋体"/>
          <w:color w:val="auto"/>
          <w:sz w:val="21"/>
          <w:szCs w:val="21"/>
        </w:rPr>
      </w:pPr>
      <w:r>
        <w:rPr>
          <w:rFonts w:hint="eastAsia" w:ascii="宋体" w:hAnsi="宋体"/>
          <w:color w:val="auto"/>
          <w:sz w:val="21"/>
          <w:szCs w:val="21"/>
        </w:rPr>
        <w:t>特此证明。</w:t>
      </w:r>
    </w:p>
    <w:p>
      <w:pPr>
        <w:spacing w:line="440" w:lineRule="exact"/>
        <w:rPr>
          <w:rFonts w:ascii="宋体" w:hAnsi="宋体"/>
          <w:color w:val="auto"/>
          <w:sz w:val="21"/>
          <w:szCs w:val="21"/>
        </w:rPr>
      </w:pPr>
    </w:p>
    <w:p>
      <w:pPr>
        <w:spacing w:line="440" w:lineRule="exact"/>
        <w:rPr>
          <w:rFonts w:ascii="宋体" w:hAnsi="宋体"/>
          <w:color w:val="auto"/>
          <w:sz w:val="21"/>
          <w:szCs w:val="21"/>
        </w:rPr>
      </w:pPr>
    </w:p>
    <w:p>
      <w:pPr>
        <w:spacing w:line="440" w:lineRule="exact"/>
        <w:jc w:val="right"/>
        <w:rPr>
          <w:rFonts w:ascii="宋体" w:hAnsi="宋体"/>
          <w:color w:val="auto"/>
          <w:sz w:val="21"/>
          <w:szCs w:val="21"/>
        </w:rPr>
      </w:pPr>
      <w:r>
        <w:rPr>
          <w:rFonts w:hint="eastAsia" w:ascii="宋体" w:hAnsi="宋体"/>
          <w:color w:val="auto"/>
          <w:sz w:val="21"/>
          <w:szCs w:val="21"/>
        </w:rPr>
        <w:t xml:space="preserve">                          供应商名称（盖章）：</w:t>
      </w:r>
    </w:p>
    <w:p>
      <w:pPr>
        <w:spacing w:line="440" w:lineRule="exact"/>
        <w:jc w:val="right"/>
        <w:rPr>
          <w:rFonts w:ascii="宋体" w:hAnsi="宋体"/>
          <w:color w:val="auto"/>
          <w:sz w:val="21"/>
          <w:szCs w:val="21"/>
        </w:rPr>
      </w:pPr>
      <w:r>
        <w:rPr>
          <w:rFonts w:hint="eastAsia"/>
          <w:color w:val="auto"/>
        </w:rPr>
        <w:t>日期：</w:t>
      </w:r>
      <w:r>
        <w:rPr>
          <w:rFonts w:hint="eastAsia"/>
          <w:color w:val="auto"/>
          <w:lang w:val="en-US" w:eastAsia="zh-CN"/>
        </w:rPr>
        <w:t xml:space="preserve">    </w:t>
      </w:r>
      <w:r>
        <w:rPr>
          <w:rFonts w:hint="eastAsia" w:ascii="宋体" w:hAnsi="宋体"/>
          <w:color w:val="auto"/>
          <w:sz w:val="21"/>
          <w:szCs w:val="21"/>
        </w:rPr>
        <w:t xml:space="preserve">年  月   日 </w:t>
      </w:r>
    </w:p>
    <w:p>
      <w:pPr>
        <w:spacing w:line="440" w:lineRule="exact"/>
        <w:rPr>
          <w:rFonts w:ascii="宋体" w:hAnsi="宋体"/>
          <w:color w:val="auto"/>
        </w:rPr>
      </w:pPr>
    </w:p>
    <w:p>
      <w:pPr>
        <w:spacing w:line="440" w:lineRule="exact"/>
        <w:rPr>
          <w:rFonts w:ascii="宋体" w:hAnsi="宋体"/>
          <w:color w:val="auto"/>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03" w:hRule="atLeast"/>
          <w:jc w:val="center"/>
        </w:trPr>
        <w:tc>
          <w:tcPr>
            <w:tcW w:w="85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1"/>
                <w:szCs w:val="21"/>
              </w:rPr>
            </w:pPr>
            <w:r>
              <w:rPr>
                <w:rFonts w:hint="eastAsia" w:ascii="宋体" w:hAnsi="宋体"/>
                <w:color w:val="auto"/>
                <w:sz w:val="21"/>
                <w:szCs w:val="21"/>
              </w:rPr>
              <w:t>法定代表人身份证原件扫描件</w:t>
            </w:r>
          </w:p>
          <w:p>
            <w:pPr>
              <w:spacing w:line="440" w:lineRule="exact"/>
              <w:jc w:val="center"/>
              <w:rPr>
                <w:rFonts w:ascii="宋体" w:hAnsi="宋体"/>
                <w:color w:val="auto"/>
              </w:rPr>
            </w:pPr>
          </w:p>
        </w:tc>
      </w:tr>
    </w:tbl>
    <w:p>
      <w:pPr>
        <w:spacing w:line="440" w:lineRule="exact"/>
        <w:rPr>
          <w:rFonts w:ascii="宋体" w:hAnsi="宋体"/>
          <w:color w:val="auto"/>
        </w:rPr>
      </w:pPr>
    </w:p>
    <w:p>
      <w:pPr>
        <w:spacing w:line="440" w:lineRule="exact"/>
        <w:rPr>
          <w:rFonts w:ascii="宋体" w:hAnsi="宋体"/>
          <w:color w:val="auto"/>
        </w:rPr>
      </w:pPr>
    </w:p>
    <w:p>
      <w:pPr>
        <w:spacing w:line="440" w:lineRule="exact"/>
        <w:rPr>
          <w:rFonts w:ascii="宋体" w:hAnsi="宋体"/>
          <w:color w:val="auto"/>
          <w:sz w:val="20"/>
          <w:szCs w:val="20"/>
        </w:rPr>
      </w:pPr>
    </w:p>
    <w:p>
      <w:pPr>
        <w:spacing w:line="440" w:lineRule="exact"/>
        <w:rPr>
          <w:rFonts w:ascii="宋体" w:hAnsi="宋体"/>
          <w:color w:val="auto"/>
          <w:sz w:val="20"/>
          <w:szCs w:val="20"/>
        </w:rPr>
      </w:pPr>
    </w:p>
    <w:p>
      <w:pPr>
        <w:rPr>
          <w:rFonts w:ascii="宋体" w:hAnsi="宋体"/>
          <w:color w:val="auto"/>
          <w:sz w:val="20"/>
          <w:szCs w:val="20"/>
        </w:rPr>
      </w:pPr>
      <w:r>
        <w:rPr>
          <w:rFonts w:ascii="宋体" w:hAnsi="宋体"/>
          <w:color w:val="auto"/>
          <w:sz w:val="20"/>
          <w:szCs w:val="20"/>
        </w:rPr>
        <w:br w:type="page"/>
      </w:r>
    </w:p>
    <w:p>
      <w:pPr>
        <w:pStyle w:val="57"/>
        <w:rPr>
          <w:rFonts w:hint="eastAsia"/>
          <w:color w:val="auto"/>
          <w:sz w:val="32"/>
          <w:szCs w:val="32"/>
        </w:rPr>
      </w:pPr>
      <w:bookmarkStart w:id="1108" w:name="_Toc202941490"/>
      <w:bookmarkEnd w:id="1108"/>
      <w:bookmarkStart w:id="1109" w:name="_Toc24861"/>
      <w:bookmarkEnd w:id="1109"/>
      <w:bookmarkStart w:id="1110" w:name="_Toc466298162"/>
      <w:bookmarkEnd w:id="1110"/>
      <w:bookmarkStart w:id="1111" w:name="_Toc441791190"/>
      <w:bookmarkEnd w:id="1111"/>
      <w:bookmarkStart w:id="1112" w:name="_Toc318989765"/>
      <w:bookmarkEnd w:id="1112"/>
      <w:bookmarkStart w:id="1113" w:name="_Toc509667326"/>
      <w:bookmarkStart w:id="1114" w:name="_Toc8719"/>
      <w:bookmarkStart w:id="1115" w:name="_Toc25059"/>
      <w:bookmarkStart w:id="1116" w:name="_Toc129073530"/>
      <w:bookmarkStart w:id="1117" w:name="_Toc37"/>
      <w:bookmarkStart w:id="1118" w:name="_Toc12138"/>
      <w:bookmarkStart w:id="1119" w:name="_Toc23811"/>
      <w:r>
        <w:rPr>
          <w:rFonts w:hint="eastAsia"/>
          <w:color w:val="auto"/>
          <w:sz w:val="32"/>
          <w:szCs w:val="32"/>
        </w:rPr>
        <w:t>三、授权委托书</w:t>
      </w:r>
      <w:bookmarkEnd w:id="1113"/>
      <w:bookmarkEnd w:id="1114"/>
      <w:bookmarkEnd w:id="1115"/>
      <w:bookmarkEnd w:id="1116"/>
      <w:bookmarkEnd w:id="1117"/>
      <w:bookmarkEnd w:id="1118"/>
      <w:bookmarkEnd w:id="1119"/>
    </w:p>
    <w:p>
      <w:pPr>
        <w:topLinePunct/>
        <w:spacing w:line="440" w:lineRule="exact"/>
        <w:ind w:firstLine="367" w:firstLineChars="175"/>
        <w:rPr>
          <w:rFonts w:ascii="宋体" w:hAnsi="宋体"/>
          <w:color w:val="auto"/>
          <w:sz w:val="21"/>
          <w:szCs w:val="21"/>
        </w:rPr>
      </w:pPr>
      <w:r>
        <w:rPr>
          <w:rFonts w:hint="eastAsia" w:ascii="宋体" w:hAnsi="宋体"/>
          <w:color w:val="auto"/>
          <w:sz w:val="21"/>
          <w:szCs w:val="21"/>
        </w:rPr>
        <w:t>本人</w:t>
      </w:r>
      <w:r>
        <w:rPr>
          <w:rFonts w:hint="eastAsia" w:ascii="宋体" w:hAnsi="宋体"/>
          <w:color w:val="auto"/>
          <w:sz w:val="21"/>
          <w:szCs w:val="21"/>
          <w:u w:val="single"/>
        </w:rPr>
        <w:t>（姓名）</w:t>
      </w:r>
      <w:r>
        <w:rPr>
          <w:rFonts w:hint="eastAsia" w:ascii="宋体" w:hAnsi="宋体"/>
          <w:color w:val="auto"/>
          <w:sz w:val="21"/>
          <w:szCs w:val="21"/>
        </w:rPr>
        <w:t>系</w:t>
      </w:r>
      <w:r>
        <w:rPr>
          <w:rFonts w:hint="eastAsia" w:ascii="宋体" w:hAnsi="宋体"/>
          <w:color w:val="auto"/>
          <w:sz w:val="21"/>
          <w:szCs w:val="21"/>
          <w:u w:val="single"/>
        </w:rPr>
        <w:t>（供应商名称）</w:t>
      </w:r>
      <w:r>
        <w:rPr>
          <w:rFonts w:hint="eastAsia" w:ascii="宋体" w:hAnsi="宋体"/>
          <w:color w:val="auto"/>
          <w:sz w:val="21"/>
          <w:szCs w:val="21"/>
        </w:rPr>
        <w:t>的法定代表人，现委托</w:t>
      </w:r>
      <w:r>
        <w:rPr>
          <w:rFonts w:hint="eastAsia" w:ascii="宋体" w:hAnsi="宋体"/>
          <w:color w:val="auto"/>
          <w:sz w:val="21"/>
          <w:szCs w:val="21"/>
          <w:u w:val="single"/>
        </w:rPr>
        <w:t>（姓名）</w:t>
      </w:r>
      <w:r>
        <w:rPr>
          <w:rFonts w:hint="eastAsia" w:ascii="宋体" w:hAnsi="宋体"/>
          <w:color w:val="auto"/>
          <w:sz w:val="21"/>
          <w:szCs w:val="21"/>
        </w:rPr>
        <w:t>为我方代理人。代理人根据授权，以我方名义签署、澄清、说明、补正、递交、撤回、修改</w:t>
      </w:r>
      <w:r>
        <w:rPr>
          <w:rFonts w:hint="eastAsia" w:ascii="宋体" w:hAnsi="宋体"/>
          <w:color w:val="auto"/>
          <w:sz w:val="21"/>
          <w:szCs w:val="21"/>
          <w:u w:val="single"/>
        </w:rPr>
        <w:t>（项目名称）</w:t>
      </w:r>
      <w:r>
        <w:rPr>
          <w:rFonts w:hint="eastAsia" w:ascii="宋体" w:hAnsi="宋体"/>
          <w:color w:val="auto"/>
          <w:sz w:val="21"/>
          <w:szCs w:val="21"/>
        </w:rPr>
        <w:t>响应文件、签订合同和处理有关事宜，其法律后果由我方承担。</w:t>
      </w:r>
    </w:p>
    <w:p>
      <w:pPr>
        <w:spacing w:line="440" w:lineRule="exact"/>
        <w:ind w:firstLine="367" w:firstLineChars="175"/>
        <w:rPr>
          <w:rFonts w:ascii="宋体" w:hAnsi="宋体"/>
          <w:color w:val="auto"/>
          <w:sz w:val="21"/>
          <w:szCs w:val="21"/>
        </w:rPr>
      </w:pPr>
      <w:r>
        <w:rPr>
          <w:rFonts w:hint="eastAsia" w:ascii="宋体" w:hAnsi="宋体"/>
          <w:color w:val="auto"/>
          <w:sz w:val="21"/>
          <w:szCs w:val="21"/>
        </w:rPr>
        <w:t>委托期限：</w:t>
      </w:r>
      <w:r>
        <w:rPr>
          <w:rFonts w:hint="eastAsia" w:ascii="宋体" w:hAnsi="宋体"/>
          <w:color w:val="auto"/>
          <w:sz w:val="21"/>
          <w:szCs w:val="21"/>
          <w:u w:val="single"/>
        </w:rPr>
        <w:t xml:space="preserve">           </w:t>
      </w:r>
      <w:r>
        <w:rPr>
          <w:rFonts w:hint="eastAsia" w:ascii="宋体" w:hAnsi="宋体"/>
          <w:color w:val="auto"/>
          <w:sz w:val="21"/>
          <w:szCs w:val="21"/>
        </w:rPr>
        <w:t>。</w:t>
      </w:r>
    </w:p>
    <w:p>
      <w:pPr>
        <w:spacing w:line="440" w:lineRule="exact"/>
        <w:ind w:firstLine="367" w:firstLineChars="175"/>
        <w:rPr>
          <w:rFonts w:ascii="宋体" w:hAnsi="宋体"/>
          <w:color w:val="auto"/>
          <w:sz w:val="21"/>
          <w:szCs w:val="21"/>
        </w:rPr>
      </w:pPr>
      <w:r>
        <w:rPr>
          <w:rFonts w:hint="eastAsia" w:ascii="宋体" w:hAnsi="宋体"/>
          <w:color w:val="auto"/>
          <w:sz w:val="21"/>
          <w:szCs w:val="21"/>
        </w:rPr>
        <w:t>代理人无转委托权。</w:t>
      </w:r>
    </w:p>
    <w:p>
      <w:pPr>
        <w:spacing w:line="440" w:lineRule="exact"/>
        <w:ind w:firstLine="367" w:firstLineChars="175"/>
        <w:rPr>
          <w:rFonts w:ascii="宋体" w:hAnsi="宋体"/>
          <w:color w:val="auto"/>
          <w:sz w:val="21"/>
          <w:szCs w:val="21"/>
        </w:rPr>
      </w:pPr>
      <w:r>
        <w:rPr>
          <w:rFonts w:hint="eastAsia" w:ascii="宋体" w:hAnsi="宋体"/>
          <w:color w:val="auto"/>
          <w:sz w:val="21"/>
          <w:szCs w:val="21"/>
        </w:rPr>
        <w:t>附：法定代表人身份证及委托代理人身份证原件扫描件</w:t>
      </w:r>
    </w:p>
    <w:p>
      <w:pPr>
        <w:spacing w:line="440" w:lineRule="exact"/>
        <w:ind w:firstLine="367" w:firstLineChars="175"/>
        <w:rPr>
          <w:rFonts w:ascii="宋体" w:hAnsi="宋体"/>
          <w:color w:val="auto"/>
          <w:sz w:val="21"/>
          <w:szCs w:val="21"/>
        </w:rPr>
      </w:pPr>
    </w:p>
    <w:p>
      <w:pPr>
        <w:spacing w:line="440" w:lineRule="exact"/>
        <w:ind w:firstLine="367" w:firstLineChars="175"/>
        <w:rPr>
          <w:rFonts w:ascii="宋体" w:hAnsi="宋体"/>
          <w:color w:val="auto"/>
          <w:sz w:val="21"/>
          <w:szCs w:val="21"/>
        </w:rPr>
      </w:pPr>
    </w:p>
    <w:p>
      <w:pPr>
        <w:spacing w:line="440" w:lineRule="exact"/>
        <w:ind w:firstLine="367" w:firstLineChars="175"/>
        <w:rPr>
          <w:rFonts w:ascii="宋体" w:hAnsi="宋体"/>
          <w:color w:val="auto"/>
          <w:sz w:val="21"/>
          <w:szCs w:val="21"/>
        </w:rPr>
      </w:pPr>
    </w:p>
    <w:p>
      <w:pPr>
        <w:spacing w:line="440" w:lineRule="exact"/>
        <w:ind w:firstLine="367" w:firstLineChars="175"/>
        <w:jc w:val="left"/>
        <w:rPr>
          <w:rFonts w:ascii="宋体" w:hAnsi="宋体"/>
          <w:color w:val="auto"/>
          <w:sz w:val="21"/>
          <w:szCs w:val="21"/>
        </w:rPr>
      </w:pPr>
      <w:r>
        <w:rPr>
          <w:rFonts w:hint="eastAsia" w:ascii="宋体" w:hAnsi="宋体"/>
          <w:color w:val="auto"/>
          <w:sz w:val="21"/>
          <w:szCs w:val="21"/>
        </w:rPr>
        <w:t>供应商名称：</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r>
        <w:rPr>
          <w:rFonts w:hint="eastAsia" w:ascii="宋体" w:hAnsi="宋体"/>
          <w:color w:val="auto"/>
          <w:sz w:val="21"/>
          <w:szCs w:val="21"/>
        </w:rPr>
        <w:t>（盖章）</w:t>
      </w:r>
    </w:p>
    <w:p>
      <w:pPr>
        <w:spacing w:line="440" w:lineRule="exact"/>
        <w:ind w:firstLine="367" w:firstLineChars="175"/>
        <w:jc w:val="left"/>
        <w:rPr>
          <w:rFonts w:ascii="宋体" w:hAnsi="宋体"/>
          <w:color w:val="auto"/>
          <w:sz w:val="21"/>
          <w:szCs w:val="21"/>
        </w:rPr>
      </w:pPr>
      <w:r>
        <w:rPr>
          <w:rFonts w:hint="eastAsia" w:ascii="宋体" w:hAnsi="宋体"/>
          <w:color w:val="auto"/>
          <w:sz w:val="21"/>
          <w:szCs w:val="21"/>
        </w:rPr>
        <w:t>法定代表人：</w:t>
      </w:r>
      <w:r>
        <w:rPr>
          <w:rFonts w:hint="eastAsia" w:ascii="宋体" w:hAnsi="宋体"/>
          <w:color w:val="auto"/>
          <w:sz w:val="21"/>
          <w:szCs w:val="21"/>
          <w:u w:val="single"/>
        </w:rPr>
        <w:t xml:space="preserve">               </w:t>
      </w:r>
      <w:r>
        <w:rPr>
          <w:rFonts w:hint="eastAsia" w:ascii="宋体" w:hAnsi="宋体"/>
          <w:color w:val="auto"/>
          <w:sz w:val="21"/>
          <w:szCs w:val="21"/>
        </w:rPr>
        <w:t>（签字或盖章）</w:t>
      </w:r>
    </w:p>
    <w:p>
      <w:pPr>
        <w:spacing w:line="440" w:lineRule="exact"/>
        <w:ind w:firstLine="367" w:firstLineChars="175"/>
        <w:jc w:val="left"/>
        <w:rPr>
          <w:rFonts w:ascii="宋体" w:hAnsi="宋体"/>
          <w:color w:val="auto"/>
          <w:sz w:val="21"/>
          <w:szCs w:val="21"/>
          <w:u w:val="single"/>
        </w:rPr>
      </w:pPr>
      <w:r>
        <w:rPr>
          <w:rFonts w:hint="eastAsia" w:ascii="宋体" w:hAnsi="宋体"/>
          <w:color w:val="auto"/>
          <w:sz w:val="21"/>
          <w:szCs w:val="21"/>
        </w:rPr>
        <w:t>身份证号码：</w:t>
      </w:r>
      <w:r>
        <w:rPr>
          <w:rFonts w:hint="eastAsia" w:ascii="宋体" w:hAnsi="宋体"/>
          <w:color w:val="auto"/>
          <w:sz w:val="21"/>
          <w:szCs w:val="21"/>
          <w:u w:val="single"/>
        </w:rPr>
        <w:t xml:space="preserve">                </w:t>
      </w:r>
    </w:p>
    <w:p>
      <w:pPr>
        <w:spacing w:line="440" w:lineRule="exact"/>
        <w:ind w:firstLine="367" w:firstLineChars="175"/>
        <w:jc w:val="left"/>
        <w:rPr>
          <w:rFonts w:ascii="宋体" w:hAnsi="宋体"/>
          <w:color w:val="auto"/>
          <w:sz w:val="21"/>
          <w:szCs w:val="21"/>
        </w:rPr>
      </w:pPr>
      <w:r>
        <w:rPr>
          <w:rFonts w:hint="eastAsia" w:ascii="宋体" w:hAnsi="宋体"/>
          <w:color w:val="auto"/>
          <w:sz w:val="21"/>
          <w:szCs w:val="21"/>
        </w:rPr>
        <w:t>委托代理人：</w:t>
      </w:r>
      <w:r>
        <w:rPr>
          <w:rFonts w:hint="eastAsia" w:ascii="宋体" w:hAnsi="宋体"/>
          <w:color w:val="auto"/>
          <w:sz w:val="21"/>
          <w:szCs w:val="21"/>
          <w:u w:val="single"/>
        </w:rPr>
        <w:t xml:space="preserve">                </w:t>
      </w:r>
      <w:r>
        <w:rPr>
          <w:rFonts w:hint="eastAsia" w:ascii="宋体" w:hAnsi="宋体"/>
          <w:color w:val="auto"/>
          <w:sz w:val="21"/>
          <w:szCs w:val="21"/>
        </w:rPr>
        <w:t>（签字）</w:t>
      </w:r>
    </w:p>
    <w:p>
      <w:pPr>
        <w:spacing w:line="440" w:lineRule="exact"/>
        <w:ind w:firstLine="367" w:firstLineChars="175"/>
        <w:jc w:val="left"/>
        <w:rPr>
          <w:rFonts w:ascii="宋体" w:hAnsi="宋体"/>
          <w:color w:val="auto"/>
          <w:sz w:val="21"/>
          <w:szCs w:val="21"/>
          <w:u w:val="single"/>
        </w:rPr>
      </w:pPr>
      <w:r>
        <w:rPr>
          <w:rFonts w:hint="eastAsia" w:ascii="宋体" w:hAnsi="宋体"/>
          <w:color w:val="auto"/>
          <w:sz w:val="21"/>
          <w:szCs w:val="21"/>
        </w:rPr>
        <w:t>身份证号码：</w:t>
      </w:r>
      <w:r>
        <w:rPr>
          <w:rFonts w:hint="eastAsia" w:ascii="宋体" w:hAnsi="宋体"/>
          <w:color w:val="auto"/>
          <w:sz w:val="21"/>
          <w:szCs w:val="21"/>
          <w:u w:val="single"/>
        </w:rPr>
        <w:t xml:space="preserve">                </w:t>
      </w:r>
    </w:p>
    <w:p>
      <w:pPr>
        <w:spacing w:line="440" w:lineRule="exact"/>
        <w:ind w:firstLine="367" w:firstLineChars="175"/>
        <w:jc w:val="left"/>
        <w:rPr>
          <w:rFonts w:ascii="宋体" w:hAnsi="宋体"/>
          <w:color w:val="auto"/>
          <w:sz w:val="21"/>
          <w:szCs w:val="21"/>
          <w:u w:val="single"/>
        </w:rPr>
      </w:pPr>
      <w:r>
        <w:rPr>
          <w:rFonts w:hint="eastAsia" w:ascii="宋体" w:hAnsi="宋体"/>
          <w:color w:val="auto"/>
          <w:sz w:val="21"/>
          <w:szCs w:val="21"/>
        </w:rPr>
        <w:t>联系电话：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spacing w:line="440" w:lineRule="exact"/>
        <w:ind w:firstLine="367" w:firstLineChars="175"/>
        <w:rPr>
          <w:rFonts w:ascii="宋体" w:hAnsi="宋体"/>
          <w:color w:val="auto"/>
          <w:sz w:val="21"/>
          <w:szCs w:val="21"/>
        </w:rPr>
      </w:pPr>
      <w:r>
        <w:rPr>
          <w:rFonts w:hint="eastAsia" w:ascii="宋体" w:hAnsi="宋体"/>
          <w:color w:val="auto"/>
          <w:sz w:val="21"/>
          <w:szCs w:val="21"/>
        </w:rPr>
        <w:t>日期：</w:t>
      </w:r>
      <w:r>
        <w:rPr>
          <w:rFonts w:hint="eastAsia" w:ascii="宋体" w:hAnsi="宋体"/>
          <w:color w:val="auto"/>
          <w:sz w:val="21"/>
          <w:szCs w:val="21"/>
          <w:u w:val="single"/>
        </w:rPr>
        <w:t xml:space="preserve">    </w:t>
      </w:r>
      <w:r>
        <w:rPr>
          <w:rFonts w:hint="eastAsia" w:ascii="宋体" w:hAnsi="宋体"/>
          <w:color w:val="auto"/>
          <w:sz w:val="21"/>
          <w:szCs w:val="21"/>
        </w:rPr>
        <w:t>年</w:t>
      </w:r>
      <w:r>
        <w:rPr>
          <w:rFonts w:hint="eastAsia" w:ascii="宋体" w:hAnsi="宋体"/>
          <w:color w:val="auto"/>
          <w:sz w:val="21"/>
          <w:szCs w:val="21"/>
          <w:u w:val="single"/>
        </w:rPr>
        <w:t xml:space="preserve">    </w:t>
      </w:r>
      <w:r>
        <w:rPr>
          <w:rFonts w:hint="eastAsia" w:ascii="宋体" w:hAnsi="宋体"/>
          <w:color w:val="auto"/>
          <w:sz w:val="21"/>
          <w:szCs w:val="21"/>
        </w:rPr>
        <w:t>月</w:t>
      </w:r>
      <w:r>
        <w:rPr>
          <w:rFonts w:hint="eastAsia" w:ascii="宋体" w:hAnsi="宋体"/>
          <w:color w:val="auto"/>
          <w:sz w:val="21"/>
          <w:szCs w:val="21"/>
          <w:u w:val="single"/>
        </w:rPr>
        <w:t xml:space="preserve">    </w:t>
      </w:r>
      <w:r>
        <w:rPr>
          <w:rFonts w:hint="eastAsia" w:ascii="宋体" w:hAnsi="宋体"/>
          <w:color w:val="auto"/>
          <w:sz w:val="21"/>
          <w:szCs w:val="21"/>
        </w:rPr>
        <w:t>日</w:t>
      </w:r>
    </w:p>
    <w:p>
      <w:pPr>
        <w:spacing w:line="440" w:lineRule="exact"/>
        <w:rPr>
          <w:rFonts w:ascii="宋体" w:hAnsi="宋体"/>
          <w:color w:val="auto"/>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6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1"/>
                <w:szCs w:val="21"/>
              </w:rPr>
            </w:pPr>
            <w:r>
              <w:rPr>
                <w:rFonts w:hint="eastAsia" w:ascii="宋体" w:hAnsi="宋体"/>
                <w:color w:val="auto"/>
                <w:sz w:val="21"/>
                <w:szCs w:val="21"/>
              </w:rPr>
              <w:t>法定代表人身份证原件扫描件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860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auto"/>
                <w:sz w:val="21"/>
                <w:szCs w:val="21"/>
              </w:rPr>
            </w:pPr>
            <w:r>
              <w:rPr>
                <w:rFonts w:hint="eastAsia" w:ascii="宋体" w:hAnsi="宋体"/>
                <w:color w:val="auto"/>
                <w:sz w:val="21"/>
                <w:szCs w:val="21"/>
              </w:rPr>
              <w:t>委托代理人身份证原件扫描件</w:t>
            </w:r>
          </w:p>
          <w:p>
            <w:pPr>
              <w:spacing w:line="440" w:lineRule="exact"/>
              <w:jc w:val="center"/>
              <w:rPr>
                <w:rFonts w:ascii="宋体" w:hAnsi="宋体"/>
                <w:color w:val="auto"/>
                <w:sz w:val="21"/>
                <w:szCs w:val="21"/>
              </w:rPr>
            </w:pPr>
          </w:p>
        </w:tc>
      </w:tr>
    </w:tbl>
    <w:p>
      <w:pPr>
        <w:jc w:val="center"/>
        <w:rPr>
          <w:rFonts w:ascii="宋体" w:hAnsi="宋体"/>
          <w:color w:val="auto"/>
        </w:rPr>
      </w:pPr>
      <w:r>
        <w:rPr>
          <w:rFonts w:hint="eastAsia" w:ascii="宋体" w:hAnsi="宋体"/>
          <w:b/>
          <w:bCs/>
          <w:color w:val="auto"/>
          <w:sz w:val="28"/>
          <w:szCs w:val="28"/>
        </w:rPr>
        <w:br w:type="page"/>
      </w:r>
    </w:p>
    <w:p>
      <w:pPr>
        <w:pStyle w:val="57"/>
        <w:rPr>
          <w:rFonts w:hint="eastAsia"/>
          <w:color w:val="auto"/>
          <w:sz w:val="32"/>
          <w:szCs w:val="32"/>
        </w:rPr>
      </w:pPr>
      <w:bookmarkStart w:id="1120" w:name="_Toc30807"/>
      <w:bookmarkEnd w:id="1120"/>
      <w:bookmarkStart w:id="1121" w:name="_Toc4909"/>
      <w:bookmarkStart w:id="1122" w:name="_Toc25832"/>
      <w:bookmarkStart w:id="1123" w:name="_Toc26124"/>
      <w:bookmarkStart w:id="1124" w:name="_Toc28709"/>
      <w:bookmarkStart w:id="1125" w:name="_Toc14096"/>
      <w:bookmarkStart w:id="1126" w:name="_Toc129073531"/>
      <w:bookmarkStart w:id="1127" w:name="_Toc28957"/>
      <w:r>
        <w:rPr>
          <w:rFonts w:hint="eastAsia"/>
          <w:color w:val="auto"/>
          <w:sz w:val="32"/>
          <w:szCs w:val="32"/>
        </w:rPr>
        <w:t>四、</w:t>
      </w:r>
      <w:bookmarkStart w:id="1128" w:name="_Hlk114938170"/>
      <w:r>
        <w:rPr>
          <w:rFonts w:hint="eastAsia"/>
          <w:color w:val="auto"/>
          <w:sz w:val="32"/>
          <w:szCs w:val="32"/>
        </w:rPr>
        <w:t>主要设备</w:t>
      </w:r>
      <w:bookmarkEnd w:id="1128"/>
      <w:r>
        <w:rPr>
          <w:rFonts w:hint="eastAsia"/>
          <w:color w:val="auto"/>
          <w:sz w:val="32"/>
          <w:szCs w:val="32"/>
        </w:rPr>
        <w:t>材料技术偏离表</w:t>
      </w:r>
      <w:bookmarkEnd w:id="1121"/>
      <w:bookmarkEnd w:id="1122"/>
    </w:p>
    <w:tbl>
      <w:tblPr>
        <w:tblStyle w:val="33"/>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8"/>
        <w:gridCol w:w="1692"/>
        <w:gridCol w:w="1050"/>
        <w:gridCol w:w="2309"/>
        <w:gridCol w:w="1927"/>
        <w:gridCol w:w="874"/>
        <w:gridCol w:w="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0" w:hRule="atLeast"/>
          <w:jc w:val="center"/>
        </w:trPr>
        <w:tc>
          <w:tcPr>
            <w:tcW w:w="638" w:type="dxa"/>
            <w:vAlign w:val="center"/>
          </w:tcPr>
          <w:p>
            <w:pPr>
              <w:jc w:val="center"/>
              <w:rPr>
                <w:b/>
                <w:bCs/>
                <w:color w:val="auto"/>
              </w:rPr>
            </w:pPr>
            <w:r>
              <w:rPr>
                <w:rFonts w:hint="eastAsia"/>
                <w:b/>
                <w:bCs/>
                <w:color w:val="auto"/>
              </w:rPr>
              <w:t>序</w:t>
            </w:r>
          </w:p>
          <w:p>
            <w:pPr>
              <w:jc w:val="center"/>
              <w:rPr>
                <w:b/>
                <w:bCs/>
                <w:color w:val="auto"/>
              </w:rPr>
            </w:pPr>
            <w:r>
              <w:rPr>
                <w:rFonts w:hint="eastAsia"/>
                <w:b/>
                <w:bCs/>
                <w:color w:val="auto"/>
              </w:rPr>
              <w:t>号</w:t>
            </w:r>
          </w:p>
        </w:tc>
        <w:tc>
          <w:tcPr>
            <w:tcW w:w="1692" w:type="dxa"/>
            <w:vAlign w:val="center"/>
          </w:tcPr>
          <w:p>
            <w:pPr>
              <w:jc w:val="center"/>
              <w:rPr>
                <w:b/>
                <w:bCs/>
                <w:color w:val="auto"/>
              </w:rPr>
            </w:pPr>
            <w:r>
              <w:rPr>
                <w:rFonts w:hint="eastAsia"/>
                <w:b/>
                <w:bCs/>
                <w:color w:val="auto"/>
              </w:rPr>
              <w:t>设备、材料名称</w:t>
            </w:r>
          </w:p>
        </w:tc>
        <w:tc>
          <w:tcPr>
            <w:tcW w:w="1050" w:type="dxa"/>
            <w:vAlign w:val="center"/>
          </w:tcPr>
          <w:p>
            <w:pPr>
              <w:jc w:val="center"/>
              <w:rPr>
                <w:b/>
                <w:bCs/>
                <w:color w:val="auto"/>
              </w:rPr>
            </w:pPr>
            <w:r>
              <w:rPr>
                <w:rFonts w:hint="eastAsia"/>
                <w:b/>
                <w:bCs/>
                <w:color w:val="auto"/>
              </w:rPr>
              <w:t>品牌型号</w:t>
            </w:r>
          </w:p>
        </w:tc>
        <w:tc>
          <w:tcPr>
            <w:tcW w:w="2309" w:type="dxa"/>
            <w:vAlign w:val="center"/>
          </w:tcPr>
          <w:p>
            <w:pPr>
              <w:jc w:val="center"/>
              <w:rPr>
                <w:b/>
                <w:bCs/>
                <w:color w:val="auto"/>
              </w:rPr>
            </w:pPr>
            <w:r>
              <w:rPr>
                <w:rFonts w:hint="eastAsia"/>
                <w:b/>
                <w:bCs/>
                <w:color w:val="auto"/>
              </w:rPr>
              <w:t>磋商文件第七章技术标准和要求</w:t>
            </w:r>
          </w:p>
        </w:tc>
        <w:tc>
          <w:tcPr>
            <w:tcW w:w="1927" w:type="dxa"/>
            <w:vAlign w:val="center"/>
          </w:tcPr>
          <w:p>
            <w:pPr>
              <w:jc w:val="center"/>
              <w:rPr>
                <w:b/>
                <w:bCs/>
                <w:color w:val="auto"/>
              </w:rPr>
            </w:pPr>
            <w:r>
              <w:rPr>
                <w:rFonts w:hint="eastAsia"/>
                <w:b/>
                <w:bCs/>
                <w:color w:val="auto"/>
              </w:rPr>
              <w:t>投标产品技术参数</w:t>
            </w:r>
          </w:p>
        </w:tc>
        <w:tc>
          <w:tcPr>
            <w:tcW w:w="874" w:type="dxa"/>
            <w:vAlign w:val="center"/>
          </w:tcPr>
          <w:p>
            <w:pPr>
              <w:jc w:val="center"/>
              <w:rPr>
                <w:b/>
                <w:bCs/>
                <w:color w:val="auto"/>
              </w:rPr>
            </w:pPr>
            <w:r>
              <w:rPr>
                <w:rFonts w:hint="eastAsia"/>
                <w:b/>
                <w:bCs/>
                <w:color w:val="auto"/>
              </w:rPr>
              <w:t>偏离情况</w:t>
            </w:r>
          </w:p>
        </w:tc>
        <w:tc>
          <w:tcPr>
            <w:tcW w:w="448" w:type="dxa"/>
            <w:vAlign w:val="center"/>
          </w:tcPr>
          <w:p>
            <w:pPr>
              <w:jc w:val="center"/>
              <w:rPr>
                <w:b/>
                <w:bCs/>
                <w:color w:val="auto"/>
              </w:rPr>
            </w:pPr>
            <w:r>
              <w:rPr>
                <w:rFonts w:hint="eastAsia"/>
                <w:b/>
                <w:bCs/>
                <w:color w:val="auto"/>
              </w:rPr>
              <w:t>备</w:t>
            </w:r>
          </w:p>
          <w:p>
            <w:pPr>
              <w:jc w:val="center"/>
              <w:rPr>
                <w:b/>
                <w:bCs/>
                <w:color w:val="auto"/>
              </w:rPr>
            </w:pPr>
            <w:r>
              <w:rPr>
                <w:rFonts w:hint="eastAsia"/>
                <w:b/>
                <w:bCs/>
                <w:color w:val="auto"/>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38" w:type="dxa"/>
          </w:tcPr>
          <w:p>
            <w:pPr>
              <w:autoSpaceDE w:val="0"/>
              <w:autoSpaceDN w:val="0"/>
              <w:rPr>
                <w:color w:val="auto"/>
                <w:sz w:val="20"/>
                <w:szCs w:val="20"/>
              </w:rPr>
            </w:pPr>
          </w:p>
        </w:tc>
        <w:tc>
          <w:tcPr>
            <w:tcW w:w="1692" w:type="dxa"/>
          </w:tcPr>
          <w:p>
            <w:pPr>
              <w:autoSpaceDE w:val="0"/>
              <w:autoSpaceDN w:val="0"/>
              <w:rPr>
                <w:color w:val="auto"/>
                <w:sz w:val="20"/>
                <w:szCs w:val="20"/>
              </w:rPr>
            </w:pPr>
          </w:p>
        </w:tc>
        <w:tc>
          <w:tcPr>
            <w:tcW w:w="1050" w:type="dxa"/>
          </w:tcPr>
          <w:p>
            <w:pPr>
              <w:autoSpaceDE w:val="0"/>
              <w:autoSpaceDN w:val="0"/>
              <w:rPr>
                <w:color w:val="auto"/>
                <w:sz w:val="20"/>
                <w:szCs w:val="20"/>
              </w:rPr>
            </w:pPr>
          </w:p>
        </w:tc>
        <w:tc>
          <w:tcPr>
            <w:tcW w:w="2309" w:type="dxa"/>
          </w:tcPr>
          <w:p>
            <w:pPr>
              <w:autoSpaceDE w:val="0"/>
              <w:autoSpaceDN w:val="0"/>
              <w:rPr>
                <w:color w:val="auto"/>
                <w:sz w:val="20"/>
                <w:szCs w:val="20"/>
              </w:rPr>
            </w:pPr>
          </w:p>
        </w:tc>
        <w:tc>
          <w:tcPr>
            <w:tcW w:w="1927" w:type="dxa"/>
          </w:tcPr>
          <w:p>
            <w:pPr>
              <w:autoSpaceDE w:val="0"/>
              <w:autoSpaceDN w:val="0"/>
              <w:rPr>
                <w:color w:val="auto"/>
                <w:sz w:val="20"/>
                <w:szCs w:val="20"/>
              </w:rPr>
            </w:pPr>
          </w:p>
        </w:tc>
        <w:tc>
          <w:tcPr>
            <w:tcW w:w="874" w:type="dxa"/>
          </w:tcPr>
          <w:p>
            <w:pPr>
              <w:autoSpaceDE w:val="0"/>
              <w:autoSpaceDN w:val="0"/>
              <w:rPr>
                <w:color w:val="auto"/>
                <w:sz w:val="20"/>
                <w:szCs w:val="20"/>
              </w:rPr>
            </w:pPr>
          </w:p>
        </w:tc>
        <w:tc>
          <w:tcPr>
            <w:tcW w:w="448" w:type="dxa"/>
          </w:tcPr>
          <w:p>
            <w:pPr>
              <w:autoSpaceDE w:val="0"/>
              <w:autoSpaceDN w:val="0"/>
              <w:rPr>
                <w:color w:val="auto"/>
                <w:sz w:val="20"/>
                <w:szCs w:val="20"/>
              </w:rPr>
            </w:pPr>
          </w:p>
        </w:tc>
      </w:tr>
    </w:tbl>
    <w:p>
      <w:pPr>
        <w:rPr>
          <w:color w:val="auto"/>
        </w:rPr>
      </w:pPr>
    </w:p>
    <w:p>
      <w:pPr>
        <w:ind w:firstLine="420" w:firstLineChars="200"/>
        <w:rPr>
          <w:color w:val="auto"/>
        </w:rPr>
      </w:pPr>
      <w:r>
        <w:rPr>
          <w:rFonts w:hint="eastAsia"/>
          <w:color w:val="auto"/>
        </w:rPr>
        <w:t>说明：供应商对照磋商文件第七章主要设备材料技术标准和要求，如实填写所投标产品的具体指标参数，注明无偏离、正偏离或负偏离。</w:t>
      </w:r>
    </w:p>
    <w:p>
      <w:pPr>
        <w:rPr>
          <w:color w:val="auto"/>
        </w:rPr>
      </w:pPr>
    </w:p>
    <w:p>
      <w:pPr>
        <w:spacing w:line="360" w:lineRule="auto"/>
        <w:ind w:firstLine="420" w:firstLineChars="200"/>
        <w:rPr>
          <w:color w:val="auto"/>
        </w:rPr>
      </w:pPr>
      <w:r>
        <w:rPr>
          <w:rFonts w:hint="eastAsia"/>
          <w:color w:val="auto"/>
        </w:rPr>
        <w:t>供应商名称（盖章）：</w:t>
      </w:r>
    </w:p>
    <w:p>
      <w:pPr>
        <w:spacing w:line="360" w:lineRule="auto"/>
        <w:ind w:firstLine="420" w:firstLineChars="200"/>
        <w:rPr>
          <w:color w:val="auto"/>
        </w:rPr>
      </w:pPr>
      <w:r>
        <w:rPr>
          <w:rFonts w:hint="eastAsia"/>
          <w:color w:val="auto"/>
        </w:rPr>
        <w:t>法定代表人或</w:t>
      </w:r>
      <w:r>
        <w:rPr>
          <w:rFonts w:hint="eastAsia"/>
          <w:color w:val="auto"/>
          <w:lang w:val="en-US" w:eastAsia="zh-CN"/>
        </w:rPr>
        <w:t>委托</w:t>
      </w:r>
      <w:r>
        <w:rPr>
          <w:rFonts w:hint="eastAsia"/>
          <w:color w:val="auto"/>
        </w:rPr>
        <w:t>代理人（签字或盖章）：</w:t>
      </w:r>
    </w:p>
    <w:p>
      <w:pPr>
        <w:spacing w:line="360" w:lineRule="auto"/>
        <w:ind w:firstLine="420" w:firstLineChars="200"/>
        <w:rPr>
          <w:rFonts w:eastAsiaTheme="minorEastAsia"/>
          <w:b/>
          <w:color w:val="auto"/>
        </w:rPr>
      </w:pPr>
      <w:r>
        <w:rPr>
          <w:rFonts w:hint="eastAsia"/>
          <w:color w:val="auto"/>
        </w:rPr>
        <w:t>日期：    年   月   日</w:t>
      </w:r>
    </w:p>
    <w:p>
      <w:pPr>
        <w:spacing w:before="0" w:after="0"/>
        <w:jc w:val="left"/>
        <w:outlineLvl w:val="9"/>
        <w:rPr>
          <w:rFonts w:hint="eastAsia"/>
          <w:color w:val="auto"/>
        </w:rPr>
      </w:pPr>
    </w:p>
    <w:p>
      <w:pPr>
        <w:rPr>
          <w:rFonts w:hint="eastAsia" w:ascii="宋体" w:hAnsi="宋体"/>
          <w:b/>
          <w:bCs/>
          <w:color w:val="auto"/>
          <w:sz w:val="28"/>
          <w:szCs w:val="28"/>
        </w:rPr>
      </w:pPr>
      <w:r>
        <w:rPr>
          <w:rFonts w:hint="eastAsia" w:ascii="宋体" w:hAnsi="宋体"/>
          <w:b/>
          <w:bCs/>
          <w:color w:val="auto"/>
          <w:sz w:val="28"/>
          <w:szCs w:val="28"/>
        </w:rPr>
        <w:br w:type="page"/>
      </w:r>
    </w:p>
    <w:p>
      <w:pPr>
        <w:pStyle w:val="57"/>
        <w:rPr>
          <w:rFonts w:hint="eastAsia"/>
          <w:color w:val="auto"/>
          <w:sz w:val="32"/>
          <w:szCs w:val="32"/>
        </w:rPr>
      </w:pPr>
      <w:bookmarkStart w:id="1129" w:name="_Toc6096"/>
      <w:bookmarkStart w:id="1130" w:name="_Toc31978"/>
      <w:r>
        <w:rPr>
          <w:rFonts w:hint="eastAsia"/>
          <w:color w:val="auto"/>
          <w:sz w:val="32"/>
          <w:szCs w:val="32"/>
          <w:lang w:eastAsia="zh-CN"/>
        </w:rPr>
        <w:t>五、</w:t>
      </w:r>
      <w:r>
        <w:rPr>
          <w:rFonts w:hint="eastAsia"/>
          <w:color w:val="auto"/>
          <w:sz w:val="32"/>
          <w:szCs w:val="32"/>
        </w:rPr>
        <w:t>已标价工程量清单</w:t>
      </w:r>
      <w:bookmarkEnd w:id="1123"/>
      <w:bookmarkEnd w:id="1124"/>
      <w:bookmarkEnd w:id="1125"/>
      <w:bookmarkEnd w:id="1126"/>
      <w:bookmarkEnd w:id="1127"/>
      <w:bookmarkEnd w:id="1129"/>
      <w:bookmarkEnd w:id="1130"/>
    </w:p>
    <w:p>
      <w:pPr>
        <w:jc w:val="left"/>
        <w:rPr>
          <w:rFonts w:ascii="宋体" w:hAnsi="宋体"/>
          <w:b/>
          <w:bCs/>
          <w:color w:val="auto"/>
          <w:sz w:val="28"/>
          <w:szCs w:val="28"/>
        </w:rPr>
      </w:pPr>
      <w:bookmarkStart w:id="1131" w:name="_Toc509667331"/>
      <w:bookmarkEnd w:id="1131"/>
      <w:bookmarkStart w:id="1132" w:name="_Toc18821"/>
      <w:bookmarkEnd w:id="1132"/>
      <w:bookmarkStart w:id="1133" w:name="_Toc475624458"/>
      <w:bookmarkEnd w:id="1133"/>
      <w:bookmarkStart w:id="1134" w:name="_Toc13920"/>
      <w:bookmarkEnd w:id="1134"/>
      <w:bookmarkStart w:id="1135" w:name="_Toc129073532"/>
      <w:bookmarkStart w:id="1136" w:name="_Toc22766"/>
      <w:r>
        <w:rPr>
          <w:rFonts w:hint="eastAsia" w:ascii="宋体" w:hAnsi="宋体"/>
          <w:b/>
          <w:bCs/>
          <w:color w:val="auto"/>
          <w:sz w:val="28"/>
          <w:szCs w:val="28"/>
        </w:rPr>
        <w:br w:type="page"/>
      </w:r>
    </w:p>
    <w:p>
      <w:pPr>
        <w:pStyle w:val="57"/>
        <w:rPr>
          <w:rFonts w:hint="eastAsia"/>
          <w:color w:val="auto"/>
          <w:sz w:val="32"/>
          <w:szCs w:val="32"/>
        </w:rPr>
      </w:pPr>
      <w:bookmarkStart w:id="1137" w:name="_Toc7522"/>
      <w:bookmarkStart w:id="1138" w:name="_Toc30547"/>
      <w:bookmarkStart w:id="1139" w:name="_Toc28371"/>
      <w:bookmarkStart w:id="1140" w:name="_Toc24015"/>
      <w:bookmarkStart w:id="1141" w:name="_Toc23106"/>
      <w:r>
        <w:rPr>
          <w:rFonts w:hint="eastAsia"/>
          <w:color w:val="auto"/>
          <w:sz w:val="32"/>
          <w:szCs w:val="32"/>
          <w:lang w:eastAsia="zh-CN"/>
        </w:rPr>
        <w:t>六</w:t>
      </w:r>
      <w:r>
        <w:rPr>
          <w:rFonts w:hint="eastAsia"/>
          <w:color w:val="auto"/>
          <w:sz w:val="32"/>
          <w:szCs w:val="32"/>
        </w:rPr>
        <w:t>、施工组织设计</w:t>
      </w:r>
      <w:bookmarkEnd w:id="1135"/>
      <w:bookmarkEnd w:id="1136"/>
      <w:bookmarkEnd w:id="1137"/>
      <w:bookmarkEnd w:id="1138"/>
      <w:bookmarkEnd w:id="1139"/>
      <w:bookmarkEnd w:id="1140"/>
      <w:bookmarkEnd w:id="1141"/>
    </w:p>
    <w:p>
      <w:pPr>
        <w:autoSpaceDE w:val="0"/>
        <w:autoSpaceDN w:val="0"/>
        <w:adjustRightIn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1. 供应商编制施工组织的要求：编制时应采用文字并结合图表形式说明主要施工方案与技术措施</w:t>
      </w:r>
      <w:r>
        <w:rPr>
          <w:rFonts w:hint="eastAsia" w:ascii="宋体" w:hAnsi="宋体"/>
          <w:color w:val="auto"/>
          <w:kern w:val="0"/>
          <w:sz w:val="21"/>
          <w:szCs w:val="21"/>
          <w:lang w:eastAsia="zh-CN"/>
        </w:rPr>
        <w:t>；</w:t>
      </w:r>
      <w:r>
        <w:rPr>
          <w:rFonts w:hint="eastAsia" w:ascii="宋体" w:hAnsi="宋体"/>
          <w:color w:val="auto"/>
          <w:kern w:val="0"/>
          <w:sz w:val="21"/>
          <w:szCs w:val="21"/>
        </w:rPr>
        <w:t>质量保证措施</w:t>
      </w:r>
      <w:r>
        <w:rPr>
          <w:rFonts w:hint="eastAsia" w:ascii="宋体" w:hAnsi="宋体"/>
          <w:color w:val="auto"/>
          <w:kern w:val="0"/>
          <w:sz w:val="21"/>
          <w:szCs w:val="21"/>
          <w:lang w:eastAsia="zh-CN"/>
        </w:rPr>
        <w:t>；</w:t>
      </w:r>
      <w:r>
        <w:rPr>
          <w:rFonts w:hint="eastAsia" w:ascii="宋体" w:hAnsi="宋体"/>
          <w:color w:val="auto"/>
          <w:kern w:val="0"/>
          <w:sz w:val="21"/>
          <w:szCs w:val="21"/>
        </w:rPr>
        <w:t>工期</w:t>
      </w:r>
      <w:r>
        <w:rPr>
          <w:rFonts w:hint="eastAsia" w:ascii="宋体" w:hAnsi="宋体"/>
          <w:color w:val="auto"/>
          <w:kern w:val="0"/>
          <w:sz w:val="21"/>
          <w:szCs w:val="21"/>
          <w:lang w:eastAsia="zh-CN"/>
        </w:rPr>
        <w:t>保证措施；</w:t>
      </w:r>
      <w:r>
        <w:rPr>
          <w:rFonts w:hint="eastAsia" w:ascii="宋体" w:hAnsi="宋体"/>
          <w:color w:val="auto"/>
          <w:kern w:val="0"/>
          <w:sz w:val="21"/>
          <w:szCs w:val="21"/>
        </w:rPr>
        <w:t>安全管理体系与措施</w:t>
      </w:r>
      <w:r>
        <w:rPr>
          <w:rFonts w:hint="eastAsia" w:ascii="宋体" w:hAnsi="宋体"/>
          <w:color w:val="auto"/>
          <w:kern w:val="0"/>
          <w:sz w:val="21"/>
          <w:szCs w:val="21"/>
          <w:lang w:eastAsia="zh-CN"/>
        </w:rPr>
        <w:t>；</w:t>
      </w:r>
      <w:r>
        <w:rPr>
          <w:rFonts w:hint="eastAsia" w:ascii="宋体" w:hAnsi="宋体"/>
          <w:color w:val="auto"/>
          <w:kern w:val="0"/>
          <w:sz w:val="21"/>
          <w:szCs w:val="21"/>
        </w:rPr>
        <w:t>文明施工、环境保护管理体系与措施</w:t>
      </w:r>
      <w:r>
        <w:rPr>
          <w:rFonts w:hint="eastAsia" w:ascii="宋体" w:hAnsi="宋体"/>
          <w:color w:val="auto"/>
          <w:kern w:val="0"/>
          <w:sz w:val="21"/>
          <w:szCs w:val="21"/>
          <w:lang w:eastAsia="zh-CN"/>
        </w:rPr>
        <w:t>；</w:t>
      </w:r>
      <w:r>
        <w:rPr>
          <w:rFonts w:hint="eastAsia" w:ascii="宋体" w:hAnsi="宋体"/>
          <w:color w:val="auto"/>
          <w:kern w:val="0"/>
          <w:sz w:val="21"/>
          <w:szCs w:val="21"/>
        </w:rPr>
        <w:t>资源配备计划</w:t>
      </w:r>
      <w:r>
        <w:rPr>
          <w:rFonts w:hint="eastAsia" w:ascii="宋体" w:hAnsi="宋体"/>
          <w:color w:val="auto"/>
          <w:kern w:val="0"/>
          <w:sz w:val="21"/>
          <w:szCs w:val="21"/>
          <w:lang w:eastAsia="zh-CN"/>
        </w:rPr>
        <w:t>；</w:t>
      </w:r>
      <w:r>
        <w:rPr>
          <w:rFonts w:hint="eastAsia" w:ascii="宋体" w:hAnsi="宋体"/>
          <w:color w:val="auto"/>
          <w:kern w:val="0"/>
          <w:sz w:val="21"/>
          <w:szCs w:val="21"/>
        </w:rPr>
        <w:t>应急预案以及风险控制措施</w:t>
      </w:r>
      <w:r>
        <w:rPr>
          <w:rFonts w:hint="eastAsia" w:ascii="宋体" w:hAnsi="宋体"/>
          <w:color w:val="auto"/>
          <w:kern w:val="0"/>
          <w:sz w:val="21"/>
          <w:szCs w:val="21"/>
          <w:lang w:eastAsia="zh-CN"/>
        </w:rPr>
        <w:t>；对本项目的</w:t>
      </w:r>
      <w:r>
        <w:rPr>
          <w:rFonts w:hint="eastAsia" w:ascii="宋体" w:hAnsi="宋体"/>
          <w:color w:val="auto"/>
          <w:kern w:val="0"/>
          <w:sz w:val="21"/>
          <w:szCs w:val="21"/>
        </w:rPr>
        <w:t>合理化建议</w:t>
      </w:r>
      <w:r>
        <w:rPr>
          <w:rFonts w:hint="eastAsia" w:ascii="宋体" w:hAnsi="宋体"/>
          <w:color w:val="auto"/>
          <w:kern w:val="0"/>
          <w:sz w:val="21"/>
          <w:szCs w:val="21"/>
          <w:lang w:eastAsia="zh-CN"/>
        </w:rPr>
        <w:t>等。</w:t>
      </w:r>
    </w:p>
    <w:p>
      <w:pPr>
        <w:autoSpaceDE w:val="0"/>
        <w:autoSpaceDN w:val="0"/>
        <w:adjustRightIn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2. 施工组织除采用文字表述外可附下列图表，图表及格式要求附后。</w:t>
      </w:r>
    </w:p>
    <w:p>
      <w:pPr>
        <w:autoSpaceDE w:val="0"/>
        <w:autoSpaceDN w:val="0"/>
        <w:adjustRightIn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附表一 拟投入本标段的主要施工设备表</w:t>
      </w:r>
    </w:p>
    <w:p>
      <w:pPr>
        <w:autoSpaceDE w:val="0"/>
        <w:autoSpaceDN w:val="0"/>
        <w:adjustRightIn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附表二 拟配备本标段的试验和检测仪器设备表</w:t>
      </w:r>
    </w:p>
    <w:p>
      <w:pPr>
        <w:autoSpaceDE w:val="0"/>
        <w:autoSpaceDN w:val="0"/>
        <w:adjustRightIn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附表三 劳动力计划表</w:t>
      </w:r>
    </w:p>
    <w:p>
      <w:pPr>
        <w:autoSpaceDE w:val="0"/>
        <w:autoSpaceDN w:val="0"/>
        <w:adjustRightIn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附表四 计划开、竣工日期和施工进度网络图(或横道图）</w:t>
      </w:r>
    </w:p>
    <w:p>
      <w:pPr>
        <w:autoSpaceDE w:val="0"/>
        <w:autoSpaceDN w:val="0"/>
        <w:adjustRightIn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附表五 施工总平面图</w:t>
      </w:r>
    </w:p>
    <w:p>
      <w:pPr>
        <w:autoSpaceDE w:val="0"/>
        <w:autoSpaceDN w:val="0"/>
        <w:adjustRightInd w:val="0"/>
        <w:spacing w:line="360" w:lineRule="auto"/>
        <w:ind w:firstLine="420" w:firstLineChars="200"/>
        <w:jc w:val="left"/>
        <w:rPr>
          <w:rFonts w:ascii="宋体" w:hAnsi="宋体"/>
          <w:color w:val="auto"/>
          <w:kern w:val="0"/>
          <w:sz w:val="21"/>
          <w:szCs w:val="21"/>
        </w:rPr>
      </w:pPr>
      <w:r>
        <w:rPr>
          <w:rFonts w:hint="eastAsia" w:ascii="宋体" w:hAnsi="宋体"/>
          <w:color w:val="auto"/>
          <w:kern w:val="0"/>
          <w:sz w:val="21"/>
          <w:szCs w:val="21"/>
        </w:rPr>
        <w:t>附表六 临时用地表</w:t>
      </w:r>
    </w:p>
    <w:p>
      <w:pPr>
        <w:rPr>
          <w:rFonts w:ascii="宋体" w:hAnsi="宋体"/>
          <w:color w:val="auto"/>
        </w:rPr>
      </w:pPr>
      <w:r>
        <w:rPr>
          <w:rFonts w:hint="eastAsia" w:ascii="宋体" w:hAnsi="宋体"/>
          <w:color w:val="auto"/>
          <w:kern w:val="0"/>
        </w:rPr>
        <w:br w:type="page"/>
      </w:r>
    </w:p>
    <w:p>
      <w:pPr>
        <w:autoSpaceDE w:val="0"/>
        <w:autoSpaceDN w:val="0"/>
        <w:adjustRightInd w:val="0"/>
        <w:spacing w:line="420" w:lineRule="exact"/>
        <w:jc w:val="left"/>
        <w:rPr>
          <w:rFonts w:ascii="宋体" w:hAnsi="宋体"/>
          <w:color w:val="auto"/>
          <w:kern w:val="0"/>
          <w:sz w:val="28"/>
          <w:szCs w:val="28"/>
        </w:rPr>
      </w:pPr>
      <w:r>
        <w:rPr>
          <w:rFonts w:hint="eastAsia" w:ascii="宋体" w:hAnsi="宋体"/>
          <w:color w:val="auto"/>
          <w:kern w:val="0"/>
          <w:sz w:val="28"/>
          <w:szCs w:val="28"/>
        </w:rPr>
        <w:t>附表一：拟投入本标段的主要施工设备表</w:t>
      </w:r>
    </w:p>
    <w:p>
      <w:pPr>
        <w:autoSpaceDE w:val="0"/>
        <w:autoSpaceDN w:val="0"/>
        <w:adjustRightInd w:val="0"/>
        <w:spacing w:line="420" w:lineRule="exact"/>
        <w:jc w:val="left"/>
        <w:rPr>
          <w:rFonts w:ascii="宋体" w:hAnsi="宋体"/>
          <w:color w:val="auto"/>
          <w:kern w:val="0"/>
          <w:sz w:val="24"/>
          <w:szCs w:val="24"/>
        </w:rPr>
      </w:pPr>
    </w:p>
    <w:tbl>
      <w:tblPr>
        <w:tblStyle w:val="33"/>
        <w:tblW w:w="8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144"/>
        <w:gridCol w:w="880"/>
        <w:gridCol w:w="880"/>
        <w:gridCol w:w="880"/>
        <w:gridCol w:w="880"/>
        <w:gridCol w:w="1135"/>
        <w:gridCol w:w="624"/>
        <w:gridCol w:w="880"/>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序号</w:t>
            </w:r>
          </w:p>
        </w:tc>
        <w:tc>
          <w:tcPr>
            <w:tcW w:w="11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设备名称</w:t>
            </w: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型号</w:t>
            </w:r>
          </w:p>
          <w:p>
            <w:pPr>
              <w:autoSpaceDE w:val="0"/>
              <w:autoSpaceDN w:val="0"/>
              <w:adjustRightInd w:val="0"/>
              <w:jc w:val="center"/>
              <w:rPr>
                <w:rFonts w:ascii="宋体" w:hAnsi="宋体"/>
                <w:color w:val="auto"/>
                <w:kern w:val="0"/>
              </w:rPr>
            </w:pPr>
            <w:r>
              <w:rPr>
                <w:rFonts w:hint="eastAsia" w:ascii="宋体" w:hAnsi="宋体"/>
                <w:color w:val="auto"/>
                <w:kern w:val="0"/>
              </w:rPr>
              <w:t>规格</w:t>
            </w: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数量</w:t>
            </w: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国别</w:t>
            </w:r>
          </w:p>
          <w:p>
            <w:pPr>
              <w:autoSpaceDE w:val="0"/>
              <w:autoSpaceDN w:val="0"/>
              <w:adjustRightInd w:val="0"/>
              <w:jc w:val="center"/>
              <w:rPr>
                <w:rFonts w:ascii="宋体" w:hAnsi="宋体"/>
                <w:color w:val="auto"/>
                <w:kern w:val="0"/>
              </w:rPr>
            </w:pPr>
            <w:r>
              <w:rPr>
                <w:rFonts w:hint="eastAsia" w:ascii="宋体" w:hAnsi="宋体"/>
                <w:color w:val="auto"/>
                <w:kern w:val="0"/>
              </w:rPr>
              <w:t>产地</w:t>
            </w: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制造</w:t>
            </w:r>
          </w:p>
          <w:p>
            <w:pPr>
              <w:autoSpaceDE w:val="0"/>
              <w:autoSpaceDN w:val="0"/>
              <w:adjustRightInd w:val="0"/>
              <w:jc w:val="center"/>
              <w:rPr>
                <w:rFonts w:ascii="宋体" w:hAnsi="宋体"/>
                <w:color w:val="auto"/>
                <w:kern w:val="0"/>
              </w:rPr>
            </w:pPr>
            <w:r>
              <w:rPr>
                <w:rFonts w:hint="eastAsia" w:ascii="宋体" w:hAnsi="宋体"/>
                <w:color w:val="auto"/>
                <w:kern w:val="0"/>
              </w:rPr>
              <w:t>年份</w:t>
            </w: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额定功率</w:t>
            </w:r>
          </w:p>
          <w:p>
            <w:pPr>
              <w:autoSpaceDE w:val="0"/>
              <w:autoSpaceDN w:val="0"/>
              <w:adjustRightInd w:val="0"/>
              <w:jc w:val="center"/>
              <w:rPr>
                <w:rFonts w:ascii="宋体" w:hAnsi="宋体"/>
                <w:color w:val="auto"/>
                <w:kern w:val="0"/>
              </w:rPr>
            </w:pPr>
            <w:r>
              <w:rPr>
                <w:rFonts w:hint="eastAsia" w:ascii="宋体" w:hAnsi="宋体"/>
                <w:color w:val="auto"/>
                <w:kern w:val="0"/>
              </w:rPr>
              <w:t>（KW）</w:t>
            </w: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生产</w:t>
            </w:r>
          </w:p>
          <w:p>
            <w:pPr>
              <w:autoSpaceDE w:val="0"/>
              <w:autoSpaceDN w:val="0"/>
              <w:adjustRightInd w:val="0"/>
              <w:jc w:val="center"/>
              <w:rPr>
                <w:rFonts w:ascii="宋体" w:hAnsi="宋体"/>
                <w:color w:val="auto"/>
                <w:kern w:val="0"/>
              </w:rPr>
            </w:pPr>
            <w:r>
              <w:rPr>
                <w:rFonts w:hint="eastAsia" w:ascii="宋体" w:hAnsi="宋体"/>
                <w:color w:val="auto"/>
                <w:kern w:val="0"/>
              </w:rPr>
              <w:t>能力</w:t>
            </w: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用于施</w:t>
            </w:r>
          </w:p>
          <w:p>
            <w:pPr>
              <w:autoSpaceDE w:val="0"/>
              <w:autoSpaceDN w:val="0"/>
              <w:adjustRightInd w:val="0"/>
              <w:jc w:val="center"/>
              <w:rPr>
                <w:rFonts w:ascii="宋体" w:hAnsi="宋体"/>
                <w:color w:val="auto"/>
                <w:kern w:val="0"/>
              </w:rPr>
            </w:pPr>
            <w:r>
              <w:rPr>
                <w:rFonts w:hint="eastAsia" w:ascii="宋体" w:hAnsi="宋体"/>
                <w:color w:val="auto"/>
                <w:kern w:val="0"/>
              </w:rPr>
              <w:t>工部位</w:t>
            </w: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6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8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bl>
    <w:p>
      <w:pPr>
        <w:autoSpaceDE w:val="0"/>
        <w:autoSpaceDN w:val="0"/>
        <w:adjustRightInd w:val="0"/>
        <w:spacing w:line="420" w:lineRule="exact"/>
        <w:jc w:val="left"/>
        <w:rPr>
          <w:rFonts w:ascii="宋体" w:hAnsi="宋体"/>
          <w:color w:val="auto"/>
          <w:kern w:val="0"/>
          <w:sz w:val="28"/>
          <w:szCs w:val="28"/>
        </w:rPr>
      </w:pPr>
    </w:p>
    <w:p>
      <w:pPr>
        <w:autoSpaceDE w:val="0"/>
        <w:autoSpaceDN w:val="0"/>
        <w:adjustRightInd w:val="0"/>
        <w:spacing w:line="420" w:lineRule="exact"/>
        <w:jc w:val="left"/>
        <w:rPr>
          <w:rFonts w:ascii="宋体" w:hAnsi="宋体"/>
          <w:color w:val="auto"/>
          <w:kern w:val="0"/>
          <w:sz w:val="28"/>
          <w:szCs w:val="28"/>
        </w:rPr>
      </w:pPr>
      <w:r>
        <w:rPr>
          <w:rFonts w:hint="eastAsia" w:ascii="宋体" w:hAnsi="宋体"/>
          <w:color w:val="auto"/>
          <w:kern w:val="0"/>
          <w:sz w:val="28"/>
          <w:szCs w:val="28"/>
        </w:rPr>
        <w:t>附表二：拟配备本标段的试验和检测仪器设备表</w:t>
      </w:r>
    </w:p>
    <w:p>
      <w:pPr>
        <w:autoSpaceDE w:val="0"/>
        <w:autoSpaceDN w:val="0"/>
        <w:adjustRightInd w:val="0"/>
        <w:spacing w:line="420" w:lineRule="exact"/>
        <w:jc w:val="left"/>
        <w:rPr>
          <w:rFonts w:ascii="宋体" w:hAnsi="宋体"/>
          <w:color w:val="auto"/>
          <w:kern w:val="0"/>
          <w:sz w:val="24"/>
          <w:szCs w:val="24"/>
        </w:rPr>
      </w:pPr>
    </w:p>
    <w:tbl>
      <w:tblPr>
        <w:tblStyle w:val="33"/>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71"/>
        <w:gridCol w:w="978"/>
        <w:gridCol w:w="978"/>
        <w:gridCol w:w="976"/>
        <w:gridCol w:w="842"/>
        <w:gridCol w:w="1112"/>
        <w:gridCol w:w="978"/>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序号</w:t>
            </w:r>
          </w:p>
        </w:tc>
        <w:tc>
          <w:tcPr>
            <w:tcW w:w="11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仪器设备</w:t>
            </w:r>
          </w:p>
          <w:p>
            <w:pPr>
              <w:autoSpaceDE w:val="0"/>
              <w:autoSpaceDN w:val="0"/>
              <w:adjustRightInd w:val="0"/>
              <w:jc w:val="center"/>
              <w:rPr>
                <w:rFonts w:ascii="宋体" w:hAnsi="宋体"/>
                <w:color w:val="auto"/>
                <w:kern w:val="0"/>
              </w:rPr>
            </w:pPr>
            <w:r>
              <w:rPr>
                <w:rFonts w:hint="eastAsia" w:ascii="宋体" w:hAnsi="宋体"/>
                <w:color w:val="auto"/>
                <w:kern w:val="0"/>
              </w:rPr>
              <w:t>名称</w:t>
            </w: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型号</w:t>
            </w:r>
          </w:p>
          <w:p>
            <w:pPr>
              <w:autoSpaceDE w:val="0"/>
              <w:autoSpaceDN w:val="0"/>
              <w:adjustRightInd w:val="0"/>
              <w:jc w:val="center"/>
              <w:rPr>
                <w:rFonts w:ascii="宋体" w:hAnsi="宋体"/>
                <w:color w:val="auto"/>
                <w:kern w:val="0"/>
              </w:rPr>
            </w:pPr>
            <w:r>
              <w:rPr>
                <w:rFonts w:hint="eastAsia" w:ascii="宋体" w:hAnsi="宋体"/>
                <w:color w:val="auto"/>
                <w:kern w:val="0"/>
              </w:rPr>
              <w:t>规格</w:t>
            </w: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数量</w:t>
            </w:r>
          </w:p>
        </w:tc>
        <w:tc>
          <w:tcPr>
            <w:tcW w:w="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国别</w:t>
            </w:r>
          </w:p>
          <w:p>
            <w:pPr>
              <w:autoSpaceDE w:val="0"/>
              <w:autoSpaceDN w:val="0"/>
              <w:adjustRightInd w:val="0"/>
              <w:jc w:val="center"/>
              <w:rPr>
                <w:rFonts w:ascii="宋体" w:hAnsi="宋体"/>
                <w:color w:val="auto"/>
                <w:kern w:val="0"/>
              </w:rPr>
            </w:pPr>
            <w:r>
              <w:rPr>
                <w:rFonts w:hint="eastAsia" w:ascii="宋体" w:hAnsi="宋体"/>
                <w:color w:val="auto"/>
                <w:kern w:val="0"/>
              </w:rPr>
              <w:t>产地</w:t>
            </w:r>
          </w:p>
        </w:tc>
        <w:tc>
          <w:tcPr>
            <w:tcW w:w="8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制造</w:t>
            </w:r>
          </w:p>
          <w:p>
            <w:pPr>
              <w:autoSpaceDE w:val="0"/>
              <w:autoSpaceDN w:val="0"/>
              <w:adjustRightInd w:val="0"/>
              <w:jc w:val="center"/>
              <w:rPr>
                <w:rFonts w:ascii="宋体" w:hAnsi="宋体"/>
                <w:color w:val="auto"/>
                <w:kern w:val="0"/>
              </w:rPr>
            </w:pPr>
            <w:r>
              <w:rPr>
                <w:rFonts w:hint="eastAsia" w:ascii="宋体" w:hAnsi="宋体"/>
                <w:color w:val="auto"/>
                <w:kern w:val="0"/>
              </w:rPr>
              <w:t>年份</w:t>
            </w:r>
          </w:p>
        </w:tc>
        <w:tc>
          <w:tcPr>
            <w:tcW w:w="1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已使用台</w:t>
            </w:r>
          </w:p>
          <w:p>
            <w:pPr>
              <w:autoSpaceDE w:val="0"/>
              <w:autoSpaceDN w:val="0"/>
              <w:adjustRightInd w:val="0"/>
              <w:jc w:val="center"/>
              <w:rPr>
                <w:rFonts w:ascii="宋体" w:hAnsi="宋体"/>
                <w:color w:val="auto"/>
                <w:kern w:val="0"/>
              </w:rPr>
            </w:pPr>
            <w:r>
              <w:rPr>
                <w:rFonts w:hint="eastAsia" w:ascii="宋体" w:hAnsi="宋体"/>
                <w:color w:val="auto"/>
                <w:kern w:val="0"/>
              </w:rPr>
              <w:t>时数</w:t>
            </w: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用途</w:t>
            </w:r>
          </w:p>
        </w:tc>
        <w:tc>
          <w:tcPr>
            <w:tcW w:w="9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8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11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9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bl>
    <w:p>
      <w:pPr>
        <w:autoSpaceDE w:val="0"/>
        <w:autoSpaceDN w:val="0"/>
        <w:adjustRightInd w:val="0"/>
        <w:spacing w:line="420" w:lineRule="exact"/>
        <w:jc w:val="left"/>
        <w:rPr>
          <w:rFonts w:ascii="宋体" w:hAnsi="宋体"/>
          <w:color w:val="auto"/>
          <w:kern w:val="0"/>
          <w:sz w:val="28"/>
          <w:szCs w:val="28"/>
        </w:rPr>
      </w:pPr>
      <w:r>
        <w:rPr>
          <w:rFonts w:hint="eastAsia" w:ascii="宋体" w:hAnsi="宋体"/>
          <w:color w:val="auto"/>
          <w:kern w:val="0"/>
          <w:sz w:val="28"/>
          <w:szCs w:val="28"/>
        </w:rPr>
        <w:br w:type="page"/>
      </w:r>
    </w:p>
    <w:p>
      <w:pPr>
        <w:autoSpaceDE w:val="0"/>
        <w:autoSpaceDN w:val="0"/>
        <w:adjustRightInd w:val="0"/>
        <w:spacing w:line="420" w:lineRule="exact"/>
        <w:jc w:val="left"/>
        <w:rPr>
          <w:rFonts w:ascii="宋体" w:hAnsi="宋体"/>
          <w:color w:val="auto"/>
          <w:kern w:val="0"/>
          <w:sz w:val="28"/>
          <w:szCs w:val="28"/>
        </w:rPr>
      </w:pPr>
      <w:r>
        <w:rPr>
          <w:rFonts w:hint="eastAsia" w:ascii="宋体" w:hAnsi="宋体"/>
          <w:color w:val="auto"/>
          <w:kern w:val="0"/>
          <w:sz w:val="28"/>
          <w:szCs w:val="28"/>
        </w:rPr>
        <w:t>附表三：劳动力计划表</w:t>
      </w:r>
    </w:p>
    <w:p>
      <w:pPr>
        <w:autoSpaceDE w:val="0"/>
        <w:autoSpaceDN w:val="0"/>
        <w:adjustRightInd w:val="0"/>
        <w:spacing w:line="420" w:lineRule="exact"/>
        <w:jc w:val="right"/>
        <w:rPr>
          <w:rFonts w:ascii="宋体" w:hAnsi="宋体"/>
          <w:color w:val="auto"/>
          <w:kern w:val="0"/>
        </w:rPr>
      </w:pPr>
      <w:r>
        <w:rPr>
          <w:rFonts w:hint="eastAsia" w:ascii="宋体" w:hAnsi="宋体"/>
          <w:color w:val="auto"/>
          <w:kern w:val="0"/>
        </w:rPr>
        <w:t>单位：人</w:t>
      </w:r>
    </w:p>
    <w:tbl>
      <w:tblPr>
        <w:tblStyle w:val="33"/>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097"/>
        <w:gridCol w:w="1100"/>
        <w:gridCol w:w="1100"/>
        <w:gridCol w:w="1100"/>
        <w:gridCol w:w="1100"/>
        <w:gridCol w:w="1100"/>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 w:val="24"/>
                <w:szCs w:val="24"/>
              </w:rPr>
            </w:pPr>
            <w:r>
              <w:rPr>
                <w:rFonts w:hint="eastAsia" w:ascii="宋体" w:hAnsi="宋体"/>
                <w:color w:val="auto"/>
                <w:kern w:val="0"/>
                <w:sz w:val="24"/>
                <w:szCs w:val="24"/>
              </w:rPr>
              <w:t>工种</w:t>
            </w:r>
          </w:p>
        </w:tc>
        <w:tc>
          <w:tcPr>
            <w:tcW w:w="7702"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sz w:val="24"/>
                <w:szCs w:val="24"/>
              </w:rPr>
            </w:pPr>
            <w:r>
              <w:rPr>
                <w:rFonts w:hint="eastAsia" w:ascii="宋体" w:hAnsi="宋体"/>
                <w:color w:val="auto"/>
                <w:kern w:val="0"/>
                <w:sz w:val="24"/>
                <w:szCs w:val="24"/>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0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4" w:hRule="atLeast"/>
          <w:jc w:val="center"/>
        </w:trPr>
        <w:tc>
          <w:tcPr>
            <w:tcW w:w="10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0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0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0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1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r>
    </w:tbl>
    <w:p>
      <w:pPr>
        <w:autoSpaceDE w:val="0"/>
        <w:autoSpaceDN w:val="0"/>
        <w:adjustRightInd w:val="0"/>
        <w:spacing w:line="420" w:lineRule="exact"/>
        <w:jc w:val="left"/>
        <w:rPr>
          <w:rFonts w:ascii="宋体" w:hAnsi="宋体"/>
          <w:color w:val="auto"/>
          <w:kern w:val="0"/>
          <w:sz w:val="28"/>
          <w:szCs w:val="28"/>
        </w:rPr>
      </w:pPr>
    </w:p>
    <w:p>
      <w:pPr>
        <w:autoSpaceDE w:val="0"/>
        <w:autoSpaceDN w:val="0"/>
        <w:adjustRightInd w:val="0"/>
        <w:spacing w:line="420" w:lineRule="exact"/>
        <w:jc w:val="left"/>
        <w:rPr>
          <w:rFonts w:ascii="宋体" w:hAnsi="宋体"/>
          <w:color w:val="auto"/>
          <w:kern w:val="0"/>
          <w:sz w:val="28"/>
          <w:szCs w:val="28"/>
        </w:rPr>
      </w:pPr>
      <w:r>
        <w:rPr>
          <w:rFonts w:hint="eastAsia" w:ascii="宋体" w:hAnsi="宋体"/>
          <w:color w:val="auto"/>
          <w:kern w:val="0"/>
          <w:sz w:val="28"/>
          <w:szCs w:val="28"/>
        </w:rPr>
        <w:t>附表四：计划开、竣工日期和施工进度网络图</w:t>
      </w:r>
    </w:p>
    <w:p>
      <w:pPr>
        <w:autoSpaceDE w:val="0"/>
        <w:autoSpaceDN w:val="0"/>
        <w:adjustRightInd w:val="0"/>
        <w:spacing w:line="420" w:lineRule="exact"/>
        <w:jc w:val="left"/>
        <w:rPr>
          <w:rFonts w:ascii="宋体" w:hAnsi="宋体"/>
          <w:color w:val="auto"/>
          <w:kern w:val="0"/>
          <w:sz w:val="24"/>
          <w:szCs w:val="24"/>
        </w:rPr>
      </w:pPr>
    </w:p>
    <w:p>
      <w:pPr>
        <w:autoSpaceDE w:val="0"/>
        <w:autoSpaceDN w:val="0"/>
        <w:adjustRightIn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1. 供应商应递交施工进度网络图或施工进度表，说明按招标文件要求的计划工期进行施工的各个关键日期。</w:t>
      </w:r>
    </w:p>
    <w:p>
      <w:pPr>
        <w:autoSpaceDE w:val="0"/>
        <w:autoSpaceDN w:val="0"/>
        <w:adjustRightIn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2. 施工进度表可采用网络图（或横道图）表示。</w:t>
      </w:r>
    </w:p>
    <w:p>
      <w:pPr>
        <w:autoSpaceDE w:val="0"/>
        <w:autoSpaceDN w:val="0"/>
        <w:adjustRightInd w:val="0"/>
        <w:spacing w:line="420" w:lineRule="exact"/>
        <w:jc w:val="left"/>
        <w:rPr>
          <w:rFonts w:ascii="宋体" w:hAnsi="宋体"/>
          <w:color w:val="auto"/>
          <w:kern w:val="0"/>
          <w:sz w:val="18"/>
          <w:szCs w:val="18"/>
        </w:rPr>
      </w:pPr>
    </w:p>
    <w:p>
      <w:pPr>
        <w:autoSpaceDE w:val="0"/>
        <w:autoSpaceDN w:val="0"/>
        <w:adjustRightInd w:val="0"/>
        <w:spacing w:line="420" w:lineRule="exact"/>
        <w:jc w:val="left"/>
        <w:rPr>
          <w:rFonts w:ascii="宋体" w:hAnsi="宋体"/>
          <w:color w:val="auto"/>
          <w:kern w:val="0"/>
          <w:sz w:val="28"/>
          <w:szCs w:val="28"/>
        </w:rPr>
      </w:pPr>
      <w:r>
        <w:rPr>
          <w:rFonts w:hint="eastAsia" w:ascii="宋体" w:hAnsi="宋体"/>
          <w:color w:val="auto"/>
          <w:kern w:val="0"/>
          <w:sz w:val="28"/>
          <w:szCs w:val="28"/>
        </w:rPr>
        <w:t>附表五：施工总平面图</w:t>
      </w:r>
    </w:p>
    <w:p>
      <w:pPr>
        <w:autoSpaceDE w:val="0"/>
        <w:autoSpaceDN w:val="0"/>
        <w:adjustRightInd w:val="0"/>
        <w:spacing w:line="420" w:lineRule="exact"/>
        <w:jc w:val="left"/>
        <w:rPr>
          <w:rFonts w:ascii="宋体" w:hAnsi="宋体"/>
          <w:color w:val="auto"/>
          <w:kern w:val="0"/>
          <w:sz w:val="24"/>
          <w:szCs w:val="24"/>
        </w:rPr>
      </w:pPr>
    </w:p>
    <w:p>
      <w:pPr>
        <w:autoSpaceDE w:val="0"/>
        <w:autoSpaceDN w:val="0"/>
        <w:adjustRightInd w:val="0"/>
        <w:spacing w:line="360" w:lineRule="auto"/>
        <w:ind w:firstLine="480" w:firstLineChars="200"/>
        <w:jc w:val="left"/>
        <w:rPr>
          <w:rFonts w:ascii="宋体" w:hAnsi="宋体"/>
          <w:color w:val="auto"/>
          <w:kern w:val="0"/>
          <w:sz w:val="24"/>
          <w:szCs w:val="24"/>
        </w:rPr>
      </w:pPr>
      <w:r>
        <w:rPr>
          <w:rFonts w:hint="eastAsia" w:ascii="宋体" w:hAnsi="宋体"/>
          <w:color w:val="auto"/>
          <w:kern w:val="0"/>
          <w:sz w:val="24"/>
          <w:szCs w:val="24"/>
        </w:rPr>
        <w:t>供应商应递交一份施工总平面图，绘出现场临时设施布置图表并附文字说明，说明临时设施、加工车间、现场办公、设备及仓储、供电、供水、卫生、生活、道路、消防等设施的情况和布置。</w:t>
      </w:r>
    </w:p>
    <w:p>
      <w:pPr>
        <w:autoSpaceDE w:val="0"/>
        <w:autoSpaceDN w:val="0"/>
        <w:adjustRightInd w:val="0"/>
        <w:spacing w:line="360" w:lineRule="auto"/>
        <w:ind w:firstLine="480" w:firstLineChars="200"/>
        <w:jc w:val="left"/>
        <w:rPr>
          <w:rFonts w:ascii="宋体" w:hAnsi="宋体"/>
          <w:color w:val="auto"/>
          <w:kern w:val="0"/>
          <w:sz w:val="24"/>
          <w:szCs w:val="24"/>
        </w:rPr>
      </w:pPr>
    </w:p>
    <w:p>
      <w:pPr>
        <w:rPr>
          <w:rFonts w:ascii="宋体" w:hAnsi="宋体"/>
          <w:color w:val="auto"/>
          <w:kern w:val="0"/>
        </w:rPr>
      </w:pPr>
      <w:r>
        <w:rPr>
          <w:rFonts w:hint="eastAsia" w:ascii="宋体" w:hAnsi="宋体"/>
          <w:color w:val="auto"/>
          <w:kern w:val="0"/>
        </w:rPr>
        <w:br w:type="page"/>
      </w:r>
    </w:p>
    <w:p>
      <w:pPr>
        <w:autoSpaceDE w:val="0"/>
        <w:autoSpaceDN w:val="0"/>
        <w:adjustRightInd w:val="0"/>
        <w:spacing w:line="420" w:lineRule="exact"/>
        <w:jc w:val="left"/>
        <w:rPr>
          <w:rFonts w:ascii="宋体" w:hAnsi="宋体"/>
          <w:color w:val="auto"/>
          <w:kern w:val="0"/>
          <w:sz w:val="28"/>
          <w:szCs w:val="28"/>
        </w:rPr>
      </w:pPr>
      <w:bookmarkStart w:id="1142" w:name="_Toc504054270"/>
      <w:bookmarkEnd w:id="1142"/>
      <w:bookmarkStart w:id="1143" w:name="_Toc512676452"/>
      <w:r>
        <w:rPr>
          <w:rFonts w:hint="eastAsia" w:ascii="宋体" w:hAnsi="宋体"/>
          <w:color w:val="auto"/>
          <w:kern w:val="0"/>
          <w:sz w:val="28"/>
          <w:szCs w:val="28"/>
        </w:rPr>
        <w:t>附表六：临时用地表</w:t>
      </w:r>
      <w:bookmarkEnd w:id="1143"/>
    </w:p>
    <w:p>
      <w:pPr>
        <w:autoSpaceDE w:val="0"/>
        <w:autoSpaceDN w:val="0"/>
        <w:adjustRightInd w:val="0"/>
        <w:spacing w:line="420" w:lineRule="exact"/>
        <w:jc w:val="left"/>
        <w:rPr>
          <w:rFonts w:ascii="宋体" w:hAnsi="宋体"/>
          <w:color w:val="auto"/>
          <w:kern w:val="0"/>
          <w:sz w:val="24"/>
          <w:szCs w:val="24"/>
        </w:rPr>
      </w:pPr>
    </w:p>
    <w:tbl>
      <w:tblPr>
        <w:tblStyle w:val="33"/>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2197"/>
        <w:gridCol w:w="2198"/>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r>
              <w:rPr>
                <w:rFonts w:hint="eastAsia" w:ascii="宋体" w:hAnsi="宋体"/>
                <w:color w:val="auto"/>
                <w:kern w:val="0"/>
              </w:rPr>
              <w:t>用 途</w:t>
            </w: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r>
              <w:rPr>
                <w:rFonts w:hint="eastAsia" w:ascii="宋体" w:hAnsi="宋体"/>
                <w:color w:val="auto"/>
                <w:kern w:val="0"/>
              </w:rPr>
              <w:t>面 积（平方米）</w:t>
            </w: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r>
              <w:rPr>
                <w:rFonts w:hint="eastAsia" w:ascii="宋体" w:hAnsi="宋体"/>
                <w:color w:val="auto"/>
                <w:kern w:val="0"/>
              </w:rPr>
              <w:t>位 置</w:t>
            </w: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r>
              <w:rPr>
                <w:rFonts w:hint="eastAsia" w:ascii="宋体" w:hAnsi="宋体"/>
                <w:color w:val="auto"/>
                <w:kern w:val="0"/>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21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c>
          <w:tcPr>
            <w:tcW w:w="19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sz w:val="24"/>
                <w:szCs w:val="24"/>
              </w:rPr>
            </w:pPr>
          </w:p>
        </w:tc>
      </w:tr>
    </w:tbl>
    <w:p>
      <w:pPr>
        <w:spacing w:line="420" w:lineRule="exact"/>
        <w:jc w:val="center"/>
        <w:outlineLvl w:val="1"/>
        <w:rPr>
          <w:rFonts w:hint="eastAsia" w:ascii="Times New Roman" w:hAnsi="Times New Roman" w:eastAsia="黑体" w:cs="宋体"/>
          <w:b w:val="0"/>
          <w:bCs/>
          <w:color w:val="auto"/>
          <w:kern w:val="0"/>
          <w:sz w:val="32"/>
          <w:szCs w:val="32"/>
          <w:lang w:val="en-US" w:eastAsia="zh-CN" w:bidi="ar-SA"/>
        </w:rPr>
      </w:pPr>
      <w:r>
        <w:rPr>
          <w:rFonts w:hint="eastAsia" w:ascii="宋体" w:hAnsi="宋体"/>
          <w:color w:val="auto"/>
        </w:rPr>
        <w:br w:type="page"/>
      </w:r>
      <w:bookmarkStart w:id="1144" w:name="_Toc31665"/>
      <w:bookmarkEnd w:id="1144"/>
      <w:bookmarkStart w:id="1145" w:name="_Toc23568"/>
      <w:bookmarkStart w:id="1146" w:name="_Toc5204"/>
      <w:bookmarkStart w:id="1147" w:name="_Toc27322"/>
      <w:bookmarkStart w:id="1148" w:name="_Toc7654"/>
      <w:bookmarkStart w:id="1149" w:name="_Toc129073533"/>
      <w:bookmarkStart w:id="1150" w:name="_Toc11188"/>
      <w:bookmarkStart w:id="1151" w:name="_Toc3251"/>
      <w:r>
        <w:rPr>
          <w:rFonts w:hint="eastAsia" w:ascii="Times New Roman" w:hAnsi="Times New Roman" w:eastAsia="黑体" w:cs="宋体"/>
          <w:b w:val="0"/>
          <w:bCs/>
          <w:color w:val="auto"/>
          <w:kern w:val="0"/>
          <w:sz w:val="32"/>
          <w:szCs w:val="32"/>
          <w:lang w:val="en-US" w:eastAsia="zh-CN" w:bidi="ar-SA"/>
        </w:rPr>
        <w:t>七、项目管理机构</w:t>
      </w:r>
      <w:bookmarkEnd w:id="1145"/>
      <w:bookmarkEnd w:id="1146"/>
      <w:bookmarkEnd w:id="1147"/>
      <w:bookmarkEnd w:id="1148"/>
      <w:bookmarkEnd w:id="1149"/>
      <w:bookmarkEnd w:id="1150"/>
      <w:bookmarkEnd w:id="1151"/>
    </w:p>
    <w:p>
      <w:pPr>
        <w:spacing w:after="240" w:line="420" w:lineRule="exact"/>
        <w:outlineLvl w:val="2"/>
        <w:rPr>
          <w:rFonts w:ascii="宋体" w:hAnsi="宋体"/>
          <w:color w:val="auto"/>
          <w:sz w:val="24"/>
          <w:szCs w:val="24"/>
        </w:rPr>
      </w:pPr>
      <w:bookmarkStart w:id="1152" w:name="_Toc129073534"/>
      <w:bookmarkStart w:id="1153" w:name="_Toc7274"/>
      <w:r>
        <w:rPr>
          <w:rFonts w:hint="eastAsia" w:ascii="宋体" w:hAnsi="宋体"/>
          <w:color w:val="auto"/>
          <w:sz w:val="24"/>
          <w:szCs w:val="24"/>
        </w:rPr>
        <w:t>（一）项目管理机构组成表</w:t>
      </w:r>
      <w:bookmarkEnd w:id="1152"/>
      <w:bookmarkEnd w:id="1153"/>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职务</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姓名</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职称</w:t>
            </w:r>
          </w:p>
        </w:tc>
        <w:tc>
          <w:tcPr>
            <w:tcW w:w="5670"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执业或职业资格证明</w:t>
            </w:r>
          </w:p>
        </w:tc>
        <w:tc>
          <w:tcPr>
            <w:tcW w:w="70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证书名称</w:t>
            </w: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级别</w:t>
            </w: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证号</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专业</w:t>
            </w: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养老保险</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7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bl>
    <w:p>
      <w:pPr>
        <w:spacing w:line="420" w:lineRule="exact"/>
        <w:rPr>
          <w:rFonts w:ascii="宋体" w:hAnsi="宋体"/>
          <w:color w:val="auto"/>
        </w:rPr>
      </w:pPr>
    </w:p>
    <w:p>
      <w:pPr>
        <w:spacing w:before="120" w:after="240" w:line="420" w:lineRule="exact"/>
        <w:outlineLvl w:val="2"/>
        <w:rPr>
          <w:rFonts w:ascii="宋体" w:hAnsi="宋体"/>
          <w:color w:val="auto"/>
          <w:sz w:val="24"/>
          <w:szCs w:val="24"/>
        </w:rPr>
      </w:pPr>
      <w:r>
        <w:rPr>
          <w:rFonts w:hint="eastAsia" w:ascii="宋体" w:hAnsi="宋体"/>
          <w:b/>
          <w:bCs/>
          <w:color w:val="auto"/>
          <w:sz w:val="28"/>
          <w:szCs w:val="28"/>
        </w:rPr>
        <w:br w:type="page"/>
      </w:r>
      <w:bookmarkStart w:id="1154" w:name="_Toc129073535"/>
      <w:bookmarkStart w:id="1155" w:name="_Toc23790"/>
      <w:r>
        <w:rPr>
          <w:rFonts w:hint="eastAsia" w:ascii="宋体" w:hAnsi="宋体"/>
          <w:color w:val="auto"/>
          <w:sz w:val="24"/>
          <w:szCs w:val="24"/>
        </w:rPr>
        <w:t>（二）主要人员简历表</w:t>
      </w:r>
      <w:bookmarkEnd w:id="1154"/>
      <w:bookmarkEnd w:id="1155"/>
    </w:p>
    <w:p>
      <w:pPr>
        <w:spacing w:line="420" w:lineRule="exact"/>
        <w:rPr>
          <w:rFonts w:ascii="宋体" w:hAnsi="宋体"/>
          <w:color w:val="auto"/>
          <w:sz w:val="21"/>
          <w:szCs w:val="21"/>
        </w:rPr>
      </w:pPr>
      <w:r>
        <w:rPr>
          <w:rFonts w:hint="eastAsia" w:ascii="宋体" w:hAnsi="宋体"/>
          <w:color w:val="auto"/>
          <w:sz w:val="21"/>
          <w:szCs w:val="21"/>
        </w:rPr>
        <w:t>附1：项目负责人简历表</w:t>
      </w:r>
    </w:p>
    <w:p>
      <w:pPr>
        <w:spacing w:line="420" w:lineRule="exact"/>
        <w:ind w:firstLine="420" w:firstLineChars="200"/>
        <w:rPr>
          <w:rFonts w:ascii="宋体" w:hAnsi="宋体"/>
          <w:color w:val="auto"/>
          <w:sz w:val="21"/>
          <w:szCs w:val="21"/>
        </w:rPr>
      </w:pPr>
      <w:r>
        <w:rPr>
          <w:rFonts w:hint="eastAsia" w:ascii="宋体" w:hAnsi="宋体"/>
          <w:color w:val="auto"/>
          <w:sz w:val="21"/>
          <w:szCs w:val="21"/>
        </w:rPr>
        <w:t>项目负责人应附项目负责人身份证、资格证、职称证（如有要求）、学历证（如有要求）、社保证明等。</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035"/>
        <w:gridCol w:w="1134"/>
        <w:gridCol w:w="1275"/>
        <w:gridCol w:w="184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姓  名</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年  龄</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学历</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职  称</w:t>
            </w:r>
          </w:p>
        </w:tc>
        <w:tc>
          <w:tcPr>
            <w:tcW w:w="10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职  务</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拟在本工程任职</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毕业学校</w:t>
            </w:r>
          </w:p>
        </w:tc>
        <w:tc>
          <w:tcPr>
            <w:tcW w:w="7413" w:type="dxa"/>
            <w:gridSpan w:val="5"/>
            <w:tcBorders>
              <w:top w:val="single" w:color="auto" w:sz="4" w:space="0"/>
              <w:left w:val="single" w:color="auto" w:sz="4" w:space="0"/>
              <w:bottom w:val="single" w:color="auto" w:sz="4" w:space="0"/>
              <w:right w:val="single" w:color="auto" w:sz="4" w:space="0"/>
            </w:tcBorders>
            <w:vAlign w:val="center"/>
          </w:tcPr>
          <w:p>
            <w:pPr>
              <w:ind w:firstLine="840"/>
              <w:rPr>
                <w:rFonts w:ascii="宋体" w:hAnsi="宋体"/>
                <w:color w:val="auto"/>
              </w:rPr>
            </w:pPr>
            <w:r>
              <w:rPr>
                <w:rFonts w:hint="eastAsia" w:ascii="宋体" w:hAnsi="宋体"/>
                <w:color w:val="auto"/>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时  间</w:t>
            </w: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参加过的类似项目名称</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工程概况说明</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344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bl>
    <w:p>
      <w:pPr>
        <w:spacing w:line="420" w:lineRule="exact"/>
        <w:rPr>
          <w:rFonts w:ascii="宋体" w:hAnsi="宋体"/>
          <w:color w:val="auto"/>
          <w:sz w:val="24"/>
          <w:szCs w:val="24"/>
        </w:rPr>
      </w:pPr>
      <w:r>
        <w:rPr>
          <w:rFonts w:hint="eastAsia" w:ascii="宋体" w:hAnsi="宋体"/>
          <w:color w:val="auto"/>
        </w:rPr>
        <w:br w:type="page"/>
      </w:r>
      <w:r>
        <w:rPr>
          <w:rFonts w:hint="eastAsia" w:ascii="宋体" w:hAnsi="宋体"/>
          <w:color w:val="auto"/>
          <w:sz w:val="24"/>
          <w:szCs w:val="24"/>
        </w:rPr>
        <w:t>附2：主要项目管理人员简历表</w:t>
      </w:r>
    </w:p>
    <w:p>
      <w:pPr>
        <w:spacing w:line="420" w:lineRule="exact"/>
        <w:ind w:firstLine="420" w:firstLineChars="200"/>
        <w:rPr>
          <w:rFonts w:ascii="宋体" w:hAnsi="宋体"/>
          <w:color w:val="auto"/>
          <w:sz w:val="21"/>
          <w:szCs w:val="21"/>
          <w:highlight w:val="none"/>
        </w:rPr>
      </w:pPr>
      <w:r>
        <w:rPr>
          <w:rFonts w:hint="eastAsia" w:ascii="宋体" w:hAnsi="宋体"/>
          <w:color w:val="auto"/>
          <w:sz w:val="21"/>
          <w:szCs w:val="21"/>
        </w:rPr>
        <w:t>主要项目管理人员指项目</w:t>
      </w:r>
      <w:r>
        <w:rPr>
          <w:rFonts w:hint="eastAsia" w:ascii="宋体" w:hAnsi="宋体"/>
          <w:color w:val="auto"/>
          <w:sz w:val="21"/>
          <w:szCs w:val="21"/>
          <w:highlight w:val="none"/>
        </w:rPr>
        <w:t>技术负责人、其他主要管理人员（施工员、安全员、材料员、质检(量)员、资料员、造价人员）等岗位人员。技术负责人应附身份证、职称证（如有要求）、学历证（如有要求）。其他管理人员应附有效的职称证或执业证或上岗证书复印件。</w:t>
      </w:r>
    </w:p>
    <w:tbl>
      <w:tblPr>
        <w:tblStyle w:val="33"/>
        <w:tblW w:w="92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0"/>
        <w:gridCol w:w="799"/>
        <w:gridCol w:w="1603"/>
        <w:gridCol w:w="1599"/>
        <w:gridCol w:w="800"/>
        <w:gridCol w:w="1098"/>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姓 名</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6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年 龄</w:t>
            </w:r>
          </w:p>
        </w:tc>
        <w:tc>
          <w:tcPr>
            <w:tcW w:w="15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学 历</w:t>
            </w:r>
          </w:p>
        </w:tc>
        <w:tc>
          <w:tcPr>
            <w:tcW w:w="9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职 称</w:t>
            </w:r>
          </w:p>
        </w:tc>
        <w:tc>
          <w:tcPr>
            <w:tcW w:w="159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6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职 务</w:t>
            </w:r>
          </w:p>
        </w:tc>
        <w:tc>
          <w:tcPr>
            <w:tcW w:w="159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c>
          <w:tcPr>
            <w:tcW w:w="18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拟在本合同任职</w:t>
            </w:r>
          </w:p>
        </w:tc>
        <w:tc>
          <w:tcPr>
            <w:tcW w:w="9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毕业学校</w:t>
            </w:r>
          </w:p>
        </w:tc>
        <w:tc>
          <w:tcPr>
            <w:tcW w:w="763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年毕业于学校专业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236" w:type="dxa"/>
            <w:gridSpan w:val="8"/>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时 间</w:t>
            </w:r>
          </w:p>
        </w:tc>
        <w:tc>
          <w:tcPr>
            <w:tcW w:w="24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参加过的类似项目</w:t>
            </w: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担任职务</w:t>
            </w:r>
          </w:p>
        </w:tc>
        <w:tc>
          <w:tcPr>
            <w:tcW w:w="20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olor w:val="auto"/>
                <w:kern w:val="0"/>
              </w:rPr>
            </w:pPr>
            <w:r>
              <w:rPr>
                <w:rFonts w:hint="eastAsia" w:ascii="宋体" w:hAnsi="宋体"/>
                <w:color w:val="auto"/>
                <w:kern w:val="0"/>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4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4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4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4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239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402"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39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c>
          <w:tcPr>
            <w:tcW w:w="203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hAnsi="宋体"/>
                <w:color w:val="auto"/>
                <w:kern w:val="0"/>
              </w:rPr>
            </w:pPr>
          </w:p>
        </w:tc>
      </w:tr>
    </w:tbl>
    <w:p>
      <w:pPr>
        <w:spacing w:before="240" w:after="120" w:line="440" w:lineRule="exact"/>
        <w:jc w:val="center"/>
        <w:rPr>
          <w:rFonts w:ascii="宋体" w:hAnsi="宋体"/>
          <w:color w:val="auto"/>
          <w:sz w:val="24"/>
          <w:szCs w:val="24"/>
        </w:rPr>
      </w:pPr>
      <w:r>
        <w:rPr>
          <w:rFonts w:hint="eastAsia" w:ascii="宋体" w:hAnsi="宋体"/>
          <w:color w:val="auto"/>
        </w:rPr>
        <w:br w:type="page"/>
      </w:r>
    </w:p>
    <w:p>
      <w:pPr>
        <w:pStyle w:val="57"/>
        <w:rPr>
          <w:rFonts w:hint="eastAsia"/>
          <w:color w:val="auto"/>
          <w:sz w:val="32"/>
          <w:szCs w:val="32"/>
        </w:rPr>
      </w:pPr>
      <w:bookmarkStart w:id="1156" w:name="_Toc18166"/>
      <w:bookmarkEnd w:id="1156"/>
      <w:bookmarkStart w:id="1157" w:name="_Toc19912"/>
      <w:bookmarkStart w:id="1158" w:name="_Toc28164"/>
      <w:bookmarkStart w:id="1159" w:name="_Toc24991"/>
      <w:bookmarkStart w:id="1160" w:name="_Toc15870"/>
      <w:bookmarkStart w:id="1161" w:name="_Toc22057"/>
      <w:bookmarkStart w:id="1162" w:name="_Toc1094"/>
      <w:bookmarkStart w:id="1163" w:name="_Toc129073536"/>
      <w:r>
        <w:rPr>
          <w:rFonts w:hint="eastAsia"/>
          <w:color w:val="auto"/>
          <w:sz w:val="32"/>
          <w:szCs w:val="32"/>
          <w:lang w:eastAsia="zh-CN"/>
        </w:rPr>
        <w:t>八</w:t>
      </w:r>
      <w:r>
        <w:rPr>
          <w:rFonts w:hint="eastAsia"/>
          <w:color w:val="auto"/>
          <w:sz w:val="32"/>
          <w:szCs w:val="32"/>
        </w:rPr>
        <w:t>、资格审查资料</w:t>
      </w:r>
      <w:bookmarkEnd w:id="1157"/>
      <w:bookmarkEnd w:id="1158"/>
      <w:bookmarkEnd w:id="1159"/>
      <w:bookmarkEnd w:id="1160"/>
      <w:bookmarkEnd w:id="1161"/>
      <w:bookmarkEnd w:id="1162"/>
      <w:bookmarkEnd w:id="1163"/>
    </w:p>
    <w:p>
      <w:pPr>
        <w:spacing w:before="120" w:after="240" w:line="440" w:lineRule="exact"/>
        <w:jc w:val="center"/>
        <w:outlineLvl w:val="2"/>
        <w:rPr>
          <w:rFonts w:ascii="宋体" w:hAnsi="宋体"/>
          <w:color w:val="auto"/>
          <w:sz w:val="24"/>
          <w:szCs w:val="24"/>
        </w:rPr>
      </w:pPr>
      <w:bookmarkStart w:id="1164" w:name="_Toc129073537"/>
      <w:bookmarkStart w:id="1165" w:name="_Toc27687"/>
      <w:r>
        <w:rPr>
          <w:rFonts w:hint="eastAsia" w:ascii="宋体" w:hAnsi="宋体"/>
          <w:color w:val="auto"/>
          <w:sz w:val="24"/>
          <w:szCs w:val="24"/>
        </w:rPr>
        <w:t>供应商基本情况表</w:t>
      </w:r>
      <w:bookmarkEnd w:id="1164"/>
      <w:bookmarkEnd w:id="1165"/>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897"/>
        <w:gridCol w:w="1021"/>
        <w:gridCol w:w="1276"/>
        <w:gridCol w:w="1701"/>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供应商名称</w:t>
            </w:r>
          </w:p>
        </w:tc>
        <w:tc>
          <w:tcPr>
            <w:tcW w:w="702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注册地址</w:t>
            </w:r>
          </w:p>
        </w:tc>
        <w:tc>
          <w:tcPr>
            <w:tcW w:w="319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邮政编码</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联系人</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电  话</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传  真</w:t>
            </w:r>
          </w:p>
        </w:tc>
        <w:tc>
          <w:tcPr>
            <w:tcW w:w="229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网  址</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组织结构</w:t>
            </w:r>
          </w:p>
        </w:tc>
        <w:tc>
          <w:tcPr>
            <w:tcW w:w="702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姓名</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技术职称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电话</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技术负责人</w:t>
            </w: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姓名</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技术职称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电话</w:t>
            </w:r>
          </w:p>
        </w:tc>
        <w:tc>
          <w:tcPr>
            <w:tcW w:w="14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成立时间</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510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营业执照号</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1276" w:type="dxa"/>
            <w:vMerge w:val="restart"/>
            <w:tcBorders>
              <w:top w:val="nil"/>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其中</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高级职称人员</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注册资金</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中级职称人员</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开户银行</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初级职称人员</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账号</w:t>
            </w:r>
          </w:p>
        </w:tc>
        <w:tc>
          <w:tcPr>
            <w:tcW w:w="19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olor w:val="auto"/>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技  工</w:t>
            </w:r>
          </w:p>
        </w:tc>
        <w:tc>
          <w:tcPr>
            <w:tcW w:w="21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经营范围</w:t>
            </w:r>
          </w:p>
        </w:tc>
        <w:tc>
          <w:tcPr>
            <w:tcW w:w="702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r>
              <w:rPr>
                <w:rFonts w:hint="eastAsia" w:ascii="宋体" w:hAnsi="宋体"/>
                <w:color w:val="auto"/>
              </w:rPr>
              <w:t>备注</w:t>
            </w:r>
          </w:p>
        </w:tc>
        <w:tc>
          <w:tcPr>
            <w:tcW w:w="7020"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rPr>
            </w:pPr>
          </w:p>
        </w:tc>
      </w:tr>
    </w:tbl>
    <w:p>
      <w:pPr>
        <w:spacing w:line="360" w:lineRule="auto"/>
        <w:jc w:val="center"/>
        <w:rPr>
          <w:rFonts w:ascii="宋体" w:hAnsi="宋体" w:cs="宋体"/>
          <w:color w:val="auto"/>
          <w:sz w:val="28"/>
          <w:szCs w:val="28"/>
        </w:rPr>
      </w:pPr>
      <w:r>
        <w:rPr>
          <w:rFonts w:hint="eastAsia" w:ascii="宋体" w:hAnsi="宋体"/>
          <w:color w:val="auto"/>
        </w:rPr>
        <w:br w:type="page"/>
      </w:r>
      <w:r>
        <w:rPr>
          <w:rFonts w:hint="eastAsia" w:ascii="宋体" w:hAnsi="宋体" w:cs="宋体"/>
          <w:color w:val="auto"/>
          <w:sz w:val="28"/>
          <w:szCs w:val="28"/>
        </w:rPr>
        <w:t>1、具有独立承担民事责任的能力</w:t>
      </w:r>
    </w:p>
    <w:p>
      <w:pPr>
        <w:spacing w:line="360" w:lineRule="auto"/>
        <w:jc w:val="center"/>
        <w:rPr>
          <w:rFonts w:ascii="宋体" w:hAnsi="宋体" w:cs="宋体"/>
          <w:color w:val="auto"/>
          <w:sz w:val="28"/>
          <w:szCs w:val="28"/>
        </w:rPr>
      </w:pPr>
    </w:p>
    <w:p>
      <w:pPr>
        <w:spacing w:line="360" w:lineRule="auto"/>
        <w:jc w:val="center"/>
        <w:rPr>
          <w:rFonts w:ascii="宋体" w:hAnsi="宋体" w:cs="宋体"/>
          <w:color w:val="auto"/>
          <w:sz w:val="21"/>
          <w:szCs w:val="21"/>
        </w:rPr>
      </w:pPr>
      <w:r>
        <w:rPr>
          <w:rFonts w:hint="eastAsia" w:ascii="宋体" w:hAnsi="宋体" w:cs="宋体"/>
          <w:color w:val="auto"/>
          <w:sz w:val="21"/>
          <w:szCs w:val="21"/>
        </w:rPr>
        <w:t>（附法人或者其他组织的营业执照等证明文件）</w:t>
      </w:r>
    </w:p>
    <w:p>
      <w:pPr>
        <w:spacing w:line="360" w:lineRule="auto"/>
        <w:jc w:val="center"/>
        <w:rPr>
          <w:rFonts w:ascii="宋体" w:hAnsi="宋体" w:cs="宋体"/>
          <w:color w:val="auto"/>
          <w:sz w:val="28"/>
          <w:szCs w:val="28"/>
        </w:rPr>
      </w:pPr>
    </w:p>
    <w:p>
      <w:pPr>
        <w:spacing w:line="360" w:lineRule="auto"/>
        <w:jc w:val="center"/>
        <w:rPr>
          <w:rFonts w:ascii="宋体" w:hAnsi="宋体" w:cs="宋体"/>
          <w:color w:val="auto"/>
          <w:sz w:val="28"/>
          <w:szCs w:val="28"/>
        </w:rPr>
      </w:pPr>
      <w:bookmarkStart w:id="1166" w:name="_Toc134452826"/>
    </w:p>
    <w:p>
      <w:pPr>
        <w:spacing w:line="360" w:lineRule="auto"/>
        <w:rPr>
          <w:color w:val="auto"/>
          <w:sz w:val="28"/>
          <w:szCs w:val="28"/>
        </w:rPr>
      </w:pPr>
      <w:r>
        <w:rPr>
          <w:rFonts w:hint="eastAsia"/>
          <w:color w:val="auto"/>
          <w:sz w:val="28"/>
          <w:szCs w:val="28"/>
        </w:rPr>
        <w:br w:type="page"/>
      </w:r>
    </w:p>
    <w:p>
      <w:pPr>
        <w:spacing w:line="360" w:lineRule="auto"/>
        <w:jc w:val="center"/>
        <w:rPr>
          <w:rFonts w:ascii="宋体" w:hAnsi="宋体" w:cs="宋体"/>
          <w:color w:val="auto"/>
          <w:sz w:val="28"/>
          <w:szCs w:val="28"/>
        </w:rPr>
      </w:pPr>
      <w:r>
        <w:rPr>
          <w:rFonts w:hint="eastAsia" w:ascii="宋体" w:hAnsi="宋体" w:cs="宋体"/>
          <w:color w:val="auto"/>
          <w:sz w:val="28"/>
          <w:szCs w:val="28"/>
        </w:rPr>
        <w:t>2、具有良好的商业信誉和健全的财务会计制度</w:t>
      </w:r>
      <w:bookmarkEnd w:id="1166"/>
    </w:p>
    <w:p>
      <w:pPr>
        <w:spacing w:line="360" w:lineRule="auto"/>
        <w:jc w:val="center"/>
        <w:rPr>
          <w:rFonts w:ascii="宋体" w:hAnsi="宋体" w:cs="宋体"/>
          <w:color w:val="auto"/>
          <w:sz w:val="28"/>
          <w:szCs w:val="28"/>
        </w:rPr>
      </w:pPr>
    </w:p>
    <w:p>
      <w:pPr>
        <w:spacing w:line="360" w:lineRule="auto"/>
        <w:rPr>
          <w:rFonts w:ascii="宋体" w:hAnsi="宋体" w:cs="宋体"/>
          <w:color w:val="auto"/>
          <w:sz w:val="21"/>
          <w:szCs w:val="21"/>
        </w:rPr>
      </w:pPr>
      <w:r>
        <w:rPr>
          <w:rFonts w:hint="eastAsia" w:ascii="宋体" w:hAnsi="宋体" w:cs="宋体"/>
          <w:color w:val="auto"/>
          <w:sz w:val="21"/>
          <w:szCs w:val="21"/>
        </w:rPr>
        <w:t>提供下列资料之一作为财务状况证明资料：</w:t>
      </w:r>
    </w:p>
    <w:p>
      <w:pPr>
        <w:spacing w:line="360" w:lineRule="auto"/>
        <w:rPr>
          <w:rFonts w:ascii="宋体" w:hAnsi="宋体" w:cs="宋体"/>
          <w:color w:val="auto"/>
          <w:sz w:val="21"/>
          <w:szCs w:val="21"/>
        </w:rPr>
      </w:pPr>
      <w:r>
        <w:rPr>
          <w:rFonts w:hint="eastAsia" w:ascii="宋体" w:hAnsi="宋体" w:cs="宋体"/>
          <w:color w:val="auto"/>
          <w:sz w:val="21"/>
          <w:szCs w:val="21"/>
        </w:rPr>
        <w:t>（1）2022年度或2023年度经第三方审计机构出具的审计报告：包含资产负债表、利润表、现金流量表和财务报表附注</w:t>
      </w:r>
    </w:p>
    <w:p>
      <w:pPr>
        <w:spacing w:line="360" w:lineRule="auto"/>
        <w:rPr>
          <w:rFonts w:ascii="宋体" w:hAnsi="宋体" w:cs="宋体"/>
          <w:color w:val="auto"/>
          <w:sz w:val="21"/>
          <w:szCs w:val="21"/>
        </w:rPr>
      </w:pPr>
      <w:r>
        <w:rPr>
          <w:rFonts w:hint="eastAsia" w:ascii="宋体" w:hAnsi="宋体" w:cs="宋体"/>
          <w:color w:val="auto"/>
          <w:sz w:val="21"/>
          <w:szCs w:val="21"/>
        </w:rPr>
        <w:t>（2）基本开户银行出具的有效资信证明。</w:t>
      </w:r>
    </w:p>
    <w:p>
      <w:pPr>
        <w:spacing w:line="360" w:lineRule="auto"/>
        <w:rPr>
          <w:rFonts w:ascii="宋体" w:hAnsi="宋体" w:cs="宋体"/>
          <w:color w:val="auto"/>
          <w:sz w:val="21"/>
          <w:szCs w:val="21"/>
        </w:rPr>
      </w:pPr>
      <w:r>
        <w:rPr>
          <w:rFonts w:hint="eastAsia" w:ascii="宋体" w:hAnsi="宋体" w:cs="宋体"/>
          <w:color w:val="auto"/>
          <w:sz w:val="21"/>
          <w:szCs w:val="21"/>
        </w:rPr>
        <w:t>（3）成立不满的一年提供自成立以来的财务报表</w:t>
      </w:r>
    </w:p>
    <w:p>
      <w:pPr>
        <w:spacing w:line="360" w:lineRule="auto"/>
        <w:jc w:val="center"/>
        <w:rPr>
          <w:rFonts w:ascii="宋体" w:hAnsi="宋体" w:cs="宋体"/>
          <w:color w:val="auto"/>
          <w:sz w:val="28"/>
          <w:szCs w:val="28"/>
        </w:rPr>
      </w:pPr>
    </w:p>
    <w:p>
      <w:pPr>
        <w:spacing w:line="360" w:lineRule="auto"/>
        <w:jc w:val="center"/>
        <w:rPr>
          <w:rFonts w:ascii="宋体" w:hAnsi="宋体" w:cs="宋体"/>
          <w:color w:val="auto"/>
          <w:sz w:val="28"/>
          <w:szCs w:val="28"/>
        </w:rPr>
      </w:pPr>
      <w:bookmarkStart w:id="1167" w:name="_Toc134452827"/>
    </w:p>
    <w:p>
      <w:pPr>
        <w:spacing w:line="360" w:lineRule="auto"/>
        <w:rPr>
          <w:color w:val="auto"/>
          <w:sz w:val="28"/>
          <w:szCs w:val="28"/>
        </w:rPr>
      </w:pPr>
      <w:r>
        <w:rPr>
          <w:rFonts w:hint="eastAsia"/>
          <w:color w:val="auto"/>
          <w:sz w:val="28"/>
          <w:szCs w:val="28"/>
        </w:rPr>
        <w:br w:type="page"/>
      </w:r>
    </w:p>
    <w:p>
      <w:pPr>
        <w:spacing w:line="360" w:lineRule="auto"/>
        <w:jc w:val="center"/>
        <w:rPr>
          <w:rFonts w:ascii="宋体" w:hAnsi="宋体" w:cs="宋体"/>
          <w:color w:val="auto"/>
          <w:sz w:val="28"/>
          <w:szCs w:val="28"/>
        </w:rPr>
      </w:pPr>
      <w:r>
        <w:rPr>
          <w:rFonts w:hint="eastAsia" w:ascii="宋体" w:hAnsi="宋体" w:cs="宋体"/>
          <w:color w:val="auto"/>
          <w:sz w:val="28"/>
          <w:szCs w:val="28"/>
        </w:rPr>
        <w:t>3、具有履行合同所必需的设备和专业技术能力</w:t>
      </w:r>
      <w:bookmarkEnd w:id="1167"/>
    </w:p>
    <w:p>
      <w:pPr>
        <w:spacing w:line="360" w:lineRule="auto"/>
        <w:jc w:val="center"/>
        <w:rPr>
          <w:rFonts w:ascii="宋体" w:hAnsi="宋体" w:cs="宋体"/>
          <w:color w:val="auto"/>
          <w:sz w:val="28"/>
          <w:szCs w:val="28"/>
        </w:rPr>
      </w:pPr>
    </w:p>
    <w:p>
      <w:pPr>
        <w:spacing w:line="360" w:lineRule="auto"/>
        <w:jc w:val="center"/>
        <w:rPr>
          <w:rFonts w:ascii="宋体" w:hAnsi="宋体" w:cs="宋体"/>
          <w:color w:val="auto"/>
          <w:sz w:val="21"/>
          <w:szCs w:val="21"/>
        </w:rPr>
      </w:pPr>
      <w:r>
        <w:rPr>
          <w:rFonts w:hint="eastAsia" w:ascii="宋体" w:hAnsi="宋体" w:cs="宋体"/>
          <w:color w:val="auto"/>
          <w:sz w:val="21"/>
          <w:szCs w:val="21"/>
        </w:rPr>
        <w:t>附承诺书，加盖单位公章</w:t>
      </w:r>
    </w:p>
    <w:p>
      <w:pPr>
        <w:spacing w:line="360" w:lineRule="auto"/>
        <w:jc w:val="center"/>
        <w:rPr>
          <w:rFonts w:ascii="宋体" w:hAnsi="宋体" w:cs="宋体"/>
          <w:color w:val="auto"/>
          <w:sz w:val="28"/>
          <w:szCs w:val="28"/>
        </w:rPr>
      </w:pPr>
    </w:p>
    <w:p>
      <w:pPr>
        <w:spacing w:line="360" w:lineRule="auto"/>
        <w:jc w:val="center"/>
        <w:rPr>
          <w:rFonts w:ascii="宋体" w:hAnsi="宋体" w:cs="宋体"/>
          <w:color w:val="auto"/>
          <w:sz w:val="28"/>
          <w:szCs w:val="28"/>
        </w:rPr>
      </w:pPr>
      <w:bookmarkStart w:id="1168" w:name="_Toc134452828"/>
    </w:p>
    <w:p>
      <w:pPr>
        <w:spacing w:line="360" w:lineRule="auto"/>
        <w:rPr>
          <w:color w:val="auto"/>
          <w:sz w:val="28"/>
          <w:szCs w:val="28"/>
        </w:rPr>
      </w:pPr>
      <w:r>
        <w:rPr>
          <w:rFonts w:hint="eastAsia"/>
          <w:color w:val="auto"/>
          <w:sz w:val="28"/>
          <w:szCs w:val="28"/>
        </w:rPr>
        <w:br w:type="page"/>
      </w:r>
    </w:p>
    <w:p>
      <w:pPr>
        <w:spacing w:line="360" w:lineRule="auto"/>
        <w:jc w:val="center"/>
        <w:rPr>
          <w:rFonts w:ascii="宋体" w:hAnsi="宋体" w:cs="宋体"/>
          <w:color w:val="auto"/>
          <w:sz w:val="28"/>
          <w:szCs w:val="28"/>
        </w:rPr>
      </w:pPr>
      <w:r>
        <w:rPr>
          <w:rFonts w:hint="eastAsia" w:ascii="宋体" w:hAnsi="宋体" w:cs="宋体"/>
          <w:color w:val="auto"/>
          <w:sz w:val="28"/>
          <w:szCs w:val="28"/>
        </w:rPr>
        <w:t>4、有依法缴纳税收和社会保障资金的良好记录</w:t>
      </w:r>
      <w:bookmarkEnd w:id="1168"/>
    </w:p>
    <w:p>
      <w:pPr>
        <w:spacing w:line="360" w:lineRule="auto"/>
        <w:jc w:val="center"/>
        <w:rPr>
          <w:rFonts w:ascii="宋体" w:hAnsi="宋体" w:cs="宋体"/>
          <w:color w:val="auto"/>
          <w:sz w:val="28"/>
          <w:szCs w:val="28"/>
        </w:rPr>
      </w:pPr>
    </w:p>
    <w:p>
      <w:pPr>
        <w:spacing w:line="360" w:lineRule="auto"/>
        <w:rPr>
          <w:rFonts w:ascii="宋体" w:hAnsi="宋体" w:cs="宋体"/>
          <w:b/>
          <w:bCs/>
          <w:color w:val="auto"/>
          <w:sz w:val="21"/>
          <w:szCs w:val="21"/>
        </w:rPr>
      </w:pPr>
      <w:r>
        <w:rPr>
          <w:rFonts w:hint="eastAsia" w:ascii="宋体" w:hAnsi="宋体" w:cs="宋体"/>
          <w:b/>
          <w:bCs/>
          <w:color w:val="auto"/>
          <w:sz w:val="21"/>
          <w:szCs w:val="21"/>
        </w:rPr>
        <w:t>1．附2024年1月至今任意一个月的缴纳税收的凭据；</w:t>
      </w:r>
    </w:p>
    <w:p>
      <w:pPr>
        <w:spacing w:line="360" w:lineRule="auto"/>
        <w:rPr>
          <w:rFonts w:ascii="宋体" w:hAnsi="宋体" w:cs="宋体"/>
          <w:color w:val="auto"/>
          <w:sz w:val="21"/>
          <w:szCs w:val="21"/>
        </w:rPr>
      </w:pPr>
      <w:r>
        <w:rPr>
          <w:rFonts w:hint="eastAsia" w:ascii="宋体" w:hAnsi="宋体" w:cs="宋体"/>
          <w:color w:val="auto"/>
          <w:sz w:val="21"/>
          <w:szCs w:val="21"/>
        </w:rPr>
        <w:t xml:space="preserve">（1）纳税证明必须包含增值税或营业税或企业所得税其中之一； </w:t>
      </w:r>
    </w:p>
    <w:p>
      <w:pPr>
        <w:spacing w:line="360" w:lineRule="auto"/>
        <w:rPr>
          <w:rFonts w:ascii="宋体" w:hAnsi="宋体" w:cs="宋体"/>
          <w:color w:val="auto"/>
          <w:sz w:val="21"/>
          <w:szCs w:val="21"/>
        </w:rPr>
      </w:pPr>
      <w:r>
        <w:rPr>
          <w:rFonts w:hint="eastAsia" w:ascii="宋体" w:hAnsi="宋体" w:cs="宋体"/>
          <w:color w:val="auto"/>
          <w:sz w:val="21"/>
          <w:szCs w:val="21"/>
        </w:rPr>
        <w:t>（2）供应商依法免税，应提供依法免税的相应证明文件。</w:t>
      </w:r>
    </w:p>
    <w:p>
      <w:pPr>
        <w:spacing w:line="360" w:lineRule="auto"/>
        <w:rPr>
          <w:rFonts w:ascii="宋体" w:hAnsi="宋体" w:cs="宋体"/>
          <w:b/>
          <w:bCs/>
          <w:color w:val="auto"/>
          <w:sz w:val="21"/>
          <w:szCs w:val="21"/>
        </w:rPr>
      </w:pPr>
      <w:r>
        <w:rPr>
          <w:rFonts w:hint="eastAsia" w:ascii="宋体" w:hAnsi="宋体" w:cs="宋体"/>
          <w:b/>
          <w:bCs/>
          <w:color w:val="auto"/>
          <w:sz w:val="21"/>
          <w:szCs w:val="21"/>
        </w:rPr>
        <w:t>2．附2024年1月至今任意一个月的缴纳社会保险的凭据；</w:t>
      </w:r>
    </w:p>
    <w:p>
      <w:pPr>
        <w:spacing w:line="360" w:lineRule="auto"/>
        <w:rPr>
          <w:rFonts w:ascii="宋体" w:hAnsi="宋体" w:cs="宋体"/>
          <w:color w:val="auto"/>
          <w:sz w:val="21"/>
          <w:szCs w:val="21"/>
        </w:rPr>
      </w:pPr>
      <w:r>
        <w:rPr>
          <w:rFonts w:hint="eastAsia" w:ascii="宋体" w:hAnsi="宋体" w:cs="宋体"/>
          <w:color w:val="auto"/>
          <w:sz w:val="21"/>
          <w:szCs w:val="21"/>
        </w:rPr>
        <w:t>供应商不需要缴纳社保的，需提供能够有效证明其属于国家允许不缴纳社保的相关证明文件。</w:t>
      </w:r>
    </w:p>
    <w:p>
      <w:pPr>
        <w:widowControl/>
        <w:spacing w:line="360" w:lineRule="auto"/>
        <w:jc w:val="left"/>
        <w:rPr>
          <w:color w:val="auto"/>
          <w:sz w:val="24"/>
          <w:szCs w:val="24"/>
        </w:rPr>
      </w:pPr>
      <w:r>
        <w:rPr>
          <w:color w:val="auto"/>
          <w:sz w:val="24"/>
          <w:szCs w:val="24"/>
        </w:rPr>
        <w:br w:type="page"/>
      </w:r>
    </w:p>
    <w:p>
      <w:pPr>
        <w:spacing w:line="360" w:lineRule="auto"/>
        <w:jc w:val="center"/>
        <w:rPr>
          <w:rFonts w:ascii="宋体" w:hAnsi="宋体" w:cs="宋体"/>
          <w:color w:val="auto"/>
          <w:sz w:val="28"/>
          <w:szCs w:val="28"/>
        </w:rPr>
      </w:pPr>
      <w:bookmarkStart w:id="1169" w:name="_Toc134452829"/>
      <w:r>
        <w:rPr>
          <w:rFonts w:hint="eastAsia" w:ascii="宋体" w:hAnsi="宋体" w:cs="宋体"/>
          <w:color w:val="auto"/>
          <w:sz w:val="28"/>
          <w:szCs w:val="28"/>
        </w:rPr>
        <w:t>5、参加政府采购活动前三年内，在经营活动中没有重大违法记录声明</w:t>
      </w:r>
      <w:bookmarkEnd w:id="1169"/>
    </w:p>
    <w:p>
      <w:pPr>
        <w:spacing w:line="360" w:lineRule="auto"/>
        <w:jc w:val="center"/>
        <w:rPr>
          <w:rFonts w:ascii="宋体" w:hAnsi="宋体" w:cs="宋体"/>
          <w:color w:val="auto"/>
          <w:sz w:val="28"/>
          <w:szCs w:val="28"/>
        </w:rPr>
      </w:pPr>
    </w:p>
    <w:p>
      <w:pPr>
        <w:spacing w:line="360" w:lineRule="auto"/>
        <w:jc w:val="center"/>
        <w:rPr>
          <w:rFonts w:ascii="宋体" w:hAnsi="宋体" w:cs="宋体"/>
          <w:color w:val="auto"/>
          <w:sz w:val="21"/>
          <w:szCs w:val="21"/>
        </w:rPr>
      </w:pPr>
      <w:r>
        <w:rPr>
          <w:rFonts w:hint="eastAsia" w:ascii="宋体" w:hAnsi="宋体" w:cs="宋体"/>
          <w:color w:val="auto"/>
          <w:sz w:val="21"/>
          <w:szCs w:val="21"/>
        </w:rPr>
        <w:t>附参加政府采购活动前三年内，在经营活动中没有重大违法记录声明（格式自拟）</w:t>
      </w:r>
    </w:p>
    <w:p>
      <w:pPr>
        <w:spacing w:line="360" w:lineRule="auto"/>
        <w:jc w:val="center"/>
        <w:rPr>
          <w:rFonts w:ascii="宋体" w:hAnsi="宋体" w:cs="宋体"/>
          <w:color w:val="auto"/>
          <w:sz w:val="28"/>
          <w:szCs w:val="28"/>
        </w:rPr>
      </w:pPr>
    </w:p>
    <w:p>
      <w:pPr>
        <w:spacing w:line="360" w:lineRule="auto"/>
        <w:rPr>
          <w:color w:val="auto"/>
          <w:sz w:val="28"/>
          <w:szCs w:val="28"/>
        </w:rPr>
      </w:pPr>
      <w:bookmarkStart w:id="1170" w:name="_Toc134452830"/>
      <w:r>
        <w:rPr>
          <w:rFonts w:hint="eastAsia"/>
          <w:color w:val="auto"/>
          <w:sz w:val="28"/>
          <w:szCs w:val="28"/>
        </w:rPr>
        <w:br w:type="page"/>
      </w:r>
    </w:p>
    <w:p>
      <w:pPr>
        <w:spacing w:line="360" w:lineRule="auto"/>
        <w:jc w:val="center"/>
        <w:rPr>
          <w:rFonts w:ascii="宋体" w:hAnsi="宋体" w:cs="宋体"/>
          <w:color w:val="auto"/>
          <w:sz w:val="28"/>
          <w:szCs w:val="28"/>
        </w:rPr>
      </w:pPr>
      <w:r>
        <w:rPr>
          <w:rFonts w:hint="eastAsia" w:ascii="宋体" w:hAnsi="宋体" w:cs="宋体"/>
          <w:color w:val="auto"/>
          <w:sz w:val="28"/>
          <w:szCs w:val="28"/>
        </w:rPr>
        <w:t>6、</w:t>
      </w:r>
      <w:bookmarkEnd w:id="1170"/>
      <w:r>
        <w:rPr>
          <w:rFonts w:hint="eastAsia" w:ascii="宋体" w:hAnsi="宋体" w:cs="宋体"/>
          <w:color w:val="auto"/>
          <w:sz w:val="28"/>
          <w:szCs w:val="28"/>
        </w:rPr>
        <w:t>特定资格</w:t>
      </w:r>
    </w:p>
    <w:p>
      <w:pPr>
        <w:widowControl/>
        <w:spacing w:line="360" w:lineRule="auto"/>
        <w:jc w:val="left"/>
        <w:rPr>
          <w:color w:val="auto"/>
          <w:sz w:val="21"/>
          <w:szCs w:val="21"/>
        </w:rPr>
      </w:pPr>
      <w:r>
        <w:rPr>
          <w:rFonts w:hint="eastAsia"/>
          <w:color w:val="auto"/>
          <w:sz w:val="21"/>
          <w:szCs w:val="21"/>
        </w:rPr>
        <w:t>提供下列符合特定资格要求的资料证明：</w:t>
      </w:r>
    </w:p>
    <w:p>
      <w:pPr>
        <w:widowControl/>
        <w:spacing w:line="360" w:lineRule="auto"/>
        <w:ind w:firstLine="420" w:firstLineChars="200"/>
        <w:jc w:val="left"/>
        <w:rPr>
          <w:color w:val="auto"/>
          <w:sz w:val="21"/>
          <w:szCs w:val="21"/>
        </w:rPr>
      </w:pPr>
      <w:r>
        <w:rPr>
          <w:rFonts w:hint="eastAsia"/>
          <w:color w:val="auto"/>
          <w:sz w:val="21"/>
          <w:szCs w:val="21"/>
        </w:rPr>
        <w:t>建设行政主管部门颁发的电子与智能化工程专业承包二级及以上资质并在人员、设备、资金等方面具备相应的施工能力，具备有效的安全生产许可证；</w:t>
      </w:r>
    </w:p>
    <w:p>
      <w:pPr>
        <w:widowControl/>
        <w:spacing w:line="360" w:lineRule="auto"/>
        <w:ind w:firstLine="420" w:firstLineChars="200"/>
        <w:jc w:val="left"/>
        <w:rPr>
          <w:b/>
          <w:bCs/>
          <w:color w:val="auto"/>
          <w:sz w:val="21"/>
          <w:szCs w:val="21"/>
        </w:rPr>
      </w:pPr>
      <w:r>
        <w:rPr>
          <w:rFonts w:hint="eastAsia"/>
          <w:color w:val="auto"/>
          <w:sz w:val="21"/>
          <w:szCs w:val="21"/>
        </w:rPr>
        <w:t>拟派项目经理须具备有效的机电专业二级及以上注册建造师资格；并具备有效的安全生产考核合格证书，且同时未在其他在建施工项目担任项目经理；</w:t>
      </w:r>
    </w:p>
    <w:p>
      <w:pPr>
        <w:spacing w:line="360" w:lineRule="auto"/>
        <w:rPr>
          <w:color w:val="auto"/>
          <w:sz w:val="28"/>
          <w:szCs w:val="28"/>
        </w:rPr>
      </w:pPr>
      <w:bookmarkStart w:id="1171" w:name="_Toc134452831"/>
      <w:r>
        <w:rPr>
          <w:rFonts w:hint="eastAsia"/>
          <w:color w:val="auto"/>
          <w:sz w:val="28"/>
          <w:szCs w:val="28"/>
        </w:rPr>
        <w:br w:type="page"/>
      </w:r>
    </w:p>
    <w:p>
      <w:pPr>
        <w:spacing w:line="360" w:lineRule="auto"/>
        <w:jc w:val="center"/>
        <w:rPr>
          <w:rFonts w:ascii="宋体" w:hAnsi="宋体" w:cs="宋体"/>
          <w:color w:val="auto"/>
          <w:sz w:val="28"/>
          <w:szCs w:val="28"/>
        </w:rPr>
      </w:pPr>
      <w:r>
        <w:rPr>
          <w:rFonts w:hint="eastAsia" w:ascii="宋体" w:hAnsi="宋体" w:cs="宋体"/>
          <w:color w:val="auto"/>
          <w:sz w:val="28"/>
          <w:szCs w:val="28"/>
        </w:rPr>
        <w:t>7、信用记录查询</w:t>
      </w:r>
      <w:bookmarkEnd w:id="1171"/>
    </w:p>
    <w:p>
      <w:pPr>
        <w:spacing w:line="360" w:lineRule="auto"/>
        <w:ind w:firstLine="420" w:firstLineChars="200"/>
        <w:rPr>
          <w:color w:val="auto"/>
          <w:sz w:val="21"/>
          <w:szCs w:val="21"/>
        </w:rPr>
      </w:pPr>
      <w:r>
        <w:rPr>
          <w:rFonts w:hint="eastAsia"/>
          <w:color w:val="auto"/>
          <w:sz w:val="21"/>
          <w:szCs w:val="21"/>
        </w:rPr>
        <w:t>查询渠道：</w:t>
      </w:r>
    </w:p>
    <w:p>
      <w:pPr>
        <w:spacing w:line="360" w:lineRule="auto"/>
        <w:ind w:firstLine="420" w:firstLineChars="200"/>
        <w:rPr>
          <w:color w:val="auto"/>
          <w:sz w:val="21"/>
          <w:szCs w:val="21"/>
        </w:rPr>
      </w:pPr>
      <w:r>
        <w:rPr>
          <w:rFonts w:hint="eastAsia"/>
          <w:color w:val="auto"/>
          <w:sz w:val="21"/>
          <w:szCs w:val="21"/>
        </w:rPr>
        <w:t>“中国执行信息公开网”网站：查询失信被执行人；</w:t>
      </w:r>
    </w:p>
    <w:p>
      <w:pPr>
        <w:spacing w:line="360" w:lineRule="auto"/>
        <w:ind w:firstLine="420" w:firstLineChars="200"/>
        <w:rPr>
          <w:color w:val="auto"/>
          <w:sz w:val="21"/>
          <w:szCs w:val="21"/>
        </w:rPr>
      </w:pPr>
      <w:r>
        <w:rPr>
          <w:rFonts w:hint="eastAsia"/>
          <w:color w:val="auto"/>
          <w:sz w:val="21"/>
          <w:szCs w:val="21"/>
        </w:rPr>
        <w:t>“信用中国”网站：查询重大税收违法失信主体；</w:t>
      </w:r>
    </w:p>
    <w:p>
      <w:pPr>
        <w:spacing w:line="360" w:lineRule="auto"/>
        <w:ind w:firstLine="420" w:firstLineChars="200"/>
        <w:rPr>
          <w:color w:val="auto"/>
          <w:sz w:val="21"/>
          <w:szCs w:val="21"/>
        </w:rPr>
      </w:pPr>
      <w:r>
        <w:rPr>
          <w:rFonts w:hint="eastAsia"/>
          <w:color w:val="auto"/>
          <w:sz w:val="21"/>
          <w:szCs w:val="21"/>
        </w:rPr>
        <w:t>“中国政府采购网”网站：查询政府采购严重违法失信行为记录名单。</w:t>
      </w:r>
    </w:p>
    <w:p>
      <w:pPr>
        <w:spacing w:line="360" w:lineRule="auto"/>
        <w:ind w:firstLine="420" w:firstLineChars="200"/>
        <w:rPr>
          <w:color w:val="auto"/>
          <w:sz w:val="21"/>
          <w:szCs w:val="21"/>
        </w:rPr>
      </w:pPr>
      <w:r>
        <w:rPr>
          <w:rFonts w:hint="eastAsia"/>
          <w:color w:val="auto"/>
          <w:sz w:val="21"/>
          <w:szCs w:val="21"/>
        </w:rPr>
        <w:t>查询时间：本项目开标结束后至评标结束之前。</w:t>
      </w:r>
    </w:p>
    <w:p>
      <w:pPr>
        <w:spacing w:line="360" w:lineRule="auto"/>
        <w:ind w:firstLine="420" w:firstLineChars="200"/>
        <w:rPr>
          <w:color w:val="auto"/>
          <w:sz w:val="21"/>
          <w:szCs w:val="21"/>
        </w:rPr>
      </w:pPr>
    </w:p>
    <w:p>
      <w:pPr>
        <w:spacing w:line="360" w:lineRule="auto"/>
        <w:ind w:firstLine="420" w:firstLineChars="200"/>
        <w:rPr>
          <w:color w:val="auto"/>
          <w:sz w:val="21"/>
          <w:szCs w:val="21"/>
        </w:rPr>
      </w:pPr>
      <w:r>
        <w:rPr>
          <w:rFonts w:hint="eastAsia"/>
          <w:color w:val="auto"/>
          <w:sz w:val="21"/>
          <w:szCs w:val="21"/>
        </w:rPr>
        <w:t>建议供应商附入响应文件内查询记录，未附入的不得作为无效响应处理，采购人或采购代理机构开标后对所有供应商信用记录进行查询，以开标后查询结果为准，经查询之后，网站信息发生的任何变更均不再作为评审依据，以采购代理机构开标当日查询结果作为评审依据。</w:t>
      </w:r>
    </w:p>
    <w:p>
      <w:pPr>
        <w:widowControl/>
        <w:spacing w:line="360" w:lineRule="auto"/>
        <w:jc w:val="left"/>
        <w:rPr>
          <w:color w:val="auto"/>
          <w:sz w:val="24"/>
          <w:szCs w:val="24"/>
        </w:rPr>
      </w:pPr>
    </w:p>
    <w:p>
      <w:pPr>
        <w:spacing w:line="360" w:lineRule="auto"/>
        <w:rPr>
          <w:color w:val="auto"/>
          <w:sz w:val="28"/>
          <w:szCs w:val="28"/>
        </w:rPr>
      </w:pPr>
      <w:bookmarkStart w:id="1172" w:name="_Toc134452832"/>
      <w:r>
        <w:rPr>
          <w:rFonts w:hint="eastAsia"/>
          <w:color w:val="auto"/>
          <w:sz w:val="28"/>
          <w:szCs w:val="28"/>
        </w:rPr>
        <w:br w:type="page"/>
      </w:r>
    </w:p>
    <w:p>
      <w:pPr>
        <w:spacing w:line="360" w:lineRule="auto"/>
        <w:jc w:val="center"/>
        <w:rPr>
          <w:color w:val="auto"/>
          <w:sz w:val="28"/>
          <w:szCs w:val="28"/>
        </w:rPr>
      </w:pPr>
      <w:r>
        <w:rPr>
          <w:rFonts w:hint="eastAsia"/>
          <w:color w:val="auto"/>
          <w:sz w:val="28"/>
          <w:szCs w:val="28"/>
        </w:rPr>
        <w:t>8、单位负责人为同一人或者存在直接控股、管理关系的不同供应商，不得参加同一合同项下的政府采购活动声明函</w:t>
      </w:r>
      <w:bookmarkEnd w:id="1172"/>
    </w:p>
    <w:p>
      <w:pPr>
        <w:spacing w:line="360" w:lineRule="auto"/>
        <w:rPr>
          <w:color w:val="auto"/>
          <w:sz w:val="21"/>
          <w:szCs w:val="21"/>
        </w:rPr>
      </w:pPr>
    </w:p>
    <w:p>
      <w:pPr>
        <w:spacing w:line="360" w:lineRule="auto"/>
        <w:ind w:firstLine="420" w:firstLineChars="200"/>
        <w:rPr>
          <w:color w:val="auto"/>
          <w:sz w:val="21"/>
          <w:szCs w:val="21"/>
        </w:rPr>
      </w:pPr>
      <w:r>
        <w:rPr>
          <w:rFonts w:hint="eastAsia"/>
          <w:color w:val="auto"/>
          <w:sz w:val="21"/>
          <w:szCs w:val="21"/>
        </w:rPr>
        <w:t>针对是否存在“单位负责人为同一人或者存在直接控股、管理关系的不同供应商，同时参加本项目同一合同项下的政府采购活动”情形的声明函。</w:t>
      </w:r>
    </w:p>
    <w:p>
      <w:pPr>
        <w:spacing w:line="360" w:lineRule="auto"/>
        <w:rPr>
          <w:color w:val="auto"/>
          <w:sz w:val="24"/>
          <w:szCs w:val="24"/>
        </w:rPr>
      </w:pPr>
      <w:r>
        <w:rPr>
          <w:color w:val="auto"/>
          <w:sz w:val="24"/>
          <w:szCs w:val="24"/>
        </w:rPr>
        <w:br w:type="page"/>
      </w:r>
    </w:p>
    <w:p>
      <w:pPr>
        <w:spacing w:line="360" w:lineRule="auto"/>
        <w:jc w:val="center"/>
        <w:rPr>
          <w:color w:val="auto"/>
          <w:sz w:val="28"/>
          <w:szCs w:val="28"/>
        </w:rPr>
      </w:pPr>
      <w:bookmarkStart w:id="1173" w:name="_Toc134452833"/>
      <w:r>
        <w:rPr>
          <w:rFonts w:hint="eastAsia"/>
          <w:color w:val="auto"/>
          <w:sz w:val="28"/>
          <w:szCs w:val="28"/>
        </w:rPr>
        <w:t>9、中小企业声明函</w:t>
      </w:r>
      <w:bookmarkEnd w:id="1173"/>
    </w:p>
    <w:p>
      <w:pPr>
        <w:spacing w:line="360" w:lineRule="auto"/>
        <w:jc w:val="center"/>
        <w:rPr>
          <w:color w:val="auto"/>
          <w:sz w:val="24"/>
          <w:szCs w:val="24"/>
        </w:rPr>
      </w:pPr>
      <w:r>
        <w:rPr>
          <w:rFonts w:hint="eastAsia"/>
          <w:color w:val="auto"/>
          <w:sz w:val="24"/>
          <w:szCs w:val="24"/>
        </w:rPr>
        <w:t>（1）中小企业声明函（工程、服务）</w:t>
      </w:r>
    </w:p>
    <w:p>
      <w:pPr>
        <w:widowControl/>
        <w:spacing w:line="360" w:lineRule="auto"/>
        <w:ind w:firstLine="480"/>
        <w:jc w:val="left"/>
        <w:textAlignment w:val="baseline"/>
        <w:rPr>
          <w:rFonts w:cs="宋体"/>
          <w:color w:val="auto"/>
          <w:kern w:val="0"/>
          <w:sz w:val="21"/>
          <w:szCs w:val="21"/>
        </w:rPr>
      </w:pPr>
      <w:r>
        <w:rPr>
          <w:rFonts w:hint="eastAsia" w:cs="宋体"/>
          <w:color w:val="auto"/>
          <w:kern w:val="0"/>
          <w:sz w:val="21"/>
          <w:szCs w:val="21"/>
        </w:rPr>
        <w:t>本公司（联合体）郑重声明，根据《政府采购促进中小企业发展管理办法》（财库﹝2020﹞46号）的规定，本公司（联合体）参加</w:t>
      </w:r>
      <w:r>
        <w:rPr>
          <w:rFonts w:hint="eastAsia" w:cs="宋体"/>
          <w:color w:val="auto"/>
          <w:kern w:val="0"/>
          <w:sz w:val="21"/>
          <w:szCs w:val="21"/>
          <w:u w:val="single"/>
        </w:rPr>
        <w:t>（单位名称）</w:t>
      </w:r>
      <w:r>
        <w:rPr>
          <w:rFonts w:hint="eastAsia" w:cs="宋体"/>
          <w:color w:val="auto"/>
          <w:kern w:val="0"/>
          <w:sz w:val="21"/>
          <w:szCs w:val="21"/>
        </w:rPr>
        <w:t>的</w:t>
      </w:r>
      <w:r>
        <w:rPr>
          <w:rFonts w:hint="eastAsia" w:cs="宋体"/>
          <w:color w:val="auto"/>
          <w:kern w:val="0"/>
          <w:sz w:val="21"/>
          <w:szCs w:val="21"/>
          <w:u w:val="single"/>
        </w:rPr>
        <w:t>（项目名称）</w:t>
      </w:r>
      <w:r>
        <w:rPr>
          <w:rFonts w:hint="eastAsia" w:cs="宋体"/>
          <w:color w:val="auto"/>
          <w:kern w:val="0"/>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80"/>
        <w:jc w:val="left"/>
        <w:textAlignment w:val="baseline"/>
        <w:rPr>
          <w:rFonts w:cs="宋体"/>
          <w:color w:val="auto"/>
          <w:kern w:val="0"/>
          <w:sz w:val="21"/>
          <w:szCs w:val="21"/>
        </w:rPr>
      </w:pPr>
      <w:r>
        <w:rPr>
          <w:rFonts w:hint="eastAsia" w:cs="宋体"/>
          <w:color w:val="auto"/>
          <w:kern w:val="0"/>
          <w:sz w:val="21"/>
          <w:szCs w:val="21"/>
        </w:rPr>
        <w:t xml:space="preserve">1. </w:t>
      </w:r>
      <w:r>
        <w:rPr>
          <w:rFonts w:hint="eastAsia" w:cs="宋体"/>
          <w:color w:val="auto"/>
          <w:kern w:val="0"/>
          <w:sz w:val="21"/>
          <w:szCs w:val="21"/>
          <w:u w:val="single"/>
        </w:rPr>
        <w:t xml:space="preserve">（标的名称） </w:t>
      </w:r>
      <w:r>
        <w:rPr>
          <w:rFonts w:hint="eastAsia" w:cs="宋体"/>
          <w:color w:val="auto"/>
          <w:kern w:val="0"/>
          <w:sz w:val="21"/>
          <w:szCs w:val="21"/>
        </w:rPr>
        <w:t>，属于</w:t>
      </w:r>
      <w:r>
        <w:rPr>
          <w:rFonts w:hint="eastAsia" w:cs="宋体"/>
          <w:color w:val="auto"/>
          <w:kern w:val="0"/>
          <w:sz w:val="21"/>
          <w:szCs w:val="21"/>
          <w:u w:val="single"/>
        </w:rPr>
        <w:t>（竞争性磋商文件中明确的所属行业）</w:t>
      </w:r>
      <w:r>
        <w:rPr>
          <w:rFonts w:hint="eastAsia" w:cs="宋体"/>
          <w:color w:val="auto"/>
          <w:kern w:val="0"/>
          <w:sz w:val="21"/>
          <w:szCs w:val="21"/>
        </w:rPr>
        <w:t>；承建（承接）企业为</w:t>
      </w:r>
      <w:r>
        <w:rPr>
          <w:rFonts w:hint="eastAsia" w:cs="宋体"/>
          <w:color w:val="auto"/>
          <w:kern w:val="0"/>
          <w:sz w:val="21"/>
          <w:szCs w:val="21"/>
          <w:u w:val="single"/>
        </w:rPr>
        <w:t>（企业名称）</w:t>
      </w:r>
      <w:r>
        <w:rPr>
          <w:rFonts w:hint="eastAsia" w:cs="宋体"/>
          <w:color w:val="auto"/>
          <w:kern w:val="0"/>
          <w:sz w:val="21"/>
          <w:szCs w:val="21"/>
        </w:rPr>
        <w:t>，从业人员</w:t>
      </w:r>
      <w:r>
        <w:rPr>
          <w:rFonts w:hint="eastAsia" w:cs="宋体"/>
          <w:color w:val="auto"/>
          <w:kern w:val="0"/>
          <w:sz w:val="21"/>
          <w:szCs w:val="21"/>
          <w:u w:val="single"/>
        </w:rPr>
        <w:t xml:space="preserve"> </w:t>
      </w:r>
      <w:r>
        <w:rPr>
          <w:rFonts w:cs="宋体"/>
          <w:color w:val="auto"/>
          <w:kern w:val="0"/>
          <w:sz w:val="21"/>
          <w:szCs w:val="21"/>
          <w:u w:val="single"/>
        </w:rPr>
        <w:t xml:space="preserve"> </w:t>
      </w:r>
      <w:r>
        <w:rPr>
          <w:rFonts w:hint="eastAsia" w:cs="宋体"/>
          <w:color w:val="auto"/>
          <w:kern w:val="0"/>
          <w:sz w:val="21"/>
          <w:szCs w:val="21"/>
          <w:u w:val="single"/>
        </w:rPr>
        <w:t xml:space="preserve">  </w:t>
      </w:r>
      <w:r>
        <w:rPr>
          <w:rFonts w:cs="宋体"/>
          <w:color w:val="auto"/>
          <w:kern w:val="0"/>
          <w:sz w:val="21"/>
          <w:szCs w:val="21"/>
          <w:u w:val="single"/>
        </w:rPr>
        <w:t xml:space="preserve"> </w:t>
      </w:r>
      <w:r>
        <w:rPr>
          <w:rFonts w:hint="eastAsia" w:cs="宋体"/>
          <w:color w:val="auto"/>
          <w:kern w:val="0"/>
          <w:sz w:val="21"/>
          <w:szCs w:val="21"/>
        </w:rPr>
        <w:t>人，营业收入为</w:t>
      </w:r>
      <w:r>
        <w:rPr>
          <w:rFonts w:hint="eastAsia" w:cs="宋体"/>
          <w:color w:val="auto"/>
          <w:kern w:val="0"/>
          <w:sz w:val="21"/>
          <w:szCs w:val="21"/>
          <w:u w:val="single"/>
        </w:rPr>
        <w:t xml:space="preserve"> </w:t>
      </w:r>
      <w:r>
        <w:rPr>
          <w:rFonts w:cs="宋体"/>
          <w:color w:val="auto"/>
          <w:kern w:val="0"/>
          <w:sz w:val="21"/>
          <w:szCs w:val="21"/>
          <w:u w:val="single"/>
        </w:rPr>
        <w:t xml:space="preserve">    </w:t>
      </w:r>
      <w:r>
        <w:rPr>
          <w:rFonts w:hint="eastAsia" w:cs="宋体"/>
          <w:color w:val="auto"/>
          <w:kern w:val="0"/>
          <w:sz w:val="21"/>
          <w:szCs w:val="21"/>
        </w:rPr>
        <w:t>万元，资产总额为</w:t>
      </w:r>
      <w:r>
        <w:rPr>
          <w:rFonts w:hint="eastAsia" w:cs="宋体"/>
          <w:color w:val="auto"/>
          <w:kern w:val="0"/>
          <w:sz w:val="21"/>
          <w:szCs w:val="21"/>
          <w:u w:val="single"/>
        </w:rPr>
        <w:t xml:space="preserve"> </w:t>
      </w:r>
      <w:r>
        <w:rPr>
          <w:rFonts w:cs="宋体"/>
          <w:color w:val="auto"/>
          <w:kern w:val="0"/>
          <w:sz w:val="21"/>
          <w:szCs w:val="21"/>
          <w:u w:val="single"/>
        </w:rPr>
        <w:t xml:space="preserve">   </w:t>
      </w:r>
      <w:r>
        <w:rPr>
          <w:rFonts w:hint="eastAsia" w:cs="宋体"/>
          <w:color w:val="auto"/>
          <w:kern w:val="0"/>
          <w:sz w:val="21"/>
          <w:szCs w:val="21"/>
          <w:u w:val="single"/>
        </w:rPr>
        <w:t xml:space="preserve"> </w:t>
      </w:r>
      <w:r>
        <w:rPr>
          <w:rFonts w:hint="eastAsia" w:cs="宋体"/>
          <w:color w:val="auto"/>
          <w:kern w:val="0"/>
          <w:sz w:val="21"/>
          <w:szCs w:val="21"/>
        </w:rPr>
        <w:t>万元，属于</w:t>
      </w:r>
      <w:r>
        <w:rPr>
          <w:rFonts w:hint="eastAsia" w:cs="宋体"/>
          <w:color w:val="auto"/>
          <w:kern w:val="0"/>
          <w:sz w:val="21"/>
          <w:szCs w:val="21"/>
          <w:u w:val="single"/>
        </w:rPr>
        <w:t xml:space="preserve">      </w:t>
      </w:r>
      <w:r>
        <w:rPr>
          <w:rFonts w:hint="eastAsia" w:cs="宋体"/>
          <w:color w:val="auto"/>
          <w:kern w:val="0"/>
          <w:sz w:val="21"/>
          <w:szCs w:val="21"/>
        </w:rPr>
        <w:t>（中型企业、小型企业、微型企业）；</w:t>
      </w:r>
    </w:p>
    <w:p>
      <w:pPr>
        <w:widowControl/>
        <w:spacing w:line="360" w:lineRule="auto"/>
        <w:ind w:firstLine="480"/>
        <w:jc w:val="left"/>
        <w:textAlignment w:val="baseline"/>
        <w:rPr>
          <w:rFonts w:cs="宋体"/>
          <w:color w:val="auto"/>
          <w:kern w:val="0"/>
          <w:sz w:val="21"/>
          <w:szCs w:val="21"/>
        </w:rPr>
      </w:pPr>
      <w:r>
        <w:rPr>
          <w:rFonts w:hint="eastAsia" w:cs="宋体"/>
          <w:color w:val="auto"/>
          <w:kern w:val="0"/>
          <w:sz w:val="21"/>
          <w:szCs w:val="21"/>
        </w:rPr>
        <w:t>2.</w:t>
      </w:r>
      <w:r>
        <w:rPr>
          <w:rFonts w:hint="eastAsia" w:cs="宋体"/>
          <w:color w:val="auto"/>
          <w:kern w:val="0"/>
          <w:sz w:val="21"/>
          <w:szCs w:val="21"/>
          <w:u w:val="single"/>
        </w:rPr>
        <w:t xml:space="preserve"> （标的名称） </w:t>
      </w:r>
      <w:r>
        <w:rPr>
          <w:rFonts w:hint="eastAsia" w:cs="宋体"/>
          <w:color w:val="auto"/>
          <w:kern w:val="0"/>
          <w:sz w:val="21"/>
          <w:szCs w:val="21"/>
        </w:rPr>
        <w:t>，属于</w:t>
      </w:r>
      <w:r>
        <w:rPr>
          <w:rFonts w:hint="eastAsia" w:cs="宋体"/>
          <w:color w:val="auto"/>
          <w:kern w:val="0"/>
          <w:sz w:val="21"/>
          <w:szCs w:val="21"/>
          <w:u w:val="single"/>
        </w:rPr>
        <w:t>（竞争性磋商文件中明确的所属行业）</w:t>
      </w:r>
      <w:r>
        <w:rPr>
          <w:rFonts w:hint="eastAsia" w:cs="宋体"/>
          <w:color w:val="auto"/>
          <w:kern w:val="0"/>
          <w:sz w:val="21"/>
          <w:szCs w:val="21"/>
        </w:rPr>
        <w:t>；承建（承接）企业为</w:t>
      </w:r>
      <w:r>
        <w:rPr>
          <w:rFonts w:hint="eastAsia" w:cs="宋体"/>
          <w:color w:val="auto"/>
          <w:kern w:val="0"/>
          <w:sz w:val="21"/>
          <w:szCs w:val="21"/>
          <w:u w:val="single"/>
        </w:rPr>
        <w:t>（企业名称）</w:t>
      </w:r>
      <w:r>
        <w:rPr>
          <w:rFonts w:hint="eastAsia" w:cs="宋体"/>
          <w:color w:val="auto"/>
          <w:kern w:val="0"/>
          <w:sz w:val="21"/>
          <w:szCs w:val="21"/>
        </w:rPr>
        <w:t>，从业人员</w:t>
      </w:r>
      <w:r>
        <w:rPr>
          <w:rFonts w:hint="eastAsia" w:cs="宋体"/>
          <w:color w:val="auto"/>
          <w:kern w:val="0"/>
          <w:sz w:val="21"/>
          <w:szCs w:val="21"/>
          <w:u w:val="single"/>
        </w:rPr>
        <w:t xml:space="preserve"> </w:t>
      </w:r>
      <w:r>
        <w:rPr>
          <w:rFonts w:cs="宋体"/>
          <w:color w:val="auto"/>
          <w:kern w:val="0"/>
          <w:sz w:val="21"/>
          <w:szCs w:val="21"/>
          <w:u w:val="single"/>
        </w:rPr>
        <w:t xml:space="preserve"> </w:t>
      </w:r>
      <w:r>
        <w:rPr>
          <w:rFonts w:hint="eastAsia" w:cs="宋体"/>
          <w:color w:val="auto"/>
          <w:kern w:val="0"/>
          <w:sz w:val="21"/>
          <w:szCs w:val="21"/>
          <w:u w:val="single"/>
        </w:rPr>
        <w:t xml:space="preserve">  </w:t>
      </w:r>
      <w:r>
        <w:rPr>
          <w:rFonts w:cs="宋体"/>
          <w:color w:val="auto"/>
          <w:kern w:val="0"/>
          <w:sz w:val="21"/>
          <w:szCs w:val="21"/>
          <w:u w:val="single"/>
        </w:rPr>
        <w:t xml:space="preserve"> </w:t>
      </w:r>
      <w:r>
        <w:rPr>
          <w:rFonts w:hint="eastAsia" w:cs="宋体"/>
          <w:color w:val="auto"/>
          <w:kern w:val="0"/>
          <w:sz w:val="21"/>
          <w:szCs w:val="21"/>
        </w:rPr>
        <w:t>人，营业收入为</w:t>
      </w:r>
      <w:r>
        <w:rPr>
          <w:rFonts w:hint="eastAsia" w:cs="宋体"/>
          <w:color w:val="auto"/>
          <w:kern w:val="0"/>
          <w:sz w:val="21"/>
          <w:szCs w:val="21"/>
          <w:u w:val="single"/>
        </w:rPr>
        <w:t xml:space="preserve"> </w:t>
      </w:r>
      <w:r>
        <w:rPr>
          <w:rFonts w:cs="宋体"/>
          <w:color w:val="auto"/>
          <w:kern w:val="0"/>
          <w:sz w:val="21"/>
          <w:szCs w:val="21"/>
          <w:u w:val="single"/>
        </w:rPr>
        <w:t xml:space="preserve">    </w:t>
      </w:r>
      <w:r>
        <w:rPr>
          <w:rFonts w:hint="eastAsia" w:cs="宋体"/>
          <w:color w:val="auto"/>
          <w:kern w:val="0"/>
          <w:sz w:val="21"/>
          <w:szCs w:val="21"/>
        </w:rPr>
        <w:t>万元，资产总额为</w:t>
      </w:r>
      <w:r>
        <w:rPr>
          <w:rFonts w:hint="eastAsia" w:cs="宋体"/>
          <w:color w:val="auto"/>
          <w:kern w:val="0"/>
          <w:sz w:val="21"/>
          <w:szCs w:val="21"/>
          <w:u w:val="single"/>
        </w:rPr>
        <w:t xml:space="preserve"> </w:t>
      </w:r>
      <w:r>
        <w:rPr>
          <w:rFonts w:cs="宋体"/>
          <w:color w:val="auto"/>
          <w:kern w:val="0"/>
          <w:sz w:val="21"/>
          <w:szCs w:val="21"/>
          <w:u w:val="single"/>
        </w:rPr>
        <w:t xml:space="preserve">   </w:t>
      </w:r>
      <w:r>
        <w:rPr>
          <w:rFonts w:hint="eastAsia" w:cs="宋体"/>
          <w:color w:val="auto"/>
          <w:kern w:val="0"/>
          <w:sz w:val="21"/>
          <w:szCs w:val="21"/>
          <w:u w:val="single"/>
        </w:rPr>
        <w:t xml:space="preserve"> </w:t>
      </w:r>
      <w:r>
        <w:rPr>
          <w:rFonts w:hint="eastAsia" w:cs="宋体"/>
          <w:color w:val="auto"/>
          <w:kern w:val="0"/>
          <w:sz w:val="21"/>
          <w:szCs w:val="21"/>
        </w:rPr>
        <w:t>万元，属于</w:t>
      </w:r>
      <w:r>
        <w:rPr>
          <w:rFonts w:hint="eastAsia" w:cs="宋体"/>
          <w:color w:val="auto"/>
          <w:kern w:val="0"/>
          <w:sz w:val="21"/>
          <w:szCs w:val="21"/>
          <w:u w:val="single"/>
        </w:rPr>
        <w:t xml:space="preserve">      </w:t>
      </w:r>
      <w:r>
        <w:rPr>
          <w:rFonts w:hint="eastAsia" w:cs="宋体"/>
          <w:color w:val="auto"/>
          <w:kern w:val="0"/>
          <w:sz w:val="21"/>
          <w:szCs w:val="21"/>
        </w:rPr>
        <w:t>（中型企业、小型企业、微型企业）；</w:t>
      </w:r>
    </w:p>
    <w:p>
      <w:pPr>
        <w:widowControl/>
        <w:spacing w:line="360" w:lineRule="auto"/>
        <w:ind w:firstLine="480"/>
        <w:jc w:val="left"/>
        <w:textAlignment w:val="baseline"/>
        <w:rPr>
          <w:rFonts w:cs="宋体"/>
          <w:color w:val="auto"/>
          <w:kern w:val="0"/>
          <w:sz w:val="21"/>
          <w:szCs w:val="21"/>
        </w:rPr>
      </w:pPr>
      <w:r>
        <w:rPr>
          <w:rFonts w:hint="eastAsia" w:cs="宋体"/>
          <w:color w:val="auto"/>
          <w:kern w:val="0"/>
          <w:sz w:val="21"/>
          <w:szCs w:val="21"/>
        </w:rPr>
        <w:t>……</w:t>
      </w:r>
    </w:p>
    <w:p>
      <w:pPr>
        <w:widowControl/>
        <w:spacing w:line="360" w:lineRule="auto"/>
        <w:ind w:firstLine="480"/>
        <w:jc w:val="left"/>
        <w:textAlignment w:val="baseline"/>
        <w:rPr>
          <w:rFonts w:cs="宋体"/>
          <w:color w:val="auto"/>
          <w:kern w:val="0"/>
          <w:sz w:val="21"/>
          <w:szCs w:val="21"/>
        </w:rPr>
      </w:pPr>
      <w:r>
        <w:rPr>
          <w:rFonts w:hint="eastAsia" w:cs="宋体"/>
          <w:color w:val="auto"/>
          <w:kern w:val="0"/>
          <w:sz w:val="21"/>
          <w:szCs w:val="21"/>
        </w:rPr>
        <w:t>以上企业，不属于大企业的分支机构，不存在控股股东为大企业的情形，也不存在与大企业的负责人为同一人的情形。</w:t>
      </w:r>
    </w:p>
    <w:p>
      <w:pPr>
        <w:widowControl/>
        <w:spacing w:line="360" w:lineRule="auto"/>
        <w:ind w:firstLine="480"/>
        <w:jc w:val="left"/>
        <w:textAlignment w:val="baseline"/>
        <w:rPr>
          <w:rFonts w:cs="宋体"/>
          <w:color w:val="auto"/>
          <w:kern w:val="0"/>
          <w:sz w:val="21"/>
          <w:szCs w:val="21"/>
        </w:rPr>
      </w:pPr>
      <w:r>
        <w:rPr>
          <w:rFonts w:hint="eastAsia" w:cs="宋体"/>
          <w:color w:val="auto"/>
          <w:kern w:val="0"/>
          <w:sz w:val="21"/>
          <w:szCs w:val="21"/>
        </w:rPr>
        <w:t>本企业对上述声明内容的真实性负责。如有虚假，将依法承担相应责任。</w:t>
      </w:r>
    </w:p>
    <w:p>
      <w:pPr>
        <w:widowControl/>
        <w:spacing w:line="360" w:lineRule="auto"/>
        <w:ind w:firstLine="4410" w:firstLineChars="2100"/>
        <w:jc w:val="left"/>
        <w:textAlignment w:val="baseline"/>
        <w:rPr>
          <w:rFonts w:cs="宋体"/>
          <w:color w:val="auto"/>
          <w:kern w:val="0"/>
          <w:sz w:val="21"/>
          <w:szCs w:val="21"/>
        </w:rPr>
      </w:pPr>
      <w:r>
        <w:rPr>
          <w:rFonts w:hint="eastAsia" w:cs="宋体"/>
          <w:color w:val="auto"/>
          <w:kern w:val="0"/>
          <w:sz w:val="21"/>
          <w:szCs w:val="21"/>
        </w:rPr>
        <w:t>企业名称（</w:t>
      </w:r>
      <w:r>
        <w:rPr>
          <w:rFonts w:hint="eastAsia"/>
          <w:color w:val="auto"/>
          <w:sz w:val="21"/>
          <w:szCs w:val="21"/>
        </w:rPr>
        <w:t>盖章</w:t>
      </w:r>
      <w:r>
        <w:rPr>
          <w:rFonts w:hint="eastAsia" w:cs="宋体"/>
          <w:color w:val="auto"/>
          <w:kern w:val="0"/>
          <w:sz w:val="21"/>
          <w:szCs w:val="21"/>
        </w:rPr>
        <w:t>）：</w:t>
      </w:r>
    </w:p>
    <w:p>
      <w:pPr>
        <w:widowControl/>
        <w:spacing w:line="360" w:lineRule="auto"/>
        <w:ind w:firstLine="4410" w:firstLineChars="2100"/>
        <w:textAlignment w:val="baseline"/>
        <w:rPr>
          <w:rFonts w:cs="宋体"/>
          <w:color w:val="auto"/>
          <w:kern w:val="0"/>
          <w:sz w:val="21"/>
          <w:szCs w:val="21"/>
        </w:rPr>
      </w:pPr>
      <w:r>
        <w:rPr>
          <w:rFonts w:hint="eastAsia" w:cs="宋体"/>
          <w:color w:val="auto"/>
          <w:kern w:val="0"/>
          <w:sz w:val="21"/>
          <w:szCs w:val="21"/>
        </w:rPr>
        <w:t>日期：</w:t>
      </w:r>
    </w:p>
    <w:p>
      <w:pPr>
        <w:spacing w:line="360" w:lineRule="auto"/>
        <w:rPr>
          <w:rFonts w:cs="宋体"/>
          <w:b/>
          <w:bCs/>
          <w:color w:val="auto"/>
          <w:sz w:val="21"/>
          <w:szCs w:val="21"/>
        </w:rPr>
      </w:pPr>
      <w:r>
        <w:rPr>
          <w:rFonts w:hint="eastAsia" w:cs="宋体"/>
          <w:b/>
          <w:bCs/>
          <w:color w:val="auto"/>
          <w:sz w:val="21"/>
          <w:szCs w:val="21"/>
        </w:rPr>
        <w:t>说明：</w:t>
      </w:r>
    </w:p>
    <w:p>
      <w:pPr>
        <w:spacing w:line="360" w:lineRule="auto"/>
        <w:rPr>
          <w:rFonts w:cs="宋体"/>
          <w:b/>
          <w:bCs/>
          <w:color w:val="auto"/>
          <w:sz w:val="21"/>
          <w:szCs w:val="21"/>
        </w:rPr>
      </w:pPr>
      <w:r>
        <w:rPr>
          <w:rFonts w:hint="eastAsia" w:cs="宋体"/>
          <w:b/>
          <w:bCs/>
          <w:color w:val="auto"/>
          <w:sz w:val="21"/>
          <w:szCs w:val="21"/>
        </w:rPr>
        <w:t>（1）从业人员、营业收入、资产总额填报上一年度数据，无上一年度数据的新成立企业可不填报。</w:t>
      </w:r>
    </w:p>
    <w:p>
      <w:pPr>
        <w:pStyle w:val="15"/>
        <w:spacing w:line="360" w:lineRule="auto"/>
        <w:rPr>
          <w:rFonts w:hAnsi="Times New Roman"/>
          <w:b/>
          <w:bCs/>
          <w:color w:val="auto"/>
          <w:sz w:val="24"/>
          <w:szCs w:val="24"/>
        </w:rPr>
      </w:pPr>
      <w:r>
        <w:rPr>
          <w:rFonts w:hint="eastAsia" w:hAnsi="Times New Roman"/>
          <w:b/>
          <w:bCs/>
          <w:color w:val="auto"/>
          <w:sz w:val="21"/>
          <w:szCs w:val="21"/>
        </w:rPr>
        <w:t>（</w:t>
      </w:r>
      <w:r>
        <w:rPr>
          <w:rFonts w:hAnsi="Times New Roman"/>
          <w:b/>
          <w:bCs/>
          <w:color w:val="auto"/>
          <w:sz w:val="21"/>
          <w:szCs w:val="21"/>
        </w:rPr>
        <w:t>2</w:t>
      </w:r>
      <w:r>
        <w:rPr>
          <w:rFonts w:hint="eastAsia" w:hAnsi="Times New Roman"/>
          <w:b/>
          <w:bCs/>
          <w:color w:val="auto"/>
          <w:sz w:val="21"/>
          <w:szCs w:val="21"/>
        </w:rPr>
        <w:t>）本采购标的所属行业为建筑业。</w:t>
      </w:r>
    </w:p>
    <w:p>
      <w:pPr>
        <w:widowControl/>
        <w:spacing w:line="360" w:lineRule="auto"/>
        <w:jc w:val="left"/>
        <w:rPr>
          <w:rFonts w:cstheme="majorBidi"/>
          <w:b/>
          <w:bCs/>
          <w:color w:val="auto"/>
          <w:sz w:val="24"/>
          <w:szCs w:val="24"/>
        </w:rPr>
      </w:pPr>
      <w:r>
        <w:rPr>
          <w:color w:val="auto"/>
          <w:sz w:val="24"/>
          <w:szCs w:val="24"/>
        </w:rPr>
        <w:br w:type="page"/>
      </w:r>
    </w:p>
    <w:p>
      <w:pPr>
        <w:spacing w:line="360" w:lineRule="auto"/>
        <w:jc w:val="center"/>
        <w:rPr>
          <w:color w:val="auto"/>
          <w:sz w:val="24"/>
          <w:szCs w:val="24"/>
        </w:rPr>
      </w:pPr>
      <w:r>
        <w:rPr>
          <w:rFonts w:hint="eastAsia" w:cstheme="minorBidi"/>
          <w:color w:val="auto"/>
          <w:sz w:val="24"/>
          <w:szCs w:val="24"/>
        </w:rPr>
        <w:t>（2）</w:t>
      </w:r>
      <w:r>
        <w:rPr>
          <w:rFonts w:hint="eastAsia"/>
          <w:color w:val="auto"/>
          <w:sz w:val="24"/>
          <w:szCs w:val="24"/>
        </w:rPr>
        <w:t>残疾人福利性单位声明函</w:t>
      </w:r>
    </w:p>
    <w:p>
      <w:pPr>
        <w:tabs>
          <w:tab w:val="left" w:pos="840"/>
        </w:tabs>
        <w:spacing w:line="360" w:lineRule="auto"/>
        <w:jc w:val="center"/>
        <w:rPr>
          <w:rFonts w:cs="宋体"/>
          <w:color w:val="auto"/>
          <w:sz w:val="24"/>
          <w:szCs w:val="24"/>
        </w:rPr>
      </w:pPr>
    </w:p>
    <w:p>
      <w:pPr>
        <w:tabs>
          <w:tab w:val="left" w:pos="840"/>
        </w:tabs>
        <w:spacing w:line="360" w:lineRule="auto"/>
        <w:jc w:val="center"/>
        <w:rPr>
          <w:rFonts w:cs="宋体"/>
          <w:color w:val="auto"/>
          <w:sz w:val="24"/>
          <w:szCs w:val="24"/>
        </w:rPr>
      </w:pPr>
      <w:r>
        <w:rPr>
          <w:rFonts w:hint="eastAsia" w:cs="宋体"/>
          <w:color w:val="auto"/>
          <w:sz w:val="24"/>
          <w:szCs w:val="24"/>
        </w:rPr>
        <w:t>（不属于的无需提供）</w:t>
      </w:r>
    </w:p>
    <w:p>
      <w:pPr>
        <w:spacing w:line="360" w:lineRule="auto"/>
        <w:ind w:firstLine="420" w:firstLineChars="175"/>
        <w:rPr>
          <w:rFonts w:cs="宋体"/>
          <w:color w:val="auto"/>
          <w:sz w:val="24"/>
          <w:szCs w:val="24"/>
        </w:rPr>
      </w:pPr>
      <w:r>
        <w:rPr>
          <w:rFonts w:hint="eastAsia" w:cs="宋体"/>
          <w:color w:val="auto"/>
          <w:sz w:val="24"/>
          <w:szCs w:val="24"/>
        </w:rPr>
        <w:t>本单位郑重声明，根据《财政部 民政部 中国残疾人联合会关于促进残疾人就业政府采购政策的通知》（财库〔2017〕14</w:t>
      </w:r>
      <w:r>
        <w:rPr>
          <w:rFonts w:cs="宋体"/>
          <w:color w:val="auto"/>
          <w:sz w:val="24"/>
          <w:szCs w:val="24"/>
        </w:rPr>
        <w:t>1</w:t>
      </w:r>
      <w:r>
        <w:rPr>
          <w:rFonts w:hint="eastAsia" w:cs="宋体"/>
          <w:color w:val="auto"/>
          <w:sz w:val="24"/>
          <w:szCs w:val="24"/>
        </w:rPr>
        <w:t>号）的规定，本单位为符合条件的残疾人福利性单位，且本单位参加</w:t>
      </w:r>
      <w:r>
        <w:rPr>
          <w:rFonts w:hint="eastAsia" w:cs="宋体"/>
          <w:color w:val="auto"/>
          <w:sz w:val="24"/>
          <w:szCs w:val="24"/>
          <w:u w:val="single"/>
        </w:rPr>
        <w:t xml:space="preserve">        </w:t>
      </w:r>
      <w:r>
        <w:rPr>
          <w:rFonts w:hint="eastAsia" w:cs="宋体"/>
          <w:color w:val="auto"/>
          <w:sz w:val="24"/>
          <w:szCs w:val="24"/>
        </w:rPr>
        <w:t>单位的</w:t>
      </w:r>
      <w:r>
        <w:rPr>
          <w:rFonts w:hint="eastAsia" w:cs="宋体"/>
          <w:color w:val="auto"/>
          <w:sz w:val="24"/>
          <w:szCs w:val="24"/>
          <w:u w:val="single"/>
        </w:rPr>
        <w:t xml:space="preserve">          </w:t>
      </w:r>
      <w:r>
        <w:rPr>
          <w:rFonts w:hint="eastAsia" w:cs="宋体"/>
          <w:color w:val="auto"/>
          <w:sz w:val="24"/>
          <w:szCs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20" w:firstLineChars="175"/>
        <w:rPr>
          <w:rFonts w:cs="宋体"/>
          <w:color w:val="auto"/>
          <w:sz w:val="24"/>
          <w:szCs w:val="24"/>
        </w:rPr>
      </w:pPr>
      <w:r>
        <w:rPr>
          <w:rFonts w:hint="eastAsia" w:cs="宋体"/>
          <w:color w:val="auto"/>
          <w:sz w:val="24"/>
          <w:szCs w:val="24"/>
        </w:rPr>
        <w:t>本单位对上述声明的真实性负责。如有虚假，将依法承担相应责任。</w:t>
      </w:r>
    </w:p>
    <w:p>
      <w:pPr>
        <w:spacing w:line="360" w:lineRule="auto"/>
        <w:jc w:val="center"/>
        <w:rPr>
          <w:rFonts w:cs="宋体"/>
          <w:color w:val="auto"/>
          <w:sz w:val="24"/>
          <w:szCs w:val="24"/>
        </w:rPr>
      </w:pPr>
      <w:r>
        <w:rPr>
          <w:rFonts w:hint="eastAsia" w:cs="宋体"/>
          <w:color w:val="auto"/>
          <w:sz w:val="24"/>
          <w:szCs w:val="24"/>
        </w:rPr>
        <w:t xml:space="preserve">             单位名称（</w:t>
      </w:r>
      <w:r>
        <w:rPr>
          <w:rFonts w:hint="eastAsia"/>
          <w:color w:val="auto"/>
          <w:sz w:val="24"/>
          <w:szCs w:val="24"/>
        </w:rPr>
        <w:t>公章</w:t>
      </w:r>
      <w:r>
        <w:rPr>
          <w:rFonts w:hint="eastAsia" w:cs="宋体"/>
          <w:color w:val="auto"/>
          <w:sz w:val="24"/>
          <w:szCs w:val="24"/>
        </w:rPr>
        <w:t>）：</w:t>
      </w:r>
    </w:p>
    <w:p>
      <w:pPr>
        <w:spacing w:line="360" w:lineRule="auto"/>
        <w:ind w:firstLine="4080" w:firstLineChars="1700"/>
        <w:rPr>
          <w:rFonts w:cs="宋体"/>
          <w:color w:val="auto"/>
          <w:sz w:val="24"/>
          <w:szCs w:val="24"/>
        </w:rPr>
      </w:pPr>
      <w:r>
        <w:rPr>
          <w:rFonts w:hint="eastAsia" w:cs="宋体"/>
          <w:color w:val="auto"/>
          <w:sz w:val="24"/>
          <w:szCs w:val="24"/>
        </w:rPr>
        <w:t>日  期：</w:t>
      </w:r>
      <w:bookmarkStart w:id="1174" w:name="_Toc17210008"/>
    </w:p>
    <w:p>
      <w:pPr>
        <w:spacing w:line="360" w:lineRule="auto"/>
        <w:jc w:val="left"/>
        <w:rPr>
          <w:rFonts w:cs="宋体"/>
          <w:color w:val="auto"/>
          <w:sz w:val="24"/>
          <w:szCs w:val="24"/>
        </w:rPr>
      </w:pPr>
    </w:p>
    <w:p>
      <w:pPr>
        <w:spacing w:line="360" w:lineRule="auto"/>
        <w:jc w:val="left"/>
        <w:rPr>
          <w:rFonts w:cs="宋体"/>
          <w:color w:val="auto"/>
          <w:sz w:val="24"/>
          <w:szCs w:val="24"/>
        </w:rPr>
      </w:pPr>
      <w:r>
        <w:rPr>
          <w:rFonts w:hint="eastAsia" w:cs="宋体"/>
          <w:color w:val="auto"/>
          <w:sz w:val="24"/>
          <w:szCs w:val="24"/>
        </w:rPr>
        <w:t>说明：</w:t>
      </w:r>
    </w:p>
    <w:p>
      <w:pPr>
        <w:spacing w:line="360" w:lineRule="auto"/>
        <w:jc w:val="left"/>
        <w:rPr>
          <w:color w:val="auto"/>
          <w:sz w:val="24"/>
          <w:szCs w:val="24"/>
        </w:rPr>
      </w:pPr>
      <w:r>
        <w:rPr>
          <w:rFonts w:hint="eastAsia"/>
          <w:color w:val="auto"/>
          <w:sz w:val="24"/>
          <w:szCs w:val="24"/>
        </w:rPr>
        <w:t>《财政部 民政部 中国残疾人联合会关于促进残疾人就业政府采购政策的通知》（财库（2017〔141〕号）的规定：</w:t>
      </w:r>
      <w:bookmarkEnd w:id="1174"/>
    </w:p>
    <w:p>
      <w:pPr>
        <w:spacing w:line="360" w:lineRule="auto"/>
        <w:ind w:firstLine="480" w:firstLineChars="200"/>
        <w:jc w:val="left"/>
        <w:rPr>
          <w:color w:val="auto"/>
          <w:sz w:val="24"/>
          <w:szCs w:val="24"/>
        </w:rPr>
      </w:pPr>
      <w:bookmarkStart w:id="1175" w:name="_Toc17210009"/>
      <w:r>
        <w:rPr>
          <w:rFonts w:hint="eastAsia"/>
          <w:color w:val="auto"/>
          <w:sz w:val="24"/>
          <w:szCs w:val="24"/>
        </w:rPr>
        <w:t>一、享受政府采购支持政策的残疾人福利性单位应当同时满足以下条件：</w:t>
      </w:r>
      <w:bookmarkEnd w:id="1175"/>
    </w:p>
    <w:p>
      <w:pPr>
        <w:spacing w:line="360" w:lineRule="auto"/>
        <w:ind w:firstLine="480" w:firstLineChars="200"/>
        <w:jc w:val="left"/>
        <w:rPr>
          <w:color w:val="auto"/>
          <w:sz w:val="24"/>
          <w:szCs w:val="24"/>
        </w:rPr>
      </w:pPr>
      <w:bookmarkStart w:id="1176" w:name="_Toc17210010"/>
      <w:r>
        <w:rPr>
          <w:rFonts w:hint="eastAsia"/>
          <w:color w:val="auto"/>
          <w:sz w:val="24"/>
          <w:szCs w:val="24"/>
        </w:rPr>
        <w:t>（一）安置的残疾人占本单位在职职工人数的比例不低于25%（含25%），并且安置的残疾人人数不少于10人（含10人）；</w:t>
      </w:r>
      <w:bookmarkEnd w:id="1176"/>
    </w:p>
    <w:p>
      <w:pPr>
        <w:spacing w:line="360" w:lineRule="auto"/>
        <w:ind w:firstLine="480" w:firstLineChars="200"/>
        <w:jc w:val="left"/>
        <w:rPr>
          <w:color w:val="auto"/>
          <w:sz w:val="24"/>
          <w:szCs w:val="24"/>
        </w:rPr>
      </w:pPr>
      <w:bookmarkStart w:id="1177" w:name="_Toc17210011"/>
      <w:r>
        <w:rPr>
          <w:rFonts w:hint="eastAsia"/>
          <w:color w:val="auto"/>
          <w:sz w:val="24"/>
          <w:szCs w:val="24"/>
        </w:rPr>
        <w:t>（二）依法与安置的每位残疾人签订了一年以上（含一年）的劳动合同或服务协议；</w:t>
      </w:r>
      <w:bookmarkEnd w:id="1177"/>
    </w:p>
    <w:p>
      <w:pPr>
        <w:spacing w:line="360" w:lineRule="auto"/>
        <w:ind w:firstLine="480" w:firstLineChars="200"/>
        <w:jc w:val="left"/>
        <w:rPr>
          <w:color w:val="auto"/>
          <w:sz w:val="24"/>
          <w:szCs w:val="24"/>
        </w:rPr>
      </w:pPr>
      <w:bookmarkStart w:id="1178" w:name="_Toc17210012"/>
      <w:r>
        <w:rPr>
          <w:rFonts w:hint="eastAsia"/>
          <w:color w:val="auto"/>
          <w:sz w:val="24"/>
          <w:szCs w:val="24"/>
        </w:rPr>
        <w:t>（三）为安置的每位残疾人按月足额缴纳了基本养老保险、基本医疗保险、失业保险、工伤保险和生育保险等社会保险费；</w:t>
      </w:r>
      <w:bookmarkEnd w:id="1178"/>
    </w:p>
    <w:p>
      <w:pPr>
        <w:spacing w:line="360" w:lineRule="auto"/>
        <w:ind w:firstLine="480" w:firstLineChars="200"/>
        <w:jc w:val="left"/>
        <w:rPr>
          <w:color w:val="auto"/>
          <w:sz w:val="24"/>
          <w:szCs w:val="24"/>
        </w:rPr>
      </w:pPr>
      <w:bookmarkStart w:id="1179" w:name="_Toc17210013"/>
      <w:r>
        <w:rPr>
          <w:rFonts w:hint="eastAsia"/>
          <w:color w:val="auto"/>
          <w:sz w:val="24"/>
          <w:szCs w:val="24"/>
        </w:rPr>
        <w:t>（四）通过银行等金融机构向安置的每位残疾人，按月支付了不低于单位所在区县适用的经省级人民政府批准的月最低工资标准的工资；</w:t>
      </w:r>
      <w:bookmarkEnd w:id="1179"/>
    </w:p>
    <w:p>
      <w:pPr>
        <w:spacing w:line="360" w:lineRule="auto"/>
        <w:ind w:firstLine="480" w:firstLineChars="200"/>
        <w:jc w:val="left"/>
        <w:rPr>
          <w:color w:val="auto"/>
          <w:sz w:val="24"/>
          <w:szCs w:val="24"/>
        </w:rPr>
      </w:pPr>
      <w:bookmarkStart w:id="1180" w:name="_Toc17210014"/>
      <w:r>
        <w:rPr>
          <w:rFonts w:hint="eastAsia"/>
          <w:color w:val="auto"/>
          <w:sz w:val="24"/>
          <w:szCs w:val="24"/>
        </w:rPr>
        <w:t>（五）提供本单位制造的货物、承担的工程或者服务（以下简称产品），或者提供其他残疾人福利性单位制造的货物（不包括使用非残疾人福利性单位注册商标的货物）。</w:t>
      </w:r>
      <w:bookmarkEnd w:id="1180"/>
    </w:p>
    <w:p>
      <w:pPr>
        <w:spacing w:line="360" w:lineRule="auto"/>
        <w:ind w:firstLine="482" w:firstLineChars="200"/>
        <w:jc w:val="left"/>
        <w:rPr>
          <w:b/>
          <w:color w:val="auto"/>
          <w:sz w:val="24"/>
          <w:szCs w:val="24"/>
        </w:rPr>
      </w:pPr>
      <w:r>
        <w:rPr>
          <w:rFonts w:hint="eastAsia"/>
          <w:b/>
          <w:color w:val="auto"/>
          <w:sz w:val="24"/>
          <w:szCs w:val="24"/>
        </w:rPr>
        <w:t>注意</w:t>
      </w:r>
      <w:r>
        <w:rPr>
          <w:b/>
          <w:color w:val="auto"/>
          <w:sz w:val="24"/>
          <w:szCs w:val="24"/>
        </w:rPr>
        <w:t>：如果供应商不是残疾人福利性单位，则不需要提供《残疾人福利性单位声明函》。否则，因此导致虚假投标的后果由供应商自行承担。</w:t>
      </w:r>
    </w:p>
    <w:p>
      <w:pPr>
        <w:spacing w:line="360" w:lineRule="auto"/>
        <w:rPr>
          <w:rStyle w:val="49"/>
          <w:rFonts w:asciiTheme="minorEastAsia" w:hAnsiTheme="minorEastAsia" w:eastAsiaTheme="minorEastAsia" w:cstheme="minorEastAsia"/>
          <w:color w:val="auto"/>
          <w:sz w:val="24"/>
          <w:szCs w:val="24"/>
        </w:rPr>
      </w:pPr>
      <w:bookmarkStart w:id="1181" w:name="_Toc3519"/>
      <w:bookmarkStart w:id="1182" w:name="_Toc17208"/>
      <w:bookmarkStart w:id="1183" w:name="_Toc11507"/>
      <w:bookmarkStart w:id="1184" w:name="_Toc25897"/>
      <w:bookmarkStart w:id="1185" w:name="_Toc15451"/>
      <w:bookmarkStart w:id="1186" w:name="_Toc4931"/>
      <w:r>
        <w:rPr>
          <w:rStyle w:val="49"/>
          <w:rFonts w:hint="eastAsia" w:asciiTheme="minorEastAsia" w:hAnsiTheme="minorEastAsia" w:eastAsiaTheme="minorEastAsia" w:cstheme="minorEastAsia"/>
          <w:color w:val="auto"/>
          <w:sz w:val="24"/>
          <w:szCs w:val="24"/>
        </w:rPr>
        <w:br w:type="page"/>
      </w:r>
    </w:p>
    <w:p>
      <w:pPr>
        <w:spacing w:line="360" w:lineRule="auto"/>
        <w:jc w:val="center"/>
        <w:rPr>
          <w:rStyle w:val="49"/>
          <w:rFonts w:asciiTheme="minorEastAsia" w:hAnsiTheme="minorEastAsia" w:eastAsiaTheme="minorEastAsia" w:cstheme="minorEastAsia"/>
          <w:color w:val="auto"/>
          <w:sz w:val="24"/>
          <w:szCs w:val="24"/>
        </w:rPr>
      </w:pPr>
      <w:bookmarkStart w:id="1187" w:name="_Toc525"/>
      <w:bookmarkStart w:id="1188" w:name="_Toc5266"/>
      <w:bookmarkStart w:id="1189" w:name="_Toc12279"/>
      <w:bookmarkStart w:id="1190" w:name="_Toc22692"/>
      <w:r>
        <w:rPr>
          <w:rStyle w:val="49"/>
          <w:rFonts w:hint="eastAsia" w:asciiTheme="minorEastAsia" w:hAnsiTheme="minorEastAsia" w:cstheme="minorEastAsia"/>
          <w:color w:val="auto"/>
          <w:sz w:val="24"/>
          <w:szCs w:val="24"/>
        </w:rPr>
        <w:t>（3）</w:t>
      </w:r>
      <w:r>
        <w:rPr>
          <w:rStyle w:val="49"/>
          <w:rFonts w:hint="eastAsia" w:asciiTheme="minorEastAsia" w:hAnsiTheme="minorEastAsia" w:eastAsiaTheme="minorEastAsia" w:cstheme="minorEastAsia"/>
          <w:color w:val="auto"/>
          <w:sz w:val="24"/>
          <w:szCs w:val="24"/>
        </w:rPr>
        <w:t>监狱企业证明</w:t>
      </w:r>
    </w:p>
    <w:bookmarkEnd w:id="1181"/>
    <w:bookmarkEnd w:id="1182"/>
    <w:bookmarkEnd w:id="1183"/>
    <w:bookmarkEnd w:id="1184"/>
    <w:bookmarkEnd w:id="1185"/>
    <w:bookmarkEnd w:id="1186"/>
    <w:bookmarkEnd w:id="1187"/>
    <w:bookmarkEnd w:id="1188"/>
    <w:bookmarkEnd w:id="1189"/>
    <w:bookmarkEnd w:id="1190"/>
    <w:p>
      <w:pPr>
        <w:pStyle w:val="79"/>
        <w:spacing w:line="360" w:lineRule="auto"/>
        <w:ind w:firstLine="480" w:firstLineChars="200"/>
        <w:jc w:val="center"/>
        <w:rPr>
          <w:rStyle w:val="69"/>
          <w:rFonts w:asciiTheme="minorEastAsia" w:hAnsiTheme="minorEastAsia" w:eastAsiaTheme="minorEastAsia" w:cstheme="minorEastAsia"/>
          <w:color w:val="auto"/>
          <w:sz w:val="24"/>
        </w:rPr>
      </w:pPr>
    </w:p>
    <w:p>
      <w:pPr>
        <w:pStyle w:val="79"/>
        <w:spacing w:line="360" w:lineRule="auto"/>
        <w:ind w:firstLine="480" w:firstLineChars="200"/>
        <w:jc w:val="center"/>
        <w:rPr>
          <w:rStyle w:val="69"/>
          <w:rFonts w:asciiTheme="minorEastAsia" w:hAnsiTheme="minorEastAsia" w:eastAsiaTheme="minorEastAsia" w:cstheme="minorEastAsia"/>
          <w:color w:val="auto"/>
          <w:sz w:val="24"/>
        </w:rPr>
      </w:pPr>
      <w:r>
        <w:rPr>
          <w:rStyle w:val="69"/>
          <w:rFonts w:hint="eastAsia" w:asciiTheme="minorEastAsia" w:hAnsiTheme="minorEastAsia" w:eastAsiaTheme="minorEastAsia" w:cstheme="minorEastAsia"/>
          <w:color w:val="auto"/>
          <w:sz w:val="24"/>
        </w:rPr>
        <w:t>（不属于的无需提供）</w:t>
      </w:r>
    </w:p>
    <w:p>
      <w:pPr>
        <w:spacing w:line="360" w:lineRule="auto"/>
        <w:ind w:firstLine="480" w:firstLineChars="200"/>
        <w:rPr>
          <w:rFonts w:asciiTheme="minorEastAsia" w:hAnsiTheme="minorEastAsia" w:eastAsiaTheme="minorEastAsia" w:cstheme="minorEastAsia"/>
          <w:color w:val="auto"/>
          <w:sz w:val="24"/>
          <w:szCs w:val="24"/>
        </w:rPr>
      </w:pPr>
    </w:p>
    <w:p>
      <w:pPr>
        <w:wordWrap w:val="0"/>
        <w:spacing w:line="360" w:lineRule="auto"/>
        <w:rPr>
          <w:rFonts w:ascii="宋体" w:hAnsi="宋体"/>
          <w:b/>
          <w:bCs/>
          <w:color w:val="auto"/>
          <w:sz w:val="24"/>
          <w:szCs w:val="24"/>
        </w:rPr>
      </w:pPr>
      <w:r>
        <w:rPr>
          <w:rFonts w:hint="eastAsia" w:asciiTheme="minorEastAsia" w:hAnsiTheme="minorEastAsia" w:eastAsiaTheme="minorEastAsia" w:cstheme="minorEastAsia"/>
          <w:color w:val="auto"/>
          <w:sz w:val="24"/>
          <w:szCs w:val="24"/>
        </w:rPr>
        <w:t>提供省级以上监狱管理局、戒毒管理局（含新疆生产建设兵团）出具的属于监狱企业的证明文件。</w:t>
      </w:r>
    </w:p>
    <w:p>
      <w:pPr>
        <w:wordWrap w:val="0"/>
        <w:spacing w:line="360" w:lineRule="auto"/>
        <w:jc w:val="center"/>
        <w:outlineLvl w:val="1"/>
        <w:rPr>
          <w:rFonts w:hint="eastAsia" w:ascii="Times New Roman" w:hAnsi="Times New Roman" w:eastAsia="黑体" w:cs="宋体"/>
          <w:b w:val="0"/>
          <w:bCs/>
          <w:color w:val="auto"/>
          <w:kern w:val="0"/>
          <w:sz w:val="32"/>
          <w:szCs w:val="32"/>
          <w:lang w:val="en-US" w:eastAsia="zh-CN" w:bidi="ar-SA"/>
        </w:rPr>
      </w:pPr>
      <w:r>
        <w:rPr>
          <w:rFonts w:hint="eastAsia" w:ascii="宋体" w:hAnsi="宋体"/>
          <w:color w:val="auto"/>
        </w:rPr>
        <w:br w:type="page"/>
      </w:r>
      <w:bookmarkStart w:id="1191" w:name="_Toc129073541"/>
      <w:bookmarkStart w:id="1192" w:name="_Toc25064"/>
      <w:bookmarkStart w:id="1193" w:name="_Toc25671"/>
      <w:bookmarkStart w:id="1194" w:name="_Toc3616"/>
      <w:bookmarkStart w:id="1195" w:name="_Toc6135"/>
      <w:bookmarkStart w:id="1196" w:name="_Toc1489"/>
      <w:r>
        <w:rPr>
          <w:rFonts w:hint="eastAsia" w:ascii="Times New Roman" w:hAnsi="Times New Roman" w:eastAsia="黑体" w:cs="宋体"/>
          <w:b w:val="0"/>
          <w:bCs/>
          <w:color w:val="auto"/>
          <w:kern w:val="0"/>
          <w:sz w:val="32"/>
          <w:szCs w:val="32"/>
          <w:lang w:val="en-US" w:eastAsia="zh-CN" w:bidi="ar-SA"/>
        </w:rPr>
        <w:t>九、近年完成的类似项目</w:t>
      </w:r>
      <w:bookmarkEnd w:id="1191"/>
      <w:r>
        <w:rPr>
          <w:rFonts w:hint="eastAsia" w:ascii="Times New Roman" w:hAnsi="Times New Roman" w:eastAsia="黑体" w:cs="宋体"/>
          <w:b w:val="0"/>
          <w:bCs/>
          <w:color w:val="auto"/>
          <w:kern w:val="0"/>
          <w:sz w:val="32"/>
          <w:szCs w:val="32"/>
          <w:lang w:val="en-US" w:eastAsia="zh-CN" w:bidi="ar-SA"/>
        </w:rPr>
        <w:t>业绩</w:t>
      </w:r>
      <w:bookmarkEnd w:id="1192"/>
      <w:bookmarkEnd w:id="1193"/>
      <w:bookmarkEnd w:id="1194"/>
      <w:bookmarkEnd w:id="1195"/>
      <w:bookmarkEnd w:id="1196"/>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项目名称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项目所在地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发包人名称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发包人地址</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发包人电话</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合同价格</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开工日期</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hint="eastAsia" w:ascii="宋体" w:hAnsi="宋体"/>
                <w:color w:val="auto"/>
              </w:rPr>
              <w:t>竣工</w:t>
            </w:r>
            <w:r>
              <w:rPr>
                <w:rFonts w:ascii="宋体" w:hAnsi="宋体"/>
                <w:color w:val="auto"/>
              </w:rPr>
              <w:t>日期</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承担的工作</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工程质量</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项目经理</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技术负责人</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项目描述</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p>
            <w:pPr>
              <w:topLinePunct/>
              <w:spacing w:line="440" w:lineRule="exact"/>
              <w:rPr>
                <w:color w:val="auto"/>
              </w:rPr>
            </w:pPr>
          </w:p>
          <w:p>
            <w:pPr>
              <w:topLinePunct/>
              <w:spacing w:line="440" w:lineRule="exac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color w:val="auto"/>
              </w:rPr>
            </w:pPr>
            <w:r>
              <w:rPr>
                <w:rFonts w:ascii="宋体" w:hAnsi="宋体"/>
                <w:color w:val="auto"/>
              </w:rPr>
              <w:t>备注</w:t>
            </w:r>
          </w:p>
        </w:tc>
        <w:tc>
          <w:tcPr>
            <w:tcW w:w="6253" w:type="dxa"/>
            <w:tcBorders>
              <w:top w:val="single" w:color="auto" w:sz="4" w:space="0"/>
              <w:left w:val="single" w:color="auto" w:sz="4" w:space="0"/>
              <w:bottom w:val="single" w:color="auto" w:sz="4" w:space="0"/>
              <w:right w:val="single" w:color="auto" w:sz="4" w:space="0"/>
            </w:tcBorders>
          </w:tcPr>
          <w:p>
            <w:pPr>
              <w:topLinePunct/>
              <w:spacing w:line="440" w:lineRule="exact"/>
              <w:rPr>
                <w:color w:val="auto"/>
              </w:rPr>
            </w:pPr>
          </w:p>
        </w:tc>
      </w:tr>
    </w:tbl>
    <w:p>
      <w:pPr>
        <w:rPr>
          <w:rFonts w:ascii="宋体" w:hAnsi="宋体"/>
          <w:b/>
          <w:bCs/>
          <w:color w:val="auto"/>
          <w:sz w:val="28"/>
          <w:szCs w:val="28"/>
        </w:rPr>
      </w:pPr>
      <w:bookmarkStart w:id="1197" w:name="_Toc8014"/>
      <w:bookmarkEnd w:id="1197"/>
      <w:r>
        <w:rPr>
          <w:rFonts w:hint="eastAsia" w:ascii="宋体" w:hAnsi="宋体"/>
          <w:b/>
          <w:bCs/>
          <w:color w:val="auto"/>
          <w:sz w:val="28"/>
          <w:szCs w:val="28"/>
        </w:rPr>
        <w:br w:type="page"/>
      </w:r>
    </w:p>
    <w:p>
      <w:pPr>
        <w:pStyle w:val="57"/>
        <w:rPr>
          <w:rFonts w:hint="eastAsia"/>
          <w:color w:val="auto"/>
          <w:sz w:val="32"/>
          <w:szCs w:val="32"/>
          <w:lang w:eastAsia="zh-CN"/>
        </w:rPr>
      </w:pPr>
      <w:bookmarkStart w:id="1198" w:name="_Toc25234"/>
      <w:bookmarkEnd w:id="1198"/>
      <w:bookmarkStart w:id="1199" w:name="_Toc6098"/>
      <w:bookmarkStart w:id="1200" w:name="_Toc25737"/>
      <w:bookmarkStart w:id="1201" w:name="_Toc5085"/>
      <w:bookmarkStart w:id="1202" w:name="_Toc6351"/>
      <w:bookmarkStart w:id="1203" w:name="_Toc23897"/>
      <w:r>
        <w:rPr>
          <w:rFonts w:hint="eastAsia"/>
          <w:color w:val="auto"/>
          <w:sz w:val="32"/>
          <w:szCs w:val="32"/>
          <w:lang w:eastAsia="zh-CN"/>
        </w:rPr>
        <w:t>十、综合实力认证</w:t>
      </w:r>
      <w:bookmarkEnd w:id="1199"/>
    </w:p>
    <w:p>
      <w:pPr>
        <w:rPr>
          <w:rFonts w:hint="eastAsia"/>
          <w:color w:val="auto"/>
          <w:sz w:val="32"/>
          <w:szCs w:val="32"/>
          <w:lang w:eastAsia="zh-CN"/>
        </w:rPr>
      </w:pPr>
      <w:r>
        <w:rPr>
          <w:rFonts w:hint="eastAsia"/>
          <w:color w:val="auto"/>
          <w:sz w:val="32"/>
          <w:szCs w:val="32"/>
          <w:lang w:eastAsia="zh-CN"/>
        </w:rPr>
        <w:br w:type="page"/>
      </w:r>
    </w:p>
    <w:p>
      <w:pPr>
        <w:pStyle w:val="57"/>
        <w:numPr>
          <w:ilvl w:val="0"/>
          <w:numId w:val="51"/>
        </w:numPr>
        <w:ind w:left="0" w:leftChars="0" w:firstLine="420" w:firstLineChars="0"/>
        <w:rPr>
          <w:rFonts w:hint="eastAsia"/>
          <w:color w:val="auto"/>
          <w:sz w:val="32"/>
          <w:szCs w:val="32"/>
          <w:lang w:eastAsia="zh-CN"/>
        </w:rPr>
      </w:pPr>
      <w:bookmarkStart w:id="1204" w:name="_Toc7978"/>
      <w:r>
        <w:rPr>
          <w:rFonts w:hint="eastAsia"/>
          <w:color w:val="auto"/>
          <w:sz w:val="32"/>
          <w:szCs w:val="32"/>
          <w:lang w:eastAsia="zh-CN"/>
        </w:rPr>
        <w:t>服务承诺</w:t>
      </w:r>
      <w:bookmarkEnd w:id="1204"/>
    </w:p>
    <w:p>
      <w:pPr>
        <w:rPr>
          <w:rFonts w:hint="eastAsia"/>
          <w:color w:val="auto"/>
          <w:sz w:val="32"/>
          <w:szCs w:val="32"/>
          <w:lang w:eastAsia="zh-CN"/>
        </w:rPr>
      </w:pPr>
      <w:r>
        <w:rPr>
          <w:rFonts w:hint="eastAsia"/>
          <w:color w:val="auto"/>
          <w:sz w:val="32"/>
          <w:szCs w:val="32"/>
          <w:lang w:eastAsia="zh-CN"/>
        </w:rPr>
        <w:br w:type="page"/>
      </w:r>
    </w:p>
    <w:p>
      <w:pPr>
        <w:pStyle w:val="57"/>
        <w:numPr>
          <w:ilvl w:val="0"/>
          <w:numId w:val="51"/>
        </w:numPr>
        <w:ind w:left="0" w:leftChars="0" w:firstLine="420" w:firstLineChars="0"/>
        <w:rPr>
          <w:rFonts w:hint="eastAsia"/>
          <w:color w:val="auto"/>
          <w:sz w:val="32"/>
          <w:szCs w:val="32"/>
        </w:rPr>
      </w:pPr>
      <w:bookmarkStart w:id="1205" w:name="_Toc3400"/>
      <w:r>
        <w:rPr>
          <w:rFonts w:hint="eastAsia"/>
          <w:color w:val="auto"/>
          <w:sz w:val="32"/>
          <w:szCs w:val="32"/>
        </w:rPr>
        <w:t>其他材料</w:t>
      </w:r>
      <w:bookmarkEnd w:id="1200"/>
      <w:bookmarkEnd w:id="1201"/>
      <w:bookmarkEnd w:id="1202"/>
      <w:bookmarkEnd w:id="1203"/>
      <w:bookmarkEnd w:id="1205"/>
    </w:p>
    <w:p>
      <w:pPr>
        <w:pStyle w:val="3"/>
        <w:rPr>
          <w:rFonts w:hint="eastAsia" w:ascii="Arial" w:hAnsi="Arial" w:cs="Arial"/>
          <w:b w:val="0"/>
          <w:bCs/>
          <w:color w:val="auto"/>
          <w:sz w:val="28"/>
          <w:szCs w:val="28"/>
        </w:rPr>
      </w:pPr>
      <w:bookmarkStart w:id="1206" w:name="_Toc8747"/>
      <w:bookmarkStart w:id="1207" w:name="_Toc31919"/>
      <w:r>
        <w:rPr>
          <w:rFonts w:hint="eastAsia" w:ascii="Arial" w:hAnsi="Arial" w:cs="Arial"/>
          <w:b w:val="0"/>
          <w:bCs/>
          <w:color w:val="auto"/>
          <w:sz w:val="28"/>
          <w:szCs w:val="28"/>
          <w:lang w:val="en-US" w:eastAsia="zh-CN"/>
        </w:rPr>
        <w:t>1、</w:t>
      </w:r>
      <w:r>
        <w:rPr>
          <w:rFonts w:hint="eastAsia" w:ascii="Arial" w:hAnsi="Arial" w:cs="Arial"/>
          <w:b w:val="0"/>
          <w:bCs/>
          <w:color w:val="auto"/>
          <w:sz w:val="28"/>
          <w:szCs w:val="28"/>
        </w:rPr>
        <w:t>反商业贿赂承诺书</w:t>
      </w:r>
      <w:bookmarkEnd w:id="1206"/>
      <w:bookmarkEnd w:id="1207"/>
    </w:p>
    <w:p>
      <w:pPr>
        <w:spacing w:line="500" w:lineRule="exact"/>
        <w:rPr>
          <w:rFonts w:ascii="宋体" w:hAnsi="宋体"/>
          <w:color w:val="auto"/>
          <w:kern w:val="0"/>
        </w:rPr>
      </w:pPr>
      <w:r>
        <w:rPr>
          <w:rFonts w:hint="eastAsia" w:ascii="宋体" w:hAnsi="宋体"/>
          <w:color w:val="auto"/>
          <w:kern w:val="0"/>
        </w:rPr>
        <w:t>我公司承诺：</w:t>
      </w:r>
    </w:p>
    <w:p>
      <w:pPr>
        <w:spacing w:line="500" w:lineRule="exact"/>
        <w:ind w:firstLine="555"/>
        <w:rPr>
          <w:rFonts w:ascii="宋体" w:hAnsi="宋体"/>
          <w:color w:val="auto"/>
          <w:kern w:val="0"/>
        </w:rPr>
      </w:pPr>
      <w:r>
        <w:rPr>
          <w:rFonts w:hint="eastAsia" w:ascii="宋体" w:hAnsi="宋体"/>
          <w:color w:val="auto"/>
          <w:kern w:val="0"/>
        </w:rPr>
        <w:t>在招标活动中，我公司保证做到：</w:t>
      </w:r>
    </w:p>
    <w:p>
      <w:pPr>
        <w:spacing w:line="500" w:lineRule="exact"/>
        <w:ind w:firstLine="555"/>
        <w:rPr>
          <w:rFonts w:ascii="宋体" w:hAnsi="宋体"/>
          <w:color w:val="auto"/>
          <w:kern w:val="0"/>
        </w:rPr>
      </w:pPr>
      <w:r>
        <w:rPr>
          <w:rFonts w:hint="eastAsia" w:ascii="宋体" w:hAnsi="宋体"/>
          <w:color w:val="auto"/>
          <w:kern w:val="0"/>
        </w:rPr>
        <w:t>一、公平竞争参见本次招标活动。</w:t>
      </w:r>
    </w:p>
    <w:p>
      <w:pPr>
        <w:spacing w:line="500" w:lineRule="exact"/>
        <w:ind w:firstLine="555"/>
        <w:rPr>
          <w:rFonts w:ascii="宋体" w:hAnsi="宋体"/>
          <w:color w:val="auto"/>
          <w:kern w:val="0"/>
        </w:rPr>
      </w:pPr>
      <w:r>
        <w:rPr>
          <w:rFonts w:hint="eastAsia" w:ascii="宋体" w:hAnsi="宋体"/>
          <w:color w:val="auto"/>
          <w:kern w:val="0"/>
        </w:rPr>
        <w:t>二、杜绝任何形式的商业贿赂行为。不向国家工作人员、政府采购代理机构工作人员、评审专家及亲属提供礼品礼金、有价证券、购物券、回扣、佣金、咨询费、劳务费、资助费、宣传费、宴请；不为其报销各种消费凭证，不支付其旅游、娱乐等费用。</w:t>
      </w:r>
    </w:p>
    <w:p>
      <w:pPr>
        <w:spacing w:line="500" w:lineRule="exact"/>
        <w:ind w:firstLine="555"/>
        <w:rPr>
          <w:rFonts w:ascii="宋体" w:hAnsi="宋体"/>
          <w:color w:val="auto"/>
          <w:kern w:val="0"/>
        </w:rPr>
      </w:pPr>
      <w:r>
        <w:rPr>
          <w:rFonts w:hint="eastAsia" w:ascii="宋体" w:hAnsi="宋体"/>
          <w:color w:val="auto"/>
          <w:kern w:val="0"/>
        </w:rPr>
        <w:t>三、若出现上述行为，我公司及参与投标的工作人员愿意接受按照国家法律法规等有关规定给予的处罚。</w:t>
      </w:r>
    </w:p>
    <w:p>
      <w:pPr>
        <w:spacing w:line="500" w:lineRule="exact"/>
        <w:ind w:firstLine="555"/>
        <w:rPr>
          <w:rFonts w:ascii="宋体" w:hAnsi="宋体"/>
          <w:color w:val="auto"/>
          <w:kern w:val="0"/>
        </w:rPr>
      </w:pPr>
    </w:p>
    <w:p>
      <w:pPr>
        <w:spacing w:line="500" w:lineRule="exact"/>
        <w:ind w:firstLine="555"/>
        <w:rPr>
          <w:rFonts w:ascii="宋体" w:hAnsi="宋体"/>
          <w:color w:val="auto"/>
          <w:kern w:val="0"/>
        </w:rPr>
      </w:pPr>
    </w:p>
    <w:p>
      <w:pPr>
        <w:spacing w:line="360" w:lineRule="auto"/>
        <w:ind w:firstLine="420" w:firstLineChars="200"/>
        <w:rPr>
          <w:color w:val="auto"/>
        </w:rPr>
      </w:pPr>
      <w:r>
        <w:rPr>
          <w:rFonts w:hint="eastAsia"/>
          <w:color w:val="auto"/>
        </w:rPr>
        <w:t>供应商名称（盖章）：</w:t>
      </w:r>
    </w:p>
    <w:p>
      <w:pPr>
        <w:spacing w:line="360" w:lineRule="auto"/>
        <w:ind w:firstLine="420" w:firstLineChars="200"/>
        <w:rPr>
          <w:color w:val="auto"/>
        </w:rPr>
      </w:pPr>
      <w:r>
        <w:rPr>
          <w:rFonts w:hint="eastAsia"/>
          <w:color w:val="auto"/>
        </w:rPr>
        <w:t>法定代表人或</w:t>
      </w:r>
      <w:r>
        <w:rPr>
          <w:rFonts w:hint="eastAsia"/>
          <w:color w:val="auto"/>
          <w:lang w:val="en-US" w:eastAsia="zh-CN"/>
        </w:rPr>
        <w:t>委托</w:t>
      </w:r>
      <w:r>
        <w:rPr>
          <w:rFonts w:hint="eastAsia"/>
          <w:color w:val="auto"/>
        </w:rPr>
        <w:t>代理人（签字或盖章）：</w:t>
      </w:r>
    </w:p>
    <w:p>
      <w:pPr>
        <w:spacing w:line="360" w:lineRule="auto"/>
        <w:ind w:firstLine="420" w:firstLineChars="200"/>
        <w:rPr>
          <w:rFonts w:eastAsiaTheme="minorEastAsia"/>
          <w:b/>
          <w:color w:val="auto"/>
        </w:rPr>
      </w:pPr>
      <w:r>
        <w:rPr>
          <w:rFonts w:hint="eastAsia"/>
          <w:color w:val="auto"/>
        </w:rPr>
        <w:t>日期：    年   月   日</w:t>
      </w:r>
    </w:p>
    <w:p>
      <w:pPr>
        <w:pStyle w:val="40"/>
        <w:rPr>
          <w:b/>
          <w:bCs/>
          <w:color w:val="auto"/>
        </w:rPr>
      </w:pPr>
    </w:p>
    <w:p>
      <w:pPr>
        <w:pStyle w:val="25"/>
        <w:rPr>
          <w:rFonts w:ascii="宋体" w:hAnsi="宋体"/>
          <w:b/>
          <w:bCs/>
          <w:color w:val="auto"/>
          <w:kern w:val="0"/>
          <w:sz w:val="24"/>
          <w:szCs w:val="24"/>
        </w:rPr>
      </w:pPr>
    </w:p>
    <w:p>
      <w:pPr>
        <w:rPr>
          <w:color w:val="auto"/>
          <w:sz w:val="28"/>
          <w:szCs w:val="28"/>
        </w:rPr>
      </w:pPr>
      <w:r>
        <w:rPr>
          <w:rFonts w:hint="eastAsia"/>
          <w:color w:val="auto"/>
          <w:sz w:val="28"/>
          <w:szCs w:val="28"/>
        </w:rPr>
        <w:br w:type="page"/>
      </w:r>
    </w:p>
    <w:p>
      <w:pPr>
        <w:pStyle w:val="3"/>
        <w:rPr>
          <w:rFonts w:hint="eastAsia" w:ascii="Arial" w:hAnsi="Arial" w:cs="Arial"/>
          <w:b w:val="0"/>
          <w:bCs/>
          <w:color w:val="auto"/>
          <w:sz w:val="28"/>
          <w:szCs w:val="28"/>
        </w:rPr>
      </w:pPr>
      <w:bookmarkStart w:id="1208" w:name="_Toc25774"/>
      <w:bookmarkStart w:id="1209" w:name="_Toc17091"/>
      <w:bookmarkStart w:id="1210" w:name="_Toc29864"/>
      <w:bookmarkStart w:id="1211" w:name="_Toc11181"/>
      <w:bookmarkStart w:id="1212" w:name="_Toc18870"/>
      <w:r>
        <w:rPr>
          <w:rFonts w:hint="eastAsia" w:ascii="Arial" w:hAnsi="Arial" w:cs="Arial"/>
          <w:b w:val="0"/>
          <w:bCs/>
          <w:color w:val="auto"/>
          <w:sz w:val="28"/>
          <w:szCs w:val="28"/>
        </w:rPr>
        <w:t>2、磋商承诺函</w:t>
      </w:r>
      <w:bookmarkEnd w:id="1208"/>
      <w:bookmarkEnd w:id="1209"/>
      <w:bookmarkEnd w:id="1210"/>
      <w:bookmarkEnd w:id="1211"/>
      <w:bookmarkEnd w:id="1212"/>
    </w:p>
    <w:p>
      <w:pPr>
        <w:spacing w:line="360" w:lineRule="auto"/>
        <w:rPr>
          <w:color w:val="auto"/>
        </w:rPr>
      </w:pPr>
      <w:r>
        <w:rPr>
          <w:rFonts w:hint="eastAsia"/>
          <w:color w:val="auto"/>
        </w:rPr>
        <w:t>致</w:t>
      </w:r>
      <w:r>
        <w:rPr>
          <w:rFonts w:hint="eastAsia"/>
          <w:color w:val="auto"/>
          <w:u w:val="single"/>
        </w:rPr>
        <w:t>（采购人或采购代理机构）</w:t>
      </w:r>
      <w:r>
        <w:rPr>
          <w:rFonts w:hint="eastAsia"/>
          <w:color w:val="auto"/>
        </w:rPr>
        <w:t>：</w:t>
      </w:r>
    </w:p>
    <w:p>
      <w:pPr>
        <w:spacing w:line="360" w:lineRule="auto"/>
        <w:ind w:firstLine="420" w:firstLineChars="200"/>
        <w:rPr>
          <w:color w:val="auto"/>
        </w:rPr>
      </w:pPr>
      <w:r>
        <w:rPr>
          <w:rFonts w:hint="eastAsia"/>
          <w:color w:val="auto"/>
        </w:rPr>
        <w:t>我公司作为本次采购项目的供应商，根据竞争性磋商文件要求，现郑重承诺如下：</w:t>
      </w:r>
    </w:p>
    <w:p>
      <w:pPr>
        <w:spacing w:line="360" w:lineRule="auto"/>
        <w:rPr>
          <w:color w:val="auto"/>
        </w:rPr>
      </w:pPr>
      <w:r>
        <w:rPr>
          <w:rFonts w:hint="eastAsia"/>
          <w:color w:val="auto"/>
        </w:rPr>
        <w:t>一、具备《中华人民共和国政府采购法》第二十二条第一款和本项目规定的条件：</w:t>
      </w:r>
    </w:p>
    <w:p>
      <w:pPr>
        <w:spacing w:line="360" w:lineRule="auto"/>
        <w:ind w:firstLine="420" w:firstLineChars="200"/>
        <w:rPr>
          <w:color w:val="auto"/>
        </w:rPr>
      </w:pPr>
      <w:r>
        <w:rPr>
          <w:rFonts w:hint="eastAsia"/>
          <w:color w:val="auto"/>
        </w:rPr>
        <w:t>（一）具有独立承担民事责任的能力；</w:t>
      </w:r>
    </w:p>
    <w:p>
      <w:pPr>
        <w:spacing w:line="360" w:lineRule="auto"/>
        <w:ind w:firstLine="420" w:firstLineChars="200"/>
        <w:rPr>
          <w:color w:val="auto"/>
        </w:rPr>
      </w:pPr>
      <w:r>
        <w:rPr>
          <w:rFonts w:hint="eastAsia"/>
          <w:color w:val="auto"/>
        </w:rPr>
        <w:t>（二）具有良好的商业信誉和健全的财务会计制度；</w:t>
      </w:r>
    </w:p>
    <w:p>
      <w:pPr>
        <w:spacing w:line="360" w:lineRule="auto"/>
        <w:ind w:firstLine="420" w:firstLineChars="200"/>
        <w:rPr>
          <w:color w:val="auto"/>
        </w:rPr>
      </w:pPr>
      <w:r>
        <w:rPr>
          <w:rFonts w:hint="eastAsia"/>
          <w:color w:val="auto"/>
        </w:rPr>
        <w:t>（三）具有履行合同所必需的设备和专业技术能力；</w:t>
      </w:r>
    </w:p>
    <w:p>
      <w:pPr>
        <w:spacing w:line="360" w:lineRule="auto"/>
        <w:ind w:firstLine="420" w:firstLineChars="200"/>
        <w:rPr>
          <w:color w:val="auto"/>
        </w:rPr>
      </w:pPr>
      <w:r>
        <w:rPr>
          <w:rFonts w:hint="eastAsia"/>
          <w:color w:val="auto"/>
        </w:rPr>
        <w:t>（四）有依法缴纳税收和社会保障资金的良好记录；</w:t>
      </w:r>
    </w:p>
    <w:p>
      <w:pPr>
        <w:spacing w:line="360" w:lineRule="auto"/>
        <w:ind w:firstLine="420" w:firstLineChars="200"/>
        <w:rPr>
          <w:color w:val="auto"/>
        </w:rPr>
      </w:pPr>
      <w:r>
        <w:rPr>
          <w:rFonts w:hint="eastAsia"/>
          <w:color w:val="auto"/>
        </w:rPr>
        <w:t>（五）参加政府采购活动前三年内，在经营活动中没有重大违法记录；</w:t>
      </w:r>
    </w:p>
    <w:p>
      <w:pPr>
        <w:spacing w:line="360" w:lineRule="auto"/>
        <w:ind w:firstLine="420" w:firstLineChars="200"/>
        <w:rPr>
          <w:color w:val="auto"/>
        </w:rPr>
      </w:pPr>
      <w:r>
        <w:rPr>
          <w:rFonts w:hint="eastAsia"/>
          <w:color w:val="auto"/>
        </w:rPr>
        <w:t>（六）法律、行政法规规定的其他条件；</w:t>
      </w:r>
    </w:p>
    <w:p>
      <w:pPr>
        <w:spacing w:line="360" w:lineRule="auto"/>
        <w:ind w:firstLine="420" w:firstLineChars="200"/>
        <w:rPr>
          <w:color w:val="auto"/>
        </w:rPr>
      </w:pPr>
      <w:r>
        <w:rPr>
          <w:rFonts w:hint="eastAsia"/>
          <w:color w:val="auto"/>
        </w:rPr>
        <w:t>（七）根据采购项目提出的特殊条件。</w:t>
      </w:r>
    </w:p>
    <w:p>
      <w:pPr>
        <w:spacing w:line="360" w:lineRule="auto"/>
        <w:jc w:val="left"/>
        <w:rPr>
          <w:color w:val="auto"/>
        </w:rPr>
      </w:pPr>
      <w:r>
        <w:rPr>
          <w:rFonts w:hint="eastAsia"/>
          <w:color w:val="auto"/>
        </w:rPr>
        <w:t>二、参加本次招标采购活动，不存在和其他供应商在同一合同项下的采购项目中，同时委托同一个自然人、同一家庭的人员、同一单位的人员作为代理人的行为。</w:t>
      </w:r>
    </w:p>
    <w:p>
      <w:pPr>
        <w:spacing w:line="360" w:lineRule="auto"/>
        <w:rPr>
          <w:color w:val="auto"/>
        </w:rPr>
      </w:pPr>
      <w:r>
        <w:rPr>
          <w:rFonts w:hint="eastAsia"/>
          <w:color w:val="auto"/>
        </w:rPr>
        <w:t>三、存在以下行为之一的愿意接受相关部门的处理：</w:t>
      </w:r>
    </w:p>
    <w:p>
      <w:pPr>
        <w:spacing w:line="360" w:lineRule="auto"/>
        <w:ind w:firstLine="420" w:firstLineChars="200"/>
        <w:rPr>
          <w:color w:val="auto"/>
        </w:rPr>
      </w:pPr>
      <w:r>
        <w:rPr>
          <w:rFonts w:hint="eastAsia"/>
          <w:color w:val="auto"/>
        </w:rPr>
        <w:t>（一）磋商有效期内撤销响应文件的；</w:t>
      </w:r>
    </w:p>
    <w:p>
      <w:pPr>
        <w:spacing w:line="360" w:lineRule="auto"/>
        <w:ind w:firstLine="420" w:firstLineChars="200"/>
        <w:rPr>
          <w:color w:val="auto"/>
        </w:rPr>
      </w:pPr>
      <w:r>
        <w:rPr>
          <w:rFonts w:hint="eastAsia"/>
          <w:color w:val="auto"/>
        </w:rPr>
        <w:t>（二）在采购人确定中标人以前放弃中标候选资格的；</w:t>
      </w:r>
    </w:p>
    <w:p>
      <w:pPr>
        <w:spacing w:line="360" w:lineRule="auto"/>
        <w:ind w:firstLine="420" w:firstLineChars="200"/>
        <w:rPr>
          <w:color w:val="auto"/>
        </w:rPr>
      </w:pPr>
      <w:r>
        <w:rPr>
          <w:rFonts w:hint="eastAsia"/>
          <w:color w:val="auto"/>
        </w:rPr>
        <w:t>（三）由于成交供应商的原因未能按照竞争性磋商文件的规定与采购人签订合同；</w:t>
      </w:r>
    </w:p>
    <w:p>
      <w:pPr>
        <w:spacing w:line="360" w:lineRule="auto"/>
        <w:ind w:firstLine="420" w:firstLineChars="200"/>
        <w:rPr>
          <w:color w:val="auto"/>
        </w:rPr>
      </w:pPr>
      <w:r>
        <w:rPr>
          <w:rFonts w:hint="eastAsia"/>
          <w:color w:val="auto"/>
        </w:rPr>
        <w:t>（四）在响应文件中提供虚假材料谋取中标；</w:t>
      </w:r>
    </w:p>
    <w:p>
      <w:pPr>
        <w:spacing w:line="360" w:lineRule="auto"/>
        <w:ind w:firstLine="420" w:firstLineChars="200"/>
        <w:rPr>
          <w:color w:val="auto"/>
        </w:rPr>
      </w:pPr>
      <w:r>
        <w:rPr>
          <w:rFonts w:hint="eastAsia"/>
          <w:color w:val="auto"/>
        </w:rPr>
        <w:t>（五）与采购人、其他供应商或者采购代理机构恶意串通的；</w:t>
      </w:r>
    </w:p>
    <w:p>
      <w:pPr>
        <w:spacing w:line="360" w:lineRule="auto"/>
        <w:ind w:firstLine="420" w:firstLineChars="200"/>
        <w:rPr>
          <w:color w:val="auto"/>
        </w:rPr>
      </w:pPr>
      <w:r>
        <w:rPr>
          <w:rFonts w:hint="eastAsia"/>
          <w:color w:val="auto"/>
        </w:rPr>
        <w:t>（六）磋商有效期内，供应商在政府采购活动中有违法、违规、违纪行为。</w:t>
      </w:r>
    </w:p>
    <w:p>
      <w:pPr>
        <w:spacing w:line="360" w:lineRule="auto"/>
        <w:ind w:firstLine="420" w:firstLineChars="200"/>
        <w:rPr>
          <w:color w:val="auto"/>
        </w:rPr>
      </w:pPr>
      <w:r>
        <w:rPr>
          <w:rFonts w:hint="eastAsia"/>
          <w:color w:val="auto"/>
        </w:rPr>
        <w:t>由此产生的一切法律后果和责任由我公司承担。我公司声明放弃对此提出任何异议和追索的权利。</w:t>
      </w:r>
    </w:p>
    <w:p>
      <w:pPr>
        <w:spacing w:line="360" w:lineRule="auto"/>
        <w:ind w:firstLine="420" w:firstLineChars="200"/>
        <w:rPr>
          <w:color w:val="auto"/>
        </w:rPr>
      </w:pPr>
      <w:r>
        <w:rPr>
          <w:rFonts w:hint="eastAsia"/>
          <w:color w:val="auto"/>
        </w:rPr>
        <w:t>本公司对上述承诺的内容事项真实性负责。如经查实上述承诺的内容事项存在虚假，我公司愿意接受以提供虚假材料谋取中标追究法律责任。</w:t>
      </w:r>
    </w:p>
    <w:p>
      <w:pPr>
        <w:spacing w:line="360" w:lineRule="auto"/>
        <w:ind w:firstLine="420" w:firstLineChars="200"/>
        <w:rPr>
          <w:color w:val="auto"/>
        </w:rPr>
      </w:pPr>
      <w:r>
        <w:rPr>
          <w:rFonts w:hint="eastAsia"/>
          <w:color w:val="auto"/>
        </w:rPr>
        <w:t>供应商名称（盖章）：</w:t>
      </w:r>
    </w:p>
    <w:p>
      <w:pPr>
        <w:spacing w:line="360" w:lineRule="auto"/>
        <w:ind w:firstLine="420" w:firstLineChars="200"/>
        <w:rPr>
          <w:color w:val="auto"/>
        </w:rPr>
      </w:pPr>
      <w:r>
        <w:rPr>
          <w:rFonts w:hint="eastAsia"/>
          <w:color w:val="auto"/>
        </w:rPr>
        <w:t>法定代表人或</w:t>
      </w:r>
      <w:r>
        <w:rPr>
          <w:rFonts w:hint="eastAsia"/>
          <w:color w:val="auto"/>
          <w:lang w:val="en-US" w:eastAsia="zh-CN"/>
        </w:rPr>
        <w:t>委托</w:t>
      </w:r>
      <w:r>
        <w:rPr>
          <w:rFonts w:hint="eastAsia"/>
          <w:color w:val="auto"/>
        </w:rPr>
        <w:t>代理人（签字或盖章）：</w:t>
      </w:r>
    </w:p>
    <w:p>
      <w:pPr>
        <w:spacing w:line="360" w:lineRule="auto"/>
        <w:ind w:firstLine="420" w:firstLineChars="200"/>
        <w:rPr>
          <w:rFonts w:eastAsiaTheme="minorEastAsia"/>
          <w:b/>
          <w:color w:val="auto"/>
        </w:rPr>
      </w:pPr>
      <w:r>
        <w:rPr>
          <w:rFonts w:hint="eastAsia"/>
          <w:color w:val="auto"/>
        </w:rPr>
        <w:t>日期：    年   月   日</w:t>
      </w:r>
    </w:p>
    <w:p>
      <w:pPr>
        <w:ind w:firstLine="2380" w:firstLineChars="850"/>
        <w:rPr>
          <w:rFonts w:ascii="宋体" w:hAnsi="宋体"/>
          <w:color w:val="auto"/>
          <w:kern w:val="0"/>
          <w:sz w:val="28"/>
          <w:szCs w:val="28"/>
        </w:rPr>
      </w:pPr>
    </w:p>
    <w:p>
      <w:pPr>
        <w:widowControl/>
        <w:jc w:val="left"/>
        <w:rPr>
          <w:color w:val="auto"/>
        </w:rPr>
      </w:pPr>
      <w:r>
        <w:rPr>
          <w:rFonts w:hint="eastAsia" w:ascii="宋体" w:hAnsi="宋体"/>
          <w:b/>
          <w:bCs/>
          <w:color w:val="auto"/>
          <w:kern w:val="0"/>
          <w:sz w:val="24"/>
          <w:szCs w:val="24"/>
        </w:rPr>
        <w:br w:type="page"/>
      </w:r>
    </w:p>
    <w:p>
      <w:pPr>
        <w:pStyle w:val="3"/>
        <w:rPr>
          <w:b w:val="0"/>
          <w:bCs/>
          <w:color w:val="auto"/>
          <w:sz w:val="28"/>
          <w:szCs w:val="28"/>
        </w:rPr>
      </w:pPr>
      <w:bookmarkStart w:id="1213" w:name="_Toc3177"/>
      <w:bookmarkStart w:id="1214" w:name="_Toc23901"/>
      <w:bookmarkStart w:id="1215" w:name="_Toc8971"/>
      <w:bookmarkStart w:id="1216" w:name="_Toc30595"/>
      <w:bookmarkStart w:id="1217" w:name="_Toc21735"/>
      <w:r>
        <w:rPr>
          <w:rFonts w:hint="eastAsia"/>
          <w:b w:val="0"/>
          <w:bCs/>
          <w:color w:val="auto"/>
          <w:sz w:val="28"/>
          <w:szCs w:val="28"/>
        </w:rPr>
        <w:t>3、代理服务费承诺函</w:t>
      </w:r>
      <w:bookmarkEnd w:id="1213"/>
      <w:bookmarkEnd w:id="1214"/>
      <w:bookmarkEnd w:id="1215"/>
      <w:bookmarkEnd w:id="1216"/>
      <w:bookmarkEnd w:id="1217"/>
    </w:p>
    <w:p>
      <w:pPr>
        <w:widowControl/>
        <w:spacing w:line="360" w:lineRule="auto"/>
        <w:jc w:val="left"/>
        <w:rPr>
          <w:color w:val="auto"/>
        </w:rPr>
      </w:pPr>
      <w:r>
        <w:rPr>
          <w:rFonts w:hint="eastAsia" w:ascii="宋体" w:hAnsi="宋体" w:cs="宋体"/>
          <w:color w:val="auto"/>
          <w:kern w:val="0"/>
          <w:lang w:bidi="ar"/>
        </w:rPr>
        <w:t xml:space="preserve">致（采购人及采购代理机构）： </w:t>
      </w:r>
    </w:p>
    <w:p>
      <w:pPr>
        <w:widowControl/>
        <w:spacing w:line="360" w:lineRule="auto"/>
        <w:ind w:firstLine="420" w:firstLineChars="200"/>
        <w:jc w:val="left"/>
        <w:rPr>
          <w:color w:val="auto"/>
        </w:rPr>
      </w:pPr>
      <w:r>
        <w:rPr>
          <w:rFonts w:hint="eastAsia" w:ascii="宋体" w:hAnsi="宋体" w:cs="宋体"/>
          <w:color w:val="auto"/>
          <w:kern w:val="0"/>
          <w:lang w:bidi="ar"/>
        </w:rPr>
        <w:t>我们在贵公司组织的</w:t>
      </w:r>
      <w:r>
        <w:rPr>
          <w:rFonts w:hint="eastAsia" w:ascii="宋体" w:hAnsi="宋体" w:cs="宋体"/>
          <w:color w:val="auto"/>
          <w:kern w:val="0"/>
          <w:u w:val="single"/>
          <w:lang w:bidi="ar"/>
        </w:rPr>
        <w:t xml:space="preserve">                 </w:t>
      </w:r>
      <w:r>
        <w:rPr>
          <w:rFonts w:hint="eastAsia" w:ascii="宋体" w:hAnsi="宋体" w:cs="宋体"/>
          <w:color w:val="auto"/>
          <w:kern w:val="0"/>
          <w:lang w:bidi="ar"/>
        </w:rPr>
        <w:t xml:space="preserve">项目竞争性磋商采购中若获中标（成交），我们保证在中标（成交）公告发布后 5 个工作日内，按采购文件的规定，以支票、银行转账、汇票或现金，向贵公司一次性支付代理服务费用。否则，由此产生的一切法律后果和责任由我公司承担。我公司声明放弃对此提出任何异议和追索的权利。 </w:t>
      </w:r>
    </w:p>
    <w:p>
      <w:pPr>
        <w:widowControl/>
        <w:spacing w:line="360" w:lineRule="auto"/>
        <w:ind w:firstLine="420" w:firstLineChars="200"/>
        <w:jc w:val="left"/>
        <w:rPr>
          <w:color w:val="auto"/>
        </w:rPr>
      </w:pPr>
      <w:r>
        <w:rPr>
          <w:rFonts w:hint="eastAsia" w:ascii="宋体" w:hAnsi="宋体" w:cs="宋体"/>
          <w:color w:val="auto"/>
          <w:kern w:val="0"/>
          <w:lang w:bidi="ar"/>
        </w:rPr>
        <w:t xml:space="preserve">特此承诺。 </w:t>
      </w:r>
    </w:p>
    <w:p>
      <w:pPr>
        <w:widowControl/>
        <w:spacing w:line="360" w:lineRule="auto"/>
        <w:ind w:firstLine="3780" w:firstLineChars="1800"/>
        <w:jc w:val="left"/>
        <w:rPr>
          <w:color w:val="auto"/>
        </w:rPr>
      </w:pPr>
      <w:r>
        <w:rPr>
          <w:rFonts w:hint="eastAsia" w:ascii="宋体" w:hAnsi="宋体" w:cs="宋体"/>
          <w:color w:val="auto"/>
          <w:kern w:val="0"/>
          <w:lang w:bidi="ar"/>
        </w:rPr>
        <w:t xml:space="preserve">供应商名称：（盖章） </w:t>
      </w:r>
    </w:p>
    <w:p>
      <w:pPr>
        <w:widowControl/>
        <w:spacing w:line="360" w:lineRule="auto"/>
        <w:ind w:firstLine="3780" w:firstLineChars="1800"/>
        <w:jc w:val="left"/>
        <w:rPr>
          <w:color w:val="auto"/>
        </w:rPr>
      </w:pPr>
      <w:r>
        <w:rPr>
          <w:rFonts w:hint="eastAsia" w:ascii="宋体" w:hAnsi="宋体" w:cs="宋体"/>
          <w:color w:val="auto"/>
          <w:kern w:val="0"/>
          <w:lang w:bidi="ar"/>
        </w:rPr>
        <w:t xml:space="preserve">法定代表人或委托代理人：（签字或盖章） </w:t>
      </w:r>
    </w:p>
    <w:p>
      <w:pPr>
        <w:widowControl/>
        <w:spacing w:line="360" w:lineRule="auto"/>
        <w:ind w:firstLine="3780" w:firstLineChars="1800"/>
        <w:jc w:val="left"/>
        <w:rPr>
          <w:color w:val="auto"/>
        </w:rPr>
      </w:pPr>
      <w:r>
        <w:rPr>
          <w:rFonts w:hint="eastAsia" w:ascii="宋体" w:hAnsi="宋体" w:cs="宋体"/>
          <w:color w:val="auto"/>
          <w:kern w:val="0"/>
          <w:lang w:bidi="ar"/>
        </w:rPr>
        <w:t xml:space="preserve">日期：年  月   日  </w:t>
      </w:r>
    </w:p>
    <w:p>
      <w:pPr>
        <w:rPr>
          <w:rFonts w:ascii="宋体" w:hAnsi="宋体"/>
          <w:b/>
          <w:bCs/>
          <w:color w:val="auto"/>
          <w:kern w:val="0"/>
          <w:sz w:val="24"/>
          <w:szCs w:val="24"/>
        </w:rPr>
      </w:pPr>
    </w:p>
    <w:p>
      <w:pPr>
        <w:rPr>
          <w:rFonts w:ascii="宋体" w:hAnsi="宋体"/>
          <w:b/>
          <w:bCs/>
          <w:color w:val="auto"/>
          <w:kern w:val="0"/>
          <w:sz w:val="24"/>
          <w:szCs w:val="24"/>
        </w:rPr>
      </w:pPr>
      <w:r>
        <w:rPr>
          <w:rFonts w:hint="eastAsia" w:ascii="宋体" w:hAnsi="宋体"/>
          <w:b/>
          <w:bCs/>
          <w:color w:val="auto"/>
          <w:kern w:val="0"/>
          <w:sz w:val="24"/>
          <w:szCs w:val="24"/>
        </w:rPr>
        <w:br w:type="page"/>
      </w:r>
    </w:p>
    <w:p>
      <w:pPr>
        <w:spacing w:line="360" w:lineRule="auto"/>
        <w:ind w:firstLine="420" w:firstLineChars="200"/>
        <w:rPr>
          <w:rFonts w:ascii="宋体" w:hAnsi="宋体"/>
          <w:b/>
          <w:bCs/>
          <w:color w:val="auto"/>
          <w:kern w:val="0"/>
          <w:sz w:val="24"/>
          <w:szCs w:val="24"/>
        </w:rPr>
      </w:pPr>
      <w:r>
        <w:rPr>
          <w:rFonts w:hint="eastAsia"/>
          <w:color w:val="auto"/>
          <w:highlight w:val="none"/>
        </w:rPr>
        <w:t>4、</w:t>
      </w:r>
      <w:r>
        <w:rPr>
          <w:rFonts w:hint="eastAsia" w:ascii="宋体" w:hAnsi="宋体"/>
          <w:b/>
          <w:bCs/>
          <w:color w:val="auto"/>
          <w:kern w:val="0"/>
          <w:sz w:val="24"/>
          <w:szCs w:val="24"/>
          <w:highlight w:val="none"/>
        </w:rPr>
        <w:t>根</w:t>
      </w:r>
      <w:r>
        <w:rPr>
          <w:rFonts w:hint="eastAsia" w:ascii="宋体" w:hAnsi="宋体"/>
          <w:b/>
          <w:bCs/>
          <w:color w:val="auto"/>
          <w:kern w:val="0"/>
          <w:sz w:val="24"/>
          <w:szCs w:val="24"/>
        </w:rPr>
        <w:t>据竞争性磋商文件要求的，或供应商认为需要提交的资料（如有）</w:t>
      </w:r>
    </w:p>
    <w:p>
      <w:pPr>
        <w:rPr>
          <w:rFonts w:asciiTheme="minorEastAsia" w:hAnsiTheme="minorEastAsia" w:eastAsiaTheme="minorEastAsia" w:cstheme="minorEastAsia"/>
          <w:color w:val="auto"/>
        </w:rPr>
      </w:pPr>
      <w:bookmarkStart w:id="1218" w:name="_Toc28531"/>
      <w:bookmarkEnd w:id="1218"/>
    </w:p>
    <w:sectPr>
      <w:pgSz w:w="11905" w:h="16838"/>
      <w:pgMar w:top="1440" w:right="1429" w:bottom="1440" w:left="1451" w:header="850" w:footer="85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287E43A-C772-44F8-A14C-0F78FED07E90}"/>
  </w:font>
  <w:font w:name="黑体">
    <w:panose1 w:val="02010609060101010101"/>
    <w:charset w:val="86"/>
    <w:family w:val="auto"/>
    <w:pitch w:val="default"/>
    <w:sig w:usb0="800002BF" w:usb1="38CF7CFA" w:usb2="00000016" w:usb3="00000000" w:csb0="00040001" w:csb1="00000000"/>
    <w:embedRegular r:id="rId2" w:fontKey="{186774FE-AFB9-4079-B611-2F4609C81FB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57234FD7-6338-43D5-A92D-F98EC991DC4C}"/>
  </w:font>
  <w:font w:name="华文细黑">
    <w:altName w:val="微软雅黑"/>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4" w:fontKey="{3252814C-D0A8-4446-9D4C-D6CE7780B77A}"/>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thinThickSmallGap" w:color="974706" w:themeColor="accent6" w:themeShade="7F" w:sz="12" w:space="1"/>
        <w:left w:val="none" w:color="auto" w:sz="0" w:space="4"/>
        <w:bottom w:val="none" w:color="auto" w:sz="0" w:space="1"/>
        <w:right w:val="none" w:color="auto" w:sz="0" w:space="4"/>
      </w:pBdr>
      <w:tabs>
        <w:tab w:val="left" w:pos="5340"/>
        <w:tab w:val="left" w:pos="8190"/>
      </w:tabs>
      <w:ind w:firstLine="419" w:firstLineChars="2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4170" cy="222250"/>
              <wp:effectExtent l="0" t="0" r="0" b="0"/>
              <wp:wrapNone/>
              <wp:docPr id="3" name="Text Box 1029"/>
              <wp:cNvGraphicFramePr/>
              <a:graphic xmlns:a="http://schemas.openxmlformats.org/drawingml/2006/main">
                <a:graphicData uri="http://schemas.microsoft.com/office/word/2010/wordprocessingShape">
                  <wps:wsp>
                    <wps:cNvSpPr txBox="1">
                      <a:spLocks noChangeArrowheads="1"/>
                    </wps:cNvSpPr>
                    <wps:spPr bwMode="auto">
                      <a:xfrm>
                        <a:off x="0" y="0"/>
                        <a:ext cx="344170" cy="222250"/>
                      </a:xfrm>
                      <a:prstGeom prst="rect">
                        <a:avLst/>
                      </a:prstGeom>
                      <a:noFill/>
                      <a:ln>
                        <a:noFill/>
                      </a:ln>
                      <a:effectLst/>
                    </wps:spPr>
                    <wps:txbx>
                      <w:txbxContent>
                        <w:p>
                          <w:pPr>
                            <w:pStyle w:val="19"/>
                            <w:tabs>
                              <w:tab w:val="center" w:pos="4153"/>
                              <w:tab w:val="right" w:pos="8306"/>
                            </w:tabs>
                          </w:pPr>
                          <w:r>
                            <w:t>第</w:t>
                          </w:r>
                          <w:r>
                            <w:fldChar w:fldCharType="begin"/>
                          </w:r>
                          <w:r>
                            <w:instrText xml:space="preserve"> PAGE  \* MERGEFORMAT </w:instrText>
                          </w:r>
                          <w:r>
                            <w:fldChar w:fldCharType="separate"/>
                          </w:r>
                          <w:r>
                            <w:t>3</w:t>
                          </w:r>
                          <w:r>
                            <w:fldChar w:fldCharType="end"/>
                          </w:r>
                          <w:r>
                            <w:t>页</w:t>
                          </w:r>
                        </w:p>
                      </w:txbxContent>
                    </wps:txbx>
                    <wps:bodyPr rot="0" vert="horz" wrap="none" lIns="0" tIns="0" rIns="0" bIns="0" anchor="t" anchorCtr="0" upright="1">
                      <a:spAutoFit/>
                    </wps:bodyPr>
                  </wps:wsp>
                </a:graphicData>
              </a:graphic>
            </wp:anchor>
          </w:drawing>
        </mc:Choice>
        <mc:Fallback>
          <w:pict>
            <v:shape id="Text Box 1029" o:spid="_x0000_s1026" o:spt="202" type="#_x0000_t202" style="position:absolute;left:0pt;margin-top:0pt;height:17.5pt;width:27.1pt;mso-position-horizontal:center;mso-position-horizontal-relative:margin;mso-wrap-style:none;z-index:251661312;mso-width-relative:page;mso-height-relative:page;" filled="f" stroked="f" coordsize="21600,21600" o:gfxdata="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HbpJY0QAAAAMBAAAPAAAAAAAAAAEAIAAAACIAAABkcnMvZG93bnJldi54&#10;bWxQSwECFAAUAAAACACHTuJAOjEa3gECAAASBAAADgAAAAAAAAABACAAAAAgAQAAZHJzL2Uyb0Rv&#10;Yy54bWxQSwUGAAAAAAYABgBZAQAAkwUAAAAA&#10;">
              <v:fill on="f" focussize="0,0"/>
              <v:stroke on="f"/>
              <v:imagedata o:title=""/>
              <o:lock v:ext="edit" aspectratio="f"/>
              <v:textbox inset="0mm,0mm,0mm,0mm" style="mso-fit-shape-to-text:t;">
                <w:txbxContent>
                  <w:p>
                    <w:pPr>
                      <w:pStyle w:val="19"/>
                      <w:tabs>
                        <w:tab w:val="center" w:pos="4153"/>
                        <w:tab w:val="right" w:pos="8306"/>
                      </w:tabs>
                    </w:pPr>
                    <w:r>
                      <w:t>第</w:t>
                    </w:r>
                    <w:r>
                      <w:fldChar w:fldCharType="begin"/>
                    </w:r>
                    <w:r>
                      <w:instrText xml:space="preserve"> PAGE  \* MERGEFORMAT </w:instrText>
                    </w:r>
                    <w:r>
                      <w:fldChar w:fldCharType="separate"/>
                    </w:r>
                    <w:r>
                      <w:t>3</w:t>
                    </w:r>
                    <w:r>
                      <w:fldChar w:fldCharType="end"/>
                    </w:r>
                    <w:r>
                      <w:t>页</w:t>
                    </w:r>
                  </w:p>
                </w:txbxContent>
              </v:textbox>
            </v:shape>
          </w:pict>
        </mc:Fallback>
      </mc:AlternateContent>
    </w:r>
    <w:r>
      <w:rPr>
        <w:rFonts w:hint="eastAsia"/>
      </w:rPr>
      <w:tab/>
    </w:r>
    <w:r>
      <w:rPr>
        <w:rFonts w:hint="eastAsia"/>
      </w:rPr>
      <w:t xml:space="preserve">           中建山河建设管理集团有限公司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thinThickSmallGap" w:color="993300" w:sz="12" w:space="1"/>
      </w:pBdr>
      <w:tabs>
        <w:tab w:val="center" w:pos="4153"/>
        <w:tab w:val="right" w:pos="8306"/>
      </w:tabs>
      <w:jc w:val="left"/>
    </w:pPr>
    <w:r>
      <w:rPr>
        <w:rFonts w:hint="eastAsia"/>
      </w:rPr>
      <w:t xml:space="preserve">邓州市人民法院审判法庭和青少年法治教育基地综合布线项目    </w:t>
    </w:r>
    <w:r>
      <w:rPr>
        <w:rFonts w:hint="eastAsia"/>
        <w:lang w:val="en-US" w:eastAsia="zh-CN"/>
      </w:rPr>
      <w:t xml:space="preserve">      </w:t>
    </w:r>
    <w:r>
      <w:rPr>
        <w:rFonts w:hint="eastAsi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21"/>
      <w:numFmt w:val="decimal"/>
      <w:lvlText w:val="%1"/>
      <w:lvlJc w:val="left"/>
      <w:pPr>
        <w:ind w:left="120" w:hanging="473"/>
      </w:pPr>
      <w:rPr>
        <w:rFonts w:hint="default"/>
        <w:lang w:val="zh-CN" w:eastAsia="zh-CN" w:bidi="zh-CN"/>
      </w:rPr>
    </w:lvl>
    <w:lvl w:ilvl="1" w:tentative="0">
      <w:start w:val="1"/>
      <w:numFmt w:val="decimal"/>
      <w:lvlText w:val="%1.%2"/>
      <w:lvlJc w:val="left"/>
      <w:pPr>
        <w:ind w:left="120" w:hanging="473"/>
      </w:pPr>
      <w:rPr>
        <w:rFonts w:hint="default" w:ascii="宋体" w:hAnsi="宋体" w:eastAsia="宋体" w:cs="宋体"/>
        <w:w w:val="100"/>
        <w:sz w:val="21"/>
        <w:szCs w:val="21"/>
        <w:lang w:val="zh-CN" w:eastAsia="zh-CN" w:bidi="zh-CN"/>
      </w:rPr>
    </w:lvl>
    <w:lvl w:ilvl="2" w:tentative="0">
      <w:start w:val="0"/>
      <w:numFmt w:val="bullet"/>
      <w:lvlText w:val="•"/>
      <w:lvlJc w:val="left"/>
      <w:pPr>
        <w:ind w:left="1925" w:hanging="473"/>
      </w:pPr>
      <w:rPr>
        <w:rFonts w:hint="default"/>
        <w:lang w:val="zh-CN" w:eastAsia="zh-CN" w:bidi="zh-CN"/>
      </w:rPr>
    </w:lvl>
    <w:lvl w:ilvl="3" w:tentative="0">
      <w:start w:val="0"/>
      <w:numFmt w:val="bullet"/>
      <w:lvlText w:val="•"/>
      <w:lvlJc w:val="left"/>
      <w:pPr>
        <w:ind w:left="2827" w:hanging="473"/>
      </w:pPr>
      <w:rPr>
        <w:rFonts w:hint="default"/>
        <w:lang w:val="zh-CN" w:eastAsia="zh-CN" w:bidi="zh-CN"/>
      </w:rPr>
    </w:lvl>
    <w:lvl w:ilvl="4" w:tentative="0">
      <w:start w:val="0"/>
      <w:numFmt w:val="bullet"/>
      <w:lvlText w:val="•"/>
      <w:lvlJc w:val="left"/>
      <w:pPr>
        <w:ind w:left="3730" w:hanging="473"/>
      </w:pPr>
      <w:rPr>
        <w:rFonts w:hint="default"/>
        <w:lang w:val="zh-CN" w:eastAsia="zh-CN" w:bidi="zh-CN"/>
      </w:rPr>
    </w:lvl>
    <w:lvl w:ilvl="5" w:tentative="0">
      <w:start w:val="0"/>
      <w:numFmt w:val="bullet"/>
      <w:lvlText w:val="•"/>
      <w:lvlJc w:val="left"/>
      <w:pPr>
        <w:ind w:left="4633" w:hanging="473"/>
      </w:pPr>
      <w:rPr>
        <w:rFonts w:hint="default"/>
        <w:lang w:val="zh-CN" w:eastAsia="zh-CN" w:bidi="zh-CN"/>
      </w:rPr>
    </w:lvl>
    <w:lvl w:ilvl="6" w:tentative="0">
      <w:start w:val="0"/>
      <w:numFmt w:val="bullet"/>
      <w:lvlText w:val="•"/>
      <w:lvlJc w:val="left"/>
      <w:pPr>
        <w:ind w:left="5535" w:hanging="473"/>
      </w:pPr>
      <w:rPr>
        <w:rFonts w:hint="default"/>
        <w:lang w:val="zh-CN" w:eastAsia="zh-CN" w:bidi="zh-CN"/>
      </w:rPr>
    </w:lvl>
    <w:lvl w:ilvl="7" w:tentative="0">
      <w:start w:val="0"/>
      <w:numFmt w:val="bullet"/>
      <w:lvlText w:val="•"/>
      <w:lvlJc w:val="left"/>
      <w:pPr>
        <w:ind w:left="6438" w:hanging="473"/>
      </w:pPr>
      <w:rPr>
        <w:rFonts w:hint="default"/>
        <w:lang w:val="zh-CN" w:eastAsia="zh-CN" w:bidi="zh-CN"/>
      </w:rPr>
    </w:lvl>
    <w:lvl w:ilvl="8" w:tentative="0">
      <w:start w:val="0"/>
      <w:numFmt w:val="bullet"/>
      <w:lvlText w:val="•"/>
      <w:lvlJc w:val="left"/>
      <w:pPr>
        <w:ind w:left="7341" w:hanging="473"/>
      </w:pPr>
      <w:rPr>
        <w:rFonts w:hint="default"/>
        <w:lang w:val="zh-CN" w:eastAsia="zh-CN" w:bidi="zh-CN"/>
      </w:rPr>
    </w:lvl>
  </w:abstractNum>
  <w:abstractNum w:abstractNumId="1">
    <w:nsid w:val="824A5482"/>
    <w:multiLevelType w:val="singleLevel"/>
    <w:tmpl w:val="824A5482"/>
    <w:lvl w:ilvl="0" w:tentative="0">
      <w:start w:val="1"/>
      <w:numFmt w:val="upperLetter"/>
      <w:lvlText w:val="%1."/>
      <w:lvlJc w:val="left"/>
      <w:pPr>
        <w:ind w:left="425" w:hanging="425"/>
      </w:pPr>
      <w:rPr>
        <w:rFonts w:hint="default"/>
      </w:rPr>
    </w:lvl>
  </w:abstractNum>
  <w:abstractNum w:abstractNumId="2">
    <w:nsid w:val="8461FADE"/>
    <w:multiLevelType w:val="multilevel"/>
    <w:tmpl w:val="8461FADE"/>
    <w:lvl w:ilvl="0" w:tentative="0">
      <w:start w:val="1"/>
      <w:numFmt w:val="decimal"/>
      <w:lvlText w:val="(%1)"/>
      <w:lvlJc w:val="left"/>
      <w:pPr>
        <w:ind w:left="120" w:hanging="318"/>
      </w:pPr>
      <w:rPr>
        <w:rFonts w:hint="default"/>
        <w:w w:val="100"/>
        <w:sz w:val="19"/>
        <w:szCs w:val="19"/>
        <w:u w:val="single" w:color="000000"/>
        <w:lang w:val="zh-CN" w:eastAsia="zh-CN" w:bidi="zh-CN"/>
      </w:rPr>
    </w:lvl>
    <w:lvl w:ilvl="1" w:tentative="0">
      <w:start w:val="0"/>
      <w:numFmt w:val="bullet"/>
      <w:lvlText w:val="•"/>
      <w:lvlJc w:val="left"/>
      <w:pPr>
        <w:ind w:left="1022" w:hanging="318"/>
      </w:pPr>
      <w:rPr>
        <w:rFonts w:hint="default"/>
        <w:lang w:val="zh-CN" w:eastAsia="zh-CN" w:bidi="zh-CN"/>
      </w:rPr>
    </w:lvl>
    <w:lvl w:ilvl="2" w:tentative="0">
      <w:start w:val="0"/>
      <w:numFmt w:val="bullet"/>
      <w:lvlText w:val="•"/>
      <w:lvlJc w:val="left"/>
      <w:pPr>
        <w:ind w:left="1925" w:hanging="318"/>
      </w:pPr>
      <w:rPr>
        <w:rFonts w:hint="default"/>
        <w:lang w:val="zh-CN" w:eastAsia="zh-CN" w:bidi="zh-CN"/>
      </w:rPr>
    </w:lvl>
    <w:lvl w:ilvl="3" w:tentative="0">
      <w:start w:val="0"/>
      <w:numFmt w:val="bullet"/>
      <w:lvlText w:val="•"/>
      <w:lvlJc w:val="left"/>
      <w:pPr>
        <w:ind w:left="2827" w:hanging="318"/>
      </w:pPr>
      <w:rPr>
        <w:rFonts w:hint="default"/>
        <w:lang w:val="zh-CN" w:eastAsia="zh-CN" w:bidi="zh-CN"/>
      </w:rPr>
    </w:lvl>
    <w:lvl w:ilvl="4" w:tentative="0">
      <w:start w:val="0"/>
      <w:numFmt w:val="bullet"/>
      <w:lvlText w:val="•"/>
      <w:lvlJc w:val="left"/>
      <w:pPr>
        <w:ind w:left="3730" w:hanging="318"/>
      </w:pPr>
      <w:rPr>
        <w:rFonts w:hint="default"/>
        <w:lang w:val="zh-CN" w:eastAsia="zh-CN" w:bidi="zh-CN"/>
      </w:rPr>
    </w:lvl>
    <w:lvl w:ilvl="5" w:tentative="0">
      <w:start w:val="0"/>
      <w:numFmt w:val="bullet"/>
      <w:lvlText w:val="•"/>
      <w:lvlJc w:val="left"/>
      <w:pPr>
        <w:ind w:left="4633" w:hanging="318"/>
      </w:pPr>
      <w:rPr>
        <w:rFonts w:hint="default"/>
        <w:lang w:val="zh-CN" w:eastAsia="zh-CN" w:bidi="zh-CN"/>
      </w:rPr>
    </w:lvl>
    <w:lvl w:ilvl="6" w:tentative="0">
      <w:start w:val="0"/>
      <w:numFmt w:val="bullet"/>
      <w:lvlText w:val="•"/>
      <w:lvlJc w:val="left"/>
      <w:pPr>
        <w:ind w:left="5535" w:hanging="318"/>
      </w:pPr>
      <w:rPr>
        <w:rFonts w:hint="default"/>
        <w:lang w:val="zh-CN" w:eastAsia="zh-CN" w:bidi="zh-CN"/>
      </w:rPr>
    </w:lvl>
    <w:lvl w:ilvl="7" w:tentative="0">
      <w:start w:val="0"/>
      <w:numFmt w:val="bullet"/>
      <w:lvlText w:val="•"/>
      <w:lvlJc w:val="left"/>
      <w:pPr>
        <w:ind w:left="6438" w:hanging="318"/>
      </w:pPr>
      <w:rPr>
        <w:rFonts w:hint="default"/>
        <w:lang w:val="zh-CN" w:eastAsia="zh-CN" w:bidi="zh-CN"/>
      </w:rPr>
    </w:lvl>
    <w:lvl w:ilvl="8" w:tentative="0">
      <w:start w:val="0"/>
      <w:numFmt w:val="bullet"/>
      <w:lvlText w:val="•"/>
      <w:lvlJc w:val="left"/>
      <w:pPr>
        <w:ind w:left="7341" w:hanging="318"/>
      </w:pPr>
      <w:rPr>
        <w:rFonts w:hint="default"/>
        <w:lang w:val="zh-CN" w:eastAsia="zh-CN" w:bidi="zh-CN"/>
      </w:rPr>
    </w:lvl>
  </w:abstractNum>
  <w:abstractNum w:abstractNumId="3">
    <w:nsid w:val="9239341B"/>
    <w:multiLevelType w:val="multilevel"/>
    <w:tmpl w:val="9239341B"/>
    <w:lvl w:ilvl="0" w:tentative="0">
      <w:start w:val="1"/>
      <w:numFmt w:val="decimal"/>
      <w:lvlText w:val="%1"/>
      <w:lvlJc w:val="left"/>
      <w:pPr>
        <w:ind w:left="1070" w:hanging="528"/>
      </w:pPr>
      <w:rPr>
        <w:rFonts w:hint="default"/>
        <w:lang w:val="zh-CN" w:eastAsia="zh-CN" w:bidi="zh-CN"/>
      </w:rPr>
    </w:lvl>
    <w:lvl w:ilvl="1" w:tentative="0">
      <w:start w:val="10"/>
      <w:numFmt w:val="decimal"/>
      <w:lvlText w:val="%1.%2"/>
      <w:lvlJc w:val="left"/>
      <w:pPr>
        <w:ind w:left="1070" w:hanging="528"/>
      </w:pPr>
      <w:rPr>
        <w:rFonts w:hint="default" w:ascii="微软雅黑" w:hAnsi="微软雅黑" w:eastAsia="微软雅黑" w:cs="微软雅黑"/>
        <w:b/>
        <w:bCs/>
        <w:w w:val="94"/>
        <w:sz w:val="21"/>
        <w:szCs w:val="21"/>
        <w:lang w:val="zh-CN" w:eastAsia="zh-CN" w:bidi="zh-CN"/>
      </w:rPr>
    </w:lvl>
    <w:lvl w:ilvl="2" w:tentative="0">
      <w:start w:val="1"/>
      <w:numFmt w:val="decimal"/>
      <w:lvlText w:val="%1.%2.%3"/>
      <w:lvlJc w:val="left"/>
      <w:pPr>
        <w:ind w:left="1277" w:hanging="737"/>
      </w:pPr>
      <w:rPr>
        <w:rFonts w:hint="default" w:ascii="宋体" w:hAnsi="宋体" w:eastAsia="宋体" w:cs="宋体"/>
        <w:w w:val="100"/>
        <w:sz w:val="21"/>
        <w:szCs w:val="21"/>
        <w:lang w:val="zh-CN" w:eastAsia="zh-CN" w:bidi="zh-CN"/>
      </w:rPr>
    </w:lvl>
    <w:lvl w:ilvl="3" w:tentative="0">
      <w:start w:val="0"/>
      <w:numFmt w:val="bullet"/>
      <w:lvlText w:val="•"/>
      <w:lvlJc w:val="left"/>
      <w:pPr>
        <w:ind w:left="2263" w:hanging="737"/>
      </w:pPr>
      <w:rPr>
        <w:rFonts w:hint="default"/>
        <w:lang w:val="zh-CN" w:eastAsia="zh-CN" w:bidi="zh-CN"/>
      </w:rPr>
    </w:lvl>
    <w:lvl w:ilvl="4" w:tentative="0">
      <w:start w:val="0"/>
      <w:numFmt w:val="bullet"/>
      <w:lvlText w:val="•"/>
      <w:lvlJc w:val="left"/>
      <w:pPr>
        <w:ind w:left="3246" w:hanging="737"/>
      </w:pPr>
      <w:rPr>
        <w:rFonts w:hint="default"/>
        <w:lang w:val="zh-CN" w:eastAsia="zh-CN" w:bidi="zh-CN"/>
      </w:rPr>
    </w:lvl>
    <w:lvl w:ilvl="5" w:tentative="0">
      <w:start w:val="0"/>
      <w:numFmt w:val="bullet"/>
      <w:lvlText w:val="•"/>
      <w:lvlJc w:val="left"/>
      <w:pPr>
        <w:ind w:left="4229" w:hanging="737"/>
      </w:pPr>
      <w:rPr>
        <w:rFonts w:hint="default"/>
        <w:lang w:val="zh-CN" w:eastAsia="zh-CN" w:bidi="zh-CN"/>
      </w:rPr>
    </w:lvl>
    <w:lvl w:ilvl="6" w:tentative="0">
      <w:start w:val="0"/>
      <w:numFmt w:val="bullet"/>
      <w:lvlText w:val="•"/>
      <w:lvlJc w:val="left"/>
      <w:pPr>
        <w:ind w:left="5213" w:hanging="737"/>
      </w:pPr>
      <w:rPr>
        <w:rFonts w:hint="default"/>
        <w:lang w:val="zh-CN" w:eastAsia="zh-CN" w:bidi="zh-CN"/>
      </w:rPr>
    </w:lvl>
    <w:lvl w:ilvl="7" w:tentative="0">
      <w:start w:val="0"/>
      <w:numFmt w:val="bullet"/>
      <w:lvlText w:val="•"/>
      <w:lvlJc w:val="left"/>
      <w:pPr>
        <w:ind w:left="6196" w:hanging="737"/>
      </w:pPr>
      <w:rPr>
        <w:rFonts w:hint="default"/>
        <w:lang w:val="zh-CN" w:eastAsia="zh-CN" w:bidi="zh-CN"/>
      </w:rPr>
    </w:lvl>
    <w:lvl w:ilvl="8" w:tentative="0">
      <w:start w:val="0"/>
      <w:numFmt w:val="bullet"/>
      <w:lvlText w:val="•"/>
      <w:lvlJc w:val="left"/>
      <w:pPr>
        <w:ind w:left="7179" w:hanging="737"/>
      </w:pPr>
      <w:rPr>
        <w:rFonts w:hint="default"/>
        <w:lang w:val="zh-CN" w:eastAsia="zh-CN" w:bidi="zh-CN"/>
      </w:rPr>
    </w:lvl>
  </w:abstractNum>
  <w:abstractNum w:abstractNumId="4">
    <w:nsid w:val="9288B902"/>
    <w:multiLevelType w:val="multilevel"/>
    <w:tmpl w:val="9288B902"/>
    <w:lvl w:ilvl="0" w:tentative="0">
      <w:start w:val="1"/>
      <w:numFmt w:val="decimal"/>
      <w:lvlText w:val="（%1）"/>
      <w:lvlJc w:val="left"/>
      <w:pPr>
        <w:ind w:left="120"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22" w:hanging="529"/>
      </w:pPr>
      <w:rPr>
        <w:rFonts w:hint="default"/>
        <w:lang w:val="zh-CN" w:eastAsia="zh-CN" w:bidi="zh-CN"/>
      </w:rPr>
    </w:lvl>
    <w:lvl w:ilvl="2" w:tentative="0">
      <w:start w:val="0"/>
      <w:numFmt w:val="bullet"/>
      <w:lvlText w:val="•"/>
      <w:lvlJc w:val="left"/>
      <w:pPr>
        <w:ind w:left="1925" w:hanging="529"/>
      </w:pPr>
      <w:rPr>
        <w:rFonts w:hint="default"/>
        <w:lang w:val="zh-CN" w:eastAsia="zh-CN" w:bidi="zh-CN"/>
      </w:rPr>
    </w:lvl>
    <w:lvl w:ilvl="3" w:tentative="0">
      <w:start w:val="0"/>
      <w:numFmt w:val="bullet"/>
      <w:lvlText w:val="•"/>
      <w:lvlJc w:val="left"/>
      <w:pPr>
        <w:ind w:left="2827" w:hanging="529"/>
      </w:pPr>
      <w:rPr>
        <w:rFonts w:hint="default"/>
        <w:lang w:val="zh-CN" w:eastAsia="zh-CN" w:bidi="zh-CN"/>
      </w:rPr>
    </w:lvl>
    <w:lvl w:ilvl="4" w:tentative="0">
      <w:start w:val="0"/>
      <w:numFmt w:val="bullet"/>
      <w:lvlText w:val="•"/>
      <w:lvlJc w:val="left"/>
      <w:pPr>
        <w:ind w:left="3730" w:hanging="529"/>
      </w:pPr>
      <w:rPr>
        <w:rFonts w:hint="default"/>
        <w:lang w:val="zh-CN" w:eastAsia="zh-CN" w:bidi="zh-CN"/>
      </w:rPr>
    </w:lvl>
    <w:lvl w:ilvl="5" w:tentative="0">
      <w:start w:val="0"/>
      <w:numFmt w:val="bullet"/>
      <w:lvlText w:val="•"/>
      <w:lvlJc w:val="left"/>
      <w:pPr>
        <w:ind w:left="4633" w:hanging="529"/>
      </w:pPr>
      <w:rPr>
        <w:rFonts w:hint="default"/>
        <w:lang w:val="zh-CN" w:eastAsia="zh-CN" w:bidi="zh-CN"/>
      </w:rPr>
    </w:lvl>
    <w:lvl w:ilvl="6" w:tentative="0">
      <w:start w:val="0"/>
      <w:numFmt w:val="bullet"/>
      <w:lvlText w:val="•"/>
      <w:lvlJc w:val="left"/>
      <w:pPr>
        <w:ind w:left="5535" w:hanging="529"/>
      </w:pPr>
      <w:rPr>
        <w:rFonts w:hint="default"/>
        <w:lang w:val="zh-CN" w:eastAsia="zh-CN" w:bidi="zh-CN"/>
      </w:rPr>
    </w:lvl>
    <w:lvl w:ilvl="7" w:tentative="0">
      <w:start w:val="0"/>
      <w:numFmt w:val="bullet"/>
      <w:lvlText w:val="•"/>
      <w:lvlJc w:val="left"/>
      <w:pPr>
        <w:ind w:left="6438" w:hanging="529"/>
      </w:pPr>
      <w:rPr>
        <w:rFonts w:hint="default"/>
        <w:lang w:val="zh-CN" w:eastAsia="zh-CN" w:bidi="zh-CN"/>
      </w:rPr>
    </w:lvl>
    <w:lvl w:ilvl="8" w:tentative="0">
      <w:start w:val="0"/>
      <w:numFmt w:val="bullet"/>
      <w:lvlText w:val="•"/>
      <w:lvlJc w:val="left"/>
      <w:pPr>
        <w:ind w:left="7341" w:hanging="529"/>
      </w:pPr>
      <w:rPr>
        <w:rFonts w:hint="default"/>
        <w:lang w:val="zh-CN" w:eastAsia="zh-CN" w:bidi="zh-CN"/>
      </w:rPr>
    </w:lvl>
  </w:abstractNum>
  <w:abstractNum w:abstractNumId="5">
    <w:nsid w:val="9C8AC8EF"/>
    <w:multiLevelType w:val="multilevel"/>
    <w:tmpl w:val="9C8AC8EF"/>
    <w:lvl w:ilvl="0" w:tentative="0">
      <w:start w:val="8"/>
      <w:numFmt w:val="decimal"/>
      <w:lvlText w:val="%1"/>
      <w:lvlJc w:val="left"/>
      <w:pPr>
        <w:ind w:left="912" w:hanging="370"/>
      </w:pPr>
      <w:rPr>
        <w:rFonts w:hint="default"/>
        <w:lang w:val="zh-CN" w:eastAsia="zh-CN" w:bidi="zh-CN"/>
      </w:rPr>
    </w:lvl>
    <w:lvl w:ilvl="1" w:tentative="0">
      <w:start w:val="2"/>
      <w:numFmt w:val="decimal"/>
      <w:lvlText w:val="%1.%2"/>
      <w:lvlJc w:val="left"/>
      <w:pPr>
        <w:ind w:left="912" w:hanging="370"/>
      </w:pPr>
      <w:rPr>
        <w:rFonts w:hint="default" w:ascii="微软雅黑" w:hAnsi="微软雅黑" w:eastAsia="微软雅黑" w:cs="微软雅黑"/>
        <w:b/>
        <w:bCs/>
        <w:w w:val="99"/>
        <w:sz w:val="21"/>
        <w:szCs w:val="21"/>
        <w:lang w:val="zh-CN" w:eastAsia="zh-CN" w:bidi="zh-CN"/>
      </w:rPr>
    </w:lvl>
    <w:lvl w:ilvl="2" w:tentative="0">
      <w:start w:val="1"/>
      <w:numFmt w:val="decimal"/>
      <w:lvlText w:val="%1.%2.%3"/>
      <w:lvlJc w:val="left"/>
      <w:pPr>
        <w:ind w:left="1118" w:hanging="579"/>
      </w:pPr>
      <w:rPr>
        <w:rFonts w:hint="default" w:ascii="宋体" w:hAnsi="宋体" w:eastAsia="宋体" w:cs="宋体"/>
        <w:w w:val="100"/>
        <w:sz w:val="21"/>
        <w:szCs w:val="21"/>
        <w:lang w:val="zh-CN" w:eastAsia="zh-CN" w:bidi="zh-CN"/>
      </w:rPr>
    </w:lvl>
    <w:lvl w:ilvl="3" w:tentative="0">
      <w:start w:val="0"/>
      <w:numFmt w:val="bullet"/>
      <w:lvlText w:val="•"/>
      <w:lvlJc w:val="left"/>
      <w:pPr>
        <w:ind w:left="2175" w:hanging="579"/>
      </w:pPr>
      <w:rPr>
        <w:rFonts w:hint="default"/>
        <w:lang w:val="zh-CN" w:eastAsia="zh-CN" w:bidi="zh-CN"/>
      </w:rPr>
    </w:lvl>
    <w:lvl w:ilvl="4" w:tentative="0">
      <w:start w:val="0"/>
      <w:numFmt w:val="bullet"/>
      <w:lvlText w:val="•"/>
      <w:lvlJc w:val="left"/>
      <w:pPr>
        <w:ind w:left="3171" w:hanging="579"/>
      </w:pPr>
      <w:rPr>
        <w:rFonts w:hint="default"/>
        <w:lang w:val="zh-CN" w:eastAsia="zh-CN" w:bidi="zh-CN"/>
      </w:rPr>
    </w:lvl>
    <w:lvl w:ilvl="5" w:tentative="0">
      <w:start w:val="0"/>
      <w:numFmt w:val="bullet"/>
      <w:lvlText w:val="•"/>
      <w:lvlJc w:val="left"/>
      <w:pPr>
        <w:ind w:left="4167" w:hanging="579"/>
      </w:pPr>
      <w:rPr>
        <w:rFonts w:hint="default"/>
        <w:lang w:val="zh-CN" w:eastAsia="zh-CN" w:bidi="zh-CN"/>
      </w:rPr>
    </w:lvl>
    <w:lvl w:ilvl="6" w:tentative="0">
      <w:start w:val="0"/>
      <w:numFmt w:val="bullet"/>
      <w:lvlText w:val="•"/>
      <w:lvlJc w:val="left"/>
      <w:pPr>
        <w:ind w:left="5163" w:hanging="579"/>
      </w:pPr>
      <w:rPr>
        <w:rFonts w:hint="default"/>
        <w:lang w:val="zh-CN" w:eastAsia="zh-CN" w:bidi="zh-CN"/>
      </w:rPr>
    </w:lvl>
    <w:lvl w:ilvl="7" w:tentative="0">
      <w:start w:val="0"/>
      <w:numFmt w:val="bullet"/>
      <w:lvlText w:val="•"/>
      <w:lvlJc w:val="left"/>
      <w:pPr>
        <w:ind w:left="6159" w:hanging="579"/>
      </w:pPr>
      <w:rPr>
        <w:rFonts w:hint="default"/>
        <w:lang w:val="zh-CN" w:eastAsia="zh-CN" w:bidi="zh-CN"/>
      </w:rPr>
    </w:lvl>
    <w:lvl w:ilvl="8" w:tentative="0">
      <w:start w:val="0"/>
      <w:numFmt w:val="bullet"/>
      <w:lvlText w:val="•"/>
      <w:lvlJc w:val="left"/>
      <w:pPr>
        <w:ind w:left="7154" w:hanging="579"/>
      </w:pPr>
      <w:rPr>
        <w:rFonts w:hint="default"/>
        <w:lang w:val="zh-CN" w:eastAsia="zh-CN" w:bidi="zh-CN"/>
      </w:rPr>
    </w:lvl>
  </w:abstractNum>
  <w:abstractNum w:abstractNumId="6">
    <w:nsid w:val="9CC2012F"/>
    <w:multiLevelType w:val="singleLevel"/>
    <w:tmpl w:val="9CC2012F"/>
    <w:lvl w:ilvl="0" w:tentative="0">
      <w:start w:val="1"/>
      <w:numFmt w:val="decimal"/>
      <w:lvlText w:val="(%1)"/>
      <w:lvlJc w:val="left"/>
      <w:pPr>
        <w:ind w:left="425" w:hanging="425"/>
      </w:pPr>
      <w:rPr>
        <w:rFonts w:hint="default"/>
      </w:rPr>
    </w:lvl>
  </w:abstractNum>
  <w:abstractNum w:abstractNumId="7">
    <w:nsid w:val="ABB7FA5E"/>
    <w:multiLevelType w:val="singleLevel"/>
    <w:tmpl w:val="ABB7FA5E"/>
    <w:lvl w:ilvl="0" w:tentative="0">
      <w:start w:val="3"/>
      <w:numFmt w:val="decimal"/>
      <w:suff w:val="nothing"/>
      <w:lvlText w:val="%1、"/>
      <w:lvlJc w:val="left"/>
    </w:lvl>
  </w:abstractNum>
  <w:abstractNum w:abstractNumId="8">
    <w:nsid w:val="B0F1ACD9"/>
    <w:multiLevelType w:val="multilevel"/>
    <w:tmpl w:val="B0F1ACD9"/>
    <w:lvl w:ilvl="0" w:tentative="0">
      <w:start w:val="1"/>
      <w:numFmt w:val="decimal"/>
      <w:lvlText w:val="（%1）"/>
      <w:lvlJc w:val="left"/>
      <w:pPr>
        <w:ind w:left="120" w:hanging="529"/>
      </w:pPr>
      <w:rPr>
        <w:rFonts w:hint="default"/>
        <w:spacing w:val="-3"/>
        <w:w w:val="100"/>
        <w:sz w:val="19"/>
        <w:szCs w:val="19"/>
        <w:u w:val="single" w:color="000000"/>
        <w:lang w:val="zh-CN" w:eastAsia="zh-CN" w:bidi="zh-CN"/>
      </w:rPr>
    </w:lvl>
    <w:lvl w:ilvl="1" w:tentative="0">
      <w:start w:val="0"/>
      <w:numFmt w:val="bullet"/>
      <w:lvlText w:val="•"/>
      <w:lvlJc w:val="left"/>
      <w:pPr>
        <w:ind w:left="1022" w:hanging="529"/>
      </w:pPr>
      <w:rPr>
        <w:rFonts w:hint="default"/>
        <w:lang w:val="zh-CN" w:eastAsia="zh-CN" w:bidi="zh-CN"/>
      </w:rPr>
    </w:lvl>
    <w:lvl w:ilvl="2" w:tentative="0">
      <w:start w:val="0"/>
      <w:numFmt w:val="bullet"/>
      <w:lvlText w:val="•"/>
      <w:lvlJc w:val="left"/>
      <w:pPr>
        <w:ind w:left="1925" w:hanging="529"/>
      </w:pPr>
      <w:rPr>
        <w:rFonts w:hint="default"/>
        <w:lang w:val="zh-CN" w:eastAsia="zh-CN" w:bidi="zh-CN"/>
      </w:rPr>
    </w:lvl>
    <w:lvl w:ilvl="3" w:tentative="0">
      <w:start w:val="0"/>
      <w:numFmt w:val="bullet"/>
      <w:lvlText w:val="•"/>
      <w:lvlJc w:val="left"/>
      <w:pPr>
        <w:ind w:left="2827" w:hanging="529"/>
      </w:pPr>
      <w:rPr>
        <w:rFonts w:hint="default"/>
        <w:lang w:val="zh-CN" w:eastAsia="zh-CN" w:bidi="zh-CN"/>
      </w:rPr>
    </w:lvl>
    <w:lvl w:ilvl="4" w:tentative="0">
      <w:start w:val="0"/>
      <w:numFmt w:val="bullet"/>
      <w:lvlText w:val="•"/>
      <w:lvlJc w:val="left"/>
      <w:pPr>
        <w:ind w:left="3730" w:hanging="529"/>
      </w:pPr>
      <w:rPr>
        <w:rFonts w:hint="default"/>
        <w:lang w:val="zh-CN" w:eastAsia="zh-CN" w:bidi="zh-CN"/>
      </w:rPr>
    </w:lvl>
    <w:lvl w:ilvl="5" w:tentative="0">
      <w:start w:val="0"/>
      <w:numFmt w:val="bullet"/>
      <w:lvlText w:val="•"/>
      <w:lvlJc w:val="left"/>
      <w:pPr>
        <w:ind w:left="4633" w:hanging="529"/>
      </w:pPr>
      <w:rPr>
        <w:rFonts w:hint="default"/>
        <w:lang w:val="zh-CN" w:eastAsia="zh-CN" w:bidi="zh-CN"/>
      </w:rPr>
    </w:lvl>
    <w:lvl w:ilvl="6" w:tentative="0">
      <w:start w:val="0"/>
      <w:numFmt w:val="bullet"/>
      <w:lvlText w:val="•"/>
      <w:lvlJc w:val="left"/>
      <w:pPr>
        <w:ind w:left="5535" w:hanging="529"/>
      </w:pPr>
      <w:rPr>
        <w:rFonts w:hint="default"/>
        <w:lang w:val="zh-CN" w:eastAsia="zh-CN" w:bidi="zh-CN"/>
      </w:rPr>
    </w:lvl>
    <w:lvl w:ilvl="7" w:tentative="0">
      <w:start w:val="0"/>
      <w:numFmt w:val="bullet"/>
      <w:lvlText w:val="•"/>
      <w:lvlJc w:val="left"/>
      <w:pPr>
        <w:ind w:left="6438" w:hanging="529"/>
      </w:pPr>
      <w:rPr>
        <w:rFonts w:hint="default"/>
        <w:lang w:val="zh-CN" w:eastAsia="zh-CN" w:bidi="zh-CN"/>
      </w:rPr>
    </w:lvl>
    <w:lvl w:ilvl="8" w:tentative="0">
      <w:start w:val="0"/>
      <w:numFmt w:val="bullet"/>
      <w:lvlText w:val="•"/>
      <w:lvlJc w:val="left"/>
      <w:pPr>
        <w:ind w:left="7341" w:hanging="529"/>
      </w:pPr>
      <w:rPr>
        <w:rFonts w:hint="default"/>
        <w:lang w:val="zh-CN" w:eastAsia="zh-CN" w:bidi="zh-CN"/>
      </w:rPr>
    </w:lvl>
  </w:abstractNum>
  <w:abstractNum w:abstractNumId="9">
    <w:nsid w:val="BB8E0495"/>
    <w:multiLevelType w:val="singleLevel"/>
    <w:tmpl w:val="BB8E0495"/>
    <w:lvl w:ilvl="0" w:tentative="0">
      <w:start w:val="1"/>
      <w:numFmt w:val="decimal"/>
      <w:suff w:val="nothing"/>
      <w:lvlText w:val="%1、"/>
      <w:lvlJc w:val="left"/>
    </w:lvl>
  </w:abstractNum>
  <w:abstractNum w:abstractNumId="10">
    <w:nsid w:val="BE923771"/>
    <w:multiLevelType w:val="multilevel"/>
    <w:tmpl w:val="BE923771"/>
    <w:lvl w:ilvl="0" w:tentative="0">
      <w:start w:val="15"/>
      <w:numFmt w:val="decimal"/>
      <w:lvlText w:val="%1"/>
      <w:lvlJc w:val="left"/>
      <w:pPr>
        <w:ind w:left="1018" w:hanging="476"/>
      </w:pPr>
      <w:rPr>
        <w:rFonts w:hint="default"/>
        <w:lang w:val="zh-CN" w:eastAsia="zh-CN" w:bidi="zh-CN"/>
      </w:rPr>
    </w:lvl>
    <w:lvl w:ilvl="1" w:tentative="0">
      <w:start w:val="2"/>
      <w:numFmt w:val="decimal"/>
      <w:lvlText w:val="%1.%2"/>
      <w:lvlJc w:val="left"/>
      <w:pPr>
        <w:ind w:left="1018" w:hanging="476"/>
      </w:pPr>
      <w:rPr>
        <w:rFonts w:hint="default" w:ascii="微软雅黑" w:hAnsi="微软雅黑" w:eastAsia="微软雅黑" w:cs="微软雅黑"/>
        <w:b/>
        <w:bCs/>
        <w:w w:val="94"/>
        <w:sz w:val="21"/>
        <w:szCs w:val="21"/>
        <w:lang w:val="zh-CN" w:eastAsia="zh-CN" w:bidi="zh-CN"/>
      </w:rPr>
    </w:lvl>
    <w:lvl w:ilvl="2" w:tentative="0">
      <w:start w:val="1"/>
      <w:numFmt w:val="decimal"/>
      <w:lvlText w:val="%1.%2.%3"/>
      <w:lvlJc w:val="left"/>
      <w:pPr>
        <w:ind w:left="540" w:hanging="737"/>
      </w:pPr>
      <w:rPr>
        <w:rFonts w:hint="default" w:ascii="宋体" w:hAnsi="宋体" w:eastAsia="宋体" w:cs="宋体"/>
        <w:w w:val="100"/>
        <w:sz w:val="21"/>
        <w:szCs w:val="21"/>
        <w:lang w:val="zh-CN" w:eastAsia="zh-CN" w:bidi="zh-CN"/>
      </w:rPr>
    </w:lvl>
    <w:lvl w:ilvl="3" w:tentative="0">
      <w:start w:val="0"/>
      <w:numFmt w:val="bullet"/>
      <w:lvlText w:val="•"/>
      <w:lvlJc w:val="left"/>
      <w:pPr>
        <w:ind w:left="2263" w:hanging="737"/>
      </w:pPr>
      <w:rPr>
        <w:rFonts w:hint="default"/>
        <w:lang w:val="zh-CN" w:eastAsia="zh-CN" w:bidi="zh-CN"/>
      </w:rPr>
    </w:lvl>
    <w:lvl w:ilvl="4" w:tentative="0">
      <w:start w:val="0"/>
      <w:numFmt w:val="bullet"/>
      <w:lvlText w:val="•"/>
      <w:lvlJc w:val="left"/>
      <w:pPr>
        <w:ind w:left="3246" w:hanging="737"/>
      </w:pPr>
      <w:rPr>
        <w:rFonts w:hint="default"/>
        <w:lang w:val="zh-CN" w:eastAsia="zh-CN" w:bidi="zh-CN"/>
      </w:rPr>
    </w:lvl>
    <w:lvl w:ilvl="5" w:tentative="0">
      <w:start w:val="0"/>
      <w:numFmt w:val="bullet"/>
      <w:lvlText w:val="•"/>
      <w:lvlJc w:val="left"/>
      <w:pPr>
        <w:ind w:left="4229" w:hanging="737"/>
      </w:pPr>
      <w:rPr>
        <w:rFonts w:hint="default"/>
        <w:lang w:val="zh-CN" w:eastAsia="zh-CN" w:bidi="zh-CN"/>
      </w:rPr>
    </w:lvl>
    <w:lvl w:ilvl="6" w:tentative="0">
      <w:start w:val="0"/>
      <w:numFmt w:val="bullet"/>
      <w:lvlText w:val="•"/>
      <w:lvlJc w:val="left"/>
      <w:pPr>
        <w:ind w:left="5213" w:hanging="737"/>
      </w:pPr>
      <w:rPr>
        <w:rFonts w:hint="default"/>
        <w:lang w:val="zh-CN" w:eastAsia="zh-CN" w:bidi="zh-CN"/>
      </w:rPr>
    </w:lvl>
    <w:lvl w:ilvl="7" w:tentative="0">
      <w:start w:val="0"/>
      <w:numFmt w:val="bullet"/>
      <w:lvlText w:val="•"/>
      <w:lvlJc w:val="left"/>
      <w:pPr>
        <w:ind w:left="6196" w:hanging="737"/>
      </w:pPr>
      <w:rPr>
        <w:rFonts w:hint="default"/>
        <w:lang w:val="zh-CN" w:eastAsia="zh-CN" w:bidi="zh-CN"/>
      </w:rPr>
    </w:lvl>
    <w:lvl w:ilvl="8" w:tentative="0">
      <w:start w:val="0"/>
      <w:numFmt w:val="bullet"/>
      <w:lvlText w:val="•"/>
      <w:lvlJc w:val="left"/>
      <w:pPr>
        <w:ind w:left="7179" w:hanging="737"/>
      </w:pPr>
      <w:rPr>
        <w:rFonts w:hint="default"/>
        <w:lang w:val="zh-CN" w:eastAsia="zh-CN" w:bidi="zh-CN"/>
      </w:rPr>
    </w:lvl>
  </w:abstractNum>
  <w:abstractNum w:abstractNumId="11">
    <w:nsid w:val="BF205925"/>
    <w:multiLevelType w:val="multilevel"/>
    <w:tmpl w:val="BF205925"/>
    <w:lvl w:ilvl="0" w:tentative="0">
      <w:start w:val="1"/>
      <w:numFmt w:val="decimal"/>
      <w:lvlText w:val="（%1）"/>
      <w:lvlJc w:val="left"/>
      <w:pPr>
        <w:ind w:left="1069" w:hanging="529"/>
        <w:jc w:val="right"/>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808" w:hanging="529"/>
      </w:pPr>
      <w:rPr>
        <w:rFonts w:hint="default"/>
        <w:lang w:val="zh-CN" w:eastAsia="zh-CN" w:bidi="zh-CN"/>
      </w:rPr>
    </w:lvl>
    <w:lvl w:ilvl="2" w:tentative="0">
      <w:start w:val="0"/>
      <w:numFmt w:val="bullet"/>
      <w:lvlText w:val="•"/>
      <w:lvlJc w:val="left"/>
      <w:pPr>
        <w:ind w:left="2557" w:hanging="529"/>
      </w:pPr>
      <w:rPr>
        <w:rFonts w:hint="default"/>
        <w:lang w:val="zh-CN" w:eastAsia="zh-CN" w:bidi="zh-CN"/>
      </w:rPr>
    </w:lvl>
    <w:lvl w:ilvl="3" w:tentative="0">
      <w:start w:val="0"/>
      <w:numFmt w:val="bullet"/>
      <w:lvlText w:val="•"/>
      <w:lvlJc w:val="left"/>
      <w:pPr>
        <w:ind w:left="3305" w:hanging="529"/>
      </w:pPr>
      <w:rPr>
        <w:rFonts w:hint="default"/>
        <w:lang w:val="zh-CN" w:eastAsia="zh-CN" w:bidi="zh-CN"/>
      </w:rPr>
    </w:lvl>
    <w:lvl w:ilvl="4" w:tentative="0">
      <w:start w:val="0"/>
      <w:numFmt w:val="bullet"/>
      <w:lvlText w:val="•"/>
      <w:lvlJc w:val="left"/>
      <w:pPr>
        <w:ind w:left="4054" w:hanging="529"/>
      </w:pPr>
      <w:rPr>
        <w:rFonts w:hint="default"/>
        <w:lang w:val="zh-CN" w:eastAsia="zh-CN" w:bidi="zh-CN"/>
      </w:rPr>
    </w:lvl>
    <w:lvl w:ilvl="5" w:tentative="0">
      <w:start w:val="0"/>
      <w:numFmt w:val="bullet"/>
      <w:lvlText w:val="•"/>
      <w:lvlJc w:val="left"/>
      <w:pPr>
        <w:ind w:left="4803" w:hanging="529"/>
      </w:pPr>
      <w:rPr>
        <w:rFonts w:hint="default"/>
        <w:lang w:val="zh-CN" w:eastAsia="zh-CN" w:bidi="zh-CN"/>
      </w:rPr>
    </w:lvl>
    <w:lvl w:ilvl="6" w:tentative="0">
      <w:start w:val="0"/>
      <w:numFmt w:val="bullet"/>
      <w:lvlText w:val="•"/>
      <w:lvlJc w:val="left"/>
      <w:pPr>
        <w:ind w:left="5551" w:hanging="529"/>
      </w:pPr>
      <w:rPr>
        <w:rFonts w:hint="default"/>
        <w:lang w:val="zh-CN" w:eastAsia="zh-CN" w:bidi="zh-CN"/>
      </w:rPr>
    </w:lvl>
    <w:lvl w:ilvl="7" w:tentative="0">
      <w:start w:val="0"/>
      <w:numFmt w:val="bullet"/>
      <w:lvlText w:val="•"/>
      <w:lvlJc w:val="left"/>
      <w:pPr>
        <w:ind w:left="6300" w:hanging="529"/>
      </w:pPr>
      <w:rPr>
        <w:rFonts w:hint="default"/>
        <w:lang w:val="zh-CN" w:eastAsia="zh-CN" w:bidi="zh-CN"/>
      </w:rPr>
    </w:lvl>
    <w:lvl w:ilvl="8" w:tentative="0">
      <w:start w:val="0"/>
      <w:numFmt w:val="bullet"/>
      <w:lvlText w:val="•"/>
      <w:lvlJc w:val="left"/>
      <w:pPr>
        <w:ind w:left="7049" w:hanging="529"/>
      </w:pPr>
      <w:rPr>
        <w:rFonts w:hint="default"/>
        <w:lang w:val="zh-CN" w:eastAsia="zh-CN" w:bidi="zh-CN"/>
      </w:rPr>
    </w:lvl>
  </w:abstractNum>
  <w:abstractNum w:abstractNumId="12">
    <w:nsid w:val="C8879AEF"/>
    <w:multiLevelType w:val="multilevel"/>
    <w:tmpl w:val="C8879AEF"/>
    <w:lvl w:ilvl="0" w:tentative="0">
      <w:start w:val="2"/>
      <w:numFmt w:val="decimal"/>
      <w:lvlText w:val="%1"/>
      <w:lvlJc w:val="left"/>
      <w:pPr>
        <w:ind w:left="965" w:hanging="423"/>
      </w:pPr>
      <w:rPr>
        <w:rFonts w:hint="default"/>
        <w:lang w:val="zh-CN" w:eastAsia="zh-CN" w:bidi="zh-CN"/>
      </w:rPr>
    </w:lvl>
    <w:lvl w:ilvl="1" w:tentative="0">
      <w:start w:val="4"/>
      <w:numFmt w:val="decimal"/>
      <w:lvlText w:val="%1.%2"/>
      <w:lvlJc w:val="left"/>
      <w:pPr>
        <w:ind w:left="965" w:hanging="423"/>
      </w:pPr>
      <w:rPr>
        <w:rFonts w:hint="default" w:ascii="微软雅黑" w:hAnsi="微软雅黑" w:eastAsia="微软雅黑" w:cs="微软雅黑"/>
        <w:b/>
        <w:bCs/>
        <w:w w:val="99"/>
        <w:sz w:val="21"/>
        <w:szCs w:val="21"/>
        <w:lang w:val="zh-CN" w:eastAsia="zh-CN" w:bidi="zh-CN"/>
      </w:rPr>
    </w:lvl>
    <w:lvl w:ilvl="2" w:tentative="0">
      <w:start w:val="1"/>
      <w:numFmt w:val="decimal"/>
      <w:lvlText w:val="%1.%2.%3"/>
      <w:lvlJc w:val="left"/>
      <w:pPr>
        <w:ind w:left="1176" w:hanging="634"/>
      </w:pPr>
      <w:rPr>
        <w:rFonts w:hint="default" w:ascii="微软雅黑" w:hAnsi="微软雅黑" w:eastAsia="微软雅黑" w:cs="微软雅黑"/>
        <w:b/>
        <w:bCs/>
        <w:w w:val="103"/>
        <w:sz w:val="21"/>
        <w:szCs w:val="21"/>
        <w:lang w:val="zh-CN" w:eastAsia="zh-CN" w:bidi="zh-CN"/>
      </w:rPr>
    </w:lvl>
    <w:lvl w:ilvl="3" w:tentative="0">
      <w:start w:val="0"/>
      <w:numFmt w:val="bullet"/>
      <w:lvlText w:val="•"/>
      <w:lvlJc w:val="left"/>
      <w:pPr>
        <w:ind w:left="2950" w:hanging="634"/>
      </w:pPr>
      <w:rPr>
        <w:rFonts w:hint="default"/>
        <w:lang w:val="zh-CN" w:eastAsia="zh-CN" w:bidi="zh-CN"/>
      </w:rPr>
    </w:lvl>
    <w:lvl w:ilvl="4" w:tentative="0">
      <w:start w:val="0"/>
      <w:numFmt w:val="bullet"/>
      <w:lvlText w:val="•"/>
      <w:lvlJc w:val="left"/>
      <w:pPr>
        <w:ind w:left="3835" w:hanging="634"/>
      </w:pPr>
      <w:rPr>
        <w:rFonts w:hint="default"/>
        <w:lang w:val="zh-CN" w:eastAsia="zh-CN" w:bidi="zh-CN"/>
      </w:rPr>
    </w:lvl>
    <w:lvl w:ilvl="5" w:tentative="0">
      <w:start w:val="0"/>
      <w:numFmt w:val="bullet"/>
      <w:lvlText w:val="•"/>
      <w:lvlJc w:val="left"/>
      <w:pPr>
        <w:ind w:left="4720" w:hanging="634"/>
      </w:pPr>
      <w:rPr>
        <w:rFonts w:hint="default"/>
        <w:lang w:val="zh-CN" w:eastAsia="zh-CN" w:bidi="zh-CN"/>
      </w:rPr>
    </w:lvl>
    <w:lvl w:ilvl="6" w:tentative="0">
      <w:start w:val="0"/>
      <w:numFmt w:val="bullet"/>
      <w:lvlText w:val="•"/>
      <w:lvlJc w:val="left"/>
      <w:pPr>
        <w:ind w:left="5605" w:hanging="634"/>
      </w:pPr>
      <w:rPr>
        <w:rFonts w:hint="default"/>
        <w:lang w:val="zh-CN" w:eastAsia="zh-CN" w:bidi="zh-CN"/>
      </w:rPr>
    </w:lvl>
    <w:lvl w:ilvl="7" w:tentative="0">
      <w:start w:val="0"/>
      <w:numFmt w:val="bullet"/>
      <w:lvlText w:val="•"/>
      <w:lvlJc w:val="left"/>
      <w:pPr>
        <w:ind w:left="6490" w:hanging="634"/>
      </w:pPr>
      <w:rPr>
        <w:rFonts w:hint="default"/>
        <w:lang w:val="zh-CN" w:eastAsia="zh-CN" w:bidi="zh-CN"/>
      </w:rPr>
    </w:lvl>
    <w:lvl w:ilvl="8" w:tentative="0">
      <w:start w:val="0"/>
      <w:numFmt w:val="bullet"/>
      <w:lvlText w:val="•"/>
      <w:lvlJc w:val="left"/>
      <w:pPr>
        <w:ind w:left="7376" w:hanging="634"/>
      </w:pPr>
      <w:rPr>
        <w:rFonts w:hint="default"/>
        <w:lang w:val="zh-CN" w:eastAsia="zh-CN" w:bidi="zh-CN"/>
      </w:rPr>
    </w:lvl>
  </w:abstractNum>
  <w:abstractNum w:abstractNumId="13">
    <w:nsid w:val="D7F9FE59"/>
    <w:multiLevelType w:val="multilevel"/>
    <w:tmpl w:val="D7F9FE59"/>
    <w:lvl w:ilvl="0" w:tentative="0">
      <w:start w:val="1"/>
      <w:numFmt w:val="decimal"/>
      <w:lvlText w:val="（%1）"/>
      <w:lvlJc w:val="left"/>
      <w:pPr>
        <w:ind w:left="120"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22" w:hanging="529"/>
      </w:pPr>
      <w:rPr>
        <w:rFonts w:hint="default"/>
        <w:lang w:val="zh-CN" w:eastAsia="zh-CN" w:bidi="zh-CN"/>
      </w:rPr>
    </w:lvl>
    <w:lvl w:ilvl="2" w:tentative="0">
      <w:start w:val="0"/>
      <w:numFmt w:val="bullet"/>
      <w:lvlText w:val="•"/>
      <w:lvlJc w:val="left"/>
      <w:pPr>
        <w:ind w:left="1925" w:hanging="529"/>
      </w:pPr>
      <w:rPr>
        <w:rFonts w:hint="default"/>
        <w:lang w:val="zh-CN" w:eastAsia="zh-CN" w:bidi="zh-CN"/>
      </w:rPr>
    </w:lvl>
    <w:lvl w:ilvl="3" w:tentative="0">
      <w:start w:val="0"/>
      <w:numFmt w:val="bullet"/>
      <w:lvlText w:val="•"/>
      <w:lvlJc w:val="left"/>
      <w:pPr>
        <w:ind w:left="2827" w:hanging="529"/>
      </w:pPr>
      <w:rPr>
        <w:rFonts w:hint="default"/>
        <w:lang w:val="zh-CN" w:eastAsia="zh-CN" w:bidi="zh-CN"/>
      </w:rPr>
    </w:lvl>
    <w:lvl w:ilvl="4" w:tentative="0">
      <w:start w:val="0"/>
      <w:numFmt w:val="bullet"/>
      <w:lvlText w:val="•"/>
      <w:lvlJc w:val="left"/>
      <w:pPr>
        <w:ind w:left="3730" w:hanging="529"/>
      </w:pPr>
      <w:rPr>
        <w:rFonts w:hint="default"/>
        <w:lang w:val="zh-CN" w:eastAsia="zh-CN" w:bidi="zh-CN"/>
      </w:rPr>
    </w:lvl>
    <w:lvl w:ilvl="5" w:tentative="0">
      <w:start w:val="0"/>
      <w:numFmt w:val="bullet"/>
      <w:lvlText w:val="•"/>
      <w:lvlJc w:val="left"/>
      <w:pPr>
        <w:ind w:left="4633" w:hanging="529"/>
      </w:pPr>
      <w:rPr>
        <w:rFonts w:hint="default"/>
        <w:lang w:val="zh-CN" w:eastAsia="zh-CN" w:bidi="zh-CN"/>
      </w:rPr>
    </w:lvl>
    <w:lvl w:ilvl="6" w:tentative="0">
      <w:start w:val="0"/>
      <w:numFmt w:val="bullet"/>
      <w:lvlText w:val="•"/>
      <w:lvlJc w:val="left"/>
      <w:pPr>
        <w:ind w:left="5535" w:hanging="529"/>
      </w:pPr>
      <w:rPr>
        <w:rFonts w:hint="default"/>
        <w:lang w:val="zh-CN" w:eastAsia="zh-CN" w:bidi="zh-CN"/>
      </w:rPr>
    </w:lvl>
    <w:lvl w:ilvl="7" w:tentative="0">
      <w:start w:val="0"/>
      <w:numFmt w:val="bullet"/>
      <w:lvlText w:val="•"/>
      <w:lvlJc w:val="left"/>
      <w:pPr>
        <w:ind w:left="6438" w:hanging="529"/>
      </w:pPr>
      <w:rPr>
        <w:rFonts w:hint="default"/>
        <w:lang w:val="zh-CN" w:eastAsia="zh-CN" w:bidi="zh-CN"/>
      </w:rPr>
    </w:lvl>
    <w:lvl w:ilvl="8" w:tentative="0">
      <w:start w:val="0"/>
      <w:numFmt w:val="bullet"/>
      <w:lvlText w:val="•"/>
      <w:lvlJc w:val="left"/>
      <w:pPr>
        <w:ind w:left="7341" w:hanging="529"/>
      </w:pPr>
      <w:rPr>
        <w:rFonts w:hint="default"/>
        <w:lang w:val="zh-CN" w:eastAsia="zh-CN" w:bidi="zh-CN"/>
      </w:rPr>
    </w:lvl>
  </w:abstractNum>
  <w:abstractNum w:abstractNumId="14">
    <w:nsid w:val="D919F300"/>
    <w:multiLevelType w:val="singleLevel"/>
    <w:tmpl w:val="D919F300"/>
    <w:lvl w:ilvl="0" w:tentative="0">
      <w:start w:val="1"/>
      <w:numFmt w:val="lowerLetter"/>
      <w:suff w:val="nothing"/>
      <w:lvlText w:val="%1、"/>
      <w:lvlJc w:val="left"/>
      <w:pPr>
        <w:ind w:left="585" w:firstLine="0"/>
      </w:pPr>
    </w:lvl>
  </w:abstractNum>
  <w:abstractNum w:abstractNumId="15">
    <w:nsid w:val="DCBA6B53"/>
    <w:multiLevelType w:val="multilevel"/>
    <w:tmpl w:val="DCBA6B53"/>
    <w:lvl w:ilvl="0" w:tentative="0">
      <w:start w:val="3"/>
      <w:numFmt w:val="decimal"/>
      <w:lvlText w:val="%1"/>
      <w:lvlJc w:val="left"/>
      <w:pPr>
        <w:ind w:left="965" w:hanging="423"/>
      </w:pPr>
      <w:rPr>
        <w:rFonts w:hint="default"/>
        <w:lang w:val="zh-CN" w:eastAsia="zh-CN" w:bidi="zh-CN"/>
      </w:rPr>
    </w:lvl>
    <w:lvl w:ilvl="1" w:tentative="0">
      <w:start w:val="5"/>
      <w:numFmt w:val="decimal"/>
      <w:lvlText w:val="%1.%2"/>
      <w:lvlJc w:val="left"/>
      <w:pPr>
        <w:ind w:left="965" w:hanging="423"/>
      </w:pPr>
      <w:rPr>
        <w:rFonts w:hint="default" w:ascii="微软雅黑" w:hAnsi="微软雅黑" w:eastAsia="微软雅黑" w:cs="微软雅黑"/>
        <w:b/>
        <w:bCs/>
        <w:w w:val="99"/>
        <w:sz w:val="21"/>
        <w:szCs w:val="21"/>
        <w:lang w:val="zh-CN" w:eastAsia="zh-CN" w:bidi="zh-CN"/>
      </w:rPr>
    </w:lvl>
    <w:lvl w:ilvl="2" w:tentative="0">
      <w:start w:val="1"/>
      <w:numFmt w:val="decimal"/>
      <w:lvlText w:val="%1.%2.%3"/>
      <w:lvlJc w:val="left"/>
      <w:pPr>
        <w:ind w:left="1171" w:hanging="632"/>
      </w:pPr>
      <w:rPr>
        <w:rFonts w:hint="default" w:ascii="宋体" w:hAnsi="宋体" w:eastAsia="宋体" w:cs="宋体"/>
        <w:w w:val="100"/>
        <w:sz w:val="21"/>
        <w:szCs w:val="21"/>
        <w:lang w:val="zh-CN" w:eastAsia="zh-CN" w:bidi="zh-CN"/>
      </w:rPr>
    </w:lvl>
    <w:lvl w:ilvl="3" w:tentative="0">
      <w:start w:val="0"/>
      <w:numFmt w:val="bullet"/>
      <w:lvlText w:val="•"/>
      <w:lvlJc w:val="left"/>
      <w:pPr>
        <w:ind w:left="2950" w:hanging="632"/>
      </w:pPr>
      <w:rPr>
        <w:rFonts w:hint="default"/>
        <w:lang w:val="zh-CN" w:eastAsia="zh-CN" w:bidi="zh-CN"/>
      </w:rPr>
    </w:lvl>
    <w:lvl w:ilvl="4" w:tentative="0">
      <w:start w:val="0"/>
      <w:numFmt w:val="bullet"/>
      <w:lvlText w:val="•"/>
      <w:lvlJc w:val="left"/>
      <w:pPr>
        <w:ind w:left="3835" w:hanging="632"/>
      </w:pPr>
      <w:rPr>
        <w:rFonts w:hint="default"/>
        <w:lang w:val="zh-CN" w:eastAsia="zh-CN" w:bidi="zh-CN"/>
      </w:rPr>
    </w:lvl>
    <w:lvl w:ilvl="5" w:tentative="0">
      <w:start w:val="0"/>
      <w:numFmt w:val="bullet"/>
      <w:lvlText w:val="•"/>
      <w:lvlJc w:val="left"/>
      <w:pPr>
        <w:ind w:left="4720" w:hanging="632"/>
      </w:pPr>
      <w:rPr>
        <w:rFonts w:hint="default"/>
        <w:lang w:val="zh-CN" w:eastAsia="zh-CN" w:bidi="zh-CN"/>
      </w:rPr>
    </w:lvl>
    <w:lvl w:ilvl="6" w:tentative="0">
      <w:start w:val="0"/>
      <w:numFmt w:val="bullet"/>
      <w:lvlText w:val="•"/>
      <w:lvlJc w:val="left"/>
      <w:pPr>
        <w:ind w:left="5605" w:hanging="632"/>
      </w:pPr>
      <w:rPr>
        <w:rFonts w:hint="default"/>
        <w:lang w:val="zh-CN" w:eastAsia="zh-CN" w:bidi="zh-CN"/>
      </w:rPr>
    </w:lvl>
    <w:lvl w:ilvl="7" w:tentative="0">
      <w:start w:val="0"/>
      <w:numFmt w:val="bullet"/>
      <w:lvlText w:val="•"/>
      <w:lvlJc w:val="left"/>
      <w:pPr>
        <w:ind w:left="6490" w:hanging="632"/>
      </w:pPr>
      <w:rPr>
        <w:rFonts w:hint="default"/>
        <w:lang w:val="zh-CN" w:eastAsia="zh-CN" w:bidi="zh-CN"/>
      </w:rPr>
    </w:lvl>
    <w:lvl w:ilvl="8" w:tentative="0">
      <w:start w:val="0"/>
      <w:numFmt w:val="bullet"/>
      <w:lvlText w:val="•"/>
      <w:lvlJc w:val="left"/>
      <w:pPr>
        <w:ind w:left="7376" w:hanging="632"/>
      </w:pPr>
      <w:rPr>
        <w:rFonts w:hint="default"/>
        <w:lang w:val="zh-CN" w:eastAsia="zh-CN" w:bidi="zh-CN"/>
      </w:rPr>
    </w:lvl>
  </w:abstractNum>
  <w:abstractNum w:abstractNumId="16">
    <w:nsid w:val="E093A4B0"/>
    <w:multiLevelType w:val="multilevel"/>
    <w:tmpl w:val="E093A4B0"/>
    <w:lvl w:ilvl="0" w:tentative="0">
      <w:start w:val="21"/>
      <w:numFmt w:val="decimal"/>
      <w:lvlText w:val="%1"/>
      <w:lvlJc w:val="left"/>
      <w:pPr>
        <w:ind w:left="120" w:hanging="635"/>
      </w:pPr>
      <w:rPr>
        <w:rFonts w:hint="default"/>
        <w:lang w:val="zh-CN" w:eastAsia="zh-CN" w:bidi="zh-CN"/>
      </w:rPr>
    </w:lvl>
    <w:lvl w:ilvl="1" w:tentative="0">
      <w:start w:val="27"/>
      <w:numFmt w:val="decimal"/>
      <w:lvlText w:val="%1.%2."/>
      <w:lvlJc w:val="left"/>
      <w:pPr>
        <w:ind w:left="120" w:hanging="635"/>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1925" w:hanging="635"/>
      </w:pPr>
      <w:rPr>
        <w:rFonts w:hint="default"/>
        <w:lang w:val="zh-CN" w:eastAsia="zh-CN" w:bidi="zh-CN"/>
      </w:rPr>
    </w:lvl>
    <w:lvl w:ilvl="3" w:tentative="0">
      <w:start w:val="0"/>
      <w:numFmt w:val="bullet"/>
      <w:lvlText w:val="•"/>
      <w:lvlJc w:val="left"/>
      <w:pPr>
        <w:ind w:left="2827" w:hanging="635"/>
      </w:pPr>
      <w:rPr>
        <w:rFonts w:hint="default"/>
        <w:lang w:val="zh-CN" w:eastAsia="zh-CN" w:bidi="zh-CN"/>
      </w:rPr>
    </w:lvl>
    <w:lvl w:ilvl="4" w:tentative="0">
      <w:start w:val="0"/>
      <w:numFmt w:val="bullet"/>
      <w:lvlText w:val="•"/>
      <w:lvlJc w:val="left"/>
      <w:pPr>
        <w:ind w:left="3730" w:hanging="635"/>
      </w:pPr>
      <w:rPr>
        <w:rFonts w:hint="default"/>
        <w:lang w:val="zh-CN" w:eastAsia="zh-CN" w:bidi="zh-CN"/>
      </w:rPr>
    </w:lvl>
    <w:lvl w:ilvl="5" w:tentative="0">
      <w:start w:val="0"/>
      <w:numFmt w:val="bullet"/>
      <w:lvlText w:val="•"/>
      <w:lvlJc w:val="left"/>
      <w:pPr>
        <w:ind w:left="4633" w:hanging="635"/>
      </w:pPr>
      <w:rPr>
        <w:rFonts w:hint="default"/>
        <w:lang w:val="zh-CN" w:eastAsia="zh-CN" w:bidi="zh-CN"/>
      </w:rPr>
    </w:lvl>
    <w:lvl w:ilvl="6" w:tentative="0">
      <w:start w:val="0"/>
      <w:numFmt w:val="bullet"/>
      <w:lvlText w:val="•"/>
      <w:lvlJc w:val="left"/>
      <w:pPr>
        <w:ind w:left="5535" w:hanging="635"/>
      </w:pPr>
      <w:rPr>
        <w:rFonts w:hint="default"/>
        <w:lang w:val="zh-CN" w:eastAsia="zh-CN" w:bidi="zh-CN"/>
      </w:rPr>
    </w:lvl>
    <w:lvl w:ilvl="7" w:tentative="0">
      <w:start w:val="0"/>
      <w:numFmt w:val="bullet"/>
      <w:lvlText w:val="•"/>
      <w:lvlJc w:val="left"/>
      <w:pPr>
        <w:ind w:left="6438" w:hanging="635"/>
      </w:pPr>
      <w:rPr>
        <w:rFonts w:hint="default"/>
        <w:lang w:val="zh-CN" w:eastAsia="zh-CN" w:bidi="zh-CN"/>
      </w:rPr>
    </w:lvl>
    <w:lvl w:ilvl="8" w:tentative="0">
      <w:start w:val="0"/>
      <w:numFmt w:val="bullet"/>
      <w:lvlText w:val="•"/>
      <w:lvlJc w:val="left"/>
      <w:pPr>
        <w:ind w:left="7341" w:hanging="635"/>
      </w:pPr>
      <w:rPr>
        <w:rFonts w:hint="default"/>
        <w:lang w:val="zh-CN" w:eastAsia="zh-CN" w:bidi="zh-CN"/>
      </w:rPr>
    </w:lvl>
  </w:abstractNum>
  <w:abstractNum w:abstractNumId="17">
    <w:nsid w:val="E2BA94CE"/>
    <w:multiLevelType w:val="singleLevel"/>
    <w:tmpl w:val="E2BA94CE"/>
    <w:lvl w:ilvl="0" w:tentative="0">
      <w:start w:val="1"/>
      <w:numFmt w:val="upperLetter"/>
      <w:lvlText w:val="%1."/>
      <w:lvlJc w:val="left"/>
      <w:pPr>
        <w:ind w:left="425" w:hanging="425"/>
      </w:pPr>
      <w:rPr>
        <w:rFonts w:hint="default"/>
        <w:b/>
        <w:bCs/>
      </w:rPr>
    </w:lvl>
  </w:abstractNum>
  <w:abstractNum w:abstractNumId="18">
    <w:nsid w:val="F4B5D9F5"/>
    <w:multiLevelType w:val="multilevel"/>
    <w:tmpl w:val="F4B5D9F5"/>
    <w:lvl w:ilvl="0" w:tentative="0">
      <w:start w:val="3"/>
      <w:numFmt w:val="decimal"/>
      <w:lvlText w:val="%1"/>
      <w:lvlJc w:val="left"/>
      <w:pPr>
        <w:ind w:left="120" w:hanging="632"/>
      </w:pPr>
      <w:rPr>
        <w:rFonts w:hint="default"/>
        <w:lang w:val="zh-CN" w:eastAsia="zh-CN" w:bidi="zh-CN"/>
      </w:rPr>
    </w:lvl>
    <w:lvl w:ilvl="1" w:tentative="0">
      <w:start w:val="2"/>
      <w:numFmt w:val="decimal"/>
      <w:lvlText w:val="%1.%2"/>
      <w:lvlJc w:val="left"/>
      <w:pPr>
        <w:ind w:left="120" w:hanging="632"/>
      </w:pPr>
      <w:rPr>
        <w:rFonts w:hint="default"/>
        <w:lang w:val="zh-CN" w:eastAsia="zh-CN" w:bidi="zh-CN"/>
      </w:rPr>
    </w:lvl>
    <w:lvl w:ilvl="2" w:tentative="0">
      <w:start w:val="3"/>
      <w:numFmt w:val="decimal"/>
      <w:lvlText w:val="%1.%2.%3"/>
      <w:lvlJc w:val="left"/>
      <w:pPr>
        <w:ind w:left="120" w:hanging="632"/>
      </w:pPr>
      <w:rPr>
        <w:rFonts w:hint="default" w:ascii="宋体" w:hAnsi="宋体" w:eastAsia="宋体" w:cs="宋体"/>
        <w:w w:val="100"/>
        <w:sz w:val="21"/>
        <w:szCs w:val="21"/>
        <w:lang w:val="zh-CN" w:eastAsia="zh-CN" w:bidi="zh-CN"/>
      </w:rPr>
    </w:lvl>
    <w:lvl w:ilvl="3" w:tentative="0">
      <w:start w:val="0"/>
      <w:numFmt w:val="bullet"/>
      <w:lvlText w:val="•"/>
      <w:lvlJc w:val="left"/>
      <w:pPr>
        <w:ind w:left="2827" w:hanging="632"/>
      </w:pPr>
      <w:rPr>
        <w:rFonts w:hint="default"/>
        <w:lang w:val="zh-CN" w:eastAsia="zh-CN" w:bidi="zh-CN"/>
      </w:rPr>
    </w:lvl>
    <w:lvl w:ilvl="4" w:tentative="0">
      <w:start w:val="0"/>
      <w:numFmt w:val="bullet"/>
      <w:lvlText w:val="•"/>
      <w:lvlJc w:val="left"/>
      <w:pPr>
        <w:ind w:left="3730" w:hanging="632"/>
      </w:pPr>
      <w:rPr>
        <w:rFonts w:hint="default"/>
        <w:lang w:val="zh-CN" w:eastAsia="zh-CN" w:bidi="zh-CN"/>
      </w:rPr>
    </w:lvl>
    <w:lvl w:ilvl="5" w:tentative="0">
      <w:start w:val="0"/>
      <w:numFmt w:val="bullet"/>
      <w:lvlText w:val="•"/>
      <w:lvlJc w:val="left"/>
      <w:pPr>
        <w:ind w:left="4633" w:hanging="632"/>
      </w:pPr>
      <w:rPr>
        <w:rFonts w:hint="default"/>
        <w:lang w:val="zh-CN" w:eastAsia="zh-CN" w:bidi="zh-CN"/>
      </w:rPr>
    </w:lvl>
    <w:lvl w:ilvl="6" w:tentative="0">
      <w:start w:val="0"/>
      <w:numFmt w:val="bullet"/>
      <w:lvlText w:val="•"/>
      <w:lvlJc w:val="left"/>
      <w:pPr>
        <w:ind w:left="5535" w:hanging="632"/>
      </w:pPr>
      <w:rPr>
        <w:rFonts w:hint="default"/>
        <w:lang w:val="zh-CN" w:eastAsia="zh-CN" w:bidi="zh-CN"/>
      </w:rPr>
    </w:lvl>
    <w:lvl w:ilvl="7" w:tentative="0">
      <w:start w:val="0"/>
      <w:numFmt w:val="bullet"/>
      <w:lvlText w:val="•"/>
      <w:lvlJc w:val="left"/>
      <w:pPr>
        <w:ind w:left="6438" w:hanging="632"/>
      </w:pPr>
      <w:rPr>
        <w:rFonts w:hint="default"/>
        <w:lang w:val="zh-CN" w:eastAsia="zh-CN" w:bidi="zh-CN"/>
      </w:rPr>
    </w:lvl>
    <w:lvl w:ilvl="8" w:tentative="0">
      <w:start w:val="0"/>
      <w:numFmt w:val="bullet"/>
      <w:lvlText w:val="•"/>
      <w:lvlJc w:val="left"/>
      <w:pPr>
        <w:ind w:left="7341" w:hanging="632"/>
      </w:pPr>
      <w:rPr>
        <w:rFonts w:hint="default"/>
        <w:lang w:val="zh-CN" w:eastAsia="zh-CN" w:bidi="zh-CN"/>
      </w:rPr>
    </w:lvl>
  </w:abstractNum>
  <w:abstractNum w:abstractNumId="19">
    <w:nsid w:val="F7735DC9"/>
    <w:multiLevelType w:val="multilevel"/>
    <w:tmpl w:val="F7735DC9"/>
    <w:lvl w:ilvl="0" w:tentative="0">
      <w:start w:val="21"/>
      <w:numFmt w:val="decimal"/>
      <w:lvlText w:val="%1"/>
      <w:lvlJc w:val="left"/>
      <w:pPr>
        <w:ind w:left="120" w:hanging="635"/>
      </w:pPr>
      <w:rPr>
        <w:rFonts w:hint="default"/>
        <w:lang w:val="zh-CN" w:eastAsia="zh-CN" w:bidi="zh-CN"/>
      </w:rPr>
    </w:lvl>
    <w:lvl w:ilvl="1" w:tentative="0">
      <w:start w:val="15"/>
      <w:numFmt w:val="decimal"/>
      <w:lvlText w:val="%1.%2."/>
      <w:lvlJc w:val="left"/>
      <w:pPr>
        <w:ind w:left="120" w:hanging="635"/>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1925" w:hanging="635"/>
      </w:pPr>
      <w:rPr>
        <w:rFonts w:hint="default"/>
        <w:lang w:val="zh-CN" w:eastAsia="zh-CN" w:bidi="zh-CN"/>
      </w:rPr>
    </w:lvl>
    <w:lvl w:ilvl="3" w:tentative="0">
      <w:start w:val="0"/>
      <w:numFmt w:val="bullet"/>
      <w:lvlText w:val="•"/>
      <w:lvlJc w:val="left"/>
      <w:pPr>
        <w:ind w:left="2827" w:hanging="635"/>
      </w:pPr>
      <w:rPr>
        <w:rFonts w:hint="default"/>
        <w:lang w:val="zh-CN" w:eastAsia="zh-CN" w:bidi="zh-CN"/>
      </w:rPr>
    </w:lvl>
    <w:lvl w:ilvl="4" w:tentative="0">
      <w:start w:val="0"/>
      <w:numFmt w:val="bullet"/>
      <w:lvlText w:val="•"/>
      <w:lvlJc w:val="left"/>
      <w:pPr>
        <w:ind w:left="3730" w:hanging="635"/>
      </w:pPr>
      <w:rPr>
        <w:rFonts w:hint="default"/>
        <w:lang w:val="zh-CN" w:eastAsia="zh-CN" w:bidi="zh-CN"/>
      </w:rPr>
    </w:lvl>
    <w:lvl w:ilvl="5" w:tentative="0">
      <w:start w:val="0"/>
      <w:numFmt w:val="bullet"/>
      <w:lvlText w:val="•"/>
      <w:lvlJc w:val="left"/>
      <w:pPr>
        <w:ind w:left="4633" w:hanging="635"/>
      </w:pPr>
      <w:rPr>
        <w:rFonts w:hint="default"/>
        <w:lang w:val="zh-CN" w:eastAsia="zh-CN" w:bidi="zh-CN"/>
      </w:rPr>
    </w:lvl>
    <w:lvl w:ilvl="6" w:tentative="0">
      <w:start w:val="0"/>
      <w:numFmt w:val="bullet"/>
      <w:lvlText w:val="•"/>
      <w:lvlJc w:val="left"/>
      <w:pPr>
        <w:ind w:left="5535" w:hanging="635"/>
      </w:pPr>
      <w:rPr>
        <w:rFonts w:hint="default"/>
        <w:lang w:val="zh-CN" w:eastAsia="zh-CN" w:bidi="zh-CN"/>
      </w:rPr>
    </w:lvl>
    <w:lvl w:ilvl="7" w:tentative="0">
      <w:start w:val="0"/>
      <w:numFmt w:val="bullet"/>
      <w:lvlText w:val="•"/>
      <w:lvlJc w:val="left"/>
      <w:pPr>
        <w:ind w:left="6438" w:hanging="635"/>
      </w:pPr>
      <w:rPr>
        <w:rFonts w:hint="default"/>
        <w:lang w:val="zh-CN" w:eastAsia="zh-CN" w:bidi="zh-CN"/>
      </w:rPr>
    </w:lvl>
    <w:lvl w:ilvl="8" w:tentative="0">
      <w:start w:val="0"/>
      <w:numFmt w:val="bullet"/>
      <w:lvlText w:val="•"/>
      <w:lvlJc w:val="left"/>
      <w:pPr>
        <w:ind w:left="7341" w:hanging="635"/>
      </w:pPr>
      <w:rPr>
        <w:rFonts w:hint="default"/>
        <w:lang w:val="zh-CN" w:eastAsia="zh-CN" w:bidi="zh-CN"/>
      </w:rPr>
    </w:lvl>
  </w:abstractNum>
  <w:abstractNum w:abstractNumId="20">
    <w:nsid w:val="010C766E"/>
    <w:multiLevelType w:val="singleLevel"/>
    <w:tmpl w:val="010C766E"/>
    <w:lvl w:ilvl="0" w:tentative="0">
      <w:start w:val="1"/>
      <w:numFmt w:val="chineseCounting"/>
      <w:suff w:val="nothing"/>
      <w:lvlText w:val="%1、"/>
      <w:lvlJc w:val="left"/>
      <w:pPr>
        <w:ind w:left="0" w:firstLine="420"/>
      </w:pPr>
      <w:rPr>
        <w:rFonts w:hint="eastAsia"/>
      </w:rPr>
    </w:lvl>
  </w:abstractNum>
  <w:abstractNum w:abstractNumId="21">
    <w:nsid w:val="0248C179"/>
    <w:multiLevelType w:val="multilevel"/>
    <w:tmpl w:val="0248C179"/>
    <w:lvl w:ilvl="0" w:tentative="0">
      <w:start w:val="1"/>
      <w:numFmt w:val="decimal"/>
      <w:lvlText w:val="%1"/>
      <w:lvlJc w:val="left"/>
      <w:pPr>
        <w:ind w:left="1176" w:hanging="634"/>
      </w:pPr>
      <w:rPr>
        <w:rFonts w:hint="default"/>
        <w:lang w:val="zh-CN" w:eastAsia="zh-CN" w:bidi="zh-CN"/>
      </w:rPr>
    </w:lvl>
    <w:lvl w:ilvl="1" w:tentative="0">
      <w:start w:val="6"/>
      <w:numFmt w:val="decimal"/>
      <w:lvlText w:val="%1.%2"/>
      <w:lvlJc w:val="left"/>
      <w:pPr>
        <w:ind w:left="1176" w:hanging="634"/>
      </w:pPr>
      <w:rPr>
        <w:rFonts w:hint="default"/>
        <w:lang w:val="zh-CN" w:eastAsia="zh-CN" w:bidi="zh-CN"/>
      </w:rPr>
    </w:lvl>
    <w:lvl w:ilvl="2" w:tentative="0">
      <w:start w:val="4"/>
      <w:numFmt w:val="decimal"/>
      <w:lvlText w:val="%1.%2.%3"/>
      <w:lvlJc w:val="left"/>
      <w:pPr>
        <w:ind w:left="1176" w:hanging="634"/>
      </w:pPr>
      <w:rPr>
        <w:rFonts w:hint="default" w:ascii="微软雅黑" w:hAnsi="微软雅黑" w:eastAsia="微软雅黑" w:cs="微软雅黑"/>
        <w:b/>
        <w:bCs/>
        <w:w w:val="103"/>
        <w:sz w:val="21"/>
        <w:szCs w:val="21"/>
        <w:lang w:val="zh-CN" w:eastAsia="zh-CN" w:bidi="zh-CN"/>
      </w:rPr>
    </w:lvl>
    <w:lvl w:ilvl="3" w:tentative="0">
      <w:start w:val="0"/>
      <w:numFmt w:val="bullet"/>
      <w:lvlText w:val="•"/>
      <w:lvlJc w:val="left"/>
      <w:pPr>
        <w:ind w:left="3569" w:hanging="634"/>
      </w:pPr>
      <w:rPr>
        <w:rFonts w:hint="default"/>
        <w:lang w:val="zh-CN" w:eastAsia="zh-CN" w:bidi="zh-CN"/>
      </w:rPr>
    </w:lvl>
    <w:lvl w:ilvl="4" w:tentative="0">
      <w:start w:val="0"/>
      <w:numFmt w:val="bullet"/>
      <w:lvlText w:val="•"/>
      <w:lvlJc w:val="left"/>
      <w:pPr>
        <w:ind w:left="4366" w:hanging="634"/>
      </w:pPr>
      <w:rPr>
        <w:rFonts w:hint="default"/>
        <w:lang w:val="zh-CN" w:eastAsia="zh-CN" w:bidi="zh-CN"/>
      </w:rPr>
    </w:lvl>
    <w:lvl w:ilvl="5" w:tentative="0">
      <w:start w:val="0"/>
      <w:numFmt w:val="bullet"/>
      <w:lvlText w:val="•"/>
      <w:lvlJc w:val="left"/>
      <w:pPr>
        <w:ind w:left="5163" w:hanging="634"/>
      </w:pPr>
      <w:rPr>
        <w:rFonts w:hint="default"/>
        <w:lang w:val="zh-CN" w:eastAsia="zh-CN" w:bidi="zh-CN"/>
      </w:rPr>
    </w:lvl>
    <w:lvl w:ilvl="6" w:tentative="0">
      <w:start w:val="0"/>
      <w:numFmt w:val="bullet"/>
      <w:lvlText w:val="•"/>
      <w:lvlJc w:val="left"/>
      <w:pPr>
        <w:ind w:left="5959" w:hanging="634"/>
      </w:pPr>
      <w:rPr>
        <w:rFonts w:hint="default"/>
        <w:lang w:val="zh-CN" w:eastAsia="zh-CN" w:bidi="zh-CN"/>
      </w:rPr>
    </w:lvl>
    <w:lvl w:ilvl="7" w:tentative="0">
      <w:start w:val="0"/>
      <w:numFmt w:val="bullet"/>
      <w:lvlText w:val="•"/>
      <w:lvlJc w:val="left"/>
      <w:pPr>
        <w:ind w:left="6756" w:hanging="634"/>
      </w:pPr>
      <w:rPr>
        <w:rFonts w:hint="default"/>
        <w:lang w:val="zh-CN" w:eastAsia="zh-CN" w:bidi="zh-CN"/>
      </w:rPr>
    </w:lvl>
    <w:lvl w:ilvl="8" w:tentative="0">
      <w:start w:val="0"/>
      <w:numFmt w:val="bullet"/>
      <w:lvlText w:val="•"/>
      <w:lvlJc w:val="left"/>
      <w:pPr>
        <w:ind w:left="7553" w:hanging="634"/>
      </w:pPr>
      <w:rPr>
        <w:rFonts w:hint="default"/>
        <w:lang w:val="zh-CN" w:eastAsia="zh-CN" w:bidi="zh-CN"/>
      </w:rPr>
    </w:lvl>
  </w:abstractNum>
  <w:abstractNum w:abstractNumId="22">
    <w:nsid w:val="03D62ECE"/>
    <w:multiLevelType w:val="multilevel"/>
    <w:tmpl w:val="03D62ECE"/>
    <w:lvl w:ilvl="0" w:tentative="0">
      <w:start w:val="1"/>
      <w:numFmt w:val="decimal"/>
      <w:lvlText w:val="%1."/>
      <w:lvlJc w:val="left"/>
      <w:pPr>
        <w:ind w:left="437" w:hanging="317"/>
        <w:jc w:val="right"/>
      </w:pPr>
      <w:rPr>
        <w:rFonts w:hint="default" w:ascii="微软雅黑" w:hAnsi="微软雅黑" w:eastAsia="微软雅黑" w:cs="微软雅黑"/>
        <w:b/>
        <w:bCs/>
        <w:w w:val="111"/>
        <w:sz w:val="21"/>
        <w:szCs w:val="21"/>
        <w:lang w:val="zh-CN" w:eastAsia="zh-CN" w:bidi="zh-CN"/>
      </w:rPr>
    </w:lvl>
    <w:lvl w:ilvl="1" w:tentative="0">
      <w:start w:val="1"/>
      <w:numFmt w:val="decimal"/>
      <w:lvlText w:val="%1.%2"/>
      <w:lvlJc w:val="left"/>
      <w:pPr>
        <w:ind w:left="1070" w:hanging="528"/>
      </w:pPr>
      <w:rPr>
        <w:rFonts w:hint="default"/>
        <w:b/>
        <w:bCs/>
        <w:w w:val="94"/>
        <w:lang w:val="zh-CN" w:eastAsia="zh-CN" w:bidi="zh-CN"/>
      </w:rPr>
    </w:lvl>
    <w:lvl w:ilvl="2" w:tentative="0">
      <w:start w:val="1"/>
      <w:numFmt w:val="decimal"/>
      <w:lvlText w:val="%1.%2.%3"/>
      <w:lvlJc w:val="left"/>
      <w:pPr>
        <w:ind w:left="540" w:hanging="528"/>
      </w:pPr>
      <w:rPr>
        <w:rFonts w:hint="default"/>
        <w:w w:val="100"/>
        <w:lang w:val="zh-CN" w:eastAsia="zh-CN" w:bidi="zh-CN"/>
      </w:rPr>
    </w:lvl>
    <w:lvl w:ilvl="3" w:tentative="0">
      <w:start w:val="4"/>
      <w:numFmt w:val="decimal"/>
      <w:lvlText w:val="%1.%2.%3.%4"/>
      <w:lvlJc w:val="left"/>
      <w:pPr>
        <w:ind w:left="540" w:hanging="528"/>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960" w:hanging="528"/>
      </w:pPr>
      <w:rPr>
        <w:rFonts w:hint="default"/>
        <w:lang w:val="zh-CN" w:eastAsia="zh-CN" w:bidi="zh-CN"/>
      </w:rPr>
    </w:lvl>
    <w:lvl w:ilvl="5" w:tentative="0">
      <w:start w:val="0"/>
      <w:numFmt w:val="bullet"/>
      <w:lvlText w:val="•"/>
      <w:lvlJc w:val="left"/>
      <w:pPr>
        <w:ind w:left="1020" w:hanging="528"/>
      </w:pPr>
      <w:rPr>
        <w:rFonts w:hint="default"/>
        <w:lang w:val="zh-CN" w:eastAsia="zh-CN" w:bidi="zh-CN"/>
      </w:rPr>
    </w:lvl>
    <w:lvl w:ilvl="6" w:tentative="0">
      <w:start w:val="0"/>
      <w:numFmt w:val="bullet"/>
      <w:lvlText w:val="•"/>
      <w:lvlJc w:val="left"/>
      <w:pPr>
        <w:ind w:left="1060" w:hanging="528"/>
      </w:pPr>
      <w:rPr>
        <w:rFonts w:hint="default"/>
        <w:lang w:val="zh-CN" w:eastAsia="zh-CN" w:bidi="zh-CN"/>
      </w:rPr>
    </w:lvl>
    <w:lvl w:ilvl="7" w:tentative="0">
      <w:start w:val="0"/>
      <w:numFmt w:val="bullet"/>
      <w:lvlText w:val="•"/>
      <w:lvlJc w:val="left"/>
      <w:pPr>
        <w:ind w:left="1080" w:hanging="528"/>
      </w:pPr>
      <w:rPr>
        <w:rFonts w:hint="default"/>
        <w:lang w:val="zh-CN" w:eastAsia="zh-CN" w:bidi="zh-CN"/>
      </w:rPr>
    </w:lvl>
    <w:lvl w:ilvl="8" w:tentative="0">
      <w:start w:val="0"/>
      <w:numFmt w:val="bullet"/>
      <w:lvlText w:val="•"/>
      <w:lvlJc w:val="left"/>
      <w:pPr>
        <w:ind w:left="1120" w:hanging="528"/>
      </w:pPr>
      <w:rPr>
        <w:rFonts w:hint="default"/>
        <w:lang w:val="zh-CN" w:eastAsia="zh-CN" w:bidi="zh-CN"/>
      </w:rPr>
    </w:lvl>
  </w:abstractNum>
  <w:abstractNum w:abstractNumId="23">
    <w:nsid w:val="04CCEECF"/>
    <w:multiLevelType w:val="singleLevel"/>
    <w:tmpl w:val="04CCEECF"/>
    <w:lvl w:ilvl="0" w:tentative="0">
      <w:start w:val="1"/>
      <w:numFmt w:val="upperLetter"/>
      <w:lvlText w:val="%1."/>
      <w:lvlJc w:val="left"/>
      <w:pPr>
        <w:ind w:left="425" w:hanging="425"/>
      </w:pPr>
      <w:rPr>
        <w:rFonts w:hint="default"/>
      </w:rPr>
    </w:lvl>
  </w:abstractNum>
  <w:abstractNum w:abstractNumId="24">
    <w:nsid w:val="06657EA5"/>
    <w:multiLevelType w:val="multilevel"/>
    <w:tmpl w:val="06657EA5"/>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079604CC"/>
    <w:multiLevelType w:val="singleLevel"/>
    <w:tmpl w:val="079604CC"/>
    <w:lvl w:ilvl="0" w:tentative="0">
      <w:start w:val="1"/>
      <w:numFmt w:val="upperLetter"/>
      <w:lvlText w:val="%1."/>
      <w:lvlJc w:val="left"/>
      <w:pPr>
        <w:ind w:left="425" w:hanging="425"/>
      </w:pPr>
      <w:rPr>
        <w:rFonts w:hint="default"/>
      </w:rPr>
    </w:lvl>
  </w:abstractNum>
  <w:abstractNum w:abstractNumId="26">
    <w:nsid w:val="0E640482"/>
    <w:multiLevelType w:val="multilevel"/>
    <w:tmpl w:val="0E640482"/>
    <w:lvl w:ilvl="0" w:tentative="0">
      <w:start w:val="1"/>
      <w:numFmt w:val="decimal"/>
      <w:lvlText w:val="（%1）"/>
      <w:lvlJc w:val="left"/>
      <w:pPr>
        <w:ind w:left="106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868" w:hanging="529"/>
      </w:pPr>
      <w:rPr>
        <w:rFonts w:hint="default"/>
        <w:lang w:val="zh-CN" w:eastAsia="zh-CN" w:bidi="zh-CN"/>
      </w:rPr>
    </w:lvl>
    <w:lvl w:ilvl="2" w:tentative="0">
      <w:start w:val="0"/>
      <w:numFmt w:val="bullet"/>
      <w:lvlText w:val="•"/>
      <w:lvlJc w:val="left"/>
      <w:pPr>
        <w:ind w:left="2677" w:hanging="529"/>
      </w:pPr>
      <w:rPr>
        <w:rFonts w:hint="default"/>
        <w:lang w:val="zh-CN" w:eastAsia="zh-CN" w:bidi="zh-CN"/>
      </w:rPr>
    </w:lvl>
    <w:lvl w:ilvl="3" w:tentative="0">
      <w:start w:val="0"/>
      <w:numFmt w:val="bullet"/>
      <w:lvlText w:val="•"/>
      <w:lvlJc w:val="left"/>
      <w:pPr>
        <w:ind w:left="3485" w:hanging="529"/>
      </w:pPr>
      <w:rPr>
        <w:rFonts w:hint="default"/>
        <w:lang w:val="zh-CN" w:eastAsia="zh-CN" w:bidi="zh-CN"/>
      </w:rPr>
    </w:lvl>
    <w:lvl w:ilvl="4" w:tentative="0">
      <w:start w:val="0"/>
      <w:numFmt w:val="bullet"/>
      <w:lvlText w:val="•"/>
      <w:lvlJc w:val="left"/>
      <w:pPr>
        <w:ind w:left="4294" w:hanging="529"/>
      </w:pPr>
      <w:rPr>
        <w:rFonts w:hint="default"/>
        <w:lang w:val="zh-CN" w:eastAsia="zh-CN" w:bidi="zh-CN"/>
      </w:rPr>
    </w:lvl>
    <w:lvl w:ilvl="5" w:tentative="0">
      <w:start w:val="0"/>
      <w:numFmt w:val="bullet"/>
      <w:lvlText w:val="•"/>
      <w:lvlJc w:val="left"/>
      <w:pPr>
        <w:ind w:left="5103" w:hanging="529"/>
      </w:pPr>
      <w:rPr>
        <w:rFonts w:hint="default"/>
        <w:lang w:val="zh-CN" w:eastAsia="zh-CN" w:bidi="zh-CN"/>
      </w:rPr>
    </w:lvl>
    <w:lvl w:ilvl="6" w:tentative="0">
      <w:start w:val="0"/>
      <w:numFmt w:val="bullet"/>
      <w:lvlText w:val="•"/>
      <w:lvlJc w:val="left"/>
      <w:pPr>
        <w:ind w:left="5911" w:hanging="529"/>
      </w:pPr>
      <w:rPr>
        <w:rFonts w:hint="default"/>
        <w:lang w:val="zh-CN" w:eastAsia="zh-CN" w:bidi="zh-CN"/>
      </w:rPr>
    </w:lvl>
    <w:lvl w:ilvl="7" w:tentative="0">
      <w:start w:val="0"/>
      <w:numFmt w:val="bullet"/>
      <w:lvlText w:val="•"/>
      <w:lvlJc w:val="left"/>
      <w:pPr>
        <w:ind w:left="6720" w:hanging="529"/>
      </w:pPr>
      <w:rPr>
        <w:rFonts w:hint="default"/>
        <w:lang w:val="zh-CN" w:eastAsia="zh-CN" w:bidi="zh-CN"/>
      </w:rPr>
    </w:lvl>
    <w:lvl w:ilvl="8" w:tentative="0">
      <w:start w:val="0"/>
      <w:numFmt w:val="bullet"/>
      <w:lvlText w:val="•"/>
      <w:lvlJc w:val="left"/>
      <w:pPr>
        <w:ind w:left="7529" w:hanging="529"/>
      </w:pPr>
      <w:rPr>
        <w:rFonts w:hint="default"/>
        <w:lang w:val="zh-CN" w:eastAsia="zh-CN" w:bidi="zh-CN"/>
      </w:rPr>
    </w:lvl>
  </w:abstractNum>
  <w:abstractNum w:abstractNumId="27">
    <w:nsid w:val="15682476"/>
    <w:multiLevelType w:val="singleLevel"/>
    <w:tmpl w:val="15682476"/>
    <w:lvl w:ilvl="0" w:tentative="0">
      <w:start w:val="1"/>
      <w:numFmt w:val="upperLetter"/>
      <w:lvlText w:val="%1."/>
      <w:lvlJc w:val="left"/>
      <w:pPr>
        <w:ind w:left="425" w:hanging="425"/>
      </w:pPr>
      <w:rPr>
        <w:rFonts w:hint="default" w:ascii="宋体" w:hAnsi="宋体" w:eastAsia="宋体" w:cs="宋体"/>
      </w:rPr>
    </w:lvl>
  </w:abstractNum>
  <w:abstractNum w:abstractNumId="28">
    <w:nsid w:val="19DBC5F6"/>
    <w:multiLevelType w:val="singleLevel"/>
    <w:tmpl w:val="19DBC5F6"/>
    <w:lvl w:ilvl="0" w:tentative="0">
      <w:start w:val="3"/>
      <w:numFmt w:val="decimal"/>
      <w:suff w:val="nothing"/>
      <w:lvlText w:val="（%1）"/>
      <w:lvlJc w:val="left"/>
    </w:lvl>
  </w:abstractNum>
  <w:abstractNum w:abstractNumId="29">
    <w:nsid w:val="243FCF68"/>
    <w:multiLevelType w:val="multilevel"/>
    <w:tmpl w:val="243FCF68"/>
    <w:lvl w:ilvl="0" w:tentative="0">
      <w:start w:val="21"/>
      <w:numFmt w:val="decimal"/>
      <w:lvlText w:val="%1"/>
      <w:lvlJc w:val="left"/>
      <w:pPr>
        <w:ind w:left="120" w:hanging="473"/>
      </w:pPr>
      <w:rPr>
        <w:rFonts w:hint="default"/>
        <w:lang w:val="zh-CN" w:eastAsia="zh-CN" w:bidi="zh-CN"/>
      </w:rPr>
    </w:lvl>
    <w:lvl w:ilvl="1" w:tentative="0">
      <w:start w:val="3"/>
      <w:numFmt w:val="decimal"/>
      <w:lvlText w:val="%1.%2"/>
      <w:lvlJc w:val="left"/>
      <w:pPr>
        <w:ind w:left="120" w:hanging="473"/>
      </w:pPr>
      <w:rPr>
        <w:rFonts w:hint="default" w:ascii="宋体" w:hAnsi="宋体" w:eastAsia="宋体" w:cs="宋体"/>
        <w:w w:val="100"/>
        <w:sz w:val="21"/>
        <w:szCs w:val="21"/>
        <w:lang w:val="zh-CN" w:eastAsia="zh-CN" w:bidi="zh-CN"/>
      </w:rPr>
    </w:lvl>
    <w:lvl w:ilvl="2" w:tentative="0">
      <w:start w:val="0"/>
      <w:numFmt w:val="bullet"/>
      <w:lvlText w:val="•"/>
      <w:lvlJc w:val="left"/>
      <w:pPr>
        <w:ind w:left="1925" w:hanging="473"/>
      </w:pPr>
      <w:rPr>
        <w:rFonts w:hint="default"/>
        <w:lang w:val="zh-CN" w:eastAsia="zh-CN" w:bidi="zh-CN"/>
      </w:rPr>
    </w:lvl>
    <w:lvl w:ilvl="3" w:tentative="0">
      <w:start w:val="0"/>
      <w:numFmt w:val="bullet"/>
      <w:lvlText w:val="•"/>
      <w:lvlJc w:val="left"/>
      <w:pPr>
        <w:ind w:left="2827" w:hanging="473"/>
      </w:pPr>
      <w:rPr>
        <w:rFonts w:hint="default"/>
        <w:lang w:val="zh-CN" w:eastAsia="zh-CN" w:bidi="zh-CN"/>
      </w:rPr>
    </w:lvl>
    <w:lvl w:ilvl="4" w:tentative="0">
      <w:start w:val="0"/>
      <w:numFmt w:val="bullet"/>
      <w:lvlText w:val="•"/>
      <w:lvlJc w:val="left"/>
      <w:pPr>
        <w:ind w:left="3730" w:hanging="473"/>
      </w:pPr>
      <w:rPr>
        <w:rFonts w:hint="default"/>
        <w:lang w:val="zh-CN" w:eastAsia="zh-CN" w:bidi="zh-CN"/>
      </w:rPr>
    </w:lvl>
    <w:lvl w:ilvl="5" w:tentative="0">
      <w:start w:val="0"/>
      <w:numFmt w:val="bullet"/>
      <w:lvlText w:val="•"/>
      <w:lvlJc w:val="left"/>
      <w:pPr>
        <w:ind w:left="4633" w:hanging="473"/>
      </w:pPr>
      <w:rPr>
        <w:rFonts w:hint="default"/>
        <w:lang w:val="zh-CN" w:eastAsia="zh-CN" w:bidi="zh-CN"/>
      </w:rPr>
    </w:lvl>
    <w:lvl w:ilvl="6" w:tentative="0">
      <w:start w:val="0"/>
      <w:numFmt w:val="bullet"/>
      <w:lvlText w:val="•"/>
      <w:lvlJc w:val="left"/>
      <w:pPr>
        <w:ind w:left="5535" w:hanging="473"/>
      </w:pPr>
      <w:rPr>
        <w:rFonts w:hint="default"/>
        <w:lang w:val="zh-CN" w:eastAsia="zh-CN" w:bidi="zh-CN"/>
      </w:rPr>
    </w:lvl>
    <w:lvl w:ilvl="7" w:tentative="0">
      <w:start w:val="0"/>
      <w:numFmt w:val="bullet"/>
      <w:lvlText w:val="•"/>
      <w:lvlJc w:val="left"/>
      <w:pPr>
        <w:ind w:left="6438" w:hanging="473"/>
      </w:pPr>
      <w:rPr>
        <w:rFonts w:hint="default"/>
        <w:lang w:val="zh-CN" w:eastAsia="zh-CN" w:bidi="zh-CN"/>
      </w:rPr>
    </w:lvl>
    <w:lvl w:ilvl="8" w:tentative="0">
      <w:start w:val="0"/>
      <w:numFmt w:val="bullet"/>
      <w:lvlText w:val="•"/>
      <w:lvlJc w:val="left"/>
      <w:pPr>
        <w:ind w:left="7341" w:hanging="473"/>
      </w:pPr>
      <w:rPr>
        <w:rFonts w:hint="default"/>
        <w:lang w:val="zh-CN" w:eastAsia="zh-CN" w:bidi="zh-CN"/>
      </w:rPr>
    </w:lvl>
  </w:abstractNum>
  <w:abstractNum w:abstractNumId="30">
    <w:nsid w:val="2470EC97"/>
    <w:multiLevelType w:val="multilevel"/>
    <w:tmpl w:val="2470EC97"/>
    <w:lvl w:ilvl="0" w:tentative="0">
      <w:start w:val="3"/>
      <w:numFmt w:val="decimal"/>
      <w:lvlText w:val="%1"/>
      <w:lvlJc w:val="left"/>
      <w:pPr>
        <w:ind w:left="120" w:hanging="632"/>
      </w:pPr>
      <w:rPr>
        <w:rFonts w:hint="default"/>
        <w:lang w:val="zh-CN" w:eastAsia="zh-CN" w:bidi="zh-CN"/>
      </w:rPr>
    </w:lvl>
    <w:lvl w:ilvl="1" w:tentative="0">
      <w:start w:val="3"/>
      <w:numFmt w:val="decimal"/>
      <w:lvlText w:val="%1.%2"/>
      <w:lvlJc w:val="left"/>
      <w:pPr>
        <w:ind w:left="120" w:hanging="632"/>
      </w:pPr>
      <w:rPr>
        <w:rFonts w:hint="default"/>
        <w:lang w:val="zh-CN" w:eastAsia="zh-CN" w:bidi="zh-CN"/>
      </w:rPr>
    </w:lvl>
    <w:lvl w:ilvl="2" w:tentative="0">
      <w:start w:val="3"/>
      <w:numFmt w:val="decimal"/>
      <w:lvlText w:val="%1.%2.%3"/>
      <w:lvlJc w:val="left"/>
      <w:pPr>
        <w:ind w:left="120" w:hanging="632"/>
      </w:pPr>
      <w:rPr>
        <w:rFonts w:hint="default" w:ascii="宋体" w:hAnsi="宋体" w:eastAsia="宋体" w:cs="宋体"/>
        <w:w w:val="100"/>
        <w:sz w:val="21"/>
        <w:szCs w:val="21"/>
        <w:lang w:val="zh-CN" w:eastAsia="zh-CN" w:bidi="zh-CN"/>
      </w:rPr>
    </w:lvl>
    <w:lvl w:ilvl="3" w:tentative="0">
      <w:start w:val="0"/>
      <w:numFmt w:val="bullet"/>
      <w:lvlText w:val="•"/>
      <w:lvlJc w:val="left"/>
      <w:pPr>
        <w:ind w:left="2827" w:hanging="632"/>
      </w:pPr>
      <w:rPr>
        <w:rFonts w:hint="default"/>
        <w:lang w:val="zh-CN" w:eastAsia="zh-CN" w:bidi="zh-CN"/>
      </w:rPr>
    </w:lvl>
    <w:lvl w:ilvl="4" w:tentative="0">
      <w:start w:val="0"/>
      <w:numFmt w:val="bullet"/>
      <w:lvlText w:val="•"/>
      <w:lvlJc w:val="left"/>
      <w:pPr>
        <w:ind w:left="3730" w:hanging="632"/>
      </w:pPr>
      <w:rPr>
        <w:rFonts w:hint="default"/>
        <w:lang w:val="zh-CN" w:eastAsia="zh-CN" w:bidi="zh-CN"/>
      </w:rPr>
    </w:lvl>
    <w:lvl w:ilvl="5" w:tentative="0">
      <w:start w:val="0"/>
      <w:numFmt w:val="bullet"/>
      <w:lvlText w:val="•"/>
      <w:lvlJc w:val="left"/>
      <w:pPr>
        <w:ind w:left="4633" w:hanging="632"/>
      </w:pPr>
      <w:rPr>
        <w:rFonts w:hint="default"/>
        <w:lang w:val="zh-CN" w:eastAsia="zh-CN" w:bidi="zh-CN"/>
      </w:rPr>
    </w:lvl>
    <w:lvl w:ilvl="6" w:tentative="0">
      <w:start w:val="0"/>
      <w:numFmt w:val="bullet"/>
      <w:lvlText w:val="•"/>
      <w:lvlJc w:val="left"/>
      <w:pPr>
        <w:ind w:left="5535" w:hanging="632"/>
      </w:pPr>
      <w:rPr>
        <w:rFonts w:hint="default"/>
        <w:lang w:val="zh-CN" w:eastAsia="zh-CN" w:bidi="zh-CN"/>
      </w:rPr>
    </w:lvl>
    <w:lvl w:ilvl="7" w:tentative="0">
      <w:start w:val="0"/>
      <w:numFmt w:val="bullet"/>
      <w:lvlText w:val="•"/>
      <w:lvlJc w:val="left"/>
      <w:pPr>
        <w:ind w:left="6438" w:hanging="632"/>
      </w:pPr>
      <w:rPr>
        <w:rFonts w:hint="default"/>
        <w:lang w:val="zh-CN" w:eastAsia="zh-CN" w:bidi="zh-CN"/>
      </w:rPr>
    </w:lvl>
    <w:lvl w:ilvl="8" w:tentative="0">
      <w:start w:val="0"/>
      <w:numFmt w:val="bullet"/>
      <w:lvlText w:val="•"/>
      <w:lvlJc w:val="left"/>
      <w:pPr>
        <w:ind w:left="7341" w:hanging="632"/>
      </w:pPr>
      <w:rPr>
        <w:rFonts w:hint="default"/>
        <w:lang w:val="zh-CN" w:eastAsia="zh-CN" w:bidi="zh-CN"/>
      </w:rPr>
    </w:lvl>
  </w:abstractNum>
  <w:abstractNum w:abstractNumId="31">
    <w:nsid w:val="25B654F3"/>
    <w:multiLevelType w:val="multilevel"/>
    <w:tmpl w:val="25B654F3"/>
    <w:lvl w:ilvl="0" w:tentative="0">
      <w:start w:val="1"/>
      <w:numFmt w:val="decimal"/>
      <w:lvlText w:val="%1"/>
      <w:lvlJc w:val="left"/>
      <w:pPr>
        <w:ind w:left="1382" w:hanging="843"/>
      </w:pPr>
      <w:rPr>
        <w:rFonts w:hint="default"/>
        <w:lang w:val="zh-CN" w:eastAsia="zh-CN" w:bidi="zh-CN"/>
      </w:rPr>
    </w:lvl>
    <w:lvl w:ilvl="1" w:tentative="0">
      <w:start w:val="1"/>
      <w:numFmt w:val="decimal"/>
      <w:lvlText w:val="%1.%2"/>
      <w:lvlJc w:val="left"/>
      <w:pPr>
        <w:ind w:left="1382" w:hanging="843"/>
      </w:pPr>
      <w:rPr>
        <w:rFonts w:hint="default"/>
        <w:lang w:val="zh-CN" w:eastAsia="zh-CN" w:bidi="zh-CN"/>
      </w:rPr>
    </w:lvl>
    <w:lvl w:ilvl="2" w:tentative="0">
      <w:start w:val="3"/>
      <w:numFmt w:val="decimal"/>
      <w:lvlText w:val="%1.%2.%3"/>
      <w:lvlJc w:val="left"/>
      <w:pPr>
        <w:ind w:left="1382" w:hanging="843"/>
      </w:pPr>
      <w:rPr>
        <w:rFonts w:hint="default"/>
        <w:lang w:val="zh-CN" w:eastAsia="zh-CN" w:bidi="zh-CN"/>
      </w:rPr>
    </w:lvl>
    <w:lvl w:ilvl="3" w:tentative="0">
      <w:start w:val="9"/>
      <w:numFmt w:val="decimal"/>
      <w:lvlText w:val="%1.%2.%3.%4"/>
      <w:lvlJc w:val="left"/>
      <w:pPr>
        <w:ind w:left="1382" w:hanging="843"/>
      </w:pPr>
      <w:rPr>
        <w:rFonts w:hint="default" w:ascii="宋体" w:hAnsi="宋体" w:eastAsia="宋体" w:cs="宋体"/>
        <w:spacing w:val="-3"/>
        <w:w w:val="100"/>
        <w:sz w:val="21"/>
        <w:szCs w:val="21"/>
        <w:lang w:val="zh-CN" w:eastAsia="zh-CN" w:bidi="zh-CN"/>
      </w:rPr>
    </w:lvl>
    <w:lvl w:ilvl="4" w:tentative="0">
      <w:start w:val="0"/>
      <w:numFmt w:val="bullet"/>
      <w:lvlText w:val="•"/>
      <w:lvlJc w:val="left"/>
      <w:pPr>
        <w:ind w:left="4486" w:hanging="843"/>
      </w:pPr>
      <w:rPr>
        <w:rFonts w:hint="default"/>
        <w:lang w:val="zh-CN" w:eastAsia="zh-CN" w:bidi="zh-CN"/>
      </w:rPr>
    </w:lvl>
    <w:lvl w:ilvl="5" w:tentative="0">
      <w:start w:val="0"/>
      <w:numFmt w:val="bullet"/>
      <w:lvlText w:val="•"/>
      <w:lvlJc w:val="left"/>
      <w:pPr>
        <w:ind w:left="5263" w:hanging="843"/>
      </w:pPr>
      <w:rPr>
        <w:rFonts w:hint="default"/>
        <w:lang w:val="zh-CN" w:eastAsia="zh-CN" w:bidi="zh-CN"/>
      </w:rPr>
    </w:lvl>
    <w:lvl w:ilvl="6" w:tentative="0">
      <w:start w:val="0"/>
      <w:numFmt w:val="bullet"/>
      <w:lvlText w:val="•"/>
      <w:lvlJc w:val="left"/>
      <w:pPr>
        <w:ind w:left="6039" w:hanging="843"/>
      </w:pPr>
      <w:rPr>
        <w:rFonts w:hint="default"/>
        <w:lang w:val="zh-CN" w:eastAsia="zh-CN" w:bidi="zh-CN"/>
      </w:rPr>
    </w:lvl>
    <w:lvl w:ilvl="7" w:tentative="0">
      <w:start w:val="0"/>
      <w:numFmt w:val="bullet"/>
      <w:lvlText w:val="•"/>
      <w:lvlJc w:val="left"/>
      <w:pPr>
        <w:ind w:left="6816" w:hanging="843"/>
      </w:pPr>
      <w:rPr>
        <w:rFonts w:hint="default"/>
        <w:lang w:val="zh-CN" w:eastAsia="zh-CN" w:bidi="zh-CN"/>
      </w:rPr>
    </w:lvl>
    <w:lvl w:ilvl="8" w:tentative="0">
      <w:start w:val="0"/>
      <w:numFmt w:val="bullet"/>
      <w:lvlText w:val="•"/>
      <w:lvlJc w:val="left"/>
      <w:pPr>
        <w:ind w:left="7593" w:hanging="843"/>
      </w:pPr>
      <w:rPr>
        <w:rFonts w:hint="default"/>
        <w:lang w:val="zh-CN" w:eastAsia="zh-CN" w:bidi="zh-CN"/>
      </w:rPr>
    </w:lvl>
  </w:abstractNum>
  <w:abstractNum w:abstractNumId="32">
    <w:nsid w:val="2A8F537B"/>
    <w:multiLevelType w:val="multilevel"/>
    <w:tmpl w:val="2A8F537B"/>
    <w:lvl w:ilvl="0" w:tentative="0">
      <w:start w:val="1"/>
      <w:numFmt w:val="decimal"/>
      <w:lvlText w:val="%1"/>
      <w:lvlJc w:val="left"/>
      <w:pPr>
        <w:ind w:left="1277" w:hanging="737"/>
      </w:pPr>
      <w:rPr>
        <w:rFonts w:hint="default"/>
        <w:lang w:val="zh-CN" w:eastAsia="zh-CN" w:bidi="zh-CN"/>
      </w:rPr>
    </w:lvl>
    <w:lvl w:ilvl="1" w:tentative="0">
      <w:start w:val="10"/>
      <w:numFmt w:val="decimal"/>
      <w:lvlText w:val="%1.%2"/>
      <w:lvlJc w:val="left"/>
      <w:pPr>
        <w:ind w:left="1277" w:hanging="737"/>
      </w:pPr>
      <w:rPr>
        <w:rFonts w:hint="default"/>
        <w:lang w:val="zh-CN" w:eastAsia="zh-CN" w:bidi="zh-CN"/>
      </w:rPr>
    </w:lvl>
    <w:lvl w:ilvl="2" w:tentative="0">
      <w:start w:val="3"/>
      <w:numFmt w:val="decimal"/>
      <w:lvlText w:val="%1.%2.%3"/>
      <w:lvlJc w:val="left"/>
      <w:pPr>
        <w:ind w:left="1277" w:hanging="737"/>
      </w:pPr>
      <w:rPr>
        <w:rFonts w:hint="default" w:ascii="宋体" w:hAnsi="宋体" w:eastAsia="宋体" w:cs="宋体"/>
        <w:w w:val="100"/>
        <w:sz w:val="21"/>
        <w:szCs w:val="21"/>
        <w:lang w:val="zh-CN" w:eastAsia="zh-CN" w:bidi="zh-CN"/>
      </w:rPr>
    </w:lvl>
    <w:lvl w:ilvl="3" w:tentative="0">
      <w:start w:val="0"/>
      <w:numFmt w:val="bullet"/>
      <w:lvlText w:val="•"/>
      <w:lvlJc w:val="left"/>
      <w:pPr>
        <w:ind w:left="3639" w:hanging="737"/>
      </w:pPr>
      <w:rPr>
        <w:rFonts w:hint="default"/>
        <w:lang w:val="zh-CN" w:eastAsia="zh-CN" w:bidi="zh-CN"/>
      </w:rPr>
    </w:lvl>
    <w:lvl w:ilvl="4" w:tentative="0">
      <w:start w:val="0"/>
      <w:numFmt w:val="bullet"/>
      <w:lvlText w:val="•"/>
      <w:lvlJc w:val="left"/>
      <w:pPr>
        <w:ind w:left="4426" w:hanging="737"/>
      </w:pPr>
      <w:rPr>
        <w:rFonts w:hint="default"/>
        <w:lang w:val="zh-CN" w:eastAsia="zh-CN" w:bidi="zh-CN"/>
      </w:rPr>
    </w:lvl>
    <w:lvl w:ilvl="5" w:tentative="0">
      <w:start w:val="0"/>
      <w:numFmt w:val="bullet"/>
      <w:lvlText w:val="•"/>
      <w:lvlJc w:val="left"/>
      <w:pPr>
        <w:ind w:left="5213" w:hanging="737"/>
      </w:pPr>
      <w:rPr>
        <w:rFonts w:hint="default"/>
        <w:lang w:val="zh-CN" w:eastAsia="zh-CN" w:bidi="zh-CN"/>
      </w:rPr>
    </w:lvl>
    <w:lvl w:ilvl="6" w:tentative="0">
      <w:start w:val="0"/>
      <w:numFmt w:val="bullet"/>
      <w:lvlText w:val="•"/>
      <w:lvlJc w:val="left"/>
      <w:pPr>
        <w:ind w:left="5999" w:hanging="737"/>
      </w:pPr>
      <w:rPr>
        <w:rFonts w:hint="default"/>
        <w:lang w:val="zh-CN" w:eastAsia="zh-CN" w:bidi="zh-CN"/>
      </w:rPr>
    </w:lvl>
    <w:lvl w:ilvl="7" w:tentative="0">
      <w:start w:val="0"/>
      <w:numFmt w:val="bullet"/>
      <w:lvlText w:val="•"/>
      <w:lvlJc w:val="left"/>
      <w:pPr>
        <w:ind w:left="6786" w:hanging="737"/>
      </w:pPr>
      <w:rPr>
        <w:rFonts w:hint="default"/>
        <w:lang w:val="zh-CN" w:eastAsia="zh-CN" w:bidi="zh-CN"/>
      </w:rPr>
    </w:lvl>
    <w:lvl w:ilvl="8" w:tentative="0">
      <w:start w:val="0"/>
      <w:numFmt w:val="bullet"/>
      <w:lvlText w:val="•"/>
      <w:lvlJc w:val="left"/>
      <w:pPr>
        <w:ind w:left="7573" w:hanging="737"/>
      </w:pPr>
      <w:rPr>
        <w:rFonts w:hint="default"/>
        <w:lang w:val="zh-CN" w:eastAsia="zh-CN" w:bidi="zh-CN"/>
      </w:rPr>
    </w:lvl>
  </w:abstractNum>
  <w:abstractNum w:abstractNumId="33">
    <w:nsid w:val="2B16144B"/>
    <w:multiLevelType w:val="multilevel"/>
    <w:tmpl w:val="2B16144B"/>
    <w:lvl w:ilvl="0" w:tentative="0">
      <w:start w:val="1"/>
      <w:numFmt w:val="japaneseCounting"/>
      <w:lvlText w:val="（%1）"/>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4">
    <w:nsid w:val="2CA019C4"/>
    <w:multiLevelType w:val="singleLevel"/>
    <w:tmpl w:val="2CA019C4"/>
    <w:lvl w:ilvl="0" w:tentative="0">
      <w:start w:val="1"/>
      <w:numFmt w:val="upperLetter"/>
      <w:lvlText w:val="%1."/>
      <w:lvlJc w:val="left"/>
      <w:pPr>
        <w:ind w:left="425" w:hanging="425"/>
      </w:pPr>
      <w:rPr>
        <w:rFonts w:hint="default"/>
        <w:b/>
        <w:bCs/>
      </w:rPr>
    </w:lvl>
  </w:abstractNum>
  <w:abstractNum w:abstractNumId="35">
    <w:nsid w:val="30FC5B15"/>
    <w:multiLevelType w:val="multilevel"/>
    <w:tmpl w:val="30FC5B15"/>
    <w:lvl w:ilvl="0" w:tentative="0">
      <w:start w:val="21"/>
      <w:numFmt w:val="decimal"/>
      <w:lvlText w:val="%1"/>
      <w:lvlJc w:val="left"/>
      <w:pPr>
        <w:ind w:left="1118" w:hanging="579"/>
      </w:pPr>
      <w:rPr>
        <w:rFonts w:hint="default"/>
        <w:lang w:val="zh-CN" w:eastAsia="zh-CN" w:bidi="zh-CN"/>
      </w:rPr>
    </w:lvl>
    <w:lvl w:ilvl="1" w:tentative="0">
      <w:start w:val="32"/>
      <w:numFmt w:val="decimal"/>
      <w:lvlText w:val="%1.%2"/>
      <w:lvlJc w:val="left"/>
      <w:pPr>
        <w:ind w:left="1118" w:hanging="579"/>
      </w:pPr>
      <w:rPr>
        <w:rFonts w:hint="default" w:ascii="宋体" w:hAnsi="宋体" w:eastAsia="宋体" w:cs="宋体"/>
        <w:w w:val="100"/>
        <w:sz w:val="21"/>
        <w:szCs w:val="21"/>
        <w:lang w:val="zh-CN" w:eastAsia="zh-CN" w:bidi="zh-CN"/>
      </w:rPr>
    </w:lvl>
    <w:lvl w:ilvl="2" w:tentative="0">
      <w:start w:val="0"/>
      <w:numFmt w:val="bullet"/>
      <w:lvlText w:val="•"/>
      <w:lvlJc w:val="left"/>
      <w:pPr>
        <w:ind w:left="2725" w:hanging="579"/>
      </w:pPr>
      <w:rPr>
        <w:rFonts w:hint="default"/>
        <w:lang w:val="zh-CN" w:eastAsia="zh-CN" w:bidi="zh-CN"/>
      </w:rPr>
    </w:lvl>
    <w:lvl w:ilvl="3" w:tentative="0">
      <w:start w:val="0"/>
      <w:numFmt w:val="bullet"/>
      <w:lvlText w:val="•"/>
      <w:lvlJc w:val="left"/>
      <w:pPr>
        <w:ind w:left="3527" w:hanging="579"/>
      </w:pPr>
      <w:rPr>
        <w:rFonts w:hint="default"/>
        <w:lang w:val="zh-CN" w:eastAsia="zh-CN" w:bidi="zh-CN"/>
      </w:rPr>
    </w:lvl>
    <w:lvl w:ilvl="4" w:tentative="0">
      <w:start w:val="0"/>
      <w:numFmt w:val="bullet"/>
      <w:lvlText w:val="•"/>
      <w:lvlJc w:val="left"/>
      <w:pPr>
        <w:ind w:left="4330" w:hanging="579"/>
      </w:pPr>
      <w:rPr>
        <w:rFonts w:hint="default"/>
        <w:lang w:val="zh-CN" w:eastAsia="zh-CN" w:bidi="zh-CN"/>
      </w:rPr>
    </w:lvl>
    <w:lvl w:ilvl="5" w:tentative="0">
      <w:start w:val="0"/>
      <w:numFmt w:val="bullet"/>
      <w:lvlText w:val="•"/>
      <w:lvlJc w:val="left"/>
      <w:pPr>
        <w:ind w:left="5133" w:hanging="579"/>
      </w:pPr>
      <w:rPr>
        <w:rFonts w:hint="default"/>
        <w:lang w:val="zh-CN" w:eastAsia="zh-CN" w:bidi="zh-CN"/>
      </w:rPr>
    </w:lvl>
    <w:lvl w:ilvl="6" w:tentative="0">
      <w:start w:val="0"/>
      <w:numFmt w:val="bullet"/>
      <w:lvlText w:val="•"/>
      <w:lvlJc w:val="left"/>
      <w:pPr>
        <w:ind w:left="5935" w:hanging="579"/>
      </w:pPr>
      <w:rPr>
        <w:rFonts w:hint="default"/>
        <w:lang w:val="zh-CN" w:eastAsia="zh-CN" w:bidi="zh-CN"/>
      </w:rPr>
    </w:lvl>
    <w:lvl w:ilvl="7" w:tentative="0">
      <w:start w:val="0"/>
      <w:numFmt w:val="bullet"/>
      <w:lvlText w:val="•"/>
      <w:lvlJc w:val="left"/>
      <w:pPr>
        <w:ind w:left="6738" w:hanging="579"/>
      </w:pPr>
      <w:rPr>
        <w:rFonts w:hint="default"/>
        <w:lang w:val="zh-CN" w:eastAsia="zh-CN" w:bidi="zh-CN"/>
      </w:rPr>
    </w:lvl>
    <w:lvl w:ilvl="8" w:tentative="0">
      <w:start w:val="0"/>
      <w:numFmt w:val="bullet"/>
      <w:lvlText w:val="•"/>
      <w:lvlJc w:val="left"/>
      <w:pPr>
        <w:ind w:left="7541" w:hanging="579"/>
      </w:pPr>
      <w:rPr>
        <w:rFonts w:hint="default"/>
        <w:lang w:val="zh-CN" w:eastAsia="zh-CN" w:bidi="zh-CN"/>
      </w:rPr>
    </w:lvl>
  </w:abstractNum>
  <w:abstractNum w:abstractNumId="36">
    <w:nsid w:val="39A0D9AC"/>
    <w:multiLevelType w:val="multilevel"/>
    <w:tmpl w:val="39A0D9AC"/>
    <w:lvl w:ilvl="0" w:tentative="0">
      <w:start w:val="1"/>
      <w:numFmt w:val="decimal"/>
      <w:lvlText w:val="（%1）"/>
      <w:lvlJc w:val="left"/>
      <w:pPr>
        <w:ind w:left="106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868" w:hanging="529"/>
      </w:pPr>
      <w:rPr>
        <w:rFonts w:hint="default"/>
        <w:lang w:val="zh-CN" w:eastAsia="zh-CN" w:bidi="zh-CN"/>
      </w:rPr>
    </w:lvl>
    <w:lvl w:ilvl="2" w:tentative="0">
      <w:start w:val="0"/>
      <w:numFmt w:val="bullet"/>
      <w:lvlText w:val="•"/>
      <w:lvlJc w:val="left"/>
      <w:pPr>
        <w:ind w:left="2677" w:hanging="529"/>
      </w:pPr>
      <w:rPr>
        <w:rFonts w:hint="default"/>
        <w:lang w:val="zh-CN" w:eastAsia="zh-CN" w:bidi="zh-CN"/>
      </w:rPr>
    </w:lvl>
    <w:lvl w:ilvl="3" w:tentative="0">
      <w:start w:val="0"/>
      <w:numFmt w:val="bullet"/>
      <w:lvlText w:val="•"/>
      <w:lvlJc w:val="left"/>
      <w:pPr>
        <w:ind w:left="3485" w:hanging="529"/>
      </w:pPr>
      <w:rPr>
        <w:rFonts w:hint="default"/>
        <w:lang w:val="zh-CN" w:eastAsia="zh-CN" w:bidi="zh-CN"/>
      </w:rPr>
    </w:lvl>
    <w:lvl w:ilvl="4" w:tentative="0">
      <w:start w:val="0"/>
      <w:numFmt w:val="bullet"/>
      <w:lvlText w:val="•"/>
      <w:lvlJc w:val="left"/>
      <w:pPr>
        <w:ind w:left="4294" w:hanging="529"/>
      </w:pPr>
      <w:rPr>
        <w:rFonts w:hint="default"/>
        <w:lang w:val="zh-CN" w:eastAsia="zh-CN" w:bidi="zh-CN"/>
      </w:rPr>
    </w:lvl>
    <w:lvl w:ilvl="5" w:tentative="0">
      <w:start w:val="0"/>
      <w:numFmt w:val="bullet"/>
      <w:lvlText w:val="•"/>
      <w:lvlJc w:val="left"/>
      <w:pPr>
        <w:ind w:left="5103" w:hanging="529"/>
      </w:pPr>
      <w:rPr>
        <w:rFonts w:hint="default"/>
        <w:lang w:val="zh-CN" w:eastAsia="zh-CN" w:bidi="zh-CN"/>
      </w:rPr>
    </w:lvl>
    <w:lvl w:ilvl="6" w:tentative="0">
      <w:start w:val="0"/>
      <w:numFmt w:val="bullet"/>
      <w:lvlText w:val="•"/>
      <w:lvlJc w:val="left"/>
      <w:pPr>
        <w:ind w:left="5911" w:hanging="529"/>
      </w:pPr>
      <w:rPr>
        <w:rFonts w:hint="default"/>
        <w:lang w:val="zh-CN" w:eastAsia="zh-CN" w:bidi="zh-CN"/>
      </w:rPr>
    </w:lvl>
    <w:lvl w:ilvl="7" w:tentative="0">
      <w:start w:val="0"/>
      <w:numFmt w:val="bullet"/>
      <w:lvlText w:val="•"/>
      <w:lvlJc w:val="left"/>
      <w:pPr>
        <w:ind w:left="6720" w:hanging="529"/>
      </w:pPr>
      <w:rPr>
        <w:rFonts w:hint="default"/>
        <w:lang w:val="zh-CN" w:eastAsia="zh-CN" w:bidi="zh-CN"/>
      </w:rPr>
    </w:lvl>
    <w:lvl w:ilvl="8" w:tentative="0">
      <w:start w:val="0"/>
      <w:numFmt w:val="bullet"/>
      <w:lvlText w:val="•"/>
      <w:lvlJc w:val="left"/>
      <w:pPr>
        <w:ind w:left="7529" w:hanging="529"/>
      </w:pPr>
      <w:rPr>
        <w:rFonts w:hint="default"/>
        <w:lang w:val="zh-CN" w:eastAsia="zh-CN" w:bidi="zh-CN"/>
      </w:rPr>
    </w:lvl>
  </w:abstractNum>
  <w:abstractNum w:abstractNumId="37">
    <w:nsid w:val="46A08BB8"/>
    <w:multiLevelType w:val="multilevel"/>
    <w:tmpl w:val="46A08BB8"/>
    <w:lvl w:ilvl="0" w:tentative="0">
      <w:start w:val="13"/>
      <w:numFmt w:val="decimal"/>
      <w:lvlText w:val="%1"/>
      <w:lvlJc w:val="left"/>
      <w:pPr>
        <w:ind w:left="1070" w:hanging="528"/>
      </w:pPr>
      <w:rPr>
        <w:rFonts w:hint="default"/>
        <w:lang w:val="zh-CN" w:eastAsia="zh-CN" w:bidi="zh-CN"/>
      </w:rPr>
    </w:lvl>
    <w:lvl w:ilvl="1" w:tentative="0">
      <w:start w:val="6"/>
      <w:numFmt w:val="decimal"/>
      <w:lvlText w:val="%1.%2"/>
      <w:lvlJc w:val="left"/>
      <w:pPr>
        <w:ind w:left="1070" w:hanging="528"/>
      </w:pPr>
      <w:rPr>
        <w:rFonts w:hint="default" w:ascii="微软雅黑" w:hAnsi="微软雅黑" w:eastAsia="微软雅黑" w:cs="微软雅黑"/>
        <w:b/>
        <w:bCs/>
        <w:w w:val="94"/>
        <w:sz w:val="21"/>
        <w:szCs w:val="21"/>
        <w:lang w:val="zh-CN" w:eastAsia="zh-CN" w:bidi="zh-CN"/>
      </w:rPr>
    </w:lvl>
    <w:lvl w:ilvl="2" w:tentative="0">
      <w:start w:val="1"/>
      <w:numFmt w:val="decimal"/>
      <w:lvlText w:val="%1.%2.%3"/>
      <w:lvlJc w:val="left"/>
      <w:pPr>
        <w:ind w:left="1277" w:hanging="737"/>
      </w:pPr>
      <w:rPr>
        <w:rFonts w:hint="default"/>
        <w:w w:val="100"/>
        <w:lang w:val="zh-CN" w:eastAsia="zh-CN" w:bidi="zh-CN"/>
      </w:rPr>
    </w:lvl>
    <w:lvl w:ilvl="3" w:tentative="0">
      <w:start w:val="0"/>
      <w:numFmt w:val="bullet"/>
      <w:lvlText w:val="•"/>
      <w:lvlJc w:val="left"/>
      <w:pPr>
        <w:ind w:left="3028" w:hanging="737"/>
      </w:pPr>
      <w:rPr>
        <w:rFonts w:hint="default"/>
        <w:lang w:val="zh-CN" w:eastAsia="zh-CN" w:bidi="zh-CN"/>
      </w:rPr>
    </w:lvl>
    <w:lvl w:ilvl="4" w:tentative="0">
      <w:start w:val="0"/>
      <w:numFmt w:val="bullet"/>
      <w:lvlText w:val="•"/>
      <w:lvlJc w:val="left"/>
      <w:pPr>
        <w:ind w:left="3902" w:hanging="737"/>
      </w:pPr>
      <w:rPr>
        <w:rFonts w:hint="default"/>
        <w:lang w:val="zh-CN" w:eastAsia="zh-CN" w:bidi="zh-CN"/>
      </w:rPr>
    </w:lvl>
    <w:lvl w:ilvl="5" w:tentative="0">
      <w:start w:val="0"/>
      <w:numFmt w:val="bullet"/>
      <w:lvlText w:val="•"/>
      <w:lvlJc w:val="left"/>
      <w:pPr>
        <w:ind w:left="4776" w:hanging="737"/>
      </w:pPr>
      <w:rPr>
        <w:rFonts w:hint="default"/>
        <w:lang w:val="zh-CN" w:eastAsia="zh-CN" w:bidi="zh-CN"/>
      </w:rPr>
    </w:lvl>
    <w:lvl w:ilvl="6" w:tentative="0">
      <w:start w:val="0"/>
      <w:numFmt w:val="bullet"/>
      <w:lvlText w:val="•"/>
      <w:lvlJc w:val="left"/>
      <w:pPr>
        <w:ind w:left="5650" w:hanging="737"/>
      </w:pPr>
      <w:rPr>
        <w:rFonts w:hint="default"/>
        <w:lang w:val="zh-CN" w:eastAsia="zh-CN" w:bidi="zh-CN"/>
      </w:rPr>
    </w:lvl>
    <w:lvl w:ilvl="7" w:tentative="0">
      <w:start w:val="0"/>
      <w:numFmt w:val="bullet"/>
      <w:lvlText w:val="•"/>
      <w:lvlJc w:val="left"/>
      <w:pPr>
        <w:ind w:left="6524" w:hanging="737"/>
      </w:pPr>
      <w:rPr>
        <w:rFonts w:hint="default"/>
        <w:lang w:val="zh-CN" w:eastAsia="zh-CN" w:bidi="zh-CN"/>
      </w:rPr>
    </w:lvl>
    <w:lvl w:ilvl="8" w:tentative="0">
      <w:start w:val="0"/>
      <w:numFmt w:val="bullet"/>
      <w:lvlText w:val="•"/>
      <w:lvlJc w:val="left"/>
      <w:pPr>
        <w:ind w:left="7398" w:hanging="737"/>
      </w:pPr>
      <w:rPr>
        <w:rFonts w:hint="default"/>
        <w:lang w:val="zh-CN" w:eastAsia="zh-CN" w:bidi="zh-CN"/>
      </w:rPr>
    </w:lvl>
  </w:abstractNum>
  <w:abstractNum w:abstractNumId="38">
    <w:nsid w:val="4C1BAE26"/>
    <w:multiLevelType w:val="multilevel"/>
    <w:tmpl w:val="4C1BAE26"/>
    <w:lvl w:ilvl="0" w:tentative="0">
      <w:start w:val="10"/>
      <w:numFmt w:val="decimal"/>
      <w:lvlText w:val="%1"/>
      <w:lvlJc w:val="left"/>
      <w:pPr>
        <w:ind w:left="1061" w:hanging="528"/>
      </w:pPr>
      <w:rPr>
        <w:rFonts w:hint="default"/>
        <w:lang w:val="zh-CN" w:eastAsia="zh-CN" w:bidi="zh-CN"/>
      </w:rPr>
    </w:lvl>
    <w:lvl w:ilvl="1" w:tentative="0">
      <w:start w:val="7"/>
      <w:numFmt w:val="decimal"/>
      <w:lvlText w:val="%1.%2"/>
      <w:lvlJc w:val="left"/>
      <w:pPr>
        <w:ind w:left="1061" w:hanging="528"/>
      </w:pPr>
      <w:rPr>
        <w:rFonts w:hint="default" w:ascii="微软雅黑" w:hAnsi="微软雅黑" w:eastAsia="微软雅黑" w:cs="微软雅黑"/>
        <w:b/>
        <w:bCs/>
        <w:w w:val="94"/>
        <w:sz w:val="21"/>
        <w:szCs w:val="21"/>
        <w:lang w:val="zh-CN" w:eastAsia="zh-CN" w:bidi="zh-CN"/>
      </w:rPr>
    </w:lvl>
    <w:lvl w:ilvl="2" w:tentative="0">
      <w:start w:val="0"/>
      <w:numFmt w:val="bullet"/>
      <w:lvlText w:val="•"/>
      <w:lvlJc w:val="left"/>
      <w:pPr>
        <w:ind w:left="2677" w:hanging="528"/>
      </w:pPr>
      <w:rPr>
        <w:rFonts w:hint="default"/>
        <w:lang w:val="zh-CN" w:eastAsia="zh-CN" w:bidi="zh-CN"/>
      </w:rPr>
    </w:lvl>
    <w:lvl w:ilvl="3" w:tentative="0">
      <w:start w:val="0"/>
      <w:numFmt w:val="bullet"/>
      <w:lvlText w:val="•"/>
      <w:lvlJc w:val="left"/>
      <w:pPr>
        <w:ind w:left="3485" w:hanging="528"/>
      </w:pPr>
      <w:rPr>
        <w:rFonts w:hint="default"/>
        <w:lang w:val="zh-CN" w:eastAsia="zh-CN" w:bidi="zh-CN"/>
      </w:rPr>
    </w:lvl>
    <w:lvl w:ilvl="4" w:tentative="0">
      <w:start w:val="0"/>
      <w:numFmt w:val="bullet"/>
      <w:lvlText w:val="•"/>
      <w:lvlJc w:val="left"/>
      <w:pPr>
        <w:ind w:left="4294" w:hanging="528"/>
      </w:pPr>
      <w:rPr>
        <w:rFonts w:hint="default"/>
        <w:lang w:val="zh-CN" w:eastAsia="zh-CN" w:bidi="zh-CN"/>
      </w:rPr>
    </w:lvl>
    <w:lvl w:ilvl="5" w:tentative="0">
      <w:start w:val="0"/>
      <w:numFmt w:val="bullet"/>
      <w:lvlText w:val="•"/>
      <w:lvlJc w:val="left"/>
      <w:pPr>
        <w:ind w:left="5103" w:hanging="528"/>
      </w:pPr>
      <w:rPr>
        <w:rFonts w:hint="default"/>
        <w:lang w:val="zh-CN" w:eastAsia="zh-CN" w:bidi="zh-CN"/>
      </w:rPr>
    </w:lvl>
    <w:lvl w:ilvl="6" w:tentative="0">
      <w:start w:val="0"/>
      <w:numFmt w:val="bullet"/>
      <w:lvlText w:val="•"/>
      <w:lvlJc w:val="left"/>
      <w:pPr>
        <w:ind w:left="5911" w:hanging="528"/>
      </w:pPr>
      <w:rPr>
        <w:rFonts w:hint="default"/>
        <w:lang w:val="zh-CN" w:eastAsia="zh-CN" w:bidi="zh-CN"/>
      </w:rPr>
    </w:lvl>
    <w:lvl w:ilvl="7" w:tentative="0">
      <w:start w:val="0"/>
      <w:numFmt w:val="bullet"/>
      <w:lvlText w:val="•"/>
      <w:lvlJc w:val="left"/>
      <w:pPr>
        <w:ind w:left="6720" w:hanging="528"/>
      </w:pPr>
      <w:rPr>
        <w:rFonts w:hint="default"/>
        <w:lang w:val="zh-CN" w:eastAsia="zh-CN" w:bidi="zh-CN"/>
      </w:rPr>
    </w:lvl>
    <w:lvl w:ilvl="8" w:tentative="0">
      <w:start w:val="0"/>
      <w:numFmt w:val="bullet"/>
      <w:lvlText w:val="•"/>
      <w:lvlJc w:val="left"/>
      <w:pPr>
        <w:ind w:left="7529" w:hanging="528"/>
      </w:pPr>
      <w:rPr>
        <w:rFonts w:hint="default"/>
        <w:lang w:val="zh-CN" w:eastAsia="zh-CN" w:bidi="zh-CN"/>
      </w:rPr>
    </w:lvl>
  </w:abstractNum>
  <w:abstractNum w:abstractNumId="39">
    <w:nsid w:val="4D4DC07F"/>
    <w:multiLevelType w:val="multilevel"/>
    <w:tmpl w:val="4D4DC07F"/>
    <w:lvl w:ilvl="0" w:tentative="0">
      <w:start w:val="1"/>
      <w:numFmt w:val="decimal"/>
      <w:lvlText w:val="%1）"/>
      <w:lvlJc w:val="left"/>
      <w:pPr>
        <w:ind w:left="960" w:hanging="360"/>
      </w:pPr>
      <w:rPr>
        <w:rFonts w:hint="default" w:ascii="宋体" w:hAnsi="宋体" w:eastAsia="宋体" w:cs="宋体"/>
        <w:w w:val="100"/>
        <w:sz w:val="21"/>
        <w:szCs w:val="21"/>
        <w:lang w:val="zh-CN" w:eastAsia="zh-CN" w:bidi="zh-CN"/>
      </w:rPr>
    </w:lvl>
    <w:lvl w:ilvl="1" w:tentative="0">
      <w:start w:val="0"/>
      <w:numFmt w:val="bullet"/>
      <w:lvlText w:val="•"/>
      <w:lvlJc w:val="left"/>
      <w:pPr>
        <w:ind w:left="1778" w:hanging="360"/>
      </w:pPr>
      <w:rPr>
        <w:rFonts w:hint="default"/>
        <w:lang w:val="zh-CN" w:eastAsia="zh-CN" w:bidi="zh-CN"/>
      </w:rPr>
    </w:lvl>
    <w:lvl w:ilvl="2" w:tentative="0">
      <w:start w:val="0"/>
      <w:numFmt w:val="bullet"/>
      <w:lvlText w:val="•"/>
      <w:lvlJc w:val="left"/>
      <w:pPr>
        <w:ind w:left="2597" w:hanging="360"/>
      </w:pPr>
      <w:rPr>
        <w:rFonts w:hint="default"/>
        <w:lang w:val="zh-CN" w:eastAsia="zh-CN" w:bidi="zh-CN"/>
      </w:rPr>
    </w:lvl>
    <w:lvl w:ilvl="3" w:tentative="0">
      <w:start w:val="0"/>
      <w:numFmt w:val="bullet"/>
      <w:lvlText w:val="•"/>
      <w:lvlJc w:val="left"/>
      <w:pPr>
        <w:ind w:left="3415" w:hanging="360"/>
      </w:pPr>
      <w:rPr>
        <w:rFonts w:hint="default"/>
        <w:lang w:val="zh-CN" w:eastAsia="zh-CN" w:bidi="zh-CN"/>
      </w:rPr>
    </w:lvl>
    <w:lvl w:ilvl="4" w:tentative="0">
      <w:start w:val="0"/>
      <w:numFmt w:val="bullet"/>
      <w:lvlText w:val="•"/>
      <w:lvlJc w:val="left"/>
      <w:pPr>
        <w:ind w:left="4234" w:hanging="360"/>
      </w:pPr>
      <w:rPr>
        <w:rFonts w:hint="default"/>
        <w:lang w:val="zh-CN" w:eastAsia="zh-CN" w:bidi="zh-CN"/>
      </w:rPr>
    </w:lvl>
    <w:lvl w:ilvl="5" w:tentative="0">
      <w:start w:val="0"/>
      <w:numFmt w:val="bullet"/>
      <w:lvlText w:val="•"/>
      <w:lvlJc w:val="left"/>
      <w:pPr>
        <w:ind w:left="5053" w:hanging="360"/>
      </w:pPr>
      <w:rPr>
        <w:rFonts w:hint="default"/>
        <w:lang w:val="zh-CN" w:eastAsia="zh-CN" w:bidi="zh-CN"/>
      </w:rPr>
    </w:lvl>
    <w:lvl w:ilvl="6" w:tentative="0">
      <w:start w:val="0"/>
      <w:numFmt w:val="bullet"/>
      <w:lvlText w:val="•"/>
      <w:lvlJc w:val="left"/>
      <w:pPr>
        <w:ind w:left="5871" w:hanging="360"/>
      </w:pPr>
      <w:rPr>
        <w:rFonts w:hint="default"/>
        <w:lang w:val="zh-CN" w:eastAsia="zh-CN" w:bidi="zh-CN"/>
      </w:rPr>
    </w:lvl>
    <w:lvl w:ilvl="7" w:tentative="0">
      <w:start w:val="0"/>
      <w:numFmt w:val="bullet"/>
      <w:lvlText w:val="•"/>
      <w:lvlJc w:val="left"/>
      <w:pPr>
        <w:ind w:left="6690" w:hanging="360"/>
      </w:pPr>
      <w:rPr>
        <w:rFonts w:hint="default"/>
        <w:lang w:val="zh-CN" w:eastAsia="zh-CN" w:bidi="zh-CN"/>
      </w:rPr>
    </w:lvl>
    <w:lvl w:ilvl="8" w:tentative="0">
      <w:start w:val="0"/>
      <w:numFmt w:val="bullet"/>
      <w:lvlText w:val="•"/>
      <w:lvlJc w:val="left"/>
      <w:pPr>
        <w:ind w:left="7509" w:hanging="360"/>
      </w:pPr>
      <w:rPr>
        <w:rFonts w:hint="default"/>
        <w:lang w:val="zh-CN" w:eastAsia="zh-CN" w:bidi="zh-CN"/>
      </w:rPr>
    </w:lvl>
  </w:abstractNum>
  <w:abstractNum w:abstractNumId="40">
    <w:nsid w:val="4D94DA66"/>
    <w:multiLevelType w:val="multilevel"/>
    <w:tmpl w:val="4D94DA66"/>
    <w:lvl w:ilvl="0" w:tentative="0">
      <w:start w:val="21"/>
      <w:numFmt w:val="decimal"/>
      <w:lvlText w:val="%1"/>
      <w:lvlJc w:val="left"/>
      <w:pPr>
        <w:ind w:left="1175" w:hanging="635"/>
      </w:pPr>
      <w:rPr>
        <w:rFonts w:hint="default"/>
        <w:lang w:val="zh-CN" w:eastAsia="zh-CN" w:bidi="zh-CN"/>
      </w:rPr>
    </w:lvl>
    <w:lvl w:ilvl="1" w:tentative="0">
      <w:start w:val="11"/>
      <w:numFmt w:val="decimal"/>
      <w:lvlText w:val="%1.%2."/>
      <w:lvlJc w:val="left"/>
      <w:pPr>
        <w:ind w:left="1175" w:hanging="635"/>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773" w:hanging="635"/>
      </w:pPr>
      <w:rPr>
        <w:rFonts w:hint="default"/>
        <w:lang w:val="zh-CN" w:eastAsia="zh-CN" w:bidi="zh-CN"/>
      </w:rPr>
    </w:lvl>
    <w:lvl w:ilvl="3" w:tentative="0">
      <w:start w:val="0"/>
      <w:numFmt w:val="bullet"/>
      <w:lvlText w:val="•"/>
      <w:lvlJc w:val="left"/>
      <w:pPr>
        <w:ind w:left="3569" w:hanging="635"/>
      </w:pPr>
      <w:rPr>
        <w:rFonts w:hint="default"/>
        <w:lang w:val="zh-CN" w:eastAsia="zh-CN" w:bidi="zh-CN"/>
      </w:rPr>
    </w:lvl>
    <w:lvl w:ilvl="4" w:tentative="0">
      <w:start w:val="0"/>
      <w:numFmt w:val="bullet"/>
      <w:lvlText w:val="•"/>
      <w:lvlJc w:val="left"/>
      <w:pPr>
        <w:ind w:left="4366" w:hanging="635"/>
      </w:pPr>
      <w:rPr>
        <w:rFonts w:hint="default"/>
        <w:lang w:val="zh-CN" w:eastAsia="zh-CN" w:bidi="zh-CN"/>
      </w:rPr>
    </w:lvl>
    <w:lvl w:ilvl="5" w:tentative="0">
      <w:start w:val="0"/>
      <w:numFmt w:val="bullet"/>
      <w:lvlText w:val="•"/>
      <w:lvlJc w:val="left"/>
      <w:pPr>
        <w:ind w:left="5163" w:hanging="635"/>
      </w:pPr>
      <w:rPr>
        <w:rFonts w:hint="default"/>
        <w:lang w:val="zh-CN" w:eastAsia="zh-CN" w:bidi="zh-CN"/>
      </w:rPr>
    </w:lvl>
    <w:lvl w:ilvl="6" w:tentative="0">
      <w:start w:val="0"/>
      <w:numFmt w:val="bullet"/>
      <w:lvlText w:val="•"/>
      <w:lvlJc w:val="left"/>
      <w:pPr>
        <w:ind w:left="5959" w:hanging="635"/>
      </w:pPr>
      <w:rPr>
        <w:rFonts w:hint="default"/>
        <w:lang w:val="zh-CN" w:eastAsia="zh-CN" w:bidi="zh-CN"/>
      </w:rPr>
    </w:lvl>
    <w:lvl w:ilvl="7" w:tentative="0">
      <w:start w:val="0"/>
      <w:numFmt w:val="bullet"/>
      <w:lvlText w:val="•"/>
      <w:lvlJc w:val="left"/>
      <w:pPr>
        <w:ind w:left="6756" w:hanging="635"/>
      </w:pPr>
      <w:rPr>
        <w:rFonts w:hint="default"/>
        <w:lang w:val="zh-CN" w:eastAsia="zh-CN" w:bidi="zh-CN"/>
      </w:rPr>
    </w:lvl>
    <w:lvl w:ilvl="8" w:tentative="0">
      <w:start w:val="0"/>
      <w:numFmt w:val="bullet"/>
      <w:lvlText w:val="•"/>
      <w:lvlJc w:val="left"/>
      <w:pPr>
        <w:ind w:left="7553" w:hanging="635"/>
      </w:pPr>
      <w:rPr>
        <w:rFonts w:hint="default"/>
        <w:lang w:val="zh-CN" w:eastAsia="zh-CN" w:bidi="zh-CN"/>
      </w:rPr>
    </w:lvl>
  </w:abstractNum>
  <w:abstractNum w:abstractNumId="41">
    <w:nsid w:val="4ECF31CC"/>
    <w:multiLevelType w:val="singleLevel"/>
    <w:tmpl w:val="4ECF31CC"/>
    <w:lvl w:ilvl="0" w:tentative="0">
      <w:start w:val="1"/>
      <w:numFmt w:val="upperLetter"/>
      <w:lvlText w:val="%1."/>
      <w:lvlJc w:val="left"/>
      <w:pPr>
        <w:ind w:left="425" w:hanging="425"/>
      </w:pPr>
      <w:rPr>
        <w:rFonts w:hint="default"/>
      </w:rPr>
    </w:lvl>
  </w:abstractNum>
  <w:abstractNum w:abstractNumId="42">
    <w:nsid w:val="4F3FF634"/>
    <w:multiLevelType w:val="multilevel"/>
    <w:tmpl w:val="4F3FF634"/>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3">
    <w:nsid w:val="570FBB9C"/>
    <w:multiLevelType w:val="singleLevel"/>
    <w:tmpl w:val="570FBB9C"/>
    <w:lvl w:ilvl="0" w:tentative="0">
      <w:start w:val="1"/>
      <w:numFmt w:val="upperLetter"/>
      <w:lvlText w:val="%1."/>
      <w:lvlJc w:val="left"/>
      <w:pPr>
        <w:ind w:left="425" w:hanging="425"/>
      </w:pPr>
      <w:rPr>
        <w:rFonts w:hint="default"/>
        <w:b/>
        <w:bCs/>
      </w:rPr>
    </w:lvl>
  </w:abstractNum>
  <w:abstractNum w:abstractNumId="44">
    <w:nsid w:val="58765686"/>
    <w:multiLevelType w:val="multilevel"/>
    <w:tmpl w:val="58765686"/>
    <w:lvl w:ilvl="0" w:tentative="0">
      <w:start w:val="20"/>
      <w:numFmt w:val="decimal"/>
      <w:lvlText w:val="%1"/>
      <w:lvlJc w:val="left"/>
      <w:pPr>
        <w:ind w:left="1070" w:hanging="528"/>
      </w:pPr>
      <w:rPr>
        <w:rFonts w:hint="default"/>
        <w:lang w:val="zh-CN" w:eastAsia="zh-CN" w:bidi="zh-CN"/>
      </w:rPr>
    </w:lvl>
    <w:lvl w:ilvl="1" w:tentative="0">
      <w:start w:val="3"/>
      <w:numFmt w:val="decimal"/>
      <w:lvlText w:val="%1.%2"/>
      <w:lvlJc w:val="left"/>
      <w:pPr>
        <w:ind w:left="1070" w:hanging="528"/>
      </w:pPr>
      <w:rPr>
        <w:rFonts w:hint="default" w:ascii="微软雅黑" w:hAnsi="微软雅黑" w:eastAsia="微软雅黑" w:cs="微软雅黑"/>
        <w:b/>
        <w:bCs/>
        <w:w w:val="94"/>
        <w:sz w:val="21"/>
        <w:szCs w:val="21"/>
        <w:lang w:val="zh-CN" w:eastAsia="zh-CN" w:bidi="zh-CN"/>
      </w:rPr>
    </w:lvl>
    <w:lvl w:ilvl="2" w:tentative="0">
      <w:start w:val="1"/>
      <w:numFmt w:val="decimal"/>
      <w:lvlText w:val="%1.%2.%3"/>
      <w:lvlJc w:val="left"/>
      <w:pPr>
        <w:ind w:left="1277" w:hanging="737"/>
      </w:pPr>
      <w:rPr>
        <w:rFonts w:hint="default" w:ascii="宋体" w:hAnsi="宋体" w:eastAsia="宋体" w:cs="宋体"/>
        <w:w w:val="100"/>
        <w:sz w:val="21"/>
        <w:szCs w:val="21"/>
        <w:lang w:val="zh-CN" w:eastAsia="zh-CN" w:bidi="zh-CN"/>
      </w:rPr>
    </w:lvl>
    <w:lvl w:ilvl="3" w:tentative="0">
      <w:start w:val="0"/>
      <w:numFmt w:val="bullet"/>
      <w:lvlText w:val="•"/>
      <w:lvlJc w:val="left"/>
      <w:pPr>
        <w:ind w:left="3028" w:hanging="737"/>
      </w:pPr>
      <w:rPr>
        <w:rFonts w:hint="default"/>
        <w:lang w:val="zh-CN" w:eastAsia="zh-CN" w:bidi="zh-CN"/>
      </w:rPr>
    </w:lvl>
    <w:lvl w:ilvl="4" w:tentative="0">
      <w:start w:val="0"/>
      <w:numFmt w:val="bullet"/>
      <w:lvlText w:val="•"/>
      <w:lvlJc w:val="left"/>
      <w:pPr>
        <w:ind w:left="3902" w:hanging="737"/>
      </w:pPr>
      <w:rPr>
        <w:rFonts w:hint="default"/>
        <w:lang w:val="zh-CN" w:eastAsia="zh-CN" w:bidi="zh-CN"/>
      </w:rPr>
    </w:lvl>
    <w:lvl w:ilvl="5" w:tentative="0">
      <w:start w:val="0"/>
      <w:numFmt w:val="bullet"/>
      <w:lvlText w:val="•"/>
      <w:lvlJc w:val="left"/>
      <w:pPr>
        <w:ind w:left="4776" w:hanging="737"/>
      </w:pPr>
      <w:rPr>
        <w:rFonts w:hint="default"/>
        <w:lang w:val="zh-CN" w:eastAsia="zh-CN" w:bidi="zh-CN"/>
      </w:rPr>
    </w:lvl>
    <w:lvl w:ilvl="6" w:tentative="0">
      <w:start w:val="0"/>
      <w:numFmt w:val="bullet"/>
      <w:lvlText w:val="•"/>
      <w:lvlJc w:val="left"/>
      <w:pPr>
        <w:ind w:left="5650" w:hanging="737"/>
      </w:pPr>
      <w:rPr>
        <w:rFonts w:hint="default"/>
        <w:lang w:val="zh-CN" w:eastAsia="zh-CN" w:bidi="zh-CN"/>
      </w:rPr>
    </w:lvl>
    <w:lvl w:ilvl="7" w:tentative="0">
      <w:start w:val="0"/>
      <w:numFmt w:val="bullet"/>
      <w:lvlText w:val="•"/>
      <w:lvlJc w:val="left"/>
      <w:pPr>
        <w:ind w:left="6524" w:hanging="737"/>
      </w:pPr>
      <w:rPr>
        <w:rFonts w:hint="default"/>
        <w:lang w:val="zh-CN" w:eastAsia="zh-CN" w:bidi="zh-CN"/>
      </w:rPr>
    </w:lvl>
    <w:lvl w:ilvl="8" w:tentative="0">
      <w:start w:val="0"/>
      <w:numFmt w:val="bullet"/>
      <w:lvlText w:val="•"/>
      <w:lvlJc w:val="left"/>
      <w:pPr>
        <w:ind w:left="7398" w:hanging="737"/>
      </w:pPr>
      <w:rPr>
        <w:rFonts w:hint="default"/>
        <w:lang w:val="zh-CN" w:eastAsia="zh-CN" w:bidi="zh-CN"/>
      </w:rPr>
    </w:lvl>
  </w:abstractNum>
  <w:abstractNum w:abstractNumId="45">
    <w:nsid w:val="60382F6E"/>
    <w:multiLevelType w:val="multilevel"/>
    <w:tmpl w:val="60382F6E"/>
    <w:lvl w:ilvl="0" w:tentative="0">
      <w:start w:val="1"/>
      <w:numFmt w:val="decimal"/>
      <w:lvlText w:val="（%1）"/>
      <w:lvlJc w:val="left"/>
      <w:pPr>
        <w:ind w:left="106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868" w:hanging="529"/>
      </w:pPr>
      <w:rPr>
        <w:rFonts w:hint="default"/>
        <w:lang w:val="zh-CN" w:eastAsia="zh-CN" w:bidi="zh-CN"/>
      </w:rPr>
    </w:lvl>
    <w:lvl w:ilvl="2" w:tentative="0">
      <w:start w:val="0"/>
      <w:numFmt w:val="bullet"/>
      <w:lvlText w:val="•"/>
      <w:lvlJc w:val="left"/>
      <w:pPr>
        <w:ind w:left="2677" w:hanging="529"/>
      </w:pPr>
      <w:rPr>
        <w:rFonts w:hint="default"/>
        <w:lang w:val="zh-CN" w:eastAsia="zh-CN" w:bidi="zh-CN"/>
      </w:rPr>
    </w:lvl>
    <w:lvl w:ilvl="3" w:tentative="0">
      <w:start w:val="0"/>
      <w:numFmt w:val="bullet"/>
      <w:lvlText w:val="•"/>
      <w:lvlJc w:val="left"/>
      <w:pPr>
        <w:ind w:left="3485" w:hanging="529"/>
      </w:pPr>
      <w:rPr>
        <w:rFonts w:hint="default"/>
        <w:lang w:val="zh-CN" w:eastAsia="zh-CN" w:bidi="zh-CN"/>
      </w:rPr>
    </w:lvl>
    <w:lvl w:ilvl="4" w:tentative="0">
      <w:start w:val="0"/>
      <w:numFmt w:val="bullet"/>
      <w:lvlText w:val="•"/>
      <w:lvlJc w:val="left"/>
      <w:pPr>
        <w:ind w:left="4294" w:hanging="529"/>
      </w:pPr>
      <w:rPr>
        <w:rFonts w:hint="default"/>
        <w:lang w:val="zh-CN" w:eastAsia="zh-CN" w:bidi="zh-CN"/>
      </w:rPr>
    </w:lvl>
    <w:lvl w:ilvl="5" w:tentative="0">
      <w:start w:val="0"/>
      <w:numFmt w:val="bullet"/>
      <w:lvlText w:val="•"/>
      <w:lvlJc w:val="left"/>
      <w:pPr>
        <w:ind w:left="5103" w:hanging="529"/>
      </w:pPr>
      <w:rPr>
        <w:rFonts w:hint="default"/>
        <w:lang w:val="zh-CN" w:eastAsia="zh-CN" w:bidi="zh-CN"/>
      </w:rPr>
    </w:lvl>
    <w:lvl w:ilvl="6" w:tentative="0">
      <w:start w:val="0"/>
      <w:numFmt w:val="bullet"/>
      <w:lvlText w:val="•"/>
      <w:lvlJc w:val="left"/>
      <w:pPr>
        <w:ind w:left="5911" w:hanging="529"/>
      </w:pPr>
      <w:rPr>
        <w:rFonts w:hint="default"/>
        <w:lang w:val="zh-CN" w:eastAsia="zh-CN" w:bidi="zh-CN"/>
      </w:rPr>
    </w:lvl>
    <w:lvl w:ilvl="7" w:tentative="0">
      <w:start w:val="0"/>
      <w:numFmt w:val="bullet"/>
      <w:lvlText w:val="•"/>
      <w:lvlJc w:val="left"/>
      <w:pPr>
        <w:ind w:left="6720" w:hanging="529"/>
      </w:pPr>
      <w:rPr>
        <w:rFonts w:hint="default"/>
        <w:lang w:val="zh-CN" w:eastAsia="zh-CN" w:bidi="zh-CN"/>
      </w:rPr>
    </w:lvl>
    <w:lvl w:ilvl="8" w:tentative="0">
      <w:start w:val="0"/>
      <w:numFmt w:val="bullet"/>
      <w:lvlText w:val="•"/>
      <w:lvlJc w:val="left"/>
      <w:pPr>
        <w:ind w:left="7529" w:hanging="529"/>
      </w:pPr>
      <w:rPr>
        <w:rFonts w:hint="default"/>
        <w:lang w:val="zh-CN" w:eastAsia="zh-CN" w:bidi="zh-CN"/>
      </w:rPr>
    </w:lvl>
  </w:abstractNum>
  <w:abstractNum w:abstractNumId="46">
    <w:nsid w:val="629F7852"/>
    <w:multiLevelType w:val="multilevel"/>
    <w:tmpl w:val="629F7852"/>
    <w:lvl w:ilvl="0" w:tentative="0">
      <w:start w:val="1"/>
      <w:numFmt w:val="decimal"/>
      <w:lvlText w:val="（%1）"/>
      <w:lvlJc w:val="left"/>
      <w:pPr>
        <w:ind w:left="106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868" w:hanging="529"/>
      </w:pPr>
      <w:rPr>
        <w:rFonts w:hint="default"/>
        <w:lang w:val="zh-CN" w:eastAsia="zh-CN" w:bidi="zh-CN"/>
      </w:rPr>
    </w:lvl>
    <w:lvl w:ilvl="2" w:tentative="0">
      <w:start w:val="0"/>
      <w:numFmt w:val="bullet"/>
      <w:lvlText w:val="•"/>
      <w:lvlJc w:val="left"/>
      <w:pPr>
        <w:ind w:left="2677" w:hanging="529"/>
      </w:pPr>
      <w:rPr>
        <w:rFonts w:hint="default"/>
        <w:lang w:val="zh-CN" w:eastAsia="zh-CN" w:bidi="zh-CN"/>
      </w:rPr>
    </w:lvl>
    <w:lvl w:ilvl="3" w:tentative="0">
      <w:start w:val="0"/>
      <w:numFmt w:val="bullet"/>
      <w:lvlText w:val="•"/>
      <w:lvlJc w:val="left"/>
      <w:pPr>
        <w:ind w:left="3485" w:hanging="529"/>
      </w:pPr>
      <w:rPr>
        <w:rFonts w:hint="default"/>
        <w:lang w:val="zh-CN" w:eastAsia="zh-CN" w:bidi="zh-CN"/>
      </w:rPr>
    </w:lvl>
    <w:lvl w:ilvl="4" w:tentative="0">
      <w:start w:val="0"/>
      <w:numFmt w:val="bullet"/>
      <w:lvlText w:val="•"/>
      <w:lvlJc w:val="left"/>
      <w:pPr>
        <w:ind w:left="4294" w:hanging="529"/>
      </w:pPr>
      <w:rPr>
        <w:rFonts w:hint="default"/>
        <w:lang w:val="zh-CN" w:eastAsia="zh-CN" w:bidi="zh-CN"/>
      </w:rPr>
    </w:lvl>
    <w:lvl w:ilvl="5" w:tentative="0">
      <w:start w:val="0"/>
      <w:numFmt w:val="bullet"/>
      <w:lvlText w:val="•"/>
      <w:lvlJc w:val="left"/>
      <w:pPr>
        <w:ind w:left="5103" w:hanging="529"/>
      </w:pPr>
      <w:rPr>
        <w:rFonts w:hint="default"/>
        <w:lang w:val="zh-CN" w:eastAsia="zh-CN" w:bidi="zh-CN"/>
      </w:rPr>
    </w:lvl>
    <w:lvl w:ilvl="6" w:tentative="0">
      <w:start w:val="0"/>
      <w:numFmt w:val="bullet"/>
      <w:lvlText w:val="•"/>
      <w:lvlJc w:val="left"/>
      <w:pPr>
        <w:ind w:left="5911" w:hanging="529"/>
      </w:pPr>
      <w:rPr>
        <w:rFonts w:hint="default"/>
        <w:lang w:val="zh-CN" w:eastAsia="zh-CN" w:bidi="zh-CN"/>
      </w:rPr>
    </w:lvl>
    <w:lvl w:ilvl="7" w:tentative="0">
      <w:start w:val="0"/>
      <w:numFmt w:val="bullet"/>
      <w:lvlText w:val="•"/>
      <w:lvlJc w:val="left"/>
      <w:pPr>
        <w:ind w:left="6720" w:hanging="529"/>
      </w:pPr>
      <w:rPr>
        <w:rFonts w:hint="default"/>
        <w:lang w:val="zh-CN" w:eastAsia="zh-CN" w:bidi="zh-CN"/>
      </w:rPr>
    </w:lvl>
    <w:lvl w:ilvl="8" w:tentative="0">
      <w:start w:val="0"/>
      <w:numFmt w:val="bullet"/>
      <w:lvlText w:val="•"/>
      <w:lvlJc w:val="left"/>
      <w:pPr>
        <w:ind w:left="7529" w:hanging="529"/>
      </w:pPr>
      <w:rPr>
        <w:rFonts w:hint="default"/>
        <w:lang w:val="zh-CN" w:eastAsia="zh-CN" w:bidi="zh-CN"/>
      </w:rPr>
    </w:lvl>
  </w:abstractNum>
  <w:abstractNum w:abstractNumId="47">
    <w:nsid w:val="72183CF9"/>
    <w:multiLevelType w:val="multilevel"/>
    <w:tmpl w:val="72183CF9"/>
    <w:lvl w:ilvl="0" w:tentative="0">
      <w:start w:val="1"/>
      <w:numFmt w:val="decimal"/>
      <w:lvlText w:val="%1"/>
      <w:lvlJc w:val="left"/>
      <w:pPr>
        <w:ind w:left="912" w:hanging="370"/>
      </w:pPr>
      <w:rPr>
        <w:rFonts w:hint="default"/>
        <w:lang w:val="zh-CN" w:eastAsia="zh-CN" w:bidi="zh-CN"/>
      </w:rPr>
    </w:lvl>
    <w:lvl w:ilvl="1" w:tentative="0">
      <w:start w:val="3"/>
      <w:numFmt w:val="decimal"/>
      <w:lvlText w:val="%1.%2"/>
      <w:lvlJc w:val="left"/>
      <w:pPr>
        <w:ind w:left="912" w:hanging="370"/>
      </w:pPr>
      <w:rPr>
        <w:rFonts w:hint="default" w:ascii="微软雅黑" w:hAnsi="微软雅黑" w:eastAsia="微软雅黑" w:cs="微软雅黑"/>
        <w:b/>
        <w:bCs/>
        <w:w w:val="99"/>
        <w:sz w:val="21"/>
        <w:szCs w:val="21"/>
        <w:lang w:val="zh-CN" w:eastAsia="zh-CN" w:bidi="zh-CN"/>
      </w:rPr>
    </w:lvl>
    <w:lvl w:ilvl="2" w:tentative="0">
      <w:start w:val="1"/>
      <w:numFmt w:val="decimal"/>
      <w:lvlText w:val="%1.%2.%3"/>
      <w:lvlJc w:val="left"/>
      <w:pPr>
        <w:ind w:left="120" w:hanging="579"/>
      </w:pPr>
      <w:rPr>
        <w:rFonts w:hint="default"/>
        <w:w w:val="100"/>
        <w:lang w:val="zh-CN" w:eastAsia="zh-CN" w:bidi="zh-CN"/>
      </w:rPr>
    </w:lvl>
    <w:lvl w:ilvl="3" w:tentative="0">
      <w:start w:val="0"/>
      <w:numFmt w:val="bullet"/>
      <w:lvlText w:val="•"/>
      <w:lvlJc w:val="left"/>
      <w:pPr>
        <w:ind w:left="2175" w:hanging="579"/>
      </w:pPr>
      <w:rPr>
        <w:rFonts w:hint="default"/>
        <w:lang w:val="zh-CN" w:eastAsia="zh-CN" w:bidi="zh-CN"/>
      </w:rPr>
    </w:lvl>
    <w:lvl w:ilvl="4" w:tentative="0">
      <w:start w:val="0"/>
      <w:numFmt w:val="bullet"/>
      <w:lvlText w:val="•"/>
      <w:lvlJc w:val="left"/>
      <w:pPr>
        <w:ind w:left="3171" w:hanging="579"/>
      </w:pPr>
      <w:rPr>
        <w:rFonts w:hint="default"/>
        <w:lang w:val="zh-CN" w:eastAsia="zh-CN" w:bidi="zh-CN"/>
      </w:rPr>
    </w:lvl>
    <w:lvl w:ilvl="5" w:tentative="0">
      <w:start w:val="0"/>
      <w:numFmt w:val="bullet"/>
      <w:lvlText w:val="•"/>
      <w:lvlJc w:val="left"/>
      <w:pPr>
        <w:ind w:left="4167" w:hanging="579"/>
      </w:pPr>
      <w:rPr>
        <w:rFonts w:hint="default"/>
        <w:lang w:val="zh-CN" w:eastAsia="zh-CN" w:bidi="zh-CN"/>
      </w:rPr>
    </w:lvl>
    <w:lvl w:ilvl="6" w:tentative="0">
      <w:start w:val="0"/>
      <w:numFmt w:val="bullet"/>
      <w:lvlText w:val="•"/>
      <w:lvlJc w:val="left"/>
      <w:pPr>
        <w:ind w:left="5163" w:hanging="579"/>
      </w:pPr>
      <w:rPr>
        <w:rFonts w:hint="default"/>
        <w:lang w:val="zh-CN" w:eastAsia="zh-CN" w:bidi="zh-CN"/>
      </w:rPr>
    </w:lvl>
    <w:lvl w:ilvl="7" w:tentative="0">
      <w:start w:val="0"/>
      <w:numFmt w:val="bullet"/>
      <w:lvlText w:val="•"/>
      <w:lvlJc w:val="left"/>
      <w:pPr>
        <w:ind w:left="6159" w:hanging="579"/>
      </w:pPr>
      <w:rPr>
        <w:rFonts w:hint="default"/>
        <w:lang w:val="zh-CN" w:eastAsia="zh-CN" w:bidi="zh-CN"/>
      </w:rPr>
    </w:lvl>
    <w:lvl w:ilvl="8" w:tentative="0">
      <w:start w:val="0"/>
      <w:numFmt w:val="bullet"/>
      <w:lvlText w:val="•"/>
      <w:lvlJc w:val="left"/>
      <w:pPr>
        <w:ind w:left="7154" w:hanging="579"/>
      </w:pPr>
      <w:rPr>
        <w:rFonts w:hint="default"/>
        <w:lang w:val="zh-CN" w:eastAsia="zh-CN" w:bidi="zh-CN"/>
      </w:rPr>
    </w:lvl>
  </w:abstractNum>
  <w:abstractNum w:abstractNumId="48">
    <w:nsid w:val="77ECEA79"/>
    <w:multiLevelType w:val="multilevel"/>
    <w:tmpl w:val="77ECEA79"/>
    <w:lvl w:ilvl="0" w:tentative="0">
      <w:start w:val="1"/>
      <w:numFmt w:val="decimal"/>
      <w:lvlText w:val="（%1）"/>
      <w:lvlJc w:val="left"/>
      <w:pPr>
        <w:ind w:left="120"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022" w:hanging="529"/>
      </w:pPr>
      <w:rPr>
        <w:rFonts w:hint="default"/>
        <w:lang w:val="zh-CN" w:eastAsia="zh-CN" w:bidi="zh-CN"/>
      </w:rPr>
    </w:lvl>
    <w:lvl w:ilvl="2" w:tentative="0">
      <w:start w:val="0"/>
      <w:numFmt w:val="bullet"/>
      <w:lvlText w:val="•"/>
      <w:lvlJc w:val="left"/>
      <w:pPr>
        <w:ind w:left="1925" w:hanging="529"/>
      </w:pPr>
      <w:rPr>
        <w:rFonts w:hint="default"/>
        <w:lang w:val="zh-CN" w:eastAsia="zh-CN" w:bidi="zh-CN"/>
      </w:rPr>
    </w:lvl>
    <w:lvl w:ilvl="3" w:tentative="0">
      <w:start w:val="0"/>
      <w:numFmt w:val="bullet"/>
      <w:lvlText w:val="•"/>
      <w:lvlJc w:val="left"/>
      <w:pPr>
        <w:ind w:left="2827" w:hanging="529"/>
      </w:pPr>
      <w:rPr>
        <w:rFonts w:hint="default"/>
        <w:lang w:val="zh-CN" w:eastAsia="zh-CN" w:bidi="zh-CN"/>
      </w:rPr>
    </w:lvl>
    <w:lvl w:ilvl="4" w:tentative="0">
      <w:start w:val="0"/>
      <w:numFmt w:val="bullet"/>
      <w:lvlText w:val="•"/>
      <w:lvlJc w:val="left"/>
      <w:pPr>
        <w:ind w:left="3730" w:hanging="529"/>
      </w:pPr>
      <w:rPr>
        <w:rFonts w:hint="default"/>
        <w:lang w:val="zh-CN" w:eastAsia="zh-CN" w:bidi="zh-CN"/>
      </w:rPr>
    </w:lvl>
    <w:lvl w:ilvl="5" w:tentative="0">
      <w:start w:val="0"/>
      <w:numFmt w:val="bullet"/>
      <w:lvlText w:val="•"/>
      <w:lvlJc w:val="left"/>
      <w:pPr>
        <w:ind w:left="4633" w:hanging="529"/>
      </w:pPr>
      <w:rPr>
        <w:rFonts w:hint="default"/>
        <w:lang w:val="zh-CN" w:eastAsia="zh-CN" w:bidi="zh-CN"/>
      </w:rPr>
    </w:lvl>
    <w:lvl w:ilvl="6" w:tentative="0">
      <w:start w:val="0"/>
      <w:numFmt w:val="bullet"/>
      <w:lvlText w:val="•"/>
      <w:lvlJc w:val="left"/>
      <w:pPr>
        <w:ind w:left="5535" w:hanging="529"/>
      </w:pPr>
      <w:rPr>
        <w:rFonts w:hint="default"/>
        <w:lang w:val="zh-CN" w:eastAsia="zh-CN" w:bidi="zh-CN"/>
      </w:rPr>
    </w:lvl>
    <w:lvl w:ilvl="7" w:tentative="0">
      <w:start w:val="0"/>
      <w:numFmt w:val="bullet"/>
      <w:lvlText w:val="•"/>
      <w:lvlJc w:val="left"/>
      <w:pPr>
        <w:ind w:left="6438" w:hanging="529"/>
      </w:pPr>
      <w:rPr>
        <w:rFonts w:hint="default"/>
        <w:lang w:val="zh-CN" w:eastAsia="zh-CN" w:bidi="zh-CN"/>
      </w:rPr>
    </w:lvl>
    <w:lvl w:ilvl="8" w:tentative="0">
      <w:start w:val="0"/>
      <w:numFmt w:val="bullet"/>
      <w:lvlText w:val="•"/>
      <w:lvlJc w:val="left"/>
      <w:pPr>
        <w:ind w:left="7341" w:hanging="529"/>
      </w:pPr>
      <w:rPr>
        <w:rFonts w:hint="default"/>
        <w:lang w:val="zh-CN" w:eastAsia="zh-CN" w:bidi="zh-CN"/>
      </w:rPr>
    </w:lvl>
  </w:abstractNum>
  <w:abstractNum w:abstractNumId="49">
    <w:nsid w:val="78BE1A1B"/>
    <w:multiLevelType w:val="singleLevel"/>
    <w:tmpl w:val="78BE1A1B"/>
    <w:lvl w:ilvl="0" w:tentative="0">
      <w:start w:val="1"/>
      <w:numFmt w:val="upperLetter"/>
      <w:lvlText w:val="%1."/>
      <w:lvlJc w:val="left"/>
      <w:pPr>
        <w:ind w:left="425" w:hanging="425"/>
      </w:pPr>
      <w:rPr>
        <w:rFonts w:hint="default"/>
      </w:rPr>
    </w:lvl>
  </w:abstractNum>
  <w:abstractNum w:abstractNumId="50">
    <w:nsid w:val="7C246926"/>
    <w:multiLevelType w:val="multilevel"/>
    <w:tmpl w:val="7C246926"/>
    <w:lvl w:ilvl="0" w:tentative="0">
      <w:start w:val="14"/>
      <w:numFmt w:val="decimal"/>
      <w:lvlText w:val="%1"/>
      <w:lvlJc w:val="left"/>
      <w:pPr>
        <w:ind w:left="1070" w:hanging="528"/>
      </w:pPr>
      <w:rPr>
        <w:rFonts w:hint="default"/>
        <w:lang w:val="zh-CN" w:eastAsia="zh-CN" w:bidi="zh-CN"/>
      </w:rPr>
    </w:lvl>
    <w:lvl w:ilvl="1" w:tentative="0">
      <w:start w:val="4"/>
      <w:numFmt w:val="decimal"/>
      <w:lvlText w:val="%1.%2"/>
      <w:lvlJc w:val="left"/>
      <w:pPr>
        <w:ind w:left="1070" w:hanging="528"/>
      </w:pPr>
      <w:rPr>
        <w:rFonts w:hint="default" w:ascii="微软雅黑" w:hAnsi="微软雅黑" w:eastAsia="微软雅黑" w:cs="微软雅黑"/>
        <w:b/>
        <w:bCs/>
        <w:w w:val="94"/>
        <w:sz w:val="21"/>
        <w:szCs w:val="21"/>
        <w:lang w:val="zh-CN" w:eastAsia="zh-CN" w:bidi="zh-CN"/>
      </w:rPr>
    </w:lvl>
    <w:lvl w:ilvl="2" w:tentative="0">
      <w:start w:val="1"/>
      <w:numFmt w:val="decimal"/>
      <w:lvlText w:val="%1.%2.%3"/>
      <w:lvlJc w:val="left"/>
      <w:pPr>
        <w:ind w:left="1277" w:hanging="737"/>
      </w:pPr>
      <w:rPr>
        <w:rFonts w:hint="default" w:ascii="宋体" w:hAnsi="宋体" w:eastAsia="宋体" w:cs="宋体"/>
        <w:w w:val="100"/>
        <w:sz w:val="21"/>
        <w:szCs w:val="21"/>
        <w:lang w:val="zh-CN" w:eastAsia="zh-CN" w:bidi="zh-CN"/>
      </w:rPr>
    </w:lvl>
    <w:lvl w:ilvl="3" w:tentative="0">
      <w:start w:val="0"/>
      <w:numFmt w:val="bullet"/>
      <w:lvlText w:val="•"/>
      <w:lvlJc w:val="left"/>
      <w:pPr>
        <w:ind w:left="3028" w:hanging="737"/>
      </w:pPr>
      <w:rPr>
        <w:rFonts w:hint="default"/>
        <w:lang w:val="zh-CN" w:eastAsia="zh-CN" w:bidi="zh-CN"/>
      </w:rPr>
    </w:lvl>
    <w:lvl w:ilvl="4" w:tentative="0">
      <w:start w:val="0"/>
      <w:numFmt w:val="bullet"/>
      <w:lvlText w:val="•"/>
      <w:lvlJc w:val="left"/>
      <w:pPr>
        <w:ind w:left="3902" w:hanging="737"/>
      </w:pPr>
      <w:rPr>
        <w:rFonts w:hint="default"/>
        <w:lang w:val="zh-CN" w:eastAsia="zh-CN" w:bidi="zh-CN"/>
      </w:rPr>
    </w:lvl>
    <w:lvl w:ilvl="5" w:tentative="0">
      <w:start w:val="0"/>
      <w:numFmt w:val="bullet"/>
      <w:lvlText w:val="•"/>
      <w:lvlJc w:val="left"/>
      <w:pPr>
        <w:ind w:left="4776" w:hanging="737"/>
      </w:pPr>
      <w:rPr>
        <w:rFonts w:hint="default"/>
        <w:lang w:val="zh-CN" w:eastAsia="zh-CN" w:bidi="zh-CN"/>
      </w:rPr>
    </w:lvl>
    <w:lvl w:ilvl="6" w:tentative="0">
      <w:start w:val="0"/>
      <w:numFmt w:val="bullet"/>
      <w:lvlText w:val="•"/>
      <w:lvlJc w:val="left"/>
      <w:pPr>
        <w:ind w:left="5650" w:hanging="737"/>
      </w:pPr>
      <w:rPr>
        <w:rFonts w:hint="default"/>
        <w:lang w:val="zh-CN" w:eastAsia="zh-CN" w:bidi="zh-CN"/>
      </w:rPr>
    </w:lvl>
    <w:lvl w:ilvl="7" w:tentative="0">
      <w:start w:val="0"/>
      <w:numFmt w:val="bullet"/>
      <w:lvlText w:val="•"/>
      <w:lvlJc w:val="left"/>
      <w:pPr>
        <w:ind w:left="6524" w:hanging="737"/>
      </w:pPr>
      <w:rPr>
        <w:rFonts w:hint="default"/>
        <w:lang w:val="zh-CN" w:eastAsia="zh-CN" w:bidi="zh-CN"/>
      </w:rPr>
    </w:lvl>
    <w:lvl w:ilvl="8" w:tentative="0">
      <w:start w:val="0"/>
      <w:numFmt w:val="bullet"/>
      <w:lvlText w:val="•"/>
      <w:lvlJc w:val="left"/>
      <w:pPr>
        <w:ind w:left="7398" w:hanging="737"/>
      </w:pPr>
      <w:rPr>
        <w:rFonts w:hint="default"/>
        <w:lang w:val="zh-CN" w:eastAsia="zh-CN" w:bidi="zh-CN"/>
      </w:rPr>
    </w:lvl>
  </w:abstractNum>
  <w:abstractNum w:abstractNumId="51">
    <w:nsid w:val="7DEC2089"/>
    <w:multiLevelType w:val="multilevel"/>
    <w:tmpl w:val="7DEC2089"/>
    <w:lvl w:ilvl="0" w:tentative="0">
      <w:start w:val="1"/>
      <w:numFmt w:val="decimal"/>
      <w:lvlText w:val="（%1）"/>
      <w:lvlJc w:val="left"/>
      <w:pPr>
        <w:ind w:left="106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1868" w:hanging="529"/>
      </w:pPr>
      <w:rPr>
        <w:rFonts w:hint="default"/>
        <w:lang w:val="zh-CN" w:eastAsia="zh-CN" w:bidi="zh-CN"/>
      </w:rPr>
    </w:lvl>
    <w:lvl w:ilvl="2" w:tentative="0">
      <w:start w:val="0"/>
      <w:numFmt w:val="bullet"/>
      <w:lvlText w:val="•"/>
      <w:lvlJc w:val="left"/>
      <w:pPr>
        <w:ind w:left="2677" w:hanging="529"/>
      </w:pPr>
      <w:rPr>
        <w:rFonts w:hint="default"/>
        <w:lang w:val="zh-CN" w:eastAsia="zh-CN" w:bidi="zh-CN"/>
      </w:rPr>
    </w:lvl>
    <w:lvl w:ilvl="3" w:tentative="0">
      <w:start w:val="0"/>
      <w:numFmt w:val="bullet"/>
      <w:lvlText w:val="•"/>
      <w:lvlJc w:val="left"/>
      <w:pPr>
        <w:ind w:left="3485" w:hanging="529"/>
      </w:pPr>
      <w:rPr>
        <w:rFonts w:hint="default"/>
        <w:lang w:val="zh-CN" w:eastAsia="zh-CN" w:bidi="zh-CN"/>
      </w:rPr>
    </w:lvl>
    <w:lvl w:ilvl="4" w:tentative="0">
      <w:start w:val="0"/>
      <w:numFmt w:val="bullet"/>
      <w:lvlText w:val="•"/>
      <w:lvlJc w:val="left"/>
      <w:pPr>
        <w:ind w:left="4294" w:hanging="529"/>
      </w:pPr>
      <w:rPr>
        <w:rFonts w:hint="default"/>
        <w:lang w:val="zh-CN" w:eastAsia="zh-CN" w:bidi="zh-CN"/>
      </w:rPr>
    </w:lvl>
    <w:lvl w:ilvl="5" w:tentative="0">
      <w:start w:val="0"/>
      <w:numFmt w:val="bullet"/>
      <w:lvlText w:val="•"/>
      <w:lvlJc w:val="left"/>
      <w:pPr>
        <w:ind w:left="5103" w:hanging="529"/>
      </w:pPr>
      <w:rPr>
        <w:rFonts w:hint="default"/>
        <w:lang w:val="zh-CN" w:eastAsia="zh-CN" w:bidi="zh-CN"/>
      </w:rPr>
    </w:lvl>
    <w:lvl w:ilvl="6" w:tentative="0">
      <w:start w:val="0"/>
      <w:numFmt w:val="bullet"/>
      <w:lvlText w:val="•"/>
      <w:lvlJc w:val="left"/>
      <w:pPr>
        <w:ind w:left="5911" w:hanging="529"/>
      </w:pPr>
      <w:rPr>
        <w:rFonts w:hint="default"/>
        <w:lang w:val="zh-CN" w:eastAsia="zh-CN" w:bidi="zh-CN"/>
      </w:rPr>
    </w:lvl>
    <w:lvl w:ilvl="7" w:tentative="0">
      <w:start w:val="0"/>
      <w:numFmt w:val="bullet"/>
      <w:lvlText w:val="•"/>
      <w:lvlJc w:val="left"/>
      <w:pPr>
        <w:ind w:left="6720" w:hanging="529"/>
      </w:pPr>
      <w:rPr>
        <w:rFonts w:hint="default"/>
        <w:lang w:val="zh-CN" w:eastAsia="zh-CN" w:bidi="zh-CN"/>
      </w:rPr>
    </w:lvl>
    <w:lvl w:ilvl="8" w:tentative="0">
      <w:start w:val="0"/>
      <w:numFmt w:val="bullet"/>
      <w:lvlText w:val="•"/>
      <w:lvlJc w:val="left"/>
      <w:pPr>
        <w:ind w:left="7529" w:hanging="529"/>
      </w:pPr>
      <w:rPr>
        <w:rFonts w:hint="default"/>
        <w:lang w:val="zh-CN" w:eastAsia="zh-CN" w:bidi="zh-CN"/>
      </w:rPr>
    </w:lvl>
  </w:abstractNum>
  <w:num w:numId="1">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9"/>
  </w:num>
  <w:num w:numId="4">
    <w:abstractNumId w:val="43"/>
  </w:num>
  <w:num w:numId="5">
    <w:abstractNumId w:val="17"/>
  </w:num>
  <w:num w:numId="6">
    <w:abstractNumId w:val="34"/>
  </w:num>
  <w:num w:numId="7">
    <w:abstractNumId w:val="49"/>
  </w:num>
  <w:num w:numId="8">
    <w:abstractNumId w:val="41"/>
  </w:num>
  <w:num w:numId="9">
    <w:abstractNumId w:val="1"/>
  </w:num>
  <w:num w:numId="10">
    <w:abstractNumId w:val="25"/>
  </w:num>
  <w:num w:numId="11">
    <w:abstractNumId w:val="27"/>
  </w:num>
  <w:num w:numId="12">
    <w:abstractNumId w:val="28"/>
  </w:num>
  <w:num w:numId="13">
    <w:abstractNumId w:val="23"/>
  </w:num>
  <w:num w:numId="14">
    <w:abstractNumId w:val="22"/>
  </w:num>
  <w:num w:numId="15">
    <w:abstractNumId w:val="31"/>
  </w:num>
  <w:num w:numId="16">
    <w:abstractNumId w:val="47"/>
  </w:num>
  <w:num w:numId="17">
    <w:abstractNumId w:val="21"/>
  </w:num>
  <w:num w:numId="18">
    <w:abstractNumId w:val="3"/>
  </w:num>
  <w:num w:numId="19">
    <w:abstractNumId w:val="32"/>
  </w:num>
  <w:num w:numId="20">
    <w:abstractNumId w:val="12"/>
  </w:num>
  <w:num w:numId="21">
    <w:abstractNumId w:val="11"/>
  </w:num>
  <w:num w:numId="22">
    <w:abstractNumId w:val="39"/>
  </w:num>
  <w:num w:numId="23">
    <w:abstractNumId w:val="18"/>
  </w:num>
  <w:num w:numId="24">
    <w:abstractNumId w:val="30"/>
  </w:num>
  <w:num w:numId="25">
    <w:abstractNumId w:val="15"/>
  </w:num>
  <w:num w:numId="26">
    <w:abstractNumId w:val="13"/>
  </w:num>
  <w:num w:numId="27">
    <w:abstractNumId w:val="14"/>
  </w:num>
  <w:num w:numId="28">
    <w:abstractNumId w:val="5"/>
  </w:num>
  <w:num w:numId="29">
    <w:abstractNumId w:val="38"/>
  </w:num>
  <w:num w:numId="30">
    <w:abstractNumId w:val="45"/>
  </w:num>
  <w:num w:numId="31">
    <w:abstractNumId w:val="26"/>
  </w:num>
  <w:num w:numId="32">
    <w:abstractNumId w:val="37"/>
  </w:num>
  <w:num w:numId="33">
    <w:abstractNumId w:val="8"/>
  </w:num>
  <w:num w:numId="34">
    <w:abstractNumId w:val="50"/>
  </w:num>
  <w:num w:numId="35">
    <w:abstractNumId w:val="48"/>
  </w:num>
  <w:num w:numId="36">
    <w:abstractNumId w:val="10"/>
  </w:num>
  <w:num w:numId="37">
    <w:abstractNumId w:val="46"/>
  </w:num>
  <w:num w:numId="38">
    <w:abstractNumId w:val="4"/>
  </w:num>
  <w:num w:numId="39">
    <w:abstractNumId w:val="36"/>
  </w:num>
  <w:num w:numId="40">
    <w:abstractNumId w:val="2"/>
  </w:num>
  <w:num w:numId="41">
    <w:abstractNumId w:val="44"/>
  </w:num>
  <w:num w:numId="42">
    <w:abstractNumId w:val="51"/>
  </w:num>
  <w:num w:numId="43">
    <w:abstractNumId w:val="0"/>
  </w:num>
  <w:num w:numId="44">
    <w:abstractNumId w:val="29"/>
  </w:num>
  <w:num w:numId="45">
    <w:abstractNumId w:val="40"/>
  </w:num>
  <w:num w:numId="46">
    <w:abstractNumId w:val="19"/>
  </w:num>
  <w:num w:numId="47">
    <w:abstractNumId w:val="16"/>
  </w:num>
  <w:num w:numId="48">
    <w:abstractNumId w:val="35"/>
  </w:num>
  <w:num w:numId="49">
    <w:abstractNumId w:val="6"/>
  </w:num>
  <w:num w:numId="50">
    <w:abstractNumId w:val="7"/>
  </w:num>
  <w:num w:numId="51">
    <w:abstractNumId w:val="20"/>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MzdiY2VkOTRkNTJhMWE1MDJjMzg3NDlmOGE3YTcifQ=="/>
  </w:docVars>
  <w:rsids>
    <w:rsidRoot w:val="000476C9"/>
    <w:rsid w:val="00026639"/>
    <w:rsid w:val="000428A4"/>
    <w:rsid w:val="00045082"/>
    <w:rsid w:val="000476C9"/>
    <w:rsid w:val="00057290"/>
    <w:rsid w:val="00062802"/>
    <w:rsid w:val="000668F4"/>
    <w:rsid w:val="00067E63"/>
    <w:rsid w:val="000777ED"/>
    <w:rsid w:val="0008223B"/>
    <w:rsid w:val="000839A5"/>
    <w:rsid w:val="000A66D4"/>
    <w:rsid w:val="000B6609"/>
    <w:rsid w:val="000D3F0A"/>
    <w:rsid w:val="000F3D11"/>
    <w:rsid w:val="000F7C87"/>
    <w:rsid w:val="00144FBB"/>
    <w:rsid w:val="0014612A"/>
    <w:rsid w:val="001510F6"/>
    <w:rsid w:val="00151F1C"/>
    <w:rsid w:val="00166AC7"/>
    <w:rsid w:val="00167C0A"/>
    <w:rsid w:val="00175831"/>
    <w:rsid w:val="001B0DAA"/>
    <w:rsid w:val="001C2871"/>
    <w:rsid w:val="001C302C"/>
    <w:rsid w:val="001C79C0"/>
    <w:rsid w:val="001F7133"/>
    <w:rsid w:val="002116E6"/>
    <w:rsid w:val="00240A62"/>
    <w:rsid w:val="00240D24"/>
    <w:rsid w:val="002425B6"/>
    <w:rsid w:val="00244C65"/>
    <w:rsid w:val="00275FFB"/>
    <w:rsid w:val="0029733A"/>
    <w:rsid w:val="002B2621"/>
    <w:rsid w:val="002B3271"/>
    <w:rsid w:val="002C1748"/>
    <w:rsid w:val="002F4BF0"/>
    <w:rsid w:val="003227E0"/>
    <w:rsid w:val="00330614"/>
    <w:rsid w:val="003474C9"/>
    <w:rsid w:val="00363034"/>
    <w:rsid w:val="00367CE5"/>
    <w:rsid w:val="003B17BC"/>
    <w:rsid w:val="003B770D"/>
    <w:rsid w:val="003C64AF"/>
    <w:rsid w:val="00400DE3"/>
    <w:rsid w:val="00405225"/>
    <w:rsid w:val="004175D9"/>
    <w:rsid w:val="00424164"/>
    <w:rsid w:val="00444F73"/>
    <w:rsid w:val="004663C9"/>
    <w:rsid w:val="004816EF"/>
    <w:rsid w:val="00494ADB"/>
    <w:rsid w:val="004A0225"/>
    <w:rsid w:val="004A10A5"/>
    <w:rsid w:val="004C0E37"/>
    <w:rsid w:val="004E24D6"/>
    <w:rsid w:val="004F456D"/>
    <w:rsid w:val="005005A2"/>
    <w:rsid w:val="00505C81"/>
    <w:rsid w:val="00532B08"/>
    <w:rsid w:val="00537B29"/>
    <w:rsid w:val="00545DE5"/>
    <w:rsid w:val="00547A1E"/>
    <w:rsid w:val="0057333D"/>
    <w:rsid w:val="00577257"/>
    <w:rsid w:val="005917E6"/>
    <w:rsid w:val="005F53E0"/>
    <w:rsid w:val="00602D3C"/>
    <w:rsid w:val="00640840"/>
    <w:rsid w:val="006710DA"/>
    <w:rsid w:val="006757C8"/>
    <w:rsid w:val="00681BD2"/>
    <w:rsid w:val="00683439"/>
    <w:rsid w:val="00684BC4"/>
    <w:rsid w:val="006871EC"/>
    <w:rsid w:val="006A1042"/>
    <w:rsid w:val="006A6D27"/>
    <w:rsid w:val="006C0FCE"/>
    <w:rsid w:val="006F7044"/>
    <w:rsid w:val="00721A87"/>
    <w:rsid w:val="0074045A"/>
    <w:rsid w:val="00746795"/>
    <w:rsid w:val="00760939"/>
    <w:rsid w:val="00776356"/>
    <w:rsid w:val="00776D6D"/>
    <w:rsid w:val="007D68EE"/>
    <w:rsid w:val="007E7F11"/>
    <w:rsid w:val="00824EE4"/>
    <w:rsid w:val="008365BA"/>
    <w:rsid w:val="008366DB"/>
    <w:rsid w:val="00877FEF"/>
    <w:rsid w:val="008A164C"/>
    <w:rsid w:val="008A2295"/>
    <w:rsid w:val="008A74D6"/>
    <w:rsid w:val="008B33FD"/>
    <w:rsid w:val="008B4442"/>
    <w:rsid w:val="008B5E4B"/>
    <w:rsid w:val="008C1362"/>
    <w:rsid w:val="008D726A"/>
    <w:rsid w:val="008F29F6"/>
    <w:rsid w:val="009137FC"/>
    <w:rsid w:val="009214B1"/>
    <w:rsid w:val="0094369A"/>
    <w:rsid w:val="0094730E"/>
    <w:rsid w:val="00952BE2"/>
    <w:rsid w:val="00957CB3"/>
    <w:rsid w:val="0098087D"/>
    <w:rsid w:val="00986758"/>
    <w:rsid w:val="009C39BA"/>
    <w:rsid w:val="009E0CA4"/>
    <w:rsid w:val="009E77D6"/>
    <w:rsid w:val="009F0E01"/>
    <w:rsid w:val="009F295D"/>
    <w:rsid w:val="009F4DFC"/>
    <w:rsid w:val="00A022B7"/>
    <w:rsid w:val="00A04EA5"/>
    <w:rsid w:val="00A1156B"/>
    <w:rsid w:val="00A143D4"/>
    <w:rsid w:val="00A50E03"/>
    <w:rsid w:val="00A54A54"/>
    <w:rsid w:val="00A652EC"/>
    <w:rsid w:val="00A742B5"/>
    <w:rsid w:val="00AA061B"/>
    <w:rsid w:val="00AC1B4B"/>
    <w:rsid w:val="00AC733B"/>
    <w:rsid w:val="00AE17B1"/>
    <w:rsid w:val="00B058D0"/>
    <w:rsid w:val="00B17953"/>
    <w:rsid w:val="00B22A6B"/>
    <w:rsid w:val="00B67F2B"/>
    <w:rsid w:val="00B77E67"/>
    <w:rsid w:val="00B8451B"/>
    <w:rsid w:val="00B84663"/>
    <w:rsid w:val="00B87CE2"/>
    <w:rsid w:val="00B917D6"/>
    <w:rsid w:val="00B95178"/>
    <w:rsid w:val="00BB7B8B"/>
    <w:rsid w:val="00BE5B5A"/>
    <w:rsid w:val="00BF349F"/>
    <w:rsid w:val="00C209FF"/>
    <w:rsid w:val="00C20AB3"/>
    <w:rsid w:val="00C21D32"/>
    <w:rsid w:val="00C33F2B"/>
    <w:rsid w:val="00C42BBA"/>
    <w:rsid w:val="00C52C39"/>
    <w:rsid w:val="00C62744"/>
    <w:rsid w:val="00C81774"/>
    <w:rsid w:val="00D06B18"/>
    <w:rsid w:val="00D0723E"/>
    <w:rsid w:val="00D14936"/>
    <w:rsid w:val="00D27FF1"/>
    <w:rsid w:val="00D32D28"/>
    <w:rsid w:val="00D3404E"/>
    <w:rsid w:val="00D370B2"/>
    <w:rsid w:val="00D44259"/>
    <w:rsid w:val="00D6125F"/>
    <w:rsid w:val="00D96027"/>
    <w:rsid w:val="00DA1EA6"/>
    <w:rsid w:val="00DA25C6"/>
    <w:rsid w:val="00DB20ED"/>
    <w:rsid w:val="00DC05CB"/>
    <w:rsid w:val="00DD797C"/>
    <w:rsid w:val="00DE0AFC"/>
    <w:rsid w:val="00E05171"/>
    <w:rsid w:val="00E1171E"/>
    <w:rsid w:val="00E17396"/>
    <w:rsid w:val="00E36BAB"/>
    <w:rsid w:val="00E36E21"/>
    <w:rsid w:val="00E44227"/>
    <w:rsid w:val="00E65C33"/>
    <w:rsid w:val="00E73AA8"/>
    <w:rsid w:val="00E91BE1"/>
    <w:rsid w:val="00EA0870"/>
    <w:rsid w:val="00EB028B"/>
    <w:rsid w:val="00ED53DC"/>
    <w:rsid w:val="00F221C4"/>
    <w:rsid w:val="00F30D99"/>
    <w:rsid w:val="00F44504"/>
    <w:rsid w:val="00F45A60"/>
    <w:rsid w:val="00F5582E"/>
    <w:rsid w:val="00F750C2"/>
    <w:rsid w:val="00F93F1C"/>
    <w:rsid w:val="00FB1B50"/>
    <w:rsid w:val="00FC7F95"/>
    <w:rsid w:val="00FD30DF"/>
    <w:rsid w:val="00FD787E"/>
    <w:rsid w:val="0261487E"/>
    <w:rsid w:val="02683E33"/>
    <w:rsid w:val="026B74AB"/>
    <w:rsid w:val="02A8425B"/>
    <w:rsid w:val="033474C3"/>
    <w:rsid w:val="03682B05"/>
    <w:rsid w:val="03B634FC"/>
    <w:rsid w:val="043F474B"/>
    <w:rsid w:val="04775247"/>
    <w:rsid w:val="05616943"/>
    <w:rsid w:val="05CD222A"/>
    <w:rsid w:val="07666648"/>
    <w:rsid w:val="07FB3A7C"/>
    <w:rsid w:val="08346591"/>
    <w:rsid w:val="08365E65"/>
    <w:rsid w:val="084D31AF"/>
    <w:rsid w:val="08B827E5"/>
    <w:rsid w:val="096E7880"/>
    <w:rsid w:val="099217C1"/>
    <w:rsid w:val="09CA5076"/>
    <w:rsid w:val="09D0027E"/>
    <w:rsid w:val="0A32599C"/>
    <w:rsid w:val="0A6F3657"/>
    <w:rsid w:val="0AC4092A"/>
    <w:rsid w:val="0B6E1DBA"/>
    <w:rsid w:val="0BC8771C"/>
    <w:rsid w:val="0BE73B95"/>
    <w:rsid w:val="0C736DC1"/>
    <w:rsid w:val="0CF14A50"/>
    <w:rsid w:val="0D123874"/>
    <w:rsid w:val="0D8B0A01"/>
    <w:rsid w:val="0D8E04F1"/>
    <w:rsid w:val="0E097122"/>
    <w:rsid w:val="1033098C"/>
    <w:rsid w:val="104D3C95"/>
    <w:rsid w:val="107D490A"/>
    <w:rsid w:val="11CB5870"/>
    <w:rsid w:val="120558E8"/>
    <w:rsid w:val="12F07D73"/>
    <w:rsid w:val="13D7181C"/>
    <w:rsid w:val="148D505F"/>
    <w:rsid w:val="158B6F91"/>
    <w:rsid w:val="17214184"/>
    <w:rsid w:val="173739A8"/>
    <w:rsid w:val="17A54DB5"/>
    <w:rsid w:val="17C52D3B"/>
    <w:rsid w:val="18115FA7"/>
    <w:rsid w:val="18624A54"/>
    <w:rsid w:val="19E8040E"/>
    <w:rsid w:val="1A1A3838"/>
    <w:rsid w:val="1A3C32CC"/>
    <w:rsid w:val="1AC75E17"/>
    <w:rsid w:val="1ACE4623"/>
    <w:rsid w:val="1ADF3C68"/>
    <w:rsid w:val="1AF7023B"/>
    <w:rsid w:val="1B2E70E0"/>
    <w:rsid w:val="1BC91153"/>
    <w:rsid w:val="1D0E3BAD"/>
    <w:rsid w:val="1D67299C"/>
    <w:rsid w:val="1E0C3498"/>
    <w:rsid w:val="1EB8717C"/>
    <w:rsid w:val="1F065B0A"/>
    <w:rsid w:val="1FE36F56"/>
    <w:rsid w:val="21E604A4"/>
    <w:rsid w:val="22B9223E"/>
    <w:rsid w:val="22EA7B20"/>
    <w:rsid w:val="236230E8"/>
    <w:rsid w:val="23EE53EE"/>
    <w:rsid w:val="24082954"/>
    <w:rsid w:val="25934EDA"/>
    <w:rsid w:val="26344643"/>
    <w:rsid w:val="26615A22"/>
    <w:rsid w:val="26E56F7C"/>
    <w:rsid w:val="270412FE"/>
    <w:rsid w:val="2751713C"/>
    <w:rsid w:val="28052F80"/>
    <w:rsid w:val="28416434"/>
    <w:rsid w:val="28AF15F0"/>
    <w:rsid w:val="2967011C"/>
    <w:rsid w:val="29704C13"/>
    <w:rsid w:val="29836F76"/>
    <w:rsid w:val="2A20567B"/>
    <w:rsid w:val="2ABB39C8"/>
    <w:rsid w:val="2D7B23E8"/>
    <w:rsid w:val="2E8F3DE9"/>
    <w:rsid w:val="2FF479A2"/>
    <w:rsid w:val="3184574F"/>
    <w:rsid w:val="31A8136A"/>
    <w:rsid w:val="334E5EA9"/>
    <w:rsid w:val="33D939C5"/>
    <w:rsid w:val="346E6803"/>
    <w:rsid w:val="34813A56"/>
    <w:rsid w:val="34935457"/>
    <w:rsid w:val="35396A06"/>
    <w:rsid w:val="354A72A2"/>
    <w:rsid w:val="35E841C9"/>
    <w:rsid w:val="373115A2"/>
    <w:rsid w:val="3772660A"/>
    <w:rsid w:val="384A4E91"/>
    <w:rsid w:val="38DE5815"/>
    <w:rsid w:val="393618B9"/>
    <w:rsid w:val="398145D8"/>
    <w:rsid w:val="398C5752"/>
    <w:rsid w:val="3A7C32FC"/>
    <w:rsid w:val="3A9E7D64"/>
    <w:rsid w:val="3CBD0327"/>
    <w:rsid w:val="3CFF3BB8"/>
    <w:rsid w:val="3D0F14E0"/>
    <w:rsid w:val="3DFD4754"/>
    <w:rsid w:val="3E0E4FC4"/>
    <w:rsid w:val="3F250D09"/>
    <w:rsid w:val="3F292537"/>
    <w:rsid w:val="3F803D73"/>
    <w:rsid w:val="40662A84"/>
    <w:rsid w:val="406E1939"/>
    <w:rsid w:val="408A49C4"/>
    <w:rsid w:val="41BD705C"/>
    <w:rsid w:val="43A83DBD"/>
    <w:rsid w:val="43B14016"/>
    <w:rsid w:val="44DD0E3B"/>
    <w:rsid w:val="44DE1B08"/>
    <w:rsid w:val="45062140"/>
    <w:rsid w:val="453B198D"/>
    <w:rsid w:val="454E4A2F"/>
    <w:rsid w:val="45592BB7"/>
    <w:rsid w:val="45B218B9"/>
    <w:rsid w:val="45EA50CF"/>
    <w:rsid w:val="46803DD6"/>
    <w:rsid w:val="47180995"/>
    <w:rsid w:val="47FC5738"/>
    <w:rsid w:val="48390A7E"/>
    <w:rsid w:val="48C664C1"/>
    <w:rsid w:val="491A265E"/>
    <w:rsid w:val="493E7AD8"/>
    <w:rsid w:val="497E5577"/>
    <w:rsid w:val="4A1543F7"/>
    <w:rsid w:val="4A16259C"/>
    <w:rsid w:val="4AEB2504"/>
    <w:rsid w:val="4B151633"/>
    <w:rsid w:val="4B534597"/>
    <w:rsid w:val="4B907CAA"/>
    <w:rsid w:val="4C211691"/>
    <w:rsid w:val="4C22541C"/>
    <w:rsid w:val="4D3C7046"/>
    <w:rsid w:val="4DF1796D"/>
    <w:rsid w:val="4E1651F5"/>
    <w:rsid w:val="4F1A33B7"/>
    <w:rsid w:val="4FA17635"/>
    <w:rsid w:val="4FD02101"/>
    <w:rsid w:val="508B425D"/>
    <w:rsid w:val="50D0616C"/>
    <w:rsid w:val="50D64387"/>
    <w:rsid w:val="50E53551"/>
    <w:rsid w:val="51A12392"/>
    <w:rsid w:val="51BD3AB4"/>
    <w:rsid w:val="52470938"/>
    <w:rsid w:val="524B02A0"/>
    <w:rsid w:val="52A02E49"/>
    <w:rsid w:val="52B256B5"/>
    <w:rsid w:val="52BF26C9"/>
    <w:rsid w:val="52C35B14"/>
    <w:rsid w:val="53AF7E46"/>
    <w:rsid w:val="54AE5A8C"/>
    <w:rsid w:val="551560C9"/>
    <w:rsid w:val="55825812"/>
    <w:rsid w:val="55B61960"/>
    <w:rsid w:val="57B1418D"/>
    <w:rsid w:val="58501BF8"/>
    <w:rsid w:val="58AB6A17"/>
    <w:rsid w:val="58CD392E"/>
    <w:rsid w:val="593353A4"/>
    <w:rsid w:val="593F66A5"/>
    <w:rsid w:val="5AB64AFF"/>
    <w:rsid w:val="5AFC2688"/>
    <w:rsid w:val="5B5834AB"/>
    <w:rsid w:val="5BED59B0"/>
    <w:rsid w:val="5C007491"/>
    <w:rsid w:val="5C7D31D8"/>
    <w:rsid w:val="5DD666D1"/>
    <w:rsid w:val="5DE352BC"/>
    <w:rsid w:val="5DFE5C52"/>
    <w:rsid w:val="5E0E7853"/>
    <w:rsid w:val="5E2356B9"/>
    <w:rsid w:val="5ECE1C7D"/>
    <w:rsid w:val="5F681F1D"/>
    <w:rsid w:val="5F83325D"/>
    <w:rsid w:val="5FDA624B"/>
    <w:rsid w:val="60386A57"/>
    <w:rsid w:val="617E77D6"/>
    <w:rsid w:val="6247450C"/>
    <w:rsid w:val="626A2EA0"/>
    <w:rsid w:val="633839B4"/>
    <w:rsid w:val="639C2195"/>
    <w:rsid w:val="65662F0A"/>
    <w:rsid w:val="658A148C"/>
    <w:rsid w:val="65D5198E"/>
    <w:rsid w:val="66154366"/>
    <w:rsid w:val="662D3578"/>
    <w:rsid w:val="6659080D"/>
    <w:rsid w:val="666B0DCC"/>
    <w:rsid w:val="6707201B"/>
    <w:rsid w:val="67373FBB"/>
    <w:rsid w:val="68776D2D"/>
    <w:rsid w:val="688A4CB2"/>
    <w:rsid w:val="69110F2F"/>
    <w:rsid w:val="6A241853"/>
    <w:rsid w:val="6AB778B5"/>
    <w:rsid w:val="6ACC0C75"/>
    <w:rsid w:val="6B403D4E"/>
    <w:rsid w:val="6BF13A6A"/>
    <w:rsid w:val="6C845EBC"/>
    <w:rsid w:val="6DCE3893"/>
    <w:rsid w:val="6E012965"/>
    <w:rsid w:val="6E080427"/>
    <w:rsid w:val="6EB56801"/>
    <w:rsid w:val="6EFD5AB2"/>
    <w:rsid w:val="6FF1722D"/>
    <w:rsid w:val="714B4C24"/>
    <w:rsid w:val="717134D8"/>
    <w:rsid w:val="720A7BC7"/>
    <w:rsid w:val="73A56E44"/>
    <w:rsid w:val="74250EE0"/>
    <w:rsid w:val="74883C80"/>
    <w:rsid w:val="749B4392"/>
    <w:rsid w:val="76665709"/>
    <w:rsid w:val="770453C9"/>
    <w:rsid w:val="771A4B55"/>
    <w:rsid w:val="779C230C"/>
    <w:rsid w:val="789470BC"/>
    <w:rsid w:val="796C6E19"/>
    <w:rsid w:val="79E108B1"/>
    <w:rsid w:val="7A707EDB"/>
    <w:rsid w:val="7A901BF3"/>
    <w:rsid w:val="7A961744"/>
    <w:rsid w:val="7B4355AF"/>
    <w:rsid w:val="7BEB3862"/>
    <w:rsid w:val="7BEC5440"/>
    <w:rsid w:val="7DE06CCB"/>
    <w:rsid w:val="7E5C1936"/>
    <w:rsid w:val="7ECA1745"/>
    <w:rsid w:val="7FBB64BE"/>
    <w:rsid w:val="7FCB7F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qFormat="1"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7"/>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48"/>
    <w:autoRedefine/>
    <w:qFormat/>
    <w:uiPriority w:val="99"/>
    <w:pPr>
      <w:keepNext/>
      <w:keepLines/>
      <w:spacing w:before="260" w:after="260" w:line="412" w:lineRule="auto"/>
      <w:jc w:val="center"/>
      <w:outlineLvl w:val="1"/>
    </w:pPr>
    <w:rPr>
      <w:rFonts w:ascii="Arial" w:hAnsi="Arial" w:eastAsia="黑体" w:cs="Arial"/>
      <w:b/>
      <w:kern w:val="0"/>
      <w:sz w:val="32"/>
      <w:szCs w:val="32"/>
    </w:rPr>
  </w:style>
  <w:style w:type="paragraph" w:styleId="4">
    <w:name w:val="heading 3"/>
    <w:basedOn w:val="1"/>
    <w:next w:val="1"/>
    <w:link w:val="49"/>
    <w:autoRedefine/>
    <w:qFormat/>
    <w:uiPriority w:val="99"/>
    <w:pPr>
      <w:keepNext/>
      <w:keepLines/>
      <w:spacing w:before="260" w:after="260" w:line="412" w:lineRule="auto"/>
      <w:ind w:left="459"/>
      <w:outlineLvl w:val="2"/>
    </w:pPr>
    <w:rPr>
      <w:rFonts w:eastAsia="仿宋_GB2312"/>
      <w:b/>
      <w:bCs/>
      <w:kern w:val="0"/>
      <w:sz w:val="32"/>
      <w:szCs w:val="32"/>
    </w:rPr>
  </w:style>
  <w:style w:type="paragraph" w:styleId="5">
    <w:name w:val="heading 4"/>
    <w:basedOn w:val="1"/>
    <w:next w:val="1"/>
    <w:link w:val="50"/>
    <w:autoRedefine/>
    <w:qFormat/>
    <w:uiPriority w:val="99"/>
    <w:pPr>
      <w:keepNext/>
      <w:keepLines/>
      <w:spacing w:before="280" w:after="290" w:line="372" w:lineRule="auto"/>
      <w:outlineLvl w:val="3"/>
    </w:pPr>
    <w:rPr>
      <w:rFonts w:ascii="Arial" w:hAnsi="Arial" w:eastAsia="黑体" w:cs="Arial"/>
      <w:b/>
      <w:bCs/>
      <w:kern w:val="0"/>
      <w:sz w:val="28"/>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7">
    <w:name w:val="index 8"/>
    <w:basedOn w:val="1"/>
    <w:next w:val="1"/>
    <w:autoRedefine/>
    <w:unhideWhenUsed/>
    <w:qFormat/>
    <w:uiPriority w:val="99"/>
    <w:pPr>
      <w:jc w:val="center"/>
    </w:pPr>
    <w:rPr>
      <w:color w:val="000000"/>
      <w:sz w:val="32"/>
      <w:szCs w:val="32"/>
    </w:rPr>
  </w:style>
  <w:style w:type="paragraph" w:styleId="8">
    <w:name w:val="annotation text"/>
    <w:basedOn w:val="1"/>
    <w:link w:val="53"/>
    <w:autoRedefine/>
    <w:unhideWhenUsed/>
    <w:qFormat/>
    <w:uiPriority w:val="99"/>
    <w:pPr>
      <w:jc w:val="left"/>
    </w:pPr>
    <w:rPr>
      <w:kern w:val="0"/>
      <w:sz w:val="20"/>
      <w:szCs w:val="20"/>
    </w:rPr>
  </w:style>
  <w:style w:type="paragraph" w:styleId="9">
    <w:name w:val="Body Text 3"/>
    <w:basedOn w:val="1"/>
    <w:link w:val="54"/>
    <w:autoRedefine/>
    <w:unhideWhenUsed/>
    <w:qFormat/>
    <w:uiPriority w:val="99"/>
    <w:rPr>
      <w:kern w:val="0"/>
      <w:sz w:val="24"/>
      <w:szCs w:val="24"/>
    </w:rPr>
  </w:style>
  <w:style w:type="paragraph" w:styleId="10">
    <w:name w:val="Body Text"/>
    <w:basedOn w:val="1"/>
    <w:next w:val="1"/>
    <w:link w:val="56"/>
    <w:autoRedefine/>
    <w:unhideWhenUsed/>
    <w:qFormat/>
    <w:uiPriority w:val="99"/>
    <w:pPr>
      <w:spacing w:before="100" w:beforeAutospacing="1" w:after="120"/>
    </w:pPr>
    <w:rPr>
      <w:kern w:val="0"/>
      <w:sz w:val="20"/>
      <w:szCs w:val="20"/>
    </w:rPr>
  </w:style>
  <w:style w:type="paragraph" w:styleId="11">
    <w:name w:val="Body Text Indent"/>
    <w:basedOn w:val="1"/>
    <w:next w:val="12"/>
    <w:autoRedefine/>
    <w:unhideWhenUsed/>
    <w:qFormat/>
    <w:uiPriority w:val="0"/>
    <w:pPr>
      <w:ind w:firstLine="353" w:firstLineChars="147"/>
    </w:pPr>
    <w:rPr>
      <w:rFonts w:ascii="宋体" w:hAnsi="宋体"/>
      <w:kern w:val="0"/>
    </w:rPr>
  </w:style>
  <w:style w:type="paragraph" w:styleId="12">
    <w:name w:val="envelope return"/>
    <w:basedOn w:val="1"/>
    <w:autoRedefine/>
    <w:qFormat/>
    <w:uiPriority w:val="0"/>
    <w:pPr>
      <w:snapToGrid w:val="0"/>
    </w:pPr>
    <w:rPr>
      <w:rFonts w:ascii="Arial" w:hAnsi="Arial"/>
    </w:rPr>
  </w:style>
  <w:style w:type="paragraph" w:styleId="13">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4">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5">
    <w:name w:val="Plain Text"/>
    <w:basedOn w:val="1"/>
    <w:link w:val="51"/>
    <w:autoRedefine/>
    <w:unhideWhenUsed/>
    <w:qFormat/>
    <w:uiPriority w:val="99"/>
    <w:rPr>
      <w:rFonts w:hAnsi="Courier New"/>
      <w:kern w:val="0"/>
      <w:sz w:val="20"/>
      <w:szCs w:val="20"/>
    </w:rPr>
  </w:style>
  <w:style w:type="paragraph" w:styleId="16">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17">
    <w:name w:val="Date"/>
    <w:basedOn w:val="1"/>
    <w:next w:val="1"/>
    <w:autoRedefine/>
    <w:qFormat/>
    <w:uiPriority w:val="99"/>
    <w:pPr>
      <w:ind w:left="100" w:leftChars="2500"/>
    </w:pPr>
  </w:style>
  <w:style w:type="paragraph" w:styleId="18">
    <w:name w:val="Balloon Text"/>
    <w:basedOn w:val="1"/>
    <w:link w:val="65"/>
    <w:autoRedefine/>
    <w:semiHidden/>
    <w:unhideWhenUsed/>
    <w:qFormat/>
    <w:uiPriority w:val="99"/>
    <w:rPr>
      <w:sz w:val="18"/>
      <w:szCs w:val="18"/>
    </w:rPr>
  </w:style>
  <w:style w:type="paragraph" w:styleId="19">
    <w:name w:val="footer"/>
    <w:basedOn w:val="1"/>
    <w:next w:val="1"/>
    <w:link w:val="63"/>
    <w:autoRedefine/>
    <w:unhideWhenUsed/>
    <w:qFormat/>
    <w:uiPriority w:val="99"/>
    <w:pPr>
      <w:snapToGrid w:val="0"/>
      <w:jc w:val="left"/>
    </w:pPr>
    <w:rPr>
      <w:kern w:val="0"/>
      <w:sz w:val="18"/>
      <w:szCs w:val="18"/>
    </w:rPr>
  </w:style>
  <w:style w:type="paragraph" w:styleId="20">
    <w:name w:val="header"/>
    <w:basedOn w:val="1"/>
    <w:next w:val="21"/>
    <w:link w:val="62"/>
    <w:autoRedefine/>
    <w:unhideWhenUsed/>
    <w:qFormat/>
    <w:uiPriority w:val="99"/>
    <w:pPr>
      <w:pBdr>
        <w:bottom w:val="single" w:color="auto" w:sz="6" w:space="1"/>
      </w:pBdr>
      <w:snapToGrid w:val="0"/>
      <w:jc w:val="center"/>
    </w:pPr>
    <w:rPr>
      <w:kern w:val="0"/>
      <w:sz w:val="18"/>
      <w:szCs w:val="18"/>
    </w:rPr>
  </w:style>
  <w:style w:type="paragraph" w:customStyle="1" w:styleId="21">
    <w:name w:val="正文1"/>
    <w:basedOn w:val="1"/>
    <w:next w:val="22"/>
    <w:autoRedefine/>
    <w:qFormat/>
    <w:uiPriority w:val="0"/>
    <w:pPr>
      <w:spacing w:line="380" w:lineRule="exact"/>
      <w:jc w:val="center"/>
    </w:pPr>
    <w:rPr>
      <w:rFonts w:ascii="黑体" w:eastAsia="黑体"/>
    </w:rPr>
  </w:style>
  <w:style w:type="paragraph" w:customStyle="1" w:styleId="22">
    <w:name w:val="表格"/>
    <w:basedOn w:val="1"/>
    <w:next w:val="1"/>
    <w:autoRedefine/>
    <w:qFormat/>
    <w:uiPriority w:val="0"/>
    <w:pPr>
      <w:jc w:val="center"/>
    </w:pPr>
    <w:rPr>
      <w:rFonts w:ascii="华文细黑"/>
    </w:rPr>
  </w:style>
  <w:style w:type="paragraph" w:styleId="23">
    <w:name w:val="toc 1"/>
    <w:basedOn w:val="1"/>
    <w:next w:val="1"/>
    <w:autoRedefine/>
    <w:unhideWhenUsed/>
    <w:qFormat/>
    <w:uiPriority w:val="39"/>
    <w:pPr>
      <w:widowControl/>
      <w:spacing w:before="100" w:beforeAutospacing="1" w:after="100" w:line="273" w:lineRule="auto"/>
      <w:jc w:val="center"/>
    </w:pPr>
    <w:rPr>
      <w:rFonts w:ascii="Calibri" w:hAnsi="Calibri" w:cs="Calibri"/>
      <w:kern w:val="0"/>
      <w:sz w:val="22"/>
      <w:szCs w:val="22"/>
    </w:rPr>
  </w:style>
  <w:style w:type="paragraph" w:styleId="24">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25">
    <w:name w:val="footnote text"/>
    <w:basedOn w:val="1"/>
    <w:link w:val="52"/>
    <w:autoRedefine/>
    <w:unhideWhenUsed/>
    <w:qFormat/>
    <w:uiPriority w:val="99"/>
    <w:pPr>
      <w:snapToGrid w:val="0"/>
      <w:jc w:val="left"/>
    </w:pPr>
    <w:rPr>
      <w:sz w:val="18"/>
      <w:szCs w:val="18"/>
    </w:rPr>
  </w:style>
  <w:style w:type="paragraph" w:styleId="26">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27">
    <w:name w:val="toc 2"/>
    <w:basedOn w:val="1"/>
    <w:next w:val="1"/>
    <w:autoRedefine/>
    <w:unhideWhenUsed/>
    <w:qFormat/>
    <w:uiPriority w:val="39"/>
    <w:pPr>
      <w:widowControl/>
      <w:spacing w:before="100" w:beforeAutospacing="1" w:after="100" w:line="273" w:lineRule="auto"/>
      <w:ind w:left="220"/>
      <w:jc w:val="left"/>
    </w:pPr>
    <w:rPr>
      <w:rFonts w:ascii="Calibri" w:hAnsi="Calibri" w:cs="Calibri"/>
      <w:kern w:val="0"/>
      <w:sz w:val="22"/>
      <w:szCs w:val="22"/>
    </w:rPr>
  </w:style>
  <w:style w:type="paragraph" w:styleId="28">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29">
    <w:name w:val="Normal (Web)"/>
    <w:basedOn w:val="1"/>
    <w:autoRedefine/>
    <w:qFormat/>
    <w:uiPriority w:val="0"/>
    <w:pPr>
      <w:spacing w:line="432" w:lineRule="auto"/>
    </w:pPr>
    <w:rPr>
      <w:kern w:val="0"/>
    </w:rPr>
  </w:style>
  <w:style w:type="paragraph" w:styleId="30">
    <w:name w:val="annotation subject"/>
    <w:basedOn w:val="8"/>
    <w:next w:val="8"/>
    <w:link w:val="67"/>
    <w:autoRedefine/>
    <w:semiHidden/>
    <w:unhideWhenUsed/>
    <w:qFormat/>
    <w:uiPriority w:val="99"/>
    <w:rPr>
      <w:b/>
      <w:bCs/>
      <w:kern w:val="2"/>
      <w:sz w:val="21"/>
      <w:szCs w:val="21"/>
    </w:rPr>
  </w:style>
  <w:style w:type="paragraph" w:styleId="31">
    <w:name w:val="Body Text First Indent"/>
    <w:basedOn w:val="10"/>
    <w:next w:val="1"/>
    <w:autoRedefine/>
    <w:unhideWhenUsed/>
    <w:qFormat/>
    <w:uiPriority w:val="99"/>
    <w:pPr>
      <w:ind w:firstLine="420" w:firstLineChars="100"/>
    </w:pPr>
    <w:rPr>
      <w:rFonts w:asciiTheme="minorHAnsi" w:hAnsiTheme="minorHAnsi" w:eastAsiaTheme="minorEastAsia" w:cstheme="minorBidi"/>
      <w:kern w:val="2"/>
      <w:sz w:val="21"/>
      <w:szCs w:val="22"/>
    </w:rPr>
  </w:style>
  <w:style w:type="paragraph" w:styleId="32">
    <w:name w:val="Body Text First Indent 2"/>
    <w:basedOn w:val="11"/>
    <w:next w:val="1"/>
    <w:autoRedefine/>
    <w:unhideWhenUsed/>
    <w:qFormat/>
    <w:uiPriority w:val="0"/>
    <w:pPr>
      <w:spacing w:after="120"/>
      <w:ind w:left="420" w:leftChars="200" w:firstLine="420" w:firstLineChars="200"/>
    </w:pPr>
    <w:rPr>
      <w:rFonts w:ascii="Times New Roman" w:hAnsi="Times New Roman"/>
      <w:kern w:val="2"/>
    </w:rPr>
  </w:style>
  <w:style w:type="table" w:styleId="34">
    <w:name w:val="Table Grid"/>
    <w:basedOn w:val="3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22"/>
    <w:rPr>
      <w:b/>
    </w:rPr>
  </w:style>
  <w:style w:type="character" w:styleId="37">
    <w:name w:val="FollowedHyperlink"/>
    <w:basedOn w:val="35"/>
    <w:autoRedefine/>
    <w:unhideWhenUsed/>
    <w:qFormat/>
    <w:uiPriority w:val="99"/>
    <w:rPr>
      <w:color w:val="800080"/>
      <w:u w:val="single"/>
    </w:rPr>
  </w:style>
  <w:style w:type="character" w:styleId="38">
    <w:name w:val="Hyperlink"/>
    <w:basedOn w:val="35"/>
    <w:autoRedefine/>
    <w:unhideWhenUsed/>
    <w:qFormat/>
    <w:uiPriority w:val="99"/>
    <w:rPr>
      <w:color w:val="0000FF"/>
      <w:u w:val="single"/>
    </w:rPr>
  </w:style>
  <w:style w:type="character" w:styleId="39">
    <w:name w:val="annotation reference"/>
    <w:basedOn w:val="35"/>
    <w:autoRedefine/>
    <w:semiHidden/>
    <w:unhideWhenUsed/>
    <w:qFormat/>
    <w:uiPriority w:val="99"/>
    <w:rPr>
      <w:sz w:val="21"/>
      <w:szCs w:val="21"/>
    </w:rPr>
  </w:style>
  <w:style w:type="paragraph" w:customStyle="1" w:styleId="40">
    <w:name w:val="Default"/>
    <w:basedOn w:val="1"/>
    <w:next w:val="41"/>
    <w:autoRedefine/>
    <w:qFormat/>
    <w:uiPriority w:val="0"/>
    <w:pPr>
      <w:autoSpaceDE w:val="0"/>
      <w:autoSpaceDN w:val="0"/>
      <w:adjustRightInd w:val="0"/>
      <w:jc w:val="left"/>
    </w:pPr>
    <w:rPr>
      <w:rFonts w:ascii="宋体" w:hAnsi="宋体" w:cs="宋体"/>
      <w:color w:val="000000"/>
      <w:kern w:val="0"/>
      <w:sz w:val="24"/>
      <w:szCs w:val="24"/>
    </w:rPr>
  </w:style>
  <w:style w:type="paragraph" w:customStyle="1" w:styleId="41">
    <w:name w:val="Char Char10 Char Char Char Char"/>
    <w:basedOn w:val="1"/>
    <w:next w:val="42"/>
    <w:autoRedefine/>
    <w:qFormat/>
    <w:uiPriority w:val="99"/>
  </w:style>
  <w:style w:type="paragraph" w:customStyle="1" w:styleId="42">
    <w:name w:val="xl87"/>
    <w:basedOn w:val="1"/>
    <w:next w:val="43"/>
    <w:autoRedefine/>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43">
    <w:name w:val="xl72"/>
    <w:basedOn w:val="1"/>
    <w:next w:val="17"/>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44">
    <w:name w:val="大标题"/>
    <w:basedOn w:val="1"/>
    <w:next w:val="32"/>
    <w:autoRedefine/>
    <w:qFormat/>
    <w:uiPriority w:val="0"/>
    <w:pPr>
      <w:jc w:val="center"/>
    </w:pPr>
    <w:rPr>
      <w:rFonts w:ascii="Arial" w:hAnsi="Arial"/>
      <w:b/>
      <w:sz w:val="28"/>
      <w:szCs w:val="24"/>
    </w:rPr>
  </w:style>
  <w:style w:type="paragraph" w:customStyle="1" w:styleId="45">
    <w:name w:val="style4"/>
    <w:basedOn w:val="1"/>
    <w:next w:val="46"/>
    <w:autoRedefine/>
    <w:qFormat/>
    <w:uiPriority w:val="0"/>
    <w:pPr>
      <w:widowControl/>
      <w:spacing w:before="280" w:after="280"/>
    </w:pPr>
    <w:rPr>
      <w:rFonts w:ascii="宋体" w:hAnsi="宋体" w:cs="宋体"/>
      <w:sz w:val="18"/>
      <w:szCs w:val="18"/>
    </w:rPr>
  </w:style>
  <w:style w:type="paragraph" w:customStyle="1" w:styleId="46">
    <w:name w:val="2"/>
    <w:basedOn w:val="1"/>
    <w:next w:val="1"/>
    <w:autoRedefine/>
    <w:qFormat/>
    <w:uiPriority w:val="0"/>
    <w:rPr>
      <w:kern w:val="0"/>
    </w:rPr>
  </w:style>
  <w:style w:type="character" w:customStyle="1" w:styleId="47">
    <w:name w:val="标题 1 字符"/>
    <w:basedOn w:val="35"/>
    <w:link w:val="2"/>
    <w:autoRedefine/>
    <w:qFormat/>
    <w:uiPriority w:val="99"/>
    <w:rPr>
      <w:rFonts w:ascii="Times New Roman" w:hAnsi="Times New Roman" w:eastAsia="宋体" w:cs="Times New Roman"/>
      <w:b/>
      <w:bCs/>
      <w:kern w:val="44"/>
      <w:sz w:val="44"/>
      <w:szCs w:val="44"/>
    </w:rPr>
  </w:style>
  <w:style w:type="character" w:customStyle="1" w:styleId="48">
    <w:name w:val="标题 2 字符"/>
    <w:basedOn w:val="35"/>
    <w:link w:val="3"/>
    <w:autoRedefine/>
    <w:qFormat/>
    <w:uiPriority w:val="99"/>
    <w:rPr>
      <w:rFonts w:ascii="Arial" w:hAnsi="Arial" w:eastAsia="黑体" w:cs="Arial"/>
      <w:b/>
      <w:sz w:val="32"/>
      <w:szCs w:val="32"/>
    </w:rPr>
  </w:style>
  <w:style w:type="character" w:customStyle="1" w:styleId="49">
    <w:name w:val="标题 3 字符"/>
    <w:basedOn w:val="35"/>
    <w:link w:val="4"/>
    <w:autoRedefine/>
    <w:qFormat/>
    <w:uiPriority w:val="99"/>
    <w:rPr>
      <w:rFonts w:ascii="Times New Roman" w:hAnsi="Times New Roman" w:eastAsia="仿宋_GB2312" w:cs="Times New Roman"/>
      <w:b/>
      <w:bCs/>
      <w:kern w:val="0"/>
      <w:sz w:val="32"/>
      <w:szCs w:val="32"/>
    </w:rPr>
  </w:style>
  <w:style w:type="character" w:customStyle="1" w:styleId="50">
    <w:name w:val="标题 4 字符"/>
    <w:basedOn w:val="35"/>
    <w:link w:val="5"/>
    <w:autoRedefine/>
    <w:qFormat/>
    <w:uiPriority w:val="99"/>
    <w:rPr>
      <w:rFonts w:ascii="Arial" w:hAnsi="Arial" w:eastAsia="黑体" w:cs="Arial"/>
      <w:b/>
      <w:bCs/>
      <w:kern w:val="0"/>
      <w:sz w:val="28"/>
      <w:szCs w:val="28"/>
    </w:rPr>
  </w:style>
  <w:style w:type="character" w:customStyle="1" w:styleId="51">
    <w:name w:val="纯文本 字符"/>
    <w:basedOn w:val="35"/>
    <w:link w:val="15"/>
    <w:autoRedefine/>
    <w:qFormat/>
    <w:uiPriority w:val="99"/>
    <w:rPr>
      <w:rFonts w:ascii="Times New Roman" w:hAnsi="Courier New" w:eastAsia="宋体" w:cs="Times New Roman"/>
      <w:kern w:val="0"/>
      <w:sz w:val="20"/>
      <w:szCs w:val="20"/>
    </w:rPr>
  </w:style>
  <w:style w:type="character" w:customStyle="1" w:styleId="52">
    <w:name w:val="脚注文本 字符"/>
    <w:basedOn w:val="35"/>
    <w:link w:val="25"/>
    <w:autoRedefine/>
    <w:qFormat/>
    <w:uiPriority w:val="99"/>
    <w:rPr>
      <w:rFonts w:ascii="Times New Roman" w:hAnsi="Times New Roman" w:eastAsia="宋体" w:cs="Times New Roman"/>
      <w:sz w:val="18"/>
      <w:szCs w:val="18"/>
    </w:rPr>
  </w:style>
  <w:style w:type="character" w:customStyle="1" w:styleId="53">
    <w:name w:val="批注文字 字符"/>
    <w:basedOn w:val="35"/>
    <w:link w:val="8"/>
    <w:autoRedefine/>
    <w:qFormat/>
    <w:uiPriority w:val="99"/>
    <w:rPr>
      <w:rFonts w:ascii="Times New Roman" w:hAnsi="Times New Roman" w:eastAsia="宋体" w:cs="Times New Roman"/>
      <w:kern w:val="0"/>
      <w:sz w:val="20"/>
      <w:szCs w:val="20"/>
    </w:rPr>
  </w:style>
  <w:style w:type="character" w:customStyle="1" w:styleId="54">
    <w:name w:val="正文文本 3 字符"/>
    <w:basedOn w:val="35"/>
    <w:link w:val="9"/>
    <w:autoRedefine/>
    <w:qFormat/>
    <w:uiPriority w:val="99"/>
    <w:rPr>
      <w:rFonts w:ascii="Times New Roman" w:hAnsi="Times New Roman" w:eastAsia="宋体" w:cs="Times New Roman"/>
      <w:kern w:val="0"/>
      <w:sz w:val="24"/>
      <w:szCs w:val="24"/>
    </w:rPr>
  </w:style>
  <w:style w:type="paragraph" w:customStyle="1" w:styleId="55">
    <w:name w:val="标题 41"/>
    <w:basedOn w:val="1"/>
    <w:autoRedefine/>
    <w:qFormat/>
    <w:uiPriority w:val="0"/>
    <w:pPr>
      <w:spacing w:before="100" w:beforeAutospacing="1" w:after="100" w:afterAutospacing="1"/>
      <w:ind w:left="1205" w:hanging="486"/>
      <w:outlineLvl w:val="4"/>
    </w:pPr>
    <w:rPr>
      <w:b/>
      <w:bCs/>
      <w:sz w:val="24"/>
      <w:szCs w:val="24"/>
    </w:rPr>
  </w:style>
  <w:style w:type="character" w:customStyle="1" w:styleId="56">
    <w:name w:val="正文文本 字符"/>
    <w:basedOn w:val="35"/>
    <w:link w:val="10"/>
    <w:autoRedefine/>
    <w:qFormat/>
    <w:uiPriority w:val="99"/>
    <w:rPr>
      <w:rFonts w:ascii="Times New Roman" w:hAnsi="Times New Roman" w:eastAsia="宋体" w:cs="Times New Roman"/>
      <w:kern w:val="0"/>
      <w:sz w:val="20"/>
      <w:szCs w:val="20"/>
    </w:rPr>
  </w:style>
  <w:style w:type="paragraph" w:customStyle="1" w:styleId="5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sz w:val="28"/>
      <w:szCs w:val="28"/>
    </w:rPr>
  </w:style>
  <w:style w:type="paragraph" w:customStyle="1" w:styleId="58">
    <w:name w:val="样式 标题 3 + (中文) 黑体 小四 非加粗 段前: 7.8 磅 段后: 0 磅 行距: 固定值 20 磅"/>
    <w:basedOn w:val="4"/>
    <w:autoRedefine/>
    <w:qFormat/>
    <w:uiPriority w:val="0"/>
    <w:pPr>
      <w:spacing w:before="0" w:after="0" w:line="400" w:lineRule="exact"/>
      <w:ind w:left="0"/>
    </w:pPr>
    <w:rPr>
      <w:rFonts w:eastAsia="黑体" w:cs="宋体"/>
      <w:b w:val="0"/>
      <w:bCs w:val="0"/>
      <w:sz w:val="24"/>
      <w:szCs w:val="24"/>
    </w:rPr>
  </w:style>
  <w:style w:type="paragraph" w:customStyle="1" w:styleId="59">
    <w:name w:val="Table Paragraph"/>
    <w:basedOn w:val="1"/>
    <w:autoRedefine/>
    <w:qFormat/>
    <w:uiPriority w:val="1"/>
  </w:style>
  <w:style w:type="paragraph" w:customStyle="1" w:styleId="60">
    <w:name w:val="无间隔11"/>
    <w:basedOn w:val="1"/>
    <w:autoRedefine/>
    <w:qFormat/>
    <w:uiPriority w:val="0"/>
    <w:rPr>
      <w:rFonts w:ascii="Calibri" w:hAnsi="Calibri" w:cs="Calibri"/>
    </w:rPr>
  </w:style>
  <w:style w:type="paragraph" w:customStyle="1" w:styleId="61">
    <w:name w:val="段"/>
    <w:basedOn w:val="1"/>
    <w:next w:val="1"/>
    <w:autoRedefine/>
    <w:qFormat/>
    <w:uiPriority w:val="0"/>
    <w:pPr>
      <w:widowControl/>
      <w:autoSpaceDE w:val="0"/>
      <w:autoSpaceDN w:val="0"/>
      <w:adjustRightInd w:val="0"/>
      <w:snapToGrid w:val="0"/>
      <w:spacing w:line="360" w:lineRule="auto"/>
      <w:ind w:firstLine="200" w:firstLineChars="200"/>
    </w:pPr>
    <w:rPr>
      <w:rFonts w:ascii="宋体" w:hAnsi="宋体" w:cs="宋体"/>
      <w:kern w:val="0"/>
      <w:sz w:val="24"/>
      <w:szCs w:val="24"/>
    </w:rPr>
  </w:style>
  <w:style w:type="character" w:customStyle="1" w:styleId="62">
    <w:name w:val="页眉 字符"/>
    <w:basedOn w:val="35"/>
    <w:link w:val="20"/>
    <w:autoRedefine/>
    <w:qFormat/>
    <w:uiPriority w:val="99"/>
    <w:rPr>
      <w:rFonts w:ascii="Times New Roman" w:hAnsi="Times New Roman" w:eastAsia="宋体" w:cs="Times New Roman"/>
      <w:kern w:val="0"/>
      <w:sz w:val="18"/>
      <w:szCs w:val="18"/>
    </w:rPr>
  </w:style>
  <w:style w:type="character" w:customStyle="1" w:styleId="63">
    <w:name w:val="页脚 字符"/>
    <w:basedOn w:val="35"/>
    <w:link w:val="19"/>
    <w:autoRedefine/>
    <w:qFormat/>
    <w:uiPriority w:val="99"/>
    <w:rPr>
      <w:rFonts w:ascii="Times New Roman" w:hAnsi="Times New Roman" w:eastAsia="宋体" w:cs="Times New Roman"/>
      <w:kern w:val="0"/>
      <w:sz w:val="18"/>
      <w:szCs w:val="18"/>
    </w:rPr>
  </w:style>
  <w:style w:type="character" w:customStyle="1" w:styleId="64">
    <w:name w:val="15"/>
    <w:basedOn w:val="35"/>
    <w:autoRedefine/>
    <w:qFormat/>
    <w:uiPriority w:val="0"/>
    <w:rPr>
      <w:rFonts w:hint="default" w:ascii="Arial" w:hAnsi="Arial" w:eastAsia="黑体" w:cs="Arial"/>
      <w:b/>
      <w:sz w:val="32"/>
      <w:szCs w:val="32"/>
    </w:rPr>
  </w:style>
  <w:style w:type="character" w:customStyle="1" w:styleId="65">
    <w:name w:val="批注框文本 字符"/>
    <w:basedOn w:val="35"/>
    <w:link w:val="18"/>
    <w:autoRedefine/>
    <w:semiHidden/>
    <w:qFormat/>
    <w:uiPriority w:val="99"/>
    <w:rPr>
      <w:rFonts w:ascii="Times New Roman" w:hAnsi="Times New Roman" w:eastAsia="宋体" w:cs="Times New Roman"/>
      <w:sz w:val="18"/>
      <w:szCs w:val="18"/>
    </w:rPr>
  </w:style>
  <w:style w:type="paragraph" w:customStyle="1" w:styleId="6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7">
    <w:name w:val="批注主题 字符"/>
    <w:basedOn w:val="53"/>
    <w:link w:val="30"/>
    <w:autoRedefine/>
    <w:semiHidden/>
    <w:qFormat/>
    <w:uiPriority w:val="99"/>
    <w:rPr>
      <w:rFonts w:ascii="Times New Roman" w:hAnsi="Times New Roman" w:eastAsia="宋体" w:cs="Times New Roman"/>
      <w:b/>
      <w:bCs/>
      <w:kern w:val="2"/>
      <w:sz w:val="21"/>
      <w:szCs w:val="21"/>
    </w:rPr>
  </w:style>
  <w:style w:type="paragraph" w:styleId="68">
    <w:name w:val="List Paragraph"/>
    <w:basedOn w:val="1"/>
    <w:autoRedefine/>
    <w:qFormat/>
    <w:uiPriority w:val="1"/>
    <w:pPr>
      <w:ind w:left="112" w:firstLine="436"/>
    </w:pPr>
  </w:style>
  <w:style w:type="character" w:customStyle="1" w:styleId="69">
    <w:name w:val="NormalCharacter"/>
    <w:autoRedefine/>
    <w:semiHidden/>
    <w:qFormat/>
    <w:uiPriority w:val="0"/>
  </w:style>
  <w:style w:type="paragraph" w:customStyle="1" w:styleId="70">
    <w:name w:val="PlainText"/>
    <w:basedOn w:val="1"/>
    <w:autoRedefine/>
    <w:qFormat/>
    <w:uiPriority w:val="0"/>
    <w:rPr>
      <w:rFonts w:ascii="宋体" w:hAnsi="Courier New"/>
    </w:rPr>
  </w:style>
  <w:style w:type="paragraph" w:customStyle="1" w:styleId="71">
    <w:name w:val="Heading4"/>
    <w:basedOn w:val="1"/>
    <w:next w:val="1"/>
    <w:autoRedefine/>
    <w:qFormat/>
    <w:uiPriority w:val="0"/>
    <w:pPr>
      <w:keepNext/>
      <w:keepLines/>
    </w:pPr>
    <w:rPr>
      <w:rFonts w:ascii="Arial" w:hAnsi="Arial"/>
      <w:b/>
    </w:rPr>
  </w:style>
  <w:style w:type="paragraph" w:customStyle="1" w:styleId="72">
    <w:name w:val="BodyText1I"/>
    <w:basedOn w:val="73"/>
    <w:next w:val="75"/>
    <w:autoRedefine/>
    <w:qFormat/>
    <w:uiPriority w:val="0"/>
    <w:pPr>
      <w:ind w:firstLine="360"/>
    </w:pPr>
  </w:style>
  <w:style w:type="paragraph" w:customStyle="1" w:styleId="73">
    <w:name w:val="BodyText"/>
    <w:basedOn w:val="1"/>
    <w:next w:val="74"/>
    <w:autoRedefine/>
    <w:qFormat/>
    <w:uiPriority w:val="0"/>
    <w:pPr>
      <w:spacing w:line="480" w:lineRule="exact"/>
    </w:pPr>
    <w:rPr>
      <w:rFonts w:ascii="宋体" w:hAnsi="宋体"/>
      <w:szCs w:val="24"/>
    </w:rPr>
  </w:style>
  <w:style w:type="paragraph" w:customStyle="1" w:styleId="74">
    <w:name w:val="BodyText2"/>
    <w:basedOn w:val="1"/>
    <w:next w:val="73"/>
    <w:autoRedefine/>
    <w:qFormat/>
    <w:uiPriority w:val="0"/>
    <w:pPr>
      <w:spacing w:after="120" w:line="480" w:lineRule="auto"/>
    </w:pPr>
  </w:style>
  <w:style w:type="paragraph" w:customStyle="1" w:styleId="75">
    <w:name w:val="BodyText1I2"/>
    <w:basedOn w:val="76"/>
    <w:autoRedefine/>
    <w:qFormat/>
    <w:uiPriority w:val="0"/>
    <w:pPr>
      <w:ind w:firstLine="420" w:firstLineChars="200"/>
    </w:pPr>
  </w:style>
  <w:style w:type="paragraph" w:customStyle="1" w:styleId="76">
    <w:name w:val="BodyTextIndent"/>
    <w:basedOn w:val="1"/>
    <w:next w:val="77"/>
    <w:autoRedefine/>
    <w:qFormat/>
    <w:uiPriority w:val="0"/>
    <w:pPr>
      <w:spacing w:line="400" w:lineRule="atLeast"/>
      <w:ind w:left="560"/>
    </w:pPr>
  </w:style>
  <w:style w:type="paragraph" w:customStyle="1" w:styleId="77">
    <w:name w:val="EnvelopeReturn"/>
    <w:basedOn w:val="1"/>
    <w:autoRedefine/>
    <w:qFormat/>
    <w:uiPriority w:val="0"/>
    <w:pPr>
      <w:snapToGrid w:val="0"/>
    </w:pPr>
    <w:rPr>
      <w:rFonts w:ascii="Arial" w:hAnsi="Arial"/>
    </w:rPr>
  </w:style>
  <w:style w:type="paragraph" w:customStyle="1" w:styleId="78">
    <w:name w:val="179"/>
    <w:basedOn w:val="1"/>
    <w:autoRedefine/>
    <w:qFormat/>
    <w:uiPriority w:val="0"/>
    <w:pPr>
      <w:ind w:firstLine="420" w:firstLineChars="200"/>
    </w:pPr>
    <w:rPr>
      <w:rFonts w:ascii="Calibri" w:hAnsi="Calibri"/>
      <w:szCs w:val="22"/>
    </w:rPr>
  </w:style>
  <w:style w:type="paragraph" w:customStyle="1" w:styleId="79">
    <w:name w:val="UserStyle_34"/>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80">
    <w:name w:val="Table Text"/>
    <w:basedOn w:val="1"/>
    <w:autoRedefine/>
    <w:semiHidden/>
    <w:qFormat/>
    <w:uiPriority w:val="0"/>
    <w:rPr>
      <w:rFonts w:ascii="宋体" w:hAnsi="宋体" w:eastAsia="宋体" w:cs="宋体"/>
      <w:sz w:val="24"/>
      <w:szCs w:val="24"/>
      <w:lang w:val="en-US" w:eastAsia="en-US" w:bidi="ar-SA"/>
    </w:rPr>
  </w:style>
  <w:style w:type="table" w:customStyle="1" w:styleId="8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5C5117-FC84-4D58-8D65-B7EE135825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119</Pages>
  <Words>52766</Words>
  <Characters>55759</Characters>
  <Lines>440</Lines>
  <Paragraphs>124</Paragraphs>
  <TotalTime>61</TotalTime>
  <ScaleCrop>false</ScaleCrop>
  <LinksUpToDate>false</LinksUpToDate>
  <CharactersWithSpaces>58473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2023-03-22T01:35:00Z</dcterms:created>
  <dc:creator>PC</dc:creator>
  <cp:lastModifiedBy>安静</cp:lastModifiedBy>
  <dcterms:modified xsi:type="dcterms:W3CDTF">2024-05-17T07:03:07Z</dcterms:modified>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0D839B62FF2746AEB78F892B407C4005_13</vt:lpwstr>
  </property>
</Properties>
</file>