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eastAsia" w:ascii="宋体" w:hAnsi="宋体" w:eastAsia="宋体" w:cs="Times New Roman"/>
          <w:b/>
          <w:bCs/>
          <w:color w:val="auto"/>
          <w:kern w:val="28"/>
          <w:sz w:val="44"/>
          <w:highlight w:val="none"/>
          <w:lang w:val="en-US" w:eastAsia="zh-CN" w:bidi="en-US"/>
        </w:rPr>
      </w:pPr>
      <w:r>
        <w:rPr>
          <w:rFonts w:hint="eastAsia" w:ascii="宋体" w:hAnsi="宋体" w:eastAsia="宋体" w:cs="Times New Roman"/>
          <w:b/>
          <w:bCs/>
          <w:color w:val="auto"/>
          <w:kern w:val="28"/>
          <w:sz w:val="44"/>
          <w:highlight w:val="none"/>
          <w:lang w:val="en-US" w:eastAsia="zh-CN" w:bidi="en-US"/>
        </w:rPr>
        <w:t xml:space="preserve">第三章  </w:t>
      </w:r>
      <w:bookmarkStart w:id="8" w:name="_GoBack"/>
      <w:r>
        <w:rPr>
          <w:rFonts w:hint="eastAsia" w:ascii="宋体" w:hAnsi="宋体" w:eastAsia="宋体" w:cs="Times New Roman"/>
          <w:b/>
          <w:bCs/>
          <w:color w:val="auto"/>
          <w:kern w:val="28"/>
          <w:sz w:val="44"/>
          <w:highlight w:val="none"/>
          <w:lang w:val="en-US" w:eastAsia="zh-CN" w:bidi="en-US"/>
        </w:rPr>
        <w:t>采购需求</w:t>
      </w:r>
      <w:bookmarkEnd w:id="8"/>
    </w:p>
    <w:p>
      <w:pPr>
        <w:keepNext/>
        <w:keepLines/>
        <w:widowControl w:val="0"/>
        <w:spacing w:line="400" w:lineRule="exact"/>
        <w:jc w:val="both"/>
        <w:outlineLvl w:val="2"/>
        <w:rPr>
          <w:rFonts w:hint="eastAsia" w:ascii="宋体" w:hAnsi="宋体" w:eastAsia="宋体" w:cs="Times New Roman"/>
          <w:b/>
          <w:bCs/>
          <w:color w:val="auto"/>
          <w:sz w:val="21"/>
          <w:szCs w:val="21"/>
          <w:highlight w:val="none"/>
          <w:lang w:val="en-US" w:eastAsia="zh-CN" w:bidi="ar-SA"/>
        </w:rPr>
      </w:pPr>
      <w:bookmarkStart w:id="0" w:name="_Toc1721463"/>
      <w:bookmarkStart w:id="1" w:name="_Toc106903034"/>
      <w:bookmarkStart w:id="2" w:name="_Toc26534"/>
      <w:r>
        <w:rPr>
          <w:rFonts w:hint="eastAsia" w:ascii="宋体" w:hAnsi="宋体" w:eastAsia="宋体" w:cs="Times New Roman"/>
          <w:b/>
          <w:bCs/>
          <w:color w:val="auto"/>
          <w:sz w:val="21"/>
          <w:szCs w:val="21"/>
          <w:highlight w:val="none"/>
          <w:lang w:val="en-US" w:eastAsia="zh-CN" w:bidi="ar-SA"/>
        </w:rPr>
        <w:t>一、</w:t>
      </w:r>
      <w:bookmarkEnd w:id="0"/>
      <w:bookmarkEnd w:id="1"/>
      <w:bookmarkEnd w:id="2"/>
      <w:r>
        <w:rPr>
          <w:rFonts w:hint="eastAsia" w:ascii="宋体" w:hAnsi="宋体" w:eastAsia="宋体" w:cs="Times New Roman"/>
          <w:b/>
          <w:bCs/>
          <w:color w:val="auto"/>
          <w:sz w:val="21"/>
          <w:szCs w:val="21"/>
          <w:highlight w:val="none"/>
          <w:lang w:val="en-US" w:eastAsia="zh-CN" w:bidi="ar-SA"/>
        </w:rPr>
        <w:t>项目概况</w:t>
      </w:r>
    </w:p>
    <w:p>
      <w:pPr>
        <w:widowControl/>
        <w:spacing w:line="400" w:lineRule="exact"/>
        <w:ind w:firstLine="482"/>
        <w:jc w:val="both"/>
        <w:rPr>
          <w:rFonts w:hint="eastAsia" w:ascii="微软雅黑" w:hAnsi="微软雅黑" w:eastAsia="微软雅黑" w:cs="Times New Roman"/>
          <w:color w:val="auto"/>
          <w:sz w:val="21"/>
          <w:highlight w:val="none"/>
          <w:lang w:val="en-US" w:eastAsia="zh-CN" w:bidi="ar-SA"/>
        </w:rPr>
      </w:pPr>
      <w:r>
        <w:rPr>
          <w:rFonts w:hint="eastAsia" w:ascii="宋体" w:hAnsi="宋体" w:eastAsia="宋体" w:cs="Times New Roman"/>
          <w:color w:val="auto"/>
          <w:spacing w:val="14"/>
          <w:sz w:val="21"/>
          <w:szCs w:val="21"/>
          <w:highlight w:val="none"/>
          <w:lang w:val="en-US" w:eastAsia="zh-CN" w:bidi="ar-SA"/>
        </w:rPr>
        <w:t>本次采购项目为</w:t>
      </w:r>
      <w:r>
        <w:rPr>
          <w:rFonts w:hint="eastAsia" w:ascii="宋体" w:hAnsi="宋体" w:eastAsia="宋体" w:cs="Times New Roman"/>
          <w:color w:val="auto"/>
          <w:spacing w:val="14"/>
          <w:sz w:val="21"/>
          <w:szCs w:val="21"/>
          <w:highlight w:val="none"/>
          <w:u w:val="single"/>
          <w:lang w:val="en-US" w:eastAsia="zh-CN" w:bidi="ar-SA"/>
        </w:rPr>
        <w:t>河南经贸职业学院财税大数据应用专业技能提升项目</w:t>
      </w:r>
      <w:r>
        <w:rPr>
          <w:rFonts w:hint="eastAsia" w:ascii="宋体" w:hAnsi="宋体" w:eastAsia="宋体" w:cs="Times New Roman"/>
          <w:color w:val="auto"/>
          <w:spacing w:val="14"/>
          <w:sz w:val="21"/>
          <w:szCs w:val="21"/>
          <w:highlight w:val="none"/>
          <w:lang w:val="en-US" w:eastAsia="zh-CN" w:bidi="ar-SA"/>
        </w:rPr>
        <w:t>，共</w:t>
      </w:r>
      <w:r>
        <w:rPr>
          <w:rFonts w:hint="eastAsia" w:ascii="宋体" w:hAnsi="宋体" w:eastAsia="宋体" w:cs="Times New Roman"/>
          <w:color w:val="auto"/>
          <w:spacing w:val="14"/>
          <w:sz w:val="21"/>
          <w:szCs w:val="21"/>
          <w:highlight w:val="none"/>
          <w:u w:val="single"/>
          <w:lang w:val="en-US" w:eastAsia="zh-CN" w:bidi="ar-SA"/>
        </w:rPr>
        <w:t>3</w:t>
      </w:r>
      <w:r>
        <w:rPr>
          <w:rFonts w:hint="eastAsia" w:ascii="宋体" w:hAnsi="宋体" w:eastAsia="宋体" w:cs="Times New Roman"/>
          <w:color w:val="auto"/>
          <w:spacing w:val="14"/>
          <w:sz w:val="21"/>
          <w:szCs w:val="21"/>
          <w:highlight w:val="none"/>
          <w:lang w:val="en-US" w:eastAsia="zh-CN" w:bidi="ar-SA"/>
        </w:rPr>
        <w:t>个包。</w:t>
      </w:r>
    </w:p>
    <w:p>
      <w:pPr>
        <w:widowControl/>
        <w:spacing w:line="400" w:lineRule="exact"/>
        <w:ind w:firstLine="482"/>
        <w:jc w:val="both"/>
        <w:rPr>
          <w:rFonts w:hint="eastAsia" w:ascii="宋体" w:hAnsi="宋体" w:eastAsia="宋体" w:cs="Times New Roman"/>
          <w:color w:val="auto"/>
          <w:spacing w:val="14"/>
          <w:sz w:val="21"/>
          <w:szCs w:val="21"/>
          <w:highlight w:val="none"/>
          <w:lang w:val="en-US" w:eastAsia="zh-CN" w:bidi="ar-SA"/>
        </w:rPr>
      </w:pPr>
      <w:r>
        <w:rPr>
          <w:rFonts w:hint="eastAsia" w:ascii="宋体" w:hAnsi="宋体" w:eastAsia="宋体" w:cs="Times New Roman"/>
          <w:color w:val="auto"/>
          <w:spacing w:val="14"/>
          <w:sz w:val="21"/>
          <w:szCs w:val="21"/>
          <w:highlight w:val="none"/>
          <w:lang w:val="en-US" w:eastAsia="zh-CN" w:bidi="ar-SA"/>
        </w:rPr>
        <w:t>本次采购标的对应的中小企业划分标准所属行业为：</w:t>
      </w:r>
      <w:r>
        <w:rPr>
          <w:rFonts w:hint="eastAsia" w:ascii="宋体" w:hAnsi="宋体" w:eastAsia="宋体" w:cs="Times New Roman"/>
          <w:color w:val="auto"/>
          <w:spacing w:val="14"/>
          <w:sz w:val="21"/>
          <w:szCs w:val="21"/>
          <w:highlight w:val="none"/>
          <w:u w:val="single"/>
          <w:lang w:val="en-US" w:eastAsia="zh-CN" w:bidi="ar-SA"/>
        </w:rPr>
        <w:t>软件和信息技术服务业</w:t>
      </w:r>
      <w:r>
        <w:rPr>
          <w:rFonts w:hint="eastAsia" w:ascii="宋体" w:hAnsi="宋体" w:eastAsia="宋体" w:cs="Times New Roman"/>
          <w:color w:val="auto"/>
          <w:spacing w:val="14"/>
          <w:sz w:val="21"/>
          <w:szCs w:val="21"/>
          <w:highlight w:val="none"/>
          <w:lang w:val="en-US" w:eastAsia="zh-CN" w:bidi="ar-SA"/>
        </w:rPr>
        <w:t>。</w:t>
      </w:r>
    </w:p>
    <w:p>
      <w:pPr>
        <w:keepNext/>
        <w:keepLines/>
        <w:widowControl w:val="0"/>
        <w:spacing w:line="400" w:lineRule="exact"/>
        <w:jc w:val="both"/>
        <w:outlineLvl w:val="2"/>
        <w:rPr>
          <w:rFonts w:hint="eastAsia" w:ascii="宋体" w:hAnsi="宋体" w:eastAsia="仿宋" w:cs="宋体"/>
          <w:b w:val="0"/>
          <w:bCs/>
          <w:color w:val="auto"/>
          <w:kern w:val="2"/>
          <w:sz w:val="21"/>
          <w:szCs w:val="21"/>
          <w:highlight w:val="none"/>
          <w:lang w:val="en-US" w:eastAsia="zh-CN" w:bidi="ar-SA"/>
        </w:rPr>
      </w:pPr>
      <w:bookmarkStart w:id="3" w:name="_Toc106903035"/>
      <w:bookmarkStart w:id="4" w:name="_Toc26447"/>
      <w:bookmarkStart w:id="5" w:name="_Toc1721464"/>
      <w:bookmarkStart w:id="6" w:name="_Toc238530903"/>
      <w:r>
        <w:rPr>
          <w:rFonts w:hint="eastAsia" w:ascii="宋体" w:hAnsi="宋体" w:eastAsia="宋体" w:cs="Times New Roman"/>
          <w:b/>
          <w:bCs/>
          <w:color w:val="auto"/>
          <w:sz w:val="21"/>
          <w:szCs w:val="21"/>
          <w:highlight w:val="none"/>
          <w:lang w:val="en-US" w:eastAsia="zh-CN" w:bidi="ar-SA"/>
        </w:rPr>
        <w:t>二、</w:t>
      </w:r>
      <w:bookmarkEnd w:id="3"/>
      <w:bookmarkEnd w:id="4"/>
      <w:bookmarkEnd w:id="5"/>
      <w:r>
        <w:rPr>
          <w:rFonts w:hint="eastAsia" w:ascii="宋体" w:hAnsi="宋体" w:eastAsia="宋体" w:cs="Times New Roman"/>
          <w:b/>
          <w:bCs/>
          <w:color w:val="auto"/>
          <w:sz w:val="21"/>
          <w:szCs w:val="21"/>
          <w:highlight w:val="none"/>
          <w:lang w:val="en-US" w:eastAsia="zh-CN" w:bidi="ar-SA"/>
        </w:rPr>
        <w:t>招标清单及技术参数/服务要求</w:t>
      </w:r>
    </w:p>
    <w:p>
      <w:pPr>
        <w:spacing w:line="400" w:lineRule="exact"/>
        <w:rPr>
          <w:rFonts w:hint="eastAsia" w:ascii="宋体" w:hAnsi="宋体" w:eastAsia="宋体" w:cs="宋体"/>
          <w:color w:val="auto"/>
          <w:kern w:val="2"/>
          <w:sz w:val="21"/>
          <w:szCs w:val="21"/>
          <w:highlight w:val="none"/>
          <w:lang w:eastAsia="zh-CN"/>
        </w:rPr>
      </w:pPr>
      <w:r>
        <w:rPr>
          <w:rFonts w:hint="eastAsia" w:ascii="宋体" w:hAnsi="宋体" w:cs="宋体"/>
          <w:b/>
          <w:bCs/>
          <w:color w:val="auto"/>
          <w:kern w:val="2"/>
          <w:sz w:val="21"/>
          <w:szCs w:val="21"/>
          <w:highlight w:val="none"/>
        </w:rPr>
        <w:t>包1</w:t>
      </w:r>
      <w:r>
        <w:rPr>
          <w:rFonts w:hint="eastAsia" w:ascii="宋体" w:hAnsi="宋体" w:cs="宋体"/>
          <w:b/>
          <w:bCs/>
          <w:color w:val="auto"/>
          <w:kern w:val="2"/>
          <w:sz w:val="21"/>
          <w:szCs w:val="21"/>
          <w:highlight w:val="none"/>
          <w:lang w:eastAsia="zh-CN"/>
        </w:rPr>
        <w:t>：</w:t>
      </w:r>
    </w:p>
    <w:bookmarkEnd w:id="6"/>
    <w:tbl>
      <w:tblPr>
        <w:tblStyle w:val="15"/>
        <w:tblpPr w:leftFromText="181" w:rightFromText="181" w:vertAnchor="text" w:horzAnchor="page" w:tblpXSpec="center" w:tblpY="267"/>
        <w:tblOverlap w:val="never"/>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755"/>
        <w:gridCol w:w="5895"/>
        <w:gridCol w:w="915"/>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序号</w:t>
            </w:r>
          </w:p>
        </w:tc>
        <w:tc>
          <w:tcPr>
            <w:tcW w:w="1755"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名称</w:t>
            </w:r>
          </w:p>
        </w:tc>
        <w:tc>
          <w:tcPr>
            <w:tcW w:w="5895"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val="en-US" w:eastAsia="zh-Hans"/>
              </w:rPr>
              <w:t>技术参数</w:t>
            </w:r>
          </w:p>
        </w:tc>
        <w:tc>
          <w:tcPr>
            <w:tcW w:w="915"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数量</w:t>
            </w:r>
          </w:p>
        </w:tc>
        <w:tc>
          <w:tcPr>
            <w:tcW w:w="989"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0"/>
            <w:vAlign w:val="center"/>
          </w:tcPr>
          <w:p>
            <w:pPr>
              <w:spacing w:line="5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1</w:t>
            </w:r>
          </w:p>
        </w:tc>
        <w:tc>
          <w:tcPr>
            <w:tcW w:w="1755" w:type="dxa"/>
            <w:noWrap w:val="0"/>
            <w:vAlign w:val="center"/>
          </w:tcPr>
          <w:p>
            <w:pPr>
              <w:spacing w:line="220" w:lineRule="atLeas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个人所得税生产经营预缴汇缴申报实训系统</w:t>
            </w:r>
          </w:p>
        </w:tc>
        <w:tc>
          <w:tcPr>
            <w:tcW w:w="5895" w:type="dxa"/>
            <w:noWrap w:val="0"/>
            <w:vAlign w:val="top"/>
          </w:tcPr>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1.能够模拟个人生产经营所得的月季度预缴、年度汇缴两种征收方式的选择与申报，可以配套案例实训、评分，满足训练及教学需要</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rPr>
            </w:pPr>
            <w:r>
              <w:rPr>
                <w:rFonts w:hint="eastAsia" w:ascii="Calibri" w:eastAsia="宋体"/>
                <w:color w:val="auto"/>
                <w:highlight w:val="none"/>
                <w:lang w:val="en-US" w:eastAsia="zh-CN"/>
              </w:rPr>
              <w:t>★2.</w:t>
            </w:r>
            <w:r>
              <w:rPr>
                <w:rFonts w:hint="eastAsia" w:ascii="宋体" w:hAnsi="宋体" w:eastAsia="宋体" w:cs="宋体"/>
                <w:color w:val="auto"/>
                <w:sz w:val="21"/>
                <w:szCs w:val="21"/>
                <w:highlight w:val="none"/>
              </w:rPr>
              <w:t>人员信息采集功能，人员信息采集主要包括【添加】、【导入】、【报送】、【获取反馈】、【同步人员】、【导出】、【展开查询条件】和【更多操作】功能。能够实现境内外人员的信息登记，包括人员状态、证照类型、证照号码、任职受雇从业类型、任职受雇从业日期、离职日期、手机号码等基础信息、联系方式、任职受雇信息，可对录入的信息进行修改和删除，个人基础信息既可以录入也支持导入导出功能，基础信息实现校验功能，需报送，验证通过获取反馈，尤其是身份证号码要实现真实的校验，是股东投资者的，可以填写个人投资总额，具有多种查询条件和高级查询功能，可以通过工号、证照类型、号码、人员状态等精确筛选，可批量修改人员信息，也可以自定义显示排列；根据所选证照类型填写正确的证照号码。使用居民身份证登记，证照号码必须是正确的18位身份证号码，否则校验不通过。</w:t>
            </w:r>
          </w:p>
          <w:p>
            <w:pPr>
              <w:spacing w:line="22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性别】、【出生日期】：选择居民身份证采集的，此两项信息会根据身份证号码信息自动带出，无需填写；使用其他证件，则需手动据实填写。可进行自定义显示列，人员信息采集列表中，可以自定义列表中展示的信息。如：无需显示人员状态，可以取消勾选，能隐藏非正常人员，采集界面上会显示人员状态为非正常的人员，在系统中不再对该人员进行业务操作时，可通过本功能隐藏非正常（已离职）人员。隐藏后，该按钮会变成【显示非正常人员】，点击后会重新显示非正常人员。</w:t>
            </w:r>
          </w:p>
          <w:p>
            <w:pPr>
              <w:spacing w:line="220" w:lineRule="atLeast"/>
              <w:rPr>
                <w:rFonts w:hint="eastAsia" w:ascii="宋体" w:hAnsi="宋体" w:eastAsia="宋体" w:cs="宋体"/>
                <w:color w:val="auto"/>
                <w:sz w:val="21"/>
                <w:szCs w:val="21"/>
                <w:highlight w:val="none"/>
                <w:lang w:eastAsia="zh-CN"/>
              </w:rPr>
            </w:pPr>
            <w:r>
              <w:rPr>
                <w:rFonts w:hint="eastAsia" w:ascii="Calibri" w:eastAsia="宋体"/>
                <w:color w:val="auto"/>
                <w:highlight w:val="none"/>
                <w:lang w:val="en-US" w:eastAsia="zh-CN"/>
              </w:rPr>
              <w:t>4.</w:t>
            </w:r>
            <w:r>
              <w:rPr>
                <w:rFonts w:hint="eastAsia" w:ascii="宋体" w:hAnsi="宋体" w:eastAsia="宋体" w:cs="宋体"/>
                <w:color w:val="auto"/>
                <w:sz w:val="21"/>
                <w:szCs w:val="21"/>
                <w:highlight w:val="none"/>
              </w:rPr>
              <w:t>企业核定信息类型包括个体工商户、承办承租经营者、个人独资、合伙企业；计税标识包括查账征收（应纳税所得率）、核定征收（征收率）、核定征收（所得率）、核定征收（应税所得率）、核定征收（应纳税所得额），能够自主修改所得率的数值，修改保存的数量会自动读取到预缴纳税申报的利润信息栏；纳税期限包括月度、季度两个选项。能够根据填写信息自动判断为月度申报或季度申报，并有相关内容提示，税款所属期支持自主修改</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征收方式可在据实预缴和按上年应纳税所得额中进行切换，切换后会清空之前填写的数据信息</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利润信息数据之间有勾稽关系，只需填写收入总额、成本费用，会自动计算利润总额、被投资单位经营所得</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季度预缴申报表包括收入总额、成本费用、利润总额、弥补以前年度亏损、应税所得率、合伙企业个人合伙人分配笔录、允许扣除的个人费用及其他扣除、准予扣除的捐赠额、应纳税所得额、税率、速算扣除数、应纳税额、减免税额、已缴税额、应补/退税额。年度汇缴申报表包括专项扣除、专项附加扣除信息、投资者减除费用、依法确定的其他扣除、投资抵扣等数据填写。</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支持捐赠扣除明细查看填写，填写包括受赠单位名称、受赠单位纳税人识别号、捐赠凭证号、捐赠日期；支持减免扣除明细填写，填写包括减免事项、减免性质、减免税额，其中减免事项、减免性质根据国家政策进行选择，自行匹配相应的政策，无需自行填写</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税款缴纳功能在申报成功后通过【三方协议缴税】获取显示欠税相关内容，包括：所得月份、申报表名称、征收品目、税款所属期起止时间、个人三方协议账户等，缴纳结束可以进行历史查询</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Calibri" w:eastAsia="宋体"/>
                <w:color w:val="auto"/>
                <w:highlight w:val="none"/>
                <w:lang w:val="en-US"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系统具有独立的实训案例评分系统。评分统计可以对申报结果进行评分，老师可以查看学生提交实训结果的时间，分数，学生的答案，正确的答案，并且学生错误的答案以红色标注；学生也可以利用系统中的成绩查询功能查看自己的成绩，包括学生答案，正确答案，学生错误的答案以红色标注；评分功能老师可以自由控制开关，一旦关闭，系统中的成绩查询功能不可用；在测评模式下，学生评分后不能看到答案和得分，只能教师后台查看</w:t>
            </w:r>
            <w:r>
              <w:rPr>
                <w:rFonts w:hint="eastAsia" w:ascii="宋体" w:hAnsi="宋体" w:eastAsia="宋体" w:cs="宋体"/>
                <w:color w:val="auto"/>
                <w:sz w:val="21"/>
                <w:szCs w:val="21"/>
                <w:highlight w:val="none"/>
                <w:lang w:eastAsia="zh-CN"/>
              </w:rPr>
              <w:t>。</w:t>
            </w:r>
          </w:p>
          <w:p>
            <w:pPr>
              <w:spacing w:line="220" w:lineRule="atLeast"/>
              <w:rPr>
                <w:rFonts w:hint="eastAsia"/>
                <w:color w:val="auto"/>
                <w:highlight w:val="none"/>
              </w:rPr>
            </w:pPr>
            <w:r>
              <w:rPr>
                <w:rFonts w:hint="eastAsia" w:ascii="Calibri" w:eastAsia="宋体"/>
                <w:color w:val="auto"/>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具有客户端和网页端2种版本，方便根据实训需求灵活选用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不少于20套案例，案例中需有个体工商户、合伙企业、个人独资企业等类型的单项和综合案例，需涉及现代服务、化妆品销售、餐饮、财税咨询等行业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有个体工商户经营所得汇算清缴的计算、个体工商户经营所得减半征收、合伙创投企业对初创科技型企业投资等个税相关动画不少于60个，个税相关ppt和PPT配套讲解视频，分别不少于30个</w:t>
            </w:r>
            <w:r>
              <w:rPr>
                <w:rFonts w:hint="eastAsia" w:ascii="宋体" w:hAnsi="宋体" w:eastAsia="宋体" w:cs="宋体"/>
                <w:color w:val="auto"/>
                <w:sz w:val="21"/>
                <w:szCs w:val="21"/>
                <w:highlight w:val="none"/>
                <w:lang w:eastAsia="zh-CN"/>
              </w:rPr>
              <w:t>。</w:t>
            </w:r>
          </w:p>
        </w:tc>
        <w:tc>
          <w:tcPr>
            <w:tcW w:w="915"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989"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0"/>
            <w:vAlign w:val="center"/>
          </w:tcPr>
          <w:p>
            <w:pPr>
              <w:spacing w:line="5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2</w:t>
            </w:r>
          </w:p>
        </w:tc>
        <w:tc>
          <w:tcPr>
            <w:tcW w:w="1755" w:type="dxa"/>
            <w:noWrap w:val="0"/>
            <w:vAlign w:val="center"/>
          </w:tcPr>
          <w:p>
            <w:pPr>
              <w:spacing w:line="220" w:lineRule="atLeas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个人所得税汇算清缴系统</w:t>
            </w:r>
          </w:p>
        </w:tc>
        <w:tc>
          <w:tcPr>
            <w:tcW w:w="5895" w:type="dxa"/>
            <w:noWrap w:val="0"/>
            <w:vAlign w:val="top"/>
          </w:tcPr>
          <w:p>
            <w:pPr>
              <w:spacing w:line="22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1.能够模拟个人所得税年度汇算清缴与集中申报涉及的各类实务处理，可以配套案例实训、评分，满足训练及教学需要。</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2.系统包括我的企业、我的成绩、外出办税、学习中心、笔记答疑、个税计算器、金融计算器、excel工具、自然人税收管理系统、网上认证系统等十大核心模块</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.案例列表可以看到教师端发布的案例，能够看到案例名称，企业信息，所属行业，发布时间，税种，适用的会计准则，案例类型等信息；可进行案例须知查看、实训及评分操作</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Calibri" w:eastAsia="宋体"/>
                <w:color w:val="auto"/>
                <w:highlight w:val="none"/>
                <w:lang w:val="en-US"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.个人所得税汇算清缴系统包括扣缴申报、集中申报，集中申报包括报表填报、退税申请、税款缴纳、申报记录查询、缴款记录查询功能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综合所得汇算清缴申报表填写包括收入合计、费用合计、免税收入合计、减除费用、专项扣除合计、专项附加扣除合计、其他扣除合计、准予扣除的捐赠额、应纳税所得额、税率、速算扣除数、应纳税额，申报表间有逻辑校验，能够根据填写的分项自动进行主项数据的计算</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.其他免税收入、商业健康保险、税延养老保险、准予扣除的捐赠额、减免税额能够单独进行编辑，编辑包括所得项目、减免事项、减免性质、减免税额、备注等内容</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所得项目包括正常工资薪金、全年一次性奖金收入、央企负责人绩效薪金延期兑现收入和任期奖励、一般劳务报酬所得、保险营销员佣金收入、证券经纪人佣金收入、其他连续劳务报酬、其他非连续劳务报酬、稿酬所得、特许权使用费所得；减免事项包括残疾孤老烈属减征个人所得税、其他地区地震受灾减免个人所得税、其他自然灾害受灾减免个人所得税；减免性质可自动根据填写的内容匹配相应的法律法规及条文</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税申请包括申请退税、撤销申请、状态查询，能够查看到已申报人员的姓名、证件类型、身份证号、应退税额、银行账号、开户银行、开户行省份等信息</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申报结果支持更正、作废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能够查看到税款缴纳记录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税款缴纳能够进行税款缴纳，查看税款所属年度，缴纳状态，应补/退税额</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kern w:val="2"/>
                <w:sz w:val="21"/>
                <w:szCs w:val="21"/>
                <w:highlight w:val="none"/>
              </w:rPr>
            </w:pPr>
            <w:r>
              <w:rPr>
                <w:rFonts w:hint="eastAsia" w:ascii="Calibri" w:eastAsia="宋体"/>
                <w:color w:val="auto"/>
                <w:highlight w:val="none"/>
                <w:lang w:val="en-US" w:eastAsia="zh-CN"/>
              </w:rPr>
              <w:t>★9.</w:t>
            </w:r>
            <w:r>
              <w:rPr>
                <w:rFonts w:hint="eastAsia" w:ascii="宋体" w:hAnsi="宋体" w:eastAsia="宋体" w:cs="宋体"/>
                <w:color w:val="auto"/>
                <w:sz w:val="21"/>
                <w:szCs w:val="21"/>
                <w:highlight w:val="none"/>
                <w:lang w:val="en-US" w:eastAsia="zh-CN"/>
              </w:rPr>
              <w:t>不少于6套案例，需涉及软件、医美、建筑、新闻出版、餐饮等行业案例，子女教育、赡养老人专项附加扣除，案例包含工资薪金所得、商业健康保险、捐赠、年中退休人员、残疾人减征个税、大病医疗、公益性捐赠等典型业务。有个税相关动画不少于60个，个税相关ppt和PPT配套讲解视频，分别不少于30个。</w:t>
            </w:r>
          </w:p>
        </w:tc>
        <w:tc>
          <w:tcPr>
            <w:tcW w:w="915"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989"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0"/>
            <w:vAlign w:val="center"/>
          </w:tcPr>
          <w:p>
            <w:pPr>
              <w:spacing w:line="5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3</w:t>
            </w:r>
          </w:p>
        </w:tc>
        <w:tc>
          <w:tcPr>
            <w:tcW w:w="1755" w:type="dxa"/>
            <w:noWrap w:val="0"/>
            <w:vAlign w:val="center"/>
          </w:tcPr>
          <w:p>
            <w:pPr>
              <w:spacing w:line="220" w:lineRule="atLeas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纳税筹划教学系统</w:t>
            </w:r>
          </w:p>
        </w:tc>
        <w:tc>
          <w:tcPr>
            <w:tcW w:w="5895" w:type="dxa"/>
            <w:noWrap w:val="0"/>
            <w:vAlign w:val="top"/>
          </w:tcPr>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1.有筹划理论教和学、筹划理论随堂练、筹划定向复盘练、筹划选案复盘练功能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筹划理论教和学包含纳税筹划理论、纳税筹划分税种经典案例、纳税筹划分行业经典案例3本教材</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Calibri" w:eastAsia="宋体"/>
                <w:color w:val="auto"/>
                <w:highlight w:val="none"/>
                <w:lang w:val="en-US" w:eastAsia="zh-CN"/>
              </w:rPr>
              <w:t>★2.</w:t>
            </w:r>
            <w:r>
              <w:rPr>
                <w:rFonts w:hint="eastAsia" w:ascii="宋体" w:hAnsi="宋体" w:eastAsia="宋体" w:cs="宋体"/>
                <w:color w:val="auto"/>
                <w:sz w:val="21"/>
                <w:szCs w:val="21"/>
                <w:highlight w:val="none"/>
              </w:rPr>
              <w:t>纳税筹划分税种经典案例包含增值税、消费税、企业所得税、个人所得税等18个税种不少于50个的经典案例，每个案例以任务的形式进行学习，通过税法依据、筹划思路、筹划过程、筹划结论、任务点评的模式进行综合剖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有不少于20个配套教学的PPT课件和课件的讲解视频，有不少于30个纳税筹划动画视频</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纳税筹划分行业经典案例包含制造业、建筑业、交通运输等10个行业不少于20个的经典案例，每个案例以任务的形式进行学习，通过业务分析、筹划过程、筹划结论的模式进行综合剖析</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筹划理论随堂练模块内置税收筹划教材的章节练习，至少包含七个项目、三十四个任务、一千余道练习题，涵盖税收筹划的基本理论、税收筹划的基本方法、增值税的税收筹划、企业所得税的税收筹划、个人所得税的税收筹划、关税及其他税种的税收筹划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筹划随堂练界面包含单选、多选、判断题，练习结束即时出具测评结果，如正确率、做错题数、做对题数、总成绩，还有答案解析、错题重做功能；筹划理论随堂练项目任务根据教师端发布的情况显示发布状态，并根据发布状态统计项目下已发布的任务数量，且根据作答的最近提交时间可查询对应的练习成绩，同时进行中的练习可更换设备或时间延续完成作答</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rPr>
            </w:pPr>
            <w:r>
              <w:rPr>
                <w:rFonts w:ascii="宋体" w:hAnsi="宋体" w:eastAsia="宋体" w:cs="宋体"/>
                <w:color w:val="auto"/>
                <w:spacing w:val="-4"/>
                <w:sz w:val="20"/>
                <w:szCs w:val="20"/>
                <w:highlight w:val="none"/>
              </w:rPr>
              <w:t>▲</w:t>
            </w:r>
            <w:r>
              <w:rPr>
                <w:rFonts w:hint="eastAsia" w:ascii="Calibri" w:eastAsia="宋体"/>
                <w:color w:val="auto"/>
                <w:highlight w:val="none"/>
                <w:lang w:val="en-US" w:eastAsia="zh-CN"/>
              </w:rPr>
              <w:t>5.</w:t>
            </w:r>
            <w:r>
              <w:rPr>
                <w:rFonts w:hint="eastAsia" w:ascii="宋体" w:hAnsi="宋体" w:eastAsia="宋体" w:cs="宋体"/>
                <w:color w:val="auto"/>
                <w:sz w:val="21"/>
                <w:szCs w:val="21"/>
                <w:highlight w:val="none"/>
              </w:rPr>
              <w:t>筹划选案复盘练分为定向复盘和随机复盘2种模式，可对系统提供的案例进行复盘学习，定向复盘能够按照策略类型，税种、行业、筹划方法、难易程度进行筛选，找到目标案例进行定向复盘演练，也能通过随机复盘功能选择单点策略或综合策略的案例，由系统从筹划案例库中随机抽选案例复盘；复盘练案例需超过220个，2020年份及以后案例不少于90个，涵盖企业所得税、车辆购置税、房产税、个人所得税、消费税等10余个税种，增值税案例不少于60个，企业所得税案例不少于50个，个人所得税案例不少于30个、消费税案例不少于20个。</w:t>
            </w:r>
          </w:p>
          <w:p>
            <w:pPr>
              <w:spacing w:line="220" w:lineRule="atLeast"/>
              <w:rPr>
                <w:rFonts w:hint="eastAsia" w:ascii="宋体" w:hAnsi="宋体" w:eastAsia="宋体" w:cs="宋体"/>
                <w:color w:val="auto"/>
                <w:sz w:val="21"/>
                <w:szCs w:val="21"/>
                <w:highlight w:val="none"/>
                <w:lang w:eastAsia="zh-CN"/>
              </w:rPr>
            </w:pPr>
            <w:r>
              <w:rPr>
                <w:rFonts w:hint="eastAsia" w:ascii="Calibri" w:eastAsia="宋体"/>
                <w:color w:val="auto"/>
                <w:highlight w:val="none"/>
                <w:lang w:val="en-US" w:eastAsia="zh-CN"/>
              </w:rPr>
              <w:t>★6.</w:t>
            </w:r>
            <w:r>
              <w:rPr>
                <w:rFonts w:hint="eastAsia" w:ascii="宋体" w:hAnsi="宋体" w:eastAsia="宋体" w:cs="宋体"/>
                <w:color w:val="auto"/>
                <w:sz w:val="21"/>
                <w:szCs w:val="21"/>
                <w:highlight w:val="none"/>
              </w:rPr>
              <w:t>复盘练案例行业不少20个，必须包含白酒制造、电子、房地产业、房屋建筑业、服务、广告、化工、化妆品、建筑安装业、金融、劳务、零售、农业、其他制造业、软件和信息技术服务业、商品流通、物流等行业。复盘练案例涉及筹划方式不少于</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种、必须包含费用转移、分别核算、高新技术企业、稿酬所得纳税筹划、公司组织形式选择、购货对象、固定资产折旧、合同签订方式、合同签订金额、技术转让、加计扣除、兼营不同税率、交换方式、经营范围、居民个人与非居民个人选择、居民企业与非居民企业选择、捐赠、捆绑销售、免税政策、纳税人性质、纳税义务时间延迟方法、其他方式销售、其他进项税额抵扣、其他税前扣除、企业成立选址、实物偿债、投资产业、投资方式、委托加工、现金折扣、消费税扣除、销售折扣、小规模纳税人销售额临界点、小微企业与一般企业临界点、业务招待费用、优惠税率或低税率、增值税率判别法、折扣销售、专项附加扣除方式选择、转让定价方式、资产重组、自主定价等</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每个案例按照筹划思路、筹划过程、筹划结论的三段式设计，通过案例内容进行筹划，提供答案辅助功能，能够随时查看正确答案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复盘练有封闭模式和开放模式，教师端可设置，设置为开放模式时学生做完训练案例可以直接查看答案，若为封闭模式，则看不到相应答案解析</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val="en-US" w:eastAsia="zh-CN"/>
              </w:rPr>
            </w:pPr>
            <w:r>
              <w:rPr>
                <w:rFonts w:hint="eastAsia" w:ascii="Calibri" w:eastAsia="宋体"/>
                <w:color w:val="auto"/>
                <w:highlight w:val="none"/>
                <w:lang w:val="en-US" w:eastAsia="zh-CN"/>
              </w:rPr>
              <w:t>8.★</w:t>
            </w:r>
            <w:r>
              <w:rPr>
                <w:rFonts w:hint="eastAsia" w:ascii="宋体" w:hAnsi="宋体" w:eastAsia="宋体" w:cs="宋体"/>
                <w:color w:val="auto"/>
                <w:sz w:val="21"/>
                <w:szCs w:val="21"/>
                <w:highlight w:val="none"/>
              </w:rPr>
              <w:t>有筹划随堂练成绩查询功能，能够按班级查询，可以看到每个章节的题目数、平均得分、总分、正答率。还可以导出相应成绩，每个章节的成绩均可以详细查看，能够查看相应班级在该章节下的每个学生的答题情况，如题目数、平均得分、</w:t>
            </w:r>
            <w:r>
              <w:rPr>
                <w:rFonts w:hint="eastAsia" w:ascii="宋体" w:hAnsi="宋体" w:eastAsia="宋体" w:cs="宋体"/>
                <w:color w:val="auto"/>
                <w:sz w:val="21"/>
                <w:szCs w:val="21"/>
                <w:highlight w:val="none"/>
                <w:lang w:val="en-US" w:eastAsia="zh-CN"/>
              </w:rPr>
              <w:t>正确答案。</w:t>
            </w:r>
          </w:p>
          <w:p>
            <w:pPr>
              <w:rPr>
                <w:color w:val="auto"/>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筹划定向复盘练根据筹划方法对案例进行分类，便于针对性练习，且案例练习支持限时和不限时两种作答模式</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筹划定向复盘练练习中需由纳税筹划咨询信息、政策法规、筹划思路、筹划过程、筹划结论五部分组成，根据纳税筹划咨询信息给出案例所需的政策法规内容，同时在筹划思路中直接给出至少2种筹划方案，让作答者根据限定的筹划方案在筹划过程中根据所涉及的筹划项目计算原方案和新方案的数据，最终在筹划结论中由系统自动将多筹划方案合并为对比表，根据对比表完成筹划结论的单选、多选的作答</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教师端可对筹划定向复盘练案例进行发布，同时支持发布限时或不限时的作答方式，再此也可控制学生端对应班级的标准答案及解析的查看权限；且在成绩管理中可查询学生作答记录、分析报告及导出成绩</w:t>
            </w:r>
            <w:r>
              <w:rPr>
                <w:rFonts w:hint="eastAsia" w:ascii="宋体" w:hAnsi="宋体" w:eastAsia="宋体" w:cs="宋体"/>
                <w:color w:val="auto"/>
                <w:sz w:val="21"/>
                <w:szCs w:val="21"/>
                <w:highlight w:val="none"/>
                <w:lang w:eastAsia="zh-CN"/>
              </w:rPr>
              <w:t>。</w:t>
            </w:r>
          </w:p>
        </w:tc>
        <w:tc>
          <w:tcPr>
            <w:tcW w:w="915"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989"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0"/>
            <w:vAlign w:val="center"/>
          </w:tcPr>
          <w:p>
            <w:pPr>
              <w:spacing w:line="5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w:t>
            </w:r>
          </w:p>
        </w:tc>
        <w:tc>
          <w:tcPr>
            <w:tcW w:w="1755" w:type="dxa"/>
            <w:noWrap w:val="0"/>
            <w:vAlign w:val="center"/>
          </w:tcPr>
          <w:p>
            <w:pPr>
              <w:spacing w:line="220" w:lineRule="atLeas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纳税筹划单点策略实训系统</w:t>
            </w:r>
          </w:p>
        </w:tc>
        <w:tc>
          <w:tcPr>
            <w:tcW w:w="5895" w:type="dxa"/>
            <w:noWrap w:val="0"/>
            <w:vAlign w:val="top"/>
          </w:tcPr>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1.由教师端和学生端组成，教师端有班级、学生管理功能，可以发布案例，查询成绩，能够批量发布和管理案例，案例发布后需手动开启，关闭后学生看不到相应案例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学生端可进行纳税筹划实训，出具企业纳税筹划报告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学生可查看老师已发布的已做和未做的案例，通过案例简介可以看到案例所属的行业、税种和涉及的筹划方法，案例难度，已经提交评分的案例可以查看纳税筹划报告，若上次未做完，则可继续练习。</w:t>
            </w:r>
          </w:p>
          <w:p>
            <w:pPr>
              <w:spacing w:line="220" w:lineRule="atLeast"/>
              <w:rPr>
                <w:rFonts w:hint="eastAsia" w:ascii="宋体" w:hAnsi="宋体" w:eastAsia="宋体" w:cs="宋体"/>
                <w:color w:val="auto"/>
                <w:sz w:val="21"/>
                <w:szCs w:val="21"/>
                <w:highlight w:val="none"/>
              </w:rPr>
            </w:pPr>
            <w:r>
              <w:rPr>
                <w:rFonts w:ascii="宋体" w:hAnsi="宋体" w:eastAsia="宋体" w:cs="宋体"/>
                <w:color w:val="auto"/>
                <w:spacing w:val="-4"/>
                <w:sz w:val="20"/>
                <w:szCs w:val="20"/>
                <w:highlight w:val="none"/>
              </w:rPr>
              <w:t>▲</w:t>
            </w:r>
            <w:r>
              <w:rPr>
                <w:rFonts w:hint="eastAsia" w:ascii="Calibri" w:eastAsia="宋体"/>
                <w:color w:val="auto"/>
                <w:highlight w:val="none"/>
                <w:lang w:val="en-US" w:eastAsia="zh-CN"/>
              </w:rPr>
              <w:t>2</w:t>
            </w:r>
            <w:r>
              <w:rPr>
                <w:rFonts w:hint="eastAsia" w:ascii="宋体" w:hAnsi="宋体" w:eastAsia="宋体" w:cs="宋体"/>
                <w:color w:val="auto"/>
                <w:sz w:val="21"/>
                <w:szCs w:val="21"/>
                <w:highlight w:val="none"/>
              </w:rPr>
              <w:t>.有零售业、软件行业、商品流通行业、白酒制造业等行业案例，教师可根据所属行业、所属税种、筹划方法、难易程度等进行选择性发布案例，可以查看每个案例的标准报告，报告有封面、行企背景、案情场景、业务分析、方案设计、方案确认、案例点评、知识拓展等内容，可打印。可对已发布的案例进行管理，能够关闭案例。系统案例支持全系统评分和系统评分+人工评分2种模式，选择了有人工评分的案例发布后，学生提交之后教师可以针对学生的筹划过程和筹划结论进行评分，评分后可导出相应成绩</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实训案例由学习指引、行企背景、案例情景、筹划策略与实施几个功能，提交评分后可以看到筹划分析报告和案例点评、知识拓展</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案例内有学习指引功能，通过学习指引可以了解实训任务；还能通过行企背景了解案例所属行业的行企现状、行企特点、行企趋势，能够综合全面的了解相应行业的特色</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可以在案情场景中查看企业基本信息、企业经营情况、企业业务详情、企业纳税情况、相关税收法规等信息，包括但不限于企业的详细信息、经营范围、主营业务介绍、人员架构情况、经营模式、业绩情况。能够至少了解到企业10笔以上的核心业务信息。</w:t>
            </w:r>
          </w:p>
          <w:p>
            <w:pPr>
              <w:spacing w:line="220" w:lineRule="atLeast"/>
              <w:rPr>
                <w:rFonts w:hint="eastAsia" w:ascii="宋体" w:hAnsi="宋体" w:eastAsia="宋体" w:cs="宋体"/>
                <w:color w:val="auto"/>
                <w:sz w:val="21"/>
                <w:szCs w:val="21"/>
                <w:highlight w:val="none"/>
              </w:rPr>
            </w:pPr>
            <w:r>
              <w:rPr>
                <w:rFonts w:hint="eastAsia" w:ascii="Calibri" w:eastAsia="宋体"/>
                <w:color w:val="auto"/>
                <w:highlight w:val="none"/>
                <w:lang w:val="en-US" w:eastAsia="zh-CN"/>
              </w:rPr>
              <w:t>★6.</w:t>
            </w:r>
            <w:r>
              <w:rPr>
                <w:rFonts w:hint="eastAsia" w:ascii="宋体" w:hAnsi="宋体" w:eastAsia="宋体" w:cs="宋体"/>
                <w:color w:val="auto"/>
                <w:sz w:val="21"/>
                <w:szCs w:val="21"/>
                <w:highlight w:val="none"/>
              </w:rPr>
              <w:t>筹划策略与实施是筹划实训的核心环节，分为业务分析、方案设计、方案确认，逻辑紧密，层层递进。需要先完成业务分析，再正对可筹划的业务设计不同的筹划方案，最终确定最优的方案。业务分析分为筹划空间排查、筹划风险点剔除、筹划思路确认、筹划方法选择4步，能够对企业发生的业务进行分析，找出有筹划空间的业务，然后再进行筹划风险点剔除，在筹划思路确认环节通过对系统提供的一些业务的筹划思路进行分析，确定可行的筹划思路，再针对性的进行筹划方法。</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方案设计环节可以根据业务分析的选项对筹划业务进行设计，可根据业务进行方案新增，每个业务可以设计最多6种方案，每个方案包含筹划思路、筹划方法、筹划过程、筹划结论。设计好方案后可进行对比选择最优方案，进行最终的筹划确认</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Calibri" w:eastAsia="宋体"/>
                <w:color w:val="auto"/>
                <w:highlight w:val="none"/>
                <w:lang w:val="en-US" w:eastAsia="zh-CN"/>
              </w:rPr>
              <w:t>★8.</w:t>
            </w:r>
            <w:r>
              <w:rPr>
                <w:rFonts w:hint="eastAsia" w:ascii="宋体" w:hAnsi="宋体" w:eastAsia="宋体" w:cs="宋体"/>
                <w:color w:val="auto"/>
                <w:sz w:val="21"/>
                <w:szCs w:val="21"/>
                <w:highlight w:val="none"/>
              </w:rPr>
              <w:t>方案确认后系统自动评分出具纳税筹划分析报告，报告包含案例的基本信息、行企背景、案情场景、学生的业务分析和方案设计的内容以及最终确定的方案，报告可打印作为实训报告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出具报告后系统自动出具本案例的点评以及相应拓展的知识</w:t>
            </w:r>
            <w:r>
              <w:rPr>
                <w:rFonts w:hint="eastAsia" w:ascii="宋体" w:hAnsi="宋体" w:eastAsia="宋体" w:cs="宋体"/>
                <w:color w:val="auto"/>
                <w:sz w:val="21"/>
                <w:szCs w:val="21"/>
                <w:highlight w:val="none"/>
                <w:lang w:eastAsia="zh-CN"/>
              </w:rPr>
              <w:t>。</w:t>
            </w:r>
          </w:p>
          <w:p>
            <w:pPr>
              <w:numPr>
                <w:ilvl w:val="0"/>
                <w:numId w:val="0"/>
              </w:num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教师可查询已发布案例的班级学生的成绩信息，可以通过学号、姓名、班级、案例名称查询，能够查询到学生的成绩，查看学生实训详情</w:t>
            </w:r>
            <w:r>
              <w:rPr>
                <w:rFonts w:hint="eastAsia" w:ascii="宋体" w:hAnsi="宋体" w:eastAsia="宋体" w:cs="宋体"/>
                <w:color w:val="auto"/>
                <w:sz w:val="21"/>
                <w:szCs w:val="21"/>
                <w:highlight w:val="none"/>
                <w:lang w:eastAsia="zh-CN"/>
              </w:rPr>
              <w:t>。</w:t>
            </w:r>
          </w:p>
          <w:p>
            <w:pPr>
              <w:numPr>
                <w:ilvl w:val="0"/>
                <w:numId w:val="0"/>
              </w:numPr>
              <w:spacing w:line="220" w:lineRule="atLeas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具有成绩分析功能，可以查看相应班级案例的实训人数、最高分、最低分、整体平均分和整体及格率。案例系统和评分系统，系统采用多种多样的成绩统计方法，既可以根据班级进行成绩统计，也可以根据教学案例进行统计，还可以根据学生个人进行成绩统计，教师端可以查看学生所在班级、提交时间、得分情况和详细筹划报告，可按提交时间和分数升序降序排列</w:t>
            </w:r>
            <w:r>
              <w:rPr>
                <w:rFonts w:hint="eastAsia" w:ascii="宋体" w:hAnsi="宋体" w:eastAsia="宋体" w:cs="宋体"/>
                <w:color w:val="auto"/>
                <w:sz w:val="21"/>
                <w:szCs w:val="21"/>
                <w:highlight w:val="none"/>
                <w:lang w:eastAsia="zh-CN"/>
              </w:rPr>
              <w:t>。</w:t>
            </w:r>
          </w:p>
        </w:tc>
        <w:tc>
          <w:tcPr>
            <w:tcW w:w="915"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989"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0"/>
            <w:vAlign w:val="center"/>
          </w:tcPr>
          <w:p>
            <w:pPr>
              <w:spacing w:line="5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5</w:t>
            </w:r>
          </w:p>
        </w:tc>
        <w:tc>
          <w:tcPr>
            <w:tcW w:w="1755" w:type="dxa"/>
            <w:noWrap w:val="0"/>
            <w:vAlign w:val="center"/>
          </w:tcPr>
          <w:p>
            <w:pPr>
              <w:spacing w:line="220" w:lineRule="atLeas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纳税评估教学系统</w:t>
            </w:r>
          </w:p>
        </w:tc>
        <w:tc>
          <w:tcPr>
            <w:tcW w:w="5895" w:type="dxa"/>
            <w:noWrap w:val="0"/>
            <w:vAlign w:val="top"/>
          </w:tcPr>
          <w:p>
            <w:pPr>
              <w:pBdr>
                <w:left w:val="dotted" w:color="E4E4E4" w:sz="12" w:space="26"/>
              </w:pBd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1.系统由理论学习、评估指标、评估指标随堂练、数据来源、指标测评等部分组成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理论学习模块包含纳税评估原理与依据、纳税评估方法经验与逆向工程、纳税评估案例大全3本教材，主要对税收风险管理理念、功能、方法、风险疑点、风险特征库等核心内容进行深入学习，能够详细了解税收风险管理系统、税收风险等级应对方式、税收风险疑点问题分类、税收风险识别指标库</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Calibri" w:eastAsia="宋体"/>
                <w:color w:val="auto"/>
                <w:highlight w:val="none"/>
                <w:lang w:val="en-US" w:eastAsia="zh-CN"/>
              </w:rPr>
              <w:t>★2</w:t>
            </w:r>
            <w:r>
              <w:rPr>
                <w:rFonts w:hint="eastAsia" w:ascii="宋体" w:hAnsi="宋体" w:eastAsia="宋体" w:cs="宋体"/>
                <w:color w:val="auto"/>
                <w:sz w:val="21"/>
                <w:szCs w:val="21"/>
                <w:highlight w:val="none"/>
              </w:rPr>
              <w:t>.纳税评估案例大全有包含企业资质信用风险、交易处理风险、会计核算风险、纳税申报风险、行业涉税风险5个大类，资质风险、信用风险、合同签订风险、发票虚开风险、往来核算风险、成本费用核算风险、收入核算风险、增值税、企业所得税、个人所得税、消费税、车辆购置税、城镇土地使用税、印花税、房产税、医疗行业、酒店行业、制造行业、建筑行业、保险行业等20小类等合计105个案例</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ascii="宋体" w:hAnsi="宋体" w:eastAsia="宋体" w:cs="宋体"/>
                <w:color w:val="auto"/>
                <w:spacing w:val="-4"/>
                <w:sz w:val="20"/>
                <w:szCs w:val="20"/>
                <w:highlight w:val="none"/>
              </w:rPr>
              <w:t>▲</w:t>
            </w:r>
            <w:r>
              <w:rPr>
                <w:rFonts w:hint="eastAsia" w:ascii="Calibri" w:eastAsia="宋体"/>
                <w:color w:val="auto"/>
                <w:highlight w:val="none"/>
                <w:lang w:val="en-US" w:eastAsia="zh-CN"/>
              </w:rPr>
              <w:t>3</w:t>
            </w:r>
            <w:r>
              <w:rPr>
                <w:rFonts w:hint="eastAsia" w:ascii="宋体" w:hAnsi="宋体" w:eastAsia="宋体" w:cs="宋体"/>
                <w:color w:val="auto"/>
                <w:sz w:val="21"/>
                <w:szCs w:val="21"/>
                <w:highlight w:val="none"/>
              </w:rPr>
              <w:t>.理论学习功能有风险管理系统及纳税评估主题培训视频20个，分别为金三税收风控系统及等级划分应对、税收风险疑点问题分类与案例导入、税收风险识别指标库讲解与综合运用、纳税能力、税收负担、财务管理类指标综合运用、税收风险识别指标模型分析与应用、纳税评估案例复盘演练与讲解等，课件专题涉及银行业、铁矿采选业、建筑业、运输行业、白酒行业、批发零售业、房地产等行业</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Calibri" w:eastAsia="宋体"/>
                <w:color w:val="auto"/>
                <w:highlight w:val="none"/>
                <w:lang w:val="en-US" w:eastAsia="zh-CN"/>
              </w:rPr>
              <w:t>★4.</w:t>
            </w:r>
            <w:r>
              <w:rPr>
                <w:rFonts w:hint="eastAsia" w:ascii="宋体" w:hAnsi="宋体" w:eastAsia="宋体" w:cs="宋体"/>
                <w:color w:val="auto"/>
                <w:sz w:val="21"/>
                <w:szCs w:val="21"/>
                <w:highlight w:val="none"/>
              </w:rPr>
              <w:t>评估指标模块包含税收负担、生成经营、纳税能力、财务管理、申报合法五大类140个评估指标信息表，能对个指标信息表进行学习，支持通过指标计算器完成无代码形式的指标公式练习，且通过系统完成自动评定功能</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每个评估指标信息表应包含指标名、大类含义、涉及行业、数据来源、指标含义、关键值描述、关键值类型、关键值计算公式、政策依据、关键值测算、应对经验。</w:t>
            </w:r>
          </w:p>
          <w:p>
            <w:pPr>
              <w:spacing w:line="220" w:lineRule="atLeast"/>
              <w:rPr>
                <w:rFonts w:hint="eastAsia" w:ascii="宋体" w:hAnsi="宋体" w:eastAsia="宋体" w:cs="宋体"/>
                <w:color w:val="auto"/>
                <w:sz w:val="21"/>
                <w:szCs w:val="21"/>
                <w:highlight w:val="none"/>
                <w:lang w:eastAsia="zh-CN"/>
              </w:rPr>
            </w:pPr>
            <w:r>
              <w:rPr>
                <w:rFonts w:hint="eastAsia" w:ascii="Calibri" w:eastAsia="宋体"/>
                <w:color w:val="auto"/>
                <w:highlight w:val="none"/>
                <w:lang w:val="en-US"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评估指标随堂练需根据评估指标的分类展示相符合的练习案例，练习案例由教师端进行控制，为便于案例应用分类需根据发布的指标仅显示已发布的分类，未发布的指标分类不显示</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评估指标随堂练的案例由评估案例信息、政策法规、风险点判断、风险指标计算、风险排查、风险应对经验及评分组成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评估指标随堂练案例列表需满足开始练习、重新练习和成绩查询的操作，且案例练习可随时暂停更换设备使用</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指标测评模块有指标训练和指标测评两种模式，其中指标训练可以根据系统配置的纳税评估和指标相关的理论题进行训练，能够自动评分、错题重做、查看学习进度，支持单选、多选、判断、简单题、主观题等题型。测评模式由教师发布可进行定时考试或开放考试的方式，能进行统一考试测评，独有防作弊模式，题目随机、选项随机。测评系统自动评分。</w:t>
            </w:r>
          </w:p>
          <w:p>
            <w:pPr>
              <w:spacing w:line="22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指标测评根据试卷由教师自主发布，发布模式分为练习及考试2种模式，且同一份试卷可各在指标练习和指标测评发布一次</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评估指标随堂练根据教师端进行发布，同时指标测评和评估指标随堂练的标准答案开启均由教师端进行控制，并可对每个班级做精细化管理。</w:t>
            </w:r>
          </w:p>
        </w:tc>
        <w:tc>
          <w:tcPr>
            <w:tcW w:w="915"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989"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0"/>
            <w:vAlign w:val="center"/>
          </w:tcPr>
          <w:p>
            <w:pPr>
              <w:spacing w:line="5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w:t>
            </w:r>
          </w:p>
        </w:tc>
        <w:tc>
          <w:tcPr>
            <w:tcW w:w="1755" w:type="dxa"/>
            <w:noWrap w:val="0"/>
            <w:vAlign w:val="center"/>
          </w:tcPr>
          <w:p>
            <w:pPr>
              <w:spacing w:line="220" w:lineRule="atLeas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纳税评估单点策略教学实训系统</w:t>
            </w:r>
          </w:p>
        </w:tc>
        <w:tc>
          <w:tcPr>
            <w:tcW w:w="5895" w:type="dxa"/>
            <w:noWrap w:val="0"/>
            <w:vAlign w:val="top"/>
          </w:tcPr>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.可通过案例选择查看案例简介，历史成绩，风险识别报告。案例简介功能可以了解企业行业类别、所属税种、涉及指标等相关信息。可实时查看已做案例的风险识别评估报告</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ascii="宋体" w:hAnsi="宋体" w:eastAsia="宋体" w:cs="宋体"/>
                <w:color w:val="auto"/>
                <w:spacing w:val="-4"/>
                <w:sz w:val="20"/>
                <w:szCs w:val="20"/>
                <w:highlight w:val="none"/>
              </w:rPr>
              <w:t>▲</w:t>
            </w:r>
            <w:r>
              <w:rPr>
                <w:rFonts w:hint="eastAsia" w:ascii="Calibri" w:eastAsia="宋体"/>
                <w:color w:val="auto"/>
                <w:highlight w:val="none"/>
                <w:lang w:val="en-US" w:eastAsia="zh-CN"/>
              </w:rPr>
              <w:t>2.</w:t>
            </w:r>
            <w:r>
              <w:rPr>
                <w:rFonts w:hint="eastAsia" w:ascii="宋体" w:hAnsi="宋体" w:eastAsia="宋体" w:cs="宋体"/>
                <w:color w:val="auto"/>
                <w:sz w:val="21"/>
                <w:szCs w:val="21"/>
                <w:highlight w:val="none"/>
              </w:rPr>
              <w:t>有学习指引、行企背景、案情场景、案头分析、纳税风险识别报告、案例点评、知识拓展功能，学习指引、行企背景模块：能展示纳税评估案例的学习流程、思路、行业，企业的现状、特点、趋势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案情场景：案例选择后，企业基本信息、企业经营情况、企业数据对比表、业务说明图、企业财务报表、纳税申报表等数据全部可以查看，且能够查看企业2期以内的数据，所有报表和真实系统完全一致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案头分析：有案头说明和案头分析功能。案头说明功能对企业的纳税评估方向进行指引和规划。案头分析功能分为风险点判断和结论、风险特征分析计算、风险信息排查确认、风险等级评价应对4个步骤。通过4个步骤对企业进行纳税风险评估操作。最终得出企业年度纳税风险识别实训报告</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能够对企业风险等级认定，提交评分后系统自动生成评估报告，显示相应分数，风险识别报告可打印，只有在提交评分后才能看到分析报告、案例点评和知识拓展</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Calibri" w:eastAsia="宋体"/>
                <w:color w:val="auto"/>
                <w:highlight w:val="none"/>
                <w:lang w:val="en-US"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纳税风险识别报告，和真实税局风险管理决策系统出具的风险识别报告基本一致。必须包含报告封面、行企背景、基本信息、案头分析、案例点评分项</w:t>
            </w:r>
            <w:r>
              <w:rPr>
                <w:rFonts w:hint="eastAsia" w:ascii="宋体" w:hAnsi="宋体" w:eastAsia="宋体" w:cs="宋体"/>
                <w:color w:val="auto"/>
                <w:sz w:val="21"/>
                <w:szCs w:val="21"/>
                <w:highlight w:val="none"/>
                <w:lang w:eastAsia="zh-CN"/>
              </w:rPr>
              <w:t>。</w:t>
            </w:r>
          </w:p>
          <w:p>
            <w:pPr>
              <w:rPr>
                <w:color w:val="auto"/>
                <w:highlight w:val="none"/>
              </w:rPr>
            </w:pPr>
            <w:r>
              <w:rPr>
                <w:rFonts w:hint="eastAsia" w:ascii="宋体" w:hAnsi="宋体" w:eastAsia="宋体" w:cs="宋体"/>
                <w:color w:val="auto"/>
                <w:sz w:val="21"/>
                <w:szCs w:val="21"/>
                <w:highlight w:val="none"/>
                <w:lang w:val="en-US" w:eastAsia="zh-CN"/>
              </w:rPr>
              <w:t>5.教师</w:t>
            </w:r>
            <w:r>
              <w:rPr>
                <w:rFonts w:hint="eastAsia" w:ascii="宋体" w:hAnsi="宋体" w:eastAsia="宋体" w:cs="宋体"/>
                <w:color w:val="auto"/>
                <w:sz w:val="21"/>
                <w:szCs w:val="21"/>
                <w:highlight w:val="none"/>
              </w:rPr>
              <w:t>端具有班级管理、学生管理、案例发布功能，能够批量发布和管理案例，案例发布后需手动开启，关闭后学生看不到相应案例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教师端可进行人工评分，对学生分析思路部分进行手工评分，评分后可导出相应成绩</w:t>
            </w:r>
            <w:r>
              <w:rPr>
                <w:rFonts w:hint="eastAsia" w:ascii="宋体" w:hAnsi="宋体" w:eastAsia="宋体" w:cs="宋体"/>
                <w:color w:val="auto"/>
                <w:sz w:val="21"/>
                <w:szCs w:val="21"/>
                <w:highlight w:val="none"/>
                <w:lang w:eastAsia="zh-CN"/>
              </w:rPr>
              <w:t>。</w:t>
            </w:r>
          </w:p>
          <w:p>
            <w:pPr>
              <w:rPr>
                <w:color w:val="auto"/>
                <w:highlight w:val="none"/>
              </w:rPr>
            </w:pPr>
            <w:r>
              <w:rPr>
                <w:rFonts w:hint="eastAsia" w:ascii="宋体" w:hAnsi="宋体" w:eastAsia="宋体" w:cs="宋体"/>
                <w:color w:val="auto"/>
                <w:sz w:val="21"/>
                <w:szCs w:val="21"/>
                <w:highlight w:val="none"/>
              </w:rPr>
              <w:t>包含案例系统和评分系统，系统采用多种多样的成绩统计方法，既可以根据班级进行成绩统计，也可以根据教学案例进行统计，还可以根据学生个人进行成绩统计，教师端可以查看学生所在班级、提交时间、得分情况和详细评估报告，可按提交时间和分数升序降序排列</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kern w:val="2"/>
                <w:sz w:val="21"/>
                <w:szCs w:val="21"/>
                <w:highlight w:val="none"/>
              </w:rPr>
            </w:pPr>
            <w:r>
              <w:rPr>
                <w:rFonts w:hint="eastAsia" w:ascii="Calibri" w:eastAsia="宋体"/>
                <w:color w:val="auto"/>
                <w:highlight w:val="none"/>
                <w:lang w:val="en-US" w:eastAsia="zh-CN"/>
              </w:rPr>
              <w:t>★6.</w:t>
            </w:r>
            <w:r>
              <w:rPr>
                <w:rFonts w:hint="eastAsia" w:ascii="宋体" w:hAnsi="宋体" w:eastAsia="宋体" w:cs="宋体"/>
                <w:color w:val="auto"/>
                <w:sz w:val="21"/>
                <w:szCs w:val="21"/>
                <w:highlight w:val="none"/>
              </w:rPr>
              <w:t>有不少于10个案例，包含道路运输业、房屋建筑业、酒、饮料和精制茶制造业（白酒制造）、零售业、旅游业、软件行业、医药制造业（药品生产）、娱乐业、装卸搬运和运输代理业（物流），案例指标需涉及税金负担率偏离度、主营业务收入变动率与主营业务成本变动率配比、增值税税负与毛利率弹性、增值税税负率、预付账款变动率、进项税额变动率等风险指标的教学应用。</w:t>
            </w:r>
          </w:p>
        </w:tc>
        <w:tc>
          <w:tcPr>
            <w:tcW w:w="915"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989"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0"/>
            <w:vAlign w:val="center"/>
          </w:tcPr>
          <w:p>
            <w:pPr>
              <w:spacing w:line="5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7</w:t>
            </w:r>
          </w:p>
        </w:tc>
        <w:tc>
          <w:tcPr>
            <w:tcW w:w="1755" w:type="dxa"/>
            <w:noWrap w:val="0"/>
            <w:vAlign w:val="center"/>
          </w:tcPr>
          <w:p>
            <w:pPr>
              <w:spacing w:line="220" w:lineRule="atLeas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纳税评估和税收风险预警开课指南和上课资源数据库</w:t>
            </w:r>
          </w:p>
        </w:tc>
        <w:tc>
          <w:tcPr>
            <w:tcW w:w="5895" w:type="dxa"/>
            <w:noWrap w:val="0"/>
            <w:vAlign w:val="top"/>
          </w:tcPr>
          <w:p>
            <w:pPr>
              <w:widowControl w:val="0"/>
              <w:ind w:left="0" w:leftChars="0" w:firstLine="0" w:firstLineChars="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数据库为便携式，容量为16G,USB接口，无需驱动器，无需网络，无需安装、无需输入账号密码，打开程序后，可查看资源目录、课标教材、上课指南、授课课件、动画资源、精讲视频、风控案例、案例分析、授课经验等资源。</w:t>
            </w:r>
          </w:p>
          <w:p>
            <w:pPr>
              <w:widowControl w:val="0"/>
              <w:ind w:left="0" w:leftChars="0" w:firstLine="0" w:firstLineChars="0"/>
              <w:jc w:val="both"/>
              <w:rPr>
                <w:rFonts w:hint="eastAsia" w:ascii="宋体" w:hAnsi="宋体" w:eastAsia="宋体" w:cs="宋体"/>
                <w:color w:val="auto"/>
                <w:sz w:val="21"/>
                <w:szCs w:val="21"/>
                <w:highlight w:val="none"/>
                <w:lang w:val="en-US" w:eastAsia="zh-CN" w:bidi="ar-SA"/>
              </w:rPr>
            </w:pPr>
            <w:r>
              <w:rPr>
                <w:rFonts w:ascii="宋体" w:hAnsi="宋体" w:eastAsia="宋体" w:cs="宋体"/>
                <w:color w:val="auto"/>
                <w:spacing w:val="-4"/>
                <w:sz w:val="20"/>
                <w:szCs w:val="20"/>
                <w:highlight w:val="none"/>
                <w:lang w:val="en-US" w:eastAsia="zh-CN" w:bidi="ar-SA"/>
              </w:rPr>
              <w:t>▲</w:t>
            </w:r>
            <w:r>
              <w:rPr>
                <w:rFonts w:hint="eastAsia" w:ascii="宋体" w:hAnsi="宋体" w:eastAsia="宋体" w:cs="宋体"/>
                <w:color w:val="auto"/>
                <w:sz w:val="21"/>
                <w:szCs w:val="21"/>
                <w:highlight w:val="none"/>
                <w:lang w:val="en-US" w:eastAsia="zh-CN" w:bidi="ar-SA"/>
              </w:rPr>
              <w:t>2.资源数据库资源丰富，有不少于900个资源，其中视频不少于300个，PPT不少于200个，PDF材料不少于270个，动画不少于30个。有纳税评估指标和行业案例、税收风险行业案、纳税评估和税收风控专题、企业税务风险管理、税收风控类课程教学应用高级师资研修班5大类授课课件，课件总份数不少于160个ppt课件，13个授课视频，有批发零售业、房地产行业、白酒行业、建筑业、餐饮业、食品制造业行业的全套税务合规检查、指标组建、风控模型组建、风险扫描及风险排查、风险后果自测课件，能配套采购系统教学。</w:t>
            </w:r>
          </w:p>
          <w:p>
            <w:pPr>
              <w:rPr>
                <w:color w:val="auto"/>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上课指南包含开课指引、上课指南、实训指南、实训视频、教学应用资源，有税收风控相关的课程设计、教学流程设计、开课指引文件，方便老师备课参考，配套纳税评估、财税大数据风控等系统教师端、学生端操作指南、视频，方便老师备课</w:t>
            </w:r>
            <w:r>
              <w:rPr>
                <w:rFonts w:hint="eastAsia" w:ascii="宋体" w:hAnsi="宋体" w:eastAsia="宋体" w:cs="宋体"/>
                <w:color w:val="auto"/>
                <w:sz w:val="21"/>
                <w:szCs w:val="21"/>
                <w:highlight w:val="none"/>
                <w:lang w:eastAsia="zh-CN"/>
              </w:rPr>
              <w:t>。</w:t>
            </w:r>
          </w:p>
          <w:p>
            <w:pPr>
              <w:widowControl w:val="0"/>
              <w:ind w:left="0" w:leftChars="0" w:firstLine="0" w:firstLineChars="0"/>
              <w:jc w:val="both"/>
              <w:rPr>
                <w:rFonts w:hint="eastAsia" w:ascii="宋体" w:hAnsi="宋体" w:eastAsia="宋体" w:cs="宋体"/>
                <w:color w:val="auto"/>
                <w:sz w:val="21"/>
                <w:szCs w:val="21"/>
                <w:highlight w:val="none"/>
                <w:lang w:val="en-US" w:eastAsia="zh-CN" w:bidi="ar-SA"/>
              </w:rPr>
            </w:pPr>
            <w:r>
              <w:rPr>
                <w:rFonts w:hint="eastAsia" w:ascii="Times New Roman" w:hAnsi="Times New Roman" w:eastAsia="宋体" w:cs="Times New Roman"/>
                <w:color w:val="auto"/>
                <w:szCs w:val="24"/>
                <w:highlight w:val="none"/>
                <w:lang w:val="en-US" w:eastAsia="zh-CN" w:bidi="ar-SA"/>
              </w:rPr>
              <w:t>★</w:t>
            </w:r>
            <w:r>
              <w:rPr>
                <w:rFonts w:hint="eastAsia" w:ascii="宋体" w:hAnsi="宋体" w:eastAsia="宋体" w:cs="宋体"/>
                <w:color w:val="auto"/>
                <w:sz w:val="21"/>
                <w:szCs w:val="21"/>
                <w:highlight w:val="none"/>
                <w:lang w:val="en-US" w:eastAsia="zh-CN" w:bidi="ar-SA"/>
              </w:rPr>
              <w:t>4.精讲视频涵盖纳税评估指标和行业案例、税收风控行业案例、财税大数据风控综合实训公开课、企业税务风险管理、大数据税务预警等主题，总数量超过280个，涉及行业有批发零售、白酒制造、软件、建筑、运输、银行、铁矿采选、商超、食品制造等。</w:t>
            </w:r>
          </w:p>
          <w:p>
            <w:pPr>
              <w:widowControl w:val="0"/>
              <w:ind w:left="0" w:leftChars="0" w:firstLine="0" w:firstLineChars="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有白酒制造、道路运输、商超、视频加工、医药行业的纳税评估单点策略实训案例，每个案例有学习指引、行企背景、企业基本信息、企业经营情况、多期财务报表、多期税务报表、业务说明图、案头说明等内容，案头说明中风险点判断和结论、风险特征分析计算、风险信息排查确认、风险应对经验策略均有不少于15条内容可用于教学讲解，研讨。</w:t>
            </w:r>
          </w:p>
          <w:p>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Times New Roman" w:hAnsi="Times New Roman" w:eastAsia="宋体" w:cs="Times New Roman"/>
                <w:color w:val="auto"/>
                <w:szCs w:val="24"/>
                <w:highlight w:val="none"/>
                <w:lang w:val="en-US" w:eastAsia="zh-CN" w:bidi="ar-SA"/>
              </w:rPr>
              <w:t>★6.</w:t>
            </w:r>
            <w:r>
              <w:rPr>
                <w:rFonts w:hint="eastAsia" w:ascii="宋体" w:hAnsi="宋体" w:eastAsia="宋体" w:cs="宋体"/>
                <w:color w:val="auto"/>
                <w:sz w:val="21"/>
                <w:szCs w:val="21"/>
                <w:highlight w:val="none"/>
                <w:lang w:val="en-US" w:eastAsia="zh-CN" w:bidi="ar-SA"/>
              </w:rPr>
              <w:t>有房地产行业财税大数据风控综合实训案例，案源信息包括企业基本信息、企业经营情况、财务报表、纳税申报情况，有合规性检查、风险疑点预判、风险引擎组建、风险扫描排查和后果自测、纳税检查应对等内容。</w:t>
            </w:r>
          </w:p>
        </w:tc>
        <w:tc>
          <w:tcPr>
            <w:tcW w:w="915"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989"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套</w:t>
            </w:r>
          </w:p>
        </w:tc>
      </w:tr>
    </w:tbl>
    <w:p>
      <w:pPr>
        <w:widowControl/>
        <w:spacing w:before="120" w:line="360" w:lineRule="auto"/>
        <w:jc w:val="left"/>
        <w:rPr>
          <w:rFonts w:hint="eastAsia" w:ascii="宋体" w:hAnsi="宋体" w:cs="宋体"/>
          <w:color w:val="auto"/>
          <w:sz w:val="21"/>
          <w:szCs w:val="21"/>
          <w:highlight w:val="none"/>
        </w:rPr>
      </w:pPr>
    </w:p>
    <w:p>
      <w:pPr>
        <w:widowControl/>
        <w:jc w:val="center"/>
        <w:outlineLvl w:val="0"/>
        <w:rPr>
          <w:rFonts w:hint="eastAsia" w:ascii="宋体" w:hAnsi="宋体" w:eastAsia="宋体" w:cs="Times New Roman"/>
          <w:b/>
          <w:bCs/>
          <w:color w:val="auto"/>
          <w:kern w:val="28"/>
          <w:sz w:val="21"/>
          <w:szCs w:val="21"/>
          <w:highlight w:val="none"/>
          <w:lang w:val="en-US" w:eastAsia="zh-CN" w:bidi="en-US"/>
        </w:rPr>
      </w:pPr>
    </w:p>
    <w:p>
      <w:pPr>
        <w:widowControl/>
        <w:jc w:val="center"/>
        <w:outlineLvl w:val="0"/>
        <w:rPr>
          <w:rFonts w:hint="eastAsia" w:ascii="宋体" w:hAnsi="宋体" w:eastAsia="宋体" w:cs="Times New Roman"/>
          <w:b/>
          <w:bCs/>
          <w:color w:val="auto"/>
          <w:kern w:val="28"/>
          <w:sz w:val="21"/>
          <w:szCs w:val="21"/>
          <w:highlight w:val="none"/>
          <w:lang w:val="en-US" w:eastAsia="zh-CN" w:bidi="en-US"/>
        </w:rPr>
      </w:pPr>
    </w:p>
    <w:p>
      <w:pPr>
        <w:widowControl/>
        <w:jc w:val="center"/>
        <w:outlineLvl w:val="0"/>
        <w:rPr>
          <w:rFonts w:hint="eastAsia" w:ascii="宋体" w:hAnsi="宋体" w:eastAsia="宋体" w:cs="Times New Roman"/>
          <w:b/>
          <w:bCs/>
          <w:color w:val="auto"/>
          <w:kern w:val="28"/>
          <w:sz w:val="21"/>
          <w:szCs w:val="21"/>
          <w:highlight w:val="none"/>
          <w:lang w:val="en-US" w:eastAsia="zh-CN" w:bidi="en-US"/>
        </w:rPr>
      </w:pPr>
    </w:p>
    <w:p>
      <w:pPr>
        <w:widowControl/>
        <w:jc w:val="center"/>
        <w:outlineLvl w:val="0"/>
        <w:rPr>
          <w:rFonts w:hint="eastAsia" w:ascii="宋体" w:hAnsi="宋体" w:eastAsia="宋体" w:cs="Times New Roman"/>
          <w:b/>
          <w:bCs/>
          <w:color w:val="auto"/>
          <w:kern w:val="28"/>
          <w:sz w:val="44"/>
          <w:highlight w:val="none"/>
          <w:lang w:val="en-US" w:eastAsia="zh-CN" w:bidi="en-US"/>
        </w:rPr>
      </w:pPr>
    </w:p>
    <w:p>
      <w:pPr>
        <w:rPr>
          <w:rFonts w:hint="eastAsia"/>
          <w:color w:val="auto"/>
          <w:highlight w:val="none"/>
          <w:lang w:bidi="en-US"/>
        </w:rPr>
      </w:pPr>
    </w:p>
    <w:p>
      <w:pPr>
        <w:widowControl/>
        <w:jc w:val="center"/>
        <w:outlineLvl w:val="0"/>
        <w:rPr>
          <w:rFonts w:hint="eastAsia" w:ascii="宋体" w:hAnsi="宋体" w:eastAsia="宋体" w:cs="Times New Roman"/>
          <w:b/>
          <w:bCs/>
          <w:color w:val="auto"/>
          <w:kern w:val="28"/>
          <w:sz w:val="44"/>
          <w:highlight w:val="none"/>
          <w:lang w:val="en-US" w:eastAsia="zh-CN" w:bidi="en-US"/>
        </w:rPr>
      </w:pPr>
    </w:p>
    <w:p>
      <w:pPr>
        <w:rPr>
          <w:rFonts w:hint="eastAsia" w:ascii="宋体" w:hAnsi="宋体" w:eastAsia="宋体"/>
          <w:color w:val="auto"/>
          <w:highlight w:val="none"/>
          <w:lang w:eastAsia="zh-CN"/>
        </w:rPr>
      </w:pPr>
    </w:p>
    <w:p>
      <w:pPr>
        <w:rPr>
          <w:rFonts w:hint="eastAsia" w:ascii="宋体" w:hAnsi="宋体" w:eastAsia="宋体"/>
          <w:color w:val="auto"/>
          <w:highlight w:val="none"/>
          <w:lang w:eastAsia="zh-CN"/>
        </w:rPr>
      </w:pPr>
    </w:p>
    <w:p>
      <w:pPr>
        <w:rPr>
          <w:rFonts w:hint="eastAsia" w:ascii="宋体" w:hAnsi="宋体" w:eastAsia="宋体"/>
          <w:color w:val="auto"/>
          <w:highlight w:val="none"/>
          <w:lang w:eastAsia="zh-CN"/>
        </w:rPr>
      </w:pPr>
    </w:p>
    <w:p>
      <w:pPr>
        <w:rPr>
          <w:rFonts w:hint="eastAsia" w:ascii="宋体" w:hAnsi="宋体" w:eastAsia="宋体"/>
          <w:color w:val="auto"/>
          <w:highlight w:val="none"/>
          <w:lang w:eastAsia="zh-CN"/>
        </w:rPr>
      </w:pPr>
    </w:p>
    <w:p>
      <w:pPr>
        <w:rPr>
          <w:rFonts w:hint="eastAsia" w:ascii="宋体" w:hAnsi="宋体" w:eastAsia="宋体"/>
          <w:color w:val="auto"/>
          <w:highlight w:val="none"/>
          <w:lang w:eastAsia="zh-CN"/>
        </w:rPr>
      </w:pPr>
    </w:p>
    <w:p>
      <w:pPr>
        <w:rPr>
          <w:rFonts w:hint="eastAsia"/>
          <w:color w:val="auto"/>
          <w:highlight w:val="none"/>
          <w:lang w:eastAsia="zh-CN"/>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bookmarkStart w:id="7" w:name="_Toc2263"/>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21"/>
          <w:szCs w:val="21"/>
          <w:highlight w:val="none"/>
          <w:lang w:val="en-US" w:eastAsia="zh-CN" w:bidi="en-US"/>
        </w:rPr>
      </w:pPr>
    </w:p>
    <w:p>
      <w:pPr>
        <w:widowControl/>
        <w:jc w:val="both"/>
        <w:outlineLvl w:val="0"/>
        <w:rPr>
          <w:rFonts w:hint="eastAsia" w:ascii="宋体" w:hAnsi="宋体" w:eastAsia="宋体" w:cs="Times New Roman"/>
          <w:b/>
          <w:bCs/>
          <w:color w:val="auto"/>
          <w:kern w:val="28"/>
          <w:sz w:val="44"/>
          <w:highlight w:val="none"/>
          <w:lang w:val="en-US" w:eastAsia="zh-CN" w:bidi="en-US"/>
        </w:rPr>
      </w:pPr>
      <w:r>
        <w:rPr>
          <w:rFonts w:hint="eastAsia" w:ascii="宋体" w:hAnsi="宋体" w:eastAsia="宋体" w:cs="Times New Roman"/>
          <w:b/>
          <w:bCs/>
          <w:color w:val="auto"/>
          <w:kern w:val="28"/>
          <w:sz w:val="21"/>
          <w:szCs w:val="21"/>
          <w:highlight w:val="none"/>
          <w:lang w:val="en-US" w:eastAsia="zh-CN" w:bidi="en-US"/>
        </w:rPr>
        <w:t>包2：</w:t>
      </w:r>
      <w:bookmarkEnd w:id="7"/>
    </w:p>
    <w:tbl>
      <w:tblPr>
        <w:tblStyle w:val="12"/>
        <w:tblW w:w="10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395"/>
        <w:gridCol w:w="6777"/>
        <w:gridCol w:w="798"/>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序号</w:t>
            </w:r>
          </w:p>
        </w:tc>
        <w:tc>
          <w:tcPr>
            <w:tcW w:w="1395"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名称</w:t>
            </w:r>
          </w:p>
        </w:tc>
        <w:tc>
          <w:tcPr>
            <w:tcW w:w="6777"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val="en-US" w:eastAsia="zh-Hans"/>
              </w:rPr>
              <w:t>技术参数</w:t>
            </w:r>
          </w:p>
        </w:tc>
        <w:tc>
          <w:tcPr>
            <w:tcW w:w="798"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数量</w:t>
            </w:r>
          </w:p>
        </w:tc>
        <w:tc>
          <w:tcPr>
            <w:tcW w:w="762"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noWrap w:val="0"/>
            <w:vAlign w:val="center"/>
          </w:tcPr>
          <w:p>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1</w:t>
            </w:r>
          </w:p>
        </w:tc>
        <w:tc>
          <w:tcPr>
            <w:tcW w:w="1395" w:type="dxa"/>
            <w:noWrap w:val="0"/>
            <w:vAlign w:val="center"/>
          </w:tcPr>
          <w:p>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数据可视化教学实验管理平台</w:t>
            </w:r>
          </w:p>
        </w:tc>
        <w:tc>
          <w:tcPr>
            <w:tcW w:w="6777" w:type="dxa"/>
            <w:noWrap w:val="0"/>
            <w:vAlign w:val="top"/>
          </w:tcPr>
          <w:p>
            <w:pPr>
              <w:pStyle w:val="16"/>
              <w:shd w:val="clear" w:color="auto" w:fill="FFFFFF"/>
              <w:adjustRightInd w:val="0"/>
              <w:snapToGrid w:val="0"/>
              <w:spacing w:before="0" w:beforeAutospacing="0" w:after="0" w:afterAutospacing="0"/>
              <w:rPr>
                <w:rFonts w:hint="eastAsia"/>
                <w:b/>
                <w:bCs/>
                <w:color w:val="auto"/>
                <w:kern w:val="2"/>
                <w:sz w:val="21"/>
                <w:szCs w:val="21"/>
                <w:highlight w:val="none"/>
              </w:rPr>
            </w:pPr>
            <w:r>
              <w:rPr>
                <w:rFonts w:hint="eastAsia"/>
                <w:b/>
                <w:bCs/>
                <w:color w:val="auto"/>
                <w:kern w:val="2"/>
                <w:sz w:val="21"/>
                <w:szCs w:val="21"/>
                <w:highlight w:val="none"/>
              </w:rPr>
              <w:t>后端管理</w:t>
            </w:r>
          </w:p>
          <w:p>
            <w:pPr>
              <w:pStyle w:val="16"/>
              <w:shd w:val="clear" w:color="auto" w:fill="FFFFFF"/>
              <w:adjustRightInd w:val="0"/>
              <w:snapToGrid w:val="0"/>
              <w:spacing w:before="0" w:beforeAutospacing="0" w:after="0" w:afterAutospacing="0"/>
              <w:rPr>
                <w:rFonts w:hint="eastAsia"/>
                <w:color w:val="auto"/>
                <w:kern w:val="2"/>
                <w:sz w:val="21"/>
                <w:szCs w:val="21"/>
                <w:highlight w:val="none"/>
              </w:rPr>
            </w:pPr>
            <w:r>
              <w:rPr>
                <w:rFonts w:hint="eastAsia"/>
                <w:color w:val="auto"/>
                <w:kern w:val="2"/>
                <w:sz w:val="21"/>
                <w:szCs w:val="21"/>
                <w:highlight w:val="none"/>
              </w:rPr>
              <w:t>1.支持设置首页轮播图，对其做添加、修改以及删除操作。</w:t>
            </w:r>
          </w:p>
          <w:p>
            <w:pPr>
              <w:pStyle w:val="16"/>
              <w:shd w:val="clear" w:color="auto" w:fill="FFFFFF"/>
              <w:adjustRightInd w:val="0"/>
              <w:snapToGrid w:val="0"/>
              <w:spacing w:before="0" w:beforeAutospacing="0" w:after="0" w:afterAutospacing="0"/>
              <w:rPr>
                <w:rFonts w:hint="eastAsia"/>
                <w:color w:val="auto"/>
                <w:kern w:val="2"/>
                <w:sz w:val="21"/>
                <w:szCs w:val="21"/>
                <w:highlight w:val="none"/>
              </w:rPr>
            </w:pPr>
            <w:r>
              <w:rPr>
                <w:rFonts w:hint="eastAsia"/>
                <w:snapToGrid w:val="0"/>
                <w:color w:val="auto"/>
                <w:spacing w:val="14"/>
                <w:sz w:val="21"/>
                <w:szCs w:val="21"/>
                <w:highlight w:val="none"/>
              </w:rPr>
              <w:t>★</w:t>
            </w:r>
            <w:r>
              <w:rPr>
                <w:rFonts w:hint="eastAsia"/>
                <w:color w:val="auto"/>
                <w:kern w:val="2"/>
                <w:sz w:val="21"/>
                <w:szCs w:val="21"/>
                <w:highlight w:val="none"/>
              </w:rPr>
              <w:t>2.支持行政管理，能创建、修改、删除班级，设置班级学生和负责教师。（提供产品功能截图）</w:t>
            </w:r>
          </w:p>
          <w:p>
            <w:pPr>
              <w:pStyle w:val="16"/>
              <w:shd w:val="clear" w:color="auto" w:fill="FFFFFF"/>
              <w:adjustRightInd w:val="0"/>
              <w:snapToGrid w:val="0"/>
              <w:spacing w:before="0" w:beforeAutospacing="0" w:after="0" w:afterAutospacing="0"/>
              <w:rPr>
                <w:rFonts w:hint="eastAsia"/>
                <w:color w:val="auto"/>
                <w:kern w:val="2"/>
                <w:sz w:val="21"/>
                <w:szCs w:val="21"/>
                <w:highlight w:val="none"/>
              </w:rPr>
            </w:pPr>
            <w:r>
              <w:rPr>
                <w:rFonts w:hint="eastAsia"/>
                <w:color w:val="auto"/>
                <w:kern w:val="2"/>
                <w:sz w:val="21"/>
                <w:szCs w:val="21"/>
                <w:highlight w:val="none"/>
              </w:rPr>
              <w:t>3.支持课程管理，能创建、修改、删除课程，为课程添加章节。</w:t>
            </w:r>
          </w:p>
          <w:p>
            <w:pPr>
              <w:pStyle w:val="16"/>
              <w:shd w:val="clear" w:color="auto" w:fill="FFFFFF"/>
              <w:adjustRightInd w:val="0"/>
              <w:snapToGrid w:val="0"/>
              <w:spacing w:before="0" w:beforeAutospacing="0" w:after="0" w:afterAutospacing="0"/>
              <w:rPr>
                <w:rFonts w:hint="eastAsia"/>
                <w:color w:val="auto"/>
                <w:kern w:val="2"/>
                <w:sz w:val="21"/>
                <w:szCs w:val="21"/>
                <w:highlight w:val="none"/>
              </w:rPr>
            </w:pPr>
            <w:r>
              <w:rPr>
                <w:rFonts w:hint="eastAsia"/>
                <w:snapToGrid w:val="0"/>
                <w:color w:val="auto"/>
                <w:spacing w:val="14"/>
                <w:sz w:val="21"/>
                <w:szCs w:val="21"/>
                <w:highlight w:val="none"/>
              </w:rPr>
              <w:t>★</w:t>
            </w:r>
            <w:r>
              <w:rPr>
                <w:rFonts w:hint="eastAsia"/>
                <w:color w:val="auto"/>
                <w:kern w:val="2"/>
                <w:sz w:val="21"/>
                <w:szCs w:val="21"/>
                <w:highlight w:val="none"/>
              </w:rPr>
              <w:t>4.支持使用markdown格式上传章节文档，且支持章节文档在线编辑。（提供产品功能截图）</w:t>
            </w:r>
          </w:p>
          <w:p>
            <w:pPr>
              <w:pStyle w:val="16"/>
              <w:shd w:val="clear" w:color="auto" w:fill="FFFFFF"/>
              <w:adjustRightInd w:val="0"/>
              <w:snapToGrid w:val="0"/>
              <w:spacing w:before="0" w:beforeAutospacing="0" w:after="0" w:afterAutospacing="0"/>
              <w:rPr>
                <w:rFonts w:hint="eastAsia"/>
                <w:color w:val="auto"/>
                <w:kern w:val="2"/>
                <w:sz w:val="21"/>
                <w:szCs w:val="21"/>
                <w:highlight w:val="none"/>
              </w:rPr>
            </w:pPr>
            <w:r>
              <w:rPr>
                <w:rFonts w:hint="eastAsia"/>
                <w:snapToGrid w:val="0"/>
                <w:color w:val="auto"/>
                <w:spacing w:val="14"/>
                <w:sz w:val="21"/>
                <w:szCs w:val="21"/>
                <w:highlight w:val="none"/>
              </w:rPr>
              <w:t>★</w:t>
            </w:r>
            <w:r>
              <w:rPr>
                <w:rFonts w:hint="eastAsia"/>
                <w:color w:val="auto"/>
                <w:kern w:val="2"/>
                <w:sz w:val="21"/>
                <w:szCs w:val="21"/>
                <w:highlight w:val="none"/>
              </w:rPr>
              <w:t>5.支持暂时关闭或重新开放指定的章节，方便对其修改。（提供产品功能截图）</w:t>
            </w:r>
          </w:p>
          <w:p>
            <w:pPr>
              <w:pStyle w:val="16"/>
              <w:shd w:val="clear" w:color="auto" w:fill="FFFFFF"/>
              <w:adjustRightInd w:val="0"/>
              <w:snapToGrid w:val="0"/>
              <w:spacing w:before="0" w:beforeAutospacing="0" w:after="0" w:afterAutospacing="0"/>
              <w:rPr>
                <w:rFonts w:hint="eastAsia"/>
                <w:color w:val="auto"/>
                <w:kern w:val="2"/>
                <w:sz w:val="21"/>
                <w:szCs w:val="21"/>
                <w:highlight w:val="none"/>
              </w:rPr>
            </w:pPr>
            <w:r>
              <w:rPr>
                <w:rFonts w:hint="eastAsia"/>
                <w:color w:val="auto"/>
                <w:kern w:val="2"/>
                <w:sz w:val="21"/>
                <w:szCs w:val="21"/>
                <w:highlight w:val="none"/>
              </w:rPr>
              <w:t>6.支持题库管理，能新增、删除、修改题库，支持对题库的批量导入。</w:t>
            </w:r>
          </w:p>
          <w:p>
            <w:pPr>
              <w:pStyle w:val="16"/>
              <w:shd w:val="clear" w:color="auto" w:fill="FFFFFF"/>
              <w:adjustRightInd w:val="0"/>
              <w:snapToGrid w:val="0"/>
              <w:spacing w:before="0" w:beforeAutospacing="0" w:after="0" w:afterAutospacing="0"/>
              <w:rPr>
                <w:rFonts w:hint="eastAsia"/>
                <w:color w:val="auto"/>
                <w:kern w:val="2"/>
                <w:sz w:val="21"/>
                <w:szCs w:val="21"/>
                <w:highlight w:val="none"/>
              </w:rPr>
            </w:pPr>
            <w:r>
              <w:rPr>
                <w:rFonts w:hint="eastAsia"/>
                <w:snapToGrid w:val="0"/>
                <w:color w:val="auto"/>
                <w:spacing w:val="14"/>
                <w:sz w:val="21"/>
                <w:szCs w:val="21"/>
                <w:highlight w:val="none"/>
              </w:rPr>
              <w:t>★</w:t>
            </w:r>
            <w:r>
              <w:rPr>
                <w:rFonts w:hint="eastAsia"/>
                <w:color w:val="auto"/>
                <w:kern w:val="2"/>
                <w:sz w:val="21"/>
                <w:szCs w:val="21"/>
                <w:highlight w:val="none"/>
              </w:rPr>
              <w:t>7.支持试卷管理，能设置试卷分数以及考试时间、考试范围等参数，可以根据对题库的筛选，选择指定题目组合成试卷。（提供产品功能截图）</w:t>
            </w:r>
          </w:p>
          <w:p>
            <w:pPr>
              <w:pStyle w:val="16"/>
              <w:shd w:val="clear" w:color="auto" w:fill="FFFFFF"/>
              <w:adjustRightInd w:val="0"/>
              <w:snapToGrid w:val="0"/>
              <w:spacing w:before="0" w:beforeAutospacing="0" w:after="0" w:afterAutospacing="0"/>
              <w:rPr>
                <w:rFonts w:hint="eastAsia"/>
                <w:color w:val="auto"/>
                <w:kern w:val="2"/>
                <w:sz w:val="21"/>
                <w:szCs w:val="21"/>
                <w:highlight w:val="none"/>
              </w:rPr>
            </w:pPr>
            <w:r>
              <w:rPr>
                <w:rFonts w:hint="eastAsia"/>
                <w:color w:val="auto"/>
                <w:kern w:val="2"/>
                <w:sz w:val="21"/>
                <w:szCs w:val="21"/>
                <w:highlight w:val="none"/>
              </w:rPr>
              <w:t>8.支持考试管理，能自动或手动的对考试答案进行评分。</w:t>
            </w:r>
          </w:p>
          <w:p>
            <w:pPr>
              <w:pStyle w:val="16"/>
              <w:shd w:val="clear" w:color="auto" w:fill="FFFFFF"/>
              <w:adjustRightInd w:val="0"/>
              <w:snapToGrid w:val="0"/>
              <w:spacing w:before="0" w:beforeAutospacing="0" w:after="0" w:afterAutospacing="0"/>
              <w:rPr>
                <w:rFonts w:hint="eastAsia"/>
                <w:color w:val="auto"/>
                <w:kern w:val="2"/>
                <w:sz w:val="21"/>
                <w:szCs w:val="21"/>
                <w:highlight w:val="none"/>
              </w:rPr>
            </w:pPr>
            <w:r>
              <w:rPr>
                <w:rFonts w:hint="eastAsia"/>
                <w:color w:val="auto"/>
                <w:kern w:val="2"/>
                <w:sz w:val="21"/>
                <w:szCs w:val="21"/>
                <w:highlight w:val="none"/>
              </w:rPr>
              <w:t>9.支持考试统计和日常实验统计可视化报表。</w:t>
            </w:r>
          </w:p>
          <w:p>
            <w:pPr>
              <w:pStyle w:val="16"/>
              <w:shd w:val="clear" w:color="auto" w:fill="FFFFFF"/>
              <w:adjustRightInd w:val="0"/>
              <w:snapToGrid w:val="0"/>
              <w:spacing w:before="0" w:beforeAutospacing="0" w:after="0" w:afterAutospacing="0"/>
              <w:rPr>
                <w:rFonts w:hint="eastAsia"/>
                <w:color w:val="auto"/>
                <w:kern w:val="2"/>
                <w:sz w:val="21"/>
                <w:szCs w:val="21"/>
                <w:highlight w:val="none"/>
              </w:rPr>
            </w:pPr>
            <w:r>
              <w:rPr>
                <w:rFonts w:hint="eastAsia"/>
                <w:snapToGrid w:val="0"/>
                <w:color w:val="auto"/>
                <w:spacing w:val="14"/>
                <w:sz w:val="21"/>
                <w:szCs w:val="21"/>
                <w:highlight w:val="none"/>
              </w:rPr>
              <w:t>★</w:t>
            </w:r>
            <w:r>
              <w:rPr>
                <w:rFonts w:hint="eastAsia"/>
                <w:color w:val="auto"/>
                <w:kern w:val="2"/>
                <w:sz w:val="21"/>
                <w:szCs w:val="21"/>
                <w:highlight w:val="none"/>
              </w:rPr>
              <w:t>10.支持镜像及主机管理，能在平台中创建、删除、停止、启动虚拟主机。（提供产品功能截图）</w:t>
            </w:r>
          </w:p>
          <w:p>
            <w:pPr>
              <w:pStyle w:val="16"/>
              <w:shd w:val="clear" w:color="auto" w:fill="FFFFFF"/>
              <w:adjustRightInd w:val="0"/>
              <w:snapToGrid w:val="0"/>
              <w:spacing w:before="0" w:beforeAutospacing="0" w:after="0" w:afterAutospacing="0"/>
              <w:rPr>
                <w:rFonts w:hint="eastAsia"/>
                <w:color w:val="auto"/>
                <w:kern w:val="2"/>
                <w:sz w:val="21"/>
                <w:szCs w:val="21"/>
                <w:highlight w:val="none"/>
              </w:rPr>
            </w:pPr>
            <w:r>
              <w:rPr>
                <w:rFonts w:hint="eastAsia"/>
                <w:snapToGrid w:val="0"/>
                <w:color w:val="auto"/>
                <w:spacing w:val="14"/>
                <w:sz w:val="21"/>
                <w:szCs w:val="21"/>
                <w:highlight w:val="none"/>
              </w:rPr>
              <w:t>★</w:t>
            </w:r>
            <w:r>
              <w:rPr>
                <w:rFonts w:hint="eastAsia"/>
                <w:color w:val="auto"/>
                <w:kern w:val="2"/>
                <w:sz w:val="21"/>
                <w:szCs w:val="21"/>
                <w:highlight w:val="none"/>
              </w:rPr>
              <w:t>11.支持系统管理，能设置系统参数，设置用户角色以及角色权限，管理用户列表。（提供产品功能截图）</w:t>
            </w:r>
          </w:p>
          <w:p>
            <w:pPr>
              <w:pStyle w:val="16"/>
              <w:shd w:val="clear" w:color="auto" w:fill="FFFFFF"/>
              <w:adjustRightInd w:val="0"/>
              <w:snapToGrid w:val="0"/>
              <w:spacing w:before="0" w:beforeAutospacing="0" w:after="0" w:afterAutospacing="0"/>
              <w:rPr>
                <w:rFonts w:hint="eastAsia"/>
                <w:b/>
                <w:bCs/>
                <w:color w:val="auto"/>
                <w:kern w:val="2"/>
                <w:sz w:val="21"/>
                <w:szCs w:val="21"/>
                <w:highlight w:val="none"/>
              </w:rPr>
            </w:pPr>
            <w:r>
              <w:rPr>
                <w:rFonts w:hint="eastAsia"/>
                <w:b/>
                <w:bCs/>
                <w:color w:val="auto"/>
                <w:kern w:val="2"/>
                <w:sz w:val="21"/>
                <w:szCs w:val="21"/>
                <w:highlight w:val="none"/>
              </w:rPr>
              <w:t>前端功能</w:t>
            </w:r>
          </w:p>
          <w:p>
            <w:pPr>
              <w:pStyle w:val="16"/>
              <w:shd w:val="clear" w:color="auto" w:fill="FFFFFF"/>
              <w:adjustRightInd w:val="0"/>
              <w:snapToGrid w:val="0"/>
              <w:spacing w:before="0" w:beforeAutospacing="0" w:after="0" w:afterAutospacing="0"/>
              <w:rPr>
                <w:rFonts w:hint="eastAsia"/>
                <w:color w:val="auto"/>
                <w:sz w:val="21"/>
                <w:szCs w:val="21"/>
                <w:highlight w:val="none"/>
              </w:rPr>
            </w:pPr>
            <w:r>
              <w:rPr>
                <w:rFonts w:hint="eastAsia"/>
                <w:snapToGrid w:val="0"/>
                <w:color w:val="auto"/>
                <w:spacing w:val="14"/>
                <w:sz w:val="21"/>
                <w:szCs w:val="21"/>
                <w:highlight w:val="none"/>
              </w:rPr>
              <w:t>★</w:t>
            </w:r>
            <w:r>
              <w:rPr>
                <w:rFonts w:hint="eastAsia"/>
                <w:color w:val="auto"/>
                <w:kern w:val="2"/>
                <w:sz w:val="21"/>
                <w:szCs w:val="21"/>
                <w:highlight w:val="none"/>
              </w:rPr>
              <w:t>1.支持学生登陆平台，在老师引导下链接准备好的操作环境。（提供产品功能截图）</w:t>
            </w:r>
          </w:p>
          <w:p>
            <w:pPr>
              <w:pStyle w:val="16"/>
              <w:shd w:val="clear" w:color="auto" w:fill="FFFFFF"/>
              <w:adjustRightInd w:val="0"/>
              <w:snapToGrid w:val="0"/>
              <w:spacing w:before="0" w:beforeAutospacing="0" w:after="0" w:afterAutospacing="0"/>
              <w:rPr>
                <w:rFonts w:hint="eastAsia"/>
                <w:color w:val="auto"/>
                <w:sz w:val="21"/>
                <w:szCs w:val="21"/>
                <w:highlight w:val="none"/>
              </w:rPr>
            </w:pPr>
            <w:r>
              <w:rPr>
                <w:rFonts w:hint="eastAsia"/>
                <w:color w:val="auto"/>
                <w:kern w:val="2"/>
                <w:sz w:val="21"/>
                <w:szCs w:val="21"/>
                <w:highlight w:val="none"/>
              </w:rPr>
              <w:t>2.支持学生参照实验手册，在操作环境中完成实验手册的操作要求，提交实验报告。</w:t>
            </w:r>
          </w:p>
          <w:p>
            <w:pPr>
              <w:pStyle w:val="16"/>
              <w:shd w:val="clear" w:color="auto" w:fill="FFFFFF"/>
              <w:adjustRightInd w:val="0"/>
              <w:snapToGrid w:val="0"/>
              <w:spacing w:before="0" w:beforeAutospacing="0" w:after="0" w:afterAutospacing="0"/>
              <w:rPr>
                <w:rFonts w:hint="eastAsia"/>
                <w:color w:val="auto"/>
                <w:sz w:val="21"/>
                <w:szCs w:val="21"/>
                <w:highlight w:val="none"/>
              </w:rPr>
            </w:pPr>
            <w:r>
              <w:rPr>
                <w:rFonts w:hint="eastAsia"/>
                <w:snapToGrid w:val="0"/>
                <w:color w:val="auto"/>
                <w:spacing w:val="14"/>
                <w:sz w:val="21"/>
                <w:szCs w:val="21"/>
                <w:highlight w:val="none"/>
              </w:rPr>
              <w:t>★</w:t>
            </w:r>
            <w:r>
              <w:rPr>
                <w:rFonts w:hint="eastAsia"/>
                <w:color w:val="auto"/>
                <w:kern w:val="2"/>
                <w:sz w:val="21"/>
                <w:szCs w:val="21"/>
                <w:highlight w:val="none"/>
              </w:rPr>
              <w:t>3.支持学生在老师监督下，完成老师安排的考试。并提交试卷答案。（提供产品功能截图）</w:t>
            </w:r>
          </w:p>
          <w:p>
            <w:pPr>
              <w:pStyle w:val="16"/>
              <w:shd w:val="clear" w:color="auto" w:fill="FFFFFF"/>
              <w:adjustRightInd w:val="0"/>
              <w:snapToGrid w:val="0"/>
              <w:spacing w:before="0" w:beforeAutospacing="0" w:after="0" w:afterAutospacing="0"/>
              <w:rPr>
                <w:rFonts w:hint="eastAsia" w:ascii="宋体" w:hAnsi="宋体" w:eastAsia="宋体" w:cs="宋体"/>
                <w:color w:val="auto"/>
                <w:kern w:val="2"/>
                <w:sz w:val="21"/>
                <w:szCs w:val="21"/>
                <w:highlight w:val="none"/>
              </w:rPr>
            </w:pPr>
            <w:r>
              <w:rPr>
                <w:rFonts w:hint="eastAsia"/>
                <w:color w:val="auto"/>
                <w:sz w:val="21"/>
                <w:szCs w:val="21"/>
                <w:highlight w:val="none"/>
              </w:rPr>
              <w:t>4.支持学生观看教学视频。</w:t>
            </w:r>
          </w:p>
        </w:tc>
        <w:tc>
          <w:tcPr>
            <w:tcW w:w="798" w:type="dxa"/>
            <w:noWrap w:val="0"/>
            <w:vAlign w:val="center"/>
          </w:tcPr>
          <w:p>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1</w:t>
            </w:r>
          </w:p>
        </w:tc>
        <w:tc>
          <w:tcPr>
            <w:tcW w:w="7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noWrap w:val="0"/>
            <w:vAlign w:val="center"/>
          </w:tcPr>
          <w:p>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2</w:t>
            </w:r>
          </w:p>
        </w:tc>
        <w:tc>
          <w:tcPr>
            <w:tcW w:w="1395" w:type="dxa"/>
            <w:noWrap w:val="0"/>
            <w:vAlign w:val="center"/>
          </w:tcPr>
          <w:p>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云管理平台</w:t>
            </w:r>
          </w:p>
        </w:tc>
        <w:tc>
          <w:tcPr>
            <w:tcW w:w="6777" w:type="dxa"/>
            <w:noWrap w:val="0"/>
            <w:vAlign w:val="top"/>
          </w:tcPr>
          <w:p>
            <w:pPr>
              <w:rPr>
                <w:rFonts w:hint="eastAsia" w:ascii="宋体" w:hAnsi="宋体" w:cs="宋体"/>
                <w:color w:val="auto"/>
                <w:sz w:val="21"/>
                <w:szCs w:val="21"/>
                <w:highlight w:val="none"/>
              </w:rPr>
            </w:pPr>
            <w:r>
              <w:rPr>
                <w:rFonts w:hint="eastAsia"/>
                <w:snapToGrid w:val="0"/>
                <w:color w:val="auto"/>
                <w:spacing w:val="14"/>
                <w:sz w:val="21"/>
                <w:szCs w:val="21"/>
                <w:highlight w:val="none"/>
              </w:rPr>
              <w:t>★</w:t>
            </w:r>
            <w:r>
              <w:rPr>
                <w:rFonts w:hint="eastAsia" w:ascii="宋体" w:hAnsi="宋体" w:cs="宋体"/>
                <w:color w:val="auto"/>
                <w:sz w:val="21"/>
                <w:szCs w:val="21"/>
                <w:highlight w:val="none"/>
              </w:rPr>
              <w:t>1.架构说明：云管理平台软件基于OpenStack</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rPr>
              <w:t>docker开放架构进行开发。</w:t>
            </w:r>
            <w:r>
              <w:rPr>
                <w:rFonts w:hint="eastAsia"/>
                <w:color w:val="auto"/>
                <w:kern w:val="2"/>
                <w:sz w:val="21"/>
                <w:szCs w:val="21"/>
                <w:highlight w:val="none"/>
              </w:rPr>
              <w:t>（提供产品功能截图）</w:t>
            </w:r>
          </w:p>
          <w:p>
            <w:pPr>
              <w:rPr>
                <w:rFonts w:hint="eastAsia" w:ascii="宋体" w:hAnsi="宋体" w:eastAsia="宋体" w:cs="宋体"/>
                <w:color w:val="auto"/>
                <w:kern w:val="2"/>
                <w:sz w:val="21"/>
                <w:szCs w:val="21"/>
                <w:highlight w:val="none"/>
              </w:rPr>
            </w:pPr>
            <w:r>
              <w:rPr>
                <w:rFonts w:hint="eastAsia" w:ascii="宋体" w:hAnsi="宋体" w:cs="宋体"/>
                <w:color w:val="auto"/>
                <w:sz w:val="21"/>
                <w:szCs w:val="21"/>
                <w:highlight w:val="none"/>
              </w:rPr>
              <w:t>2.云平台软件基本功能：云平台支持分布式架构，各个功能模块可以分布式部署并提供高可用架构；虚拟化内核基于KVM和docker底层开发；云主机之间实现隔离保护，单个云主机故障不会影响其它云主机（同一台物理机）的正常运行；云主机上的用户权限仅限于本云主机内，以保障系统平台的安全性；每个云主机都可以安装独立的操作系统，操作系统支持需要包括Windows和 Linux系列主流版本；云主机可以实现物理机的全部功能，如具有自己的资源（内存、CPU、网卡、存储），可以指定单独的IP地址、MAC地址等。</w:t>
            </w:r>
          </w:p>
        </w:tc>
        <w:tc>
          <w:tcPr>
            <w:tcW w:w="798" w:type="dxa"/>
            <w:noWrap w:val="0"/>
            <w:vAlign w:val="center"/>
          </w:tcPr>
          <w:p>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1</w:t>
            </w:r>
          </w:p>
        </w:tc>
        <w:tc>
          <w:tcPr>
            <w:tcW w:w="7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noWrap w:val="0"/>
            <w:vAlign w:val="center"/>
          </w:tcPr>
          <w:p>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3</w:t>
            </w:r>
          </w:p>
        </w:tc>
        <w:tc>
          <w:tcPr>
            <w:tcW w:w="1395" w:type="dxa"/>
            <w:noWrap w:val="0"/>
            <w:vAlign w:val="center"/>
          </w:tcPr>
          <w:p>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数据分析与可视化综合案例</w:t>
            </w:r>
          </w:p>
        </w:tc>
        <w:tc>
          <w:tcPr>
            <w:tcW w:w="6777" w:type="dxa"/>
            <w:noWrap w:val="0"/>
            <w:vAlign w:val="top"/>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可以包含如下案例但不限于以下案例：</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1.壮丽七十年，见证中国经济腾飞（故事）</w:t>
            </w:r>
          </w:p>
          <w:p>
            <w:pPr>
              <w:rPr>
                <w:rFonts w:hint="eastAsia" w:ascii="宋体" w:hAnsi="宋体" w:cs="宋体"/>
                <w:color w:val="auto"/>
                <w:sz w:val="21"/>
                <w:szCs w:val="21"/>
                <w:highlight w:val="none"/>
              </w:rPr>
            </w:pPr>
            <w:r>
              <w:rPr>
                <w:rFonts w:hint="eastAsia" w:ascii="宋体" w:hAnsi="宋体" w:cs="宋体"/>
                <w:snapToGrid w:val="0"/>
                <w:color w:val="auto"/>
                <w:spacing w:val="14"/>
                <w:sz w:val="21"/>
                <w:szCs w:val="21"/>
                <w:highlight w:val="none"/>
              </w:rPr>
              <w:t>★</w:t>
            </w:r>
            <w:r>
              <w:rPr>
                <w:rFonts w:hint="eastAsia" w:ascii="宋体" w:hAnsi="宋体" w:cs="宋体"/>
                <w:color w:val="auto"/>
                <w:sz w:val="21"/>
                <w:szCs w:val="21"/>
                <w:highlight w:val="none"/>
              </w:rPr>
              <w:t>2.某公司产品数据分析 （故事）（提供产品功能截图）</w:t>
            </w:r>
          </w:p>
          <w:p>
            <w:pPr>
              <w:rPr>
                <w:rFonts w:hint="eastAsia" w:ascii="宋体" w:hAnsi="宋体" w:cs="宋体"/>
                <w:color w:val="auto"/>
                <w:sz w:val="21"/>
                <w:szCs w:val="21"/>
                <w:highlight w:val="none"/>
              </w:rPr>
            </w:pPr>
            <w:r>
              <w:rPr>
                <w:rFonts w:hint="eastAsia" w:ascii="宋体" w:hAnsi="宋体" w:cs="宋体"/>
                <w:snapToGrid w:val="0"/>
                <w:color w:val="auto"/>
                <w:spacing w:val="14"/>
                <w:sz w:val="21"/>
                <w:szCs w:val="21"/>
                <w:highlight w:val="none"/>
              </w:rPr>
              <w:t>★</w:t>
            </w:r>
            <w:r>
              <w:rPr>
                <w:rFonts w:hint="eastAsia" w:ascii="宋体" w:hAnsi="宋体" w:cs="宋体"/>
                <w:color w:val="auto"/>
                <w:sz w:val="21"/>
                <w:szCs w:val="21"/>
                <w:highlight w:val="none"/>
              </w:rPr>
              <w:t>3.某个电商平台消费行为分析案例（提供产品功能截图）</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4.某个超市运营分析、客户分析案例</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5.某物流费用分析案例</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6.新能源乘用车市场分析案例</w:t>
            </w:r>
          </w:p>
          <w:p>
            <w:pPr>
              <w:rPr>
                <w:rFonts w:hint="eastAsia" w:ascii="宋体" w:hAnsi="宋体" w:cs="宋体"/>
                <w:color w:val="auto"/>
                <w:sz w:val="21"/>
                <w:szCs w:val="21"/>
                <w:highlight w:val="none"/>
              </w:rPr>
            </w:pPr>
            <w:r>
              <w:rPr>
                <w:rFonts w:hint="eastAsia" w:ascii="宋体" w:hAnsi="宋体" w:cs="宋体"/>
                <w:snapToGrid w:val="0"/>
                <w:color w:val="auto"/>
                <w:spacing w:val="14"/>
                <w:sz w:val="21"/>
                <w:szCs w:val="21"/>
                <w:highlight w:val="none"/>
              </w:rPr>
              <w:t>★</w:t>
            </w:r>
            <w:r>
              <w:rPr>
                <w:rFonts w:hint="eastAsia" w:ascii="宋体" w:hAnsi="宋体" w:cs="宋体"/>
                <w:color w:val="auto"/>
                <w:sz w:val="21"/>
                <w:szCs w:val="21"/>
                <w:highlight w:val="none"/>
              </w:rPr>
              <w:t>7.某公司金融业务的分析与展望案例（提供产品功能截图）</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8.某电商平台退货数据分析案例</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9.乡镇财政收支分析</w:t>
            </w:r>
          </w:p>
          <w:p>
            <w:pPr>
              <w:rPr>
                <w:rFonts w:hint="eastAsia" w:ascii="宋体" w:hAnsi="宋体" w:eastAsia="宋体" w:cs="宋体"/>
                <w:color w:val="auto"/>
                <w:kern w:val="2"/>
                <w:sz w:val="21"/>
                <w:szCs w:val="21"/>
                <w:highlight w:val="none"/>
              </w:rPr>
            </w:pPr>
            <w:r>
              <w:rPr>
                <w:rFonts w:hint="eastAsia" w:ascii="宋体" w:hAnsi="宋体" w:cs="宋体"/>
                <w:color w:val="auto"/>
                <w:sz w:val="21"/>
                <w:szCs w:val="21"/>
                <w:highlight w:val="none"/>
              </w:rPr>
              <w:t>10.某餐饮的全国连锁餐饮分析</w:t>
            </w:r>
          </w:p>
        </w:tc>
        <w:tc>
          <w:tcPr>
            <w:tcW w:w="798" w:type="dxa"/>
            <w:noWrap w:val="0"/>
            <w:vAlign w:val="center"/>
          </w:tcPr>
          <w:p>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10</w:t>
            </w:r>
          </w:p>
        </w:tc>
        <w:tc>
          <w:tcPr>
            <w:tcW w:w="7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noWrap w:val="0"/>
            <w:vAlign w:val="center"/>
          </w:tcPr>
          <w:p>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w:t>
            </w:r>
          </w:p>
        </w:tc>
        <w:tc>
          <w:tcPr>
            <w:tcW w:w="1395" w:type="dxa"/>
            <w:noWrap w:val="0"/>
            <w:vAlign w:val="center"/>
          </w:tcPr>
          <w:p>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数据可视化工具</w:t>
            </w:r>
          </w:p>
        </w:tc>
        <w:tc>
          <w:tcPr>
            <w:tcW w:w="6777" w:type="dxa"/>
            <w:noWrap w:val="0"/>
            <w:vAlign w:val="top"/>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1.产品厂商社区资源：产品拥有广泛的用户社区与本地化的用户培训资源，包括通过国内社交媒体（如微信等）提供的产品使用训练营；可视化分析大赛；定期网络研讨会等。</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2.桌面端工具安装与维护：提供可执行的安装软件包及步骤向导；提供产品许可证激活工具，可支持internet在线或离线激活；支持自动升级软件，用户可启用自动产品更新，或禁用软件自动更新。</w:t>
            </w:r>
          </w:p>
          <w:p>
            <w:pPr>
              <w:rPr>
                <w:rFonts w:hint="eastAsia" w:ascii="宋体" w:hAnsi="宋体" w:cs="宋体"/>
                <w:color w:val="auto"/>
                <w:sz w:val="21"/>
                <w:szCs w:val="21"/>
                <w:highlight w:val="none"/>
              </w:rPr>
            </w:pPr>
            <w:r>
              <w:rPr>
                <w:rFonts w:hint="eastAsia" w:ascii="宋体" w:hAnsi="宋体" w:cs="宋体"/>
                <w:snapToGrid w:val="0"/>
                <w:color w:val="auto"/>
                <w:spacing w:val="14"/>
                <w:sz w:val="21"/>
                <w:szCs w:val="21"/>
                <w:highlight w:val="none"/>
              </w:rPr>
              <w:t>★</w:t>
            </w:r>
            <w:r>
              <w:rPr>
                <w:rFonts w:hint="eastAsia" w:ascii="宋体" w:hAnsi="宋体" w:cs="宋体"/>
                <w:color w:val="auto"/>
                <w:sz w:val="21"/>
                <w:szCs w:val="21"/>
                <w:highlight w:val="none"/>
              </w:rPr>
              <w:t>3.支持产品许可证的重新分配，在硬件设备淘汰、更新、用户离职或转岗等情况下能够重新分配许可证，将许可证重新与新的设备相关联。（提供产品功能截图）</w:t>
            </w:r>
          </w:p>
          <w:p>
            <w:pPr>
              <w:pStyle w:val="16"/>
              <w:shd w:val="clear" w:color="auto" w:fill="FFFFFF"/>
              <w:spacing w:before="0" w:beforeAutospacing="0" w:after="0" w:afterAutospacing="0"/>
              <w:rPr>
                <w:rFonts w:hint="eastAsia"/>
                <w:color w:val="auto"/>
                <w:kern w:val="2"/>
                <w:sz w:val="21"/>
                <w:szCs w:val="21"/>
                <w:highlight w:val="none"/>
              </w:rPr>
            </w:pPr>
            <w:r>
              <w:rPr>
                <w:rFonts w:hint="eastAsia"/>
                <w:color w:val="auto"/>
                <w:kern w:val="2"/>
                <w:sz w:val="21"/>
                <w:szCs w:val="21"/>
                <w:highlight w:val="none"/>
              </w:rPr>
              <w:t>4.桌面端工具基本功能。</w:t>
            </w:r>
          </w:p>
          <w:p>
            <w:pPr>
              <w:pStyle w:val="16"/>
              <w:shd w:val="clear" w:color="auto" w:fill="FFFFFF"/>
              <w:spacing w:before="0" w:beforeAutospacing="0" w:after="0" w:afterAutospacing="0"/>
              <w:rPr>
                <w:rFonts w:hint="eastAsia"/>
                <w:color w:val="auto"/>
                <w:kern w:val="2"/>
                <w:sz w:val="21"/>
                <w:szCs w:val="21"/>
                <w:highlight w:val="none"/>
              </w:rPr>
            </w:pPr>
            <w:r>
              <w:rPr>
                <w:rFonts w:hint="eastAsia"/>
                <w:snapToGrid w:val="0"/>
                <w:color w:val="auto"/>
                <w:spacing w:val="14"/>
                <w:sz w:val="21"/>
                <w:szCs w:val="21"/>
                <w:highlight w:val="none"/>
              </w:rPr>
              <w:t>★</w:t>
            </w:r>
            <w:r>
              <w:rPr>
                <w:rFonts w:hint="eastAsia"/>
                <w:color w:val="auto"/>
                <w:sz w:val="21"/>
                <w:szCs w:val="21"/>
                <w:highlight w:val="none"/>
              </w:rPr>
              <w:t>（1）数据连接能力：软件能连接到各种数据源，提供多表关联及跨数据库的多表关联能力；支持转义数据结构；支持灵活的数据连接模式，支持直接对数据源实时查询；支持从数据源中提取数据。（提供产品功能截图）</w:t>
            </w:r>
          </w:p>
          <w:p>
            <w:pPr>
              <w:pStyle w:val="16"/>
              <w:shd w:val="clear" w:color="auto" w:fill="FFFFFF"/>
              <w:spacing w:before="0" w:beforeAutospacing="0" w:after="0" w:afterAutospacing="0"/>
              <w:rPr>
                <w:rFonts w:hint="eastAsia"/>
                <w:color w:val="auto"/>
                <w:kern w:val="2"/>
                <w:sz w:val="21"/>
                <w:szCs w:val="21"/>
                <w:highlight w:val="none"/>
              </w:rPr>
            </w:pPr>
            <w:r>
              <w:rPr>
                <w:rFonts w:hint="eastAsia"/>
                <w:color w:val="auto"/>
                <w:kern w:val="2"/>
                <w:sz w:val="21"/>
                <w:szCs w:val="21"/>
                <w:highlight w:val="none"/>
              </w:rPr>
              <w:t>（2）数据准备能力：支持进行数据的检查与筛选功能；支持数据的清理与调整功能；支持在流程中包括 R 和 Python 脚本等；支持数据的合并；支持联接表以添加数据列；支持合并表以添加数据行；支持合并表以添加数据行等。支持保存和共享流程数据；支持通过命令行刷新流程输出；支持维护流程的版本兼容性等等。</w:t>
            </w:r>
          </w:p>
          <w:p>
            <w:pPr>
              <w:pStyle w:val="16"/>
              <w:shd w:val="clear" w:color="auto" w:fill="FFFFFF"/>
              <w:spacing w:before="0" w:beforeAutospacing="0" w:after="0" w:afterAutospacing="0"/>
              <w:rPr>
                <w:rFonts w:hint="eastAsia"/>
                <w:color w:val="auto"/>
                <w:kern w:val="2"/>
                <w:sz w:val="21"/>
                <w:szCs w:val="21"/>
                <w:highlight w:val="none"/>
              </w:rPr>
            </w:pPr>
            <w:r>
              <w:rPr>
                <w:rFonts w:hint="eastAsia"/>
                <w:color w:val="auto"/>
                <w:sz w:val="21"/>
                <w:szCs w:val="21"/>
                <w:highlight w:val="none"/>
              </w:rPr>
              <w:t>（3）数据分析能力：支持通过无脚本、拖拉拽方式，实现对各类数据源的连接和表间关联关系的设定；支持接到Excel文件、文本、pdf文件作为数据源进行行列转置；支持各种创意图表；支持排序和数据过滤功能；支持多维度嵌套排序；支持在视图中直接创建数据集；支持使用公式创建动态集；支持不同集的合并操作；支持直接在视图中对数据进行分组。</w:t>
            </w:r>
          </w:p>
          <w:p>
            <w:pPr>
              <w:pStyle w:val="16"/>
              <w:shd w:val="clear" w:color="auto" w:fill="FFFFFF"/>
              <w:spacing w:before="0" w:beforeAutospacing="0" w:after="0" w:afterAutospacing="0"/>
              <w:rPr>
                <w:rFonts w:hint="eastAsia"/>
                <w:color w:val="auto"/>
                <w:kern w:val="2"/>
                <w:sz w:val="21"/>
                <w:szCs w:val="21"/>
                <w:highlight w:val="none"/>
              </w:rPr>
            </w:pPr>
            <w:r>
              <w:rPr>
                <w:rFonts w:hint="eastAsia"/>
                <w:color w:val="auto"/>
                <w:kern w:val="2"/>
                <w:sz w:val="21"/>
                <w:szCs w:val="21"/>
                <w:highlight w:val="none"/>
              </w:rPr>
              <w:t>（4）数据分析工具方便性：支持生成和编辑可视化文件。集成分析于可视化工具一体；用户能在分析工具中通完成数据链接、数据筛选、模型构建、数据分析、可视化以及仪表盘构建和最终发布的完整分析过程。</w:t>
            </w:r>
          </w:p>
          <w:p>
            <w:pPr>
              <w:pStyle w:val="16"/>
              <w:shd w:val="clear" w:color="auto" w:fill="FFFFFF"/>
              <w:spacing w:before="0" w:beforeAutospacing="0" w:after="0" w:afterAutospacing="0"/>
              <w:rPr>
                <w:rFonts w:hint="eastAsia"/>
                <w:color w:val="auto"/>
                <w:kern w:val="2"/>
                <w:sz w:val="21"/>
                <w:szCs w:val="21"/>
                <w:highlight w:val="none"/>
              </w:rPr>
            </w:pPr>
            <w:r>
              <w:rPr>
                <w:rFonts w:hint="eastAsia"/>
                <w:color w:val="auto"/>
                <w:kern w:val="2"/>
                <w:sz w:val="21"/>
                <w:szCs w:val="21"/>
                <w:highlight w:val="none"/>
              </w:rPr>
              <w:t>（5）元数据管理能力：支持将数据结构转义为业务用户易于理解的业务术语。</w:t>
            </w:r>
          </w:p>
          <w:p>
            <w:pPr>
              <w:pStyle w:val="16"/>
              <w:shd w:val="clear" w:color="auto" w:fill="FFFFFF"/>
              <w:spacing w:before="0" w:beforeAutospacing="0" w:after="0" w:afterAutospacing="0"/>
              <w:rPr>
                <w:rFonts w:hint="eastAsia"/>
                <w:color w:val="auto"/>
                <w:sz w:val="21"/>
                <w:szCs w:val="21"/>
                <w:highlight w:val="none"/>
              </w:rPr>
            </w:pPr>
            <w:r>
              <w:rPr>
                <w:rFonts w:hint="eastAsia"/>
                <w:snapToGrid w:val="0"/>
                <w:color w:val="auto"/>
                <w:spacing w:val="14"/>
                <w:sz w:val="21"/>
                <w:szCs w:val="21"/>
                <w:highlight w:val="none"/>
              </w:rPr>
              <w:t>★</w:t>
            </w:r>
            <w:r>
              <w:rPr>
                <w:rFonts w:hint="eastAsia"/>
                <w:color w:val="auto"/>
                <w:sz w:val="21"/>
                <w:szCs w:val="21"/>
                <w:highlight w:val="none"/>
              </w:rPr>
              <w:t>（6）高级分析：支持提供时间序列预测，聚类分析等高级分析功能，支持在图表中加入各种参考线和参考区间。 （提供产品功能截图）</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5.桌面端工具软件支持：支持在Microsoft Windows 7及以上版本、iMac/MacBook 2009及以上版本中安装部署；支持license的正常使用和延续服务后的升级及售后支持。</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6.桌面端工具管理要求：提供性能分析工具；支持产品许可证的重新分配。</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7.桌面端工具集群要求：客户端（桌面端）软件可连接到集群部署的服务器。</w:t>
            </w:r>
          </w:p>
          <w:p>
            <w:pPr>
              <w:rPr>
                <w:rFonts w:hint="eastAsia" w:ascii="宋体" w:hAnsi="宋体" w:eastAsia="宋体" w:cs="宋体"/>
                <w:color w:val="auto"/>
                <w:kern w:val="2"/>
                <w:sz w:val="21"/>
                <w:szCs w:val="21"/>
                <w:highlight w:val="none"/>
              </w:rPr>
            </w:pPr>
            <w:r>
              <w:rPr>
                <w:rFonts w:hint="eastAsia" w:ascii="宋体" w:hAnsi="宋体" w:cs="宋体"/>
                <w:color w:val="auto"/>
                <w:sz w:val="21"/>
                <w:szCs w:val="21"/>
                <w:highlight w:val="none"/>
              </w:rPr>
              <w:t>8.桌面端工具安全要求：普通业务用户可通过服务器间接连接到数据源系统，无需客户端直连数据库；通过服务器间接连接数据源系统时，客户端只需要登录服务器，而无需数据源系统账户登录数据库。</w:t>
            </w:r>
          </w:p>
        </w:tc>
        <w:tc>
          <w:tcPr>
            <w:tcW w:w="798" w:type="dxa"/>
            <w:noWrap w:val="0"/>
            <w:vAlign w:val="center"/>
          </w:tcPr>
          <w:p>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1</w:t>
            </w:r>
          </w:p>
        </w:tc>
        <w:tc>
          <w:tcPr>
            <w:tcW w:w="7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noWrap w:val="0"/>
            <w:vAlign w:val="center"/>
          </w:tcPr>
          <w:p>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5</w:t>
            </w:r>
          </w:p>
        </w:tc>
        <w:tc>
          <w:tcPr>
            <w:tcW w:w="1395" w:type="dxa"/>
            <w:noWrap w:val="0"/>
            <w:vAlign w:val="center"/>
          </w:tcPr>
          <w:p>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数据分析行业数据集</w:t>
            </w:r>
          </w:p>
        </w:tc>
        <w:tc>
          <w:tcPr>
            <w:tcW w:w="6777" w:type="dxa"/>
            <w:noWrap w:val="0"/>
            <w:vAlign w:val="top"/>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可以包括如下数据集，但不限于以下数据集。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1.壮丽七十年，见证中国经济腾飞数据集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2.某系统的用户价值模型数据</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3.某电商平台消费行为数据</w:t>
            </w:r>
          </w:p>
          <w:p>
            <w:pPr>
              <w:numPr>
                <w:ilvl w:val="0"/>
                <w:numId w:val="1"/>
              </w:numPr>
              <w:rPr>
                <w:rFonts w:hint="eastAsia" w:ascii="宋体" w:hAnsi="宋体" w:cs="宋体"/>
                <w:color w:val="auto"/>
                <w:sz w:val="21"/>
                <w:szCs w:val="21"/>
                <w:highlight w:val="none"/>
              </w:rPr>
            </w:pPr>
            <w:r>
              <w:rPr>
                <w:rFonts w:hint="eastAsia" w:ascii="宋体" w:hAnsi="宋体" w:cs="宋体"/>
                <w:color w:val="auto"/>
                <w:sz w:val="21"/>
                <w:szCs w:val="21"/>
                <w:highlight w:val="none"/>
              </w:rPr>
              <w:t>财务费用支出数据</w:t>
            </w:r>
          </w:p>
          <w:p>
            <w:pPr>
              <w:numPr>
                <w:ilvl w:val="0"/>
                <w:numId w:val="1"/>
              </w:numPr>
              <w:rPr>
                <w:rFonts w:hint="eastAsia" w:ascii="宋体" w:hAnsi="宋体" w:cs="宋体"/>
                <w:color w:val="auto"/>
                <w:sz w:val="21"/>
                <w:szCs w:val="21"/>
                <w:highlight w:val="none"/>
              </w:rPr>
            </w:pPr>
            <w:r>
              <w:rPr>
                <w:rFonts w:hint="eastAsia" w:ascii="宋体" w:hAnsi="宋体" w:cs="宋体"/>
                <w:color w:val="auto"/>
                <w:sz w:val="21"/>
                <w:szCs w:val="21"/>
                <w:highlight w:val="none"/>
              </w:rPr>
              <w:t>高校就业分析数据</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6.新能源乘用车数据集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7.某超市运营、客户数据集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8.物流费用数据集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9.乡镇财政收支分析</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10.某公司金融业务的分析与展望数据集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11.某电商平台退货数据集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12.某平台电影数据集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13.门店每日业务总览的数据集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14.1990-2022年食品价格指数的数据集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15.全民体育运动的数据集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16.某年某超市销售数据分析</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17.某财务营业收入数据集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18.婴幼儿消费的数据集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19.小额信贷机构的数据集</w:t>
            </w:r>
          </w:p>
          <w:p>
            <w:pPr>
              <w:rPr>
                <w:rFonts w:hint="eastAsia" w:ascii="宋体" w:hAnsi="宋体" w:eastAsia="宋体" w:cs="宋体"/>
                <w:color w:val="auto"/>
                <w:kern w:val="2"/>
                <w:sz w:val="21"/>
                <w:szCs w:val="21"/>
                <w:highlight w:val="none"/>
              </w:rPr>
            </w:pPr>
            <w:r>
              <w:rPr>
                <w:rFonts w:hint="eastAsia" w:ascii="宋体" w:hAnsi="宋体" w:cs="宋体"/>
                <w:color w:val="auto"/>
                <w:sz w:val="21"/>
                <w:szCs w:val="21"/>
                <w:highlight w:val="none"/>
              </w:rPr>
              <w:t>20.某年旅游热度的数据集</w:t>
            </w:r>
          </w:p>
        </w:tc>
        <w:tc>
          <w:tcPr>
            <w:tcW w:w="798" w:type="dxa"/>
            <w:noWrap w:val="0"/>
            <w:vAlign w:val="center"/>
          </w:tcPr>
          <w:p>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20</w:t>
            </w:r>
          </w:p>
        </w:tc>
        <w:tc>
          <w:tcPr>
            <w:tcW w:w="7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w:t>
            </w:r>
          </w:p>
        </w:tc>
      </w:tr>
    </w:tbl>
    <w:p>
      <w:pPr>
        <w:widowControl w:val="0"/>
        <w:spacing w:before="100" w:beforeLines="0"/>
        <w:jc w:val="left"/>
        <w:rPr>
          <w:rFonts w:hint="eastAsia" w:ascii="宋体" w:hAnsi="Times New Roman" w:eastAsia="宋体" w:cs="Times New Roman"/>
          <w:b/>
          <w:bCs/>
          <w:color w:val="auto"/>
          <w:sz w:val="21"/>
          <w:szCs w:val="21"/>
          <w:highlight w:val="none"/>
          <w:lang w:val="en-US" w:eastAsia="zh-CN" w:bidi="ar-SA"/>
        </w:rPr>
      </w:pPr>
    </w:p>
    <w:p>
      <w:pPr>
        <w:rPr>
          <w:rFonts w:hint="eastAsia"/>
          <w:b/>
          <w:bCs/>
          <w:color w:val="auto"/>
          <w:sz w:val="21"/>
          <w:szCs w:val="21"/>
          <w:highlight w:val="none"/>
          <w:lang w:eastAsia="zh-CN"/>
        </w:rPr>
      </w:pPr>
    </w:p>
    <w:p>
      <w:pPr>
        <w:widowControl w:val="0"/>
        <w:spacing w:after="120" w:afterLines="0"/>
        <w:ind w:firstLine="420"/>
        <w:jc w:val="both"/>
        <w:rPr>
          <w:rFonts w:hint="eastAsia" w:ascii="Times New Roman" w:hAnsi="Times New Roman" w:eastAsia="仿宋_GB2312" w:cs="Times New Roman"/>
          <w:b/>
          <w:bCs/>
          <w:color w:val="auto"/>
          <w:kern w:val="2"/>
          <w:sz w:val="21"/>
          <w:szCs w:val="21"/>
          <w:highlight w:val="none"/>
          <w:lang w:val="en-US" w:eastAsia="zh-CN" w:bidi="ar-SA"/>
        </w:rPr>
      </w:pPr>
    </w:p>
    <w:p>
      <w:pPr>
        <w:widowControl w:val="0"/>
        <w:spacing w:after="120" w:afterLines="0"/>
        <w:ind w:firstLine="420"/>
        <w:jc w:val="both"/>
        <w:rPr>
          <w:rFonts w:hint="eastAsia" w:ascii="Times New Roman" w:hAnsi="Times New Roman" w:eastAsia="仿宋_GB2312" w:cs="Times New Roman"/>
          <w:b/>
          <w:bCs/>
          <w:color w:val="auto"/>
          <w:kern w:val="2"/>
          <w:sz w:val="21"/>
          <w:szCs w:val="21"/>
          <w:highlight w:val="none"/>
          <w:lang w:val="en-US" w:eastAsia="zh-CN" w:bidi="ar-SA"/>
        </w:rPr>
      </w:pPr>
    </w:p>
    <w:p>
      <w:pPr>
        <w:widowControl w:val="0"/>
        <w:spacing w:after="120" w:afterLines="0"/>
        <w:ind w:firstLine="420"/>
        <w:jc w:val="both"/>
        <w:rPr>
          <w:rFonts w:hint="eastAsia" w:ascii="Times New Roman" w:hAnsi="Times New Roman" w:eastAsia="仿宋_GB2312" w:cs="Times New Roman"/>
          <w:b/>
          <w:bCs/>
          <w:color w:val="auto"/>
          <w:kern w:val="2"/>
          <w:sz w:val="21"/>
          <w:szCs w:val="21"/>
          <w:highlight w:val="none"/>
          <w:lang w:val="en-US" w:eastAsia="zh-CN" w:bidi="ar-SA"/>
        </w:rPr>
      </w:pPr>
    </w:p>
    <w:p>
      <w:pPr>
        <w:widowControl w:val="0"/>
        <w:spacing w:after="120" w:afterLines="0"/>
        <w:ind w:firstLine="420"/>
        <w:jc w:val="both"/>
        <w:rPr>
          <w:rFonts w:hint="eastAsia" w:ascii="Times New Roman" w:hAnsi="Times New Roman" w:eastAsia="仿宋_GB2312" w:cs="Times New Roman"/>
          <w:b/>
          <w:bCs/>
          <w:color w:val="auto"/>
          <w:kern w:val="2"/>
          <w:sz w:val="21"/>
          <w:szCs w:val="21"/>
          <w:highlight w:val="none"/>
          <w:lang w:val="en-US" w:eastAsia="zh-CN" w:bidi="ar-SA"/>
        </w:rPr>
      </w:pPr>
    </w:p>
    <w:p>
      <w:pPr>
        <w:widowControl w:val="0"/>
        <w:spacing w:after="120" w:afterLines="0"/>
        <w:ind w:firstLine="420"/>
        <w:jc w:val="both"/>
        <w:rPr>
          <w:rFonts w:hint="eastAsia" w:ascii="Times New Roman" w:hAnsi="Times New Roman" w:eastAsia="仿宋_GB2312" w:cs="Times New Roman"/>
          <w:b/>
          <w:bCs/>
          <w:color w:val="auto"/>
          <w:kern w:val="2"/>
          <w:sz w:val="21"/>
          <w:szCs w:val="21"/>
          <w:highlight w:val="none"/>
          <w:lang w:val="en-US" w:eastAsia="zh-CN" w:bidi="ar-SA"/>
        </w:rPr>
      </w:pPr>
    </w:p>
    <w:p>
      <w:pPr>
        <w:widowControl w:val="0"/>
        <w:spacing w:after="120" w:afterLines="0"/>
        <w:ind w:firstLine="420"/>
        <w:jc w:val="both"/>
        <w:rPr>
          <w:rFonts w:hint="eastAsia" w:ascii="Times New Roman" w:hAnsi="Times New Roman" w:eastAsia="仿宋_GB2312" w:cs="Times New Roman"/>
          <w:b/>
          <w:bCs/>
          <w:color w:val="auto"/>
          <w:kern w:val="2"/>
          <w:sz w:val="21"/>
          <w:szCs w:val="21"/>
          <w:highlight w:val="none"/>
          <w:lang w:val="en-US" w:eastAsia="zh-CN" w:bidi="ar-SA"/>
        </w:rPr>
      </w:pPr>
    </w:p>
    <w:p>
      <w:pPr>
        <w:widowControl w:val="0"/>
        <w:spacing w:after="120" w:afterLines="0"/>
        <w:ind w:firstLine="420"/>
        <w:jc w:val="both"/>
        <w:rPr>
          <w:rFonts w:hint="eastAsia" w:ascii="Times New Roman" w:hAnsi="Times New Roman" w:eastAsia="仿宋_GB2312" w:cs="Times New Roman"/>
          <w:b/>
          <w:bCs/>
          <w:color w:val="auto"/>
          <w:kern w:val="2"/>
          <w:sz w:val="21"/>
          <w:szCs w:val="21"/>
          <w:highlight w:val="none"/>
          <w:lang w:val="en-US" w:eastAsia="zh-CN" w:bidi="ar-SA"/>
        </w:rPr>
      </w:pPr>
    </w:p>
    <w:p>
      <w:pPr>
        <w:widowControl w:val="0"/>
        <w:spacing w:after="120" w:afterLines="0"/>
        <w:ind w:firstLine="420"/>
        <w:jc w:val="both"/>
        <w:rPr>
          <w:rFonts w:hint="eastAsia" w:ascii="Times New Roman" w:hAnsi="Times New Roman" w:eastAsia="仿宋_GB2312" w:cs="Times New Roman"/>
          <w:b/>
          <w:bCs/>
          <w:color w:val="auto"/>
          <w:kern w:val="2"/>
          <w:sz w:val="21"/>
          <w:szCs w:val="21"/>
          <w:highlight w:val="none"/>
          <w:lang w:val="en-US" w:eastAsia="zh-CN" w:bidi="ar-SA"/>
        </w:rPr>
      </w:pPr>
    </w:p>
    <w:p>
      <w:pPr>
        <w:widowControl w:val="0"/>
        <w:spacing w:after="120" w:afterLines="0"/>
        <w:ind w:firstLine="420"/>
        <w:jc w:val="both"/>
        <w:rPr>
          <w:rFonts w:hint="eastAsia" w:ascii="Times New Roman" w:hAnsi="Times New Roman" w:eastAsia="仿宋_GB2312" w:cs="Times New Roman"/>
          <w:b/>
          <w:bCs/>
          <w:color w:val="auto"/>
          <w:kern w:val="2"/>
          <w:sz w:val="21"/>
          <w:szCs w:val="21"/>
          <w:highlight w:val="none"/>
          <w:lang w:val="en-US" w:eastAsia="zh-CN" w:bidi="ar-SA"/>
        </w:rPr>
      </w:pPr>
    </w:p>
    <w:p>
      <w:pPr>
        <w:widowControl w:val="0"/>
        <w:spacing w:after="120" w:afterLines="0"/>
        <w:ind w:firstLine="420"/>
        <w:jc w:val="both"/>
        <w:rPr>
          <w:rFonts w:hint="eastAsia" w:ascii="Times New Roman" w:hAnsi="Times New Roman" w:eastAsia="仿宋_GB2312" w:cs="Times New Roman"/>
          <w:b/>
          <w:bCs/>
          <w:color w:val="auto"/>
          <w:kern w:val="2"/>
          <w:sz w:val="21"/>
          <w:szCs w:val="21"/>
          <w:highlight w:val="none"/>
          <w:lang w:val="en-US" w:eastAsia="zh-CN" w:bidi="ar-SA"/>
        </w:rPr>
      </w:pPr>
    </w:p>
    <w:p>
      <w:pPr>
        <w:widowControl w:val="0"/>
        <w:spacing w:after="120" w:afterLines="0"/>
        <w:ind w:firstLine="420"/>
        <w:jc w:val="both"/>
        <w:rPr>
          <w:rFonts w:hint="eastAsia" w:ascii="Times New Roman" w:hAnsi="Times New Roman" w:eastAsia="仿宋_GB2312" w:cs="Times New Roman"/>
          <w:b/>
          <w:bCs/>
          <w:color w:val="auto"/>
          <w:kern w:val="2"/>
          <w:sz w:val="21"/>
          <w:szCs w:val="21"/>
          <w:highlight w:val="none"/>
          <w:lang w:val="en-US" w:eastAsia="zh-CN" w:bidi="ar-SA"/>
        </w:rPr>
      </w:pPr>
    </w:p>
    <w:p>
      <w:pPr>
        <w:widowControl w:val="0"/>
        <w:spacing w:after="120" w:afterLines="0"/>
        <w:ind w:firstLine="420"/>
        <w:jc w:val="both"/>
        <w:rPr>
          <w:rFonts w:hint="eastAsia" w:ascii="Times New Roman" w:hAnsi="Times New Roman" w:eastAsia="仿宋_GB2312" w:cs="Times New Roman"/>
          <w:b/>
          <w:bCs/>
          <w:color w:val="auto"/>
          <w:kern w:val="2"/>
          <w:sz w:val="21"/>
          <w:szCs w:val="21"/>
          <w:highlight w:val="none"/>
          <w:lang w:val="en-US" w:eastAsia="zh-CN" w:bidi="ar-SA"/>
        </w:rPr>
      </w:pPr>
    </w:p>
    <w:p>
      <w:pPr>
        <w:widowControl w:val="0"/>
        <w:spacing w:after="120" w:afterLines="0"/>
        <w:ind w:firstLine="420"/>
        <w:jc w:val="both"/>
        <w:rPr>
          <w:rFonts w:hint="eastAsia" w:ascii="Times New Roman" w:hAnsi="Times New Roman" w:eastAsia="仿宋_GB2312" w:cs="Times New Roman"/>
          <w:b/>
          <w:bCs/>
          <w:color w:val="auto"/>
          <w:kern w:val="2"/>
          <w:sz w:val="21"/>
          <w:szCs w:val="21"/>
          <w:highlight w:val="none"/>
          <w:lang w:val="en-US" w:eastAsia="zh-CN" w:bidi="ar-SA"/>
        </w:rPr>
      </w:pPr>
    </w:p>
    <w:p>
      <w:pPr>
        <w:widowControl w:val="0"/>
        <w:spacing w:after="120" w:afterLines="0"/>
        <w:ind w:firstLine="420"/>
        <w:jc w:val="both"/>
        <w:rPr>
          <w:rFonts w:hint="eastAsia" w:ascii="Times New Roman" w:hAnsi="Times New Roman" w:eastAsia="仿宋_GB2312" w:cs="Times New Roman"/>
          <w:b/>
          <w:bCs/>
          <w:color w:val="auto"/>
          <w:kern w:val="2"/>
          <w:sz w:val="21"/>
          <w:szCs w:val="21"/>
          <w:highlight w:val="none"/>
          <w:lang w:val="en-US" w:eastAsia="zh-CN" w:bidi="ar-SA"/>
        </w:rPr>
      </w:pPr>
    </w:p>
    <w:p>
      <w:pPr>
        <w:widowControl w:val="0"/>
        <w:spacing w:after="120" w:afterLines="0"/>
        <w:jc w:val="both"/>
        <w:rPr>
          <w:rFonts w:hint="eastAsia" w:ascii="Times New Roman" w:hAnsi="Times New Roman" w:eastAsia="仿宋_GB2312" w:cs="Times New Roman"/>
          <w:b/>
          <w:bCs/>
          <w:color w:val="auto"/>
          <w:kern w:val="2"/>
          <w:sz w:val="21"/>
          <w:szCs w:val="21"/>
          <w:highlight w:val="none"/>
          <w:lang w:val="en-US" w:eastAsia="zh-CN" w:bidi="ar-SA"/>
        </w:rPr>
      </w:pPr>
    </w:p>
    <w:p>
      <w:pPr>
        <w:widowControl w:val="0"/>
        <w:spacing w:before="100" w:beforeLines="0"/>
        <w:jc w:val="left"/>
        <w:rPr>
          <w:rFonts w:hint="eastAsia"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b/>
          <w:bCs/>
          <w:color w:val="auto"/>
          <w:sz w:val="21"/>
          <w:szCs w:val="21"/>
          <w:highlight w:val="none"/>
          <w:lang w:val="en-US" w:eastAsia="zh-CN" w:bidi="ar-SA"/>
        </w:rPr>
        <w:t>包3：</w:t>
      </w:r>
    </w:p>
    <w:tbl>
      <w:tblPr>
        <w:tblStyle w:val="12"/>
        <w:tblW w:w="10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395"/>
        <w:gridCol w:w="6777"/>
        <w:gridCol w:w="798"/>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序号</w:t>
            </w:r>
          </w:p>
        </w:tc>
        <w:tc>
          <w:tcPr>
            <w:tcW w:w="1395"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名称</w:t>
            </w:r>
          </w:p>
        </w:tc>
        <w:tc>
          <w:tcPr>
            <w:tcW w:w="6777"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val="en-US" w:eastAsia="zh-Hans"/>
              </w:rPr>
              <w:t>技术参数</w:t>
            </w:r>
          </w:p>
        </w:tc>
        <w:tc>
          <w:tcPr>
            <w:tcW w:w="798"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数量</w:t>
            </w:r>
          </w:p>
        </w:tc>
        <w:tc>
          <w:tcPr>
            <w:tcW w:w="762"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noWrap w:val="0"/>
            <w:vAlign w:val="center"/>
          </w:tcPr>
          <w:p>
            <w:pPr>
              <w:spacing w:line="5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u w:val="none"/>
                <w:vertAlign w:val="baseline"/>
                <w:lang w:val="en-US" w:eastAsia="zh-CN"/>
              </w:rPr>
              <w:t>1</w:t>
            </w:r>
          </w:p>
        </w:tc>
        <w:tc>
          <w:tcPr>
            <w:tcW w:w="1395" w:type="dxa"/>
            <w:noWrap w:val="0"/>
            <w:vAlign w:val="center"/>
          </w:tcPr>
          <w:p>
            <w:pPr>
              <w:spacing w:line="560" w:lineRule="exact"/>
              <w:jc w:val="center"/>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sz w:val="21"/>
                <w:szCs w:val="21"/>
                <w:highlight w:val="none"/>
              </w:rPr>
              <w:t>票据工厂系统</w:t>
            </w:r>
          </w:p>
        </w:tc>
        <w:tc>
          <w:tcPr>
            <w:tcW w:w="67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一、制题技术要求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提供工业企业、商贸企业两套制题文件。提供完整的产品配套资料，包括产品使用手册、PPT、系统安装手册、加密狗及驱动设备及文档。提供用于制作原始凭证的票据模板。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票据模板包含银行、工商、税务、企业、记账凭证、账簿、报表、其他等行业分类的凭证模板不少于150套；支持扫描二维码进行微信公众号登录，登录后可以浏览公众号中发布的新票据，并支持下载更新票据模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Calibri" w:eastAsia="宋体"/>
                <w:color w:val="auto"/>
                <w:highlight w:val="none"/>
                <w:lang w:val="en-US" w:eastAsia="zh-CN"/>
              </w:rPr>
              <w:t>★</w:t>
            </w:r>
            <w:r>
              <w:rPr>
                <w:rFonts w:hint="eastAsia" w:ascii="宋体" w:hAnsi="宋体" w:eastAsia="宋体" w:cs="宋体"/>
                <w:color w:val="auto"/>
                <w:kern w:val="2"/>
                <w:sz w:val="21"/>
                <w:szCs w:val="21"/>
                <w:highlight w:val="none"/>
                <w:lang w:val="en-US" w:eastAsia="zh-CN" w:bidi="ar-SA"/>
              </w:rPr>
              <w:t>2.增值税普通发票、增值税专用发票支持更换发票所在地区，同时发票号码和发票代码随地区改变而改变，符合国税发票代码发布的规则。现金支票、转账支票支持更换银行名称，支持常见的中国工商银行、中国农业银行、中国银行、中国建设银行、交通银行、招商银行、兴业银行，也可以自己输入银行名称。支票编码格式要符合中国银行发布的规则。</w:t>
            </w:r>
            <w:r>
              <w:rPr>
                <w:rFonts w:hint="eastAsia" w:ascii="宋体" w:hAnsi="宋体" w:cs="宋体"/>
                <w:color w:val="auto"/>
                <w:sz w:val="21"/>
                <w:szCs w:val="21"/>
                <w:highlight w:val="none"/>
              </w:rPr>
              <w:t>（提供产品功能截图）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Calibri" w:eastAsia="宋体"/>
                <w:color w:val="auto"/>
                <w:highlight w:val="none"/>
                <w:lang w:val="en-US" w:eastAsia="zh-CN"/>
              </w:rPr>
              <w:t>★</w:t>
            </w:r>
            <w:r>
              <w:rPr>
                <w:rFonts w:hint="eastAsia" w:ascii="宋体" w:hAnsi="宋体" w:eastAsia="宋体" w:cs="宋体"/>
                <w:color w:val="auto"/>
                <w:kern w:val="2"/>
                <w:sz w:val="21"/>
                <w:szCs w:val="21"/>
                <w:highlight w:val="none"/>
                <w:lang w:val="en-US" w:eastAsia="zh-CN" w:bidi="ar-SA"/>
              </w:rPr>
              <w:t>3.票据模板支持快捷录入功能，日期、部门档案、往来单位档案支持快捷录入；支持公式自动运算功能，金额自动计算、税额自动计算；支持关联输入功能，输入小写金额后，自动生成大写金额；支持关联显示功能，在调取档案后，所有相关的输入项自动填充档案数据；支持自动生成印章功能，票据上印章支持根据选择的档案自动创建，印章支持另存、隐藏功能；支持自动划线功能，记账凭证中会根据输入的内容自动创建划线；支持添加印章，可以导入自定义印章文件。</w:t>
            </w:r>
            <w:r>
              <w:rPr>
                <w:rFonts w:hint="eastAsia" w:ascii="宋体" w:hAnsi="宋体" w:cs="宋体"/>
                <w:color w:val="auto"/>
                <w:sz w:val="21"/>
                <w:szCs w:val="21"/>
                <w:highlight w:val="none"/>
              </w:rPr>
              <w:t>（提供产品功能截图）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Calibri" w:eastAsia="宋体"/>
                <w:color w:val="auto"/>
                <w:highlight w:val="none"/>
                <w:lang w:val="en-US" w:eastAsia="zh-CN"/>
              </w:rPr>
              <w:t>★</w:t>
            </w:r>
            <w:r>
              <w:rPr>
                <w:rFonts w:hint="eastAsia" w:ascii="宋体" w:hAnsi="宋体" w:eastAsia="宋体" w:cs="宋体"/>
                <w:color w:val="auto"/>
                <w:kern w:val="2"/>
                <w:sz w:val="21"/>
                <w:szCs w:val="21"/>
                <w:highlight w:val="none"/>
                <w:lang w:val="en-US" w:eastAsia="zh-CN" w:bidi="ar-SA"/>
              </w:rPr>
              <w:t>4.票据模板支持克隆功能，相同名称不同联次的票据可以相互转换；支持票据分组管理功能，可添加新的分组，支持多组功能；具有加入常用、显示印章、显示划线等功能设置。</w:t>
            </w:r>
            <w:r>
              <w:rPr>
                <w:rFonts w:hint="eastAsia" w:ascii="宋体" w:hAnsi="宋体" w:cs="宋体"/>
                <w:color w:val="auto"/>
                <w:sz w:val="21"/>
                <w:szCs w:val="21"/>
                <w:highlight w:val="none"/>
              </w:rPr>
              <w:t>（提供产品功能截图）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5.票据模板支持最近创建的票据列表显示功能，在模板下方以列表方式显示全做做过的票据列表，支持进入编辑。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6.票据录入完毕后支持票据预览功能，能够查看票据的样式；支持生成个票据功能，生成后的票据支持另存为图片、复制和删除功能。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票据模板支持纠错并反馈功能，可以进行页面抓屏并在抓屏的图形上面进行绘制文字、箭头、框选、保存、撤销功能；反馈内容包括问题分类、问题描述，以进度条方式将反馈内容提交到云平台中；支持查看反馈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我的票据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管理功能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1.支持按分组进行票据列表展示，列表展示中包括票据预览图、票据名称、制票日期和票据文件名称；支持浏览票据和编辑票据功能。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2.支持对【我的票据】进行检索，输入票据名称后可进行汉字模糊查询，查询后的结果以列表方式展示。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企业档案维护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支持企业档案的列表展示，支持多个企业档案的维护，列表展示中包括企业名称、企业类型、创建日期、默认企业标识和维护档案。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企业档案维护包括基本信息和往来单位信息的维护。支持企业信息项目模板的自定义；支持企业信息的录入功能；支持意见填表功能，自动对企业名称、人名、地址、开户行、电话号码等内容进行自动起名功能；支持企业档案导出到Word文档中；支持设置为默认企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提供用于会计实务实训的经济业务制作功能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支持显示全部经济业务，按照业务分类进行列表展示，列表中包括业务发生日期、业务摘要、业务更新日期、业务分类、难度等信息；支持按照业务摘要进行汉字模糊检索并显示功能；支持只显示我做的业务功能。支持纠错并反馈功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支持新建业务功能，新建业务包括业务发生日期、关联企业档案、分值、业务摘要、业务内容、业务备注、业务分类、业务难度等信息；具有加入常用、显示印章、显示划线等功能设置。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添加单据功能，能够从票据模板库和我的票据库中选择空白单据和已有单据添加到当前业务中；添加后的票据支持背景单据和答题单据转换，答题单据支持设置答题要素和设置采分点。设置答题要素包括票据模板中全部的要素能够设置是背景项还是答题项，如果是答题项则将其转化为答案。设置采分点包括评分项、评分要素、权重和采分标识组成，能够形成采分点，用于实训练习中的自动判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Calibri" w:eastAsia="宋体"/>
                <w:color w:val="auto"/>
                <w:highlight w:val="none"/>
                <w:lang w:val="en-US"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添加后的单据支持快捷录入功能，日期、部门档案、往来单位档案支持快捷录入；支持公示自动运算功能，金额自动计算、税额自动计算；支持关联输入功能，输入小写金额后，自动生成大写金额；支持关联显示功能，在调取档案后，所有相关的输入项自动填充档案数据；支持自动生成印章功能，票据上印章支持根据选择的档案自动创建，印章支持另存、隐藏功能；支持自动划线功能，记账凭证中会根据输入的内容自动创建划线；支持添加印章，可以导入自定义印章文件。</w:t>
            </w:r>
            <w:r>
              <w:rPr>
                <w:rFonts w:hint="eastAsia" w:ascii="宋体" w:hAnsi="宋体" w:cs="宋体"/>
                <w:color w:val="auto"/>
                <w:sz w:val="21"/>
                <w:szCs w:val="21"/>
                <w:highlight w:val="none"/>
              </w:rPr>
              <w:t>（提供产品功能截图）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支持保存业务、导出业务和删除功能。导出业务包括导出到Word和导出到实训试题包两种。导出word文档支持包含背景资料、包含答案、是否导出高清票据和普通票据选项。导出实训试题包支持预览实训试题功能和创建ZIP试题包另存功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预览试题包功能包括测试用户和正式考试用户两种角色，支持显示多个答案功能。能够以列表方式显示全部测试的试题包，包括试题包试卷标题、总分、得分等信息，支持打开试题包进行答题功能。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系统设置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支持设置本地服务器、系统界面风格和联网更新功能。提供检查新版本和在线更新功能，能够从互联网云平台下载最新版制题工具并进行更新。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支持票据模板的更新，可以批量更新新模板。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实训教学技术要求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实训教学加载的实训内容为会计实务处理，支持书写题、判断题、选择题、账证表实务操作题，支持制题工具打包的全部实训试题。单项实训试卷不少于10套。系统可运行在局域网内，使用PC访问。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Calibri" w:eastAsia="宋体"/>
                <w:color w:val="auto"/>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支持会计数字书写的填制、审核、判断及纠错功能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题型包括阿拉伯数字规范书写、中文大写数字书写规范、大小写金额书写对照、票据中数字大小写书写、日期数字大小写书写等。</w:t>
            </w:r>
            <w:r>
              <w:rPr>
                <w:rFonts w:hint="eastAsia" w:ascii="宋体" w:hAnsi="宋体" w:cs="宋体"/>
                <w:color w:val="auto"/>
                <w:sz w:val="21"/>
                <w:szCs w:val="21"/>
                <w:highlight w:val="none"/>
              </w:rPr>
              <w:t>（提供产品功能截图）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会计</w:t>
            </w:r>
            <w:r>
              <w:rPr>
                <w:rFonts w:hint="eastAsia" w:ascii="宋体" w:hAnsi="宋体" w:eastAsia="宋体" w:cs="宋体"/>
                <w:color w:val="auto"/>
                <w:sz w:val="21"/>
                <w:szCs w:val="21"/>
                <w:highlight w:val="none"/>
                <w:lang w:eastAsia="zh-CN"/>
              </w:rPr>
              <w:t>单据及业务类型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填制原始凭证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各种发票和银行票据等；审核原始凭证；填制记账凭证（收、付、转专用记账凭证和通用记账凭证）；登记三栏式库存现金、银行存款日记账；登记三栏式、多栏式、数量金额式明细账；编制科目汇总表或总分类账户试算平衡表；登记总分类账户（根据记账凭证逐笔登记或根据科目汇总表、汇总记账凭证汇总登记）；更正错账：划线更正法、红字冲账法、补充登记法；结账；银行对账：将银行对账单与考生登记的日记账核对，编制银行存款余额调节表；编制资产负债表、利润表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实训</w:t>
            </w:r>
            <w:r>
              <w:rPr>
                <w:rFonts w:hint="eastAsia" w:ascii="宋体" w:hAnsi="宋体" w:eastAsia="宋体" w:cs="宋体"/>
                <w:color w:val="auto"/>
                <w:sz w:val="21"/>
                <w:szCs w:val="21"/>
                <w:highlight w:val="none"/>
                <w:lang w:eastAsia="zh-CN"/>
              </w:rPr>
              <w:t>及考试操作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考生身份登录，实现按正式考试环境中身份证号、准考证号进行登录验证；考生身份内容包括考生头像、姓名、准考证号、身份证号、性别；支持禁止考生重复登录验证，对重复登录的考生或验证不通过的登录信息进行提示</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试卷获取功能，在登录后能够显示新试卷数量，点击进行下载并存储到用户端，试卷下载以进度条方式展现，能够看到完整试卷下载过程；支持试卷列表功能，在登录后能够显示所有已经下载的试卷列表，列表中要包含试卷名称、总分、试卷下载时间及试卷得分信息</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Calibri" w:eastAsia="宋体"/>
                <w:color w:val="auto"/>
                <w:highlight w:val="none"/>
                <w:lang w:val="en-US"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试卷打开功能，在试卷列表中选择任意一套试卷，双击或者右键选中打开试卷，能够对试卷内容进行加载，试卷打开后的界面与正式考试界面保持一致风格；试卷样式为高仿纸质样式，其中试卷顶部为试卷名称，考生区域要包括考生头像、考生姓名、考场信息、考试开始时间、考试结束时间、考试剩余时间等信息；试卷主体部分与传统纸质试卷类似，在每一个答题要求下面设立答题区，点击答题区中的答题按钮即可进入该题的实操答题界面进行答题，答题区的答题按钮要包含该题得分及该题答案和得分点信息</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rPr>
              <w:t>（提供产品功能截图）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试卷答题页面中支持考生输入功能，能够以录入方式进行答题</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输入功能支持红色、黑色两种字体颜色，支持“￥”等特殊字符的录入；输入功能支持数字自动格式化功能，自动格式化为“123 456.00”样式；输入功能支持自动求和功能，能够对某一列或某一行进行自动求和运算；试卷答题页面中支持考生单择功能，能够以单选框的形式进行选择方式答题；试卷答题页面中支持考生多选功能，能够以多选框的形式进行选择方式答题；试卷答题页面中支持考生下拉选择功能，能够以下拉框的形式进行选择方式答题；试卷答题页面中支持考生弹出列表选择功能，能够在弹出页面中进行选择方式答题；试卷答题页面中支持考生会计科目列表选择功能，能够在弹出页面中选择会计科目的形式进行选择方式答题</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试卷答题页面中支持考生盖章功能，能够在弹出页面中选择公章的形式进行选择方式答题；盖章支持印章预览功能；盖章后支持两种展现方式，一种为固定位置。选择后即出现在固定位置处，不可移动；另一种为可变位置。选择后可用鼠标进行拖拽放置到页面任意位置处</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试卷答题页面中支持考生画线功能，能够在答题页面中进行画线操作；画线支持红色、黑色两种颜色；画线由鼠标点击完成，支持虚线引导，第一次点击鼠标开始画线，第二次点击鼠标完成画线</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支持计算机功能，点击可弹出计算器</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答题页面中支持工具栏功能，工具栏中具有企业基本信息、单位往来信息、业务、原始凭证、记账凭证、账表等功能按钮，点击可查看相关信息；原始凭证功能中支持原始凭证按50%、75%、100%三种模式预览，可对原始凭证的文字内容进行复制；工具栏具有显示和隐藏功能，可根据题型要求显示不同的功能按钮</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试卷中要具备交卷功能，点击交卷后将考生答题成绩上传到服务器，同时完成此套试卷的答题返回首页面；支持查看答案及得分点，点击答题区域中的得分，即可看到答案和得分点信息</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学生管理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学生管理功能，可对学生批量导入，支持从XLS格式文件中批量导入考生，导入考生完毕后自动将考场、考试等内容分配完毕；学生信息包括姓名、身份证号、准考证号、手机号、性别、学校、班级、年级等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试卷管理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支持试卷维护，对试卷进行列表管理，教师可上传试卷到系统中，可设置；支持试卷压缩格式的上传，压缩给位为zip格式；支持试卷更新功能，教师可通过互联网获取试卷更新信息，如果新的试卷可以联网进行更新；试卷信息包括试卷名称、考试时间、分数、出卷人等信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试卷成绩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支持试卷成绩查看功能，教师可查看每一套试卷学生答题的得分情况；支持成绩导出到XLS。</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产品资料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提供完整的产品配套资料，包括产品使用手册、PPT、系统安装手册。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七、</w:t>
            </w:r>
            <w:r>
              <w:rPr>
                <w:rFonts w:hint="eastAsia" w:ascii="宋体" w:hAnsi="宋体" w:eastAsia="宋体" w:cs="宋体"/>
                <w:b/>
                <w:bCs/>
                <w:color w:val="auto"/>
                <w:sz w:val="21"/>
                <w:szCs w:val="21"/>
                <w:highlight w:val="none"/>
              </w:rPr>
              <w:t>配套线下实训票据包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Calibri" w:eastAsia="宋体"/>
                <w:color w:val="auto"/>
                <w:highlight w:val="none"/>
                <w:lang w:val="en-US"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不少于70种真实实训票据包。包括会计单项实训、会计综合实训、空白原始凭证、记账凭证、科目汇总表、账页、试算平衡表、会计报表、会计用品、印章、世界主要国家货币样币、练功券、配件。原始凭证通过二维码关联云端的业务案例</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rPr>
              <w:t>（提供产品功能截图）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企业全套真实经济业务资料；包含会计用具，包括会计印章、单位法人章、财务专用章、业务专用章等印章；会计凭证封面、包角纸、账夹、铁夹、装订针、装订线等会计用具用品</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云端教学资源，包括存放在云端的会计业务案例、教学视频、业务指导、参考答案、云端练习、网上测试等可随时调用的云端教学资源。</w:t>
            </w:r>
          </w:p>
        </w:tc>
        <w:tc>
          <w:tcPr>
            <w:tcW w:w="798" w:type="dxa"/>
            <w:noWrap w:val="0"/>
            <w:vAlign w:val="center"/>
          </w:tcPr>
          <w:p>
            <w:pPr>
              <w:spacing w:line="5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u w:val="none"/>
                <w:vertAlign w:val="baseline"/>
                <w:lang w:val="en-US" w:eastAsia="zh-CN"/>
              </w:rPr>
              <w:t>1</w:t>
            </w:r>
          </w:p>
        </w:tc>
        <w:tc>
          <w:tcPr>
            <w:tcW w:w="7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15825"/>
    <w:multiLevelType w:val="singleLevel"/>
    <w:tmpl w:val="C0E15825"/>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YzQ2ZDY4NWM4M2FjYTIyZGE3OTEwZTUzYzgxN2IifQ=="/>
  </w:docVars>
  <w:rsids>
    <w:rsidRoot w:val="16DE2A98"/>
    <w:rsid w:val="16DE2A98"/>
    <w:rsid w:val="1AB73573"/>
    <w:rsid w:val="27081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ascii="Times New Roman" w:hAnsi="Times New Roman" w:eastAsia="宋体" w:cs="Times New Roman"/>
      <w:b/>
      <w:bCs/>
      <w:kern w:val="44"/>
      <w:sz w:val="32"/>
      <w:szCs w:val="44"/>
    </w:rPr>
  </w:style>
  <w:style w:type="paragraph" w:styleId="5">
    <w:name w:val="heading 3"/>
    <w:basedOn w:val="1"/>
    <w:next w:val="1"/>
    <w:qFormat/>
    <w:uiPriority w:val="0"/>
    <w:pPr>
      <w:keepNext/>
      <w:keepLines/>
      <w:outlineLvl w:val="2"/>
    </w:pPr>
    <w:rPr>
      <w:rFonts w:eastAsia="仿宋"/>
      <w:b/>
      <w:bCs/>
      <w:sz w:val="30"/>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next w:val="3"/>
    <w:uiPriority w:val="0"/>
    <w:pPr>
      <w:snapToGrid w:val="0"/>
      <w:jc w:val="left"/>
    </w:pPr>
    <w:rPr>
      <w:kern w:val="2"/>
      <w:sz w:val="18"/>
      <w:szCs w:val="18"/>
    </w:rPr>
  </w:style>
  <w:style w:type="paragraph" w:styleId="3">
    <w:name w:val="index 5"/>
    <w:basedOn w:val="1"/>
    <w:next w:val="1"/>
    <w:qFormat/>
    <w:uiPriority w:val="0"/>
    <w:pPr>
      <w:ind w:left="798"/>
    </w:pPr>
    <w:rPr>
      <w:rFonts w:ascii="Calibri" w:hAnsi="Calibri"/>
    </w:rPr>
  </w:style>
  <w:style w:type="paragraph" w:styleId="6">
    <w:name w:val="Body Text"/>
    <w:basedOn w:val="1"/>
    <w:next w:val="1"/>
    <w:qFormat/>
    <w:uiPriority w:val="0"/>
    <w:rPr>
      <w:rFonts w:eastAsia="仿宋_GB2312"/>
      <w:kern w:val="2"/>
      <w:sz w:val="28"/>
      <w:szCs w:val="30"/>
    </w:rPr>
  </w:style>
  <w:style w:type="paragraph" w:styleId="7">
    <w:name w:val="List 2"/>
    <w:basedOn w:val="1"/>
    <w:qFormat/>
    <w:uiPriority w:val="0"/>
    <w:pPr>
      <w:ind w:left="400" w:leftChars="200" w:hanging="200" w:hangingChars="200"/>
    </w:pPr>
    <w:rPr>
      <w:szCs w:val="24"/>
    </w:rPr>
  </w:style>
  <w:style w:type="paragraph" w:styleId="8">
    <w:name w:val="table of figures"/>
    <w:basedOn w:val="1"/>
    <w:next w:val="1"/>
    <w:qFormat/>
    <w:uiPriority w:val="0"/>
    <w:pPr>
      <w:spacing w:before="100" w:beforeLines="0"/>
      <w:jc w:val="left"/>
    </w:pPr>
    <w:rPr>
      <w:rFonts w:ascii="宋体"/>
      <w:sz w:val="24"/>
      <w:szCs w:val="24"/>
    </w:rPr>
  </w:style>
  <w:style w:type="paragraph" w:styleId="9">
    <w:name w:val="Title"/>
    <w:basedOn w:val="1"/>
    <w:next w:val="1"/>
    <w:qFormat/>
    <w:uiPriority w:val="0"/>
    <w:pPr>
      <w:widowControl/>
      <w:jc w:val="center"/>
      <w:outlineLvl w:val="0"/>
    </w:pPr>
    <w:rPr>
      <w:rFonts w:ascii="Cambria" w:hAnsi="Cambria" w:eastAsia="微软雅黑"/>
      <w:b/>
      <w:bCs/>
      <w:kern w:val="28"/>
      <w:sz w:val="44"/>
      <w:lang w:eastAsia="en-US" w:bidi="en-US"/>
    </w:rPr>
  </w:style>
  <w:style w:type="paragraph" w:styleId="10">
    <w:name w:val="Body Text First Indent"/>
    <w:basedOn w:val="6"/>
    <w:qFormat/>
    <w:uiPriority w:val="0"/>
    <w:pPr>
      <w:spacing w:after="120" w:afterLines="0"/>
      <w:ind w:firstLine="420"/>
    </w:pPr>
  </w:style>
  <w:style w:type="table" w:styleId="12">
    <w:name w:val="Table Grid"/>
    <w:basedOn w:val="1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正文"/>
    <w:basedOn w:val="1"/>
    <w:qFormat/>
    <w:uiPriority w:val="0"/>
    <w:pPr>
      <w:widowControl/>
      <w:ind w:firstLine="482"/>
    </w:pPr>
    <w:rPr>
      <w:rFonts w:ascii="微软雅黑" w:hAnsi="微软雅黑" w:eastAsia="微软雅黑"/>
      <w:sz w:val="21"/>
    </w:rPr>
  </w:style>
  <w:style w:type="table" w:customStyle="1" w:styleId="15">
    <w:name w:val="网格型1"/>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md-end-block"/>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2024-06-14T02:34:00Z</dcterms:created>
  <dc:creator>河南省通力建设工程咨询有限公司:闫信强</dc:creator>
  <cp:lastModifiedBy>河南省通力建设工程咨询有限公司:闫信强</cp:lastModifiedBy>
  <dcterms:modified xsi:type="dcterms:W3CDTF">2024-06-14T02:36:13Z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B675EF7039F54AC4B89D6720E6562E0D_11</vt:lpwstr>
  </property>
</Properties>
</file>