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BF2A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采购需求</w:t>
      </w:r>
      <w:bookmarkStart w:id="29" w:name="_GoBack"/>
      <w:bookmarkEnd w:id="29"/>
    </w:p>
    <w:p w14:paraId="1ED76BA2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sz w:val="24"/>
        </w:rPr>
        <w:t>黄淮学院202404—智能信息专业集群创新平台设备采购（货物）项目</w:t>
      </w:r>
    </w:p>
    <w:p w14:paraId="0C76D7F6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项目介绍：</w:t>
      </w:r>
      <w:r>
        <w:rPr>
          <w:rFonts w:hint="eastAsia" w:ascii="宋体" w:hAnsi="宋体" w:cs="宋体"/>
          <w:sz w:val="24"/>
        </w:rPr>
        <w:t>本项目依托河南省智慧照明重点实验室，建设智能信息专业集群创新平台，建设稀土光功能材料产业创新中心。满足信息类、光学类、控制类课程开设，信息光学竞赛训练，智能信息专业科学研究和智能信息专业社会服务等需求，将我校智能信息专业集群化发展，打造产学研交叉融合的人才培养体系。</w:t>
      </w:r>
    </w:p>
    <w:p w14:paraId="2C5F80B8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一、技术需求</w:t>
      </w:r>
    </w:p>
    <w:tbl>
      <w:tblPr>
        <w:tblStyle w:val="2"/>
        <w:tblW w:w="8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811"/>
        <w:gridCol w:w="843"/>
        <w:gridCol w:w="5455"/>
      </w:tblGrid>
      <w:tr w14:paraId="0CF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noWrap w:val="0"/>
            <w:vAlign w:val="top"/>
          </w:tcPr>
          <w:p w14:paraId="77678F5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709" w:type="dxa"/>
            <w:noWrap w:val="0"/>
            <w:vAlign w:val="top"/>
          </w:tcPr>
          <w:p w14:paraId="28844A7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811" w:type="dxa"/>
            <w:noWrap w:val="0"/>
            <w:vAlign w:val="top"/>
          </w:tcPr>
          <w:p w14:paraId="1C7BD1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  <w:p w14:paraId="217FB4B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6298" w:type="dxa"/>
            <w:gridSpan w:val="2"/>
            <w:noWrap w:val="0"/>
            <w:vAlign w:val="top"/>
          </w:tcPr>
          <w:p w14:paraId="61E6552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功能、性能及技术指标</w:t>
            </w:r>
          </w:p>
        </w:tc>
      </w:tr>
      <w:tr w14:paraId="003B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noWrap w:val="0"/>
            <w:vAlign w:val="center"/>
          </w:tcPr>
          <w:p w14:paraId="276B8A5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1E92AC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1700℃升降炉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29E0E3E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4723FB5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3AC65F4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</w:t>
            </w:r>
          </w:p>
          <w:p w14:paraId="1173B29B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1.嵌入式操作系统中英文互换图形界面，≥7寸真彩触屏输入，智能式人机对话模式。</w:t>
            </w:r>
          </w:p>
          <w:p w14:paraId="70C4C030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2.主加热可预存至少15条温度曲线，每条曲线可设置至少30段"时间—温度曲线"，实时监控，动态真实显示“时间-温度曲线”。</w:t>
            </w:r>
          </w:p>
          <w:p w14:paraId="0332B1D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3.温场控温温度和试样温度的差值，系统全程进行非线性修正。</w:t>
            </w:r>
          </w:p>
          <w:p w14:paraId="6D575DB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超温报警，过流保护，断偶提示。</w:t>
            </w:r>
          </w:p>
        </w:tc>
      </w:tr>
      <w:tr w14:paraId="05C4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B90D06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C513B5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12E810F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2003877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54325F5E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5986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7" w:type="dxa"/>
            <w:vMerge w:val="continue"/>
            <w:noWrap w:val="0"/>
            <w:vAlign w:val="center"/>
          </w:tcPr>
          <w:p w14:paraId="497FEAF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6F62AC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21D5A09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6281887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32BAD35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3922CCA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炉体尺寸：</w:t>
            </w:r>
            <w:r>
              <w:rPr>
                <w:rFonts w:hint="eastAsia" w:ascii="宋体" w:hAnsi="宋体" w:cs="宋体"/>
                <w:kern w:val="0"/>
                <w:sz w:val="24"/>
              </w:rPr>
              <w:t>≥500mm*1350mm*670mm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长*高*深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418B40D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温区</w:t>
            </w:r>
            <w:r>
              <w:rPr>
                <w:rFonts w:hint="eastAsia" w:ascii="宋体" w:hAnsi="宋体" w:cs="宋体"/>
                <w:kern w:val="0"/>
                <w:sz w:val="24"/>
              </w:rPr>
              <w:t>直径:≥160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mm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4BE0DF16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温区</w:t>
            </w:r>
            <w:r>
              <w:rPr>
                <w:rFonts w:hint="eastAsia" w:ascii="宋体" w:hAnsi="宋体" w:cs="宋体"/>
                <w:kern w:val="0"/>
                <w:sz w:val="24"/>
              </w:rPr>
              <w:t>高度：≥20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0mm。</w:t>
            </w:r>
          </w:p>
          <w:p w14:paraId="3716C88D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极限温度：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00℃。</w:t>
            </w:r>
          </w:p>
          <w:p w14:paraId="3CA7FF59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5.主控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工作温度：≤1</w:t>
            </w: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50℃。</w:t>
            </w:r>
          </w:p>
          <w:p w14:paraId="100890C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6.主控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升温速率：≤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0℃/min</w:t>
            </w:r>
          </w:p>
          <w:p w14:paraId="526418E4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7.主控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加热元件：</w:t>
            </w:r>
            <w:r>
              <w:rPr>
                <w:rFonts w:hint="eastAsia" w:ascii="宋体" w:hAnsi="宋体" w:cs="宋体"/>
                <w:kern w:val="0"/>
                <w:sz w:val="24"/>
              </w:rPr>
              <w:t>高纯硅钼棒。</w:t>
            </w:r>
          </w:p>
          <w:p w14:paraId="072653A3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8.主控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炉膛材料：氧化铝纤维保温耐火材料。</w:t>
            </w:r>
          </w:p>
          <w:p w14:paraId="44D5514B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炉膛形状：圆柱状。</w:t>
            </w:r>
          </w:p>
          <w:p w14:paraId="049E78CE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控温精度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±1℃。</w:t>
            </w:r>
          </w:p>
          <w:p w14:paraId="641DC1D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测温元件：</w:t>
            </w:r>
            <w:r>
              <w:rPr>
                <w:rFonts w:hint="eastAsia" w:ascii="宋体" w:hAnsi="宋体" w:cs="宋体"/>
                <w:kern w:val="0"/>
                <w:sz w:val="24"/>
              </w:rPr>
              <w:t>B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型热电偶。</w:t>
            </w:r>
          </w:p>
        </w:tc>
      </w:tr>
      <w:tr w14:paraId="2421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7" w:type="dxa"/>
            <w:vMerge w:val="continue"/>
            <w:noWrap w:val="0"/>
            <w:vAlign w:val="top"/>
          </w:tcPr>
          <w:p w14:paraId="005DC63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004D7F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04868AE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18B0D3B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2601D8F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263C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0799540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124CB1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1200℃箱式烧结炉</w:t>
            </w:r>
          </w:p>
          <w:p w14:paraId="0284BF0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 w14:paraId="7C0CD55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4721A72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78A0BBA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</w:t>
            </w:r>
          </w:p>
          <w:p w14:paraId="099CAEF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1.嵌入式操作系统中英文互换图形界面，≥7 寸真彩触屏输入，智能式人机对话模式，程序段内包含气体流量设置。</w:t>
            </w:r>
          </w:p>
          <w:p w14:paraId="0F417812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2.主加热可预存至少15 条温度曲线，每条曲线可设置至少30 段"时间— 温度曲线"，实时监控，动态真实显示“时间-温度曲线”。</w:t>
            </w:r>
          </w:p>
          <w:p w14:paraId="32645E3B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3.实时监控，动态真实显示“时间-温度曲线”。</w:t>
            </w:r>
          </w:p>
          <w:p w14:paraId="4053D9AB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4.超温报警，过流保护，断偶提示。</w:t>
            </w:r>
          </w:p>
        </w:tc>
      </w:tr>
      <w:tr w14:paraId="5EFE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4400FF2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CD73DE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37A8D86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03B65DB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1DF5C92F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2C5D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42D8895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2410DC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7DA33B2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20E866F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483DA55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1E5A305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1.炉体尺寸： ≥650mm*520mm*600mm(宽×高×深）。</w:t>
            </w:r>
          </w:p>
          <w:p w14:paraId="6E7220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2.炉膛尺寸：≥200*200*300mm(宽×高×深)</w:t>
            </w:r>
          </w:p>
          <w:p w14:paraId="556112C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3.主控升温速率: ≤ 10℃/min。</w:t>
            </w:r>
          </w:p>
          <w:p w14:paraId="791A178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4.工作温度：≤1150℃。</w:t>
            </w:r>
          </w:p>
          <w:p w14:paraId="11BAC4B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5.极限温度：≥1200℃。</w:t>
            </w:r>
          </w:p>
          <w:p w14:paraId="53D5CCB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6.容积：    ≥12L。</w:t>
            </w:r>
          </w:p>
          <w:p w14:paraId="3A95EC5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7.温度控温精度：±1℃。</w:t>
            </w:r>
          </w:p>
          <w:p w14:paraId="4013975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8.加热元件：进口合金加热丝。</w:t>
            </w:r>
          </w:p>
          <w:p w14:paraId="3663189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9.主控炉膛材料：高纯多晶纤维复合耐火保温层。</w:t>
            </w:r>
          </w:p>
          <w:p w14:paraId="402274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10.主控炉膛模式：侧开式。</w:t>
            </w:r>
          </w:p>
          <w:p w14:paraId="554C6C4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11.加热温区：单温区</w:t>
            </w:r>
          </w:p>
          <w:p w14:paraId="03A6DCF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12.测温元件：K 型热电偶。</w:t>
            </w:r>
          </w:p>
        </w:tc>
      </w:tr>
      <w:tr w14:paraId="13B8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49DD560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17B83C8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611C8A8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2FD5FF5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6ACDB41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5BA8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70A1160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DA3043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1700℃管式烧结炉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349DCF1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3A61361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BBE9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</w:t>
            </w:r>
          </w:p>
          <w:p w14:paraId="0436A4C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1.嵌入式操作系统中英文互换图形界面，≥7 寸真彩触屏输入，智能式人机对话模式，程序段内包含气体流量设置。</w:t>
            </w:r>
          </w:p>
          <w:p w14:paraId="2685E0B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2.主加热可预存至少15 条温度曲线，每条曲线可设置至少30 段"时间— 温度曲线"。</w:t>
            </w:r>
          </w:p>
          <w:p w14:paraId="0F2729B6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3.主控控温温度和试样温度的差值，系统全程进行非线性修正。</w:t>
            </w:r>
          </w:p>
          <w:p w14:paraId="687456F7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4.超温报警，过流保护，断偶提示。</w:t>
            </w:r>
          </w:p>
        </w:tc>
      </w:tr>
      <w:tr w14:paraId="44BB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0A69991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EB3B62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217D82F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9176E3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417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11B8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7DCCCD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8787D9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43D941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3524A08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37F1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19038230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1.炉体尺寸： ≥600mm*720mm*520mm（长*高*深）。</w:t>
            </w:r>
          </w:p>
          <w:p w14:paraId="53AC6645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2.刚玉管尺寸：≥φ60*1000mm</w:t>
            </w:r>
          </w:p>
          <w:p w14:paraId="028A5AE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3.温区长度：≥310mm</w:t>
            </w:r>
          </w:p>
          <w:p w14:paraId="737C1D4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4.恒温区：≥220mm</w:t>
            </w:r>
          </w:p>
          <w:p w14:paraId="58BC52A3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5.主控升温速率:≤10℃/min。</w:t>
            </w:r>
          </w:p>
          <w:p w14:paraId="4E181BE4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6.工作温度：≤1650℃。</w:t>
            </w:r>
          </w:p>
          <w:p w14:paraId="3069A60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7.极限温度：≥1700℃。</w:t>
            </w:r>
          </w:p>
          <w:p w14:paraId="3712E029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8.加热功率：≥4KW。</w:t>
            </w:r>
          </w:p>
          <w:p w14:paraId="781D3712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9.温度控温精度：±1℃。</w:t>
            </w:r>
          </w:p>
          <w:p w14:paraId="651E8ECB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10.加热元件：高纯硅钼棒。</w:t>
            </w:r>
          </w:p>
          <w:p w14:paraId="6B928A9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11.主控炉膛材料：高纯多晶纤维复合耐火保温层。</w:t>
            </w:r>
          </w:p>
          <w:p w14:paraId="40D35243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12.主控炉膛模式：横式。</w:t>
            </w:r>
          </w:p>
          <w:p w14:paraId="3B0B948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13.加热温区：单温区</w:t>
            </w:r>
          </w:p>
          <w:p w14:paraId="35E1DF59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14.测温元件：B型热电偶。</w:t>
            </w:r>
          </w:p>
          <w:p w14:paraId="5560272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15.带有一路浮子供气。</w:t>
            </w:r>
          </w:p>
        </w:tc>
      </w:tr>
      <w:tr w14:paraId="0022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349DECB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B45353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5F895F1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20F16D9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6B7A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次要技术指标： 无</w:t>
            </w:r>
          </w:p>
        </w:tc>
      </w:tr>
      <w:tr w14:paraId="03A7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2E9A4F9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50BC3C1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69E88C2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43696DE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5062A18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4CE2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723C228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92884F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1200℃管式烧结炉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7929EE4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0EA9F35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2E7BDAC6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必要功能： </w:t>
            </w:r>
          </w:p>
          <w:p w14:paraId="5F84ABF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1.嵌入式操作系统中英文互换图形界面，≥7 寸真彩触屏输入，智能式人机对话模式，程序段内包含气体流量设置。</w:t>
            </w:r>
          </w:p>
          <w:p w14:paraId="5F5A22D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2.主加热可预存至少15 条温度曲线，每条曲线可设置至少30 段"时间— 温度曲线"，实时监控，动态真实显示“时间-温度曲线”。</w:t>
            </w:r>
          </w:p>
          <w:p w14:paraId="6E40AF17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3.主控控温温度和试样温度的差值，系统全程进行非线性修正。</w:t>
            </w:r>
          </w:p>
          <w:p w14:paraId="5DB2200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4.超温报警，过流保护，断偶提示。</w:t>
            </w:r>
          </w:p>
        </w:tc>
      </w:tr>
      <w:tr w14:paraId="574E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12462EF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EC349F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12B7E08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5B25DB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66FD848A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4CEA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1B64FA6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023943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A9A512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31FE76A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44CCD39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3D3B7FF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1.炉体尺寸： ≥600mm*610mm*470mm（长*高*深）。</w:t>
            </w:r>
          </w:p>
          <w:p w14:paraId="0057FB6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2.石英管尺寸：≥φ100*1000mm</w:t>
            </w:r>
          </w:p>
          <w:p w14:paraId="509F1E8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3.温区长度：≥440mm</w:t>
            </w:r>
          </w:p>
          <w:p w14:paraId="356E340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4.恒温区长度：≥250mm</w:t>
            </w:r>
          </w:p>
          <w:p w14:paraId="33F7F5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2.主控升温速率:≤10℃/min。</w:t>
            </w:r>
          </w:p>
          <w:p w14:paraId="753350A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3.使用温度：≤1150℃以下可长期使用。</w:t>
            </w:r>
          </w:p>
          <w:p w14:paraId="6D91736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4.极限温度：≥1200℃。</w:t>
            </w:r>
          </w:p>
          <w:p w14:paraId="1571A48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5.加热功率：≥4KW。</w:t>
            </w:r>
          </w:p>
          <w:p w14:paraId="0B202AB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6.温度控温精度：±1℃。</w:t>
            </w:r>
          </w:p>
          <w:p w14:paraId="47486C5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7.加热元件：进口合金加热丝。</w:t>
            </w:r>
          </w:p>
          <w:p w14:paraId="7A03BE2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8.主控炉膛材料：高纯多晶纤维复合耐火保温层。</w:t>
            </w:r>
          </w:p>
          <w:p w14:paraId="6F106D9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9.主控炉膛模式：开启式。</w:t>
            </w:r>
          </w:p>
          <w:p w14:paraId="197228E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10.加热温区：单温区</w:t>
            </w:r>
          </w:p>
          <w:p w14:paraId="19ECDE3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11.测温元件：K型热电偶。</w:t>
            </w:r>
          </w:p>
          <w:p w14:paraId="0C7F0A5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12.带有一路浮子供气。</w:t>
            </w:r>
          </w:p>
        </w:tc>
      </w:tr>
      <w:tr w14:paraId="6882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154479A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57FCB07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51CE554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00215D4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59C6163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684A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0251F38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020EBD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真空钨丝烧结炉</w:t>
            </w:r>
          </w:p>
          <w:p w14:paraId="1E2B5A6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 w14:paraId="6DAB6B4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1套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4A44BC7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2DE85F5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必要功能：由炉体、加热系统、真空系统(含真空解除充气系统)、水冷系统、气路系统、电控系统等六部分组成。</w:t>
            </w:r>
          </w:p>
        </w:tc>
      </w:tr>
      <w:tr w14:paraId="1123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A5A181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1B35EC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7054D57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D058A6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645BE1C0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40E3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4369F3A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04411F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3DFBF0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7B67894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3FD4B4A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38079AA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1．结构形式：单室立式，上开盖丝杠升降结构。</w:t>
            </w:r>
          </w:p>
          <w:p w14:paraId="0E8484CD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2．最高加热温度≥1900℃，长期工作温度≥1850℃，恒温段温控设计温度和实际温度的波动在±1℃。</w:t>
            </w:r>
          </w:p>
          <w:p w14:paraId="4925A70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3．升温速率：0～20℃/min。</w:t>
            </w:r>
          </w:p>
          <w:p w14:paraId="0514C04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4．加热方式：钨丝网发热体和钨钼复合保温屏。</w:t>
            </w:r>
          </w:p>
          <w:p w14:paraId="4021D590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5．极限真空度：不低于1.0×10</w:t>
            </w:r>
            <w:r>
              <w:rPr>
                <w:rFonts w:hint="eastAsia" w:ascii="宋体" w:hAnsi="宋体" w:cs="宋体"/>
                <w:kern w:val="0"/>
                <w:sz w:val="24"/>
                <w:vertAlign w:val="superscript"/>
              </w:rPr>
              <w:t>-4</w:t>
            </w:r>
            <w:r>
              <w:rPr>
                <w:rFonts w:hint="eastAsia" w:ascii="宋体" w:hAnsi="宋体" w:cs="宋体"/>
                <w:kern w:val="0"/>
                <w:sz w:val="24"/>
              </w:rPr>
              <w:t>Pa（空炉、冷态、经净化，极限真空为连续抽12小时的稳定的真空度指标，压升率按国标规定0.67Pa/h）。</w:t>
            </w:r>
          </w:p>
          <w:p w14:paraId="69506C90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6．高温工作时（≥1750℃）真空度：不低于8.0×10</w:t>
            </w:r>
            <w:r>
              <w:rPr>
                <w:rFonts w:hint="eastAsia" w:ascii="宋体" w:hAnsi="宋体" w:cs="宋体"/>
                <w:kern w:val="0"/>
                <w:sz w:val="24"/>
                <w:vertAlign w:val="superscript"/>
              </w:rPr>
              <w:t>-4</w:t>
            </w:r>
            <w:r>
              <w:rPr>
                <w:rFonts w:hint="eastAsia" w:ascii="宋体" w:hAnsi="宋体" w:cs="宋体"/>
                <w:kern w:val="0"/>
                <w:sz w:val="24"/>
              </w:rPr>
              <w:t>Pa。</w:t>
            </w:r>
          </w:p>
          <w:p w14:paraId="43544FEB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7．压升率：≤0.67Pa/h。</w:t>
            </w:r>
          </w:p>
          <w:p w14:paraId="0942F2E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8．炉体内腔尺寸：不小于Φ500×550mm。</w:t>
            </w:r>
          </w:p>
          <w:p w14:paraId="14ED6C0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9．炉体有效温区：不小于Φ120×120mm。</w:t>
            </w:r>
          </w:p>
          <w:p w14:paraId="757109E9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10．温度均匀性：±5℃。</w:t>
            </w:r>
          </w:p>
          <w:p w14:paraId="4891A00E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11．加热功率：～50kW。</w:t>
            </w:r>
          </w:p>
          <w:p w14:paraId="1710993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12．控温方式：可编程自动控温。</w:t>
            </w:r>
          </w:p>
          <w:p w14:paraId="744ECDB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13．操作方式：手动/电动；冷却方式：循环冷却；冷却水量≤2T/h。</w:t>
            </w:r>
          </w:p>
          <w:p w14:paraId="4C59BB93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14．安全保护功能：分子泵保护、断偶保护、高温保护。</w:t>
            </w:r>
          </w:p>
          <w:p w14:paraId="0E83768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15．带水冷机组，带断水保护功能。</w:t>
            </w:r>
          </w:p>
        </w:tc>
      </w:tr>
      <w:tr w14:paraId="470E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5A2FDBB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747497B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1A0F883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06E8D3A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6F26D71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675F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4496ED7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0EB151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氢气发生器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7B3087B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1BE1A21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204986B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</w:t>
            </w:r>
          </w:p>
          <w:p w14:paraId="6DACC411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1.采用SPE（PEM）技术。</w:t>
            </w:r>
          </w:p>
          <w:p w14:paraId="7C50DA9D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2.无需再使用危险且价格昂贵的氢气钢瓶。 </w:t>
            </w:r>
          </w:p>
          <w:p w14:paraId="21EBD71E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3.流量稳定，使用安全方便，设有多种报警装置(超压报警、缺水报警、积水报警)。</w:t>
            </w:r>
          </w:p>
          <w:p w14:paraId="4D3723C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4.操作简单，安全可靠，纯水电解制氢，启动电源即可产气。 </w:t>
            </w:r>
          </w:p>
          <w:p w14:paraId="7C6D0EA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5.电解效率高，长期使用，纯度、流量不衰减。 </w:t>
            </w:r>
          </w:p>
          <w:p w14:paraId="3E25DAA3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6.可靠性高，日常使用维护简单。</w:t>
            </w:r>
          </w:p>
        </w:tc>
      </w:tr>
      <w:tr w14:paraId="6749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61793B1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7FAF60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083165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7A8F37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4EC3117D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5BA7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56A187F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053027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0587C7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242B3DE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091342F5">
            <w:pPr>
              <w:widowControl/>
              <w:spacing w:before="156" w:beforeLines="50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3680CE4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1.输出流量（ml/min）：0-1020。</w:t>
            </w:r>
          </w:p>
          <w:p w14:paraId="1B6079B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2.输出压力(Mpa)：0.02-0.4（常规）/0.02-0.7（高压）稳压输出。</w:t>
            </w:r>
          </w:p>
          <w:p w14:paraId="047F364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3.氢气纯度：≥99.999%。 </w:t>
            </w:r>
          </w:p>
          <w:p w14:paraId="56CC171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4.输入功率（w）：＜500。</w:t>
            </w:r>
          </w:p>
          <w:p w14:paraId="56EAFC4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5.电源电压（V）：AC 220V/110V 50-60Hz。</w:t>
            </w:r>
          </w:p>
          <w:p w14:paraId="52343B2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6.整机重量（Kg）：＜25。</w:t>
            </w:r>
          </w:p>
          <w:p w14:paraId="27AEE0E7">
            <w:pPr>
              <w:widowControl/>
              <w:spacing w:after="156" w:afterLines="50"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7.外形尺寸（L*W*H）mm：≥485×368×352。</w:t>
            </w:r>
          </w:p>
        </w:tc>
      </w:tr>
      <w:tr w14:paraId="2AAE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561FA1E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4DFAF2C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0A927C9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6977246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76011EE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7B18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778B229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8A2CFA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氮气发生器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36B66B0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10B812A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67335A7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</w:t>
            </w:r>
          </w:p>
          <w:p w14:paraId="176BA6C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1.输出流量可根据用量自动调节 。</w:t>
            </w:r>
          </w:p>
          <w:p w14:paraId="013EE11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2.设有超压保护防过液装置 。</w:t>
            </w:r>
          </w:p>
          <w:p w14:paraId="233F5B2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3.产气纯度高，纯度不衰减 。</w:t>
            </w:r>
          </w:p>
          <w:p w14:paraId="7B0F70A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4.一次性加碱，日常维护只需补充蒸馏水即可 。</w:t>
            </w:r>
          </w:p>
          <w:p w14:paraId="6AE26BC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5.使用寿命长，易维护 。</w:t>
            </w:r>
          </w:p>
        </w:tc>
      </w:tr>
      <w:tr w14:paraId="7C10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385340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38DC4E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1CCB927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28C6FD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05D7CA3C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1389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0310FAC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D9F3C8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7295097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62AE7EB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630CA8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29F076D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1.输出流量（ml/min）：0-1000。</w:t>
            </w:r>
          </w:p>
          <w:p w14:paraId="0AAA977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2.输出压力(Mpa)：≤0.4。</w:t>
            </w:r>
          </w:p>
          <w:p w14:paraId="0633FD9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3.氢气纯度 ：99.999%（相对氧含量）。</w:t>
            </w:r>
          </w:p>
          <w:p w14:paraId="70183A2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4.含氧量：&lt;3PPM。</w:t>
            </w:r>
          </w:p>
          <w:p w14:paraId="6FBF989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5.输入功率（w）：300。</w:t>
            </w:r>
          </w:p>
          <w:p w14:paraId="326EEFC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6.电源电压（V）：AC 220V 50-60Hz。</w:t>
            </w:r>
          </w:p>
          <w:p w14:paraId="15C1F9A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7.整机重量（Kg）：40。</w:t>
            </w:r>
          </w:p>
          <w:p w14:paraId="49E84B7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8.外形尺寸（L*W*H）mm ：450×290×550。</w:t>
            </w:r>
          </w:p>
        </w:tc>
      </w:tr>
      <w:tr w14:paraId="20AB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2FF49D4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7D3F324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23A6DC3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625FA09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74648AD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4904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0398904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4D46A6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紫外可见分光光度计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51457F9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7650119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23C247C6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</w:t>
            </w:r>
          </w:p>
          <w:p w14:paraId="2A1A130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1、样品室：最大光程100mm，样品池光斑高度0-12mm连续可调。</w:t>
            </w:r>
          </w:p>
          <w:p w14:paraId="5FEFA46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2、控制软件：中文控制软件，遵循GLP规范，能够实现多模式同时显示，全面兼容WINDOWS7、WINDOWS10系统等系统。</w:t>
            </w:r>
          </w:p>
          <w:p w14:paraId="5B47E02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3、测量方式：光度测量、光谱扫描、定量测定、时间扫描、DNA/蛋白质测量。</w:t>
            </w:r>
          </w:p>
          <w:p w14:paraId="6E34E8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三维图谱分析功能：软件提供三维图谱的功能，三维图谱将按照波长、数据和时间三个坐标轴来描述扫描谱图，用户可以直接观察到样品随时间的变化。还可以对三维图形进行一些基本的操作，如：峰值检出、颜色分层、旋转、光照等。</w:t>
            </w:r>
          </w:p>
          <w:p w14:paraId="48DBF1A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扩展功能：可增配积分球、溶出度附件、恒温池架、微量池架、八联池架、自动进样器（3个独立样品区，可选择50ml×10孔、25ml×18孔规格，最大可提供54位的样品检测孔位；可编程三维（X、Y、Z轴）定位自动运行设计；蠕动泵自动补液清洗系统，动态浸入式清洗，有效避免交叉污染）等附件，附件至少1套。</w:t>
            </w:r>
          </w:p>
          <w:p w14:paraId="42365EB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6、可升级原厂的紫外自动进样器，功能指标：需设置3个独立的样品区，提供 2 种不同的样品盘支架，可任意组合使用，最大可支持 54 个样品连续,样品盘可以任意更换；操作软件简单实用，方便用户灵活自定义检测方法并保存。</w:t>
            </w:r>
          </w:p>
        </w:tc>
      </w:tr>
      <w:tr w14:paraId="6C86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66650D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E685C8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6FB5807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1C09873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3869AEC7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1488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F0B18C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3AEDB1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73E4D25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279376F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588298B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3D523E9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1.波长范围：185-900nm（氮气吹扫时可实现185nm以下深紫外测量）。</w:t>
            </w:r>
          </w:p>
          <w:p w14:paraId="132F00D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2.波长准确度：±0.1nm (656.1nm)。</w:t>
            </w:r>
          </w:p>
          <w:p w14:paraId="658D6F9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3.波长重复性：≤0.05nm (656.1nm)。</w:t>
            </w:r>
          </w:p>
          <w:p w14:paraId="280CC4D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4.光谱带宽：0.1nm-5nm连续可调 。</w:t>
            </w:r>
          </w:p>
          <w:p w14:paraId="0F09E04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5.杂散光：≤0.0001%T(NaI，220nm；NaNO2，360nm)。</w:t>
            </w:r>
          </w:p>
          <w:p w14:paraId="77BD0FB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6.光度范围：-6.0A～6.0A。</w:t>
            </w:r>
          </w:p>
          <w:p w14:paraId="0686F74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7.光度准确度：±0.3%。</w:t>
            </w:r>
          </w:p>
          <w:p w14:paraId="2A20870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8.光度重复性：≤0.1%。</w:t>
            </w:r>
          </w:p>
          <w:p w14:paraId="7027C20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9.基线平直度：±0.0008Abs。</w:t>
            </w:r>
          </w:p>
          <w:p w14:paraId="7796B0C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10.噪声：≤0.01％ 。</w:t>
            </w:r>
          </w:p>
          <w:p w14:paraId="1892E4C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11.光源：内置进口高性能氘灯和钨灯，以及用于自动波长校正的汞灯，自动切换。更换灯后无须调整。</w:t>
            </w:r>
          </w:p>
          <w:p w14:paraId="3240A17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12.光学系统：混合C-T双光束双单器系统。</w:t>
            </w:r>
          </w:p>
          <w:p w14:paraId="3BBF9CA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13.检测器：R928紫外增强型高灵敏度光电倍增管。</w:t>
            </w:r>
          </w:p>
          <w:p w14:paraId="7F59835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14.通讯接口：RS232和USB接口不少于1个。</w:t>
            </w:r>
          </w:p>
        </w:tc>
      </w:tr>
      <w:tr w14:paraId="7817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3B758A5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5F365D7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59CA559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01ED321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1C2FD80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1262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5F85935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010293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150mm积分球附件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5935523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1套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6525C37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29B40FA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必要功能：收集所有的漫反射光，而通过积分球来测漫反射光谱的原理在于，由于样品对紫外可见光的吸收比参比要强，因此通过积分球收集到的漫反射光的信号要弱一些，这种信号差异可以转化为紫外可见漫反射光谱。 </w:t>
            </w:r>
          </w:p>
        </w:tc>
      </w:tr>
      <w:tr w14:paraId="3ED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3AF7AF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0B9260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1872FD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07FF1E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2A1BE2A7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12FA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26C235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321295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3835A60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07094CE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007D635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1479249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 .波长范围 200-850nm。</w:t>
            </w:r>
          </w:p>
          <w:p w14:paraId="4D8A73A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 探测器：PMT。</w:t>
            </w:r>
          </w:p>
          <w:p w14:paraId="4D1FFAA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 反射口直径：≤Φ25mm。</w:t>
            </w:r>
          </w:p>
          <w:p w14:paraId="77D6FB0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 透射口直径：≤Φ20mm。</w:t>
            </w:r>
          </w:p>
          <w:p w14:paraId="60C83BC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 开口率：≤8.17%</w:t>
            </w:r>
          </w:p>
          <w:p w14:paraId="2EB6F1C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 噪声：100T%噪声：≤0.3% （800nm）；≤0.1%（500nm）；≤0.2%（250nm)。0T%噪声： ≤0.02%（800nm）；≤0.01%（500nm）；≤0.02% (250nm)。</w:t>
            </w:r>
          </w:p>
          <w:p w14:paraId="3EE714C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 机械定位：1）重复性：标准附件重复性：±0.5mm；荧光附件重复性：±0.5mm。2）稳定性：平 面 度：≤0.3mm；运行噪声：≤68dB。</w:t>
            </w:r>
          </w:p>
          <w:p w14:paraId="4830F28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 漂移：≤0.1% （500nm)。</w:t>
            </w:r>
          </w:p>
        </w:tc>
      </w:tr>
      <w:tr w14:paraId="3F81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1B30628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488847D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4C44020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7A320E0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5741299F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3D47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7563518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BF794C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分体式四轴研磨机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150FBC1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046E469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45410F0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必要功能： 可对功能陶瓷、人工晶体、石英等光电功能材料表面进行研磨，通过研磨辅料的磨粒在工件表面的划擦实现材料的去除，从而达到较好的平面度和表面质量。</w:t>
            </w:r>
          </w:p>
        </w:tc>
      </w:tr>
      <w:tr w14:paraId="65B0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5ED5055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42E3FA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676D70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22A6A15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47B19136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0CA5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C122A0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E76244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1CCC9E3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1E61A58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67A40B6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1989ABA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1.加工范围：≤200mm。</w:t>
            </w:r>
          </w:p>
          <w:p w14:paraId="0D6924B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2.主轴转速 ：10-140r/min。 </w:t>
            </w:r>
          </w:p>
          <w:p w14:paraId="7084C85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3.摆轴转速 ：10-100r/min。</w:t>
            </w:r>
          </w:p>
          <w:p w14:paraId="76DD6BB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4.机床总功率：≥2.4kW。</w:t>
            </w:r>
          </w:p>
          <w:p w14:paraId="4B02E73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5.机床尺寸：≥1030*910*1100（mm）。</w:t>
            </w:r>
          </w:p>
          <w:p w14:paraId="164AB6F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6.主轴端面跳动：≤0.015mm。</w:t>
            </w:r>
          </w:p>
          <w:p w14:paraId="420B78B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7.摆盘最大可调范围：0-100mm。</w:t>
            </w:r>
          </w:p>
          <w:p w14:paraId="5814D36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8.操作界面：PLC+触摸屏。</w:t>
            </w:r>
          </w:p>
        </w:tc>
      </w:tr>
      <w:tr w14:paraId="4E12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640DA70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0A40F40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6C23469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45FBD2B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330C364D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622C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75CEF84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9913CA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分体式四轴抛光机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3499676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3B7B103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6529649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必要功能：可对精密研磨后的光电功能材料的表面进行高精密的抛光，大幅度的提高光电功能表面的光洁度和平面度，满足光电性能测试的需求。 </w:t>
            </w:r>
          </w:p>
        </w:tc>
      </w:tr>
      <w:tr w14:paraId="72C1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2252C6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5F6C5F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5967450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0DA3906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466C8090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3B5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2A4AF8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45A209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102FCFE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54B8874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537DE8B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06BE6D2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1.加工范围：≤200mm。</w:t>
            </w:r>
          </w:p>
          <w:p w14:paraId="1562179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2.主轴转速 ：10-140r/min。 </w:t>
            </w:r>
          </w:p>
          <w:p w14:paraId="2DCB1AF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3.摆轴转速 ：10-100r/min。</w:t>
            </w:r>
          </w:p>
          <w:p w14:paraId="207AA5D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4.机床总功率：≥2.4kW。</w:t>
            </w:r>
          </w:p>
          <w:p w14:paraId="21AD8F3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5.机床尺寸：≥1030*910*1100（mm）。</w:t>
            </w:r>
          </w:p>
          <w:p w14:paraId="5C0962E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6.主轴端面跳动：≤0.015mm。</w:t>
            </w:r>
          </w:p>
          <w:p w14:paraId="587F2F1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7.摆盘最大可调范围：0-100mm。</w:t>
            </w:r>
          </w:p>
          <w:p w14:paraId="1CC3EAD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8.操作界面：PLC+触摸屏。</w:t>
            </w:r>
          </w:p>
        </w:tc>
      </w:tr>
      <w:tr w14:paraId="70CF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4F73CD2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23BDE0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3B5C502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3B628C9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7BAFC7A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555F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5C0BA9E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1147E2B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辅材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3100F62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1批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2161651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3ADFC6E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必要功能：满足实验所用基础辅材。 </w:t>
            </w:r>
          </w:p>
        </w:tc>
      </w:tr>
      <w:tr w14:paraId="3842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757AD32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1B5BE6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5FD41E5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04EC05D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5B64A36D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6DAF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5A807E2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D86D9C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73FB2A8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49621EA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1CED222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6EB96DD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1.氧化钇纯度≥99.999% ，中心粒度3-5微米。</w:t>
            </w:r>
          </w:p>
          <w:p w14:paraId="17231B1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2.氧化铝纯度≥99.99%， 中心粒度3-6微米。</w:t>
            </w:r>
          </w:p>
          <w:p w14:paraId="4D70BA4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3.氧化镓纯度≥99.999% ，中心粒度3-7微米 </w:t>
            </w:r>
          </w:p>
        </w:tc>
      </w:tr>
      <w:tr w14:paraId="1D1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291FF40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5D10A0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5ED9854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40EDE0D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23440277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tr w14:paraId="1455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noWrap w:val="0"/>
            <w:vAlign w:val="center"/>
          </w:tcPr>
          <w:p w14:paraId="31FDD11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bookmarkStart w:id="0" w:name="_Hlk161824341"/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BA89CB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实验室环境改造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73F91C2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1项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622FAFC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功能要求</w:t>
            </w:r>
          </w:p>
        </w:tc>
        <w:tc>
          <w:tcPr>
            <w:tcW w:w="5455" w:type="dxa"/>
            <w:noWrap w:val="0"/>
            <w:vAlign w:val="top"/>
          </w:tcPr>
          <w:p w14:paraId="7042DB2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必要功能：实验室环境建设，满足实验基础条件。 </w:t>
            </w:r>
          </w:p>
        </w:tc>
      </w:tr>
      <w:tr w14:paraId="341E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75FC39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AB2F4BA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4D344C3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66FD7E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5472B6E3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辅助功能：无</w:t>
            </w:r>
          </w:p>
        </w:tc>
      </w:tr>
      <w:tr w14:paraId="2E16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center"/>
          </w:tcPr>
          <w:p w14:paraId="29B945F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EF0419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 w14:paraId="611D232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2EE2A32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性能及技术指标</w:t>
            </w:r>
          </w:p>
        </w:tc>
        <w:tc>
          <w:tcPr>
            <w:tcW w:w="5455" w:type="dxa"/>
            <w:noWrap w:val="0"/>
            <w:vAlign w:val="top"/>
          </w:tcPr>
          <w:p w14:paraId="3060D94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主要技术指标：</w:t>
            </w:r>
          </w:p>
          <w:p w14:paraId="3EE0CB2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1.铝方通顶不低于140平方。</w:t>
            </w:r>
          </w:p>
          <w:p w14:paraId="2456FAC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2.YJV4*25+1*16国标铜芯电缆不低于20米。</w:t>
            </w:r>
          </w:p>
          <w:p w14:paraId="69B8EDF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3.灭火器不少于3支，灭火毯不少于1条。</w:t>
            </w:r>
          </w:p>
        </w:tc>
      </w:tr>
      <w:tr w14:paraId="47FB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continue"/>
            <w:noWrap w:val="0"/>
            <w:vAlign w:val="top"/>
          </w:tcPr>
          <w:p w14:paraId="3A54C01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3F443F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2AC8277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3" w:type="dxa"/>
            <w:vMerge w:val="continue"/>
            <w:noWrap w:val="0"/>
            <w:vAlign w:val="top"/>
          </w:tcPr>
          <w:p w14:paraId="401D9AB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455" w:type="dxa"/>
            <w:noWrap w:val="0"/>
            <w:vAlign w:val="top"/>
          </w:tcPr>
          <w:p w14:paraId="2486852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次要技术指标：无</w:t>
            </w:r>
          </w:p>
        </w:tc>
      </w:tr>
      <w:bookmarkEnd w:id="0"/>
    </w:tbl>
    <w:p w14:paraId="51AB8CA3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二、商务要求</w:t>
      </w:r>
    </w:p>
    <w:tbl>
      <w:tblPr>
        <w:tblStyle w:val="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832"/>
      </w:tblGrid>
      <w:tr w14:paraId="79D3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725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bookmarkStart w:id="1" w:name="_Toc14196"/>
            <w:r>
              <w:rPr>
                <w:rFonts w:hint="eastAsia" w:ascii="宋体" w:hAnsi="宋体" w:cs="宋体"/>
                <w:sz w:val="24"/>
                <w:szCs w:val="32"/>
              </w:rPr>
              <w:t>质保期</w:t>
            </w:r>
            <w:bookmarkEnd w:id="1"/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4BB3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2" w:name="_Toc4795"/>
            <w:r>
              <w:rPr>
                <w:rFonts w:hint="eastAsia" w:ascii="宋体" w:hAnsi="宋体" w:cs="宋体"/>
                <w:sz w:val="24"/>
                <w:szCs w:val="32"/>
              </w:rPr>
              <w:t>国家有统一规定的执行国家规定，没有规定的质保期为</w:t>
            </w:r>
            <w:r>
              <w:rPr>
                <w:rFonts w:ascii="宋体" w:hAnsi="宋体" w:cs="宋体"/>
                <w:sz w:val="24"/>
                <w:szCs w:val="32"/>
              </w:rPr>
              <w:t>36</w:t>
            </w:r>
            <w:r>
              <w:rPr>
                <w:rFonts w:hint="eastAsia" w:ascii="宋体" w:hAnsi="宋体" w:cs="宋体"/>
                <w:sz w:val="24"/>
                <w:szCs w:val="32"/>
              </w:rPr>
              <w:t>个月。</w:t>
            </w:r>
            <w:bookmarkEnd w:id="2"/>
          </w:p>
        </w:tc>
      </w:tr>
      <w:tr w14:paraId="649C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91E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bookmarkStart w:id="3" w:name="_Toc8932"/>
            <w:r>
              <w:rPr>
                <w:rFonts w:hint="eastAsia" w:ascii="宋体" w:hAnsi="宋体" w:cs="宋体"/>
                <w:sz w:val="24"/>
                <w:szCs w:val="32"/>
              </w:rPr>
              <w:t>售后技术服务要求</w:t>
            </w:r>
            <w:bookmarkEnd w:id="3"/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8B05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4" w:name="_Toc6493"/>
            <w:r>
              <w:rPr>
                <w:rFonts w:hint="eastAsia" w:ascii="宋体" w:hAnsi="宋体" w:cs="宋体"/>
                <w:sz w:val="24"/>
                <w:szCs w:val="32"/>
              </w:rPr>
              <w:t>售后技术含安装、调试、维修、保养、人员培训等，售后服务要达到合同要求。</w:t>
            </w:r>
            <w:bookmarkEnd w:id="4"/>
          </w:p>
        </w:tc>
      </w:tr>
      <w:tr w14:paraId="2ED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B02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bookmarkStart w:id="5" w:name="_Toc23109"/>
            <w:r>
              <w:rPr>
                <w:rFonts w:hint="eastAsia" w:ascii="宋体" w:hAnsi="宋体" w:cs="宋体"/>
                <w:sz w:val="24"/>
                <w:szCs w:val="32"/>
              </w:rPr>
              <w:t>合同签订时间、交货时间及地点</w:t>
            </w:r>
            <w:bookmarkEnd w:id="5"/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EF3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6" w:name="_Toc7942"/>
            <w:r>
              <w:rPr>
                <w:rFonts w:hint="eastAsia" w:ascii="宋体" w:hAnsi="宋体" w:cs="宋体"/>
                <w:sz w:val="24"/>
                <w:szCs w:val="32"/>
              </w:rPr>
              <w:t>合同签订时间：成交通知书发出之日起5日内。</w:t>
            </w:r>
            <w:bookmarkEnd w:id="6"/>
          </w:p>
          <w:p w14:paraId="3CAF6C6A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7" w:name="_Toc7431"/>
            <w:r>
              <w:rPr>
                <w:rFonts w:hint="eastAsia" w:ascii="宋体" w:hAnsi="宋体" w:cs="宋体"/>
                <w:sz w:val="24"/>
                <w:szCs w:val="32"/>
              </w:rPr>
              <w:t>交货时间：合同签订之日起30日内。</w:t>
            </w:r>
            <w:bookmarkEnd w:id="7"/>
          </w:p>
          <w:p w14:paraId="75BB59D6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8" w:name="_Toc22053"/>
            <w:r>
              <w:rPr>
                <w:rFonts w:hint="eastAsia" w:ascii="宋体" w:hAnsi="宋体" w:cs="宋体"/>
                <w:color w:val="000000"/>
                <w:sz w:val="24"/>
                <w:szCs w:val="32"/>
                <w:highlight w:val="none"/>
              </w:rPr>
              <w:t>地点：黄淮学院。</w:t>
            </w:r>
            <w:bookmarkEnd w:id="8"/>
          </w:p>
        </w:tc>
      </w:tr>
      <w:tr w14:paraId="725A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277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  <w:bookmarkStart w:id="9" w:name="_Toc2459"/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付款方式</w:t>
            </w:r>
            <w:bookmarkEnd w:id="9"/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929E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szCs w:val="32"/>
              </w:rPr>
            </w:pPr>
            <w:bookmarkStart w:id="10" w:name="_Toc10812"/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货到安装调试完毕，需方正式验收合格之日起</w:t>
            </w:r>
            <w:r>
              <w:rPr>
                <w:rFonts w:ascii="宋体" w:hAnsi="宋体" w:cs="宋体"/>
                <w:color w:val="auto"/>
                <w:sz w:val="24"/>
                <w:szCs w:val="32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32"/>
              </w:rPr>
              <w:t>个工作日内，支付合同金额的 100% 货款。</w:t>
            </w:r>
            <w:bookmarkEnd w:id="10"/>
          </w:p>
        </w:tc>
      </w:tr>
      <w:tr w14:paraId="4A24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A62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bookmarkStart w:id="11" w:name="_Toc20735"/>
            <w:r>
              <w:rPr>
                <w:rFonts w:hint="eastAsia" w:ascii="宋体" w:hAnsi="宋体" w:cs="宋体"/>
                <w:sz w:val="24"/>
                <w:szCs w:val="32"/>
              </w:rPr>
              <w:t>备品备件及耗材等要求</w:t>
            </w:r>
            <w:bookmarkEnd w:id="11"/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C923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12" w:name="_Toc21934"/>
            <w:r>
              <w:rPr>
                <w:rFonts w:hint="eastAsia" w:ascii="宋体" w:hAnsi="宋体" w:cs="宋体"/>
                <w:sz w:val="24"/>
                <w:szCs w:val="32"/>
              </w:rPr>
              <w:t>已纳入投标报价的货物除外，保证有足够的备品备件。</w:t>
            </w:r>
            <w:bookmarkEnd w:id="12"/>
          </w:p>
        </w:tc>
      </w:tr>
      <w:tr w14:paraId="09B7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5EA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bookmarkStart w:id="13" w:name="_Toc25576"/>
            <w:r>
              <w:rPr>
                <w:rFonts w:hint="eastAsia" w:ascii="宋体" w:hAnsi="宋体" w:cs="宋体"/>
                <w:sz w:val="24"/>
                <w:szCs w:val="32"/>
              </w:rPr>
              <w:t>售后服务保障或维修响应时间要求</w:t>
            </w:r>
            <w:bookmarkEnd w:id="13"/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BFA">
            <w:pPr>
              <w:spacing w:line="360" w:lineRule="auto"/>
              <w:rPr>
                <w:rFonts w:hint="eastAsia" w:ascii="宋体" w:hAnsi="宋体" w:cs="宋体"/>
                <w:sz w:val="24"/>
                <w:szCs w:val="32"/>
              </w:rPr>
            </w:pPr>
            <w:bookmarkStart w:id="14" w:name="_Toc3795"/>
            <w:r>
              <w:rPr>
                <w:rFonts w:hint="eastAsia" w:ascii="宋体" w:hAnsi="宋体" w:cs="宋体"/>
                <w:sz w:val="24"/>
                <w:szCs w:val="32"/>
              </w:rPr>
              <w:t>供方提供7×24小时电话响应，故障响应时间30分钟，若电话或远程技术支持不能解决问题，供方技术人员24小时内到达需方现场并解决问题。如果72小时不能及时解决问题，供方免费提供备用设备，保证不因为供方设备问题影响需方使用。</w:t>
            </w:r>
            <w:bookmarkEnd w:id="14"/>
          </w:p>
        </w:tc>
      </w:tr>
    </w:tbl>
    <w:p w14:paraId="67B79147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三、采购人对项目的特殊要求及说明</w:t>
      </w:r>
    </w:p>
    <w:tbl>
      <w:tblPr>
        <w:tblStyle w:val="2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6998"/>
      </w:tblGrid>
      <w:tr w14:paraId="0363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2EC3">
            <w:pPr>
              <w:widowControl/>
              <w:snapToGrid w:val="0"/>
              <w:spacing w:line="360" w:lineRule="auto"/>
              <w:outlineLvl w:val="0"/>
              <w:rPr>
                <w:rFonts w:ascii="宋体" w:hAnsi="宋体" w:cs="宋体"/>
                <w:kern w:val="0"/>
                <w:sz w:val="24"/>
              </w:rPr>
            </w:pPr>
            <w:bookmarkStart w:id="15" w:name="_Toc19961"/>
            <w:r>
              <w:rPr>
                <w:rFonts w:hint="eastAsia" w:ascii="宋体" w:hAnsi="宋体" w:cs="宋体"/>
                <w:kern w:val="0"/>
                <w:sz w:val="24"/>
              </w:rPr>
              <w:t>采购人的特殊要求及说明理由</w:t>
            </w:r>
            <w:bookmarkEnd w:id="15"/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AC65E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/>
                <w:kern w:val="0"/>
                <w:sz w:val="24"/>
              </w:rPr>
            </w:pPr>
            <w:bookmarkStart w:id="16" w:name="_Toc20163"/>
            <w:r>
              <w:rPr>
                <w:rFonts w:hint="eastAsia" w:ascii="宋体" w:hAnsi="宋体"/>
                <w:kern w:val="0"/>
                <w:sz w:val="24"/>
              </w:rPr>
              <w:t>1、包括供应商特殊资格等要求。无</w:t>
            </w:r>
            <w:bookmarkEnd w:id="16"/>
          </w:p>
          <w:p w14:paraId="3A99BB35">
            <w:pPr>
              <w:widowControl/>
              <w:snapToGrid w:val="0"/>
              <w:spacing w:line="360" w:lineRule="auto"/>
              <w:jc w:val="left"/>
              <w:outlineLvl w:val="0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bookmarkStart w:id="17" w:name="_Toc22498"/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、本项目经批准可以采购进口产品，应提供财政部门审核意见。如果有满足需求的国内产品要求参与采购竞争的，不得对其加以限制。</w:t>
            </w:r>
            <w:bookmarkEnd w:id="17"/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（本项目不接受进口产品）</w:t>
            </w:r>
          </w:p>
          <w:p w14:paraId="2D2B960A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/>
                <w:kern w:val="0"/>
                <w:sz w:val="24"/>
              </w:rPr>
            </w:pPr>
            <w:bookmarkStart w:id="18" w:name="_Toc1921"/>
            <w:r>
              <w:rPr>
                <w:rFonts w:hint="eastAsia" w:ascii="宋体" w:hAnsi="宋体"/>
                <w:kern w:val="0"/>
                <w:sz w:val="24"/>
              </w:rPr>
              <w:t>3、不允许推荐品牌或产品。否</w:t>
            </w:r>
            <w:bookmarkEnd w:id="18"/>
          </w:p>
          <w:p w14:paraId="6343009E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/>
                <w:kern w:val="0"/>
                <w:sz w:val="24"/>
              </w:rPr>
            </w:pPr>
            <w:bookmarkStart w:id="19" w:name="_Toc3940"/>
            <w:r>
              <w:rPr>
                <w:rFonts w:hint="eastAsia" w:ascii="宋体" w:hAnsi="宋体"/>
                <w:kern w:val="0"/>
                <w:sz w:val="24"/>
              </w:rPr>
              <w:t>4、是否收取履约保证金。否</w:t>
            </w:r>
            <w:bookmarkEnd w:id="19"/>
          </w:p>
          <w:p w14:paraId="11A6298A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bookmarkStart w:id="20" w:name="_Toc3174"/>
            <w:r>
              <w:rPr>
                <w:rFonts w:hint="eastAsia" w:ascii="宋体" w:hAnsi="宋体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、是否接受联合体参加谈判。否</w:t>
            </w:r>
            <w:bookmarkEnd w:id="20"/>
          </w:p>
          <w:p w14:paraId="4F600352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bookmarkStart w:id="21" w:name="_Toc3214"/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6、是否授权谈判小组直接确定成交供应商和成交候选供应商。是</w:t>
            </w:r>
            <w:bookmarkEnd w:id="21"/>
          </w:p>
          <w:p w14:paraId="0B0AA8B2">
            <w:pPr>
              <w:widowControl/>
              <w:snapToGrid w:val="0"/>
              <w:spacing w:line="360" w:lineRule="auto"/>
              <w:jc w:val="left"/>
              <w:outlineLvl w:val="0"/>
              <w:rPr>
                <w:rFonts w:ascii="宋体" w:hAnsi="宋体"/>
                <w:color w:val="000000"/>
                <w:sz w:val="24"/>
                <w:highlight w:val="none"/>
              </w:rPr>
            </w:pPr>
            <w:bookmarkStart w:id="22" w:name="_Toc18174"/>
            <w:r>
              <w:rPr>
                <w:rFonts w:hint="eastAsia" w:ascii="宋体" w:hAnsi="宋体"/>
                <w:color w:val="000000"/>
                <w:spacing w:val="-15"/>
                <w:sz w:val="24"/>
                <w:highlight w:val="none"/>
                <w:shd w:val="clear" w:color="auto" w:fill="FFFFFF"/>
              </w:rPr>
              <w:t>7、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FFFFFF"/>
              </w:rPr>
              <w:t>本采购项目非单一产品，采购人根据本采购项目技术构成、产品价格比重等合理确定核心产品是：真空钨丝烧结炉。</w:t>
            </w:r>
            <w:bookmarkEnd w:id="22"/>
          </w:p>
          <w:p w14:paraId="79E09E3B">
            <w:pPr>
              <w:widowControl/>
              <w:snapToGrid w:val="0"/>
              <w:spacing w:line="360" w:lineRule="auto"/>
              <w:ind w:left="120" w:hanging="120" w:hangingChars="50"/>
              <w:jc w:val="left"/>
              <w:outlineLvl w:val="0"/>
              <w:rPr>
                <w:rFonts w:ascii="宋体" w:hAnsi="宋体"/>
                <w:color w:val="000000"/>
                <w:sz w:val="24"/>
                <w:highlight w:val="none"/>
              </w:rPr>
            </w:pPr>
            <w:bookmarkStart w:id="23" w:name="_Toc17830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8、是否实行预付款及预付款保函。否</w:t>
            </w:r>
            <w:bookmarkEnd w:id="23"/>
          </w:p>
          <w:p w14:paraId="3657ACA9">
            <w:pPr>
              <w:widowControl/>
              <w:snapToGrid w:val="0"/>
              <w:spacing w:line="360" w:lineRule="auto"/>
              <w:ind w:left="120" w:hanging="120" w:hangingChars="50"/>
              <w:jc w:val="left"/>
              <w:outlineLvl w:val="0"/>
              <w:rPr>
                <w:rFonts w:ascii="宋体" w:hAnsi="宋体"/>
                <w:color w:val="000000"/>
                <w:sz w:val="24"/>
                <w:highlight w:val="none"/>
              </w:rPr>
            </w:pPr>
            <w:bookmarkStart w:id="24" w:name="_Toc25527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9、是否专门面向中小企业采购：（否）。未预留份额专门面向中小企业采购的采购项目，以及预留份额项目中的非预留部分采购包，采购人、采购代理机构应当对符合本办法规定的小微企业报价给予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u w:val="single"/>
              </w:rPr>
              <w:t>15 %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（工程项目为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u w:val="single"/>
              </w:rPr>
              <w:t>3%—5%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）的扣除，用扣除后的价格参加评审。</w:t>
            </w:r>
            <w:bookmarkEnd w:id="24"/>
          </w:p>
          <w:p w14:paraId="047A3B02">
            <w:pPr>
              <w:widowControl/>
              <w:snapToGrid w:val="0"/>
              <w:spacing w:line="360" w:lineRule="auto"/>
              <w:ind w:left="120" w:hanging="120" w:hangingChars="50"/>
              <w:jc w:val="left"/>
              <w:outlineLvl w:val="0"/>
              <w:rPr>
                <w:rFonts w:ascii="宋体" w:hAnsi="宋体"/>
                <w:color w:val="000000"/>
                <w:sz w:val="24"/>
                <w:highlight w:val="none"/>
              </w:rPr>
            </w:pPr>
            <w:bookmarkStart w:id="25" w:name="_Toc3997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10、本项目是否要求以联合体形式参加或者合同分包：（否）。</w:t>
            </w:r>
            <w:bookmarkEnd w:id="25"/>
          </w:p>
          <w:p w14:paraId="79523FC1">
            <w:pPr>
              <w:widowControl/>
              <w:snapToGrid w:val="0"/>
              <w:spacing w:line="360" w:lineRule="auto"/>
              <w:ind w:left="120" w:hanging="120" w:hangingChars="50"/>
              <w:jc w:val="left"/>
              <w:outlineLvl w:val="0"/>
              <w:rPr>
                <w:rFonts w:ascii="宋体" w:hAnsi="宋体"/>
                <w:color w:val="000000"/>
                <w:sz w:val="24"/>
                <w:highlight w:val="none"/>
              </w:rPr>
            </w:pPr>
            <w:bookmarkStart w:id="26" w:name="_Toc15627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11、依据《政府采购促进中小企业发展管理办法》(财库〔2020〕46号)的规定享受扶持政策获得政府采购合同的，小微企业不得将合同分包给大中型企业，中型企业不得将合同分包给大型企业。</w:t>
            </w:r>
            <w:bookmarkEnd w:id="26"/>
          </w:p>
          <w:p w14:paraId="69B5C674">
            <w:pPr>
              <w:widowControl/>
              <w:snapToGrid w:val="0"/>
              <w:spacing w:line="360" w:lineRule="auto"/>
              <w:ind w:left="120" w:hanging="120" w:hangingChars="50"/>
              <w:jc w:val="left"/>
              <w:outlineLvl w:val="0"/>
              <w:rPr>
                <w:rFonts w:hint="eastAsia" w:ascii="宋体" w:hAnsi="宋体"/>
                <w:color w:val="000000"/>
                <w:spacing w:val="-15"/>
                <w:sz w:val="24"/>
                <w:highlight w:val="none"/>
                <w:shd w:val="clear" w:color="auto" w:fill="FFFFFF"/>
              </w:rPr>
            </w:pPr>
            <w:bookmarkStart w:id="27" w:name="_Toc5901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12、采购标的对应的中小企业划分标准所属行业为：</w:t>
            </w:r>
            <w:r>
              <w:rPr>
                <w:rFonts w:hint="eastAsia" w:ascii="宋体" w:hAnsi="宋体"/>
                <w:color w:val="000000"/>
                <w:spacing w:val="-15"/>
                <w:sz w:val="24"/>
                <w:highlight w:val="none"/>
                <w:shd w:val="clear" w:color="auto" w:fill="FFFFFF"/>
              </w:rPr>
              <w:t>真空钨丝烧结炉、升降炉、箱式炉、气体发生器以及研磨机等均属于工业。</w:t>
            </w:r>
            <w:bookmarkEnd w:id="27"/>
          </w:p>
          <w:p w14:paraId="4A3E0007">
            <w:pPr>
              <w:widowControl/>
              <w:snapToGrid w:val="0"/>
              <w:spacing w:line="360" w:lineRule="auto"/>
              <w:ind w:left="120" w:hanging="120" w:hangingChars="50"/>
              <w:jc w:val="left"/>
              <w:outlineLvl w:val="0"/>
              <w:rPr>
                <w:sz w:val="24"/>
              </w:rPr>
            </w:pPr>
            <w:bookmarkStart w:id="28" w:name="_Toc16663"/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13、政府采购品目清单规定必须强制采购的产品, 投标产品必须获得国家确定的认证机构出具的、处于有效期之内</w:t>
            </w:r>
            <w:r>
              <w:rPr>
                <w:rFonts w:hint="eastAsia" w:ascii="宋体" w:hAnsi="宋体"/>
                <w:sz w:val="24"/>
              </w:rPr>
              <w:t>的节能产品认证证书。</w:t>
            </w:r>
            <w:bookmarkEnd w:id="28"/>
          </w:p>
        </w:tc>
      </w:tr>
    </w:tbl>
    <w:p w14:paraId="5395FACE"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p w14:paraId="78D0E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YjBhZmExYmMwYWMyOWI5NTBiM2EzMTg4YmJkZTEifQ=="/>
  </w:docVars>
  <w:rsids>
    <w:rsidRoot w:val="29684F65"/>
    <w:rsid w:val="296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2024-06-26T07:32:00Z</dcterms:created>
  <dc:creator>NTKO</dc:creator>
  <cp:lastModifiedBy>NTKO</cp:lastModifiedBy>
  <dcterms:modified xsi:type="dcterms:W3CDTF">2024-06-26T07:32:18Z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BB82E5EB34014E219591D041A97D8E28_11</vt:lpwstr>
  </property>
</Properties>
</file>