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BEB5BE">
      <w:pPr>
        <w:spacing w:line="360" w:lineRule="auto"/>
        <w:jc w:val="center"/>
        <w:rPr>
          <w:rFonts w:hint="eastAsia" w:ascii="宋体" w:hAnsi="宋体" w:cs="宋体"/>
          <w:b/>
          <w:color w:val="auto"/>
          <w:sz w:val="40"/>
          <w:szCs w:val="40"/>
          <w:highlight w:val="none"/>
          <w:lang w:eastAsia="zh-CN"/>
        </w:rPr>
      </w:pPr>
      <w:r>
        <w:rPr>
          <w:rFonts w:hint="eastAsia" w:ascii="宋体" w:hAnsi="宋体" w:cs="宋体"/>
          <w:b/>
          <w:color w:val="auto"/>
          <w:sz w:val="40"/>
          <w:szCs w:val="40"/>
          <w:highlight w:val="none"/>
          <w:lang w:eastAsia="zh-CN"/>
        </w:rPr>
        <w:t>河南省科学院材料基因工程研究所</w:t>
      </w:r>
    </w:p>
    <w:p w14:paraId="6B6B6EB6">
      <w:pPr>
        <w:spacing w:line="360" w:lineRule="auto"/>
        <w:jc w:val="center"/>
        <w:rPr>
          <w:rFonts w:hint="eastAsia" w:ascii="宋体" w:hAnsi="宋体" w:cs="宋体"/>
          <w:b/>
          <w:color w:val="auto"/>
          <w:sz w:val="40"/>
          <w:szCs w:val="40"/>
          <w:highlight w:val="none"/>
          <w:lang w:val="en-US" w:eastAsia="zh-CN"/>
        </w:rPr>
      </w:pPr>
      <w:r>
        <w:rPr>
          <w:rFonts w:hint="eastAsia" w:ascii="宋体" w:hAnsi="宋体" w:cs="宋体"/>
          <w:b/>
          <w:color w:val="auto"/>
          <w:sz w:val="40"/>
          <w:szCs w:val="40"/>
          <w:highlight w:val="none"/>
          <w:lang w:eastAsia="zh-CN"/>
        </w:rPr>
        <w:t>河南省科学院材料创新基地材料大数据与数字化设计平台（一期）建设项目</w:t>
      </w:r>
      <w:r>
        <w:rPr>
          <w:rFonts w:hint="eastAsia" w:ascii="宋体" w:hAnsi="宋体" w:cs="宋体"/>
          <w:b/>
          <w:color w:val="auto"/>
          <w:sz w:val="40"/>
          <w:szCs w:val="40"/>
          <w:highlight w:val="none"/>
          <w:lang w:val="en-US" w:eastAsia="zh-CN"/>
        </w:rPr>
        <w:t>包2（三次）</w:t>
      </w:r>
    </w:p>
    <w:p w14:paraId="73D4C2D2">
      <w:pPr>
        <w:spacing w:line="360" w:lineRule="auto"/>
        <w:jc w:val="center"/>
        <w:rPr>
          <w:rFonts w:hint="default" w:ascii="宋体" w:hAnsi="宋体" w:cs="宋体"/>
          <w:b/>
          <w:color w:val="auto"/>
          <w:sz w:val="40"/>
          <w:szCs w:val="40"/>
          <w:highlight w:val="none"/>
          <w:lang w:val="en-US" w:eastAsia="zh-CN"/>
        </w:rPr>
      </w:pPr>
    </w:p>
    <w:p w14:paraId="62777524">
      <w:pPr>
        <w:widowControl/>
        <w:adjustRightInd w:val="0"/>
        <w:snapToGrid w:val="0"/>
        <w:spacing w:after="200"/>
        <w:jc w:val="center"/>
        <w:rPr>
          <w:rFonts w:ascii="宋体" w:hAnsi="宋体"/>
          <w:b/>
          <w:color w:val="auto"/>
          <w:sz w:val="100"/>
          <w:szCs w:val="100"/>
          <w:highlight w:val="none"/>
        </w:rPr>
      </w:pPr>
      <w:r>
        <w:rPr>
          <w:rFonts w:hint="eastAsia" w:ascii="宋体" w:hAnsi="宋体"/>
          <w:b/>
          <w:color w:val="auto"/>
          <w:sz w:val="100"/>
          <w:szCs w:val="100"/>
          <w:highlight w:val="none"/>
        </w:rPr>
        <w:t>招 标</w:t>
      </w:r>
      <w:r>
        <w:rPr>
          <w:rFonts w:ascii="宋体" w:hAnsi="宋体"/>
          <w:b/>
          <w:color w:val="auto"/>
          <w:sz w:val="100"/>
          <w:szCs w:val="100"/>
          <w:highlight w:val="none"/>
        </w:rPr>
        <w:t xml:space="preserve"> </w:t>
      </w:r>
      <w:r>
        <w:rPr>
          <w:rFonts w:hint="eastAsia" w:ascii="宋体" w:hAnsi="宋体"/>
          <w:b/>
          <w:color w:val="auto"/>
          <w:sz w:val="100"/>
          <w:szCs w:val="100"/>
          <w:highlight w:val="none"/>
        </w:rPr>
        <w:t>文</w:t>
      </w:r>
      <w:r>
        <w:rPr>
          <w:rFonts w:ascii="宋体" w:hAnsi="宋体"/>
          <w:b/>
          <w:color w:val="auto"/>
          <w:sz w:val="100"/>
          <w:szCs w:val="100"/>
          <w:highlight w:val="none"/>
        </w:rPr>
        <w:t xml:space="preserve"> </w:t>
      </w:r>
      <w:r>
        <w:rPr>
          <w:rFonts w:hint="eastAsia" w:ascii="宋体" w:hAnsi="宋体"/>
          <w:b/>
          <w:color w:val="auto"/>
          <w:sz w:val="100"/>
          <w:szCs w:val="100"/>
          <w:highlight w:val="none"/>
        </w:rPr>
        <w:t>件</w:t>
      </w:r>
    </w:p>
    <w:p w14:paraId="03E7AF76">
      <w:pPr>
        <w:spacing w:line="500" w:lineRule="exact"/>
        <w:jc w:val="center"/>
        <w:rPr>
          <w:rFonts w:ascii="宋体"/>
          <w:b/>
          <w:bCs/>
          <w:color w:val="auto"/>
          <w:sz w:val="28"/>
          <w:szCs w:val="28"/>
          <w:highlight w:val="none"/>
        </w:rPr>
      </w:pPr>
    </w:p>
    <w:p w14:paraId="58BC91C4">
      <w:pPr>
        <w:spacing w:line="500" w:lineRule="exact"/>
        <w:jc w:val="center"/>
        <w:rPr>
          <w:rFonts w:hint="eastAsia" w:ascii="宋体" w:eastAsia="宋体"/>
          <w:b/>
          <w:bCs/>
          <w:color w:val="auto"/>
          <w:sz w:val="28"/>
          <w:szCs w:val="28"/>
          <w:highlight w:val="none"/>
          <w:lang w:val="en-US" w:eastAsia="zh-CN"/>
        </w:rPr>
      </w:pPr>
      <w:r>
        <w:rPr>
          <w:rFonts w:hint="eastAsia" w:ascii="宋体"/>
          <w:b/>
          <w:bCs/>
          <w:color w:val="auto"/>
          <w:sz w:val="28"/>
          <w:szCs w:val="28"/>
          <w:highlight w:val="none"/>
        </w:rPr>
        <w:t>项目</w:t>
      </w:r>
      <w:r>
        <w:rPr>
          <w:rFonts w:ascii="宋体"/>
          <w:b/>
          <w:bCs/>
          <w:color w:val="auto"/>
          <w:sz w:val="28"/>
          <w:szCs w:val="28"/>
          <w:highlight w:val="none"/>
        </w:rPr>
        <w:t>编号：</w:t>
      </w:r>
      <w:r>
        <w:rPr>
          <w:rFonts w:hint="eastAsia" w:ascii="宋体"/>
          <w:b/>
          <w:bCs/>
          <w:color w:val="auto"/>
          <w:sz w:val="28"/>
          <w:szCs w:val="28"/>
          <w:highlight w:val="none"/>
          <w:lang w:val="en-US" w:eastAsia="zh-CN"/>
        </w:rPr>
        <w:t>豫财招标采购-2024-1437</w:t>
      </w:r>
    </w:p>
    <w:p w14:paraId="2437D059">
      <w:pPr>
        <w:pStyle w:val="94"/>
        <w:rPr>
          <w:color w:val="auto"/>
          <w:highlight w:val="none"/>
        </w:rPr>
      </w:pPr>
    </w:p>
    <w:p w14:paraId="200A58B8">
      <w:pPr>
        <w:widowControl/>
        <w:adjustRightInd w:val="0"/>
        <w:snapToGrid w:val="0"/>
        <w:spacing w:after="200" w:line="360" w:lineRule="auto"/>
        <w:jc w:val="center"/>
        <w:rPr>
          <w:rFonts w:ascii="宋体" w:hAnsi="宋体" w:cs="宋体"/>
          <w:b/>
          <w:bCs/>
          <w:color w:val="auto"/>
          <w:kern w:val="0"/>
          <w:sz w:val="10"/>
          <w:szCs w:val="10"/>
          <w:highlight w:val="none"/>
        </w:rPr>
      </w:pPr>
    </w:p>
    <w:p w14:paraId="65CC01EB">
      <w:pPr>
        <w:widowControl/>
        <w:tabs>
          <w:tab w:val="left" w:pos="7076"/>
        </w:tabs>
        <w:adjustRightInd w:val="0"/>
        <w:snapToGrid w:val="0"/>
        <w:spacing w:after="200" w:line="360" w:lineRule="auto"/>
        <w:jc w:val="center"/>
        <w:rPr>
          <w:rFonts w:ascii="宋体" w:hAnsi="宋体" w:cs="宋体"/>
          <w:b/>
          <w:bCs/>
          <w:color w:val="auto"/>
          <w:kern w:val="0"/>
          <w:sz w:val="30"/>
          <w:szCs w:val="30"/>
          <w:highlight w:val="none"/>
        </w:rPr>
      </w:pPr>
      <w:r>
        <w:rPr>
          <w:rStyle w:val="129"/>
          <w:rFonts w:hint="eastAsia" w:asciiTheme="minorEastAsia" w:hAnsiTheme="minorEastAsia" w:eastAsiaTheme="minorEastAsia" w:cstheme="minorEastAsia"/>
          <w:color w:val="auto"/>
          <w:highlight w:val="none"/>
        </w:rPr>
        <w:drawing>
          <wp:inline distT="0" distB="0" distL="114300" distR="114300">
            <wp:extent cx="2171700" cy="2733675"/>
            <wp:effectExtent l="0" t="0" r="0" b="9525"/>
            <wp:docPr id="7" name="图片 7" descr="微信图片_2021102109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1021094822"/>
                    <pic:cNvPicPr>
                      <a:picLocks noChangeAspect="1"/>
                    </pic:cNvPicPr>
                  </pic:nvPicPr>
                  <pic:blipFill>
                    <a:blip r:embed="rId17" cstate="print"/>
                    <a:stretch>
                      <a:fillRect/>
                    </a:stretch>
                  </pic:blipFill>
                  <pic:spPr>
                    <a:xfrm>
                      <a:off x="0" y="0"/>
                      <a:ext cx="2171700" cy="2733675"/>
                    </a:xfrm>
                    <a:prstGeom prst="rect">
                      <a:avLst/>
                    </a:prstGeom>
                  </pic:spPr>
                </pic:pic>
              </a:graphicData>
            </a:graphic>
          </wp:inline>
        </w:drawing>
      </w:r>
    </w:p>
    <w:p w14:paraId="6E36424C">
      <w:pPr>
        <w:pStyle w:val="36"/>
        <w:ind w:firstLine="210"/>
        <w:rPr>
          <w:rFonts w:ascii="宋体" w:hAnsi="宋体" w:cs="宋体"/>
          <w:color w:val="auto"/>
          <w:highlight w:val="none"/>
        </w:rPr>
      </w:pPr>
    </w:p>
    <w:p w14:paraId="3AF349F8">
      <w:pPr>
        <w:widowControl/>
        <w:adjustRightInd w:val="0"/>
        <w:snapToGrid w:val="0"/>
        <w:spacing w:line="360" w:lineRule="auto"/>
        <w:ind w:left="0" w:leftChars="0" w:firstLine="1063" w:firstLineChars="353"/>
        <w:rPr>
          <w:rFonts w:hint="eastAsia" w:ascii="宋体" w:hAnsi="宋体" w:cs="宋体"/>
          <w:b/>
          <w:bCs/>
          <w:color w:val="auto"/>
          <w:kern w:val="0"/>
          <w:sz w:val="30"/>
          <w:szCs w:val="30"/>
          <w:highlight w:val="none"/>
        </w:rPr>
      </w:pPr>
    </w:p>
    <w:p w14:paraId="50053435">
      <w:pPr>
        <w:widowControl/>
        <w:adjustRightInd w:val="0"/>
        <w:snapToGrid w:val="0"/>
        <w:spacing w:line="360" w:lineRule="auto"/>
        <w:ind w:left="0" w:leftChars="0" w:firstLine="1063" w:firstLineChars="353"/>
        <w:rPr>
          <w:rFonts w:hint="eastAsia" w:ascii="宋体" w:hAnsi="宋体" w:eastAsia="宋体" w:cs="宋体"/>
          <w:b/>
          <w:bCs/>
          <w:color w:val="auto"/>
          <w:kern w:val="0"/>
          <w:sz w:val="30"/>
          <w:szCs w:val="30"/>
          <w:highlight w:val="none"/>
          <w:lang w:eastAsia="zh-CN"/>
        </w:rPr>
      </w:pPr>
      <w:r>
        <w:rPr>
          <w:rFonts w:hint="eastAsia" w:ascii="宋体" w:hAnsi="宋体" w:cs="宋体"/>
          <w:b/>
          <w:bCs/>
          <w:color w:val="auto"/>
          <w:kern w:val="0"/>
          <w:sz w:val="30"/>
          <w:szCs w:val="30"/>
          <w:highlight w:val="none"/>
        </w:rPr>
        <w:t>采   购   人：</w:t>
      </w:r>
      <w:r>
        <w:rPr>
          <w:rFonts w:hint="eastAsia" w:ascii="宋体" w:hAnsi="宋体" w:cs="宋体"/>
          <w:b/>
          <w:bCs/>
          <w:color w:val="auto"/>
          <w:kern w:val="0"/>
          <w:sz w:val="30"/>
          <w:szCs w:val="30"/>
          <w:highlight w:val="none"/>
          <w:lang w:eastAsia="zh-CN"/>
        </w:rPr>
        <w:t>河南省科学院材料基因工程研究所</w:t>
      </w:r>
    </w:p>
    <w:p w14:paraId="4ED1080C">
      <w:pPr>
        <w:widowControl/>
        <w:adjustRightInd w:val="0"/>
        <w:snapToGrid w:val="0"/>
        <w:spacing w:line="360" w:lineRule="auto"/>
        <w:ind w:left="0" w:leftChars="0" w:firstLine="1063" w:firstLineChars="353"/>
        <w:rPr>
          <w:rFonts w:ascii="宋体" w:hAnsi="宋体" w:cs="宋体"/>
          <w:b/>
          <w:bCs/>
          <w:color w:val="auto"/>
          <w:kern w:val="0"/>
          <w:sz w:val="30"/>
          <w:szCs w:val="30"/>
          <w:highlight w:val="none"/>
        </w:rPr>
      </w:pPr>
      <w:r>
        <w:rPr>
          <w:rFonts w:hint="eastAsia" w:ascii="宋体" w:hAnsi="宋体" w:cs="宋体"/>
          <w:b/>
          <w:bCs/>
          <w:color w:val="auto"/>
          <w:kern w:val="0"/>
          <w:sz w:val="30"/>
          <w:szCs w:val="30"/>
          <w:highlight w:val="none"/>
        </w:rPr>
        <w:t>采购代理机构：中建山河建设管理集团有限公司</w:t>
      </w:r>
    </w:p>
    <w:p w14:paraId="20DB5DF7">
      <w:pPr>
        <w:widowControl/>
        <w:adjustRightInd w:val="0"/>
        <w:snapToGrid w:val="0"/>
        <w:spacing w:line="360" w:lineRule="auto"/>
        <w:ind w:left="0" w:leftChars="0" w:firstLine="1063" w:firstLineChars="353"/>
        <w:rPr>
          <w:rFonts w:ascii="宋体" w:hAnsi="宋体" w:cs="宋体"/>
          <w:b/>
          <w:color w:val="auto"/>
          <w:sz w:val="44"/>
          <w:szCs w:val="44"/>
          <w:highlight w:val="none"/>
        </w:rPr>
      </w:pPr>
      <w:r>
        <w:rPr>
          <w:rFonts w:hint="eastAsia" w:ascii="宋体" w:hAnsi="宋体" w:cs="宋体"/>
          <w:b/>
          <w:bCs/>
          <w:color w:val="auto"/>
          <w:kern w:val="0"/>
          <w:sz w:val="30"/>
          <w:szCs w:val="30"/>
          <w:highlight w:val="none"/>
        </w:rPr>
        <w:t>日        期：二〇二</w:t>
      </w:r>
      <w:r>
        <w:rPr>
          <w:rFonts w:hint="eastAsia" w:ascii="宋体" w:hAnsi="宋体" w:cs="宋体"/>
          <w:b/>
          <w:bCs/>
          <w:color w:val="auto"/>
          <w:kern w:val="0"/>
          <w:sz w:val="30"/>
          <w:szCs w:val="30"/>
          <w:highlight w:val="none"/>
          <w:lang w:eastAsia="zh-CN"/>
        </w:rPr>
        <w:t>五</w:t>
      </w:r>
      <w:r>
        <w:rPr>
          <w:rFonts w:hint="eastAsia" w:ascii="宋体" w:hAnsi="宋体" w:cs="宋体"/>
          <w:b/>
          <w:bCs/>
          <w:color w:val="auto"/>
          <w:kern w:val="0"/>
          <w:sz w:val="30"/>
          <w:szCs w:val="30"/>
          <w:highlight w:val="none"/>
        </w:rPr>
        <w:t>年</w:t>
      </w:r>
      <w:r>
        <w:rPr>
          <w:rFonts w:hint="eastAsia" w:ascii="宋体" w:hAnsi="宋体" w:cs="宋体"/>
          <w:b/>
          <w:bCs/>
          <w:color w:val="auto"/>
          <w:kern w:val="0"/>
          <w:sz w:val="30"/>
          <w:szCs w:val="30"/>
          <w:highlight w:val="none"/>
          <w:lang w:val="en-US" w:eastAsia="zh-CN"/>
        </w:rPr>
        <w:t>四</w:t>
      </w:r>
      <w:r>
        <w:rPr>
          <w:rFonts w:hint="eastAsia" w:ascii="宋体" w:hAnsi="宋体" w:cs="宋体"/>
          <w:b/>
          <w:bCs/>
          <w:color w:val="auto"/>
          <w:kern w:val="0"/>
          <w:sz w:val="30"/>
          <w:szCs w:val="30"/>
          <w:highlight w:val="none"/>
        </w:rPr>
        <w:t>月</w:t>
      </w:r>
    </w:p>
    <w:p w14:paraId="71751D68">
      <w:pPr>
        <w:rPr>
          <w:rFonts w:ascii="宋体" w:hAnsi="宋体" w:cs="宋体"/>
          <w:color w:val="auto"/>
          <w:sz w:val="24"/>
          <w:highlight w:val="none"/>
        </w:rPr>
      </w:pPr>
      <w:r>
        <w:rPr>
          <w:rFonts w:hint="eastAsia" w:ascii="宋体" w:hAnsi="宋体" w:cs="宋体"/>
          <w:b/>
          <w:color w:val="auto"/>
          <w:sz w:val="44"/>
          <w:szCs w:val="44"/>
          <w:highlight w:val="none"/>
        </w:rPr>
        <w:br w:type="page"/>
      </w:r>
      <w:r>
        <w:rPr>
          <w:rFonts w:ascii="宋体" w:hAnsi="宋体" w:cs="宋体"/>
          <w:color w:val="auto"/>
          <w:sz w:val="24"/>
          <w:highlight w:val="none"/>
        </w:rPr>
        <w:fldChar w:fldCharType="begin"/>
      </w:r>
      <w:r>
        <w:rPr>
          <w:rFonts w:ascii="宋体" w:hAnsi="宋体" w:cs="宋体"/>
          <w:color w:val="auto"/>
          <w:sz w:val="24"/>
          <w:highlight w:val="none"/>
        </w:rPr>
        <w:instrText xml:space="preserve"> TOC \o "1-2" \h \z \u </w:instrText>
      </w:r>
      <w:r>
        <w:rPr>
          <w:rFonts w:ascii="宋体" w:hAnsi="宋体" w:cs="宋体"/>
          <w:color w:val="auto"/>
          <w:sz w:val="24"/>
          <w:highlight w:val="none"/>
        </w:rPr>
        <w:fldChar w:fldCharType="separate"/>
      </w:r>
    </w:p>
    <w:p w14:paraId="24E7AE32">
      <w:pPr>
        <w:spacing w:line="400" w:lineRule="exact"/>
        <w:jc w:val="center"/>
        <w:rPr>
          <w:rFonts w:ascii="宋体" w:hAnsi="宋体" w:cs="宋体"/>
          <w:color w:val="auto"/>
          <w:sz w:val="24"/>
          <w:highlight w:val="none"/>
        </w:rPr>
        <w:sectPr>
          <w:headerReference r:id="rId5" w:type="first"/>
          <w:headerReference r:id="rId3" w:type="default"/>
          <w:headerReference r:id="rId4" w:type="even"/>
          <w:footerReference r:id="rId6" w:type="even"/>
          <w:pgSz w:w="11922" w:h="16838"/>
          <w:pgMar w:top="1417" w:right="1417" w:bottom="1417" w:left="1417" w:header="624" w:footer="624" w:gutter="283"/>
          <w:pgBorders>
            <w:top w:val="none" w:sz="0" w:space="0"/>
            <w:left w:val="none" w:sz="0" w:space="0"/>
            <w:bottom w:val="none" w:sz="0" w:space="0"/>
            <w:right w:val="none" w:sz="0" w:space="0"/>
          </w:pgBorders>
          <w:pgNumType w:fmt="decimal"/>
          <w:cols w:space="0" w:num="1"/>
          <w:titlePg/>
          <w:rtlGutter w:val="0"/>
          <w:docGrid w:linePitch="306" w:charSpace="0"/>
        </w:sectPr>
      </w:pPr>
    </w:p>
    <w:p w14:paraId="3D523EA5">
      <w:pPr>
        <w:spacing w:line="400" w:lineRule="exact"/>
        <w:jc w:val="center"/>
        <w:rPr>
          <w:color w:val="auto"/>
          <w:highlight w:val="none"/>
        </w:rPr>
      </w:pPr>
      <w:r>
        <w:rPr>
          <w:rFonts w:ascii="宋体" w:hAnsi="宋体" w:cs="宋体"/>
          <w:color w:val="auto"/>
          <w:sz w:val="24"/>
          <w:highlight w:val="none"/>
        </w:rPr>
        <w:fldChar w:fldCharType="end"/>
      </w:r>
      <w:bookmarkStart w:id="0" w:name="_Toc256363510"/>
    </w:p>
    <w:sdt>
      <w:sdtPr>
        <w:rPr>
          <w:rFonts w:ascii="宋体" w:hAnsi="宋体"/>
          <w:color w:val="auto"/>
          <w:highlight w:val="none"/>
        </w:rPr>
        <w:id w:val="147482421"/>
        <w15:color w:val="DBDBDB"/>
        <w:docPartObj>
          <w:docPartGallery w:val="Table of Contents"/>
          <w:docPartUnique/>
        </w:docPartObj>
      </w:sdtPr>
      <w:sdtEndPr>
        <w:rPr>
          <w:rFonts w:ascii="宋体" w:hAnsi="宋体"/>
          <w:color w:val="auto"/>
          <w:highlight w:val="none"/>
        </w:rPr>
      </w:sdtEndPr>
      <w:sdtContent>
        <w:p w14:paraId="1BA1EFB7">
          <w:pPr>
            <w:spacing w:line="400" w:lineRule="exact"/>
            <w:jc w:val="center"/>
            <w:rPr>
              <w:color w:val="auto"/>
              <w:highlight w:val="none"/>
            </w:rPr>
          </w:pPr>
          <w:r>
            <w:rPr>
              <w:rFonts w:ascii="宋体" w:hAnsi="宋体"/>
              <w:b/>
              <w:bCs/>
              <w:color w:val="auto"/>
              <w:sz w:val="32"/>
              <w:szCs w:val="32"/>
              <w:highlight w:val="none"/>
            </w:rPr>
            <w:t>目</w:t>
          </w:r>
          <w:r>
            <w:rPr>
              <w:rFonts w:hint="eastAsia" w:ascii="宋体" w:hAnsi="宋体"/>
              <w:b/>
              <w:bCs/>
              <w:color w:val="auto"/>
              <w:sz w:val="32"/>
              <w:szCs w:val="32"/>
              <w:highlight w:val="none"/>
              <w:lang w:val="en-US" w:eastAsia="zh-CN"/>
            </w:rPr>
            <w:t xml:space="preserve">   </w:t>
          </w:r>
          <w:r>
            <w:rPr>
              <w:rFonts w:ascii="宋体" w:hAnsi="宋体"/>
              <w:b/>
              <w:bCs/>
              <w:color w:val="auto"/>
              <w:sz w:val="32"/>
              <w:szCs w:val="32"/>
              <w:highlight w:val="none"/>
            </w:rPr>
            <w:t>录</w:t>
          </w:r>
        </w:p>
        <w:p w14:paraId="5FF48420">
          <w:pPr>
            <w:pStyle w:val="25"/>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"1-2" \h \u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_Toc889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rPr>
            <w:t>第一章  招标公告</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_Toc889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23A4164">
          <w:pPr>
            <w:pStyle w:val="25"/>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_Toc10326 </w:instrText>
          </w:r>
          <w:r>
            <w:rPr>
              <w:rFonts w:hint="eastAsia" w:ascii="宋体" w:hAnsi="宋体" w:eastAsia="宋体" w:cs="宋体"/>
              <w:sz w:val="24"/>
              <w:szCs w:val="24"/>
            </w:rPr>
            <w:fldChar w:fldCharType="separate"/>
          </w:r>
          <w:r>
            <w:rPr>
              <w:rFonts w:hint="eastAsia" w:ascii="宋体" w:hAnsi="宋体" w:eastAsia="宋体" w:cs="宋体"/>
              <w:bCs/>
              <w:kern w:val="44"/>
              <w:sz w:val="24"/>
              <w:szCs w:val="24"/>
              <w:highlight w:val="none"/>
            </w:rPr>
            <w:t>第二章  投标人须知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_Toc10326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57B5DF4">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_Toc12117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rPr>
            <w:t>投标人须知前附表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_Toc12117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D7E0ED8">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_Toc29414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rPr>
            <w:t>1.总则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_Toc29414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C795266">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_Toc31108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rPr>
            <w:t>2.招标文件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_Toc31108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D746793">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_Toc26418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rPr>
            <w:t>3.投标文件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_Toc26418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3FEEFC0">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_Toc22083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rPr>
            <w:t>4.投标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_Toc22083 \h </w:instrText>
          </w:r>
          <w:r>
            <w:rPr>
              <w:rFonts w:hint="eastAsia" w:ascii="宋体" w:hAnsi="宋体" w:eastAsia="宋体" w:cs="宋体"/>
              <w:sz w:val="24"/>
              <w:szCs w:val="24"/>
            </w:rPr>
            <w:fldChar w:fldCharType="separate"/>
          </w:r>
          <w:r>
            <w:rPr>
              <w:rFonts w:hint="eastAsia"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976A22E">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_Toc27314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rPr>
            <w:t>5.开标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_Toc27314 \h </w:instrText>
          </w:r>
          <w:r>
            <w:rPr>
              <w:rFonts w:hint="eastAsia" w:ascii="宋体" w:hAnsi="宋体" w:eastAsia="宋体" w:cs="宋体"/>
              <w:sz w:val="24"/>
              <w:szCs w:val="24"/>
            </w:rPr>
            <w:fldChar w:fldCharType="separate"/>
          </w:r>
          <w:r>
            <w:rPr>
              <w:rFonts w:hint="eastAsia"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FB103F9">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_Toc10927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rPr>
            <w:t>6.资格审查及评标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_Toc10927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2C80A2C">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_Toc19536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rPr>
            <w:t>7.合同授予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_Toc19536 \h </w:instrText>
          </w:r>
          <w:r>
            <w:rPr>
              <w:rFonts w:hint="eastAsia" w:ascii="宋体" w:hAnsi="宋体" w:eastAsia="宋体" w:cs="宋体"/>
              <w:sz w:val="24"/>
              <w:szCs w:val="24"/>
            </w:rPr>
            <w:fldChar w:fldCharType="separate"/>
          </w:r>
          <w:r>
            <w:rPr>
              <w:rFonts w:hint="eastAsia"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6AC2D92">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_Toc30289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rPr>
            <w:t>8.废标和重新招标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_Toc30289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EC85720">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_Toc28816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rPr>
            <w:t>9.纪律和监督</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_Toc28816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D648CC5">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_Toc27196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rPr>
            <w:t>10.需要补充的其他内容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_Toc27196 \h </w:instrText>
          </w:r>
          <w:r>
            <w:rPr>
              <w:rFonts w:hint="eastAsia" w:ascii="宋体" w:hAnsi="宋体" w:eastAsia="宋体" w:cs="宋体"/>
              <w:sz w:val="24"/>
              <w:szCs w:val="24"/>
            </w:rPr>
            <w:fldChar w:fldCharType="separate"/>
          </w:r>
          <w:r>
            <w:rPr>
              <w:rFonts w:hint="eastAsia" w:ascii="宋体" w:hAnsi="宋体" w:eastAsia="宋体" w:cs="宋体"/>
              <w:sz w:val="24"/>
              <w:szCs w:val="24"/>
            </w:rPr>
            <w:t>29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4370CAA">
          <w:pPr>
            <w:pStyle w:val="25"/>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_Toc4208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第三章 </w:t>
          </w:r>
          <w:r>
            <w:rPr>
              <w:rFonts w:hint="eastAsia" w:ascii="宋体" w:hAnsi="宋体" w:eastAsia="宋体" w:cs="宋体"/>
              <w:sz w:val="24"/>
              <w:szCs w:val="24"/>
              <w:highlight w:val="none"/>
            </w:rPr>
            <w:t>评分办法及标准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_Toc4208 \h </w:instrText>
          </w:r>
          <w:r>
            <w:rPr>
              <w:rFonts w:hint="eastAsia" w:ascii="宋体" w:hAnsi="宋体" w:eastAsia="宋体" w:cs="宋体"/>
              <w:sz w:val="24"/>
              <w:szCs w:val="24"/>
            </w:rPr>
            <w:fldChar w:fldCharType="separate"/>
          </w:r>
          <w:r>
            <w:rPr>
              <w:rFonts w:hint="eastAsia" w:ascii="宋体" w:hAnsi="宋体" w:eastAsia="宋体" w:cs="宋体"/>
              <w:sz w:val="24"/>
              <w:szCs w:val="24"/>
            </w:rPr>
            <w:t>47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30F4B22">
          <w:pPr>
            <w:pStyle w:val="25"/>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_Toc16095 </w:instrText>
          </w:r>
          <w:r>
            <w:rPr>
              <w:rFonts w:hint="eastAsia" w:ascii="宋体" w:hAnsi="宋体" w:eastAsia="宋体" w:cs="宋体"/>
              <w:sz w:val="24"/>
              <w:szCs w:val="24"/>
            </w:rPr>
            <w:fldChar w:fldCharType="separate"/>
          </w:r>
          <w:r>
            <w:rPr>
              <w:rFonts w:hint="eastAsia" w:ascii="宋体" w:hAnsi="宋体" w:eastAsia="宋体" w:cs="宋体"/>
              <w:kern w:val="44"/>
              <w:sz w:val="24"/>
              <w:szCs w:val="24"/>
              <w:highlight w:val="none"/>
            </w:rPr>
            <w:t>第四章  合同格式及合同条款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_Toc16095 \h </w:instrText>
          </w:r>
          <w:r>
            <w:rPr>
              <w:rFonts w:hint="eastAsia" w:ascii="宋体" w:hAnsi="宋体" w:eastAsia="宋体" w:cs="宋体"/>
              <w:sz w:val="24"/>
              <w:szCs w:val="24"/>
            </w:rPr>
            <w:fldChar w:fldCharType="separate"/>
          </w:r>
          <w:r>
            <w:rPr>
              <w:rFonts w:hint="eastAsia" w:ascii="宋体" w:hAnsi="宋体" w:eastAsia="宋体" w:cs="宋体"/>
              <w:sz w:val="24"/>
              <w:szCs w:val="24"/>
            </w:rPr>
            <w:t>55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1379322">
          <w:pPr>
            <w:pStyle w:val="25"/>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_Toc95 </w:instrText>
          </w:r>
          <w:r>
            <w:rPr>
              <w:rFonts w:hint="eastAsia" w:ascii="宋体" w:hAnsi="宋体" w:eastAsia="宋体" w:cs="宋体"/>
              <w:sz w:val="24"/>
              <w:szCs w:val="24"/>
            </w:rPr>
            <w:fldChar w:fldCharType="separate"/>
          </w:r>
          <w:r>
            <w:rPr>
              <w:rFonts w:hint="eastAsia" w:ascii="宋体" w:hAnsi="宋体" w:eastAsia="宋体" w:cs="宋体"/>
              <w:kern w:val="44"/>
              <w:sz w:val="24"/>
              <w:szCs w:val="24"/>
              <w:highlight w:val="none"/>
            </w:rPr>
            <w:t>第五章  采购需求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_Toc95 \h </w:instrText>
          </w:r>
          <w:r>
            <w:rPr>
              <w:rFonts w:hint="eastAsia" w:ascii="宋体" w:hAnsi="宋体" w:eastAsia="宋体" w:cs="宋体"/>
              <w:sz w:val="24"/>
              <w:szCs w:val="24"/>
            </w:rPr>
            <w:fldChar w:fldCharType="separate"/>
          </w:r>
          <w:r>
            <w:rPr>
              <w:rFonts w:hint="eastAsia" w:ascii="宋体" w:hAnsi="宋体" w:eastAsia="宋体" w:cs="宋体"/>
              <w:sz w:val="24"/>
              <w:szCs w:val="24"/>
            </w:rPr>
            <w:t>68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408D05C">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_Toc1444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（一）技术要求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_Toc1444 \h </w:instrText>
          </w:r>
          <w:r>
            <w:rPr>
              <w:rFonts w:hint="eastAsia" w:ascii="宋体" w:hAnsi="宋体" w:eastAsia="宋体" w:cs="宋体"/>
              <w:sz w:val="24"/>
              <w:szCs w:val="24"/>
            </w:rPr>
            <w:fldChar w:fldCharType="separate"/>
          </w:r>
          <w:r>
            <w:rPr>
              <w:rFonts w:hint="eastAsia" w:ascii="宋体" w:hAnsi="宋体" w:eastAsia="宋体" w:cs="宋体"/>
              <w:sz w:val="24"/>
              <w:szCs w:val="24"/>
            </w:rPr>
            <w:t>70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98352D1">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_Toc18422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包2：私有云平台、数据采集和终端</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_Toc18422 \h </w:instrText>
          </w:r>
          <w:r>
            <w:rPr>
              <w:rFonts w:hint="eastAsia" w:ascii="宋体" w:hAnsi="宋体" w:eastAsia="宋体" w:cs="宋体"/>
              <w:sz w:val="24"/>
              <w:szCs w:val="24"/>
            </w:rPr>
            <w:fldChar w:fldCharType="separate"/>
          </w:r>
          <w:r>
            <w:rPr>
              <w:rFonts w:hint="eastAsia" w:ascii="宋体" w:hAnsi="宋体" w:eastAsia="宋体" w:cs="宋体"/>
              <w:sz w:val="24"/>
              <w:szCs w:val="24"/>
            </w:rPr>
            <w:t>70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797C173">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_Toc15438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 xml:space="preserve">（二） </w:t>
          </w:r>
          <w:r>
            <w:rPr>
              <w:rFonts w:hint="eastAsia" w:ascii="宋体" w:hAnsi="宋体" w:eastAsia="宋体" w:cs="宋体"/>
              <w:sz w:val="24"/>
              <w:szCs w:val="24"/>
              <w:highlight w:val="none"/>
              <w:lang w:val="en-US" w:eastAsia="zh-CN"/>
            </w:rPr>
            <w:t>商务服务基本要求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_Toc15438 \h </w:instrText>
          </w:r>
          <w:r>
            <w:rPr>
              <w:rFonts w:hint="eastAsia" w:ascii="宋体" w:hAnsi="宋体" w:eastAsia="宋体" w:cs="宋体"/>
              <w:sz w:val="24"/>
              <w:szCs w:val="24"/>
            </w:rPr>
            <w:fldChar w:fldCharType="separate"/>
          </w:r>
          <w:r>
            <w:rPr>
              <w:rFonts w:hint="eastAsia" w:ascii="宋体" w:hAnsi="宋体" w:eastAsia="宋体" w:cs="宋体"/>
              <w:sz w:val="24"/>
              <w:szCs w:val="24"/>
            </w:rPr>
            <w:t>75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895FC32">
          <w:pPr>
            <w:pStyle w:val="25"/>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_Toc22605 </w:instrText>
          </w:r>
          <w:r>
            <w:rPr>
              <w:rFonts w:hint="eastAsia" w:ascii="宋体" w:hAnsi="宋体" w:eastAsia="宋体" w:cs="宋体"/>
              <w:sz w:val="24"/>
              <w:szCs w:val="24"/>
            </w:rPr>
            <w:fldChar w:fldCharType="separate"/>
          </w:r>
          <w:r>
            <w:rPr>
              <w:rFonts w:hint="eastAsia" w:ascii="宋体" w:hAnsi="宋体" w:eastAsia="宋体" w:cs="宋体"/>
              <w:kern w:val="44"/>
              <w:sz w:val="24"/>
              <w:szCs w:val="24"/>
              <w:highlight w:val="none"/>
            </w:rPr>
            <w:t>第六章 投标文件格式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_Toc22605 \h </w:instrText>
          </w:r>
          <w:r>
            <w:rPr>
              <w:rFonts w:hint="eastAsia" w:ascii="宋体" w:hAnsi="宋体" w:eastAsia="宋体" w:cs="宋体"/>
              <w:sz w:val="24"/>
              <w:szCs w:val="24"/>
            </w:rPr>
            <w:fldChar w:fldCharType="separate"/>
          </w:r>
          <w:r>
            <w:rPr>
              <w:rFonts w:hint="eastAsia" w:ascii="宋体" w:hAnsi="宋体" w:eastAsia="宋体" w:cs="宋体"/>
              <w:sz w:val="24"/>
              <w:szCs w:val="24"/>
            </w:rPr>
            <w:t>78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C232E9F">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_Toc22637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rPr>
            <w:t>一、投标函及开标一览表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_Toc22637 \h </w:instrText>
          </w:r>
          <w:r>
            <w:rPr>
              <w:rFonts w:hint="eastAsia" w:ascii="宋体" w:hAnsi="宋体" w:eastAsia="宋体" w:cs="宋体"/>
              <w:sz w:val="24"/>
              <w:szCs w:val="24"/>
            </w:rPr>
            <w:fldChar w:fldCharType="separate"/>
          </w:r>
          <w:r>
            <w:rPr>
              <w:rFonts w:hint="eastAsia" w:ascii="宋体" w:hAnsi="宋体" w:eastAsia="宋体" w:cs="宋体"/>
              <w:sz w:val="24"/>
              <w:szCs w:val="24"/>
            </w:rPr>
            <w:t>80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6083B91">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_Toc24100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rPr>
            <w:t>二、法定代表人身份证明及法定代表人授权委托书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_Toc24100 \h </w:instrText>
          </w:r>
          <w:r>
            <w:rPr>
              <w:rFonts w:hint="eastAsia" w:ascii="宋体" w:hAnsi="宋体" w:eastAsia="宋体" w:cs="宋体"/>
              <w:sz w:val="24"/>
              <w:szCs w:val="24"/>
            </w:rPr>
            <w:fldChar w:fldCharType="separate"/>
          </w:r>
          <w:r>
            <w:rPr>
              <w:rFonts w:hint="eastAsia" w:ascii="宋体" w:hAnsi="宋体" w:eastAsia="宋体" w:cs="宋体"/>
              <w:sz w:val="24"/>
              <w:szCs w:val="24"/>
            </w:rPr>
            <w:t>82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51A5242">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_Toc29548 </w:instrText>
          </w:r>
          <w:r>
            <w:rPr>
              <w:rFonts w:hint="eastAsia" w:ascii="宋体" w:hAnsi="宋体" w:eastAsia="宋体" w:cs="宋体"/>
              <w:sz w:val="24"/>
              <w:szCs w:val="24"/>
            </w:rPr>
            <w:fldChar w:fldCharType="separate"/>
          </w:r>
          <w:r>
            <w:rPr>
              <w:rFonts w:hint="eastAsia" w:ascii="宋体" w:hAnsi="宋体" w:eastAsia="宋体" w:cs="宋体"/>
              <w:sz w:val="24"/>
              <w:szCs w:val="24"/>
            </w:rPr>
            <w:t>三、投标</w:t>
          </w:r>
          <w:r>
            <w:rPr>
              <w:rFonts w:hint="eastAsia" w:ascii="宋体" w:hAnsi="宋体" w:eastAsia="宋体" w:cs="宋体"/>
              <w:sz w:val="24"/>
              <w:szCs w:val="24"/>
              <w:lang w:eastAsia="zh-CN"/>
            </w:rPr>
            <w:t>货物分项报价明细</w:t>
          </w:r>
          <w:r>
            <w:rPr>
              <w:rFonts w:hint="eastAsia" w:ascii="宋体" w:hAnsi="宋体" w:eastAsia="宋体" w:cs="宋体"/>
              <w:sz w:val="24"/>
              <w:szCs w:val="24"/>
            </w:rPr>
            <w:t>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_Toc29548 \h </w:instrText>
          </w:r>
          <w:r>
            <w:rPr>
              <w:rFonts w:hint="eastAsia" w:ascii="宋体" w:hAnsi="宋体" w:eastAsia="宋体" w:cs="宋体"/>
              <w:sz w:val="24"/>
              <w:szCs w:val="24"/>
            </w:rPr>
            <w:fldChar w:fldCharType="separate"/>
          </w:r>
          <w:r>
            <w:rPr>
              <w:rFonts w:hint="eastAsia" w:ascii="宋体" w:hAnsi="宋体" w:eastAsia="宋体" w:cs="宋体"/>
              <w:sz w:val="24"/>
              <w:szCs w:val="24"/>
            </w:rPr>
            <w:t>84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5AA5328">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_Toc22077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rPr>
            <w:t>四、</w:t>
          </w:r>
          <w:r>
            <w:rPr>
              <w:rFonts w:hint="eastAsia" w:ascii="宋体" w:hAnsi="宋体" w:eastAsia="宋体" w:cs="宋体"/>
              <w:sz w:val="24"/>
              <w:szCs w:val="24"/>
              <w:highlight w:val="none"/>
              <w:lang w:eastAsia="zh-CN"/>
            </w:rPr>
            <w:t>随机配件、附件、耗材明细</w:t>
          </w:r>
          <w:r>
            <w:rPr>
              <w:rFonts w:hint="eastAsia" w:ascii="宋体" w:hAnsi="宋体" w:eastAsia="宋体" w:cs="宋体"/>
              <w:sz w:val="24"/>
              <w:szCs w:val="24"/>
              <w:highlight w:val="none"/>
            </w:rPr>
            <w:t>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_Toc22077 \h </w:instrText>
          </w:r>
          <w:r>
            <w:rPr>
              <w:rFonts w:hint="eastAsia" w:ascii="宋体" w:hAnsi="宋体" w:eastAsia="宋体" w:cs="宋体"/>
              <w:sz w:val="24"/>
              <w:szCs w:val="24"/>
            </w:rPr>
            <w:fldChar w:fldCharType="separate"/>
          </w:r>
          <w:r>
            <w:rPr>
              <w:rFonts w:hint="eastAsia" w:ascii="宋体" w:hAnsi="宋体" w:eastAsia="宋体" w:cs="宋体"/>
              <w:sz w:val="24"/>
              <w:szCs w:val="24"/>
            </w:rPr>
            <w:t>85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025A317">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_Toc17404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rPr>
            <w:t>五、响应偏离表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_Toc17404 \h </w:instrText>
          </w:r>
          <w:r>
            <w:rPr>
              <w:rFonts w:hint="eastAsia" w:ascii="宋体" w:hAnsi="宋体" w:eastAsia="宋体" w:cs="宋体"/>
              <w:sz w:val="24"/>
              <w:szCs w:val="24"/>
            </w:rPr>
            <w:fldChar w:fldCharType="separate"/>
          </w:r>
          <w:r>
            <w:rPr>
              <w:rFonts w:hint="eastAsia" w:ascii="宋体" w:hAnsi="宋体" w:eastAsia="宋体" w:cs="宋体"/>
              <w:sz w:val="24"/>
              <w:szCs w:val="24"/>
            </w:rPr>
            <w:t>86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9DC267E">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_Toc32152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rPr>
            <w:t>六、资格审查资料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_Toc32152 \h </w:instrText>
          </w:r>
          <w:r>
            <w:rPr>
              <w:rFonts w:hint="eastAsia" w:ascii="宋体" w:hAnsi="宋体" w:eastAsia="宋体" w:cs="宋体"/>
              <w:sz w:val="24"/>
              <w:szCs w:val="24"/>
            </w:rPr>
            <w:fldChar w:fldCharType="separate"/>
          </w:r>
          <w:r>
            <w:rPr>
              <w:rFonts w:hint="eastAsia" w:ascii="宋体" w:hAnsi="宋体" w:eastAsia="宋体" w:cs="宋体"/>
              <w:sz w:val="24"/>
              <w:szCs w:val="24"/>
            </w:rPr>
            <w:t>88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03A05B0">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_Toc14315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rPr>
            <w:t>七、业绩</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_Toc14315 \h </w:instrText>
          </w:r>
          <w:r>
            <w:rPr>
              <w:rFonts w:hint="eastAsia" w:ascii="宋体" w:hAnsi="宋体" w:eastAsia="宋体" w:cs="宋体"/>
              <w:sz w:val="24"/>
              <w:szCs w:val="24"/>
            </w:rPr>
            <w:fldChar w:fldCharType="separate"/>
          </w:r>
          <w:r>
            <w:rPr>
              <w:rFonts w:hint="eastAsia" w:ascii="宋体" w:hAnsi="宋体" w:eastAsia="宋体" w:cs="宋体"/>
              <w:sz w:val="24"/>
              <w:szCs w:val="24"/>
            </w:rPr>
            <w:t>92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9BF4D7F">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_Toc17517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rPr>
            <w:t>八、</w:t>
          </w:r>
          <w:r>
            <w:rPr>
              <w:rFonts w:hint="eastAsia" w:ascii="宋体" w:hAnsi="宋体" w:eastAsia="宋体" w:cs="宋体"/>
              <w:sz w:val="24"/>
              <w:szCs w:val="24"/>
              <w:highlight w:val="none"/>
              <w:lang w:val="en-US" w:eastAsia="zh-CN"/>
            </w:rPr>
            <w:t>商务部分其他资料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_Toc17517 \h </w:instrText>
          </w:r>
          <w:r>
            <w:rPr>
              <w:rFonts w:hint="eastAsia" w:ascii="宋体" w:hAnsi="宋体" w:eastAsia="宋体" w:cs="宋体"/>
              <w:sz w:val="24"/>
              <w:szCs w:val="24"/>
            </w:rPr>
            <w:fldChar w:fldCharType="separate"/>
          </w:r>
          <w:r>
            <w:rPr>
              <w:rFonts w:hint="eastAsia" w:ascii="宋体" w:hAnsi="宋体" w:eastAsia="宋体" w:cs="宋体"/>
              <w:sz w:val="24"/>
              <w:szCs w:val="24"/>
            </w:rPr>
            <w:t>93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448D988">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_Toc22955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九、技术</w:t>
          </w:r>
          <w:r>
            <w:rPr>
              <w:rFonts w:hint="eastAsia" w:ascii="宋体" w:hAnsi="宋体" w:eastAsia="宋体" w:cs="宋体"/>
              <w:sz w:val="24"/>
              <w:szCs w:val="24"/>
              <w:highlight w:val="none"/>
            </w:rPr>
            <w:t>部分其他资料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_Toc22955 \h </w:instrText>
          </w:r>
          <w:r>
            <w:rPr>
              <w:rFonts w:hint="eastAsia" w:ascii="宋体" w:hAnsi="宋体" w:eastAsia="宋体" w:cs="宋体"/>
              <w:sz w:val="24"/>
              <w:szCs w:val="24"/>
            </w:rPr>
            <w:fldChar w:fldCharType="separate"/>
          </w:r>
          <w:r>
            <w:rPr>
              <w:rFonts w:hint="eastAsia" w:ascii="宋体" w:hAnsi="宋体" w:eastAsia="宋体" w:cs="宋体"/>
              <w:sz w:val="24"/>
              <w:szCs w:val="24"/>
            </w:rPr>
            <w:t>94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39FF8F7">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_Toc25110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十</w:t>
          </w:r>
          <w:r>
            <w:rPr>
              <w:rFonts w:hint="eastAsia" w:ascii="宋体" w:hAnsi="宋体" w:eastAsia="宋体" w:cs="宋体"/>
              <w:sz w:val="24"/>
              <w:szCs w:val="24"/>
              <w:highlight w:val="none"/>
            </w:rPr>
            <w:t>、反商业贿赂承诺书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_Toc25110 \h </w:instrText>
          </w:r>
          <w:r>
            <w:rPr>
              <w:rFonts w:hint="eastAsia" w:ascii="宋体" w:hAnsi="宋体" w:eastAsia="宋体" w:cs="宋体"/>
              <w:sz w:val="24"/>
              <w:szCs w:val="24"/>
            </w:rPr>
            <w:fldChar w:fldCharType="separate"/>
          </w:r>
          <w:r>
            <w:rPr>
              <w:rFonts w:hint="eastAsia" w:ascii="宋体" w:hAnsi="宋体" w:eastAsia="宋体" w:cs="宋体"/>
              <w:sz w:val="24"/>
              <w:szCs w:val="24"/>
            </w:rPr>
            <w:t>95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DCA3A34">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_Toc18194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rPr>
            <w:t>十</w:t>
          </w:r>
          <w:r>
            <w:rPr>
              <w:rFonts w:hint="eastAsia" w:ascii="宋体" w:hAnsi="宋体" w:eastAsia="宋体" w:cs="宋体"/>
              <w:sz w:val="24"/>
              <w:szCs w:val="24"/>
              <w:highlight w:val="none"/>
              <w:lang w:val="en-US" w:eastAsia="zh-CN"/>
            </w:rPr>
            <w:t>一</w:t>
          </w:r>
          <w:r>
            <w:rPr>
              <w:rFonts w:hint="eastAsia" w:ascii="宋体" w:hAnsi="宋体" w:eastAsia="宋体" w:cs="宋体"/>
              <w:sz w:val="24"/>
              <w:szCs w:val="24"/>
              <w:highlight w:val="none"/>
            </w:rPr>
            <w:t>、中小微企业、残疾人福利企业、监狱企业</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_Toc18194 \h </w:instrText>
          </w:r>
          <w:r>
            <w:rPr>
              <w:rFonts w:hint="eastAsia" w:ascii="宋体" w:hAnsi="宋体" w:eastAsia="宋体" w:cs="宋体"/>
              <w:sz w:val="24"/>
              <w:szCs w:val="24"/>
            </w:rPr>
            <w:fldChar w:fldCharType="separate"/>
          </w:r>
          <w:r>
            <w:rPr>
              <w:rFonts w:hint="eastAsia" w:ascii="宋体" w:hAnsi="宋体" w:eastAsia="宋体" w:cs="宋体"/>
              <w:sz w:val="24"/>
              <w:szCs w:val="24"/>
            </w:rPr>
            <w:t>96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F182F43">
          <w:pPr>
            <w:pStyle w:val="29"/>
            <w:tabs>
              <w:tab w:val="right" w:leader="dot" w:pos="8805"/>
            </w:tabs>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_Toc22869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rPr>
            <w:t>十</w:t>
          </w:r>
          <w:r>
            <w:rPr>
              <w:rFonts w:hint="eastAsia" w:ascii="宋体" w:hAnsi="宋体" w:eastAsia="宋体" w:cs="宋体"/>
              <w:bCs/>
              <w:sz w:val="24"/>
              <w:szCs w:val="24"/>
              <w:highlight w:val="none"/>
              <w:lang w:val="en-US" w:eastAsia="zh-CN"/>
            </w:rPr>
            <w:t>二</w:t>
          </w:r>
          <w:r>
            <w:rPr>
              <w:rFonts w:hint="eastAsia" w:ascii="宋体" w:hAnsi="宋体" w:eastAsia="宋体" w:cs="宋体"/>
              <w:bCs/>
              <w:sz w:val="24"/>
              <w:szCs w:val="24"/>
              <w:highlight w:val="none"/>
            </w:rPr>
            <w:t>、投标人认为需要提供的其他资料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_Toc22869 \h </w:instrText>
          </w:r>
          <w:r>
            <w:rPr>
              <w:rFonts w:hint="eastAsia" w:ascii="宋体" w:hAnsi="宋体" w:eastAsia="宋体" w:cs="宋体"/>
              <w:sz w:val="24"/>
              <w:szCs w:val="24"/>
            </w:rPr>
            <w:fldChar w:fldCharType="separate"/>
          </w:r>
          <w:r>
            <w:rPr>
              <w:rFonts w:hint="eastAsia" w:ascii="宋体" w:hAnsi="宋体" w:eastAsia="宋体" w:cs="宋体"/>
              <w:sz w:val="24"/>
              <w:szCs w:val="24"/>
            </w:rPr>
            <w:t>100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A2D2643">
          <w:r>
            <w:rPr>
              <w:rFonts w:hint="eastAsia" w:ascii="宋体" w:hAnsi="宋体" w:eastAsia="宋体" w:cs="宋体"/>
              <w:szCs w:val="24"/>
            </w:rPr>
            <w:fldChar w:fldCharType="end"/>
          </w:r>
        </w:p>
      </w:sdtContent>
    </w:sdt>
    <w:p w14:paraId="4981CC10">
      <w:pPr>
        <w:jc w:val="center"/>
        <w:rPr>
          <w:rFonts w:hint="eastAsia" w:cs="仿宋" w:asciiTheme="minorEastAsia" w:hAnsiTheme="minorEastAsia" w:eastAsiaTheme="minorEastAsia"/>
          <w:b/>
          <w:color w:val="auto"/>
          <w:sz w:val="36"/>
          <w:szCs w:val="36"/>
          <w:highlight w:val="none"/>
        </w:rPr>
        <w:sectPr>
          <w:headerReference r:id="rId8" w:type="first"/>
          <w:footerReference r:id="rId10" w:type="first"/>
          <w:headerReference r:id="rId7" w:type="default"/>
          <w:footerReference r:id="rId9" w:type="default"/>
          <w:pgSz w:w="11922" w:h="16838"/>
          <w:pgMar w:top="1417" w:right="1417" w:bottom="1417" w:left="1417" w:header="624" w:footer="624" w:gutter="283"/>
          <w:pgBorders>
            <w:top w:val="none" w:sz="0" w:space="0"/>
            <w:left w:val="none" w:sz="0" w:space="0"/>
            <w:bottom w:val="none" w:sz="0" w:space="0"/>
            <w:right w:val="none" w:sz="0" w:space="0"/>
          </w:pgBorders>
          <w:pgNumType w:fmt="decimal" w:start="1"/>
          <w:cols w:space="0" w:num="1"/>
          <w:titlePg/>
          <w:rtlGutter w:val="0"/>
          <w:docGrid w:linePitch="306" w:charSpace="0"/>
        </w:sectPr>
      </w:pPr>
      <w:bookmarkStart w:id="1" w:name="_Toc17395"/>
      <w:bookmarkStart w:id="2" w:name="_Toc14532"/>
      <w:bookmarkStart w:id="3" w:name="_Toc174"/>
    </w:p>
    <w:p w14:paraId="6B0FAFC3">
      <w:pPr>
        <w:jc w:val="center"/>
        <w:rPr>
          <w:rFonts w:cs="仿宋" w:asciiTheme="minorEastAsia" w:hAnsiTheme="minorEastAsia" w:eastAsiaTheme="minorEastAsia"/>
          <w:b/>
          <w:color w:val="auto"/>
          <w:sz w:val="36"/>
          <w:szCs w:val="36"/>
          <w:highlight w:val="none"/>
        </w:rPr>
      </w:pPr>
      <w:r>
        <w:rPr>
          <w:rFonts w:hint="eastAsia" w:cs="仿宋" w:asciiTheme="minorEastAsia" w:hAnsiTheme="minorEastAsia" w:eastAsiaTheme="minorEastAsia"/>
          <w:b/>
          <w:color w:val="auto"/>
          <w:sz w:val="36"/>
          <w:szCs w:val="36"/>
          <w:highlight w:val="none"/>
        </w:rPr>
        <w:t>特别提示</w:t>
      </w:r>
      <w:bookmarkEnd w:id="1"/>
      <w:bookmarkEnd w:id="2"/>
      <w:bookmarkEnd w:id="3"/>
    </w:p>
    <w:p w14:paraId="052A7EFF">
      <w:pPr>
        <w:pStyle w:val="18"/>
        <w:spacing w:line="360" w:lineRule="exact"/>
        <w:rPr>
          <w:rFonts w:hAnsi="宋体" w:cs="宋体"/>
          <w:b/>
          <w:bCs/>
          <w:color w:val="auto"/>
          <w:sz w:val="24"/>
          <w:szCs w:val="24"/>
          <w:highlight w:val="none"/>
        </w:rPr>
      </w:pPr>
    </w:p>
    <w:p w14:paraId="178BC810">
      <w:pPr>
        <w:snapToGrid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1、供应商或投标人注册</w:t>
      </w:r>
    </w:p>
    <w:p w14:paraId="2B609AF9">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供应商或投标人首先通过“河南省公共资源交易中心（</w:t>
      </w:r>
      <w:r>
        <w:rPr>
          <w:color w:val="auto"/>
          <w:highlight w:val="none"/>
        </w:rPr>
        <w:fldChar w:fldCharType="begin"/>
      </w:r>
      <w:r>
        <w:rPr>
          <w:color w:val="auto"/>
          <w:highlight w:val="none"/>
        </w:rPr>
        <w:instrText xml:space="preserve"> HYPERLINK "http://www.hnggzy.com）" </w:instrText>
      </w:r>
      <w:r>
        <w:rPr>
          <w:color w:val="auto"/>
          <w:highlight w:val="none"/>
        </w:rPr>
        <w:fldChar w:fldCharType="separate"/>
      </w:r>
      <w:r>
        <w:rPr>
          <w:rFonts w:hint="eastAsia" w:ascii="宋体" w:hAnsi="宋体" w:cs="宋体"/>
          <w:color w:val="auto"/>
          <w:szCs w:val="21"/>
          <w:highlight w:val="none"/>
          <w:lang w:eastAsia="zh-CN"/>
        </w:rPr>
        <w:t>http://hnsggzyjy.henan.gov.cn/</w:t>
      </w:r>
      <w:r>
        <w:rPr>
          <w:rFonts w:hint="eastAsia" w:ascii="宋体" w:hAnsi="宋体" w:cs="宋体"/>
          <w:color w:val="auto"/>
          <w:szCs w:val="21"/>
          <w:highlight w:val="none"/>
        </w:rPr>
        <w:t>）”网站进行</w:t>
      </w:r>
      <w:r>
        <w:rPr>
          <w:rFonts w:hint="eastAsia" w:ascii="宋体" w:hAnsi="宋体" w:cs="宋体"/>
          <w:color w:val="auto"/>
          <w:szCs w:val="21"/>
          <w:highlight w:val="none"/>
        </w:rPr>
        <w:fldChar w:fldCharType="end"/>
      </w:r>
      <w:r>
        <w:rPr>
          <w:rFonts w:hint="eastAsia" w:ascii="宋体" w:hAnsi="宋体" w:cs="宋体"/>
          <w:color w:val="auto"/>
          <w:szCs w:val="21"/>
          <w:highlight w:val="none"/>
        </w:rPr>
        <w:t>注册，然后按网站公共服务（办事指南及下载专区）公共资源项目CA办理流程准备齐注册资料，最后到CA公司办理 CA密钥，完成注册。</w:t>
      </w:r>
    </w:p>
    <w:p w14:paraId="74E120E1">
      <w:pPr>
        <w:snapToGrid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2、招标文件获取、投标文件制作</w:t>
      </w:r>
    </w:p>
    <w:p w14:paraId="573E4307">
      <w:pPr>
        <w:snapToGrid w:val="0"/>
        <w:spacing w:line="360" w:lineRule="auto"/>
        <w:ind w:firstLine="432" w:firstLineChars="206"/>
        <w:rPr>
          <w:rFonts w:ascii="宋体" w:hAnsi="宋体" w:cs="宋体"/>
          <w:bCs/>
          <w:color w:val="auto"/>
          <w:szCs w:val="21"/>
          <w:highlight w:val="none"/>
        </w:rPr>
      </w:pPr>
      <w:r>
        <w:rPr>
          <w:rFonts w:hint="eastAsia" w:ascii="宋体" w:hAnsi="宋体" w:cs="宋体"/>
          <w:bCs/>
          <w:color w:val="auto"/>
          <w:szCs w:val="21"/>
          <w:highlight w:val="none"/>
        </w:rPr>
        <w:t>2.1、投标人通过河南省公共资源交易中心网站（www.hnggzy.net）-公共服务-办事指南-新交易平台使用手册-河南省公共资源“智慧交易”平台投标/响应文件制作操作手册。</w:t>
      </w:r>
    </w:p>
    <w:p w14:paraId="5F687FA7">
      <w:pPr>
        <w:snapToGrid w:val="0"/>
        <w:spacing w:line="360" w:lineRule="auto"/>
        <w:ind w:firstLine="432" w:firstLineChars="206"/>
        <w:rPr>
          <w:rFonts w:ascii="宋体" w:hAnsi="宋体" w:cs="宋体"/>
          <w:bCs/>
          <w:color w:val="auto"/>
          <w:szCs w:val="21"/>
          <w:highlight w:val="none"/>
        </w:rPr>
      </w:pPr>
      <w:r>
        <w:rPr>
          <w:rFonts w:hint="eastAsia" w:ascii="宋体" w:hAnsi="宋体" w:cs="宋体"/>
          <w:bCs/>
          <w:color w:val="auto"/>
          <w:szCs w:val="21"/>
          <w:highlight w:val="none"/>
        </w:rPr>
        <w:t>2.2、投标人凭 CA 密钥登陆河南省公共资源交易中心并按网上提示自行下载每个项目所含格式(.hnzf)的招标文件。</w:t>
      </w:r>
    </w:p>
    <w:p w14:paraId="19CDAEA6">
      <w:pPr>
        <w:snapToGrid w:val="0"/>
        <w:spacing w:line="360" w:lineRule="auto"/>
        <w:ind w:firstLine="432" w:firstLineChars="206"/>
        <w:rPr>
          <w:rFonts w:ascii="宋体" w:hAnsi="宋体" w:cs="宋体"/>
          <w:bCs/>
          <w:color w:val="auto"/>
          <w:szCs w:val="21"/>
          <w:highlight w:val="none"/>
        </w:rPr>
      </w:pPr>
      <w:r>
        <w:rPr>
          <w:rFonts w:hint="eastAsia" w:ascii="宋体" w:hAnsi="宋体" w:cs="宋体"/>
          <w:bCs/>
          <w:color w:val="auto"/>
          <w:szCs w:val="21"/>
          <w:highlight w:val="none"/>
        </w:rPr>
        <w:t>2.3、投标人须在投标文件递交截止时间前制作并提交：加密的电子投标文件（*.hntf 格式）,应在投标文件截止时间前通过“河南省公共资源交易中心（www.hnggzy.net）”电子交易平台内上传；</w:t>
      </w:r>
    </w:p>
    <w:p w14:paraId="1CB90E78">
      <w:pPr>
        <w:snapToGrid w:val="0"/>
        <w:spacing w:line="360" w:lineRule="auto"/>
        <w:ind w:firstLine="432" w:firstLineChars="206"/>
        <w:rPr>
          <w:rFonts w:ascii="宋体" w:hAnsi="宋体" w:cs="宋体"/>
          <w:bCs/>
          <w:color w:val="auto"/>
          <w:szCs w:val="21"/>
          <w:highlight w:val="none"/>
        </w:rPr>
      </w:pPr>
      <w:r>
        <w:rPr>
          <w:rFonts w:hint="eastAsia" w:ascii="宋体" w:hAnsi="宋体" w:cs="宋体"/>
          <w:bCs/>
          <w:color w:val="auto"/>
          <w:szCs w:val="21"/>
          <w:highlight w:val="none"/>
        </w:rPr>
        <w:t>2.4、加密的电子投标文件为“河南省公共资源交易中心（www.hnggzy.net）”网站提供的“投标文件制作工具”软件制作生成的加密版投标文件。</w:t>
      </w:r>
    </w:p>
    <w:p w14:paraId="61A87DF8">
      <w:pPr>
        <w:snapToGrid w:val="0"/>
        <w:spacing w:line="360" w:lineRule="auto"/>
        <w:ind w:firstLine="432" w:firstLineChars="206"/>
        <w:rPr>
          <w:rFonts w:ascii="宋体" w:hAnsi="宋体" w:cs="宋体"/>
          <w:bCs/>
          <w:color w:val="auto"/>
          <w:szCs w:val="21"/>
          <w:highlight w:val="none"/>
        </w:rPr>
      </w:pPr>
      <w:r>
        <w:rPr>
          <w:rFonts w:hint="eastAsia" w:ascii="宋体" w:hAnsi="宋体" w:cs="宋体"/>
          <w:bCs/>
          <w:color w:val="auto"/>
          <w:szCs w:val="21"/>
          <w:highlight w:val="none"/>
        </w:rPr>
        <w:t>2.5、投标人编辑电子投标文件时，根据招标文件要求用法人 CA 密钥和企业 CA 密钥进行签章制作；最后一步生成电子投标文件（*.hntf 格式和*.nhntf 格式）时，只能用本单位的企业 CA 密钥。（注：本次采购项目采用远程不见面开标方式，请各投标人在招标文件确定的投标截止时间前，登录远程开标大厅，在线准时参加开标活动并在规定时间内进行投标文件解密，在规定时间内投标文件未解密的投标人，视为放弃投标。具体操作可登陆河南省公共资源交易中心“首页---公共服务---办事指南---新交易平台使用手册（培训资料）”。</w:t>
      </w:r>
    </w:p>
    <w:p w14:paraId="7D89BADE">
      <w:pPr>
        <w:snapToGrid w:val="0"/>
        <w:spacing w:line="360" w:lineRule="auto"/>
        <w:ind w:firstLine="434" w:firstLineChars="206"/>
        <w:rPr>
          <w:rFonts w:ascii="宋体" w:hAnsi="宋体" w:cs="宋体"/>
          <w:b/>
          <w:color w:val="auto"/>
          <w:szCs w:val="21"/>
          <w:highlight w:val="none"/>
        </w:rPr>
      </w:pPr>
      <w:r>
        <w:rPr>
          <w:rFonts w:hint="eastAsia" w:ascii="宋体" w:hAnsi="宋体" w:cs="宋体"/>
          <w:b/>
          <w:color w:val="auto"/>
          <w:szCs w:val="21"/>
          <w:highlight w:val="none"/>
        </w:rPr>
        <w:t>3、评标前的澄清与变更</w:t>
      </w:r>
    </w:p>
    <w:p w14:paraId="550B7C2E">
      <w:pPr>
        <w:snapToGrid w:val="0"/>
        <w:spacing w:line="360" w:lineRule="auto"/>
        <w:ind w:firstLine="432" w:firstLineChars="206"/>
        <w:rPr>
          <w:rFonts w:ascii="宋体" w:hAnsi="宋体" w:cs="宋体"/>
          <w:b/>
          <w:color w:val="auto"/>
          <w:szCs w:val="21"/>
          <w:highlight w:val="none"/>
        </w:rPr>
      </w:pPr>
      <w:r>
        <w:rPr>
          <w:rFonts w:hint="eastAsia" w:ascii="宋体" w:hAnsi="宋体" w:cs="宋体"/>
          <w:color w:val="auto"/>
          <w:szCs w:val="21"/>
          <w:highlight w:val="none"/>
        </w:rPr>
        <w:t>采购人、采购代理机构对已发出的招标文件进行的澄清、更正或更改，澄清、更正或更改的内容将作为招标文件的组成部分。采购代理机构将通过网站“变更公告”和系统内部“答疑文件”告知供应商或投标人，对于各项目中已经成功报名并下载招标文件的项目供应商或投标人，系统可能通过第三方短信群发方式提醒供应商或投标人进行查询。各供应商或投标人须重新下载最新的招标文件和答疑文件，以此编制投标文件。供应商或投标人注册时所留手机联系方式要保持畅通，因联系方式变更而未及时更新系统内联系方式的，将会造成收不到短信。此短信仅系友情提示，并不具有任何约束性和必要性，采购代理机构不承担供应商或投标人未收到短信而引起的一切后果和法律责任。</w:t>
      </w:r>
    </w:p>
    <w:p w14:paraId="7BBE233F">
      <w:pPr>
        <w:snapToGrid w:val="0"/>
        <w:spacing w:line="360" w:lineRule="auto"/>
        <w:ind w:firstLine="434" w:firstLineChars="206"/>
        <w:rPr>
          <w:rFonts w:ascii="宋体" w:hAnsi="宋体" w:cs="宋体"/>
          <w:b/>
          <w:color w:val="auto"/>
          <w:szCs w:val="21"/>
          <w:highlight w:val="none"/>
        </w:rPr>
      </w:pPr>
      <w:r>
        <w:rPr>
          <w:rFonts w:hint="eastAsia" w:ascii="宋体" w:hAnsi="宋体" w:cs="宋体"/>
          <w:b/>
          <w:color w:val="auto"/>
          <w:szCs w:val="21"/>
          <w:highlight w:val="none"/>
        </w:rPr>
        <w:t>4、评标过程的澄清</w:t>
      </w:r>
    </w:p>
    <w:p w14:paraId="2517B3B3">
      <w:pPr>
        <w:snapToGrid w:val="0"/>
        <w:spacing w:line="360" w:lineRule="auto"/>
        <w:ind w:firstLine="432" w:firstLineChars="206"/>
        <w:rPr>
          <w:rFonts w:ascii="宋体" w:hAnsi="宋体" w:cs="宋体"/>
          <w:color w:val="auto"/>
          <w:szCs w:val="21"/>
          <w:highlight w:val="none"/>
        </w:rPr>
      </w:pPr>
      <w:r>
        <w:rPr>
          <w:rFonts w:hint="eastAsia" w:ascii="宋体" w:hAnsi="宋体" w:cs="宋体"/>
          <w:color w:val="auto"/>
          <w:szCs w:val="21"/>
          <w:highlight w:val="none"/>
        </w:rPr>
        <w:t>评标委员会在评审的过程中已发出的的澄清作为评审过程的组成部分。供应商或投标人应当在评标结束前时刻关注系统内部发出的“答疑”，系统也可能通过第三方短信群发方式提醒供应商或投标人。供应商或投标人须在规定的时间内进行回复。供应商或投标人注册时所留手机联系方式要保持畅通，因联系方式变更而未及时更新系统内联系方式的，将会造成收不到短信。此短信仅系友情提示，并不具有任何约束性和必要性，采购代理机构和采购人不承担供应商或投标人未收到短信而引起的一切后果和法律责任。</w:t>
      </w:r>
    </w:p>
    <w:p w14:paraId="7D13AB1A">
      <w:pPr>
        <w:snapToGrid w:val="0"/>
        <w:spacing w:line="360" w:lineRule="auto"/>
        <w:ind w:firstLine="432" w:firstLineChars="206"/>
        <w:rPr>
          <w:rFonts w:ascii="宋体" w:hAnsi="宋体" w:cs="宋体"/>
          <w:color w:val="auto"/>
          <w:szCs w:val="21"/>
          <w:highlight w:val="none"/>
        </w:rPr>
      </w:pPr>
      <w:bookmarkStart w:id="4" w:name="_Toc16058"/>
      <w:r>
        <w:rPr>
          <w:rFonts w:hint="eastAsia" w:ascii="宋体" w:hAnsi="宋体" w:cs="宋体"/>
          <w:color w:val="auto"/>
          <w:szCs w:val="21"/>
          <w:highlight w:val="none"/>
        </w:rPr>
        <w:t xml:space="preserve">5、因河南省公共资源交易中心平台在开标前具有保密性，投标人在投标文件递交截止时间前须自行查看项目进展、变更通知、澄清及回复，因投标人未及时查看而造成的后果自负。 </w:t>
      </w:r>
    </w:p>
    <w:p w14:paraId="5D7AEBB4">
      <w:pPr>
        <w:snapToGrid w:val="0"/>
        <w:spacing w:line="360" w:lineRule="auto"/>
        <w:ind w:firstLine="432" w:firstLineChars="206"/>
        <w:rPr>
          <w:rFonts w:ascii="宋体" w:hAnsi="宋体" w:cs="宋体"/>
          <w:color w:val="auto"/>
          <w:szCs w:val="21"/>
          <w:highlight w:val="none"/>
        </w:rPr>
      </w:pPr>
      <w:r>
        <w:rPr>
          <w:rFonts w:hint="eastAsia" w:ascii="宋体" w:hAnsi="宋体" w:cs="宋体"/>
          <w:color w:val="auto"/>
          <w:szCs w:val="21"/>
          <w:highlight w:val="none"/>
        </w:rPr>
        <w:t>6、根据河南省发展和改革委员会关于对《关于认定投标人投标文件制作机器码一致视为串通投标行为的请示》相关问题的批复》(豫发改公管〔2019〕198号)文件精神，如出现“投标/响应文件制作机器码一致”的情形，投标文件制作机器码一致的投标文件均作无效标处理。</w:t>
      </w:r>
    </w:p>
    <w:p w14:paraId="54E46E72">
      <w:pPr>
        <w:snapToGrid w:val="0"/>
        <w:spacing w:line="360" w:lineRule="auto"/>
        <w:ind w:firstLine="432" w:firstLineChars="206"/>
        <w:rPr>
          <w:rFonts w:ascii="宋体" w:hAnsi="宋体" w:cs="宋体"/>
          <w:color w:val="auto"/>
          <w:szCs w:val="21"/>
          <w:highlight w:val="none"/>
        </w:rPr>
      </w:pPr>
      <w:r>
        <w:rPr>
          <w:rFonts w:hint="eastAsia" w:ascii="宋体" w:hAnsi="宋体" w:cs="宋体"/>
          <w:color w:val="auto"/>
          <w:szCs w:val="21"/>
          <w:highlight w:val="none"/>
        </w:rPr>
        <w:t>7、投标保证金：本项目不收取投标保证金，若交易中心系统内开标一览表确需填写，保证金金额可以填写“0”。</w:t>
      </w:r>
    </w:p>
    <w:p w14:paraId="1A55C303">
      <w:pPr>
        <w:snapToGrid w:val="0"/>
        <w:spacing w:line="360" w:lineRule="auto"/>
        <w:ind w:firstLine="432" w:firstLineChars="206"/>
        <w:rPr>
          <w:rFonts w:ascii="宋体" w:hAnsi="宋体" w:cs="宋体"/>
          <w:b/>
          <w:color w:val="auto"/>
          <w:szCs w:val="21"/>
          <w:highlight w:val="none"/>
        </w:rPr>
      </w:pPr>
      <w:r>
        <w:rPr>
          <w:rFonts w:hint="eastAsia" w:ascii="宋体" w:hAnsi="宋体" w:cs="宋体"/>
          <w:color w:val="auto"/>
          <w:szCs w:val="21"/>
          <w:highlight w:val="none"/>
        </w:rPr>
        <w:t>8、未到现场解密的供应商或投标人，请持编制投标文件的CA钥匙进行在线远程解密，逾期解密或超时解密将被拒绝。</w:t>
      </w:r>
      <w:r>
        <w:rPr>
          <w:rFonts w:hint="eastAsia" w:ascii="宋体" w:hAnsi="宋体" w:cs="宋体"/>
          <w:b/>
          <w:color w:val="auto"/>
          <w:szCs w:val="21"/>
          <w:highlight w:val="none"/>
        </w:rPr>
        <w:br w:type="page"/>
      </w:r>
    </w:p>
    <w:p w14:paraId="6492C449">
      <w:pPr>
        <w:snapToGrid w:val="0"/>
        <w:spacing w:line="360" w:lineRule="auto"/>
        <w:jc w:val="center"/>
        <w:outlineLvl w:val="0"/>
        <w:rPr>
          <w:rFonts w:ascii="宋体" w:hAnsi="宋体" w:cs="宋体"/>
          <w:b/>
          <w:color w:val="auto"/>
          <w:sz w:val="36"/>
          <w:szCs w:val="36"/>
          <w:highlight w:val="none"/>
        </w:rPr>
      </w:pPr>
      <w:bookmarkStart w:id="5" w:name="_Toc889"/>
      <w:bookmarkStart w:id="6" w:name="_Toc28753"/>
      <w:bookmarkStart w:id="7" w:name="_Toc673069844"/>
      <w:r>
        <w:rPr>
          <w:rFonts w:hint="eastAsia" w:ascii="宋体" w:hAnsi="宋体" w:cs="宋体"/>
          <w:b/>
          <w:color w:val="auto"/>
          <w:sz w:val="36"/>
          <w:szCs w:val="36"/>
          <w:highlight w:val="none"/>
        </w:rPr>
        <w:t>第一章</w:t>
      </w:r>
      <w:bookmarkEnd w:id="0"/>
      <w:r>
        <w:rPr>
          <w:rFonts w:hint="eastAsia" w:ascii="宋体" w:hAnsi="宋体" w:cs="宋体"/>
          <w:b/>
          <w:color w:val="auto"/>
          <w:sz w:val="36"/>
          <w:szCs w:val="36"/>
          <w:highlight w:val="none"/>
        </w:rPr>
        <w:t xml:space="preserve">  招标公告</w:t>
      </w:r>
      <w:bookmarkEnd w:id="4"/>
      <w:bookmarkEnd w:id="5"/>
      <w:bookmarkEnd w:id="6"/>
      <w:bookmarkEnd w:id="7"/>
    </w:p>
    <w:p w14:paraId="756032B6">
      <w:pPr>
        <w:pStyle w:val="15"/>
        <w:spacing w:line="500" w:lineRule="exact"/>
        <w:ind w:left="119" w:right="20"/>
        <w:jc w:val="center"/>
        <w:rPr>
          <w:rFonts w:cs="宋体"/>
          <w:b/>
          <w:color w:val="auto"/>
          <w:kern w:val="0"/>
          <w:highlight w:val="none"/>
        </w:rPr>
      </w:pPr>
      <w:r>
        <w:rPr>
          <w:rFonts w:hint="eastAsia" w:cs="宋体"/>
          <w:b/>
          <w:color w:val="auto"/>
          <w:kern w:val="0"/>
          <w:sz w:val="28"/>
          <w:szCs w:val="28"/>
          <w:highlight w:val="none"/>
          <w:lang w:eastAsia="zh-CN"/>
        </w:rPr>
        <w:t>河南省科学院材料基因工程研究所河南省科学院材料创新基地材料大数据与数字化设计平台（一期）建设项目包</w:t>
      </w:r>
      <w:r>
        <w:rPr>
          <w:rFonts w:hint="eastAsia" w:cs="宋体"/>
          <w:b/>
          <w:color w:val="auto"/>
          <w:kern w:val="0"/>
          <w:sz w:val="28"/>
          <w:szCs w:val="28"/>
          <w:highlight w:val="none"/>
          <w:lang w:val="en-US" w:eastAsia="zh-CN"/>
        </w:rPr>
        <w:t>2（三次）-</w:t>
      </w:r>
      <w:r>
        <w:rPr>
          <w:rFonts w:hint="eastAsia" w:cs="宋体"/>
          <w:b/>
          <w:color w:val="auto"/>
          <w:kern w:val="0"/>
          <w:sz w:val="28"/>
          <w:szCs w:val="28"/>
          <w:highlight w:val="none"/>
        </w:rPr>
        <w:t>公开招标公告</w:t>
      </w:r>
    </w:p>
    <w:p w14:paraId="75698890">
      <w:pPr>
        <w:adjustRightInd w:val="0"/>
        <w:snapToGrid w:val="0"/>
        <w:spacing w:line="440" w:lineRule="exact"/>
        <w:ind w:firstLine="420" w:firstLineChars="200"/>
        <w:jc w:val="left"/>
        <w:rPr>
          <w:rFonts w:ascii="宋体" w:hAnsi="宋体" w:cs="宋体"/>
          <w:color w:val="auto"/>
          <w:szCs w:val="21"/>
          <w:highlight w:val="none"/>
        </w:rPr>
      </w:pPr>
      <w:bookmarkStart w:id="8" w:name="_Toc13119"/>
      <w:r>
        <w:rPr>
          <w:rFonts w:hint="eastAsia" w:ascii="宋体" w:hAnsi="宋体" w:cs="宋体"/>
          <w:color w:val="auto"/>
          <w:szCs w:val="21"/>
          <w:highlight w:val="none"/>
        </w:rPr>
        <w:t>项目概况</w:t>
      </w:r>
    </w:p>
    <w:p w14:paraId="52BE5F96">
      <w:pPr>
        <w:adjustRightInd w:val="0"/>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lang w:eastAsia="zh-CN"/>
        </w:rPr>
        <w:t>河南省科学院材料基因工程研究所河南省科学院材料创新基地材料大数据与数字化设计平台（一期）建设项目</w:t>
      </w:r>
      <w:r>
        <w:rPr>
          <w:rFonts w:hint="eastAsia" w:ascii="宋体" w:hAnsi="宋体" w:cs="宋体"/>
          <w:color w:val="auto"/>
          <w:szCs w:val="21"/>
          <w:highlight w:val="none"/>
        </w:rPr>
        <w:t>的潜在投标人应在河南省公共资源交易中心（http://hnsggzyjy.henan.gov.cn/）获取招标文件，并于202</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04</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30</w:t>
      </w:r>
      <w:r>
        <w:rPr>
          <w:rFonts w:hint="eastAsia" w:ascii="宋体" w:hAnsi="宋体" w:cs="宋体"/>
          <w:color w:val="auto"/>
          <w:szCs w:val="21"/>
          <w:highlight w:val="none"/>
        </w:rPr>
        <w:t>日09时00分（北京时间）前递交投标文件。</w:t>
      </w:r>
    </w:p>
    <w:p w14:paraId="2C3F5B50">
      <w:pPr>
        <w:pStyle w:val="36"/>
        <w:adjustRightInd w:val="0"/>
        <w:snapToGrid w:val="0"/>
        <w:spacing w:after="0" w:line="440" w:lineRule="exact"/>
        <w:ind w:firstLineChars="200"/>
        <w:rPr>
          <w:rFonts w:ascii="宋体" w:hAnsi="宋体" w:cs="宋体"/>
          <w:b/>
          <w:bCs/>
          <w:color w:val="auto"/>
          <w:szCs w:val="21"/>
          <w:highlight w:val="none"/>
        </w:rPr>
      </w:pPr>
      <w:r>
        <w:rPr>
          <w:rFonts w:hint="eastAsia" w:ascii="宋体" w:hAnsi="宋体" w:cs="宋体"/>
          <w:color w:val="auto"/>
          <w:szCs w:val="21"/>
          <w:highlight w:val="none"/>
        </w:rPr>
        <w:t>一、</w:t>
      </w:r>
      <w:r>
        <w:rPr>
          <w:rFonts w:hint="eastAsia" w:ascii="宋体" w:hAnsi="宋体" w:cs="宋体"/>
          <w:b/>
          <w:bCs/>
          <w:color w:val="auto"/>
          <w:szCs w:val="21"/>
          <w:highlight w:val="none"/>
        </w:rPr>
        <w:t>项目基本情况</w:t>
      </w:r>
    </w:p>
    <w:p w14:paraId="64629A99">
      <w:pPr>
        <w:pStyle w:val="15"/>
        <w:tabs>
          <w:tab w:val="left" w:pos="4410"/>
        </w:tabs>
        <w:adjustRightInd w:val="0"/>
        <w:snapToGrid w:val="0"/>
        <w:spacing w:line="440" w:lineRule="exact"/>
        <w:ind w:firstLine="420" w:firstLineChars="200"/>
        <w:rPr>
          <w:rFonts w:hint="eastAsia" w:eastAsia="宋体" w:cs="宋体"/>
          <w:color w:val="auto"/>
          <w:kern w:val="0"/>
          <w:sz w:val="21"/>
          <w:szCs w:val="21"/>
          <w:highlight w:val="none"/>
          <w:lang w:eastAsia="zh-CN"/>
        </w:rPr>
      </w:pPr>
      <w:r>
        <w:rPr>
          <w:rFonts w:hint="eastAsia" w:cs="宋体"/>
          <w:color w:val="auto"/>
          <w:kern w:val="0"/>
          <w:sz w:val="21"/>
          <w:szCs w:val="21"/>
          <w:highlight w:val="none"/>
        </w:rPr>
        <w:t>1、项目编号：</w:t>
      </w:r>
      <w:r>
        <w:rPr>
          <w:rFonts w:hint="eastAsia" w:cs="宋体"/>
          <w:color w:val="auto"/>
          <w:kern w:val="0"/>
          <w:sz w:val="21"/>
          <w:szCs w:val="21"/>
          <w:highlight w:val="none"/>
          <w:lang w:val="en-US" w:eastAsia="zh-CN"/>
        </w:rPr>
        <w:t>豫财招标采购-2024-1437</w:t>
      </w:r>
    </w:p>
    <w:p w14:paraId="7BC6E8D3">
      <w:pPr>
        <w:pStyle w:val="12"/>
        <w:tabs>
          <w:tab w:val="left" w:pos="2940"/>
        </w:tabs>
        <w:snapToGrid w:val="0"/>
        <w:spacing w:line="440" w:lineRule="exact"/>
        <w:ind w:firstLine="420" w:firstLineChars="200"/>
        <w:rPr>
          <w:rFonts w:hint="eastAsia" w:eastAsia="宋体" w:cs="宋体"/>
          <w:color w:val="auto"/>
          <w:sz w:val="21"/>
          <w:szCs w:val="21"/>
          <w:highlight w:val="none"/>
          <w:lang w:eastAsia="zh-CN"/>
        </w:rPr>
      </w:pPr>
      <w:r>
        <w:rPr>
          <w:rFonts w:hint="eastAsia" w:cs="宋体"/>
          <w:color w:val="auto"/>
          <w:sz w:val="21"/>
          <w:szCs w:val="21"/>
          <w:highlight w:val="none"/>
        </w:rPr>
        <w:t>2、项目名称：</w:t>
      </w:r>
      <w:r>
        <w:rPr>
          <w:rFonts w:hint="eastAsia" w:cs="宋体"/>
          <w:color w:val="auto"/>
          <w:sz w:val="21"/>
          <w:szCs w:val="21"/>
          <w:highlight w:val="none"/>
          <w:lang w:eastAsia="zh-CN"/>
        </w:rPr>
        <w:t>河南省科学院材料基因工程研究所河南省科学院材料创新基地材料大数据与数字化设计平台（一期）建设项目</w:t>
      </w:r>
    </w:p>
    <w:p w14:paraId="39CC5B88">
      <w:pPr>
        <w:pStyle w:val="15"/>
        <w:adjustRightInd w:val="0"/>
        <w:snapToGrid w:val="0"/>
        <w:spacing w:line="440" w:lineRule="exact"/>
        <w:ind w:firstLine="420" w:firstLineChars="200"/>
        <w:rPr>
          <w:rFonts w:cs="宋体"/>
          <w:color w:val="auto"/>
          <w:kern w:val="0"/>
          <w:sz w:val="21"/>
          <w:szCs w:val="21"/>
          <w:highlight w:val="none"/>
        </w:rPr>
      </w:pPr>
      <w:r>
        <w:rPr>
          <w:rFonts w:hint="eastAsia" w:cs="宋体"/>
          <w:color w:val="auto"/>
          <w:kern w:val="0"/>
          <w:sz w:val="21"/>
          <w:szCs w:val="21"/>
          <w:highlight w:val="none"/>
        </w:rPr>
        <w:t>3、采购方式：公开招标</w:t>
      </w:r>
    </w:p>
    <w:p w14:paraId="65A0C353">
      <w:pPr>
        <w:pStyle w:val="15"/>
        <w:adjustRightInd w:val="0"/>
        <w:snapToGrid w:val="0"/>
        <w:spacing w:line="440" w:lineRule="exact"/>
        <w:ind w:firstLine="420" w:firstLineChars="200"/>
        <w:rPr>
          <w:rFonts w:cs="宋体"/>
          <w:color w:val="auto"/>
          <w:kern w:val="0"/>
          <w:sz w:val="21"/>
          <w:szCs w:val="21"/>
          <w:highlight w:val="none"/>
        </w:rPr>
      </w:pPr>
      <w:r>
        <w:rPr>
          <w:rFonts w:hint="eastAsia" w:cs="宋体"/>
          <w:color w:val="auto"/>
          <w:kern w:val="0"/>
          <w:sz w:val="21"/>
          <w:szCs w:val="21"/>
          <w:highlight w:val="none"/>
        </w:rPr>
        <w:t>4、预算金额：</w:t>
      </w:r>
      <w:r>
        <w:rPr>
          <w:rFonts w:hint="eastAsia" w:cs="宋体"/>
          <w:color w:val="auto"/>
          <w:kern w:val="0"/>
          <w:sz w:val="21"/>
          <w:szCs w:val="21"/>
          <w:highlight w:val="none"/>
          <w:lang w:val="en-US" w:eastAsia="zh-CN"/>
        </w:rPr>
        <w:t>26,000,000</w:t>
      </w:r>
      <w:r>
        <w:rPr>
          <w:rFonts w:hint="eastAsia" w:cs="宋体"/>
          <w:color w:val="auto"/>
          <w:kern w:val="0"/>
          <w:sz w:val="21"/>
          <w:szCs w:val="21"/>
          <w:highlight w:val="none"/>
          <w:lang w:eastAsia="zh-CN"/>
        </w:rPr>
        <w:t>.00</w:t>
      </w:r>
      <w:r>
        <w:rPr>
          <w:rFonts w:hint="eastAsia" w:cs="宋体"/>
          <w:color w:val="auto"/>
          <w:kern w:val="0"/>
          <w:sz w:val="21"/>
          <w:szCs w:val="21"/>
          <w:highlight w:val="none"/>
        </w:rPr>
        <w:t>元</w:t>
      </w:r>
    </w:p>
    <w:p w14:paraId="641C04CD">
      <w:pPr>
        <w:pStyle w:val="15"/>
        <w:adjustRightInd w:val="0"/>
        <w:snapToGrid w:val="0"/>
        <w:spacing w:line="440" w:lineRule="exact"/>
        <w:ind w:firstLine="630" w:firstLineChars="300"/>
        <w:rPr>
          <w:rFonts w:cs="宋体"/>
          <w:color w:val="auto"/>
          <w:kern w:val="0"/>
          <w:sz w:val="21"/>
          <w:szCs w:val="21"/>
          <w:highlight w:val="none"/>
        </w:rPr>
      </w:pPr>
      <w:r>
        <w:rPr>
          <w:rFonts w:hint="eastAsia" w:cs="宋体"/>
          <w:color w:val="auto"/>
          <w:kern w:val="0"/>
          <w:sz w:val="21"/>
          <w:szCs w:val="21"/>
          <w:highlight w:val="none"/>
        </w:rPr>
        <w:t>最高限价：</w:t>
      </w:r>
      <w:r>
        <w:rPr>
          <w:rFonts w:hint="eastAsia" w:cs="宋体"/>
          <w:color w:val="auto"/>
          <w:kern w:val="0"/>
          <w:sz w:val="21"/>
          <w:szCs w:val="21"/>
          <w:highlight w:val="none"/>
          <w:lang w:val="en-US" w:eastAsia="zh-CN"/>
        </w:rPr>
        <w:t>2620</w:t>
      </w:r>
      <w:r>
        <w:rPr>
          <w:rFonts w:hint="eastAsia" w:cs="宋体"/>
          <w:color w:val="auto"/>
          <w:kern w:val="0"/>
          <w:sz w:val="21"/>
          <w:szCs w:val="21"/>
          <w:highlight w:val="none"/>
          <w:lang w:eastAsia="zh-CN"/>
        </w:rPr>
        <w:t>000.00</w:t>
      </w:r>
      <w:r>
        <w:rPr>
          <w:rFonts w:hint="eastAsia" w:cs="宋体"/>
          <w:color w:val="auto"/>
          <w:kern w:val="0"/>
          <w:sz w:val="21"/>
          <w:szCs w:val="21"/>
          <w:highlight w:val="none"/>
        </w:rPr>
        <w:t>元</w:t>
      </w:r>
    </w:p>
    <w:tbl>
      <w:tblPr>
        <w:tblStyle w:val="38"/>
        <w:tblW w:w="8305"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80"/>
        <w:gridCol w:w="1964"/>
        <w:gridCol w:w="2224"/>
        <w:gridCol w:w="1625"/>
        <w:gridCol w:w="1812"/>
      </w:tblGrid>
      <w:tr w14:paraId="048DE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3" w:hRule="atLeast"/>
          <w:tblCellSpacing w:w="0" w:type="dxa"/>
          <w:jc w:val="center"/>
        </w:trPr>
        <w:tc>
          <w:tcPr>
            <w:tcW w:w="680" w:type="dxa"/>
            <w:tcBorders>
              <w:tl2br w:val="nil"/>
              <w:tr2bl w:val="nil"/>
            </w:tcBorders>
            <w:noWrap w:val="0"/>
            <w:tcMar>
              <w:top w:w="120" w:type="dxa"/>
            </w:tcMar>
            <w:vAlign w:val="center"/>
          </w:tcPr>
          <w:p w14:paraId="10E4F5E0">
            <w:pPr>
              <w:adjustRightInd w:val="0"/>
              <w:snapToGrid w:val="0"/>
              <w:spacing w:line="240" w:lineRule="auto"/>
              <w:jc w:val="center"/>
              <w:rPr>
                <w:rFonts w:ascii="宋体" w:hAnsi="宋体" w:cs="宋体"/>
                <w:color w:val="auto"/>
                <w:szCs w:val="21"/>
                <w:highlight w:val="none"/>
              </w:rPr>
            </w:pPr>
            <w:r>
              <w:rPr>
                <w:rFonts w:hint="eastAsia" w:ascii="宋体" w:hAnsi="宋体" w:cs="宋体"/>
                <w:color w:val="auto"/>
                <w:kern w:val="0"/>
                <w:szCs w:val="21"/>
                <w:highlight w:val="none"/>
              </w:rPr>
              <w:t>序号</w:t>
            </w:r>
          </w:p>
        </w:tc>
        <w:tc>
          <w:tcPr>
            <w:tcW w:w="1964" w:type="dxa"/>
            <w:tcBorders>
              <w:tl2br w:val="nil"/>
              <w:tr2bl w:val="nil"/>
            </w:tcBorders>
            <w:noWrap w:val="0"/>
            <w:tcMar>
              <w:top w:w="120" w:type="dxa"/>
            </w:tcMar>
            <w:vAlign w:val="center"/>
          </w:tcPr>
          <w:p w14:paraId="7CA81D5B">
            <w:pPr>
              <w:adjustRightInd w:val="0"/>
              <w:snapToGrid w:val="0"/>
              <w:spacing w:line="240" w:lineRule="auto"/>
              <w:jc w:val="center"/>
              <w:rPr>
                <w:rFonts w:ascii="宋体" w:hAnsi="宋体" w:cs="宋体"/>
                <w:color w:val="auto"/>
                <w:szCs w:val="21"/>
                <w:highlight w:val="none"/>
              </w:rPr>
            </w:pPr>
            <w:r>
              <w:rPr>
                <w:rFonts w:hint="eastAsia" w:ascii="宋体" w:hAnsi="宋体" w:cs="宋体"/>
                <w:color w:val="auto"/>
                <w:kern w:val="0"/>
                <w:szCs w:val="21"/>
                <w:highlight w:val="none"/>
              </w:rPr>
              <w:t>包号</w:t>
            </w:r>
          </w:p>
        </w:tc>
        <w:tc>
          <w:tcPr>
            <w:tcW w:w="2224" w:type="dxa"/>
            <w:tcBorders>
              <w:tl2br w:val="nil"/>
              <w:tr2bl w:val="nil"/>
            </w:tcBorders>
            <w:noWrap w:val="0"/>
            <w:tcMar>
              <w:top w:w="120" w:type="dxa"/>
            </w:tcMar>
            <w:vAlign w:val="center"/>
          </w:tcPr>
          <w:p w14:paraId="24054802">
            <w:pPr>
              <w:adjustRightInd w:val="0"/>
              <w:snapToGrid w:val="0"/>
              <w:spacing w:line="240" w:lineRule="auto"/>
              <w:jc w:val="center"/>
              <w:rPr>
                <w:rFonts w:ascii="宋体" w:hAnsi="宋体" w:cs="宋体"/>
                <w:color w:val="auto"/>
                <w:szCs w:val="21"/>
                <w:highlight w:val="none"/>
              </w:rPr>
            </w:pPr>
            <w:r>
              <w:rPr>
                <w:rFonts w:hint="eastAsia" w:ascii="宋体" w:hAnsi="宋体" w:cs="宋体"/>
                <w:color w:val="auto"/>
                <w:szCs w:val="21"/>
                <w:highlight w:val="none"/>
              </w:rPr>
              <w:t>包名称</w:t>
            </w:r>
          </w:p>
        </w:tc>
        <w:tc>
          <w:tcPr>
            <w:tcW w:w="1625" w:type="dxa"/>
            <w:tcBorders>
              <w:tl2br w:val="nil"/>
              <w:tr2bl w:val="nil"/>
            </w:tcBorders>
            <w:noWrap w:val="0"/>
            <w:tcMar>
              <w:top w:w="120" w:type="dxa"/>
            </w:tcMar>
            <w:vAlign w:val="center"/>
          </w:tcPr>
          <w:p w14:paraId="625DF949">
            <w:pPr>
              <w:adjustRightInd w:val="0"/>
              <w:snapToGrid w:val="0"/>
              <w:spacing w:line="240" w:lineRule="auto"/>
              <w:jc w:val="center"/>
              <w:rPr>
                <w:rFonts w:ascii="宋体" w:hAnsi="宋体" w:cs="宋体"/>
                <w:color w:val="auto"/>
                <w:szCs w:val="21"/>
                <w:highlight w:val="none"/>
              </w:rPr>
            </w:pPr>
            <w:r>
              <w:rPr>
                <w:rFonts w:hint="eastAsia" w:ascii="宋体" w:hAnsi="宋体" w:cs="宋体"/>
                <w:color w:val="auto"/>
                <w:kern w:val="0"/>
                <w:szCs w:val="21"/>
                <w:highlight w:val="none"/>
              </w:rPr>
              <w:t>包预算（元）</w:t>
            </w:r>
          </w:p>
        </w:tc>
        <w:tc>
          <w:tcPr>
            <w:tcW w:w="1812" w:type="dxa"/>
            <w:tcBorders>
              <w:tl2br w:val="nil"/>
              <w:tr2bl w:val="nil"/>
            </w:tcBorders>
            <w:noWrap w:val="0"/>
            <w:tcMar>
              <w:top w:w="120" w:type="dxa"/>
            </w:tcMar>
            <w:vAlign w:val="center"/>
          </w:tcPr>
          <w:p w14:paraId="4D8D00B5">
            <w:pPr>
              <w:adjustRightInd w:val="0"/>
              <w:snapToGrid w:val="0"/>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包最高限价（元）</w:t>
            </w:r>
          </w:p>
        </w:tc>
      </w:tr>
      <w:tr w14:paraId="0E628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7" w:hRule="atLeast"/>
          <w:tblCellSpacing w:w="0" w:type="dxa"/>
          <w:jc w:val="center"/>
        </w:trPr>
        <w:tc>
          <w:tcPr>
            <w:tcW w:w="680" w:type="dxa"/>
            <w:tcBorders>
              <w:tl2br w:val="nil"/>
              <w:tr2bl w:val="nil"/>
            </w:tcBorders>
            <w:noWrap w:val="0"/>
            <w:tcMar>
              <w:top w:w="120" w:type="dxa"/>
            </w:tcMar>
            <w:vAlign w:val="center"/>
          </w:tcPr>
          <w:p w14:paraId="6E9F0592">
            <w:pPr>
              <w:adjustRightInd w:val="0"/>
              <w:snapToGrid w:val="0"/>
              <w:spacing w:line="240" w:lineRule="auto"/>
              <w:jc w:val="center"/>
              <w:textAlignment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val="en-US" w:eastAsia="zh-CN"/>
              </w:rPr>
              <w:t>1</w:t>
            </w:r>
          </w:p>
        </w:tc>
        <w:tc>
          <w:tcPr>
            <w:tcW w:w="1964" w:type="dxa"/>
            <w:tcBorders>
              <w:tl2br w:val="nil"/>
              <w:tr2bl w:val="nil"/>
            </w:tcBorders>
            <w:noWrap w:val="0"/>
            <w:tcMar>
              <w:top w:w="120" w:type="dxa"/>
            </w:tcMar>
            <w:vAlign w:val="center"/>
          </w:tcPr>
          <w:p w14:paraId="1F820CE2">
            <w:pPr>
              <w:adjustRightInd w:val="0"/>
              <w:snapToGrid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豫政采(2)20242255-2</w:t>
            </w:r>
          </w:p>
        </w:tc>
        <w:tc>
          <w:tcPr>
            <w:tcW w:w="2224" w:type="dxa"/>
            <w:tcBorders>
              <w:tl2br w:val="nil"/>
              <w:tr2bl w:val="nil"/>
            </w:tcBorders>
            <w:noWrap w:val="0"/>
            <w:tcMar>
              <w:top w:w="120" w:type="dxa"/>
            </w:tcMar>
            <w:vAlign w:val="center"/>
          </w:tcPr>
          <w:p w14:paraId="632630FE">
            <w:pPr>
              <w:adjustRightInd w:val="0"/>
              <w:snapToGrid w:val="0"/>
              <w:spacing w:line="240" w:lineRule="auto"/>
              <w:jc w:val="center"/>
              <w:textAlignment w:val="center"/>
              <w:rPr>
                <w:rFonts w:hint="default" w:ascii="宋体" w:hAnsi="宋体" w:eastAsia="宋体" w:cs="宋体"/>
                <w:color w:val="auto"/>
                <w:kern w:val="0"/>
                <w:szCs w:val="21"/>
                <w:highlight w:val="none"/>
                <w:lang w:val="en-US" w:eastAsia="zh-CN"/>
              </w:rPr>
            </w:pPr>
            <w:r>
              <w:rPr>
                <w:rFonts w:hint="eastAsia" w:cs="宋体"/>
                <w:color w:val="auto"/>
                <w:sz w:val="21"/>
                <w:szCs w:val="21"/>
                <w:highlight w:val="none"/>
                <w:lang w:val="en-US" w:eastAsia="zh-CN"/>
              </w:rPr>
              <w:t>包2：私有云平台、数据采集和终端</w:t>
            </w:r>
          </w:p>
        </w:tc>
        <w:tc>
          <w:tcPr>
            <w:tcW w:w="1625" w:type="dxa"/>
            <w:tcBorders>
              <w:tl2br w:val="nil"/>
              <w:tr2bl w:val="nil"/>
            </w:tcBorders>
            <w:noWrap w:val="0"/>
            <w:tcMar>
              <w:top w:w="120" w:type="dxa"/>
            </w:tcMar>
            <w:vAlign w:val="center"/>
          </w:tcPr>
          <w:p w14:paraId="15A608E2">
            <w:pPr>
              <w:adjustRightInd w:val="0"/>
              <w:snapToGrid w:val="0"/>
              <w:spacing w:line="24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2620</w:t>
            </w:r>
            <w:r>
              <w:rPr>
                <w:rFonts w:hint="eastAsia" w:ascii="宋体" w:hAnsi="宋体" w:cs="宋体"/>
                <w:color w:val="auto"/>
                <w:szCs w:val="21"/>
                <w:highlight w:val="none"/>
                <w:lang w:eastAsia="zh-CN"/>
              </w:rPr>
              <w:t>000.00</w:t>
            </w:r>
          </w:p>
        </w:tc>
        <w:tc>
          <w:tcPr>
            <w:tcW w:w="1812" w:type="dxa"/>
            <w:tcBorders>
              <w:tl2br w:val="nil"/>
              <w:tr2bl w:val="nil"/>
            </w:tcBorders>
            <w:noWrap w:val="0"/>
            <w:tcMar>
              <w:top w:w="120" w:type="dxa"/>
            </w:tcMar>
            <w:vAlign w:val="center"/>
          </w:tcPr>
          <w:p w14:paraId="786CBD4E">
            <w:pPr>
              <w:adjustRightInd w:val="0"/>
              <w:snapToGrid w:val="0"/>
              <w:spacing w:line="24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2620</w:t>
            </w:r>
            <w:r>
              <w:rPr>
                <w:rFonts w:hint="eastAsia" w:ascii="宋体" w:hAnsi="宋体" w:cs="宋体"/>
                <w:color w:val="auto"/>
                <w:szCs w:val="21"/>
                <w:highlight w:val="none"/>
                <w:lang w:eastAsia="zh-CN"/>
              </w:rPr>
              <w:t>000.00</w:t>
            </w:r>
          </w:p>
        </w:tc>
      </w:tr>
    </w:tbl>
    <w:p w14:paraId="0975C744">
      <w:pPr>
        <w:pStyle w:val="12"/>
        <w:snapToGrid w:val="0"/>
        <w:spacing w:line="440" w:lineRule="exact"/>
        <w:ind w:firstLine="420" w:firstLineChars="200"/>
        <w:rPr>
          <w:rFonts w:cs="宋体"/>
          <w:color w:val="auto"/>
          <w:sz w:val="21"/>
          <w:szCs w:val="21"/>
          <w:highlight w:val="none"/>
        </w:rPr>
      </w:pPr>
      <w:r>
        <w:rPr>
          <w:rFonts w:hint="eastAsia" w:cs="宋体"/>
          <w:color w:val="auto"/>
          <w:sz w:val="21"/>
          <w:szCs w:val="21"/>
          <w:highlight w:val="none"/>
        </w:rPr>
        <w:t>5、采购需求（包括但不限于标的的名称、数量、简要技术需求或服务要求等）</w:t>
      </w:r>
    </w:p>
    <w:p w14:paraId="7C27E279">
      <w:pPr>
        <w:pStyle w:val="15"/>
        <w:adjustRightInd w:val="0"/>
        <w:snapToGrid w:val="0"/>
        <w:spacing w:line="440" w:lineRule="exact"/>
        <w:ind w:firstLine="420" w:firstLineChars="200"/>
        <w:jc w:val="left"/>
        <w:rPr>
          <w:rFonts w:hint="eastAsia" w:cs="宋体"/>
          <w:color w:val="auto"/>
          <w:sz w:val="21"/>
          <w:szCs w:val="21"/>
          <w:highlight w:val="none"/>
        </w:rPr>
      </w:pPr>
      <w:r>
        <w:rPr>
          <w:rFonts w:hint="eastAsia" w:cs="宋体"/>
          <w:color w:val="auto"/>
          <w:sz w:val="21"/>
          <w:szCs w:val="21"/>
          <w:highlight w:val="none"/>
        </w:rPr>
        <w:t>5.1 采购内容：</w:t>
      </w:r>
    </w:p>
    <w:p w14:paraId="33EBC9AC">
      <w:pPr>
        <w:pStyle w:val="15"/>
        <w:adjustRightInd w:val="0"/>
        <w:snapToGrid w:val="0"/>
        <w:spacing w:line="440" w:lineRule="exact"/>
        <w:ind w:firstLine="420" w:firstLineChars="200"/>
        <w:jc w:val="left"/>
        <w:rPr>
          <w:rFonts w:hint="eastAsia" w:eastAsia="宋体" w:cs="宋体"/>
          <w:color w:val="auto"/>
          <w:sz w:val="21"/>
          <w:szCs w:val="21"/>
          <w:highlight w:val="none"/>
          <w:lang w:eastAsia="zh-CN"/>
        </w:rPr>
      </w:pPr>
      <w:r>
        <w:rPr>
          <w:rFonts w:hint="eastAsia" w:cs="宋体"/>
          <w:color w:val="auto"/>
          <w:sz w:val="21"/>
          <w:szCs w:val="21"/>
          <w:highlight w:val="none"/>
        </w:rPr>
        <w:t>采购</w:t>
      </w:r>
      <w:r>
        <w:rPr>
          <w:rFonts w:hint="eastAsia" w:cs="宋体"/>
          <w:color w:val="auto"/>
          <w:sz w:val="21"/>
          <w:szCs w:val="21"/>
          <w:highlight w:val="none"/>
          <w:lang w:eastAsia="zh-CN"/>
        </w:rPr>
        <w:t>一套</w:t>
      </w:r>
      <w:r>
        <w:rPr>
          <w:rFonts w:hint="eastAsia" w:cs="宋体"/>
          <w:color w:val="auto"/>
          <w:sz w:val="21"/>
          <w:szCs w:val="21"/>
          <w:highlight w:val="none"/>
          <w:lang w:val="en-US" w:eastAsia="zh-CN"/>
        </w:rPr>
        <w:t>私有云平台、数据采集和终端</w:t>
      </w:r>
      <w:r>
        <w:rPr>
          <w:rFonts w:hint="eastAsia" w:cs="宋体"/>
          <w:color w:val="auto"/>
          <w:sz w:val="21"/>
          <w:szCs w:val="21"/>
          <w:highlight w:val="none"/>
        </w:rPr>
        <w:t>，包含但不限于</w:t>
      </w:r>
      <w:r>
        <w:rPr>
          <w:rFonts w:hint="eastAsia" w:cs="宋体"/>
          <w:color w:val="auto"/>
          <w:sz w:val="21"/>
          <w:szCs w:val="21"/>
          <w:highlight w:val="none"/>
          <w:lang w:val="en-US" w:eastAsia="zh-CN"/>
        </w:rPr>
        <w:t>软硬件</w:t>
      </w:r>
      <w:r>
        <w:rPr>
          <w:rFonts w:hint="eastAsia" w:cs="宋体"/>
          <w:color w:val="auto"/>
          <w:sz w:val="21"/>
          <w:szCs w:val="21"/>
          <w:highlight w:val="none"/>
        </w:rPr>
        <w:t>及附属设备的供货、运输、保险、装卸、安装、检测、调试、试运行、验收交付、培训、技术支持、软件升级、售后保修及相关伴随服务</w:t>
      </w:r>
      <w:r>
        <w:rPr>
          <w:rFonts w:hint="eastAsia" w:cs="宋体"/>
          <w:color w:val="auto"/>
          <w:sz w:val="21"/>
          <w:szCs w:val="21"/>
          <w:highlight w:val="none"/>
          <w:lang w:eastAsia="zh-CN"/>
        </w:rPr>
        <w:t>。</w:t>
      </w:r>
    </w:p>
    <w:p w14:paraId="6E58E18A">
      <w:pPr>
        <w:pStyle w:val="15"/>
        <w:adjustRightInd w:val="0"/>
        <w:snapToGrid w:val="0"/>
        <w:spacing w:line="440" w:lineRule="exact"/>
        <w:ind w:firstLine="420" w:firstLineChars="200"/>
        <w:jc w:val="left"/>
        <w:rPr>
          <w:rFonts w:hint="eastAsia" w:cs="宋体"/>
          <w:color w:val="auto"/>
          <w:sz w:val="21"/>
          <w:szCs w:val="21"/>
          <w:highlight w:val="none"/>
          <w:lang w:eastAsia="zh-CN"/>
        </w:rPr>
      </w:pPr>
      <w:r>
        <w:rPr>
          <w:rFonts w:hint="eastAsia" w:cs="宋体"/>
          <w:color w:val="auto"/>
          <w:sz w:val="21"/>
          <w:szCs w:val="21"/>
          <w:highlight w:val="none"/>
        </w:rPr>
        <w:t>5.2 交货期：</w:t>
      </w:r>
      <w:r>
        <w:rPr>
          <w:rFonts w:hint="eastAsia" w:cs="宋体"/>
          <w:color w:val="auto"/>
          <w:sz w:val="21"/>
          <w:szCs w:val="21"/>
          <w:highlight w:val="none"/>
          <w:lang w:eastAsia="zh-CN"/>
        </w:rPr>
        <w:t>自合同生效之日起</w:t>
      </w:r>
      <w:r>
        <w:rPr>
          <w:rFonts w:hint="eastAsia" w:cs="宋体"/>
          <w:color w:val="auto"/>
          <w:sz w:val="21"/>
          <w:szCs w:val="21"/>
          <w:highlight w:val="none"/>
          <w:lang w:val="en-US" w:eastAsia="zh-CN"/>
        </w:rPr>
        <w:t>4</w:t>
      </w:r>
      <w:r>
        <w:rPr>
          <w:rFonts w:hint="eastAsia" w:cs="宋体"/>
          <w:color w:val="auto"/>
          <w:sz w:val="21"/>
          <w:szCs w:val="21"/>
          <w:highlight w:val="none"/>
          <w:lang w:eastAsia="zh-CN"/>
        </w:rPr>
        <w:t>个月内全部到货并安装调试完毕。</w:t>
      </w:r>
    </w:p>
    <w:p w14:paraId="01886EF9">
      <w:pPr>
        <w:pStyle w:val="15"/>
        <w:adjustRightInd w:val="0"/>
        <w:snapToGrid w:val="0"/>
        <w:spacing w:line="440" w:lineRule="exact"/>
        <w:ind w:firstLine="420" w:firstLineChars="200"/>
        <w:jc w:val="left"/>
        <w:rPr>
          <w:rFonts w:cs="宋体"/>
          <w:color w:val="auto"/>
          <w:sz w:val="21"/>
          <w:szCs w:val="21"/>
          <w:highlight w:val="none"/>
        </w:rPr>
      </w:pPr>
      <w:r>
        <w:rPr>
          <w:rFonts w:hint="eastAsia" w:cs="宋体"/>
          <w:color w:val="auto"/>
          <w:sz w:val="21"/>
          <w:szCs w:val="21"/>
          <w:highlight w:val="none"/>
        </w:rPr>
        <w:t>5.3交货地点：</w:t>
      </w:r>
      <w:r>
        <w:rPr>
          <w:rFonts w:hint="eastAsia" w:cs="宋体"/>
          <w:color w:val="auto"/>
          <w:sz w:val="21"/>
          <w:szCs w:val="21"/>
          <w:highlight w:val="none"/>
          <w:lang w:val="en-US" w:eastAsia="zh-CN"/>
        </w:rPr>
        <w:t>郑州市</w:t>
      </w:r>
      <w:r>
        <w:rPr>
          <w:rFonts w:hint="eastAsia" w:cs="宋体"/>
          <w:color w:val="auto"/>
          <w:sz w:val="21"/>
          <w:szCs w:val="21"/>
          <w:highlight w:val="none"/>
        </w:rPr>
        <w:t>；</w:t>
      </w:r>
    </w:p>
    <w:p w14:paraId="70AA55D7">
      <w:pPr>
        <w:pStyle w:val="15"/>
        <w:adjustRightInd w:val="0"/>
        <w:snapToGrid w:val="0"/>
        <w:spacing w:line="440" w:lineRule="exact"/>
        <w:ind w:firstLine="420" w:firstLineChars="200"/>
        <w:jc w:val="left"/>
        <w:rPr>
          <w:rFonts w:cs="宋体"/>
          <w:color w:val="auto"/>
          <w:sz w:val="21"/>
          <w:szCs w:val="21"/>
          <w:highlight w:val="none"/>
        </w:rPr>
      </w:pPr>
      <w:r>
        <w:rPr>
          <w:rFonts w:hint="eastAsia" w:cs="宋体"/>
          <w:color w:val="auto"/>
          <w:sz w:val="21"/>
          <w:szCs w:val="21"/>
          <w:highlight w:val="none"/>
        </w:rPr>
        <w:t>5.4质量要求：</w:t>
      </w:r>
      <w:r>
        <w:rPr>
          <w:rFonts w:hint="eastAsia" w:cs="宋体"/>
          <w:color w:val="auto"/>
          <w:sz w:val="21"/>
          <w:szCs w:val="21"/>
          <w:highlight w:val="none"/>
          <w:lang w:eastAsia="zh-CN"/>
        </w:rPr>
        <w:t>符合国家、行业现行验收规范和标准，满足采购人的相关要求</w:t>
      </w:r>
      <w:r>
        <w:rPr>
          <w:rFonts w:hint="eastAsia" w:cs="宋体"/>
          <w:color w:val="auto"/>
          <w:sz w:val="21"/>
          <w:szCs w:val="21"/>
          <w:highlight w:val="none"/>
        </w:rPr>
        <w:t>；</w:t>
      </w:r>
    </w:p>
    <w:p w14:paraId="034497F7">
      <w:pPr>
        <w:pStyle w:val="15"/>
        <w:adjustRightInd w:val="0"/>
        <w:snapToGrid w:val="0"/>
        <w:spacing w:line="440" w:lineRule="exact"/>
        <w:ind w:firstLine="420" w:firstLineChars="200"/>
        <w:jc w:val="left"/>
        <w:rPr>
          <w:rFonts w:hint="eastAsia" w:cs="宋体"/>
          <w:b w:val="0"/>
          <w:bCs w:val="0"/>
          <w:color w:val="auto"/>
          <w:sz w:val="21"/>
          <w:szCs w:val="21"/>
          <w:highlight w:val="none"/>
          <w:lang w:eastAsia="zh-CN"/>
        </w:rPr>
      </w:pPr>
      <w:r>
        <w:rPr>
          <w:rFonts w:hint="eastAsia" w:cs="宋体"/>
          <w:color w:val="auto"/>
          <w:sz w:val="21"/>
          <w:szCs w:val="21"/>
          <w:highlight w:val="none"/>
        </w:rPr>
        <w:t>5.5质保期：</w:t>
      </w:r>
      <w:r>
        <w:rPr>
          <w:rFonts w:hint="eastAsia" w:cs="宋体"/>
          <w:b w:val="0"/>
          <w:bCs w:val="0"/>
          <w:color w:val="auto"/>
          <w:sz w:val="21"/>
          <w:szCs w:val="21"/>
          <w:highlight w:val="none"/>
          <w:lang w:eastAsia="zh-CN"/>
        </w:rPr>
        <w:t>自验收合格之日起质保不少于</w:t>
      </w:r>
      <w:r>
        <w:rPr>
          <w:rFonts w:hint="eastAsia" w:cs="宋体"/>
          <w:b w:val="0"/>
          <w:bCs w:val="0"/>
          <w:color w:val="auto"/>
          <w:sz w:val="21"/>
          <w:szCs w:val="21"/>
          <w:highlight w:val="none"/>
          <w:lang w:val="en-US" w:eastAsia="zh-CN"/>
        </w:rPr>
        <w:t>3</w:t>
      </w:r>
      <w:r>
        <w:rPr>
          <w:rFonts w:hint="eastAsia" w:cs="宋体"/>
          <w:b w:val="0"/>
          <w:bCs w:val="0"/>
          <w:color w:val="auto"/>
          <w:sz w:val="21"/>
          <w:szCs w:val="21"/>
          <w:highlight w:val="none"/>
          <w:lang w:eastAsia="zh-CN"/>
        </w:rPr>
        <w:t>年</w:t>
      </w:r>
      <w:r>
        <w:rPr>
          <w:rFonts w:hint="eastAsia" w:cs="宋体"/>
          <w:b w:val="0"/>
          <w:bCs w:val="0"/>
          <w:color w:val="auto"/>
          <w:sz w:val="21"/>
          <w:szCs w:val="21"/>
          <w:highlight w:val="none"/>
        </w:rPr>
        <w:t>；</w:t>
      </w:r>
    </w:p>
    <w:p w14:paraId="260A8607">
      <w:pPr>
        <w:pStyle w:val="15"/>
        <w:adjustRightInd w:val="0"/>
        <w:snapToGrid w:val="0"/>
        <w:spacing w:line="440" w:lineRule="exact"/>
        <w:ind w:firstLine="420" w:firstLineChars="200"/>
        <w:jc w:val="left"/>
        <w:rPr>
          <w:rFonts w:cs="宋体"/>
          <w:color w:val="auto"/>
          <w:sz w:val="21"/>
          <w:szCs w:val="21"/>
          <w:highlight w:val="none"/>
        </w:rPr>
      </w:pPr>
      <w:r>
        <w:rPr>
          <w:rFonts w:hint="eastAsia" w:cs="宋体"/>
          <w:color w:val="auto"/>
          <w:sz w:val="21"/>
          <w:szCs w:val="21"/>
          <w:highlight w:val="none"/>
        </w:rPr>
        <w:t>5.6资金来源：财政资金；</w:t>
      </w:r>
    </w:p>
    <w:p w14:paraId="385C6F17">
      <w:pPr>
        <w:pStyle w:val="15"/>
        <w:adjustRightInd w:val="0"/>
        <w:snapToGrid w:val="0"/>
        <w:spacing w:line="440" w:lineRule="exact"/>
        <w:ind w:firstLine="420" w:firstLineChars="200"/>
        <w:jc w:val="left"/>
        <w:rPr>
          <w:rFonts w:hint="eastAsia" w:cs="宋体"/>
          <w:color w:val="auto"/>
          <w:sz w:val="21"/>
          <w:szCs w:val="21"/>
          <w:highlight w:val="none"/>
        </w:rPr>
      </w:pPr>
      <w:r>
        <w:rPr>
          <w:rFonts w:hint="eastAsia" w:cs="宋体"/>
          <w:color w:val="auto"/>
          <w:sz w:val="21"/>
          <w:szCs w:val="21"/>
          <w:highlight w:val="none"/>
        </w:rPr>
        <w:t>5.7包段划分：分为</w:t>
      </w:r>
      <w:r>
        <w:rPr>
          <w:rFonts w:hint="eastAsia" w:cs="宋体"/>
          <w:color w:val="auto"/>
          <w:sz w:val="21"/>
          <w:szCs w:val="21"/>
          <w:highlight w:val="none"/>
          <w:lang w:val="en-US" w:eastAsia="zh-CN"/>
        </w:rPr>
        <w:t>四</w:t>
      </w:r>
      <w:r>
        <w:rPr>
          <w:rFonts w:hint="eastAsia" w:cs="宋体"/>
          <w:color w:val="auto"/>
          <w:sz w:val="21"/>
          <w:szCs w:val="21"/>
          <w:highlight w:val="none"/>
        </w:rPr>
        <w:t>个包</w:t>
      </w:r>
    </w:p>
    <w:p w14:paraId="6548C1AC">
      <w:pPr>
        <w:pStyle w:val="15"/>
        <w:adjustRightInd w:val="0"/>
        <w:snapToGrid w:val="0"/>
        <w:spacing w:line="440" w:lineRule="exact"/>
        <w:ind w:firstLine="420" w:firstLineChars="200"/>
        <w:jc w:val="left"/>
        <w:rPr>
          <w:rFonts w:hint="eastAsia" w:cs="宋体"/>
          <w:color w:val="auto"/>
          <w:sz w:val="21"/>
          <w:szCs w:val="21"/>
          <w:highlight w:val="none"/>
        </w:rPr>
      </w:pPr>
      <w:r>
        <w:rPr>
          <w:rFonts w:hint="eastAsia" w:cs="宋体"/>
          <w:color w:val="auto"/>
          <w:sz w:val="21"/>
          <w:szCs w:val="21"/>
          <w:highlight w:val="none"/>
          <w:lang w:eastAsia="zh-CN"/>
        </w:rPr>
        <w:t>包1</w:t>
      </w:r>
      <w:r>
        <w:rPr>
          <w:rFonts w:hint="eastAsia" w:cs="宋体"/>
          <w:color w:val="auto"/>
          <w:sz w:val="21"/>
          <w:szCs w:val="21"/>
          <w:highlight w:val="none"/>
        </w:rPr>
        <w:t>：材料智能设计平台</w:t>
      </w:r>
      <w:r>
        <w:rPr>
          <w:rFonts w:hint="eastAsia" w:cs="宋体"/>
          <w:color w:val="auto"/>
          <w:sz w:val="21"/>
          <w:szCs w:val="21"/>
          <w:highlight w:val="none"/>
          <w:lang w:eastAsia="zh-CN"/>
        </w:rPr>
        <w:t>；</w:t>
      </w:r>
    </w:p>
    <w:p w14:paraId="766BE1E9">
      <w:pPr>
        <w:pStyle w:val="15"/>
        <w:adjustRightInd w:val="0"/>
        <w:snapToGrid w:val="0"/>
        <w:spacing w:line="440" w:lineRule="exact"/>
        <w:ind w:firstLine="420" w:firstLineChars="200"/>
        <w:jc w:val="left"/>
        <w:rPr>
          <w:rFonts w:hint="eastAsia" w:cs="宋体"/>
          <w:color w:val="auto"/>
          <w:sz w:val="21"/>
          <w:szCs w:val="21"/>
          <w:highlight w:val="none"/>
        </w:rPr>
      </w:pPr>
      <w:r>
        <w:rPr>
          <w:rFonts w:hint="eastAsia" w:cs="宋体"/>
          <w:color w:val="auto"/>
          <w:sz w:val="21"/>
          <w:szCs w:val="21"/>
          <w:highlight w:val="none"/>
          <w:lang w:val="en-US" w:eastAsia="zh-CN"/>
        </w:rPr>
        <w:t>包2</w:t>
      </w:r>
      <w:r>
        <w:rPr>
          <w:rFonts w:hint="eastAsia" w:cs="宋体"/>
          <w:color w:val="auto"/>
          <w:sz w:val="21"/>
          <w:szCs w:val="21"/>
          <w:highlight w:val="none"/>
        </w:rPr>
        <w:t>：</w:t>
      </w:r>
      <w:r>
        <w:rPr>
          <w:rFonts w:hint="eastAsia" w:cs="宋体"/>
          <w:color w:val="auto"/>
          <w:sz w:val="21"/>
          <w:szCs w:val="21"/>
          <w:highlight w:val="none"/>
          <w:lang w:eastAsia="zh-CN"/>
        </w:rPr>
        <w:t>私有云平台、数据采集和终端；</w:t>
      </w:r>
    </w:p>
    <w:p w14:paraId="3873F04F">
      <w:pPr>
        <w:pStyle w:val="15"/>
        <w:adjustRightInd w:val="0"/>
        <w:snapToGrid w:val="0"/>
        <w:spacing w:line="440" w:lineRule="exact"/>
        <w:ind w:firstLine="420" w:firstLineChars="200"/>
        <w:jc w:val="left"/>
        <w:rPr>
          <w:rFonts w:hint="eastAsia" w:cs="宋体"/>
          <w:color w:val="auto"/>
          <w:sz w:val="21"/>
          <w:szCs w:val="21"/>
          <w:highlight w:val="none"/>
          <w:lang w:eastAsia="zh-CN"/>
        </w:rPr>
      </w:pPr>
      <w:r>
        <w:rPr>
          <w:rFonts w:hint="eastAsia" w:cs="宋体"/>
          <w:color w:val="auto"/>
          <w:sz w:val="21"/>
          <w:szCs w:val="21"/>
          <w:highlight w:val="none"/>
          <w:lang w:val="en-US" w:eastAsia="zh-CN"/>
        </w:rPr>
        <w:t>包3</w:t>
      </w:r>
      <w:r>
        <w:rPr>
          <w:rFonts w:hint="eastAsia" w:cs="宋体"/>
          <w:color w:val="auto"/>
          <w:sz w:val="21"/>
          <w:szCs w:val="21"/>
          <w:highlight w:val="none"/>
          <w:lang w:eastAsia="zh-CN"/>
        </w:rPr>
        <w:t>：智能锻造设备；</w:t>
      </w:r>
    </w:p>
    <w:p w14:paraId="736E8273">
      <w:pPr>
        <w:pStyle w:val="15"/>
        <w:adjustRightInd w:val="0"/>
        <w:snapToGrid w:val="0"/>
        <w:spacing w:line="440" w:lineRule="exact"/>
        <w:ind w:firstLine="420" w:firstLineChars="200"/>
        <w:jc w:val="left"/>
        <w:rPr>
          <w:rFonts w:hint="eastAsia" w:cs="宋体"/>
          <w:color w:val="auto"/>
          <w:sz w:val="21"/>
          <w:szCs w:val="21"/>
          <w:highlight w:val="none"/>
        </w:rPr>
      </w:pPr>
      <w:r>
        <w:rPr>
          <w:rFonts w:hint="eastAsia" w:cs="宋体"/>
          <w:color w:val="auto"/>
          <w:sz w:val="21"/>
          <w:szCs w:val="21"/>
          <w:highlight w:val="none"/>
          <w:lang w:val="en-US" w:eastAsia="zh-CN"/>
        </w:rPr>
        <w:t>包4</w:t>
      </w:r>
      <w:r>
        <w:rPr>
          <w:rFonts w:hint="eastAsia" w:cs="宋体"/>
          <w:color w:val="auto"/>
          <w:sz w:val="21"/>
          <w:szCs w:val="21"/>
          <w:highlight w:val="none"/>
        </w:rPr>
        <w:t>：块体材料高通量制备系统</w:t>
      </w:r>
      <w:r>
        <w:rPr>
          <w:rFonts w:hint="eastAsia" w:cs="宋体"/>
          <w:color w:val="auto"/>
          <w:sz w:val="21"/>
          <w:szCs w:val="21"/>
          <w:highlight w:val="none"/>
          <w:lang w:eastAsia="zh-CN"/>
        </w:rPr>
        <w:t>。</w:t>
      </w:r>
    </w:p>
    <w:p w14:paraId="146AB6C4">
      <w:pPr>
        <w:pStyle w:val="12"/>
        <w:snapToGrid w:val="0"/>
        <w:spacing w:line="440" w:lineRule="exact"/>
        <w:ind w:firstLine="420" w:firstLineChars="200"/>
        <w:rPr>
          <w:rFonts w:cs="宋体"/>
          <w:color w:val="auto"/>
          <w:sz w:val="21"/>
          <w:szCs w:val="21"/>
          <w:highlight w:val="none"/>
        </w:rPr>
      </w:pPr>
      <w:r>
        <w:rPr>
          <w:rFonts w:hint="eastAsia" w:cs="宋体"/>
          <w:color w:val="auto"/>
          <w:sz w:val="21"/>
          <w:szCs w:val="21"/>
          <w:highlight w:val="none"/>
        </w:rPr>
        <w:t>6、合同履行期限：以合同约定为准。</w:t>
      </w:r>
    </w:p>
    <w:p w14:paraId="4445AE0D">
      <w:pPr>
        <w:pStyle w:val="15"/>
        <w:adjustRightInd w:val="0"/>
        <w:snapToGrid w:val="0"/>
        <w:spacing w:line="440" w:lineRule="exact"/>
        <w:ind w:firstLine="420" w:firstLineChars="200"/>
        <w:jc w:val="left"/>
        <w:rPr>
          <w:rFonts w:cs="宋体"/>
          <w:color w:val="auto"/>
          <w:sz w:val="21"/>
          <w:szCs w:val="21"/>
          <w:highlight w:val="none"/>
        </w:rPr>
      </w:pPr>
      <w:r>
        <w:rPr>
          <w:rFonts w:hint="eastAsia" w:cs="宋体"/>
          <w:color w:val="auto"/>
          <w:sz w:val="21"/>
          <w:szCs w:val="21"/>
          <w:highlight w:val="none"/>
        </w:rPr>
        <w:t>7、本项目是否接受联合体投标：否。</w:t>
      </w:r>
    </w:p>
    <w:p w14:paraId="43E14D5F">
      <w:pPr>
        <w:pStyle w:val="15"/>
        <w:adjustRightInd w:val="0"/>
        <w:snapToGrid w:val="0"/>
        <w:spacing w:line="440" w:lineRule="exact"/>
        <w:ind w:firstLine="420" w:firstLineChars="200"/>
        <w:jc w:val="left"/>
        <w:rPr>
          <w:rFonts w:cs="宋体"/>
          <w:color w:val="auto"/>
          <w:kern w:val="0"/>
          <w:sz w:val="21"/>
          <w:szCs w:val="21"/>
          <w:highlight w:val="none"/>
        </w:rPr>
      </w:pPr>
      <w:r>
        <w:rPr>
          <w:rFonts w:hint="eastAsia" w:cs="宋体"/>
          <w:color w:val="auto"/>
          <w:sz w:val="21"/>
          <w:szCs w:val="21"/>
          <w:highlight w:val="none"/>
        </w:rPr>
        <w:t>8、是否接受进口产品：</w:t>
      </w:r>
      <w:r>
        <w:rPr>
          <w:rFonts w:hint="eastAsia" w:cs="宋体"/>
          <w:color w:val="auto"/>
          <w:sz w:val="21"/>
          <w:szCs w:val="21"/>
          <w:highlight w:val="none"/>
          <w:lang w:val="en-US" w:eastAsia="zh-CN"/>
        </w:rPr>
        <w:t>否</w:t>
      </w:r>
      <w:r>
        <w:rPr>
          <w:rFonts w:hint="eastAsia" w:cs="宋体"/>
          <w:color w:val="auto"/>
          <w:sz w:val="21"/>
          <w:szCs w:val="21"/>
          <w:highlight w:val="none"/>
          <w:lang w:eastAsia="zh-CN"/>
        </w:rPr>
        <w:t>。</w:t>
      </w:r>
    </w:p>
    <w:p w14:paraId="0E5B2C8F">
      <w:pPr>
        <w:pStyle w:val="15"/>
        <w:tabs>
          <w:tab w:val="center" w:pos="4153"/>
        </w:tabs>
        <w:adjustRightInd w:val="0"/>
        <w:snapToGrid w:val="0"/>
        <w:spacing w:line="440" w:lineRule="exact"/>
        <w:ind w:firstLine="420" w:firstLineChars="200"/>
        <w:jc w:val="left"/>
        <w:rPr>
          <w:color w:val="auto"/>
          <w:highlight w:val="none"/>
        </w:rPr>
      </w:pPr>
      <w:r>
        <w:rPr>
          <w:rFonts w:hint="eastAsia" w:cs="宋体"/>
          <w:color w:val="auto"/>
          <w:sz w:val="21"/>
          <w:szCs w:val="21"/>
          <w:highlight w:val="none"/>
        </w:rPr>
        <w:t>9、是否专门面向中小企业：否。</w:t>
      </w:r>
    </w:p>
    <w:p w14:paraId="2ADC5D64">
      <w:pPr>
        <w:pStyle w:val="12"/>
        <w:snapToGrid w:val="0"/>
        <w:spacing w:line="440" w:lineRule="exact"/>
        <w:ind w:firstLine="422" w:firstLineChars="200"/>
        <w:rPr>
          <w:rFonts w:cs="宋体"/>
          <w:b/>
          <w:bCs/>
          <w:color w:val="auto"/>
          <w:sz w:val="21"/>
          <w:szCs w:val="21"/>
          <w:highlight w:val="none"/>
        </w:rPr>
      </w:pPr>
      <w:r>
        <w:rPr>
          <w:rFonts w:hint="eastAsia" w:cs="宋体"/>
          <w:b/>
          <w:bCs/>
          <w:color w:val="auto"/>
          <w:sz w:val="21"/>
          <w:szCs w:val="21"/>
          <w:highlight w:val="none"/>
        </w:rPr>
        <w:t>二、申请人资格要求：</w:t>
      </w:r>
    </w:p>
    <w:p w14:paraId="53DD8E7D">
      <w:pPr>
        <w:adjustRightInd w:val="0"/>
        <w:snapToGrid w:val="0"/>
        <w:spacing w:line="44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1、满足《中华人民共和国政府采购法》第二十二条规定；</w:t>
      </w:r>
    </w:p>
    <w:p w14:paraId="3330D191">
      <w:pPr>
        <w:adjustRightInd w:val="0"/>
        <w:snapToGrid w:val="0"/>
        <w:spacing w:line="44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2、落实政府采购政策满足的资格要求：无；</w:t>
      </w:r>
    </w:p>
    <w:p w14:paraId="4C7BB7D1">
      <w:pPr>
        <w:adjustRightInd w:val="0"/>
        <w:snapToGrid w:val="0"/>
        <w:spacing w:line="44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3、本项目的特定资格要求</w:t>
      </w:r>
    </w:p>
    <w:p w14:paraId="64F9AFF9">
      <w:pPr>
        <w:pStyle w:val="15"/>
        <w:adjustRightInd w:val="0"/>
        <w:snapToGrid w:val="0"/>
        <w:spacing w:line="440" w:lineRule="exact"/>
        <w:ind w:firstLine="420" w:firstLineChars="200"/>
        <w:rPr>
          <w:rFonts w:cs="宋体"/>
          <w:color w:val="auto"/>
          <w:kern w:val="0"/>
          <w:sz w:val="21"/>
          <w:szCs w:val="21"/>
          <w:highlight w:val="none"/>
        </w:rPr>
      </w:pPr>
      <w:r>
        <w:rPr>
          <w:rFonts w:hint="eastAsia" w:cs="宋体"/>
          <w:color w:val="auto"/>
          <w:kern w:val="0"/>
          <w:sz w:val="21"/>
          <w:szCs w:val="21"/>
          <w:highlight w:val="none"/>
        </w:rPr>
        <w:t>3.1根据《关于在政府采购活动中查询及使用信用记录有关问题的通知》(财库[2016]125号)和豫财购[2016]15号的规定，对列入失信被执行人、重大税收违法失信主体、政府采购严重违法失信行为记录名单的企业，拒绝参与本项目招标采购活动（查询渠道：“信用中国”网站（www.creditchina.gov.cn）查询：列入失信被执行人、重大税收违法失信主体，中国政府采购网（www.ccgp.gov.cn）：政府采购严重违法失信行为记录名单）；注：采购代理机构在</w:t>
      </w:r>
      <w:r>
        <w:rPr>
          <w:rFonts w:hint="eastAsia" w:cs="宋体"/>
          <w:color w:val="auto"/>
          <w:kern w:val="0"/>
          <w:sz w:val="21"/>
          <w:szCs w:val="21"/>
          <w:highlight w:val="none"/>
          <w:lang w:eastAsia="zh-CN"/>
        </w:rPr>
        <w:t>开标</w:t>
      </w:r>
      <w:r>
        <w:rPr>
          <w:rFonts w:hint="eastAsia" w:cs="宋体"/>
          <w:color w:val="auto"/>
          <w:kern w:val="0"/>
          <w:sz w:val="21"/>
          <w:szCs w:val="21"/>
          <w:highlight w:val="none"/>
        </w:rPr>
        <w:t>当天将对所有参与本项目投标的供应商的信用情况（失信被执行人、重大税收违法失信主体、政府采购严重违法失信行为记录名单）进行查询、打印留存。若在</w:t>
      </w:r>
      <w:r>
        <w:rPr>
          <w:rFonts w:hint="eastAsia" w:cs="宋体"/>
          <w:color w:val="auto"/>
          <w:kern w:val="0"/>
          <w:sz w:val="21"/>
          <w:szCs w:val="21"/>
          <w:highlight w:val="none"/>
          <w:lang w:eastAsia="zh-CN"/>
        </w:rPr>
        <w:t>开标</w:t>
      </w:r>
      <w:r>
        <w:rPr>
          <w:rFonts w:hint="eastAsia" w:cs="宋体"/>
          <w:color w:val="auto"/>
          <w:kern w:val="0"/>
          <w:sz w:val="21"/>
          <w:szCs w:val="21"/>
          <w:highlight w:val="none"/>
        </w:rPr>
        <w:t>当天查询到供应商有相关负面信息的，则该供应商递交的</w:t>
      </w:r>
      <w:r>
        <w:rPr>
          <w:rFonts w:hint="eastAsia" w:cs="宋体"/>
          <w:color w:val="auto"/>
          <w:kern w:val="0"/>
          <w:sz w:val="21"/>
          <w:szCs w:val="21"/>
          <w:highlight w:val="none"/>
          <w:lang w:eastAsia="zh-CN"/>
        </w:rPr>
        <w:t>投标</w:t>
      </w:r>
      <w:r>
        <w:rPr>
          <w:rFonts w:hint="eastAsia" w:cs="宋体"/>
          <w:color w:val="auto"/>
          <w:kern w:val="0"/>
          <w:sz w:val="21"/>
          <w:szCs w:val="21"/>
          <w:highlight w:val="none"/>
        </w:rPr>
        <w:t>文件按无效处理；</w:t>
      </w:r>
    </w:p>
    <w:p w14:paraId="10B06C46">
      <w:pPr>
        <w:pStyle w:val="15"/>
        <w:adjustRightInd w:val="0"/>
        <w:snapToGrid w:val="0"/>
        <w:spacing w:line="440" w:lineRule="exact"/>
        <w:ind w:firstLine="420" w:firstLineChars="200"/>
        <w:rPr>
          <w:rFonts w:hint="eastAsia" w:cs="宋体"/>
          <w:color w:val="auto"/>
          <w:kern w:val="0"/>
          <w:sz w:val="21"/>
          <w:szCs w:val="21"/>
          <w:highlight w:val="none"/>
        </w:rPr>
      </w:pPr>
      <w:r>
        <w:rPr>
          <w:rFonts w:hint="eastAsia" w:cs="宋体"/>
          <w:color w:val="auto"/>
          <w:kern w:val="0"/>
          <w:sz w:val="21"/>
          <w:szCs w:val="21"/>
          <w:highlight w:val="none"/>
        </w:rPr>
        <w:t>3.2单位负责人为同一人或者存在直接控股、管理关系的不同供应商，不得参加同一合同项下的政府采购活动。</w:t>
      </w:r>
    </w:p>
    <w:p w14:paraId="6B59E1BD">
      <w:pPr>
        <w:pStyle w:val="15"/>
        <w:adjustRightInd w:val="0"/>
        <w:snapToGrid w:val="0"/>
        <w:spacing w:line="440" w:lineRule="exact"/>
        <w:ind w:firstLine="422" w:firstLineChars="200"/>
        <w:rPr>
          <w:rFonts w:cs="宋体"/>
          <w:b/>
          <w:bCs/>
          <w:color w:val="auto"/>
          <w:kern w:val="0"/>
          <w:sz w:val="21"/>
          <w:szCs w:val="21"/>
          <w:highlight w:val="none"/>
        </w:rPr>
      </w:pPr>
      <w:r>
        <w:rPr>
          <w:rFonts w:hint="eastAsia" w:cs="宋体"/>
          <w:b/>
          <w:bCs/>
          <w:color w:val="auto"/>
          <w:kern w:val="0"/>
          <w:sz w:val="21"/>
          <w:szCs w:val="21"/>
          <w:highlight w:val="none"/>
        </w:rPr>
        <w:t>三、获取招标文件</w:t>
      </w:r>
    </w:p>
    <w:p w14:paraId="0C1D8170">
      <w:pPr>
        <w:pStyle w:val="12"/>
        <w:tabs>
          <w:tab w:val="left" w:pos="312"/>
        </w:tabs>
        <w:snapToGrid w:val="0"/>
        <w:spacing w:line="440" w:lineRule="exact"/>
        <w:ind w:firstLine="420" w:firstLineChars="200"/>
        <w:rPr>
          <w:rFonts w:cs="宋体"/>
          <w:color w:val="auto"/>
          <w:sz w:val="21"/>
          <w:szCs w:val="21"/>
          <w:highlight w:val="none"/>
        </w:rPr>
      </w:pPr>
      <w:r>
        <w:rPr>
          <w:rFonts w:hint="eastAsia" w:cs="宋体"/>
          <w:color w:val="auto"/>
          <w:sz w:val="21"/>
          <w:szCs w:val="21"/>
          <w:highlight w:val="none"/>
        </w:rPr>
        <w:t>1.时间：202</w:t>
      </w:r>
      <w:r>
        <w:rPr>
          <w:rFonts w:hint="eastAsia" w:cs="宋体"/>
          <w:color w:val="auto"/>
          <w:sz w:val="21"/>
          <w:szCs w:val="21"/>
          <w:highlight w:val="none"/>
          <w:lang w:val="en-US" w:eastAsia="zh-CN"/>
        </w:rPr>
        <w:t>5</w:t>
      </w:r>
      <w:r>
        <w:rPr>
          <w:rFonts w:hint="eastAsia" w:cs="宋体"/>
          <w:color w:val="auto"/>
          <w:sz w:val="21"/>
          <w:szCs w:val="21"/>
          <w:highlight w:val="none"/>
        </w:rPr>
        <w:t>年</w:t>
      </w:r>
      <w:r>
        <w:rPr>
          <w:rFonts w:hint="eastAsia" w:cs="宋体"/>
          <w:color w:val="auto"/>
          <w:sz w:val="21"/>
          <w:szCs w:val="21"/>
          <w:highlight w:val="none"/>
          <w:lang w:val="en-US" w:eastAsia="zh-CN"/>
        </w:rPr>
        <w:t>04</w:t>
      </w:r>
      <w:r>
        <w:rPr>
          <w:rFonts w:hint="eastAsia" w:cs="宋体"/>
          <w:color w:val="auto"/>
          <w:sz w:val="21"/>
          <w:szCs w:val="21"/>
          <w:highlight w:val="none"/>
        </w:rPr>
        <w:t>月</w:t>
      </w:r>
      <w:r>
        <w:rPr>
          <w:rFonts w:hint="eastAsia" w:cs="宋体"/>
          <w:color w:val="auto"/>
          <w:sz w:val="21"/>
          <w:szCs w:val="21"/>
          <w:highlight w:val="none"/>
          <w:lang w:val="en-US" w:eastAsia="zh-CN"/>
        </w:rPr>
        <w:t>10</w:t>
      </w:r>
      <w:r>
        <w:rPr>
          <w:rFonts w:hint="eastAsia" w:cs="宋体"/>
          <w:color w:val="auto"/>
          <w:sz w:val="21"/>
          <w:szCs w:val="21"/>
          <w:highlight w:val="none"/>
        </w:rPr>
        <w:t>日至202</w:t>
      </w:r>
      <w:r>
        <w:rPr>
          <w:rFonts w:hint="eastAsia" w:cs="宋体"/>
          <w:color w:val="auto"/>
          <w:sz w:val="21"/>
          <w:szCs w:val="21"/>
          <w:highlight w:val="none"/>
          <w:lang w:val="en-US" w:eastAsia="zh-CN"/>
        </w:rPr>
        <w:t>5</w:t>
      </w:r>
      <w:r>
        <w:rPr>
          <w:rFonts w:hint="eastAsia" w:cs="宋体"/>
          <w:color w:val="auto"/>
          <w:sz w:val="21"/>
          <w:szCs w:val="21"/>
          <w:highlight w:val="none"/>
        </w:rPr>
        <w:t>年</w:t>
      </w:r>
      <w:r>
        <w:rPr>
          <w:rFonts w:hint="eastAsia" w:cs="宋体"/>
          <w:color w:val="auto"/>
          <w:sz w:val="21"/>
          <w:szCs w:val="21"/>
          <w:highlight w:val="none"/>
          <w:lang w:val="en-US" w:eastAsia="zh-CN"/>
        </w:rPr>
        <w:t>04</w:t>
      </w:r>
      <w:r>
        <w:rPr>
          <w:rFonts w:hint="eastAsia" w:cs="宋体"/>
          <w:color w:val="auto"/>
          <w:sz w:val="21"/>
          <w:szCs w:val="21"/>
          <w:highlight w:val="none"/>
        </w:rPr>
        <w:t>月</w:t>
      </w:r>
      <w:r>
        <w:rPr>
          <w:rFonts w:hint="eastAsia" w:cs="宋体"/>
          <w:color w:val="auto"/>
          <w:sz w:val="21"/>
          <w:szCs w:val="21"/>
          <w:highlight w:val="none"/>
          <w:lang w:val="en-US" w:eastAsia="zh-CN"/>
        </w:rPr>
        <w:t>16</w:t>
      </w:r>
      <w:r>
        <w:rPr>
          <w:rFonts w:hint="eastAsia" w:cs="宋体"/>
          <w:color w:val="auto"/>
          <w:sz w:val="21"/>
          <w:szCs w:val="21"/>
          <w:highlight w:val="none"/>
        </w:rPr>
        <w:t>日，每天上午00:00至12:00，下午12:00至23:59（北京时间，法定节假日除外；</w:t>
      </w:r>
    </w:p>
    <w:p w14:paraId="31E22E20">
      <w:pPr>
        <w:pStyle w:val="12"/>
        <w:tabs>
          <w:tab w:val="left" w:pos="312"/>
        </w:tabs>
        <w:snapToGrid w:val="0"/>
        <w:spacing w:line="440" w:lineRule="exact"/>
        <w:ind w:firstLine="420" w:firstLineChars="200"/>
        <w:rPr>
          <w:rFonts w:cs="宋体"/>
          <w:color w:val="auto"/>
          <w:sz w:val="21"/>
          <w:szCs w:val="21"/>
          <w:highlight w:val="none"/>
        </w:rPr>
      </w:pPr>
      <w:r>
        <w:rPr>
          <w:rFonts w:hint="eastAsia" w:cs="宋体"/>
          <w:color w:val="auto"/>
          <w:sz w:val="21"/>
          <w:szCs w:val="21"/>
          <w:highlight w:val="none"/>
        </w:rPr>
        <w:t>2.地点：河南省公共资源交易中心（</w:t>
      </w:r>
      <w:r>
        <w:rPr>
          <w:rFonts w:hint="eastAsia" w:cs="宋体"/>
          <w:color w:val="auto"/>
          <w:sz w:val="21"/>
          <w:szCs w:val="21"/>
          <w:highlight w:val="none"/>
          <w:lang w:eastAsia="zh-CN"/>
        </w:rPr>
        <w:t>http://hnsggzyjy.henan.gov.cn/</w:t>
      </w:r>
      <w:r>
        <w:rPr>
          <w:rFonts w:hint="eastAsia" w:cs="宋体"/>
          <w:color w:val="auto"/>
          <w:sz w:val="21"/>
          <w:szCs w:val="21"/>
          <w:highlight w:val="none"/>
        </w:rPr>
        <w:t>）；</w:t>
      </w:r>
    </w:p>
    <w:p w14:paraId="3F197353">
      <w:pPr>
        <w:pStyle w:val="12"/>
        <w:tabs>
          <w:tab w:val="left" w:pos="312"/>
        </w:tabs>
        <w:snapToGrid w:val="0"/>
        <w:spacing w:line="440" w:lineRule="exact"/>
        <w:ind w:firstLine="420" w:firstLineChars="200"/>
        <w:rPr>
          <w:rFonts w:cs="宋体"/>
          <w:color w:val="auto"/>
          <w:sz w:val="21"/>
          <w:szCs w:val="21"/>
          <w:highlight w:val="none"/>
        </w:rPr>
      </w:pPr>
      <w:r>
        <w:rPr>
          <w:rFonts w:hint="eastAsia" w:cs="宋体"/>
          <w:color w:val="auto"/>
          <w:sz w:val="21"/>
          <w:szCs w:val="21"/>
          <w:highlight w:val="none"/>
        </w:rPr>
        <w:t>3.方式：凭CA密钥市场主体登录并在规定时间内按网上提示下载招标文件及资料；投标人需要完成信息登记及CA数字证书办理，才能通过省公共资源交易平台参与交易活动，具体办理事宜请查阅河南省公共资源交易中心网站“办事指南”专区的《河南省公共资源交易平台市场主体信息库登记指南（工程建设、政府采购）》；</w:t>
      </w:r>
    </w:p>
    <w:p w14:paraId="6C4EE7B4">
      <w:pPr>
        <w:pStyle w:val="12"/>
        <w:tabs>
          <w:tab w:val="left" w:pos="312"/>
        </w:tabs>
        <w:snapToGrid w:val="0"/>
        <w:spacing w:line="440" w:lineRule="exact"/>
        <w:ind w:firstLine="420" w:firstLineChars="200"/>
        <w:rPr>
          <w:rFonts w:cs="宋体"/>
          <w:color w:val="auto"/>
          <w:sz w:val="21"/>
          <w:szCs w:val="21"/>
          <w:highlight w:val="none"/>
        </w:rPr>
      </w:pPr>
      <w:r>
        <w:rPr>
          <w:rFonts w:hint="eastAsia" w:cs="宋体"/>
          <w:color w:val="auto"/>
          <w:sz w:val="21"/>
          <w:szCs w:val="21"/>
          <w:highlight w:val="none"/>
        </w:rPr>
        <w:t>4.售价：0元。</w:t>
      </w:r>
    </w:p>
    <w:p w14:paraId="11A5EE72">
      <w:pPr>
        <w:pStyle w:val="12"/>
        <w:snapToGrid w:val="0"/>
        <w:spacing w:line="440" w:lineRule="exact"/>
        <w:ind w:firstLine="422" w:firstLineChars="200"/>
        <w:rPr>
          <w:rFonts w:cs="宋体"/>
          <w:b/>
          <w:bCs/>
          <w:color w:val="auto"/>
          <w:sz w:val="21"/>
          <w:szCs w:val="21"/>
          <w:highlight w:val="none"/>
        </w:rPr>
      </w:pPr>
      <w:r>
        <w:rPr>
          <w:rFonts w:hint="eastAsia" w:cs="宋体"/>
          <w:b/>
          <w:bCs/>
          <w:color w:val="auto"/>
          <w:sz w:val="21"/>
          <w:szCs w:val="21"/>
          <w:highlight w:val="none"/>
        </w:rPr>
        <w:t>四、投标截止时间及地点</w:t>
      </w:r>
    </w:p>
    <w:p w14:paraId="660BBB99">
      <w:pPr>
        <w:pStyle w:val="12"/>
        <w:tabs>
          <w:tab w:val="left" w:pos="312"/>
        </w:tabs>
        <w:snapToGrid w:val="0"/>
        <w:spacing w:line="440" w:lineRule="exact"/>
        <w:ind w:firstLine="420" w:firstLineChars="200"/>
        <w:rPr>
          <w:rFonts w:cs="宋体"/>
          <w:color w:val="auto"/>
          <w:sz w:val="21"/>
          <w:szCs w:val="21"/>
          <w:highlight w:val="none"/>
        </w:rPr>
      </w:pPr>
      <w:r>
        <w:rPr>
          <w:rFonts w:hint="eastAsia" w:cs="宋体"/>
          <w:color w:val="auto"/>
          <w:sz w:val="21"/>
          <w:szCs w:val="21"/>
          <w:highlight w:val="none"/>
        </w:rPr>
        <w:t>1.时间：202</w:t>
      </w:r>
      <w:r>
        <w:rPr>
          <w:rFonts w:hint="eastAsia" w:cs="宋体"/>
          <w:color w:val="auto"/>
          <w:sz w:val="21"/>
          <w:szCs w:val="21"/>
          <w:highlight w:val="none"/>
          <w:lang w:val="en-US" w:eastAsia="zh-CN"/>
        </w:rPr>
        <w:t>5</w:t>
      </w:r>
      <w:r>
        <w:rPr>
          <w:rFonts w:hint="eastAsia" w:cs="宋体"/>
          <w:color w:val="auto"/>
          <w:sz w:val="21"/>
          <w:szCs w:val="21"/>
          <w:highlight w:val="none"/>
        </w:rPr>
        <w:t>年</w:t>
      </w:r>
      <w:r>
        <w:rPr>
          <w:rFonts w:hint="eastAsia" w:cs="宋体"/>
          <w:color w:val="auto"/>
          <w:sz w:val="21"/>
          <w:szCs w:val="21"/>
          <w:highlight w:val="none"/>
          <w:lang w:val="en-US" w:eastAsia="zh-CN"/>
        </w:rPr>
        <w:t>04</w:t>
      </w:r>
      <w:r>
        <w:rPr>
          <w:rFonts w:hint="eastAsia" w:cs="宋体"/>
          <w:color w:val="auto"/>
          <w:sz w:val="21"/>
          <w:szCs w:val="21"/>
          <w:highlight w:val="none"/>
        </w:rPr>
        <w:t>月</w:t>
      </w:r>
      <w:r>
        <w:rPr>
          <w:rFonts w:hint="eastAsia" w:cs="宋体"/>
          <w:color w:val="auto"/>
          <w:sz w:val="21"/>
          <w:szCs w:val="21"/>
          <w:highlight w:val="none"/>
          <w:lang w:val="en-US" w:eastAsia="zh-CN"/>
        </w:rPr>
        <w:t>30</w:t>
      </w:r>
      <w:r>
        <w:rPr>
          <w:rFonts w:hint="eastAsia" w:cs="宋体"/>
          <w:color w:val="auto"/>
          <w:sz w:val="21"/>
          <w:szCs w:val="21"/>
          <w:highlight w:val="none"/>
        </w:rPr>
        <w:t>日09时00分（北京时间）；</w:t>
      </w:r>
    </w:p>
    <w:p w14:paraId="2A927B59">
      <w:pPr>
        <w:pStyle w:val="12"/>
        <w:tabs>
          <w:tab w:val="left" w:pos="312"/>
        </w:tabs>
        <w:snapToGrid w:val="0"/>
        <w:spacing w:line="440" w:lineRule="exact"/>
        <w:ind w:firstLine="420" w:firstLineChars="200"/>
        <w:rPr>
          <w:rFonts w:cs="宋体"/>
          <w:color w:val="auto"/>
          <w:sz w:val="21"/>
          <w:szCs w:val="21"/>
          <w:highlight w:val="none"/>
        </w:rPr>
      </w:pPr>
      <w:r>
        <w:rPr>
          <w:rFonts w:hint="eastAsia" w:cs="宋体"/>
          <w:color w:val="auto"/>
          <w:sz w:val="21"/>
          <w:szCs w:val="21"/>
          <w:highlight w:val="none"/>
        </w:rPr>
        <w:t>2.地点：加密电子投标文件须在投标截止时间前上传至河南省公共资源交易中心交易系统指定位置，逾期上传的，采购人不予受理。</w:t>
      </w:r>
    </w:p>
    <w:p w14:paraId="12536B3C">
      <w:pPr>
        <w:pStyle w:val="12"/>
        <w:snapToGrid w:val="0"/>
        <w:spacing w:line="440" w:lineRule="exact"/>
        <w:ind w:firstLine="422" w:firstLineChars="200"/>
        <w:rPr>
          <w:rFonts w:cs="宋体"/>
          <w:b/>
          <w:bCs/>
          <w:color w:val="auto"/>
          <w:sz w:val="21"/>
          <w:szCs w:val="21"/>
          <w:highlight w:val="none"/>
        </w:rPr>
      </w:pPr>
      <w:r>
        <w:rPr>
          <w:rFonts w:hint="eastAsia" w:cs="宋体"/>
          <w:b/>
          <w:bCs/>
          <w:color w:val="auto"/>
          <w:sz w:val="21"/>
          <w:szCs w:val="21"/>
          <w:highlight w:val="none"/>
        </w:rPr>
        <w:t>五、开标时间及地点</w:t>
      </w:r>
    </w:p>
    <w:p w14:paraId="1BF4D05D">
      <w:pPr>
        <w:pStyle w:val="12"/>
        <w:snapToGrid w:val="0"/>
        <w:spacing w:line="440" w:lineRule="exact"/>
        <w:ind w:firstLine="420" w:firstLineChars="200"/>
        <w:rPr>
          <w:rFonts w:cs="宋体"/>
          <w:color w:val="auto"/>
          <w:sz w:val="21"/>
          <w:szCs w:val="21"/>
          <w:highlight w:val="none"/>
        </w:rPr>
      </w:pPr>
      <w:r>
        <w:rPr>
          <w:rFonts w:hint="eastAsia" w:cs="宋体"/>
          <w:color w:val="auto"/>
          <w:sz w:val="21"/>
          <w:szCs w:val="21"/>
          <w:highlight w:val="none"/>
        </w:rPr>
        <w:t>1.时间：202</w:t>
      </w:r>
      <w:r>
        <w:rPr>
          <w:rFonts w:hint="eastAsia" w:cs="宋体"/>
          <w:color w:val="auto"/>
          <w:sz w:val="21"/>
          <w:szCs w:val="21"/>
          <w:highlight w:val="none"/>
          <w:lang w:val="en-US" w:eastAsia="zh-CN"/>
        </w:rPr>
        <w:t>5</w:t>
      </w:r>
      <w:r>
        <w:rPr>
          <w:rFonts w:hint="eastAsia" w:cs="宋体"/>
          <w:color w:val="auto"/>
          <w:sz w:val="21"/>
          <w:szCs w:val="21"/>
          <w:highlight w:val="none"/>
        </w:rPr>
        <w:t>年</w:t>
      </w:r>
      <w:r>
        <w:rPr>
          <w:rFonts w:hint="eastAsia" w:cs="宋体"/>
          <w:color w:val="auto"/>
          <w:sz w:val="21"/>
          <w:szCs w:val="21"/>
          <w:highlight w:val="none"/>
          <w:lang w:val="en-US" w:eastAsia="zh-CN"/>
        </w:rPr>
        <w:t>04</w:t>
      </w:r>
      <w:r>
        <w:rPr>
          <w:rFonts w:hint="eastAsia" w:cs="宋体"/>
          <w:color w:val="auto"/>
          <w:sz w:val="21"/>
          <w:szCs w:val="21"/>
          <w:highlight w:val="none"/>
        </w:rPr>
        <w:t>月</w:t>
      </w:r>
      <w:r>
        <w:rPr>
          <w:rFonts w:hint="eastAsia" w:cs="宋体"/>
          <w:color w:val="auto"/>
          <w:sz w:val="21"/>
          <w:szCs w:val="21"/>
          <w:highlight w:val="none"/>
          <w:lang w:val="en-US" w:eastAsia="zh-CN"/>
        </w:rPr>
        <w:t>30</w:t>
      </w:r>
      <w:r>
        <w:rPr>
          <w:rFonts w:hint="eastAsia" w:cs="宋体"/>
          <w:color w:val="auto"/>
          <w:sz w:val="21"/>
          <w:szCs w:val="21"/>
          <w:highlight w:val="none"/>
        </w:rPr>
        <w:t>日09时00分（北京时间）；</w:t>
      </w:r>
    </w:p>
    <w:p w14:paraId="58211928">
      <w:pPr>
        <w:pStyle w:val="12"/>
        <w:snapToGrid w:val="0"/>
        <w:spacing w:line="440" w:lineRule="exact"/>
        <w:ind w:firstLine="420" w:firstLineChars="200"/>
        <w:rPr>
          <w:rFonts w:cs="宋体"/>
          <w:b/>
          <w:bCs/>
          <w:color w:val="auto"/>
          <w:sz w:val="21"/>
          <w:szCs w:val="21"/>
          <w:highlight w:val="none"/>
        </w:rPr>
      </w:pPr>
      <w:r>
        <w:rPr>
          <w:rFonts w:hint="eastAsia" w:cs="宋体"/>
          <w:color w:val="auto"/>
          <w:sz w:val="21"/>
          <w:szCs w:val="21"/>
          <w:highlight w:val="none"/>
        </w:rPr>
        <w:t>2.地点：河南省公共资源交易中心远程开标室（</w:t>
      </w:r>
      <w:r>
        <w:rPr>
          <w:rFonts w:hint="eastAsia" w:cs="宋体"/>
          <w:color w:val="auto"/>
          <w:sz w:val="21"/>
          <w:szCs w:val="21"/>
          <w:highlight w:val="none"/>
          <w:lang w:eastAsia="zh-CN"/>
        </w:rPr>
        <w:t>二</w:t>
      </w:r>
      <w:r>
        <w:rPr>
          <w:rFonts w:hint="eastAsia" w:cs="宋体"/>
          <w:color w:val="auto"/>
          <w:sz w:val="21"/>
          <w:szCs w:val="21"/>
          <w:highlight w:val="none"/>
        </w:rPr>
        <w:t>）-</w:t>
      </w:r>
      <w:r>
        <w:rPr>
          <w:rFonts w:hint="eastAsia" w:cs="宋体"/>
          <w:color w:val="auto"/>
          <w:sz w:val="21"/>
          <w:szCs w:val="21"/>
          <w:highlight w:val="none"/>
          <w:lang w:val="en-US" w:eastAsia="zh-CN"/>
        </w:rPr>
        <w:t>6</w:t>
      </w:r>
      <w:r>
        <w:rPr>
          <w:rFonts w:hint="eastAsia" w:cs="宋体"/>
          <w:color w:val="auto"/>
          <w:sz w:val="21"/>
          <w:szCs w:val="21"/>
          <w:highlight w:val="none"/>
        </w:rPr>
        <w:t>（郑州市经二路12号（经二路与纬四路向南50米路西）</w:t>
      </w:r>
    </w:p>
    <w:p w14:paraId="3374B5C3">
      <w:pPr>
        <w:pStyle w:val="12"/>
        <w:snapToGrid w:val="0"/>
        <w:spacing w:line="440" w:lineRule="exact"/>
        <w:ind w:firstLine="422" w:firstLineChars="200"/>
        <w:rPr>
          <w:rFonts w:cs="宋体"/>
          <w:b/>
          <w:bCs/>
          <w:color w:val="auto"/>
          <w:sz w:val="21"/>
          <w:szCs w:val="21"/>
          <w:highlight w:val="none"/>
        </w:rPr>
      </w:pPr>
      <w:r>
        <w:rPr>
          <w:rFonts w:hint="eastAsia" w:cs="宋体"/>
          <w:b/>
          <w:bCs/>
          <w:color w:val="auto"/>
          <w:sz w:val="21"/>
          <w:szCs w:val="21"/>
          <w:highlight w:val="none"/>
        </w:rPr>
        <w:t>六、发布公告的媒介及招标公告期限</w:t>
      </w:r>
    </w:p>
    <w:p w14:paraId="13D016F2">
      <w:pPr>
        <w:pStyle w:val="12"/>
        <w:snapToGrid w:val="0"/>
        <w:spacing w:line="440" w:lineRule="exact"/>
        <w:ind w:firstLine="420" w:firstLineChars="200"/>
        <w:rPr>
          <w:rFonts w:cs="宋体"/>
          <w:color w:val="auto"/>
          <w:sz w:val="21"/>
          <w:szCs w:val="21"/>
          <w:highlight w:val="none"/>
        </w:rPr>
      </w:pPr>
      <w:r>
        <w:rPr>
          <w:rFonts w:hint="eastAsia" w:cs="宋体"/>
          <w:color w:val="auto"/>
          <w:sz w:val="21"/>
          <w:szCs w:val="21"/>
          <w:highlight w:val="none"/>
        </w:rPr>
        <w:t>本次招标公告在《河南省政府采购网》、《河南省公共资源交易中心网》、《</w:t>
      </w:r>
      <w:r>
        <w:rPr>
          <w:rFonts w:hint="eastAsia" w:cs="宋体"/>
          <w:color w:val="auto"/>
          <w:sz w:val="21"/>
          <w:szCs w:val="21"/>
          <w:highlight w:val="none"/>
          <w:lang w:eastAsia="zh-CN"/>
        </w:rPr>
        <w:t>河南省科学院材料基因工程研究所</w:t>
      </w:r>
      <w:r>
        <w:rPr>
          <w:rFonts w:hint="eastAsia" w:cs="宋体"/>
          <w:color w:val="auto"/>
          <w:sz w:val="21"/>
          <w:szCs w:val="21"/>
          <w:highlight w:val="none"/>
        </w:rPr>
        <w:t>官网》上发布</w:t>
      </w:r>
      <w:r>
        <w:rPr>
          <w:rFonts w:hint="eastAsia" w:cs="宋体"/>
          <w:color w:val="auto"/>
          <w:sz w:val="21"/>
          <w:szCs w:val="21"/>
          <w:highlight w:val="none"/>
          <w:lang w:eastAsia="zh-CN"/>
        </w:rPr>
        <w:t>，</w:t>
      </w:r>
      <w:r>
        <w:rPr>
          <w:rFonts w:hint="eastAsia" w:cs="宋体"/>
          <w:color w:val="auto"/>
          <w:sz w:val="21"/>
          <w:szCs w:val="21"/>
          <w:highlight w:val="none"/>
        </w:rPr>
        <w:t>招标公告期限为五个工作日。</w:t>
      </w:r>
    </w:p>
    <w:p w14:paraId="69005D28">
      <w:pPr>
        <w:pStyle w:val="12"/>
        <w:snapToGrid w:val="0"/>
        <w:spacing w:line="440" w:lineRule="exact"/>
        <w:ind w:firstLine="422" w:firstLineChars="200"/>
        <w:rPr>
          <w:rFonts w:hint="eastAsia" w:cs="宋体"/>
          <w:b/>
          <w:bCs/>
          <w:color w:val="auto"/>
          <w:sz w:val="21"/>
          <w:szCs w:val="21"/>
          <w:highlight w:val="none"/>
        </w:rPr>
      </w:pPr>
      <w:r>
        <w:rPr>
          <w:rFonts w:hint="eastAsia" w:cs="宋体"/>
          <w:b/>
          <w:bCs/>
          <w:color w:val="auto"/>
          <w:sz w:val="21"/>
          <w:szCs w:val="21"/>
          <w:highlight w:val="none"/>
        </w:rPr>
        <w:t>七、其他补充事宜</w:t>
      </w:r>
    </w:p>
    <w:p w14:paraId="280E7691">
      <w:pPr>
        <w:pStyle w:val="12"/>
        <w:snapToGrid w:val="0"/>
        <w:spacing w:line="440" w:lineRule="exact"/>
        <w:ind w:firstLine="420" w:firstLineChars="200"/>
        <w:rPr>
          <w:rFonts w:hint="eastAsia" w:cs="宋体"/>
          <w:color w:val="auto"/>
          <w:sz w:val="21"/>
          <w:szCs w:val="21"/>
          <w:highlight w:val="none"/>
        </w:rPr>
      </w:pPr>
      <w:r>
        <w:rPr>
          <w:rFonts w:hint="eastAsia" w:cs="宋体"/>
          <w:color w:val="auto"/>
          <w:sz w:val="21"/>
          <w:szCs w:val="21"/>
          <w:highlight w:val="none"/>
        </w:rPr>
        <w:t>本项目需要落实的主要政府采购政策：</w:t>
      </w:r>
    </w:p>
    <w:p w14:paraId="59F4F439">
      <w:pPr>
        <w:pStyle w:val="12"/>
        <w:snapToGrid w:val="0"/>
        <w:spacing w:line="440" w:lineRule="exact"/>
        <w:ind w:firstLine="420" w:firstLineChars="200"/>
        <w:rPr>
          <w:rFonts w:cs="宋体"/>
          <w:color w:val="auto"/>
          <w:sz w:val="21"/>
          <w:szCs w:val="21"/>
          <w:highlight w:val="none"/>
        </w:rPr>
      </w:pPr>
      <w:r>
        <w:rPr>
          <w:rFonts w:hint="eastAsia" w:cs="宋体"/>
          <w:color w:val="auto"/>
          <w:sz w:val="21"/>
          <w:szCs w:val="21"/>
          <w:highlight w:val="none"/>
        </w:rPr>
        <w:t>1.政府采购促进中小企业发展管理办法 (财库〔2020〕46号）；</w:t>
      </w:r>
    </w:p>
    <w:p w14:paraId="707FF354">
      <w:pPr>
        <w:pStyle w:val="12"/>
        <w:snapToGrid w:val="0"/>
        <w:spacing w:line="440" w:lineRule="exact"/>
        <w:ind w:firstLine="420" w:firstLineChars="200"/>
        <w:rPr>
          <w:rFonts w:cs="宋体"/>
          <w:color w:val="auto"/>
          <w:sz w:val="21"/>
          <w:szCs w:val="21"/>
          <w:highlight w:val="none"/>
        </w:rPr>
      </w:pPr>
      <w:r>
        <w:rPr>
          <w:rFonts w:hint="eastAsia" w:cs="宋体"/>
          <w:color w:val="auto"/>
          <w:sz w:val="21"/>
          <w:szCs w:val="21"/>
          <w:highlight w:val="none"/>
        </w:rPr>
        <w:t>2.《财政部、司法部关于政府采购支持监狱企业发展有关问题的通知》（财库[2014]68号）；</w:t>
      </w:r>
    </w:p>
    <w:p w14:paraId="6B0A0EE1">
      <w:pPr>
        <w:pStyle w:val="12"/>
        <w:snapToGrid w:val="0"/>
        <w:spacing w:line="440" w:lineRule="exact"/>
        <w:ind w:firstLine="420" w:firstLineChars="200"/>
        <w:rPr>
          <w:rFonts w:hint="eastAsia" w:cs="宋体"/>
          <w:color w:val="auto"/>
          <w:sz w:val="21"/>
          <w:szCs w:val="21"/>
          <w:highlight w:val="none"/>
        </w:rPr>
      </w:pPr>
      <w:r>
        <w:rPr>
          <w:rFonts w:hint="eastAsia" w:cs="宋体"/>
          <w:color w:val="auto"/>
          <w:sz w:val="21"/>
          <w:szCs w:val="21"/>
          <w:highlight w:val="none"/>
        </w:rPr>
        <w:t>3.《三部门联合发布关于促进残疾人就业政府采购政策的通知》（财库[2017]141号）；</w:t>
      </w:r>
    </w:p>
    <w:p w14:paraId="62F19BDB">
      <w:pPr>
        <w:pStyle w:val="12"/>
        <w:snapToGrid w:val="0"/>
        <w:spacing w:line="440" w:lineRule="exact"/>
        <w:ind w:firstLine="420" w:firstLineChars="200"/>
        <w:rPr>
          <w:rFonts w:cs="宋体"/>
          <w:color w:val="auto"/>
          <w:sz w:val="21"/>
          <w:szCs w:val="21"/>
          <w:highlight w:val="none"/>
        </w:rPr>
      </w:pPr>
      <w:r>
        <w:rPr>
          <w:rFonts w:hint="eastAsia" w:cs="宋体"/>
          <w:color w:val="auto"/>
          <w:sz w:val="21"/>
          <w:szCs w:val="21"/>
          <w:highlight w:val="none"/>
          <w:lang w:val="en-US" w:eastAsia="zh-CN"/>
        </w:rPr>
        <w:t>4.</w:t>
      </w:r>
      <w:r>
        <w:rPr>
          <w:rFonts w:hint="eastAsia" w:cs="宋体"/>
          <w:color w:val="auto"/>
          <w:sz w:val="21"/>
          <w:szCs w:val="21"/>
          <w:highlight w:val="none"/>
        </w:rPr>
        <w:t>关于调整优化节能产品、环境标志产品政府采购执行机制的通知（财库〔2019〕9号）。</w:t>
      </w:r>
    </w:p>
    <w:p w14:paraId="7E43DC34">
      <w:pPr>
        <w:pStyle w:val="12"/>
        <w:snapToGrid w:val="0"/>
        <w:spacing w:line="440" w:lineRule="exact"/>
        <w:ind w:firstLine="422" w:firstLineChars="200"/>
        <w:rPr>
          <w:rFonts w:cs="宋体"/>
          <w:b/>
          <w:bCs/>
          <w:color w:val="auto"/>
          <w:sz w:val="21"/>
          <w:szCs w:val="21"/>
          <w:highlight w:val="none"/>
        </w:rPr>
      </w:pPr>
      <w:r>
        <w:rPr>
          <w:rFonts w:hint="eastAsia" w:cs="宋体"/>
          <w:b/>
          <w:bCs/>
          <w:color w:val="auto"/>
          <w:sz w:val="21"/>
          <w:szCs w:val="21"/>
          <w:highlight w:val="none"/>
        </w:rPr>
        <w:t>八、凡对本次采购提出询问，请按照以下方式联系</w:t>
      </w:r>
    </w:p>
    <w:p w14:paraId="2A85EFFE">
      <w:pPr>
        <w:adjustRightInd w:val="0"/>
        <w:snapToGrid w:val="0"/>
        <w:spacing w:line="440" w:lineRule="exact"/>
        <w:ind w:firstLine="420" w:firstLineChars="200"/>
        <w:rPr>
          <w:rFonts w:cs="宋体"/>
          <w:color w:val="auto"/>
          <w:szCs w:val="21"/>
          <w:highlight w:val="none"/>
        </w:rPr>
      </w:pPr>
      <w:r>
        <w:rPr>
          <w:rFonts w:hint="eastAsia" w:cs="宋体"/>
          <w:color w:val="auto"/>
          <w:szCs w:val="21"/>
          <w:highlight w:val="none"/>
        </w:rPr>
        <w:t xml:space="preserve">1.采购人信息 </w:t>
      </w:r>
    </w:p>
    <w:p w14:paraId="0BBF109E">
      <w:pPr>
        <w:adjustRightInd w:val="0"/>
        <w:snapToGrid w:val="0"/>
        <w:spacing w:line="440" w:lineRule="exact"/>
        <w:ind w:firstLine="420" w:firstLineChars="200"/>
        <w:rPr>
          <w:rFonts w:cs="宋体"/>
          <w:color w:val="auto"/>
          <w:szCs w:val="21"/>
          <w:highlight w:val="none"/>
        </w:rPr>
      </w:pPr>
      <w:r>
        <w:rPr>
          <w:rFonts w:hint="eastAsia" w:cs="宋体"/>
          <w:color w:val="auto"/>
          <w:szCs w:val="21"/>
          <w:highlight w:val="none"/>
        </w:rPr>
        <w:t>名称：</w:t>
      </w:r>
      <w:r>
        <w:rPr>
          <w:rFonts w:hint="eastAsia" w:cs="宋体"/>
          <w:color w:val="auto"/>
          <w:szCs w:val="21"/>
          <w:highlight w:val="none"/>
          <w:lang w:eastAsia="zh-CN"/>
        </w:rPr>
        <w:t>河南省科学院材料基因工程研究所</w:t>
      </w:r>
    </w:p>
    <w:p w14:paraId="1C14E481">
      <w:pPr>
        <w:adjustRightInd w:val="0"/>
        <w:snapToGrid w:val="0"/>
        <w:spacing w:line="440" w:lineRule="exact"/>
        <w:ind w:firstLine="420" w:firstLineChars="200"/>
        <w:rPr>
          <w:rFonts w:hint="eastAsia" w:eastAsia="宋体" w:cs="宋体"/>
          <w:color w:val="auto"/>
          <w:szCs w:val="21"/>
          <w:highlight w:val="none"/>
          <w:lang w:eastAsia="zh-CN"/>
        </w:rPr>
      </w:pPr>
      <w:r>
        <w:rPr>
          <w:rFonts w:hint="eastAsia" w:cs="宋体"/>
          <w:color w:val="auto"/>
          <w:szCs w:val="21"/>
          <w:highlight w:val="none"/>
        </w:rPr>
        <w:t>地址：</w:t>
      </w:r>
      <w:r>
        <w:rPr>
          <w:rFonts w:hint="eastAsia" w:cs="宋体"/>
          <w:color w:val="auto"/>
          <w:szCs w:val="21"/>
          <w:highlight w:val="none"/>
          <w:lang w:val="en-US" w:eastAsia="zh-CN"/>
        </w:rPr>
        <w:t>郑州市郑东新区崇实里228号</w:t>
      </w:r>
    </w:p>
    <w:p w14:paraId="2EB5A411">
      <w:pPr>
        <w:adjustRightInd w:val="0"/>
        <w:snapToGrid w:val="0"/>
        <w:spacing w:line="440" w:lineRule="exact"/>
        <w:ind w:firstLine="420" w:firstLineChars="200"/>
        <w:rPr>
          <w:rFonts w:hint="default" w:eastAsia="宋体" w:cs="宋体"/>
          <w:color w:val="auto"/>
          <w:szCs w:val="21"/>
          <w:highlight w:val="none"/>
          <w:lang w:val="en-US" w:eastAsia="zh-CN"/>
        </w:rPr>
      </w:pPr>
      <w:r>
        <w:rPr>
          <w:rFonts w:hint="eastAsia" w:cs="宋体"/>
          <w:color w:val="auto"/>
          <w:szCs w:val="21"/>
          <w:highlight w:val="none"/>
        </w:rPr>
        <w:t>联系人：</w:t>
      </w:r>
      <w:r>
        <w:rPr>
          <w:rFonts w:hint="eastAsia" w:cs="宋体"/>
          <w:color w:val="auto"/>
          <w:szCs w:val="21"/>
          <w:highlight w:val="none"/>
          <w:lang w:val="en-US" w:eastAsia="zh-CN"/>
        </w:rPr>
        <w:t>盛坤</w:t>
      </w:r>
    </w:p>
    <w:p w14:paraId="214528BF">
      <w:pPr>
        <w:adjustRightInd w:val="0"/>
        <w:snapToGrid w:val="0"/>
        <w:spacing w:line="440" w:lineRule="exact"/>
        <w:ind w:firstLine="420" w:firstLineChars="200"/>
        <w:rPr>
          <w:rFonts w:hint="default" w:cs="宋体"/>
          <w:color w:val="auto"/>
          <w:szCs w:val="21"/>
          <w:highlight w:val="none"/>
          <w:lang w:val="en-US" w:eastAsia="zh-CN"/>
        </w:rPr>
      </w:pPr>
      <w:r>
        <w:rPr>
          <w:rFonts w:hint="eastAsia" w:cs="宋体"/>
          <w:color w:val="auto"/>
          <w:szCs w:val="21"/>
          <w:highlight w:val="none"/>
        </w:rPr>
        <w:t>联系方式：</w:t>
      </w:r>
      <w:r>
        <w:rPr>
          <w:rFonts w:hint="eastAsia" w:cs="宋体"/>
          <w:color w:val="auto"/>
          <w:szCs w:val="21"/>
          <w:highlight w:val="none"/>
          <w:lang w:val="en-US" w:eastAsia="zh-CN"/>
        </w:rPr>
        <w:t>0371-65753669</w:t>
      </w:r>
    </w:p>
    <w:p w14:paraId="1834582F">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2.采购代理机构信息 </w:t>
      </w:r>
    </w:p>
    <w:p w14:paraId="78BFEACB">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名称：中建山河建设管理集团有限公司</w:t>
      </w:r>
    </w:p>
    <w:p w14:paraId="63C01982">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地址：郑州市郑东新区七里河南路与圃田西路交叉口明亮</w:t>
      </w:r>
      <w:r>
        <w:rPr>
          <w:rFonts w:hint="eastAsia" w:ascii="宋体" w:hAnsi="宋体" w:cs="宋体"/>
          <w:color w:val="auto"/>
          <w:szCs w:val="21"/>
          <w:highlight w:val="none"/>
          <w:lang w:val="en-US" w:eastAsia="zh-CN"/>
        </w:rPr>
        <w:t>集团</w:t>
      </w:r>
      <w:r>
        <w:rPr>
          <w:rFonts w:hint="eastAsia" w:ascii="宋体" w:hAnsi="宋体" w:cs="宋体"/>
          <w:color w:val="auto"/>
          <w:szCs w:val="21"/>
          <w:highlight w:val="none"/>
        </w:rPr>
        <w:t>大楼三楼312室</w:t>
      </w:r>
    </w:p>
    <w:p w14:paraId="45A2E7FE">
      <w:pPr>
        <w:adjustRightInd w:val="0"/>
        <w:snapToGrid w:val="0"/>
        <w:spacing w:line="44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联系人：</w:t>
      </w:r>
      <w:r>
        <w:rPr>
          <w:rFonts w:hint="eastAsia" w:ascii="宋体" w:hAnsi="宋体" w:cs="宋体"/>
          <w:color w:val="auto"/>
          <w:szCs w:val="21"/>
          <w:highlight w:val="none"/>
          <w:lang w:val="en-US" w:eastAsia="zh-CN"/>
        </w:rPr>
        <w:t>王肖楠、程萌、王朝艳</w:t>
      </w:r>
    </w:p>
    <w:p w14:paraId="266828F5">
      <w:pPr>
        <w:adjustRightInd w:val="0"/>
        <w:snapToGrid w:val="0"/>
        <w:spacing w:line="440" w:lineRule="exact"/>
        <w:ind w:firstLine="420" w:firstLineChars="20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联系方式：0371-86556161、</w:t>
      </w:r>
      <w:r>
        <w:rPr>
          <w:rFonts w:hint="eastAsia" w:ascii="宋体" w:hAnsi="宋体" w:eastAsia="宋体" w:cs="宋体"/>
          <w:color w:val="auto"/>
          <w:sz w:val="21"/>
          <w:szCs w:val="21"/>
          <w:highlight w:val="none"/>
          <w:lang w:eastAsia="zh-CN"/>
        </w:rPr>
        <w:t>15839171848</w:t>
      </w:r>
    </w:p>
    <w:p w14:paraId="4A129CC4">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3.项目联系方式 </w:t>
      </w:r>
    </w:p>
    <w:p w14:paraId="123AAC42">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项目联系人：</w:t>
      </w:r>
      <w:r>
        <w:rPr>
          <w:rFonts w:hint="eastAsia" w:ascii="宋体" w:hAnsi="宋体" w:cs="宋体"/>
          <w:color w:val="auto"/>
          <w:szCs w:val="21"/>
          <w:highlight w:val="none"/>
          <w:lang w:val="en-US" w:eastAsia="zh-CN"/>
        </w:rPr>
        <w:t>王肖楠、程萌、王朝艳</w:t>
      </w:r>
    </w:p>
    <w:p w14:paraId="7A553296">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联系方式：0371-86556161、</w:t>
      </w:r>
      <w:r>
        <w:rPr>
          <w:rFonts w:hint="eastAsia" w:ascii="宋体" w:hAnsi="宋体" w:eastAsia="宋体" w:cs="宋体"/>
          <w:color w:val="auto"/>
          <w:sz w:val="21"/>
          <w:szCs w:val="21"/>
          <w:highlight w:val="none"/>
          <w:lang w:eastAsia="zh-CN"/>
        </w:rPr>
        <w:t>15839171848</w:t>
      </w:r>
    </w:p>
    <w:p w14:paraId="66F99F45">
      <w:pPr>
        <w:rPr>
          <w:rFonts w:cs="宋体"/>
          <w:color w:val="auto"/>
          <w:szCs w:val="21"/>
          <w:highlight w:val="none"/>
        </w:rPr>
      </w:pPr>
      <w:r>
        <w:rPr>
          <w:rFonts w:hint="eastAsia" w:cs="宋体"/>
          <w:color w:val="auto"/>
          <w:szCs w:val="21"/>
          <w:highlight w:val="none"/>
        </w:rPr>
        <w:br w:type="page"/>
      </w:r>
    </w:p>
    <w:p w14:paraId="5873B16E">
      <w:pPr>
        <w:pStyle w:val="12"/>
        <w:spacing w:line="500" w:lineRule="exact"/>
        <w:jc w:val="center"/>
        <w:outlineLvl w:val="0"/>
        <w:rPr>
          <w:rFonts w:cs="宋体"/>
          <w:b/>
          <w:color w:val="auto"/>
          <w:sz w:val="36"/>
          <w:szCs w:val="36"/>
          <w:highlight w:val="none"/>
        </w:rPr>
      </w:pPr>
      <w:bookmarkStart w:id="9" w:name="_Toc1488499359"/>
      <w:bookmarkStart w:id="10" w:name="_Toc10326"/>
      <w:bookmarkStart w:id="11" w:name="_Toc9361"/>
      <w:r>
        <w:rPr>
          <w:rFonts w:hint="eastAsia" w:cs="宋体"/>
          <w:b/>
          <w:bCs/>
          <w:color w:val="auto"/>
          <w:kern w:val="44"/>
          <w:sz w:val="32"/>
          <w:szCs w:val="20"/>
          <w:highlight w:val="none"/>
        </w:rPr>
        <w:t>第二章  投标人须知</w:t>
      </w:r>
      <w:bookmarkEnd w:id="8"/>
      <w:bookmarkEnd w:id="9"/>
      <w:bookmarkEnd w:id="10"/>
      <w:bookmarkEnd w:id="11"/>
    </w:p>
    <w:p w14:paraId="3AAD8D0A">
      <w:pPr>
        <w:pStyle w:val="3"/>
        <w:rPr>
          <w:color w:val="auto"/>
          <w:highlight w:val="none"/>
        </w:rPr>
      </w:pPr>
      <w:bookmarkStart w:id="12" w:name="_Toc12117"/>
      <w:bookmarkStart w:id="13" w:name="_Toc20288"/>
      <w:bookmarkStart w:id="14" w:name="_Toc6645"/>
      <w:bookmarkStart w:id="15" w:name="_Toc13047"/>
      <w:bookmarkStart w:id="16" w:name="_Toc1171722810"/>
      <w:bookmarkStart w:id="17" w:name="_Toc256363511"/>
      <w:r>
        <w:rPr>
          <w:rFonts w:hint="eastAsia"/>
          <w:color w:val="auto"/>
          <w:highlight w:val="none"/>
        </w:rPr>
        <w:t>投标人须知前附表</w:t>
      </w:r>
      <w:bookmarkEnd w:id="12"/>
      <w:bookmarkEnd w:id="13"/>
      <w:bookmarkEnd w:id="14"/>
      <w:bookmarkEnd w:id="15"/>
      <w:bookmarkEnd w:id="16"/>
      <w:bookmarkEnd w:id="17"/>
    </w:p>
    <w:tbl>
      <w:tblPr>
        <w:tblStyle w:val="38"/>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1969"/>
        <w:gridCol w:w="6494"/>
      </w:tblGrid>
      <w:tr w14:paraId="578B2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096" w:type="dxa"/>
            <w:vAlign w:val="center"/>
          </w:tcPr>
          <w:p w14:paraId="52DBAF9D">
            <w:pPr>
              <w:adjustRightInd w:val="0"/>
              <w:snapToGrid w:val="0"/>
              <w:spacing w:line="440" w:lineRule="exact"/>
              <w:ind w:left="105" w:leftChars="50"/>
              <w:jc w:val="center"/>
              <w:rPr>
                <w:rFonts w:ascii="宋体" w:hAnsi="宋体" w:cs="宋体"/>
                <w:b/>
                <w:bCs/>
                <w:color w:val="auto"/>
                <w:szCs w:val="21"/>
                <w:highlight w:val="none"/>
              </w:rPr>
            </w:pPr>
            <w:r>
              <w:rPr>
                <w:rFonts w:hint="eastAsia" w:ascii="宋体" w:hAnsi="宋体" w:cs="宋体"/>
                <w:b/>
                <w:bCs/>
                <w:color w:val="auto"/>
                <w:szCs w:val="21"/>
                <w:highlight w:val="none"/>
              </w:rPr>
              <w:t>条款号</w:t>
            </w:r>
          </w:p>
        </w:tc>
        <w:tc>
          <w:tcPr>
            <w:tcW w:w="1969" w:type="dxa"/>
            <w:vAlign w:val="center"/>
          </w:tcPr>
          <w:p w14:paraId="238D22B5">
            <w:pPr>
              <w:adjustRightInd w:val="0"/>
              <w:snapToGrid w:val="0"/>
              <w:spacing w:line="440" w:lineRule="exact"/>
              <w:ind w:left="105" w:leftChars="50"/>
              <w:jc w:val="center"/>
              <w:rPr>
                <w:rFonts w:ascii="宋体" w:hAnsi="宋体" w:cs="宋体"/>
                <w:b/>
                <w:bCs/>
                <w:color w:val="auto"/>
                <w:szCs w:val="21"/>
                <w:highlight w:val="none"/>
              </w:rPr>
            </w:pPr>
            <w:r>
              <w:rPr>
                <w:rFonts w:hint="eastAsia" w:ascii="宋体" w:hAnsi="宋体" w:cs="宋体"/>
                <w:b/>
                <w:bCs/>
                <w:color w:val="auto"/>
                <w:szCs w:val="21"/>
                <w:highlight w:val="none"/>
              </w:rPr>
              <w:t>条款名称</w:t>
            </w:r>
          </w:p>
        </w:tc>
        <w:tc>
          <w:tcPr>
            <w:tcW w:w="6494" w:type="dxa"/>
            <w:vAlign w:val="center"/>
          </w:tcPr>
          <w:p w14:paraId="621792B8">
            <w:pPr>
              <w:adjustRightInd w:val="0"/>
              <w:snapToGrid w:val="0"/>
              <w:spacing w:line="440" w:lineRule="exact"/>
              <w:ind w:left="105" w:leftChars="50"/>
              <w:jc w:val="center"/>
              <w:rPr>
                <w:rFonts w:ascii="宋体" w:hAnsi="宋体" w:cs="宋体"/>
                <w:b/>
                <w:bCs/>
                <w:color w:val="auto"/>
                <w:szCs w:val="21"/>
                <w:highlight w:val="none"/>
              </w:rPr>
            </w:pPr>
            <w:r>
              <w:rPr>
                <w:rFonts w:hint="eastAsia" w:ascii="宋体" w:hAnsi="宋体" w:cs="宋体"/>
                <w:b/>
                <w:bCs/>
                <w:color w:val="auto"/>
                <w:szCs w:val="21"/>
                <w:highlight w:val="none"/>
              </w:rPr>
              <w:t>编列内容</w:t>
            </w:r>
          </w:p>
        </w:tc>
      </w:tr>
      <w:tr w14:paraId="0BBB0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1096" w:type="dxa"/>
            <w:vAlign w:val="center"/>
          </w:tcPr>
          <w:p w14:paraId="5376246E">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1.1.2</w:t>
            </w:r>
          </w:p>
        </w:tc>
        <w:tc>
          <w:tcPr>
            <w:tcW w:w="1969" w:type="dxa"/>
            <w:vAlign w:val="center"/>
          </w:tcPr>
          <w:p w14:paraId="11A3E77D">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采购人</w:t>
            </w:r>
          </w:p>
        </w:tc>
        <w:tc>
          <w:tcPr>
            <w:tcW w:w="6494" w:type="dxa"/>
            <w:vAlign w:val="center"/>
          </w:tcPr>
          <w:p w14:paraId="167236AA">
            <w:pPr>
              <w:pStyle w:val="67"/>
              <w:autoSpaceDE/>
              <w:autoSpaceDN/>
              <w:snapToGrid w:val="0"/>
              <w:spacing w:before="0" w:after="0" w:line="440" w:lineRule="exact"/>
              <w:ind w:left="945" w:leftChars="50" w:hanging="840" w:hangingChars="400"/>
              <w:jc w:val="both"/>
              <w:rPr>
                <w:rFonts w:hAnsi="宋体"/>
                <w:b w:val="0"/>
                <w:bCs w:val="0"/>
                <w:color w:val="auto"/>
                <w:sz w:val="21"/>
                <w:szCs w:val="21"/>
                <w:highlight w:val="none"/>
              </w:rPr>
            </w:pPr>
            <w:bookmarkStart w:id="18" w:name="_Toc24296"/>
            <w:bookmarkStart w:id="19" w:name="_Toc2257"/>
            <w:bookmarkStart w:id="20" w:name="_Toc23935"/>
            <w:bookmarkStart w:id="21" w:name="_Toc720224680"/>
            <w:bookmarkStart w:id="22" w:name="_Toc23346"/>
            <w:r>
              <w:rPr>
                <w:rFonts w:hint="eastAsia" w:hAnsi="宋体"/>
                <w:b w:val="0"/>
                <w:bCs w:val="0"/>
                <w:color w:val="auto"/>
                <w:sz w:val="21"/>
                <w:szCs w:val="21"/>
                <w:highlight w:val="none"/>
              </w:rPr>
              <w:t>名称：</w:t>
            </w:r>
            <w:bookmarkEnd w:id="18"/>
            <w:bookmarkEnd w:id="19"/>
            <w:r>
              <w:rPr>
                <w:rFonts w:hint="eastAsia" w:hAnsi="宋体"/>
                <w:b w:val="0"/>
                <w:bCs w:val="0"/>
                <w:color w:val="auto"/>
                <w:sz w:val="21"/>
                <w:szCs w:val="21"/>
                <w:highlight w:val="none"/>
                <w:lang w:eastAsia="zh-CN"/>
              </w:rPr>
              <w:t>河南省科学院材料基因工程研究所</w:t>
            </w:r>
            <w:bookmarkEnd w:id="20"/>
            <w:bookmarkEnd w:id="21"/>
            <w:bookmarkEnd w:id="22"/>
          </w:p>
          <w:p w14:paraId="13ED6BA5">
            <w:pPr>
              <w:pStyle w:val="67"/>
              <w:autoSpaceDE/>
              <w:autoSpaceDN/>
              <w:snapToGrid w:val="0"/>
              <w:spacing w:before="0" w:after="0" w:line="440" w:lineRule="exact"/>
              <w:ind w:left="945" w:leftChars="50" w:hanging="840" w:hangingChars="400"/>
              <w:jc w:val="both"/>
              <w:rPr>
                <w:rFonts w:hint="eastAsia" w:hAnsi="宋体" w:eastAsia="宋体"/>
                <w:b w:val="0"/>
                <w:bCs w:val="0"/>
                <w:color w:val="auto"/>
                <w:sz w:val="21"/>
                <w:szCs w:val="21"/>
                <w:highlight w:val="none"/>
                <w:lang w:eastAsia="zh-CN"/>
              </w:rPr>
            </w:pPr>
            <w:bookmarkStart w:id="23" w:name="_Toc9722"/>
            <w:bookmarkStart w:id="24" w:name="_Toc32468"/>
            <w:bookmarkStart w:id="25" w:name="_Toc30715"/>
            <w:bookmarkStart w:id="26" w:name="_Toc1598362268"/>
            <w:bookmarkStart w:id="27" w:name="_Toc23996"/>
            <w:r>
              <w:rPr>
                <w:rFonts w:hint="eastAsia" w:hAnsi="宋体"/>
                <w:b w:val="0"/>
                <w:bCs w:val="0"/>
                <w:color w:val="auto"/>
                <w:sz w:val="21"/>
                <w:szCs w:val="21"/>
                <w:highlight w:val="none"/>
              </w:rPr>
              <w:t>地址：</w:t>
            </w:r>
            <w:bookmarkEnd w:id="23"/>
            <w:bookmarkEnd w:id="24"/>
            <w:r>
              <w:rPr>
                <w:rFonts w:hint="eastAsia" w:hAnsi="宋体"/>
                <w:b w:val="0"/>
                <w:bCs w:val="0"/>
                <w:color w:val="auto"/>
                <w:sz w:val="21"/>
                <w:szCs w:val="21"/>
                <w:highlight w:val="none"/>
              </w:rPr>
              <w:t>郑州市郑东新区崇实里228号</w:t>
            </w:r>
            <w:bookmarkEnd w:id="25"/>
            <w:bookmarkEnd w:id="26"/>
            <w:bookmarkEnd w:id="27"/>
          </w:p>
          <w:p w14:paraId="0FE2B116">
            <w:pPr>
              <w:pStyle w:val="67"/>
              <w:autoSpaceDE/>
              <w:autoSpaceDN/>
              <w:snapToGrid w:val="0"/>
              <w:spacing w:before="0" w:after="0" w:line="440" w:lineRule="exact"/>
              <w:ind w:left="945" w:leftChars="50" w:hanging="840" w:hangingChars="400"/>
              <w:jc w:val="both"/>
              <w:rPr>
                <w:rFonts w:hint="default" w:hAnsi="宋体" w:eastAsia="宋体"/>
                <w:b w:val="0"/>
                <w:bCs w:val="0"/>
                <w:color w:val="auto"/>
                <w:sz w:val="21"/>
                <w:szCs w:val="21"/>
                <w:highlight w:val="none"/>
                <w:lang w:val="en-US" w:eastAsia="zh-CN"/>
              </w:rPr>
            </w:pPr>
            <w:bookmarkStart w:id="28" w:name="_Toc1526"/>
            <w:bookmarkStart w:id="29" w:name="_Toc28161"/>
            <w:bookmarkStart w:id="30" w:name="_Toc801697953"/>
            <w:bookmarkStart w:id="31" w:name="_Toc9013"/>
            <w:bookmarkStart w:id="32" w:name="_Toc72"/>
            <w:r>
              <w:rPr>
                <w:rFonts w:hint="eastAsia" w:hAnsi="宋体"/>
                <w:b w:val="0"/>
                <w:bCs w:val="0"/>
                <w:color w:val="auto"/>
                <w:sz w:val="21"/>
                <w:szCs w:val="21"/>
                <w:highlight w:val="none"/>
              </w:rPr>
              <w:t>联系人：</w:t>
            </w:r>
            <w:bookmarkEnd w:id="28"/>
            <w:bookmarkEnd w:id="29"/>
            <w:r>
              <w:rPr>
                <w:rFonts w:hint="eastAsia" w:hAnsi="宋体"/>
                <w:b w:val="0"/>
                <w:bCs w:val="0"/>
                <w:color w:val="auto"/>
                <w:sz w:val="21"/>
                <w:szCs w:val="21"/>
                <w:highlight w:val="none"/>
                <w:lang w:val="en-US" w:eastAsia="zh-CN"/>
              </w:rPr>
              <w:t>盛坤</w:t>
            </w:r>
            <w:bookmarkEnd w:id="30"/>
            <w:bookmarkEnd w:id="31"/>
            <w:bookmarkEnd w:id="32"/>
          </w:p>
          <w:p w14:paraId="53DCC478">
            <w:pPr>
              <w:pStyle w:val="67"/>
              <w:autoSpaceDE/>
              <w:autoSpaceDN/>
              <w:snapToGrid w:val="0"/>
              <w:spacing w:before="0" w:after="0" w:line="440" w:lineRule="exact"/>
              <w:ind w:left="945" w:leftChars="50" w:hanging="840" w:hangingChars="400"/>
              <w:jc w:val="both"/>
              <w:rPr>
                <w:rFonts w:hint="eastAsia" w:hAnsi="宋体" w:eastAsia="宋体"/>
                <w:b w:val="0"/>
                <w:bCs w:val="0"/>
                <w:color w:val="auto"/>
                <w:sz w:val="21"/>
                <w:szCs w:val="21"/>
                <w:highlight w:val="none"/>
                <w:lang w:eastAsia="zh-CN"/>
              </w:rPr>
            </w:pPr>
            <w:bookmarkStart w:id="33" w:name="_Toc1129"/>
            <w:bookmarkStart w:id="34" w:name="_Toc25153"/>
            <w:bookmarkStart w:id="35" w:name="_Toc9144"/>
            <w:bookmarkStart w:id="36" w:name="_Toc9360"/>
            <w:bookmarkStart w:id="37" w:name="_Toc825094793"/>
            <w:r>
              <w:rPr>
                <w:rFonts w:hint="eastAsia" w:hAnsi="宋体"/>
                <w:b w:val="0"/>
                <w:bCs w:val="0"/>
                <w:color w:val="auto"/>
                <w:sz w:val="21"/>
                <w:szCs w:val="21"/>
                <w:highlight w:val="none"/>
              </w:rPr>
              <w:t>联系方式：</w:t>
            </w:r>
            <w:bookmarkEnd w:id="33"/>
            <w:bookmarkEnd w:id="34"/>
            <w:r>
              <w:rPr>
                <w:rFonts w:hint="eastAsia" w:hAnsi="宋体"/>
                <w:b w:val="0"/>
                <w:bCs w:val="0"/>
                <w:color w:val="auto"/>
                <w:sz w:val="21"/>
                <w:szCs w:val="21"/>
                <w:highlight w:val="none"/>
              </w:rPr>
              <w:t>0371-65753669</w:t>
            </w:r>
            <w:bookmarkEnd w:id="35"/>
            <w:bookmarkEnd w:id="36"/>
            <w:bookmarkEnd w:id="37"/>
          </w:p>
        </w:tc>
      </w:tr>
      <w:tr w14:paraId="56F99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6" w:hRule="atLeast"/>
          <w:jc w:val="center"/>
        </w:trPr>
        <w:tc>
          <w:tcPr>
            <w:tcW w:w="1096" w:type="dxa"/>
            <w:vAlign w:val="center"/>
          </w:tcPr>
          <w:p w14:paraId="42D6882E">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1.1.3</w:t>
            </w:r>
          </w:p>
        </w:tc>
        <w:tc>
          <w:tcPr>
            <w:tcW w:w="1969" w:type="dxa"/>
            <w:vAlign w:val="center"/>
          </w:tcPr>
          <w:p w14:paraId="69BF8379">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采购代理机构</w:t>
            </w:r>
          </w:p>
        </w:tc>
        <w:tc>
          <w:tcPr>
            <w:tcW w:w="6494" w:type="dxa"/>
            <w:vAlign w:val="center"/>
          </w:tcPr>
          <w:p w14:paraId="465CDD66">
            <w:pPr>
              <w:adjustRightInd w:val="0"/>
              <w:snapToGrid w:val="0"/>
              <w:spacing w:line="440" w:lineRule="exact"/>
              <w:ind w:left="105" w:leftChars="50"/>
              <w:rPr>
                <w:rFonts w:ascii="宋体" w:hAnsi="宋体" w:cs="宋体"/>
                <w:color w:val="auto"/>
                <w:szCs w:val="21"/>
                <w:highlight w:val="none"/>
              </w:rPr>
            </w:pPr>
            <w:r>
              <w:rPr>
                <w:rFonts w:hint="eastAsia" w:ascii="宋体" w:hAnsi="宋体" w:cs="宋体"/>
                <w:color w:val="auto"/>
                <w:szCs w:val="21"/>
                <w:highlight w:val="none"/>
              </w:rPr>
              <w:t>名称：中建山河建设管理集团有限公司</w:t>
            </w:r>
          </w:p>
          <w:p w14:paraId="084DE84A">
            <w:pPr>
              <w:adjustRightInd w:val="0"/>
              <w:snapToGrid w:val="0"/>
              <w:spacing w:line="440" w:lineRule="exact"/>
              <w:ind w:left="105" w:leftChars="50"/>
              <w:rPr>
                <w:rFonts w:ascii="宋体" w:hAnsi="宋体" w:cs="宋体"/>
                <w:color w:val="auto"/>
                <w:szCs w:val="21"/>
                <w:highlight w:val="none"/>
              </w:rPr>
            </w:pPr>
            <w:r>
              <w:rPr>
                <w:rFonts w:hint="eastAsia" w:ascii="宋体" w:hAnsi="宋体" w:cs="宋体"/>
                <w:color w:val="auto"/>
                <w:szCs w:val="21"/>
                <w:highlight w:val="none"/>
              </w:rPr>
              <w:t>地址：郑州市郑东新区七里河南路与圃田西路交叉口明亮</w:t>
            </w:r>
            <w:r>
              <w:rPr>
                <w:rFonts w:hint="eastAsia" w:ascii="宋体" w:hAnsi="宋体" w:cs="宋体"/>
                <w:color w:val="auto"/>
                <w:szCs w:val="21"/>
                <w:highlight w:val="none"/>
                <w:lang w:val="en-US" w:eastAsia="zh-CN"/>
              </w:rPr>
              <w:t>集团</w:t>
            </w:r>
            <w:r>
              <w:rPr>
                <w:rFonts w:hint="eastAsia" w:ascii="宋体" w:hAnsi="宋体" w:cs="宋体"/>
                <w:color w:val="auto"/>
                <w:szCs w:val="21"/>
                <w:highlight w:val="none"/>
              </w:rPr>
              <w:t>大楼三楼312室</w:t>
            </w:r>
          </w:p>
          <w:p w14:paraId="3CDFCF6A">
            <w:pPr>
              <w:adjustRightInd w:val="0"/>
              <w:snapToGrid w:val="0"/>
              <w:spacing w:line="440" w:lineRule="exact"/>
              <w:ind w:left="105" w:leftChars="5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联系人：</w:t>
            </w:r>
            <w:r>
              <w:rPr>
                <w:rFonts w:hint="eastAsia" w:ascii="宋体" w:hAnsi="宋体" w:cs="宋体"/>
                <w:color w:val="auto"/>
                <w:szCs w:val="21"/>
                <w:highlight w:val="none"/>
                <w:lang w:val="en-US" w:eastAsia="zh-CN"/>
              </w:rPr>
              <w:t>王肖楠、程萌、王朝艳</w:t>
            </w:r>
          </w:p>
          <w:p w14:paraId="0B46F892">
            <w:pPr>
              <w:adjustRightInd w:val="0"/>
              <w:snapToGrid w:val="0"/>
              <w:spacing w:line="440" w:lineRule="exact"/>
              <w:ind w:left="105" w:leftChars="50"/>
              <w:rPr>
                <w:rFonts w:hint="default" w:ascii="宋体" w:hAnsi="宋体" w:cs="宋体"/>
                <w:color w:val="auto"/>
                <w:szCs w:val="21"/>
                <w:highlight w:val="none"/>
                <w:lang w:val="en-US"/>
              </w:rPr>
            </w:pPr>
            <w:r>
              <w:rPr>
                <w:rFonts w:hint="eastAsia" w:ascii="宋体" w:hAnsi="宋体" w:cs="宋体"/>
                <w:color w:val="auto"/>
                <w:szCs w:val="21"/>
                <w:highlight w:val="none"/>
              </w:rPr>
              <w:t>联系方式：0371-86556161、</w:t>
            </w:r>
            <w:r>
              <w:rPr>
                <w:rFonts w:hint="eastAsia" w:ascii="宋体" w:hAnsi="宋体" w:eastAsia="宋体" w:cs="宋体"/>
                <w:color w:val="auto"/>
                <w:sz w:val="21"/>
                <w:szCs w:val="21"/>
                <w:highlight w:val="none"/>
                <w:lang w:eastAsia="zh-CN"/>
              </w:rPr>
              <w:t>15839171848</w:t>
            </w:r>
          </w:p>
          <w:p w14:paraId="3DC66B8C">
            <w:pPr>
              <w:adjustRightInd w:val="0"/>
              <w:snapToGrid w:val="0"/>
              <w:spacing w:line="440" w:lineRule="exact"/>
              <w:ind w:left="105" w:leftChars="50"/>
              <w:rPr>
                <w:rFonts w:ascii="宋体" w:hAnsi="宋体" w:cs="宋体"/>
                <w:color w:val="auto"/>
                <w:szCs w:val="21"/>
                <w:highlight w:val="none"/>
              </w:rPr>
            </w:pPr>
            <w:r>
              <w:rPr>
                <w:rFonts w:hint="eastAsia" w:ascii="宋体" w:hAnsi="宋体" w:cs="宋体"/>
                <w:color w:val="auto"/>
                <w:szCs w:val="21"/>
                <w:highlight w:val="none"/>
              </w:rPr>
              <w:t xml:space="preserve">邮箱：zjsh86556161@163.com </w:t>
            </w:r>
          </w:p>
        </w:tc>
      </w:tr>
      <w:tr w14:paraId="3433F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096" w:type="dxa"/>
            <w:vAlign w:val="center"/>
          </w:tcPr>
          <w:p w14:paraId="1B977693">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1.1.4</w:t>
            </w:r>
          </w:p>
        </w:tc>
        <w:tc>
          <w:tcPr>
            <w:tcW w:w="1969" w:type="dxa"/>
            <w:vAlign w:val="center"/>
          </w:tcPr>
          <w:p w14:paraId="05C32E06">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项目名称</w:t>
            </w:r>
          </w:p>
        </w:tc>
        <w:tc>
          <w:tcPr>
            <w:tcW w:w="6494" w:type="dxa"/>
            <w:vAlign w:val="center"/>
          </w:tcPr>
          <w:p w14:paraId="3CA59A78">
            <w:pPr>
              <w:adjustRightInd w:val="0"/>
              <w:snapToGrid w:val="0"/>
              <w:spacing w:line="440" w:lineRule="exact"/>
              <w:ind w:left="105" w:leftChars="50"/>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河南省科学院材料基因工程研究所河南省科学院材料创新基地材料大数据与数字化设计平台（一期）建设项目</w:t>
            </w:r>
          </w:p>
        </w:tc>
      </w:tr>
      <w:tr w14:paraId="3C7EF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96" w:type="dxa"/>
            <w:vAlign w:val="center"/>
          </w:tcPr>
          <w:p w14:paraId="6AEB7C71">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1.1.5</w:t>
            </w:r>
          </w:p>
        </w:tc>
        <w:tc>
          <w:tcPr>
            <w:tcW w:w="1969" w:type="dxa"/>
            <w:vAlign w:val="center"/>
          </w:tcPr>
          <w:p w14:paraId="60FC0B5B">
            <w:pPr>
              <w:adjustRightInd w:val="0"/>
              <w:snapToGrid w:val="0"/>
              <w:spacing w:line="440" w:lineRule="exact"/>
              <w:ind w:left="105" w:leftChars="50"/>
              <w:jc w:val="center"/>
              <w:rPr>
                <w:rFonts w:ascii="宋体" w:hAnsi="宋体" w:cs="宋体"/>
                <w:b w:val="0"/>
                <w:bCs w:val="0"/>
                <w:color w:val="auto"/>
                <w:szCs w:val="21"/>
                <w:highlight w:val="none"/>
              </w:rPr>
            </w:pPr>
            <w:r>
              <w:rPr>
                <w:rFonts w:hint="eastAsia" w:ascii="宋体" w:hAnsi="宋体" w:cs="宋体"/>
                <w:b w:val="0"/>
                <w:bCs w:val="0"/>
                <w:color w:val="auto"/>
                <w:szCs w:val="21"/>
                <w:highlight w:val="none"/>
              </w:rPr>
              <w:t>项目编号</w:t>
            </w:r>
          </w:p>
        </w:tc>
        <w:tc>
          <w:tcPr>
            <w:tcW w:w="6494" w:type="dxa"/>
            <w:vAlign w:val="center"/>
          </w:tcPr>
          <w:p w14:paraId="3B83E826">
            <w:pPr>
              <w:adjustRightInd w:val="0"/>
              <w:snapToGrid w:val="0"/>
              <w:spacing w:line="440" w:lineRule="exact"/>
              <w:ind w:left="105" w:leftChars="50"/>
              <w:jc w:val="left"/>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val="en-US" w:eastAsia="zh-CN"/>
              </w:rPr>
              <w:t>豫财招标采购-2024-1437</w:t>
            </w:r>
          </w:p>
        </w:tc>
      </w:tr>
      <w:tr w14:paraId="0E5FB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096" w:type="dxa"/>
            <w:vAlign w:val="center"/>
          </w:tcPr>
          <w:p w14:paraId="17DED38C">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1.2.1</w:t>
            </w:r>
          </w:p>
        </w:tc>
        <w:tc>
          <w:tcPr>
            <w:tcW w:w="1969" w:type="dxa"/>
            <w:vAlign w:val="center"/>
          </w:tcPr>
          <w:p w14:paraId="08250452">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资金来源</w:t>
            </w:r>
          </w:p>
        </w:tc>
        <w:tc>
          <w:tcPr>
            <w:tcW w:w="6494" w:type="dxa"/>
            <w:vAlign w:val="center"/>
          </w:tcPr>
          <w:p w14:paraId="4BFB551A">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财政资金</w:t>
            </w:r>
          </w:p>
        </w:tc>
      </w:tr>
      <w:tr w14:paraId="2C45B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096" w:type="dxa"/>
            <w:vAlign w:val="center"/>
          </w:tcPr>
          <w:p w14:paraId="324E1E2F">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1.2.2</w:t>
            </w:r>
          </w:p>
        </w:tc>
        <w:tc>
          <w:tcPr>
            <w:tcW w:w="1969" w:type="dxa"/>
            <w:vAlign w:val="center"/>
          </w:tcPr>
          <w:p w14:paraId="77080FE0">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资金落实情况</w:t>
            </w:r>
          </w:p>
        </w:tc>
        <w:tc>
          <w:tcPr>
            <w:tcW w:w="6494" w:type="dxa"/>
            <w:vAlign w:val="center"/>
          </w:tcPr>
          <w:p w14:paraId="669C9095">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已落实</w:t>
            </w:r>
          </w:p>
        </w:tc>
      </w:tr>
      <w:tr w14:paraId="4C0E1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096" w:type="dxa"/>
            <w:vAlign w:val="center"/>
          </w:tcPr>
          <w:p w14:paraId="695137D5">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1.2.3</w:t>
            </w:r>
          </w:p>
        </w:tc>
        <w:tc>
          <w:tcPr>
            <w:tcW w:w="1969" w:type="dxa"/>
            <w:vAlign w:val="center"/>
          </w:tcPr>
          <w:p w14:paraId="3B8AEB5C">
            <w:pPr>
              <w:adjustRightInd w:val="0"/>
              <w:snapToGrid w:val="0"/>
              <w:spacing w:line="440" w:lineRule="exact"/>
              <w:ind w:left="105" w:leftChars="50"/>
              <w:jc w:val="center"/>
              <w:rPr>
                <w:rFonts w:ascii="宋体" w:hAnsi="宋体" w:cs="宋体"/>
                <w:b/>
                <w:bCs/>
                <w:color w:val="auto"/>
                <w:szCs w:val="21"/>
                <w:highlight w:val="none"/>
              </w:rPr>
            </w:pPr>
            <w:r>
              <w:rPr>
                <w:rFonts w:hint="eastAsia" w:ascii="宋体" w:hAnsi="宋体" w:cs="宋体"/>
                <w:b/>
                <w:bCs/>
                <w:color w:val="auto"/>
                <w:szCs w:val="21"/>
                <w:highlight w:val="none"/>
              </w:rPr>
              <w:t>最高投标限价</w:t>
            </w:r>
          </w:p>
        </w:tc>
        <w:tc>
          <w:tcPr>
            <w:tcW w:w="6494" w:type="dxa"/>
            <w:vAlign w:val="center"/>
          </w:tcPr>
          <w:p w14:paraId="50053C88">
            <w:pPr>
              <w:adjustRightInd w:val="0"/>
              <w:snapToGrid w:val="0"/>
              <w:spacing w:line="440" w:lineRule="exact"/>
              <w:ind w:left="105" w:leftChars="50"/>
              <w:rPr>
                <w:rFonts w:hint="eastAsia" w:ascii="宋体" w:hAnsi="宋体" w:eastAsia="宋体" w:cs="宋体"/>
                <w:b w:val="0"/>
                <w:bCs w:val="0"/>
                <w:color w:val="auto"/>
                <w:szCs w:val="21"/>
                <w:highlight w:val="none"/>
                <w:lang w:eastAsia="zh-CN"/>
              </w:rPr>
            </w:pPr>
            <w:r>
              <w:rPr>
                <w:rFonts w:hint="eastAsia" w:ascii="宋体" w:hAnsi="宋体" w:cs="宋体"/>
                <w:b w:val="0"/>
                <w:bCs w:val="0"/>
                <w:color w:val="auto"/>
                <w:szCs w:val="21"/>
                <w:highlight w:val="none"/>
                <w:lang w:val="en-US" w:eastAsia="zh-CN"/>
              </w:rPr>
              <w:t>包2</w:t>
            </w:r>
            <w:r>
              <w:rPr>
                <w:rFonts w:hint="eastAsia" w:ascii="宋体" w:hAnsi="宋体" w:cs="宋体"/>
                <w:b w:val="0"/>
                <w:bCs w:val="0"/>
                <w:color w:val="auto"/>
                <w:szCs w:val="21"/>
                <w:highlight w:val="none"/>
              </w:rPr>
              <w:t>：</w:t>
            </w:r>
            <w:r>
              <w:rPr>
                <w:rFonts w:hint="eastAsia" w:ascii="宋体" w:hAnsi="宋体" w:cs="宋体"/>
                <w:b w:val="0"/>
                <w:bCs w:val="0"/>
                <w:color w:val="auto"/>
                <w:szCs w:val="21"/>
                <w:highlight w:val="none"/>
                <w:lang w:eastAsia="zh-CN"/>
              </w:rPr>
              <w:t>私有云平台、数据采集和终端</w:t>
            </w:r>
          </w:p>
          <w:p w14:paraId="301BC505">
            <w:pPr>
              <w:adjustRightInd w:val="0"/>
              <w:snapToGrid w:val="0"/>
              <w:spacing w:line="440" w:lineRule="exact"/>
              <w:ind w:left="105" w:leftChars="50"/>
              <w:rPr>
                <w:rFonts w:hint="default" w:ascii="宋体" w:hAnsi="宋体" w:cs="宋体"/>
                <w:b w:val="0"/>
                <w:bCs w:val="0"/>
                <w:color w:val="auto"/>
                <w:szCs w:val="21"/>
                <w:highlight w:val="none"/>
                <w:lang w:val="en-US"/>
              </w:rPr>
            </w:pPr>
            <w:r>
              <w:rPr>
                <w:rFonts w:hint="eastAsia" w:ascii="宋体" w:hAnsi="宋体" w:cs="宋体"/>
                <w:b w:val="0"/>
                <w:bCs w:val="0"/>
                <w:color w:val="auto"/>
                <w:szCs w:val="21"/>
                <w:highlight w:val="none"/>
                <w:lang w:val="en-US" w:eastAsia="zh-CN"/>
              </w:rPr>
              <w:t>大写：人民币贰佰陆拾贰万元整</w:t>
            </w:r>
          </w:p>
          <w:p w14:paraId="28D7E19F">
            <w:pPr>
              <w:adjustRightInd w:val="0"/>
              <w:snapToGrid w:val="0"/>
              <w:spacing w:line="440" w:lineRule="exact"/>
              <w:ind w:left="105" w:leftChars="50"/>
              <w:rPr>
                <w:rFonts w:ascii="宋体" w:hAnsi="宋体" w:cs="宋体"/>
                <w:b w:val="0"/>
                <w:bCs w:val="0"/>
                <w:color w:val="auto"/>
                <w:szCs w:val="21"/>
                <w:highlight w:val="none"/>
              </w:rPr>
            </w:pPr>
            <w:r>
              <w:rPr>
                <w:rFonts w:hint="eastAsia" w:ascii="宋体" w:hAnsi="宋体" w:cs="宋体"/>
                <w:b w:val="0"/>
                <w:bCs w:val="0"/>
                <w:color w:val="auto"/>
                <w:szCs w:val="21"/>
                <w:highlight w:val="none"/>
                <w:lang w:val="en-US" w:eastAsia="zh-CN"/>
              </w:rPr>
              <w:t>小写：¥2620000.00</w:t>
            </w:r>
            <w:r>
              <w:rPr>
                <w:rFonts w:hint="eastAsia" w:ascii="宋体" w:hAnsi="宋体" w:cs="宋体"/>
                <w:b w:val="0"/>
                <w:bCs w:val="0"/>
                <w:color w:val="auto"/>
                <w:szCs w:val="21"/>
                <w:highlight w:val="none"/>
              </w:rPr>
              <w:t>元</w:t>
            </w:r>
          </w:p>
          <w:p w14:paraId="5546E431">
            <w:pPr>
              <w:adjustRightInd w:val="0"/>
              <w:snapToGrid w:val="0"/>
              <w:spacing w:line="440" w:lineRule="exact"/>
              <w:ind w:left="105" w:leftChars="50"/>
              <w:rPr>
                <w:rFonts w:ascii="宋体" w:hAnsi="宋体" w:cs="宋体"/>
                <w:b/>
                <w:bCs/>
                <w:color w:val="auto"/>
                <w:szCs w:val="21"/>
                <w:highlight w:val="none"/>
              </w:rPr>
            </w:pPr>
            <w:r>
              <w:rPr>
                <w:rFonts w:hint="eastAsia" w:ascii="宋体" w:hAnsi="宋体" w:cs="宋体"/>
                <w:b/>
                <w:bCs/>
                <w:color w:val="auto"/>
                <w:szCs w:val="21"/>
                <w:highlight w:val="none"/>
                <w:lang w:eastAsia="zh-CN"/>
              </w:rPr>
              <w:t>报价超出最高限价的为无效投标。</w:t>
            </w:r>
          </w:p>
        </w:tc>
      </w:tr>
      <w:tr w14:paraId="449F9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096" w:type="dxa"/>
            <w:vAlign w:val="center"/>
          </w:tcPr>
          <w:p w14:paraId="45BE62E1">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1.3.1</w:t>
            </w:r>
          </w:p>
        </w:tc>
        <w:tc>
          <w:tcPr>
            <w:tcW w:w="1969" w:type="dxa"/>
            <w:vAlign w:val="center"/>
          </w:tcPr>
          <w:p w14:paraId="0C3425E0">
            <w:pPr>
              <w:adjustRightInd w:val="0"/>
              <w:snapToGrid w:val="0"/>
              <w:spacing w:line="440" w:lineRule="exact"/>
              <w:ind w:left="105" w:leftChars="50"/>
              <w:jc w:val="center"/>
              <w:rPr>
                <w:rFonts w:ascii="宋体" w:hAnsi="宋体" w:cs="宋体"/>
                <w:b/>
                <w:bCs/>
                <w:color w:val="auto"/>
                <w:szCs w:val="21"/>
                <w:highlight w:val="none"/>
              </w:rPr>
            </w:pPr>
            <w:r>
              <w:rPr>
                <w:rFonts w:hint="eastAsia" w:ascii="宋体" w:hAnsi="宋体" w:cs="宋体"/>
                <w:b/>
                <w:bCs/>
                <w:color w:val="auto"/>
                <w:szCs w:val="21"/>
                <w:highlight w:val="none"/>
              </w:rPr>
              <w:t>采购内容</w:t>
            </w:r>
          </w:p>
        </w:tc>
        <w:tc>
          <w:tcPr>
            <w:tcW w:w="6494" w:type="dxa"/>
            <w:vAlign w:val="center"/>
          </w:tcPr>
          <w:p w14:paraId="56003CC4">
            <w:pPr>
              <w:pStyle w:val="15"/>
              <w:adjustRightInd w:val="0"/>
              <w:snapToGrid w:val="0"/>
              <w:spacing w:line="440" w:lineRule="exact"/>
              <w:jc w:val="left"/>
              <w:rPr>
                <w:rFonts w:ascii="宋体" w:hAnsi="宋体" w:cs="宋体"/>
                <w:b/>
                <w:bCs/>
                <w:color w:val="auto"/>
                <w:kern w:val="0"/>
                <w:sz w:val="21"/>
                <w:szCs w:val="21"/>
                <w:highlight w:val="none"/>
              </w:rPr>
            </w:pPr>
            <w:r>
              <w:rPr>
                <w:rFonts w:hint="eastAsia" w:cs="宋体"/>
                <w:b w:val="0"/>
                <w:bCs w:val="0"/>
                <w:color w:val="auto"/>
                <w:kern w:val="0"/>
                <w:sz w:val="21"/>
                <w:szCs w:val="21"/>
                <w:highlight w:val="none"/>
                <w:lang w:val="en-US" w:eastAsia="zh-CN"/>
              </w:rPr>
              <w:t>采购一套私有云平台、数据采集和终端，包含但不限于软硬件及附属设备的供货、运输、保险、装卸、安装、检测、调试、试运行、验收交付、培训、技术支持、软件升级、售后保修及相关伴随服务。</w:t>
            </w:r>
          </w:p>
        </w:tc>
      </w:tr>
      <w:tr w14:paraId="07376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096" w:type="dxa"/>
            <w:vAlign w:val="center"/>
          </w:tcPr>
          <w:p w14:paraId="6CE13DC1">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1.3.2</w:t>
            </w:r>
          </w:p>
        </w:tc>
        <w:tc>
          <w:tcPr>
            <w:tcW w:w="1969" w:type="dxa"/>
            <w:vAlign w:val="center"/>
          </w:tcPr>
          <w:p w14:paraId="1C0E3558">
            <w:pPr>
              <w:adjustRightInd w:val="0"/>
              <w:snapToGrid w:val="0"/>
              <w:spacing w:line="440" w:lineRule="exact"/>
              <w:ind w:left="105" w:leftChars="50"/>
              <w:jc w:val="center"/>
              <w:rPr>
                <w:rFonts w:ascii="宋体" w:hAnsi="宋体" w:cs="宋体"/>
                <w:b/>
                <w:bCs/>
                <w:color w:val="auto"/>
                <w:szCs w:val="21"/>
                <w:highlight w:val="none"/>
              </w:rPr>
            </w:pPr>
            <w:r>
              <w:rPr>
                <w:rFonts w:hint="eastAsia" w:ascii="宋体" w:hAnsi="宋体" w:cs="宋体"/>
                <w:b/>
                <w:bCs/>
                <w:color w:val="auto"/>
                <w:szCs w:val="21"/>
                <w:highlight w:val="none"/>
              </w:rPr>
              <w:t>质保期</w:t>
            </w:r>
          </w:p>
        </w:tc>
        <w:tc>
          <w:tcPr>
            <w:tcW w:w="6494" w:type="dxa"/>
            <w:vAlign w:val="center"/>
          </w:tcPr>
          <w:p w14:paraId="06D3D24D">
            <w:pPr>
              <w:pStyle w:val="15"/>
              <w:adjustRightInd w:val="0"/>
              <w:snapToGrid w:val="0"/>
              <w:spacing w:line="440" w:lineRule="exact"/>
              <w:jc w:val="left"/>
              <w:rPr>
                <w:rFonts w:hint="eastAsia" w:cs="宋体"/>
                <w:b w:val="0"/>
                <w:bCs w:val="0"/>
                <w:color w:val="auto"/>
                <w:kern w:val="0"/>
                <w:sz w:val="21"/>
                <w:szCs w:val="21"/>
                <w:highlight w:val="none"/>
              </w:rPr>
            </w:pPr>
            <w:r>
              <w:rPr>
                <w:rFonts w:hint="eastAsia" w:cs="宋体"/>
                <w:b w:val="0"/>
                <w:bCs w:val="0"/>
                <w:color w:val="auto"/>
                <w:kern w:val="0"/>
                <w:sz w:val="21"/>
                <w:szCs w:val="21"/>
                <w:highlight w:val="none"/>
                <w:lang w:eastAsia="zh-CN"/>
              </w:rPr>
              <w:t>自验收合格之日起质保不少于</w:t>
            </w:r>
            <w:r>
              <w:rPr>
                <w:rFonts w:hint="eastAsia" w:cs="宋体"/>
                <w:b w:val="0"/>
                <w:bCs w:val="0"/>
                <w:color w:val="auto"/>
                <w:kern w:val="0"/>
                <w:sz w:val="21"/>
                <w:szCs w:val="21"/>
                <w:highlight w:val="none"/>
                <w:lang w:val="en-US" w:eastAsia="zh-CN"/>
              </w:rPr>
              <w:t>3</w:t>
            </w:r>
            <w:r>
              <w:rPr>
                <w:rFonts w:hint="eastAsia" w:cs="宋体"/>
                <w:b w:val="0"/>
                <w:bCs w:val="0"/>
                <w:color w:val="auto"/>
                <w:kern w:val="0"/>
                <w:sz w:val="21"/>
                <w:szCs w:val="21"/>
                <w:highlight w:val="none"/>
                <w:lang w:eastAsia="zh-CN"/>
              </w:rPr>
              <w:t>年。</w:t>
            </w:r>
          </w:p>
        </w:tc>
      </w:tr>
      <w:tr w14:paraId="16461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6" w:type="dxa"/>
            <w:vAlign w:val="center"/>
          </w:tcPr>
          <w:p w14:paraId="23021738">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1.3.3</w:t>
            </w:r>
          </w:p>
        </w:tc>
        <w:tc>
          <w:tcPr>
            <w:tcW w:w="1969" w:type="dxa"/>
            <w:vAlign w:val="center"/>
          </w:tcPr>
          <w:p w14:paraId="13F668FE">
            <w:pPr>
              <w:adjustRightInd w:val="0"/>
              <w:snapToGrid w:val="0"/>
              <w:spacing w:line="440" w:lineRule="exact"/>
              <w:ind w:left="105" w:leftChars="50"/>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交货期</w:t>
            </w:r>
          </w:p>
        </w:tc>
        <w:tc>
          <w:tcPr>
            <w:tcW w:w="6494" w:type="dxa"/>
            <w:vAlign w:val="center"/>
          </w:tcPr>
          <w:p w14:paraId="7A8B73B3">
            <w:pPr>
              <w:pStyle w:val="15"/>
              <w:adjustRightInd w:val="0"/>
              <w:snapToGrid w:val="0"/>
              <w:spacing w:line="440" w:lineRule="exact"/>
              <w:jc w:val="left"/>
              <w:rPr>
                <w:color w:val="auto"/>
              </w:rPr>
            </w:pPr>
            <w:r>
              <w:rPr>
                <w:rFonts w:hint="eastAsia" w:cs="宋体"/>
                <w:b w:val="0"/>
                <w:bCs w:val="0"/>
                <w:color w:val="auto"/>
                <w:kern w:val="0"/>
                <w:sz w:val="21"/>
                <w:szCs w:val="21"/>
                <w:highlight w:val="none"/>
              </w:rPr>
              <w:t>自合同生效之日起</w:t>
            </w:r>
            <w:r>
              <w:rPr>
                <w:rFonts w:hint="eastAsia" w:cs="宋体"/>
                <w:b w:val="0"/>
                <w:bCs w:val="0"/>
                <w:color w:val="auto"/>
                <w:kern w:val="0"/>
                <w:sz w:val="21"/>
                <w:szCs w:val="21"/>
                <w:highlight w:val="none"/>
                <w:lang w:val="en-US" w:eastAsia="zh-CN"/>
              </w:rPr>
              <w:t>4</w:t>
            </w:r>
            <w:r>
              <w:rPr>
                <w:rFonts w:hint="eastAsia" w:cs="宋体"/>
                <w:b w:val="0"/>
                <w:bCs w:val="0"/>
                <w:color w:val="auto"/>
                <w:kern w:val="0"/>
                <w:sz w:val="21"/>
                <w:szCs w:val="21"/>
                <w:highlight w:val="none"/>
              </w:rPr>
              <w:t>个月内全部到货并安装调试完毕；</w:t>
            </w:r>
          </w:p>
        </w:tc>
      </w:tr>
      <w:tr w14:paraId="4E13C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6" w:type="dxa"/>
            <w:vAlign w:val="center"/>
          </w:tcPr>
          <w:p w14:paraId="2189A47E">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1.3.4</w:t>
            </w:r>
          </w:p>
        </w:tc>
        <w:tc>
          <w:tcPr>
            <w:tcW w:w="1969" w:type="dxa"/>
            <w:vAlign w:val="center"/>
          </w:tcPr>
          <w:p w14:paraId="441587D7">
            <w:pPr>
              <w:adjustRightInd w:val="0"/>
              <w:snapToGrid w:val="0"/>
              <w:spacing w:line="440" w:lineRule="exact"/>
              <w:ind w:left="105" w:leftChars="50"/>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交货地点</w:t>
            </w:r>
          </w:p>
        </w:tc>
        <w:tc>
          <w:tcPr>
            <w:tcW w:w="6494" w:type="dxa"/>
            <w:vAlign w:val="center"/>
          </w:tcPr>
          <w:p w14:paraId="0B028FF3">
            <w:pPr>
              <w:adjustRightInd w:val="0"/>
              <w:snapToGrid w:val="0"/>
              <w:spacing w:line="440" w:lineRule="exact"/>
              <w:ind w:left="105" w:leftChars="50"/>
              <w:rPr>
                <w:rFonts w:hint="eastAsia" w:ascii="宋体" w:hAnsi="宋体" w:eastAsia="宋体" w:cs="宋体"/>
                <w:b/>
                <w:bCs/>
                <w:color w:val="auto"/>
                <w:kern w:val="0"/>
                <w:szCs w:val="21"/>
                <w:highlight w:val="none"/>
                <w:lang w:eastAsia="zh-CN"/>
              </w:rPr>
            </w:pPr>
            <w:r>
              <w:rPr>
                <w:rFonts w:hint="eastAsia" w:ascii="宋体" w:hAnsi="宋体" w:cs="宋体"/>
                <w:b w:val="0"/>
                <w:bCs w:val="0"/>
                <w:color w:val="auto"/>
                <w:kern w:val="0"/>
                <w:szCs w:val="21"/>
                <w:highlight w:val="none"/>
                <w:lang w:val="en-US" w:eastAsia="zh-CN"/>
              </w:rPr>
              <w:t>郑州市</w:t>
            </w:r>
          </w:p>
        </w:tc>
      </w:tr>
      <w:tr w14:paraId="654B2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096" w:type="dxa"/>
            <w:vAlign w:val="center"/>
          </w:tcPr>
          <w:p w14:paraId="713FEE60">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1.3.5</w:t>
            </w:r>
          </w:p>
        </w:tc>
        <w:tc>
          <w:tcPr>
            <w:tcW w:w="1969" w:type="dxa"/>
            <w:vAlign w:val="center"/>
          </w:tcPr>
          <w:p w14:paraId="3142FBBE">
            <w:pPr>
              <w:adjustRightInd w:val="0"/>
              <w:snapToGrid w:val="0"/>
              <w:spacing w:line="440" w:lineRule="exact"/>
              <w:ind w:left="105" w:leftChars="50"/>
              <w:jc w:val="center"/>
              <w:rPr>
                <w:rFonts w:ascii="宋体" w:hAnsi="宋体" w:cs="宋体"/>
                <w:b/>
                <w:bCs/>
                <w:color w:val="auto"/>
                <w:szCs w:val="21"/>
                <w:highlight w:val="none"/>
              </w:rPr>
            </w:pPr>
            <w:r>
              <w:rPr>
                <w:rFonts w:hint="eastAsia" w:ascii="宋体" w:hAnsi="宋体" w:cs="宋体"/>
                <w:b/>
                <w:bCs/>
                <w:color w:val="auto"/>
                <w:szCs w:val="21"/>
                <w:highlight w:val="none"/>
              </w:rPr>
              <w:t>质量要求</w:t>
            </w:r>
          </w:p>
        </w:tc>
        <w:tc>
          <w:tcPr>
            <w:tcW w:w="6494" w:type="dxa"/>
            <w:vAlign w:val="center"/>
          </w:tcPr>
          <w:p w14:paraId="42517314">
            <w:pPr>
              <w:adjustRightInd w:val="0"/>
              <w:snapToGrid w:val="0"/>
              <w:spacing w:line="440" w:lineRule="exact"/>
              <w:ind w:left="105" w:leftChars="50"/>
              <w:rPr>
                <w:rFonts w:hint="eastAsia" w:ascii="宋体" w:hAnsi="宋体" w:eastAsia="宋体" w:cs="宋体"/>
                <w:b/>
                <w:bCs/>
                <w:color w:val="auto"/>
                <w:szCs w:val="21"/>
                <w:highlight w:val="none"/>
                <w:lang w:eastAsia="zh-CN"/>
              </w:rPr>
            </w:pPr>
            <w:r>
              <w:rPr>
                <w:rFonts w:hint="eastAsia" w:ascii="宋体" w:hAnsi="宋体" w:cs="宋体"/>
                <w:b w:val="0"/>
                <w:bCs w:val="0"/>
                <w:color w:val="auto"/>
                <w:szCs w:val="21"/>
                <w:highlight w:val="none"/>
                <w:lang w:eastAsia="zh-CN"/>
              </w:rPr>
              <w:t>符合国家、行业现行验收规范和标准，满足采购人的相关要求</w:t>
            </w:r>
          </w:p>
        </w:tc>
      </w:tr>
      <w:tr w14:paraId="1559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096" w:type="dxa"/>
            <w:vAlign w:val="center"/>
          </w:tcPr>
          <w:p w14:paraId="382CE41C">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1.4.1</w:t>
            </w:r>
          </w:p>
        </w:tc>
        <w:tc>
          <w:tcPr>
            <w:tcW w:w="1969" w:type="dxa"/>
            <w:vAlign w:val="center"/>
          </w:tcPr>
          <w:p w14:paraId="5AB2E8C6">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投标人资质条件、能力和信誉</w:t>
            </w:r>
          </w:p>
        </w:tc>
        <w:tc>
          <w:tcPr>
            <w:tcW w:w="6494" w:type="dxa"/>
            <w:vAlign w:val="center"/>
          </w:tcPr>
          <w:p w14:paraId="6880F666">
            <w:pPr>
              <w:adjustRightInd w:val="0"/>
              <w:snapToGrid w:val="0"/>
              <w:spacing w:line="440" w:lineRule="exact"/>
              <w:ind w:left="105" w:leftChars="5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1、满足《中华人民共和国政府采购法》第二十二条规定；</w:t>
            </w:r>
            <w:r>
              <w:rPr>
                <w:rFonts w:hint="eastAsia" w:ascii="宋体" w:hAnsi="宋体" w:cs="宋体"/>
                <w:b/>
                <w:color w:val="auto"/>
                <w:highlight w:val="none"/>
                <w:lang w:val="en-US" w:eastAsia="zh-CN"/>
              </w:rPr>
              <w:t>具体需提供的证明材料见第三章“资格审查、评标办法及标准”中“资格审查表”评审标准。</w:t>
            </w:r>
          </w:p>
          <w:p w14:paraId="315D78CC">
            <w:pPr>
              <w:adjustRightInd w:val="0"/>
              <w:snapToGrid w:val="0"/>
              <w:spacing w:line="440" w:lineRule="exact"/>
              <w:ind w:left="105" w:leftChars="50"/>
              <w:rPr>
                <w:rFonts w:hint="eastAsia" w:ascii="宋体" w:hAnsi="宋体" w:cs="宋体"/>
                <w:color w:val="auto"/>
                <w:szCs w:val="21"/>
                <w:highlight w:val="none"/>
              </w:rPr>
            </w:pPr>
            <w:r>
              <w:rPr>
                <w:rFonts w:hint="eastAsia" w:ascii="宋体" w:hAnsi="宋体" w:cs="宋体"/>
                <w:color w:val="auto"/>
                <w:szCs w:val="21"/>
                <w:highlight w:val="none"/>
              </w:rPr>
              <w:t>2、落实政府采购政策满足的资格要求：无；</w:t>
            </w:r>
          </w:p>
          <w:p w14:paraId="7B7E2071">
            <w:pPr>
              <w:adjustRightInd w:val="0"/>
              <w:snapToGrid w:val="0"/>
              <w:spacing w:line="440" w:lineRule="exact"/>
              <w:ind w:left="105" w:leftChars="50"/>
              <w:rPr>
                <w:rFonts w:hint="eastAsia" w:ascii="宋体" w:hAnsi="宋体" w:cs="宋体"/>
                <w:color w:val="auto"/>
                <w:szCs w:val="21"/>
                <w:highlight w:val="none"/>
              </w:rPr>
            </w:pPr>
            <w:r>
              <w:rPr>
                <w:rFonts w:hint="eastAsia" w:ascii="宋体" w:hAnsi="宋体" w:cs="宋体"/>
                <w:color w:val="auto"/>
                <w:szCs w:val="21"/>
                <w:highlight w:val="none"/>
              </w:rPr>
              <w:t>3、本项目的特定资格要求</w:t>
            </w:r>
          </w:p>
          <w:p w14:paraId="7BE18B43">
            <w:pPr>
              <w:adjustRightInd w:val="0"/>
              <w:snapToGrid w:val="0"/>
              <w:spacing w:line="440" w:lineRule="exact"/>
              <w:ind w:left="105" w:leftChars="50"/>
              <w:rPr>
                <w:rFonts w:hint="eastAsia" w:ascii="宋体" w:hAnsi="宋体" w:cs="宋体"/>
                <w:color w:val="FF0000"/>
                <w:szCs w:val="21"/>
                <w:highlight w:val="none"/>
              </w:rPr>
            </w:pPr>
            <w:r>
              <w:rPr>
                <w:rFonts w:hint="eastAsia" w:ascii="宋体" w:hAnsi="宋体" w:cs="宋体"/>
                <w:color w:val="auto"/>
                <w:szCs w:val="21"/>
                <w:highlight w:val="none"/>
              </w:rPr>
              <w:t>3.1根据《关于在政府采购活动中查询及使用信用记录有关问题的通知》(财库[2016]125号)和豫财购[2016]15号的规定，对列入失信被执行人、重大税收违法失信主体、政府采购严重违法失信行为记录名单的企业，拒绝参与本项目招标采购活动（查询渠道：“信用中国”网站（www.creditchina.gov.cn）查询：列入失信被执行人、重大税收违法失信主体，</w:t>
            </w:r>
            <w:bookmarkStart w:id="377" w:name="_GoBack"/>
            <w:bookmarkEnd w:id="377"/>
            <w:r>
              <w:rPr>
                <w:rFonts w:hint="eastAsia" w:ascii="宋体" w:hAnsi="宋体" w:cs="宋体"/>
                <w:color w:val="auto"/>
                <w:szCs w:val="21"/>
                <w:highlight w:val="none"/>
              </w:rPr>
              <w:t>中国政府采购网（www.ccgp.gov.cn）：政府采购严重违法失信行为记录名单）；注：采购代理机构在开标当天将对所有参与本项目投标的供应商的信用情况（失信被执行人、重大税收违法失信主体、政府采购严重违法失信行为记录名单）进行查询、打印留存。若在开标当天查询到供应商有相关负面信息的，则该供应商递交的投标文件按无效处理；</w:t>
            </w:r>
          </w:p>
          <w:p w14:paraId="147CA799">
            <w:pPr>
              <w:adjustRightInd w:val="0"/>
              <w:snapToGrid w:val="0"/>
              <w:spacing w:line="440" w:lineRule="exact"/>
              <w:ind w:left="105" w:leftChars="50"/>
              <w:rPr>
                <w:rFonts w:ascii="宋体" w:hAnsi="宋体" w:cs="宋体"/>
                <w:color w:val="auto"/>
                <w:szCs w:val="21"/>
                <w:highlight w:val="none"/>
              </w:rPr>
            </w:pPr>
            <w:r>
              <w:rPr>
                <w:rFonts w:hint="eastAsia" w:ascii="宋体" w:hAnsi="宋体" w:cs="宋体"/>
                <w:color w:val="auto"/>
                <w:szCs w:val="21"/>
                <w:highlight w:val="none"/>
              </w:rPr>
              <w:t>3.2单位负责人为同一人或者存在直接控股、管理关系的不同供应商，不得参加同一合同项下的政府采购活动。</w:t>
            </w:r>
          </w:p>
        </w:tc>
      </w:tr>
      <w:tr w14:paraId="6F34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096" w:type="dxa"/>
            <w:vAlign w:val="center"/>
          </w:tcPr>
          <w:p w14:paraId="2DD5F0BA">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1.4.2</w:t>
            </w:r>
          </w:p>
        </w:tc>
        <w:tc>
          <w:tcPr>
            <w:tcW w:w="1969" w:type="dxa"/>
            <w:vAlign w:val="center"/>
          </w:tcPr>
          <w:p w14:paraId="72BC3143">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是否接受联合体</w:t>
            </w:r>
          </w:p>
          <w:p w14:paraId="73CB3834">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投标</w:t>
            </w:r>
          </w:p>
        </w:tc>
        <w:tc>
          <w:tcPr>
            <w:tcW w:w="6494" w:type="dxa"/>
            <w:vAlign w:val="center"/>
          </w:tcPr>
          <w:p w14:paraId="5982A653">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否</w:t>
            </w:r>
          </w:p>
        </w:tc>
      </w:tr>
      <w:tr w14:paraId="4440B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096" w:type="dxa"/>
            <w:vAlign w:val="center"/>
          </w:tcPr>
          <w:p w14:paraId="663EEA74">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1.9.1</w:t>
            </w:r>
          </w:p>
        </w:tc>
        <w:tc>
          <w:tcPr>
            <w:tcW w:w="1969" w:type="dxa"/>
            <w:vAlign w:val="center"/>
          </w:tcPr>
          <w:p w14:paraId="133E4A7F">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踏勘现场</w:t>
            </w:r>
          </w:p>
        </w:tc>
        <w:tc>
          <w:tcPr>
            <w:tcW w:w="6494" w:type="dxa"/>
            <w:vAlign w:val="center"/>
          </w:tcPr>
          <w:p w14:paraId="2C8D65EC">
            <w:pPr>
              <w:adjustRightInd w:val="0"/>
              <w:snapToGrid w:val="0"/>
              <w:spacing w:line="440" w:lineRule="exact"/>
              <w:ind w:left="105" w:leftChars="50"/>
              <w:rPr>
                <w:rFonts w:ascii="宋体" w:hAnsi="宋体" w:cs="宋体"/>
                <w:color w:val="auto"/>
                <w:kern w:val="0"/>
                <w:szCs w:val="21"/>
                <w:highlight w:val="none"/>
              </w:rPr>
            </w:pPr>
            <w:r>
              <w:rPr>
                <w:rFonts w:hint="eastAsia" w:ascii="宋体" w:hAnsi="宋体" w:cs="宋体"/>
                <w:color w:val="auto"/>
                <w:kern w:val="0"/>
                <w:szCs w:val="21"/>
                <w:highlight w:val="none"/>
              </w:rPr>
              <w:t>☑不组织</w:t>
            </w:r>
          </w:p>
          <w:p w14:paraId="2B2F85CA">
            <w:pPr>
              <w:adjustRightInd w:val="0"/>
              <w:snapToGrid w:val="0"/>
              <w:spacing w:line="440" w:lineRule="exact"/>
              <w:ind w:left="105" w:leftChars="50"/>
              <w:rPr>
                <w:rFonts w:ascii="宋体" w:hAnsi="宋体" w:cs="宋体"/>
                <w:color w:val="auto"/>
                <w:kern w:val="0"/>
                <w:szCs w:val="21"/>
                <w:highlight w:val="none"/>
              </w:rPr>
            </w:pPr>
            <w:r>
              <w:rPr>
                <w:rFonts w:hint="eastAsia" w:ascii="宋体" w:hAnsi="宋体" w:cs="宋体"/>
                <w:color w:val="auto"/>
                <w:kern w:val="0"/>
                <w:szCs w:val="21"/>
                <w:highlight w:val="none"/>
              </w:rPr>
              <w:t xml:space="preserve">□组织，踏勘时间： / </w:t>
            </w:r>
          </w:p>
          <w:p w14:paraId="5AF1EBCC">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kern w:val="0"/>
                <w:szCs w:val="21"/>
                <w:highlight w:val="none"/>
              </w:rPr>
              <w:t>踏勘集中地点： /</w:t>
            </w:r>
          </w:p>
        </w:tc>
      </w:tr>
      <w:tr w14:paraId="74165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096" w:type="dxa"/>
            <w:vAlign w:val="center"/>
          </w:tcPr>
          <w:p w14:paraId="50D0CB68">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1.10.1</w:t>
            </w:r>
          </w:p>
        </w:tc>
        <w:tc>
          <w:tcPr>
            <w:tcW w:w="1969" w:type="dxa"/>
            <w:vAlign w:val="center"/>
          </w:tcPr>
          <w:p w14:paraId="61A80F10">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投标预备会</w:t>
            </w:r>
          </w:p>
        </w:tc>
        <w:tc>
          <w:tcPr>
            <w:tcW w:w="6494" w:type="dxa"/>
            <w:vAlign w:val="center"/>
          </w:tcPr>
          <w:p w14:paraId="2C3C4776">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不召开</w:t>
            </w:r>
          </w:p>
        </w:tc>
      </w:tr>
      <w:tr w14:paraId="4E7C9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096" w:type="dxa"/>
            <w:vAlign w:val="center"/>
          </w:tcPr>
          <w:p w14:paraId="618E4689">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1.11</w:t>
            </w:r>
          </w:p>
        </w:tc>
        <w:tc>
          <w:tcPr>
            <w:tcW w:w="1969" w:type="dxa"/>
            <w:vAlign w:val="center"/>
          </w:tcPr>
          <w:p w14:paraId="668D20F8">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分包</w:t>
            </w:r>
          </w:p>
        </w:tc>
        <w:tc>
          <w:tcPr>
            <w:tcW w:w="6494" w:type="dxa"/>
            <w:vAlign w:val="center"/>
          </w:tcPr>
          <w:p w14:paraId="693B4102">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不允许</w:t>
            </w:r>
          </w:p>
        </w:tc>
      </w:tr>
      <w:tr w14:paraId="5DE2A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096" w:type="dxa"/>
            <w:vAlign w:val="center"/>
          </w:tcPr>
          <w:p w14:paraId="0644B056">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1.12</w:t>
            </w:r>
          </w:p>
        </w:tc>
        <w:tc>
          <w:tcPr>
            <w:tcW w:w="1969" w:type="dxa"/>
            <w:vAlign w:val="center"/>
          </w:tcPr>
          <w:p w14:paraId="69C5ED22">
            <w:pPr>
              <w:adjustRightInd w:val="0"/>
              <w:snapToGrid w:val="0"/>
              <w:spacing w:line="440" w:lineRule="exact"/>
              <w:ind w:left="105" w:leftChars="50"/>
              <w:jc w:val="center"/>
              <w:rPr>
                <w:rFonts w:hint="eastAsia" w:ascii="宋体" w:hAnsi="宋体" w:eastAsia="宋体" w:cs="宋体"/>
                <w:b/>
                <w:bCs/>
                <w:color w:val="auto"/>
                <w:szCs w:val="21"/>
                <w:highlight w:val="none"/>
                <w:lang w:eastAsia="zh-CN"/>
              </w:rPr>
            </w:pPr>
            <w:r>
              <w:rPr>
                <w:rFonts w:hint="eastAsia" w:ascii="宋体" w:hAnsi="宋体" w:cs="宋体"/>
                <w:b/>
                <w:bCs/>
                <w:color w:val="auto"/>
                <w:szCs w:val="21"/>
                <w:highlight w:val="none"/>
                <w:lang w:eastAsia="zh-CN"/>
              </w:rPr>
              <w:t>偏离</w:t>
            </w:r>
          </w:p>
        </w:tc>
        <w:tc>
          <w:tcPr>
            <w:tcW w:w="6494" w:type="dxa"/>
            <w:vAlign w:val="center"/>
          </w:tcPr>
          <w:p w14:paraId="05C1968C">
            <w:pPr>
              <w:adjustRightInd w:val="0"/>
              <w:snapToGrid w:val="0"/>
              <w:spacing w:line="440" w:lineRule="exact"/>
              <w:ind w:left="105" w:leftChars="50"/>
              <w:jc w:val="left"/>
              <w:rPr>
                <w:rFonts w:ascii="宋体" w:hAnsi="宋体" w:cs="宋体"/>
                <w:b/>
                <w:bCs/>
                <w:color w:val="auto"/>
                <w:szCs w:val="21"/>
                <w:highlight w:val="none"/>
              </w:rPr>
            </w:pPr>
            <w:r>
              <w:rPr>
                <w:rFonts w:hint="eastAsia" w:ascii="宋体" w:hAnsi="宋体" w:cs="宋体"/>
                <w:b/>
                <w:bCs/>
                <w:color w:val="auto"/>
                <w:kern w:val="0"/>
                <w:szCs w:val="21"/>
                <w:highlight w:val="none"/>
                <w:lang w:val="en-US" w:eastAsia="zh-CN" w:bidi="ar"/>
              </w:rPr>
              <w:t>第五章 采购需求 中</w:t>
            </w:r>
            <w:r>
              <w:rPr>
                <w:rFonts w:hint="eastAsia" w:ascii="宋体" w:hAnsi="宋体" w:cs="宋体"/>
                <w:b/>
                <w:bCs/>
                <w:color w:val="auto"/>
                <w:kern w:val="0"/>
                <w:szCs w:val="21"/>
                <w:highlight w:val="none"/>
                <w:lang w:bidi="ar"/>
              </w:rPr>
              <w:t>技术</w:t>
            </w:r>
            <w:r>
              <w:rPr>
                <w:rFonts w:hint="eastAsia" w:ascii="宋体" w:hAnsi="宋体" w:cs="宋体"/>
                <w:b/>
                <w:bCs/>
                <w:color w:val="auto"/>
                <w:kern w:val="0"/>
                <w:szCs w:val="21"/>
                <w:highlight w:val="none"/>
                <w:lang w:val="en-US" w:eastAsia="zh-CN" w:bidi="ar"/>
              </w:rPr>
              <w:t>要求</w:t>
            </w:r>
            <w:r>
              <w:rPr>
                <w:rFonts w:hint="eastAsia" w:ascii="宋体" w:hAnsi="宋体" w:cs="宋体"/>
                <w:b/>
                <w:bCs/>
                <w:color w:val="auto"/>
                <w:kern w:val="0"/>
                <w:szCs w:val="21"/>
                <w:highlight w:val="none"/>
                <w:lang w:bidi="ar"/>
              </w:rPr>
              <w:t>中加★项</w:t>
            </w:r>
            <w:r>
              <w:rPr>
                <w:rFonts w:hint="eastAsia" w:ascii="宋体" w:hAnsi="宋体" w:cs="宋体"/>
                <w:b/>
                <w:bCs/>
                <w:color w:val="auto"/>
                <w:kern w:val="0"/>
                <w:szCs w:val="21"/>
                <w:highlight w:val="none"/>
                <w:lang w:eastAsia="zh-CN" w:bidi="ar"/>
              </w:rPr>
              <w:t>、</w:t>
            </w:r>
            <w:r>
              <w:rPr>
                <w:rFonts w:hint="eastAsia" w:ascii="宋体" w:hAnsi="宋体" w:cs="宋体"/>
                <w:b/>
                <w:bCs/>
                <w:color w:val="auto"/>
                <w:kern w:val="0"/>
                <w:szCs w:val="21"/>
                <w:highlight w:val="none"/>
                <w:lang w:val="en-US" w:eastAsia="zh-CN" w:bidi="ar"/>
              </w:rPr>
              <w:t>商务服务基本要求</w:t>
            </w:r>
            <w:r>
              <w:rPr>
                <w:rFonts w:hint="eastAsia" w:ascii="宋体" w:hAnsi="宋体" w:cs="宋体"/>
                <w:b/>
                <w:bCs/>
                <w:color w:val="auto"/>
                <w:kern w:val="0"/>
                <w:szCs w:val="21"/>
                <w:highlight w:val="none"/>
                <w:lang w:bidi="ar"/>
              </w:rPr>
              <w:t>不允许负</w:t>
            </w:r>
            <w:r>
              <w:rPr>
                <w:rFonts w:hint="eastAsia" w:ascii="宋体" w:hAnsi="宋体" w:cs="宋体"/>
                <w:b/>
                <w:bCs/>
                <w:color w:val="auto"/>
                <w:kern w:val="0"/>
                <w:szCs w:val="21"/>
                <w:highlight w:val="none"/>
                <w:lang w:eastAsia="zh-CN" w:bidi="ar"/>
              </w:rPr>
              <w:t>偏离</w:t>
            </w:r>
            <w:r>
              <w:rPr>
                <w:rFonts w:hint="eastAsia" w:ascii="宋体" w:hAnsi="宋体" w:cs="宋体"/>
                <w:b/>
                <w:bCs/>
                <w:color w:val="auto"/>
                <w:kern w:val="0"/>
                <w:szCs w:val="21"/>
                <w:highlight w:val="none"/>
                <w:lang w:bidi="ar"/>
              </w:rPr>
              <w:t>，其他项详见第三章评分标准及办法。</w:t>
            </w:r>
          </w:p>
        </w:tc>
      </w:tr>
      <w:tr w14:paraId="6F3AF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096" w:type="dxa"/>
            <w:vAlign w:val="center"/>
          </w:tcPr>
          <w:p w14:paraId="14378902">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2.1</w:t>
            </w:r>
          </w:p>
        </w:tc>
        <w:tc>
          <w:tcPr>
            <w:tcW w:w="1969" w:type="dxa"/>
            <w:vAlign w:val="center"/>
          </w:tcPr>
          <w:p w14:paraId="3CFE3B23">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构成招标文件的</w:t>
            </w:r>
          </w:p>
          <w:p w14:paraId="2552EEC3">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其他材料</w:t>
            </w:r>
          </w:p>
        </w:tc>
        <w:tc>
          <w:tcPr>
            <w:tcW w:w="6494" w:type="dxa"/>
            <w:vAlign w:val="center"/>
          </w:tcPr>
          <w:p w14:paraId="55CEA384">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在招标期间发出的澄清（如有）、修改、补充、补遗和其它有效正式函件等内容均是招标文件的组成部分。</w:t>
            </w:r>
          </w:p>
        </w:tc>
      </w:tr>
      <w:tr w14:paraId="45D43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096" w:type="dxa"/>
            <w:vAlign w:val="center"/>
          </w:tcPr>
          <w:p w14:paraId="195DCF5E">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2.2.1</w:t>
            </w:r>
          </w:p>
        </w:tc>
        <w:tc>
          <w:tcPr>
            <w:tcW w:w="1969" w:type="dxa"/>
            <w:vAlign w:val="center"/>
          </w:tcPr>
          <w:p w14:paraId="2EA9DE98">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投标人提出问题的截止时间</w:t>
            </w:r>
          </w:p>
        </w:tc>
        <w:tc>
          <w:tcPr>
            <w:tcW w:w="6494" w:type="dxa"/>
            <w:vAlign w:val="center"/>
          </w:tcPr>
          <w:p w14:paraId="13F4937E">
            <w:pPr>
              <w:adjustRightInd w:val="0"/>
              <w:snapToGrid w:val="0"/>
              <w:spacing w:line="440" w:lineRule="exact"/>
              <w:ind w:left="105" w:leftChars="50"/>
              <w:rPr>
                <w:rFonts w:ascii="宋体" w:hAnsi="宋体" w:cs="宋体"/>
                <w:color w:val="auto"/>
                <w:szCs w:val="21"/>
                <w:highlight w:val="none"/>
              </w:rPr>
            </w:pPr>
            <w:r>
              <w:rPr>
                <w:rFonts w:hint="eastAsia" w:ascii="宋体" w:hAnsi="宋体" w:cs="宋体"/>
                <w:color w:val="auto"/>
                <w:szCs w:val="21"/>
                <w:highlight w:val="none"/>
              </w:rPr>
              <w:t>时间：获取招标文件或招标公告期限届满之日起七个工作日内；</w:t>
            </w:r>
          </w:p>
          <w:p w14:paraId="32AA8665">
            <w:pPr>
              <w:adjustRightInd w:val="0"/>
              <w:snapToGrid w:val="0"/>
              <w:spacing w:line="440" w:lineRule="exact"/>
              <w:ind w:left="105" w:leftChars="50"/>
              <w:rPr>
                <w:rFonts w:ascii="宋体" w:hAnsi="宋体" w:cs="宋体"/>
                <w:color w:val="auto"/>
                <w:szCs w:val="21"/>
                <w:highlight w:val="none"/>
              </w:rPr>
            </w:pPr>
            <w:r>
              <w:rPr>
                <w:rFonts w:hint="eastAsia" w:ascii="宋体" w:hAnsi="宋体" w:cs="宋体"/>
                <w:color w:val="auto"/>
                <w:szCs w:val="21"/>
                <w:highlight w:val="none"/>
              </w:rPr>
              <w:t>形式：在河南省公共资源交易平台上提出，并及时电话告知代理机构（联系方式</w:t>
            </w:r>
            <w:r>
              <w:rPr>
                <w:rFonts w:hint="eastAsia" w:ascii="宋体" w:hAnsi="宋体" w:cs="宋体"/>
                <w:color w:val="auto"/>
                <w:szCs w:val="21"/>
                <w:highlight w:val="none"/>
                <w:lang w:val="en-US" w:eastAsia="zh-CN"/>
              </w:rPr>
              <w:t>见招标公告</w:t>
            </w:r>
            <w:r>
              <w:rPr>
                <w:rFonts w:hint="eastAsia" w:ascii="宋体" w:hAnsi="宋体" w:cs="宋体"/>
                <w:color w:val="auto"/>
                <w:szCs w:val="21"/>
                <w:highlight w:val="none"/>
              </w:rPr>
              <w:t>）。</w:t>
            </w:r>
          </w:p>
        </w:tc>
      </w:tr>
      <w:tr w14:paraId="702E3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096" w:type="dxa"/>
            <w:vAlign w:val="center"/>
          </w:tcPr>
          <w:p w14:paraId="14C0EA96">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2.2.2</w:t>
            </w:r>
          </w:p>
        </w:tc>
        <w:tc>
          <w:tcPr>
            <w:tcW w:w="1969" w:type="dxa"/>
            <w:vAlign w:val="center"/>
          </w:tcPr>
          <w:p w14:paraId="44C108A3">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投标人确认收到招标文件澄清的形式及时间</w:t>
            </w:r>
          </w:p>
        </w:tc>
        <w:tc>
          <w:tcPr>
            <w:tcW w:w="6494" w:type="dxa"/>
            <w:vAlign w:val="center"/>
          </w:tcPr>
          <w:p w14:paraId="188C346A">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所有澄清均通过“河南省公共资源交易中心”电子交易平台及原招标公告发布媒介发布。一经发布即视为投标人已收到并确认，请各投标人及时关注，如有遗漏自行负责。</w:t>
            </w:r>
          </w:p>
        </w:tc>
      </w:tr>
      <w:tr w14:paraId="4D455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096" w:type="dxa"/>
            <w:vAlign w:val="center"/>
          </w:tcPr>
          <w:p w14:paraId="7FFDC90A">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2.3.2</w:t>
            </w:r>
          </w:p>
        </w:tc>
        <w:tc>
          <w:tcPr>
            <w:tcW w:w="1969" w:type="dxa"/>
            <w:vAlign w:val="center"/>
          </w:tcPr>
          <w:p w14:paraId="7381722A">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投标人确认收到招标文件修改的形式及时间</w:t>
            </w:r>
          </w:p>
        </w:tc>
        <w:tc>
          <w:tcPr>
            <w:tcW w:w="6494" w:type="dxa"/>
            <w:vAlign w:val="center"/>
          </w:tcPr>
          <w:p w14:paraId="64853759">
            <w:pPr>
              <w:pStyle w:val="36"/>
              <w:adjustRightInd w:val="0"/>
              <w:snapToGrid w:val="0"/>
              <w:spacing w:after="0" w:line="440" w:lineRule="exact"/>
              <w:ind w:left="105" w:leftChars="50" w:firstLine="0" w:firstLineChars="0"/>
              <w:rPr>
                <w:rFonts w:ascii="宋体" w:hAnsi="宋体" w:cs="宋体"/>
                <w:color w:val="auto"/>
                <w:szCs w:val="21"/>
                <w:highlight w:val="none"/>
              </w:rPr>
            </w:pPr>
            <w:r>
              <w:rPr>
                <w:rFonts w:hint="eastAsia" w:ascii="宋体" w:hAnsi="宋体" w:cs="宋体"/>
                <w:color w:val="auto"/>
                <w:szCs w:val="21"/>
                <w:highlight w:val="none"/>
              </w:rPr>
              <w:t>所有修改均通过“河南省公共资源交易中心”电子交易平台及原招标公告发布媒介发布。一经发布即视为投标人已收到并确认，请各投标人及时关注，如有遗漏自行负责。</w:t>
            </w:r>
          </w:p>
        </w:tc>
      </w:tr>
      <w:tr w14:paraId="05FD8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096" w:type="dxa"/>
            <w:vAlign w:val="center"/>
          </w:tcPr>
          <w:p w14:paraId="7B6A9729">
            <w:pPr>
              <w:adjustRightInd w:val="0"/>
              <w:snapToGrid w:val="0"/>
              <w:spacing w:line="440" w:lineRule="exact"/>
              <w:ind w:left="105" w:leftChars="50"/>
              <w:jc w:val="center"/>
              <w:rPr>
                <w:rFonts w:ascii="宋体" w:hAnsi="宋体" w:cs="宋体"/>
                <w:b/>
                <w:bCs/>
                <w:color w:val="auto"/>
                <w:szCs w:val="21"/>
                <w:highlight w:val="none"/>
              </w:rPr>
            </w:pPr>
            <w:r>
              <w:rPr>
                <w:rFonts w:hint="eastAsia" w:ascii="宋体" w:hAnsi="宋体" w:cs="宋体"/>
                <w:b/>
                <w:bCs/>
                <w:color w:val="auto"/>
                <w:szCs w:val="21"/>
                <w:highlight w:val="none"/>
              </w:rPr>
              <w:t>3.3.1</w:t>
            </w:r>
          </w:p>
        </w:tc>
        <w:tc>
          <w:tcPr>
            <w:tcW w:w="1969" w:type="dxa"/>
            <w:vAlign w:val="center"/>
          </w:tcPr>
          <w:p w14:paraId="32E51D96">
            <w:pPr>
              <w:adjustRightInd w:val="0"/>
              <w:snapToGrid w:val="0"/>
              <w:spacing w:line="440" w:lineRule="exact"/>
              <w:ind w:left="105" w:leftChars="50"/>
              <w:jc w:val="center"/>
              <w:rPr>
                <w:rFonts w:ascii="宋体" w:hAnsi="宋体" w:cs="宋体"/>
                <w:b/>
                <w:bCs/>
                <w:color w:val="auto"/>
                <w:szCs w:val="21"/>
                <w:highlight w:val="none"/>
              </w:rPr>
            </w:pPr>
            <w:r>
              <w:rPr>
                <w:rFonts w:hint="eastAsia" w:ascii="宋体" w:hAnsi="宋体" w:cs="宋体"/>
                <w:b/>
                <w:bCs/>
                <w:color w:val="auto"/>
                <w:szCs w:val="21"/>
                <w:highlight w:val="none"/>
              </w:rPr>
              <w:t>投标有效期</w:t>
            </w:r>
          </w:p>
        </w:tc>
        <w:tc>
          <w:tcPr>
            <w:tcW w:w="6494" w:type="dxa"/>
            <w:vAlign w:val="center"/>
          </w:tcPr>
          <w:p w14:paraId="58CBC587">
            <w:pPr>
              <w:adjustRightInd w:val="0"/>
              <w:snapToGrid w:val="0"/>
              <w:spacing w:line="440" w:lineRule="exact"/>
              <w:ind w:left="105" w:leftChars="50"/>
              <w:jc w:val="left"/>
              <w:rPr>
                <w:rFonts w:ascii="宋体" w:hAnsi="宋体" w:cs="宋体"/>
                <w:b/>
                <w:bCs/>
                <w:color w:val="auto"/>
                <w:szCs w:val="21"/>
                <w:highlight w:val="none"/>
              </w:rPr>
            </w:pPr>
            <w:r>
              <w:rPr>
                <w:rFonts w:hint="eastAsia" w:ascii="宋体" w:hAnsi="宋体" w:cs="宋体"/>
                <w:b/>
                <w:bCs/>
                <w:color w:val="auto"/>
                <w:szCs w:val="21"/>
                <w:highlight w:val="none"/>
                <w:lang w:eastAsia="zh-CN"/>
              </w:rPr>
              <w:t>递交</w:t>
            </w:r>
            <w:r>
              <w:rPr>
                <w:rFonts w:hint="eastAsia" w:ascii="宋体" w:hAnsi="宋体" w:cs="宋体"/>
                <w:b/>
                <w:bCs/>
                <w:color w:val="auto"/>
                <w:szCs w:val="21"/>
                <w:highlight w:val="none"/>
              </w:rPr>
              <w:t>投标</w:t>
            </w:r>
            <w:r>
              <w:rPr>
                <w:rFonts w:hint="eastAsia" w:ascii="宋体" w:hAnsi="宋体" w:cs="宋体"/>
                <w:b/>
                <w:bCs/>
                <w:color w:val="auto"/>
                <w:szCs w:val="21"/>
                <w:highlight w:val="none"/>
                <w:lang w:eastAsia="zh-CN"/>
              </w:rPr>
              <w:t>文件</w:t>
            </w:r>
            <w:r>
              <w:rPr>
                <w:rFonts w:hint="eastAsia" w:ascii="宋体" w:hAnsi="宋体" w:cs="宋体"/>
                <w:b/>
                <w:bCs/>
                <w:color w:val="auto"/>
                <w:szCs w:val="21"/>
                <w:highlight w:val="none"/>
              </w:rPr>
              <w:t>截止时间起</w:t>
            </w:r>
            <w:r>
              <w:rPr>
                <w:rFonts w:hint="eastAsia" w:ascii="宋体" w:hAnsi="宋体" w:cs="宋体"/>
                <w:b/>
                <w:bCs/>
                <w:color w:val="auto"/>
                <w:szCs w:val="21"/>
                <w:highlight w:val="none"/>
                <w:u w:val="none"/>
              </w:rPr>
              <w:t>90</w:t>
            </w:r>
            <w:r>
              <w:rPr>
                <w:rFonts w:hint="eastAsia" w:ascii="宋体" w:hAnsi="宋体" w:cs="宋体"/>
                <w:b/>
                <w:bCs/>
                <w:color w:val="auto"/>
                <w:szCs w:val="21"/>
                <w:highlight w:val="none"/>
              </w:rPr>
              <w:t>日历天。</w:t>
            </w:r>
          </w:p>
        </w:tc>
      </w:tr>
      <w:tr w14:paraId="40AAC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96" w:type="dxa"/>
            <w:vAlign w:val="center"/>
          </w:tcPr>
          <w:p w14:paraId="5E03B5A0">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3.4.1</w:t>
            </w:r>
          </w:p>
        </w:tc>
        <w:tc>
          <w:tcPr>
            <w:tcW w:w="1969" w:type="dxa"/>
            <w:vAlign w:val="center"/>
          </w:tcPr>
          <w:p w14:paraId="106BBAB8">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投标保证金</w:t>
            </w:r>
          </w:p>
        </w:tc>
        <w:tc>
          <w:tcPr>
            <w:tcW w:w="6494" w:type="dxa"/>
            <w:vAlign w:val="center"/>
          </w:tcPr>
          <w:p w14:paraId="0ED013A8">
            <w:pPr>
              <w:adjustRightInd w:val="0"/>
              <w:snapToGrid w:val="0"/>
              <w:spacing w:line="440" w:lineRule="exact"/>
              <w:ind w:left="105" w:leftChars="5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不要求，根据《河南省财政厅关于优化政府采购营商环境有关问题的通知》豫财购（2019）4号要求，本项目不再收取投标保证金。</w:t>
            </w:r>
          </w:p>
        </w:tc>
      </w:tr>
      <w:tr w14:paraId="51986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1096" w:type="dxa"/>
            <w:vAlign w:val="center"/>
          </w:tcPr>
          <w:p w14:paraId="16A0565A">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3.6</w:t>
            </w:r>
          </w:p>
        </w:tc>
        <w:tc>
          <w:tcPr>
            <w:tcW w:w="1969" w:type="dxa"/>
            <w:vAlign w:val="center"/>
          </w:tcPr>
          <w:p w14:paraId="7978E60F">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是否允许递交备选投标方案</w:t>
            </w:r>
          </w:p>
        </w:tc>
        <w:tc>
          <w:tcPr>
            <w:tcW w:w="6494" w:type="dxa"/>
            <w:vAlign w:val="center"/>
          </w:tcPr>
          <w:p w14:paraId="036AF20B">
            <w:pPr>
              <w:adjustRightInd w:val="0"/>
              <w:snapToGrid w:val="0"/>
              <w:spacing w:line="440" w:lineRule="exact"/>
              <w:ind w:left="105" w:leftChars="50"/>
              <w:jc w:val="left"/>
              <w:rPr>
                <w:rFonts w:ascii="宋体" w:hAnsi="宋体" w:cs="宋体"/>
                <w:color w:val="auto"/>
                <w:szCs w:val="21"/>
                <w:highlight w:val="none"/>
                <w:u w:val="single"/>
              </w:rPr>
            </w:pPr>
            <w:r>
              <w:rPr>
                <w:rFonts w:hint="eastAsia" w:ascii="宋体" w:hAnsi="宋体" w:cs="宋体"/>
                <w:color w:val="auto"/>
                <w:szCs w:val="21"/>
                <w:highlight w:val="none"/>
              </w:rPr>
              <w:t>不允许</w:t>
            </w:r>
          </w:p>
        </w:tc>
      </w:tr>
      <w:tr w14:paraId="59BE5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096" w:type="dxa"/>
            <w:vAlign w:val="center"/>
          </w:tcPr>
          <w:p w14:paraId="31AB295B">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3.7.3</w:t>
            </w:r>
          </w:p>
        </w:tc>
        <w:tc>
          <w:tcPr>
            <w:tcW w:w="1969" w:type="dxa"/>
            <w:vAlign w:val="center"/>
          </w:tcPr>
          <w:p w14:paraId="03B66E53">
            <w:pPr>
              <w:adjustRightInd w:val="0"/>
              <w:snapToGrid w:val="0"/>
              <w:spacing w:line="440" w:lineRule="exact"/>
              <w:ind w:left="105" w:leftChars="50"/>
              <w:jc w:val="center"/>
              <w:rPr>
                <w:rFonts w:ascii="宋体" w:hAnsi="宋体" w:cs="宋体"/>
                <w:b/>
                <w:bCs/>
                <w:color w:val="auto"/>
                <w:szCs w:val="21"/>
                <w:highlight w:val="none"/>
              </w:rPr>
            </w:pPr>
            <w:r>
              <w:rPr>
                <w:rFonts w:hint="eastAsia" w:ascii="宋体" w:hAnsi="宋体" w:cs="宋体"/>
                <w:b/>
                <w:bCs/>
                <w:color w:val="auto"/>
                <w:szCs w:val="21"/>
                <w:highlight w:val="none"/>
              </w:rPr>
              <w:t>签字和（或）盖章要求</w:t>
            </w:r>
          </w:p>
        </w:tc>
        <w:tc>
          <w:tcPr>
            <w:tcW w:w="6494" w:type="dxa"/>
            <w:vAlign w:val="center"/>
          </w:tcPr>
          <w:p w14:paraId="271A0F44">
            <w:pPr>
              <w:adjustRightInd w:val="0"/>
              <w:snapToGrid w:val="0"/>
              <w:spacing w:line="440" w:lineRule="exact"/>
              <w:ind w:left="105" w:leftChars="50"/>
              <w:jc w:val="left"/>
              <w:rPr>
                <w:rFonts w:ascii="宋体" w:hAnsi="宋体" w:cs="宋体"/>
                <w:b/>
                <w:bCs/>
                <w:color w:val="auto"/>
                <w:szCs w:val="21"/>
                <w:highlight w:val="none"/>
              </w:rPr>
            </w:pPr>
            <w:r>
              <w:rPr>
                <w:rFonts w:hint="eastAsia" w:ascii="宋体" w:hAnsi="宋体" w:cs="宋体"/>
                <w:b/>
                <w:bCs/>
                <w:color w:val="auto"/>
                <w:szCs w:val="21"/>
                <w:highlight w:val="none"/>
              </w:rPr>
              <w:t>（1）所有要求投标人加盖公章的地方都应用投标人单位的CA 印章。</w:t>
            </w:r>
          </w:p>
          <w:p w14:paraId="2159289E">
            <w:pPr>
              <w:adjustRightInd w:val="0"/>
              <w:snapToGrid w:val="0"/>
              <w:spacing w:line="440" w:lineRule="exact"/>
              <w:ind w:left="105" w:leftChars="50"/>
              <w:jc w:val="left"/>
              <w:rPr>
                <w:rFonts w:ascii="宋体" w:hAnsi="宋体" w:cs="宋体"/>
                <w:b/>
                <w:bCs/>
                <w:color w:val="auto"/>
                <w:szCs w:val="21"/>
                <w:highlight w:val="none"/>
              </w:rPr>
            </w:pPr>
            <w:r>
              <w:rPr>
                <w:rFonts w:hint="eastAsia" w:ascii="宋体" w:hAnsi="宋体" w:cs="宋体"/>
                <w:b/>
                <w:bCs/>
                <w:color w:val="auto"/>
                <w:szCs w:val="21"/>
                <w:highlight w:val="none"/>
              </w:rPr>
              <w:t>（2）所有要求法定代表人签字的地方都应用法定代表人的CA 印章。（3）若有委托代理人，且委托代理人没有CA锁，则投标文件需上传有手写签名的扫描件。</w:t>
            </w:r>
          </w:p>
        </w:tc>
      </w:tr>
      <w:tr w14:paraId="055CA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096" w:type="dxa"/>
            <w:vAlign w:val="center"/>
          </w:tcPr>
          <w:p w14:paraId="52753736">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3.7.4</w:t>
            </w:r>
          </w:p>
        </w:tc>
        <w:tc>
          <w:tcPr>
            <w:tcW w:w="1969" w:type="dxa"/>
            <w:vAlign w:val="center"/>
          </w:tcPr>
          <w:p w14:paraId="513047F2">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投标所需相关的资质、证明等资料要求</w:t>
            </w:r>
          </w:p>
        </w:tc>
        <w:tc>
          <w:tcPr>
            <w:tcW w:w="6494" w:type="dxa"/>
            <w:vAlign w:val="center"/>
          </w:tcPr>
          <w:p w14:paraId="366AF9C2">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投标所需相关的资质、证明等资料均需先上传至河南省公共资源交易中心诚信库并经核验，投标人制作投标文件所需资料须从诚信库中提取。</w:t>
            </w:r>
          </w:p>
        </w:tc>
      </w:tr>
      <w:tr w14:paraId="7274E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096" w:type="dxa"/>
            <w:vAlign w:val="center"/>
          </w:tcPr>
          <w:p w14:paraId="7F1AB553">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4.2.1</w:t>
            </w:r>
          </w:p>
        </w:tc>
        <w:tc>
          <w:tcPr>
            <w:tcW w:w="1969" w:type="dxa"/>
            <w:vAlign w:val="center"/>
          </w:tcPr>
          <w:p w14:paraId="192125E5">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投标文件的递交</w:t>
            </w:r>
          </w:p>
        </w:tc>
        <w:tc>
          <w:tcPr>
            <w:tcW w:w="6494" w:type="dxa"/>
            <w:vAlign w:val="center"/>
          </w:tcPr>
          <w:p w14:paraId="6B09CD20">
            <w:pPr>
              <w:adjustRightInd w:val="0"/>
              <w:snapToGrid w:val="0"/>
              <w:spacing w:line="440" w:lineRule="exact"/>
              <w:ind w:left="105" w:leftChars="50"/>
              <w:rPr>
                <w:rFonts w:ascii="宋体" w:hAnsi="宋体" w:cs="宋体"/>
                <w:color w:val="auto"/>
                <w:szCs w:val="21"/>
                <w:highlight w:val="none"/>
              </w:rPr>
            </w:pPr>
            <w:r>
              <w:rPr>
                <w:rFonts w:hint="eastAsia" w:ascii="宋体" w:hAnsi="宋体" w:cs="宋体"/>
                <w:color w:val="auto"/>
                <w:szCs w:val="21"/>
                <w:highlight w:val="none"/>
              </w:rPr>
              <w:t>(1)各投标人应在投标截止时间前上传加密的电子投标文件（*.hntf）到会员系统的指定位置。上传时必须得到电脑“上传成功”的确认回复。请投标人在上传时认真检查上传投标文件是否完整、正确。</w:t>
            </w:r>
          </w:p>
          <w:p w14:paraId="680FE12B">
            <w:pPr>
              <w:adjustRightInd w:val="0"/>
              <w:snapToGrid w:val="0"/>
              <w:spacing w:line="440" w:lineRule="exact"/>
              <w:ind w:left="105" w:leftChars="50"/>
              <w:rPr>
                <w:rFonts w:hint="eastAsia" w:ascii="宋体" w:hAnsi="宋体" w:cs="宋体"/>
                <w:color w:val="auto"/>
                <w:szCs w:val="21"/>
                <w:highlight w:val="none"/>
              </w:rPr>
            </w:pPr>
            <w:r>
              <w:rPr>
                <w:rFonts w:hint="eastAsia" w:ascii="宋体" w:hAnsi="宋体" w:cs="宋体"/>
                <w:color w:val="auto"/>
                <w:szCs w:val="21"/>
                <w:highlight w:val="none"/>
              </w:rPr>
              <w:t>(2)资格审查证明文件须上传至河南省公共资源交易平台“资格审查资料”模块，因未上传至指定位置导致</w:t>
            </w:r>
            <w:r>
              <w:rPr>
                <w:rFonts w:hint="eastAsia" w:ascii="宋体" w:hAnsi="宋体" w:cs="宋体"/>
                <w:color w:val="auto"/>
                <w:szCs w:val="21"/>
                <w:highlight w:val="none"/>
                <w:lang w:val="en-US" w:eastAsia="zh-CN"/>
              </w:rPr>
              <w:t>资格审查不通过</w:t>
            </w:r>
            <w:r>
              <w:rPr>
                <w:rFonts w:hint="eastAsia" w:ascii="宋体" w:hAnsi="宋体" w:cs="宋体"/>
                <w:color w:val="auto"/>
                <w:szCs w:val="21"/>
                <w:highlight w:val="none"/>
              </w:rPr>
              <w:t>的，由投标人</w:t>
            </w:r>
            <w:r>
              <w:rPr>
                <w:rFonts w:hint="eastAsia" w:ascii="宋体" w:hAnsi="宋体" w:cs="宋体"/>
                <w:color w:val="auto"/>
                <w:szCs w:val="21"/>
                <w:highlight w:val="none"/>
                <w:lang w:val="en-US" w:eastAsia="zh-CN"/>
              </w:rPr>
              <w:t>自行</w:t>
            </w:r>
            <w:r>
              <w:rPr>
                <w:rFonts w:hint="eastAsia" w:ascii="宋体" w:hAnsi="宋体" w:cs="宋体"/>
                <w:color w:val="auto"/>
                <w:szCs w:val="21"/>
                <w:highlight w:val="none"/>
              </w:rPr>
              <w:t>承担责任。</w:t>
            </w:r>
          </w:p>
          <w:p w14:paraId="0D1894AE">
            <w:pPr>
              <w:adjustRightInd w:val="0"/>
              <w:snapToGrid w:val="0"/>
              <w:spacing w:line="440" w:lineRule="exact"/>
              <w:ind w:left="105" w:leftChars="50"/>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)投标人因交易中心投标系统问题无法上传电子投标文件时，请在工作时间与河南省公共资源交易中心联系，联系电话：0371-86095925。</w:t>
            </w:r>
          </w:p>
        </w:tc>
      </w:tr>
      <w:tr w14:paraId="720FD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096" w:type="dxa"/>
            <w:vAlign w:val="center"/>
          </w:tcPr>
          <w:p w14:paraId="3FC29738">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4.2.2</w:t>
            </w:r>
          </w:p>
        </w:tc>
        <w:tc>
          <w:tcPr>
            <w:tcW w:w="1969" w:type="dxa"/>
            <w:vAlign w:val="center"/>
          </w:tcPr>
          <w:p w14:paraId="2076460F">
            <w:pPr>
              <w:adjustRightInd w:val="0"/>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远程开标机位地点</w:t>
            </w:r>
          </w:p>
        </w:tc>
        <w:tc>
          <w:tcPr>
            <w:tcW w:w="6494" w:type="dxa"/>
            <w:vAlign w:val="center"/>
          </w:tcPr>
          <w:p w14:paraId="622B57AF">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河南省公共资源交易中心远程开标室（</w:t>
            </w:r>
            <w:r>
              <w:rPr>
                <w:rFonts w:hint="eastAsia" w:ascii="宋体" w:hAnsi="宋体" w:cs="宋体"/>
                <w:color w:val="auto"/>
                <w:szCs w:val="21"/>
                <w:highlight w:val="none"/>
                <w:lang w:eastAsia="zh-CN"/>
              </w:rPr>
              <w:t>二</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（郑州市经二路12号（经二路与纬四路向南50米路西）</w:t>
            </w:r>
          </w:p>
        </w:tc>
      </w:tr>
      <w:tr w14:paraId="079BF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096" w:type="dxa"/>
            <w:vAlign w:val="center"/>
          </w:tcPr>
          <w:p w14:paraId="2F2ECF08">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4.2.3</w:t>
            </w:r>
          </w:p>
        </w:tc>
        <w:tc>
          <w:tcPr>
            <w:tcW w:w="1969" w:type="dxa"/>
            <w:vAlign w:val="center"/>
          </w:tcPr>
          <w:p w14:paraId="424DE78C">
            <w:pPr>
              <w:adjustRightInd w:val="0"/>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是否退还投标文件</w:t>
            </w:r>
          </w:p>
        </w:tc>
        <w:tc>
          <w:tcPr>
            <w:tcW w:w="6494" w:type="dxa"/>
            <w:vAlign w:val="center"/>
          </w:tcPr>
          <w:p w14:paraId="5F17249B">
            <w:pPr>
              <w:adjustRightInd w:val="0"/>
              <w:snapToGrid w:val="0"/>
              <w:spacing w:line="440" w:lineRule="exact"/>
              <w:ind w:left="105" w:leftChars="50"/>
              <w:jc w:val="left"/>
              <w:rPr>
                <w:rFonts w:ascii="宋体" w:hAnsi="宋体" w:cs="宋体"/>
                <w:color w:val="auto"/>
                <w:szCs w:val="21"/>
                <w:highlight w:val="none"/>
                <w:u w:val="single"/>
              </w:rPr>
            </w:pPr>
            <w:r>
              <w:rPr>
                <w:rFonts w:hint="eastAsia" w:ascii="宋体" w:hAnsi="宋体" w:cs="宋体"/>
                <w:color w:val="auto"/>
                <w:szCs w:val="21"/>
                <w:highlight w:val="none"/>
              </w:rPr>
              <w:t>否</w:t>
            </w:r>
          </w:p>
        </w:tc>
      </w:tr>
      <w:tr w14:paraId="18156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096" w:type="dxa"/>
            <w:vAlign w:val="center"/>
          </w:tcPr>
          <w:p w14:paraId="7AD0D597">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5.1</w:t>
            </w:r>
          </w:p>
        </w:tc>
        <w:tc>
          <w:tcPr>
            <w:tcW w:w="1969" w:type="dxa"/>
            <w:vAlign w:val="center"/>
          </w:tcPr>
          <w:p w14:paraId="489332A2">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开标时间和地点</w:t>
            </w:r>
          </w:p>
        </w:tc>
        <w:tc>
          <w:tcPr>
            <w:tcW w:w="6494" w:type="dxa"/>
            <w:vAlign w:val="center"/>
          </w:tcPr>
          <w:p w14:paraId="05A89A2F">
            <w:pPr>
              <w:adjustRightInd w:val="0"/>
              <w:snapToGrid w:val="0"/>
              <w:spacing w:line="440" w:lineRule="exact"/>
              <w:ind w:left="105" w:leftChars="50"/>
              <w:rPr>
                <w:rFonts w:ascii="宋体" w:hAnsi="宋体" w:cs="宋体"/>
                <w:color w:val="auto"/>
                <w:szCs w:val="21"/>
                <w:highlight w:val="none"/>
              </w:rPr>
            </w:pPr>
            <w:r>
              <w:rPr>
                <w:rFonts w:hint="eastAsia" w:ascii="宋体" w:hAnsi="宋体" w:cs="宋体"/>
                <w:color w:val="auto"/>
                <w:szCs w:val="21"/>
                <w:highlight w:val="none"/>
              </w:rPr>
              <w:t>1.时间：同投标文件递交截止时间</w:t>
            </w:r>
          </w:p>
          <w:p w14:paraId="2BB7484B">
            <w:pPr>
              <w:adjustRightInd w:val="0"/>
              <w:snapToGrid w:val="0"/>
              <w:spacing w:line="440" w:lineRule="exact"/>
              <w:ind w:left="105" w:leftChars="50"/>
              <w:rPr>
                <w:rFonts w:ascii="宋体" w:hAnsi="宋体" w:cs="宋体"/>
                <w:color w:val="auto"/>
                <w:szCs w:val="21"/>
                <w:highlight w:val="none"/>
              </w:rPr>
            </w:pPr>
            <w:r>
              <w:rPr>
                <w:rFonts w:hint="eastAsia" w:ascii="宋体" w:hAnsi="宋体" w:cs="宋体"/>
                <w:color w:val="auto"/>
                <w:szCs w:val="21"/>
                <w:highlight w:val="none"/>
              </w:rPr>
              <w:t>2.开标管理员操作地点：河南省公共资源交易中心远程开标室（</w:t>
            </w:r>
            <w:r>
              <w:rPr>
                <w:rFonts w:hint="eastAsia" w:ascii="宋体" w:hAnsi="宋体" w:cs="宋体"/>
                <w:color w:val="auto"/>
                <w:szCs w:val="21"/>
                <w:highlight w:val="none"/>
                <w:lang w:eastAsia="zh-CN"/>
              </w:rPr>
              <w:t>二</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w:t>
            </w:r>
          </w:p>
        </w:tc>
      </w:tr>
      <w:tr w14:paraId="06009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096" w:type="dxa"/>
            <w:vAlign w:val="center"/>
          </w:tcPr>
          <w:p w14:paraId="2BC22F0B">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6.1</w:t>
            </w:r>
          </w:p>
        </w:tc>
        <w:tc>
          <w:tcPr>
            <w:tcW w:w="1969" w:type="dxa"/>
            <w:vAlign w:val="center"/>
          </w:tcPr>
          <w:p w14:paraId="10704AA1">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资格审查</w:t>
            </w:r>
          </w:p>
        </w:tc>
        <w:tc>
          <w:tcPr>
            <w:tcW w:w="6494" w:type="dxa"/>
            <w:vAlign w:val="center"/>
          </w:tcPr>
          <w:p w14:paraId="7562DA18">
            <w:pPr>
              <w:adjustRightInd w:val="0"/>
              <w:snapToGrid w:val="0"/>
              <w:spacing w:line="440" w:lineRule="exact"/>
              <w:ind w:left="105" w:leftChars="50"/>
              <w:rPr>
                <w:rFonts w:ascii="宋体" w:hAnsi="宋体" w:cs="宋体"/>
                <w:color w:val="auto"/>
                <w:szCs w:val="21"/>
                <w:highlight w:val="none"/>
              </w:rPr>
            </w:pPr>
            <w:r>
              <w:rPr>
                <w:rFonts w:hint="eastAsia" w:ascii="宋体" w:hAnsi="宋体" w:cs="宋体"/>
                <w:color w:val="auto"/>
                <w:szCs w:val="21"/>
                <w:highlight w:val="none"/>
              </w:rPr>
              <w:t>资格审查主体：采购人或采购代理机构；</w:t>
            </w:r>
          </w:p>
          <w:p w14:paraId="5BF4DF53">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在开标结束后，首先由采购人或采购代理机构对投标人的资格进行审查,资格审查内容为：第三章评标办法及标准中“资格</w:t>
            </w:r>
            <w:r>
              <w:rPr>
                <w:rFonts w:hint="eastAsia" w:ascii="宋体" w:hAnsi="宋体" w:cs="宋体"/>
                <w:color w:val="auto"/>
                <w:szCs w:val="21"/>
                <w:highlight w:val="none"/>
                <w:lang w:val="en-US" w:eastAsia="zh-CN"/>
              </w:rPr>
              <w:t>审查</w:t>
            </w:r>
            <w:r>
              <w:rPr>
                <w:rFonts w:hint="eastAsia" w:ascii="宋体" w:hAnsi="宋体" w:cs="宋体"/>
                <w:color w:val="auto"/>
                <w:szCs w:val="21"/>
                <w:highlight w:val="none"/>
              </w:rPr>
              <w:t>表”规定的全部内容。</w:t>
            </w:r>
          </w:p>
        </w:tc>
      </w:tr>
      <w:tr w14:paraId="70E5F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096" w:type="dxa"/>
            <w:vAlign w:val="center"/>
          </w:tcPr>
          <w:p w14:paraId="0799DE72">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6.2.1</w:t>
            </w:r>
          </w:p>
        </w:tc>
        <w:tc>
          <w:tcPr>
            <w:tcW w:w="1969" w:type="dxa"/>
            <w:vAlign w:val="center"/>
          </w:tcPr>
          <w:p w14:paraId="2DB7558E">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评标委员会的组建</w:t>
            </w:r>
          </w:p>
        </w:tc>
        <w:tc>
          <w:tcPr>
            <w:tcW w:w="6494" w:type="dxa"/>
            <w:vAlign w:val="center"/>
          </w:tcPr>
          <w:p w14:paraId="0A9EC121">
            <w:pPr>
              <w:adjustRightInd w:val="0"/>
              <w:snapToGrid w:val="0"/>
              <w:spacing w:line="440" w:lineRule="exact"/>
              <w:ind w:left="105" w:leftChars="50"/>
              <w:rPr>
                <w:rFonts w:ascii="宋体" w:hAnsi="宋体" w:cs="宋体"/>
                <w:color w:val="auto"/>
                <w:szCs w:val="21"/>
                <w:highlight w:val="none"/>
              </w:rPr>
            </w:pPr>
            <w:r>
              <w:rPr>
                <w:rFonts w:hint="eastAsia" w:ascii="宋体" w:hAnsi="宋体" w:cs="宋体"/>
                <w:color w:val="auto"/>
                <w:szCs w:val="21"/>
                <w:highlight w:val="none"/>
              </w:rPr>
              <w:t>评标委员会构成：</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人，由采购人代表</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人，有关经济、技术专家</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人共同组成；</w:t>
            </w:r>
          </w:p>
          <w:p w14:paraId="7829E6E0">
            <w:pPr>
              <w:adjustRightInd w:val="0"/>
              <w:snapToGrid w:val="0"/>
              <w:spacing w:line="440" w:lineRule="exact"/>
              <w:ind w:left="105" w:leftChars="50"/>
              <w:rPr>
                <w:rFonts w:ascii="宋体" w:hAnsi="宋体" w:cs="宋体"/>
                <w:color w:val="auto"/>
                <w:szCs w:val="21"/>
                <w:highlight w:val="none"/>
              </w:rPr>
            </w:pPr>
            <w:r>
              <w:rPr>
                <w:rFonts w:hint="eastAsia" w:ascii="宋体" w:hAnsi="宋体" w:cs="宋体"/>
                <w:color w:val="auto"/>
                <w:szCs w:val="21"/>
                <w:highlight w:val="none"/>
              </w:rPr>
              <w:t>有关经济、技术专家确定方式：从河南省政府采购评标专家库中随机抽取。</w:t>
            </w:r>
          </w:p>
        </w:tc>
      </w:tr>
      <w:tr w14:paraId="75A8D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96" w:type="dxa"/>
            <w:vAlign w:val="center"/>
          </w:tcPr>
          <w:p w14:paraId="0AF6921C">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6.3.4</w:t>
            </w:r>
          </w:p>
        </w:tc>
        <w:tc>
          <w:tcPr>
            <w:tcW w:w="1969" w:type="dxa"/>
            <w:vAlign w:val="center"/>
          </w:tcPr>
          <w:p w14:paraId="4BB5768A">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本次评标采用的评标方法</w:t>
            </w:r>
          </w:p>
        </w:tc>
        <w:tc>
          <w:tcPr>
            <w:tcW w:w="6494" w:type="dxa"/>
            <w:vAlign w:val="center"/>
          </w:tcPr>
          <w:p w14:paraId="62641448">
            <w:pPr>
              <w:adjustRightInd w:val="0"/>
              <w:snapToGrid w:val="0"/>
              <w:spacing w:line="440" w:lineRule="exact"/>
              <w:ind w:left="105" w:leftChars="50"/>
              <w:rPr>
                <w:rFonts w:ascii="宋体" w:hAnsi="宋体" w:cs="宋体"/>
                <w:color w:val="auto"/>
                <w:szCs w:val="21"/>
                <w:highlight w:val="none"/>
              </w:rPr>
            </w:pPr>
            <w:r>
              <w:rPr>
                <w:rFonts w:hint="eastAsia" w:ascii="宋体" w:hAnsi="宋体" w:cs="宋体"/>
                <w:color w:val="auto"/>
                <w:szCs w:val="21"/>
                <w:highlight w:val="none"/>
              </w:rPr>
              <w:t>综合评分法</w:t>
            </w:r>
          </w:p>
        </w:tc>
      </w:tr>
      <w:tr w14:paraId="6BEFC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96" w:type="dxa"/>
            <w:vAlign w:val="center"/>
          </w:tcPr>
          <w:p w14:paraId="06993F6C">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7.1</w:t>
            </w:r>
          </w:p>
        </w:tc>
        <w:tc>
          <w:tcPr>
            <w:tcW w:w="1969" w:type="dxa"/>
            <w:vAlign w:val="center"/>
          </w:tcPr>
          <w:p w14:paraId="14C4BAD3">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是否授权评标委员会确定中标人</w:t>
            </w:r>
          </w:p>
        </w:tc>
        <w:tc>
          <w:tcPr>
            <w:tcW w:w="6494" w:type="dxa"/>
            <w:vAlign w:val="center"/>
          </w:tcPr>
          <w:p w14:paraId="67BECEA5">
            <w:pPr>
              <w:tabs>
                <w:tab w:val="left" w:pos="4762"/>
              </w:tabs>
              <w:adjustRightInd w:val="0"/>
              <w:snapToGrid w:val="0"/>
              <w:spacing w:line="440" w:lineRule="exact"/>
              <w:ind w:left="105" w:leftChars="50"/>
              <w:rPr>
                <w:rFonts w:hint="default" w:ascii="宋体" w:hAnsi="宋体" w:cs="宋体"/>
                <w:color w:val="auto"/>
                <w:szCs w:val="21"/>
                <w:highlight w:val="none"/>
                <w:u w:val="none"/>
                <w:lang w:val="en-US" w:eastAsia="zh-CN"/>
              </w:rPr>
            </w:pPr>
            <w:r>
              <w:rPr>
                <w:rFonts w:hint="eastAsia" w:ascii="宋体" w:hAnsi="宋体" w:cs="宋体"/>
                <w:color w:val="auto"/>
                <w:szCs w:val="21"/>
                <w:highlight w:val="none"/>
              </w:rPr>
              <w:t>否，推荐的中标候选人数：</w:t>
            </w:r>
            <w:r>
              <w:rPr>
                <w:rFonts w:hint="eastAsia" w:ascii="宋体" w:hAnsi="宋体" w:cs="宋体"/>
                <w:color w:val="auto"/>
                <w:szCs w:val="21"/>
                <w:highlight w:val="none"/>
                <w:u w:val="none"/>
              </w:rPr>
              <w:t>3</w:t>
            </w:r>
            <w:r>
              <w:rPr>
                <w:rFonts w:hint="eastAsia" w:ascii="宋体" w:hAnsi="宋体" w:cs="宋体"/>
                <w:color w:val="auto"/>
                <w:szCs w:val="21"/>
                <w:highlight w:val="none"/>
                <w:u w:val="none"/>
                <w:lang w:val="en-US" w:eastAsia="zh-CN"/>
              </w:rPr>
              <w:t>名</w:t>
            </w:r>
          </w:p>
        </w:tc>
      </w:tr>
      <w:tr w14:paraId="1ED62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096" w:type="dxa"/>
            <w:vAlign w:val="center"/>
          </w:tcPr>
          <w:p w14:paraId="7F99AF85">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7.4</w:t>
            </w:r>
          </w:p>
        </w:tc>
        <w:tc>
          <w:tcPr>
            <w:tcW w:w="1969" w:type="dxa"/>
            <w:vAlign w:val="center"/>
          </w:tcPr>
          <w:p w14:paraId="007FF497">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履约担保</w:t>
            </w:r>
          </w:p>
        </w:tc>
        <w:tc>
          <w:tcPr>
            <w:tcW w:w="6494" w:type="dxa"/>
            <w:vAlign w:val="center"/>
          </w:tcPr>
          <w:p w14:paraId="5A0FF962">
            <w:pPr>
              <w:tabs>
                <w:tab w:val="left" w:pos="4762"/>
              </w:tabs>
              <w:adjustRightInd w:val="0"/>
              <w:snapToGrid w:val="0"/>
              <w:spacing w:line="440" w:lineRule="exact"/>
              <w:ind w:left="105" w:leftChars="50"/>
              <w:rPr>
                <w:rFonts w:hint="eastAsia" w:ascii="宋体" w:hAnsi="宋体" w:cs="宋体"/>
                <w:b/>
                <w:bCs/>
                <w:color w:val="auto"/>
                <w:szCs w:val="21"/>
                <w:highlight w:val="none"/>
                <w:lang w:eastAsia="zh-CN"/>
              </w:rPr>
            </w:pPr>
            <w:r>
              <w:rPr>
                <w:rFonts w:hint="eastAsia" w:ascii="宋体" w:hAnsi="宋体" w:cs="宋体"/>
                <w:b/>
                <w:bCs/>
                <w:color w:val="auto"/>
                <w:szCs w:val="21"/>
                <w:highlight w:val="none"/>
                <w:lang w:eastAsia="zh-CN"/>
              </w:rPr>
              <w:t>是否要求中标人提供履约担保：是</w:t>
            </w:r>
          </w:p>
          <w:p w14:paraId="09B30843">
            <w:pPr>
              <w:tabs>
                <w:tab w:val="left" w:pos="4762"/>
              </w:tabs>
              <w:adjustRightInd w:val="0"/>
              <w:snapToGrid w:val="0"/>
              <w:spacing w:line="440" w:lineRule="exact"/>
              <w:ind w:left="105" w:leftChars="50"/>
              <w:rPr>
                <w:rFonts w:hint="eastAsia" w:ascii="宋体" w:hAnsi="宋体" w:cs="宋体"/>
                <w:b/>
                <w:bCs/>
                <w:color w:val="auto"/>
                <w:szCs w:val="21"/>
                <w:highlight w:val="none"/>
                <w:lang w:eastAsia="zh-CN"/>
              </w:rPr>
            </w:pPr>
            <w:r>
              <w:rPr>
                <w:rFonts w:hint="eastAsia" w:ascii="宋体" w:hAnsi="宋体" w:cs="宋体"/>
                <w:b/>
                <w:bCs/>
                <w:color w:val="auto"/>
                <w:szCs w:val="21"/>
                <w:highlight w:val="none"/>
                <w:lang w:eastAsia="zh-CN"/>
              </w:rPr>
              <w:t>缴纳形式：</w:t>
            </w:r>
            <w:r>
              <w:rPr>
                <w:rFonts w:hint="eastAsia" w:ascii="宋体" w:hAnsi="宋体" w:cs="宋体"/>
                <w:b/>
                <w:bCs/>
                <w:color w:val="auto"/>
                <w:szCs w:val="21"/>
                <w:highlight w:val="none"/>
                <w:lang w:val="en-US" w:eastAsia="zh-CN"/>
              </w:rPr>
              <w:t>银行</w:t>
            </w:r>
            <w:r>
              <w:rPr>
                <w:rFonts w:hint="eastAsia" w:ascii="宋体" w:hAnsi="宋体" w:cs="宋体"/>
                <w:b/>
                <w:bCs/>
                <w:color w:val="auto"/>
                <w:szCs w:val="21"/>
                <w:highlight w:val="none"/>
                <w:lang w:eastAsia="zh-CN"/>
              </w:rPr>
              <w:t>保函</w:t>
            </w:r>
          </w:p>
          <w:p w14:paraId="23DAD0FC">
            <w:pPr>
              <w:tabs>
                <w:tab w:val="left" w:pos="4762"/>
              </w:tabs>
              <w:adjustRightInd w:val="0"/>
              <w:snapToGrid w:val="0"/>
              <w:spacing w:line="440" w:lineRule="exact"/>
              <w:ind w:left="105" w:leftChars="50"/>
              <w:rPr>
                <w:rFonts w:hint="eastAsia" w:ascii="宋体" w:hAnsi="宋体" w:cs="宋体"/>
                <w:b/>
                <w:bCs/>
                <w:color w:val="auto"/>
                <w:szCs w:val="21"/>
                <w:highlight w:val="none"/>
                <w:lang w:val="en-US" w:eastAsia="zh-CN"/>
              </w:rPr>
            </w:pPr>
            <w:r>
              <w:rPr>
                <w:rFonts w:hint="eastAsia" w:ascii="宋体" w:hAnsi="宋体" w:cs="宋体"/>
                <w:b/>
                <w:bCs/>
                <w:color w:val="auto"/>
                <w:szCs w:val="21"/>
                <w:highlight w:val="none"/>
                <w:lang w:eastAsia="zh-CN"/>
              </w:rPr>
              <w:t>金额：中标价的</w:t>
            </w:r>
            <w:r>
              <w:rPr>
                <w:rFonts w:hint="eastAsia" w:ascii="宋体" w:hAnsi="宋体" w:cs="宋体"/>
                <w:b/>
                <w:bCs/>
                <w:color w:val="auto"/>
                <w:szCs w:val="21"/>
                <w:highlight w:val="none"/>
                <w:lang w:val="en-US" w:eastAsia="zh-CN"/>
              </w:rPr>
              <w:t>5%</w:t>
            </w:r>
          </w:p>
          <w:p w14:paraId="25E6BAD0">
            <w:pPr>
              <w:tabs>
                <w:tab w:val="left" w:pos="4762"/>
              </w:tabs>
              <w:adjustRightInd w:val="0"/>
              <w:snapToGrid w:val="0"/>
              <w:spacing w:line="440" w:lineRule="exact"/>
              <w:ind w:left="105" w:leftChars="50"/>
              <w:rPr>
                <w:rFonts w:hint="eastAsia"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缴纳时间：中标通知书发出后5日内</w:t>
            </w:r>
          </w:p>
          <w:p w14:paraId="05762D56">
            <w:pPr>
              <w:tabs>
                <w:tab w:val="left" w:pos="4762"/>
              </w:tabs>
              <w:adjustRightInd w:val="0"/>
              <w:snapToGrid w:val="0"/>
              <w:spacing w:line="440" w:lineRule="exact"/>
              <w:ind w:left="105" w:leftChars="50"/>
              <w:rPr>
                <w:rFonts w:hint="default"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退还时间：全部产品质保期结束，无质量问题退还其保函。履约保函期限应覆盖供货期和中标人承诺的质保期。</w:t>
            </w:r>
          </w:p>
        </w:tc>
      </w:tr>
      <w:tr w14:paraId="0E18E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9559" w:type="dxa"/>
            <w:gridSpan w:val="3"/>
            <w:vAlign w:val="center"/>
          </w:tcPr>
          <w:p w14:paraId="04E02D29">
            <w:pPr>
              <w:adjustRightInd w:val="0"/>
              <w:snapToGrid w:val="0"/>
              <w:spacing w:line="440" w:lineRule="exact"/>
              <w:ind w:left="105" w:leftChars="50"/>
              <w:rPr>
                <w:rFonts w:ascii="宋体" w:hAnsi="宋体" w:cs="宋体"/>
                <w:color w:val="auto"/>
                <w:szCs w:val="21"/>
                <w:highlight w:val="none"/>
              </w:rPr>
            </w:pPr>
            <w:r>
              <w:rPr>
                <w:rFonts w:hint="eastAsia" w:ascii="宋体" w:hAnsi="宋体" w:cs="宋体"/>
                <w:color w:val="auto"/>
                <w:szCs w:val="21"/>
                <w:highlight w:val="none"/>
              </w:rPr>
              <w:t>10. 需要补充的其他内容</w:t>
            </w:r>
          </w:p>
        </w:tc>
      </w:tr>
      <w:tr w14:paraId="28E3F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096" w:type="dxa"/>
            <w:vAlign w:val="center"/>
          </w:tcPr>
          <w:p w14:paraId="00A08BF6">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10.1</w:t>
            </w:r>
          </w:p>
        </w:tc>
        <w:tc>
          <w:tcPr>
            <w:tcW w:w="1969" w:type="dxa"/>
            <w:vAlign w:val="center"/>
          </w:tcPr>
          <w:p w14:paraId="7DABB253">
            <w:pPr>
              <w:adjustRightInd w:val="0"/>
              <w:snapToGrid w:val="0"/>
              <w:spacing w:line="440" w:lineRule="exact"/>
              <w:ind w:left="105" w:leftChars="50"/>
              <w:jc w:val="center"/>
              <w:rPr>
                <w:b/>
                <w:bCs/>
                <w:color w:val="auto"/>
              </w:rPr>
            </w:pPr>
            <w:r>
              <w:rPr>
                <w:rFonts w:hint="eastAsia" w:ascii="宋体" w:hAnsi="宋体" w:cs="宋体"/>
                <w:b/>
                <w:bCs/>
                <w:color w:val="auto"/>
                <w:szCs w:val="21"/>
                <w:highlight w:val="none"/>
              </w:rPr>
              <w:t>付款方式</w:t>
            </w:r>
          </w:p>
        </w:tc>
        <w:tc>
          <w:tcPr>
            <w:tcW w:w="6494" w:type="dxa"/>
            <w:vAlign w:val="center"/>
          </w:tcPr>
          <w:p w14:paraId="1059F6F1">
            <w:pPr>
              <w:pStyle w:val="36"/>
              <w:adjustRightInd w:val="0"/>
              <w:snapToGrid w:val="0"/>
              <w:spacing w:after="0" w:line="440" w:lineRule="exact"/>
              <w:ind w:firstLine="0" w:firstLineChars="0"/>
              <w:rPr>
                <w:rFonts w:hint="eastAsia"/>
                <w:b/>
                <w:bCs/>
                <w:color w:val="auto"/>
                <w:lang w:val="en-US" w:eastAsia="zh-CN"/>
              </w:rPr>
            </w:pPr>
            <w:r>
              <w:rPr>
                <w:rFonts w:hint="eastAsia"/>
                <w:b/>
                <w:bCs/>
                <w:color w:val="auto"/>
                <w:lang w:val="en-US" w:eastAsia="zh-CN"/>
              </w:rPr>
              <w:t>1.合同签订后30日内，由乙方提供本合同金额30%的预付款保函（银行保函形式、有效期至甲方收货后），甲方收到预付款保函、合同备案通过后一个月内，支付合同总额30%作为预付款给乙方；</w:t>
            </w:r>
          </w:p>
          <w:p w14:paraId="79AD2D9B">
            <w:pPr>
              <w:pStyle w:val="36"/>
              <w:adjustRightInd w:val="0"/>
              <w:snapToGrid w:val="0"/>
              <w:spacing w:after="0" w:line="440" w:lineRule="exact"/>
              <w:ind w:firstLine="0" w:firstLineChars="0"/>
              <w:rPr>
                <w:rFonts w:hint="eastAsia"/>
                <w:b/>
                <w:bCs/>
                <w:color w:val="auto"/>
                <w:lang w:val="en-US" w:eastAsia="zh-CN"/>
              </w:rPr>
            </w:pPr>
            <w:r>
              <w:rPr>
                <w:rFonts w:hint="eastAsia"/>
                <w:b/>
                <w:bCs/>
                <w:color w:val="auto"/>
                <w:lang w:val="en-US" w:eastAsia="zh-CN"/>
              </w:rPr>
              <w:t>2.乙方在验收合格之日起15日内，按照合同金额的100%向甲方开具发票，甲方收到全额发票30日内支付合同总额的70%给乙方并退还乙方预付款保函，在乙方完成其合同义务包括任何保证义务至质保期结束无质量问题，退还乙方履约保证金（银行保函）；</w:t>
            </w:r>
          </w:p>
          <w:p w14:paraId="00E3E4B7">
            <w:pPr>
              <w:pStyle w:val="36"/>
              <w:adjustRightInd w:val="0"/>
              <w:snapToGrid w:val="0"/>
              <w:spacing w:after="0" w:line="440" w:lineRule="exact"/>
              <w:ind w:firstLine="0" w:firstLineChars="0"/>
              <w:rPr>
                <w:rFonts w:hint="eastAsia"/>
                <w:b/>
                <w:bCs/>
                <w:color w:val="auto"/>
                <w:lang w:val="en-US" w:eastAsia="zh-CN"/>
              </w:rPr>
            </w:pPr>
            <w:r>
              <w:rPr>
                <w:rFonts w:hint="eastAsia"/>
                <w:b/>
                <w:bCs/>
                <w:color w:val="auto"/>
                <w:lang w:val="en-US" w:eastAsia="zh-CN"/>
              </w:rPr>
              <w:t>3.如乙方未开具预付款保函，视为放弃预付款。乙方在验收合格之日起15日内，按照合同金额的100%向甲方开具发票，甲方收到全额发票30日内支付合同总额的100%给乙方，在乙方完成其合同义务包括任何保证义务至质保期结束无质量问题，退还乙方履约保证金（银行保函）；</w:t>
            </w:r>
          </w:p>
          <w:p w14:paraId="058276A8">
            <w:pPr>
              <w:pStyle w:val="36"/>
              <w:adjustRightInd w:val="0"/>
              <w:snapToGrid w:val="0"/>
              <w:spacing w:after="0" w:line="440" w:lineRule="exact"/>
              <w:ind w:firstLine="0" w:firstLineChars="0"/>
              <w:rPr>
                <w:rFonts w:ascii="宋体" w:hAnsi="宋体" w:cs="宋体"/>
                <w:b/>
                <w:bCs/>
                <w:color w:val="auto"/>
                <w:szCs w:val="21"/>
                <w:highlight w:val="none"/>
              </w:rPr>
            </w:pPr>
            <w:r>
              <w:rPr>
                <w:rFonts w:hint="eastAsia"/>
                <w:b/>
                <w:bCs/>
                <w:color w:val="auto"/>
                <w:lang w:val="en-US" w:eastAsia="zh-CN"/>
              </w:rPr>
              <w:t>4.因甲方单位性质，需要按照国家、省级项目资金支付规定执行，乙方应对此清楚知晓，甲方尽量保证按照本协议约定履行义务，如因以上原因导致无法按时支付款项的，乙方承诺不追究甲方违约责任。</w:t>
            </w:r>
          </w:p>
        </w:tc>
      </w:tr>
      <w:tr w14:paraId="245B2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096" w:type="dxa"/>
            <w:vAlign w:val="center"/>
          </w:tcPr>
          <w:p w14:paraId="589E78EF">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10.2</w:t>
            </w:r>
          </w:p>
        </w:tc>
        <w:tc>
          <w:tcPr>
            <w:tcW w:w="1969" w:type="dxa"/>
            <w:vAlign w:val="center"/>
          </w:tcPr>
          <w:p w14:paraId="34258894">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投标费用</w:t>
            </w:r>
          </w:p>
        </w:tc>
        <w:tc>
          <w:tcPr>
            <w:tcW w:w="6494" w:type="dxa"/>
            <w:vAlign w:val="center"/>
          </w:tcPr>
          <w:p w14:paraId="1FC1C436">
            <w:pPr>
              <w:numPr>
                <w:ilvl w:val="0"/>
                <w:numId w:val="2"/>
              </w:num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投标人准备和参加投标活动发生的费用自理。在任何情况下采购人和采购代理机构对上述费用均不承担任何责任。</w:t>
            </w:r>
          </w:p>
          <w:p w14:paraId="34A34EDC">
            <w:pPr>
              <w:numPr>
                <w:ilvl w:val="0"/>
                <w:numId w:val="2"/>
              </w:num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本项目招标代理服务费参照国家计委关于《招标代理服务收费管理暂行办法》（计价格〔2002〕1980号）规定收费标准</w:t>
            </w:r>
            <w:r>
              <w:rPr>
                <w:rFonts w:hint="eastAsia" w:ascii="宋体" w:hAnsi="宋体" w:cs="宋体"/>
                <w:color w:val="auto"/>
                <w:szCs w:val="21"/>
                <w:highlight w:val="none"/>
                <w:lang w:val="en-US" w:eastAsia="zh-CN"/>
              </w:rPr>
              <w:t>的60%</w:t>
            </w:r>
            <w:r>
              <w:rPr>
                <w:rFonts w:hint="eastAsia" w:ascii="宋体" w:hAnsi="宋体" w:cs="宋体"/>
                <w:color w:val="auto"/>
                <w:szCs w:val="21"/>
                <w:highlight w:val="none"/>
              </w:rPr>
              <w:t>收取，由</w:t>
            </w:r>
            <w:r>
              <w:rPr>
                <w:rFonts w:hint="eastAsia" w:ascii="宋体" w:hAnsi="宋体" w:cs="宋体"/>
                <w:color w:val="auto"/>
                <w:szCs w:val="21"/>
                <w:highlight w:val="none"/>
                <w:lang w:val="en-US" w:eastAsia="zh-CN"/>
              </w:rPr>
              <w:t>中标</w:t>
            </w:r>
            <w:r>
              <w:rPr>
                <w:rFonts w:hint="eastAsia" w:ascii="宋体" w:hAnsi="宋体" w:cs="宋体"/>
                <w:color w:val="auto"/>
                <w:szCs w:val="21"/>
                <w:highlight w:val="none"/>
              </w:rPr>
              <w:t>供应商在领取</w:t>
            </w:r>
            <w:r>
              <w:rPr>
                <w:rFonts w:hint="eastAsia" w:ascii="宋体" w:hAnsi="宋体" w:cs="宋体"/>
                <w:color w:val="auto"/>
                <w:szCs w:val="21"/>
                <w:highlight w:val="none"/>
                <w:lang w:val="en-US" w:eastAsia="zh-CN"/>
              </w:rPr>
              <w:t>中标</w:t>
            </w:r>
            <w:r>
              <w:rPr>
                <w:rFonts w:hint="eastAsia" w:ascii="宋体" w:hAnsi="宋体" w:cs="宋体"/>
                <w:color w:val="auto"/>
                <w:szCs w:val="21"/>
                <w:highlight w:val="none"/>
              </w:rPr>
              <w:t>通知书时，一次性向采购代理机构缴纳。</w:t>
            </w:r>
            <w:r>
              <w:rPr>
                <w:rFonts w:hint="eastAsia" w:ascii="宋体" w:hAnsi="宋体"/>
                <w:b/>
                <w:bCs/>
                <w:color w:val="auto"/>
                <w:kern w:val="0"/>
                <w:highlight w:val="none"/>
              </w:rPr>
              <w:t>类别：货物招标。</w:t>
            </w:r>
          </w:p>
        </w:tc>
      </w:tr>
      <w:tr w14:paraId="7CDFF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096" w:type="dxa"/>
            <w:vAlign w:val="center"/>
          </w:tcPr>
          <w:p w14:paraId="51DFD629">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10.3</w:t>
            </w:r>
          </w:p>
        </w:tc>
        <w:tc>
          <w:tcPr>
            <w:tcW w:w="1969" w:type="dxa"/>
            <w:vAlign w:val="center"/>
          </w:tcPr>
          <w:p w14:paraId="3B3044A1">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中标结果公告</w:t>
            </w:r>
          </w:p>
        </w:tc>
        <w:tc>
          <w:tcPr>
            <w:tcW w:w="6494" w:type="dxa"/>
            <w:vAlign w:val="center"/>
          </w:tcPr>
          <w:p w14:paraId="4EF03CD3">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采购人或者采购代理机构自中标人确定之日起2个工作日内，在招标公告发布的同一媒介公告中标结果，中标公告期限为1个工作日。</w:t>
            </w:r>
          </w:p>
        </w:tc>
      </w:tr>
      <w:tr w14:paraId="0D891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096" w:type="dxa"/>
            <w:vAlign w:val="center"/>
          </w:tcPr>
          <w:p w14:paraId="6E125DE6">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10.4</w:t>
            </w:r>
          </w:p>
        </w:tc>
        <w:tc>
          <w:tcPr>
            <w:tcW w:w="1969" w:type="dxa"/>
            <w:vAlign w:val="center"/>
          </w:tcPr>
          <w:p w14:paraId="308CC09E">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重新确定中标人</w:t>
            </w:r>
          </w:p>
        </w:tc>
        <w:tc>
          <w:tcPr>
            <w:tcW w:w="6494" w:type="dxa"/>
            <w:vAlign w:val="center"/>
          </w:tcPr>
          <w:p w14:paraId="505AD32C">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按照投标人须知第7.1条规定的情形确定的中标候选人出现下述情况：排名第一的中标候选人放弃中标 / 或者因不可抗力不能履行合同 /或者被查实存在影响中标结果的违法行为等情形，采购人可以按照评标委员会提出的中标候选人名单排序依次确定其他中标候选人为中标人，也可以重新招标。</w:t>
            </w:r>
          </w:p>
        </w:tc>
      </w:tr>
      <w:tr w14:paraId="43EAD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096" w:type="dxa"/>
            <w:vAlign w:val="center"/>
          </w:tcPr>
          <w:p w14:paraId="2A9E4FEC">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10.5</w:t>
            </w:r>
          </w:p>
        </w:tc>
        <w:tc>
          <w:tcPr>
            <w:tcW w:w="1969" w:type="dxa"/>
            <w:vAlign w:val="center"/>
          </w:tcPr>
          <w:p w14:paraId="4BEC9725">
            <w:pPr>
              <w:spacing w:line="440" w:lineRule="exact"/>
              <w:jc w:val="center"/>
              <w:rPr>
                <w:rFonts w:hint="eastAsia" w:ascii="宋体" w:hAnsi="宋体" w:eastAsia="宋体" w:cs="宋体"/>
                <w:color w:val="auto"/>
                <w:szCs w:val="21"/>
                <w:highlight w:val="none"/>
                <w:lang w:eastAsia="zh-CN"/>
              </w:rPr>
            </w:pPr>
            <w:r>
              <w:rPr>
                <w:rFonts w:hint="eastAsia" w:ascii="宋体" w:hAnsi="宋体" w:eastAsia="宋体" w:cs="宋体"/>
                <w:color w:val="auto"/>
                <w:sz w:val="21"/>
                <w:szCs w:val="21"/>
                <w:lang w:val="en-US" w:eastAsia="zh-CN"/>
              </w:rPr>
              <w:t>投标供应商数量确定</w:t>
            </w:r>
          </w:p>
        </w:tc>
        <w:tc>
          <w:tcPr>
            <w:tcW w:w="6494" w:type="dxa"/>
            <w:vAlign w:val="center"/>
          </w:tcPr>
          <w:p w14:paraId="0DEE2558">
            <w:pPr>
              <w:spacing w:line="440" w:lineRule="exact"/>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出现多个供应商提供相同品牌产品的，按以下原则进行评审：</w:t>
            </w:r>
          </w:p>
          <w:p w14:paraId="52AC4DF0">
            <w:pPr>
              <w:spacing w:line="440" w:lineRule="exact"/>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单一产品采购项目，提供相同品牌产品且通过资格审查、符合性审查的不同供应商参加同一合同项下投标的，按一家供应商计算，评审后得分最高的同品牌供应商获得中标人推荐资格；评审得分相同的，投标报价低的供应商获得中标人推荐资格；投标报价也相同的，采取随机抽取方式确定一家供应商获得中标人推荐资格，其他同品牌供应商不作为中标候选人。</w:t>
            </w:r>
          </w:p>
          <w:p w14:paraId="1A64C204">
            <w:pPr>
              <w:spacing w:line="440" w:lineRule="exact"/>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非单一产品采购项目，采购人将根据采购项目技术构成、产品价格比重等合理确定核心产品，确定的核心产品见招标文件的采购清单。多家供应商提供的核心产品品牌相同，且通过资格审查、符合性审查的不同供应商参加同一合同项下投标的，按一家供应商计算，评审后得分最高的同品牌供应商获得中标人推荐资格；评审得分相同的，投标报价低的供应商获得中标人推荐资格；投标报价也相同的，采取随机抽取方式确定一家供应商获得中标人推荐资格，其他同品牌供应商不作为中标候选人。</w:t>
            </w:r>
          </w:p>
          <w:p w14:paraId="6DE17980">
            <w:pPr>
              <w:spacing w:line="440" w:lineRule="exact"/>
              <w:jc w:val="left"/>
              <w:rPr>
                <w:rFonts w:hint="eastAsia" w:ascii="宋体" w:hAnsi="宋体" w:cs="宋体"/>
                <w:b/>
                <w:bCs/>
                <w:color w:val="auto"/>
                <w:sz w:val="21"/>
                <w:szCs w:val="21"/>
                <w:lang w:val="en-US" w:eastAsia="zh-CN"/>
              </w:rPr>
            </w:pPr>
            <w:r>
              <w:rPr>
                <w:rFonts w:hint="eastAsia" w:ascii="宋体" w:hAnsi="宋体" w:cs="宋体"/>
                <w:b/>
                <w:bCs/>
                <w:color w:val="auto"/>
                <w:sz w:val="21"/>
                <w:szCs w:val="21"/>
                <w:lang w:val="en-US" w:eastAsia="zh-CN"/>
              </w:rPr>
              <w:t>核心产品：</w:t>
            </w:r>
          </w:p>
          <w:p w14:paraId="1C12B4CF">
            <w:pPr>
              <w:spacing w:line="440" w:lineRule="exact"/>
              <w:jc w:val="left"/>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包2：</w:t>
            </w:r>
            <w:r>
              <w:rPr>
                <w:rFonts w:hint="eastAsia" w:ascii="宋体" w:hAnsi="宋体" w:cs="宋体"/>
                <w:b w:val="0"/>
                <w:bCs w:val="0"/>
                <w:color w:val="auto"/>
                <w:sz w:val="21"/>
                <w:szCs w:val="21"/>
                <w:u w:val="single"/>
                <w:lang w:val="en-US" w:eastAsia="zh-CN"/>
              </w:rPr>
              <w:t xml:space="preserve"> 主机服务器 </w:t>
            </w:r>
            <w:r>
              <w:rPr>
                <w:rFonts w:hint="eastAsia" w:ascii="宋体" w:hAnsi="宋体" w:cs="宋体"/>
                <w:b w:val="0"/>
                <w:bCs w:val="0"/>
                <w:color w:val="auto"/>
                <w:sz w:val="21"/>
                <w:szCs w:val="21"/>
                <w:u w:val="none"/>
                <w:lang w:val="en-US" w:eastAsia="zh-CN"/>
              </w:rPr>
              <w:t>，</w:t>
            </w:r>
            <w:r>
              <w:rPr>
                <w:rFonts w:hint="eastAsia" w:ascii="宋体" w:hAnsi="宋体" w:cs="宋体"/>
                <w:b w:val="0"/>
                <w:bCs w:val="0"/>
                <w:color w:val="auto"/>
                <w:sz w:val="21"/>
                <w:szCs w:val="21"/>
                <w:lang w:val="en-US" w:eastAsia="zh-CN"/>
              </w:rPr>
              <w:t>适用第（2）种情形</w:t>
            </w:r>
          </w:p>
        </w:tc>
      </w:tr>
      <w:tr w14:paraId="7D253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096" w:type="dxa"/>
            <w:vAlign w:val="center"/>
          </w:tcPr>
          <w:p w14:paraId="4C5B998C">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10.6</w:t>
            </w:r>
          </w:p>
        </w:tc>
        <w:tc>
          <w:tcPr>
            <w:tcW w:w="1969" w:type="dxa"/>
            <w:vAlign w:val="center"/>
          </w:tcPr>
          <w:p w14:paraId="092D6642">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解释权</w:t>
            </w:r>
          </w:p>
        </w:tc>
        <w:tc>
          <w:tcPr>
            <w:tcW w:w="6494" w:type="dxa"/>
            <w:vAlign w:val="center"/>
          </w:tcPr>
          <w:p w14:paraId="62B7312A">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构成本招标文件的各个组成文件应互为解释，互为说明；如有不明确或不一致，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r w14:paraId="11F89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096" w:type="dxa"/>
            <w:vAlign w:val="center"/>
          </w:tcPr>
          <w:p w14:paraId="532AC4EE">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10.7</w:t>
            </w:r>
          </w:p>
        </w:tc>
        <w:tc>
          <w:tcPr>
            <w:tcW w:w="1969" w:type="dxa"/>
            <w:vAlign w:val="center"/>
          </w:tcPr>
          <w:p w14:paraId="0F086480">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kern w:val="0"/>
                <w:szCs w:val="21"/>
                <w:highlight w:val="none"/>
              </w:rPr>
              <w:t>政府采购政策</w:t>
            </w:r>
          </w:p>
        </w:tc>
        <w:tc>
          <w:tcPr>
            <w:tcW w:w="6494" w:type="dxa"/>
            <w:vAlign w:val="center"/>
          </w:tcPr>
          <w:p w14:paraId="2BFC7C8C">
            <w:pPr>
              <w:pStyle w:val="88"/>
              <w:numPr>
                <w:ilvl w:val="0"/>
                <w:numId w:val="0"/>
              </w:numPr>
              <w:adjustRightInd w:val="0"/>
              <w:snapToGrid w:val="0"/>
              <w:spacing w:line="440" w:lineRule="exact"/>
              <w:ind w:left="0" w:leftChars="0" w:firstLine="0" w:firstLineChars="0"/>
              <w:rPr>
                <w:rFonts w:ascii="宋体" w:hAnsi="宋体" w:cs="宋体"/>
                <w:color w:val="auto"/>
                <w:szCs w:val="21"/>
                <w:highlight w:val="none"/>
              </w:rPr>
            </w:pPr>
            <w:r>
              <w:rPr>
                <w:rFonts w:hint="eastAsia" w:ascii="宋体" w:hAnsi="宋体" w:cs="宋体"/>
                <w:color w:val="auto"/>
                <w:szCs w:val="21"/>
                <w:highlight w:val="none"/>
              </w:rPr>
              <w:t>政府采购相关政策信息</w:t>
            </w:r>
          </w:p>
          <w:p w14:paraId="4AE3496C">
            <w:pPr>
              <w:pStyle w:val="88"/>
              <w:numPr>
                <w:ilvl w:val="0"/>
                <w:numId w:val="0"/>
              </w:numPr>
              <w:adjustRightInd w:val="0"/>
              <w:snapToGrid w:val="0"/>
              <w:spacing w:line="440" w:lineRule="exact"/>
              <w:ind w:leftChars="0"/>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w:t>
            </w:r>
            <w:r>
              <w:rPr>
                <w:rFonts w:hint="eastAsia" w:ascii="宋体" w:hAnsi="宋体" w:cs="宋体"/>
                <w:color w:val="auto"/>
                <w:szCs w:val="21"/>
                <w:highlight w:val="none"/>
              </w:rPr>
              <w:t>为贯彻落实《财政部 工业和信息化部关于印发《政府采购促进中小企业发展管理办法》的通知》（财库〔2020〕46号）和《关于进一步加大政府采购支持中小企业力度的通知》（财库〔2022〕19号）。本项目鼓励中小企业参与，若供应商为符合政府采购政策价格扣除的</w:t>
            </w:r>
            <w:r>
              <w:rPr>
                <w:rFonts w:hint="eastAsia" w:ascii="宋体" w:hAnsi="宋体" w:cs="宋体"/>
                <w:b w:val="0"/>
                <w:bCs w:val="0"/>
                <w:color w:val="auto"/>
                <w:szCs w:val="21"/>
                <w:highlight w:val="none"/>
              </w:rPr>
              <w:t>小型及微型企业</w:t>
            </w:r>
            <w:r>
              <w:rPr>
                <w:rFonts w:hint="eastAsia" w:ascii="宋体" w:hAnsi="宋体" w:cs="宋体"/>
                <w:color w:val="auto"/>
                <w:szCs w:val="21"/>
                <w:highlight w:val="none"/>
              </w:rPr>
              <w:t>，应提交信息完整有效的《中小企业声明函》。若不能提供，则视为非小微型企业，价格不予扣除；（声明函格式详见附件）</w:t>
            </w:r>
          </w:p>
          <w:p w14:paraId="7E2A6CE5">
            <w:pPr>
              <w:pStyle w:val="88"/>
              <w:numPr>
                <w:ilvl w:val="0"/>
                <w:numId w:val="0"/>
              </w:numPr>
              <w:adjustRightInd w:val="0"/>
              <w:snapToGrid w:val="0"/>
              <w:spacing w:line="440" w:lineRule="exact"/>
              <w:ind w:leftChars="0"/>
              <w:rPr>
                <w:rFonts w:hint="eastAsia" w:ascii="宋体" w:hAnsi="宋体" w:cs="宋体"/>
                <w:b/>
                <w:bCs/>
                <w:color w:val="auto"/>
                <w:szCs w:val="21"/>
                <w:highlight w:val="none"/>
              </w:rPr>
            </w:pPr>
            <w:r>
              <w:rPr>
                <w:rFonts w:hint="eastAsia" w:ascii="宋体" w:hAnsi="宋体" w:cs="宋体"/>
                <w:b/>
                <w:bCs/>
                <w:color w:val="auto"/>
                <w:szCs w:val="21"/>
                <w:highlight w:val="none"/>
              </w:rPr>
              <w:t>本项目对属于小型及微型企业的</w:t>
            </w:r>
            <w:r>
              <w:rPr>
                <w:rFonts w:hint="eastAsia" w:ascii="宋体" w:hAnsi="宋体" w:cs="宋体"/>
                <w:b/>
                <w:bCs/>
                <w:color w:val="auto"/>
                <w:szCs w:val="21"/>
                <w:highlight w:val="none"/>
                <w:lang w:val="en-US" w:eastAsia="zh-CN"/>
              </w:rPr>
              <w:t>投标</w:t>
            </w:r>
            <w:r>
              <w:rPr>
                <w:rFonts w:hint="eastAsia" w:ascii="宋体" w:hAnsi="宋体" w:cs="宋体"/>
                <w:b/>
                <w:bCs/>
                <w:color w:val="auto"/>
                <w:szCs w:val="21"/>
                <w:highlight w:val="none"/>
              </w:rPr>
              <w:t>报价给予10%的价格扣除。</w:t>
            </w:r>
          </w:p>
          <w:p w14:paraId="39299EC3">
            <w:pPr>
              <w:pStyle w:val="88"/>
              <w:numPr>
                <w:ilvl w:val="0"/>
                <w:numId w:val="0"/>
              </w:numPr>
              <w:adjustRightInd w:val="0"/>
              <w:snapToGrid w:val="0"/>
              <w:spacing w:line="440" w:lineRule="exact"/>
              <w:ind w:left="0" w:leftChars="0" w:firstLine="0" w:firstLineChars="0"/>
              <w:rPr>
                <w:rFonts w:ascii="宋体" w:hAnsi="宋体" w:cs="宋体"/>
                <w:b w:val="0"/>
                <w:bCs w:val="0"/>
                <w:color w:val="auto"/>
                <w:szCs w:val="21"/>
                <w:highlight w:val="none"/>
              </w:rPr>
            </w:pPr>
            <w:r>
              <w:rPr>
                <w:rFonts w:hint="eastAsia" w:ascii="宋体" w:hAnsi="宋体" w:cs="宋体"/>
                <w:b w:val="0"/>
                <w:bCs w:val="0"/>
                <w:color w:val="auto"/>
                <w:szCs w:val="21"/>
                <w:highlight w:val="none"/>
              </w:rPr>
              <w:t>说明：投标货物</w:t>
            </w:r>
            <w:r>
              <w:rPr>
                <w:rFonts w:hint="eastAsia" w:ascii="宋体" w:hAnsi="宋体" w:cs="宋体"/>
                <w:b w:val="0"/>
                <w:bCs w:val="0"/>
                <w:color w:val="auto"/>
                <w:szCs w:val="21"/>
                <w:highlight w:val="none"/>
                <w:lang w:val="en-US" w:eastAsia="zh-CN"/>
              </w:rPr>
              <w:t>全部</w:t>
            </w:r>
            <w:r>
              <w:rPr>
                <w:rFonts w:hint="eastAsia" w:ascii="宋体" w:hAnsi="宋体" w:cs="宋体"/>
                <w:b w:val="0"/>
                <w:bCs w:val="0"/>
                <w:color w:val="auto"/>
                <w:szCs w:val="21"/>
                <w:highlight w:val="none"/>
              </w:rPr>
              <w:t>由小微企业制造，即货物由小微企业生产且使用该小微企业商号或者注册商标的视为小微企业。大型企业提供小微企业制造的货物视同为小微企业。</w:t>
            </w:r>
          </w:p>
          <w:p w14:paraId="1CD2266C">
            <w:pPr>
              <w:pStyle w:val="88"/>
              <w:numPr>
                <w:ilvl w:val="0"/>
                <w:numId w:val="0"/>
              </w:numPr>
              <w:adjustRightInd w:val="0"/>
              <w:snapToGrid w:val="0"/>
              <w:spacing w:line="440" w:lineRule="exact"/>
              <w:ind w:left="0" w:leftChars="0" w:firstLine="0" w:firstLineChars="0"/>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rPr>
              <w:t>中小企业划型标准以《工业和信息化部国家统计局国家发展和改革委财政部关于印发中小企业划型标准规定的通知》（工信部联企业〔2011〕300号）为依据。其中企业的营业收入、资产总额判定依据为最近一年度的财务审计报告，企业从业人员总数判定依据为缴纳统筹人员总数。</w:t>
            </w:r>
          </w:p>
          <w:p w14:paraId="54D67AE4">
            <w:pPr>
              <w:pStyle w:val="88"/>
              <w:numPr>
                <w:ilvl w:val="0"/>
                <w:numId w:val="0"/>
              </w:numPr>
              <w:adjustRightInd w:val="0"/>
              <w:snapToGrid w:val="0"/>
              <w:spacing w:line="440" w:lineRule="exact"/>
              <w:ind w:left="0" w:leftChars="0" w:firstLine="0" w:firstLineChars="0"/>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cs="宋体"/>
                <w:color w:val="auto"/>
                <w:szCs w:val="21"/>
                <w:highlight w:val="none"/>
              </w:rPr>
              <w:t>根据《财政部、司法部关于政府采购支持监狱企业发展有关问题的通知》（财库〔2014〕68号）规定，本项目支持监狱企业参与政府采购活动。监狱企业参加本项目投标时，须提供由省级以上监狱管理局、戒毒管理局（含新疆生产建设兵团）出具的属于监狱企业的证明文件，视同小型、微型企业，享受评审中价格扣除等政府采购促进中小企业发展的政府采购政策。</w:t>
            </w:r>
          </w:p>
          <w:p w14:paraId="0E901C2D">
            <w:pPr>
              <w:pStyle w:val="88"/>
              <w:numPr>
                <w:ilvl w:val="0"/>
                <w:numId w:val="0"/>
              </w:numPr>
              <w:adjustRightInd w:val="0"/>
              <w:snapToGrid w:val="0"/>
              <w:spacing w:line="440" w:lineRule="exact"/>
              <w:ind w:left="0" w:leftChars="0" w:firstLine="0" w:firstLineChars="0"/>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w:t>
            </w:r>
            <w:r>
              <w:rPr>
                <w:rFonts w:hint="eastAsia" w:ascii="宋体" w:hAnsi="宋体" w:cs="宋体"/>
                <w:color w:val="auto"/>
                <w:szCs w:val="21"/>
                <w:highlight w:val="none"/>
              </w:rPr>
              <w:t>根据《财政部、民政部、中国残疾人联合会关于促进残疾人就业政府采购政策的通知》（财库〔2017〕141号）规定，本项目支持残疾人福利性单位参与政府采购活动。在政府采购活动中，残疾人福利性单位视同小型、微型企业，享受预留份额、评审中价格扣除等促进中小企业发展的政府采购政策。</w:t>
            </w:r>
          </w:p>
          <w:p w14:paraId="37C2EE11">
            <w:pPr>
              <w:pStyle w:val="88"/>
              <w:numPr>
                <w:ilvl w:val="0"/>
                <w:numId w:val="0"/>
              </w:numPr>
              <w:adjustRightInd w:val="0"/>
              <w:snapToGrid w:val="0"/>
              <w:spacing w:line="440" w:lineRule="exact"/>
              <w:ind w:left="0" w:leftChars="0" w:firstLine="0" w:firstLineChars="0"/>
              <w:rPr>
                <w:rFonts w:hint="eastAsia" w:ascii="宋体" w:hAnsi="宋体" w:cs="宋体"/>
                <w:b/>
                <w:bCs/>
                <w:color w:val="auto"/>
                <w:szCs w:val="21"/>
                <w:highlight w:val="none"/>
              </w:rPr>
            </w:pPr>
            <w:r>
              <w:rPr>
                <w:rFonts w:hint="eastAsia" w:ascii="宋体" w:hAnsi="宋体" w:cs="宋体"/>
                <w:b/>
                <w:bCs/>
                <w:color w:val="auto"/>
                <w:szCs w:val="21"/>
                <w:highlight w:val="none"/>
              </w:rPr>
              <w:t>采购标的所属行业:</w:t>
            </w:r>
          </w:p>
          <w:p w14:paraId="2EC22240">
            <w:pPr>
              <w:pStyle w:val="88"/>
              <w:numPr>
                <w:ilvl w:val="0"/>
                <w:numId w:val="0"/>
              </w:numPr>
              <w:adjustRightInd w:val="0"/>
              <w:snapToGrid w:val="0"/>
              <w:spacing w:line="440" w:lineRule="exact"/>
              <w:ind w:left="0" w:leftChars="0" w:firstLine="0" w:firstLineChars="0"/>
              <w:rPr>
                <w:rFonts w:hint="eastAsia"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包2：详见“第五章 采购需求 采购标的汇总表”</w:t>
            </w:r>
          </w:p>
          <w:p w14:paraId="64A8ECC6">
            <w:pPr>
              <w:pStyle w:val="88"/>
              <w:numPr>
                <w:ilvl w:val="0"/>
                <w:numId w:val="0"/>
              </w:numPr>
              <w:adjustRightInd w:val="0"/>
              <w:snapToGrid w:val="0"/>
              <w:spacing w:line="440" w:lineRule="exact"/>
              <w:ind w:left="0" w:leftChars="0" w:firstLine="0" w:firstLineChars="0"/>
              <w:rPr>
                <w:rFonts w:ascii="宋体" w:hAnsi="宋体" w:cs="宋体"/>
                <w:color w:val="auto"/>
                <w:szCs w:val="21"/>
                <w:highlight w:val="none"/>
              </w:rPr>
            </w:pPr>
            <w:r>
              <w:rPr>
                <w:rFonts w:hint="eastAsia" w:ascii="宋体" w:hAnsi="宋体" w:cs="宋体"/>
                <w:color w:val="auto"/>
                <w:szCs w:val="21"/>
                <w:highlight w:val="none"/>
              </w:rPr>
              <w:t>中小企业划型标准</w:t>
            </w:r>
            <w:r>
              <w:rPr>
                <w:rFonts w:hint="eastAsia" w:ascii="宋体" w:hAnsi="宋体" w:cs="宋体"/>
                <w:color w:val="auto"/>
                <w:szCs w:val="21"/>
                <w:highlight w:val="none"/>
                <w:lang w:eastAsia="zh-CN"/>
              </w:rPr>
              <w:t>：</w:t>
            </w:r>
            <w:r>
              <w:rPr>
                <w:rFonts w:hint="eastAsia" w:ascii="宋体" w:hAnsi="宋体" w:cs="宋体"/>
                <w:color w:val="auto"/>
                <w:szCs w:val="21"/>
                <w:highlight w:val="none"/>
              </w:rPr>
              <w:t>根据《工业和信息化部、国家统计局、国家发展改革委、财政部《关于印发中小企业划型标准规定的通知》（工信部联企业〔2011〕300号）、《国家统计局关于印发&lt;统计大中小微型企业划分办法（2017）&gt;的通知）国统字[2017]213号文件、《国民经济行业分类》（GB/T 4754—2017）。</w:t>
            </w:r>
          </w:p>
          <w:p w14:paraId="47301D58">
            <w:pPr>
              <w:pStyle w:val="88"/>
              <w:numPr>
                <w:ilvl w:val="0"/>
                <w:numId w:val="0"/>
              </w:numPr>
              <w:adjustRightInd w:val="0"/>
              <w:snapToGrid w:val="0"/>
              <w:spacing w:line="440" w:lineRule="exact"/>
              <w:ind w:firstLine="0" w:firstLineChars="0"/>
              <w:rPr>
                <w:rFonts w:hint="eastAsia" w:ascii="宋体" w:hAnsi="宋体" w:cs="宋体"/>
                <w:b/>
                <w:bCs/>
                <w:color w:val="auto"/>
                <w:kern w:val="0"/>
                <w:szCs w:val="21"/>
                <w:highlight w:val="none"/>
                <w:lang w:val="en-US"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lang w:eastAsia="zh-CN"/>
              </w:rPr>
              <w:t>）</w:t>
            </w:r>
            <w:r>
              <w:rPr>
                <w:rFonts w:hint="eastAsia" w:ascii="宋体" w:hAnsi="宋体" w:cs="宋体"/>
                <w:color w:val="auto"/>
                <w:kern w:val="0"/>
                <w:szCs w:val="21"/>
                <w:highlight w:val="none"/>
              </w:rPr>
              <w:t>根据《财政部 发展改革委 生态环境部 市场监管总局关于调整优化节能产品、环境标志产品政府采购执行机制的通知》（财库〔2019〕9 号）和《关于印发节能产品政府采购品目清单的通知》（财库〔2019〕19 号）的规定，应当依据国家确定的认证机构出具的、处于有效期之内的节能产品、环境标志产品认证证书，对获得证书的产品实施政府强制采购或优先采购。属于优先采购节能产品的，未提供节能产品认证证书的不予优先推荐。</w:t>
            </w:r>
            <w:r>
              <w:rPr>
                <w:rFonts w:hint="eastAsia" w:ascii="宋体" w:hAnsi="宋体" w:cs="宋体"/>
                <w:b/>
                <w:bCs/>
                <w:color w:val="auto"/>
                <w:kern w:val="0"/>
                <w:szCs w:val="21"/>
                <w:highlight w:val="none"/>
              </w:rPr>
              <w:t>属于政府强制采购节能产品的，未提供强制采购节能产品认证证书的其投标将被认定为投标无效</w:t>
            </w:r>
            <w:r>
              <w:rPr>
                <w:rFonts w:hint="eastAsia" w:ascii="宋体" w:hAnsi="宋体" w:cs="宋体"/>
                <w:b w:val="0"/>
                <w:bCs w:val="0"/>
                <w:color w:val="auto"/>
                <w:kern w:val="0"/>
                <w:szCs w:val="21"/>
                <w:highlight w:val="none"/>
                <w:lang w:eastAsia="zh-CN"/>
              </w:rPr>
              <w:t>（</w:t>
            </w:r>
            <w:r>
              <w:rPr>
                <w:rFonts w:hint="eastAsia" w:ascii="宋体" w:hAnsi="宋体" w:cs="宋体"/>
                <w:b w:val="0"/>
                <w:bCs w:val="0"/>
                <w:color w:val="auto"/>
                <w:kern w:val="0"/>
                <w:szCs w:val="21"/>
                <w:highlight w:val="none"/>
                <w:lang w:val="en-US" w:eastAsia="zh-CN"/>
              </w:rPr>
              <w:t>目录详见本章附件4、附件5）</w:t>
            </w:r>
            <w:r>
              <w:rPr>
                <w:rFonts w:hint="eastAsia" w:ascii="宋体" w:hAnsi="宋体" w:cs="宋体"/>
                <w:b/>
                <w:bCs/>
                <w:color w:val="auto"/>
                <w:kern w:val="0"/>
                <w:szCs w:val="21"/>
                <w:highlight w:val="none"/>
              </w:rPr>
              <w:t>。</w:t>
            </w:r>
          </w:p>
          <w:p w14:paraId="18252494">
            <w:pPr>
              <w:pStyle w:val="88"/>
              <w:numPr>
                <w:ilvl w:val="0"/>
                <w:numId w:val="0"/>
              </w:numPr>
              <w:adjustRightInd w:val="0"/>
              <w:snapToGrid w:val="0"/>
              <w:spacing w:line="440" w:lineRule="exact"/>
              <w:rPr>
                <w:rFonts w:hint="eastAsia" w:ascii="宋体" w:hAnsi="宋体" w:cs="宋体"/>
                <w:b/>
                <w:bCs/>
                <w:color w:val="FF0000"/>
                <w:kern w:val="0"/>
                <w:szCs w:val="21"/>
                <w:highlight w:val="none"/>
                <w:lang w:val="en-US" w:eastAsia="zh-CN"/>
              </w:rPr>
            </w:pPr>
            <w:r>
              <w:rPr>
                <w:rFonts w:hint="eastAsia" w:ascii="宋体" w:hAnsi="宋体" w:cs="宋体"/>
                <w:b/>
                <w:bCs/>
                <w:color w:val="auto"/>
                <w:kern w:val="0"/>
                <w:szCs w:val="21"/>
                <w:highlight w:val="none"/>
              </w:rPr>
              <w:t>本项目所涉及的强制采购节能产品：</w:t>
            </w:r>
            <w:r>
              <w:rPr>
                <w:rFonts w:hint="eastAsia" w:ascii="宋体" w:hAnsi="宋体" w:cs="宋体"/>
                <w:b/>
                <w:bCs/>
                <w:color w:val="auto"/>
                <w:kern w:val="0"/>
                <w:szCs w:val="21"/>
                <w:highlight w:val="none"/>
                <w:lang w:val="en-US" w:eastAsia="zh-CN"/>
              </w:rPr>
              <w:t xml:space="preserve">      </w:t>
            </w:r>
            <w:r>
              <w:rPr>
                <w:rFonts w:hint="eastAsia" w:ascii="宋体" w:hAnsi="宋体" w:cs="宋体"/>
                <w:b/>
                <w:bCs/>
                <w:color w:val="FF0000"/>
                <w:kern w:val="0"/>
                <w:szCs w:val="21"/>
                <w:highlight w:val="none"/>
                <w:lang w:val="en-US" w:eastAsia="zh-CN"/>
              </w:rPr>
              <w:t xml:space="preserve"> </w:t>
            </w:r>
          </w:p>
          <w:p w14:paraId="2EA0472A">
            <w:pPr>
              <w:pStyle w:val="88"/>
              <w:numPr>
                <w:ilvl w:val="0"/>
                <w:numId w:val="0"/>
              </w:numPr>
              <w:adjustRightInd w:val="0"/>
              <w:snapToGrid w:val="0"/>
              <w:spacing w:line="440" w:lineRule="exact"/>
              <w:rPr>
                <w:rFonts w:hint="eastAsia" w:ascii="宋体" w:hAnsi="宋体" w:cs="宋体"/>
                <w:b/>
                <w:bCs/>
                <w:color w:val="000000" w:themeColor="text1"/>
                <w:kern w:val="0"/>
                <w:szCs w:val="21"/>
                <w:highlight w:val="none"/>
                <w:lang w:val="en-US" w:eastAsia="zh-CN"/>
                <w14:textFill>
                  <w14:solidFill>
                    <w14:schemeClr w14:val="tx1"/>
                  </w14:solidFill>
                </w14:textFill>
              </w:rPr>
            </w:pPr>
            <w:r>
              <w:rPr>
                <w:rFonts w:hint="eastAsia" w:ascii="宋体" w:hAnsi="宋体" w:cs="宋体"/>
                <w:b/>
                <w:bCs/>
                <w:color w:val="000000" w:themeColor="text1"/>
                <w:kern w:val="0"/>
                <w:szCs w:val="21"/>
                <w:highlight w:val="none"/>
                <w:lang w:val="en-US" w:eastAsia="zh-CN"/>
                <w14:textFill>
                  <w14:solidFill>
                    <w14:schemeClr w14:val="tx1"/>
                  </w14:solidFill>
                </w14:textFill>
              </w:rPr>
              <w:t>包2：实时数据采集终端（可能涉及，根据投标人所投产品而定）、关系数据采集终端（可能涉及，根据投标人所投产品而定）、操作客户机（包含主机、显示器）、拼接大屏、3D孪生客户端（包含主机、显示器）</w:t>
            </w:r>
          </w:p>
          <w:p w14:paraId="32643E86">
            <w:pPr>
              <w:pStyle w:val="88"/>
              <w:numPr>
                <w:ilvl w:val="0"/>
                <w:numId w:val="0"/>
              </w:numPr>
              <w:adjustRightInd w:val="0"/>
              <w:snapToGrid w:val="0"/>
              <w:spacing w:line="440" w:lineRule="exact"/>
              <w:ind w:left="0" w:leftChars="0" w:firstLine="0" w:firstLineChars="0"/>
              <w:rPr>
                <w:color w:val="auto"/>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lang w:eastAsia="zh-CN"/>
              </w:rPr>
              <w:t>）</w:t>
            </w:r>
            <w:r>
              <w:rPr>
                <w:rFonts w:hint="eastAsia" w:ascii="宋体" w:hAnsi="宋体"/>
                <w:color w:val="auto"/>
                <w:highlight w:val="none"/>
              </w:rPr>
              <w:t>投标产品</w:t>
            </w:r>
            <w:r>
              <w:rPr>
                <w:rFonts w:hint="eastAsia" w:ascii="宋体" w:hAnsi="宋体"/>
                <w:color w:val="auto"/>
                <w:highlight w:val="none"/>
                <w:lang w:val="en-US" w:eastAsia="zh-CN"/>
              </w:rPr>
              <w:t>已</w:t>
            </w:r>
            <w:r>
              <w:rPr>
                <w:rFonts w:hint="eastAsia" w:ascii="宋体" w:hAnsi="宋体"/>
                <w:color w:val="auto"/>
                <w:highlight w:val="none"/>
              </w:rPr>
              <w:t>列入强制性产品认证目录的</w:t>
            </w:r>
            <w:r>
              <w:rPr>
                <w:rFonts w:hint="eastAsia" w:ascii="宋体" w:hAnsi="宋体"/>
                <w:color w:val="auto"/>
                <w:highlight w:val="none"/>
                <w:lang w:eastAsia="zh-CN"/>
              </w:rPr>
              <w:t>，</w:t>
            </w:r>
            <w:r>
              <w:rPr>
                <w:rFonts w:hint="eastAsia" w:ascii="宋体" w:hAnsi="宋体"/>
                <w:color w:val="auto"/>
                <w:highlight w:val="none"/>
              </w:rPr>
              <w:t>必须经过经国家认监委指定的认证机构认证</w:t>
            </w:r>
            <w:r>
              <w:rPr>
                <w:rFonts w:hint="eastAsia" w:ascii="宋体" w:hAnsi="宋体"/>
                <w:color w:val="auto"/>
                <w:highlight w:val="none"/>
                <w:lang w:eastAsia="zh-CN"/>
              </w:rPr>
              <w:t>。</w:t>
            </w:r>
            <w:r>
              <w:rPr>
                <w:rFonts w:hint="eastAsia" w:ascii="宋体" w:hAnsi="宋体" w:cs="宋体"/>
                <w:b/>
                <w:bCs/>
                <w:color w:val="auto"/>
                <w:lang w:val="en-US" w:eastAsia="zh-CN"/>
              </w:rPr>
              <w:t>提供认证证书复印件，</w:t>
            </w:r>
            <w:r>
              <w:rPr>
                <w:rFonts w:hint="eastAsia" w:ascii="宋体" w:hAnsi="宋体" w:eastAsia="宋体" w:cs="宋体"/>
                <w:b/>
                <w:bCs/>
                <w:color w:val="auto"/>
                <w:lang w:val="en-US" w:eastAsia="zh-CN"/>
              </w:rPr>
              <w:t>否则其投标将被认定为投标无效</w:t>
            </w:r>
            <w:r>
              <w:rPr>
                <w:rFonts w:hint="eastAsia" w:ascii="宋体" w:hAnsi="宋体"/>
                <w:color w:val="auto"/>
                <w:highlight w:val="none"/>
              </w:rPr>
              <w:t>。</w:t>
            </w:r>
          </w:p>
          <w:p w14:paraId="4D9474C3">
            <w:pPr>
              <w:pStyle w:val="88"/>
              <w:numPr>
                <w:ilvl w:val="0"/>
                <w:numId w:val="0"/>
              </w:numPr>
              <w:adjustRightInd w:val="0"/>
              <w:snapToGrid w:val="0"/>
              <w:spacing w:line="440" w:lineRule="exact"/>
              <w:ind w:leftChars="0"/>
              <w:rPr>
                <w:color w:val="auto"/>
              </w:rPr>
            </w:pPr>
            <w:r>
              <w:rPr>
                <w:rFonts w:hint="eastAsia" w:ascii="宋体" w:hAnsi="宋体"/>
                <w:b/>
                <w:bCs/>
                <w:color w:val="auto"/>
                <w:highlight w:val="none"/>
              </w:rPr>
              <w:t>本项目所涉及的强制认证产品：</w:t>
            </w:r>
            <w:r>
              <w:rPr>
                <w:rFonts w:hint="eastAsia" w:ascii="宋体" w:hAnsi="宋体"/>
                <w:b/>
                <w:bCs/>
                <w:color w:val="auto"/>
                <w:highlight w:val="none"/>
                <w:lang w:val="en-US" w:eastAsia="zh-CN"/>
              </w:rPr>
              <w:t xml:space="preserve">         </w:t>
            </w:r>
          </w:p>
          <w:p w14:paraId="0DD0C1E3">
            <w:pPr>
              <w:pStyle w:val="88"/>
              <w:keepNext w:val="0"/>
              <w:keepLines w:val="0"/>
              <w:widowControl/>
              <w:numPr>
                <w:ilvl w:val="0"/>
                <w:numId w:val="0"/>
              </w:numPr>
              <w:suppressLineNumbers w:val="0"/>
              <w:adjustRightInd w:val="0"/>
              <w:snapToGrid w:val="0"/>
              <w:spacing w:line="440" w:lineRule="exact"/>
              <w:jc w:val="left"/>
              <w:textAlignment w:val="center"/>
              <w:rPr>
                <w:rFonts w:hint="eastAsia" w:ascii="宋体" w:hAnsi="宋体" w:cs="宋体"/>
                <w:b/>
                <w:bCs/>
                <w:color w:val="auto"/>
                <w:kern w:val="0"/>
                <w:szCs w:val="21"/>
                <w:highlight w:val="none"/>
                <w:lang w:val="en-US" w:eastAsia="zh-CN"/>
              </w:rPr>
            </w:pPr>
            <w:r>
              <w:rPr>
                <w:rFonts w:hint="eastAsia" w:ascii="宋体" w:hAnsi="宋体" w:cs="宋体"/>
                <w:b/>
                <w:bCs/>
                <w:color w:val="auto"/>
                <w:kern w:val="0"/>
                <w:szCs w:val="21"/>
                <w:highlight w:val="none"/>
                <w:lang w:val="en-US" w:eastAsia="zh-CN"/>
              </w:rPr>
              <w:t>包2：主机服务器、实时数据采集终端、关系数据采集终端、操作客户机、拼接大屏、3D孪生客户端</w:t>
            </w:r>
          </w:p>
          <w:p w14:paraId="6B83EA19">
            <w:pPr>
              <w:pStyle w:val="88"/>
              <w:adjustRightInd w:val="0"/>
              <w:snapToGrid w:val="0"/>
              <w:spacing w:line="440" w:lineRule="exact"/>
              <w:ind w:left="0" w:leftChars="0" w:firstLine="0" w:firstLineChars="0"/>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lang w:eastAsia="zh-CN"/>
              </w:rPr>
              <w:t>）</w:t>
            </w:r>
            <w:r>
              <w:rPr>
                <w:rFonts w:hint="eastAsia" w:ascii="宋体" w:hAnsi="宋体" w:cs="宋体"/>
                <w:color w:val="auto"/>
                <w:szCs w:val="21"/>
                <w:highlight w:val="none"/>
              </w:rPr>
              <w:t>投标产品的包装应符合《财政部等三部门联合印发商品包装和快递包装政府采购需求标准（试行）》（财办库〔2020〕123 号）的规定。</w:t>
            </w:r>
          </w:p>
          <w:p w14:paraId="73B5FB24">
            <w:pPr>
              <w:pStyle w:val="88"/>
              <w:adjustRightInd w:val="0"/>
              <w:snapToGrid w:val="0"/>
              <w:spacing w:line="44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lang w:eastAsia="zh-CN"/>
              </w:rPr>
              <w:t>）</w:t>
            </w:r>
            <w:r>
              <w:rPr>
                <w:rFonts w:hint="eastAsia" w:ascii="宋体" w:hAnsi="宋体" w:cs="宋体"/>
                <w:color w:val="auto"/>
                <w:szCs w:val="21"/>
                <w:highlight w:val="none"/>
              </w:rPr>
              <w:t>根据政府采购政策，本项目如涉及到计算机办公设备产品，投标人所投产品必须是预装正版操作系统软件的计算机产品。</w:t>
            </w:r>
          </w:p>
          <w:p w14:paraId="5F2EE35A">
            <w:pPr>
              <w:pStyle w:val="88"/>
              <w:adjustRightInd w:val="0"/>
              <w:snapToGrid w:val="0"/>
              <w:spacing w:line="440" w:lineRule="exact"/>
              <w:ind w:left="0" w:leftChars="0" w:firstLine="0" w:firstLineChars="0"/>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lang w:eastAsia="zh-CN"/>
              </w:rPr>
              <w:t>）</w:t>
            </w:r>
            <w:r>
              <w:rPr>
                <w:rFonts w:hint="eastAsia" w:ascii="宋体" w:hAnsi="宋体" w:cs="宋体"/>
                <w:color w:val="auto"/>
                <w:szCs w:val="21"/>
                <w:highlight w:val="none"/>
              </w:rPr>
              <w:t>为落实河南省财政厅关于印发深入推进政府采购合同融资工作实施方案的通知（豫财办﹝2020﹞33号），中标人可以持政府采购合同向融资机构申请贷款，具体详见附件。</w:t>
            </w:r>
          </w:p>
          <w:p w14:paraId="03144CBB">
            <w:pPr>
              <w:pStyle w:val="88"/>
              <w:adjustRightInd w:val="0"/>
              <w:snapToGrid w:val="0"/>
              <w:spacing w:line="440" w:lineRule="exact"/>
              <w:ind w:left="0" w:leftChars="0" w:firstLine="0" w:firstLineChars="0"/>
              <w:rPr>
                <w:rFonts w:hint="eastAsia" w:ascii="宋体" w:hAnsi="宋体" w:cs="宋体"/>
                <w:b/>
                <w:bCs/>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lang w:eastAsia="zh-CN"/>
              </w:rPr>
              <w:t>）根据《政府采购进口产品管理办法》（财库[2007]119 号）规定，政府采购应当采购本国产品，不</w:t>
            </w:r>
            <w:r>
              <w:rPr>
                <w:rFonts w:hint="eastAsia" w:ascii="宋体" w:hAnsi="宋体" w:cs="宋体"/>
                <w:color w:val="auto"/>
                <w:szCs w:val="21"/>
                <w:highlight w:val="none"/>
              </w:rPr>
              <w:t>允许采购进口产品，确需采购进口产品的，实行审核管理。本办法所称进口产品是指通过中国海关报关验放进入中国境内且产自关境外的产品。根据《财政部办公厅关于政府采购进口产品管理有关问题的通知》（财办库[2008]248号）规定，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设定为进口产品。</w:t>
            </w:r>
            <w:r>
              <w:rPr>
                <w:rFonts w:hint="eastAsia" w:ascii="宋体" w:hAnsi="宋体"/>
                <w:b/>
                <w:bCs/>
                <w:color w:val="auto"/>
                <w:highlight w:val="none"/>
              </w:rPr>
              <w:t>本次招标</w:t>
            </w:r>
            <w:r>
              <w:rPr>
                <w:rFonts w:hint="eastAsia" w:ascii="宋体" w:hAnsi="宋体"/>
                <w:b/>
                <w:bCs/>
                <w:color w:val="auto"/>
                <w:highlight w:val="none"/>
                <w:lang w:val="en-US" w:eastAsia="zh-CN"/>
              </w:rPr>
              <w:t>不</w:t>
            </w:r>
            <w:r>
              <w:rPr>
                <w:rFonts w:hint="eastAsia" w:ascii="宋体" w:hAnsi="宋体"/>
                <w:b/>
                <w:bCs/>
                <w:color w:val="auto"/>
                <w:highlight w:val="none"/>
              </w:rPr>
              <w:t>接受进口</w:t>
            </w:r>
            <w:r>
              <w:rPr>
                <w:rFonts w:hint="eastAsia" w:ascii="宋体" w:hAnsi="宋体"/>
                <w:b/>
                <w:bCs/>
                <w:color w:val="auto"/>
                <w:highlight w:val="none"/>
                <w:lang w:val="en-US" w:eastAsia="zh-CN"/>
              </w:rPr>
              <w:t>产品</w:t>
            </w:r>
            <w:r>
              <w:rPr>
                <w:rFonts w:hint="eastAsia" w:ascii="宋体" w:hAnsi="宋体" w:cs="宋体"/>
                <w:b/>
                <w:bCs/>
                <w:color w:val="auto"/>
                <w:szCs w:val="21"/>
                <w:highlight w:val="none"/>
              </w:rPr>
              <w:t>。</w:t>
            </w:r>
          </w:p>
          <w:p w14:paraId="0A1200D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11</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根据</w:t>
            </w:r>
            <w:r>
              <w:rPr>
                <w:rFonts w:hint="eastAsia" w:ascii="宋体" w:hAnsi="宋体" w:cs="宋体"/>
                <w:color w:val="auto"/>
                <w:szCs w:val="21"/>
                <w:highlight w:val="none"/>
              </w:rPr>
              <w:t>国家互联网信息办公室、工业和信息化部、公安部、国家认证认可监督管理委员会关于调整网络安全专用产品安全管理有关事项的公告</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2023年第1号</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和关于调整《网络关键设备和网络安全专用产品目录》的公告（2023年第2号），</w:t>
            </w:r>
            <w:r>
              <w:rPr>
                <w:rFonts w:hint="eastAsia" w:ascii="宋体" w:hAnsi="宋体" w:eastAsia="宋体" w:cs="宋体"/>
                <w:color w:val="auto"/>
                <w:lang w:val="en-US" w:eastAsia="zh-CN"/>
              </w:rPr>
              <w:t>如</w:t>
            </w:r>
            <w:r>
              <w:rPr>
                <w:rFonts w:hint="eastAsia" w:ascii="宋体" w:hAnsi="宋体" w:cs="宋体"/>
                <w:color w:val="auto"/>
                <w:lang w:val="en-US" w:eastAsia="zh-CN"/>
              </w:rPr>
              <w:t>投标</w:t>
            </w:r>
            <w:r>
              <w:rPr>
                <w:rFonts w:hint="eastAsia" w:ascii="宋体" w:hAnsi="宋体" w:eastAsia="宋体" w:cs="宋体"/>
                <w:color w:val="auto"/>
                <w:lang w:val="en-US" w:eastAsia="zh-CN"/>
              </w:rPr>
              <w:t>产品列入《网络关键设备和网络安全专用产品目录》</w:t>
            </w:r>
            <w:r>
              <w:rPr>
                <w:rFonts w:hint="eastAsia" w:ascii="宋体" w:hAnsi="宋体" w:cs="宋体"/>
                <w:color w:val="auto"/>
                <w:lang w:val="en-US" w:eastAsia="zh-CN"/>
              </w:rPr>
              <w:t>（目录详见本章附件6），</w:t>
            </w:r>
            <w:r>
              <w:rPr>
                <w:rFonts w:hint="eastAsia" w:ascii="宋体" w:hAnsi="宋体" w:eastAsia="宋体" w:cs="宋体"/>
                <w:color w:val="auto"/>
                <w:lang w:val="en-US" w:eastAsia="zh-CN"/>
              </w:rPr>
              <w:t>当按照《信息安全技术网络安全专用产品安全技术要求》等相关国家标准的强制性要求，由具备资格的机构安全认证合格或者安全检测符合要求后，方可销售或者提供</w:t>
            </w:r>
            <w:r>
              <w:rPr>
                <w:rFonts w:hint="eastAsia" w:ascii="宋体" w:hAnsi="宋体" w:cs="宋体"/>
                <w:color w:val="auto"/>
                <w:lang w:val="en-US" w:eastAsia="zh-CN"/>
              </w:rPr>
              <w:t>。</w:t>
            </w:r>
            <w:r>
              <w:rPr>
                <w:rFonts w:hint="eastAsia" w:ascii="宋体" w:hAnsi="宋体" w:cs="宋体"/>
                <w:b/>
                <w:bCs/>
                <w:color w:val="auto"/>
                <w:lang w:val="en-US" w:eastAsia="zh-CN"/>
              </w:rPr>
              <w:t>提供</w:t>
            </w:r>
            <w:r>
              <w:rPr>
                <w:rFonts w:hint="eastAsia" w:ascii="宋体" w:hAnsi="宋体" w:eastAsia="宋体" w:cs="宋体"/>
                <w:b/>
                <w:bCs/>
                <w:color w:val="auto"/>
                <w:lang w:val="en-US" w:eastAsia="zh-CN"/>
              </w:rPr>
              <w:t>由具备资格的机构安全认证合格或者安全检测符合要求</w:t>
            </w:r>
            <w:r>
              <w:rPr>
                <w:rFonts w:hint="eastAsia" w:ascii="宋体" w:hAnsi="宋体" w:cs="宋体"/>
                <w:b/>
                <w:bCs/>
                <w:color w:val="auto"/>
                <w:lang w:val="en-US" w:eastAsia="zh-CN"/>
              </w:rPr>
              <w:t>的证明材料，</w:t>
            </w:r>
            <w:r>
              <w:rPr>
                <w:rFonts w:hint="eastAsia" w:ascii="宋体" w:hAnsi="宋体" w:eastAsia="宋体" w:cs="宋体"/>
                <w:b/>
                <w:bCs/>
                <w:color w:val="auto"/>
                <w:lang w:val="en-US" w:eastAsia="zh-CN"/>
              </w:rPr>
              <w:t>否则其投标将被认定为投标无效</w:t>
            </w:r>
            <w:r>
              <w:rPr>
                <w:rFonts w:hint="eastAsia" w:ascii="宋体" w:hAnsi="宋体" w:cs="宋体"/>
                <w:color w:val="auto"/>
                <w:lang w:val="en-US" w:eastAsia="zh-CN"/>
              </w:rPr>
              <w:t>。</w:t>
            </w:r>
          </w:p>
          <w:p w14:paraId="650724D2">
            <w:pPr>
              <w:pStyle w:val="88"/>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textAlignment w:val="auto"/>
              <w:rPr>
                <w:rFonts w:hint="eastAsia"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本项目的网络关键设备和网络安全专用产品包含但不限于：</w:t>
            </w:r>
          </w:p>
          <w:p w14:paraId="080D9341">
            <w:pPr>
              <w:pStyle w:val="88"/>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textAlignment w:val="auto"/>
              <w:rPr>
                <w:rFonts w:hint="eastAsia"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包2：</w:t>
            </w:r>
          </w:p>
          <w:p w14:paraId="7B7922B2">
            <w:pPr>
              <w:pStyle w:val="88"/>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textAlignment w:val="auto"/>
              <w:rPr>
                <w:rFonts w:hint="eastAsia"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网络关键设备：主机服务器、SAN交换机、主交换机</w:t>
            </w:r>
          </w:p>
          <w:p w14:paraId="5F715B4C">
            <w:pPr>
              <w:pStyle w:val="88"/>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textAlignment w:val="auto"/>
              <w:rPr>
                <w:rFonts w:hint="eastAsia"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网络安全专用产品：存储节点、企业级硬件防火墙</w:t>
            </w:r>
          </w:p>
          <w:p w14:paraId="57C82FF3">
            <w:pPr>
              <w:pStyle w:val="88"/>
              <w:keepNext w:val="0"/>
              <w:keepLines w:val="0"/>
              <w:widowControl/>
              <w:numPr>
                <w:ilvl w:val="0"/>
                <w:numId w:val="0"/>
              </w:numPr>
              <w:suppressLineNumbers w:val="0"/>
              <w:adjustRightInd w:val="0"/>
              <w:snapToGrid w:val="0"/>
              <w:spacing w:line="440" w:lineRule="exact"/>
              <w:jc w:val="left"/>
              <w:textAlignment w:val="center"/>
              <w:rPr>
                <w:rFonts w:hint="eastAsia" w:ascii="宋体" w:hAnsi="宋体" w:cs="宋体"/>
                <w:b/>
                <w:bCs/>
                <w:color w:val="auto"/>
                <w:kern w:val="0"/>
                <w:szCs w:val="21"/>
                <w:highlight w:val="none"/>
                <w:lang w:val="en-US"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lang w:eastAsia="zh-CN"/>
              </w:rPr>
              <w:t>）</w:t>
            </w:r>
            <w:r>
              <w:rPr>
                <w:rFonts w:hint="eastAsia" w:ascii="宋体" w:hAnsi="宋体" w:cs="宋体"/>
                <w:color w:val="auto"/>
                <w:szCs w:val="21"/>
                <w:highlight w:val="none"/>
              </w:rPr>
              <w:t>招标文件的最终解释权归采购人，其它未尽事宜，按国家有关法律、法规执行。</w:t>
            </w:r>
          </w:p>
        </w:tc>
      </w:tr>
      <w:tr w14:paraId="69D0B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1096" w:type="dxa"/>
            <w:vAlign w:val="center"/>
          </w:tcPr>
          <w:p w14:paraId="02329C1B">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10.8</w:t>
            </w:r>
          </w:p>
        </w:tc>
        <w:tc>
          <w:tcPr>
            <w:tcW w:w="1969" w:type="dxa"/>
            <w:vAlign w:val="center"/>
          </w:tcPr>
          <w:p w14:paraId="7826B23F">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质疑</w:t>
            </w:r>
          </w:p>
        </w:tc>
        <w:tc>
          <w:tcPr>
            <w:tcW w:w="6494" w:type="dxa"/>
            <w:vAlign w:val="center"/>
          </w:tcPr>
          <w:p w14:paraId="6956109B">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（1）针对同一采购程序环节的质疑次数：一次性提出，多次提出质疑的不予受理。</w:t>
            </w:r>
          </w:p>
          <w:p w14:paraId="06DBD60A">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（2）投标人认为招标文件、采购过程和中标结果使自己的权益受到损害的，可以在知道或者应知其权益受到损害之日起七个工作日内，按照政府采购质疑和投诉办法（中华人民共和国财政部令94号）以书面</w:t>
            </w:r>
            <w:r>
              <w:rPr>
                <w:rFonts w:hint="eastAsia" w:ascii="宋体" w:hAnsi="宋体" w:cs="宋体"/>
                <w:b/>
                <w:bCs/>
                <w:color w:val="auto"/>
                <w:szCs w:val="21"/>
                <w:highlight w:val="none"/>
              </w:rPr>
              <w:t>实名</w:t>
            </w:r>
            <w:r>
              <w:rPr>
                <w:rFonts w:hint="eastAsia" w:ascii="宋体" w:hAnsi="宋体" w:cs="宋体"/>
                <w:color w:val="auto"/>
                <w:szCs w:val="21"/>
                <w:highlight w:val="none"/>
              </w:rPr>
              <w:t>形式向采购人或采购代理机构一次性提出质疑（邮寄件、传真件不予受理），质疑函及授权委托书应按规定签字并加盖公章逾期不再接收,质疑函见附件。</w:t>
            </w:r>
          </w:p>
          <w:p w14:paraId="3E49AF86">
            <w:pPr>
              <w:adjustRightInd w:val="0"/>
              <w:snapToGrid w:val="0"/>
              <w:spacing w:line="440" w:lineRule="exact"/>
              <w:ind w:left="105" w:leftChars="50"/>
              <w:jc w:val="left"/>
              <w:rPr>
                <w:rFonts w:ascii="宋体" w:hAnsi="宋体" w:cs="宋体"/>
                <w:b/>
                <w:bCs/>
                <w:color w:val="auto"/>
                <w:szCs w:val="21"/>
                <w:highlight w:val="none"/>
              </w:rPr>
            </w:pPr>
            <w:r>
              <w:rPr>
                <w:rFonts w:hint="eastAsia" w:ascii="宋体" w:hAnsi="宋体" w:cs="宋体"/>
                <w:b/>
                <w:bCs/>
                <w:color w:val="auto"/>
                <w:szCs w:val="21"/>
                <w:highlight w:val="none"/>
              </w:rPr>
              <w:t xml:space="preserve">（3）对招标文件质疑函递交方式：公共资源交易中心系统内递交； </w:t>
            </w:r>
          </w:p>
          <w:p w14:paraId="2690C4C9">
            <w:pPr>
              <w:adjustRightInd w:val="0"/>
              <w:snapToGrid w:val="0"/>
              <w:spacing w:line="440" w:lineRule="exact"/>
              <w:jc w:val="left"/>
              <w:rPr>
                <w:rFonts w:ascii="宋体" w:hAnsi="宋体" w:cs="宋体"/>
                <w:color w:val="auto"/>
                <w:szCs w:val="21"/>
                <w:highlight w:val="none"/>
              </w:rPr>
            </w:pPr>
            <w:r>
              <w:rPr>
                <w:rFonts w:hint="eastAsia" w:ascii="宋体" w:hAnsi="宋体" w:cs="宋体"/>
                <w:b/>
                <w:bCs/>
                <w:color w:val="auto"/>
                <w:szCs w:val="21"/>
                <w:highlight w:val="none"/>
              </w:rPr>
              <w:t>对采购过程、中标结果质疑函的递交方式：书面形式且当面递交。</w:t>
            </w:r>
          </w:p>
          <w:p w14:paraId="2C157218">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（4）质疑函接收部门、联系电话和通讯地址：</w:t>
            </w:r>
          </w:p>
          <w:p w14:paraId="3E678A97">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接收质疑函联系部门：中建山河建设管理集团有限公司</w:t>
            </w:r>
          </w:p>
          <w:p w14:paraId="23136E16">
            <w:pPr>
              <w:adjustRightInd w:val="0"/>
              <w:snapToGrid w:val="0"/>
              <w:spacing w:line="440" w:lineRule="exact"/>
              <w:ind w:left="105" w:leftChars="5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联系电话：0371-86556161</w:t>
            </w:r>
          </w:p>
          <w:p w14:paraId="5067F15A">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通讯地址：郑州市郑东新区七里河南路与圃田西路交叉口明亮</w:t>
            </w:r>
            <w:r>
              <w:rPr>
                <w:rFonts w:hint="eastAsia" w:ascii="宋体" w:hAnsi="宋体" w:cs="宋体"/>
                <w:color w:val="auto"/>
                <w:szCs w:val="21"/>
                <w:highlight w:val="none"/>
                <w:lang w:val="en-US" w:eastAsia="zh-CN"/>
              </w:rPr>
              <w:t>集团</w:t>
            </w:r>
            <w:r>
              <w:rPr>
                <w:rFonts w:hint="eastAsia" w:ascii="宋体" w:hAnsi="宋体" w:cs="宋体"/>
                <w:color w:val="auto"/>
                <w:szCs w:val="21"/>
                <w:highlight w:val="none"/>
              </w:rPr>
              <w:t>大楼三楼312室</w:t>
            </w:r>
          </w:p>
        </w:tc>
      </w:tr>
      <w:tr w14:paraId="6621D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096" w:type="dxa"/>
            <w:vAlign w:val="center"/>
          </w:tcPr>
          <w:p w14:paraId="0EC3FB58">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10.9</w:t>
            </w:r>
          </w:p>
        </w:tc>
        <w:tc>
          <w:tcPr>
            <w:tcW w:w="1969" w:type="dxa"/>
            <w:vAlign w:val="center"/>
          </w:tcPr>
          <w:p w14:paraId="717D5880">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知识产权</w:t>
            </w:r>
          </w:p>
        </w:tc>
        <w:tc>
          <w:tcPr>
            <w:tcW w:w="6494" w:type="dxa"/>
            <w:vAlign w:val="center"/>
          </w:tcPr>
          <w:p w14:paraId="590A5A1C">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1）供应商须保证采购人使用投标货物、资料、技术、服务或其任何一部分时，享有不受限制的无偿使用权，不会产生因第三方提出侵犯其专利权、商标权或其它知识产权而引起的法律或经济纠纷。如因专利权、商标权或其它知识产权而引起法律和经济纠纷，由供应商承担所有相关责任。</w:t>
            </w:r>
          </w:p>
          <w:p w14:paraId="4C750319">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（2）如制造商不拥有相应的知识产权，则在投标报价中必须包括合法获取该知识产权的一切相关费用。如因此导致采购人损失的，供应商须承担全部赔偿责任。</w:t>
            </w:r>
          </w:p>
        </w:tc>
      </w:tr>
      <w:tr w14:paraId="0BEAA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096" w:type="dxa"/>
            <w:vAlign w:val="center"/>
          </w:tcPr>
          <w:p w14:paraId="7CF87DB4">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10.10</w:t>
            </w:r>
          </w:p>
        </w:tc>
        <w:tc>
          <w:tcPr>
            <w:tcW w:w="1969" w:type="dxa"/>
            <w:vAlign w:val="center"/>
          </w:tcPr>
          <w:p w14:paraId="7ABFBB18">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特别提醒</w:t>
            </w:r>
          </w:p>
        </w:tc>
        <w:tc>
          <w:tcPr>
            <w:tcW w:w="6494" w:type="dxa"/>
            <w:vAlign w:val="center"/>
          </w:tcPr>
          <w:p w14:paraId="21328AB0">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1.采购人和采购代理机构对已发出的招标文件进行的澄清、更正或更改，澄清、更正或更改的内容将作为招标文件组成部分。采购代理机构将通过网站“变更公告”和系统内部“答疑文件”告知投标人，对于各项目中已经成功报名并下载招标文件的项目投标人，系统将通过第三方短信群发方式提醒投标人进行查询。各投标人须重新下载最新的招标文件及答疑文件，以此编制投标文件。投标人注册时所留手机联系方式要保持畅通，因联系方式变更而未及时更新系统内联系方式的，将会造成收不到短信。此短信仅系友情提示，并具有任何约束性和必要性，采购人和采购代理机构不承担投标人未收到短信而引起的一切后果和法律责任。</w:t>
            </w:r>
          </w:p>
          <w:p w14:paraId="494BFB0F">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2.因河南省公共资源交易中心平台在开标前具有保密性，投标人在投标文件递交截止时间前须自行查看项目进展、变更通知、澄清及回复，因投标人未及时查看而造成的后果自负。</w:t>
            </w:r>
          </w:p>
          <w:p w14:paraId="72429F72">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3.本项目采用“远程不见面”开标方式，远程开标大厅网址为http://hnsggzyjy.henan.gov.cn/BidOpening/bidopeninghallaction/hall/login，投标人无需到河南省公共资源交易中心现场参加开标会议，无需到达现场提交原件资料。投标人应当在投标截止时间前，登录远程开标大厅，在线准时参加开标活动并进行投标文件解密等。</w:t>
            </w:r>
          </w:p>
        </w:tc>
      </w:tr>
      <w:tr w14:paraId="1D9C0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096" w:type="dxa"/>
            <w:vAlign w:val="center"/>
          </w:tcPr>
          <w:p w14:paraId="1EA254ED">
            <w:pPr>
              <w:adjustRightInd w:val="0"/>
              <w:snapToGrid w:val="0"/>
              <w:spacing w:line="440" w:lineRule="exact"/>
              <w:jc w:val="center"/>
              <w:rPr>
                <w:rFonts w:hint="default" w:ascii="宋体" w:hAnsi="宋体" w:eastAsia="宋体" w:cs="宋体"/>
                <w:color w:val="auto"/>
                <w:szCs w:val="21"/>
                <w:highlight w:val="none"/>
                <w:lang w:val="en-US" w:eastAsia="zh-CN"/>
              </w:rPr>
            </w:pPr>
            <w:bookmarkStart w:id="38" w:name="_Toc20145"/>
            <w:bookmarkStart w:id="39" w:name="_Toc345178448"/>
            <w:bookmarkStart w:id="40" w:name="_Toc184635071"/>
            <w:r>
              <w:rPr>
                <w:rFonts w:hint="eastAsia" w:ascii="宋体" w:hAnsi="宋体" w:cs="宋体"/>
                <w:color w:val="auto"/>
                <w:szCs w:val="21"/>
                <w:highlight w:val="none"/>
                <w:lang w:val="en-US" w:eastAsia="zh-CN"/>
              </w:rPr>
              <w:t>10.11</w:t>
            </w:r>
          </w:p>
        </w:tc>
        <w:tc>
          <w:tcPr>
            <w:tcW w:w="1969" w:type="dxa"/>
            <w:vAlign w:val="center"/>
          </w:tcPr>
          <w:p w14:paraId="0079AD78">
            <w:pPr>
              <w:adjustRightInd w:val="0"/>
              <w:snapToGrid w:val="0"/>
              <w:spacing w:line="440" w:lineRule="exact"/>
              <w:ind w:left="105" w:leftChars="50"/>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其他</w:t>
            </w:r>
          </w:p>
        </w:tc>
        <w:tc>
          <w:tcPr>
            <w:tcW w:w="6494" w:type="dxa"/>
            <w:vAlign w:val="center"/>
          </w:tcPr>
          <w:p w14:paraId="67665547">
            <w:pPr>
              <w:adjustRightInd w:val="0"/>
              <w:snapToGrid w:val="0"/>
              <w:spacing w:line="440" w:lineRule="exact"/>
              <w:ind w:left="105" w:leftChars="50"/>
              <w:jc w:val="left"/>
              <w:rPr>
                <w:rFonts w:hint="eastAsia" w:ascii="宋体" w:hAnsi="宋体" w:cs="宋体"/>
                <w:color w:val="auto"/>
                <w:szCs w:val="21"/>
                <w:highlight w:val="none"/>
              </w:rPr>
            </w:pPr>
            <w:r>
              <w:rPr>
                <w:rFonts w:hint="eastAsia" w:ascii="宋体" w:hAnsi="宋体" w:cs="宋体"/>
                <w:color w:val="auto"/>
                <w:szCs w:val="21"/>
                <w:highlight w:val="none"/>
              </w:rPr>
              <w:t>采购人属于“十四五”期间享受科技创新进口税收政策的科研院所</w:t>
            </w:r>
          </w:p>
        </w:tc>
      </w:tr>
    </w:tbl>
    <w:p w14:paraId="4B19BB24">
      <w:pPr>
        <w:pStyle w:val="3"/>
        <w:keepNext w:val="0"/>
        <w:keepLines w:val="0"/>
        <w:snapToGrid w:val="0"/>
        <w:spacing w:before="0" w:after="0" w:line="440" w:lineRule="exact"/>
        <w:ind w:firstLine="482" w:firstLineChars="200"/>
        <w:jc w:val="left"/>
        <w:rPr>
          <w:color w:val="auto"/>
          <w:sz w:val="21"/>
          <w:szCs w:val="21"/>
          <w:highlight w:val="none"/>
        </w:rPr>
      </w:pPr>
      <w:r>
        <w:rPr>
          <w:rFonts w:hint="eastAsia"/>
          <w:color w:val="auto"/>
          <w:sz w:val="24"/>
          <w:szCs w:val="16"/>
          <w:highlight w:val="none"/>
        </w:rPr>
        <w:br w:type="page"/>
      </w:r>
      <w:bookmarkStart w:id="41" w:name="_Toc12470"/>
      <w:bookmarkStart w:id="42" w:name="_Toc1066277272"/>
      <w:bookmarkStart w:id="43" w:name="_Toc29414"/>
      <w:bookmarkStart w:id="44" w:name="_Toc6076"/>
      <w:r>
        <w:rPr>
          <w:rFonts w:hint="eastAsia"/>
          <w:color w:val="auto"/>
          <w:sz w:val="21"/>
          <w:szCs w:val="21"/>
          <w:highlight w:val="none"/>
        </w:rPr>
        <w:t>1.总则</w:t>
      </w:r>
      <w:bookmarkEnd w:id="38"/>
      <w:bookmarkEnd w:id="39"/>
      <w:bookmarkEnd w:id="40"/>
      <w:bookmarkEnd w:id="41"/>
      <w:bookmarkEnd w:id="42"/>
      <w:bookmarkEnd w:id="43"/>
      <w:bookmarkEnd w:id="44"/>
      <w:bookmarkStart w:id="45" w:name="_Toc9974"/>
    </w:p>
    <w:p w14:paraId="5E76B859">
      <w:pPr>
        <w:adjustRightInd w:val="0"/>
        <w:snapToGrid w:val="0"/>
        <w:spacing w:line="440" w:lineRule="exact"/>
        <w:ind w:firstLine="422" w:firstLineChars="200"/>
        <w:outlineLvl w:val="2"/>
        <w:rPr>
          <w:rFonts w:ascii="宋体" w:hAnsi="宋体" w:cs="宋体"/>
          <w:b/>
          <w:color w:val="auto"/>
          <w:szCs w:val="21"/>
          <w:highlight w:val="none"/>
        </w:rPr>
      </w:pPr>
      <w:bookmarkStart w:id="46" w:name="_Toc487128323"/>
      <w:bookmarkStart w:id="47" w:name="_Toc492577679"/>
      <w:bookmarkStart w:id="48" w:name="_Toc12807"/>
      <w:bookmarkStart w:id="49" w:name="_Toc22694"/>
      <w:bookmarkStart w:id="50" w:name="_Toc171076289"/>
      <w:r>
        <w:rPr>
          <w:rFonts w:hint="eastAsia" w:ascii="宋体" w:hAnsi="宋体" w:cs="宋体"/>
          <w:b/>
          <w:color w:val="auto"/>
          <w:szCs w:val="21"/>
          <w:highlight w:val="none"/>
        </w:rPr>
        <w:t>1.1 项目概况</w:t>
      </w:r>
      <w:bookmarkEnd w:id="45"/>
      <w:bookmarkEnd w:id="46"/>
      <w:bookmarkEnd w:id="47"/>
      <w:bookmarkEnd w:id="48"/>
      <w:bookmarkEnd w:id="49"/>
      <w:bookmarkEnd w:id="50"/>
    </w:p>
    <w:p w14:paraId="6B108B55">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1.1.1 根据《中华人民共和国政府采购法》等有关法律、法规和规章的规定，本招标项目己具备招标条件，现对本项目进行招标。</w:t>
      </w:r>
    </w:p>
    <w:p w14:paraId="7545C843">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1.1.2 本招标项目采购人：见投标人须知前附表。</w:t>
      </w:r>
    </w:p>
    <w:p w14:paraId="3A422C03">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1.1.3 本招标项目采购代理机构：见投标人须知前附表。</w:t>
      </w:r>
    </w:p>
    <w:p w14:paraId="5AB3885C">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1.1.4 本招标项目名称：见投标人须知前附表。</w:t>
      </w:r>
    </w:p>
    <w:p w14:paraId="6FCE651C">
      <w:pPr>
        <w:pStyle w:val="36"/>
        <w:adjustRightInd w:val="0"/>
        <w:snapToGrid w:val="0"/>
        <w:spacing w:after="0" w:line="440" w:lineRule="exact"/>
        <w:ind w:firstLineChars="200"/>
        <w:rPr>
          <w:rFonts w:ascii="宋体" w:hAnsi="宋体" w:cs="宋体"/>
          <w:color w:val="auto"/>
          <w:szCs w:val="21"/>
          <w:highlight w:val="none"/>
        </w:rPr>
      </w:pPr>
      <w:r>
        <w:rPr>
          <w:rFonts w:hint="eastAsia" w:ascii="宋体" w:hAnsi="宋体" w:cs="宋体"/>
          <w:color w:val="auto"/>
          <w:szCs w:val="21"/>
          <w:highlight w:val="none"/>
        </w:rPr>
        <w:t>1.1.5本招标项目项目编号：见投标人须知前附表。</w:t>
      </w:r>
    </w:p>
    <w:p w14:paraId="2E91F100">
      <w:pPr>
        <w:adjustRightInd w:val="0"/>
        <w:snapToGrid w:val="0"/>
        <w:spacing w:line="440" w:lineRule="exact"/>
        <w:ind w:firstLine="422" w:firstLineChars="200"/>
        <w:outlineLvl w:val="2"/>
        <w:rPr>
          <w:rFonts w:ascii="宋体" w:hAnsi="宋体" w:cs="宋体"/>
          <w:b/>
          <w:color w:val="auto"/>
          <w:szCs w:val="21"/>
          <w:highlight w:val="none"/>
        </w:rPr>
      </w:pPr>
      <w:bookmarkStart w:id="51" w:name="_Toc1946069537"/>
      <w:bookmarkStart w:id="52" w:name="_Toc25594"/>
      <w:bookmarkStart w:id="53" w:name="_Toc7137"/>
      <w:bookmarkStart w:id="54" w:name="_Toc20332"/>
      <w:r>
        <w:rPr>
          <w:rFonts w:hint="eastAsia" w:ascii="宋体" w:hAnsi="宋体" w:cs="宋体"/>
          <w:b/>
          <w:color w:val="auto"/>
          <w:szCs w:val="21"/>
          <w:highlight w:val="none"/>
        </w:rPr>
        <w:t>1.2 资金来源和落实情况</w:t>
      </w:r>
      <w:bookmarkEnd w:id="51"/>
      <w:bookmarkEnd w:id="52"/>
      <w:bookmarkEnd w:id="53"/>
      <w:bookmarkEnd w:id="54"/>
    </w:p>
    <w:p w14:paraId="0A92C941">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1.2.1 本项目的资金来源：见投标人须知前附表。</w:t>
      </w:r>
    </w:p>
    <w:p w14:paraId="46D3F800">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1.2.2 本项目资金落实情况：见投标人须知前附表。</w:t>
      </w:r>
    </w:p>
    <w:p w14:paraId="1509DF79">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1.2.3 本招标项目的最高限价：见投标人须知前附表。</w:t>
      </w:r>
    </w:p>
    <w:p w14:paraId="4008DBD9">
      <w:pPr>
        <w:adjustRightInd w:val="0"/>
        <w:snapToGrid w:val="0"/>
        <w:spacing w:line="440" w:lineRule="exact"/>
        <w:ind w:firstLine="422" w:firstLineChars="200"/>
        <w:outlineLvl w:val="3"/>
        <w:rPr>
          <w:rFonts w:ascii="宋体" w:hAnsi="宋体" w:cs="宋体"/>
          <w:b/>
          <w:color w:val="auto"/>
          <w:szCs w:val="21"/>
          <w:highlight w:val="none"/>
        </w:rPr>
      </w:pPr>
      <w:bookmarkStart w:id="55" w:name="_Toc13037"/>
      <w:r>
        <w:rPr>
          <w:rFonts w:hint="eastAsia" w:ascii="宋体" w:hAnsi="宋体" w:cs="宋体"/>
          <w:b/>
          <w:color w:val="auto"/>
          <w:szCs w:val="21"/>
          <w:highlight w:val="none"/>
        </w:rPr>
        <w:t>1.3 采购内容、质保期、交货期</w:t>
      </w:r>
      <w:bookmarkEnd w:id="55"/>
      <w:r>
        <w:rPr>
          <w:rFonts w:hint="eastAsia" w:ascii="宋体" w:hAnsi="宋体" w:cs="宋体"/>
          <w:b/>
          <w:color w:val="auto"/>
          <w:szCs w:val="21"/>
          <w:highlight w:val="none"/>
        </w:rPr>
        <w:t>、质量要求等</w:t>
      </w:r>
    </w:p>
    <w:p w14:paraId="4D90C984">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1.3.1 本次招标项目的采购内容：见投标人须知前附表。</w:t>
      </w:r>
    </w:p>
    <w:p w14:paraId="4D86AFFA">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1.3.2 本次招标项目的质保期：见投标人须知前附表。</w:t>
      </w:r>
    </w:p>
    <w:p w14:paraId="7D09CB10">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1.3.3 本次招标项目的交货期：见投标人须知前附表。</w:t>
      </w:r>
    </w:p>
    <w:p w14:paraId="162FDA97">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1.3.4 本次招标项目的交货地点：见投标人须知前附表。</w:t>
      </w:r>
    </w:p>
    <w:p w14:paraId="6C0F6A03">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1.3.5 本次招标项目的质量要求：见投标人须知前附表。</w:t>
      </w:r>
    </w:p>
    <w:p w14:paraId="062907DD">
      <w:pPr>
        <w:adjustRightInd w:val="0"/>
        <w:snapToGrid w:val="0"/>
        <w:spacing w:line="440" w:lineRule="exact"/>
        <w:ind w:firstLine="422" w:firstLineChars="200"/>
        <w:outlineLvl w:val="3"/>
        <w:rPr>
          <w:rFonts w:ascii="宋体" w:hAnsi="宋体" w:cs="宋体"/>
          <w:b/>
          <w:color w:val="auto"/>
          <w:szCs w:val="21"/>
          <w:highlight w:val="none"/>
        </w:rPr>
      </w:pPr>
      <w:bookmarkStart w:id="56" w:name="_Toc24498"/>
      <w:r>
        <w:rPr>
          <w:rFonts w:hint="eastAsia" w:ascii="宋体" w:hAnsi="宋体" w:cs="宋体"/>
          <w:b/>
          <w:color w:val="auto"/>
          <w:szCs w:val="21"/>
          <w:highlight w:val="none"/>
        </w:rPr>
        <w:t>1.4 投标人资格要求</w:t>
      </w:r>
      <w:bookmarkEnd w:id="56"/>
    </w:p>
    <w:p w14:paraId="062488E3">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1.4.1 投标人应具备承担本项目的资质条件、能力、信誉：见投标人须知前附表。</w:t>
      </w:r>
    </w:p>
    <w:p w14:paraId="00C154C0">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1.4.2本项目不接受联合体投标。</w:t>
      </w:r>
      <w:bookmarkStart w:id="57" w:name="_Toc18874"/>
    </w:p>
    <w:p w14:paraId="1095EB8B">
      <w:pPr>
        <w:adjustRightInd w:val="0"/>
        <w:snapToGrid w:val="0"/>
        <w:spacing w:line="440" w:lineRule="exact"/>
        <w:ind w:firstLine="422" w:firstLineChars="200"/>
        <w:outlineLvl w:val="3"/>
        <w:rPr>
          <w:rFonts w:ascii="宋体" w:hAnsi="宋体" w:cs="宋体"/>
          <w:b/>
          <w:color w:val="auto"/>
          <w:szCs w:val="21"/>
          <w:highlight w:val="none"/>
        </w:rPr>
      </w:pPr>
      <w:r>
        <w:rPr>
          <w:rFonts w:hint="eastAsia" w:ascii="宋体" w:hAnsi="宋体" w:cs="宋体"/>
          <w:b/>
          <w:color w:val="auto"/>
          <w:szCs w:val="21"/>
          <w:highlight w:val="none"/>
        </w:rPr>
        <w:t>1.5 费用承担</w:t>
      </w:r>
      <w:bookmarkEnd w:id="57"/>
    </w:p>
    <w:p w14:paraId="497FC16E">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投标人准备和参加投标活动发生的费用自理。</w:t>
      </w:r>
    </w:p>
    <w:p w14:paraId="15666B69">
      <w:pPr>
        <w:adjustRightInd w:val="0"/>
        <w:snapToGrid w:val="0"/>
        <w:spacing w:line="440" w:lineRule="exact"/>
        <w:ind w:firstLine="422" w:firstLineChars="200"/>
        <w:outlineLvl w:val="3"/>
        <w:rPr>
          <w:rFonts w:ascii="宋体" w:hAnsi="宋体" w:cs="宋体"/>
          <w:b/>
          <w:color w:val="auto"/>
          <w:szCs w:val="21"/>
          <w:highlight w:val="none"/>
        </w:rPr>
      </w:pPr>
      <w:bookmarkStart w:id="58" w:name="_Toc6153"/>
      <w:r>
        <w:rPr>
          <w:rFonts w:hint="eastAsia" w:ascii="宋体" w:hAnsi="宋体" w:cs="宋体"/>
          <w:b/>
          <w:color w:val="auto"/>
          <w:szCs w:val="21"/>
          <w:highlight w:val="none"/>
        </w:rPr>
        <w:t>1.6 保密</w:t>
      </w:r>
      <w:bookmarkEnd w:id="58"/>
    </w:p>
    <w:p w14:paraId="11718727">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1.6.1参与招标投标活动的各方应对招标文件和投标文件中的商业和技术等秘密保密，否则应承担相应的法律责任。</w:t>
      </w:r>
    </w:p>
    <w:p w14:paraId="2089F1F8">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1.6.2 依据政府采购中标结果及合同公告规定，中标（合同）标的名称、规格型号、单价及中标（合同）金额等内容不得作为商业秘密。</w:t>
      </w:r>
    </w:p>
    <w:p w14:paraId="52132598">
      <w:pPr>
        <w:adjustRightInd w:val="0"/>
        <w:snapToGrid w:val="0"/>
        <w:spacing w:line="440" w:lineRule="exact"/>
        <w:ind w:firstLine="422" w:firstLineChars="200"/>
        <w:outlineLvl w:val="3"/>
        <w:rPr>
          <w:rFonts w:ascii="宋体" w:hAnsi="宋体" w:cs="宋体"/>
          <w:b/>
          <w:color w:val="auto"/>
          <w:szCs w:val="21"/>
          <w:highlight w:val="none"/>
        </w:rPr>
      </w:pPr>
      <w:bookmarkStart w:id="59" w:name="_Toc12185"/>
      <w:r>
        <w:rPr>
          <w:rFonts w:hint="eastAsia" w:ascii="宋体" w:hAnsi="宋体" w:cs="宋体"/>
          <w:b/>
          <w:color w:val="auto"/>
          <w:szCs w:val="21"/>
          <w:highlight w:val="none"/>
        </w:rPr>
        <w:t>1.7 语言文字</w:t>
      </w:r>
      <w:bookmarkEnd w:id="59"/>
    </w:p>
    <w:p w14:paraId="1F9E337F">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招标投标文件使用的语言文字为中文。专用术语使用外文的，应附有中文注释。</w:t>
      </w:r>
    </w:p>
    <w:p w14:paraId="7A075691">
      <w:pPr>
        <w:adjustRightInd w:val="0"/>
        <w:snapToGrid w:val="0"/>
        <w:spacing w:line="440" w:lineRule="exact"/>
        <w:ind w:firstLine="422" w:firstLineChars="200"/>
        <w:outlineLvl w:val="3"/>
        <w:rPr>
          <w:rFonts w:ascii="宋体" w:hAnsi="宋体" w:cs="宋体"/>
          <w:b/>
          <w:color w:val="auto"/>
          <w:szCs w:val="21"/>
          <w:highlight w:val="none"/>
        </w:rPr>
      </w:pPr>
      <w:bookmarkStart w:id="60" w:name="_Toc10849"/>
      <w:r>
        <w:rPr>
          <w:rFonts w:hint="eastAsia" w:ascii="宋体" w:hAnsi="宋体" w:cs="宋体"/>
          <w:b/>
          <w:color w:val="auto"/>
          <w:szCs w:val="21"/>
          <w:highlight w:val="none"/>
        </w:rPr>
        <w:t>1.8 计量单位</w:t>
      </w:r>
      <w:bookmarkEnd w:id="60"/>
    </w:p>
    <w:p w14:paraId="1C7D0EAF">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所有计量均采用中华人民共和国法定计量单位。</w:t>
      </w:r>
    </w:p>
    <w:p w14:paraId="24882B14">
      <w:pPr>
        <w:adjustRightInd w:val="0"/>
        <w:snapToGrid w:val="0"/>
        <w:spacing w:line="440" w:lineRule="exact"/>
        <w:ind w:firstLine="422" w:firstLineChars="200"/>
        <w:outlineLvl w:val="3"/>
        <w:rPr>
          <w:rFonts w:hint="eastAsia" w:ascii="宋体" w:hAnsi="宋体" w:eastAsia="宋体" w:cs="宋体"/>
          <w:b/>
          <w:color w:val="auto"/>
          <w:szCs w:val="21"/>
          <w:highlight w:val="none"/>
          <w:lang w:eastAsia="zh-CN"/>
        </w:rPr>
      </w:pPr>
      <w:bookmarkStart w:id="61" w:name="_Toc23251"/>
      <w:r>
        <w:rPr>
          <w:rFonts w:hint="eastAsia" w:ascii="宋体" w:hAnsi="宋体" w:cs="宋体"/>
          <w:b/>
          <w:color w:val="auto"/>
          <w:szCs w:val="21"/>
          <w:highlight w:val="none"/>
        </w:rPr>
        <w:t>1.9 踏勘现场</w:t>
      </w:r>
      <w:bookmarkEnd w:id="61"/>
      <w:r>
        <w:rPr>
          <w:rFonts w:hint="eastAsia" w:ascii="宋体" w:hAnsi="宋体" w:cs="宋体"/>
          <w:b/>
          <w:color w:val="auto"/>
          <w:szCs w:val="21"/>
          <w:highlight w:val="none"/>
          <w:lang w:eastAsia="zh-CN"/>
        </w:rPr>
        <w:t>（</w:t>
      </w:r>
      <w:r>
        <w:rPr>
          <w:rFonts w:hint="eastAsia" w:ascii="宋体" w:hAnsi="宋体" w:cs="宋体"/>
          <w:b/>
          <w:color w:val="auto"/>
          <w:szCs w:val="21"/>
          <w:highlight w:val="none"/>
          <w:lang w:val="en-US" w:eastAsia="zh-CN"/>
        </w:rPr>
        <w:t>不组织</w:t>
      </w:r>
      <w:r>
        <w:rPr>
          <w:rFonts w:hint="eastAsia" w:ascii="宋体" w:hAnsi="宋体" w:cs="宋体"/>
          <w:b/>
          <w:color w:val="auto"/>
          <w:szCs w:val="21"/>
          <w:highlight w:val="none"/>
          <w:lang w:eastAsia="zh-CN"/>
        </w:rPr>
        <w:t>）</w:t>
      </w:r>
    </w:p>
    <w:p w14:paraId="65AEC59B">
      <w:pPr>
        <w:tabs>
          <w:tab w:val="left" w:pos="0"/>
        </w:tabs>
        <w:adjustRightInd w:val="0"/>
        <w:snapToGrid w:val="0"/>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1.9.1 投标人须知前附表规定组织踏勘现场的，采购人按投标人须知前附表规定的时间、地点组织投标人踏勘项目现场。</w:t>
      </w:r>
    </w:p>
    <w:p w14:paraId="2EBA02E9">
      <w:pPr>
        <w:tabs>
          <w:tab w:val="left" w:pos="0"/>
        </w:tabs>
        <w:adjustRightInd w:val="0"/>
        <w:snapToGrid w:val="0"/>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1.9.2 投标人踏勘现场发生的费用自理。</w:t>
      </w:r>
    </w:p>
    <w:p w14:paraId="42684A1F">
      <w:pPr>
        <w:tabs>
          <w:tab w:val="left" w:pos="0"/>
        </w:tabs>
        <w:adjustRightInd w:val="0"/>
        <w:snapToGrid w:val="0"/>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1.9.3投标人自行负责在踏勘现场中所发生的人员伤亡和财产损失。</w:t>
      </w:r>
    </w:p>
    <w:p w14:paraId="696D599C">
      <w:pPr>
        <w:tabs>
          <w:tab w:val="left" w:pos="0"/>
        </w:tabs>
        <w:adjustRightInd w:val="0"/>
        <w:snapToGrid w:val="0"/>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1.9.4 采购人在踏勘现场中介绍的场地和相关的周边环境情况，供投标人在编制投标文件时参考，采购人不对投标人据此作出的判断和决策负责。</w:t>
      </w:r>
    </w:p>
    <w:p w14:paraId="5C6D7B91">
      <w:pPr>
        <w:adjustRightInd w:val="0"/>
        <w:snapToGrid w:val="0"/>
        <w:spacing w:line="440" w:lineRule="exact"/>
        <w:ind w:firstLine="422" w:firstLineChars="200"/>
        <w:outlineLvl w:val="3"/>
        <w:rPr>
          <w:rFonts w:ascii="宋体" w:hAnsi="宋体" w:cs="宋体"/>
          <w:b/>
          <w:color w:val="auto"/>
          <w:szCs w:val="21"/>
          <w:highlight w:val="none"/>
        </w:rPr>
      </w:pPr>
      <w:bookmarkStart w:id="62" w:name="_Toc30607"/>
      <w:r>
        <w:rPr>
          <w:rFonts w:hint="eastAsia" w:ascii="宋体" w:hAnsi="宋体" w:cs="宋体"/>
          <w:b/>
          <w:color w:val="auto"/>
          <w:szCs w:val="21"/>
          <w:highlight w:val="none"/>
        </w:rPr>
        <w:t>1.10 投标预备会</w:t>
      </w:r>
      <w:bookmarkEnd w:id="62"/>
      <w:r>
        <w:rPr>
          <w:rFonts w:hint="eastAsia" w:ascii="宋体" w:hAnsi="宋体" w:cs="宋体"/>
          <w:b/>
          <w:color w:val="auto"/>
          <w:szCs w:val="21"/>
          <w:highlight w:val="none"/>
        </w:rPr>
        <w:t>（不召开）</w:t>
      </w:r>
    </w:p>
    <w:p w14:paraId="66191A76">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1.10.1 投标人须知前附表规定召开投标预备会的，采购人按投标人须知前附表规定的时间和地点召开投标预备会，澄清投标人提出的问题。</w:t>
      </w:r>
    </w:p>
    <w:p w14:paraId="5638EA3A">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1.10.2 投标人应在投标人须知前附表规定的时间前，以书面形式将提出的问题送达采购人，以便采购人在会议期间澄清。</w:t>
      </w:r>
    </w:p>
    <w:p w14:paraId="3FE01A33">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1.10.3 投标预备会后，采购人在投标人须知前附表规定的时间内，将对投标人所提问颗的澄清，以书面方式通知所有购买招标文件的投标人。该澄清内容为招标文件的组成部分。</w:t>
      </w:r>
      <w:bookmarkStart w:id="63" w:name="_Toc345178449"/>
      <w:bookmarkStart w:id="64" w:name="_Toc184635072"/>
    </w:p>
    <w:p w14:paraId="3EA855A1">
      <w:pPr>
        <w:adjustRightInd w:val="0"/>
        <w:snapToGrid w:val="0"/>
        <w:spacing w:line="440" w:lineRule="exact"/>
        <w:ind w:firstLine="422" w:firstLineChars="200"/>
        <w:outlineLvl w:val="3"/>
        <w:rPr>
          <w:rFonts w:ascii="宋体" w:hAnsi="宋体" w:cs="宋体"/>
          <w:b/>
          <w:color w:val="auto"/>
          <w:szCs w:val="21"/>
          <w:highlight w:val="none"/>
        </w:rPr>
      </w:pPr>
      <w:r>
        <w:rPr>
          <w:rFonts w:hint="eastAsia" w:ascii="宋体" w:hAnsi="宋体" w:cs="宋体"/>
          <w:b/>
          <w:color w:val="auto"/>
          <w:szCs w:val="21"/>
          <w:highlight w:val="none"/>
        </w:rPr>
        <w:t>1.11 分包</w:t>
      </w:r>
    </w:p>
    <w:p w14:paraId="4D5BF4AC">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详见投标人须知前附表。</w:t>
      </w:r>
    </w:p>
    <w:p w14:paraId="4CFD196B">
      <w:pPr>
        <w:adjustRightInd w:val="0"/>
        <w:snapToGrid w:val="0"/>
        <w:spacing w:line="440" w:lineRule="exact"/>
        <w:ind w:firstLine="422" w:firstLineChars="200"/>
        <w:outlineLvl w:val="3"/>
        <w:rPr>
          <w:rFonts w:ascii="宋体" w:hAnsi="宋体" w:cs="宋体"/>
          <w:b/>
          <w:color w:val="auto"/>
          <w:szCs w:val="21"/>
          <w:highlight w:val="none"/>
        </w:rPr>
      </w:pPr>
      <w:r>
        <w:rPr>
          <w:rFonts w:hint="eastAsia" w:ascii="宋体" w:hAnsi="宋体" w:cs="宋体"/>
          <w:b/>
          <w:color w:val="auto"/>
          <w:szCs w:val="21"/>
          <w:highlight w:val="none"/>
        </w:rPr>
        <w:t>1.12 偏离</w:t>
      </w:r>
    </w:p>
    <w:p w14:paraId="1D2E223A">
      <w:pPr>
        <w:pStyle w:val="36"/>
        <w:adjustRightInd w:val="0"/>
        <w:snapToGrid w:val="0"/>
        <w:spacing w:after="0" w:line="440" w:lineRule="exact"/>
        <w:ind w:firstLineChars="200"/>
        <w:rPr>
          <w:rFonts w:ascii="宋体" w:hAnsi="宋体" w:cs="宋体"/>
          <w:color w:val="auto"/>
          <w:szCs w:val="21"/>
          <w:highlight w:val="none"/>
        </w:rPr>
      </w:pPr>
      <w:r>
        <w:rPr>
          <w:rFonts w:hint="eastAsia" w:ascii="宋体" w:hAnsi="宋体" w:cs="宋体"/>
          <w:color w:val="auto"/>
          <w:szCs w:val="21"/>
          <w:highlight w:val="none"/>
        </w:rPr>
        <w:t>投标人须知前附表允许投标文件偏离招标文件某些要求的，偏离应当符合招标文件规定的偏离范围和幅度。</w:t>
      </w:r>
    </w:p>
    <w:p w14:paraId="78BB69F7">
      <w:pPr>
        <w:pStyle w:val="3"/>
        <w:keepNext w:val="0"/>
        <w:keepLines w:val="0"/>
        <w:snapToGrid w:val="0"/>
        <w:spacing w:before="0" w:after="0" w:line="440" w:lineRule="exact"/>
        <w:ind w:firstLine="422" w:firstLineChars="200"/>
        <w:jc w:val="left"/>
        <w:rPr>
          <w:color w:val="auto"/>
          <w:sz w:val="21"/>
          <w:szCs w:val="21"/>
          <w:highlight w:val="none"/>
        </w:rPr>
      </w:pPr>
      <w:bookmarkStart w:id="65" w:name="_Toc31108"/>
      <w:bookmarkStart w:id="66" w:name="_Toc3390"/>
      <w:bookmarkStart w:id="67" w:name="_Toc8608"/>
      <w:bookmarkStart w:id="68" w:name="_Toc1414764549"/>
      <w:bookmarkStart w:id="69" w:name="_Toc30881"/>
      <w:r>
        <w:rPr>
          <w:rFonts w:hint="eastAsia"/>
          <w:color w:val="auto"/>
          <w:sz w:val="21"/>
          <w:szCs w:val="21"/>
          <w:highlight w:val="none"/>
        </w:rPr>
        <w:t>2.招标文件</w:t>
      </w:r>
      <w:bookmarkEnd w:id="63"/>
      <w:bookmarkEnd w:id="64"/>
      <w:bookmarkEnd w:id="65"/>
      <w:bookmarkEnd w:id="66"/>
      <w:bookmarkEnd w:id="67"/>
      <w:bookmarkEnd w:id="68"/>
      <w:bookmarkEnd w:id="69"/>
    </w:p>
    <w:p w14:paraId="429AD7A8">
      <w:pPr>
        <w:adjustRightInd w:val="0"/>
        <w:snapToGrid w:val="0"/>
        <w:spacing w:line="440" w:lineRule="exact"/>
        <w:ind w:firstLine="422" w:firstLineChars="200"/>
        <w:outlineLvl w:val="3"/>
        <w:rPr>
          <w:rFonts w:ascii="宋体" w:hAnsi="宋体" w:cs="宋体"/>
          <w:b/>
          <w:color w:val="auto"/>
          <w:szCs w:val="21"/>
          <w:highlight w:val="none"/>
        </w:rPr>
      </w:pPr>
      <w:bookmarkStart w:id="70" w:name="_Toc7846"/>
      <w:r>
        <w:rPr>
          <w:rFonts w:hint="eastAsia" w:ascii="宋体" w:hAnsi="宋体" w:cs="宋体"/>
          <w:b/>
          <w:color w:val="auto"/>
          <w:szCs w:val="21"/>
          <w:highlight w:val="none"/>
        </w:rPr>
        <w:t>2.1招标文件的组成</w:t>
      </w:r>
      <w:bookmarkEnd w:id="70"/>
    </w:p>
    <w:p w14:paraId="587D3E7B">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本招标文件包括：</w:t>
      </w:r>
    </w:p>
    <w:p w14:paraId="1CB64E9D">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（1）招标公告；</w:t>
      </w:r>
    </w:p>
    <w:p w14:paraId="5C4F0075">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（2）投标人须知；</w:t>
      </w:r>
    </w:p>
    <w:p w14:paraId="4551D319">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（3）评标办法及标准；</w:t>
      </w:r>
    </w:p>
    <w:p w14:paraId="36FF4746">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（4）合同格式及合同条款；</w:t>
      </w:r>
    </w:p>
    <w:p w14:paraId="08E441C6">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（5）采购需求</w:t>
      </w:r>
    </w:p>
    <w:p w14:paraId="0AD0FB7F">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（6）投标文件格式；</w:t>
      </w:r>
    </w:p>
    <w:p w14:paraId="5A2B9FA0">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根据本章第2.2 款和第2.3 款对招标文件所作的澄清、修改，构成招标文件的组成部分。</w:t>
      </w:r>
    </w:p>
    <w:p w14:paraId="295D8B5B">
      <w:pPr>
        <w:adjustRightInd w:val="0"/>
        <w:snapToGrid w:val="0"/>
        <w:spacing w:line="440" w:lineRule="exact"/>
        <w:ind w:firstLine="422" w:firstLineChars="200"/>
        <w:outlineLvl w:val="3"/>
        <w:rPr>
          <w:rFonts w:ascii="宋体" w:hAnsi="宋体" w:cs="宋体"/>
          <w:b/>
          <w:color w:val="auto"/>
          <w:szCs w:val="21"/>
          <w:highlight w:val="none"/>
        </w:rPr>
      </w:pPr>
      <w:bookmarkStart w:id="71" w:name="_Toc2466"/>
      <w:r>
        <w:rPr>
          <w:rFonts w:hint="eastAsia" w:ascii="宋体" w:hAnsi="宋体" w:cs="宋体"/>
          <w:b/>
          <w:color w:val="auto"/>
          <w:szCs w:val="21"/>
          <w:highlight w:val="none"/>
        </w:rPr>
        <w:t>2.2 招标文件的澄清</w:t>
      </w:r>
      <w:bookmarkEnd w:id="71"/>
    </w:p>
    <w:p w14:paraId="3B0E70E0">
      <w:pPr>
        <w:adjustRightInd w:val="0"/>
        <w:snapToGrid w:val="0"/>
        <w:spacing w:line="440" w:lineRule="exact"/>
        <w:ind w:firstLine="420" w:firstLineChars="200"/>
        <w:rPr>
          <w:rFonts w:ascii="宋体" w:hAnsi="宋体" w:cs="宋体"/>
          <w:color w:val="auto"/>
          <w:szCs w:val="21"/>
          <w:highlight w:val="none"/>
        </w:rPr>
      </w:pPr>
      <w:bookmarkStart w:id="72" w:name="_Toc18485"/>
      <w:r>
        <w:rPr>
          <w:rFonts w:hint="eastAsia" w:ascii="宋体" w:hAnsi="宋体" w:cs="宋体"/>
          <w:color w:val="auto"/>
          <w:szCs w:val="21"/>
          <w:highlight w:val="none"/>
        </w:rPr>
        <w:t>2.2.1投标人应仔细阅读和检查招标文件的全部内容。如有疑问，应当在收到招标文件之日或者招标文件公告期限届满之日起七个工作日内，在河南省公共资源交易中心平台上提出。采购人和采购代理机构对潜在投标人在规定期限内提交的疑问予以答复。在规定的时间内未提出疑问的，将被视为完全理解并接受招标文件的全部内容。</w:t>
      </w:r>
    </w:p>
    <w:p w14:paraId="371E5DC6">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2.2.2除非采购人认为确有必要答复，否则，采购人有权拒绝回复投标人在本章第2.2.1项规定的时间后的任何澄清要求。</w:t>
      </w:r>
    </w:p>
    <w:p w14:paraId="0C005418">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2.2.3采购人或者采购代理机构可以对已发出的招标文件进行必要的澄清，但不得改变采购标的和资格条件。澄清的内容为招标文件的组成部分。澄清的内容可能影响投标文件编制的，采购人或者采购代理机构在投标截止时间至少15日前，通知所有获取招标文件的潜在投标人，不足15日的，顺延提交投标文件的截止时间。</w:t>
      </w:r>
    </w:p>
    <w:p w14:paraId="4FEEEE3D">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2.2.4招标文件的澄清将通过交易平台系统内部“答疑文件”告知投标人，发布给所有下载招标文件的投标人，并在原公告发布媒体上发布澄清公告，但不指明澄清问题的来源。对于项目中已经下载招标文件的投标人，系统将通过第三方短信群发方式提醒投标人进行查询。各投标人须重新下载最新的答疑文件，以此编制投标文件。</w:t>
      </w:r>
    </w:p>
    <w:p w14:paraId="09452E9A">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2.2.5投标人市场主体信息登记时所留手机联系方式要保持畅通，因联系方式变更而未及时更新系统内联系方式的，将会造成收不到短信。此短信仅系友情提示，并不具有任何约束性和必要性，采购人和采购代理机构不承担投标人未收到短信而引起的一切后果和法律责任。</w:t>
      </w:r>
    </w:p>
    <w:p w14:paraId="7684DD8E">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2.2.6因交易中心平台在开标前具有保密性，投标人在投标截止时间前须自行查看项目进展、变更通知、澄清及回复，因投标人未及时查看而造成的后果自行承担。</w:t>
      </w:r>
    </w:p>
    <w:p w14:paraId="35552919">
      <w:pPr>
        <w:adjustRightInd w:val="0"/>
        <w:snapToGrid w:val="0"/>
        <w:spacing w:line="440" w:lineRule="exact"/>
        <w:ind w:firstLine="422" w:firstLineChars="200"/>
        <w:outlineLvl w:val="3"/>
        <w:rPr>
          <w:rFonts w:ascii="宋体" w:hAnsi="宋体" w:cs="宋体"/>
          <w:b/>
          <w:color w:val="auto"/>
          <w:szCs w:val="21"/>
          <w:highlight w:val="none"/>
        </w:rPr>
      </w:pPr>
      <w:r>
        <w:rPr>
          <w:rFonts w:hint="eastAsia" w:ascii="宋体" w:hAnsi="宋体" w:cs="宋体"/>
          <w:b/>
          <w:color w:val="auto"/>
          <w:szCs w:val="21"/>
          <w:highlight w:val="none"/>
        </w:rPr>
        <w:t>2.3 招标文件的修改</w:t>
      </w:r>
    </w:p>
    <w:p w14:paraId="43347CC7">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2.3.1 招标文件发出后，在提交投标文件截止时间</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日前，采购人可对招标文件进行必要的修改。</w:t>
      </w:r>
    </w:p>
    <w:p w14:paraId="3CD098F2">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2.3.2 采购人、采购代理机构对已发出的招标文件进行的澄清、更正或更改，澄清、更正或更改的内容将作为招标文件的组成部分。采购代理机构将通过招标公告发布网站以“变更公告”和系统内部“答疑文件”的形式告知投标人，对于项目中已经成功报名并下载招标文件的投标人，系统将通过第三方短信群发方式提醒投标人进行查询。各投标人须重新下载最新的答疑文件，以此编制投标文件。</w:t>
      </w:r>
    </w:p>
    <w:p w14:paraId="25E22243">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2.3.3 投标人注册时所留手机联系方式要保持畅通，因联系方式变更而未及时更新系统内联系方式的，将会造成收不到短信。此短信仅系友情提示，并不具有任何约束性和必要性，采购代理机构不承担投标人未收到短信而引起的一切后果和法律责任。</w:t>
      </w:r>
    </w:p>
    <w:p w14:paraId="76AD863E">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2.3.4 当招标文件、招标文件的澄清、修改、补充等在同一内容的表述上不一致时，以最后发出的文件为准。</w:t>
      </w:r>
    </w:p>
    <w:p w14:paraId="67CA6C27">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2.3.5 为使投标人在编制投标文件时有充分的时间对招标文件的澄清、修改、补充等内容进行研究，采购人将酌情延长提交投标文件的截止时间，具体时间将在招标文件的修改、补充通知中予以明确。</w:t>
      </w:r>
    </w:p>
    <w:bookmarkEnd w:id="72"/>
    <w:p w14:paraId="40C4513C">
      <w:pPr>
        <w:pStyle w:val="3"/>
        <w:keepNext w:val="0"/>
        <w:keepLines w:val="0"/>
        <w:snapToGrid w:val="0"/>
        <w:spacing w:before="0" w:after="0" w:line="440" w:lineRule="exact"/>
        <w:ind w:firstLine="422" w:firstLineChars="200"/>
        <w:jc w:val="left"/>
        <w:rPr>
          <w:color w:val="auto"/>
          <w:sz w:val="21"/>
          <w:szCs w:val="21"/>
          <w:highlight w:val="none"/>
        </w:rPr>
      </w:pPr>
      <w:bookmarkStart w:id="73" w:name="_Toc23766"/>
      <w:bookmarkStart w:id="74" w:name="_Toc26418"/>
      <w:bookmarkStart w:id="75" w:name="_Toc4744"/>
      <w:bookmarkStart w:id="76" w:name="_Toc5787"/>
      <w:bookmarkStart w:id="77" w:name="_Toc184635073"/>
      <w:bookmarkStart w:id="78" w:name="_Toc1008835459"/>
      <w:r>
        <w:rPr>
          <w:rFonts w:hint="eastAsia"/>
          <w:color w:val="auto"/>
          <w:sz w:val="21"/>
          <w:szCs w:val="21"/>
          <w:highlight w:val="none"/>
        </w:rPr>
        <w:t>3.投标文件</w:t>
      </w:r>
      <w:bookmarkEnd w:id="73"/>
      <w:bookmarkEnd w:id="74"/>
      <w:bookmarkEnd w:id="75"/>
      <w:bookmarkEnd w:id="76"/>
      <w:bookmarkEnd w:id="77"/>
      <w:bookmarkEnd w:id="78"/>
    </w:p>
    <w:p w14:paraId="2CFFBBA0">
      <w:pPr>
        <w:adjustRightInd w:val="0"/>
        <w:snapToGrid w:val="0"/>
        <w:spacing w:line="440" w:lineRule="exact"/>
        <w:ind w:firstLine="422" w:firstLineChars="200"/>
        <w:outlineLvl w:val="3"/>
        <w:rPr>
          <w:rFonts w:ascii="宋体" w:hAnsi="宋体" w:cs="宋体"/>
          <w:b/>
          <w:color w:val="auto"/>
          <w:szCs w:val="21"/>
          <w:highlight w:val="none"/>
        </w:rPr>
      </w:pPr>
      <w:bookmarkStart w:id="79" w:name="_Toc274"/>
      <w:r>
        <w:rPr>
          <w:rFonts w:hint="eastAsia" w:ascii="宋体" w:hAnsi="宋体" w:cs="宋体"/>
          <w:b/>
          <w:color w:val="auto"/>
          <w:szCs w:val="21"/>
          <w:highlight w:val="none"/>
        </w:rPr>
        <w:t>3.1投标文件的组成</w:t>
      </w:r>
      <w:bookmarkEnd w:id="79"/>
    </w:p>
    <w:p w14:paraId="7BE364FA">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3.1.1详见招标文件第六章 “投标文件格式”；</w:t>
      </w:r>
    </w:p>
    <w:p w14:paraId="58CCAB47">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3.1.2投标人在评标过程中作出的符合法律法规和招标文件规定的澄清确认，构成投标文件的组成部分。</w:t>
      </w:r>
    </w:p>
    <w:p w14:paraId="256FEE83">
      <w:pPr>
        <w:adjustRightInd w:val="0"/>
        <w:snapToGrid w:val="0"/>
        <w:spacing w:line="440" w:lineRule="exact"/>
        <w:ind w:firstLine="422" w:firstLineChars="200"/>
        <w:outlineLvl w:val="3"/>
        <w:rPr>
          <w:rFonts w:ascii="宋体" w:hAnsi="宋体" w:cs="宋体"/>
          <w:b/>
          <w:color w:val="auto"/>
          <w:szCs w:val="21"/>
          <w:highlight w:val="none"/>
        </w:rPr>
      </w:pPr>
      <w:bookmarkStart w:id="80" w:name="_Toc13425"/>
      <w:r>
        <w:rPr>
          <w:rFonts w:hint="eastAsia" w:ascii="宋体" w:hAnsi="宋体" w:cs="宋体"/>
          <w:b/>
          <w:color w:val="auto"/>
          <w:szCs w:val="21"/>
          <w:highlight w:val="none"/>
        </w:rPr>
        <w:t>3.2 投标报价</w:t>
      </w:r>
      <w:bookmarkEnd w:id="80"/>
    </w:p>
    <w:p w14:paraId="21F44AA4">
      <w:pPr>
        <w:adjustRightInd w:val="0"/>
        <w:snapToGrid w:val="0"/>
        <w:spacing w:line="440" w:lineRule="exact"/>
        <w:ind w:firstLine="420" w:firstLineChars="200"/>
        <w:rPr>
          <w:rFonts w:ascii="宋体" w:hAnsi="宋体" w:cs="宋体"/>
          <w:color w:val="auto"/>
          <w:szCs w:val="21"/>
          <w:highlight w:val="none"/>
        </w:rPr>
      </w:pPr>
      <w:bookmarkStart w:id="81" w:name="_Toc247965803"/>
      <w:bookmarkStart w:id="82" w:name="_Toc247965702"/>
      <w:bookmarkStart w:id="83" w:name="_Toc257026310"/>
      <w:bookmarkStart w:id="84" w:name="_Toc256760544"/>
      <w:bookmarkStart w:id="85" w:name="_Toc247961842"/>
      <w:bookmarkStart w:id="86" w:name="_Toc257025777"/>
      <w:r>
        <w:rPr>
          <w:rFonts w:hint="eastAsia" w:ascii="宋体" w:hAnsi="宋体" w:cs="宋体"/>
          <w:color w:val="auto"/>
          <w:szCs w:val="21"/>
          <w:highlight w:val="none"/>
        </w:rPr>
        <w:t>3.2.1 投标人应按第六章“投标文件格式”的要求在投标函中进行报价并填写费用清单。投标货币投标文件中投标报价全部采用人民币表示。</w:t>
      </w:r>
    </w:p>
    <w:p w14:paraId="773AE045">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3.2.2投标人的投标报价为指定地点交货报价，包含但不限于设备及附属设施设备的供货、运输、保险、装卸、安装、检测、调试、试运行、验收交付、培训、技术支持、软件升级、售后保修、安装场地改造装修等及相关伴随服务。投标人应结合自身条件，充分考虑本项目实际情况以及市场因素、现场环境因素、社会因素等各方面的风险因素，投标报价将被认为已综合考虑可能发生的全部不可预见的风险费用。中标人无权再以估计不足为由提出任何延长交货期、增加价款或索赔等要求。</w:t>
      </w:r>
    </w:p>
    <w:p w14:paraId="25BDAE7B">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3.2.3投标人应按照招标文件提供的投标报价表格式填写投标报价。</w:t>
      </w:r>
    </w:p>
    <w:p w14:paraId="44778D8F">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3.2.4 采购人设有最高投标限价的，投标人的投标报价不得超过最高投标限价，最高投标限价在投标人须知前附表中载明。</w:t>
      </w:r>
    </w:p>
    <w:p w14:paraId="22BA7B26">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3.2.5投标人的投标报价如有漏项，视为已经包含在投标报价内。</w:t>
      </w:r>
    </w:p>
    <w:p w14:paraId="1BC4B1ED">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3.2.6 投标人不得以任何理由在开标后对投标报价予以修改，报价在投标有效期内是固定的，不因任何原因而改变。任何包含价格调整要求和条件的投标，将被视为非实质性响应投标而予以拒绝。最低投标报价并不意味着一定中标。</w:t>
      </w:r>
    </w:p>
    <w:p w14:paraId="50714C59">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3.2.7 投标报价包含单价和合计价格的，单价乘数量与合计价格不符时以单价为准修正合计价格，单价小数点明显错误的除外。数字表示的价格与文字表示的价格不一致时以文字表示的为准。如果单价、分项总价和投标总价之间有差异，评标时以单价为准。</w:t>
      </w:r>
    </w:p>
    <w:p w14:paraId="6E38C7AC">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3.2.8 投标文件中凡是与“报价”、“金额”有关的条款，前后金额数应一致，不一致时以投标函中的金额为准。</w:t>
      </w:r>
    </w:p>
    <w:p w14:paraId="117CC60F">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3.2.9 投标人应考虑物价上涨，政策性调整等诸多因素以及由此引起的费用变动的风险。</w:t>
      </w:r>
    </w:p>
    <w:p w14:paraId="7692D4A5">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3.2.10 投标人的投标报价不得低于企业成本，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FF9C215">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3.2.11 投标人除按评标委员会要求对其报价进行修正外，不得以任何理由在投标截止后对投标报价予以修改，报价在投标有效期内是固定的，不因任何原因而改变。任何包含价格调整要求和条件的投标，将被视为非实质性响应,将被认定为投标无效。</w:t>
      </w:r>
    </w:p>
    <w:bookmarkEnd w:id="81"/>
    <w:bookmarkEnd w:id="82"/>
    <w:bookmarkEnd w:id="83"/>
    <w:bookmarkEnd w:id="84"/>
    <w:bookmarkEnd w:id="85"/>
    <w:bookmarkEnd w:id="86"/>
    <w:p w14:paraId="23F40695">
      <w:pPr>
        <w:adjustRightInd w:val="0"/>
        <w:snapToGrid w:val="0"/>
        <w:spacing w:line="440" w:lineRule="exact"/>
        <w:ind w:firstLine="422" w:firstLineChars="200"/>
        <w:outlineLvl w:val="3"/>
        <w:rPr>
          <w:rFonts w:ascii="宋体" w:hAnsi="宋体" w:cs="宋体"/>
          <w:b/>
          <w:color w:val="auto"/>
          <w:szCs w:val="21"/>
          <w:highlight w:val="none"/>
        </w:rPr>
      </w:pPr>
      <w:bookmarkStart w:id="87" w:name="_Toc9931"/>
      <w:r>
        <w:rPr>
          <w:rFonts w:hint="eastAsia" w:ascii="宋体" w:hAnsi="宋体" w:cs="宋体"/>
          <w:b/>
          <w:color w:val="auto"/>
          <w:szCs w:val="21"/>
          <w:highlight w:val="none"/>
        </w:rPr>
        <w:t>3.3 投标有效期</w:t>
      </w:r>
      <w:bookmarkEnd w:id="87"/>
    </w:p>
    <w:p w14:paraId="58B430EE">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3.3.1 投标应在投标须知前附表中规定时间内保持有效。投标有效期不满足要求的投标，其投标将被认定为投标无效。</w:t>
      </w:r>
    </w:p>
    <w:p w14:paraId="6037C0F0">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3.3.2 在特殊情况下，招标人于原投标有效期满前，可向投标人提出延长投标有效期的要求。这种要求与答复均应采用书面形式。投标人可以拒绝招标人的这一要求而放弃中标，同意延长的投标人既不能要求也不允许修改投标文件。</w:t>
      </w:r>
    </w:p>
    <w:p w14:paraId="4705C047">
      <w:pPr>
        <w:adjustRightInd w:val="0"/>
        <w:snapToGrid w:val="0"/>
        <w:spacing w:line="440" w:lineRule="exact"/>
        <w:ind w:firstLine="422" w:firstLineChars="200"/>
        <w:outlineLvl w:val="3"/>
        <w:rPr>
          <w:rFonts w:ascii="宋体" w:hAnsi="宋体" w:cs="宋体"/>
          <w:b/>
          <w:color w:val="auto"/>
          <w:szCs w:val="21"/>
          <w:highlight w:val="none"/>
        </w:rPr>
      </w:pPr>
      <w:bookmarkStart w:id="88" w:name="_Toc9293"/>
      <w:r>
        <w:rPr>
          <w:rFonts w:hint="eastAsia" w:ascii="宋体" w:hAnsi="宋体" w:cs="宋体"/>
          <w:b/>
          <w:color w:val="auto"/>
          <w:szCs w:val="21"/>
          <w:highlight w:val="none"/>
        </w:rPr>
        <w:t>3.4 投标保证金</w:t>
      </w:r>
      <w:bookmarkEnd w:id="88"/>
    </w:p>
    <w:p w14:paraId="45F2FD76">
      <w:pPr>
        <w:adjustRightInd w:val="0"/>
        <w:snapToGrid w:val="0"/>
        <w:spacing w:line="440" w:lineRule="exact"/>
        <w:ind w:firstLine="420" w:firstLineChars="200"/>
        <w:rPr>
          <w:rFonts w:ascii="宋体" w:hAnsi="宋体" w:cs="宋体"/>
          <w:color w:val="auto"/>
          <w:szCs w:val="21"/>
          <w:highlight w:val="none"/>
        </w:rPr>
      </w:pPr>
      <w:bookmarkStart w:id="89" w:name="_Toc73"/>
      <w:r>
        <w:rPr>
          <w:rFonts w:hint="eastAsia" w:ascii="宋体" w:hAnsi="宋体" w:cs="宋体"/>
          <w:color w:val="auto"/>
          <w:szCs w:val="21"/>
          <w:highlight w:val="none"/>
        </w:rPr>
        <w:t>本项目不再收取投标保证金。</w:t>
      </w:r>
    </w:p>
    <w:p w14:paraId="12918BBC">
      <w:pPr>
        <w:adjustRightInd w:val="0"/>
        <w:snapToGrid w:val="0"/>
        <w:spacing w:line="440" w:lineRule="exact"/>
        <w:ind w:firstLine="422" w:firstLineChars="200"/>
        <w:outlineLvl w:val="3"/>
        <w:rPr>
          <w:rFonts w:ascii="宋体" w:hAnsi="宋体" w:cs="宋体"/>
          <w:b/>
          <w:color w:val="auto"/>
          <w:szCs w:val="21"/>
          <w:highlight w:val="none"/>
        </w:rPr>
      </w:pPr>
      <w:r>
        <w:rPr>
          <w:rFonts w:hint="eastAsia" w:ascii="宋体" w:hAnsi="宋体" w:cs="宋体"/>
          <w:b/>
          <w:color w:val="auto"/>
          <w:szCs w:val="21"/>
          <w:highlight w:val="none"/>
        </w:rPr>
        <w:t>3.5 资格审查资料</w:t>
      </w:r>
      <w:bookmarkEnd w:id="89"/>
    </w:p>
    <w:p w14:paraId="72F9C7D9">
      <w:pPr>
        <w:adjustRightInd w:val="0"/>
        <w:snapToGrid w:val="0"/>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3.5.1资格审查资料见投标人须知前附表</w:t>
      </w:r>
    </w:p>
    <w:p w14:paraId="15D840CE">
      <w:pPr>
        <w:adjustRightInd w:val="0"/>
        <w:snapToGrid w:val="0"/>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3.5.2上述条款所需材料投标人应按前附表规定从河南省公共资源交易中心会员诚信库选择相应电子文件编入投标文件。投标人应及时更新河南省公共资源交易中心会员诚信库中的材料，确保相关材料真实有效。</w:t>
      </w:r>
    </w:p>
    <w:p w14:paraId="5AE1A6A3">
      <w:pPr>
        <w:adjustRightInd w:val="0"/>
        <w:snapToGrid w:val="0"/>
        <w:spacing w:line="440" w:lineRule="exact"/>
        <w:ind w:firstLine="422" w:firstLineChars="200"/>
        <w:outlineLvl w:val="3"/>
        <w:rPr>
          <w:rFonts w:ascii="宋体" w:hAnsi="宋体" w:cs="宋体"/>
          <w:b/>
          <w:color w:val="auto"/>
          <w:szCs w:val="21"/>
          <w:highlight w:val="none"/>
        </w:rPr>
      </w:pPr>
      <w:bookmarkStart w:id="90" w:name="_Toc14395"/>
      <w:r>
        <w:rPr>
          <w:rFonts w:hint="eastAsia" w:ascii="宋体" w:hAnsi="宋体" w:cs="宋体"/>
          <w:b/>
          <w:color w:val="auto"/>
          <w:szCs w:val="21"/>
          <w:highlight w:val="none"/>
        </w:rPr>
        <w:t>3.6 备选投标方案</w:t>
      </w:r>
      <w:bookmarkEnd w:id="90"/>
    </w:p>
    <w:p w14:paraId="6BB4A86E">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除投标人须知前附表另有规定外，投标人不得递交备选投标方案。允许投标人递交备选投标方案的，只有中标人所递交的备选投标方案方可予以考虑。评标委员会认为中标人的备选投标方案优于其按照招标文件要求编制的投标方案的，采购人可以接受该备选投标方案。</w:t>
      </w:r>
    </w:p>
    <w:p w14:paraId="4F971A38">
      <w:pPr>
        <w:adjustRightInd w:val="0"/>
        <w:snapToGrid w:val="0"/>
        <w:spacing w:line="440" w:lineRule="exact"/>
        <w:ind w:firstLine="422" w:firstLineChars="200"/>
        <w:outlineLvl w:val="3"/>
        <w:rPr>
          <w:rFonts w:ascii="宋体" w:hAnsi="宋体" w:cs="宋体"/>
          <w:b/>
          <w:color w:val="auto"/>
          <w:szCs w:val="21"/>
          <w:highlight w:val="none"/>
        </w:rPr>
      </w:pPr>
      <w:bookmarkStart w:id="91" w:name="_Toc4196"/>
      <w:r>
        <w:rPr>
          <w:rFonts w:hint="eastAsia" w:ascii="宋体" w:hAnsi="宋体" w:cs="宋体"/>
          <w:b/>
          <w:color w:val="auto"/>
          <w:szCs w:val="21"/>
          <w:highlight w:val="none"/>
        </w:rPr>
        <w:t>3.7 投标文件的编制</w:t>
      </w:r>
      <w:bookmarkEnd w:id="91"/>
    </w:p>
    <w:p w14:paraId="14E9DFE9">
      <w:pPr>
        <w:adjustRightInd w:val="0"/>
        <w:snapToGrid w:val="0"/>
        <w:spacing w:line="440" w:lineRule="exact"/>
        <w:ind w:firstLine="420" w:firstLineChars="200"/>
        <w:rPr>
          <w:rFonts w:ascii="宋体" w:hAnsi="宋体" w:cs="宋体"/>
          <w:color w:val="auto"/>
          <w:szCs w:val="21"/>
          <w:highlight w:val="none"/>
        </w:rPr>
      </w:pPr>
      <w:bookmarkStart w:id="92" w:name="_Toc345178450"/>
      <w:bookmarkStart w:id="93" w:name="_Toc184635074"/>
      <w:r>
        <w:rPr>
          <w:rFonts w:hint="eastAsia" w:ascii="宋体" w:hAnsi="宋体" w:cs="宋体"/>
          <w:color w:val="auto"/>
          <w:szCs w:val="21"/>
          <w:highlight w:val="none"/>
        </w:rPr>
        <w:t>3.7.1投标文件应按第六章“投标文件格式”使用河南省公共资源交易系统投标文件制作专用工具软件编制。其中，投标函附录在满足招标文件实质性要求的基础上，可以提出比招标文件要求更有利于采购人的承诺。</w:t>
      </w:r>
    </w:p>
    <w:p w14:paraId="13C0D29A">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3.7.2 投标文件应当对招标文件有关质保期、交货期、采购内容、质量</w:t>
      </w:r>
      <w:r>
        <w:rPr>
          <w:rFonts w:hint="eastAsia" w:ascii="宋体" w:hAnsi="宋体" w:cs="宋体"/>
          <w:color w:val="auto"/>
          <w:szCs w:val="21"/>
          <w:highlight w:val="none"/>
          <w:lang w:eastAsia="zh-CN"/>
        </w:rPr>
        <w:t>要求</w:t>
      </w:r>
      <w:r>
        <w:rPr>
          <w:rFonts w:hint="eastAsia" w:ascii="宋体" w:hAnsi="宋体" w:cs="宋体"/>
          <w:color w:val="auto"/>
          <w:szCs w:val="21"/>
          <w:highlight w:val="none"/>
        </w:rPr>
        <w:t>等实质性内容作出响应。</w:t>
      </w:r>
    </w:p>
    <w:p w14:paraId="79C97396">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3.7.3投标文件全部采用电子文档，除投标人须知前附表另有规定外，投标文件所附证书证件均为原件扫描件，并采用单位和个人数字证书，按招标文件要求在相应位置加盖电子印章。由投标人的法定代表人签字或加盖电子印章的，应附法定代表人身份证明，由代理人签字或加盖电子印章的，应附由法定代表人签署的授权委托书。签字或盖章的具体要求见投标人须知前附表。</w:t>
      </w:r>
    </w:p>
    <w:p w14:paraId="269BBA1A">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3.7.4 </w:t>
      </w:r>
      <w:r>
        <w:rPr>
          <w:rFonts w:hint="eastAsia" w:ascii="宋体" w:hAnsi="宋体" w:cs="宋体"/>
          <w:b/>
          <w:color w:val="auto"/>
          <w:szCs w:val="21"/>
          <w:highlight w:val="none"/>
        </w:rPr>
        <w:t>投标所需相关的资质、证明等资料均需先上传至河南省公共资源交易中心诚信库并经核验，投标人制作投标文件时所需资料须从诚信库中提取</w:t>
      </w:r>
      <w:bookmarkStart w:id="94" w:name="_Toc456203565"/>
      <w:bookmarkStart w:id="95" w:name="_Toc203530009"/>
      <w:bookmarkStart w:id="96" w:name="_Toc412733184"/>
      <w:r>
        <w:rPr>
          <w:rFonts w:hint="eastAsia" w:ascii="宋体" w:hAnsi="宋体" w:cs="宋体"/>
          <w:b/>
          <w:color w:val="auto"/>
          <w:szCs w:val="21"/>
          <w:highlight w:val="none"/>
        </w:rPr>
        <w:t>。</w:t>
      </w:r>
    </w:p>
    <w:bookmarkEnd w:id="92"/>
    <w:bookmarkEnd w:id="93"/>
    <w:bookmarkEnd w:id="94"/>
    <w:bookmarkEnd w:id="95"/>
    <w:bookmarkEnd w:id="96"/>
    <w:p w14:paraId="5A48CFF3">
      <w:pPr>
        <w:pStyle w:val="3"/>
        <w:keepNext w:val="0"/>
        <w:keepLines w:val="0"/>
        <w:snapToGrid w:val="0"/>
        <w:spacing w:before="0" w:after="0" w:line="440" w:lineRule="exact"/>
        <w:ind w:firstLine="422" w:firstLineChars="200"/>
        <w:jc w:val="left"/>
        <w:rPr>
          <w:color w:val="auto"/>
          <w:sz w:val="21"/>
          <w:szCs w:val="21"/>
          <w:highlight w:val="none"/>
        </w:rPr>
      </w:pPr>
      <w:bookmarkStart w:id="97" w:name="_Toc7385"/>
      <w:bookmarkStart w:id="98" w:name="_Toc22083"/>
      <w:bookmarkStart w:id="99" w:name="_Toc6439"/>
      <w:bookmarkStart w:id="100" w:name="_Toc22156"/>
      <w:bookmarkStart w:id="101" w:name="_Toc1114166348"/>
      <w:r>
        <w:rPr>
          <w:rFonts w:hint="eastAsia"/>
          <w:color w:val="auto"/>
          <w:sz w:val="21"/>
          <w:szCs w:val="21"/>
          <w:highlight w:val="none"/>
        </w:rPr>
        <w:t>4.投标</w:t>
      </w:r>
      <w:bookmarkEnd w:id="97"/>
      <w:bookmarkEnd w:id="98"/>
      <w:bookmarkEnd w:id="99"/>
      <w:bookmarkEnd w:id="100"/>
      <w:bookmarkEnd w:id="101"/>
    </w:p>
    <w:p w14:paraId="26CF5CFA">
      <w:pPr>
        <w:adjustRightInd w:val="0"/>
        <w:snapToGrid w:val="0"/>
        <w:spacing w:line="440" w:lineRule="exact"/>
        <w:ind w:firstLine="422" w:firstLineChars="200"/>
        <w:outlineLvl w:val="3"/>
        <w:rPr>
          <w:rFonts w:ascii="宋体" w:hAnsi="宋体" w:cs="宋体"/>
          <w:b/>
          <w:color w:val="auto"/>
          <w:szCs w:val="21"/>
          <w:highlight w:val="none"/>
        </w:rPr>
      </w:pPr>
      <w:bookmarkStart w:id="102" w:name="_Toc14814"/>
      <w:r>
        <w:rPr>
          <w:rFonts w:hint="eastAsia" w:ascii="宋体" w:hAnsi="宋体" w:cs="宋体"/>
          <w:b/>
          <w:color w:val="auto"/>
          <w:szCs w:val="21"/>
          <w:highlight w:val="none"/>
        </w:rPr>
        <w:t>4.1 投标文件的</w:t>
      </w:r>
      <w:bookmarkEnd w:id="102"/>
      <w:r>
        <w:rPr>
          <w:rFonts w:hint="eastAsia" w:ascii="宋体" w:hAnsi="宋体" w:cs="宋体"/>
          <w:b/>
          <w:color w:val="auto"/>
          <w:szCs w:val="21"/>
          <w:highlight w:val="none"/>
        </w:rPr>
        <w:t>加密</w:t>
      </w:r>
    </w:p>
    <w:p w14:paraId="39BFCD94">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4.1.1 网上上传的电子投标文件应使用数字证书认证并加密。</w:t>
      </w:r>
    </w:p>
    <w:p w14:paraId="38C75BF9">
      <w:pPr>
        <w:adjustRightInd w:val="0"/>
        <w:snapToGrid w:val="0"/>
        <w:spacing w:line="440" w:lineRule="exact"/>
        <w:ind w:firstLine="422" w:firstLineChars="200"/>
        <w:outlineLvl w:val="3"/>
        <w:rPr>
          <w:rFonts w:ascii="宋体" w:hAnsi="宋体" w:cs="宋体"/>
          <w:b/>
          <w:color w:val="auto"/>
          <w:szCs w:val="21"/>
          <w:highlight w:val="none"/>
        </w:rPr>
      </w:pPr>
      <w:bookmarkStart w:id="103" w:name="_Toc22547"/>
      <w:r>
        <w:rPr>
          <w:rFonts w:hint="eastAsia" w:ascii="宋体" w:hAnsi="宋体" w:cs="宋体"/>
          <w:b/>
          <w:color w:val="auto"/>
          <w:szCs w:val="21"/>
          <w:highlight w:val="none"/>
        </w:rPr>
        <w:t>4.2 投标文件的递交</w:t>
      </w:r>
      <w:bookmarkEnd w:id="103"/>
    </w:p>
    <w:p w14:paraId="77BE5F97">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4.2.1 投标人应在第二章投标人须知前附表中规定的投标截止时间前上传加密的电子投标文件（*.hntf）到会员系统的指定位置。上传时必须得到电脑“上传成功”的确认。请投标人在上传时认真检查上传投标文件是否完整、正确。投标人因交易中心投标系统问题无法上传电子投标文件时，请在工作时间与河南省公共资源交易中心联系。</w:t>
      </w:r>
    </w:p>
    <w:p w14:paraId="3BD52531">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4.2.2除投标人须知前附表另有规定外，投标人所递交的投标文件不予退还。</w:t>
      </w:r>
    </w:p>
    <w:p w14:paraId="59F747E0">
      <w:pPr>
        <w:adjustRightInd w:val="0"/>
        <w:snapToGrid w:val="0"/>
        <w:spacing w:line="440" w:lineRule="exact"/>
        <w:ind w:firstLine="422" w:firstLineChars="200"/>
        <w:outlineLvl w:val="3"/>
        <w:rPr>
          <w:rFonts w:ascii="宋体" w:hAnsi="宋体" w:cs="宋体"/>
          <w:b/>
          <w:color w:val="auto"/>
          <w:szCs w:val="21"/>
          <w:highlight w:val="none"/>
        </w:rPr>
      </w:pPr>
      <w:r>
        <w:rPr>
          <w:rFonts w:hint="eastAsia" w:ascii="宋体" w:hAnsi="宋体" w:cs="宋体"/>
          <w:b/>
          <w:color w:val="auto"/>
          <w:szCs w:val="21"/>
          <w:highlight w:val="none"/>
        </w:rPr>
        <w:t>4.3 投标文件的修改与撤回</w:t>
      </w:r>
    </w:p>
    <w:p w14:paraId="3EA2C2BE">
      <w:pPr>
        <w:adjustRightInd w:val="0"/>
        <w:snapToGrid w:val="0"/>
        <w:spacing w:line="440" w:lineRule="exact"/>
        <w:ind w:firstLine="420" w:firstLineChars="200"/>
        <w:rPr>
          <w:rFonts w:ascii="宋体" w:hAnsi="宋体" w:cs="宋体"/>
          <w:color w:val="auto"/>
          <w:szCs w:val="21"/>
          <w:highlight w:val="none"/>
        </w:rPr>
      </w:pPr>
      <w:bookmarkStart w:id="104" w:name="_Toc345178451"/>
      <w:bookmarkStart w:id="105" w:name="_Toc184635075"/>
      <w:r>
        <w:rPr>
          <w:rFonts w:hint="eastAsia" w:ascii="宋体" w:hAnsi="宋体" w:cs="宋体"/>
          <w:color w:val="auto"/>
          <w:szCs w:val="21"/>
          <w:highlight w:val="none"/>
        </w:rPr>
        <w:t>4.3.1 在第二章投标人须知前附表中规定的投标截止时间前，投标人可以多次修改或撤回已递交的投标文件，最终投标文件以投标截止时间前完成上传至河南省公共资源交易中心交易系统最后一份投标文件为准。</w:t>
      </w:r>
    </w:p>
    <w:p w14:paraId="31007369">
      <w:pPr>
        <w:pStyle w:val="3"/>
        <w:keepNext w:val="0"/>
        <w:keepLines w:val="0"/>
        <w:snapToGrid w:val="0"/>
        <w:spacing w:before="0" w:after="0" w:line="440" w:lineRule="exact"/>
        <w:ind w:firstLine="422" w:firstLineChars="200"/>
        <w:jc w:val="left"/>
        <w:rPr>
          <w:color w:val="auto"/>
          <w:sz w:val="21"/>
          <w:szCs w:val="21"/>
          <w:highlight w:val="none"/>
        </w:rPr>
      </w:pPr>
      <w:bookmarkStart w:id="106" w:name="_Toc10759"/>
      <w:bookmarkStart w:id="107" w:name="_Toc10332"/>
      <w:bookmarkStart w:id="108" w:name="_Toc27314"/>
      <w:bookmarkStart w:id="109" w:name="_Toc1883892643"/>
      <w:bookmarkStart w:id="110" w:name="_Toc7"/>
      <w:r>
        <w:rPr>
          <w:rFonts w:hint="eastAsia"/>
          <w:color w:val="auto"/>
          <w:sz w:val="21"/>
          <w:szCs w:val="21"/>
          <w:highlight w:val="none"/>
        </w:rPr>
        <w:t>5.开标</w:t>
      </w:r>
      <w:bookmarkEnd w:id="104"/>
      <w:bookmarkEnd w:id="105"/>
      <w:bookmarkEnd w:id="106"/>
      <w:bookmarkEnd w:id="107"/>
      <w:bookmarkEnd w:id="108"/>
      <w:bookmarkEnd w:id="109"/>
      <w:bookmarkEnd w:id="110"/>
    </w:p>
    <w:p w14:paraId="67E7146D">
      <w:pPr>
        <w:adjustRightInd w:val="0"/>
        <w:snapToGrid w:val="0"/>
        <w:spacing w:line="440" w:lineRule="exact"/>
        <w:ind w:firstLine="422" w:firstLineChars="200"/>
        <w:outlineLvl w:val="3"/>
        <w:rPr>
          <w:rFonts w:ascii="宋体" w:hAnsi="宋体" w:cs="宋体"/>
          <w:b/>
          <w:color w:val="auto"/>
          <w:szCs w:val="21"/>
          <w:highlight w:val="none"/>
        </w:rPr>
      </w:pPr>
      <w:bookmarkStart w:id="111" w:name="_Toc22203"/>
      <w:r>
        <w:rPr>
          <w:rFonts w:hint="eastAsia" w:ascii="宋体" w:hAnsi="宋体" w:cs="宋体"/>
          <w:b/>
          <w:color w:val="auto"/>
          <w:szCs w:val="21"/>
          <w:highlight w:val="none"/>
        </w:rPr>
        <w:t>5.1 开标时间和地点</w:t>
      </w:r>
      <w:bookmarkEnd w:id="111"/>
    </w:p>
    <w:p w14:paraId="14CAAA1F">
      <w:pPr>
        <w:adjustRightInd w:val="0"/>
        <w:snapToGrid w:val="0"/>
        <w:spacing w:line="440" w:lineRule="exact"/>
        <w:ind w:firstLine="420" w:firstLineChars="200"/>
        <w:rPr>
          <w:rFonts w:ascii="宋体" w:hAnsi="宋体" w:cs="宋体"/>
          <w:color w:val="auto"/>
          <w:szCs w:val="21"/>
          <w:highlight w:val="none"/>
        </w:rPr>
      </w:pPr>
      <w:bookmarkStart w:id="112" w:name="_Toc19999"/>
      <w:r>
        <w:rPr>
          <w:rFonts w:hint="eastAsia" w:ascii="宋体" w:hAnsi="宋体" w:cs="宋体"/>
          <w:color w:val="auto"/>
          <w:szCs w:val="21"/>
          <w:highlight w:val="none"/>
        </w:rPr>
        <w:t>5.1.1 采购人在第二章投标人须知前附表中第5.1项规定的投标截止时间（开标时间）和投标人须知前附表规定的地点通过远程进行公开开标。投标人不需要到开标现场，只需根据要求进行远程解密。</w:t>
      </w:r>
      <w:r>
        <w:rPr>
          <w:rFonts w:hint="eastAsia" w:ascii="宋体" w:hAnsi="宋体" w:cs="宋体"/>
          <w:color w:val="auto"/>
          <w:kern w:val="0"/>
          <w:szCs w:val="21"/>
          <w:highlight w:val="none"/>
        </w:rPr>
        <w:t>河南省公共资源交易中心现采用“远程不见面”开标方式，投标人须提前进入远程开标大厅（</w:t>
      </w:r>
      <w:r>
        <w:rPr>
          <w:rFonts w:hint="eastAsia" w:ascii="宋体" w:hAnsi="宋体" w:cs="宋体"/>
          <w:color w:val="auto"/>
          <w:szCs w:val="21"/>
          <w:highlight w:val="none"/>
        </w:rPr>
        <w:t>http://hnsggzyjy.henan.gov.cn/BidOpening/bidopeninghallaction/hall/login</w:t>
      </w:r>
      <w:r>
        <w:rPr>
          <w:rFonts w:hint="eastAsia" w:ascii="宋体" w:hAnsi="宋体" w:cs="宋体"/>
          <w:color w:val="auto"/>
          <w:kern w:val="0"/>
          <w:szCs w:val="21"/>
          <w:highlight w:val="none"/>
        </w:rPr>
        <w:t>）进行开标操作和投标文件的解密。具体操作流程及程序，请投标人查阅河南省公共资源交易平台“办事指南”专区的《河南省公共资源交易平台不见面服务系统使用指南》。</w:t>
      </w:r>
    </w:p>
    <w:p w14:paraId="243987CA">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5.1.2 投标人须在系统规定的解密时间内完成解密。如投标人因自身原因、在指定时限内没有解密成功的，其投标将不能被接受，投标人自行承担相应后果。</w:t>
      </w:r>
    </w:p>
    <w:p w14:paraId="79BCA798">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5.1.3投标人未参加远程开标的，视同认可开标结果。</w:t>
      </w:r>
    </w:p>
    <w:p w14:paraId="1B30ED8D">
      <w:pPr>
        <w:adjustRightInd w:val="0"/>
        <w:snapToGrid w:val="0"/>
        <w:spacing w:line="440" w:lineRule="exact"/>
        <w:ind w:firstLine="422" w:firstLineChars="200"/>
        <w:outlineLvl w:val="3"/>
        <w:rPr>
          <w:rFonts w:ascii="宋体" w:hAnsi="宋体" w:cs="宋体"/>
          <w:b/>
          <w:color w:val="auto"/>
          <w:szCs w:val="21"/>
          <w:highlight w:val="none"/>
        </w:rPr>
      </w:pPr>
      <w:r>
        <w:rPr>
          <w:rFonts w:hint="eastAsia" w:ascii="宋体" w:hAnsi="宋体" w:cs="宋体"/>
          <w:b/>
          <w:color w:val="auto"/>
          <w:szCs w:val="21"/>
          <w:highlight w:val="none"/>
        </w:rPr>
        <w:t>5.2 开标程序</w:t>
      </w:r>
      <w:bookmarkEnd w:id="112"/>
    </w:p>
    <w:p w14:paraId="094647FE">
      <w:pPr>
        <w:adjustRightInd w:val="0"/>
        <w:snapToGrid w:val="0"/>
        <w:spacing w:line="440" w:lineRule="exact"/>
        <w:ind w:firstLine="420" w:firstLineChars="200"/>
        <w:rPr>
          <w:rFonts w:ascii="宋体" w:hAnsi="宋体" w:cs="宋体"/>
          <w:color w:val="auto"/>
          <w:szCs w:val="21"/>
          <w:highlight w:val="none"/>
        </w:rPr>
      </w:pPr>
      <w:bookmarkStart w:id="113" w:name="_Toc345178452"/>
      <w:bookmarkStart w:id="114" w:name="_Toc184635076"/>
      <w:bookmarkStart w:id="115" w:name="_Toc32736"/>
      <w:r>
        <w:rPr>
          <w:rFonts w:hint="eastAsia" w:ascii="宋体" w:hAnsi="宋体" w:cs="宋体"/>
          <w:color w:val="auto"/>
          <w:szCs w:val="21"/>
          <w:highlight w:val="none"/>
        </w:rPr>
        <w:t>（1）公布投标单位；</w:t>
      </w:r>
    </w:p>
    <w:p w14:paraId="30EB3D0D">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（2）投标人远程解密投标文件；</w:t>
      </w:r>
    </w:p>
    <w:p w14:paraId="6126CFE9">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（3）投标文件导入；</w:t>
      </w:r>
    </w:p>
    <w:p w14:paraId="72F38A8B">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（4）电子唱标；</w:t>
      </w:r>
    </w:p>
    <w:p w14:paraId="1A02EFBA">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（5）异议与回复；</w:t>
      </w:r>
    </w:p>
    <w:p w14:paraId="1E5F611E">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（6）开标结束。</w:t>
      </w:r>
    </w:p>
    <w:p w14:paraId="1826B147">
      <w:pPr>
        <w:pStyle w:val="67"/>
        <w:snapToGrid w:val="0"/>
        <w:spacing w:before="0" w:after="0" w:line="440" w:lineRule="exact"/>
        <w:ind w:firstLine="420" w:firstLineChars="200"/>
        <w:jc w:val="left"/>
        <w:outlineLvl w:val="3"/>
        <w:rPr>
          <w:rFonts w:hAnsi="宋体"/>
          <w:b w:val="0"/>
          <w:bCs w:val="0"/>
          <w:color w:val="auto"/>
          <w:sz w:val="21"/>
          <w:szCs w:val="21"/>
          <w:highlight w:val="none"/>
        </w:rPr>
      </w:pPr>
      <w:bookmarkStart w:id="116" w:name="_Toc25313"/>
      <w:r>
        <w:rPr>
          <w:rFonts w:hint="eastAsia" w:hAnsi="宋体"/>
          <w:b w:val="0"/>
          <w:bCs w:val="0"/>
          <w:color w:val="auto"/>
          <w:sz w:val="21"/>
          <w:szCs w:val="21"/>
          <w:highlight w:val="none"/>
        </w:rPr>
        <w:t>5.3 开标时出现下列情况的，采购人将拒绝其投标：</w:t>
      </w:r>
      <w:bookmarkEnd w:id="116"/>
    </w:p>
    <w:p w14:paraId="37EECDB6">
      <w:pPr>
        <w:pStyle w:val="67"/>
        <w:snapToGrid w:val="0"/>
        <w:spacing w:before="0" w:after="0" w:line="440" w:lineRule="exact"/>
        <w:ind w:firstLine="420" w:firstLineChars="200"/>
        <w:jc w:val="left"/>
        <w:outlineLvl w:val="9"/>
        <w:rPr>
          <w:rFonts w:hAnsi="宋体"/>
          <w:b w:val="0"/>
          <w:bCs w:val="0"/>
          <w:color w:val="auto"/>
          <w:sz w:val="21"/>
          <w:szCs w:val="21"/>
          <w:highlight w:val="none"/>
        </w:rPr>
      </w:pPr>
      <w:bookmarkStart w:id="117" w:name="_Toc2791"/>
      <w:r>
        <w:rPr>
          <w:rFonts w:hint="eastAsia" w:hAnsi="宋体"/>
          <w:b w:val="0"/>
          <w:bCs w:val="0"/>
          <w:color w:val="auto"/>
          <w:sz w:val="21"/>
          <w:szCs w:val="21"/>
          <w:highlight w:val="none"/>
        </w:rPr>
        <w:t>5.3.1经检查数字证书无效的投标文件；</w:t>
      </w:r>
      <w:bookmarkEnd w:id="117"/>
    </w:p>
    <w:p w14:paraId="1D792548">
      <w:pPr>
        <w:pStyle w:val="67"/>
        <w:snapToGrid w:val="0"/>
        <w:spacing w:before="0" w:after="0" w:line="440" w:lineRule="exact"/>
        <w:ind w:firstLine="420" w:firstLineChars="200"/>
        <w:jc w:val="left"/>
        <w:outlineLvl w:val="9"/>
        <w:rPr>
          <w:rFonts w:hAnsi="宋体"/>
          <w:b w:val="0"/>
          <w:bCs w:val="0"/>
          <w:color w:val="auto"/>
          <w:sz w:val="21"/>
          <w:szCs w:val="21"/>
          <w:highlight w:val="none"/>
        </w:rPr>
      </w:pPr>
      <w:bookmarkStart w:id="118" w:name="_Toc5572"/>
      <w:r>
        <w:rPr>
          <w:rFonts w:hint="eastAsia" w:hAnsi="宋体"/>
          <w:b w:val="0"/>
          <w:bCs w:val="0"/>
          <w:color w:val="auto"/>
          <w:sz w:val="21"/>
          <w:szCs w:val="21"/>
          <w:highlight w:val="none"/>
        </w:rPr>
        <w:t>5.3.2加密的电子投标文件逾期上传的，或加密的电子投标文件从投标截止时间开始30分钟内未解密的，其投标文件不予接收。</w:t>
      </w:r>
      <w:bookmarkEnd w:id="118"/>
    </w:p>
    <w:p w14:paraId="417DF2C5">
      <w:pPr>
        <w:pStyle w:val="67"/>
        <w:snapToGrid w:val="0"/>
        <w:spacing w:before="0" w:after="0" w:line="440" w:lineRule="exact"/>
        <w:ind w:firstLine="422" w:firstLineChars="200"/>
        <w:jc w:val="left"/>
        <w:outlineLvl w:val="3"/>
        <w:rPr>
          <w:rFonts w:hAnsi="宋体"/>
          <w:color w:val="auto"/>
          <w:sz w:val="21"/>
          <w:szCs w:val="21"/>
          <w:highlight w:val="none"/>
        </w:rPr>
      </w:pPr>
      <w:bookmarkStart w:id="119" w:name="_Toc20045"/>
      <w:r>
        <w:rPr>
          <w:rFonts w:hint="eastAsia" w:hAnsi="宋体"/>
          <w:color w:val="auto"/>
          <w:sz w:val="21"/>
          <w:szCs w:val="21"/>
          <w:highlight w:val="none"/>
        </w:rPr>
        <w:t>5.4 开标异议</w:t>
      </w:r>
      <w:bookmarkEnd w:id="119"/>
    </w:p>
    <w:p w14:paraId="2387F939">
      <w:pPr>
        <w:pStyle w:val="67"/>
        <w:snapToGrid w:val="0"/>
        <w:spacing w:before="0" w:after="0" w:line="440" w:lineRule="exact"/>
        <w:ind w:firstLine="420" w:firstLineChars="200"/>
        <w:jc w:val="left"/>
        <w:outlineLvl w:val="9"/>
        <w:rPr>
          <w:rFonts w:hAnsi="宋体"/>
          <w:b w:val="0"/>
          <w:bCs w:val="0"/>
          <w:color w:val="auto"/>
          <w:sz w:val="21"/>
          <w:szCs w:val="21"/>
          <w:highlight w:val="none"/>
        </w:rPr>
      </w:pPr>
      <w:bookmarkStart w:id="120" w:name="_Toc13185"/>
      <w:bookmarkStart w:id="121" w:name="_Toc4261"/>
      <w:r>
        <w:rPr>
          <w:rFonts w:hint="eastAsia" w:hAnsi="宋体"/>
          <w:b w:val="0"/>
          <w:bCs w:val="0"/>
          <w:color w:val="auto"/>
          <w:sz w:val="21"/>
          <w:szCs w:val="21"/>
          <w:highlight w:val="none"/>
        </w:rPr>
        <w:t>投标人对开标有异议的，应当在开标现场，在电子招标投标交易平台系统规定的时间内在交易系统中提出。</w:t>
      </w:r>
      <w:bookmarkEnd w:id="120"/>
      <w:r>
        <w:rPr>
          <w:rFonts w:hint="eastAsia" w:hAnsi="宋体"/>
          <w:b w:val="0"/>
          <w:bCs w:val="0"/>
          <w:color w:val="auto"/>
          <w:sz w:val="21"/>
          <w:szCs w:val="21"/>
          <w:highlight w:val="none"/>
        </w:rPr>
        <w:t>逾期未提出的，视为无异议。</w:t>
      </w:r>
    </w:p>
    <w:p w14:paraId="6094BF92">
      <w:pPr>
        <w:pStyle w:val="3"/>
        <w:keepNext w:val="0"/>
        <w:keepLines w:val="0"/>
        <w:snapToGrid w:val="0"/>
        <w:spacing w:before="0" w:after="0" w:line="440" w:lineRule="exact"/>
        <w:ind w:firstLine="422" w:firstLineChars="200"/>
        <w:jc w:val="left"/>
        <w:rPr>
          <w:bCs/>
          <w:color w:val="auto"/>
          <w:sz w:val="21"/>
          <w:szCs w:val="21"/>
          <w:highlight w:val="none"/>
        </w:rPr>
      </w:pPr>
      <w:bookmarkStart w:id="122" w:name="_Toc10927"/>
      <w:bookmarkStart w:id="123" w:name="_Toc84759533"/>
      <w:bookmarkStart w:id="124" w:name="_Toc18670"/>
      <w:r>
        <w:rPr>
          <w:rFonts w:hint="eastAsia"/>
          <w:bCs/>
          <w:color w:val="auto"/>
          <w:sz w:val="21"/>
          <w:szCs w:val="21"/>
          <w:highlight w:val="none"/>
        </w:rPr>
        <w:t>6.资格审查及评标</w:t>
      </w:r>
      <w:bookmarkEnd w:id="113"/>
      <w:bookmarkEnd w:id="114"/>
      <w:bookmarkEnd w:id="115"/>
      <w:bookmarkEnd w:id="121"/>
      <w:bookmarkEnd w:id="122"/>
      <w:bookmarkEnd w:id="123"/>
      <w:bookmarkEnd w:id="124"/>
    </w:p>
    <w:p w14:paraId="607BF9D5">
      <w:pPr>
        <w:adjustRightInd w:val="0"/>
        <w:snapToGrid w:val="0"/>
        <w:spacing w:line="440" w:lineRule="exact"/>
        <w:ind w:firstLine="422" w:firstLineChars="200"/>
        <w:jc w:val="left"/>
        <w:outlineLvl w:val="3"/>
        <w:rPr>
          <w:rFonts w:ascii="宋体" w:hAnsi="宋体" w:cs="宋体"/>
          <w:b/>
          <w:bCs/>
          <w:color w:val="auto"/>
          <w:szCs w:val="21"/>
          <w:highlight w:val="none"/>
        </w:rPr>
      </w:pPr>
      <w:bookmarkStart w:id="125" w:name="_Toc1158"/>
      <w:r>
        <w:rPr>
          <w:rFonts w:hint="eastAsia" w:ascii="宋体" w:hAnsi="宋体" w:cs="宋体"/>
          <w:b/>
          <w:bCs/>
          <w:color w:val="auto"/>
          <w:szCs w:val="21"/>
          <w:highlight w:val="none"/>
        </w:rPr>
        <w:t>6.1 资格审查</w:t>
      </w:r>
    </w:p>
    <w:p w14:paraId="60B70893">
      <w:pPr>
        <w:pStyle w:val="67"/>
        <w:snapToGrid w:val="0"/>
        <w:spacing w:before="0" w:after="0" w:line="440" w:lineRule="exact"/>
        <w:ind w:firstLine="420" w:firstLineChars="200"/>
        <w:jc w:val="left"/>
        <w:outlineLvl w:val="9"/>
        <w:rPr>
          <w:rFonts w:hAnsi="宋体"/>
          <w:b w:val="0"/>
          <w:bCs w:val="0"/>
          <w:color w:val="auto"/>
          <w:sz w:val="21"/>
          <w:szCs w:val="21"/>
          <w:highlight w:val="none"/>
        </w:rPr>
      </w:pPr>
      <w:bookmarkStart w:id="126" w:name="_Toc9537"/>
      <w:r>
        <w:rPr>
          <w:rFonts w:hint="eastAsia" w:hAnsi="宋体"/>
          <w:b w:val="0"/>
          <w:bCs w:val="0"/>
          <w:color w:val="auto"/>
          <w:sz w:val="21"/>
          <w:szCs w:val="21"/>
          <w:highlight w:val="none"/>
        </w:rPr>
        <w:t>6.1.1开标结束后，采购人或采购代理机构将依法对投标人的资格进行审查。</w:t>
      </w:r>
      <w:bookmarkEnd w:id="126"/>
      <w:r>
        <w:rPr>
          <w:rFonts w:hint="eastAsia" w:hAnsi="宋体"/>
          <w:b w:val="0"/>
          <w:bCs w:val="0"/>
          <w:color w:val="auto"/>
          <w:sz w:val="21"/>
          <w:szCs w:val="21"/>
          <w:highlight w:val="none"/>
        </w:rPr>
        <w:t xml:space="preserve"> </w:t>
      </w:r>
    </w:p>
    <w:p w14:paraId="4D2EE676">
      <w:pPr>
        <w:pStyle w:val="67"/>
        <w:snapToGrid w:val="0"/>
        <w:spacing w:before="0" w:after="0" w:line="440" w:lineRule="exact"/>
        <w:ind w:firstLine="420" w:firstLineChars="200"/>
        <w:jc w:val="left"/>
        <w:outlineLvl w:val="9"/>
        <w:rPr>
          <w:rFonts w:hAnsi="宋体"/>
          <w:b w:val="0"/>
          <w:bCs w:val="0"/>
          <w:color w:val="auto"/>
          <w:sz w:val="21"/>
          <w:szCs w:val="21"/>
          <w:highlight w:val="none"/>
        </w:rPr>
      </w:pPr>
      <w:bookmarkStart w:id="127" w:name="_Toc14183"/>
      <w:r>
        <w:rPr>
          <w:rFonts w:hint="eastAsia" w:hAnsi="宋体"/>
          <w:b w:val="0"/>
          <w:bCs w:val="0"/>
          <w:color w:val="auto"/>
          <w:sz w:val="21"/>
          <w:szCs w:val="21"/>
          <w:highlight w:val="none"/>
        </w:rPr>
        <w:t>6.1.2资格审查内容及标准</w:t>
      </w:r>
      <w:bookmarkEnd w:id="127"/>
    </w:p>
    <w:p w14:paraId="0E1AE61E">
      <w:pPr>
        <w:pStyle w:val="67"/>
        <w:snapToGrid w:val="0"/>
        <w:spacing w:before="0" w:after="0" w:line="440" w:lineRule="exact"/>
        <w:ind w:firstLine="420" w:firstLineChars="200"/>
        <w:jc w:val="left"/>
        <w:outlineLvl w:val="9"/>
        <w:rPr>
          <w:rFonts w:hAnsi="宋体"/>
          <w:b w:val="0"/>
          <w:bCs w:val="0"/>
          <w:color w:val="auto"/>
          <w:sz w:val="21"/>
          <w:szCs w:val="21"/>
          <w:highlight w:val="none"/>
        </w:rPr>
      </w:pPr>
      <w:bookmarkStart w:id="128" w:name="_Toc21698"/>
      <w:r>
        <w:rPr>
          <w:rFonts w:hint="eastAsia" w:hAnsi="宋体"/>
          <w:b w:val="0"/>
          <w:bCs w:val="0"/>
          <w:color w:val="auto"/>
          <w:sz w:val="21"/>
          <w:szCs w:val="21"/>
          <w:highlight w:val="none"/>
        </w:rPr>
        <w:t>（1）资格性检查指依据法律法规和招标文件的规定，对投标文件中的资格证明材料进行审查，以确定投标人是否具备投标资格。</w:t>
      </w:r>
      <w:bookmarkEnd w:id="128"/>
      <w:r>
        <w:rPr>
          <w:rFonts w:hint="eastAsia" w:hAnsi="宋体"/>
          <w:b w:val="0"/>
          <w:bCs w:val="0"/>
          <w:color w:val="auto"/>
          <w:sz w:val="21"/>
          <w:szCs w:val="21"/>
          <w:highlight w:val="none"/>
        </w:rPr>
        <w:t xml:space="preserve"> </w:t>
      </w:r>
    </w:p>
    <w:p w14:paraId="2AD6E9FC">
      <w:pPr>
        <w:pStyle w:val="67"/>
        <w:snapToGrid w:val="0"/>
        <w:spacing w:before="0" w:after="0" w:line="440" w:lineRule="exact"/>
        <w:ind w:firstLine="420" w:firstLineChars="200"/>
        <w:jc w:val="left"/>
        <w:outlineLvl w:val="9"/>
        <w:rPr>
          <w:rFonts w:hAnsi="宋体"/>
          <w:b w:val="0"/>
          <w:bCs w:val="0"/>
          <w:color w:val="auto"/>
          <w:sz w:val="21"/>
          <w:szCs w:val="21"/>
          <w:highlight w:val="none"/>
        </w:rPr>
      </w:pPr>
      <w:bookmarkStart w:id="129" w:name="_Toc26039"/>
      <w:r>
        <w:rPr>
          <w:rFonts w:hint="eastAsia" w:hAnsi="宋体"/>
          <w:b w:val="0"/>
          <w:bCs w:val="0"/>
          <w:color w:val="auto"/>
          <w:sz w:val="21"/>
          <w:szCs w:val="21"/>
          <w:highlight w:val="none"/>
        </w:rPr>
        <w:t>（2）投标人须在投标文件中按招标文件要求提供资格证明材料，投标人若没有提供资格证明材料或资格证明材料不全的，其投标将被拒绝，不能进入评标。</w:t>
      </w:r>
      <w:bookmarkEnd w:id="129"/>
      <w:r>
        <w:rPr>
          <w:rFonts w:hint="eastAsia" w:hAnsi="宋体"/>
          <w:b w:val="0"/>
          <w:bCs w:val="0"/>
          <w:color w:val="auto"/>
          <w:sz w:val="21"/>
          <w:szCs w:val="21"/>
          <w:highlight w:val="none"/>
        </w:rPr>
        <w:t xml:space="preserve"> </w:t>
      </w:r>
    </w:p>
    <w:p w14:paraId="7C6A94BE">
      <w:pPr>
        <w:pStyle w:val="67"/>
        <w:snapToGrid w:val="0"/>
        <w:spacing w:before="0" w:after="0" w:line="440" w:lineRule="exact"/>
        <w:ind w:firstLine="420" w:firstLineChars="200"/>
        <w:jc w:val="left"/>
        <w:outlineLvl w:val="9"/>
        <w:rPr>
          <w:rFonts w:hAnsi="宋体"/>
          <w:b w:val="0"/>
          <w:bCs w:val="0"/>
          <w:color w:val="auto"/>
          <w:sz w:val="21"/>
          <w:szCs w:val="21"/>
          <w:highlight w:val="none"/>
        </w:rPr>
      </w:pPr>
      <w:bookmarkStart w:id="130" w:name="_Toc2682"/>
      <w:r>
        <w:rPr>
          <w:rFonts w:hint="eastAsia" w:hAnsi="宋体"/>
          <w:b w:val="0"/>
          <w:bCs w:val="0"/>
          <w:color w:val="auto"/>
          <w:sz w:val="21"/>
          <w:szCs w:val="21"/>
          <w:highlight w:val="none"/>
        </w:rPr>
        <w:t>6.1.3采购人或采购代理机构对投标人的资格进行审查后，将资格审查结果提交评标委员会，未通过资格审查的投标人，不进入评标程序。合格投标人不足3家的，不得评标。</w:t>
      </w:r>
      <w:bookmarkEnd w:id="130"/>
    </w:p>
    <w:p w14:paraId="32DF0DFC">
      <w:pPr>
        <w:adjustRightInd w:val="0"/>
        <w:snapToGrid w:val="0"/>
        <w:spacing w:line="440" w:lineRule="exact"/>
        <w:ind w:firstLine="422" w:firstLineChars="200"/>
        <w:outlineLvl w:val="3"/>
        <w:rPr>
          <w:rFonts w:ascii="宋体" w:hAnsi="宋体" w:cs="宋体"/>
          <w:b/>
          <w:color w:val="auto"/>
          <w:szCs w:val="21"/>
          <w:highlight w:val="none"/>
        </w:rPr>
      </w:pPr>
      <w:r>
        <w:rPr>
          <w:rFonts w:hint="eastAsia" w:ascii="宋体" w:hAnsi="宋体" w:cs="宋体"/>
          <w:b/>
          <w:color w:val="auto"/>
          <w:szCs w:val="21"/>
          <w:highlight w:val="none"/>
        </w:rPr>
        <w:t>6.2评标委员会</w:t>
      </w:r>
      <w:bookmarkEnd w:id="125"/>
    </w:p>
    <w:p w14:paraId="104C7B6C">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6.2.1 评标由采购人依法组建的评标委员会负责。评标委员会由采购人委托的熟悉相关业务的代表，以及有关技术、经济等方面的专家组成。评标委员会成员人数以及技术、经济等方面专家的确定方式见投标人须知前附表。</w:t>
      </w:r>
    </w:p>
    <w:p w14:paraId="326CDBE9">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6.2.2 评标委员会成员有下列情形之一的，应当回避：</w:t>
      </w:r>
    </w:p>
    <w:p w14:paraId="3F8E7C0C">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（1）参加政府采购活动前三年内，与供应商存在劳动关系，或者担任过供应商的董事、监事，或者是供应商的控股股东或实际控制人；</w:t>
      </w:r>
    </w:p>
    <w:p w14:paraId="6F6259D6">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（2）与供应商的法定代表人或者负责人有夫妻、直系血亲、三代以内旁系血亲或者近姻亲关系；</w:t>
      </w:r>
    </w:p>
    <w:p w14:paraId="4B3BDE05">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（3）与供应商有其他可能影响政府采购活动公平、公正进行的关系。</w:t>
      </w:r>
    </w:p>
    <w:p w14:paraId="06B127CE">
      <w:pPr>
        <w:pStyle w:val="67"/>
        <w:autoSpaceDE/>
        <w:autoSpaceDN/>
        <w:snapToGrid w:val="0"/>
        <w:spacing w:before="0" w:after="0" w:line="440" w:lineRule="exact"/>
        <w:ind w:firstLine="420" w:firstLineChars="200"/>
        <w:jc w:val="left"/>
        <w:outlineLvl w:val="9"/>
        <w:rPr>
          <w:rFonts w:hAnsi="宋体"/>
          <w:color w:val="auto"/>
          <w:sz w:val="21"/>
          <w:szCs w:val="21"/>
          <w:highlight w:val="none"/>
        </w:rPr>
      </w:pPr>
      <w:bookmarkStart w:id="131" w:name="_Toc7484"/>
      <w:r>
        <w:rPr>
          <w:rFonts w:hint="eastAsia" w:hAnsi="宋体"/>
          <w:b w:val="0"/>
          <w:bCs w:val="0"/>
          <w:color w:val="auto"/>
          <w:sz w:val="21"/>
          <w:szCs w:val="21"/>
          <w:highlight w:val="none"/>
        </w:rPr>
        <w:t>6.2.3 评标过程中，评标委员会成员有回避事由、擅离职守或者因健康等原因不能继续评标 的，采购人有权更换。被更换的评标委员会成员作出的评审结论无效，由更换后的评标委员会成员重新进行评审。</w:t>
      </w:r>
      <w:bookmarkEnd w:id="131"/>
    </w:p>
    <w:p w14:paraId="08B78000">
      <w:pPr>
        <w:adjustRightInd w:val="0"/>
        <w:snapToGrid w:val="0"/>
        <w:spacing w:line="440" w:lineRule="exact"/>
        <w:ind w:firstLine="422" w:firstLineChars="200"/>
        <w:outlineLvl w:val="3"/>
        <w:rPr>
          <w:rFonts w:ascii="宋体" w:hAnsi="宋体" w:cs="宋体"/>
          <w:b/>
          <w:color w:val="auto"/>
          <w:szCs w:val="21"/>
          <w:highlight w:val="none"/>
        </w:rPr>
      </w:pPr>
      <w:bookmarkStart w:id="132" w:name="_Toc17348"/>
      <w:r>
        <w:rPr>
          <w:rFonts w:hint="eastAsia" w:ascii="宋体" w:hAnsi="宋体" w:cs="宋体"/>
          <w:b/>
          <w:color w:val="auto"/>
          <w:szCs w:val="21"/>
          <w:highlight w:val="none"/>
        </w:rPr>
        <w:t>6.3 评标原则</w:t>
      </w:r>
      <w:bookmarkEnd w:id="132"/>
    </w:p>
    <w:p w14:paraId="06202AFB">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6.3.1评标活动遵循客观、公正、审慎的原则。</w:t>
      </w:r>
    </w:p>
    <w:p w14:paraId="4CD27D21">
      <w:pPr>
        <w:adjustRightInd w:val="0"/>
        <w:snapToGrid w:val="0"/>
        <w:spacing w:line="440" w:lineRule="exact"/>
        <w:ind w:firstLine="422" w:firstLineChars="200"/>
        <w:outlineLvl w:val="3"/>
        <w:rPr>
          <w:rFonts w:ascii="宋体" w:hAnsi="宋体" w:cs="宋体"/>
          <w:b/>
          <w:color w:val="auto"/>
          <w:szCs w:val="21"/>
          <w:highlight w:val="none"/>
        </w:rPr>
      </w:pPr>
      <w:bookmarkStart w:id="133" w:name="_Toc3492"/>
      <w:r>
        <w:rPr>
          <w:rFonts w:hint="eastAsia" w:ascii="宋体" w:hAnsi="宋体" w:cs="宋体"/>
          <w:b/>
          <w:color w:val="auto"/>
          <w:szCs w:val="21"/>
          <w:highlight w:val="none"/>
        </w:rPr>
        <w:t>6.4 评标</w:t>
      </w:r>
      <w:bookmarkEnd w:id="133"/>
    </w:p>
    <w:p w14:paraId="3DED3E58">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评标委员会按照第三章“评标办法及标准”规定的方法、评审因素、标准和程序对投标文件进行评审。第三章“评标办法及标准”没有规定的方法、评审因素和标准，不作为评标依据。</w:t>
      </w:r>
    </w:p>
    <w:p w14:paraId="3878F590">
      <w:pPr>
        <w:pStyle w:val="3"/>
        <w:keepNext w:val="0"/>
        <w:keepLines w:val="0"/>
        <w:snapToGrid w:val="0"/>
        <w:spacing w:before="0" w:after="0" w:line="440" w:lineRule="exact"/>
        <w:ind w:firstLine="422" w:firstLineChars="200"/>
        <w:jc w:val="left"/>
        <w:rPr>
          <w:color w:val="auto"/>
          <w:sz w:val="21"/>
          <w:szCs w:val="21"/>
          <w:highlight w:val="none"/>
        </w:rPr>
      </w:pPr>
      <w:bookmarkStart w:id="134" w:name="_Toc184635077"/>
      <w:bookmarkStart w:id="135" w:name="_Toc2983"/>
      <w:bookmarkStart w:id="136" w:name="_Toc345178453"/>
      <w:bookmarkStart w:id="137" w:name="_Toc15037"/>
      <w:bookmarkStart w:id="138" w:name="_Toc771813170"/>
      <w:bookmarkStart w:id="139" w:name="_Toc19536"/>
      <w:bookmarkStart w:id="140" w:name="_Toc2561"/>
      <w:r>
        <w:rPr>
          <w:rFonts w:hint="eastAsia"/>
          <w:color w:val="auto"/>
          <w:sz w:val="21"/>
          <w:szCs w:val="21"/>
          <w:highlight w:val="none"/>
        </w:rPr>
        <w:t>7.合同授予</w:t>
      </w:r>
      <w:bookmarkEnd w:id="134"/>
      <w:bookmarkEnd w:id="135"/>
      <w:bookmarkEnd w:id="136"/>
      <w:bookmarkEnd w:id="137"/>
      <w:bookmarkEnd w:id="138"/>
      <w:bookmarkEnd w:id="139"/>
      <w:bookmarkEnd w:id="140"/>
    </w:p>
    <w:p w14:paraId="0EE00245">
      <w:pPr>
        <w:adjustRightInd w:val="0"/>
        <w:snapToGrid w:val="0"/>
        <w:spacing w:line="440" w:lineRule="exact"/>
        <w:ind w:firstLine="422" w:firstLineChars="200"/>
        <w:outlineLvl w:val="3"/>
        <w:rPr>
          <w:rFonts w:ascii="宋体" w:hAnsi="宋体" w:cs="宋体"/>
          <w:b/>
          <w:color w:val="auto"/>
          <w:szCs w:val="21"/>
          <w:highlight w:val="none"/>
        </w:rPr>
      </w:pPr>
      <w:bookmarkStart w:id="141" w:name="_Toc26471"/>
      <w:r>
        <w:rPr>
          <w:rFonts w:hint="eastAsia" w:ascii="宋体" w:hAnsi="宋体" w:cs="宋体"/>
          <w:b/>
          <w:color w:val="auto"/>
          <w:szCs w:val="21"/>
          <w:highlight w:val="none"/>
        </w:rPr>
        <w:t>7.1 定标方式</w:t>
      </w:r>
      <w:bookmarkEnd w:id="141"/>
    </w:p>
    <w:p w14:paraId="385768B5">
      <w:pPr>
        <w:adjustRightInd w:val="0"/>
        <w:snapToGrid w:val="0"/>
        <w:spacing w:line="440" w:lineRule="exact"/>
        <w:ind w:firstLine="420" w:firstLineChars="200"/>
        <w:rPr>
          <w:rFonts w:ascii="宋体" w:hAnsi="宋体" w:cs="宋体"/>
          <w:color w:val="auto"/>
          <w:kern w:val="0"/>
          <w:szCs w:val="21"/>
          <w:highlight w:val="none"/>
        </w:rPr>
      </w:pPr>
      <w:bookmarkStart w:id="142" w:name="_Toc22718"/>
      <w:r>
        <w:rPr>
          <w:rFonts w:hint="eastAsia" w:ascii="宋体" w:hAnsi="宋体" w:cs="宋体"/>
          <w:color w:val="auto"/>
          <w:kern w:val="0"/>
          <w:szCs w:val="21"/>
          <w:highlight w:val="none"/>
        </w:rPr>
        <w:t>采购人应当自收到评审报告之日起5个工作日内在评审报告推荐的中标候选人中按顺序确定中标人。若排名第一的中标候选人放弃中标（成交），或者因不可抗力不能履行合同，或者被查实存在影响中标结果的违法行为等情形、不符合成交条件的，采购人可以按照评标委员会提出的中标候选人名单排序依次确定其他中标候选人为中标人，也可以重新采购。</w:t>
      </w:r>
    </w:p>
    <w:p w14:paraId="4E7EFDBD">
      <w:pPr>
        <w:adjustRightInd w:val="0"/>
        <w:snapToGrid w:val="0"/>
        <w:spacing w:line="440" w:lineRule="exact"/>
        <w:ind w:firstLine="422" w:firstLineChars="200"/>
        <w:outlineLvl w:val="3"/>
        <w:rPr>
          <w:rFonts w:ascii="宋体" w:hAnsi="宋体" w:cs="宋体"/>
          <w:b/>
          <w:color w:val="auto"/>
          <w:szCs w:val="21"/>
          <w:highlight w:val="none"/>
        </w:rPr>
      </w:pPr>
      <w:r>
        <w:rPr>
          <w:rFonts w:hint="eastAsia" w:ascii="宋体" w:hAnsi="宋体" w:cs="宋体"/>
          <w:b/>
          <w:color w:val="auto"/>
          <w:szCs w:val="21"/>
          <w:highlight w:val="none"/>
        </w:rPr>
        <w:t>7.2 中标</w:t>
      </w:r>
      <w:bookmarkEnd w:id="142"/>
      <w:r>
        <w:rPr>
          <w:rFonts w:hint="eastAsia" w:ascii="宋体" w:hAnsi="宋体" w:cs="宋体"/>
          <w:b/>
          <w:color w:val="auto"/>
          <w:szCs w:val="21"/>
          <w:highlight w:val="none"/>
        </w:rPr>
        <w:t>公告</w:t>
      </w:r>
    </w:p>
    <w:p w14:paraId="12964DCF">
      <w:pPr>
        <w:adjustRightInd w:val="0"/>
        <w:snapToGrid w:val="0"/>
        <w:spacing w:line="440" w:lineRule="exact"/>
        <w:ind w:firstLine="420" w:firstLineChars="200"/>
        <w:rPr>
          <w:rFonts w:ascii="宋体" w:hAnsi="宋体" w:cs="宋体"/>
          <w:color w:val="auto"/>
          <w:kern w:val="0"/>
          <w:szCs w:val="21"/>
          <w:highlight w:val="none"/>
        </w:rPr>
      </w:pPr>
      <w:bookmarkStart w:id="143" w:name="_Toc15022"/>
      <w:bookmarkStart w:id="144" w:name="_Toc357522223"/>
      <w:r>
        <w:rPr>
          <w:rFonts w:hint="eastAsia" w:ascii="宋体" w:hAnsi="宋体" w:cs="宋体"/>
          <w:color w:val="auto"/>
          <w:kern w:val="0"/>
          <w:szCs w:val="21"/>
          <w:highlight w:val="none"/>
        </w:rPr>
        <w:t>7.2.1采购人或者采购代理机构应当自中标人确定之日起2个工作日内，在省级以上财政部门指定的媒体上公告中标结果，中标公告期限为1个工作日。</w:t>
      </w:r>
    </w:p>
    <w:p w14:paraId="4BF4B385">
      <w:pPr>
        <w:pStyle w:val="67"/>
        <w:snapToGrid w:val="0"/>
        <w:spacing w:before="0" w:after="0" w:line="440" w:lineRule="exact"/>
        <w:ind w:firstLine="420" w:firstLineChars="200"/>
        <w:jc w:val="left"/>
        <w:outlineLvl w:val="9"/>
        <w:rPr>
          <w:rFonts w:hAnsi="宋体"/>
          <w:b w:val="0"/>
          <w:bCs w:val="0"/>
          <w:color w:val="auto"/>
          <w:sz w:val="21"/>
          <w:szCs w:val="21"/>
          <w:highlight w:val="none"/>
        </w:rPr>
      </w:pPr>
      <w:bookmarkStart w:id="145" w:name="_Toc7170"/>
      <w:r>
        <w:rPr>
          <w:rFonts w:hint="eastAsia" w:hAnsi="宋体"/>
          <w:b w:val="0"/>
          <w:bCs w:val="0"/>
          <w:color w:val="auto"/>
          <w:sz w:val="21"/>
          <w:szCs w:val="21"/>
          <w:highlight w:val="none"/>
        </w:rPr>
        <w:t>7.2.2 投标人对中标结果有疑义的，在中标公告期限届满之日起七个工作日内，按本须知前附表10.8款接收质疑函的方式以书面形式一次性提出对中标结果的质疑。但须对投诉和质疑内容的真实性承担责任。</w:t>
      </w:r>
      <w:bookmarkEnd w:id="145"/>
    </w:p>
    <w:p w14:paraId="76AABB78">
      <w:pPr>
        <w:adjustRightInd w:val="0"/>
        <w:snapToGrid w:val="0"/>
        <w:spacing w:line="440" w:lineRule="exact"/>
        <w:ind w:firstLine="422" w:firstLineChars="200"/>
        <w:jc w:val="left"/>
        <w:outlineLvl w:val="3"/>
        <w:rPr>
          <w:rFonts w:ascii="宋体" w:hAnsi="宋体" w:cs="宋体"/>
          <w:b/>
          <w:bCs/>
          <w:color w:val="auto"/>
          <w:szCs w:val="21"/>
          <w:highlight w:val="none"/>
        </w:rPr>
      </w:pPr>
      <w:r>
        <w:rPr>
          <w:rFonts w:hint="eastAsia" w:ascii="宋体" w:hAnsi="宋体" w:cs="宋体"/>
          <w:b/>
          <w:bCs/>
          <w:color w:val="auto"/>
          <w:szCs w:val="21"/>
          <w:highlight w:val="none"/>
        </w:rPr>
        <w:t>7.3中标通知</w:t>
      </w:r>
    </w:p>
    <w:p w14:paraId="07E95391">
      <w:pPr>
        <w:pStyle w:val="67"/>
        <w:snapToGrid w:val="0"/>
        <w:spacing w:before="0" w:after="0" w:line="440" w:lineRule="exact"/>
        <w:ind w:firstLine="420" w:firstLineChars="200"/>
        <w:jc w:val="left"/>
        <w:outlineLvl w:val="9"/>
        <w:rPr>
          <w:rFonts w:hAnsi="宋体"/>
          <w:b w:val="0"/>
          <w:bCs w:val="0"/>
          <w:color w:val="auto"/>
          <w:sz w:val="21"/>
          <w:szCs w:val="21"/>
          <w:highlight w:val="none"/>
        </w:rPr>
      </w:pPr>
      <w:bookmarkStart w:id="146" w:name="_Toc18115"/>
      <w:r>
        <w:rPr>
          <w:rFonts w:hint="eastAsia" w:hAnsi="宋体"/>
          <w:b w:val="0"/>
          <w:bCs w:val="0"/>
          <w:color w:val="auto"/>
          <w:sz w:val="21"/>
          <w:szCs w:val="21"/>
          <w:highlight w:val="none"/>
        </w:rPr>
        <w:t>7.3.1在公告中标结果的同时，采购人以书面形式向中标人发出中标通知书，同时将中标结果通知未中标的投标人。对未通过资格审查的投标人，应当告知其未通过的原因；采用综合评分法评审的，还应当告知未中标人本人的评审得分与排序。</w:t>
      </w:r>
      <w:bookmarkEnd w:id="146"/>
    </w:p>
    <w:p w14:paraId="039466DF">
      <w:pPr>
        <w:pStyle w:val="67"/>
        <w:snapToGrid w:val="0"/>
        <w:spacing w:before="0" w:after="0" w:line="440" w:lineRule="exact"/>
        <w:ind w:firstLine="420" w:firstLineChars="200"/>
        <w:jc w:val="left"/>
        <w:outlineLvl w:val="9"/>
        <w:rPr>
          <w:rFonts w:hAnsi="宋体"/>
          <w:b w:val="0"/>
          <w:bCs w:val="0"/>
          <w:color w:val="auto"/>
          <w:sz w:val="21"/>
          <w:szCs w:val="21"/>
          <w:highlight w:val="none"/>
        </w:rPr>
      </w:pPr>
      <w:bookmarkStart w:id="147" w:name="_Toc10020"/>
      <w:r>
        <w:rPr>
          <w:rFonts w:hint="eastAsia" w:hAnsi="宋体"/>
          <w:b w:val="0"/>
          <w:bCs w:val="0"/>
          <w:color w:val="auto"/>
          <w:sz w:val="21"/>
          <w:szCs w:val="21"/>
          <w:highlight w:val="none"/>
        </w:rPr>
        <w:t>7.3.2中标通知书发出后，采购人不得违法改变中标结果，中标人无正当理由不得放弃中标。</w:t>
      </w:r>
      <w:bookmarkEnd w:id="147"/>
    </w:p>
    <w:p w14:paraId="6BCF615A">
      <w:pPr>
        <w:adjustRightInd w:val="0"/>
        <w:snapToGrid w:val="0"/>
        <w:spacing w:line="440" w:lineRule="exact"/>
        <w:ind w:firstLine="422" w:firstLineChars="200"/>
        <w:jc w:val="left"/>
        <w:outlineLvl w:val="3"/>
        <w:rPr>
          <w:rFonts w:ascii="宋体" w:hAnsi="宋体" w:cs="宋体"/>
          <w:b/>
          <w:bCs/>
          <w:color w:val="auto"/>
          <w:szCs w:val="21"/>
          <w:highlight w:val="none"/>
        </w:rPr>
      </w:pPr>
      <w:r>
        <w:rPr>
          <w:rFonts w:hint="eastAsia" w:ascii="宋体" w:hAnsi="宋体" w:cs="宋体"/>
          <w:b/>
          <w:bCs/>
          <w:color w:val="auto"/>
          <w:szCs w:val="21"/>
          <w:highlight w:val="none"/>
        </w:rPr>
        <w:t>7.4 履约担保</w:t>
      </w:r>
    </w:p>
    <w:p w14:paraId="15114F45">
      <w:pPr>
        <w:pStyle w:val="67"/>
        <w:snapToGrid w:val="0"/>
        <w:spacing w:before="0" w:after="0" w:line="440" w:lineRule="exact"/>
        <w:ind w:firstLine="420" w:firstLineChars="200"/>
        <w:jc w:val="left"/>
        <w:outlineLvl w:val="9"/>
        <w:rPr>
          <w:rFonts w:hAnsi="宋体"/>
          <w:b w:val="0"/>
          <w:bCs w:val="0"/>
          <w:color w:val="auto"/>
          <w:sz w:val="21"/>
          <w:szCs w:val="21"/>
          <w:highlight w:val="none"/>
        </w:rPr>
      </w:pPr>
      <w:bookmarkStart w:id="148" w:name="_Toc6980"/>
      <w:r>
        <w:rPr>
          <w:rFonts w:hint="eastAsia" w:hAnsi="宋体"/>
          <w:b w:val="0"/>
          <w:bCs w:val="0"/>
          <w:color w:val="auto"/>
          <w:sz w:val="21"/>
          <w:szCs w:val="21"/>
          <w:highlight w:val="none"/>
        </w:rPr>
        <w:t>7.4.1 在签订合同前，中标人应按投标人须知前附表规定的金额、担保形式和招标文件第四章“合同条款及格式”规定的履约担保格式向采购人提交履约担保。</w:t>
      </w:r>
      <w:bookmarkEnd w:id="148"/>
    </w:p>
    <w:p w14:paraId="4112E914">
      <w:pPr>
        <w:pStyle w:val="67"/>
        <w:snapToGrid w:val="0"/>
        <w:spacing w:before="0" w:after="0" w:line="440" w:lineRule="exact"/>
        <w:ind w:firstLine="420" w:firstLineChars="200"/>
        <w:jc w:val="left"/>
        <w:outlineLvl w:val="9"/>
        <w:rPr>
          <w:rFonts w:hAnsi="宋体"/>
          <w:b w:val="0"/>
          <w:bCs w:val="0"/>
          <w:color w:val="auto"/>
          <w:sz w:val="21"/>
          <w:szCs w:val="21"/>
          <w:highlight w:val="none"/>
        </w:rPr>
      </w:pPr>
      <w:bookmarkStart w:id="149" w:name="_Toc6537"/>
      <w:r>
        <w:rPr>
          <w:rFonts w:hint="eastAsia" w:hAnsi="宋体"/>
          <w:b w:val="0"/>
          <w:bCs w:val="0"/>
          <w:color w:val="auto"/>
          <w:sz w:val="21"/>
          <w:szCs w:val="21"/>
          <w:highlight w:val="none"/>
        </w:rPr>
        <w:t>7.4.2 中标人不能按本章第 7.4.1 项要求提交履约担保的，视为放弃中标，给采购人造成损失的，中标人应当予以赔偿。</w:t>
      </w:r>
      <w:bookmarkEnd w:id="149"/>
    </w:p>
    <w:bookmarkEnd w:id="143"/>
    <w:bookmarkEnd w:id="144"/>
    <w:p w14:paraId="6BE1F0CD">
      <w:pPr>
        <w:adjustRightInd w:val="0"/>
        <w:snapToGrid w:val="0"/>
        <w:spacing w:line="440" w:lineRule="exact"/>
        <w:ind w:firstLine="422" w:firstLineChars="200"/>
        <w:outlineLvl w:val="3"/>
        <w:rPr>
          <w:rFonts w:ascii="宋体" w:hAnsi="宋体" w:cs="宋体"/>
          <w:b/>
          <w:color w:val="auto"/>
          <w:szCs w:val="21"/>
          <w:highlight w:val="none"/>
        </w:rPr>
      </w:pPr>
      <w:bookmarkStart w:id="150" w:name="_Toc5133"/>
      <w:r>
        <w:rPr>
          <w:rFonts w:hint="eastAsia" w:ascii="宋体" w:hAnsi="宋体" w:cs="宋体"/>
          <w:b/>
          <w:color w:val="auto"/>
          <w:szCs w:val="21"/>
          <w:highlight w:val="none"/>
        </w:rPr>
        <w:t>7.5签订合同</w:t>
      </w:r>
      <w:bookmarkEnd w:id="150"/>
    </w:p>
    <w:p w14:paraId="2F2D14CA">
      <w:pPr>
        <w:adjustRightInd w:val="0"/>
        <w:snapToGrid w:val="0"/>
        <w:spacing w:line="440" w:lineRule="exact"/>
        <w:ind w:firstLine="420" w:firstLineChars="200"/>
        <w:rPr>
          <w:rFonts w:ascii="宋体" w:hAnsi="宋体" w:cs="宋体"/>
          <w:color w:val="auto"/>
          <w:kern w:val="0"/>
          <w:szCs w:val="21"/>
          <w:highlight w:val="none"/>
        </w:rPr>
      </w:pPr>
      <w:bookmarkStart w:id="151" w:name="_Toc323212714"/>
      <w:bookmarkStart w:id="152" w:name="_Toc214173888"/>
      <w:bookmarkStart w:id="153" w:name="_Toc281837633"/>
      <w:bookmarkStart w:id="154" w:name="_Toc345178454"/>
      <w:bookmarkStart w:id="155" w:name="_Toc184635080"/>
      <w:r>
        <w:rPr>
          <w:rFonts w:hint="eastAsia" w:ascii="宋体" w:hAnsi="宋体" w:cs="宋体"/>
          <w:color w:val="auto"/>
          <w:kern w:val="0"/>
          <w:szCs w:val="21"/>
          <w:highlight w:val="none"/>
        </w:rPr>
        <w:t>7.3.1采购人应在中标通知书发出之日起</w:t>
      </w:r>
      <w:r>
        <w:rPr>
          <w:rFonts w:hint="eastAsia" w:ascii="宋体" w:hAnsi="宋体" w:cs="宋体"/>
          <w:b/>
          <w:bCs/>
          <w:color w:val="auto"/>
          <w:kern w:val="0"/>
          <w:szCs w:val="21"/>
          <w:highlight w:val="none"/>
        </w:rPr>
        <w:t>15</w:t>
      </w:r>
      <w:r>
        <w:rPr>
          <w:rFonts w:hint="eastAsia" w:ascii="宋体" w:hAnsi="宋体" w:cs="宋体"/>
          <w:color w:val="auto"/>
          <w:kern w:val="0"/>
          <w:szCs w:val="21"/>
          <w:highlight w:val="none"/>
        </w:rPr>
        <w:t>日内与中标人签订政府采购合同。</w:t>
      </w:r>
    </w:p>
    <w:p w14:paraId="6CCF07B5">
      <w:pPr>
        <w:adjustRightInd w:val="0"/>
        <w:snapToGrid w:val="0"/>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7.3.2 中标人无正当理由拒签合同、在签订合同时向采购人提出附加条件，或者不按照招标文件要求提交履约保证金</w:t>
      </w:r>
      <w:r>
        <w:rPr>
          <w:rFonts w:hint="eastAsia" w:ascii="宋体" w:hAnsi="宋体" w:cs="宋体"/>
          <w:color w:val="auto"/>
          <w:kern w:val="0"/>
          <w:szCs w:val="21"/>
          <w:highlight w:val="none"/>
          <w:lang w:eastAsia="zh-CN"/>
        </w:rPr>
        <w:t>（银行保函）</w:t>
      </w:r>
      <w:r>
        <w:rPr>
          <w:rFonts w:hint="eastAsia" w:ascii="宋体" w:hAnsi="宋体" w:cs="宋体"/>
          <w:color w:val="auto"/>
          <w:kern w:val="0"/>
          <w:szCs w:val="21"/>
          <w:highlight w:val="none"/>
        </w:rPr>
        <w:t>的，采购人有权取消其中标资格，中标投标人须按投标保证承诺书内容向采购人和采购代理机构支付赔偿；采购人可以按照评标报告推荐的中标候选人排序，确定排名下一位的中标候选人为中标投标人，也可以重新开展采购活动。当出现法规规定的中标无效或中标结果无效情形时，采购人可与排名下一位的中标候选人另行签订合同，或依法重新开展采购活动。</w:t>
      </w:r>
    </w:p>
    <w:p w14:paraId="6C7234D8">
      <w:pPr>
        <w:adjustRightInd w:val="0"/>
        <w:snapToGrid w:val="0"/>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7.3.3 发出中标通知书后，采购人无正当理由拒签合同的，给中标人造成损失的，应当赔偿损失。</w:t>
      </w:r>
    </w:p>
    <w:p w14:paraId="32F298E4">
      <w:pPr>
        <w:pStyle w:val="3"/>
        <w:keepNext w:val="0"/>
        <w:keepLines w:val="0"/>
        <w:snapToGrid w:val="0"/>
        <w:spacing w:before="0" w:after="0" w:line="440" w:lineRule="exact"/>
        <w:ind w:firstLine="422" w:firstLineChars="200"/>
        <w:jc w:val="left"/>
        <w:rPr>
          <w:color w:val="auto"/>
          <w:sz w:val="21"/>
          <w:szCs w:val="21"/>
          <w:highlight w:val="none"/>
        </w:rPr>
      </w:pPr>
      <w:bookmarkStart w:id="156" w:name="_Toc27298"/>
      <w:bookmarkStart w:id="157" w:name="_Toc1062720310"/>
      <w:bookmarkStart w:id="158" w:name="_Toc32636"/>
      <w:bookmarkStart w:id="159" w:name="_Toc25993"/>
      <w:bookmarkStart w:id="160" w:name="_Toc30289"/>
      <w:r>
        <w:rPr>
          <w:rFonts w:hint="eastAsia"/>
          <w:color w:val="auto"/>
          <w:sz w:val="21"/>
          <w:szCs w:val="21"/>
          <w:highlight w:val="none"/>
        </w:rPr>
        <w:t>8.</w:t>
      </w:r>
      <w:bookmarkEnd w:id="151"/>
      <w:bookmarkEnd w:id="152"/>
      <w:bookmarkEnd w:id="153"/>
      <w:bookmarkEnd w:id="154"/>
      <w:bookmarkEnd w:id="156"/>
      <w:r>
        <w:rPr>
          <w:rFonts w:hint="eastAsia"/>
          <w:color w:val="auto"/>
          <w:sz w:val="21"/>
          <w:szCs w:val="21"/>
          <w:highlight w:val="none"/>
        </w:rPr>
        <w:t>废标和重新招标</w:t>
      </w:r>
      <w:bookmarkEnd w:id="157"/>
      <w:bookmarkEnd w:id="158"/>
      <w:bookmarkEnd w:id="159"/>
      <w:bookmarkEnd w:id="160"/>
    </w:p>
    <w:p w14:paraId="150D1625">
      <w:pPr>
        <w:adjustRightInd w:val="0"/>
        <w:snapToGrid w:val="0"/>
        <w:spacing w:line="440" w:lineRule="exact"/>
        <w:ind w:firstLine="422" w:firstLineChars="200"/>
        <w:outlineLvl w:val="3"/>
        <w:rPr>
          <w:rFonts w:ascii="宋体" w:hAnsi="宋体" w:cs="宋体"/>
          <w:b/>
          <w:color w:val="auto"/>
          <w:szCs w:val="21"/>
          <w:highlight w:val="none"/>
        </w:rPr>
      </w:pPr>
      <w:bookmarkStart w:id="161" w:name="_Toc323212715"/>
      <w:bookmarkStart w:id="162" w:name="_Toc24071"/>
      <w:bookmarkStart w:id="163" w:name="_Toc281837634"/>
      <w:r>
        <w:rPr>
          <w:rFonts w:hint="eastAsia" w:ascii="宋体" w:hAnsi="宋体" w:cs="宋体"/>
          <w:b/>
          <w:color w:val="auto"/>
          <w:szCs w:val="21"/>
          <w:highlight w:val="none"/>
        </w:rPr>
        <w:t xml:space="preserve">8.1  </w:t>
      </w:r>
      <w:bookmarkEnd w:id="161"/>
      <w:bookmarkEnd w:id="162"/>
      <w:bookmarkEnd w:id="163"/>
      <w:bookmarkStart w:id="164" w:name="_Toc345178455"/>
      <w:bookmarkStart w:id="165" w:name="_Toc214173889"/>
      <w:bookmarkStart w:id="166" w:name="_Toc281837636"/>
      <w:bookmarkStart w:id="167" w:name="_Toc323212717"/>
      <w:r>
        <w:rPr>
          <w:rFonts w:hint="eastAsia" w:ascii="宋体" w:hAnsi="宋体" w:cs="宋体"/>
          <w:b/>
          <w:color w:val="auto"/>
          <w:szCs w:val="21"/>
          <w:highlight w:val="none"/>
        </w:rPr>
        <w:t xml:space="preserve">有出现下列情形之一，将导致项目废标： </w:t>
      </w:r>
    </w:p>
    <w:p w14:paraId="005BBE35">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（1）符合专业条件的投标人或者对招标文件做实质性响应的投标人不足三家；</w:t>
      </w:r>
    </w:p>
    <w:p w14:paraId="4CC0DC40">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（2）出现影响采购公正的违法、违规行为的；</w:t>
      </w:r>
    </w:p>
    <w:p w14:paraId="0032C8EA">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（3）投标人的报价均超过了采购预算，采购人不能支付的；</w:t>
      </w:r>
    </w:p>
    <w:p w14:paraId="46616FD3">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（4）因重大变故，采购任务取消的。</w:t>
      </w:r>
    </w:p>
    <w:p w14:paraId="1D3ADDF6">
      <w:pPr>
        <w:adjustRightInd w:val="0"/>
        <w:snapToGrid w:val="0"/>
        <w:spacing w:line="440" w:lineRule="exact"/>
        <w:ind w:firstLine="422" w:firstLineChars="200"/>
        <w:outlineLvl w:val="3"/>
        <w:rPr>
          <w:rFonts w:ascii="宋体" w:hAnsi="宋体" w:cs="宋体"/>
          <w:b/>
          <w:color w:val="auto"/>
          <w:szCs w:val="21"/>
          <w:highlight w:val="none"/>
        </w:rPr>
      </w:pPr>
      <w:r>
        <w:rPr>
          <w:rFonts w:hint="eastAsia" w:ascii="宋体" w:hAnsi="宋体" w:cs="宋体"/>
          <w:b/>
          <w:color w:val="auto"/>
          <w:szCs w:val="21"/>
          <w:highlight w:val="none"/>
        </w:rPr>
        <w:t xml:space="preserve">8.2  重新招标 </w:t>
      </w:r>
    </w:p>
    <w:p w14:paraId="482993DF">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废标后，除采购任务取消情形外，应当重新组织招标。需要采取其他方式采购的，应当在采购活动开始前获得设区的市、自治州以上人民政府采购监督管理部门或者政府有关部门批准。</w:t>
      </w:r>
    </w:p>
    <w:p w14:paraId="574423E6">
      <w:pPr>
        <w:pStyle w:val="3"/>
        <w:keepNext w:val="0"/>
        <w:keepLines w:val="0"/>
        <w:snapToGrid w:val="0"/>
        <w:spacing w:before="0" w:after="0" w:line="440" w:lineRule="exact"/>
        <w:ind w:firstLine="422" w:firstLineChars="200"/>
        <w:jc w:val="left"/>
        <w:rPr>
          <w:color w:val="auto"/>
          <w:sz w:val="21"/>
          <w:szCs w:val="21"/>
          <w:highlight w:val="none"/>
        </w:rPr>
      </w:pPr>
      <w:bookmarkStart w:id="168" w:name="_Toc6477"/>
      <w:bookmarkStart w:id="169" w:name="_Toc24859"/>
      <w:bookmarkStart w:id="170" w:name="_Toc28816"/>
      <w:bookmarkStart w:id="171" w:name="_Toc25623"/>
      <w:bookmarkStart w:id="172" w:name="_Toc518758071"/>
      <w:r>
        <w:rPr>
          <w:rFonts w:hint="eastAsia"/>
          <w:color w:val="auto"/>
          <w:sz w:val="21"/>
          <w:szCs w:val="21"/>
          <w:highlight w:val="none"/>
        </w:rPr>
        <w:t>9.纪律和监督</w:t>
      </w:r>
      <w:bookmarkEnd w:id="164"/>
      <w:bookmarkEnd w:id="165"/>
      <w:bookmarkEnd w:id="166"/>
      <w:bookmarkEnd w:id="167"/>
      <w:bookmarkEnd w:id="168"/>
      <w:bookmarkEnd w:id="169"/>
      <w:bookmarkEnd w:id="170"/>
      <w:bookmarkEnd w:id="171"/>
      <w:bookmarkEnd w:id="172"/>
    </w:p>
    <w:p w14:paraId="60DBBC71">
      <w:pPr>
        <w:adjustRightInd w:val="0"/>
        <w:snapToGrid w:val="0"/>
        <w:spacing w:line="440" w:lineRule="exact"/>
        <w:ind w:firstLine="422" w:firstLineChars="200"/>
        <w:outlineLvl w:val="3"/>
        <w:rPr>
          <w:rFonts w:ascii="宋体" w:hAnsi="宋体" w:cs="宋体"/>
          <w:b/>
          <w:color w:val="auto"/>
          <w:szCs w:val="21"/>
          <w:highlight w:val="none"/>
        </w:rPr>
      </w:pPr>
      <w:bookmarkStart w:id="173" w:name="_Toc281837637"/>
      <w:bookmarkStart w:id="174" w:name="_Toc11700"/>
      <w:bookmarkStart w:id="175" w:name="_Toc323212718"/>
      <w:r>
        <w:rPr>
          <w:rFonts w:hint="eastAsia" w:ascii="宋体" w:hAnsi="宋体" w:cs="宋体"/>
          <w:b/>
          <w:color w:val="auto"/>
          <w:szCs w:val="21"/>
          <w:highlight w:val="none"/>
        </w:rPr>
        <w:t>9.1 对采购人的纪律要求</w:t>
      </w:r>
      <w:bookmarkEnd w:id="173"/>
      <w:bookmarkEnd w:id="174"/>
      <w:bookmarkEnd w:id="175"/>
    </w:p>
    <w:p w14:paraId="7F9173F7">
      <w:pPr>
        <w:adjustRightInd w:val="0"/>
        <w:snapToGrid w:val="0"/>
        <w:spacing w:line="440" w:lineRule="exact"/>
        <w:ind w:firstLine="420" w:firstLineChars="200"/>
        <w:rPr>
          <w:rFonts w:ascii="宋体" w:hAnsi="宋体" w:cs="宋体"/>
          <w:color w:val="auto"/>
          <w:szCs w:val="21"/>
          <w:highlight w:val="none"/>
        </w:rPr>
      </w:pPr>
      <w:bookmarkStart w:id="176" w:name="_Toc256690965"/>
      <w:bookmarkStart w:id="177" w:name="_Toc256694841"/>
      <w:bookmarkStart w:id="178" w:name="_Toc281837638"/>
      <w:bookmarkStart w:id="179" w:name="_Toc323212719"/>
      <w:r>
        <w:rPr>
          <w:rFonts w:hint="eastAsia" w:ascii="宋体" w:hAnsi="宋体" w:cs="宋体"/>
          <w:color w:val="auto"/>
          <w:szCs w:val="21"/>
          <w:highlight w:val="none"/>
        </w:rPr>
        <w:t>采购人不得泄漏招标投标活动中应当保密的情况和资料，不得与投标人串通损害国家利益、社会公共利益或者他人合法权益。</w:t>
      </w:r>
      <w:bookmarkEnd w:id="176"/>
      <w:bookmarkEnd w:id="177"/>
    </w:p>
    <w:p w14:paraId="55ED515B">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有下列情形之一的，属于采购人与投标人串通投标：</w:t>
      </w:r>
    </w:p>
    <w:p w14:paraId="062D846B">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（一）采购人在开标前开启投标文件并将有关信息泄露给其他投标人；</w:t>
      </w:r>
    </w:p>
    <w:p w14:paraId="1EAE9FE8">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（二）采购人直接或者间接向投标人泄露标底、评标委员会成员等信息；</w:t>
      </w:r>
    </w:p>
    <w:p w14:paraId="2D883728">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（三）采购人明示或者暗示投标人压低或者抬高投标报价；</w:t>
      </w:r>
    </w:p>
    <w:p w14:paraId="01875976">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（四）采购人授意投标人撤换、修改投标文件；</w:t>
      </w:r>
    </w:p>
    <w:p w14:paraId="0C16F842">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（五）采购人明示或者暗示投标人为特定投标人中标提供方便；</w:t>
      </w:r>
    </w:p>
    <w:p w14:paraId="62CB9CC5">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（六）采购人与投标人为谋求特定投标人中标而采取的其他串通行为。</w:t>
      </w:r>
    </w:p>
    <w:p w14:paraId="3C43A2C5">
      <w:pPr>
        <w:adjustRightInd w:val="0"/>
        <w:snapToGrid w:val="0"/>
        <w:spacing w:line="440" w:lineRule="exact"/>
        <w:ind w:firstLine="422" w:firstLineChars="200"/>
        <w:outlineLvl w:val="3"/>
        <w:rPr>
          <w:rFonts w:ascii="宋体" w:hAnsi="宋体" w:cs="宋体"/>
          <w:b/>
          <w:color w:val="auto"/>
          <w:szCs w:val="21"/>
          <w:highlight w:val="none"/>
        </w:rPr>
      </w:pPr>
      <w:bookmarkStart w:id="180" w:name="_Toc13183"/>
      <w:r>
        <w:rPr>
          <w:rFonts w:hint="eastAsia" w:ascii="宋体" w:hAnsi="宋体" w:cs="宋体"/>
          <w:b/>
          <w:color w:val="auto"/>
          <w:szCs w:val="21"/>
          <w:highlight w:val="none"/>
        </w:rPr>
        <w:t>9.2 对投标人的纪律要求</w:t>
      </w:r>
      <w:bookmarkEnd w:id="178"/>
      <w:bookmarkEnd w:id="179"/>
      <w:bookmarkEnd w:id="180"/>
    </w:p>
    <w:p w14:paraId="3CE95815">
      <w:pPr>
        <w:adjustRightInd w:val="0"/>
        <w:snapToGrid w:val="0"/>
        <w:spacing w:line="440" w:lineRule="exact"/>
        <w:ind w:firstLine="420" w:firstLineChars="200"/>
        <w:rPr>
          <w:rFonts w:ascii="宋体" w:hAnsi="宋体" w:cs="宋体"/>
          <w:color w:val="auto"/>
          <w:szCs w:val="21"/>
          <w:highlight w:val="none"/>
        </w:rPr>
      </w:pPr>
      <w:bookmarkStart w:id="181" w:name="_Toc256694849"/>
      <w:bookmarkStart w:id="182" w:name="_Toc256690973"/>
      <w:bookmarkStart w:id="183" w:name="_Toc281837639"/>
      <w:bookmarkStart w:id="184" w:name="_Toc323212720"/>
      <w:r>
        <w:rPr>
          <w:rFonts w:hint="eastAsia" w:ascii="宋体" w:hAnsi="宋体" w:cs="宋体"/>
          <w:color w:val="auto"/>
          <w:szCs w:val="21"/>
          <w:highlight w:val="none"/>
        </w:rPr>
        <w:t>投标人不得相互串通投标或者与采购人串通投标，不得向采购人或者评标委员会成员行贿谋取中标，不得以他人名义投标或者以其他方式弄虚作假骗取中标；投标人不得以任何方式干扰、影响评标工作。</w:t>
      </w:r>
      <w:bookmarkEnd w:id="181"/>
      <w:bookmarkEnd w:id="182"/>
    </w:p>
    <w:p w14:paraId="05D8F567">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9.2.1 有下列情形之一的，属于投标人相互串通投标：</w:t>
      </w:r>
    </w:p>
    <w:p w14:paraId="3AE0D25D">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（1）投标人之间协商投标报价等投标文件的实质性内容；</w:t>
      </w:r>
    </w:p>
    <w:p w14:paraId="1BB02B66">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（2）投标人之间约定中标人；</w:t>
      </w:r>
    </w:p>
    <w:p w14:paraId="2010A172">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（3）投标人之间约定部分投标人放弃投标或者中标；</w:t>
      </w:r>
    </w:p>
    <w:p w14:paraId="0D5C6DD0">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（4）属于同一集团、协会、商会等组织成员的投标人按照该组织要求协同投标；</w:t>
      </w:r>
    </w:p>
    <w:p w14:paraId="2FBCDE23">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（5）投标人之间为谋取中标或者排斥特定投标人而采取的其他联合行动。</w:t>
      </w:r>
    </w:p>
    <w:p w14:paraId="7EC62D18">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9.2.2 有下列情形之一的，视为投标人相互串通投标：</w:t>
      </w:r>
    </w:p>
    <w:p w14:paraId="47D0BAD7">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（一）不同供应商的电子投标（响应）文件上传计算机的网卡MAC地址、CPU序列号和硬盘序列号等硬件信息相同的；</w:t>
      </w:r>
    </w:p>
    <w:p w14:paraId="0457A7DF">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（二）不同供应商的投标（响应）文件由同一电子设备编制、打印加密或者上传；</w:t>
      </w:r>
    </w:p>
    <w:p w14:paraId="77FE50F4">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（三）不同供应商的投标（响应）文件由同一电子设备打印、复印；</w:t>
      </w:r>
    </w:p>
    <w:p w14:paraId="57ABF04F">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（四）不同供应商的投标（响应）文件由同一人送达或者分发，或者不同供应商联系人为同一人或不同联系人的联系电话一致的；</w:t>
      </w:r>
    </w:p>
    <w:p w14:paraId="1DDB8384">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（五）不同供应商的投标（响应）文件的内容存在两处以上细节错误一致；</w:t>
      </w:r>
    </w:p>
    <w:p w14:paraId="6E986FEB">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（六）不同供应商的法定代表人、委托代理人、项目经理、项目负责人等由同一个单位缴纳社会保险或者领取报酬的；</w:t>
      </w:r>
    </w:p>
    <w:p w14:paraId="6B64D86E">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（七）不同供应商投标（响应）文件中法定代表人或者负责人签字出自同一人之手；</w:t>
      </w:r>
    </w:p>
    <w:p w14:paraId="172275EA">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（八）其它涉嫌串通的情形。</w:t>
      </w:r>
    </w:p>
    <w:p w14:paraId="68625F3E">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9.2.3 有下列情形之一的，属于以他人名义投标：</w:t>
      </w:r>
    </w:p>
    <w:p w14:paraId="58EDFECE">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（1）使用通过受让或者租借等方式获取的资格、资质证书投标的。</w:t>
      </w:r>
    </w:p>
    <w:p w14:paraId="474BED0F">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9.2.4 有下列情形之一的，属于以其他方式弄虚作假的行为：</w:t>
      </w:r>
    </w:p>
    <w:p w14:paraId="20B7FD20">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（1）使用伪造、变造的许可证件；</w:t>
      </w:r>
    </w:p>
    <w:p w14:paraId="479E0F46">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（2）提供虚假的财务状况或者业绩；</w:t>
      </w:r>
    </w:p>
    <w:p w14:paraId="4003ECF2">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（3）提供虚假的信用状况；</w:t>
      </w:r>
    </w:p>
    <w:p w14:paraId="7CB7AB3F">
      <w:pPr>
        <w:pStyle w:val="15"/>
        <w:adjustRightInd w:val="0"/>
        <w:snapToGrid w:val="0"/>
        <w:spacing w:line="440" w:lineRule="exact"/>
        <w:ind w:firstLine="420" w:firstLineChars="200"/>
        <w:rPr>
          <w:rFonts w:cs="宋体"/>
          <w:color w:val="auto"/>
          <w:sz w:val="21"/>
          <w:szCs w:val="21"/>
          <w:highlight w:val="none"/>
        </w:rPr>
      </w:pPr>
      <w:r>
        <w:rPr>
          <w:rFonts w:hint="eastAsia" w:cs="宋体"/>
          <w:color w:val="auto"/>
          <w:sz w:val="21"/>
          <w:szCs w:val="21"/>
          <w:highlight w:val="none"/>
        </w:rPr>
        <w:t>（4）提供虚假材料谋取中标、成交的，中标、成交无效；</w:t>
      </w:r>
    </w:p>
    <w:p w14:paraId="75ED2B45">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（5）其他弄虚作假的行为。</w:t>
      </w:r>
    </w:p>
    <w:p w14:paraId="561C5EBA">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9.2.5 投标人提供虚假材料谋取中标的，中标无效。并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2312E44B">
      <w:pPr>
        <w:adjustRightInd w:val="0"/>
        <w:snapToGrid w:val="0"/>
        <w:spacing w:line="440" w:lineRule="exact"/>
        <w:ind w:firstLine="422" w:firstLineChars="200"/>
        <w:outlineLvl w:val="3"/>
        <w:rPr>
          <w:rFonts w:ascii="宋体" w:hAnsi="宋体" w:cs="宋体"/>
          <w:b/>
          <w:color w:val="auto"/>
          <w:szCs w:val="21"/>
          <w:highlight w:val="none"/>
        </w:rPr>
      </w:pPr>
      <w:bookmarkStart w:id="185" w:name="_Toc13930"/>
      <w:r>
        <w:rPr>
          <w:rFonts w:hint="eastAsia" w:ascii="宋体" w:hAnsi="宋体" w:cs="宋体"/>
          <w:b/>
          <w:color w:val="auto"/>
          <w:szCs w:val="21"/>
          <w:highlight w:val="none"/>
        </w:rPr>
        <w:t>9.3 对评标委员会成员的纪律要求</w:t>
      </w:r>
      <w:bookmarkEnd w:id="183"/>
      <w:bookmarkEnd w:id="184"/>
      <w:bookmarkEnd w:id="185"/>
    </w:p>
    <w:p w14:paraId="4D1AE72E">
      <w:pPr>
        <w:adjustRightInd w:val="0"/>
        <w:snapToGrid w:val="0"/>
        <w:spacing w:line="440" w:lineRule="exact"/>
        <w:ind w:firstLine="420" w:firstLineChars="200"/>
        <w:rPr>
          <w:rFonts w:ascii="宋体" w:hAnsi="宋体" w:cs="宋体"/>
          <w:color w:val="auto"/>
          <w:szCs w:val="21"/>
          <w:highlight w:val="none"/>
        </w:rPr>
      </w:pPr>
      <w:bookmarkStart w:id="186" w:name="_Toc281837640"/>
      <w:bookmarkStart w:id="187" w:name="_Toc323212721"/>
      <w:r>
        <w:rPr>
          <w:rFonts w:hint="eastAsia" w:ascii="宋体" w:hAnsi="宋体" w:cs="宋体"/>
          <w:color w:val="auto"/>
          <w:szCs w:val="21"/>
          <w:highlight w:val="none"/>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及标准”没有规定的评审因素和标准进行评标。</w:t>
      </w:r>
    </w:p>
    <w:p w14:paraId="77A8D635">
      <w:pPr>
        <w:adjustRightInd w:val="0"/>
        <w:snapToGrid w:val="0"/>
        <w:spacing w:line="440" w:lineRule="exact"/>
        <w:ind w:firstLine="422" w:firstLineChars="200"/>
        <w:outlineLvl w:val="3"/>
        <w:rPr>
          <w:rFonts w:ascii="宋体" w:hAnsi="宋体" w:cs="宋体"/>
          <w:b/>
          <w:color w:val="auto"/>
          <w:szCs w:val="21"/>
          <w:highlight w:val="none"/>
        </w:rPr>
      </w:pPr>
      <w:bookmarkStart w:id="188" w:name="_Toc31797"/>
      <w:r>
        <w:rPr>
          <w:rFonts w:hint="eastAsia" w:ascii="宋体" w:hAnsi="宋体" w:cs="宋体"/>
          <w:b/>
          <w:color w:val="auto"/>
          <w:szCs w:val="21"/>
          <w:highlight w:val="none"/>
        </w:rPr>
        <w:t>9.4 对与评标活动有关的工作人员的纪律要求</w:t>
      </w:r>
      <w:bookmarkEnd w:id="186"/>
      <w:bookmarkEnd w:id="187"/>
      <w:bookmarkEnd w:id="188"/>
    </w:p>
    <w:p w14:paraId="3FBE3E0B">
      <w:pPr>
        <w:adjustRightInd w:val="0"/>
        <w:snapToGrid w:val="0"/>
        <w:spacing w:line="440" w:lineRule="exact"/>
        <w:ind w:firstLine="420" w:firstLineChars="200"/>
        <w:rPr>
          <w:rFonts w:ascii="宋体" w:hAnsi="宋体" w:cs="宋体"/>
          <w:color w:val="auto"/>
          <w:szCs w:val="21"/>
          <w:highlight w:val="none"/>
        </w:rPr>
      </w:pPr>
      <w:bookmarkStart w:id="189" w:name="_Toc323212722"/>
      <w:bookmarkStart w:id="190" w:name="_Toc281837641"/>
      <w:r>
        <w:rPr>
          <w:rFonts w:hint="eastAsia" w:ascii="宋体" w:hAnsi="宋体" w:cs="宋体"/>
          <w:color w:val="auto"/>
          <w:szCs w:val="21"/>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06271F8F">
      <w:pPr>
        <w:adjustRightInd w:val="0"/>
        <w:snapToGrid w:val="0"/>
        <w:spacing w:line="440" w:lineRule="exact"/>
        <w:ind w:firstLine="422" w:firstLineChars="200"/>
        <w:outlineLvl w:val="3"/>
        <w:rPr>
          <w:rFonts w:ascii="宋体" w:hAnsi="宋体" w:cs="宋体"/>
          <w:b/>
          <w:color w:val="auto"/>
          <w:szCs w:val="21"/>
          <w:highlight w:val="none"/>
        </w:rPr>
      </w:pPr>
      <w:bookmarkStart w:id="191" w:name="_Toc23777"/>
      <w:r>
        <w:rPr>
          <w:rFonts w:hint="eastAsia" w:ascii="宋体" w:hAnsi="宋体" w:cs="宋体"/>
          <w:b/>
          <w:color w:val="auto"/>
          <w:szCs w:val="21"/>
          <w:highlight w:val="none"/>
        </w:rPr>
        <w:t>9.5 质疑</w:t>
      </w:r>
      <w:bookmarkEnd w:id="189"/>
      <w:bookmarkEnd w:id="190"/>
      <w:bookmarkEnd w:id="191"/>
      <w:r>
        <w:rPr>
          <w:rFonts w:hint="eastAsia" w:ascii="宋体" w:hAnsi="宋体" w:cs="宋体"/>
          <w:b/>
          <w:color w:val="auto"/>
          <w:szCs w:val="21"/>
          <w:highlight w:val="none"/>
        </w:rPr>
        <w:t>和投诉</w:t>
      </w:r>
    </w:p>
    <w:p w14:paraId="07730DA2">
      <w:pPr>
        <w:adjustRightInd w:val="0"/>
        <w:snapToGrid w:val="0"/>
        <w:spacing w:line="440" w:lineRule="exact"/>
        <w:ind w:firstLine="420" w:firstLineChars="200"/>
        <w:rPr>
          <w:rFonts w:ascii="宋体" w:hAnsi="宋体" w:cs="宋体"/>
          <w:color w:val="auto"/>
          <w:szCs w:val="21"/>
          <w:highlight w:val="none"/>
        </w:rPr>
      </w:pPr>
      <w:bookmarkStart w:id="192" w:name="_Toc345178456"/>
      <w:r>
        <w:rPr>
          <w:rFonts w:hint="eastAsia" w:ascii="宋体" w:hAnsi="宋体" w:cs="宋体"/>
          <w:color w:val="auto"/>
          <w:szCs w:val="21"/>
          <w:highlight w:val="none"/>
        </w:rPr>
        <w:t>（1）投标人认为招标文件、招标过程和中标结果使自己的权益受到损害的，可以在知道或者应知其权益受到损害之日起七个工作日内根据《中华人民共和国政府采购法》、《中华人民共和国政府采购法实施条例》和《政府采购质疑和投诉办法》的有关规定，依法向采购人和其委托的采购代理机构提出质疑。</w:t>
      </w:r>
    </w:p>
    <w:p w14:paraId="2311FDA0">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（2）质疑投标人应按照财政部制定的《政府采购质疑函范本》格式和《政府采购质疑和投诉办法》的要求，在法定质疑期内以书面形式一次性提出针对同一采购程序环节的质疑。</w:t>
      </w:r>
    </w:p>
    <w:p w14:paraId="3146F25C">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（3）质疑函的内容及形式应符合《政府采购质疑和投诉办法》第十二条的规定。超出法定质疑期提交的质疑将被拒绝。</w:t>
      </w:r>
    </w:p>
    <w:p w14:paraId="26276C6B">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投标人质疑应当有明确的请求和必要的证明材料（质疑人捏造事实或是提供虚假质疑材料的，属于虚假、恶意质疑，被质疑人应当驳回质疑，并向同级政府采购监督管理部门报告，核实后将其列入不良行为记录名单，并依法予以处罚），未按要求提出质疑的不予受理。</w:t>
      </w:r>
    </w:p>
    <w:p w14:paraId="5D465B25">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（5）对采购人、采购代理机构的答复不满意或者采购人、采购代理机构未在规定的时间内作出答复的，供应商可以在质疑答复期满后 15 个工作日内实名向（项目所属）同级政府采购监督管理部门投诉。</w:t>
      </w:r>
    </w:p>
    <w:p w14:paraId="46EB4379">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（6）质疑和投诉应有具体的质疑（投诉）事项和必要的证明材料或事实根据，供应商对其质疑和投诉内容的真实性及其来源的合法性承担法律责任。</w:t>
      </w:r>
    </w:p>
    <w:p w14:paraId="33FAD17E">
      <w:pPr>
        <w:adjustRightInd w:val="0"/>
        <w:snapToGrid w:val="0"/>
        <w:spacing w:line="440" w:lineRule="exact"/>
        <w:ind w:firstLine="420" w:firstLineChars="200"/>
        <w:rPr>
          <w:rFonts w:ascii="宋体" w:hAnsi="宋体" w:cs="宋体"/>
          <w:color w:val="auto"/>
          <w:szCs w:val="21"/>
          <w:highlight w:val="none"/>
        </w:rPr>
      </w:pPr>
      <w:bookmarkStart w:id="193" w:name="_Toc21753"/>
      <w:bookmarkStart w:id="194" w:name="_Toc2980"/>
      <w:bookmarkStart w:id="195" w:name="_Toc12679"/>
      <w:r>
        <w:rPr>
          <w:rFonts w:hint="eastAsia" w:ascii="宋体" w:hAnsi="宋体" w:cs="宋体"/>
          <w:color w:val="auto"/>
          <w:szCs w:val="21"/>
          <w:highlight w:val="none"/>
        </w:rPr>
        <w:t>（7）投标人知道或者应知其权益受到损害之日是指：</w:t>
      </w:r>
    </w:p>
    <w:p w14:paraId="4EC10BED">
      <w:pPr>
        <w:adjustRightInd w:val="0"/>
        <w:snapToGrid w:val="0"/>
        <w:spacing w:line="440" w:lineRule="exact"/>
        <w:ind w:firstLine="420" w:firstLineChars="200"/>
        <w:rPr>
          <w:rFonts w:ascii="宋体" w:hAnsi="宋体" w:cs="宋体"/>
          <w:color w:val="auto"/>
          <w:szCs w:val="21"/>
          <w:highlight w:val="none"/>
        </w:rPr>
      </w:pPr>
      <w:r>
        <w:rPr>
          <w:rFonts w:ascii="宋体" w:hAnsi="宋体" w:cs="宋体"/>
          <w:color w:val="auto"/>
          <w:szCs w:val="21"/>
          <w:highlight w:val="none"/>
        </w:rPr>
        <w:t>①</w:t>
      </w:r>
      <w:r>
        <w:rPr>
          <w:rFonts w:hint="eastAsia" w:ascii="宋体" w:hAnsi="宋体" w:cs="宋体"/>
          <w:color w:val="auto"/>
          <w:szCs w:val="21"/>
          <w:highlight w:val="none"/>
        </w:rPr>
        <w:t>对招标文件提出质疑的，为获取招标文件之日或者招标文件公告期限届满之日；</w:t>
      </w:r>
    </w:p>
    <w:p w14:paraId="2647A13B">
      <w:pPr>
        <w:adjustRightInd w:val="0"/>
        <w:snapToGrid w:val="0"/>
        <w:spacing w:line="440" w:lineRule="exact"/>
        <w:ind w:firstLine="420" w:firstLineChars="200"/>
        <w:rPr>
          <w:rFonts w:ascii="宋体" w:hAnsi="宋体" w:cs="宋体"/>
          <w:color w:val="auto"/>
          <w:szCs w:val="21"/>
          <w:highlight w:val="none"/>
        </w:rPr>
      </w:pPr>
      <w:r>
        <w:rPr>
          <w:rFonts w:ascii="宋体" w:hAnsi="宋体" w:cs="宋体"/>
          <w:color w:val="auto"/>
          <w:szCs w:val="21"/>
          <w:highlight w:val="none"/>
        </w:rPr>
        <w:t>②</w:t>
      </w:r>
      <w:r>
        <w:rPr>
          <w:rFonts w:hint="eastAsia" w:ascii="宋体" w:hAnsi="宋体" w:cs="宋体"/>
          <w:color w:val="auto"/>
          <w:szCs w:val="21"/>
          <w:highlight w:val="none"/>
        </w:rPr>
        <w:t>对采购过程提出质疑的，为各采购程序环节结束之日；</w:t>
      </w:r>
    </w:p>
    <w:p w14:paraId="2258C141">
      <w:pPr>
        <w:adjustRightInd w:val="0"/>
        <w:snapToGrid w:val="0"/>
        <w:spacing w:line="440" w:lineRule="exact"/>
        <w:ind w:firstLine="420" w:firstLineChars="200"/>
        <w:rPr>
          <w:rFonts w:ascii="宋体" w:hAnsi="宋体" w:cs="宋体"/>
          <w:color w:val="auto"/>
          <w:szCs w:val="21"/>
          <w:highlight w:val="none"/>
        </w:rPr>
      </w:pPr>
      <w:r>
        <w:rPr>
          <w:rFonts w:ascii="宋体" w:hAnsi="宋体" w:cs="宋体"/>
          <w:color w:val="auto"/>
          <w:szCs w:val="21"/>
          <w:highlight w:val="none"/>
        </w:rPr>
        <w:t>③</w:t>
      </w:r>
      <w:r>
        <w:rPr>
          <w:rFonts w:hint="eastAsia" w:ascii="宋体" w:hAnsi="宋体" w:cs="宋体"/>
          <w:color w:val="auto"/>
          <w:szCs w:val="21"/>
          <w:highlight w:val="none"/>
        </w:rPr>
        <w:t>对中标结果提出质疑的，为中标结果公告期限届满之日。</w:t>
      </w:r>
    </w:p>
    <w:p w14:paraId="1042EC8B">
      <w:pPr>
        <w:pStyle w:val="3"/>
        <w:keepNext w:val="0"/>
        <w:keepLines w:val="0"/>
        <w:snapToGrid w:val="0"/>
        <w:spacing w:before="0" w:after="0" w:line="440" w:lineRule="exact"/>
        <w:ind w:firstLine="422" w:firstLineChars="200"/>
        <w:jc w:val="left"/>
        <w:rPr>
          <w:color w:val="auto"/>
          <w:sz w:val="21"/>
          <w:szCs w:val="21"/>
          <w:highlight w:val="none"/>
        </w:rPr>
      </w:pPr>
      <w:bookmarkStart w:id="196" w:name="_Toc2130776124"/>
      <w:bookmarkStart w:id="197" w:name="_Toc27196"/>
      <w:r>
        <w:rPr>
          <w:rFonts w:hint="eastAsia"/>
          <w:color w:val="auto"/>
          <w:sz w:val="21"/>
          <w:szCs w:val="21"/>
          <w:highlight w:val="none"/>
        </w:rPr>
        <w:t>10.需要补充的其他内容</w:t>
      </w:r>
      <w:bookmarkEnd w:id="155"/>
      <w:bookmarkEnd w:id="192"/>
      <w:bookmarkEnd w:id="193"/>
      <w:bookmarkEnd w:id="194"/>
      <w:bookmarkEnd w:id="195"/>
      <w:bookmarkEnd w:id="196"/>
      <w:bookmarkEnd w:id="197"/>
    </w:p>
    <w:p w14:paraId="5955E492">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需要补充的其他内容：见投标人须知前附表。</w:t>
      </w:r>
    </w:p>
    <w:p w14:paraId="7919B276">
      <w:pPr>
        <w:rPr>
          <w:color w:val="auto"/>
          <w:highlight w:val="none"/>
        </w:rPr>
      </w:pPr>
      <w:r>
        <w:rPr>
          <w:rFonts w:hint="eastAsia"/>
          <w:color w:val="auto"/>
          <w:highlight w:val="none"/>
        </w:rPr>
        <w:br w:type="page"/>
      </w:r>
    </w:p>
    <w:p w14:paraId="6468104B">
      <w:pPr>
        <w:bidi w:val="0"/>
      </w:pPr>
      <w:bookmarkStart w:id="198" w:name="_Toc8078"/>
      <w:bookmarkStart w:id="199" w:name="_Toc12150"/>
      <w:r>
        <w:rPr>
          <w:rFonts w:hint="eastAsia"/>
        </w:rPr>
        <w:t xml:space="preserve"> </w:t>
      </w:r>
    </w:p>
    <w:p w14:paraId="06F41831">
      <w:pPr>
        <w:adjustRightInd w:val="0"/>
        <w:snapToGrid w:val="0"/>
        <w:spacing w:line="360" w:lineRule="auto"/>
        <w:outlineLvl w:val="3"/>
        <w:rPr>
          <w:rFonts w:ascii="宋体" w:hAnsi="宋体" w:cs="宋体"/>
          <w:color w:val="auto"/>
          <w:szCs w:val="21"/>
          <w:highlight w:val="none"/>
        </w:rPr>
      </w:pPr>
      <w:r>
        <w:rPr>
          <w:rFonts w:hint="eastAsia" w:ascii="宋体" w:hAnsi="宋体" w:cs="宋体"/>
          <w:color w:val="auto"/>
          <w:szCs w:val="21"/>
          <w:highlight w:val="none"/>
        </w:rPr>
        <w:t>附件1：河南省政府采购合同融资政策告知函</w:t>
      </w:r>
      <w:bookmarkEnd w:id="198"/>
      <w:bookmarkEnd w:id="199"/>
    </w:p>
    <w:p w14:paraId="303D28FD">
      <w:pPr>
        <w:adjustRightInd w:val="0"/>
        <w:snapToGrid w:val="0"/>
        <w:spacing w:line="360" w:lineRule="auto"/>
        <w:ind w:firstLine="422" w:firstLineChars="200"/>
        <w:jc w:val="center"/>
        <w:rPr>
          <w:rFonts w:ascii="宋体" w:hAnsi="宋体" w:cs="宋体"/>
          <w:b/>
          <w:bCs/>
          <w:color w:val="auto"/>
          <w:szCs w:val="21"/>
          <w:highlight w:val="none"/>
        </w:rPr>
      </w:pPr>
      <w:bookmarkStart w:id="200" w:name="_Toc19399"/>
      <w:bookmarkStart w:id="201" w:name="_Toc7567"/>
    </w:p>
    <w:p w14:paraId="7A2A3D6D">
      <w:pPr>
        <w:adjustRightInd w:val="0"/>
        <w:snapToGrid w:val="0"/>
        <w:spacing w:line="360" w:lineRule="auto"/>
        <w:ind w:firstLine="422" w:firstLineChars="200"/>
        <w:jc w:val="center"/>
        <w:rPr>
          <w:rFonts w:ascii="宋体" w:hAnsi="宋体" w:cs="宋体"/>
          <w:color w:val="auto"/>
          <w:szCs w:val="21"/>
          <w:highlight w:val="none"/>
        </w:rPr>
      </w:pPr>
      <w:r>
        <w:rPr>
          <w:rFonts w:hint="eastAsia" w:ascii="宋体" w:hAnsi="宋体" w:cs="宋体"/>
          <w:b/>
          <w:bCs/>
          <w:color w:val="auto"/>
          <w:szCs w:val="21"/>
          <w:highlight w:val="none"/>
        </w:rPr>
        <w:t>河南省政府采购合同融资政策告知函</w:t>
      </w:r>
      <w:bookmarkEnd w:id="200"/>
      <w:bookmarkEnd w:id="201"/>
    </w:p>
    <w:p w14:paraId="37138355">
      <w:pPr>
        <w:adjustRightInd w:val="0"/>
        <w:snapToGrid w:val="0"/>
        <w:spacing w:line="360" w:lineRule="auto"/>
        <w:ind w:firstLine="420" w:firstLineChars="200"/>
        <w:jc w:val="left"/>
        <w:rPr>
          <w:rFonts w:ascii="宋体" w:hAnsi="宋体" w:cs="宋体"/>
          <w:color w:val="auto"/>
          <w:szCs w:val="21"/>
          <w:highlight w:val="none"/>
        </w:rPr>
      </w:pPr>
    </w:p>
    <w:p w14:paraId="06D04E6B">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各投标人：</w:t>
      </w:r>
    </w:p>
    <w:p w14:paraId="706EE27A">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欢迎贵公司参与河南省政府采购活动！</w:t>
      </w:r>
    </w:p>
    <w:p w14:paraId="038CD133">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政府采购合同融资是河南省财政厅支持中小微企业发展，针对参与政府采购活动的投标人融资难、融资贵问题推出的一项融资政策。贵公司若成为本次政府采购项目的中标人，可持政府采购合同向金融机构申请贷款，无需抵押、担保，融资机构将根据《河南省政府采购合同融资工作实施方案》（豫财购〔2017〕10号），按照双方自愿的原则提供便捷、优惠的贷款服务。</w:t>
      </w:r>
    </w:p>
    <w:p w14:paraId="10B5A82D">
      <w:pPr>
        <w:pStyle w:val="67"/>
        <w:snapToGrid w:val="0"/>
        <w:spacing w:line="360" w:lineRule="auto"/>
        <w:ind w:firstLine="482" w:firstLineChars="200"/>
        <w:jc w:val="left"/>
        <w:outlineLvl w:val="9"/>
        <w:rPr>
          <w:rFonts w:hAnsi="宋体"/>
          <w:b w:val="0"/>
          <w:bCs w:val="0"/>
          <w:color w:val="auto"/>
          <w:sz w:val="21"/>
          <w:szCs w:val="21"/>
          <w:highlight w:val="none"/>
        </w:rPr>
      </w:pPr>
      <w:bookmarkStart w:id="202" w:name="_Toc15196"/>
      <w:r>
        <w:rPr>
          <w:rFonts w:hint="eastAsia" w:hAnsi="宋体"/>
          <w:color w:val="auto"/>
          <w:kern w:val="0"/>
          <w:highlight w:val="none"/>
        </w:rPr>
        <w:drawing>
          <wp:anchor distT="0" distB="0" distL="114300" distR="114300" simplePos="0" relativeHeight="251659264" behindDoc="0" locked="0" layoutInCell="1" allowOverlap="1">
            <wp:simplePos x="0" y="0"/>
            <wp:positionH relativeFrom="page">
              <wp:posOffset>1208405</wp:posOffset>
            </wp:positionH>
            <wp:positionV relativeFrom="page">
              <wp:posOffset>4292600</wp:posOffset>
            </wp:positionV>
            <wp:extent cx="4909820" cy="4204335"/>
            <wp:effectExtent l="0" t="0" r="5080" b="5715"/>
            <wp:wrapNone/>
            <wp:docPr id="8" name="图片 2" descr="1607567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1607567798(1)"/>
                    <pic:cNvPicPr>
                      <a:picLocks noChangeAspect="1"/>
                    </pic:cNvPicPr>
                  </pic:nvPicPr>
                  <pic:blipFill>
                    <a:blip r:embed="rId18"/>
                    <a:stretch>
                      <a:fillRect/>
                    </a:stretch>
                  </pic:blipFill>
                  <pic:spPr>
                    <a:xfrm>
                      <a:off x="0" y="0"/>
                      <a:ext cx="4909820" cy="4204335"/>
                    </a:xfrm>
                    <a:prstGeom prst="rect">
                      <a:avLst/>
                    </a:prstGeom>
                    <a:noFill/>
                    <a:ln>
                      <a:noFill/>
                    </a:ln>
                  </pic:spPr>
                </pic:pic>
              </a:graphicData>
            </a:graphic>
          </wp:anchor>
        </w:drawing>
      </w:r>
      <w:r>
        <w:rPr>
          <w:rFonts w:hint="eastAsia" w:hAnsi="宋体"/>
          <w:b w:val="0"/>
          <w:bCs w:val="0"/>
          <w:color w:val="auto"/>
          <w:sz w:val="21"/>
          <w:szCs w:val="21"/>
          <w:highlight w:val="none"/>
        </w:rPr>
        <w:t>贷款渠道和提供贷款的金融机构，可在河南省政府采购网“河南省政府采购合同融资平台”查询联系。</w:t>
      </w:r>
      <w:bookmarkEnd w:id="202"/>
    </w:p>
    <w:p w14:paraId="43FE9787">
      <w:pPr>
        <w:pStyle w:val="67"/>
        <w:snapToGrid w:val="0"/>
        <w:spacing w:line="360" w:lineRule="auto"/>
        <w:ind w:firstLine="482" w:firstLineChars="200"/>
        <w:jc w:val="left"/>
        <w:outlineLvl w:val="9"/>
        <w:rPr>
          <w:rFonts w:hAnsi="宋体"/>
          <w:color w:val="auto"/>
          <w:highlight w:val="none"/>
        </w:rPr>
      </w:pPr>
      <w:r>
        <w:rPr>
          <w:rFonts w:hint="eastAsia" w:hAnsi="宋体"/>
          <w:color w:val="auto"/>
          <w:highlight w:val="none"/>
        </w:rPr>
        <w:br w:type="page"/>
      </w:r>
    </w:p>
    <w:p w14:paraId="61912393">
      <w:pPr>
        <w:adjustRightInd w:val="0"/>
        <w:snapToGrid w:val="0"/>
        <w:spacing w:line="360" w:lineRule="auto"/>
        <w:outlineLvl w:val="3"/>
        <w:rPr>
          <w:rFonts w:hint="eastAsia" w:ascii="宋体" w:hAnsi="宋体" w:eastAsia="宋体" w:cs="宋体"/>
          <w:b/>
          <w:bCs/>
          <w:color w:val="auto"/>
          <w:szCs w:val="21"/>
          <w:highlight w:val="none"/>
          <w:lang w:eastAsia="zh-CN"/>
        </w:rPr>
      </w:pPr>
      <w:bookmarkStart w:id="203" w:name="_Toc30288"/>
      <w:r>
        <w:rPr>
          <w:rFonts w:hint="eastAsia" w:ascii="宋体" w:hAnsi="宋体" w:cs="宋体"/>
          <w:b/>
          <w:bCs/>
          <w:color w:val="auto"/>
          <w:szCs w:val="21"/>
          <w:highlight w:val="none"/>
        </w:rPr>
        <w:t>附件2</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rPr>
        <w:t>中小企业划型标准</w:t>
      </w:r>
    </w:p>
    <w:p w14:paraId="054998A7">
      <w:pPr>
        <w:adjustRightInd w:val="0"/>
        <w:snapToGrid w:val="0"/>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中小企业划型标准规定</w:t>
      </w:r>
    </w:p>
    <w:tbl>
      <w:tblPr>
        <w:tblStyle w:val="38"/>
        <w:tblW w:w="9396" w:type="dxa"/>
        <w:jc w:val="center"/>
        <w:shd w:val="clear" w:color="auto" w:fill="FFFFFF"/>
        <w:tblLayout w:type="autofit"/>
        <w:tblCellMar>
          <w:top w:w="0" w:type="dxa"/>
          <w:left w:w="0" w:type="dxa"/>
          <w:bottom w:w="0" w:type="dxa"/>
          <w:right w:w="0" w:type="dxa"/>
        </w:tblCellMar>
      </w:tblPr>
      <w:tblGrid>
        <w:gridCol w:w="1149"/>
        <w:gridCol w:w="1499"/>
        <w:gridCol w:w="731"/>
        <w:gridCol w:w="1251"/>
        <w:gridCol w:w="1974"/>
        <w:gridCol w:w="1764"/>
        <w:gridCol w:w="1028"/>
      </w:tblGrid>
      <w:tr w14:paraId="2BE2D80C">
        <w:tblPrEx>
          <w:shd w:val="clear" w:color="auto" w:fill="FFFFFF"/>
          <w:tblCellMar>
            <w:top w:w="0" w:type="dxa"/>
            <w:left w:w="0" w:type="dxa"/>
            <w:bottom w:w="0" w:type="dxa"/>
            <w:right w:w="0" w:type="dxa"/>
          </w:tblCellMar>
        </w:tblPrEx>
        <w:trPr>
          <w:trHeight w:val="603" w:hRule="atLeast"/>
          <w:jc w:val="center"/>
        </w:trPr>
        <w:tc>
          <w:tcPr>
            <w:tcW w:w="1149" w:type="dxa"/>
            <w:tcBorders>
              <w:top w:val="single" w:color="4F81BD" w:sz="6" w:space="0"/>
              <w:left w:val="single" w:color="4F81BD" w:sz="6" w:space="0"/>
              <w:bottom w:val="single" w:color="FFFFFF" w:sz="18" w:space="0"/>
              <w:right w:val="single" w:color="4F81BD" w:sz="6" w:space="0"/>
            </w:tcBorders>
            <w:shd w:val="clear" w:color="auto" w:fill="4F81BD"/>
            <w:tcMar>
              <w:left w:w="105" w:type="dxa"/>
              <w:right w:w="105" w:type="dxa"/>
            </w:tcMar>
            <w:vAlign w:val="center"/>
          </w:tcPr>
          <w:p w14:paraId="1C2FC81E">
            <w:pPr>
              <w:pStyle w:val="33"/>
              <w:wordWrap w:val="0"/>
              <w:jc w:val="center"/>
              <w:rPr>
                <w:rFonts w:ascii="宋体" w:hAnsi="宋体" w:cs="宋体"/>
                <w:color w:val="auto"/>
                <w:sz w:val="21"/>
                <w:szCs w:val="21"/>
                <w:highlight w:val="none"/>
              </w:rPr>
            </w:pPr>
            <w:r>
              <w:rPr>
                <w:rStyle w:val="41"/>
                <w:rFonts w:hint="eastAsia" w:ascii="宋体" w:hAnsi="宋体" w:cs="宋体"/>
                <w:color w:val="auto"/>
                <w:spacing w:val="8"/>
                <w:sz w:val="21"/>
                <w:szCs w:val="21"/>
                <w:highlight w:val="none"/>
              </w:rPr>
              <w:t>行业名称</w:t>
            </w:r>
          </w:p>
        </w:tc>
        <w:tc>
          <w:tcPr>
            <w:tcW w:w="1499" w:type="dxa"/>
            <w:tcBorders>
              <w:top w:val="single" w:color="4F81BD" w:sz="6" w:space="0"/>
              <w:left w:val="nil"/>
              <w:bottom w:val="single" w:color="FFFFFF" w:sz="18" w:space="0"/>
              <w:right w:val="single" w:color="4F81BD" w:sz="6" w:space="0"/>
            </w:tcBorders>
            <w:shd w:val="clear" w:color="auto" w:fill="4F81BD"/>
            <w:tcMar>
              <w:left w:w="105" w:type="dxa"/>
              <w:right w:w="105" w:type="dxa"/>
            </w:tcMar>
            <w:vAlign w:val="center"/>
          </w:tcPr>
          <w:p w14:paraId="588FB8E9">
            <w:pPr>
              <w:pStyle w:val="33"/>
              <w:wordWrap w:val="0"/>
              <w:jc w:val="center"/>
              <w:rPr>
                <w:rFonts w:ascii="宋体" w:hAnsi="宋体" w:cs="宋体"/>
                <w:color w:val="auto"/>
                <w:sz w:val="21"/>
                <w:szCs w:val="21"/>
                <w:highlight w:val="none"/>
              </w:rPr>
            </w:pPr>
            <w:r>
              <w:rPr>
                <w:rStyle w:val="41"/>
                <w:rFonts w:hint="eastAsia" w:ascii="宋体" w:hAnsi="宋体" w:cs="宋体"/>
                <w:color w:val="auto"/>
                <w:spacing w:val="8"/>
                <w:sz w:val="21"/>
                <w:szCs w:val="21"/>
                <w:highlight w:val="none"/>
              </w:rPr>
              <w:t>指标名称</w:t>
            </w:r>
          </w:p>
        </w:tc>
        <w:tc>
          <w:tcPr>
            <w:tcW w:w="731" w:type="dxa"/>
            <w:tcBorders>
              <w:top w:val="single" w:color="4F81BD" w:sz="6" w:space="0"/>
              <w:left w:val="nil"/>
              <w:bottom w:val="single" w:color="FFFFFF" w:sz="18" w:space="0"/>
              <w:right w:val="single" w:color="4F81BD" w:sz="6" w:space="0"/>
            </w:tcBorders>
            <w:shd w:val="clear" w:color="auto" w:fill="4F81BD"/>
            <w:tcMar>
              <w:left w:w="105" w:type="dxa"/>
              <w:right w:w="105" w:type="dxa"/>
            </w:tcMar>
            <w:vAlign w:val="center"/>
          </w:tcPr>
          <w:p w14:paraId="705FEAE3">
            <w:pPr>
              <w:pStyle w:val="33"/>
              <w:wordWrap w:val="0"/>
              <w:jc w:val="center"/>
              <w:rPr>
                <w:rFonts w:ascii="宋体" w:hAnsi="宋体" w:cs="宋体"/>
                <w:color w:val="auto"/>
                <w:sz w:val="21"/>
                <w:szCs w:val="21"/>
                <w:highlight w:val="none"/>
              </w:rPr>
            </w:pPr>
            <w:r>
              <w:rPr>
                <w:rStyle w:val="41"/>
                <w:rFonts w:hint="eastAsia" w:ascii="宋体" w:hAnsi="宋体" w:cs="宋体"/>
                <w:color w:val="auto"/>
                <w:spacing w:val="8"/>
                <w:sz w:val="21"/>
                <w:szCs w:val="21"/>
                <w:highlight w:val="none"/>
              </w:rPr>
              <w:t>计量单位</w:t>
            </w:r>
          </w:p>
        </w:tc>
        <w:tc>
          <w:tcPr>
            <w:tcW w:w="1251" w:type="dxa"/>
            <w:tcBorders>
              <w:top w:val="single" w:color="4F81BD" w:sz="6" w:space="0"/>
              <w:left w:val="nil"/>
              <w:bottom w:val="single" w:color="FFFFFF" w:sz="18" w:space="0"/>
              <w:right w:val="single" w:color="4F81BD" w:sz="6" w:space="0"/>
            </w:tcBorders>
            <w:shd w:val="clear" w:color="auto" w:fill="4F81BD"/>
            <w:tcMar>
              <w:left w:w="105" w:type="dxa"/>
              <w:right w:w="105" w:type="dxa"/>
            </w:tcMar>
            <w:vAlign w:val="center"/>
          </w:tcPr>
          <w:p w14:paraId="40BA57CC">
            <w:pPr>
              <w:pStyle w:val="33"/>
              <w:wordWrap w:val="0"/>
              <w:jc w:val="center"/>
              <w:rPr>
                <w:rFonts w:ascii="宋体" w:hAnsi="宋体" w:cs="宋体"/>
                <w:color w:val="auto"/>
                <w:sz w:val="21"/>
                <w:szCs w:val="21"/>
                <w:highlight w:val="none"/>
              </w:rPr>
            </w:pPr>
            <w:r>
              <w:rPr>
                <w:rStyle w:val="41"/>
                <w:rFonts w:hint="eastAsia" w:ascii="宋体" w:hAnsi="宋体" w:cs="宋体"/>
                <w:color w:val="auto"/>
                <w:spacing w:val="8"/>
                <w:sz w:val="21"/>
                <w:szCs w:val="21"/>
                <w:highlight w:val="none"/>
              </w:rPr>
              <w:t>大型</w:t>
            </w:r>
          </w:p>
        </w:tc>
        <w:tc>
          <w:tcPr>
            <w:tcW w:w="1974" w:type="dxa"/>
            <w:tcBorders>
              <w:top w:val="single" w:color="4F81BD" w:sz="6" w:space="0"/>
              <w:left w:val="nil"/>
              <w:bottom w:val="single" w:color="FFFFFF" w:sz="18" w:space="0"/>
              <w:right w:val="single" w:color="4F81BD" w:sz="6" w:space="0"/>
            </w:tcBorders>
            <w:shd w:val="clear" w:color="auto" w:fill="4F81BD"/>
            <w:tcMar>
              <w:left w:w="105" w:type="dxa"/>
              <w:right w:w="105" w:type="dxa"/>
            </w:tcMar>
            <w:vAlign w:val="center"/>
          </w:tcPr>
          <w:p w14:paraId="6B97F5DA">
            <w:pPr>
              <w:pStyle w:val="33"/>
              <w:wordWrap w:val="0"/>
              <w:jc w:val="center"/>
              <w:rPr>
                <w:rFonts w:ascii="宋体" w:hAnsi="宋体" w:cs="宋体"/>
                <w:color w:val="auto"/>
                <w:sz w:val="21"/>
                <w:szCs w:val="21"/>
                <w:highlight w:val="none"/>
              </w:rPr>
            </w:pPr>
            <w:r>
              <w:rPr>
                <w:rStyle w:val="41"/>
                <w:rFonts w:hint="eastAsia" w:ascii="宋体" w:hAnsi="宋体" w:cs="宋体"/>
                <w:color w:val="auto"/>
                <w:spacing w:val="8"/>
                <w:sz w:val="21"/>
                <w:szCs w:val="21"/>
                <w:highlight w:val="none"/>
              </w:rPr>
              <w:t>中型</w:t>
            </w:r>
          </w:p>
        </w:tc>
        <w:tc>
          <w:tcPr>
            <w:tcW w:w="1764" w:type="dxa"/>
            <w:tcBorders>
              <w:top w:val="single" w:color="4F81BD" w:sz="6" w:space="0"/>
              <w:left w:val="nil"/>
              <w:bottom w:val="single" w:color="FFFFFF" w:sz="18" w:space="0"/>
              <w:right w:val="single" w:color="4F81BD" w:sz="6" w:space="0"/>
            </w:tcBorders>
            <w:shd w:val="clear" w:color="auto" w:fill="4F81BD"/>
            <w:tcMar>
              <w:left w:w="105" w:type="dxa"/>
              <w:right w:w="105" w:type="dxa"/>
            </w:tcMar>
            <w:vAlign w:val="center"/>
          </w:tcPr>
          <w:p w14:paraId="1B818FC3">
            <w:pPr>
              <w:pStyle w:val="33"/>
              <w:wordWrap w:val="0"/>
              <w:jc w:val="center"/>
              <w:rPr>
                <w:rFonts w:ascii="宋体" w:hAnsi="宋体" w:cs="宋体"/>
                <w:color w:val="auto"/>
                <w:sz w:val="21"/>
                <w:szCs w:val="21"/>
                <w:highlight w:val="none"/>
              </w:rPr>
            </w:pPr>
            <w:r>
              <w:rPr>
                <w:rStyle w:val="41"/>
                <w:rFonts w:hint="eastAsia" w:ascii="宋体" w:hAnsi="宋体" w:cs="宋体"/>
                <w:color w:val="auto"/>
                <w:spacing w:val="8"/>
                <w:sz w:val="21"/>
                <w:szCs w:val="21"/>
                <w:highlight w:val="none"/>
              </w:rPr>
              <w:t>小型</w:t>
            </w:r>
          </w:p>
        </w:tc>
        <w:tc>
          <w:tcPr>
            <w:tcW w:w="1028" w:type="dxa"/>
            <w:tcBorders>
              <w:top w:val="single" w:color="4F81BD" w:sz="6" w:space="0"/>
              <w:left w:val="nil"/>
              <w:bottom w:val="single" w:color="FFFFFF" w:sz="18" w:space="0"/>
              <w:right w:val="single" w:color="4F81BD" w:sz="6" w:space="0"/>
            </w:tcBorders>
            <w:shd w:val="clear" w:color="auto" w:fill="4F81BD"/>
            <w:tcMar>
              <w:left w:w="105" w:type="dxa"/>
              <w:right w:w="105" w:type="dxa"/>
            </w:tcMar>
            <w:vAlign w:val="center"/>
          </w:tcPr>
          <w:p w14:paraId="5F94F5DA">
            <w:pPr>
              <w:pStyle w:val="33"/>
              <w:wordWrap w:val="0"/>
              <w:jc w:val="center"/>
              <w:rPr>
                <w:rFonts w:ascii="宋体" w:hAnsi="宋体" w:cs="宋体"/>
                <w:color w:val="auto"/>
                <w:sz w:val="21"/>
                <w:szCs w:val="21"/>
                <w:highlight w:val="none"/>
              </w:rPr>
            </w:pPr>
            <w:r>
              <w:rPr>
                <w:rStyle w:val="41"/>
                <w:rFonts w:hint="eastAsia" w:ascii="宋体" w:hAnsi="宋体" w:cs="宋体"/>
                <w:color w:val="auto"/>
                <w:spacing w:val="8"/>
                <w:sz w:val="21"/>
                <w:szCs w:val="21"/>
                <w:highlight w:val="none"/>
              </w:rPr>
              <w:t>微型</w:t>
            </w:r>
          </w:p>
        </w:tc>
      </w:tr>
      <w:tr w14:paraId="31F17D80">
        <w:tblPrEx>
          <w:tblCellMar>
            <w:top w:w="0" w:type="dxa"/>
            <w:left w:w="0" w:type="dxa"/>
            <w:bottom w:w="0" w:type="dxa"/>
            <w:right w:w="0" w:type="dxa"/>
          </w:tblCellMar>
        </w:tblPrEx>
        <w:trPr>
          <w:trHeight w:val="656" w:hRule="atLeast"/>
          <w:jc w:val="center"/>
        </w:trPr>
        <w:tc>
          <w:tcPr>
            <w:tcW w:w="1149" w:type="dxa"/>
            <w:tcBorders>
              <w:top w:val="nil"/>
              <w:left w:val="single" w:color="4F81BD" w:sz="6" w:space="0"/>
              <w:bottom w:val="single" w:color="4F81BD" w:sz="6" w:space="0"/>
              <w:right w:val="single" w:color="4F81BD" w:sz="6" w:space="0"/>
            </w:tcBorders>
            <w:shd w:val="clear" w:color="auto" w:fill="B8CCE4"/>
            <w:tcMar>
              <w:left w:w="105" w:type="dxa"/>
              <w:right w:w="105" w:type="dxa"/>
            </w:tcMar>
            <w:vAlign w:val="center"/>
          </w:tcPr>
          <w:p w14:paraId="0F6605C6">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农、林、牧、渔业</w:t>
            </w:r>
          </w:p>
        </w:tc>
        <w:tc>
          <w:tcPr>
            <w:tcW w:w="1499"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33C2FA79">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3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093FA07F">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5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6D0F26B2">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Y≥20000</w:t>
            </w:r>
          </w:p>
        </w:tc>
        <w:tc>
          <w:tcPr>
            <w:tcW w:w="197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41398A64">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500≤Y＜20000</w:t>
            </w:r>
          </w:p>
        </w:tc>
        <w:tc>
          <w:tcPr>
            <w:tcW w:w="176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13C28FF1">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50≤Y＜500</w:t>
            </w:r>
          </w:p>
        </w:tc>
        <w:tc>
          <w:tcPr>
            <w:tcW w:w="10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68B0F47B">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Y＜50</w:t>
            </w:r>
          </w:p>
        </w:tc>
      </w:tr>
      <w:tr w14:paraId="57568F95">
        <w:tblPrEx>
          <w:tblCellMar>
            <w:top w:w="0" w:type="dxa"/>
            <w:left w:w="0" w:type="dxa"/>
            <w:bottom w:w="0" w:type="dxa"/>
            <w:right w:w="0" w:type="dxa"/>
          </w:tblCellMar>
        </w:tblPrEx>
        <w:trPr>
          <w:trHeight w:val="545" w:hRule="atLeast"/>
          <w:jc w:val="center"/>
        </w:trPr>
        <w:tc>
          <w:tcPr>
            <w:tcW w:w="1149" w:type="dxa"/>
            <w:vMerge w:val="restart"/>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3B9AEF57">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工业 *</w:t>
            </w:r>
          </w:p>
        </w:tc>
        <w:tc>
          <w:tcPr>
            <w:tcW w:w="1499"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24D5F4B">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3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32C2044D">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5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1078B767">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X≥1000</w:t>
            </w:r>
          </w:p>
        </w:tc>
        <w:tc>
          <w:tcPr>
            <w:tcW w:w="197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0F650835">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300≤X＜1000</w:t>
            </w:r>
          </w:p>
        </w:tc>
        <w:tc>
          <w:tcPr>
            <w:tcW w:w="176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3B5FD07A">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20≤X＜300</w:t>
            </w:r>
          </w:p>
        </w:tc>
        <w:tc>
          <w:tcPr>
            <w:tcW w:w="10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F16F95E">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w:t>
            </w:r>
          </w:p>
        </w:tc>
      </w:tr>
      <w:tr w14:paraId="65C8CD4C">
        <w:tblPrEx>
          <w:tblCellMar>
            <w:top w:w="0" w:type="dxa"/>
            <w:left w:w="0" w:type="dxa"/>
            <w:bottom w:w="0" w:type="dxa"/>
            <w:right w:w="0" w:type="dxa"/>
          </w:tblCellMar>
        </w:tblPrEx>
        <w:trPr>
          <w:trHeight w:val="545" w:hRule="atLeast"/>
          <w:jc w:val="center"/>
        </w:trPr>
        <w:tc>
          <w:tcPr>
            <w:tcW w:w="1149" w:type="dxa"/>
            <w:vMerge w:val="continue"/>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3800EBA4">
            <w:pPr>
              <w:jc w:val="center"/>
              <w:rPr>
                <w:rFonts w:ascii="宋体" w:hAnsi="宋体" w:cs="宋体"/>
                <w:color w:val="auto"/>
                <w:spacing w:val="8"/>
                <w:szCs w:val="21"/>
                <w:highlight w:val="none"/>
              </w:rPr>
            </w:pPr>
          </w:p>
        </w:tc>
        <w:tc>
          <w:tcPr>
            <w:tcW w:w="1499"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15F7F29C">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3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4DC2983">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5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5A0FB5A">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Y≥40000</w:t>
            </w:r>
          </w:p>
        </w:tc>
        <w:tc>
          <w:tcPr>
            <w:tcW w:w="197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505DD3E1">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2000≤Y＜40000</w:t>
            </w:r>
          </w:p>
        </w:tc>
        <w:tc>
          <w:tcPr>
            <w:tcW w:w="176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EB92D23">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300≤Y＜2000</w:t>
            </w:r>
          </w:p>
        </w:tc>
        <w:tc>
          <w:tcPr>
            <w:tcW w:w="10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50706D89">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w:t>
            </w:r>
          </w:p>
        </w:tc>
      </w:tr>
      <w:tr w14:paraId="06F62C4E">
        <w:tblPrEx>
          <w:tblCellMar>
            <w:top w:w="0" w:type="dxa"/>
            <w:left w:w="0" w:type="dxa"/>
            <w:bottom w:w="0" w:type="dxa"/>
            <w:right w:w="0" w:type="dxa"/>
          </w:tblCellMar>
        </w:tblPrEx>
        <w:trPr>
          <w:trHeight w:val="545" w:hRule="atLeast"/>
          <w:jc w:val="center"/>
        </w:trPr>
        <w:tc>
          <w:tcPr>
            <w:tcW w:w="1149" w:type="dxa"/>
            <w:vMerge w:val="restart"/>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0EDC7AA4">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建筑业</w:t>
            </w:r>
          </w:p>
        </w:tc>
        <w:tc>
          <w:tcPr>
            <w:tcW w:w="1499"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EA05300">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3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C5F20C0">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5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5C008915">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Y≥80000</w:t>
            </w:r>
          </w:p>
        </w:tc>
        <w:tc>
          <w:tcPr>
            <w:tcW w:w="197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74B3EF8">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6000≤Y＜80000</w:t>
            </w:r>
          </w:p>
        </w:tc>
        <w:tc>
          <w:tcPr>
            <w:tcW w:w="176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4342E23">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300≤Y＜6000</w:t>
            </w:r>
          </w:p>
        </w:tc>
        <w:tc>
          <w:tcPr>
            <w:tcW w:w="10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4CFBDA8">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w:t>
            </w:r>
          </w:p>
        </w:tc>
      </w:tr>
      <w:tr w14:paraId="2159C314">
        <w:tblPrEx>
          <w:tblCellMar>
            <w:top w:w="0" w:type="dxa"/>
            <w:left w:w="0" w:type="dxa"/>
            <w:bottom w:w="0" w:type="dxa"/>
            <w:right w:w="0" w:type="dxa"/>
          </w:tblCellMar>
        </w:tblPrEx>
        <w:trPr>
          <w:trHeight w:val="545" w:hRule="atLeast"/>
          <w:jc w:val="center"/>
        </w:trPr>
        <w:tc>
          <w:tcPr>
            <w:tcW w:w="1149" w:type="dxa"/>
            <w:vMerge w:val="continue"/>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6602EC06">
            <w:pPr>
              <w:jc w:val="center"/>
              <w:rPr>
                <w:rFonts w:ascii="宋体" w:hAnsi="宋体" w:cs="宋体"/>
                <w:color w:val="auto"/>
                <w:spacing w:val="8"/>
                <w:szCs w:val="21"/>
                <w:highlight w:val="none"/>
              </w:rPr>
            </w:pPr>
          </w:p>
        </w:tc>
        <w:tc>
          <w:tcPr>
            <w:tcW w:w="1499"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638F74B4">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资产总额(Z)</w:t>
            </w:r>
          </w:p>
        </w:tc>
        <w:tc>
          <w:tcPr>
            <w:tcW w:w="73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5F2DAE56">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5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E1941A1">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Z≥80000</w:t>
            </w:r>
          </w:p>
        </w:tc>
        <w:tc>
          <w:tcPr>
            <w:tcW w:w="197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C53EDE2">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5000≤Z＜80000</w:t>
            </w:r>
          </w:p>
        </w:tc>
        <w:tc>
          <w:tcPr>
            <w:tcW w:w="176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07E77DF2">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300≤Z＜5000</w:t>
            </w:r>
          </w:p>
        </w:tc>
        <w:tc>
          <w:tcPr>
            <w:tcW w:w="10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1EFBEE5">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Z＜300</w:t>
            </w:r>
          </w:p>
        </w:tc>
      </w:tr>
      <w:tr w14:paraId="722CC767">
        <w:tblPrEx>
          <w:tblCellMar>
            <w:top w:w="0" w:type="dxa"/>
            <w:left w:w="0" w:type="dxa"/>
            <w:bottom w:w="0" w:type="dxa"/>
            <w:right w:w="0" w:type="dxa"/>
          </w:tblCellMar>
        </w:tblPrEx>
        <w:trPr>
          <w:trHeight w:val="545" w:hRule="atLeast"/>
          <w:jc w:val="center"/>
        </w:trPr>
        <w:tc>
          <w:tcPr>
            <w:tcW w:w="1149" w:type="dxa"/>
            <w:vMerge w:val="restart"/>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57A832BD">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批发业</w:t>
            </w:r>
          </w:p>
        </w:tc>
        <w:tc>
          <w:tcPr>
            <w:tcW w:w="1499"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20623EA2">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3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13B94540">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5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58078344">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X≥200</w:t>
            </w:r>
          </w:p>
        </w:tc>
        <w:tc>
          <w:tcPr>
            <w:tcW w:w="197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5A5D1791">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20≤X＜200</w:t>
            </w:r>
          </w:p>
        </w:tc>
        <w:tc>
          <w:tcPr>
            <w:tcW w:w="176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D4B6B0D">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5≤X＜20</w:t>
            </w:r>
          </w:p>
        </w:tc>
        <w:tc>
          <w:tcPr>
            <w:tcW w:w="10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E5EFEB3">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X＜5</w:t>
            </w:r>
          </w:p>
        </w:tc>
      </w:tr>
      <w:tr w14:paraId="52968668">
        <w:tblPrEx>
          <w:tblCellMar>
            <w:top w:w="0" w:type="dxa"/>
            <w:left w:w="0" w:type="dxa"/>
            <w:bottom w:w="0" w:type="dxa"/>
            <w:right w:w="0" w:type="dxa"/>
          </w:tblCellMar>
        </w:tblPrEx>
        <w:trPr>
          <w:trHeight w:val="545" w:hRule="atLeast"/>
          <w:jc w:val="center"/>
        </w:trPr>
        <w:tc>
          <w:tcPr>
            <w:tcW w:w="1149" w:type="dxa"/>
            <w:vMerge w:val="continue"/>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4541AEE2">
            <w:pPr>
              <w:jc w:val="center"/>
              <w:rPr>
                <w:rFonts w:ascii="宋体" w:hAnsi="宋体" w:cs="宋体"/>
                <w:color w:val="auto"/>
                <w:spacing w:val="8"/>
                <w:szCs w:val="21"/>
                <w:highlight w:val="none"/>
              </w:rPr>
            </w:pPr>
          </w:p>
        </w:tc>
        <w:tc>
          <w:tcPr>
            <w:tcW w:w="1499"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30B273DA">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3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4429CC95">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5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0734D982">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Y≥40000</w:t>
            </w:r>
          </w:p>
        </w:tc>
        <w:tc>
          <w:tcPr>
            <w:tcW w:w="197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3789C232">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5000≤Y＜40000</w:t>
            </w:r>
          </w:p>
        </w:tc>
        <w:tc>
          <w:tcPr>
            <w:tcW w:w="176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09A43577">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1000≤Y＜5000</w:t>
            </w:r>
          </w:p>
        </w:tc>
        <w:tc>
          <w:tcPr>
            <w:tcW w:w="10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034F76CA">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w:t>
            </w:r>
          </w:p>
        </w:tc>
      </w:tr>
      <w:tr w14:paraId="0CFF99BF">
        <w:tblPrEx>
          <w:tblCellMar>
            <w:top w:w="0" w:type="dxa"/>
            <w:left w:w="0" w:type="dxa"/>
            <w:bottom w:w="0" w:type="dxa"/>
            <w:right w:w="0" w:type="dxa"/>
          </w:tblCellMar>
        </w:tblPrEx>
        <w:trPr>
          <w:trHeight w:val="545" w:hRule="atLeast"/>
          <w:jc w:val="center"/>
        </w:trPr>
        <w:tc>
          <w:tcPr>
            <w:tcW w:w="1149" w:type="dxa"/>
            <w:vMerge w:val="restart"/>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0522C41F">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零售业</w:t>
            </w:r>
          </w:p>
        </w:tc>
        <w:tc>
          <w:tcPr>
            <w:tcW w:w="1499"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0879A670">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3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3F35B082">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5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5C0242FD">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7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E02C0CC">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50≤X＜300</w:t>
            </w:r>
          </w:p>
        </w:tc>
        <w:tc>
          <w:tcPr>
            <w:tcW w:w="176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390E2D97">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10≤X＜50</w:t>
            </w:r>
          </w:p>
        </w:tc>
        <w:tc>
          <w:tcPr>
            <w:tcW w:w="10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9193C94">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14:paraId="33A4DD59">
        <w:tblPrEx>
          <w:tblCellMar>
            <w:top w:w="0" w:type="dxa"/>
            <w:left w:w="0" w:type="dxa"/>
            <w:bottom w:w="0" w:type="dxa"/>
            <w:right w:w="0" w:type="dxa"/>
          </w:tblCellMar>
        </w:tblPrEx>
        <w:trPr>
          <w:trHeight w:val="545" w:hRule="atLeast"/>
          <w:jc w:val="center"/>
        </w:trPr>
        <w:tc>
          <w:tcPr>
            <w:tcW w:w="1149" w:type="dxa"/>
            <w:vMerge w:val="continue"/>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084B3A55">
            <w:pPr>
              <w:jc w:val="center"/>
              <w:rPr>
                <w:rFonts w:ascii="宋体" w:hAnsi="宋体" w:cs="宋体"/>
                <w:color w:val="auto"/>
                <w:spacing w:val="8"/>
                <w:szCs w:val="21"/>
                <w:highlight w:val="none"/>
              </w:rPr>
            </w:pPr>
          </w:p>
        </w:tc>
        <w:tc>
          <w:tcPr>
            <w:tcW w:w="1499"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4068CFCD">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3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14C6E67A">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5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5BC39E95">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Y≥20000</w:t>
            </w:r>
          </w:p>
        </w:tc>
        <w:tc>
          <w:tcPr>
            <w:tcW w:w="197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69C805F">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500≤Y＜20000</w:t>
            </w:r>
          </w:p>
        </w:tc>
        <w:tc>
          <w:tcPr>
            <w:tcW w:w="176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62A5A9E0">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100≤Y＜500</w:t>
            </w:r>
          </w:p>
        </w:tc>
        <w:tc>
          <w:tcPr>
            <w:tcW w:w="10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6D22D482">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14:paraId="782A0456">
        <w:tblPrEx>
          <w:tblCellMar>
            <w:top w:w="0" w:type="dxa"/>
            <w:left w:w="0" w:type="dxa"/>
            <w:bottom w:w="0" w:type="dxa"/>
            <w:right w:w="0" w:type="dxa"/>
          </w:tblCellMar>
        </w:tblPrEx>
        <w:trPr>
          <w:trHeight w:val="545" w:hRule="atLeast"/>
          <w:jc w:val="center"/>
        </w:trPr>
        <w:tc>
          <w:tcPr>
            <w:tcW w:w="1149" w:type="dxa"/>
            <w:vMerge w:val="restart"/>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6BD032D2">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交通运输业 *</w:t>
            </w:r>
          </w:p>
        </w:tc>
        <w:tc>
          <w:tcPr>
            <w:tcW w:w="1499"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2A0221CC">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3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13F4BAC">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5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86E4BA4">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X≥1000</w:t>
            </w:r>
          </w:p>
        </w:tc>
        <w:tc>
          <w:tcPr>
            <w:tcW w:w="197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FCB9CCD">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300≤X＜1000</w:t>
            </w:r>
          </w:p>
        </w:tc>
        <w:tc>
          <w:tcPr>
            <w:tcW w:w="176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15F33165">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20≤X＜300</w:t>
            </w:r>
          </w:p>
        </w:tc>
        <w:tc>
          <w:tcPr>
            <w:tcW w:w="10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388B0842">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w:t>
            </w:r>
          </w:p>
        </w:tc>
      </w:tr>
      <w:tr w14:paraId="54C386DA">
        <w:tblPrEx>
          <w:tblCellMar>
            <w:top w:w="0" w:type="dxa"/>
            <w:left w:w="0" w:type="dxa"/>
            <w:bottom w:w="0" w:type="dxa"/>
            <w:right w:w="0" w:type="dxa"/>
          </w:tblCellMar>
        </w:tblPrEx>
        <w:trPr>
          <w:trHeight w:val="545" w:hRule="atLeast"/>
          <w:jc w:val="center"/>
        </w:trPr>
        <w:tc>
          <w:tcPr>
            <w:tcW w:w="1149" w:type="dxa"/>
            <w:vMerge w:val="continue"/>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35FA2FFB">
            <w:pPr>
              <w:jc w:val="center"/>
              <w:rPr>
                <w:rFonts w:ascii="宋体" w:hAnsi="宋体" w:cs="宋体"/>
                <w:color w:val="auto"/>
                <w:spacing w:val="8"/>
                <w:szCs w:val="21"/>
                <w:highlight w:val="none"/>
              </w:rPr>
            </w:pPr>
          </w:p>
        </w:tc>
        <w:tc>
          <w:tcPr>
            <w:tcW w:w="1499"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41B42479">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3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0101F0E1">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5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7E3B2564">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Y≥30000</w:t>
            </w:r>
          </w:p>
        </w:tc>
        <w:tc>
          <w:tcPr>
            <w:tcW w:w="197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0B1BEFA">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3000≤Y＜30000</w:t>
            </w:r>
          </w:p>
        </w:tc>
        <w:tc>
          <w:tcPr>
            <w:tcW w:w="176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0FB88B83">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200≤Y＜3000</w:t>
            </w:r>
          </w:p>
        </w:tc>
        <w:tc>
          <w:tcPr>
            <w:tcW w:w="10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4D85905E">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Y＜200</w:t>
            </w:r>
          </w:p>
        </w:tc>
      </w:tr>
      <w:tr w14:paraId="79F3F92C">
        <w:tblPrEx>
          <w:tblCellMar>
            <w:top w:w="0" w:type="dxa"/>
            <w:left w:w="0" w:type="dxa"/>
            <w:bottom w:w="0" w:type="dxa"/>
            <w:right w:w="0" w:type="dxa"/>
          </w:tblCellMar>
        </w:tblPrEx>
        <w:trPr>
          <w:trHeight w:val="545" w:hRule="atLeast"/>
          <w:jc w:val="center"/>
        </w:trPr>
        <w:tc>
          <w:tcPr>
            <w:tcW w:w="1149" w:type="dxa"/>
            <w:vMerge w:val="restart"/>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55E3E199">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仓储业*</w:t>
            </w:r>
          </w:p>
        </w:tc>
        <w:tc>
          <w:tcPr>
            <w:tcW w:w="1499"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1757E249">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3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22526F85">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5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B138876">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X≥200</w:t>
            </w:r>
          </w:p>
        </w:tc>
        <w:tc>
          <w:tcPr>
            <w:tcW w:w="197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C515515">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100≤X＜200</w:t>
            </w:r>
          </w:p>
        </w:tc>
        <w:tc>
          <w:tcPr>
            <w:tcW w:w="176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536C9E86">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20≤X＜100</w:t>
            </w:r>
          </w:p>
        </w:tc>
        <w:tc>
          <w:tcPr>
            <w:tcW w:w="10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7084BBE">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w:t>
            </w:r>
          </w:p>
        </w:tc>
      </w:tr>
      <w:tr w14:paraId="168A62E8">
        <w:tblPrEx>
          <w:tblCellMar>
            <w:top w:w="0" w:type="dxa"/>
            <w:left w:w="0" w:type="dxa"/>
            <w:bottom w:w="0" w:type="dxa"/>
            <w:right w:w="0" w:type="dxa"/>
          </w:tblCellMar>
        </w:tblPrEx>
        <w:trPr>
          <w:trHeight w:val="545" w:hRule="atLeast"/>
          <w:jc w:val="center"/>
        </w:trPr>
        <w:tc>
          <w:tcPr>
            <w:tcW w:w="1149" w:type="dxa"/>
            <w:vMerge w:val="continue"/>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2C9ECA1D">
            <w:pPr>
              <w:jc w:val="center"/>
              <w:rPr>
                <w:rFonts w:ascii="宋体" w:hAnsi="宋体" w:cs="宋体"/>
                <w:color w:val="auto"/>
                <w:spacing w:val="8"/>
                <w:szCs w:val="21"/>
                <w:highlight w:val="none"/>
              </w:rPr>
            </w:pPr>
          </w:p>
        </w:tc>
        <w:tc>
          <w:tcPr>
            <w:tcW w:w="1499"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ECCE170">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3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45A3DDA1">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5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6E8EA8AB">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Y≥30000</w:t>
            </w:r>
          </w:p>
        </w:tc>
        <w:tc>
          <w:tcPr>
            <w:tcW w:w="197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13FE06A7">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1000≤Y＜30000</w:t>
            </w:r>
          </w:p>
        </w:tc>
        <w:tc>
          <w:tcPr>
            <w:tcW w:w="176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A92E504">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100≤Y＜1000</w:t>
            </w:r>
          </w:p>
        </w:tc>
        <w:tc>
          <w:tcPr>
            <w:tcW w:w="10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75292F2A">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14:paraId="0B697973">
        <w:tblPrEx>
          <w:tblCellMar>
            <w:top w:w="0" w:type="dxa"/>
            <w:left w:w="0" w:type="dxa"/>
            <w:bottom w:w="0" w:type="dxa"/>
            <w:right w:w="0" w:type="dxa"/>
          </w:tblCellMar>
        </w:tblPrEx>
        <w:trPr>
          <w:trHeight w:val="545" w:hRule="atLeast"/>
          <w:jc w:val="center"/>
        </w:trPr>
        <w:tc>
          <w:tcPr>
            <w:tcW w:w="1149" w:type="dxa"/>
            <w:vMerge w:val="restart"/>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1C1B0309">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邮政业</w:t>
            </w:r>
          </w:p>
        </w:tc>
        <w:tc>
          <w:tcPr>
            <w:tcW w:w="1499"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2273C1AE">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3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08A2AD4C">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5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54C7F03">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X≥1000</w:t>
            </w:r>
          </w:p>
        </w:tc>
        <w:tc>
          <w:tcPr>
            <w:tcW w:w="197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BC6AD7D">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300≤X＜1000</w:t>
            </w:r>
          </w:p>
        </w:tc>
        <w:tc>
          <w:tcPr>
            <w:tcW w:w="176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3DAEF6E1">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20≤X＜300</w:t>
            </w:r>
          </w:p>
        </w:tc>
        <w:tc>
          <w:tcPr>
            <w:tcW w:w="10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EDA560B">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w:t>
            </w:r>
          </w:p>
        </w:tc>
      </w:tr>
      <w:tr w14:paraId="6D6182A5">
        <w:tblPrEx>
          <w:tblCellMar>
            <w:top w:w="0" w:type="dxa"/>
            <w:left w:w="0" w:type="dxa"/>
            <w:bottom w:w="0" w:type="dxa"/>
            <w:right w:w="0" w:type="dxa"/>
          </w:tblCellMar>
        </w:tblPrEx>
        <w:trPr>
          <w:trHeight w:val="545" w:hRule="atLeast"/>
          <w:jc w:val="center"/>
        </w:trPr>
        <w:tc>
          <w:tcPr>
            <w:tcW w:w="1149" w:type="dxa"/>
            <w:vMerge w:val="continue"/>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123E9A9F">
            <w:pPr>
              <w:jc w:val="center"/>
              <w:rPr>
                <w:rFonts w:ascii="宋体" w:hAnsi="宋体" w:cs="宋体"/>
                <w:color w:val="auto"/>
                <w:spacing w:val="8"/>
                <w:szCs w:val="21"/>
                <w:highlight w:val="none"/>
              </w:rPr>
            </w:pPr>
          </w:p>
        </w:tc>
        <w:tc>
          <w:tcPr>
            <w:tcW w:w="1499"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7DF6F783">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3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6BA089D2">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5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308235C2">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Y≥30000</w:t>
            </w:r>
          </w:p>
        </w:tc>
        <w:tc>
          <w:tcPr>
            <w:tcW w:w="197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37F6878D">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2000≤Y＜30000</w:t>
            </w:r>
          </w:p>
        </w:tc>
        <w:tc>
          <w:tcPr>
            <w:tcW w:w="176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0B1EA813">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100≤Y＜2000</w:t>
            </w:r>
          </w:p>
        </w:tc>
        <w:tc>
          <w:tcPr>
            <w:tcW w:w="10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738B18ED">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14:paraId="23419E26">
        <w:tblPrEx>
          <w:tblCellMar>
            <w:top w:w="0" w:type="dxa"/>
            <w:left w:w="0" w:type="dxa"/>
            <w:bottom w:w="0" w:type="dxa"/>
            <w:right w:w="0" w:type="dxa"/>
          </w:tblCellMar>
        </w:tblPrEx>
        <w:trPr>
          <w:trHeight w:val="545" w:hRule="atLeast"/>
          <w:jc w:val="center"/>
        </w:trPr>
        <w:tc>
          <w:tcPr>
            <w:tcW w:w="1149" w:type="dxa"/>
            <w:vMerge w:val="restart"/>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58A04712">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住宿业</w:t>
            </w:r>
          </w:p>
        </w:tc>
        <w:tc>
          <w:tcPr>
            <w:tcW w:w="1499"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5526CCAF">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3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541616DB">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5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F33AC33">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7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838DCA3">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6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0A0A0731">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C68643B">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14:paraId="50FEA2E3">
        <w:tblPrEx>
          <w:tblCellMar>
            <w:top w:w="0" w:type="dxa"/>
            <w:left w:w="0" w:type="dxa"/>
            <w:bottom w:w="0" w:type="dxa"/>
            <w:right w:w="0" w:type="dxa"/>
          </w:tblCellMar>
        </w:tblPrEx>
        <w:trPr>
          <w:trHeight w:val="545" w:hRule="atLeast"/>
          <w:jc w:val="center"/>
        </w:trPr>
        <w:tc>
          <w:tcPr>
            <w:tcW w:w="1149" w:type="dxa"/>
            <w:vMerge w:val="continue"/>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1B8E9F9C">
            <w:pPr>
              <w:jc w:val="center"/>
              <w:rPr>
                <w:rFonts w:ascii="宋体" w:hAnsi="宋体" w:cs="宋体"/>
                <w:color w:val="auto"/>
                <w:spacing w:val="8"/>
                <w:szCs w:val="21"/>
                <w:highlight w:val="none"/>
              </w:rPr>
            </w:pPr>
          </w:p>
        </w:tc>
        <w:tc>
          <w:tcPr>
            <w:tcW w:w="1499"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4F0B89DC">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3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6F55FA72">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5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1B8D90DC">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Y≥10000</w:t>
            </w:r>
          </w:p>
        </w:tc>
        <w:tc>
          <w:tcPr>
            <w:tcW w:w="197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49564E80">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2000≤Y＜10000</w:t>
            </w:r>
          </w:p>
        </w:tc>
        <w:tc>
          <w:tcPr>
            <w:tcW w:w="176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5F40A62F">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100≤Y＜2000</w:t>
            </w:r>
          </w:p>
        </w:tc>
        <w:tc>
          <w:tcPr>
            <w:tcW w:w="10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4056249F">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14:paraId="188B0694">
        <w:tblPrEx>
          <w:tblCellMar>
            <w:top w:w="0" w:type="dxa"/>
            <w:left w:w="0" w:type="dxa"/>
            <w:bottom w:w="0" w:type="dxa"/>
            <w:right w:w="0" w:type="dxa"/>
          </w:tblCellMar>
        </w:tblPrEx>
        <w:trPr>
          <w:trHeight w:val="545" w:hRule="atLeast"/>
          <w:jc w:val="center"/>
        </w:trPr>
        <w:tc>
          <w:tcPr>
            <w:tcW w:w="1149" w:type="dxa"/>
            <w:vMerge w:val="restart"/>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6B83EC54">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餐饮业</w:t>
            </w:r>
          </w:p>
        </w:tc>
        <w:tc>
          <w:tcPr>
            <w:tcW w:w="1499"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57FD5E2">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3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0B0F2C61">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5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28A97798">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7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A792C81">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6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861E9A7">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43948F4">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14:paraId="24422220">
        <w:tblPrEx>
          <w:tblCellMar>
            <w:top w:w="0" w:type="dxa"/>
            <w:left w:w="0" w:type="dxa"/>
            <w:bottom w:w="0" w:type="dxa"/>
            <w:right w:w="0" w:type="dxa"/>
          </w:tblCellMar>
        </w:tblPrEx>
        <w:trPr>
          <w:trHeight w:val="545" w:hRule="atLeast"/>
          <w:jc w:val="center"/>
        </w:trPr>
        <w:tc>
          <w:tcPr>
            <w:tcW w:w="1149" w:type="dxa"/>
            <w:vMerge w:val="continue"/>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6C768C7B">
            <w:pPr>
              <w:jc w:val="center"/>
              <w:rPr>
                <w:rFonts w:ascii="宋体" w:hAnsi="宋体" w:cs="宋体"/>
                <w:color w:val="auto"/>
                <w:spacing w:val="8"/>
                <w:szCs w:val="21"/>
                <w:highlight w:val="none"/>
              </w:rPr>
            </w:pPr>
          </w:p>
        </w:tc>
        <w:tc>
          <w:tcPr>
            <w:tcW w:w="1499"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69B2982D">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3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C2A6336">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5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042BD1F6">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Y≥10000</w:t>
            </w:r>
          </w:p>
        </w:tc>
        <w:tc>
          <w:tcPr>
            <w:tcW w:w="197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4E720473">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2000≤Y＜10000</w:t>
            </w:r>
          </w:p>
        </w:tc>
        <w:tc>
          <w:tcPr>
            <w:tcW w:w="176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253343A">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100≤Y＜2000</w:t>
            </w:r>
          </w:p>
        </w:tc>
        <w:tc>
          <w:tcPr>
            <w:tcW w:w="10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B2185DF">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14:paraId="0A4CDCBE">
        <w:tblPrEx>
          <w:tblCellMar>
            <w:top w:w="0" w:type="dxa"/>
            <w:left w:w="0" w:type="dxa"/>
            <w:bottom w:w="0" w:type="dxa"/>
            <w:right w:w="0" w:type="dxa"/>
          </w:tblCellMar>
        </w:tblPrEx>
        <w:trPr>
          <w:trHeight w:val="545" w:hRule="atLeast"/>
          <w:jc w:val="center"/>
        </w:trPr>
        <w:tc>
          <w:tcPr>
            <w:tcW w:w="1149" w:type="dxa"/>
            <w:vMerge w:val="restart"/>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55458F96">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信息传输业*</w:t>
            </w:r>
          </w:p>
        </w:tc>
        <w:tc>
          <w:tcPr>
            <w:tcW w:w="1499"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565BF81">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3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3E6373C">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5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B524A6F">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X≥2000</w:t>
            </w:r>
          </w:p>
        </w:tc>
        <w:tc>
          <w:tcPr>
            <w:tcW w:w="197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27705C4A">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100≤X＜2000</w:t>
            </w:r>
          </w:p>
        </w:tc>
        <w:tc>
          <w:tcPr>
            <w:tcW w:w="176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3EFFF50A">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106DF18A">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14:paraId="5EBA4B2C">
        <w:tblPrEx>
          <w:tblCellMar>
            <w:top w:w="0" w:type="dxa"/>
            <w:left w:w="0" w:type="dxa"/>
            <w:bottom w:w="0" w:type="dxa"/>
            <w:right w:w="0" w:type="dxa"/>
          </w:tblCellMar>
        </w:tblPrEx>
        <w:trPr>
          <w:trHeight w:val="545" w:hRule="atLeast"/>
          <w:jc w:val="center"/>
        </w:trPr>
        <w:tc>
          <w:tcPr>
            <w:tcW w:w="1149" w:type="dxa"/>
            <w:vMerge w:val="continue"/>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23ADCFB8">
            <w:pPr>
              <w:jc w:val="center"/>
              <w:rPr>
                <w:rFonts w:ascii="宋体" w:hAnsi="宋体" w:cs="宋体"/>
                <w:color w:val="auto"/>
                <w:spacing w:val="8"/>
                <w:szCs w:val="21"/>
                <w:highlight w:val="none"/>
              </w:rPr>
            </w:pPr>
          </w:p>
        </w:tc>
        <w:tc>
          <w:tcPr>
            <w:tcW w:w="1499"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3B7A1A63">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3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702A033">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5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0DADB654">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Y≥100000</w:t>
            </w:r>
          </w:p>
        </w:tc>
        <w:tc>
          <w:tcPr>
            <w:tcW w:w="197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0E4304A6">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1000≤Y＜100000</w:t>
            </w:r>
          </w:p>
        </w:tc>
        <w:tc>
          <w:tcPr>
            <w:tcW w:w="176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EE828F5">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100≤Y＜1000</w:t>
            </w:r>
          </w:p>
        </w:tc>
        <w:tc>
          <w:tcPr>
            <w:tcW w:w="10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752F6097">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14:paraId="30C0D5EF">
        <w:tblPrEx>
          <w:tblCellMar>
            <w:top w:w="0" w:type="dxa"/>
            <w:left w:w="0" w:type="dxa"/>
            <w:bottom w:w="0" w:type="dxa"/>
            <w:right w:w="0" w:type="dxa"/>
          </w:tblCellMar>
        </w:tblPrEx>
        <w:trPr>
          <w:trHeight w:val="545" w:hRule="atLeast"/>
          <w:jc w:val="center"/>
        </w:trPr>
        <w:tc>
          <w:tcPr>
            <w:tcW w:w="1149" w:type="dxa"/>
            <w:vMerge w:val="restart"/>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4CFC529D">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15"/>
                <w:sz w:val="21"/>
                <w:szCs w:val="21"/>
                <w:highlight w:val="none"/>
              </w:rPr>
              <w:t>软件和信息技术服</w:t>
            </w:r>
            <w:r>
              <w:rPr>
                <w:rFonts w:hint="eastAsia" w:ascii="宋体" w:hAnsi="宋体" w:cs="宋体"/>
                <w:color w:val="auto"/>
                <w:spacing w:val="8"/>
                <w:sz w:val="21"/>
                <w:szCs w:val="21"/>
                <w:highlight w:val="none"/>
              </w:rPr>
              <w:t>务业</w:t>
            </w:r>
          </w:p>
        </w:tc>
        <w:tc>
          <w:tcPr>
            <w:tcW w:w="1499"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FAEB0EC">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3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93D4046">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5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CBF6DB3">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7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1BFA3359">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6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09144739">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3B010D4">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14:paraId="7CED7C79">
        <w:tblPrEx>
          <w:tblCellMar>
            <w:top w:w="0" w:type="dxa"/>
            <w:left w:w="0" w:type="dxa"/>
            <w:bottom w:w="0" w:type="dxa"/>
            <w:right w:w="0" w:type="dxa"/>
          </w:tblCellMar>
        </w:tblPrEx>
        <w:trPr>
          <w:trHeight w:val="545" w:hRule="atLeast"/>
          <w:jc w:val="center"/>
        </w:trPr>
        <w:tc>
          <w:tcPr>
            <w:tcW w:w="1149" w:type="dxa"/>
            <w:vMerge w:val="continue"/>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69431D35">
            <w:pPr>
              <w:jc w:val="center"/>
              <w:rPr>
                <w:rFonts w:ascii="宋体" w:hAnsi="宋体" w:cs="宋体"/>
                <w:color w:val="auto"/>
                <w:spacing w:val="8"/>
                <w:szCs w:val="21"/>
                <w:highlight w:val="none"/>
              </w:rPr>
            </w:pPr>
          </w:p>
        </w:tc>
        <w:tc>
          <w:tcPr>
            <w:tcW w:w="1499"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4E267F5C">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3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73145F70">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5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7D779680">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Y≥10000</w:t>
            </w:r>
          </w:p>
        </w:tc>
        <w:tc>
          <w:tcPr>
            <w:tcW w:w="197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177A0FAC">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1000≤Y＜10000</w:t>
            </w:r>
          </w:p>
        </w:tc>
        <w:tc>
          <w:tcPr>
            <w:tcW w:w="176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78A8DC96">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50≤Y＜1000</w:t>
            </w:r>
          </w:p>
        </w:tc>
        <w:tc>
          <w:tcPr>
            <w:tcW w:w="10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3D74E9E3">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Y＜50</w:t>
            </w:r>
          </w:p>
        </w:tc>
      </w:tr>
      <w:tr w14:paraId="5ED70F01">
        <w:tblPrEx>
          <w:tblCellMar>
            <w:top w:w="0" w:type="dxa"/>
            <w:left w:w="0" w:type="dxa"/>
            <w:bottom w:w="0" w:type="dxa"/>
            <w:right w:w="0" w:type="dxa"/>
          </w:tblCellMar>
        </w:tblPrEx>
        <w:trPr>
          <w:trHeight w:val="545" w:hRule="atLeast"/>
          <w:jc w:val="center"/>
        </w:trPr>
        <w:tc>
          <w:tcPr>
            <w:tcW w:w="1149" w:type="dxa"/>
            <w:vMerge w:val="restart"/>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30252B69">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房地产开发经营</w:t>
            </w:r>
          </w:p>
        </w:tc>
        <w:tc>
          <w:tcPr>
            <w:tcW w:w="1499"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8CAB0B8">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3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DB5C046">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5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EF62078">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Y≥200000</w:t>
            </w:r>
          </w:p>
        </w:tc>
        <w:tc>
          <w:tcPr>
            <w:tcW w:w="197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C08F009">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1000≤Y＜200000</w:t>
            </w:r>
          </w:p>
        </w:tc>
        <w:tc>
          <w:tcPr>
            <w:tcW w:w="176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4665FF5">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100≤Y＜1000</w:t>
            </w:r>
          </w:p>
        </w:tc>
        <w:tc>
          <w:tcPr>
            <w:tcW w:w="10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004BC90">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14:paraId="31F3FF0E">
        <w:tblPrEx>
          <w:tblCellMar>
            <w:top w:w="0" w:type="dxa"/>
            <w:left w:w="0" w:type="dxa"/>
            <w:bottom w:w="0" w:type="dxa"/>
            <w:right w:w="0" w:type="dxa"/>
          </w:tblCellMar>
        </w:tblPrEx>
        <w:trPr>
          <w:trHeight w:val="545" w:hRule="atLeast"/>
          <w:jc w:val="center"/>
        </w:trPr>
        <w:tc>
          <w:tcPr>
            <w:tcW w:w="1149" w:type="dxa"/>
            <w:vMerge w:val="continue"/>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5640A5C3">
            <w:pPr>
              <w:jc w:val="center"/>
              <w:rPr>
                <w:rFonts w:ascii="宋体" w:hAnsi="宋体" w:cs="宋体"/>
                <w:color w:val="auto"/>
                <w:spacing w:val="8"/>
                <w:szCs w:val="21"/>
                <w:highlight w:val="none"/>
              </w:rPr>
            </w:pPr>
          </w:p>
        </w:tc>
        <w:tc>
          <w:tcPr>
            <w:tcW w:w="1499"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4D1BC1D0">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资产总额(Z)</w:t>
            </w:r>
          </w:p>
        </w:tc>
        <w:tc>
          <w:tcPr>
            <w:tcW w:w="73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54907A76">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5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3CF44838">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Z≥10000</w:t>
            </w:r>
          </w:p>
        </w:tc>
        <w:tc>
          <w:tcPr>
            <w:tcW w:w="197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46640BCB">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5000≤Z＜10000</w:t>
            </w:r>
          </w:p>
        </w:tc>
        <w:tc>
          <w:tcPr>
            <w:tcW w:w="176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4B6260DC">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2000≤Z＜5000</w:t>
            </w:r>
          </w:p>
        </w:tc>
        <w:tc>
          <w:tcPr>
            <w:tcW w:w="10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3D8A98E5">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Z＜2000</w:t>
            </w:r>
          </w:p>
        </w:tc>
      </w:tr>
      <w:tr w14:paraId="3E3FD8F0">
        <w:tblPrEx>
          <w:tblCellMar>
            <w:top w:w="0" w:type="dxa"/>
            <w:left w:w="0" w:type="dxa"/>
            <w:bottom w:w="0" w:type="dxa"/>
            <w:right w:w="0" w:type="dxa"/>
          </w:tblCellMar>
        </w:tblPrEx>
        <w:trPr>
          <w:trHeight w:val="545" w:hRule="atLeast"/>
          <w:jc w:val="center"/>
        </w:trPr>
        <w:tc>
          <w:tcPr>
            <w:tcW w:w="1149" w:type="dxa"/>
            <w:vMerge w:val="restart"/>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5EF9F246">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物业管理</w:t>
            </w:r>
          </w:p>
        </w:tc>
        <w:tc>
          <w:tcPr>
            <w:tcW w:w="1499"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1B15497B">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3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16473222">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5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595D87C">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X≥1000</w:t>
            </w:r>
          </w:p>
        </w:tc>
        <w:tc>
          <w:tcPr>
            <w:tcW w:w="197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08F799CD">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300≤X＜1000</w:t>
            </w:r>
          </w:p>
        </w:tc>
        <w:tc>
          <w:tcPr>
            <w:tcW w:w="176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87292FE">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0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07A80073">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w:t>
            </w:r>
          </w:p>
        </w:tc>
      </w:tr>
      <w:tr w14:paraId="2930C191">
        <w:tblPrEx>
          <w:tblCellMar>
            <w:top w:w="0" w:type="dxa"/>
            <w:left w:w="0" w:type="dxa"/>
            <w:bottom w:w="0" w:type="dxa"/>
            <w:right w:w="0" w:type="dxa"/>
          </w:tblCellMar>
        </w:tblPrEx>
        <w:trPr>
          <w:trHeight w:val="545" w:hRule="atLeast"/>
          <w:jc w:val="center"/>
        </w:trPr>
        <w:tc>
          <w:tcPr>
            <w:tcW w:w="1149" w:type="dxa"/>
            <w:vMerge w:val="continue"/>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6F55DD1E">
            <w:pPr>
              <w:jc w:val="center"/>
              <w:rPr>
                <w:rFonts w:ascii="宋体" w:hAnsi="宋体" w:cs="宋体"/>
                <w:color w:val="auto"/>
                <w:spacing w:val="8"/>
                <w:szCs w:val="21"/>
                <w:highlight w:val="none"/>
              </w:rPr>
            </w:pPr>
          </w:p>
        </w:tc>
        <w:tc>
          <w:tcPr>
            <w:tcW w:w="1499"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13377BBA">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3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38AD2A61">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5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304729C8">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Y≥5000</w:t>
            </w:r>
          </w:p>
        </w:tc>
        <w:tc>
          <w:tcPr>
            <w:tcW w:w="197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0E353BB3">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1000≤Y＜5000</w:t>
            </w:r>
          </w:p>
        </w:tc>
        <w:tc>
          <w:tcPr>
            <w:tcW w:w="176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3696A550">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500≤Y＜1000</w:t>
            </w:r>
          </w:p>
        </w:tc>
        <w:tc>
          <w:tcPr>
            <w:tcW w:w="10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12357568">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Y＜500</w:t>
            </w:r>
          </w:p>
        </w:tc>
      </w:tr>
      <w:tr w14:paraId="2DD74F83">
        <w:tblPrEx>
          <w:tblCellMar>
            <w:top w:w="0" w:type="dxa"/>
            <w:left w:w="0" w:type="dxa"/>
            <w:bottom w:w="0" w:type="dxa"/>
            <w:right w:w="0" w:type="dxa"/>
          </w:tblCellMar>
        </w:tblPrEx>
        <w:trPr>
          <w:trHeight w:val="545" w:hRule="atLeast"/>
          <w:jc w:val="center"/>
        </w:trPr>
        <w:tc>
          <w:tcPr>
            <w:tcW w:w="1149" w:type="dxa"/>
            <w:vMerge w:val="restart"/>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07E629F2">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租赁和商务服务业</w:t>
            </w:r>
          </w:p>
        </w:tc>
        <w:tc>
          <w:tcPr>
            <w:tcW w:w="1499"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3B6F4A45">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3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B569AA3">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5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2B9045AB">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7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315E098A">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6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2B67E52C">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350FEB5">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14:paraId="090E674E">
        <w:tblPrEx>
          <w:tblCellMar>
            <w:top w:w="0" w:type="dxa"/>
            <w:left w:w="0" w:type="dxa"/>
            <w:bottom w:w="0" w:type="dxa"/>
            <w:right w:w="0" w:type="dxa"/>
          </w:tblCellMar>
        </w:tblPrEx>
        <w:trPr>
          <w:trHeight w:val="545" w:hRule="atLeast"/>
          <w:jc w:val="center"/>
        </w:trPr>
        <w:tc>
          <w:tcPr>
            <w:tcW w:w="1149" w:type="dxa"/>
            <w:vMerge w:val="continue"/>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1A0544B8">
            <w:pPr>
              <w:jc w:val="center"/>
              <w:rPr>
                <w:rFonts w:ascii="宋体" w:hAnsi="宋体" w:cs="宋体"/>
                <w:color w:val="auto"/>
                <w:spacing w:val="8"/>
                <w:szCs w:val="21"/>
                <w:highlight w:val="none"/>
              </w:rPr>
            </w:pPr>
          </w:p>
        </w:tc>
        <w:tc>
          <w:tcPr>
            <w:tcW w:w="1499"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7D4A198">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资产总额(Z)</w:t>
            </w:r>
          </w:p>
        </w:tc>
        <w:tc>
          <w:tcPr>
            <w:tcW w:w="73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185F026A">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5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E4B128B">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Z≥120000</w:t>
            </w:r>
          </w:p>
        </w:tc>
        <w:tc>
          <w:tcPr>
            <w:tcW w:w="197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4284C1F6">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8000≤Z＜120000</w:t>
            </w:r>
          </w:p>
        </w:tc>
        <w:tc>
          <w:tcPr>
            <w:tcW w:w="176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7479086F">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100≤Z＜8000</w:t>
            </w:r>
          </w:p>
        </w:tc>
        <w:tc>
          <w:tcPr>
            <w:tcW w:w="10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74A4F212">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Z＜100</w:t>
            </w:r>
          </w:p>
        </w:tc>
      </w:tr>
      <w:tr w14:paraId="3E596224">
        <w:tblPrEx>
          <w:tblCellMar>
            <w:top w:w="0" w:type="dxa"/>
            <w:left w:w="0" w:type="dxa"/>
            <w:bottom w:w="0" w:type="dxa"/>
            <w:right w:w="0" w:type="dxa"/>
          </w:tblCellMar>
        </w:tblPrEx>
        <w:trPr>
          <w:trHeight w:val="630" w:hRule="atLeast"/>
          <w:jc w:val="center"/>
        </w:trPr>
        <w:tc>
          <w:tcPr>
            <w:tcW w:w="1149" w:type="dxa"/>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1133B4B0">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其他未列明行业*</w:t>
            </w:r>
          </w:p>
        </w:tc>
        <w:tc>
          <w:tcPr>
            <w:tcW w:w="1499"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ACE3147">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3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7D2F9A3">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5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29E83A4B">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7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1A663A5F">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6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80AD417">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21B0107B">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bl>
    <w:p w14:paraId="6B744031">
      <w:pPr>
        <w:spacing w:line="42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说明：1.大型、中型和小型企业须</w:t>
      </w:r>
      <w:r>
        <w:rPr>
          <w:rFonts w:hint="eastAsia" w:ascii="宋体" w:hAnsi="宋体" w:cs="宋体"/>
          <w:b/>
          <w:bCs/>
          <w:color w:val="auto"/>
          <w:kern w:val="0"/>
          <w:szCs w:val="21"/>
          <w:highlight w:val="none"/>
        </w:rPr>
        <w:t>同时满足所列指标的下限，否则下划一档</w:t>
      </w:r>
      <w:r>
        <w:rPr>
          <w:rFonts w:hint="eastAsia" w:ascii="宋体" w:hAnsi="宋体" w:cs="宋体"/>
          <w:color w:val="auto"/>
          <w:kern w:val="0"/>
          <w:szCs w:val="21"/>
          <w:highlight w:val="none"/>
        </w:rPr>
        <w:t>；微型企业只须满足所列指标中的一项即可。</w:t>
      </w:r>
    </w:p>
    <w:p w14:paraId="431EDFC9">
      <w:pPr>
        <w:numPr>
          <w:ilvl w:val="0"/>
          <w:numId w:val="3"/>
        </w:numPr>
        <w:spacing w:line="42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附表中各行业的范围以《国民经济行业分类》（GB/T4754-2017）为准。</w:t>
      </w:r>
      <w:r>
        <w:rPr>
          <w:rFonts w:hint="eastAsia" w:ascii="宋体" w:hAnsi="宋体" w:cs="宋体"/>
          <w:b/>
          <w:bCs/>
          <w:color w:val="auto"/>
          <w:kern w:val="0"/>
          <w:szCs w:val="21"/>
          <w:highlight w:val="none"/>
        </w:rPr>
        <w:t>带*的项为行业组合类别</w:t>
      </w:r>
      <w:r>
        <w:rPr>
          <w:rFonts w:hint="eastAsia" w:ascii="宋体" w:hAnsi="宋体" w:cs="宋体"/>
          <w:color w:val="auto"/>
          <w:kern w:val="0"/>
          <w:szCs w:val="21"/>
          <w:highlight w:val="none"/>
        </w:rPr>
        <w:t>，其中，</w:t>
      </w:r>
      <w:r>
        <w:rPr>
          <w:rFonts w:hint="eastAsia" w:ascii="宋体" w:hAnsi="宋体" w:cs="宋体"/>
          <w:b/>
          <w:bCs/>
          <w:color w:val="auto"/>
          <w:kern w:val="0"/>
          <w:szCs w:val="21"/>
          <w:highlight w:val="none"/>
        </w:rPr>
        <w:t>工业</w:t>
      </w:r>
      <w:r>
        <w:rPr>
          <w:rFonts w:hint="eastAsia" w:ascii="宋体" w:hAnsi="宋体" w:cs="宋体"/>
          <w:color w:val="auto"/>
          <w:kern w:val="0"/>
          <w:szCs w:val="21"/>
          <w:highlight w:val="none"/>
        </w:rPr>
        <w:t>包括采矿业，制造业，电力、热力、燃气及水生产和供应业；</w:t>
      </w:r>
      <w:r>
        <w:rPr>
          <w:rFonts w:hint="eastAsia" w:ascii="宋体" w:hAnsi="宋体" w:cs="宋体"/>
          <w:b/>
          <w:bCs/>
          <w:color w:val="auto"/>
          <w:kern w:val="0"/>
          <w:szCs w:val="21"/>
          <w:highlight w:val="none"/>
        </w:rPr>
        <w:t>交通运输业</w:t>
      </w:r>
      <w:r>
        <w:rPr>
          <w:rFonts w:hint="eastAsia" w:ascii="宋体" w:hAnsi="宋体" w:cs="宋体"/>
          <w:color w:val="auto"/>
          <w:kern w:val="0"/>
          <w:szCs w:val="21"/>
          <w:highlight w:val="none"/>
        </w:rPr>
        <w:t>包括道路运输业，水上运输业，航空运输业，管道运输业，多式联运和运输代理业、装卸搬运，不包括铁路运输业；</w:t>
      </w:r>
      <w:r>
        <w:rPr>
          <w:rFonts w:hint="eastAsia" w:ascii="宋体" w:hAnsi="宋体" w:cs="宋体"/>
          <w:b/>
          <w:bCs/>
          <w:color w:val="auto"/>
          <w:kern w:val="0"/>
          <w:szCs w:val="21"/>
          <w:highlight w:val="none"/>
        </w:rPr>
        <w:t>仓储业</w:t>
      </w:r>
      <w:r>
        <w:rPr>
          <w:rFonts w:hint="eastAsia" w:ascii="宋体" w:hAnsi="宋体" w:cs="宋体"/>
          <w:color w:val="auto"/>
          <w:kern w:val="0"/>
          <w:szCs w:val="21"/>
          <w:highlight w:val="none"/>
        </w:rPr>
        <w:t>包括通用仓储，低温仓储，危险品仓储，谷物、棉花等农产品仓储，中药材仓储和其他仓储业；</w:t>
      </w:r>
      <w:r>
        <w:rPr>
          <w:rFonts w:hint="eastAsia" w:ascii="宋体" w:hAnsi="宋体" w:cs="宋体"/>
          <w:b/>
          <w:bCs/>
          <w:color w:val="auto"/>
          <w:kern w:val="0"/>
          <w:szCs w:val="21"/>
          <w:highlight w:val="none"/>
        </w:rPr>
        <w:t>信息传输业</w:t>
      </w:r>
      <w:r>
        <w:rPr>
          <w:rFonts w:hint="eastAsia" w:ascii="宋体" w:hAnsi="宋体" w:cs="宋体"/>
          <w:color w:val="auto"/>
          <w:kern w:val="0"/>
          <w:szCs w:val="21"/>
          <w:highlight w:val="none"/>
        </w:rPr>
        <w:t>包括电信、广播电视和卫星传输服务，互联网和相关服务；</w:t>
      </w:r>
      <w:r>
        <w:rPr>
          <w:rFonts w:hint="eastAsia" w:ascii="宋体" w:hAnsi="宋体" w:cs="宋体"/>
          <w:b/>
          <w:bCs/>
          <w:color w:val="auto"/>
          <w:kern w:val="0"/>
          <w:szCs w:val="21"/>
          <w:highlight w:val="none"/>
        </w:rPr>
        <w:t>其他未列明行业</w:t>
      </w:r>
      <w:r>
        <w:rPr>
          <w:rFonts w:hint="eastAsia" w:ascii="宋体" w:hAnsi="宋体" w:cs="宋体"/>
          <w:color w:val="auto"/>
          <w:kern w:val="0"/>
          <w:szCs w:val="21"/>
          <w:highlight w:val="none"/>
        </w:rPr>
        <w:t>包括科学研究和技术服务业，水利、环境和公共设施管理业，居民服务、修理和其他服务业，社会工作，文化、体育和娱乐业，以及房地产中介服务，其他房地产业等，不包括自有房地产经营活动。</w:t>
      </w:r>
    </w:p>
    <w:p w14:paraId="43B23F39">
      <w:pPr>
        <w:numPr>
          <w:ilvl w:val="0"/>
          <w:numId w:val="3"/>
        </w:numPr>
        <w:spacing w:line="42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企业划分指标以现行统计制度为准。</w:t>
      </w:r>
    </w:p>
    <w:p w14:paraId="0C5F0810">
      <w:pPr>
        <w:spacing w:line="42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（1）从业人员，是指期末从业人员数，没有期末从业人员数的，采用全年平均人员数代替。</w:t>
      </w:r>
    </w:p>
    <w:p w14:paraId="29016493">
      <w:pPr>
        <w:spacing w:line="42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47AD403">
      <w:pPr>
        <w:spacing w:line="420" w:lineRule="exact"/>
        <w:ind w:left="420" w:leftChars="200"/>
        <w:rPr>
          <w:rFonts w:ascii="宋体" w:hAnsi="宋体" w:cs="宋体"/>
          <w:color w:val="auto"/>
          <w:kern w:val="0"/>
          <w:szCs w:val="21"/>
          <w:highlight w:val="none"/>
        </w:rPr>
      </w:pPr>
      <w:r>
        <w:rPr>
          <w:rFonts w:hint="eastAsia" w:ascii="宋体" w:hAnsi="宋体" w:cs="宋体"/>
          <w:color w:val="auto"/>
          <w:kern w:val="0"/>
          <w:szCs w:val="21"/>
          <w:highlight w:val="none"/>
        </w:rPr>
        <w:t>（3）资产总额，采用资产总计代替。</w:t>
      </w:r>
    </w:p>
    <w:p w14:paraId="17D1B862">
      <w:pPr>
        <w:rPr>
          <w:color w:val="auto"/>
          <w:highlight w:val="none"/>
        </w:rPr>
      </w:pPr>
      <w:r>
        <w:rPr>
          <w:color w:val="auto"/>
          <w:highlight w:val="none"/>
        </w:rPr>
        <w:br w:type="page"/>
      </w:r>
    </w:p>
    <w:p w14:paraId="0F8EC7BD">
      <w:pPr>
        <w:jc w:val="left"/>
        <w:outlineLvl w:val="3"/>
        <w:rPr>
          <w:rFonts w:ascii="宋体" w:hAnsi="宋体" w:cs="宋体"/>
          <w:b/>
          <w:bCs/>
          <w:color w:val="auto"/>
          <w:highlight w:val="none"/>
        </w:rPr>
      </w:pPr>
      <w:r>
        <w:rPr>
          <w:rFonts w:hint="eastAsia" w:ascii="宋体" w:hAnsi="宋体" w:cs="宋体"/>
          <w:b/>
          <w:bCs/>
          <w:color w:val="auto"/>
          <w:highlight w:val="none"/>
        </w:rPr>
        <w:t>附件</w:t>
      </w:r>
      <w:r>
        <w:rPr>
          <w:rFonts w:hint="eastAsia" w:ascii="宋体" w:hAnsi="宋体" w:cs="宋体"/>
          <w:b/>
          <w:bCs/>
          <w:color w:val="auto"/>
          <w:highlight w:val="none"/>
          <w:lang w:val="en-US" w:eastAsia="zh-CN"/>
        </w:rPr>
        <w:t>3</w:t>
      </w:r>
      <w:r>
        <w:rPr>
          <w:rFonts w:hint="eastAsia" w:ascii="宋体" w:hAnsi="宋体" w:cs="宋体"/>
          <w:b/>
          <w:bCs/>
          <w:color w:val="auto"/>
          <w:highlight w:val="none"/>
        </w:rPr>
        <w:t>：质疑函范本</w:t>
      </w:r>
    </w:p>
    <w:p w14:paraId="05234F9E">
      <w:pPr>
        <w:rPr>
          <w:rFonts w:ascii="宋体" w:hAnsi="宋体" w:cs="宋体"/>
          <w:b/>
          <w:bCs/>
          <w:color w:val="auto"/>
          <w:highlight w:val="none"/>
        </w:rPr>
      </w:pPr>
    </w:p>
    <w:p w14:paraId="78A580DE">
      <w:pPr>
        <w:jc w:val="center"/>
        <w:rPr>
          <w:rFonts w:ascii="宋体" w:hAnsi="宋体" w:cs="宋体"/>
          <w:b/>
          <w:bCs/>
          <w:color w:val="auto"/>
          <w:highlight w:val="none"/>
        </w:rPr>
      </w:pPr>
      <w:r>
        <w:rPr>
          <w:rFonts w:hint="eastAsia" w:ascii="宋体" w:hAnsi="宋体" w:cs="宋体"/>
          <w:b/>
          <w:bCs/>
          <w:color w:val="auto"/>
          <w:highlight w:val="none"/>
        </w:rPr>
        <w:t>质疑函范本</w:t>
      </w:r>
    </w:p>
    <w:p w14:paraId="5D18C5CB">
      <w:pPr>
        <w:spacing w:line="56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一、质疑供应商基本信息</w:t>
      </w:r>
    </w:p>
    <w:p w14:paraId="3C4E4EE7">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质疑供应商：</w:t>
      </w:r>
    </w:p>
    <w:p w14:paraId="1D50BBE5">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地址：          邮编：</w:t>
      </w:r>
    </w:p>
    <w:p w14:paraId="063FFA97">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联系人：        联系电话：</w:t>
      </w:r>
    </w:p>
    <w:p w14:paraId="4FCF7C95">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授权代表：</w:t>
      </w:r>
    </w:p>
    <w:p w14:paraId="0655608A">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联系电话：</w:t>
      </w:r>
    </w:p>
    <w:p w14:paraId="169F4254">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地址：          邮编：</w:t>
      </w:r>
    </w:p>
    <w:p w14:paraId="4B668F39">
      <w:pPr>
        <w:spacing w:line="56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二、质疑项目基本情况</w:t>
      </w:r>
    </w:p>
    <w:p w14:paraId="487BB7DA">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质疑项目的名称：</w:t>
      </w:r>
    </w:p>
    <w:p w14:paraId="3D6D2C38">
      <w:pPr>
        <w:spacing w:line="56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质疑项目的编号：         包号：</w:t>
      </w:r>
    </w:p>
    <w:p w14:paraId="2EB1AD58">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采购人名称：</w:t>
      </w:r>
    </w:p>
    <w:p w14:paraId="5E361829">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招标文件获取日期: </w:t>
      </w:r>
    </w:p>
    <w:p w14:paraId="04A0E68D">
      <w:pPr>
        <w:spacing w:line="56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三、质疑事项具体内容</w:t>
      </w:r>
    </w:p>
    <w:p w14:paraId="0AA8F0B7">
      <w:pPr>
        <w:spacing w:line="56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质疑事项1:</w:t>
      </w:r>
    </w:p>
    <w:p w14:paraId="5D253111">
      <w:pPr>
        <w:spacing w:line="56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事实依据：</w:t>
      </w:r>
    </w:p>
    <w:p w14:paraId="670A14FE">
      <w:pPr>
        <w:spacing w:line="56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法律依据：</w:t>
      </w:r>
    </w:p>
    <w:p w14:paraId="1DE9DF99">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质疑事项2</w:t>
      </w:r>
    </w:p>
    <w:p w14:paraId="156E55C4">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w:t>
      </w:r>
    </w:p>
    <w:p w14:paraId="71E37048">
      <w:pPr>
        <w:spacing w:line="56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四、与质疑事项相关的质疑请求</w:t>
      </w:r>
    </w:p>
    <w:p w14:paraId="08AEAAA9">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请求：</w:t>
      </w:r>
    </w:p>
    <w:p w14:paraId="0D0F5C17">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签字(签章)：   </w:t>
      </w:r>
    </w:p>
    <w:p w14:paraId="526221A3">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公章：</w:t>
      </w:r>
    </w:p>
    <w:p w14:paraId="0B500CB9">
      <w:pPr>
        <w:spacing w:line="56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日期：</w:t>
      </w:r>
    </w:p>
    <w:p w14:paraId="6EB5CF04">
      <w:pPr>
        <w:spacing w:line="56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质疑函制作说明：</w:t>
      </w:r>
    </w:p>
    <w:p w14:paraId="6E9DD68D">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14:paraId="60475C66">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4D884D30">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14:paraId="150D5443">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14:paraId="4F232A7C">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14:paraId="40195F45">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14:paraId="3A20608F">
      <w:pPr>
        <w:rPr>
          <w:rFonts w:hint="eastAsia" w:ascii="宋体" w:hAnsi="宋体" w:cs="宋体"/>
          <w:b/>
          <w:color w:val="auto"/>
          <w:sz w:val="36"/>
          <w:szCs w:val="36"/>
          <w:highlight w:val="none"/>
        </w:rPr>
      </w:pPr>
      <w:r>
        <w:rPr>
          <w:rFonts w:hint="eastAsia" w:ascii="宋体" w:hAnsi="宋体" w:cs="宋体"/>
          <w:b/>
          <w:color w:val="auto"/>
          <w:sz w:val="36"/>
          <w:szCs w:val="36"/>
          <w:highlight w:val="none"/>
        </w:rPr>
        <w:br w:type="page"/>
      </w:r>
    </w:p>
    <w:p w14:paraId="55E8AA53">
      <w:pPr>
        <w:keepNext w:val="0"/>
        <w:keepLines w:val="0"/>
        <w:pageBreakBefore w:val="0"/>
        <w:widowControl w:val="0"/>
        <w:kinsoku/>
        <w:wordWrap/>
        <w:overflowPunct/>
        <w:topLinePunct w:val="0"/>
        <w:autoSpaceDE/>
        <w:autoSpaceDN/>
        <w:bidi w:val="0"/>
        <w:adjustRightInd/>
        <w:snapToGrid/>
        <w:spacing w:line="360" w:lineRule="auto"/>
        <w:textAlignment w:val="auto"/>
        <w:outlineLvl w:val="3"/>
        <w:rPr>
          <w:rFonts w:hint="eastAsia" w:ascii="宋体" w:hAnsi="宋体" w:eastAsia="宋体" w:cs="宋体"/>
          <w:spacing w:val="-1"/>
          <w:sz w:val="22"/>
          <w:szCs w:val="22"/>
          <w:lang w:val="en-US" w:eastAsia="zh-CN"/>
        </w:rPr>
      </w:pPr>
      <w:r>
        <w:rPr>
          <w:rFonts w:hint="eastAsia" w:ascii="宋体" w:hAnsi="宋体" w:eastAsia="宋体" w:cs="宋体"/>
          <w:spacing w:val="-1"/>
          <w:sz w:val="22"/>
          <w:szCs w:val="22"/>
          <w:lang w:val="en-US" w:eastAsia="zh-CN"/>
        </w:rPr>
        <w:t>附件</w:t>
      </w:r>
      <w:r>
        <w:rPr>
          <w:rFonts w:hint="eastAsia" w:ascii="宋体" w:hAnsi="宋体" w:cs="宋体"/>
          <w:spacing w:val="-1"/>
          <w:sz w:val="22"/>
          <w:szCs w:val="22"/>
          <w:lang w:val="en-US" w:eastAsia="zh-CN"/>
        </w:rPr>
        <w:t>4</w:t>
      </w:r>
      <w:r>
        <w:rPr>
          <w:rFonts w:hint="eastAsia" w:ascii="宋体" w:hAnsi="宋体" w:eastAsia="宋体" w:cs="宋体"/>
          <w:spacing w:val="-1"/>
          <w:sz w:val="22"/>
          <w:szCs w:val="22"/>
          <w:lang w:val="en-US" w:eastAsia="zh-CN"/>
        </w:rPr>
        <w:t>：环境标志产品政府采购品目清单</w:t>
      </w:r>
    </w:p>
    <w:p w14:paraId="4699CBA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spacing w:val="-1"/>
          <w:sz w:val="22"/>
          <w:szCs w:val="22"/>
          <w:lang w:val="en-US" w:eastAsia="zh-CN"/>
        </w:rPr>
      </w:pPr>
      <w:r>
        <w:rPr>
          <w:rFonts w:hint="default" w:ascii="宋体" w:hAnsi="宋体" w:eastAsia="宋体" w:cs="宋体"/>
          <w:spacing w:val="-1"/>
          <w:sz w:val="22"/>
          <w:szCs w:val="22"/>
          <w:lang w:val="en-US" w:eastAsia="zh-CN"/>
        </w:rPr>
        <w:drawing>
          <wp:inline distT="0" distB="0" distL="114300" distR="114300">
            <wp:extent cx="5587365" cy="7901940"/>
            <wp:effectExtent l="0" t="0" r="635" b="22860"/>
            <wp:docPr id="32" name="图片 32" descr="环境标志产品政府采购品目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环境标志产品政府采购品目清单_00"/>
                    <pic:cNvPicPr>
                      <a:picLocks noChangeAspect="1"/>
                    </pic:cNvPicPr>
                  </pic:nvPicPr>
                  <pic:blipFill>
                    <a:blip r:embed="rId19"/>
                    <a:stretch>
                      <a:fillRect/>
                    </a:stretch>
                  </pic:blipFill>
                  <pic:spPr>
                    <a:xfrm>
                      <a:off x="0" y="0"/>
                      <a:ext cx="5587365" cy="7901940"/>
                    </a:xfrm>
                    <a:prstGeom prst="rect">
                      <a:avLst/>
                    </a:prstGeom>
                  </pic:spPr>
                </pic:pic>
              </a:graphicData>
            </a:graphic>
          </wp:inline>
        </w:drawing>
      </w:r>
      <w:r>
        <w:rPr>
          <w:rFonts w:hint="default" w:ascii="宋体" w:hAnsi="宋体" w:eastAsia="宋体" w:cs="宋体"/>
          <w:spacing w:val="-1"/>
          <w:sz w:val="22"/>
          <w:szCs w:val="22"/>
          <w:lang w:val="en-US" w:eastAsia="zh-CN"/>
        </w:rPr>
        <w:drawing>
          <wp:inline distT="0" distB="0" distL="114300" distR="114300">
            <wp:extent cx="5587365" cy="7901940"/>
            <wp:effectExtent l="0" t="0" r="635" b="22860"/>
            <wp:docPr id="31" name="图片 31" descr="环境标志产品政府采购品目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环境标志产品政府采购品目清单_01"/>
                    <pic:cNvPicPr>
                      <a:picLocks noChangeAspect="1"/>
                    </pic:cNvPicPr>
                  </pic:nvPicPr>
                  <pic:blipFill>
                    <a:blip r:embed="rId20"/>
                    <a:stretch>
                      <a:fillRect/>
                    </a:stretch>
                  </pic:blipFill>
                  <pic:spPr>
                    <a:xfrm>
                      <a:off x="0" y="0"/>
                      <a:ext cx="5587365" cy="7901940"/>
                    </a:xfrm>
                    <a:prstGeom prst="rect">
                      <a:avLst/>
                    </a:prstGeom>
                  </pic:spPr>
                </pic:pic>
              </a:graphicData>
            </a:graphic>
          </wp:inline>
        </w:drawing>
      </w:r>
      <w:r>
        <w:rPr>
          <w:rFonts w:hint="default" w:ascii="宋体" w:hAnsi="宋体" w:eastAsia="宋体" w:cs="宋体"/>
          <w:spacing w:val="-1"/>
          <w:sz w:val="22"/>
          <w:szCs w:val="22"/>
          <w:lang w:val="en-US" w:eastAsia="zh-CN"/>
        </w:rPr>
        <w:drawing>
          <wp:inline distT="0" distB="0" distL="114300" distR="114300">
            <wp:extent cx="5587365" cy="7901940"/>
            <wp:effectExtent l="0" t="0" r="635" b="22860"/>
            <wp:docPr id="30" name="图片 30" descr="环境标志产品政府采购品目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环境标志产品政府采购品目清单_02"/>
                    <pic:cNvPicPr>
                      <a:picLocks noChangeAspect="1"/>
                    </pic:cNvPicPr>
                  </pic:nvPicPr>
                  <pic:blipFill>
                    <a:blip r:embed="rId21"/>
                    <a:stretch>
                      <a:fillRect/>
                    </a:stretch>
                  </pic:blipFill>
                  <pic:spPr>
                    <a:xfrm>
                      <a:off x="0" y="0"/>
                      <a:ext cx="5587365" cy="7901940"/>
                    </a:xfrm>
                    <a:prstGeom prst="rect">
                      <a:avLst/>
                    </a:prstGeom>
                  </pic:spPr>
                </pic:pic>
              </a:graphicData>
            </a:graphic>
          </wp:inline>
        </w:drawing>
      </w:r>
      <w:r>
        <w:rPr>
          <w:rFonts w:hint="default" w:ascii="宋体" w:hAnsi="宋体" w:eastAsia="宋体" w:cs="宋体"/>
          <w:spacing w:val="-1"/>
          <w:sz w:val="22"/>
          <w:szCs w:val="22"/>
          <w:lang w:val="en-US" w:eastAsia="zh-CN"/>
        </w:rPr>
        <w:drawing>
          <wp:inline distT="0" distB="0" distL="114300" distR="114300">
            <wp:extent cx="5587365" cy="7901940"/>
            <wp:effectExtent l="0" t="0" r="635" b="22860"/>
            <wp:docPr id="29" name="图片 29" descr="环境标志产品政府采购品目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环境标志产品政府采购品目清单_03"/>
                    <pic:cNvPicPr>
                      <a:picLocks noChangeAspect="1"/>
                    </pic:cNvPicPr>
                  </pic:nvPicPr>
                  <pic:blipFill>
                    <a:blip r:embed="rId22"/>
                    <a:stretch>
                      <a:fillRect/>
                    </a:stretch>
                  </pic:blipFill>
                  <pic:spPr>
                    <a:xfrm>
                      <a:off x="0" y="0"/>
                      <a:ext cx="5587365" cy="7901940"/>
                    </a:xfrm>
                    <a:prstGeom prst="rect">
                      <a:avLst/>
                    </a:prstGeom>
                  </pic:spPr>
                </pic:pic>
              </a:graphicData>
            </a:graphic>
          </wp:inline>
        </w:drawing>
      </w:r>
    </w:p>
    <w:p w14:paraId="537109AE">
      <w:pPr>
        <w:rPr>
          <w:rFonts w:hint="default" w:ascii="宋体" w:hAnsi="宋体" w:eastAsia="宋体" w:cs="宋体"/>
          <w:spacing w:val="-1"/>
          <w:sz w:val="22"/>
          <w:szCs w:val="22"/>
          <w:lang w:val="en-US" w:eastAsia="zh-CN"/>
        </w:rPr>
      </w:pPr>
      <w:r>
        <w:rPr>
          <w:rFonts w:hint="default" w:ascii="宋体" w:hAnsi="宋体" w:eastAsia="宋体" w:cs="宋体"/>
          <w:spacing w:val="-1"/>
          <w:sz w:val="22"/>
          <w:szCs w:val="22"/>
          <w:lang w:val="en-US" w:eastAsia="zh-CN"/>
        </w:rPr>
        <w:br w:type="page"/>
      </w:r>
    </w:p>
    <w:p w14:paraId="73C456A7">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3"/>
        <w:rPr>
          <w:rFonts w:hint="eastAsia" w:ascii="宋体" w:hAnsi="宋体" w:cs="宋体"/>
          <w:spacing w:val="-1"/>
          <w:sz w:val="22"/>
          <w:szCs w:val="22"/>
          <w:lang w:val="en-US" w:eastAsia="zh-CN"/>
        </w:rPr>
      </w:pPr>
      <w:r>
        <w:rPr>
          <w:rFonts w:hint="eastAsia" w:ascii="宋体" w:hAnsi="宋体" w:cs="宋体"/>
          <w:spacing w:val="-1"/>
          <w:sz w:val="22"/>
          <w:szCs w:val="22"/>
          <w:lang w:val="en-US" w:eastAsia="zh-CN"/>
        </w:rPr>
        <w:t>附件5：节能产品政府采购品目清单</w:t>
      </w:r>
    </w:p>
    <w:p w14:paraId="27D26A31">
      <w:pPr>
        <w:rPr>
          <w:rFonts w:hint="eastAsia" w:ascii="宋体" w:hAnsi="宋体" w:cs="宋体"/>
          <w:spacing w:val="-1"/>
          <w:sz w:val="22"/>
          <w:szCs w:val="22"/>
          <w:lang w:val="en-US" w:eastAsia="zh-CN"/>
        </w:rPr>
      </w:pPr>
      <w:r>
        <w:rPr>
          <w:rFonts w:hint="default" w:ascii="宋体" w:hAnsi="宋体" w:eastAsia="宋体" w:cs="宋体"/>
          <w:spacing w:val="-1"/>
          <w:sz w:val="22"/>
          <w:szCs w:val="22"/>
          <w:lang w:val="en-US" w:eastAsia="zh-CN"/>
        </w:rPr>
        <w:drawing>
          <wp:inline distT="0" distB="0" distL="114300" distR="114300">
            <wp:extent cx="5312410" cy="7513320"/>
            <wp:effectExtent l="0" t="0" r="21590" b="5080"/>
            <wp:docPr id="28" name="图片 28" descr="节能产品政府采购品目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节能产品政府采购品目清单_00"/>
                    <pic:cNvPicPr>
                      <a:picLocks noChangeAspect="1"/>
                    </pic:cNvPicPr>
                  </pic:nvPicPr>
                  <pic:blipFill>
                    <a:blip r:embed="rId23"/>
                    <a:stretch>
                      <a:fillRect/>
                    </a:stretch>
                  </pic:blipFill>
                  <pic:spPr>
                    <a:xfrm>
                      <a:off x="0" y="0"/>
                      <a:ext cx="5312410" cy="7513320"/>
                    </a:xfrm>
                    <a:prstGeom prst="rect">
                      <a:avLst/>
                    </a:prstGeom>
                  </pic:spPr>
                </pic:pic>
              </a:graphicData>
            </a:graphic>
          </wp:inline>
        </w:drawing>
      </w:r>
    </w:p>
    <w:p w14:paraId="1B1A8F3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spacing w:val="-1"/>
          <w:sz w:val="22"/>
          <w:szCs w:val="22"/>
          <w:lang w:val="en-US" w:eastAsia="zh-CN"/>
        </w:rPr>
      </w:pPr>
      <w:r>
        <w:rPr>
          <w:rFonts w:hint="default" w:ascii="宋体" w:hAnsi="宋体" w:eastAsia="宋体" w:cs="宋体"/>
          <w:spacing w:val="-1"/>
          <w:sz w:val="22"/>
          <w:szCs w:val="22"/>
          <w:lang w:val="en-US" w:eastAsia="zh-CN"/>
        </w:rPr>
        <w:drawing>
          <wp:inline distT="0" distB="0" distL="114300" distR="114300">
            <wp:extent cx="5587365" cy="7901940"/>
            <wp:effectExtent l="0" t="0" r="635" b="22860"/>
            <wp:docPr id="27" name="图片 27" descr="节能产品政府采购品目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节能产品政府采购品目清单_01"/>
                    <pic:cNvPicPr>
                      <a:picLocks noChangeAspect="1"/>
                    </pic:cNvPicPr>
                  </pic:nvPicPr>
                  <pic:blipFill>
                    <a:blip r:embed="rId24"/>
                    <a:stretch>
                      <a:fillRect/>
                    </a:stretch>
                  </pic:blipFill>
                  <pic:spPr>
                    <a:xfrm>
                      <a:off x="0" y="0"/>
                      <a:ext cx="5587365" cy="7901940"/>
                    </a:xfrm>
                    <a:prstGeom prst="rect">
                      <a:avLst/>
                    </a:prstGeom>
                  </pic:spPr>
                </pic:pic>
              </a:graphicData>
            </a:graphic>
          </wp:inline>
        </w:drawing>
      </w:r>
      <w:r>
        <w:rPr>
          <w:rFonts w:hint="default" w:ascii="宋体" w:hAnsi="宋体" w:eastAsia="宋体" w:cs="宋体"/>
          <w:spacing w:val="-1"/>
          <w:sz w:val="22"/>
          <w:szCs w:val="22"/>
          <w:lang w:val="en-US" w:eastAsia="zh-CN"/>
        </w:rPr>
        <w:drawing>
          <wp:inline distT="0" distB="0" distL="114300" distR="114300">
            <wp:extent cx="5587365" cy="7901940"/>
            <wp:effectExtent l="0" t="0" r="635" b="22860"/>
            <wp:docPr id="26" name="图片 26" descr="节能产品政府采购品目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节能产品政府采购品目清单_02"/>
                    <pic:cNvPicPr>
                      <a:picLocks noChangeAspect="1"/>
                    </pic:cNvPicPr>
                  </pic:nvPicPr>
                  <pic:blipFill>
                    <a:blip r:embed="rId25"/>
                    <a:stretch>
                      <a:fillRect/>
                    </a:stretch>
                  </pic:blipFill>
                  <pic:spPr>
                    <a:xfrm>
                      <a:off x="0" y="0"/>
                      <a:ext cx="5587365" cy="7901940"/>
                    </a:xfrm>
                    <a:prstGeom prst="rect">
                      <a:avLst/>
                    </a:prstGeom>
                  </pic:spPr>
                </pic:pic>
              </a:graphicData>
            </a:graphic>
          </wp:inline>
        </w:drawing>
      </w:r>
      <w:r>
        <w:rPr>
          <w:rFonts w:hint="default" w:ascii="宋体" w:hAnsi="宋体" w:eastAsia="宋体" w:cs="宋体"/>
          <w:spacing w:val="-1"/>
          <w:sz w:val="22"/>
          <w:szCs w:val="22"/>
          <w:lang w:val="en-US" w:eastAsia="zh-CN"/>
        </w:rPr>
        <w:drawing>
          <wp:inline distT="0" distB="0" distL="114300" distR="114300">
            <wp:extent cx="5587365" cy="7901940"/>
            <wp:effectExtent l="0" t="0" r="635" b="22860"/>
            <wp:docPr id="25" name="图片 25" descr="节能产品政府采购品目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节能产品政府采购品目清单_03"/>
                    <pic:cNvPicPr>
                      <a:picLocks noChangeAspect="1"/>
                    </pic:cNvPicPr>
                  </pic:nvPicPr>
                  <pic:blipFill>
                    <a:blip r:embed="rId26"/>
                    <a:stretch>
                      <a:fillRect/>
                    </a:stretch>
                  </pic:blipFill>
                  <pic:spPr>
                    <a:xfrm>
                      <a:off x="0" y="0"/>
                      <a:ext cx="5587365" cy="7901940"/>
                    </a:xfrm>
                    <a:prstGeom prst="rect">
                      <a:avLst/>
                    </a:prstGeom>
                  </pic:spPr>
                </pic:pic>
              </a:graphicData>
            </a:graphic>
          </wp:inline>
        </w:drawing>
      </w:r>
    </w:p>
    <w:p w14:paraId="7DD4BB86">
      <w:pPr>
        <w:rPr>
          <w:rFonts w:hint="default" w:ascii="宋体" w:hAnsi="宋体" w:eastAsia="宋体" w:cs="宋体"/>
          <w:spacing w:val="-1"/>
          <w:sz w:val="22"/>
          <w:szCs w:val="22"/>
          <w:lang w:val="en-US" w:eastAsia="zh-CN"/>
        </w:rPr>
      </w:pPr>
      <w:r>
        <w:rPr>
          <w:rFonts w:hint="default" w:ascii="宋体" w:hAnsi="宋体" w:eastAsia="宋体" w:cs="宋体"/>
          <w:spacing w:val="-1"/>
          <w:sz w:val="22"/>
          <w:szCs w:val="22"/>
          <w:lang w:val="en-US" w:eastAsia="zh-CN"/>
        </w:rPr>
        <w:br w:type="page"/>
      </w:r>
    </w:p>
    <w:p w14:paraId="3C84C97A">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3"/>
        <w:rPr>
          <w:rFonts w:hint="default" w:ascii="宋体" w:hAnsi="宋体" w:eastAsia="宋体" w:cs="宋体"/>
          <w:spacing w:val="-1"/>
          <w:sz w:val="22"/>
          <w:szCs w:val="22"/>
          <w:lang w:val="en-US" w:eastAsia="zh-CN"/>
        </w:rPr>
      </w:pPr>
      <w:r>
        <w:rPr>
          <w:rFonts w:hint="eastAsia" w:ascii="宋体" w:hAnsi="宋体" w:cs="宋体"/>
          <w:spacing w:val="-1"/>
          <w:sz w:val="22"/>
          <w:szCs w:val="22"/>
          <w:lang w:val="en-US" w:eastAsia="zh-CN"/>
        </w:rPr>
        <w:t>附件6：网络关键设备和网络安全专用产品目录</w:t>
      </w:r>
      <w:r>
        <w:rPr>
          <w:rFonts w:hint="default" w:ascii="宋体" w:hAnsi="宋体" w:eastAsia="宋体" w:cs="宋体"/>
          <w:spacing w:val="-1"/>
          <w:sz w:val="22"/>
          <w:szCs w:val="22"/>
          <w:lang w:val="en-US" w:eastAsia="zh-CN"/>
        </w:rPr>
        <w:drawing>
          <wp:inline distT="0" distB="0" distL="114300" distR="114300">
            <wp:extent cx="5588000" cy="8284210"/>
            <wp:effectExtent l="0" t="0" r="0" b="21590"/>
            <wp:docPr id="24" name="图片 24" descr="网络关键设备和网络安全专用产品目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网络关键设备和网络安全专用产品目录_00"/>
                    <pic:cNvPicPr>
                      <a:picLocks noChangeAspect="1"/>
                    </pic:cNvPicPr>
                  </pic:nvPicPr>
                  <pic:blipFill>
                    <a:blip r:embed="rId27"/>
                    <a:stretch>
                      <a:fillRect/>
                    </a:stretch>
                  </pic:blipFill>
                  <pic:spPr>
                    <a:xfrm>
                      <a:off x="0" y="0"/>
                      <a:ext cx="5588000" cy="8284210"/>
                    </a:xfrm>
                    <a:prstGeom prst="rect">
                      <a:avLst/>
                    </a:prstGeom>
                  </pic:spPr>
                </pic:pic>
              </a:graphicData>
            </a:graphic>
          </wp:inline>
        </w:drawing>
      </w:r>
      <w:r>
        <w:rPr>
          <w:rFonts w:hint="default" w:ascii="宋体" w:hAnsi="宋体" w:eastAsia="宋体" w:cs="宋体"/>
          <w:spacing w:val="-1"/>
          <w:sz w:val="22"/>
          <w:szCs w:val="22"/>
          <w:lang w:val="en-US" w:eastAsia="zh-CN"/>
        </w:rPr>
        <w:drawing>
          <wp:inline distT="0" distB="0" distL="114300" distR="114300">
            <wp:extent cx="5588000" cy="8284210"/>
            <wp:effectExtent l="0" t="0" r="0" b="21590"/>
            <wp:docPr id="23" name="图片 23" descr="网络关键设备和网络安全专用产品目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网络关键设备和网络安全专用产品目录_01"/>
                    <pic:cNvPicPr>
                      <a:picLocks noChangeAspect="1"/>
                    </pic:cNvPicPr>
                  </pic:nvPicPr>
                  <pic:blipFill>
                    <a:blip r:embed="rId28"/>
                    <a:stretch>
                      <a:fillRect/>
                    </a:stretch>
                  </pic:blipFill>
                  <pic:spPr>
                    <a:xfrm>
                      <a:off x="0" y="0"/>
                      <a:ext cx="5588000" cy="8284210"/>
                    </a:xfrm>
                    <a:prstGeom prst="rect">
                      <a:avLst/>
                    </a:prstGeom>
                  </pic:spPr>
                </pic:pic>
              </a:graphicData>
            </a:graphic>
          </wp:inline>
        </w:drawing>
      </w:r>
      <w:r>
        <w:rPr>
          <w:rFonts w:hint="default" w:ascii="宋体" w:hAnsi="宋体" w:eastAsia="宋体" w:cs="宋体"/>
          <w:spacing w:val="-1"/>
          <w:sz w:val="22"/>
          <w:szCs w:val="22"/>
          <w:lang w:val="en-US" w:eastAsia="zh-CN"/>
        </w:rPr>
        <w:drawing>
          <wp:inline distT="0" distB="0" distL="114300" distR="114300">
            <wp:extent cx="5588000" cy="8284210"/>
            <wp:effectExtent l="0" t="0" r="0" b="21590"/>
            <wp:docPr id="22" name="图片 22" descr="网络关键设备和网络安全专用产品目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网络关键设备和网络安全专用产品目录_02"/>
                    <pic:cNvPicPr>
                      <a:picLocks noChangeAspect="1"/>
                    </pic:cNvPicPr>
                  </pic:nvPicPr>
                  <pic:blipFill>
                    <a:blip r:embed="rId29"/>
                    <a:stretch>
                      <a:fillRect/>
                    </a:stretch>
                  </pic:blipFill>
                  <pic:spPr>
                    <a:xfrm>
                      <a:off x="0" y="0"/>
                      <a:ext cx="5588000" cy="8284210"/>
                    </a:xfrm>
                    <a:prstGeom prst="rect">
                      <a:avLst/>
                    </a:prstGeom>
                  </pic:spPr>
                </pic:pic>
              </a:graphicData>
            </a:graphic>
          </wp:inline>
        </w:drawing>
      </w:r>
      <w:r>
        <w:rPr>
          <w:rFonts w:hint="default" w:ascii="宋体" w:hAnsi="宋体" w:eastAsia="宋体" w:cs="宋体"/>
          <w:spacing w:val="-1"/>
          <w:sz w:val="22"/>
          <w:szCs w:val="22"/>
          <w:lang w:val="en-US" w:eastAsia="zh-CN"/>
        </w:rPr>
        <w:drawing>
          <wp:inline distT="0" distB="0" distL="114300" distR="114300">
            <wp:extent cx="5588000" cy="8284210"/>
            <wp:effectExtent l="0" t="0" r="0" b="21590"/>
            <wp:docPr id="21" name="图片 21" descr="网络关键设备和网络安全专用产品目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网络关键设备和网络安全专用产品目录_03"/>
                    <pic:cNvPicPr>
                      <a:picLocks noChangeAspect="1"/>
                    </pic:cNvPicPr>
                  </pic:nvPicPr>
                  <pic:blipFill>
                    <a:blip r:embed="rId30"/>
                    <a:stretch>
                      <a:fillRect/>
                    </a:stretch>
                  </pic:blipFill>
                  <pic:spPr>
                    <a:xfrm>
                      <a:off x="0" y="0"/>
                      <a:ext cx="5588000" cy="8284210"/>
                    </a:xfrm>
                    <a:prstGeom prst="rect">
                      <a:avLst/>
                    </a:prstGeom>
                  </pic:spPr>
                </pic:pic>
              </a:graphicData>
            </a:graphic>
          </wp:inline>
        </w:drawing>
      </w:r>
    </w:p>
    <w:p w14:paraId="2615974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pacing w:val="-1"/>
          <w:sz w:val="22"/>
          <w:szCs w:val="22"/>
          <w:lang w:val="en-US" w:eastAsia="zh-CN"/>
        </w:rPr>
      </w:pPr>
    </w:p>
    <w:p w14:paraId="02E479AB">
      <w:pPr>
        <w:pStyle w:val="2"/>
        <w:numPr>
          <w:ilvl w:val="0"/>
          <w:numId w:val="4"/>
        </w:numPr>
        <w:spacing w:before="0" w:after="0"/>
        <w:jc w:val="center"/>
        <w:rPr>
          <w:rFonts w:ascii="宋体" w:hAnsi="宋体" w:eastAsia="宋体" w:cs="宋体"/>
          <w:b/>
          <w:color w:val="auto"/>
          <w:sz w:val="36"/>
          <w:szCs w:val="36"/>
          <w:highlight w:val="none"/>
        </w:rPr>
      </w:pPr>
      <w:bookmarkStart w:id="204" w:name="_Toc5769"/>
      <w:bookmarkStart w:id="205" w:name="_Toc4208"/>
      <w:bookmarkStart w:id="206" w:name="_Toc517018696"/>
      <w:r>
        <w:rPr>
          <w:rFonts w:hint="eastAsia" w:ascii="宋体" w:hAnsi="宋体" w:eastAsia="宋体" w:cs="宋体"/>
          <w:b/>
          <w:color w:val="auto"/>
          <w:sz w:val="36"/>
          <w:szCs w:val="36"/>
          <w:highlight w:val="none"/>
        </w:rPr>
        <w:t>评分办法及标准</w:t>
      </w:r>
      <w:bookmarkEnd w:id="204"/>
      <w:bookmarkEnd w:id="205"/>
      <w:bookmarkEnd w:id="206"/>
    </w:p>
    <w:bookmarkEnd w:id="203"/>
    <w:p w14:paraId="0D7C10C9">
      <w:pPr>
        <w:pStyle w:val="67"/>
        <w:spacing w:before="0" w:after="0" w:line="360" w:lineRule="auto"/>
        <w:ind w:firstLine="422" w:firstLineChars="200"/>
        <w:jc w:val="both"/>
        <w:outlineLvl w:val="9"/>
        <w:rPr>
          <w:rFonts w:hAnsi="宋体"/>
          <w:color w:val="auto"/>
          <w:sz w:val="21"/>
          <w:szCs w:val="21"/>
          <w:highlight w:val="none"/>
        </w:rPr>
      </w:pPr>
      <w:bookmarkStart w:id="207" w:name="_Toc19686"/>
      <w:bookmarkStart w:id="208" w:name="_Toc26369"/>
      <w:bookmarkStart w:id="209" w:name="_Toc465"/>
      <w:bookmarkStart w:id="210" w:name="_Toc1301"/>
      <w:bookmarkStart w:id="211" w:name="_Toc2378"/>
      <w:bookmarkStart w:id="212" w:name="_Toc21337"/>
      <w:bookmarkStart w:id="213" w:name="_Toc19244"/>
      <w:bookmarkStart w:id="214" w:name="_Toc16266"/>
      <w:bookmarkStart w:id="215" w:name="_Toc23399"/>
      <w:bookmarkStart w:id="216" w:name="_Toc19241"/>
      <w:bookmarkStart w:id="217" w:name="_Toc26184"/>
      <w:bookmarkStart w:id="218" w:name="_Toc16293"/>
      <w:bookmarkStart w:id="219" w:name="_Toc16607"/>
      <w:bookmarkStart w:id="220" w:name="_Toc25514"/>
      <w:r>
        <w:rPr>
          <w:rFonts w:hint="eastAsia" w:hAnsi="宋体"/>
          <w:color w:val="auto"/>
          <w:sz w:val="21"/>
          <w:szCs w:val="21"/>
          <w:highlight w:val="none"/>
        </w:rPr>
        <w:t>一、评标依据</w:t>
      </w:r>
    </w:p>
    <w:p w14:paraId="4A02FE99">
      <w:pPr>
        <w:pStyle w:val="67"/>
        <w:spacing w:before="0" w:after="0" w:line="360" w:lineRule="auto"/>
        <w:ind w:firstLine="420" w:firstLineChars="200"/>
        <w:jc w:val="both"/>
        <w:outlineLvl w:val="9"/>
        <w:rPr>
          <w:rFonts w:hAnsi="宋体"/>
          <w:b w:val="0"/>
          <w:bCs w:val="0"/>
          <w:color w:val="auto"/>
          <w:sz w:val="21"/>
          <w:szCs w:val="21"/>
          <w:highlight w:val="none"/>
        </w:rPr>
      </w:pPr>
      <w:r>
        <w:rPr>
          <w:rFonts w:hint="eastAsia" w:hAnsi="宋体"/>
          <w:b w:val="0"/>
          <w:bCs w:val="0"/>
          <w:color w:val="auto"/>
          <w:sz w:val="21"/>
          <w:szCs w:val="21"/>
          <w:highlight w:val="none"/>
        </w:rPr>
        <w:t>1.《中华人民共和国政府采购法》；</w:t>
      </w:r>
    </w:p>
    <w:p w14:paraId="2ACD1ABB">
      <w:pPr>
        <w:pStyle w:val="67"/>
        <w:spacing w:before="0" w:after="0" w:line="360" w:lineRule="auto"/>
        <w:ind w:firstLine="420" w:firstLineChars="200"/>
        <w:jc w:val="both"/>
        <w:outlineLvl w:val="9"/>
        <w:rPr>
          <w:rFonts w:hint="eastAsia" w:hAnsi="宋体"/>
          <w:b w:val="0"/>
          <w:bCs w:val="0"/>
          <w:color w:val="auto"/>
          <w:sz w:val="21"/>
          <w:szCs w:val="21"/>
          <w:highlight w:val="none"/>
        </w:rPr>
      </w:pPr>
      <w:r>
        <w:rPr>
          <w:rFonts w:hint="eastAsia" w:hAnsi="宋体"/>
          <w:b w:val="0"/>
          <w:bCs w:val="0"/>
          <w:color w:val="auto"/>
          <w:sz w:val="21"/>
          <w:szCs w:val="21"/>
          <w:highlight w:val="none"/>
        </w:rPr>
        <w:t>2.《中华人民共和国政府采购法实施条例》；</w:t>
      </w:r>
    </w:p>
    <w:p w14:paraId="5049F801">
      <w:pPr>
        <w:pStyle w:val="67"/>
        <w:spacing w:before="0" w:after="0" w:line="360" w:lineRule="auto"/>
        <w:ind w:firstLine="420" w:firstLineChars="200"/>
        <w:jc w:val="both"/>
        <w:outlineLvl w:val="9"/>
        <w:rPr>
          <w:rFonts w:hAnsi="宋体"/>
          <w:b w:val="0"/>
          <w:bCs w:val="0"/>
          <w:color w:val="auto"/>
          <w:sz w:val="21"/>
          <w:szCs w:val="21"/>
          <w:highlight w:val="none"/>
        </w:rPr>
      </w:pPr>
      <w:r>
        <w:rPr>
          <w:rFonts w:hint="eastAsia" w:hAnsi="宋体"/>
          <w:b w:val="0"/>
          <w:bCs w:val="0"/>
          <w:color w:val="auto"/>
          <w:sz w:val="21"/>
          <w:szCs w:val="21"/>
          <w:highlight w:val="none"/>
          <w:lang w:val="en-US" w:eastAsia="zh-CN"/>
        </w:rPr>
        <w:t>3.</w:t>
      </w:r>
      <w:r>
        <w:rPr>
          <w:rFonts w:hint="eastAsia" w:hAnsi="宋体"/>
          <w:b w:val="0"/>
          <w:bCs w:val="0"/>
          <w:color w:val="auto"/>
          <w:sz w:val="21"/>
          <w:szCs w:val="21"/>
          <w:highlight w:val="none"/>
        </w:rPr>
        <w:t>《政府采购货物和服务招标投标管理办法》（财政部第 87 号令）；</w:t>
      </w:r>
    </w:p>
    <w:p w14:paraId="105B56FA">
      <w:pPr>
        <w:pStyle w:val="67"/>
        <w:spacing w:before="0" w:after="0" w:line="360" w:lineRule="auto"/>
        <w:ind w:firstLine="420" w:firstLineChars="200"/>
        <w:jc w:val="both"/>
        <w:outlineLvl w:val="9"/>
        <w:rPr>
          <w:rFonts w:hAnsi="宋体"/>
          <w:b w:val="0"/>
          <w:bCs w:val="0"/>
          <w:color w:val="auto"/>
          <w:sz w:val="21"/>
          <w:szCs w:val="21"/>
          <w:highlight w:val="none"/>
        </w:rPr>
      </w:pPr>
      <w:r>
        <w:rPr>
          <w:rFonts w:hint="eastAsia" w:hAnsi="宋体"/>
          <w:b w:val="0"/>
          <w:bCs w:val="0"/>
          <w:color w:val="auto"/>
          <w:sz w:val="21"/>
          <w:szCs w:val="21"/>
          <w:highlight w:val="none"/>
        </w:rPr>
        <w:t>4.《评标委员和评标方法暂行规定》；</w:t>
      </w:r>
    </w:p>
    <w:p w14:paraId="5337E8B2">
      <w:pPr>
        <w:pStyle w:val="67"/>
        <w:spacing w:before="0" w:after="0" w:line="360" w:lineRule="auto"/>
        <w:ind w:firstLine="420" w:firstLineChars="200"/>
        <w:jc w:val="both"/>
        <w:outlineLvl w:val="9"/>
        <w:rPr>
          <w:rFonts w:hAnsi="宋体"/>
          <w:b w:val="0"/>
          <w:bCs w:val="0"/>
          <w:color w:val="auto"/>
          <w:sz w:val="21"/>
          <w:szCs w:val="21"/>
          <w:highlight w:val="none"/>
        </w:rPr>
      </w:pPr>
      <w:r>
        <w:rPr>
          <w:rFonts w:hint="eastAsia" w:hAnsi="宋体"/>
          <w:b w:val="0"/>
          <w:bCs w:val="0"/>
          <w:color w:val="auto"/>
          <w:sz w:val="21"/>
          <w:szCs w:val="21"/>
          <w:highlight w:val="none"/>
        </w:rPr>
        <w:t>5.其他相关的法律法规、部门规章及规范性文件规定；</w:t>
      </w:r>
    </w:p>
    <w:p w14:paraId="625B96AB">
      <w:pPr>
        <w:pStyle w:val="67"/>
        <w:spacing w:before="0" w:after="0" w:line="360" w:lineRule="auto"/>
        <w:ind w:firstLine="420" w:firstLineChars="200"/>
        <w:jc w:val="both"/>
        <w:outlineLvl w:val="9"/>
        <w:rPr>
          <w:rFonts w:hAnsi="宋体"/>
          <w:b w:val="0"/>
          <w:bCs w:val="0"/>
          <w:color w:val="auto"/>
          <w:sz w:val="21"/>
          <w:szCs w:val="21"/>
          <w:highlight w:val="none"/>
        </w:rPr>
      </w:pPr>
      <w:r>
        <w:rPr>
          <w:rFonts w:hint="eastAsia" w:hAnsi="宋体"/>
          <w:b w:val="0"/>
          <w:bCs w:val="0"/>
          <w:color w:val="auto"/>
          <w:sz w:val="21"/>
          <w:szCs w:val="21"/>
          <w:highlight w:val="none"/>
        </w:rPr>
        <w:t>6.本项目招标文件。</w:t>
      </w:r>
    </w:p>
    <w:p w14:paraId="5F726E10">
      <w:pPr>
        <w:pStyle w:val="67"/>
        <w:spacing w:before="0" w:after="0" w:line="360" w:lineRule="auto"/>
        <w:ind w:firstLine="422" w:firstLineChars="200"/>
        <w:jc w:val="both"/>
        <w:outlineLvl w:val="9"/>
        <w:rPr>
          <w:rFonts w:hAnsi="宋体"/>
          <w:color w:val="auto"/>
          <w:sz w:val="21"/>
          <w:szCs w:val="21"/>
          <w:highlight w:val="none"/>
        </w:rPr>
      </w:pPr>
      <w:r>
        <w:rPr>
          <w:rFonts w:hint="eastAsia" w:hAnsi="宋体"/>
          <w:color w:val="auto"/>
          <w:sz w:val="21"/>
          <w:szCs w:val="21"/>
          <w:highlight w:val="none"/>
        </w:rPr>
        <w:t>二、评标原则</w:t>
      </w:r>
    </w:p>
    <w:p w14:paraId="1E0631BF">
      <w:pPr>
        <w:pStyle w:val="67"/>
        <w:spacing w:before="0" w:after="0" w:line="360" w:lineRule="auto"/>
        <w:ind w:firstLine="420" w:firstLineChars="200"/>
        <w:jc w:val="both"/>
        <w:outlineLvl w:val="9"/>
        <w:rPr>
          <w:rFonts w:hAnsi="宋体"/>
          <w:b w:val="0"/>
          <w:bCs w:val="0"/>
          <w:color w:val="auto"/>
          <w:sz w:val="21"/>
          <w:szCs w:val="21"/>
          <w:highlight w:val="none"/>
        </w:rPr>
      </w:pPr>
      <w:r>
        <w:rPr>
          <w:rFonts w:hint="eastAsia" w:hAnsi="宋体"/>
          <w:b w:val="0"/>
          <w:bCs w:val="0"/>
          <w:color w:val="auto"/>
          <w:sz w:val="21"/>
          <w:szCs w:val="21"/>
          <w:highlight w:val="none"/>
        </w:rPr>
        <w:t>客观、公正、审慎原则。</w:t>
      </w:r>
    </w:p>
    <w:p w14:paraId="4726B7B9">
      <w:pPr>
        <w:pStyle w:val="67"/>
        <w:spacing w:before="0" w:after="0" w:line="360" w:lineRule="auto"/>
        <w:ind w:firstLine="422" w:firstLineChars="200"/>
        <w:jc w:val="both"/>
        <w:outlineLvl w:val="9"/>
        <w:rPr>
          <w:rFonts w:hAnsi="宋体"/>
          <w:color w:val="auto"/>
          <w:sz w:val="21"/>
          <w:szCs w:val="21"/>
          <w:highlight w:val="none"/>
        </w:rPr>
      </w:pPr>
      <w:r>
        <w:rPr>
          <w:rFonts w:hint="eastAsia" w:hAnsi="宋体"/>
          <w:color w:val="auto"/>
          <w:sz w:val="21"/>
          <w:szCs w:val="21"/>
          <w:highlight w:val="none"/>
        </w:rPr>
        <w:t>三、评标方法</w:t>
      </w:r>
    </w:p>
    <w:p w14:paraId="0860D6A6">
      <w:pPr>
        <w:pStyle w:val="67"/>
        <w:spacing w:before="0" w:after="0" w:line="360" w:lineRule="auto"/>
        <w:ind w:firstLine="420" w:firstLineChars="200"/>
        <w:jc w:val="both"/>
        <w:outlineLvl w:val="9"/>
        <w:rPr>
          <w:rFonts w:hAnsi="宋体"/>
          <w:b w:val="0"/>
          <w:bCs w:val="0"/>
          <w:color w:val="auto"/>
          <w:sz w:val="21"/>
          <w:szCs w:val="21"/>
          <w:highlight w:val="none"/>
        </w:rPr>
      </w:pPr>
      <w:r>
        <w:rPr>
          <w:rFonts w:hint="eastAsia" w:hAnsi="宋体"/>
          <w:b w:val="0"/>
          <w:bCs w:val="0"/>
          <w:color w:val="auto"/>
          <w:sz w:val="21"/>
          <w:szCs w:val="21"/>
          <w:highlight w:val="none"/>
        </w:rPr>
        <w:t>本项目评标方法采用综合评分法，是指投标文件满足招标文件全部实质性要求且按照评审因素的量化指标评审得分</w:t>
      </w:r>
      <w:r>
        <w:rPr>
          <w:rFonts w:hint="eastAsia" w:hAnsi="宋体"/>
          <w:b w:val="0"/>
          <w:bCs w:val="0"/>
          <w:color w:val="auto"/>
          <w:sz w:val="21"/>
          <w:szCs w:val="21"/>
          <w:highlight w:val="none"/>
          <w:lang w:eastAsia="zh-CN"/>
        </w:rPr>
        <w:t>由高到低的顺序推荐</w:t>
      </w:r>
      <w:r>
        <w:rPr>
          <w:rFonts w:hint="eastAsia" w:hAnsi="宋体"/>
          <w:b w:val="0"/>
          <w:bCs w:val="0"/>
          <w:color w:val="auto"/>
          <w:sz w:val="21"/>
          <w:szCs w:val="21"/>
          <w:highlight w:val="none"/>
        </w:rPr>
        <w:t>中标候选人的评标方法。如汇总得分相同的，按投标报价由低到高顺序排列，得分且投标报价也相同的，按技术参数得分由高到低顺序排列，仍由相同的，由采购人随机抽取确定顺序。</w:t>
      </w:r>
    </w:p>
    <w:p w14:paraId="2869982A">
      <w:pPr>
        <w:pStyle w:val="67"/>
        <w:spacing w:before="0" w:after="0" w:line="360" w:lineRule="auto"/>
        <w:ind w:firstLine="422" w:firstLineChars="200"/>
        <w:jc w:val="both"/>
        <w:outlineLvl w:val="9"/>
        <w:rPr>
          <w:rFonts w:hAnsi="宋体"/>
          <w:color w:val="auto"/>
          <w:sz w:val="21"/>
          <w:szCs w:val="21"/>
          <w:highlight w:val="none"/>
        </w:rPr>
      </w:pPr>
      <w:r>
        <w:rPr>
          <w:rFonts w:hint="eastAsia" w:hAnsi="宋体"/>
          <w:color w:val="auto"/>
          <w:sz w:val="21"/>
          <w:szCs w:val="21"/>
          <w:highlight w:val="none"/>
        </w:rPr>
        <w:t>四、评标程序</w:t>
      </w:r>
    </w:p>
    <w:p w14:paraId="4FDC84AB">
      <w:pPr>
        <w:pStyle w:val="67"/>
        <w:spacing w:before="0" w:after="0" w:line="360" w:lineRule="auto"/>
        <w:ind w:firstLine="420" w:firstLineChars="200"/>
        <w:jc w:val="both"/>
        <w:outlineLvl w:val="9"/>
        <w:rPr>
          <w:rFonts w:hAnsi="宋体"/>
          <w:b w:val="0"/>
          <w:bCs w:val="0"/>
          <w:color w:val="auto"/>
          <w:sz w:val="21"/>
          <w:szCs w:val="21"/>
          <w:highlight w:val="none"/>
        </w:rPr>
      </w:pPr>
      <w:r>
        <w:rPr>
          <w:rFonts w:hint="eastAsia" w:hAnsi="宋体"/>
          <w:b w:val="0"/>
          <w:bCs w:val="0"/>
          <w:color w:val="auto"/>
          <w:sz w:val="21"/>
          <w:szCs w:val="21"/>
          <w:highlight w:val="none"/>
        </w:rPr>
        <w:t>1、开标结束后，首先按照财政部第</w:t>
      </w:r>
      <w:r>
        <w:rPr>
          <w:rFonts w:hint="eastAsia" w:hAnsi="宋体"/>
          <w:b w:val="0"/>
          <w:bCs w:val="0"/>
          <w:color w:val="auto"/>
          <w:sz w:val="21"/>
          <w:szCs w:val="21"/>
          <w:highlight w:val="none"/>
          <w:lang w:val="en-US" w:eastAsia="zh-CN"/>
        </w:rPr>
        <w:t>87</w:t>
      </w:r>
      <w:r>
        <w:rPr>
          <w:rFonts w:hint="eastAsia" w:hAnsi="宋体"/>
          <w:b w:val="0"/>
          <w:bCs w:val="0"/>
          <w:color w:val="auto"/>
          <w:sz w:val="21"/>
          <w:szCs w:val="21"/>
          <w:highlight w:val="none"/>
        </w:rPr>
        <w:t>号令规定，由采购人或采购代理机构对投标人的资格进行审查。资格审查人员依据本章资格性审查表规定的标准对投标文件进行资格性审查，以确定投标人是否具备投标资格，有一项不符合审查标准的，将认定其投标无效，合格投标人不足3家的，将不进入评审阶段。资格性审查标准见下表</w:t>
      </w:r>
      <w:bookmarkEnd w:id="207"/>
      <w:bookmarkEnd w:id="208"/>
      <w:r>
        <w:rPr>
          <w:rFonts w:hint="eastAsia" w:hAnsi="宋体"/>
          <w:b w:val="0"/>
          <w:bCs w:val="0"/>
          <w:color w:val="auto"/>
          <w:sz w:val="21"/>
          <w:szCs w:val="21"/>
          <w:highlight w:val="none"/>
        </w:rPr>
        <w:t>：</w:t>
      </w:r>
    </w:p>
    <w:p w14:paraId="72B88F61">
      <w:pPr>
        <w:pStyle w:val="67"/>
        <w:spacing w:before="0" w:after="0" w:line="360" w:lineRule="auto"/>
        <w:outlineLvl w:val="9"/>
        <w:rPr>
          <w:rFonts w:hAnsi="宋体"/>
          <w:color w:val="auto"/>
          <w:sz w:val="21"/>
          <w:szCs w:val="21"/>
          <w:highlight w:val="none"/>
        </w:rPr>
      </w:pPr>
      <w:r>
        <w:rPr>
          <w:rFonts w:hint="eastAsia" w:hAnsi="宋体"/>
          <w:color w:val="auto"/>
          <w:sz w:val="21"/>
          <w:szCs w:val="21"/>
          <w:highlight w:val="none"/>
        </w:rPr>
        <w:t>资格审查表（</w:t>
      </w:r>
      <w:r>
        <w:rPr>
          <w:rFonts w:hint="eastAsia" w:hAnsi="宋体"/>
          <w:color w:val="auto"/>
          <w:sz w:val="21"/>
          <w:szCs w:val="21"/>
          <w:highlight w:val="none"/>
          <w:lang w:eastAsia="zh-CN"/>
        </w:rPr>
        <w:t>包</w:t>
      </w:r>
      <w:r>
        <w:rPr>
          <w:rFonts w:hint="eastAsia" w:hAnsi="宋体"/>
          <w:color w:val="auto"/>
          <w:sz w:val="21"/>
          <w:szCs w:val="21"/>
          <w:highlight w:val="none"/>
          <w:lang w:val="en-US" w:eastAsia="zh-CN"/>
        </w:rPr>
        <w:t>2</w:t>
      </w:r>
      <w:r>
        <w:rPr>
          <w:rFonts w:hint="eastAsia" w:hAnsi="宋体"/>
          <w:color w:val="auto"/>
          <w:sz w:val="21"/>
          <w:szCs w:val="21"/>
          <w:highlight w:val="none"/>
        </w:rPr>
        <w:t>）</w:t>
      </w:r>
    </w:p>
    <w:tbl>
      <w:tblPr>
        <w:tblStyle w:val="38"/>
        <w:tblW w:w="906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0"/>
        <w:gridCol w:w="3098"/>
        <w:gridCol w:w="5325"/>
      </w:tblGrid>
      <w:tr w14:paraId="323233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40" w:type="dxa"/>
            <w:tcBorders>
              <w:tl2br w:val="nil"/>
              <w:tr2bl w:val="nil"/>
            </w:tcBorders>
            <w:vAlign w:val="center"/>
          </w:tcPr>
          <w:p w14:paraId="789C844A">
            <w:pPr>
              <w:spacing w:before="120" w:beforeLines="50" w:after="120" w:afterLines="50"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3098" w:type="dxa"/>
            <w:tcBorders>
              <w:tl2br w:val="nil"/>
              <w:tr2bl w:val="nil"/>
            </w:tcBorders>
            <w:vAlign w:val="center"/>
          </w:tcPr>
          <w:p w14:paraId="7CF1A294">
            <w:pPr>
              <w:spacing w:before="120" w:beforeLines="50" w:after="120" w:afterLines="50"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评审因素</w:t>
            </w:r>
          </w:p>
        </w:tc>
        <w:tc>
          <w:tcPr>
            <w:tcW w:w="5325" w:type="dxa"/>
            <w:tcBorders>
              <w:tl2br w:val="nil"/>
              <w:tr2bl w:val="nil"/>
            </w:tcBorders>
            <w:vAlign w:val="center"/>
          </w:tcPr>
          <w:p w14:paraId="530FEA01">
            <w:pPr>
              <w:spacing w:before="120" w:beforeLines="50" w:after="120" w:afterLines="50"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评审标准</w:t>
            </w:r>
          </w:p>
        </w:tc>
      </w:tr>
      <w:tr w14:paraId="3988FA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6" w:hRule="atLeast"/>
          <w:jc w:val="center"/>
        </w:trPr>
        <w:tc>
          <w:tcPr>
            <w:tcW w:w="640" w:type="dxa"/>
            <w:tcBorders>
              <w:tl2br w:val="nil"/>
              <w:tr2bl w:val="nil"/>
            </w:tcBorders>
            <w:vAlign w:val="center"/>
          </w:tcPr>
          <w:p w14:paraId="0768DB01">
            <w:pPr>
              <w:spacing w:before="120" w:beforeLines="50" w:after="120" w:afterLines="50" w:line="36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3098" w:type="dxa"/>
            <w:tcBorders>
              <w:tl2br w:val="nil"/>
              <w:tr2bl w:val="nil"/>
            </w:tcBorders>
            <w:vAlign w:val="center"/>
          </w:tcPr>
          <w:p w14:paraId="791C20AF">
            <w:pPr>
              <w:spacing w:before="120" w:beforeLines="50" w:after="120" w:afterLines="50" w:line="360" w:lineRule="auto"/>
              <w:jc w:val="center"/>
              <w:rPr>
                <w:rFonts w:ascii="宋体" w:hAnsi="宋体" w:cs="宋体"/>
                <w:color w:val="auto"/>
                <w:szCs w:val="21"/>
                <w:highlight w:val="none"/>
              </w:rPr>
            </w:pPr>
            <w:r>
              <w:rPr>
                <w:rFonts w:hint="eastAsia" w:ascii="宋体" w:hAnsi="宋体" w:cs="宋体"/>
                <w:color w:val="auto"/>
                <w:szCs w:val="21"/>
                <w:highlight w:val="none"/>
              </w:rPr>
              <w:t>具有独立承担民事责任的能力</w:t>
            </w:r>
          </w:p>
        </w:tc>
        <w:tc>
          <w:tcPr>
            <w:tcW w:w="5325" w:type="dxa"/>
            <w:tcBorders>
              <w:tl2br w:val="nil"/>
              <w:tr2bl w:val="nil"/>
            </w:tcBorders>
            <w:vAlign w:val="center"/>
          </w:tcPr>
          <w:p w14:paraId="46DAB0D5">
            <w:pPr>
              <w:spacing w:before="120" w:beforeLines="50" w:after="120" w:afterLines="50" w:line="360" w:lineRule="auto"/>
              <w:jc w:val="center"/>
              <w:rPr>
                <w:rFonts w:ascii="宋体" w:hAnsi="宋体" w:cs="宋体"/>
                <w:color w:val="auto"/>
                <w:szCs w:val="21"/>
                <w:highlight w:val="none"/>
              </w:rPr>
            </w:pPr>
            <w:r>
              <w:rPr>
                <w:rFonts w:hint="eastAsia" w:ascii="宋体" w:hAnsi="宋体" w:cs="宋体"/>
                <w:color w:val="auto"/>
                <w:szCs w:val="21"/>
                <w:highlight w:val="none"/>
              </w:rPr>
              <w:t>提供法人或者其</w:t>
            </w:r>
            <w:r>
              <w:rPr>
                <w:rFonts w:hint="eastAsia" w:ascii="宋体" w:hAnsi="宋体" w:cs="宋体"/>
                <w:color w:val="auto"/>
                <w:szCs w:val="21"/>
                <w:highlight w:val="none"/>
                <w:lang w:val="en-US" w:eastAsia="zh-CN"/>
              </w:rPr>
              <w:t>他</w:t>
            </w:r>
            <w:r>
              <w:rPr>
                <w:rFonts w:hint="eastAsia" w:ascii="宋体" w:hAnsi="宋体" w:cs="宋体"/>
                <w:color w:val="auto"/>
                <w:szCs w:val="21"/>
                <w:highlight w:val="none"/>
              </w:rPr>
              <w:t>组织的营业执照等证明文件或自然人的身份证明</w:t>
            </w:r>
          </w:p>
        </w:tc>
      </w:tr>
      <w:tr w14:paraId="77CAE2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5" w:hRule="atLeast"/>
          <w:jc w:val="center"/>
        </w:trPr>
        <w:tc>
          <w:tcPr>
            <w:tcW w:w="640" w:type="dxa"/>
            <w:tcBorders>
              <w:tl2br w:val="nil"/>
              <w:tr2bl w:val="nil"/>
            </w:tcBorders>
            <w:vAlign w:val="center"/>
          </w:tcPr>
          <w:p w14:paraId="53E60B27">
            <w:pPr>
              <w:spacing w:before="120" w:beforeLines="50" w:after="120" w:afterLines="50" w:line="360" w:lineRule="auto"/>
              <w:jc w:val="center"/>
              <w:rPr>
                <w:rFonts w:ascii="宋体" w:hAnsi="宋体" w:cs="宋体"/>
                <w:color w:val="auto"/>
                <w:szCs w:val="21"/>
                <w:highlight w:val="none"/>
              </w:rPr>
            </w:pPr>
            <w:r>
              <w:rPr>
                <w:rFonts w:hint="eastAsia" w:ascii="宋体" w:hAnsi="宋体" w:cs="宋体"/>
                <w:color w:val="auto"/>
                <w:szCs w:val="21"/>
                <w:highlight w:val="none"/>
              </w:rPr>
              <w:t>2</w:t>
            </w:r>
          </w:p>
        </w:tc>
        <w:tc>
          <w:tcPr>
            <w:tcW w:w="3098" w:type="dxa"/>
            <w:tcBorders>
              <w:tl2br w:val="nil"/>
              <w:tr2bl w:val="nil"/>
            </w:tcBorders>
            <w:vAlign w:val="center"/>
          </w:tcPr>
          <w:p w14:paraId="27EABFF7">
            <w:pPr>
              <w:spacing w:before="120" w:beforeLines="50" w:after="120" w:afterLines="50" w:line="360" w:lineRule="auto"/>
              <w:jc w:val="center"/>
              <w:rPr>
                <w:rFonts w:ascii="宋体" w:hAnsi="宋体" w:cs="宋体"/>
                <w:color w:val="auto"/>
                <w:szCs w:val="21"/>
                <w:highlight w:val="none"/>
              </w:rPr>
            </w:pPr>
            <w:r>
              <w:rPr>
                <w:rFonts w:hint="eastAsia" w:ascii="宋体" w:hAnsi="宋体" w:cs="宋体"/>
                <w:color w:val="auto"/>
                <w:szCs w:val="21"/>
                <w:highlight w:val="none"/>
              </w:rPr>
              <w:t>具有良好的商业信誉和健全的财务会计制度</w:t>
            </w:r>
          </w:p>
        </w:tc>
        <w:tc>
          <w:tcPr>
            <w:tcW w:w="5325" w:type="dxa"/>
            <w:tcBorders>
              <w:tl2br w:val="nil"/>
              <w:tr2bl w:val="nil"/>
            </w:tcBorders>
            <w:vAlign w:val="center"/>
          </w:tcPr>
          <w:p w14:paraId="4DA652AB">
            <w:pPr>
              <w:spacing w:before="120" w:beforeLines="50" w:after="120" w:afterLines="50" w:line="36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提供2023年度经第三方审计机构出具的审计报告：至少包含资产负债表、利润表、现金流量表和财务报表附注，供应商成立不满一年可提供基本户银行</w:t>
            </w:r>
            <w:r>
              <w:rPr>
                <w:rFonts w:hint="eastAsia" w:ascii="宋体" w:hAnsi="宋体" w:cs="宋体"/>
                <w:color w:val="auto"/>
                <w:szCs w:val="21"/>
                <w:highlight w:val="none"/>
                <w:lang w:val="en-US" w:eastAsia="zh-CN"/>
              </w:rPr>
              <w:t>开具的</w:t>
            </w:r>
            <w:r>
              <w:rPr>
                <w:rFonts w:hint="eastAsia" w:ascii="宋体" w:hAnsi="宋体" w:cs="宋体"/>
                <w:color w:val="auto"/>
                <w:szCs w:val="21"/>
                <w:highlight w:val="none"/>
              </w:rPr>
              <w:t>资信证明</w:t>
            </w:r>
          </w:p>
        </w:tc>
      </w:tr>
      <w:tr w14:paraId="26FCB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40" w:type="dxa"/>
            <w:tcBorders>
              <w:tl2br w:val="nil"/>
              <w:tr2bl w:val="nil"/>
            </w:tcBorders>
            <w:vAlign w:val="center"/>
          </w:tcPr>
          <w:p w14:paraId="12512A49">
            <w:pPr>
              <w:spacing w:before="120" w:beforeLines="50" w:after="120" w:afterLines="50" w:line="360" w:lineRule="auto"/>
              <w:jc w:val="center"/>
              <w:rPr>
                <w:rFonts w:ascii="宋体" w:hAnsi="宋体" w:cs="宋体"/>
                <w:color w:val="auto"/>
                <w:szCs w:val="21"/>
                <w:highlight w:val="none"/>
              </w:rPr>
            </w:pPr>
            <w:r>
              <w:rPr>
                <w:rFonts w:hint="eastAsia" w:ascii="宋体" w:hAnsi="宋体" w:cs="宋体"/>
                <w:color w:val="auto"/>
                <w:szCs w:val="21"/>
                <w:highlight w:val="none"/>
              </w:rPr>
              <w:t>3</w:t>
            </w:r>
          </w:p>
        </w:tc>
        <w:tc>
          <w:tcPr>
            <w:tcW w:w="3098" w:type="dxa"/>
            <w:tcBorders>
              <w:tl2br w:val="nil"/>
              <w:tr2bl w:val="nil"/>
            </w:tcBorders>
            <w:vAlign w:val="center"/>
          </w:tcPr>
          <w:p w14:paraId="39A54451">
            <w:pPr>
              <w:spacing w:before="120" w:beforeLines="50" w:after="120" w:afterLines="50" w:line="360" w:lineRule="auto"/>
              <w:jc w:val="center"/>
              <w:rPr>
                <w:rFonts w:ascii="宋体" w:hAnsi="宋体" w:cs="宋体"/>
                <w:color w:val="auto"/>
                <w:szCs w:val="21"/>
                <w:highlight w:val="none"/>
              </w:rPr>
            </w:pPr>
            <w:r>
              <w:rPr>
                <w:rFonts w:hint="eastAsia" w:ascii="宋体" w:hAnsi="宋体" w:cs="宋体"/>
                <w:color w:val="auto"/>
                <w:szCs w:val="21"/>
                <w:highlight w:val="none"/>
              </w:rPr>
              <w:t>具有履行合同所必需的设备和专业技术能力</w:t>
            </w:r>
          </w:p>
        </w:tc>
        <w:tc>
          <w:tcPr>
            <w:tcW w:w="5325" w:type="dxa"/>
            <w:tcBorders>
              <w:tl2br w:val="nil"/>
              <w:tr2bl w:val="nil"/>
            </w:tcBorders>
            <w:vAlign w:val="center"/>
          </w:tcPr>
          <w:p w14:paraId="621F30BF">
            <w:pPr>
              <w:spacing w:before="120" w:beforeLines="50" w:after="120" w:afterLines="50" w:line="360" w:lineRule="auto"/>
              <w:jc w:val="center"/>
              <w:rPr>
                <w:rFonts w:ascii="宋体" w:hAnsi="宋体" w:cs="宋体"/>
                <w:color w:val="auto"/>
                <w:szCs w:val="21"/>
                <w:highlight w:val="none"/>
              </w:rPr>
            </w:pPr>
            <w:r>
              <w:rPr>
                <w:rFonts w:hint="eastAsia" w:ascii="宋体" w:hAnsi="宋体" w:cs="宋体"/>
                <w:color w:val="auto"/>
                <w:szCs w:val="21"/>
                <w:highlight w:val="none"/>
              </w:rPr>
              <w:t>提供声明函</w:t>
            </w:r>
          </w:p>
        </w:tc>
      </w:tr>
      <w:tr w14:paraId="049BB8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40" w:type="dxa"/>
            <w:tcBorders>
              <w:tl2br w:val="nil"/>
              <w:tr2bl w:val="nil"/>
            </w:tcBorders>
            <w:vAlign w:val="center"/>
          </w:tcPr>
          <w:p w14:paraId="00DA5F2D">
            <w:pPr>
              <w:spacing w:before="120" w:beforeLines="50" w:after="120" w:afterLines="50" w:line="360" w:lineRule="auto"/>
              <w:jc w:val="center"/>
              <w:rPr>
                <w:rFonts w:ascii="宋体" w:hAnsi="宋体" w:cs="宋体"/>
                <w:color w:val="auto"/>
                <w:szCs w:val="21"/>
                <w:highlight w:val="none"/>
              </w:rPr>
            </w:pPr>
            <w:r>
              <w:rPr>
                <w:rFonts w:hint="eastAsia" w:ascii="宋体" w:hAnsi="宋体" w:cs="宋体"/>
                <w:color w:val="auto"/>
                <w:szCs w:val="21"/>
                <w:highlight w:val="none"/>
              </w:rPr>
              <w:t>4</w:t>
            </w:r>
          </w:p>
        </w:tc>
        <w:tc>
          <w:tcPr>
            <w:tcW w:w="3098" w:type="dxa"/>
            <w:tcBorders>
              <w:tl2br w:val="nil"/>
              <w:tr2bl w:val="nil"/>
            </w:tcBorders>
            <w:vAlign w:val="center"/>
          </w:tcPr>
          <w:p w14:paraId="10FEB091">
            <w:pPr>
              <w:spacing w:before="120" w:beforeLines="50" w:after="120" w:afterLines="50" w:line="360" w:lineRule="auto"/>
              <w:jc w:val="center"/>
              <w:rPr>
                <w:rFonts w:ascii="宋体" w:hAnsi="宋体" w:cs="宋体"/>
                <w:color w:val="auto"/>
                <w:szCs w:val="21"/>
                <w:highlight w:val="none"/>
              </w:rPr>
            </w:pPr>
            <w:r>
              <w:rPr>
                <w:rFonts w:hint="eastAsia" w:ascii="宋体" w:hAnsi="宋体" w:cs="宋体"/>
                <w:color w:val="auto"/>
                <w:szCs w:val="21"/>
                <w:highlight w:val="none"/>
              </w:rPr>
              <w:t>有依法缴纳税收和社会保障资金的良好记录</w:t>
            </w:r>
          </w:p>
        </w:tc>
        <w:tc>
          <w:tcPr>
            <w:tcW w:w="5325" w:type="dxa"/>
            <w:tcBorders>
              <w:tl2br w:val="nil"/>
              <w:tr2bl w:val="nil"/>
            </w:tcBorders>
            <w:vAlign w:val="center"/>
          </w:tcPr>
          <w:p w14:paraId="6B29B7E3">
            <w:pPr>
              <w:spacing w:before="120" w:beforeLines="50" w:after="120" w:afterLines="50" w:line="360" w:lineRule="auto"/>
              <w:jc w:val="center"/>
              <w:rPr>
                <w:rFonts w:ascii="宋体" w:hAnsi="宋体" w:cs="宋体"/>
                <w:color w:val="auto"/>
                <w:szCs w:val="21"/>
                <w:highlight w:val="none"/>
              </w:rPr>
            </w:pPr>
            <w:r>
              <w:rPr>
                <w:rFonts w:hint="eastAsia" w:ascii="宋体" w:hAnsi="宋体" w:cs="宋体"/>
                <w:color w:val="auto"/>
                <w:szCs w:val="21"/>
                <w:highlight w:val="none"/>
              </w:rPr>
              <w:t>提供2024年1月1日以来至少一个月的依法缴纳税收和社会保障资金的相关证明复印件或扫描件。依法免税或不需要缴纳社会保障资金的投标人，应提供其依法免税或免缴纳社会保障资金的证明文件；</w:t>
            </w:r>
          </w:p>
        </w:tc>
      </w:tr>
      <w:tr w14:paraId="795DCC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40" w:type="dxa"/>
            <w:tcBorders>
              <w:tl2br w:val="nil"/>
              <w:tr2bl w:val="nil"/>
            </w:tcBorders>
            <w:vAlign w:val="center"/>
          </w:tcPr>
          <w:p w14:paraId="7CB708A0">
            <w:pPr>
              <w:spacing w:before="120" w:beforeLines="50" w:after="120" w:afterLines="50" w:line="360" w:lineRule="auto"/>
              <w:jc w:val="center"/>
              <w:rPr>
                <w:rFonts w:ascii="宋体" w:hAnsi="宋体" w:cs="宋体"/>
                <w:color w:val="auto"/>
                <w:szCs w:val="21"/>
                <w:highlight w:val="none"/>
              </w:rPr>
            </w:pPr>
            <w:r>
              <w:rPr>
                <w:rFonts w:hint="eastAsia" w:ascii="宋体" w:hAnsi="宋体" w:cs="宋体"/>
                <w:color w:val="auto"/>
                <w:szCs w:val="21"/>
                <w:highlight w:val="none"/>
              </w:rPr>
              <w:t>5</w:t>
            </w:r>
          </w:p>
        </w:tc>
        <w:tc>
          <w:tcPr>
            <w:tcW w:w="3098" w:type="dxa"/>
            <w:tcBorders>
              <w:tl2br w:val="nil"/>
              <w:tr2bl w:val="nil"/>
            </w:tcBorders>
            <w:vAlign w:val="center"/>
          </w:tcPr>
          <w:p w14:paraId="51C789AC">
            <w:pPr>
              <w:spacing w:before="120" w:beforeLines="50" w:after="120" w:afterLines="50" w:line="360" w:lineRule="auto"/>
              <w:jc w:val="center"/>
              <w:rPr>
                <w:rFonts w:ascii="宋体" w:hAnsi="宋体" w:cs="宋体"/>
                <w:color w:val="auto"/>
                <w:szCs w:val="21"/>
                <w:highlight w:val="none"/>
              </w:rPr>
            </w:pPr>
            <w:r>
              <w:rPr>
                <w:rFonts w:hint="eastAsia" w:ascii="宋体" w:hAnsi="宋体" w:cs="宋体"/>
                <w:color w:val="auto"/>
                <w:szCs w:val="21"/>
                <w:highlight w:val="none"/>
              </w:rPr>
              <w:t>参加政府采购活动前三年内，在经营活动中没有重大违法记录</w:t>
            </w:r>
          </w:p>
        </w:tc>
        <w:tc>
          <w:tcPr>
            <w:tcW w:w="5325" w:type="dxa"/>
            <w:tcBorders>
              <w:tl2br w:val="nil"/>
              <w:tr2bl w:val="nil"/>
            </w:tcBorders>
            <w:vAlign w:val="center"/>
          </w:tcPr>
          <w:p w14:paraId="668975FE">
            <w:pPr>
              <w:spacing w:before="120" w:beforeLines="50" w:after="120" w:afterLines="50" w:line="360" w:lineRule="auto"/>
              <w:jc w:val="center"/>
              <w:rPr>
                <w:rFonts w:ascii="宋体" w:hAnsi="宋体" w:cs="宋体"/>
                <w:color w:val="auto"/>
                <w:szCs w:val="21"/>
                <w:highlight w:val="none"/>
              </w:rPr>
            </w:pPr>
            <w:r>
              <w:rPr>
                <w:rFonts w:hint="eastAsia" w:ascii="宋体" w:hAnsi="宋体" w:cs="宋体"/>
                <w:color w:val="auto"/>
                <w:szCs w:val="21"/>
                <w:highlight w:val="none"/>
              </w:rPr>
              <w:t>提供声明函</w:t>
            </w:r>
          </w:p>
        </w:tc>
      </w:tr>
      <w:tr w14:paraId="2CF93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40" w:type="dxa"/>
            <w:tcBorders>
              <w:tl2br w:val="nil"/>
              <w:tr2bl w:val="nil"/>
            </w:tcBorders>
            <w:vAlign w:val="center"/>
          </w:tcPr>
          <w:p w14:paraId="751A75E6">
            <w:pPr>
              <w:spacing w:before="120" w:beforeLines="50" w:after="120" w:afterLines="50" w:line="360" w:lineRule="auto"/>
              <w:jc w:val="center"/>
              <w:rPr>
                <w:rFonts w:ascii="宋体" w:hAnsi="宋体" w:cs="宋体"/>
                <w:color w:val="auto"/>
                <w:szCs w:val="21"/>
                <w:highlight w:val="none"/>
              </w:rPr>
            </w:pPr>
            <w:r>
              <w:rPr>
                <w:rFonts w:hint="eastAsia" w:ascii="宋体" w:hAnsi="宋体" w:cs="宋体"/>
                <w:color w:val="auto"/>
                <w:szCs w:val="21"/>
                <w:highlight w:val="none"/>
              </w:rPr>
              <w:t>6</w:t>
            </w:r>
          </w:p>
        </w:tc>
        <w:tc>
          <w:tcPr>
            <w:tcW w:w="3098" w:type="dxa"/>
            <w:tcBorders>
              <w:tl2br w:val="nil"/>
              <w:tr2bl w:val="nil"/>
            </w:tcBorders>
            <w:vAlign w:val="center"/>
          </w:tcPr>
          <w:p w14:paraId="151A4F7A">
            <w:pPr>
              <w:spacing w:before="120" w:beforeLines="50" w:after="120" w:afterLines="50"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信用查询记录</w:t>
            </w:r>
          </w:p>
        </w:tc>
        <w:tc>
          <w:tcPr>
            <w:tcW w:w="5325" w:type="dxa"/>
            <w:tcBorders>
              <w:tl2br w:val="nil"/>
              <w:tr2bl w:val="nil"/>
            </w:tcBorders>
            <w:vAlign w:val="center"/>
          </w:tcPr>
          <w:p w14:paraId="696C3B65">
            <w:pPr>
              <w:spacing w:before="120" w:beforeLines="50" w:after="120" w:afterLines="50" w:line="360" w:lineRule="auto"/>
              <w:jc w:val="center"/>
              <w:rPr>
                <w:rFonts w:ascii="宋体" w:hAnsi="宋体" w:cs="宋体"/>
                <w:color w:val="auto"/>
                <w:szCs w:val="21"/>
                <w:highlight w:val="none"/>
              </w:rPr>
            </w:pPr>
            <w:r>
              <w:rPr>
                <w:rFonts w:hint="eastAsia" w:ascii="宋体" w:hAnsi="宋体" w:cs="宋体"/>
                <w:color w:val="auto"/>
                <w:szCs w:val="21"/>
                <w:highlight w:val="none"/>
              </w:rPr>
              <w:t>根据《关于在政府采购活动中查询及使用信用记录有关问题的通知》(财库[2016]125号)和豫财购[2016]15号的规定，对列入失信被执行人、重大税收违法失信主体、政府采购严重违法失信行为记录名单的企业，拒绝参与本项目招标采购活动（查询渠道：“信用中国”网站（www.creditchina.gov.cn）查询：列入失信被执行人、重大税收违法失信主体，中国政府采购网（www.ccgp.gov.cn）：政府采购严重违法失信行为记录名单）；注：采购代理机构在开标当天将对所有参与本项目投标的供应商的信用情况（失信被执行人、重大税收违法失信主体、政府采购严重违法失信行为记录名单）进行查询、打印留存。若在开标当天查询到供应商有相关负面信息的，则该供应商递交的投标文件按无效处理</w:t>
            </w:r>
          </w:p>
        </w:tc>
      </w:tr>
      <w:tr w14:paraId="7B928F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40" w:type="dxa"/>
            <w:tcBorders>
              <w:tl2br w:val="nil"/>
              <w:tr2bl w:val="nil"/>
            </w:tcBorders>
            <w:vAlign w:val="center"/>
          </w:tcPr>
          <w:p w14:paraId="51E13F84">
            <w:pPr>
              <w:spacing w:before="120" w:beforeLines="50" w:after="120" w:afterLines="50" w:line="360" w:lineRule="auto"/>
              <w:jc w:val="center"/>
              <w:rPr>
                <w:rFonts w:ascii="宋体" w:hAnsi="宋体" w:cs="宋体"/>
                <w:color w:val="auto"/>
                <w:szCs w:val="21"/>
                <w:highlight w:val="none"/>
              </w:rPr>
            </w:pPr>
            <w:r>
              <w:rPr>
                <w:rFonts w:hint="eastAsia" w:ascii="宋体" w:hAnsi="宋体" w:cs="宋体"/>
                <w:color w:val="auto"/>
                <w:szCs w:val="21"/>
                <w:highlight w:val="none"/>
              </w:rPr>
              <w:t>7</w:t>
            </w:r>
          </w:p>
        </w:tc>
        <w:tc>
          <w:tcPr>
            <w:tcW w:w="3098" w:type="dxa"/>
            <w:tcBorders>
              <w:tl2br w:val="nil"/>
              <w:tr2bl w:val="nil"/>
            </w:tcBorders>
            <w:vAlign w:val="center"/>
          </w:tcPr>
          <w:p w14:paraId="5AE1F7CB">
            <w:pPr>
              <w:spacing w:before="120" w:beforeLines="50" w:after="120" w:afterLines="50" w:line="360" w:lineRule="auto"/>
              <w:jc w:val="center"/>
              <w:rPr>
                <w:rFonts w:ascii="宋体" w:hAnsi="宋体" w:cs="宋体"/>
                <w:color w:val="auto"/>
                <w:szCs w:val="21"/>
                <w:highlight w:val="none"/>
              </w:rPr>
            </w:pPr>
            <w:r>
              <w:rPr>
                <w:rFonts w:hint="eastAsia" w:ascii="宋体" w:hAnsi="宋体" w:cs="宋体"/>
                <w:color w:val="auto"/>
                <w:szCs w:val="21"/>
                <w:highlight w:val="none"/>
              </w:rPr>
              <w:t>单位负责人为同一人或者存在直接控股关系、管理关系的不同供应商，不得参加同一合同项下的政府采购活动</w:t>
            </w:r>
          </w:p>
        </w:tc>
        <w:tc>
          <w:tcPr>
            <w:tcW w:w="5325" w:type="dxa"/>
            <w:tcBorders>
              <w:tl2br w:val="nil"/>
              <w:tr2bl w:val="nil"/>
            </w:tcBorders>
            <w:vAlign w:val="center"/>
          </w:tcPr>
          <w:p w14:paraId="02635EC7">
            <w:pPr>
              <w:spacing w:before="120" w:beforeLines="50" w:after="120" w:afterLines="50" w:line="360" w:lineRule="auto"/>
              <w:jc w:val="center"/>
              <w:rPr>
                <w:rFonts w:ascii="宋体" w:hAnsi="宋体" w:cs="宋体"/>
                <w:color w:val="auto"/>
                <w:szCs w:val="21"/>
                <w:highlight w:val="none"/>
              </w:rPr>
            </w:pPr>
            <w:r>
              <w:rPr>
                <w:rFonts w:hint="eastAsia" w:ascii="宋体" w:hAnsi="宋体" w:cs="宋体"/>
                <w:color w:val="auto"/>
                <w:szCs w:val="21"/>
                <w:highlight w:val="none"/>
              </w:rPr>
              <w:t>提供声明函</w:t>
            </w:r>
          </w:p>
        </w:tc>
      </w:tr>
      <w:tr w14:paraId="2209A7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40" w:type="dxa"/>
            <w:tcBorders>
              <w:tl2br w:val="nil"/>
              <w:tr2bl w:val="nil"/>
            </w:tcBorders>
            <w:vAlign w:val="center"/>
          </w:tcPr>
          <w:p w14:paraId="3416DC5C">
            <w:pPr>
              <w:spacing w:before="120" w:beforeLines="50" w:after="120" w:afterLines="50" w:line="36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8</w:t>
            </w:r>
          </w:p>
        </w:tc>
        <w:tc>
          <w:tcPr>
            <w:tcW w:w="3098" w:type="dxa"/>
            <w:tcBorders>
              <w:tl2br w:val="nil"/>
              <w:tr2bl w:val="nil"/>
            </w:tcBorders>
            <w:vAlign w:val="center"/>
          </w:tcPr>
          <w:p w14:paraId="72770B42">
            <w:pPr>
              <w:spacing w:before="120" w:beforeLines="50" w:after="120" w:afterLines="50" w:line="360" w:lineRule="auto"/>
              <w:jc w:val="center"/>
              <w:rPr>
                <w:rFonts w:ascii="宋体" w:hAnsi="宋体" w:cs="宋体"/>
                <w:color w:val="auto"/>
                <w:szCs w:val="21"/>
                <w:highlight w:val="none"/>
              </w:rPr>
            </w:pPr>
            <w:r>
              <w:rPr>
                <w:rFonts w:hint="eastAsia" w:ascii="宋体" w:hAnsi="宋体" w:cs="宋体"/>
                <w:color w:val="auto"/>
                <w:szCs w:val="21"/>
                <w:highlight w:val="none"/>
              </w:rPr>
              <w:t>其他要求</w:t>
            </w:r>
          </w:p>
        </w:tc>
        <w:tc>
          <w:tcPr>
            <w:tcW w:w="5325" w:type="dxa"/>
            <w:tcBorders>
              <w:tl2br w:val="nil"/>
              <w:tr2bl w:val="nil"/>
            </w:tcBorders>
            <w:vAlign w:val="center"/>
          </w:tcPr>
          <w:p w14:paraId="3728AD3E">
            <w:pPr>
              <w:spacing w:before="120" w:beforeLines="50" w:after="120" w:afterLines="50" w:line="360" w:lineRule="auto"/>
              <w:jc w:val="left"/>
              <w:rPr>
                <w:rFonts w:hint="eastAsia" w:eastAsia="华文楷体"/>
                <w:lang w:val="en-US" w:eastAsia="zh-CN"/>
              </w:rPr>
            </w:pPr>
            <w:r>
              <w:rPr>
                <w:rFonts w:hint="eastAsia" w:ascii="宋体" w:hAnsi="宋体" w:cs="宋体"/>
                <w:color w:val="auto"/>
                <w:szCs w:val="21"/>
                <w:highlight w:val="none"/>
                <w:lang w:val="en-US" w:eastAsia="zh-CN"/>
              </w:rPr>
              <w:t>不存在招标文件及法律法规规定的其他无效情形</w:t>
            </w:r>
          </w:p>
        </w:tc>
      </w:tr>
      <w:bookmarkEnd w:id="209"/>
      <w:bookmarkEnd w:id="210"/>
      <w:bookmarkEnd w:id="211"/>
      <w:bookmarkEnd w:id="212"/>
      <w:bookmarkEnd w:id="213"/>
      <w:bookmarkEnd w:id="214"/>
      <w:bookmarkEnd w:id="215"/>
      <w:bookmarkEnd w:id="216"/>
      <w:bookmarkEnd w:id="217"/>
      <w:bookmarkEnd w:id="218"/>
      <w:bookmarkEnd w:id="219"/>
      <w:bookmarkEnd w:id="220"/>
    </w:tbl>
    <w:p w14:paraId="6809595E">
      <w:pPr>
        <w:pStyle w:val="15"/>
        <w:adjustRightInd w:val="0"/>
        <w:snapToGrid w:val="0"/>
        <w:spacing w:line="440" w:lineRule="exact"/>
        <w:ind w:firstLine="420" w:firstLineChars="200"/>
        <w:jc w:val="left"/>
        <w:rPr>
          <w:rFonts w:cs="宋体"/>
          <w:snapToGrid w:val="0"/>
          <w:color w:val="auto"/>
          <w:kern w:val="0"/>
          <w:sz w:val="21"/>
          <w:szCs w:val="21"/>
          <w:highlight w:val="none"/>
        </w:rPr>
      </w:pPr>
      <w:bookmarkStart w:id="221" w:name="_Toc15953"/>
      <w:bookmarkStart w:id="222" w:name="_Toc2524"/>
      <w:bookmarkStart w:id="223" w:name="_Toc4403"/>
      <w:r>
        <w:rPr>
          <w:rFonts w:hint="eastAsia" w:cs="宋体"/>
          <w:snapToGrid w:val="0"/>
          <w:color w:val="auto"/>
          <w:kern w:val="0"/>
          <w:sz w:val="21"/>
          <w:szCs w:val="21"/>
          <w:highlight w:val="none"/>
        </w:rPr>
        <w:t>2.评标准备工作</w:t>
      </w:r>
    </w:p>
    <w:p w14:paraId="6D49D052">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2.1 核对评审专家身份和采购人代表授权函；</w:t>
      </w:r>
    </w:p>
    <w:p w14:paraId="7C75855E">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2.2 宣布评标纪律，集中保管通讯工具；</w:t>
      </w:r>
    </w:p>
    <w:p w14:paraId="36270746">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2.3 公布投标人名单，告知评审专家应当回避的情形；</w:t>
      </w:r>
    </w:p>
    <w:p w14:paraId="65EC7C16">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2.4 组织评标委员会推选评标组长；</w:t>
      </w:r>
    </w:p>
    <w:p w14:paraId="16ED2907">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3.符合性审查</w:t>
      </w:r>
    </w:p>
    <w:p w14:paraId="22AEDCB0">
      <w:pPr>
        <w:pStyle w:val="15"/>
        <w:adjustRightInd w:val="0"/>
        <w:snapToGrid w:val="0"/>
        <w:spacing w:line="440" w:lineRule="exact"/>
        <w:ind w:firstLine="420" w:firstLineChars="200"/>
        <w:jc w:val="left"/>
        <w:rPr>
          <w:rFonts w:hint="eastAsia" w:ascii="宋体" w:hAnsi="宋体" w:eastAsia="宋体" w:cs="宋体"/>
          <w:snapToGrid w:val="0"/>
          <w:color w:val="auto"/>
          <w:kern w:val="0"/>
          <w:sz w:val="21"/>
          <w:szCs w:val="21"/>
          <w:highlight w:val="none"/>
          <w:lang w:eastAsia="zh-CN"/>
        </w:rPr>
      </w:pPr>
      <w:r>
        <w:rPr>
          <w:rFonts w:hint="eastAsia" w:cs="宋体"/>
          <w:snapToGrid w:val="0"/>
          <w:color w:val="auto"/>
          <w:kern w:val="0"/>
          <w:sz w:val="21"/>
          <w:szCs w:val="21"/>
          <w:highlight w:val="none"/>
        </w:rPr>
        <w:t>符合性审查是指评标委员会依据招标文件的规定，从商务和技术方面对投标文件的有效性和完整性进行审查，以确定是否对招标文件的实质性要求做出响应</w:t>
      </w:r>
      <w:r>
        <w:rPr>
          <w:rFonts w:hint="eastAsia" w:ascii="宋体" w:hAnsi="宋体" w:eastAsia="宋体" w:cs="宋体"/>
          <w:snapToGrid w:val="0"/>
          <w:color w:val="auto"/>
          <w:kern w:val="0"/>
          <w:sz w:val="21"/>
          <w:szCs w:val="21"/>
          <w:highlight w:val="none"/>
        </w:rPr>
        <w:t>。符合性</w:t>
      </w:r>
      <w:r>
        <w:rPr>
          <w:rFonts w:hint="eastAsia" w:ascii="宋体" w:hAnsi="宋体" w:eastAsia="宋体" w:cs="宋体"/>
          <w:snapToGrid w:val="0"/>
          <w:color w:val="auto"/>
          <w:kern w:val="0"/>
          <w:sz w:val="21"/>
          <w:szCs w:val="21"/>
          <w:highlight w:val="none"/>
          <w:lang w:eastAsia="zh-CN"/>
        </w:rPr>
        <w:t>评审标准见下表：</w:t>
      </w:r>
    </w:p>
    <w:p w14:paraId="2D2D95C0">
      <w:pPr>
        <w:pStyle w:val="15"/>
        <w:adjustRightInd w:val="0"/>
        <w:snapToGrid w:val="0"/>
        <w:spacing w:line="440" w:lineRule="exact"/>
        <w:ind w:left="0" w:leftChars="0" w:firstLine="0" w:firstLineChars="0"/>
        <w:jc w:val="center"/>
        <w:rPr>
          <w:rFonts w:cs="宋体"/>
          <w:color w:val="auto"/>
          <w:sz w:val="21"/>
          <w:szCs w:val="21"/>
          <w:highlight w:val="none"/>
        </w:rPr>
      </w:pPr>
      <w:r>
        <w:rPr>
          <w:rFonts w:hint="eastAsia" w:cs="宋体"/>
          <w:b/>
          <w:bCs/>
          <w:color w:val="auto"/>
          <w:spacing w:val="4"/>
          <w:sz w:val="21"/>
          <w:szCs w:val="21"/>
          <w:highlight w:val="none"/>
        </w:rPr>
        <w:t>符合性审查表（</w:t>
      </w:r>
      <w:r>
        <w:rPr>
          <w:rFonts w:hint="eastAsia" w:cs="宋体"/>
          <w:b/>
          <w:bCs/>
          <w:color w:val="auto"/>
          <w:spacing w:val="4"/>
          <w:sz w:val="21"/>
          <w:szCs w:val="21"/>
          <w:highlight w:val="none"/>
          <w:lang w:eastAsia="zh-CN"/>
        </w:rPr>
        <w:t>包</w:t>
      </w:r>
      <w:r>
        <w:rPr>
          <w:rFonts w:hint="eastAsia" w:cs="宋体"/>
          <w:b/>
          <w:bCs/>
          <w:color w:val="auto"/>
          <w:spacing w:val="4"/>
          <w:sz w:val="21"/>
          <w:szCs w:val="21"/>
          <w:highlight w:val="none"/>
          <w:lang w:val="en-US" w:eastAsia="zh-CN"/>
        </w:rPr>
        <w:t>2</w:t>
      </w:r>
      <w:r>
        <w:rPr>
          <w:rFonts w:hint="eastAsia" w:cs="宋体"/>
          <w:b/>
          <w:bCs/>
          <w:color w:val="auto"/>
          <w:spacing w:val="4"/>
          <w:sz w:val="21"/>
          <w:szCs w:val="21"/>
          <w:highlight w:val="none"/>
        </w:rPr>
        <w:t>）</w:t>
      </w:r>
    </w:p>
    <w:tbl>
      <w:tblPr>
        <w:tblStyle w:val="164"/>
        <w:tblW w:w="897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0"/>
        <w:gridCol w:w="2411"/>
        <w:gridCol w:w="5818"/>
      </w:tblGrid>
      <w:tr w14:paraId="7F332E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jc w:val="center"/>
        </w:trPr>
        <w:tc>
          <w:tcPr>
            <w:tcW w:w="750" w:type="dxa"/>
            <w:vAlign w:val="center"/>
          </w:tcPr>
          <w:p w14:paraId="1176F312">
            <w:pPr>
              <w:pStyle w:val="163"/>
              <w:jc w:val="center"/>
              <w:rPr>
                <w:color w:val="auto"/>
                <w:sz w:val="21"/>
                <w:szCs w:val="21"/>
                <w:highlight w:val="none"/>
              </w:rPr>
            </w:pPr>
            <w:r>
              <w:rPr>
                <w:rFonts w:hint="eastAsia"/>
                <w:color w:val="auto"/>
                <w:spacing w:val="5"/>
                <w:sz w:val="21"/>
                <w:szCs w:val="21"/>
                <w:highlight w:val="none"/>
              </w:rPr>
              <w:t>序号</w:t>
            </w:r>
          </w:p>
        </w:tc>
        <w:tc>
          <w:tcPr>
            <w:tcW w:w="2411" w:type="dxa"/>
            <w:vAlign w:val="center"/>
          </w:tcPr>
          <w:p w14:paraId="2DD1E55E">
            <w:pPr>
              <w:pStyle w:val="163"/>
              <w:jc w:val="center"/>
              <w:rPr>
                <w:color w:val="auto"/>
                <w:sz w:val="21"/>
                <w:szCs w:val="21"/>
                <w:highlight w:val="none"/>
                <w:lang w:eastAsia="zh-CN"/>
              </w:rPr>
            </w:pPr>
            <w:r>
              <w:rPr>
                <w:rFonts w:hint="eastAsia"/>
                <w:color w:val="auto"/>
                <w:sz w:val="21"/>
                <w:szCs w:val="21"/>
                <w:highlight w:val="none"/>
                <w:lang w:eastAsia="zh-CN"/>
              </w:rPr>
              <w:t>评审因素</w:t>
            </w:r>
          </w:p>
        </w:tc>
        <w:tc>
          <w:tcPr>
            <w:tcW w:w="5818" w:type="dxa"/>
            <w:vAlign w:val="center"/>
          </w:tcPr>
          <w:p w14:paraId="10BB7682">
            <w:pPr>
              <w:pStyle w:val="163"/>
              <w:ind w:left="105" w:leftChars="50"/>
              <w:jc w:val="center"/>
              <w:rPr>
                <w:color w:val="auto"/>
                <w:sz w:val="21"/>
                <w:szCs w:val="21"/>
                <w:highlight w:val="none"/>
              </w:rPr>
            </w:pPr>
            <w:r>
              <w:rPr>
                <w:rFonts w:hint="eastAsia"/>
                <w:color w:val="auto"/>
                <w:spacing w:val="7"/>
                <w:sz w:val="21"/>
                <w:szCs w:val="21"/>
                <w:highlight w:val="none"/>
              </w:rPr>
              <w:t>评审标准</w:t>
            </w:r>
          </w:p>
        </w:tc>
      </w:tr>
      <w:tr w14:paraId="25F42A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jc w:val="center"/>
        </w:trPr>
        <w:tc>
          <w:tcPr>
            <w:tcW w:w="750" w:type="dxa"/>
            <w:vAlign w:val="center"/>
          </w:tcPr>
          <w:p w14:paraId="4E431E6C">
            <w:pPr>
              <w:pStyle w:val="163"/>
              <w:jc w:val="center"/>
              <w:rPr>
                <w:color w:val="auto"/>
                <w:sz w:val="21"/>
                <w:szCs w:val="21"/>
                <w:highlight w:val="none"/>
              </w:rPr>
            </w:pPr>
            <w:r>
              <w:rPr>
                <w:rFonts w:hint="eastAsia"/>
                <w:color w:val="auto"/>
                <w:sz w:val="21"/>
                <w:szCs w:val="21"/>
                <w:highlight w:val="none"/>
              </w:rPr>
              <w:t>1</w:t>
            </w:r>
          </w:p>
        </w:tc>
        <w:tc>
          <w:tcPr>
            <w:tcW w:w="2411" w:type="dxa"/>
            <w:vAlign w:val="center"/>
          </w:tcPr>
          <w:p w14:paraId="38D30A53">
            <w:pPr>
              <w:pStyle w:val="163"/>
              <w:jc w:val="center"/>
              <w:rPr>
                <w:color w:val="auto"/>
                <w:sz w:val="21"/>
                <w:szCs w:val="21"/>
                <w:highlight w:val="none"/>
              </w:rPr>
            </w:pPr>
            <w:r>
              <w:rPr>
                <w:rFonts w:hint="eastAsia"/>
                <w:color w:val="auto"/>
                <w:spacing w:val="8"/>
                <w:sz w:val="21"/>
                <w:szCs w:val="21"/>
                <w:highlight w:val="none"/>
              </w:rPr>
              <w:t>标书雷同性分析</w:t>
            </w:r>
          </w:p>
        </w:tc>
        <w:tc>
          <w:tcPr>
            <w:tcW w:w="5818" w:type="dxa"/>
            <w:vAlign w:val="center"/>
          </w:tcPr>
          <w:p w14:paraId="574E0809">
            <w:pPr>
              <w:pStyle w:val="163"/>
              <w:ind w:left="105" w:leftChars="50"/>
              <w:rPr>
                <w:color w:val="auto"/>
                <w:sz w:val="21"/>
                <w:szCs w:val="21"/>
                <w:highlight w:val="none"/>
                <w:lang w:eastAsia="zh-CN"/>
              </w:rPr>
            </w:pPr>
            <w:r>
              <w:rPr>
                <w:rFonts w:hint="eastAsia"/>
                <w:color w:val="auto"/>
                <w:sz w:val="21"/>
                <w:szCs w:val="21"/>
                <w:highlight w:val="none"/>
                <w:lang w:eastAsia="zh-CN"/>
              </w:rPr>
              <w:t>投标（响应）文件制作机器码不能一致，电子投标(响应)文件上传计算机的网卡MAC地址、CPU序列号和硬盘序列号等硬件信息不能相同</w:t>
            </w:r>
          </w:p>
        </w:tc>
      </w:tr>
      <w:tr w14:paraId="7AEDD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jc w:val="center"/>
        </w:trPr>
        <w:tc>
          <w:tcPr>
            <w:tcW w:w="750" w:type="dxa"/>
            <w:vAlign w:val="center"/>
          </w:tcPr>
          <w:p w14:paraId="26E4F71B">
            <w:pPr>
              <w:pStyle w:val="163"/>
              <w:jc w:val="center"/>
              <w:rPr>
                <w:color w:val="auto"/>
                <w:sz w:val="21"/>
                <w:szCs w:val="21"/>
                <w:highlight w:val="none"/>
              </w:rPr>
            </w:pPr>
            <w:r>
              <w:rPr>
                <w:rFonts w:hint="eastAsia"/>
                <w:color w:val="auto"/>
                <w:sz w:val="21"/>
                <w:szCs w:val="21"/>
                <w:highlight w:val="none"/>
              </w:rPr>
              <w:t>2</w:t>
            </w:r>
          </w:p>
        </w:tc>
        <w:tc>
          <w:tcPr>
            <w:tcW w:w="2411" w:type="dxa"/>
            <w:vAlign w:val="center"/>
          </w:tcPr>
          <w:p w14:paraId="75C6ABE7">
            <w:pPr>
              <w:pStyle w:val="163"/>
              <w:jc w:val="center"/>
              <w:rPr>
                <w:color w:val="auto"/>
                <w:sz w:val="21"/>
                <w:szCs w:val="21"/>
                <w:highlight w:val="none"/>
              </w:rPr>
            </w:pPr>
            <w:r>
              <w:rPr>
                <w:rFonts w:hint="eastAsia"/>
                <w:color w:val="auto"/>
                <w:spacing w:val="5"/>
                <w:sz w:val="21"/>
                <w:szCs w:val="21"/>
                <w:highlight w:val="none"/>
              </w:rPr>
              <w:t>投标人名称</w:t>
            </w:r>
          </w:p>
        </w:tc>
        <w:tc>
          <w:tcPr>
            <w:tcW w:w="5818" w:type="dxa"/>
            <w:vAlign w:val="center"/>
          </w:tcPr>
          <w:p w14:paraId="2D64B7F5">
            <w:pPr>
              <w:pStyle w:val="163"/>
              <w:ind w:left="105" w:leftChars="50"/>
              <w:rPr>
                <w:color w:val="auto"/>
                <w:sz w:val="21"/>
                <w:szCs w:val="21"/>
                <w:highlight w:val="none"/>
              </w:rPr>
            </w:pPr>
            <w:r>
              <w:rPr>
                <w:rFonts w:hint="eastAsia"/>
                <w:color w:val="auto"/>
                <w:spacing w:val="8"/>
                <w:sz w:val="21"/>
                <w:szCs w:val="21"/>
                <w:highlight w:val="none"/>
                <w:lang w:val="en-US" w:eastAsia="zh-CN"/>
              </w:rPr>
              <w:t>与</w:t>
            </w:r>
            <w:r>
              <w:rPr>
                <w:rFonts w:hint="eastAsia"/>
                <w:color w:val="auto"/>
                <w:spacing w:val="8"/>
                <w:sz w:val="21"/>
                <w:szCs w:val="21"/>
                <w:highlight w:val="none"/>
              </w:rPr>
              <w:t>法人或者其</w:t>
            </w:r>
            <w:r>
              <w:rPr>
                <w:rFonts w:hint="eastAsia"/>
                <w:color w:val="auto"/>
                <w:spacing w:val="8"/>
                <w:sz w:val="21"/>
                <w:szCs w:val="21"/>
                <w:highlight w:val="none"/>
                <w:lang w:val="en-US" w:eastAsia="zh-CN"/>
              </w:rPr>
              <w:t>他</w:t>
            </w:r>
            <w:r>
              <w:rPr>
                <w:rFonts w:hint="eastAsia"/>
                <w:color w:val="auto"/>
                <w:spacing w:val="8"/>
                <w:sz w:val="21"/>
                <w:szCs w:val="21"/>
                <w:highlight w:val="none"/>
              </w:rPr>
              <w:t>组织的营业执照等证明文件或自然人的身份证明一致</w:t>
            </w:r>
          </w:p>
        </w:tc>
      </w:tr>
      <w:tr w14:paraId="00AC5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jc w:val="center"/>
        </w:trPr>
        <w:tc>
          <w:tcPr>
            <w:tcW w:w="750" w:type="dxa"/>
            <w:vAlign w:val="center"/>
          </w:tcPr>
          <w:p w14:paraId="3E44876E">
            <w:pPr>
              <w:pStyle w:val="163"/>
              <w:jc w:val="center"/>
              <w:rPr>
                <w:color w:val="auto"/>
                <w:sz w:val="21"/>
                <w:szCs w:val="21"/>
                <w:highlight w:val="none"/>
              </w:rPr>
            </w:pPr>
            <w:r>
              <w:rPr>
                <w:rFonts w:hint="eastAsia"/>
                <w:color w:val="auto"/>
                <w:sz w:val="21"/>
                <w:szCs w:val="21"/>
                <w:highlight w:val="none"/>
              </w:rPr>
              <w:t>3</w:t>
            </w:r>
          </w:p>
        </w:tc>
        <w:tc>
          <w:tcPr>
            <w:tcW w:w="2411" w:type="dxa"/>
            <w:vAlign w:val="center"/>
          </w:tcPr>
          <w:p w14:paraId="00827243">
            <w:pPr>
              <w:pStyle w:val="163"/>
              <w:jc w:val="center"/>
              <w:rPr>
                <w:color w:val="auto"/>
                <w:sz w:val="21"/>
                <w:szCs w:val="21"/>
                <w:highlight w:val="none"/>
              </w:rPr>
            </w:pPr>
            <w:r>
              <w:rPr>
                <w:rFonts w:hint="eastAsia"/>
                <w:color w:val="auto"/>
                <w:spacing w:val="6"/>
                <w:sz w:val="21"/>
                <w:szCs w:val="21"/>
                <w:highlight w:val="none"/>
              </w:rPr>
              <w:t>投标内容</w:t>
            </w:r>
          </w:p>
        </w:tc>
        <w:tc>
          <w:tcPr>
            <w:tcW w:w="5818" w:type="dxa"/>
            <w:vAlign w:val="center"/>
          </w:tcPr>
          <w:p w14:paraId="3DA1C5E2">
            <w:pPr>
              <w:pStyle w:val="163"/>
              <w:ind w:left="105" w:leftChars="50"/>
              <w:rPr>
                <w:color w:val="auto"/>
                <w:kern w:val="0"/>
                <w:sz w:val="21"/>
                <w:szCs w:val="21"/>
                <w:highlight w:val="none"/>
                <w:lang w:eastAsia="zh-CN"/>
              </w:rPr>
            </w:pPr>
            <w:r>
              <w:rPr>
                <w:rFonts w:hint="eastAsia"/>
                <w:color w:val="auto"/>
                <w:kern w:val="0"/>
                <w:sz w:val="21"/>
                <w:szCs w:val="21"/>
                <w:highlight w:val="none"/>
                <w:lang w:eastAsia="zh-CN"/>
              </w:rPr>
              <w:t>符合第二章“投标人须知前附表”第 1.3.1 项规定</w:t>
            </w:r>
          </w:p>
        </w:tc>
      </w:tr>
      <w:tr w14:paraId="430AD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jc w:val="center"/>
        </w:trPr>
        <w:tc>
          <w:tcPr>
            <w:tcW w:w="750" w:type="dxa"/>
            <w:vAlign w:val="center"/>
          </w:tcPr>
          <w:p w14:paraId="742AD77D">
            <w:pPr>
              <w:pStyle w:val="163"/>
              <w:jc w:val="center"/>
              <w:rPr>
                <w:color w:val="auto"/>
                <w:sz w:val="21"/>
                <w:szCs w:val="21"/>
                <w:highlight w:val="none"/>
              </w:rPr>
            </w:pPr>
            <w:r>
              <w:rPr>
                <w:rFonts w:hint="eastAsia"/>
                <w:color w:val="auto"/>
                <w:sz w:val="21"/>
                <w:szCs w:val="21"/>
                <w:highlight w:val="none"/>
              </w:rPr>
              <w:t>4</w:t>
            </w:r>
          </w:p>
        </w:tc>
        <w:tc>
          <w:tcPr>
            <w:tcW w:w="2411" w:type="dxa"/>
            <w:vAlign w:val="center"/>
          </w:tcPr>
          <w:p w14:paraId="685A7140">
            <w:pPr>
              <w:pStyle w:val="163"/>
              <w:jc w:val="center"/>
              <w:rPr>
                <w:color w:val="auto"/>
                <w:sz w:val="21"/>
                <w:szCs w:val="21"/>
                <w:highlight w:val="none"/>
              </w:rPr>
            </w:pPr>
            <w:r>
              <w:rPr>
                <w:rFonts w:hint="eastAsia"/>
                <w:color w:val="auto"/>
                <w:spacing w:val="6"/>
                <w:sz w:val="21"/>
                <w:szCs w:val="21"/>
                <w:highlight w:val="none"/>
              </w:rPr>
              <w:t>质保期</w:t>
            </w:r>
          </w:p>
        </w:tc>
        <w:tc>
          <w:tcPr>
            <w:tcW w:w="5818" w:type="dxa"/>
            <w:vAlign w:val="center"/>
          </w:tcPr>
          <w:p w14:paraId="6F8ACD2D">
            <w:pPr>
              <w:pStyle w:val="163"/>
              <w:ind w:left="105" w:leftChars="50"/>
              <w:rPr>
                <w:color w:val="auto"/>
                <w:kern w:val="0"/>
                <w:sz w:val="21"/>
                <w:szCs w:val="21"/>
                <w:highlight w:val="none"/>
                <w:lang w:eastAsia="zh-CN"/>
              </w:rPr>
            </w:pPr>
            <w:r>
              <w:rPr>
                <w:rFonts w:hint="eastAsia"/>
                <w:color w:val="auto"/>
                <w:kern w:val="0"/>
                <w:sz w:val="21"/>
                <w:szCs w:val="21"/>
                <w:highlight w:val="none"/>
                <w:lang w:eastAsia="zh-CN"/>
              </w:rPr>
              <w:t>符合第二章“投标人须知前附表”第 1.3.2 项规定</w:t>
            </w:r>
          </w:p>
        </w:tc>
      </w:tr>
      <w:tr w14:paraId="00EF8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jc w:val="center"/>
        </w:trPr>
        <w:tc>
          <w:tcPr>
            <w:tcW w:w="750" w:type="dxa"/>
            <w:vAlign w:val="center"/>
          </w:tcPr>
          <w:p w14:paraId="52779058">
            <w:pPr>
              <w:pStyle w:val="163"/>
              <w:jc w:val="center"/>
              <w:rPr>
                <w:color w:val="auto"/>
                <w:sz w:val="21"/>
                <w:szCs w:val="21"/>
                <w:highlight w:val="none"/>
              </w:rPr>
            </w:pPr>
            <w:r>
              <w:rPr>
                <w:rFonts w:hint="eastAsia"/>
                <w:color w:val="auto"/>
                <w:sz w:val="21"/>
                <w:szCs w:val="21"/>
                <w:highlight w:val="none"/>
              </w:rPr>
              <w:t>5</w:t>
            </w:r>
          </w:p>
        </w:tc>
        <w:tc>
          <w:tcPr>
            <w:tcW w:w="2411" w:type="dxa"/>
            <w:vAlign w:val="center"/>
          </w:tcPr>
          <w:p w14:paraId="3A082C61">
            <w:pPr>
              <w:pStyle w:val="163"/>
              <w:jc w:val="center"/>
              <w:rPr>
                <w:color w:val="auto"/>
                <w:sz w:val="21"/>
                <w:szCs w:val="21"/>
                <w:highlight w:val="none"/>
              </w:rPr>
            </w:pPr>
            <w:r>
              <w:rPr>
                <w:rFonts w:hint="eastAsia"/>
                <w:color w:val="auto"/>
                <w:spacing w:val="5"/>
                <w:sz w:val="21"/>
                <w:szCs w:val="21"/>
                <w:highlight w:val="none"/>
              </w:rPr>
              <w:t>交货期</w:t>
            </w:r>
          </w:p>
        </w:tc>
        <w:tc>
          <w:tcPr>
            <w:tcW w:w="5818" w:type="dxa"/>
            <w:vAlign w:val="center"/>
          </w:tcPr>
          <w:p w14:paraId="66DC3F6B">
            <w:pPr>
              <w:pStyle w:val="163"/>
              <w:ind w:left="105" w:leftChars="50"/>
              <w:rPr>
                <w:color w:val="auto"/>
                <w:kern w:val="0"/>
                <w:sz w:val="21"/>
                <w:szCs w:val="21"/>
                <w:highlight w:val="none"/>
                <w:lang w:eastAsia="zh-CN"/>
              </w:rPr>
            </w:pPr>
            <w:r>
              <w:rPr>
                <w:rFonts w:hint="eastAsia"/>
                <w:color w:val="auto"/>
                <w:kern w:val="0"/>
                <w:sz w:val="21"/>
                <w:szCs w:val="21"/>
                <w:highlight w:val="none"/>
                <w:lang w:eastAsia="zh-CN"/>
              </w:rPr>
              <w:t>符合第二章“投标人须知前附表”第 1.3.3 项规定</w:t>
            </w:r>
          </w:p>
        </w:tc>
      </w:tr>
      <w:tr w14:paraId="48F26D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jc w:val="center"/>
        </w:trPr>
        <w:tc>
          <w:tcPr>
            <w:tcW w:w="750" w:type="dxa"/>
            <w:vAlign w:val="center"/>
          </w:tcPr>
          <w:p w14:paraId="33D75428">
            <w:pPr>
              <w:pStyle w:val="163"/>
              <w:jc w:val="center"/>
              <w:rPr>
                <w:color w:val="auto"/>
                <w:sz w:val="21"/>
                <w:szCs w:val="21"/>
                <w:highlight w:val="none"/>
              </w:rPr>
            </w:pPr>
            <w:r>
              <w:rPr>
                <w:rFonts w:hint="eastAsia"/>
                <w:color w:val="auto"/>
                <w:sz w:val="21"/>
                <w:szCs w:val="21"/>
                <w:highlight w:val="none"/>
              </w:rPr>
              <w:t>6</w:t>
            </w:r>
          </w:p>
        </w:tc>
        <w:tc>
          <w:tcPr>
            <w:tcW w:w="2411" w:type="dxa"/>
            <w:vAlign w:val="center"/>
          </w:tcPr>
          <w:p w14:paraId="4DD018E9">
            <w:pPr>
              <w:pStyle w:val="163"/>
              <w:jc w:val="center"/>
              <w:rPr>
                <w:color w:val="auto"/>
                <w:sz w:val="21"/>
                <w:szCs w:val="21"/>
                <w:highlight w:val="none"/>
                <w:lang w:eastAsia="zh-CN"/>
              </w:rPr>
            </w:pPr>
            <w:r>
              <w:rPr>
                <w:rFonts w:hint="eastAsia"/>
                <w:color w:val="auto"/>
                <w:sz w:val="21"/>
                <w:szCs w:val="21"/>
                <w:highlight w:val="none"/>
                <w:lang w:eastAsia="zh-CN"/>
              </w:rPr>
              <w:t>交货地点</w:t>
            </w:r>
          </w:p>
        </w:tc>
        <w:tc>
          <w:tcPr>
            <w:tcW w:w="5818" w:type="dxa"/>
            <w:vAlign w:val="center"/>
          </w:tcPr>
          <w:p w14:paraId="4978D3CC">
            <w:pPr>
              <w:pStyle w:val="163"/>
              <w:ind w:left="105" w:leftChars="50"/>
              <w:rPr>
                <w:color w:val="auto"/>
                <w:kern w:val="0"/>
                <w:sz w:val="21"/>
                <w:szCs w:val="21"/>
                <w:highlight w:val="none"/>
                <w:lang w:eastAsia="zh-CN"/>
              </w:rPr>
            </w:pPr>
            <w:r>
              <w:rPr>
                <w:rFonts w:hint="eastAsia"/>
                <w:color w:val="auto"/>
                <w:kern w:val="0"/>
                <w:sz w:val="21"/>
                <w:szCs w:val="21"/>
                <w:highlight w:val="none"/>
                <w:lang w:eastAsia="zh-CN"/>
              </w:rPr>
              <w:t>符合第二章“投标人须知前附表”第 1.3.4 项规定</w:t>
            </w:r>
          </w:p>
        </w:tc>
      </w:tr>
      <w:tr w14:paraId="15AC4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jc w:val="center"/>
        </w:trPr>
        <w:tc>
          <w:tcPr>
            <w:tcW w:w="750" w:type="dxa"/>
            <w:vAlign w:val="center"/>
          </w:tcPr>
          <w:p w14:paraId="30D5EE58">
            <w:pPr>
              <w:pStyle w:val="163"/>
              <w:jc w:val="center"/>
              <w:rPr>
                <w:color w:val="auto"/>
                <w:sz w:val="21"/>
                <w:szCs w:val="21"/>
                <w:highlight w:val="none"/>
              </w:rPr>
            </w:pPr>
            <w:r>
              <w:rPr>
                <w:rFonts w:hint="eastAsia"/>
                <w:color w:val="auto"/>
                <w:sz w:val="21"/>
                <w:szCs w:val="21"/>
                <w:highlight w:val="none"/>
              </w:rPr>
              <w:t>7</w:t>
            </w:r>
          </w:p>
        </w:tc>
        <w:tc>
          <w:tcPr>
            <w:tcW w:w="2411" w:type="dxa"/>
            <w:vAlign w:val="center"/>
          </w:tcPr>
          <w:p w14:paraId="6E1A3C30">
            <w:pPr>
              <w:pStyle w:val="163"/>
              <w:jc w:val="center"/>
              <w:rPr>
                <w:color w:val="auto"/>
                <w:sz w:val="21"/>
                <w:szCs w:val="21"/>
                <w:highlight w:val="none"/>
              </w:rPr>
            </w:pPr>
            <w:r>
              <w:rPr>
                <w:rFonts w:hint="eastAsia"/>
                <w:color w:val="auto"/>
                <w:spacing w:val="7"/>
                <w:sz w:val="21"/>
                <w:szCs w:val="21"/>
                <w:highlight w:val="none"/>
              </w:rPr>
              <w:t>质量要求</w:t>
            </w:r>
          </w:p>
        </w:tc>
        <w:tc>
          <w:tcPr>
            <w:tcW w:w="5818" w:type="dxa"/>
            <w:vAlign w:val="center"/>
          </w:tcPr>
          <w:p w14:paraId="3B155029">
            <w:pPr>
              <w:pStyle w:val="163"/>
              <w:ind w:left="105" w:leftChars="50"/>
              <w:rPr>
                <w:color w:val="auto"/>
                <w:kern w:val="0"/>
                <w:sz w:val="21"/>
                <w:szCs w:val="21"/>
                <w:highlight w:val="none"/>
                <w:lang w:eastAsia="zh-CN"/>
              </w:rPr>
            </w:pPr>
            <w:r>
              <w:rPr>
                <w:rFonts w:hint="eastAsia"/>
                <w:color w:val="auto"/>
                <w:kern w:val="0"/>
                <w:sz w:val="21"/>
                <w:szCs w:val="21"/>
                <w:highlight w:val="none"/>
                <w:lang w:eastAsia="zh-CN"/>
              </w:rPr>
              <w:t>符合第二章“投标人须知前附表”第 1.3.5 项规定</w:t>
            </w:r>
          </w:p>
        </w:tc>
      </w:tr>
      <w:tr w14:paraId="0179EC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jc w:val="center"/>
        </w:trPr>
        <w:tc>
          <w:tcPr>
            <w:tcW w:w="750" w:type="dxa"/>
            <w:vAlign w:val="center"/>
          </w:tcPr>
          <w:p w14:paraId="512D7370">
            <w:pPr>
              <w:pStyle w:val="163"/>
              <w:jc w:val="center"/>
              <w:rPr>
                <w:color w:val="auto"/>
                <w:sz w:val="21"/>
                <w:szCs w:val="21"/>
                <w:highlight w:val="none"/>
              </w:rPr>
            </w:pPr>
            <w:r>
              <w:rPr>
                <w:rFonts w:hint="eastAsia"/>
                <w:color w:val="auto"/>
                <w:sz w:val="21"/>
                <w:szCs w:val="21"/>
                <w:highlight w:val="none"/>
              </w:rPr>
              <w:t>8</w:t>
            </w:r>
          </w:p>
        </w:tc>
        <w:tc>
          <w:tcPr>
            <w:tcW w:w="2411" w:type="dxa"/>
            <w:vAlign w:val="center"/>
          </w:tcPr>
          <w:p w14:paraId="00A2F359">
            <w:pPr>
              <w:pStyle w:val="163"/>
              <w:jc w:val="center"/>
              <w:rPr>
                <w:color w:val="auto"/>
                <w:sz w:val="21"/>
                <w:szCs w:val="21"/>
                <w:highlight w:val="none"/>
              </w:rPr>
            </w:pPr>
            <w:r>
              <w:rPr>
                <w:rFonts w:hint="eastAsia"/>
                <w:color w:val="auto"/>
                <w:spacing w:val="6"/>
                <w:sz w:val="21"/>
                <w:szCs w:val="21"/>
                <w:highlight w:val="none"/>
              </w:rPr>
              <w:t>投标报价</w:t>
            </w:r>
          </w:p>
        </w:tc>
        <w:tc>
          <w:tcPr>
            <w:tcW w:w="5818" w:type="dxa"/>
            <w:vAlign w:val="center"/>
          </w:tcPr>
          <w:p w14:paraId="610B938F">
            <w:pPr>
              <w:pStyle w:val="163"/>
              <w:ind w:left="105" w:leftChars="50"/>
              <w:rPr>
                <w:color w:val="auto"/>
                <w:kern w:val="0"/>
                <w:sz w:val="21"/>
                <w:szCs w:val="21"/>
                <w:highlight w:val="none"/>
                <w:lang w:eastAsia="zh-CN"/>
              </w:rPr>
            </w:pPr>
            <w:r>
              <w:rPr>
                <w:rFonts w:hint="eastAsia"/>
                <w:color w:val="auto"/>
                <w:kern w:val="0"/>
                <w:sz w:val="21"/>
                <w:szCs w:val="21"/>
                <w:highlight w:val="none"/>
                <w:lang w:eastAsia="zh-CN"/>
              </w:rPr>
              <w:t>报价未超过招标文件中规定的最高投标限价</w:t>
            </w:r>
          </w:p>
        </w:tc>
      </w:tr>
      <w:tr w14:paraId="0E34A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jc w:val="center"/>
        </w:trPr>
        <w:tc>
          <w:tcPr>
            <w:tcW w:w="750" w:type="dxa"/>
            <w:vAlign w:val="center"/>
          </w:tcPr>
          <w:p w14:paraId="7813FA7E">
            <w:pPr>
              <w:pStyle w:val="163"/>
              <w:jc w:val="center"/>
              <w:rPr>
                <w:color w:val="auto"/>
                <w:sz w:val="21"/>
                <w:szCs w:val="21"/>
                <w:highlight w:val="none"/>
              </w:rPr>
            </w:pPr>
            <w:r>
              <w:rPr>
                <w:rFonts w:hint="eastAsia"/>
                <w:color w:val="auto"/>
                <w:sz w:val="21"/>
                <w:szCs w:val="21"/>
                <w:highlight w:val="none"/>
              </w:rPr>
              <w:t>9</w:t>
            </w:r>
          </w:p>
        </w:tc>
        <w:tc>
          <w:tcPr>
            <w:tcW w:w="2411" w:type="dxa"/>
            <w:vAlign w:val="center"/>
          </w:tcPr>
          <w:p w14:paraId="167D49CA">
            <w:pPr>
              <w:pStyle w:val="163"/>
              <w:jc w:val="center"/>
              <w:rPr>
                <w:color w:val="auto"/>
                <w:sz w:val="21"/>
                <w:szCs w:val="21"/>
                <w:highlight w:val="none"/>
              </w:rPr>
            </w:pPr>
            <w:r>
              <w:rPr>
                <w:rFonts w:hint="eastAsia"/>
                <w:color w:val="auto"/>
                <w:spacing w:val="7"/>
                <w:sz w:val="21"/>
                <w:szCs w:val="21"/>
                <w:highlight w:val="none"/>
              </w:rPr>
              <w:t>投标有效期</w:t>
            </w:r>
          </w:p>
        </w:tc>
        <w:tc>
          <w:tcPr>
            <w:tcW w:w="5818" w:type="dxa"/>
            <w:vAlign w:val="center"/>
          </w:tcPr>
          <w:p w14:paraId="3AD97A2C">
            <w:pPr>
              <w:pStyle w:val="163"/>
              <w:ind w:left="105" w:leftChars="50"/>
              <w:rPr>
                <w:color w:val="auto"/>
                <w:kern w:val="0"/>
                <w:sz w:val="21"/>
                <w:szCs w:val="21"/>
                <w:highlight w:val="none"/>
                <w:lang w:eastAsia="zh-CN"/>
              </w:rPr>
            </w:pPr>
            <w:r>
              <w:rPr>
                <w:rFonts w:hint="eastAsia"/>
                <w:color w:val="auto"/>
                <w:kern w:val="0"/>
                <w:sz w:val="21"/>
                <w:szCs w:val="21"/>
                <w:highlight w:val="none"/>
                <w:lang w:eastAsia="zh-CN"/>
              </w:rPr>
              <w:t>符合第二章“投标人须知前附表”第 3.3.1 项规定</w:t>
            </w:r>
          </w:p>
        </w:tc>
      </w:tr>
      <w:tr w14:paraId="7CDFB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750" w:type="dxa"/>
            <w:vAlign w:val="center"/>
          </w:tcPr>
          <w:p w14:paraId="28C227C2">
            <w:pPr>
              <w:pStyle w:val="163"/>
              <w:jc w:val="center"/>
              <w:rPr>
                <w:color w:val="auto"/>
                <w:sz w:val="21"/>
                <w:szCs w:val="21"/>
                <w:highlight w:val="none"/>
              </w:rPr>
            </w:pPr>
            <w:r>
              <w:rPr>
                <w:rFonts w:hint="eastAsia"/>
                <w:color w:val="auto"/>
                <w:spacing w:val="-7"/>
                <w:sz w:val="21"/>
                <w:szCs w:val="21"/>
                <w:highlight w:val="none"/>
              </w:rPr>
              <w:t>10</w:t>
            </w:r>
          </w:p>
        </w:tc>
        <w:tc>
          <w:tcPr>
            <w:tcW w:w="2411" w:type="dxa"/>
            <w:vAlign w:val="center"/>
          </w:tcPr>
          <w:p w14:paraId="32C8642C">
            <w:pPr>
              <w:pStyle w:val="163"/>
              <w:jc w:val="center"/>
              <w:rPr>
                <w:color w:val="auto"/>
                <w:sz w:val="21"/>
                <w:szCs w:val="21"/>
                <w:highlight w:val="none"/>
              </w:rPr>
            </w:pPr>
            <w:r>
              <w:rPr>
                <w:rFonts w:hint="eastAsia"/>
                <w:color w:val="auto"/>
                <w:spacing w:val="8"/>
                <w:sz w:val="21"/>
                <w:szCs w:val="21"/>
                <w:highlight w:val="none"/>
              </w:rPr>
              <w:t>投标文件签字盖章</w:t>
            </w:r>
          </w:p>
        </w:tc>
        <w:tc>
          <w:tcPr>
            <w:tcW w:w="5818" w:type="dxa"/>
            <w:vAlign w:val="center"/>
          </w:tcPr>
          <w:p w14:paraId="0B025CE5">
            <w:pPr>
              <w:pStyle w:val="163"/>
              <w:ind w:left="105" w:leftChars="50"/>
              <w:rPr>
                <w:color w:val="auto"/>
                <w:kern w:val="0"/>
                <w:sz w:val="21"/>
                <w:szCs w:val="21"/>
                <w:highlight w:val="none"/>
                <w:lang w:eastAsia="zh-CN"/>
              </w:rPr>
            </w:pPr>
            <w:r>
              <w:rPr>
                <w:rFonts w:hint="eastAsia"/>
                <w:color w:val="auto"/>
                <w:kern w:val="0"/>
                <w:sz w:val="21"/>
                <w:szCs w:val="21"/>
                <w:highlight w:val="none"/>
                <w:lang w:eastAsia="zh-CN"/>
              </w:rPr>
              <w:t>符合第二章“投标人须知前附表”第 3.7.3 项规定</w:t>
            </w:r>
          </w:p>
        </w:tc>
      </w:tr>
      <w:tr w14:paraId="3B924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jc w:val="center"/>
        </w:trPr>
        <w:tc>
          <w:tcPr>
            <w:tcW w:w="750" w:type="dxa"/>
            <w:vAlign w:val="center"/>
          </w:tcPr>
          <w:p w14:paraId="2B1E1377">
            <w:pPr>
              <w:pStyle w:val="163"/>
              <w:jc w:val="center"/>
              <w:rPr>
                <w:color w:val="auto"/>
                <w:sz w:val="21"/>
                <w:szCs w:val="21"/>
                <w:highlight w:val="none"/>
              </w:rPr>
            </w:pPr>
            <w:r>
              <w:rPr>
                <w:rFonts w:hint="eastAsia"/>
                <w:color w:val="auto"/>
                <w:spacing w:val="-7"/>
                <w:sz w:val="21"/>
                <w:szCs w:val="21"/>
                <w:highlight w:val="none"/>
              </w:rPr>
              <w:t>11</w:t>
            </w:r>
          </w:p>
        </w:tc>
        <w:tc>
          <w:tcPr>
            <w:tcW w:w="2411" w:type="dxa"/>
            <w:vAlign w:val="center"/>
          </w:tcPr>
          <w:p w14:paraId="27F82FA9">
            <w:pPr>
              <w:pStyle w:val="163"/>
              <w:jc w:val="center"/>
              <w:rPr>
                <w:color w:val="auto"/>
                <w:sz w:val="21"/>
                <w:szCs w:val="21"/>
                <w:highlight w:val="none"/>
              </w:rPr>
            </w:pPr>
            <w:r>
              <w:rPr>
                <w:rFonts w:hint="eastAsia"/>
                <w:color w:val="auto"/>
                <w:spacing w:val="8"/>
                <w:sz w:val="21"/>
                <w:szCs w:val="21"/>
                <w:highlight w:val="none"/>
              </w:rPr>
              <w:t>报价唯一</w:t>
            </w:r>
          </w:p>
        </w:tc>
        <w:tc>
          <w:tcPr>
            <w:tcW w:w="5818" w:type="dxa"/>
            <w:vAlign w:val="center"/>
          </w:tcPr>
          <w:p w14:paraId="2A50DE05">
            <w:pPr>
              <w:pStyle w:val="163"/>
              <w:ind w:left="105" w:leftChars="50"/>
              <w:rPr>
                <w:color w:val="auto"/>
                <w:kern w:val="0"/>
                <w:sz w:val="21"/>
                <w:szCs w:val="21"/>
                <w:highlight w:val="none"/>
              </w:rPr>
            </w:pPr>
            <w:r>
              <w:rPr>
                <w:rFonts w:hint="eastAsia"/>
                <w:color w:val="auto"/>
                <w:kern w:val="0"/>
                <w:sz w:val="21"/>
                <w:szCs w:val="21"/>
                <w:highlight w:val="none"/>
              </w:rPr>
              <w:t>只能有一个有效报价</w:t>
            </w:r>
          </w:p>
        </w:tc>
      </w:tr>
      <w:tr w14:paraId="1A6BE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6" w:hRule="atLeast"/>
          <w:jc w:val="center"/>
        </w:trPr>
        <w:tc>
          <w:tcPr>
            <w:tcW w:w="750" w:type="dxa"/>
            <w:vAlign w:val="center"/>
          </w:tcPr>
          <w:p w14:paraId="099C50F0">
            <w:pPr>
              <w:pStyle w:val="163"/>
              <w:jc w:val="center"/>
              <w:rPr>
                <w:color w:val="auto"/>
                <w:spacing w:val="-7"/>
                <w:sz w:val="21"/>
                <w:szCs w:val="21"/>
                <w:highlight w:val="none"/>
                <w:lang w:eastAsia="zh-CN"/>
              </w:rPr>
            </w:pPr>
            <w:r>
              <w:rPr>
                <w:rFonts w:hint="eastAsia"/>
                <w:color w:val="auto"/>
                <w:spacing w:val="-7"/>
                <w:sz w:val="21"/>
                <w:szCs w:val="21"/>
                <w:highlight w:val="none"/>
                <w:lang w:eastAsia="zh-CN"/>
              </w:rPr>
              <w:t>12</w:t>
            </w:r>
          </w:p>
        </w:tc>
        <w:tc>
          <w:tcPr>
            <w:tcW w:w="2411" w:type="dxa"/>
            <w:vAlign w:val="center"/>
          </w:tcPr>
          <w:p w14:paraId="7A8E2C11">
            <w:pPr>
              <w:pStyle w:val="163"/>
              <w:jc w:val="center"/>
              <w:rPr>
                <w:rFonts w:hint="default"/>
                <w:color w:val="auto"/>
                <w:sz w:val="21"/>
                <w:szCs w:val="21"/>
                <w:highlight w:val="none"/>
                <w:lang w:val="en-US" w:eastAsia="zh-CN"/>
              </w:rPr>
            </w:pPr>
            <w:r>
              <w:rPr>
                <w:rFonts w:hint="eastAsia"/>
                <w:color w:val="auto"/>
                <w:sz w:val="21"/>
                <w:szCs w:val="21"/>
                <w:highlight w:val="none"/>
                <w:lang w:val="en-US" w:eastAsia="zh-CN"/>
              </w:rPr>
              <w:t>实质性响应条款</w:t>
            </w:r>
          </w:p>
        </w:tc>
        <w:tc>
          <w:tcPr>
            <w:tcW w:w="5818" w:type="dxa"/>
            <w:vAlign w:val="center"/>
          </w:tcPr>
          <w:p w14:paraId="63FF1269">
            <w:pPr>
              <w:pStyle w:val="163"/>
              <w:spacing w:before="120" w:beforeLines="50" w:after="120" w:afterLines="50" w:line="360" w:lineRule="auto"/>
              <w:ind w:left="105" w:leftChars="50"/>
              <w:rPr>
                <w:rFonts w:hint="eastAsia"/>
                <w:color w:val="auto"/>
                <w:kern w:val="0"/>
                <w:sz w:val="21"/>
                <w:szCs w:val="21"/>
                <w:highlight w:val="none"/>
                <w:lang w:eastAsia="zh-CN"/>
              </w:rPr>
            </w:pPr>
            <w:r>
              <w:rPr>
                <w:rFonts w:hint="eastAsia"/>
                <w:color w:val="auto"/>
                <w:sz w:val="21"/>
                <w:szCs w:val="21"/>
                <w:highlight w:val="none"/>
                <w:lang w:eastAsia="zh-CN"/>
              </w:rPr>
              <w:t>第五章采购需求：</w:t>
            </w:r>
            <w:r>
              <w:rPr>
                <w:rFonts w:hint="eastAsia"/>
                <w:b/>
                <w:bCs/>
                <w:color w:val="auto"/>
                <w:kern w:val="0"/>
                <w:sz w:val="21"/>
                <w:szCs w:val="21"/>
                <w:highlight w:val="none"/>
                <w:lang w:eastAsia="zh-CN"/>
              </w:rPr>
              <w:t>技术要求中加★项、商务服务</w:t>
            </w:r>
            <w:r>
              <w:rPr>
                <w:rFonts w:hint="eastAsia"/>
                <w:b/>
                <w:bCs/>
                <w:color w:val="auto"/>
                <w:kern w:val="0"/>
                <w:sz w:val="21"/>
                <w:szCs w:val="21"/>
                <w:highlight w:val="none"/>
                <w:lang w:val="en-US" w:eastAsia="zh-CN"/>
              </w:rPr>
              <w:t>基本</w:t>
            </w:r>
            <w:r>
              <w:rPr>
                <w:rFonts w:hint="eastAsia"/>
                <w:b/>
                <w:bCs/>
                <w:color w:val="auto"/>
                <w:kern w:val="0"/>
                <w:sz w:val="21"/>
                <w:szCs w:val="21"/>
                <w:highlight w:val="none"/>
                <w:lang w:eastAsia="zh-CN"/>
              </w:rPr>
              <w:t>要求</w:t>
            </w:r>
            <w:r>
              <w:rPr>
                <w:rFonts w:hint="eastAsia"/>
                <w:color w:val="auto"/>
                <w:kern w:val="0"/>
                <w:sz w:val="21"/>
                <w:szCs w:val="21"/>
                <w:highlight w:val="none"/>
                <w:lang w:eastAsia="zh-CN"/>
              </w:rPr>
              <w:t>是实质性响应条款，任意一项不符合将作为无效投标。</w:t>
            </w:r>
          </w:p>
        </w:tc>
      </w:tr>
      <w:tr w14:paraId="23926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750" w:type="dxa"/>
            <w:vAlign w:val="center"/>
          </w:tcPr>
          <w:p w14:paraId="0D41B2B1">
            <w:pPr>
              <w:pStyle w:val="163"/>
              <w:jc w:val="center"/>
              <w:rPr>
                <w:rFonts w:hint="default"/>
                <w:color w:val="auto"/>
                <w:spacing w:val="-7"/>
                <w:sz w:val="21"/>
                <w:szCs w:val="21"/>
                <w:highlight w:val="none"/>
                <w:lang w:val="en-US" w:eastAsia="zh-CN"/>
              </w:rPr>
            </w:pPr>
            <w:r>
              <w:rPr>
                <w:rFonts w:hint="eastAsia"/>
                <w:color w:val="auto"/>
                <w:spacing w:val="-7"/>
                <w:sz w:val="21"/>
                <w:szCs w:val="21"/>
                <w:highlight w:val="none"/>
                <w:lang w:val="en-US" w:eastAsia="zh-CN"/>
              </w:rPr>
              <w:t>13</w:t>
            </w:r>
          </w:p>
        </w:tc>
        <w:tc>
          <w:tcPr>
            <w:tcW w:w="2411" w:type="dxa"/>
            <w:vAlign w:val="center"/>
          </w:tcPr>
          <w:p w14:paraId="046FCBF3">
            <w:pPr>
              <w:pStyle w:val="163"/>
              <w:jc w:val="center"/>
              <w:rPr>
                <w:rFonts w:hint="eastAsia"/>
                <w:color w:val="auto"/>
                <w:sz w:val="21"/>
                <w:szCs w:val="21"/>
                <w:highlight w:val="none"/>
                <w:lang w:eastAsia="zh-CN"/>
              </w:rPr>
            </w:pPr>
            <w:r>
              <w:rPr>
                <w:rFonts w:hint="eastAsia"/>
                <w:color w:val="auto"/>
                <w:sz w:val="21"/>
                <w:szCs w:val="21"/>
                <w:highlight w:val="none"/>
                <w:lang w:eastAsia="zh-CN"/>
              </w:rPr>
              <w:t>有效供应商数量</w:t>
            </w:r>
          </w:p>
        </w:tc>
        <w:tc>
          <w:tcPr>
            <w:tcW w:w="5818" w:type="dxa"/>
            <w:vAlign w:val="center"/>
          </w:tcPr>
          <w:p w14:paraId="410A43FA">
            <w:pPr>
              <w:pStyle w:val="163"/>
              <w:spacing w:before="120" w:beforeLines="50" w:after="120" w:afterLines="50" w:line="360" w:lineRule="auto"/>
              <w:ind w:left="105" w:leftChars="50"/>
              <w:rPr>
                <w:rFonts w:hint="eastAsia"/>
                <w:color w:val="auto"/>
                <w:kern w:val="0"/>
                <w:sz w:val="21"/>
                <w:szCs w:val="21"/>
                <w:highlight w:val="none"/>
                <w:lang w:eastAsia="zh-CN"/>
              </w:rPr>
            </w:pPr>
            <w:r>
              <w:rPr>
                <w:rFonts w:hint="eastAsia"/>
                <w:color w:val="auto"/>
                <w:kern w:val="0"/>
                <w:sz w:val="21"/>
                <w:szCs w:val="21"/>
                <w:highlight w:val="none"/>
                <w:lang w:eastAsia="zh-CN"/>
              </w:rPr>
              <w:t>有效供应商数量须为至少三家，详见“投标人的须知前附表”第</w:t>
            </w:r>
            <w:r>
              <w:rPr>
                <w:rFonts w:hint="eastAsia"/>
                <w:color w:val="auto"/>
                <w:kern w:val="0"/>
                <w:sz w:val="21"/>
                <w:szCs w:val="21"/>
                <w:highlight w:val="none"/>
                <w:lang w:val="en-US" w:eastAsia="zh-CN"/>
              </w:rPr>
              <w:t>10.5项规定</w:t>
            </w:r>
          </w:p>
        </w:tc>
      </w:tr>
      <w:tr w14:paraId="1CBEC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750" w:type="dxa"/>
            <w:vAlign w:val="center"/>
          </w:tcPr>
          <w:p w14:paraId="56D5CB4A">
            <w:pPr>
              <w:pStyle w:val="163"/>
              <w:jc w:val="center"/>
              <w:rPr>
                <w:rFonts w:hint="default"/>
                <w:color w:val="auto"/>
                <w:sz w:val="21"/>
                <w:szCs w:val="21"/>
                <w:highlight w:val="none"/>
                <w:lang w:val="en-US" w:eastAsia="zh-CN"/>
              </w:rPr>
            </w:pPr>
            <w:r>
              <w:rPr>
                <w:rFonts w:hint="eastAsia"/>
                <w:color w:val="auto"/>
                <w:sz w:val="21"/>
                <w:szCs w:val="21"/>
                <w:highlight w:val="none"/>
                <w:lang w:val="en-US" w:eastAsia="zh-CN"/>
              </w:rPr>
              <w:t>14</w:t>
            </w:r>
          </w:p>
        </w:tc>
        <w:tc>
          <w:tcPr>
            <w:tcW w:w="2411" w:type="dxa"/>
            <w:shd w:val="clear" w:color="auto" w:fill="auto"/>
            <w:vAlign w:val="center"/>
          </w:tcPr>
          <w:p w14:paraId="63587847">
            <w:pPr>
              <w:pStyle w:val="163"/>
              <w:spacing w:before="163" w:line="228" w:lineRule="auto"/>
              <w:jc w:val="center"/>
              <w:rPr>
                <w:rFonts w:hint="eastAsia" w:ascii="宋体" w:hAnsi="宋体" w:eastAsia="宋体" w:cs="宋体"/>
                <w:color w:val="auto"/>
                <w:kern w:val="2"/>
                <w:sz w:val="21"/>
                <w:szCs w:val="21"/>
                <w:highlight w:val="none"/>
                <w:lang w:val="en-US" w:eastAsia="zh-CN" w:bidi="ar-SA"/>
              </w:rPr>
            </w:pPr>
            <w:r>
              <w:rPr>
                <w:rFonts w:hint="eastAsia"/>
                <w:color w:val="auto"/>
                <w:spacing w:val="4"/>
                <w:sz w:val="21"/>
                <w:szCs w:val="21"/>
                <w:highlight w:val="none"/>
              </w:rPr>
              <w:t>其他</w:t>
            </w:r>
          </w:p>
        </w:tc>
        <w:tc>
          <w:tcPr>
            <w:tcW w:w="5818" w:type="dxa"/>
            <w:shd w:val="clear" w:color="auto" w:fill="auto"/>
            <w:vAlign w:val="top"/>
          </w:tcPr>
          <w:p w14:paraId="47CCCA38">
            <w:pPr>
              <w:pStyle w:val="163"/>
              <w:spacing w:before="0" w:beforeLines="0" w:after="0" w:afterLines="0" w:line="360" w:lineRule="auto"/>
              <w:ind w:left="105" w:leftChars="50"/>
              <w:jc w:val="left"/>
              <w:rPr>
                <w:rFonts w:hint="eastAsia"/>
                <w:color w:val="auto"/>
                <w:kern w:val="0"/>
                <w:sz w:val="21"/>
                <w:szCs w:val="21"/>
                <w:highlight w:val="none"/>
                <w:lang w:eastAsia="zh-CN"/>
              </w:rPr>
            </w:pPr>
            <w:r>
              <w:rPr>
                <w:rFonts w:hint="eastAsia"/>
                <w:color w:val="auto"/>
                <w:kern w:val="0"/>
                <w:sz w:val="21"/>
                <w:szCs w:val="21"/>
                <w:highlight w:val="none"/>
                <w:lang w:val="en-US" w:eastAsia="zh-CN"/>
              </w:rPr>
              <w:t>1、</w:t>
            </w:r>
            <w:r>
              <w:rPr>
                <w:rFonts w:hint="eastAsia"/>
                <w:color w:val="auto"/>
                <w:kern w:val="0"/>
                <w:sz w:val="21"/>
                <w:szCs w:val="21"/>
                <w:highlight w:val="none"/>
                <w:lang w:eastAsia="zh-CN"/>
              </w:rPr>
              <w:t>符合第二章“投标人须知前附表”第10.7项规定；</w:t>
            </w:r>
          </w:p>
          <w:p w14:paraId="7F0140B0">
            <w:pPr>
              <w:pStyle w:val="163"/>
              <w:spacing w:before="0" w:beforeLines="0" w:after="0" w:afterLines="0" w:line="360" w:lineRule="auto"/>
              <w:ind w:left="105" w:leftChars="50"/>
              <w:jc w:val="left"/>
              <w:rPr>
                <w:rFonts w:hint="eastAsia"/>
                <w:color w:val="auto"/>
                <w:kern w:val="0"/>
                <w:sz w:val="21"/>
                <w:szCs w:val="21"/>
                <w:highlight w:val="none"/>
                <w:lang w:eastAsia="zh-CN"/>
              </w:rPr>
            </w:pPr>
            <w:r>
              <w:rPr>
                <w:rFonts w:hint="eastAsia"/>
                <w:color w:val="auto"/>
                <w:kern w:val="0"/>
                <w:sz w:val="21"/>
                <w:szCs w:val="21"/>
                <w:highlight w:val="none"/>
                <w:lang w:eastAsia="zh-CN"/>
              </w:rPr>
              <w:t>根据包段所采购内容，涉及</w:t>
            </w:r>
            <w:r>
              <w:rPr>
                <w:rFonts w:hint="eastAsia"/>
                <w:b/>
                <w:bCs/>
                <w:color w:val="auto"/>
                <w:kern w:val="0"/>
                <w:sz w:val="21"/>
                <w:szCs w:val="21"/>
                <w:highlight w:val="none"/>
                <w:lang w:eastAsia="zh-CN"/>
              </w:rPr>
              <w:t>强制采购节能产品、强制认证产品、网络关键设备和网络安全专用产品</w:t>
            </w:r>
            <w:r>
              <w:rPr>
                <w:rFonts w:hint="eastAsia"/>
                <w:color w:val="auto"/>
                <w:kern w:val="0"/>
                <w:sz w:val="21"/>
                <w:szCs w:val="21"/>
                <w:highlight w:val="none"/>
                <w:lang w:eastAsia="zh-CN"/>
              </w:rPr>
              <w:t>的，应按规定提供相关证明材料。</w:t>
            </w:r>
          </w:p>
          <w:p w14:paraId="06A4E969">
            <w:pPr>
              <w:pStyle w:val="163"/>
              <w:spacing w:before="0" w:beforeLines="0" w:after="0" w:afterLines="0" w:line="360" w:lineRule="auto"/>
              <w:ind w:left="105" w:leftChars="50"/>
              <w:jc w:val="left"/>
              <w:rPr>
                <w:rFonts w:hint="default" w:ascii="宋体" w:hAnsi="宋体" w:eastAsia="宋体" w:cs="宋体"/>
                <w:color w:val="auto"/>
                <w:kern w:val="0"/>
                <w:sz w:val="21"/>
                <w:szCs w:val="21"/>
                <w:highlight w:val="none"/>
                <w:lang w:val="en-US" w:eastAsia="zh-CN" w:bidi="ar-SA"/>
              </w:rPr>
            </w:pPr>
            <w:r>
              <w:rPr>
                <w:rFonts w:hint="eastAsia"/>
                <w:color w:val="auto"/>
                <w:kern w:val="0"/>
                <w:sz w:val="21"/>
                <w:szCs w:val="21"/>
                <w:highlight w:val="none"/>
                <w:lang w:val="en-US" w:eastAsia="zh-CN"/>
              </w:rPr>
              <w:t>2、</w:t>
            </w:r>
            <w:r>
              <w:rPr>
                <w:rFonts w:hint="eastAsia"/>
                <w:color w:val="auto"/>
                <w:kern w:val="0"/>
                <w:sz w:val="21"/>
                <w:szCs w:val="21"/>
                <w:highlight w:val="none"/>
                <w:lang w:eastAsia="zh-CN"/>
              </w:rPr>
              <w:t>满足招标文件规定的其他实质性响应条款。</w:t>
            </w:r>
          </w:p>
        </w:tc>
      </w:tr>
    </w:tbl>
    <w:p w14:paraId="7ECC0F82">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4.要求投标人对投标文件有关事项作出澄清或者说明</w:t>
      </w:r>
    </w:p>
    <w:p w14:paraId="02A53619">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85B49C1">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5.对投标文件进行比较和评价</w:t>
      </w:r>
    </w:p>
    <w:p w14:paraId="30E84471">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本项目评标方法为综合评分法，评标委员会对满足招标文件全部实质性要求的投标文件，按照招标文件规定的评审因素的量化指标进行评审打分，以评审因素的量化指标评审得分从高到低顺序确定中标候选人。</w:t>
      </w:r>
    </w:p>
    <w:p w14:paraId="1C7762B3">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评标委员会成员独立对每个有效投标人的投标文件进行评价、打分；然后汇总每个投标人的得分，计算得分平均值，以平均值由高到低进行排序，按排序顺序推荐中标候选人。</w:t>
      </w:r>
    </w:p>
    <w:p w14:paraId="4AEEA0AC">
      <w:pPr>
        <w:pStyle w:val="15"/>
        <w:tabs>
          <w:tab w:val="left" w:pos="5250"/>
        </w:tabs>
        <w:adjustRightInd w:val="0"/>
        <w:snapToGrid w:val="0"/>
        <w:spacing w:line="440" w:lineRule="exact"/>
        <w:ind w:left="420" w:leftChars="200"/>
        <w:jc w:val="left"/>
        <w:rPr>
          <w:rFonts w:hint="eastAsia" w:eastAsia="宋体" w:cs="宋体"/>
          <w:snapToGrid w:val="0"/>
          <w:color w:val="auto"/>
          <w:kern w:val="0"/>
          <w:sz w:val="21"/>
          <w:szCs w:val="21"/>
          <w:highlight w:val="none"/>
          <w:lang w:eastAsia="zh-CN"/>
        </w:rPr>
      </w:pPr>
      <w:r>
        <w:rPr>
          <w:rFonts w:hint="eastAsia" w:cs="宋体"/>
          <w:snapToGrid w:val="0"/>
          <w:color w:val="auto"/>
          <w:kern w:val="0"/>
          <w:sz w:val="21"/>
          <w:szCs w:val="21"/>
          <w:highlight w:val="none"/>
        </w:rPr>
        <w:t>6.确定中标候选人名单，或者根据采购人委托直接确定中标人</w:t>
      </w:r>
      <w:r>
        <w:rPr>
          <w:rFonts w:hint="eastAsia" w:cs="宋体"/>
          <w:snapToGrid w:val="0"/>
          <w:color w:val="auto"/>
          <w:kern w:val="0"/>
          <w:sz w:val="21"/>
          <w:szCs w:val="21"/>
          <w:highlight w:val="none"/>
          <w:lang w:eastAsia="zh-CN"/>
        </w:rPr>
        <w:t>。</w:t>
      </w:r>
    </w:p>
    <w:p w14:paraId="34C25357">
      <w:pPr>
        <w:pStyle w:val="15"/>
        <w:adjustRightInd w:val="0"/>
        <w:snapToGrid w:val="0"/>
        <w:spacing w:line="440" w:lineRule="exact"/>
        <w:ind w:firstLine="420" w:firstLineChars="200"/>
        <w:jc w:val="left"/>
        <w:rPr>
          <w:rFonts w:hint="eastAsia" w:eastAsia="宋体" w:cs="宋体"/>
          <w:snapToGrid w:val="0"/>
          <w:color w:val="auto"/>
          <w:kern w:val="0"/>
          <w:sz w:val="21"/>
          <w:szCs w:val="21"/>
          <w:highlight w:val="none"/>
          <w:lang w:eastAsia="zh-CN"/>
        </w:rPr>
      </w:pPr>
      <w:r>
        <w:rPr>
          <w:rFonts w:hint="eastAsia" w:cs="宋体"/>
          <w:snapToGrid w:val="0"/>
          <w:color w:val="auto"/>
          <w:kern w:val="0"/>
          <w:sz w:val="21"/>
          <w:szCs w:val="21"/>
          <w:highlight w:val="none"/>
        </w:rPr>
        <w:t>7.检查复核评标结果</w:t>
      </w:r>
      <w:r>
        <w:rPr>
          <w:rFonts w:hint="eastAsia" w:cs="宋体"/>
          <w:snapToGrid w:val="0"/>
          <w:color w:val="auto"/>
          <w:kern w:val="0"/>
          <w:sz w:val="21"/>
          <w:szCs w:val="21"/>
          <w:highlight w:val="none"/>
          <w:lang w:eastAsia="zh-CN"/>
        </w:rPr>
        <w:t>。</w:t>
      </w:r>
    </w:p>
    <w:p w14:paraId="250B4B62">
      <w:pPr>
        <w:pStyle w:val="15"/>
        <w:adjustRightInd w:val="0"/>
        <w:snapToGrid w:val="0"/>
        <w:spacing w:line="440" w:lineRule="exact"/>
        <w:ind w:firstLine="420" w:firstLineChars="200"/>
        <w:jc w:val="left"/>
        <w:rPr>
          <w:rFonts w:hint="eastAsia" w:eastAsia="宋体" w:cs="宋体"/>
          <w:snapToGrid w:val="0"/>
          <w:color w:val="auto"/>
          <w:kern w:val="0"/>
          <w:sz w:val="21"/>
          <w:szCs w:val="21"/>
          <w:highlight w:val="none"/>
          <w:lang w:eastAsia="zh-CN"/>
        </w:rPr>
      </w:pPr>
      <w:r>
        <w:rPr>
          <w:rFonts w:hint="eastAsia" w:cs="宋体"/>
          <w:snapToGrid w:val="0"/>
          <w:color w:val="auto"/>
          <w:kern w:val="0"/>
          <w:sz w:val="21"/>
          <w:szCs w:val="21"/>
          <w:highlight w:val="none"/>
        </w:rPr>
        <w:t>8.评标委员会编写评标报告</w:t>
      </w:r>
      <w:r>
        <w:rPr>
          <w:rFonts w:hint="eastAsia" w:cs="宋体"/>
          <w:snapToGrid w:val="0"/>
          <w:color w:val="auto"/>
          <w:kern w:val="0"/>
          <w:sz w:val="21"/>
          <w:szCs w:val="21"/>
          <w:highlight w:val="none"/>
          <w:lang w:eastAsia="zh-CN"/>
        </w:rPr>
        <w:t>。</w:t>
      </w:r>
    </w:p>
    <w:p w14:paraId="70D1EC2F">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评标报告包括以下内容：</w:t>
      </w:r>
    </w:p>
    <w:p w14:paraId="05F59341">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（一）招标公告刊登的媒体名称、开标日期和地点；</w:t>
      </w:r>
    </w:p>
    <w:p w14:paraId="09D05E96">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（二）投标人名单和评标委员会成员名单；</w:t>
      </w:r>
    </w:p>
    <w:p w14:paraId="447EB981">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（三）评标方法和标准；</w:t>
      </w:r>
    </w:p>
    <w:p w14:paraId="3078BD9B">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（四）开标记录和评标情况及说明，包括无效投标人名单及原因；</w:t>
      </w:r>
    </w:p>
    <w:p w14:paraId="29558AED">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（五）评标结果，确定的中标候选人名单或者经采购人委托直接确定的中标人；</w:t>
      </w:r>
    </w:p>
    <w:p w14:paraId="6F9B8E72">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（六）其他需要说明的情况，包括评标过程中投标人根据评标委员会要求进行的澄清、说明或者补正，评标委员会成员的更换等。</w:t>
      </w:r>
    </w:p>
    <w:p w14:paraId="73851B34">
      <w:pPr>
        <w:pStyle w:val="15"/>
        <w:adjustRightInd w:val="0"/>
        <w:snapToGrid w:val="0"/>
        <w:spacing w:line="440" w:lineRule="exact"/>
        <w:ind w:firstLine="422" w:firstLineChars="200"/>
        <w:jc w:val="left"/>
        <w:rPr>
          <w:rFonts w:cs="宋体"/>
          <w:snapToGrid w:val="0"/>
          <w:color w:val="auto"/>
          <w:kern w:val="0"/>
          <w:sz w:val="21"/>
          <w:szCs w:val="21"/>
          <w:highlight w:val="none"/>
        </w:rPr>
      </w:pPr>
      <w:r>
        <w:rPr>
          <w:rFonts w:hint="eastAsia" w:cs="宋体"/>
          <w:b/>
          <w:bCs/>
          <w:snapToGrid w:val="0"/>
          <w:color w:val="auto"/>
          <w:kern w:val="0"/>
          <w:sz w:val="21"/>
          <w:szCs w:val="21"/>
          <w:highlight w:val="none"/>
        </w:rPr>
        <w:t>五、评标纪律</w:t>
      </w:r>
    </w:p>
    <w:p w14:paraId="6EF17598">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1.评标委员会成员应当按照评标原则，根据招标文件规定的评审程序、评审方法和评审标准进行评审。</w:t>
      </w:r>
    </w:p>
    <w:p w14:paraId="26F76E8C">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2.与投标有利害关系的人员应当回避，不得进入评标委员会；</w:t>
      </w:r>
    </w:p>
    <w:p w14:paraId="2E63E5EA">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3.评标委员会成员在评标结果公告前，应对参与的评标委员会成员名单保密。</w:t>
      </w:r>
    </w:p>
    <w:p w14:paraId="48BB87AC">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4.评标委员会成员应当在评审报告上签字，对自己的评审意见承担法律责任。对评审报告有异议的，应当在评审报告上签署不同意见，并说明理由，否则视为同意评审报告。</w:t>
      </w:r>
    </w:p>
    <w:p w14:paraId="1FF90B51">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5.评标委员会及其成员不得有下列行为：</w:t>
      </w:r>
    </w:p>
    <w:p w14:paraId="7B3C03FA">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（一）确定参与评标至评标结束前私自接触投标人；</w:t>
      </w:r>
    </w:p>
    <w:p w14:paraId="59877EEE">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（二）除投标文件中含义不明确、同类问题表述不一致或者有明显文字和计算错误的内容外，接受投 标人提出的与投标文件不一致的澄清或者说明；</w:t>
      </w:r>
    </w:p>
    <w:p w14:paraId="1C905289">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（三）违反评标纪律发表倾向性意见或者征询采购人的倾向性意见；</w:t>
      </w:r>
    </w:p>
    <w:p w14:paraId="77057979">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（四）对需要专业判断的主观评审因素协商评分；</w:t>
      </w:r>
    </w:p>
    <w:p w14:paraId="22A5DDCA">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（五）在评标过程中擅离职守，影响评标程序正常进行的；</w:t>
      </w:r>
    </w:p>
    <w:p w14:paraId="501BB534">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（六）记录、复制或者带走任何评标资料；</w:t>
      </w:r>
    </w:p>
    <w:p w14:paraId="28D58E09">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（七）其他不遵守评标纪律的行为。</w:t>
      </w:r>
    </w:p>
    <w:p w14:paraId="7D2E7B06">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评标委员会成员有前款第一至五项行为之一的，其评审意见无效。</w:t>
      </w:r>
    </w:p>
    <w:p w14:paraId="3A8C4130">
      <w:pPr>
        <w:pStyle w:val="15"/>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left"/>
        <w:textAlignment w:val="auto"/>
        <w:outlineLvl w:val="9"/>
        <w:rPr>
          <w:rFonts w:cs="宋体"/>
          <w:snapToGrid w:val="0"/>
          <w:color w:val="auto"/>
          <w:kern w:val="0"/>
          <w:sz w:val="21"/>
          <w:szCs w:val="21"/>
          <w:highlight w:val="none"/>
        </w:rPr>
      </w:pPr>
      <w:bookmarkStart w:id="224" w:name="_Toc10014"/>
      <w:r>
        <w:rPr>
          <w:rFonts w:hint="eastAsia" w:cs="宋体"/>
          <w:b/>
          <w:bCs/>
          <w:snapToGrid w:val="0"/>
          <w:color w:val="auto"/>
          <w:kern w:val="0"/>
          <w:sz w:val="21"/>
          <w:szCs w:val="21"/>
          <w:highlight w:val="none"/>
        </w:rPr>
        <w:t>六、评标标准</w:t>
      </w:r>
      <w:bookmarkEnd w:id="224"/>
    </w:p>
    <w:p w14:paraId="2D5D1D2A">
      <w:pPr>
        <w:pStyle w:val="15"/>
        <w:adjustRightInd w:val="0"/>
        <w:snapToGrid w:val="0"/>
        <w:spacing w:line="440" w:lineRule="exact"/>
        <w:ind w:firstLine="420" w:firstLineChars="200"/>
        <w:jc w:val="left"/>
        <w:rPr>
          <w:rFonts w:hint="eastAsia" w:cs="宋体"/>
          <w:snapToGrid w:val="0"/>
          <w:color w:val="auto"/>
          <w:kern w:val="0"/>
          <w:sz w:val="21"/>
          <w:szCs w:val="21"/>
          <w:highlight w:val="none"/>
        </w:rPr>
      </w:pPr>
      <w:r>
        <w:rPr>
          <w:rFonts w:hint="eastAsia" w:cs="宋体"/>
          <w:snapToGrid w:val="0"/>
          <w:color w:val="auto"/>
          <w:kern w:val="0"/>
          <w:sz w:val="21"/>
          <w:szCs w:val="21"/>
          <w:highlight w:val="none"/>
        </w:rPr>
        <w:t>评标委员会应当按照招标文件中规定的评标方法和标准，对符合性审查合格的投标文件进行商务和技术评估，综合比较与评价。</w:t>
      </w:r>
    </w:p>
    <w:bookmarkEnd w:id="221"/>
    <w:bookmarkEnd w:id="222"/>
    <w:bookmarkEnd w:id="223"/>
    <w:p w14:paraId="1F489ACD">
      <w:bookmarkStart w:id="225" w:name="_Toc345178458"/>
      <w:bookmarkStart w:id="226" w:name="_Toc18047"/>
    </w:p>
    <w:bookmarkEnd w:id="225"/>
    <w:bookmarkEnd w:id="226"/>
    <w:tbl>
      <w:tblPr>
        <w:tblStyle w:val="38"/>
        <w:tblW w:w="90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1843"/>
        <w:gridCol w:w="5828"/>
      </w:tblGrid>
      <w:tr w14:paraId="37B0B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blHeader/>
          <w:jc w:val="center"/>
        </w:trPr>
        <w:tc>
          <w:tcPr>
            <w:tcW w:w="1330" w:type="dxa"/>
            <w:noWrap w:val="0"/>
            <w:vAlign w:val="center"/>
          </w:tcPr>
          <w:p w14:paraId="41056F6D">
            <w:pPr>
              <w:adjustRightInd w:val="0"/>
              <w:snapToGrid w:val="0"/>
              <w:spacing w:line="360" w:lineRule="auto"/>
              <w:jc w:val="center"/>
              <w:rPr>
                <w:rFonts w:ascii="宋体" w:hAnsi="宋体" w:cs="宋体"/>
                <w:b/>
                <w:color w:val="auto"/>
                <w:szCs w:val="21"/>
                <w:highlight w:val="none"/>
              </w:rPr>
            </w:pPr>
            <w:bookmarkStart w:id="227" w:name="_Toc3358"/>
            <w:bookmarkStart w:id="228" w:name="_Toc25084"/>
            <w:r>
              <w:rPr>
                <w:rFonts w:hint="eastAsia" w:ascii="宋体" w:hAnsi="宋体" w:cs="宋体"/>
                <w:b/>
                <w:color w:val="auto"/>
                <w:szCs w:val="21"/>
                <w:highlight w:val="none"/>
              </w:rPr>
              <w:t>分值构成</w:t>
            </w:r>
          </w:p>
        </w:tc>
        <w:tc>
          <w:tcPr>
            <w:tcW w:w="1843" w:type="dxa"/>
            <w:noWrap w:val="0"/>
            <w:vAlign w:val="center"/>
          </w:tcPr>
          <w:p w14:paraId="0DBB5FF3">
            <w:pPr>
              <w:adjustRightInd w:val="0"/>
              <w:snapToGrid w:val="0"/>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评审因素</w:t>
            </w:r>
          </w:p>
        </w:tc>
        <w:tc>
          <w:tcPr>
            <w:tcW w:w="5828" w:type="dxa"/>
            <w:noWrap w:val="0"/>
            <w:vAlign w:val="center"/>
          </w:tcPr>
          <w:p w14:paraId="0AF425DE">
            <w:pPr>
              <w:adjustRightInd w:val="0"/>
              <w:snapToGrid w:val="0"/>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评审标准</w:t>
            </w:r>
          </w:p>
        </w:tc>
      </w:tr>
      <w:tr w14:paraId="20150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330" w:type="dxa"/>
            <w:vMerge w:val="restart"/>
            <w:noWrap w:val="0"/>
            <w:vAlign w:val="center"/>
          </w:tcPr>
          <w:p w14:paraId="712EBF8F">
            <w:pP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投标报价</w:t>
            </w:r>
          </w:p>
          <w:p w14:paraId="48027094">
            <w:pP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（30分）</w:t>
            </w:r>
          </w:p>
        </w:tc>
        <w:tc>
          <w:tcPr>
            <w:tcW w:w="1843" w:type="dxa"/>
            <w:noWrap w:val="0"/>
            <w:vAlign w:val="center"/>
          </w:tcPr>
          <w:p w14:paraId="0C0E59CD">
            <w:pP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评标基准价</w:t>
            </w:r>
          </w:p>
        </w:tc>
        <w:tc>
          <w:tcPr>
            <w:tcW w:w="5828" w:type="dxa"/>
            <w:noWrap w:val="0"/>
            <w:vAlign w:val="center"/>
          </w:tcPr>
          <w:p w14:paraId="247606EE">
            <w:pPr>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通过初步评审满足招标文件要求且报价最低的为评标基准价</w:t>
            </w:r>
          </w:p>
        </w:tc>
      </w:tr>
      <w:tr w14:paraId="1FAFA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330" w:type="dxa"/>
            <w:vMerge w:val="continue"/>
            <w:noWrap w:val="0"/>
            <w:vAlign w:val="center"/>
          </w:tcPr>
          <w:p w14:paraId="25DFEE69">
            <w:pPr>
              <w:adjustRightInd w:val="0"/>
              <w:snapToGrid w:val="0"/>
              <w:spacing w:line="360" w:lineRule="auto"/>
              <w:rPr>
                <w:rFonts w:ascii="宋体" w:hAnsi="宋体" w:cs="宋体"/>
                <w:color w:val="auto"/>
                <w:szCs w:val="21"/>
                <w:highlight w:val="none"/>
              </w:rPr>
            </w:pPr>
          </w:p>
        </w:tc>
        <w:tc>
          <w:tcPr>
            <w:tcW w:w="1843" w:type="dxa"/>
            <w:noWrap w:val="0"/>
            <w:vAlign w:val="center"/>
          </w:tcPr>
          <w:p w14:paraId="15A32A7A">
            <w:pP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价格扣除</w:t>
            </w:r>
          </w:p>
        </w:tc>
        <w:tc>
          <w:tcPr>
            <w:tcW w:w="5828" w:type="dxa"/>
            <w:noWrap w:val="0"/>
            <w:vAlign w:val="center"/>
          </w:tcPr>
          <w:p w14:paraId="649432D6">
            <w:pPr>
              <w:adjustRightInd w:val="0"/>
              <w:snapToGrid w:val="0"/>
              <w:spacing w:line="360" w:lineRule="auto"/>
              <w:rPr>
                <w:rFonts w:ascii="宋体" w:hAnsi="宋体" w:cs="宋体"/>
                <w:color w:val="auto"/>
                <w:szCs w:val="21"/>
                <w:highlight w:val="none"/>
              </w:rPr>
            </w:pPr>
            <w:r>
              <w:rPr>
                <w:rFonts w:hint="eastAsia" w:ascii="宋体" w:hAnsi="宋体" w:cs="宋体"/>
                <w:color w:val="auto"/>
                <w:kern w:val="0"/>
                <w:szCs w:val="21"/>
                <w:highlight w:val="none"/>
              </w:rPr>
              <w:t>投标人符合小微企业、监狱企业、残疾人福利性单位政策扶持规定的，用扣除后的价格参与投标报价评审。</w:t>
            </w:r>
            <w:r>
              <w:rPr>
                <w:rFonts w:hint="eastAsia" w:ascii="宋体" w:hAnsi="宋体" w:cs="宋体"/>
                <w:color w:val="auto"/>
                <w:szCs w:val="21"/>
                <w:highlight w:val="none"/>
              </w:rPr>
              <w:t>小微企业的评标报价=小微企业的投标报价×（1-10%）</w:t>
            </w:r>
          </w:p>
        </w:tc>
      </w:tr>
      <w:tr w14:paraId="02E33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330" w:type="dxa"/>
            <w:vMerge w:val="continue"/>
            <w:noWrap w:val="0"/>
            <w:vAlign w:val="center"/>
          </w:tcPr>
          <w:p w14:paraId="64287073">
            <w:pPr>
              <w:adjustRightInd w:val="0"/>
              <w:snapToGrid w:val="0"/>
              <w:spacing w:line="360" w:lineRule="auto"/>
              <w:ind w:firstLine="210" w:firstLineChars="100"/>
              <w:rPr>
                <w:rFonts w:ascii="宋体" w:hAnsi="宋体" w:cs="宋体"/>
                <w:color w:val="auto"/>
                <w:szCs w:val="21"/>
                <w:highlight w:val="none"/>
              </w:rPr>
            </w:pPr>
          </w:p>
        </w:tc>
        <w:tc>
          <w:tcPr>
            <w:tcW w:w="1843" w:type="dxa"/>
            <w:noWrap w:val="0"/>
            <w:vAlign w:val="center"/>
          </w:tcPr>
          <w:p w14:paraId="29301B98">
            <w:pP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投标报价</w:t>
            </w:r>
          </w:p>
          <w:p w14:paraId="6446E2D2">
            <w:pP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得分（30分）</w:t>
            </w:r>
          </w:p>
        </w:tc>
        <w:tc>
          <w:tcPr>
            <w:tcW w:w="5828" w:type="dxa"/>
            <w:noWrap w:val="0"/>
            <w:vAlign w:val="center"/>
          </w:tcPr>
          <w:p w14:paraId="5C28FA06">
            <w:pPr>
              <w:adjustRightInd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价格分采用低价优先法计算，即满足招标文件要求且投标价格最低的投标报价为评标基准价，其价格分为满分（最终得分计算保留小数点后两位）：</w:t>
            </w:r>
          </w:p>
          <w:p w14:paraId="588DD76E">
            <w:pPr>
              <w:adjustRightInd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报价得分=（评标基准价/评标报价）×30×100%</w:t>
            </w:r>
          </w:p>
          <w:p w14:paraId="250F5EEF">
            <w:pPr>
              <w:adjustRightInd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本项目非专门面向中小企业的项目，若投标人为符合政府采购政策价格扣除的小型及微型企业，应提交信息完整有效的《中小企业声明函》。若不能提供，则视为非小微型企业，价格不予扣除，监狱企业视同小型、微型企业，小微企业</w:t>
            </w:r>
            <w:r>
              <w:rPr>
                <w:rFonts w:hint="eastAsia" w:ascii="宋体" w:hAnsi="宋体" w:cs="宋体"/>
                <w:color w:val="auto"/>
                <w:szCs w:val="21"/>
                <w:highlight w:val="none"/>
                <w:lang w:eastAsia="zh-CN"/>
              </w:rPr>
              <w:t>、</w:t>
            </w:r>
            <w:r>
              <w:rPr>
                <w:rFonts w:hint="eastAsia" w:ascii="宋体" w:hAnsi="宋体" w:cs="宋体"/>
                <w:color w:val="auto"/>
                <w:szCs w:val="21"/>
                <w:highlight w:val="none"/>
              </w:rPr>
              <w:t>监狱企业</w:t>
            </w:r>
            <w:r>
              <w:rPr>
                <w:rFonts w:hint="eastAsia" w:ascii="宋体" w:hAnsi="宋体" w:cs="宋体"/>
                <w:color w:val="auto"/>
                <w:szCs w:val="21"/>
                <w:highlight w:val="none"/>
                <w:lang w:eastAsia="zh-CN"/>
              </w:rPr>
              <w:t>、</w:t>
            </w:r>
            <w:r>
              <w:rPr>
                <w:rFonts w:hint="eastAsia" w:ascii="宋体" w:hAnsi="宋体" w:cs="宋体"/>
                <w:color w:val="auto"/>
                <w:kern w:val="0"/>
                <w:szCs w:val="21"/>
                <w:highlight w:val="none"/>
              </w:rPr>
              <w:t>残疾人福利性单位</w:t>
            </w:r>
            <w:r>
              <w:rPr>
                <w:rFonts w:hint="eastAsia" w:ascii="宋体" w:hAnsi="宋体" w:cs="宋体"/>
                <w:color w:val="auto"/>
                <w:szCs w:val="21"/>
                <w:highlight w:val="none"/>
              </w:rPr>
              <w:t>产品只给予一次价格扣除，不重复给予价格扣除。本项目对属于小微型企业的</w:t>
            </w:r>
            <w:r>
              <w:rPr>
                <w:rFonts w:hint="eastAsia" w:ascii="宋体" w:hAnsi="宋体" w:cs="宋体"/>
                <w:color w:val="auto"/>
                <w:szCs w:val="21"/>
                <w:highlight w:val="none"/>
                <w:lang w:val="en-US" w:eastAsia="zh-CN"/>
              </w:rPr>
              <w:t>投标</w:t>
            </w:r>
            <w:r>
              <w:rPr>
                <w:rFonts w:hint="eastAsia" w:ascii="宋体" w:hAnsi="宋体" w:cs="宋体"/>
                <w:color w:val="auto"/>
                <w:szCs w:val="21"/>
                <w:highlight w:val="none"/>
              </w:rPr>
              <w:t>报价给予</w:t>
            </w:r>
            <w:r>
              <w:rPr>
                <w:rFonts w:hint="eastAsia" w:ascii="宋体" w:hAnsi="宋体" w:cs="宋体"/>
                <w:b/>
                <w:bCs/>
                <w:color w:val="auto"/>
                <w:szCs w:val="21"/>
                <w:highlight w:val="none"/>
              </w:rPr>
              <w:t>10%的</w:t>
            </w:r>
            <w:r>
              <w:rPr>
                <w:rFonts w:hint="eastAsia" w:ascii="宋体" w:hAnsi="宋体" w:cs="宋体"/>
                <w:color w:val="auto"/>
                <w:szCs w:val="21"/>
                <w:highlight w:val="none"/>
              </w:rPr>
              <w:t>价格扣除。</w:t>
            </w:r>
          </w:p>
          <w:p w14:paraId="6B77B98E">
            <w:pPr>
              <w:adjustRightInd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投标人报价不得低于成本价：评标委员会认为投标人的报价明显低于其他通过初步审查投标人的报价，有可能影响产品质量或者不能诚信履约的，应当要求其在评标现场合理的时间内提供书面说明，必要时提交相关证明材料；投标人不能证明其报价合理性的或未在规定时间内提供的，评标委员会应当将其作无效投标处理。</w:t>
            </w:r>
          </w:p>
        </w:tc>
      </w:tr>
      <w:tr w14:paraId="21C1A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4" w:hRule="atLeast"/>
          <w:jc w:val="center"/>
        </w:trPr>
        <w:tc>
          <w:tcPr>
            <w:tcW w:w="1330" w:type="dxa"/>
            <w:vMerge w:val="restart"/>
            <w:noWrap w:val="0"/>
            <w:vAlign w:val="center"/>
          </w:tcPr>
          <w:p w14:paraId="2B62D628">
            <w:pP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商务部分</w:t>
            </w:r>
          </w:p>
          <w:p w14:paraId="4B4948A8">
            <w:pP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w:t>
            </w:r>
            <w:r>
              <w:rPr>
                <w:rFonts w:hint="default" w:ascii="宋体" w:hAnsi="宋体" w:cs="宋体"/>
                <w:color w:val="auto"/>
                <w:szCs w:val="21"/>
                <w:highlight w:val="none"/>
                <w:lang w:val="en-US" w:eastAsia="zh-CN"/>
              </w:rPr>
              <w:t>2</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分）</w:t>
            </w:r>
          </w:p>
        </w:tc>
        <w:tc>
          <w:tcPr>
            <w:tcW w:w="1843" w:type="dxa"/>
            <w:noWrap w:val="0"/>
            <w:vAlign w:val="center"/>
          </w:tcPr>
          <w:p w14:paraId="6FB56EC1">
            <w:pPr>
              <w:adjustRightInd w:val="0"/>
              <w:snapToGrid w:val="0"/>
              <w:spacing w:line="360" w:lineRule="auto"/>
              <w:jc w:val="center"/>
              <w:rPr>
                <w:rFonts w:hint="default" w:ascii="宋体" w:hAnsi="宋体" w:cs="宋体"/>
                <w:color w:val="auto"/>
                <w:szCs w:val="21"/>
                <w:highlight w:val="none"/>
                <w:lang w:val="en-US"/>
              </w:rPr>
            </w:pPr>
            <w:r>
              <w:rPr>
                <w:rFonts w:hint="default" w:ascii="宋体" w:hAnsi="宋体" w:cs="宋体"/>
                <w:color w:val="auto"/>
                <w:szCs w:val="21"/>
                <w:highlight w:val="none"/>
                <w:lang w:val="en-US"/>
              </w:rPr>
              <w:t>体系认证</w:t>
            </w:r>
          </w:p>
          <w:p w14:paraId="68EB4B81">
            <w:pPr>
              <w:adjustRightInd w:val="0"/>
              <w:snapToGrid w:val="0"/>
              <w:spacing w:line="36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3分</w:t>
            </w:r>
            <w:r>
              <w:rPr>
                <w:rFonts w:hint="eastAsia" w:ascii="宋体" w:hAnsi="宋体" w:cs="宋体"/>
                <w:color w:val="auto"/>
                <w:szCs w:val="21"/>
                <w:highlight w:val="none"/>
                <w:lang w:eastAsia="zh-CN"/>
              </w:rPr>
              <w:t>）</w:t>
            </w:r>
          </w:p>
        </w:tc>
        <w:tc>
          <w:tcPr>
            <w:tcW w:w="5828" w:type="dxa"/>
            <w:noWrap w:val="0"/>
            <w:vAlign w:val="center"/>
          </w:tcPr>
          <w:p w14:paraId="67C1B297">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投标人同时具有ISO9001质量管理体系、ISO14001环境管理体系的得1分</w:t>
            </w:r>
            <w:r>
              <w:rPr>
                <w:rFonts w:hint="eastAsia" w:ascii="宋体" w:hAnsi="宋体" w:cs="宋体"/>
                <w:color w:val="auto"/>
                <w:szCs w:val="21"/>
                <w:highlight w:val="none"/>
                <w:lang w:eastAsia="zh-CN"/>
              </w:rPr>
              <w:t>，</w:t>
            </w:r>
            <w:r>
              <w:rPr>
                <w:rFonts w:hint="eastAsia" w:ascii="宋体" w:hAnsi="宋体" w:cs="宋体"/>
                <w:color w:val="auto"/>
                <w:szCs w:val="21"/>
                <w:highlight w:val="none"/>
              </w:rPr>
              <w:t>其它不得分</w:t>
            </w:r>
            <w:r>
              <w:rPr>
                <w:rFonts w:hint="eastAsia" w:ascii="宋体" w:hAnsi="宋体" w:cs="宋体"/>
                <w:color w:val="auto"/>
                <w:szCs w:val="21"/>
                <w:highlight w:val="none"/>
                <w:lang w:eastAsia="zh-CN"/>
              </w:rPr>
              <w:t>。</w:t>
            </w:r>
          </w:p>
          <w:p w14:paraId="6EC73B10">
            <w:pPr>
              <w:spacing w:line="360" w:lineRule="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投标人具有ISO20000IT服务管理体系认证</w:t>
            </w:r>
            <w:r>
              <w:rPr>
                <w:rFonts w:hint="eastAsia" w:ascii="宋体" w:hAnsi="宋体" w:cs="宋体"/>
                <w:color w:val="auto"/>
                <w:szCs w:val="21"/>
                <w:highlight w:val="none"/>
                <w:lang w:eastAsia="zh-CN"/>
              </w:rPr>
              <w:t>、</w:t>
            </w:r>
            <w:r>
              <w:rPr>
                <w:rFonts w:hint="eastAsia" w:ascii="宋体" w:hAnsi="宋体" w:cs="宋体"/>
                <w:color w:val="auto"/>
                <w:szCs w:val="21"/>
                <w:highlight w:val="none"/>
              </w:rPr>
              <w:t>ISO27001信息安全管理体系认证的</w:t>
            </w:r>
            <w:r>
              <w:rPr>
                <w:rFonts w:hint="eastAsia" w:ascii="宋体" w:hAnsi="宋体" w:cs="宋体"/>
                <w:color w:val="auto"/>
                <w:szCs w:val="21"/>
                <w:highlight w:val="none"/>
                <w:lang w:eastAsia="zh-CN"/>
              </w:rPr>
              <w:t>，</w:t>
            </w:r>
            <w:r>
              <w:rPr>
                <w:rFonts w:hint="eastAsia" w:ascii="宋体" w:hAnsi="宋体" w:cs="宋体"/>
                <w:color w:val="auto"/>
                <w:szCs w:val="21"/>
                <w:highlight w:val="none"/>
              </w:rPr>
              <w:t>每有一</w:t>
            </w:r>
            <w:r>
              <w:rPr>
                <w:rFonts w:hint="eastAsia" w:ascii="宋体" w:hAnsi="宋体" w:cs="宋体"/>
                <w:color w:val="auto"/>
                <w:szCs w:val="21"/>
                <w:highlight w:val="none"/>
                <w:lang w:val="en-US" w:eastAsia="zh-CN"/>
              </w:rPr>
              <w:t>项</w:t>
            </w:r>
            <w:r>
              <w:rPr>
                <w:rFonts w:hint="eastAsia" w:ascii="宋体" w:hAnsi="宋体" w:cs="宋体"/>
                <w:color w:val="auto"/>
                <w:szCs w:val="21"/>
                <w:highlight w:val="none"/>
              </w:rPr>
              <w:t>得1分</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最高得2分。</w:t>
            </w:r>
          </w:p>
        </w:tc>
      </w:tr>
      <w:tr w14:paraId="63769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330" w:type="dxa"/>
            <w:vMerge w:val="continue"/>
            <w:noWrap w:val="0"/>
            <w:vAlign w:val="center"/>
          </w:tcPr>
          <w:p w14:paraId="0DF2EECA">
            <w:pPr>
              <w:adjustRightInd w:val="0"/>
              <w:snapToGrid w:val="0"/>
              <w:spacing w:line="360" w:lineRule="auto"/>
              <w:jc w:val="center"/>
              <w:rPr>
                <w:rFonts w:hint="eastAsia" w:ascii="宋体" w:hAnsi="宋体" w:cs="宋体"/>
                <w:color w:val="auto"/>
                <w:szCs w:val="21"/>
                <w:highlight w:val="none"/>
              </w:rPr>
            </w:pPr>
          </w:p>
        </w:tc>
        <w:tc>
          <w:tcPr>
            <w:tcW w:w="1843" w:type="dxa"/>
            <w:noWrap w:val="0"/>
            <w:vAlign w:val="center"/>
          </w:tcPr>
          <w:p w14:paraId="54BC136D">
            <w:pPr>
              <w:adjustRightInd w:val="0"/>
              <w:snapToGrid w:val="0"/>
              <w:spacing w:line="360" w:lineRule="auto"/>
              <w:jc w:val="center"/>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企业认证证书（</w:t>
            </w:r>
            <w:r>
              <w:rPr>
                <w:rFonts w:hint="eastAsia" w:ascii="宋体" w:hAnsi="宋体" w:cs="宋体"/>
                <w:color w:val="auto"/>
                <w:szCs w:val="21"/>
                <w:highlight w:val="none"/>
                <w:lang w:val="en-US" w:eastAsia="zh-CN"/>
              </w:rPr>
              <w:t>1分</w:t>
            </w:r>
            <w:r>
              <w:rPr>
                <w:rFonts w:hint="eastAsia" w:ascii="宋体" w:hAnsi="宋体" w:cs="宋体"/>
                <w:color w:val="auto"/>
                <w:szCs w:val="21"/>
                <w:highlight w:val="none"/>
                <w:lang w:eastAsia="zh-CN"/>
              </w:rPr>
              <w:t>）</w:t>
            </w:r>
          </w:p>
        </w:tc>
        <w:tc>
          <w:tcPr>
            <w:tcW w:w="5828" w:type="dxa"/>
            <w:noWrap w:val="0"/>
            <w:vAlign w:val="center"/>
          </w:tcPr>
          <w:p w14:paraId="2C17B6BE">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投标人具有ITSS二级及以上的得1分，否则不得分。</w:t>
            </w:r>
          </w:p>
        </w:tc>
      </w:tr>
      <w:tr w14:paraId="31524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330" w:type="dxa"/>
            <w:vMerge w:val="continue"/>
            <w:noWrap w:val="0"/>
            <w:vAlign w:val="center"/>
          </w:tcPr>
          <w:p w14:paraId="7F85B827">
            <w:pPr>
              <w:adjustRightInd w:val="0"/>
              <w:snapToGrid w:val="0"/>
              <w:spacing w:line="360" w:lineRule="auto"/>
              <w:jc w:val="center"/>
              <w:rPr>
                <w:rFonts w:ascii="宋体" w:hAnsi="宋体" w:cs="宋体"/>
                <w:color w:val="auto"/>
                <w:szCs w:val="21"/>
                <w:highlight w:val="none"/>
              </w:rPr>
            </w:pPr>
          </w:p>
        </w:tc>
        <w:tc>
          <w:tcPr>
            <w:tcW w:w="1843" w:type="dxa"/>
            <w:shd w:val="clear" w:color="auto" w:fill="auto"/>
            <w:noWrap w:val="0"/>
            <w:vAlign w:val="center"/>
          </w:tcPr>
          <w:p w14:paraId="3A965C36">
            <w:pPr>
              <w:adjustRightInd w:val="0"/>
              <w:snapToGrid w:val="0"/>
              <w:spacing w:line="360" w:lineRule="auto"/>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售后服务认证</w:t>
            </w:r>
          </w:p>
          <w:p w14:paraId="5B845326">
            <w:pPr>
              <w:adjustRightInd w:val="0"/>
              <w:snapToGrid w:val="0"/>
              <w:spacing w:line="36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2分</w:t>
            </w:r>
            <w:r>
              <w:rPr>
                <w:rFonts w:hint="eastAsia" w:ascii="宋体" w:hAnsi="宋体" w:cs="宋体"/>
                <w:color w:val="auto"/>
                <w:szCs w:val="21"/>
                <w:highlight w:val="none"/>
                <w:lang w:eastAsia="zh-CN"/>
              </w:rPr>
              <w:t>）</w:t>
            </w:r>
          </w:p>
        </w:tc>
        <w:tc>
          <w:tcPr>
            <w:tcW w:w="5828" w:type="dxa"/>
            <w:shd w:val="clear" w:color="auto" w:fill="auto"/>
            <w:noWrap w:val="0"/>
            <w:vAlign w:val="center"/>
          </w:tcPr>
          <w:p w14:paraId="29BC4B27">
            <w:pPr>
              <w:spacing w:line="360" w:lineRule="auto"/>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投标人</w:t>
            </w:r>
            <w:r>
              <w:rPr>
                <w:rFonts w:hint="eastAsia" w:ascii="宋体" w:hAnsi="宋体" w:cs="宋体"/>
                <w:color w:val="auto"/>
                <w:szCs w:val="21"/>
                <w:highlight w:val="none"/>
              </w:rPr>
              <w:t>具有</w:t>
            </w:r>
            <w:r>
              <w:rPr>
                <w:rFonts w:hint="eastAsia" w:ascii="宋体" w:hAnsi="宋体" w:cs="宋体"/>
                <w:color w:val="auto"/>
                <w:szCs w:val="21"/>
                <w:highlight w:val="none"/>
                <w:lang w:val="en-US" w:eastAsia="zh-CN"/>
              </w:rPr>
              <w:t>售后服务认证</w:t>
            </w:r>
            <w:r>
              <w:rPr>
                <w:rFonts w:hint="eastAsia" w:ascii="宋体" w:hAnsi="宋体" w:cs="宋体"/>
                <w:color w:val="auto"/>
                <w:szCs w:val="21"/>
                <w:highlight w:val="none"/>
              </w:rPr>
              <w:t>证书，</w:t>
            </w:r>
            <w:r>
              <w:rPr>
                <w:rFonts w:hint="eastAsia" w:ascii="宋体" w:hAnsi="宋体" w:cs="宋体"/>
                <w:color w:val="auto"/>
                <w:szCs w:val="21"/>
                <w:highlight w:val="none"/>
                <w:lang w:val="en-US" w:eastAsia="zh-CN"/>
              </w:rPr>
              <w:t>五星得2分，四星</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分，其它不得分</w:t>
            </w:r>
            <w:r>
              <w:rPr>
                <w:rFonts w:hint="eastAsia" w:ascii="宋体" w:hAnsi="宋体" w:cs="宋体"/>
                <w:color w:val="auto"/>
                <w:szCs w:val="21"/>
                <w:highlight w:val="none"/>
                <w:lang w:eastAsia="zh-CN"/>
              </w:rPr>
              <w:t>。</w:t>
            </w:r>
          </w:p>
        </w:tc>
      </w:tr>
      <w:tr w14:paraId="24D45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330" w:type="dxa"/>
            <w:vMerge w:val="continue"/>
            <w:noWrap w:val="0"/>
            <w:vAlign w:val="center"/>
          </w:tcPr>
          <w:p w14:paraId="7B106992">
            <w:pPr>
              <w:adjustRightInd w:val="0"/>
              <w:snapToGrid w:val="0"/>
              <w:spacing w:line="360" w:lineRule="auto"/>
              <w:jc w:val="center"/>
              <w:rPr>
                <w:rFonts w:ascii="宋体" w:hAnsi="宋体" w:cs="宋体"/>
                <w:color w:val="auto"/>
                <w:szCs w:val="21"/>
                <w:highlight w:val="none"/>
              </w:rPr>
            </w:pPr>
          </w:p>
        </w:tc>
        <w:tc>
          <w:tcPr>
            <w:tcW w:w="1843" w:type="dxa"/>
            <w:shd w:val="clear" w:color="auto" w:fill="auto"/>
            <w:noWrap w:val="0"/>
            <w:vAlign w:val="center"/>
          </w:tcPr>
          <w:p w14:paraId="6E4B0A70">
            <w:pP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lang w:val="en-US" w:eastAsia="zh-CN"/>
              </w:rPr>
              <w:t>投标人</w:t>
            </w:r>
            <w:r>
              <w:rPr>
                <w:rFonts w:hint="eastAsia" w:ascii="宋体" w:hAnsi="宋体" w:cs="宋体"/>
                <w:color w:val="auto"/>
                <w:szCs w:val="21"/>
                <w:highlight w:val="none"/>
              </w:rPr>
              <w:t>业绩</w:t>
            </w:r>
          </w:p>
          <w:p w14:paraId="77BC713A">
            <w:pPr>
              <w:adjustRightInd w:val="0"/>
              <w:snapToGrid w:val="0"/>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分）</w:t>
            </w:r>
          </w:p>
        </w:tc>
        <w:tc>
          <w:tcPr>
            <w:tcW w:w="5828" w:type="dxa"/>
            <w:shd w:val="clear" w:color="auto" w:fill="auto"/>
            <w:noWrap w:val="0"/>
            <w:vAlign w:val="center"/>
          </w:tcPr>
          <w:p w14:paraId="275A9F86">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提供202</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年1月1日（以合同签订日期为准）以来</w:t>
            </w:r>
            <w:r>
              <w:rPr>
                <w:rFonts w:hint="eastAsia" w:ascii="宋体" w:hAnsi="宋体" w:cs="宋体"/>
                <w:color w:val="auto"/>
                <w:szCs w:val="21"/>
                <w:highlight w:val="none"/>
                <w:lang w:val="en-US" w:eastAsia="zh-CN"/>
              </w:rPr>
              <w:t>同类项目</w:t>
            </w:r>
            <w:r>
              <w:rPr>
                <w:rFonts w:hint="eastAsia" w:ascii="宋体" w:hAnsi="宋体" w:cs="宋体"/>
                <w:color w:val="auto"/>
                <w:szCs w:val="21"/>
                <w:highlight w:val="none"/>
              </w:rPr>
              <w:t>业绩，</w:t>
            </w:r>
            <w:r>
              <w:rPr>
                <w:rFonts w:hint="default" w:ascii="宋体" w:hAnsi="宋体" w:cs="宋体"/>
                <w:color w:val="auto"/>
                <w:szCs w:val="21"/>
                <w:highlight w:val="none"/>
                <w:lang w:val="en-US"/>
              </w:rPr>
              <w:t>每份</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2.5</w:t>
            </w:r>
            <w:r>
              <w:rPr>
                <w:rFonts w:hint="eastAsia" w:ascii="宋体" w:hAnsi="宋体" w:cs="宋体"/>
                <w:color w:val="auto"/>
                <w:szCs w:val="21"/>
                <w:highlight w:val="none"/>
              </w:rPr>
              <w:t>分，最高得</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分。</w:t>
            </w:r>
          </w:p>
          <w:p w14:paraId="5C4C2482">
            <w:pPr>
              <w:spacing w:line="360" w:lineRule="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eastAsia="zh-CN"/>
              </w:rPr>
              <w:t>注：</w:t>
            </w:r>
            <w:r>
              <w:rPr>
                <w:rFonts w:hint="eastAsia" w:ascii="宋体" w:hAnsi="宋体" w:cs="宋体"/>
                <w:color w:val="auto"/>
                <w:szCs w:val="21"/>
                <w:highlight w:val="none"/>
                <w:lang w:val="en-US" w:eastAsia="zh-CN"/>
              </w:rPr>
              <w:t>1、</w:t>
            </w:r>
            <w:r>
              <w:rPr>
                <w:rFonts w:hint="default" w:ascii="宋体" w:hAnsi="宋体" w:cs="宋体"/>
                <w:color w:val="auto"/>
                <w:szCs w:val="21"/>
                <w:highlight w:val="none"/>
                <w:lang w:val="en-US" w:eastAsia="zh-CN"/>
              </w:rPr>
              <w:t>同类项目业绩指至少包含本包核心产品设备的项目</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须同时提供该业绩项目的</w:t>
            </w:r>
            <w:r>
              <w:rPr>
                <w:rFonts w:hint="eastAsia" w:ascii="宋体" w:hAnsi="宋体" w:cs="宋体"/>
                <w:color w:val="auto"/>
                <w:szCs w:val="21"/>
                <w:highlight w:val="none"/>
                <w:lang w:eastAsia="zh-CN"/>
              </w:rPr>
              <w:t>合同、</w:t>
            </w:r>
            <w:r>
              <w:rPr>
                <w:rFonts w:hint="eastAsia" w:ascii="宋体" w:hAnsi="宋体" w:cs="宋体"/>
                <w:color w:val="auto"/>
                <w:szCs w:val="21"/>
                <w:highlight w:val="none"/>
              </w:rPr>
              <w:t>中标</w:t>
            </w:r>
            <w:r>
              <w:rPr>
                <w:rFonts w:hint="eastAsia" w:ascii="宋体" w:hAnsi="宋体" w:cs="宋体"/>
                <w:color w:val="auto"/>
                <w:szCs w:val="21"/>
                <w:highlight w:val="none"/>
                <w:lang w:val="en-US" w:eastAsia="zh-CN"/>
              </w:rPr>
              <w:t>/成交</w:t>
            </w:r>
            <w:r>
              <w:rPr>
                <w:rFonts w:hint="eastAsia" w:ascii="宋体" w:hAnsi="宋体" w:cs="宋体"/>
                <w:color w:val="auto"/>
                <w:szCs w:val="21"/>
                <w:highlight w:val="none"/>
              </w:rPr>
              <w:t>公告（提供相关网站中标</w:t>
            </w:r>
            <w:r>
              <w:rPr>
                <w:rFonts w:hint="eastAsia" w:ascii="宋体" w:hAnsi="宋体" w:cs="宋体"/>
                <w:color w:val="auto"/>
                <w:szCs w:val="21"/>
                <w:highlight w:val="none"/>
                <w:lang w:val="en-US" w:eastAsia="zh-CN"/>
              </w:rPr>
              <w:t>/成交</w:t>
            </w:r>
            <w:r>
              <w:rPr>
                <w:rFonts w:hint="eastAsia" w:ascii="宋体" w:hAnsi="宋体" w:cs="宋体"/>
                <w:color w:val="auto"/>
                <w:szCs w:val="21"/>
                <w:highlight w:val="none"/>
              </w:rPr>
              <w:t>公告的网页截图并注明网址）或者中标</w:t>
            </w:r>
            <w:r>
              <w:rPr>
                <w:rFonts w:hint="eastAsia" w:ascii="宋体" w:hAnsi="宋体" w:cs="宋体"/>
                <w:color w:val="auto"/>
                <w:szCs w:val="21"/>
                <w:highlight w:val="none"/>
                <w:lang w:val="en-US" w:eastAsia="zh-CN"/>
              </w:rPr>
              <w:t>/成交</w:t>
            </w:r>
            <w:r>
              <w:rPr>
                <w:rFonts w:hint="eastAsia" w:ascii="宋体" w:hAnsi="宋体" w:cs="宋体"/>
                <w:color w:val="auto"/>
                <w:szCs w:val="21"/>
                <w:highlight w:val="none"/>
              </w:rPr>
              <w:t>通知书复印件。</w:t>
            </w:r>
          </w:p>
        </w:tc>
      </w:tr>
      <w:tr w14:paraId="3F6C5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330" w:type="dxa"/>
            <w:vMerge w:val="continue"/>
            <w:noWrap w:val="0"/>
            <w:vAlign w:val="center"/>
          </w:tcPr>
          <w:p w14:paraId="697932FB">
            <w:pPr>
              <w:adjustRightInd w:val="0"/>
              <w:snapToGrid w:val="0"/>
              <w:spacing w:line="360" w:lineRule="auto"/>
              <w:jc w:val="center"/>
              <w:rPr>
                <w:rFonts w:ascii="宋体" w:hAnsi="宋体" w:cs="宋体"/>
                <w:color w:val="auto"/>
                <w:szCs w:val="21"/>
                <w:highlight w:val="none"/>
              </w:rPr>
            </w:pPr>
          </w:p>
        </w:tc>
        <w:tc>
          <w:tcPr>
            <w:tcW w:w="1843" w:type="dxa"/>
            <w:vMerge w:val="restart"/>
            <w:noWrap w:val="0"/>
            <w:vAlign w:val="center"/>
          </w:tcPr>
          <w:p w14:paraId="73CC266F">
            <w:pP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售后服务</w:t>
            </w:r>
          </w:p>
          <w:p w14:paraId="46591D46">
            <w:pP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w:t>
            </w:r>
            <w:r>
              <w:rPr>
                <w:rFonts w:hint="default" w:ascii="宋体" w:hAnsi="宋体" w:cs="宋体"/>
                <w:color w:val="auto"/>
                <w:szCs w:val="21"/>
                <w:highlight w:val="none"/>
                <w:lang w:val="en-US" w:eastAsia="zh-CN"/>
              </w:rPr>
              <w:t>1</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w:t>
            </w:r>
          </w:p>
        </w:tc>
        <w:tc>
          <w:tcPr>
            <w:tcW w:w="5828" w:type="dxa"/>
            <w:noWrap w:val="0"/>
            <w:vAlign w:val="top"/>
          </w:tcPr>
          <w:p w14:paraId="4ACD49D9">
            <w:pPr>
              <w:adjustRightInd w:val="0"/>
              <w:snapToGrid w:val="0"/>
              <w:spacing w:line="440" w:lineRule="exact"/>
              <w:rPr>
                <w:rFonts w:hint="eastAsia" w:ascii="宋体" w:hAnsi="宋体" w:eastAsia="宋体" w:cs="宋体"/>
                <w:color w:val="auto"/>
                <w:kern w:val="0"/>
                <w:highlight w:val="none"/>
                <w:lang w:val="en-US" w:eastAsia="zh-CN"/>
              </w:rPr>
            </w:pPr>
            <w:r>
              <w:rPr>
                <w:rFonts w:hint="eastAsia" w:ascii="Times New Roman" w:hAnsi="Times New Roman"/>
                <w:color w:val="auto"/>
                <w:sz w:val="21"/>
                <w:szCs w:val="21"/>
                <w:highlight w:val="none"/>
                <w:lang w:val="en-US" w:eastAsia="zh-CN"/>
              </w:rPr>
              <w:t>a</w:t>
            </w:r>
            <w:r>
              <w:rPr>
                <w:rFonts w:ascii="Times New Roman" w:hAnsi="Times New Roman"/>
                <w:color w:val="auto"/>
                <w:sz w:val="21"/>
                <w:szCs w:val="21"/>
                <w:highlight w:val="none"/>
                <w:lang w:eastAsia="zh-CN"/>
              </w:rPr>
              <w:t>）</w:t>
            </w:r>
            <w:r>
              <w:rPr>
                <w:rFonts w:hint="eastAsia" w:ascii="宋体" w:hAnsi="宋体" w:cs="宋体"/>
                <w:color w:val="auto"/>
                <w:kern w:val="0"/>
                <w:highlight w:val="none"/>
              </w:rPr>
              <w:t>质保期</w:t>
            </w:r>
            <w:r>
              <w:rPr>
                <w:rFonts w:hint="eastAsia" w:ascii="宋体" w:hAnsi="宋体" w:cs="宋体"/>
                <w:color w:val="auto"/>
                <w:kern w:val="0"/>
                <w:highlight w:val="none"/>
                <w:lang w:eastAsia="zh-CN"/>
              </w:rPr>
              <w:t>内</w:t>
            </w:r>
            <w:r>
              <w:rPr>
                <w:rFonts w:hint="eastAsia" w:ascii="宋体" w:hAnsi="宋体" w:cs="宋体"/>
                <w:color w:val="auto"/>
                <w:kern w:val="0"/>
                <w:highlight w:val="none"/>
              </w:rPr>
              <w:t>售后服务</w:t>
            </w:r>
            <w:r>
              <w:rPr>
                <w:rFonts w:hint="eastAsia" w:ascii="宋体" w:hAnsi="宋体" w:cs="宋体"/>
                <w:color w:val="auto"/>
                <w:kern w:val="0"/>
                <w:highlight w:val="none"/>
                <w:lang w:eastAsia="zh-CN"/>
              </w:rPr>
              <w:t>（</w:t>
            </w:r>
            <w:r>
              <w:rPr>
                <w:rFonts w:hint="default" w:ascii="宋体" w:hAnsi="宋体" w:cs="宋体"/>
                <w:color w:val="auto"/>
                <w:kern w:val="0"/>
                <w:highlight w:val="none"/>
                <w:lang w:val="en-US" w:eastAsia="zh-CN"/>
              </w:rPr>
              <w:t>5</w:t>
            </w:r>
            <w:r>
              <w:rPr>
                <w:rFonts w:hint="eastAsia" w:ascii="宋体" w:hAnsi="宋体" w:cs="宋体"/>
                <w:color w:val="auto"/>
                <w:kern w:val="0"/>
                <w:highlight w:val="none"/>
                <w:lang w:val="en-US" w:eastAsia="zh-CN"/>
              </w:rPr>
              <w:t>分</w:t>
            </w:r>
            <w:r>
              <w:rPr>
                <w:rFonts w:hint="eastAsia" w:ascii="宋体" w:hAnsi="宋体" w:cs="宋体"/>
                <w:color w:val="auto"/>
                <w:kern w:val="0"/>
                <w:highlight w:val="none"/>
                <w:lang w:eastAsia="zh-CN"/>
              </w:rPr>
              <w:t>）</w:t>
            </w:r>
          </w:p>
          <w:p w14:paraId="3186162E">
            <w:pPr>
              <w:adjustRightInd w:val="0"/>
              <w:snapToGrid w:val="0"/>
              <w:spacing w:line="440" w:lineRule="exact"/>
              <w:rPr>
                <w:rFonts w:hint="eastAsia" w:ascii="宋体" w:hAnsi="宋体" w:cs="宋体"/>
                <w:color w:val="auto"/>
                <w:kern w:val="0"/>
                <w:highlight w:val="none"/>
              </w:rPr>
            </w:pPr>
            <w:r>
              <w:rPr>
                <w:rFonts w:hint="eastAsia" w:ascii="宋体" w:hAnsi="宋体" w:cs="宋体"/>
                <w:color w:val="auto"/>
                <w:kern w:val="0"/>
                <w:highlight w:val="none"/>
              </w:rPr>
              <w:t>根据各供应商提供的质保期内售后服务方案，包括但不限于质保期内的售后安排、内容、形式、故障响应时间、到达现场响应时间、应急维修措施</w:t>
            </w:r>
            <w:r>
              <w:rPr>
                <w:rFonts w:hint="eastAsia" w:ascii="宋体" w:hAnsi="宋体" w:cs="宋体"/>
                <w:color w:val="auto"/>
                <w:kern w:val="0"/>
                <w:highlight w:val="none"/>
                <w:lang w:eastAsia="zh-CN"/>
              </w:rPr>
              <w:t>、</w:t>
            </w:r>
            <w:r>
              <w:rPr>
                <w:rFonts w:hint="eastAsia" w:ascii="宋体" w:hAnsi="宋体" w:cs="宋体"/>
                <w:color w:val="auto"/>
                <w:kern w:val="0"/>
                <w:highlight w:val="none"/>
                <w:lang w:val="en-US" w:eastAsia="zh-CN"/>
              </w:rPr>
              <w:t>软件更新</w:t>
            </w:r>
            <w:r>
              <w:rPr>
                <w:rFonts w:hint="eastAsia" w:ascii="宋体" w:hAnsi="宋体" w:cs="宋体"/>
                <w:color w:val="auto"/>
                <w:kern w:val="0"/>
                <w:highlight w:val="none"/>
              </w:rPr>
              <w:t>等方案。按以下标准进行评审：</w:t>
            </w:r>
          </w:p>
          <w:p w14:paraId="69E74BE1">
            <w:pPr>
              <w:adjustRightInd w:val="0"/>
              <w:snapToGrid w:val="0"/>
              <w:spacing w:line="440" w:lineRule="exact"/>
              <w:rPr>
                <w:rFonts w:hint="eastAsia" w:ascii="宋体" w:hAnsi="宋体" w:cs="宋体"/>
                <w:color w:val="auto"/>
                <w:kern w:val="0"/>
                <w:highlight w:val="none"/>
              </w:rPr>
            </w:pPr>
            <w:r>
              <w:rPr>
                <w:rFonts w:hint="eastAsia" w:ascii="宋体" w:hAnsi="宋体" w:cs="宋体"/>
                <w:color w:val="auto"/>
                <w:kern w:val="0"/>
                <w:highlight w:val="none"/>
              </w:rPr>
              <w:t>1.供应商提供的质保期内售后服务方案内容完整、考虑全面周到，形式灵活、多样，响应及时，完全满足或优于采购人需求，得</w:t>
            </w:r>
            <w:r>
              <w:rPr>
                <w:rFonts w:hint="eastAsia" w:ascii="宋体" w:hAnsi="宋体" w:cs="宋体"/>
                <w:color w:val="auto"/>
                <w:kern w:val="0"/>
                <w:highlight w:val="none"/>
                <w:lang w:val="en-US" w:eastAsia="zh-CN"/>
              </w:rPr>
              <w:t>5</w:t>
            </w:r>
            <w:r>
              <w:rPr>
                <w:rFonts w:hint="eastAsia" w:ascii="宋体" w:hAnsi="宋体" w:cs="宋体"/>
                <w:color w:val="auto"/>
                <w:kern w:val="0"/>
                <w:highlight w:val="none"/>
              </w:rPr>
              <w:t>分；</w:t>
            </w:r>
          </w:p>
          <w:p w14:paraId="6DEE09CE">
            <w:pPr>
              <w:adjustRightInd w:val="0"/>
              <w:snapToGrid w:val="0"/>
              <w:spacing w:line="440" w:lineRule="exact"/>
              <w:rPr>
                <w:rFonts w:hint="eastAsia" w:ascii="宋体" w:hAnsi="宋体" w:cs="宋体"/>
                <w:color w:val="auto"/>
                <w:kern w:val="0"/>
                <w:highlight w:val="none"/>
              </w:rPr>
            </w:pPr>
            <w:r>
              <w:rPr>
                <w:rFonts w:hint="eastAsia" w:ascii="宋体" w:hAnsi="宋体" w:cs="宋体"/>
                <w:color w:val="auto"/>
                <w:kern w:val="0"/>
                <w:highlight w:val="none"/>
              </w:rPr>
              <w:t>2.供应商提供的质保期内售后服务方案内容完整性、全面性、详细性一般，形式灵活性、多样性一般，基本满足采购人需求，得</w:t>
            </w:r>
            <w:r>
              <w:rPr>
                <w:rFonts w:hint="eastAsia" w:ascii="宋体" w:hAnsi="宋体" w:cs="宋体"/>
                <w:color w:val="auto"/>
                <w:kern w:val="0"/>
                <w:highlight w:val="none"/>
                <w:lang w:val="en-US" w:eastAsia="zh-CN"/>
              </w:rPr>
              <w:t>3</w:t>
            </w:r>
            <w:r>
              <w:rPr>
                <w:rFonts w:hint="eastAsia" w:ascii="宋体" w:hAnsi="宋体" w:cs="宋体"/>
                <w:color w:val="auto"/>
                <w:kern w:val="0"/>
                <w:highlight w:val="none"/>
              </w:rPr>
              <w:t>分；</w:t>
            </w:r>
          </w:p>
          <w:p w14:paraId="2ADB6AAC">
            <w:pPr>
              <w:adjustRightInd w:val="0"/>
              <w:snapToGrid w:val="0"/>
              <w:spacing w:line="440" w:lineRule="exact"/>
              <w:rPr>
                <w:rFonts w:hint="eastAsia" w:ascii="宋体" w:hAnsi="宋体" w:cs="宋体"/>
                <w:color w:val="auto"/>
                <w:kern w:val="0"/>
                <w:highlight w:val="none"/>
              </w:rPr>
            </w:pPr>
            <w:r>
              <w:rPr>
                <w:rFonts w:hint="eastAsia" w:ascii="宋体" w:hAnsi="宋体" w:cs="宋体"/>
                <w:color w:val="auto"/>
                <w:kern w:val="0"/>
                <w:highlight w:val="none"/>
              </w:rPr>
              <w:t>3.供应商提供的质保期内售后服务方案内容完整性、全面性、详细性差，形式灵活性、多样性差，不满足采购人需求，得 1 分；</w:t>
            </w:r>
          </w:p>
          <w:p w14:paraId="5C9B1B5E">
            <w:pPr>
              <w:adjustRightInd w:val="0"/>
              <w:snapToGrid w:val="0"/>
              <w:spacing w:line="440" w:lineRule="exact"/>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highlight w:val="none"/>
              </w:rPr>
              <w:t>4.不提供的不得分。</w:t>
            </w:r>
          </w:p>
        </w:tc>
      </w:tr>
      <w:tr w14:paraId="2ACD9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0" w:type="dxa"/>
            <w:vMerge w:val="continue"/>
            <w:noWrap w:val="0"/>
            <w:vAlign w:val="center"/>
          </w:tcPr>
          <w:p w14:paraId="7B15044C">
            <w:pPr>
              <w:adjustRightInd w:val="0"/>
              <w:snapToGrid w:val="0"/>
              <w:spacing w:line="360" w:lineRule="auto"/>
              <w:jc w:val="center"/>
              <w:rPr>
                <w:rFonts w:ascii="宋体" w:hAnsi="宋体" w:cs="宋体"/>
                <w:color w:val="auto"/>
                <w:szCs w:val="21"/>
                <w:highlight w:val="none"/>
              </w:rPr>
            </w:pPr>
          </w:p>
        </w:tc>
        <w:tc>
          <w:tcPr>
            <w:tcW w:w="1843" w:type="dxa"/>
            <w:vMerge w:val="continue"/>
            <w:noWrap w:val="0"/>
            <w:vAlign w:val="center"/>
          </w:tcPr>
          <w:p w14:paraId="501F042F">
            <w:pPr>
              <w:adjustRightInd w:val="0"/>
              <w:snapToGrid w:val="0"/>
              <w:spacing w:line="360" w:lineRule="auto"/>
              <w:jc w:val="center"/>
              <w:rPr>
                <w:rFonts w:hint="eastAsia" w:ascii="宋体" w:hAnsi="宋体" w:cs="宋体"/>
                <w:color w:val="auto"/>
                <w:szCs w:val="21"/>
                <w:highlight w:val="none"/>
              </w:rPr>
            </w:pPr>
          </w:p>
        </w:tc>
        <w:tc>
          <w:tcPr>
            <w:tcW w:w="5828" w:type="dxa"/>
            <w:noWrap w:val="0"/>
            <w:vAlign w:val="top"/>
          </w:tcPr>
          <w:p w14:paraId="6A7CDBBE">
            <w:pPr>
              <w:adjustRightInd w:val="0"/>
              <w:snapToGrid w:val="0"/>
              <w:spacing w:line="440" w:lineRule="exact"/>
              <w:rPr>
                <w:rFonts w:hint="eastAsia" w:ascii="宋体" w:hAnsi="宋体" w:eastAsia="宋体" w:cs="宋体"/>
                <w:color w:val="auto"/>
                <w:kern w:val="0"/>
                <w:highlight w:val="none"/>
                <w:lang w:val="en-US" w:eastAsia="zh-CN"/>
              </w:rPr>
            </w:pPr>
            <w:r>
              <w:rPr>
                <w:rFonts w:hint="eastAsia" w:ascii="宋体" w:hAnsi="宋体" w:cs="宋体"/>
                <w:color w:val="auto"/>
                <w:kern w:val="0"/>
                <w:highlight w:val="none"/>
                <w:lang w:val="en-US" w:eastAsia="zh-CN"/>
              </w:rPr>
              <w:t>b)</w:t>
            </w:r>
            <w:r>
              <w:rPr>
                <w:rFonts w:hint="eastAsia" w:ascii="宋体" w:hAnsi="宋体" w:cs="宋体"/>
                <w:color w:val="auto"/>
                <w:kern w:val="0"/>
                <w:highlight w:val="none"/>
              </w:rPr>
              <w:t>质保期</w:t>
            </w:r>
            <w:r>
              <w:rPr>
                <w:rFonts w:hint="eastAsia" w:ascii="宋体" w:hAnsi="宋体" w:cs="宋体"/>
                <w:color w:val="auto"/>
                <w:kern w:val="0"/>
                <w:highlight w:val="none"/>
                <w:lang w:eastAsia="zh-CN"/>
              </w:rPr>
              <w:t>外</w:t>
            </w:r>
            <w:r>
              <w:rPr>
                <w:rFonts w:hint="eastAsia" w:ascii="宋体" w:hAnsi="宋体" w:cs="宋体"/>
                <w:color w:val="auto"/>
                <w:kern w:val="0"/>
                <w:highlight w:val="none"/>
              </w:rPr>
              <w:t>售后服务</w:t>
            </w:r>
            <w:r>
              <w:rPr>
                <w:rFonts w:hint="eastAsia" w:ascii="宋体" w:hAnsi="宋体" w:cs="宋体"/>
                <w:color w:val="auto"/>
                <w:kern w:val="0"/>
                <w:highlight w:val="none"/>
                <w:lang w:eastAsia="zh-CN"/>
              </w:rPr>
              <w:t>（</w:t>
            </w:r>
            <w:r>
              <w:rPr>
                <w:rFonts w:hint="default" w:ascii="宋体" w:hAnsi="宋体" w:cs="宋体"/>
                <w:color w:val="auto"/>
                <w:kern w:val="0"/>
                <w:highlight w:val="none"/>
                <w:lang w:val="en-US" w:eastAsia="zh-CN"/>
              </w:rPr>
              <w:t>5</w:t>
            </w:r>
            <w:r>
              <w:rPr>
                <w:rFonts w:hint="eastAsia" w:ascii="宋体" w:hAnsi="宋体" w:cs="宋体"/>
                <w:color w:val="auto"/>
                <w:kern w:val="0"/>
                <w:highlight w:val="none"/>
                <w:lang w:val="en-US" w:eastAsia="zh-CN"/>
              </w:rPr>
              <w:t>分</w:t>
            </w:r>
            <w:r>
              <w:rPr>
                <w:rFonts w:hint="eastAsia" w:ascii="宋体" w:hAnsi="宋体" w:cs="宋体"/>
                <w:color w:val="auto"/>
                <w:kern w:val="0"/>
                <w:highlight w:val="none"/>
                <w:lang w:eastAsia="zh-CN"/>
              </w:rPr>
              <w:t>）</w:t>
            </w:r>
          </w:p>
          <w:p w14:paraId="56CC2A7E">
            <w:pPr>
              <w:adjustRightInd w:val="0"/>
              <w:snapToGrid w:val="0"/>
              <w:spacing w:line="440" w:lineRule="exact"/>
              <w:rPr>
                <w:rFonts w:hint="eastAsia" w:ascii="宋体" w:hAnsi="宋体" w:cs="宋体"/>
                <w:color w:val="auto"/>
                <w:kern w:val="0"/>
                <w:highlight w:val="none"/>
              </w:rPr>
            </w:pPr>
            <w:r>
              <w:rPr>
                <w:rFonts w:hint="eastAsia" w:ascii="宋体" w:hAnsi="宋体" w:cs="宋体"/>
                <w:color w:val="auto"/>
                <w:kern w:val="0"/>
                <w:highlight w:val="none"/>
              </w:rPr>
              <w:t>根据各供应商提供的质保期</w:t>
            </w:r>
            <w:r>
              <w:rPr>
                <w:rFonts w:hint="eastAsia" w:ascii="宋体" w:hAnsi="宋体" w:cs="宋体"/>
                <w:color w:val="auto"/>
                <w:kern w:val="0"/>
                <w:highlight w:val="none"/>
                <w:lang w:eastAsia="zh-CN"/>
              </w:rPr>
              <w:t>外</w:t>
            </w:r>
            <w:r>
              <w:rPr>
                <w:rFonts w:hint="eastAsia" w:ascii="宋体" w:hAnsi="宋体" w:cs="宋体"/>
                <w:color w:val="auto"/>
                <w:kern w:val="0"/>
                <w:highlight w:val="none"/>
              </w:rPr>
              <w:t>售后服务方案，包括但不限于质保期</w:t>
            </w:r>
            <w:r>
              <w:rPr>
                <w:rFonts w:hint="eastAsia" w:ascii="宋体" w:hAnsi="宋体" w:cs="宋体"/>
                <w:color w:val="auto"/>
                <w:kern w:val="0"/>
                <w:highlight w:val="none"/>
                <w:lang w:eastAsia="zh-CN"/>
              </w:rPr>
              <w:t>外</w:t>
            </w:r>
            <w:r>
              <w:rPr>
                <w:rFonts w:hint="eastAsia" w:ascii="宋体" w:hAnsi="宋体" w:cs="宋体"/>
                <w:color w:val="auto"/>
                <w:kern w:val="0"/>
                <w:highlight w:val="none"/>
              </w:rPr>
              <w:t>的售后安排、内容、形式、故障响应时间、到达现场响应时间、应急维修措施</w:t>
            </w:r>
            <w:r>
              <w:rPr>
                <w:rFonts w:hint="eastAsia" w:ascii="宋体" w:hAnsi="宋体" w:cs="宋体"/>
                <w:color w:val="auto"/>
                <w:kern w:val="0"/>
                <w:highlight w:val="none"/>
                <w:lang w:val="en-US" w:eastAsia="zh-CN"/>
              </w:rPr>
              <w:t>软件更新</w:t>
            </w:r>
            <w:r>
              <w:rPr>
                <w:rFonts w:hint="eastAsia" w:ascii="宋体" w:hAnsi="宋体" w:cs="宋体"/>
                <w:color w:val="auto"/>
                <w:kern w:val="0"/>
                <w:highlight w:val="none"/>
              </w:rPr>
              <w:t>等方案。按以下标准进行评审：</w:t>
            </w:r>
          </w:p>
          <w:p w14:paraId="14120267">
            <w:pPr>
              <w:adjustRightInd w:val="0"/>
              <w:snapToGrid w:val="0"/>
              <w:spacing w:line="440" w:lineRule="exact"/>
              <w:rPr>
                <w:rFonts w:hint="eastAsia" w:ascii="宋体" w:hAnsi="宋体" w:cs="宋体"/>
                <w:color w:val="auto"/>
                <w:kern w:val="0"/>
                <w:highlight w:val="none"/>
              </w:rPr>
            </w:pPr>
            <w:r>
              <w:rPr>
                <w:rFonts w:hint="eastAsia" w:ascii="宋体" w:hAnsi="宋体" w:cs="宋体"/>
                <w:color w:val="auto"/>
                <w:kern w:val="0"/>
                <w:highlight w:val="none"/>
              </w:rPr>
              <w:t>1.供应商提供的质保期</w:t>
            </w:r>
            <w:r>
              <w:rPr>
                <w:rFonts w:hint="eastAsia" w:ascii="宋体" w:hAnsi="宋体" w:cs="宋体"/>
                <w:color w:val="auto"/>
                <w:kern w:val="0"/>
                <w:highlight w:val="none"/>
                <w:lang w:eastAsia="zh-CN"/>
              </w:rPr>
              <w:t>外</w:t>
            </w:r>
            <w:r>
              <w:rPr>
                <w:rFonts w:hint="eastAsia" w:ascii="宋体" w:hAnsi="宋体" w:cs="宋体"/>
                <w:color w:val="auto"/>
                <w:kern w:val="0"/>
                <w:highlight w:val="none"/>
              </w:rPr>
              <w:t>售后服务方案内容完整、考虑全面周到，形式灵活、多样，响应及时，完全满足或优于采购人需求，得</w:t>
            </w:r>
            <w:r>
              <w:rPr>
                <w:rFonts w:hint="eastAsia" w:ascii="宋体" w:hAnsi="宋体" w:cs="宋体"/>
                <w:color w:val="auto"/>
                <w:kern w:val="0"/>
                <w:highlight w:val="none"/>
                <w:lang w:val="en-US" w:eastAsia="zh-CN"/>
              </w:rPr>
              <w:t>5</w:t>
            </w:r>
            <w:r>
              <w:rPr>
                <w:rFonts w:hint="eastAsia" w:ascii="宋体" w:hAnsi="宋体" w:cs="宋体"/>
                <w:color w:val="auto"/>
                <w:kern w:val="0"/>
                <w:highlight w:val="none"/>
              </w:rPr>
              <w:t>分；</w:t>
            </w:r>
          </w:p>
          <w:p w14:paraId="28A59BCF">
            <w:pPr>
              <w:adjustRightInd w:val="0"/>
              <w:snapToGrid w:val="0"/>
              <w:spacing w:line="440" w:lineRule="exact"/>
              <w:rPr>
                <w:rFonts w:hint="eastAsia" w:ascii="宋体" w:hAnsi="宋体" w:cs="宋体"/>
                <w:color w:val="auto"/>
                <w:kern w:val="0"/>
                <w:highlight w:val="none"/>
              </w:rPr>
            </w:pPr>
            <w:r>
              <w:rPr>
                <w:rFonts w:hint="eastAsia" w:ascii="宋体" w:hAnsi="宋体" w:cs="宋体"/>
                <w:color w:val="auto"/>
                <w:kern w:val="0"/>
                <w:highlight w:val="none"/>
              </w:rPr>
              <w:t>2.供应商提供的质保期</w:t>
            </w:r>
            <w:r>
              <w:rPr>
                <w:rFonts w:hint="eastAsia" w:ascii="宋体" w:hAnsi="宋体" w:cs="宋体"/>
                <w:color w:val="auto"/>
                <w:kern w:val="0"/>
                <w:highlight w:val="none"/>
                <w:lang w:eastAsia="zh-CN"/>
              </w:rPr>
              <w:t>外</w:t>
            </w:r>
            <w:r>
              <w:rPr>
                <w:rFonts w:hint="eastAsia" w:ascii="宋体" w:hAnsi="宋体" w:cs="宋体"/>
                <w:color w:val="auto"/>
                <w:kern w:val="0"/>
                <w:highlight w:val="none"/>
              </w:rPr>
              <w:t>售后服务方案内容完整性、全面性、详细性一般，形式灵活性、多样性一般，基本满足采购人需求，得</w:t>
            </w:r>
            <w:r>
              <w:rPr>
                <w:rFonts w:hint="eastAsia" w:ascii="宋体" w:hAnsi="宋体" w:cs="宋体"/>
                <w:color w:val="auto"/>
                <w:kern w:val="0"/>
                <w:highlight w:val="none"/>
                <w:lang w:val="en-US" w:eastAsia="zh-CN"/>
              </w:rPr>
              <w:t>3</w:t>
            </w:r>
            <w:r>
              <w:rPr>
                <w:rFonts w:hint="eastAsia" w:ascii="宋体" w:hAnsi="宋体" w:cs="宋体"/>
                <w:color w:val="auto"/>
                <w:kern w:val="0"/>
                <w:highlight w:val="none"/>
              </w:rPr>
              <w:t>分；</w:t>
            </w:r>
          </w:p>
          <w:p w14:paraId="0D190FB8">
            <w:pPr>
              <w:adjustRightInd w:val="0"/>
              <w:snapToGrid w:val="0"/>
              <w:spacing w:line="440" w:lineRule="exact"/>
              <w:rPr>
                <w:rFonts w:hint="eastAsia" w:ascii="宋体" w:hAnsi="宋体" w:cs="宋体"/>
                <w:color w:val="auto"/>
                <w:kern w:val="0"/>
                <w:highlight w:val="none"/>
              </w:rPr>
            </w:pPr>
            <w:r>
              <w:rPr>
                <w:rFonts w:hint="eastAsia" w:ascii="宋体" w:hAnsi="宋体" w:cs="宋体"/>
                <w:color w:val="auto"/>
                <w:kern w:val="0"/>
                <w:highlight w:val="none"/>
              </w:rPr>
              <w:t>3.供应商提供的质保期</w:t>
            </w:r>
            <w:r>
              <w:rPr>
                <w:rFonts w:hint="eastAsia" w:ascii="宋体" w:hAnsi="宋体" w:cs="宋体"/>
                <w:color w:val="auto"/>
                <w:kern w:val="0"/>
                <w:highlight w:val="none"/>
                <w:lang w:eastAsia="zh-CN"/>
              </w:rPr>
              <w:t>外</w:t>
            </w:r>
            <w:r>
              <w:rPr>
                <w:rFonts w:hint="eastAsia" w:ascii="宋体" w:hAnsi="宋体" w:cs="宋体"/>
                <w:color w:val="auto"/>
                <w:kern w:val="0"/>
                <w:highlight w:val="none"/>
              </w:rPr>
              <w:t>售后服务方案内容完整性、全面性、详细性差，形式灵活性、多样性差，不满足采购人需求，得1分；</w:t>
            </w:r>
          </w:p>
          <w:p w14:paraId="2017A9A2">
            <w:pPr>
              <w:pStyle w:val="166"/>
              <w:snapToGrid w:val="0"/>
              <w:spacing w:line="360" w:lineRule="auto"/>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rPr>
              <w:t>4.不提供的不得分。</w:t>
            </w:r>
          </w:p>
        </w:tc>
      </w:tr>
      <w:tr w14:paraId="0B777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330" w:type="dxa"/>
            <w:vMerge w:val="continue"/>
            <w:noWrap w:val="0"/>
            <w:vAlign w:val="center"/>
          </w:tcPr>
          <w:p w14:paraId="76F13A53">
            <w:pPr>
              <w:adjustRightInd w:val="0"/>
              <w:snapToGrid w:val="0"/>
              <w:spacing w:line="360" w:lineRule="auto"/>
              <w:jc w:val="center"/>
              <w:rPr>
                <w:rFonts w:ascii="宋体" w:hAnsi="宋体" w:cs="宋体"/>
                <w:color w:val="auto"/>
                <w:szCs w:val="21"/>
                <w:highlight w:val="none"/>
              </w:rPr>
            </w:pPr>
          </w:p>
        </w:tc>
        <w:tc>
          <w:tcPr>
            <w:tcW w:w="1843" w:type="dxa"/>
            <w:vMerge w:val="continue"/>
            <w:noWrap w:val="0"/>
            <w:vAlign w:val="center"/>
          </w:tcPr>
          <w:p w14:paraId="46718EB7">
            <w:pPr>
              <w:adjustRightInd w:val="0"/>
              <w:snapToGrid w:val="0"/>
              <w:spacing w:line="360" w:lineRule="auto"/>
              <w:jc w:val="center"/>
              <w:rPr>
                <w:rFonts w:hint="eastAsia" w:ascii="宋体" w:hAnsi="宋体" w:cs="宋体"/>
                <w:color w:val="auto"/>
                <w:szCs w:val="21"/>
                <w:highlight w:val="none"/>
              </w:rPr>
            </w:pPr>
          </w:p>
        </w:tc>
        <w:tc>
          <w:tcPr>
            <w:tcW w:w="5828" w:type="dxa"/>
            <w:noWrap w:val="0"/>
            <w:vAlign w:val="top"/>
          </w:tcPr>
          <w:p w14:paraId="1DF50A37">
            <w:pPr>
              <w:pStyle w:val="166"/>
              <w:snapToGrid w:val="0"/>
              <w:spacing w:line="360" w:lineRule="auto"/>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c）承诺</w:t>
            </w:r>
            <w:r>
              <w:rPr>
                <w:rFonts w:hint="eastAsia" w:ascii="宋体" w:hAnsi="宋体" w:cs="宋体"/>
                <w:b/>
                <w:bCs/>
                <w:color w:val="auto"/>
                <w:kern w:val="0"/>
                <w:sz w:val="21"/>
                <w:szCs w:val="21"/>
                <w:highlight w:val="none"/>
                <w:lang w:val="en-US" w:eastAsia="zh-CN"/>
              </w:rPr>
              <w:t>所有投标产品</w:t>
            </w:r>
            <w:r>
              <w:rPr>
                <w:rFonts w:hint="eastAsia" w:ascii="宋体" w:hAnsi="宋体" w:eastAsia="宋体" w:cs="宋体"/>
                <w:color w:val="auto"/>
                <w:kern w:val="0"/>
                <w:sz w:val="21"/>
                <w:szCs w:val="21"/>
                <w:highlight w:val="none"/>
              </w:rPr>
              <w:t>在满足招标文件要求的基础上每增加1年</w:t>
            </w:r>
            <w:r>
              <w:rPr>
                <w:rFonts w:hint="eastAsia" w:cs="宋体"/>
                <w:b w:val="0"/>
                <w:bCs w:val="0"/>
                <w:color w:val="auto"/>
                <w:kern w:val="0"/>
                <w:sz w:val="21"/>
                <w:szCs w:val="21"/>
                <w:highlight w:val="none"/>
                <w:lang w:eastAsia="zh-CN"/>
              </w:rPr>
              <w:t>质保</w:t>
            </w:r>
            <w:r>
              <w:rPr>
                <w:rFonts w:hint="eastAsia" w:ascii="宋体" w:hAnsi="宋体" w:eastAsia="宋体" w:cs="宋体"/>
                <w:color w:val="auto"/>
                <w:kern w:val="0"/>
                <w:sz w:val="21"/>
                <w:szCs w:val="21"/>
                <w:highlight w:val="none"/>
              </w:rPr>
              <w:t>的得</w:t>
            </w:r>
            <w:r>
              <w:rPr>
                <w:rFonts w:hint="eastAsia" w:ascii="宋体" w:hAnsi="宋体" w:cs="宋体"/>
                <w:color w:val="auto"/>
                <w:kern w:val="0"/>
                <w:sz w:val="21"/>
                <w:szCs w:val="21"/>
                <w:highlight w:val="none"/>
                <w:lang w:val="en-US" w:eastAsia="zh-CN"/>
              </w:rPr>
              <w:t>0.5</w:t>
            </w:r>
            <w:r>
              <w:rPr>
                <w:rFonts w:hint="eastAsia" w:ascii="宋体" w:hAnsi="宋体" w:eastAsia="宋体" w:cs="宋体"/>
                <w:color w:val="auto"/>
                <w:kern w:val="0"/>
                <w:sz w:val="21"/>
                <w:szCs w:val="21"/>
                <w:highlight w:val="none"/>
              </w:rPr>
              <w:t>分，最</w:t>
            </w:r>
            <w:r>
              <w:rPr>
                <w:rFonts w:hint="eastAsia" w:ascii="宋体" w:hAnsi="宋体" w:cs="宋体"/>
                <w:color w:val="auto"/>
                <w:kern w:val="0"/>
                <w:sz w:val="21"/>
                <w:szCs w:val="21"/>
                <w:highlight w:val="none"/>
                <w:lang w:val="en-US" w:eastAsia="zh-CN"/>
              </w:rPr>
              <w:t>高</w:t>
            </w:r>
            <w:r>
              <w:rPr>
                <w:rFonts w:hint="eastAsia" w:ascii="宋体" w:hAnsi="宋体" w:eastAsia="宋体" w:cs="宋体"/>
                <w:color w:val="auto"/>
                <w:kern w:val="0"/>
                <w:sz w:val="21"/>
                <w:szCs w:val="21"/>
                <w:highlight w:val="none"/>
              </w:rPr>
              <w:t>得</w:t>
            </w: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分。</w:t>
            </w:r>
          </w:p>
        </w:tc>
      </w:tr>
      <w:tr w14:paraId="7C055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330" w:type="dxa"/>
            <w:vMerge w:val="continue"/>
            <w:noWrap w:val="0"/>
            <w:vAlign w:val="center"/>
          </w:tcPr>
          <w:p w14:paraId="1D95217C">
            <w:pPr>
              <w:adjustRightInd w:val="0"/>
              <w:snapToGrid w:val="0"/>
              <w:spacing w:line="360" w:lineRule="auto"/>
              <w:jc w:val="center"/>
              <w:rPr>
                <w:rFonts w:ascii="宋体" w:hAnsi="宋体" w:cs="宋体"/>
                <w:color w:val="auto"/>
                <w:szCs w:val="21"/>
                <w:highlight w:val="none"/>
              </w:rPr>
            </w:pPr>
          </w:p>
        </w:tc>
        <w:tc>
          <w:tcPr>
            <w:tcW w:w="1843" w:type="dxa"/>
            <w:vMerge w:val="continue"/>
            <w:noWrap w:val="0"/>
            <w:vAlign w:val="center"/>
          </w:tcPr>
          <w:p w14:paraId="5B2CF09C">
            <w:pPr>
              <w:adjustRightInd w:val="0"/>
              <w:snapToGrid w:val="0"/>
              <w:spacing w:line="360" w:lineRule="auto"/>
              <w:jc w:val="center"/>
              <w:rPr>
                <w:rFonts w:hint="eastAsia" w:ascii="宋体" w:hAnsi="宋体" w:cs="宋体"/>
                <w:color w:val="auto"/>
                <w:szCs w:val="21"/>
                <w:highlight w:val="none"/>
              </w:rPr>
            </w:pPr>
          </w:p>
        </w:tc>
        <w:tc>
          <w:tcPr>
            <w:tcW w:w="5828" w:type="dxa"/>
            <w:noWrap w:val="0"/>
            <w:vAlign w:val="top"/>
          </w:tcPr>
          <w:p w14:paraId="1595AC8F">
            <w:pPr>
              <w:pStyle w:val="166"/>
              <w:snapToGrid w:val="0"/>
              <w:spacing w:line="360" w:lineRule="auto"/>
              <w:ind w:left="0" w:leftChars="0" w:firstLine="0" w:firstLineChars="0"/>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d</w:t>
            </w:r>
            <w:r>
              <w:rPr>
                <w:rFonts w:hint="eastAsia" w:ascii="宋体" w:hAnsi="宋体" w:eastAsia="宋体" w:cs="宋体"/>
                <w:color w:val="auto"/>
                <w:kern w:val="0"/>
                <w:sz w:val="21"/>
                <w:szCs w:val="21"/>
                <w:highlight w:val="none"/>
              </w:rPr>
              <w:t>）</w:t>
            </w:r>
            <w:r>
              <w:rPr>
                <w:rFonts w:hint="eastAsia" w:ascii="宋体" w:hAnsi="宋体" w:cs="宋体"/>
                <w:color w:val="auto"/>
                <w:kern w:val="0"/>
                <w:sz w:val="21"/>
                <w:szCs w:val="21"/>
                <w:highlight w:val="none"/>
                <w:lang w:val="en-US" w:eastAsia="zh-CN"/>
              </w:rPr>
              <w:t>所投核心产品须具有原厂售后服务承诺函，满足得1分，不提供不得分。</w:t>
            </w:r>
          </w:p>
        </w:tc>
      </w:tr>
      <w:tr w14:paraId="50497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330" w:type="dxa"/>
            <w:vMerge w:val="continue"/>
            <w:noWrap w:val="0"/>
            <w:vAlign w:val="center"/>
          </w:tcPr>
          <w:p w14:paraId="124F9080">
            <w:pPr>
              <w:adjustRightInd w:val="0"/>
              <w:snapToGrid w:val="0"/>
              <w:spacing w:line="360" w:lineRule="auto"/>
              <w:rPr>
                <w:rFonts w:hint="eastAsia" w:ascii="宋体" w:hAnsi="宋体" w:cs="宋体"/>
                <w:color w:val="auto"/>
                <w:szCs w:val="21"/>
                <w:highlight w:val="none"/>
              </w:rPr>
            </w:pPr>
          </w:p>
        </w:tc>
        <w:tc>
          <w:tcPr>
            <w:tcW w:w="1843" w:type="dxa"/>
            <w:noWrap w:val="0"/>
            <w:vAlign w:val="center"/>
          </w:tcPr>
          <w:p w14:paraId="313D9257">
            <w:pPr>
              <w:spacing w:before="22" w:line="360" w:lineRule="auto"/>
              <w:ind w:right="-15" w:rightChars="0"/>
              <w:jc w:val="center"/>
              <w:rPr>
                <w:rFonts w:hint="eastAsia" w:ascii="宋体" w:hAnsi="宋体" w:cs="宋体"/>
                <w:color w:val="auto"/>
                <w:szCs w:val="21"/>
                <w:highlight w:val="none"/>
              </w:rPr>
            </w:pPr>
            <w:r>
              <w:rPr>
                <w:rFonts w:hint="eastAsia" w:ascii="宋体" w:hAnsi="宋体" w:eastAsia="宋体" w:cs="宋体"/>
                <w:color w:val="auto"/>
                <w:kern w:val="0"/>
                <w:szCs w:val="21"/>
              </w:rPr>
              <w:t>节能清单产品</w:t>
            </w:r>
            <w:r>
              <w:rPr>
                <w:rFonts w:hint="eastAsia" w:ascii="宋体" w:hAnsi="宋体" w:cs="宋体"/>
                <w:color w:val="auto"/>
                <w:kern w:val="0"/>
                <w:szCs w:val="21"/>
                <w:lang w:val="en-US" w:eastAsia="zh-CN"/>
              </w:rPr>
              <w:t xml:space="preserve">  </w:t>
            </w:r>
            <w:r>
              <w:rPr>
                <w:rFonts w:hint="eastAsia" w:ascii="宋体" w:hAnsi="宋体" w:eastAsia="宋体" w:cs="宋体"/>
                <w:color w:val="auto"/>
                <w:kern w:val="0"/>
                <w:szCs w:val="21"/>
              </w:rPr>
              <w:t>（</w:t>
            </w:r>
            <w:r>
              <w:rPr>
                <w:rFonts w:hint="eastAsia" w:ascii="宋体" w:hAnsi="宋体" w:cs="宋体"/>
                <w:color w:val="auto"/>
                <w:kern w:val="0"/>
                <w:szCs w:val="21"/>
                <w:lang w:val="en-US" w:eastAsia="zh-CN"/>
              </w:rPr>
              <w:t>0.5</w:t>
            </w:r>
            <w:r>
              <w:rPr>
                <w:rFonts w:hint="eastAsia" w:ascii="宋体" w:hAnsi="宋体" w:eastAsia="宋体" w:cs="宋体"/>
                <w:color w:val="auto"/>
                <w:kern w:val="0"/>
                <w:szCs w:val="21"/>
              </w:rPr>
              <w:t>分）</w:t>
            </w:r>
          </w:p>
        </w:tc>
        <w:tc>
          <w:tcPr>
            <w:tcW w:w="5828" w:type="dxa"/>
            <w:noWrap w:val="0"/>
            <w:vAlign w:val="center"/>
          </w:tcPr>
          <w:p w14:paraId="7B25408F">
            <w:pPr>
              <w:widowControl/>
              <w:spacing w:line="360" w:lineRule="auto"/>
              <w:rPr>
                <w:rFonts w:ascii="宋体" w:hAnsi="宋体" w:eastAsia="宋体" w:cs="宋体"/>
                <w:kern w:val="0"/>
                <w:szCs w:val="21"/>
              </w:rPr>
            </w:pPr>
            <w:r>
              <w:rPr>
                <w:rFonts w:hint="eastAsia" w:ascii="宋体" w:hAnsi="宋体" w:eastAsia="宋体" w:cs="宋体"/>
                <w:kern w:val="0"/>
                <w:szCs w:val="21"/>
              </w:rPr>
              <w:t>所投</w:t>
            </w:r>
            <w:r>
              <w:rPr>
                <w:rFonts w:hint="eastAsia" w:ascii="宋体" w:hAnsi="宋体" w:eastAsia="宋体" w:cs="宋体"/>
                <w:kern w:val="0"/>
                <w:szCs w:val="21"/>
                <w:lang w:val="en-US" w:eastAsia="zh-CN"/>
              </w:rPr>
              <w:t>产品</w:t>
            </w:r>
            <w:r>
              <w:rPr>
                <w:rFonts w:hint="eastAsia" w:ascii="宋体" w:hAnsi="宋体" w:eastAsia="宋体" w:cs="宋体"/>
                <w:kern w:val="0"/>
                <w:szCs w:val="21"/>
              </w:rPr>
              <w:t>如</w:t>
            </w:r>
            <w:r>
              <w:rPr>
                <w:rFonts w:hint="eastAsia" w:ascii="宋体" w:hAnsi="宋体" w:cs="宋体"/>
                <w:kern w:val="0"/>
                <w:szCs w:val="21"/>
                <w:lang w:val="en-US" w:eastAsia="zh-CN"/>
              </w:rPr>
              <w:t>有</w:t>
            </w:r>
            <w:r>
              <w:rPr>
                <w:rFonts w:hint="eastAsia" w:ascii="宋体" w:hAnsi="宋体" w:eastAsia="宋体" w:cs="宋体"/>
                <w:kern w:val="0"/>
                <w:szCs w:val="21"/>
              </w:rPr>
              <w:t>“节能产品政府采购品目清单”内的非政府强制采购节能产品</w:t>
            </w:r>
            <w:r>
              <w:rPr>
                <w:rFonts w:hint="eastAsia" w:ascii="宋体" w:hAnsi="宋体" w:cs="宋体"/>
                <w:kern w:val="0"/>
                <w:szCs w:val="21"/>
                <w:lang w:val="en-US" w:eastAsia="zh-CN"/>
              </w:rPr>
              <w:t>并获得认证证书</w:t>
            </w:r>
            <w:r>
              <w:rPr>
                <w:rFonts w:hint="eastAsia" w:ascii="宋体" w:hAnsi="宋体" w:eastAsia="宋体" w:cs="宋体"/>
                <w:kern w:val="0"/>
                <w:szCs w:val="21"/>
              </w:rPr>
              <w:t>的，</w:t>
            </w:r>
            <w:r>
              <w:rPr>
                <w:rFonts w:hint="eastAsia" w:ascii="宋体" w:hAnsi="宋体" w:cs="宋体"/>
                <w:kern w:val="0"/>
                <w:szCs w:val="21"/>
                <w:lang w:val="en-US" w:eastAsia="zh-CN"/>
              </w:rPr>
              <w:t>得0.5</w:t>
            </w:r>
            <w:r>
              <w:rPr>
                <w:rFonts w:hint="eastAsia" w:ascii="宋体" w:hAnsi="宋体" w:eastAsia="宋体" w:cs="宋体"/>
                <w:kern w:val="0"/>
                <w:szCs w:val="21"/>
              </w:rPr>
              <w:t>分。</w:t>
            </w:r>
          </w:p>
          <w:p w14:paraId="6B4266F3">
            <w:pPr>
              <w:adjustRightInd w:val="0"/>
              <w:snapToGrid w:val="0"/>
              <w:spacing w:line="360" w:lineRule="auto"/>
              <w:rPr>
                <w:rFonts w:hint="eastAsia" w:ascii="宋体" w:hAnsi="宋体" w:cs="宋体"/>
                <w:b/>
                <w:bCs/>
                <w:snapToGrid w:val="0"/>
                <w:color w:val="auto"/>
                <w:szCs w:val="21"/>
                <w:highlight w:val="lightGray"/>
                <w:lang w:bidi="zh-CN"/>
              </w:rPr>
            </w:pPr>
            <w:r>
              <w:rPr>
                <w:rFonts w:hint="eastAsia" w:ascii="宋体" w:hAnsi="宋体" w:cs="宋体"/>
                <w:kern w:val="0"/>
                <w:szCs w:val="21"/>
                <w:lang w:val="en-US" w:eastAsia="zh-CN"/>
              </w:rPr>
              <w:t>投标人</w:t>
            </w:r>
            <w:r>
              <w:rPr>
                <w:rFonts w:hint="eastAsia" w:ascii="宋体" w:hAnsi="宋体" w:eastAsia="宋体" w:cs="宋体"/>
                <w:kern w:val="0"/>
                <w:szCs w:val="21"/>
              </w:rPr>
              <w:t>须在投标文件中附该产品经国家确定的认证机构出具的、处于有效期之内的《国家节能产品认证证书》复印件，否则评标委员会有权不予认可。清单</w:t>
            </w:r>
            <w:r>
              <w:rPr>
                <w:rFonts w:hint="eastAsia" w:ascii="宋体" w:hAnsi="宋体" w:cs="宋体"/>
                <w:kern w:val="0"/>
                <w:szCs w:val="21"/>
                <w:lang w:val="en-US" w:eastAsia="zh-CN"/>
              </w:rPr>
              <w:t>见招标文件第二章 附件5</w:t>
            </w:r>
            <w:r>
              <w:rPr>
                <w:rFonts w:hint="eastAsia" w:ascii="宋体" w:hAnsi="宋体" w:eastAsia="宋体" w:cs="宋体"/>
                <w:kern w:val="0"/>
                <w:szCs w:val="21"/>
              </w:rPr>
              <w:t>。</w:t>
            </w:r>
          </w:p>
        </w:tc>
      </w:tr>
      <w:tr w14:paraId="46172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330" w:type="dxa"/>
            <w:vMerge w:val="continue"/>
            <w:noWrap w:val="0"/>
            <w:vAlign w:val="center"/>
          </w:tcPr>
          <w:p w14:paraId="51EDA4AF">
            <w:pPr>
              <w:adjustRightInd w:val="0"/>
              <w:snapToGrid w:val="0"/>
              <w:spacing w:line="360" w:lineRule="auto"/>
              <w:rPr>
                <w:rFonts w:hint="eastAsia" w:ascii="宋体" w:hAnsi="宋体" w:cs="宋体"/>
                <w:color w:val="auto"/>
                <w:szCs w:val="21"/>
                <w:highlight w:val="none"/>
              </w:rPr>
            </w:pPr>
          </w:p>
        </w:tc>
        <w:tc>
          <w:tcPr>
            <w:tcW w:w="1843" w:type="dxa"/>
            <w:noWrap w:val="0"/>
            <w:vAlign w:val="center"/>
          </w:tcPr>
          <w:p w14:paraId="74950EAC">
            <w:pPr>
              <w:spacing w:before="22" w:line="360" w:lineRule="auto"/>
              <w:ind w:right="-15" w:rightChars="0"/>
              <w:jc w:val="center"/>
              <w:rPr>
                <w:rFonts w:hint="eastAsia" w:ascii="宋体" w:hAnsi="宋体" w:cs="宋体"/>
                <w:color w:val="auto"/>
                <w:szCs w:val="21"/>
                <w:highlight w:val="none"/>
              </w:rPr>
            </w:pPr>
            <w:r>
              <w:rPr>
                <w:rFonts w:hint="eastAsia" w:ascii="宋体" w:hAnsi="宋体" w:eastAsia="宋体" w:cs="宋体"/>
                <w:color w:val="auto"/>
                <w:kern w:val="0"/>
                <w:szCs w:val="21"/>
              </w:rPr>
              <w:t>环保清单产品</w:t>
            </w:r>
            <w:r>
              <w:rPr>
                <w:rFonts w:hint="eastAsia" w:ascii="宋体" w:hAnsi="宋体" w:cs="宋体"/>
                <w:color w:val="auto"/>
                <w:kern w:val="0"/>
                <w:szCs w:val="21"/>
                <w:lang w:val="en-US" w:eastAsia="zh-CN"/>
              </w:rPr>
              <w:t xml:space="preserve">  </w:t>
            </w:r>
            <w:r>
              <w:rPr>
                <w:rFonts w:hint="eastAsia" w:ascii="宋体" w:hAnsi="宋体" w:eastAsia="宋体" w:cs="宋体"/>
                <w:color w:val="auto"/>
                <w:kern w:val="0"/>
                <w:szCs w:val="21"/>
              </w:rPr>
              <w:t>（</w:t>
            </w:r>
            <w:r>
              <w:rPr>
                <w:rFonts w:hint="eastAsia" w:ascii="宋体" w:hAnsi="宋体" w:cs="宋体"/>
                <w:color w:val="auto"/>
                <w:kern w:val="0"/>
                <w:szCs w:val="21"/>
                <w:lang w:val="en-US" w:eastAsia="zh-CN"/>
              </w:rPr>
              <w:t>0.5</w:t>
            </w:r>
            <w:r>
              <w:rPr>
                <w:rFonts w:hint="eastAsia" w:ascii="宋体" w:hAnsi="宋体" w:eastAsia="宋体" w:cs="宋体"/>
                <w:color w:val="auto"/>
                <w:kern w:val="0"/>
                <w:szCs w:val="21"/>
              </w:rPr>
              <w:t>分）</w:t>
            </w:r>
          </w:p>
        </w:tc>
        <w:tc>
          <w:tcPr>
            <w:tcW w:w="5828" w:type="dxa"/>
            <w:noWrap w:val="0"/>
            <w:vAlign w:val="center"/>
          </w:tcPr>
          <w:p w14:paraId="6B8C3A47">
            <w:pPr>
              <w:adjustRightInd w:val="0"/>
              <w:snapToGrid w:val="0"/>
              <w:spacing w:before="22" w:line="360" w:lineRule="auto"/>
              <w:ind w:right="-15"/>
              <w:rPr>
                <w:rFonts w:ascii="宋体" w:hAnsi="宋体" w:eastAsia="宋体" w:cs="宋体"/>
                <w:kern w:val="0"/>
                <w:szCs w:val="21"/>
              </w:rPr>
            </w:pPr>
            <w:r>
              <w:rPr>
                <w:rFonts w:hint="eastAsia" w:ascii="宋体" w:hAnsi="宋体" w:eastAsia="宋体" w:cs="宋体"/>
                <w:kern w:val="0"/>
                <w:szCs w:val="21"/>
              </w:rPr>
              <w:t>所投</w:t>
            </w:r>
            <w:r>
              <w:rPr>
                <w:rFonts w:hint="eastAsia" w:ascii="宋体" w:hAnsi="宋体" w:eastAsia="宋体" w:cs="宋体"/>
                <w:kern w:val="0"/>
                <w:szCs w:val="21"/>
                <w:lang w:val="en-US" w:eastAsia="zh-CN"/>
              </w:rPr>
              <w:t>产品</w:t>
            </w:r>
            <w:r>
              <w:rPr>
                <w:rFonts w:hint="eastAsia" w:ascii="宋体" w:hAnsi="宋体" w:eastAsia="宋体" w:cs="宋体"/>
                <w:kern w:val="0"/>
                <w:szCs w:val="21"/>
              </w:rPr>
              <w:t>如</w:t>
            </w:r>
            <w:r>
              <w:rPr>
                <w:rFonts w:hint="eastAsia" w:ascii="宋体" w:hAnsi="宋体" w:cs="宋体"/>
                <w:kern w:val="0"/>
                <w:szCs w:val="21"/>
                <w:lang w:val="en-US" w:eastAsia="zh-CN"/>
              </w:rPr>
              <w:t>有</w:t>
            </w:r>
            <w:r>
              <w:rPr>
                <w:rFonts w:hint="eastAsia" w:ascii="宋体" w:hAnsi="宋体" w:eastAsia="宋体" w:cs="宋体"/>
                <w:kern w:val="0"/>
                <w:szCs w:val="21"/>
              </w:rPr>
              <w:t>“环境标志产品政府采购品目清单”内的产品</w:t>
            </w:r>
            <w:r>
              <w:rPr>
                <w:rFonts w:hint="eastAsia" w:ascii="宋体" w:hAnsi="宋体" w:cs="宋体"/>
                <w:kern w:val="0"/>
                <w:szCs w:val="21"/>
                <w:lang w:val="en-US" w:eastAsia="zh-CN"/>
              </w:rPr>
              <w:t>并获得认证证书</w:t>
            </w:r>
            <w:r>
              <w:rPr>
                <w:rFonts w:hint="eastAsia" w:ascii="宋体" w:hAnsi="宋体" w:eastAsia="宋体" w:cs="宋体"/>
                <w:kern w:val="0"/>
                <w:szCs w:val="21"/>
              </w:rPr>
              <w:t>的，</w:t>
            </w:r>
            <w:r>
              <w:rPr>
                <w:rFonts w:hint="eastAsia" w:ascii="宋体" w:hAnsi="宋体" w:cs="宋体"/>
                <w:kern w:val="0"/>
                <w:szCs w:val="21"/>
                <w:lang w:val="en-US" w:eastAsia="zh-CN"/>
              </w:rPr>
              <w:t>得0.5</w:t>
            </w:r>
            <w:r>
              <w:rPr>
                <w:rFonts w:hint="eastAsia" w:ascii="宋体" w:hAnsi="宋体" w:eastAsia="宋体" w:cs="宋体"/>
                <w:kern w:val="0"/>
                <w:szCs w:val="21"/>
              </w:rPr>
              <w:t>分。</w:t>
            </w:r>
          </w:p>
          <w:p w14:paraId="4ED4BD52">
            <w:pPr>
              <w:adjustRightInd w:val="0"/>
              <w:snapToGrid w:val="0"/>
              <w:spacing w:before="22" w:line="360" w:lineRule="auto"/>
              <w:ind w:right="-15" w:rightChars="0"/>
              <w:rPr>
                <w:rFonts w:hint="eastAsia" w:ascii="宋体" w:hAnsi="宋体" w:cs="宋体"/>
                <w:b/>
                <w:bCs/>
                <w:snapToGrid w:val="0"/>
                <w:color w:val="auto"/>
                <w:szCs w:val="21"/>
                <w:highlight w:val="lightGray"/>
                <w:lang w:bidi="zh-CN"/>
              </w:rPr>
            </w:pPr>
            <w:r>
              <w:rPr>
                <w:rFonts w:hint="eastAsia" w:ascii="宋体" w:hAnsi="宋体" w:cs="宋体"/>
                <w:kern w:val="0"/>
                <w:szCs w:val="21"/>
                <w:lang w:val="en-US" w:eastAsia="zh-CN"/>
              </w:rPr>
              <w:t>投标人</w:t>
            </w:r>
            <w:r>
              <w:rPr>
                <w:rFonts w:hint="eastAsia" w:ascii="宋体" w:hAnsi="宋体" w:eastAsia="宋体" w:cs="宋体"/>
                <w:kern w:val="0"/>
                <w:szCs w:val="21"/>
              </w:rPr>
              <w:t>须在投标文件中附该产品经国家确定的认证机构出具的、处于有效期之内的《中国环境标志产品认证证书》复印件，否则评标委员会有权不予认可。清单</w:t>
            </w:r>
            <w:r>
              <w:rPr>
                <w:rFonts w:hint="eastAsia" w:ascii="宋体" w:hAnsi="宋体" w:cs="宋体"/>
                <w:kern w:val="0"/>
                <w:szCs w:val="21"/>
                <w:lang w:val="en-US" w:eastAsia="zh-CN"/>
              </w:rPr>
              <w:t>见招标文件第二章 附件4</w:t>
            </w:r>
            <w:r>
              <w:rPr>
                <w:rFonts w:hint="eastAsia" w:ascii="宋体" w:hAnsi="宋体" w:eastAsia="宋体" w:cs="宋体"/>
                <w:kern w:val="0"/>
                <w:szCs w:val="21"/>
              </w:rPr>
              <w:t>。</w:t>
            </w:r>
          </w:p>
        </w:tc>
      </w:tr>
      <w:tr w14:paraId="1A8D1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330" w:type="dxa"/>
            <w:vMerge w:val="restart"/>
            <w:noWrap w:val="0"/>
            <w:vAlign w:val="center"/>
          </w:tcPr>
          <w:p w14:paraId="3CE555B8">
            <w:pPr>
              <w:adjustRightInd w:val="0"/>
              <w:snapToGrid w:val="0"/>
              <w:spacing w:line="360" w:lineRule="auto"/>
              <w:rPr>
                <w:rFonts w:hint="eastAsia" w:ascii="宋体" w:hAnsi="宋体" w:cs="宋体"/>
                <w:color w:val="auto"/>
                <w:szCs w:val="21"/>
                <w:highlight w:val="none"/>
              </w:rPr>
            </w:pPr>
          </w:p>
          <w:p w14:paraId="5663F0A4">
            <w:pPr>
              <w:adjustRightInd w:val="0"/>
              <w:snapToGrid w:val="0"/>
              <w:spacing w:line="360" w:lineRule="auto"/>
              <w:rPr>
                <w:rFonts w:hint="eastAsia" w:ascii="宋体" w:hAnsi="宋体" w:cs="宋体"/>
                <w:color w:val="auto"/>
                <w:szCs w:val="21"/>
                <w:highlight w:val="none"/>
              </w:rPr>
            </w:pPr>
          </w:p>
          <w:p w14:paraId="0994ADFB">
            <w:pPr>
              <w:adjustRightInd w:val="0"/>
              <w:snapToGrid w:val="0"/>
              <w:spacing w:line="360" w:lineRule="auto"/>
              <w:rPr>
                <w:rFonts w:hint="eastAsia" w:ascii="宋体" w:hAnsi="宋体" w:cs="宋体"/>
                <w:color w:val="auto"/>
                <w:szCs w:val="21"/>
                <w:highlight w:val="none"/>
              </w:rPr>
            </w:pPr>
          </w:p>
          <w:p w14:paraId="53E5C233">
            <w:pPr>
              <w:adjustRightInd w:val="0"/>
              <w:snapToGrid w:val="0"/>
              <w:spacing w:line="360" w:lineRule="auto"/>
              <w:rPr>
                <w:rFonts w:hint="eastAsia" w:ascii="宋体" w:hAnsi="宋体" w:cs="宋体"/>
                <w:color w:val="auto"/>
                <w:szCs w:val="21"/>
                <w:highlight w:val="none"/>
              </w:rPr>
            </w:pPr>
          </w:p>
          <w:p w14:paraId="7AA8A9BE">
            <w:pPr>
              <w:adjustRightInd w:val="0"/>
              <w:snapToGrid w:val="0"/>
              <w:spacing w:line="360" w:lineRule="auto"/>
              <w:rPr>
                <w:rFonts w:hint="eastAsia" w:ascii="宋体" w:hAnsi="宋体" w:cs="宋体"/>
                <w:color w:val="auto"/>
                <w:szCs w:val="21"/>
                <w:highlight w:val="none"/>
              </w:rPr>
            </w:pPr>
          </w:p>
          <w:p w14:paraId="5BD9F4DE">
            <w:pPr>
              <w:adjustRightInd w:val="0"/>
              <w:snapToGrid w:val="0"/>
              <w:spacing w:line="360" w:lineRule="auto"/>
              <w:rPr>
                <w:rFonts w:hint="eastAsia" w:ascii="宋体" w:hAnsi="宋体" w:cs="宋体"/>
                <w:color w:val="auto"/>
                <w:szCs w:val="21"/>
                <w:highlight w:val="none"/>
              </w:rPr>
            </w:pPr>
          </w:p>
          <w:p w14:paraId="607BF4B5">
            <w:pPr>
              <w:adjustRightInd w:val="0"/>
              <w:snapToGrid w:val="0"/>
              <w:spacing w:line="360" w:lineRule="auto"/>
              <w:rPr>
                <w:rFonts w:hint="eastAsia" w:ascii="宋体" w:hAnsi="宋体" w:cs="宋体"/>
                <w:color w:val="auto"/>
                <w:szCs w:val="21"/>
                <w:highlight w:val="none"/>
              </w:rPr>
            </w:pPr>
          </w:p>
          <w:p w14:paraId="12E2A48D">
            <w:pP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技术部分</w:t>
            </w:r>
          </w:p>
          <w:p w14:paraId="1EB38999">
            <w:pP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w:t>
            </w:r>
            <w:r>
              <w:rPr>
                <w:rFonts w:hint="default" w:ascii="宋体" w:hAnsi="宋体" w:cs="宋体"/>
                <w:color w:val="auto"/>
                <w:szCs w:val="21"/>
                <w:highlight w:val="none"/>
                <w:lang w:val="en-US" w:eastAsia="zh-CN"/>
              </w:rPr>
              <w:t>4</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分)</w:t>
            </w:r>
          </w:p>
        </w:tc>
        <w:tc>
          <w:tcPr>
            <w:tcW w:w="1843" w:type="dxa"/>
            <w:noWrap w:val="0"/>
            <w:vAlign w:val="center"/>
          </w:tcPr>
          <w:p w14:paraId="548A08A2">
            <w:pPr>
              <w:adjustRightInd w:val="0"/>
              <w:snapToGrid w:val="0"/>
              <w:spacing w:line="360" w:lineRule="auto"/>
              <w:jc w:val="center"/>
              <w:rPr>
                <w:rFonts w:ascii="宋体" w:hAnsi="宋体" w:cs="宋体"/>
                <w:b w:val="0"/>
                <w:bCs w:val="0"/>
                <w:color w:val="auto"/>
                <w:szCs w:val="21"/>
                <w:highlight w:val="none"/>
              </w:rPr>
            </w:pPr>
            <w:r>
              <w:rPr>
                <w:rFonts w:hint="eastAsia" w:ascii="宋体" w:hAnsi="宋体" w:cs="宋体"/>
                <w:b w:val="0"/>
                <w:bCs w:val="0"/>
                <w:color w:val="auto"/>
                <w:szCs w:val="21"/>
                <w:highlight w:val="none"/>
              </w:rPr>
              <w:t>技术参数</w:t>
            </w:r>
          </w:p>
          <w:p w14:paraId="18AF7790">
            <w:pPr>
              <w:adjustRightInd w:val="0"/>
              <w:snapToGrid w:val="0"/>
              <w:spacing w:line="360" w:lineRule="auto"/>
              <w:jc w:val="center"/>
              <w:rPr>
                <w:rFonts w:ascii="宋体" w:hAnsi="宋体" w:cs="宋体"/>
                <w:b w:val="0"/>
                <w:bCs w:val="0"/>
                <w:color w:val="auto"/>
                <w:szCs w:val="21"/>
                <w:highlight w:val="none"/>
              </w:rPr>
            </w:pPr>
            <w:r>
              <w:rPr>
                <w:rFonts w:hint="eastAsia" w:ascii="宋体" w:hAnsi="宋体" w:cs="宋体"/>
                <w:b w:val="0"/>
                <w:bCs w:val="0"/>
                <w:color w:val="auto"/>
                <w:szCs w:val="21"/>
                <w:highlight w:val="none"/>
              </w:rPr>
              <w:t>响应情况</w:t>
            </w:r>
          </w:p>
          <w:p w14:paraId="7A847362">
            <w:pPr>
              <w:adjustRightInd w:val="0"/>
              <w:snapToGrid w:val="0"/>
              <w:spacing w:line="360" w:lineRule="auto"/>
              <w:ind w:left="0" w:leftChars="0" w:firstLine="0" w:firstLineChars="0"/>
              <w:jc w:val="center"/>
              <w:rPr>
                <w:rFonts w:ascii="宋体" w:hAnsi="宋体" w:cs="宋体"/>
                <w:color w:val="auto"/>
                <w:szCs w:val="21"/>
                <w:highlight w:val="none"/>
              </w:rPr>
            </w:pPr>
            <w:r>
              <w:rPr>
                <w:rFonts w:hint="eastAsia" w:ascii="宋体" w:hAnsi="宋体" w:cs="宋体"/>
                <w:b w:val="0"/>
                <w:bCs w:val="0"/>
                <w:color w:val="auto"/>
                <w:szCs w:val="21"/>
                <w:highlight w:val="none"/>
              </w:rPr>
              <w:t>（</w:t>
            </w:r>
            <w:r>
              <w:rPr>
                <w:rFonts w:hint="default" w:ascii="宋体" w:hAnsi="宋体" w:cs="宋体"/>
                <w:b w:val="0"/>
                <w:bCs w:val="0"/>
                <w:color w:val="auto"/>
                <w:szCs w:val="21"/>
                <w:highlight w:val="none"/>
                <w:lang w:val="en-US" w:eastAsia="zh-CN"/>
              </w:rPr>
              <w:t>34</w:t>
            </w:r>
            <w:r>
              <w:rPr>
                <w:rFonts w:hint="eastAsia" w:ascii="宋体" w:hAnsi="宋体" w:cs="宋体"/>
                <w:b w:val="0"/>
                <w:bCs w:val="0"/>
                <w:color w:val="auto"/>
                <w:szCs w:val="21"/>
                <w:highlight w:val="none"/>
              </w:rPr>
              <w:t>分）</w:t>
            </w:r>
          </w:p>
        </w:tc>
        <w:tc>
          <w:tcPr>
            <w:tcW w:w="5828" w:type="dxa"/>
            <w:noWrap w:val="0"/>
            <w:vAlign w:val="center"/>
          </w:tcPr>
          <w:p w14:paraId="0A66E6D9">
            <w:pPr>
              <w:autoSpaceDE w:val="0"/>
              <w:autoSpaceDN w:val="0"/>
              <w:adjustRightInd w:val="0"/>
              <w:snapToGrid w:val="0"/>
              <w:spacing w:line="360" w:lineRule="auto"/>
              <w:rPr>
                <w:rFonts w:ascii="宋体" w:hAnsi="宋体" w:cs="宋体"/>
                <w:b/>
                <w:bCs/>
                <w:snapToGrid w:val="0"/>
                <w:color w:val="auto"/>
                <w:szCs w:val="21"/>
                <w:highlight w:val="none"/>
                <w:lang w:bidi="zh-CN"/>
              </w:rPr>
            </w:pPr>
            <w:r>
              <w:rPr>
                <w:rFonts w:hint="eastAsia" w:ascii="宋体" w:hAnsi="宋体" w:cs="宋体"/>
                <w:b/>
                <w:bCs/>
                <w:snapToGrid w:val="0"/>
                <w:color w:val="auto"/>
                <w:szCs w:val="21"/>
                <w:highlight w:val="none"/>
                <w:lang w:bidi="zh-CN"/>
              </w:rPr>
              <w:t>（1）</w:t>
            </w:r>
            <w:r>
              <w:rPr>
                <w:rFonts w:hint="eastAsia"/>
                <w:b/>
                <w:bCs/>
                <w:color w:val="auto"/>
                <w:highlight w:val="none"/>
              </w:rPr>
              <w:t>技术参数中</w:t>
            </w:r>
            <w:r>
              <w:rPr>
                <w:rFonts w:hint="eastAsia" w:ascii="宋体" w:hAnsi="宋体" w:cs="宋体"/>
                <w:b/>
                <w:bCs/>
                <w:snapToGrid w:val="0"/>
                <w:color w:val="auto"/>
                <w:szCs w:val="21"/>
                <w:highlight w:val="none"/>
                <w:lang w:bidi="zh-CN"/>
              </w:rPr>
              <w:t>标“★”（</w:t>
            </w:r>
            <w:r>
              <w:rPr>
                <w:rFonts w:hint="eastAsia" w:ascii="宋体" w:hAnsi="宋体" w:cs="宋体"/>
                <w:b/>
                <w:bCs/>
                <w:snapToGrid w:val="0"/>
                <w:color w:val="auto"/>
                <w:szCs w:val="21"/>
                <w:highlight w:val="none"/>
                <w:lang w:val="en-US" w:bidi="zh-CN"/>
              </w:rPr>
              <w:t>9项</w:t>
            </w:r>
            <w:r>
              <w:rPr>
                <w:rFonts w:hint="eastAsia" w:ascii="宋体" w:hAnsi="宋体" w:cs="宋体"/>
                <w:b/>
                <w:bCs/>
                <w:snapToGrid w:val="0"/>
                <w:color w:val="auto"/>
                <w:szCs w:val="21"/>
                <w:highlight w:val="none"/>
                <w:lang w:bidi="zh-CN"/>
              </w:rPr>
              <w:t>）</w:t>
            </w:r>
            <w:r>
              <w:rPr>
                <w:rFonts w:hint="eastAsia" w:ascii="宋体" w:hAnsi="宋体" w:cs="宋体"/>
                <w:b/>
                <w:bCs/>
                <w:snapToGrid w:val="0"/>
                <w:color w:val="auto"/>
                <w:szCs w:val="21"/>
                <w:highlight w:val="none"/>
                <w:lang w:val="en-US" w:bidi="zh-CN"/>
              </w:rPr>
              <w:t>是</w:t>
            </w:r>
            <w:r>
              <w:rPr>
                <w:rFonts w:hint="eastAsia" w:ascii="宋体" w:hAnsi="宋体" w:cs="宋体"/>
                <w:b/>
                <w:bCs/>
                <w:snapToGrid w:val="0"/>
                <w:color w:val="auto"/>
                <w:szCs w:val="21"/>
                <w:highlight w:val="none"/>
                <w:lang w:bidi="zh-CN"/>
              </w:rPr>
              <w:t>不允许负偏离的实质性技术要求，有一项负偏离则为无效投标；</w:t>
            </w:r>
          </w:p>
          <w:p w14:paraId="3AA5DBB5">
            <w:pPr>
              <w:autoSpaceDE w:val="0"/>
              <w:autoSpaceDN w:val="0"/>
              <w:adjustRightInd w:val="0"/>
              <w:snapToGrid w:val="0"/>
              <w:spacing w:line="360" w:lineRule="auto"/>
              <w:rPr>
                <w:b/>
                <w:bCs/>
                <w:color w:val="auto"/>
                <w:highlight w:val="none"/>
              </w:rPr>
            </w:pPr>
            <w:r>
              <w:rPr>
                <w:rFonts w:hint="eastAsia" w:ascii="宋体" w:hAnsi="宋体" w:cs="宋体"/>
                <w:b/>
                <w:bCs/>
                <w:snapToGrid w:val="0"/>
                <w:color w:val="auto"/>
                <w:szCs w:val="21"/>
                <w:highlight w:val="none"/>
                <w:lang w:bidi="zh-CN"/>
              </w:rPr>
              <w:t>（2）</w:t>
            </w:r>
            <w:r>
              <w:rPr>
                <w:rFonts w:hint="eastAsia"/>
                <w:b/>
                <w:bCs/>
                <w:color w:val="auto"/>
                <w:highlight w:val="none"/>
              </w:rPr>
              <w:t>技术参数中标</w:t>
            </w:r>
            <w:r>
              <w:rPr>
                <w:b/>
                <w:bCs/>
                <w:color w:val="auto"/>
                <w:highlight w:val="none"/>
              </w:rPr>
              <w:t>“</w:t>
            </w:r>
            <w:r>
              <w:rPr>
                <w:rFonts w:hint="eastAsia"/>
                <w:b/>
                <w:bCs/>
                <w:color w:val="auto"/>
                <w:highlight w:val="none"/>
                <w:lang w:eastAsia="zh-CN"/>
              </w:rPr>
              <w:t>#</w:t>
            </w:r>
            <w:r>
              <w:rPr>
                <w:b/>
                <w:bCs/>
                <w:color w:val="auto"/>
                <w:highlight w:val="none"/>
              </w:rPr>
              <w:t>”</w:t>
            </w:r>
            <w:r>
              <w:rPr>
                <w:rFonts w:hint="eastAsia"/>
                <w:b/>
                <w:bCs/>
                <w:color w:val="auto"/>
                <w:highlight w:val="none"/>
              </w:rPr>
              <w:t>号条款是重要技术条款，每有一项满足技术参数要求的</w:t>
            </w:r>
            <w:r>
              <w:rPr>
                <w:rFonts w:hint="eastAsia"/>
                <w:b/>
                <w:bCs/>
                <w:color w:val="auto"/>
                <w:highlight w:val="none"/>
                <w:lang w:eastAsia="zh-CN"/>
              </w:rPr>
              <w:t>得</w:t>
            </w:r>
            <w:r>
              <w:rPr>
                <w:rFonts w:hint="default"/>
                <w:b/>
                <w:bCs/>
                <w:color w:val="auto"/>
                <w:highlight w:val="none"/>
                <w:lang w:val="en-US" w:eastAsia="zh-CN"/>
              </w:rPr>
              <w:t>4</w:t>
            </w:r>
            <w:r>
              <w:rPr>
                <w:rFonts w:hint="eastAsia"/>
                <w:b/>
                <w:bCs/>
                <w:color w:val="auto"/>
                <w:highlight w:val="none"/>
                <w:lang w:val="en-US" w:eastAsia="zh-CN"/>
              </w:rPr>
              <w:t>分，共3项，</w:t>
            </w:r>
            <w:r>
              <w:rPr>
                <w:rFonts w:hint="eastAsia"/>
                <w:b/>
                <w:bCs/>
                <w:color w:val="auto"/>
                <w:highlight w:val="none"/>
              </w:rPr>
              <w:t>满分</w:t>
            </w:r>
            <w:r>
              <w:rPr>
                <w:rFonts w:hint="default"/>
                <w:b/>
                <w:bCs/>
                <w:color w:val="auto"/>
                <w:highlight w:val="none"/>
                <w:lang w:val="en-US" w:eastAsia="zh-CN"/>
              </w:rPr>
              <w:t>12</w:t>
            </w:r>
            <w:r>
              <w:rPr>
                <w:rFonts w:hint="eastAsia"/>
                <w:b/>
                <w:bCs/>
                <w:color w:val="auto"/>
                <w:highlight w:val="none"/>
              </w:rPr>
              <w:t>分。</w:t>
            </w:r>
          </w:p>
          <w:p w14:paraId="1BA8ED51">
            <w:pPr>
              <w:autoSpaceDE w:val="0"/>
              <w:autoSpaceDN w:val="0"/>
              <w:adjustRightInd w:val="0"/>
              <w:snapToGrid w:val="0"/>
              <w:spacing w:line="360" w:lineRule="auto"/>
              <w:rPr>
                <w:rFonts w:ascii="宋体" w:hAnsi="宋体" w:cs="宋体"/>
                <w:b/>
                <w:bCs/>
                <w:snapToGrid w:val="0"/>
                <w:color w:val="auto"/>
                <w:szCs w:val="21"/>
                <w:highlight w:val="none"/>
                <w:lang w:bidi="zh-CN"/>
              </w:rPr>
            </w:pPr>
            <w:r>
              <w:rPr>
                <w:rFonts w:hint="eastAsia" w:ascii="宋体" w:hAnsi="宋体" w:cs="宋体"/>
                <w:b/>
                <w:bCs/>
                <w:snapToGrid w:val="0"/>
                <w:color w:val="auto"/>
                <w:szCs w:val="21"/>
                <w:highlight w:val="none"/>
                <w:lang w:bidi="zh-CN"/>
              </w:rPr>
              <w:t>（3）未标注“★”和</w:t>
            </w:r>
            <w:r>
              <w:rPr>
                <w:b/>
                <w:bCs/>
                <w:color w:val="auto"/>
                <w:highlight w:val="none"/>
              </w:rPr>
              <w:t>“</w:t>
            </w:r>
            <w:r>
              <w:rPr>
                <w:rFonts w:hint="eastAsia"/>
                <w:b/>
                <w:bCs/>
                <w:color w:val="auto"/>
                <w:highlight w:val="none"/>
                <w:lang w:eastAsia="zh-CN"/>
              </w:rPr>
              <w:t>#</w:t>
            </w:r>
            <w:r>
              <w:rPr>
                <w:b/>
                <w:bCs/>
                <w:color w:val="auto"/>
                <w:highlight w:val="none"/>
              </w:rPr>
              <w:t>”</w:t>
            </w:r>
            <w:r>
              <w:rPr>
                <w:rFonts w:hint="eastAsia"/>
                <w:b/>
                <w:bCs/>
                <w:color w:val="auto"/>
                <w:highlight w:val="none"/>
              </w:rPr>
              <w:t>号条款</w:t>
            </w:r>
            <w:r>
              <w:rPr>
                <w:rFonts w:hint="eastAsia" w:ascii="宋体" w:hAnsi="宋体" w:cs="宋体"/>
                <w:b/>
                <w:bCs/>
                <w:snapToGrid w:val="0"/>
                <w:color w:val="auto"/>
                <w:szCs w:val="21"/>
                <w:highlight w:val="none"/>
                <w:lang w:bidi="zh-CN"/>
              </w:rPr>
              <w:t>为一般技术参数，每有一项满足技术参数要求的，得</w:t>
            </w:r>
            <w:r>
              <w:rPr>
                <w:rFonts w:hint="eastAsia" w:ascii="宋体" w:hAnsi="宋体" w:cs="宋体"/>
                <w:b/>
                <w:bCs/>
                <w:snapToGrid w:val="0"/>
                <w:color w:val="auto"/>
                <w:szCs w:val="21"/>
                <w:highlight w:val="none"/>
                <w:lang w:val="en-US" w:bidi="zh-CN"/>
              </w:rPr>
              <w:t>0.5</w:t>
            </w:r>
            <w:r>
              <w:rPr>
                <w:rFonts w:hint="eastAsia" w:ascii="宋体" w:hAnsi="宋体" w:cs="宋体"/>
                <w:b/>
                <w:bCs/>
                <w:snapToGrid w:val="0"/>
                <w:color w:val="auto"/>
                <w:szCs w:val="21"/>
                <w:highlight w:val="none"/>
                <w:lang w:bidi="zh-CN"/>
              </w:rPr>
              <w:t>分，共</w:t>
            </w:r>
            <w:r>
              <w:rPr>
                <w:rFonts w:hint="eastAsia" w:ascii="宋体" w:hAnsi="宋体" w:cs="宋体"/>
                <w:b/>
                <w:bCs/>
                <w:snapToGrid w:val="0"/>
                <w:color w:val="auto"/>
                <w:szCs w:val="21"/>
                <w:highlight w:val="none"/>
                <w:lang w:val="en-US" w:bidi="zh-CN"/>
              </w:rPr>
              <w:t>44项，</w:t>
            </w:r>
            <w:r>
              <w:rPr>
                <w:rFonts w:hint="eastAsia" w:ascii="宋体" w:hAnsi="宋体" w:cs="宋体"/>
                <w:b/>
                <w:bCs/>
                <w:snapToGrid w:val="0"/>
                <w:color w:val="auto"/>
                <w:szCs w:val="21"/>
                <w:highlight w:val="none"/>
                <w:lang w:bidi="zh-CN"/>
              </w:rPr>
              <w:t>满分</w:t>
            </w:r>
            <w:r>
              <w:rPr>
                <w:rFonts w:hint="eastAsia" w:ascii="宋体" w:hAnsi="宋体" w:cs="宋体"/>
                <w:b/>
                <w:bCs/>
                <w:snapToGrid w:val="0"/>
                <w:color w:val="auto"/>
                <w:szCs w:val="21"/>
                <w:highlight w:val="none"/>
                <w:lang w:val="en-US" w:bidi="zh-CN"/>
              </w:rPr>
              <w:t>22</w:t>
            </w:r>
            <w:r>
              <w:rPr>
                <w:rFonts w:hint="eastAsia" w:ascii="宋体" w:hAnsi="宋体" w:cs="宋体"/>
                <w:b/>
                <w:bCs/>
                <w:snapToGrid w:val="0"/>
                <w:color w:val="auto"/>
                <w:szCs w:val="21"/>
                <w:highlight w:val="none"/>
                <w:lang w:bidi="zh-CN"/>
              </w:rPr>
              <w:t>分。</w:t>
            </w:r>
          </w:p>
          <w:p w14:paraId="0F87C583">
            <w:pPr>
              <w:autoSpaceDE w:val="0"/>
              <w:autoSpaceDN w:val="0"/>
              <w:adjustRightInd w:val="0"/>
              <w:snapToGrid w:val="0"/>
              <w:spacing w:line="360" w:lineRule="auto"/>
              <w:rPr>
                <w:rFonts w:hint="eastAsia" w:ascii="宋体" w:hAnsi="宋体" w:cs="宋体"/>
                <w:b/>
                <w:bCs/>
                <w:snapToGrid w:val="0"/>
                <w:color w:val="FF0000"/>
                <w:szCs w:val="21"/>
                <w:lang w:bidi="zh-CN"/>
              </w:rPr>
            </w:pPr>
            <w:r>
              <w:rPr>
                <w:rFonts w:hint="eastAsia" w:ascii="宋体" w:hAnsi="宋体" w:cs="宋体"/>
                <w:snapToGrid w:val="0"/>
                <w:szCs w:val="21"/>
                <w:lang w:bidi="zh-CN"/>
              </w:rPr>
              <w:t>注意：投标人必须对招标文件采购需求中列明的技术要求内容作出一对一应答，要求真实、准确，应答要有具体内容，并在投标文件格式“《技术偏离表》”中的“偏离说明”处填写“正偏离或无偏离或负偏离”</w:t>
            </w:r>
            <w:r>
              <w:rPr>
                <w:rFonts w:hint="eastAsia" w:ascii="宋体" w:hAnsi="宋体" w:cs="宋体"/>
                <w:b w:val="0"/>
                <w:bCs w:val="0"/>
                <w:snapToGrid w:val="0"/>
                <w:color w:val="auto"/>
                <w:szCs w:val="21"/>
                <w:lang w:bidi="zh-CN"/>
              </w:rPr>
              <w:t>。技术参数条款需要提供相关证明材料</w:t>
            </w:r>
            <w:r>
              <w:rPr>
                <w:rFonts w:hint="eastAsia" w:ascii="宋体" w:hAnsi="宋体" w:cs="宋体"/>
                <w:b w:val="0"/>
                <w:bCs w:val="0"/>
                <w:snapToGrid w:val="0"/>
                <w:color w:val="auto"/>
                <w:szCs w:val="21"/>
                <w:lang w:val="en-US" w:bidi="zh-CN"/>
              </w:rPr>
              <w:t>的</w:t>
            </w:r>
            <w:r>
              <w:rPr>
                <w:rFonts w:hint="eastAsia" w:ascii="宋体" w:hAnsi="宋体" w:cs="宋体"/>
                <w:b w:val="0"/>
                <w:bCs w:val="0"/>
                <w:snapToGrid w:val="0"/>
                <w:color w:val="auto"/>
                <w:szCs w:val="21"/>
                <w:lang w:bidi="zh-CN"/>
              </w:rPr>
              <w:t>，在“《技术偏离表》</w:t>
            </w:r>
            <w:r>
              <w:rPr>
                <w:rFonts w:hint="eastAsia" w:ascii="宋体" w:hAnsi="宋体" w:cs="宋体"/>
                <w:snapToGrid w:val="0"/>
                <w:szCs w:val="21"/>
                <w:lang w:bidi="zh-CN"/>
              </w:rPr>
              <w:t>”中“技术偏离索引”处列明在投标文件第</w:t>
            </w:r>
            <w:r>
              <w:rPr>
                <w:rFonts w:hint="eastAsia" w:ascii="宋体" w:hAnsi="宋体" w:cs="宋体"/>
                <w:snapToGrid w:val="0"/>
                <w:szCs w:val="21"/>
                <w:u w:val="single"/>
                <w:lang w:bidi="zh-CN"/>
              </w:rPr>
              <w:t xml:space="preserve">   </w:t>
            </w:r>
            <w:r>
              <w:rPr>
                <w:rFonts w:hint="eastAsia" w:ascii="宋体" w:hAnsi="宋体" w:cs="宋体"/>
                <w:snapToGrid w:val="0"/>
                <w:szCs w:val="21"/>
                <w:lang w:bidi="zh-CN"/>
              </w:rPr>
              <w:t>页，并在该页面相应位置做出醒目标注，评委未找到“正偏离或无偏离或负偏离”依据的，可将该项视为负偏离。</w:t>
            </w:r>
            <w:r>
              <w:rPr>
                <w:rFonts w:hint="eastAsia" w:ascii="宋体" w:hAnsi="宋体" w:cs="宋体"/>
                <w:b/>
                <w:bCs/>
                <w:snapToGrid w:val="0"/>
                <w:szCs w:val="21"/>
                <w:lang w:bidi="zh-CN"/>
              </w:rPr>
              <w:t>不需要提供证明材料</w:t>
            </w:r>
            <w:r>
              <w:rPr>
                <w:rFonts w:hint="eastAsia" w:ascii="宋体" w:hAnsi="宋体" w:cs="宋体"/>
                <w:b/>
                <w:bCs/>
                <w:snapToGrid w:val="0"/>
                <w:szCs w:val="21"/>
                <w:lang w:val="en-US" w:bidi="zh-CN"/>
              </w:rPr>
              <w:t>的</w:t>
            </w:r>
            <w:r>
              <w:rPr>
                <w:rFonts w:hint="eastAsia" w:ascii="宋体" w:hAnsi="宋体" w:cs="宋体"/>
                <w:b/>
                <w:bCs/>
                <w:snapToGrid w:val="0"/>
                <w:szCs w:val="21"/>
                <w:lang w:bidi="zh-CN"/>
              </w:rPr>
              <w:t>技术参数以偏离表中响应结果为评审依据。</w:t>
            </w:r>
          </w:p>
          <w:p w14:paraId="77CA8344">
            <w:pPr>
              <w:autoSpaceDE w:val="0"/>
              <w:autoSpaceDN w:val="0"/>
              <w:adjustRightInd w:val="0"/>
              <w:snapToGrid w:val="0"/>
              <w:spacing w:line="360" w:lineRule="auto"/>
              <w:rPr>
                <w:rFonts w:ascii="宋体" w:hAnsi="宋体" w:cs="宋体"/>
                <w:color w:val="auto"/>
                <w:spacing w:val="2"/>
                <w:kern w:val="0"/>
                <w:szCs w:val="21"/>
                <w:highlight w:val="none"/>
              </w:rPr>
            </w:pPr>
            <w:r>
              <w:rPr>
                <w:rFonts w:hint="eastAsia" w:ascii="宋体" w:hAnsi="宋体" w:cs="宋体"/>
                <w:b/>
                <w:bCs/>
                <w:snapToGrid w:val="0"/>
                <w:szCs w:val="21"/>
                <w:lang w:bidi="zh-CN"/>
              </w:rPr>
              <w:t>相关证明材料可以是文字资料、图表、数据、证书、检测（检验）报告、技术白皮书、产品彩页、截图证明等资料。“第五章</w:t>
            </w:r>
            <w:r>
              <w:rPr>
                <w:rFonts w:hint="eastAsia" w:ascii="宋体" w:hAnsi="宋体" w:cs="宋体"/>
                <w:b/>
                <w:bCs/>
                <w:snapToGrid w:val="0"/>
                <w:szCs w:val="21"/>
                <w:lang w:val="en-US" w:bidi="zh-CN"/>
              </w:rPr>
              <w:t xml:space="preserve"> </w:t>
            </w:r>
            <w:r>
              <w:rPr>
                <w:rFonts w:hint="eastAsia" w:ascii="宋体" w:hAnsi="宋体" w:cs="宋体"/>
                <w:b/>
                <w:bCs/>
                <w:snapToGrid w:val="0"/>
                <w:szCs w:val="21"/>
                <w:lang w:bidi="zh-CN"/>
              </w:rPr>
              <w:t>采购需求”中对技术参数的技术证明文件有要求的，以要求为准。</w:t>
            </w:r>
          </w:p>
        </w:tc>
      </w:tr>
      <w:tr w14:paraId="10885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330" w:type="dxa"/>
            <w:vMerge w:val="continue"/>
            <w:noWrap w:val="0"/>
            <w:vAlign w:val="center"/>
          </w:tcPr>
          <w:p w14:paraId="4EA43649">
            <w:pPr>
              <w:adjustRightInd w:val="0"/>
              <w:snapToGrid w:val="0"/>
              <w:spacing w:line="360" w:lineRule="auto"/>
              <w:ind w:firstLine="210" w:firstLineChars="100"/>
              <w:rPr>
                <w:rFonts w:hint="eastAsia" w:ascii="宋体" w:hAnsi="宋体" w:cs="宋体"/>
                <w:color w:val="auto"/>
                <w:szCs w:val="21"/>
                <w:highlight w:val="none"/>
              </w:rPr>
            </w:pPr>
          </w:p>
        </w:tc>
        <w:tc>
          <w:tcPr>
            <w:tcW w:w="1843" w:type="dxa"/>
            <w:noWrap w:val="0"/>
            <w:vAlign w:val="center"/>
          </w:tcPr>
          <w:p w14:paraId="5E1EB334">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zh-CN"/>
              </w:rPr>
              <w:t>供货、安装、调试</w:t>
            </w:r>
            <w:r>
              <w:rPr>
                <w:rFonts w:hint="eastAsia" w:ascii="宋体" w:hAnsi="宋体" w:cs="宋体"/>
                <w:sz w:val="21"/>
                <w:szCs w:val="21"/>
                <w:highlight w:val="none"/>
                <w:lang w:val="en-US" w:eastAsia="zh-CN"/>
              </w:rPr>
              <w:t>方案</w:t>
            </w:r>
          </w:p>
          <w:p w14:paraId="250A941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zh-CN"/>
              </w:rPr>
              <w:t>（</w:t>
            </w:r>
            <w:r>
              <w:rPr>
                <w:rFonts w:hint="default" w:ascii="宋体" w:hAnsi="宋体" w:cs="宋体"/>
                <w:sz w:val="21"/>
                <w:szCs w:val="21"/>
                <w:highlight w:val="none"/>
                <w:lang w:val="en-US" w:eastAsia="zh-CN"/>
              </w:rPr>
              <w:t>6</w:t>
            </w:r>
            <w:r>
              <w:rPr>
                <w:rFonts w:hint="eastAsia" w:ascii="宋体" w:hAnsi="宋体" w:eastAsia="宋体" w:cs="宋体"/>
                <w:sz w:val="21"/>
                <w:szCs w:val="21"/>
                <w:highlight w:val="none"/>
              </w:rPr>
              <w:t>分</w:t>
            </w:r>
            <w:r>
              <w:rPr>
                <w:rFonts w:hint="eastAsia" w:ascii="宋体" w:hAnsi="宋体" w:eastAsia="宋体" w:cs="宋体"/>
                <w:sz w:val="21"/>
                <w:szCs w:val="21"/>
                <w:highlight w:val="none"/>
                <w:lang w:val="zh-CN"/>
              </w:rPr>
              <w:t>）</w:t>
            </w:r>
          </w:p>
        </w:tc>
        <w:tc>
          <w:tcPr>
            <w:tcW w:w="5828" w:type="dxa"/>
            <w:noWrap w:val="0"/>
            <w:vAlign w:val="center"/>
          </w:tcPr>
          <w:p w14:paraId="54569915">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供货、安装、调试</w:t>
            </w:r>
            <w:r>
              <w:rPr>
                <w:rFonts w:hint="eastAsia" w:ascii="宋体" w:hAnsi="宋体" w:cs="宋体"/>
                <w:sz w:val="21"/>
                <w:szCs w:val="21"/>
                <w:highlight w:val="none"/>
                <w:lang w:val="en-US" w:eastAsia="zh-CN"/>
              </w:rPr>
              <w:t>方案</w:t>
            </w:r>
            <w:r>
              <w:rPr>
                <w:rFonts w:hint="eastAsia" w:ascii="宋体" w:hAnsi="宋体" w:eastAsia="宋体" w:cs="宋体"/>
                <w:sz w:val="21"/>
                <w:szCs w:val="21"/>
                <w:highlight w:val="none"/>
                <w:lang w:eastAsia="zh-CN"/>
              </w:rPr>
              <w:t>包括但不限于①供货计划、②货物包装方式、运输方式、③安装调试流程、时间安排方案、④人员安排等内容。</w:t>
            </w:r>
          </w:p>
          <w:p w14:paraId="674AF74D">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425" w:leftChars="0" w:right="0" w:hanging="425" w:firstLineChars="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供应商提供的</w:t>
            </w:r>
            <w:r>
              <w:rPr>
                <w:rFonts w:hint="eastAsia" w:ascii="宋体" w:hAnsi="宋体" w:eastAsia="宋体" w:cs="宋体"/>
                <w:sz w:val="21"/>
                <w:szCs w:val="21"/>
                <w:highlight w:val="none"/>
              </w:rPr>
              <w:t>安装调试的方案内容详实具体、安装调试充分且高效、人数充足，满足项目实施的得</w:t>
            </w:r>
            <w:r>
              <w:rPr>
                <w:rFonts w:hint="default" w:ascii="宋体" w:hAnsi="宋体" w:cs="宋体"/>
                <w:sz w:val="21"/>
                <w:szCs w:val="21"/>
                <w:highlight w:val="none"/>
                <w:lang w:val="en-US" w:eastAsia="zh-CN"/>
              </w:rPr>
              <w:t>6</w:t>
            </w:r>
            <w:r>
              <w:rPr>
                <w:rFonts w:hint="eastAsia" w:ascii="宋体" w:hAnsi="宋体" w:eastAsia="宋体" w:cs="宋体"/>
                <w:sz w:val="21"/>
                <w:szCs w:val="21"/>
                <w:highlight w:val="none"/>
              </w:rPr>
              <w:t>分；</w:t>
            </w:r>
          </w:p>
          <w:p w14:paraId="2716C6F3">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425" w:leftChars="0" w:right="0" w:hanging="425" w:firstLineChars="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有较具体的安装调试方案，内容较详实，基本满足项目需求的得</w:t>
            </w:r>
            <w:r>
              <w:rPr>
                <w:rFonts w:hint="default" w:ascii="宋体" w:hAnsi="宋体" w:cs="宋体"/>
                <w:sz w:val="21"/>
                <w:szCs w:val="21"/>
                <w:highlight w:val="none"/>
                <w:lang w:val="en-US" w:eastAsia="zh-CN"/>
              </w:rPr>
              <w:t>4</w:t>
            </w:r>
            <w:r>
              <w:rPr>
                <w:rFonts w:hint="eastAsia" w:ascii="宋体" w:hAnsi="宋体" w:eastAsia="宋体" w:cs="宋体"/>
                <w:sz w:val="21"/>
                <w:szCs w:val="21"/>
                <w:highlight w:val="none"/>
              </w:rPr>
              <w:t>分；</w:t>
            </w:r>
          </w:p>
          <w:p w14:paraId="7B61D0B7">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425" w:leftChars="0" w:right="0" w:hanging="425" w:firstLineChars="0"/>
              <w:jc w:val="both"/>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方案欠完备，内容一般，得</w:t>
            </w:r>
            <w:r>
              <w:rPr>
                <w:rFonts w:hint="default" w:ascii="宋体" w:hAnsi="宋体" w:cs="宋体"/>
                <w:sz w:val="21"/>
                <w:szCs w:val="21"/>
                <w:highlight w:val="none"/>
                <w:lang w:val="en-US" w:eastAsia="zh-CN"/>
              </w:rPr>
              <w:t>2</w:t>
            </w:r>
            <w:r>
              <w:rPr>
                <w:rFonts w:hint="eastAsia" w:ascii="宋体" w:hAnsi="宋体" w:eastAsia="宋体" w:cs="宋体"/>
                <w:sz w:val="21"/>
                <w:szCs w:val="21"/>
                <w:highlight w:val="none"/>
              </w:rPr>
              <w:t>分</w:t>
            </w:r>
            <w:r>
              <w:rPr>
                <w:rFonts w:hint="eastAsia" w:ascii="宋体" w:hAnsi="宋体" w:eastAsia="宋体" w:cs="宋体"/>
                <w:sz w:val="21"/>
                <w:szCs w:val="21"/>
                <w:highlight w:val="none"/>
                <w:lang w:eastAsia="zh-CN"/>
              </w:rPr>
              <w:t>；</w:t>
            </w:r>
          </w:p>
          <w:p w14:paraId="7C479147">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425" w:leftChars="0" w:right="0" w:rightChars="0" w:hanging="425"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cs="宋体"/>
                <w:color w:val="auto"/>
                <w:kern w:val="0"/>
                <w:highlight w:val="none"/>
              </w:rPr>
              <w:t>不提供的不得分。</w:t>
            </w:r>
          </w:p>
        </w:tc>
      </w:tr>
      <w:tr w14:paraId="0153F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330" w:type="dxa"/>
            <w:vMerge w:val="continue"/>
            <w:noWrap w:val="0"/>
            <w:vAlign w:val="center"/>
          </w:tcPr>
          <w:p w14:paraId="3CAD6CB5">
            <w:pPr>
              <w:adjustRightInd w:val="0"/>
              <w:snapToGrid w:val="0"/>
              <w:spacing w:line="360" w:lineRule="auto"/>
              <w:ind w:firstLine="210" w:firstLineChars="100"/>
              <w:rPr>
                <w:rFonts w:hint="eastAsia" w:ascii="宋体" w:hAnsi="宋体" w:cs="宋体"/>
                <w:color w:val="auto"/>
                <w:szCs w:val="21"/>
                <w:highlight w:val="none"/>
              </w:rPr>
            </w:pPr>
          </w:p>
        </w:tc>
        <w:tc>
          <w:tcPr>
            <w:tcW w:w="1843" w:type="dxa"/>
            <w:noWrap w:val="0"/>
            <w:vAlign w:val="center"/>
          </w:tcPr>
          <w:p w14:paraId="6348C262">
            <w:pPr>
              <w:adjustRightInd w:val="0"/>
              <w:snapToGrid w:val="0"/>
              <w:spacing w:line="440" w:lineRule="exact"/>
              <w:jc w:val="center"/>
              <w:rPr>
                <w:rFonts w:ascii="Times New Roman" w:hAnsi="Times New Roman"/>
                <w:color w:val="auto"/>
                <w:sz w:val="21"/>
                <w:szCs w:val="21"/>
                <w:highlight w:val="none"/>
                <w:lang w:eastAsia="zh-CN"/>
              </w:rPr>
            </w:pPr>
            <w:r>
              <w:rPr>
                <w:rFonts w:ascii="Times New Roman" w:hAnsi="Times New Roman"/>
                <w:color w:val="auto"/>
                <w:sz w:val="21"/>
                <w:szCs w:val="21"/>
                <w:highlight w:val="none"/>
                <w:lang w:eastAsia="zh-CN"/>
              </w:rPr>
              <w:t>培训方案</w:t>
            </w:r>
          </w:p>
          <w:p w14:paraId="2AD49140">
            <w:pPr>
              <w:adjustRightInd w:val="0"/>
              <w:snapToGrid w:val="0"/>
              <w:spacing w:line="440" w:lineRule="exact"/>
              <w:jc w:val="center"/>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6</w:t>
            </w:r>
            <w:r>
              <w:rPr>
                <w:rFonts w:hint="eastAsia" w:ascii="宋体" w:hAnsi="宋体" w:cs="宋体"/>
                <w:color w:val="auto"/>
                <w:highlight w:val="none"/>
                <w:lang w:eastAsia="zh-CN"/>
              </w:rPr>
              <w:t>分）</w:t>
            </w:r>
          </w:p>
        </w:tc>
        <w:tc>
          <w:tcPr>
            <w:tcW w:w="5828" w:type="dxa"/>
            <w:noWrap w:val="0"/>
            <w:vAlign w:val="center"/>
          </w:tcPr>
          <w:p w14:paraId="5AA1FB7B">
            <w:pPr>
              <w:adjustRightInd w:val="0"/>
              <w:snapToGrid w:val="0"/>
              <w:spacing w:line="440" w:lineRule="exact"/>
              <w:jc w:val="left"/>
              <w:rPr>
                <w:rFonts w:hint="eastAsia" w:ascii="宋体" w:hAnsi="宋体" w:cs="宋体"/>
                <w:color w:val="auto"/>
                <w:highlight w:val="none"/>
              </w:rPr>
            </w:pPr>
            <w:r>
              <w:rPr>
                <w:rFonts w:hint="eastAsia" w:ascii="宋体" w:hAnsi="宋体" w:cs="宋体"/>
                <w:color w:val="auto"/>
                <w:highlight w:val="none"/>
              </w:rPr>
              <w:t>有详细可行的技术培训方案，培训人员、培训内容、培训方式、培训时间、培训资料等，</w:t>
            </w:r>
            <w:r>
              <w:rPr>
                <w:rFonts w:hint="eastAsia" w:ascii="宋体" w:hAnsi="宋体" w:cs="宋体"/>
                <w:color w:val="auto"/>
                <w:highlight w:val="none"/>
                <w:lang w:val="en-US" w:eastAsia="zh-CN"/>
              </w:rPr>
              <w:t>评标委员会</w:t>
            </w:r>
            <w:r>
              <w:rPr>
                <w:rFonts w:hint="eastAsia" w:ascii="宋体" w:hAnsi="宋体" w:cs="宋体"/>
                <w:color w:val="auto"/>
                <w:highlight w:val="none"/>
              </w:rPr>
              <w:t>对各响应文件的详细合理程度按以下标准进行评审：</w:t>
            </w:r>
          </w:p>
          <w:p w14:paraId="7A866AA3">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425" w:leftChars="0" w:right="0" w:hanging="425" w:firstLineChars="0"/>
              <w:jc w:val="both"/>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培训计划合理、详细、可行的得</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lang w:eastAsia="zh-CN"/>
              </w:rPr>
              <w:t>分；</w:t>
            </w:r>
          </w:p>
          <w:p w14:paraId="3D147A25">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425" w:leftChars="0" w:right="0" w:hanging="425" w:firstLineChars="0"/>
              <w:jc w:val="both"/>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培训计划合理性一般、较为详细、较为可行的得</w:t>
            </w:r>
            <w:r>
              <w:rPr>
                <w:rFonts w:hint="default" w:ascii="宋体" w:hAnsi="宋体" w:eastAsia="宋体" w:cs="宋体"/>
                <w:sz w:val="21"/>
                <w:szCs w:val="21"/>
                <w:highlight w:val="none"/>
                <w:lang w:val="en-US" w:eastAsia="zh-CN"/>
              </w:rPr>
              <w:t>4</w:t>
            </w:r>
            <w:r>
              <w:rPr>
                <w:rFonts w:hint="eastAsia" w:ascii="宋体" w:hAnsi="宋体" w:eastAsia="宋体" w:cs="宋体"/>
                <w:sz w:val="21"/>
                <w:szCs w:val="21"/>
                <w:highlight w:val="none"/>
                <w:lang w:eastAsia="zh-CN"/>
              </w:rPr>
              <w:t>分；</w:t>
            </w:r>
          </w:p>
          <w:p w14:paraId="5BD33FA2">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425" w:leftChars="0" w:right="0" w:hanging="425" w:firstLineChars="0"/>
              <w:jc w:val="both"/>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培训计划内容较简单，合理性及可行性较差，得</w:t>
            </w:r>
            <w:r>
              <w:rPr>
                <w:rFonts w:hint="default"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分；</w:t>
            </w:r>
          </w:p>
          <w:p w14:paraId="345CD4B5">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425" w:leftChars="0" w:right="0" w:hanging="425" w:firstLineChars="0"/>
              <w:jc w:val="both"/>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sz w:val="21"/>
                <w:szCs w:val="21"/>
                <w:highlight w:val="none"/>
                <w:lang w:eastAsia="zh-CN"/>
              </w:rPr>
              <w:t>不提供的不得分。</w:t>
            </w:r>
          </w:p>
        </w:tc>
      </w:tr>
      <w:tr w14:paraId="4F0BE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001" w:type="dxa"/>
            <w:gridSpan w:val="3"/>
            <w:noWrap w:val="0"/>
            <w:vAlign w:val="center"/>
          </w:tcPr>
          <w:p w14:paraId="43034A5C">
            <w:pPr>
              <w:adjustRightInd w:val="0"/>
              <w:snapToGri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1．评标委员会完成综合打分的汇总后，评委打分的算术平均值，作为该投标人的最终得分。</w:t>
            </w:r>
          </w:p>
          <w:p w14:paraId="39B0E23B">
            <w:pPr>
              <w:adjustRightInd w:val="0"/>
              <w:snapToGri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2．本办法计算过程中分值按四舍五入保留两位小数，结果按四舍五入保留两位小数。</w:t>
            </w:r>
          </w:p>
        </w:tc>
      </w:tr>
    </w:tbl>
    <w:p w14:paraId="14BD7F5E">
      <w:pPr>
        <w:spacing w:line="360" w:lineRule="auto"/>
        <w:rPr>
          <w:color w:val="auto"/>
          <w:sz w:val="24"/>
          <w:szCs w:val="18"/>
          <w:highlight w:val="none"/>
        </w:rPr>
      </w:pPr>
      <w:r>
        <w:rPr>
          <w:rFonts w:hint="eastAsia"/>
          <w:color w:val="auto"/>
          <w:sz w:val="24"/>
          <w:szCs w:val="18"/>
          <w:highlight w:val="none"/>
        </w:rPr>
        <w:br w:type="page"/>
      </w:r>
    </w:p>
    <w:bookmarkEnd w:id="227"/>
    <w:bookmarkEnd w:id="228"/>
    <w:p w14:paraId="342AFF88">
      <w:pPr>
        <w:jc w:val="center"/>
        <w:outlineLvl w:val="0"/>
        <w:rPr>
          <w:rFonts w:ascii="宋体" w:hAnsi="宋体" w:cs="宋体"/>
          <w:b/>
          <w:color w:val="auto"/>
          <w:kern w:val="44"/>
          <w:sz w:val="36"/>
          <w:szCs w:val="36"/>
          <w:highlight w:val="none"/>
        </w:rPr>
      </w:pPr>
      <w:bookmarkStart w:id="229" w:name="_Toc256363561"/>
      <w:bookmarkStart w:id="230" w:name="_Toc1220"/>
      <w:bookmarkStart w:id="231" w:name="_Toc769576846"/>
      <w:bookmarkStart w:id="232" w:name="_Toc16095"/>
      <w:bookmarkStart w:id="233" w:name="_Toc29122"/>
      <w:r>
        <w:rPr>
          <w:rFonts w:hint="eastAsia" w:ascii="宋体" w:hAnsi="宋体" w:cs="宋体"/>
          <w:b/>
          <w:color w:val="auto"/>
          <w:kern w:val="44"/>
          <w:sz w:val="36"/>
          <w:szCs w:val="36"/>
          <w:highlight w:val="none"/>
        </w:rPr>
        <w:t>第四章  合同格式及合同条款</w:t>
      </w:r>
      <w:bookmarkEnd w:id="229"/>
      <w:bookmarkEnd w:id="230"/>
      <w:bookmarkEnd w:id="231"/>
      <w:bookmarkEnd w:id="232"/>
      <w:bookmarkEnd w:id="233"/>
    </w:p>
    <w:p w14:paraId="5CDC04EF">
      <w:pPr>
        <w:ind w:firstLine="420" w:firstLineChars="200"/>
        <w:jc w:val="left"/>
        <w:rPr>
          <w:bCs/>
          <w:color w:val="auto"/>
          <w:szCs w:val="21"/>
          <w:highlight w:val="none"/>
        </w:rPr>
      </w:pPr>
    </w:p>
    <w:p w14:paraId="7D85DC5C">
      <w:pPr>
        <w:pStyle w:val="15"/>
        <w:spacing w:after="0"/>
        <w:jc w:val="center"/>
        <w:rPr>
          <w:rFonts w:hint="eastAsia" w:ascii="宋体" w:hAnsi="宋体" w:cs="宋体"/>
          <w:b/>
          <w:bCs/>
          <w:spacing w:val="-20"/>
          <w:kern w:val="44"/>
          <w:sz w:val="48"/>
          <w:szCs w:val="48"/>
        </w:rPr>
      </w:pPr>
    </w:p>
    <w:p w14:paraId="6A70C48E">
      <w:pPr>
        <w:pStyle w:val="15"/>
        <w:spacing w:after="0"/>
        <w:jc w:val="center"/>
        <w:rPr>
          <w:rFonts w:hint="eastAsia" w:ascii="宋体" w:hAnsi="宋体" w:cs="宋体"/>
          <w:b/>
          <w:bCs/>
          <w:spacing w:val="-20"/>
          <w:kern w:val="44"/>
          <w:sz w:val="48"/>
          <w:szCs w:val="48"/>
        </w:rPr>
      </w:pPr>
    </w:p>
    <w:p w14:paraId="2A2474AD">
      <w:pPr>
        <w:pStyle w:val="15"/>
        <w:spacing w:after="0"/>
        <w:jc w:val="center"/>
        <w:rPr>
          <w:rFonts w:hint="eastAsia" w:ascii="宋体" w:hAnsi="宋体" w:cs="宋体"/>
          <w:b/>
          <w:bCs/>
          <w:spacing w:val="-20"/>
          <w:kern w:val="44"/>
          <w:sz w:val="48"/>
          <w:szCs w:val="48"/>
        </w:rPr>
      </w:pPr>
    </w:p>
    <w:p w14:paraId="421D1903">
      <w:pPr>
        <w:pStyle w:val="15"/>
        <w:spacing w:after="0"/>
        <w:jc w:val="center"/>
        <w:rPr>
          <w:rFonts w:hint="eastAsia" w:ascii="宋体" w:hAnsi="宋体" w:cs="宋体"/>
          <w:b/>
          <w:bCs/>
          <w:spacing w:val="-20"/>
          <w:kern w:val="44"/>
          <w:sz w:val="48"/>
          <w:szCs w:val="48"/>
        </w:rPr>
      </w:pPr>
    </w:p>
    <w:p w14:paraId="2E4B049A">
      <w:pPr>
        <w:pStyle w:val="15"/>
        <w:spacing w:after="0"/>
        <w:jc w:val="center"/>
        <w:rPr>
          <w:rFonts w:hint="eastAsia" w:ascii="宋体" w:hAnsi="宋体" w:cs="宋体"/>
          <w:b/>
          <w:bCs/>
          <w:spacing w:val="-20"/>
          <w:kern w:val="44"/>
          <w:sz w:val="48"/>
          <w:szCs w:val="48"/>
        </w:rPr>
      </w:pPr>
    </w:p>
    <w:p w14:paraId="2237BF61">
      <w:pPr>
        <w:rPr>
          <w:rFonts w:hint="eastAsia" w:ascii="宋体" w:hAnsi="宋体" w:cs="宋体"/>
          <w:b/>
          <w:bCs/>
          <w:spacing w:val="-20"/>
          <w:kern w:val="44"/>
          <w:sz w:val="48"/>
          <w:szCs w:val="48"/>
        </w:rPr>
      </w:pPr>
    </w:p>
    <w:p w14:paraId="2CD3A42D">
      <w:pPr>
        <w:pStyle w:val="15"/>
        <w:spacing w:after="0"/>
        <w:jc w:val="both"/>
        <w:rPr>
          <w:rFonts w:hint="eastAsia" w:ascii="宋体" w:hAnsi="宋体" w:cs="宋体"/>
          <w:b/>
          <w:bCs/>
          <w:spacing w:val="-20"/>
          <w:kern w:val="44"/>
          <w:sz w:val="48"/>
          <w:szCs w:val="48"/>
        </w:rPr>
      </w:pPr>
    </w:p>
    <w:p w14:paraId="497751C5">
      <w:pPr>
        <w:pStyle w:val="15"/>
        <w:spacing w:after="0"/>
        <w:jc w:val="center"/>
        <w:rPr>
          <w:rFonts w:hint="eastAsia" w:ascii="宋体" w:hAnsi="宋体" w:cs="宋体"/>
          <w:b/>
          <w:bCs/>
          <w:spacing w:val="-20"/>
          <w:kern w:val="44"/>
          <w:sz w:val="48"/>
          <w:szCs w:val="48"/>
        </w:rPr>
      </w:pPr>
      <w:r>
        <w:rPr>
          <w:rFonts w:hint="eastAsia" w:ascii="宋体" w:hAnsi="宋体" w:cs="宋体"/>
          <w:b/>
          <w:bCs/>
          <w:spacing w:val="-20"/>
          <w:kern w:val="44"/>
          <w:sz w:val="48"/>
          <w:szCs w:val="48"/>
        </w:rPr>
        <w:t>政府采购货物买卖合同</w:t>
      </w:r>
    </w:p>
    <w:p w14:paraId="19027CE1">
      <w:pPr>
        <w:rPr>
          <w:rFonts w:hint="eastAsia" w:ascii="宋体" w:hAnsi="宋体" w:cs="宋体"/>
          <w:b/>
          <w:bCs/>
          <w:spacing w:val="-20"/>
          <w:kern w:val="44"/>
          <w:sz w:val="40"/>
          <w:szCs w:val="40"/>
        </w:rPr>
      </w:pPr>
    </w:p>
    <w:p w14:paraId="69668451">
      <w:pPr>
        <w:pStyle w:val="59"/>
        <w:ind w:firstLine="721"/>
        <w:rPr>
          <w:rFonts w:hint="eastAsia" w:ascii="宋体" w:hAnsi="宋体" w:cs="宋体"/>
          <w:b/>
          <w:bCs/>
          <w:spacing w:val="-20"/>
          <w:kern w:val="44"/>
          <w:sz w:val="40"/>
          <w:szCs w:val="40"/>
        </w:rPr>
      </w:pPr>
    </w:p>
    <w:p w14:paraId="39689C0D">
      <w:pPr>
        <w:pStyle w:val="59"/>
        <w:ind w:firstLine="721"/>
        <w:rPr>
          <w:rFonts w:hint="eastAsia" w:ascii="宋体" w:hAnsi="宋体" w:cs="宋体"/>
          <w:b/>
          <w:bCs/>
          <w:spacing w:val="-20"/>
          <w:kern w:val="44"/>
          <w:sz w:val="40"/>
          <w:szCs w:val="40"/>
        </w:rPr>
      </w:pPr>
    </w:p>
    <w:p w14:paraId="36BDC230">
      <w:pPr>
        <w:pStyle w:val="59"/>
        <w:ind w:firstLine="721"/>
        <w:rPr>
          <w:rFonts w:hint="eastAsia" w:ascii="宋体" w:hAnsi="宋体" w:cs="宋体"/>
          <w:b/>
          <w:bCs/>
          <w:spacing w:val="-20"/>
          <w:kern w:val="44"/>
          <w:sz w:val="40"/>
          <w:szCs w:val="40"/>
        </w:rPr>
      </w:pPr>
    </w:p>
    <w:p w14:paraId="32FF1A9C">
      <w:pPr>
        <w:pStyle w:val="59"/>
        <w:ind w:firstLine="721"/>
        <w:rPr>
          <w:rFonts w:hint="eastAsia" w:ascii="宋体" w:hAnsi="宋体" w:cs="宋体"/>
          <w:b/>
          <w:bCs/>
          <w:spacing w:val="-20"/>
          <w:kern w:val="44"/>
          <w:sz w:val="40"/>
          <w:szCs w:val="40"/>
        </w:rPr>
      </w:pPr>
    </w:p>
    <w:p w14:paraId="44E7D377">
      <w:pPr>
        <w:pStyle w:val="59"/>
        <w:ind w:firstLine="721"/>
        <w:rPr>
          <w:rFonts w:hint="eastAsia" w:ascii="宋体" w:hAnsi="宋体" w:cs="宋体"/>
          <w:b/>
          <w:bCs/>
          <w:spacing w:val="-20"/>
          <w:kern w:val="44"/>
          <w:sz w:val="40"/>
          <w:szCs w:val="40"/>
        </w:rPr>
      </w:pPr>
    </w:p>
    <w:p w14:paraId="5E33E6F2">
      <w:pPr>
        <w:pStyle w:val="59"/>
        <w:ind w:firstLine="721"/>
        <w:rPr>
          <w:rFonts w:hint="eastAsia" w:ascii="宋体" w:hAnsi="宋体" w:cs="宋体"/>
          <w:b/>
          <w:bCs/>
          <w:spacing w:val="-20"/>
          <w:kern w:val="44"/>
          <w:sz w:val="40"/>
          <w:szCs w:val="40"/>
        </w:rPr>
      </w:pPr>
    </w:p>
    <w:p w14:paraId="6F73966F">
      <w:pPr>
        <w:rPr>
          <w:rFonts w:hint="eastAsia" w:ascii="宋体" w:hAnsi="宋体" w:cs="宋体"/>
          <w:b/>
          <w:bCs/>
          <w:spacing w:val="-20"/>
          <w:kern w:val="44"/>
          <w:sz w:val="40"/>
          <w:szCs w:val="40"/>
        </w:rPr>
      </w:pPr>
    </w:p>
    <w:p w14:paraId="72B8C4F6">
      <w:pPr>
        <w:rPr>
          <w:rFonts w:hint="eastAsia" w:ascii="宋体" w:hAnsi="宋体" w:cs="宋体"/>
          <w:b/>
          <w:bCs/>
          <w:spacing w:val="-20"/>
          <w:kern w:val="44"/>
          <w:sz w:val="40"/>
          <w:szCs w:val="40"/>
        </w:rPr>
      </w:pPr>
    </w:p>
    <w:p w14:paraId="20630E88">
      <w:pPr>
        <w:spacing w:line="360" w:lineRule="auto"/>
        <w:ind w:left="420" w:leftChars="200"/>
        <w:rPr>
          <w:rFonts w:hint="eastAsia" w:eastAsia="宋体"/>
          <w:sz w:val="32"/>
          <w:szCs w:val="32"/>
          <w:lang w:eastAsia="zh-CN"/>
        </w:rPr>
      </w:pPr>
      <w:r>
        <w:rPr>
          <w:rFonts w:hint="eastAsia" w:ascii="宋体" w:hAnsi="宋体" w:cs="宋体"/>
          <w:kern w:val="0"/>
          <w:sz w:val="32"/>
          <w:szCs w:val="32"/>
        </w:rPr>
        <w:t>项目名称：</w:t>
      </w:r>
      <w:r>
        <w:rPr>
          <w:rFonts w:hint="eastAsia"/>
          <w:sz w:val="32"/>
          <w:szCs w:val="32"/>
          <w:u w:val="single"/>
          <w:lang w:eastAsia="zh-CN"/>
        </w:rPr>
        <w:t>河南省科学院材料基因工程研究所河南省科学院材料创新基地材料大数据与数字化设计平台（一期）建设项目</w:t>
      </w:r>
    </w:p>
    <w:p w14:paraId="36E99BFA">
      <w:pPr>
        <w:spacing w:line="360" w:lineRule="auto"/>
        <w:ind w:left="420" w:leftChars="200"/>
        <w:rPr>
          <w:sz w:val="32"/>
          <w:szCs w:val="32"/>
          <w:u w:val="single"/>
        </w:rPr>
      </w:pPr>
      <w:r>
        <w:rPr>
          <w:rFonts w:hint="eastAsia"/>
          <w:sz w:val="32"/>
          <w:szCs w:val="32"/>
        </w:rPr>
        <w:t>合同编号：</w:t>
      </w:r>
      <w:r>
        <w:rPr>
          <w:rFonts w:hint="eastAsia"/>
          <w:sz w:val="32"/>
          <w:szCs w:val="32"/>
          <w:u w:val="single"/>
        </w:rPr>
        <w:t xml:space="preserve">                             </w:t>
      </w:r>
    </w:p>
    <w:p w14:paraId="44DCF1EE">
      <w:pPr>
        <w:spacing w:line="360" w:lineRule="auto"/>
        <w:ind w:left="420" w:leftChars="200"/>
        <w:rPr>
          <w:sz w:val="32"/>
          <w:szCs w:val="32"/>
        </w:rPr>
      </w:pPr>
      <w:r>
        <w:rPr>
          <w:rFonts w:hint="eastAsia"/>
          <w:sz w:val="32"/>
          <w:szCs w:val="32"/>
        </w:rPr>
        <w:t>甲    方：</w:t>
      </w:r>
      <w:r>
        <w:rPr>
          <w:rFonts w:hint="eastAsia"/>
          <w:sz w:val="32"/>
          <w:szCs w:val="32"/>
          <w:u w:val="single"/>
        </w:rPr>
        <w:t xml:space="preserve"> </w:t>
      </w:r>
      <w:r>
        <w:rPr>
          <w:rFonts w:hint="eastAsia"/>
          <w:sz w:val="32"/>
          <w:szCs w:val="32"/>
          <w:u w:val="single"/>
          <w:lang w:eastAsia="zh-CN"/>
        </w:rPr>
        <w:t>河南省科学院材料基因工程研究所</w:t>
      </w:r>
    </w:p>
    <w:p w14:paraId="62AE4C5B">
      <w:pPr>
        <w:spacing w:line="360" w:lineRule="auto"/>
        <w:ind w:left="420" w:leftChars="200"/>
        <w:rPr>
          <w:sz w:val="32"/>
          <w:szCs w:val="32"/>
          <w:u w:val="single"/>
        </w:rPr>
      </w:pPr>
      <w:r>
        <w:rPr>
          <w:rFonts w:hint="eastAsia"/>
          <w:sz w:val="32"/>
          <w:szCs w:val="32"/>
        </w:rPr>
        <w:t>乙    方：</w:t>
      </w:r>
      <w:r>
        <w:rPr>
          <w:rFonts w:hint="eastAsia"/>
          <w:sz w:val="32"/>
          <w:szCs w:val="32"/>
          <w:u w:val="single"/>
        </w:rPr>
        <w:t xml:space="preserve">                             </w:t>
      </w:r>
    </w:p>
    <w:p w14:paraId="32FC44B9">
      <w:pPr>
        <w:spacing w:line="360" w:lineRule="auto"/>
        <w:ind w:left="420" w:leftChars="200"/>
        <w:rPr>
          <w:rFonts w:hint="eastAsia" w:ascii="宋体" w:hAnsi="宋体" w:cs="宋体"/>
          <w:kern w:val="0"/>
          <w:sz w:val="32"/>
          <w:szCs w:val="32"/>
          <w:u w:val="single"/>
        </w:rPr>
      </w:pPr>
      <w:r>
        <w:rPr>
          <w:rFonts w:hint="eastAsia" w:ascii="宋体" w:hAnsi="宋体" w:cs="宋体"/>
          <w:kern w:val="0"/>
          <w:sz w:val="32"/>
          <w:szCs w:val="32"/>
        </w:rPr>
        <w:t>签 订 地：</w:t>
      </w:r>
      <w:r>
        <w:rPr>
          <w:rFonts w:hint="eastAsia" w:ascii="宋体" w:hAnsi="宋体" w:cs="宋体"/>
          <w:kern w:val="0"/>
          <w:sz w:val="32"/>
          <w:szCs w:val="32"/>
          <w:u w:val="single"/>
        </w:rPr>
        <w:t xml:space="preserve">                             </w:t>
      </w:r>
    </w:p>
    <w:p w14:paraId="62953DDF">
      <w:pPr>
        <w:spacing w:line="360" w:lineRule="auto"/>
        <w:ind w:left="420" w:leftChars="20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14:paraId="3AE6523A"/>
    <w:p w14:paraId="7B344288">
      <w:pPr>
        <w:rPr>
          <w:rFonts w:eastAsia="黑体"/>
          <w:sz w:val="44"/>
          <w:szCs w:val="44"/>
        </w:rPr>
      </w:pPr>
      <w:r>
        <w:rPr>
          <w:rFonts w:eastAsia="黑体"/>
          <w:sz w:val="44"/>
          <w:szCs w:val="44"/>
        </w:rPr>
        <w:br w:type="page"/>
      </w:r>
    </w:p>
    <w:p w14:paraId="3D409D64">
      <w:pPr>
        <w:jc w:val="center"/>
        <w:rPr>
          <w:rFonts w:hint="eastAsia" w:ascii="黑体" w:hAnsi="华文中宋" w:eastAsia="黑体"/>
          <w:szCs w:val="28"/>
        </w:rPr>
      </w:pPr>
      <w:bookmarkStart w:id="234" w:name="_Toc22209"/>
      <w:r>
        <w:rPr>
          <w:rFonts w:hint="eastAsia"/>
          <w:b/>
          <w:bCs/>
          <w:sz w:val="28"/>
          <w:szCs w:val="28"/>
        </w:rPr>
        <w:t>第一节 政府采购合同协议书</w:t>
      </w:r>
      <w:bookmarkEnd w:id="234"/>
    </w:p>
    <w:p w14:paraId="1826222C"/>
    <w:p w14:paraId="7F61BB70">
      <w:pPr>
        <w:rPr>
          <w:rFonts w:hint="eastAsia" w:ascii="宋体" w:hAnsi="宋体" w:eastAsia="宋体" w:cs="宋体"/>
          <w:sz w:val="21"/>
          <w:szCs w:val="21"/>
          <w:u w:val="single"/>
        </w:rPr>
      </w:pPr>
      <w:r>
        <w:rPr>
          <w:rFonts w:hint="eastAsia" w:ascii="宋体" w:hAnsi="宋体" w:eastAsia="宋体" w:cs="宋体"/>
          <w:sz w:val="21"/>
          <w:szCs w:val="21"/>
        </w:rPr>
        <w:t>甲方（全称）：</w:t>
      </w:r>
      <w:r>
        <w:rPr>
          <w:rFonts w:hint="eastAsia" w:ascii="宋体" w:hAnsi="宋体" w:eastAsia="宋体" w:cs="宋体"/>
          <w:sz w:val="21"/>
          <w:szCs w:val="21"/>
          <w:u w:val="single"/>
        </w:rPr>
        <w:t xml:space="preserve"> </w:t>
      </w:r>
      <w:r>
        <w:rPr>
          <w:rFonts w:hint="eastAsia" w:ascii="宋体" w:hAnsi="宋体" w:cs="宋体"/>
          <w:sz w:val="21"/>
          <w:szCs w:val="21"/>
          <w:u w:val="single"/>
          <w:lang w:eastAsia="zh-CN"/>
        </w:rPr>
        <w:t>河南省科学院材料基因工程研究所</w:t>
      </w:r>
      <w:r>
        <w:rPr>
          <w:rFonts w:hint="eastAsia" w:ascii="宋体" w:hAnsi="宋体" w:eastAsia="宋体" w:cs="宋体"/>
          <w:sz w:val="21"/>
          <w:szCs w:val="21"/>
          <w:u w:val="single"/>
        </w:rPr>
        <w:t xml:space="preserve"> </w:t>
      </w:r>
    </w:p>
    <w:p w14:paraId="565D242F">
      <w:pPr>
        <w:pStyle w:val="59"/>
        <w:ind w:firstLine="0" w:firstLineChars="0"/>
        <w:rPr>
          <w:rFonts w:hint="eastAsia" w:ascii="宋体" w:hAnsi="宋体" w:eastAsia="宋体" w:cs="宋体"/>
          <w:sz w:val="21"/>
          <w:szCs w:val="21"/>
          <w:u w:val="single"/>
        </w:rPr>
      </w:pPr>
      <w:r>
        <w:rPr>
          <w:rFonts w:hint="eastAsia" w:ascii="宋体" w:hAnsi="宋体" w:eastAsia="宋体" w:cs="宋体"/>
          <w:kern w:val="2"/>
          <w:sz w:val="21"/>
          <w:szCs w:val="21"/>
        </w:rPr>
        <w:t>乙方（全称）：</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p>
    <w:p w14:paraId="2C815B7C">
      <w:pPr>
        <w:pStyle w:val="59"/>
        <w:ind w:firstLine="0" w:firstLineChars="0"/>
        <w:rPr>
          <w:rFonts w:hint="eastAsia" w:ascii="宋体" w:hAnsi="宋体" w:eastAsia="宋体" w:cs="宋体"/>
          <w:sz w:val="21"/>
          <w:szCs w:val="21"/>
          <w:u w:val="single"/>
        </w:rPr>
      </w:pPr>
    </w:p>
    <w:p w14:paraId="66F8D4E7">
      <w:pPr>
        <w:pStyle w:val="16"/>
        <w:adjustRightInd w:val="0"/>
        <w:snapToGrid w:val="0"/>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33B84C82">
      <w:pPr>
        <w:numPr>
          <w:ilvl w:val="0"/>
          <w:numId w:val="7"/>
        </w:numPr>
        <w:adjustRightInd w:val="0"/>
        <w:snapToGrid w:val="0"/>
        <w:spacing w:line="400" w:lineRule="exact"/>
        <w:ind w:firstLine="422" w:firstLineChars="200"/>
        <w:rPr>
          <w:rFonts w:hint="eastAsia" w:ascii="宋体" w:hAnsi="宋体" w:eastAsia="宋体" w:cs="宋体"/>
          <w:b/>
          <w:sz w:val="21"/>
          <w:szCs w:val="21"/>
        </w:rPr>
      </w:pPr>
      <w:r>
        <w:rPr>
          <w:rFonts w:hint="eastAsia" w:ascii="宋体" w:hAnsi="宋体" w:eastAsia="宋体" w:cs="宋体"/>
          <w:b/>
          <w:sz w:val="21"/>
          <w:szCs w:val="21"/>
        </w:rPr>
        <w:t>项目信息</w:t>
      </w:r>
    </w:p>
    <w:p w14:paraId="76661C38">
      <w:pPr>
        <w:pStyle w:val="16"/>
        <w:numPr>
          <w:ilvl w:val="0"/>
          <w:numId w:val="8"/>
        </w:numPr>
        <w:adjustRightInd w:val="0"/>
        <w:snapToGrid w:val="0"/>
        <w:spacing w:line="400" w:lineRule="exact"/>
        <w:ind w:firstLine="420" w:firstLineChars="200"/>
        <w:rPr>
          <w:rFonts w:hint="eastAsia" w:ascii="宋体" w:hAnsi="宋体" w:eastAsia="宋体" w:cs="宋体"/>
          <w:sz w:val="21"/>
          <w:szCs w:val="21"/>
          <w:u w:val="single"/>
        </w:rPr>
      </w:pPr>
      <w:r>
        <w:rPr>
          <w:rFonts w:hint="eastAsia" w:ascii="宋体" w:hAnsi="宋体" w:eastAsia="宋体" w:cs="宋体"/>
          <w:sz w:val="21"/>
          <w:szCs w:val="21"/>
        </w:rPr>
        <w:t>采购项目名称：</w:t>
      </w:r>
      <w:r>
        <w:rPr>
          <w:rFonts w:hint="eastAsia" w:ascii="宋体" w:hAnsi="宋体" w:eastAsia="宋体" w:cs="宋体"/>
          <w:sz w:val="21"/>
          <w:szCs w:val="21"/>
          <w:u w:val="single"/>
        </w:rPr>
        <w:t xml:space="preserve"> </w:t>
      </w:r>
      <w:r>
        <w:rPr>
          <w:rFonts w:hint="eastAsia" w:hAnsi="宋体" w:cs="宋体"/>
          <w:sz w:val="21"/>
          <w:szCs w:val="21"/>
          <w:u w:val="single"/>
          <w:lang w:eastAsia="zh-CN"/>
        </w:rPr>
        <w:t>河南省科学院材料基因工程研究所河南省科学院材料创新基地材料大数据与数字化设计平台（一期）建设项目</w:t>
      </w:r>
    </w:p>
    <w:p w14:paraId="3A5304E5">
      <w:pPr>
        <w:pStyle w:val="16"/>
        <w:numPr>
          <w:ilvl w:val="255"/>
          <w:numId w:val="0"/>
        </w:numPr>
        <w:tabs>
          <w:tab w:val="left" w:pos="999"/>
          <w:tab w:val="clear" w:pos="945"/>
          <w:tab w:val="clear" w:pos="1155"/>
        </w:tabs>
        <w:adjustRightInd w:val="0"/>
        <w:snapToGrid w:val="0"/>
        <w:spacing w:line="400" w:lineRule="exact"/>
        <w:rPr>
          <w:rFonts w:hint="eastAsia" w:ascii="宋体" w:hAnsi="宋体" w:eastAsia="宋体" w:cs="宋体"/>
          <w:sz w:val="21"/>
          <w:szCs w:val="21"/>
        </w:rPr>
      </w:pPr>
      <w:r>
        <w:rPr>
          <w:rFonts w:hint="eastAsia" w:ascii="宋体" w:hAnsi="宋体" w:eastAsia="宋体" w:cs="宋体"/>
          <w:sz w:val="21"/>
          <w:szCs w:val="21"/>
        </w:rPr>
        <w:t xml:space="preserve">    </w:t>
      </w:r>
      <w:r>
        <w:rPr>
          <w:rFonts w:hint="eastAsia" w:hAnsi="宋体" w:cs="宋体"/>
          <w:sz w:val="21"/>
          <w:szCs w:val="21"/>
          <w:lang w:val="en-US" w:eastAsia="zh-CN"/>
        </w:rPr>
        <w:t xml:space="preserve">  </w:t>
      </w:r>
      <w:r>
        <w:rPr>
          <w:rFonts w:hint="eastAsia" w:ascii="宋体" w:hAnsi="宋体" w:eastAsia="宋体" w:cs="宋体"/>
          <w:sz w:val="21"/>
          <w:szCs w:val="21"/>
        </w:rPr>
        <w:t>采购项目编号：</w:t>
      </w:r>
      <w:r>
        <w:rPr>
          <w:rFonts w:hint="eastAsia" w:ascii="宋体" w:hAnsi="宋体" w:eastAsia="宋体" w:cs="宋体"/>
          <w:sz w:val="21"/>
          <w:szCs w:val="21"/>
          <w:u w:val="single"/>
        </w:rPr>
        <w:t xml:space="preserve">                                          </w:t>
      </w:r>
    </w:p>
    <w:p w14:paraId="44234946">
      <w:pPr>
        <w:pStyle w:val="16"/>
        <w:adjustRightInd w:val="0"/>
        <w:snapToGrid w:val="0"/>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（2）采购计划编号：</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p w14:paraId="0E43BA20">
      <w:pPr>
        <w:adjustRightInd w:val="0"/>
        <w:snapToGrid w:val="0"/>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（3）项目内容：</w:t>
      </w:r>
    </w:p>
    <w:p w14:paraId="2429445E">
      <w:pPr>
        <w:spacing w:line="400" w:lineRule="exact"/>
        <w:ind w:firstLine="840" w:firstLineChars="400"/>
        <w:rPr>
          <w:rFonts w:hint="eastAsia" w:ascii="宋体" w:hAnsi="宋体" w:eastAsia="宋体" w:cs="宋体"/>
          <w:sz w:val="21"/>
          <w:szCs w:val="21"/>
        </w:rPr>
      </w:pPr>
      <w:r>
        <w:rPr>
          <w:rFonts w:hint="eastAsia" w:ascii="宋体" w:hAnsi="宋体" w:eastAsia="宋体" w:cs="宋体"/>
          <w:sz w:val="21"/>
          <w:szCs w:val="21"/>
        </w:rPr>
        <w:t>采购标的及数量（台/套</w:t>
      </w:r>
      <w:r>
        <w:rPr>
          <w:rFonts w:hint="eastAsia" w:ascii="宋体" w:hAnsi="宋体" w:eastAsia="宋体" w:cs="宋体"/>
          <w:sz w:val="21"/>
          <w:szCs w:val="21"/>
          <w:lang w:val="en"/>
        </w:rPr>
        <w:t>/个/架/组等</w:t>
      </w:r>
      <w:r>
        <w:rPr>
          <w:rFonts w:hint="eastAsia" w:ascii="宋体" w:hAnsi="宋体" w:eastAsia="宋体" w:cs="宋体"/>
          <w:sz w:val="21"/>
          <w:szCs w:val="21"/>
        </w:rPr>
        <w:t>）、品牌、规格型号、原产地、技术参数等见附件（附件1：货物分项报价一览表  附件2：配置清单  附件3：技术参数  附件4：售后服务  附件5：授权委托书等）。</w:t>
      </w:r>
    </w:p>
    <w:p w14:paraId="604950D4">
      <w:pPr>
        <w:pStyle w:val="59"/>
        <w:numPr>
          <w:ilvl w:val="255"/>
          <w:numId w:val="0"/>
        </w:numPr>
        <w:snapToGrid w:val="0"/>
        <w:rPr>
          <w:rFonts w:hint="eastAsia" w:ascii="宋体" w:hAnsi="宋体" w:eastAsia="宋体" w:cs="宋体"/>
          <w:sz w:val="21"/>
          <w:szCs w:val="21"/>
        </w:rPr>
      </w:pPr>
      <w:r>
        <w:rPr>
          <w:rFonts w:hint="eastAsia" w:ascii="宋体" w:hAnsi="宋体" w:eastAsia="宋体" w:cs="宋体"/>
          <w:sz w:val="21"/>
          <w:szCs w:val="21"/>
        </w:rPr>
        <w:t xml:space="preserve">    （</w:t>
      </w:r>
      <w:r>
        <w:rPr>
          <w:rFonts w:hint="eastAsia" w:ascii="宋体" w:hAnsi="宋体" w:eastAsia="宋体" w:cs="宋体"/>
          <w:sz w:val="21"/>
          <w:szCs w:val="21"/>
          <w:lang w:val="en"/>
        </w:rPr>
        <w:t>4</w:t>
      </w:r>
      <w:r>
        <w:rPr>
          <w:rFonts w:hint="eastAsia" w:ascii="宋体" w:hAnsi="宋体" w:eastAsia="宋体" w:cs="宋体"/>
          <w:sz w:val="21"/>
          <w:szCs w:val="21"/>
        </w:rPr>
        <w:t>）政府采购组织形式：</w:t>
      </w:r>
      <w:r>
        <w:rPr>
          <w:rFonts w:hint="eastAsia" w:ascii="宋体" w:hAnsi="宋体" w:eastAsia="宋体" w:cs="宋体"/>
          <w:sz w:val="21"/>
          <w:szCs w:val="21"/>
        </w:rPr>
        <w:sym w:font="Wingdings" w:char="00A8"/>
      </w:r>
      <w:r>
        <w:rPr>
          <w:rFonts w:hint="eastAsia" w:ascii="宋体" w:hAnsi="宋体" w:eastAsia="宋体" w:cs="宋体"/>
          <w:sz w:val="21"/>
          <w:szCs w:val="21"/>
        </w:rPr>
        <w:t xml:space="preserve">政府集中采购  </w:t>
      </w:r>
      <w:r>
        <w:rPr>
          <w:rFonts w:hint="eastAsia" w:ascii="宋体" w:hAnsi="宋体" w:eastAsia="宋体" w:cs="宋体"/>
          <w:sz w:val="21"/>
          <w:szCs w:val="21"/>
        </w:rPr>
        <w:sym w:font="Wingdings" w:char="00A8"/>
      </w:r>
      <w:r>
        <w:rPr>
          <w:rFonts w:hint="eastAsia" w:ascii="宋体" w:hAnsi="宋体" w:eastAsia="宋体" w:cs="宋体"/>
          <w:sz w:val="21"/>
          <w:szCs w:val="21"/>
        </w:rPr>
        <w:t xml:space="preserve">部门集中采购  </w:t>
      </w:r>
      <w:r>
        <w:rPr>
          <w:rFonts w:hint="eastAsia" w:ascii="宋体" w:hAnsi="宋体" w:eastAsia="宋体" w:cs="宋体"/>
          <w:sz w:val="21"/>
          <w:szCs w:val="21"/>
        </w:rPr>
        <w:sym w:font="Wingdings" w:char="00FE"/>
      </w:r>
      <w:r>
        <w:rPr>
          <w:rFonts w:hint="eastAsia" w:ascii="宋体" w:hAnsi="宋体" w:eastAsia="宋体" w:cs="宋体"/>
          <w:sz w:val="21"/>
          <w:szCs w:val="21"/>
        </w:rPr>
        <w:t>分散采购</w:t>
      </w:r>
    </w:p>
    <w:p w14:paraId="3850F443">
      <w:pPr>
        <w:pStyle w:val="59"/>
        <w:numPr>
          <w:ilvl w:val="255"/>
          <w:numId w:val="0"/>
        </w:numPr>
        <w:snapToGrid w:val="0"/>
        <w:ind w:firstLine="420"/>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
        </w:rPr>
        <w:t>5</w:t>
      </w:r>
      <w:r>
        <w:rPr>
          <w:rFonts w:hint="eastAsia" w:ascii="宋体" w:hAnsi="宋体" w:eastAsia="宋体" w:cs="宋体"/>
          <w:sz w:val="21"/>
          <w:szCs w:val="21"/>
        </w:rPr>
        <w:t>）政府采购方式：</w:t>
      </w:r>
      <w:r>
        <w:rPr>
          <w:rFonts w:hint="eastAsia" w:ascii="宋体" w:hAnsi="宋体" w:eastAsia="宋体" w:cs="宋体"/>
          <w:sz w:val="21"/>
          <w:szCs w:val="21"/>
        </w:rPr>
        <w:sym w:font="Wingdings" w:char="00FE"/>
      </w:r>
      <w:r>
        <w:rPr>
          <w:rFonts w:hint="eastAsia" w:ascii="宋体" w:hAnsi="宋体" w:eastAsia="宋体" w:cs="宋体"/>
          <w:sz w:val="21"/>
          <w:szCs w:val="21"/>
        </w:rPr>
        <w:t xml:space="preserve">公开招标 </w:t>
      </w:r>
      <w:r>
        <w:rPr>
          <w:rFonts w:hint="eastAsia" w:ascii="宋体" w:hAnsi="宋体" w:eastAsia="宋体" w:cs="宋体"/>
          <w:sz w:val="21"/>
          <w:szCs w:val="21"/>
        </w:rPr>
        <w:sym w:font="Wingdings" w:char="00A8"/>
      </w:r>
      <w:r>
        <w:rPr>
          <w:rFonts w:hint="eastAsia" w:ascii="宋体" w:hAnsi="宋体" w:eastAsia="宋体" w:cs="宋体"/>
          <w:sz w:val="21"/>
          <w:szCs w:val="21"/>
        </w:rPr>
        <w:t xml:space="preserve">邀请招标 </w:t>
      </w:r>
      <w:r>
        <w:rPr>
          <w:rFonts w:hint="eastAsia" w:ascii="宋体" w:hAnsi="宋体" w:eastAsia="宋体" w:cs="宋体"/>
          <w:sz w:val="21"/>
          <w:szCs w:val="21"/>
        </w:rPr>
        <w:sym w:font="Wingdings" w:char="00A8"/>
      </w:r>
      <w:r>
        <w:rPr>
          <w:rFonts w:hint="eastAsia" w:ascii="宋体" w:hAnsi="宋体" w:eastAsia="宋体" w:cs="宋体"/>
          <w:sz w:val="21"/>
          <w:szCs w:val="21"/>
        </w:rPr>
        <w:t xml:space="preserve">竞争性谈判 </w:t>
      </w:r>
      <w:r>
        <w:rPr>
          <w:rFonts w:hint="eastAsia" w:ascii="宋体" w:hAnsi="宋体" w:eastAsia="宋体" w:cs="宋体"/>
          <w:sz w:val="21"/>
          <w:szCs w:val="21"/>
        </w:rPr>
        <w:sym w:font="Wingdings" w:char="00A8"/>
      </w:r>
      <w:r>
        <w:rPr>
          <w:rFonts w:hint="eastAsia" w:ascii="宋体" w:hAnsi="宋体" w:eastAsia="宋体" w:cs="宋体"/>
          <w:sz w:val="21"/>
          <w:szCs w:val="21"/>
        </w:rPr>
        <w:t>竞争性磋商</w:t>
      </w:r>
    </w:p>
    <w:p w14:paraId="18A0CCE0">
      <w:pPr>
        <w:pStyle w:val="59"/>
        <w:numPr>
          <w:ilvl w:val="255"/>
          <w:numId w:val="0"/>
        </w:numPr>
        <w:snapToGrid w:val="0"/>
        <w:ind w:firstLine="420"/>
        <w:rPr>
          <w:rFonts w:hint="eastAsia" w:ascii="宋体" w:hAnsi="宋体" w:eastAsia="宋体" w:cs="宋体"/>
          <w:sz w:val="21"/>
          <w:szCs w:val="21"/>
          <w:u w:val="single"/>
        </w:rPr>
      </w:pPr>
      <w:r>
        <w:rPr>
          <w:rFonts w:hint="eastAsia" w:ascii="宋体" w:hAnsi="宋体" w:eastAsia="宋体" w:cs="宋体"/>
          <w:sz w:val="21"/>
          <w:szCs w:val="21"/>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rPr>
        <w:t xml:space="preserve">询价 </w:t>
      </w:r>
      <w:r>
        <w:rPr>
          <w:rFonts w:hint="eastAsia" w:ascii="宋体" w:hAnsi="宋体" w:eastAsia="宋体" w:cs="宋体"/>
          <w:sz w:val="21"/>
          <w:szCs w:val="21"/>
        </w:rPr>
        <w:sym w:font="Wingdings" w:char="00A8"/>
      </w:r>
      <w:r>
        <w:rPr>
          <w:rFonts w:hint="eastAsia" w:ascii="宋体" w:hAnsi="宋体" w:eastAsia="宋体" w:cs="宋体"/>
          <w:sz w:val="21"/>
          <w:szCs w:val="21"/>
        </w:rPr>
        <w:t xml:space="preserve">单一来源 </w:t>
      </w:r>
      <w:r>
        <w:rPr>
          <w:rFonts w:hint="eastAsia" w:ascii="宋体" w:hAnsi="宋体" w:eastAsia="宋体" w:cs="宋体"/>
          <w:sz w:val="21"/>
          <w:szCs w:val="21"/>
        </w:rPr>
        <w:sym w:font="Wingdings" w:char="00A8"/>
      </w:r>
      <w:r>
        <w:rPr>
          <w:rFonts w:hint="eastAsia" w:ascii="宋体" w:hAnsi="宋体" w:eastAsia="宋体" w:cs="宋体"/>
          <w:sz w:val="21"/>
          <w:szCs w:val="21"/>
        </w:rPr>
        <w:t xml:space="preserve">框架协议 </w:t>
      </w:r>
      <w:r>
        <w:rPr>
          <w:rFonts w:hint="eastAsia" w:ascii="宋体" w:hAnsi="宋体" w:eastAsia="宋体" w:cs="宋体"/>
          <w:sz w:val="21"/>
          <w:szCs w:val="21"/>
        </w:rPr>
        <w:sym w:font="Wingdings" w:char="00A8"/>
      </w:r>
      <w:r>
        <w:rPr>
          <w:rFonts w:hint="eastAsia" w:ascii="宋体" w:hAnsi="宋体" w:eastAsia="宋体" w:cs="宋体"/>
          <w:sz w:val="21"/>
          <w:szCs w:val="21"/>
        </w:rPr>
        <w:t>其他：</w:t>
      </w:r>
      <w:r>
        <w:rPr>
          <w:rFonts w:hint="eastAsia" w:ascii="宋体" w:hAnsi="宋体" w:eastAsia="宋体" w:cs="宋体"/>
          <w:sz w:val="21"/>
          <w:szCs w:val="21"/>
          <w:u w:val="single"/>
        </w:rPr>
        <w:t xml:space="preserve">          </w:t>
      </w:r>
    </w:p>
    <w:p w14:paraId="6F7EA755">
      <w:pPr>
        <w:pStyle w:val="59"/>
        <w:numPr>
          <w:ilvl w:val="255"/>
          <w:numId w:val="0"/>
        </w:numPr>
        <w:snapToGrid w:val="0"/>
        <w:ind w:firstLine="420" w:firstLineChars="200"/>
        <w:rPr>
          <w:rFonts w:hint="eastAsia" w:ascii="宋体" w:hAnsi="宋体" w:eastAsia="宋体" w:cs="宋体"/>
          <w:kern w:val="2"/>
          <w:sz w:val="21"/>
          <w:szCs w:val="21"/>
        </w:rPr>
      </w:pPr>
      <w:r>
        <w:rPr>
          <w:rFonts w:hint="eastAsia" w:ascii="宋体" w:hAnsi="宋体" w:eastAsia="宋体" w:cs="宋体"/>
          <w:sz w:val="21"/>
          <w:szCs w:val="21"/>
        </w:rPr>
        <w:t>（</w:t>
      </w:r>
      <w:r>
        <w:rPr>
          <w:rFonts w:hint="eastAsia" w:ascii="宋体" w:hAnsi="宋体" w:eastAsia="宋体" w:cs="宋体"/>
          <w:sz w:val="21"/>
          <w:szCs w:val="21"/>
          <w:lang w:val="en"/>
        </w:rPr>
        <w:t>6</w:t>
      </w:r>
      <w:r>
        <w:rPr>
          <w:rFonts w:hint="eastAsia" w:ascii="宋体" w:hAnsi="宋体" w:eastAsia="宋体" w:cs="宋体"/>
          <w:sz w:val="21"/>
          <w:szCs w:val="21"/>
        </w:rPr>
        <w:t>）</w:t>
      </w:r>
      <w:r>
        <w:rPr>
          <w:rFonts w:hint="eastAsia" w:ascii="宋体" w:hAnsi="宋体" w:eastAsia="宋体" w:cs="宋体"/>
          <w:kern w:val="2"/>
          <w:sz w:val="21"/>
          <w:szCs w:val="21"/>
        </w:rPr>
        <w:t>乙方企业规模：</w:t>
      </w:r>
      <w:r>
        <w:rPr>
          <w:rFonts w:hint="eastAsia" w:ascii="宋体" w:hAnsi="宋体" w:eastAsia="宋体" w:cs="宋体"/>
          <w:iCs/>
          <w:sz w:val="21"/>
          <w:szCs w:val="21"/>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rPr>
        <w:t xml:space="preserve">大型企业  </w:t>
      </w:r>
      <w:r>
        <w:rPr>
          <w:rFonts w:hint="eastAsia" w:ascii="宋体" w:hAnsi="宋体" w:eastAsia="宋体" w:cs="宋体"/>
          <w:iCs/>
          <w:sz w:val="21"/>
          <w:szCs w:val="21"/>
        </w:rPr>
        <w:sym w:font="Wingdings" w:char="00A8"/>
      </w:r>
      <w:r>
        <w:rPr>
          <w:rFonts w:hint="eastAsia" w:ascii="宋体" w:hAnsi="宋体" w:eastAsia="宋体" w:cs="宋体"/>
          <w:iCs/>
          <w:sz w:val="21"/>
          <w:szCs w:val="21"/>
        </w:rPr>
        <w:t xml:space="preserve">中型企业  </w:t>
      </w:r>
      <w:r>
        <w:rPr>
          <w:rFonts w:hint="eastAsia" w:ascii="宋体" w:hAnsi="宋体" w:eastAsia="宋体" w:cs="宋体"/>
          <w:iCs/>
          <w:sz w:val="21"/>
          <w:szCs w:val="21"/>
        </w:rPr>
        <w:sym w:font="Wingdings" w:char="00A8"/>
      </w:r>
      <w:r>
        <w:rPr>
          <w:rFonts w:hint="eastAsia" w:ascii="宋体" w:hAnsi="宋体" w:eastAsia="宋体" w:cs="宋体"/>
          <w:iCs/>
          <w:sz w:val="21"/>
          <w:szCs w:val="21"/>
        </w:rPr>
        <w:t xml:space="preserve">小型企业  </w:t>
      </w:r>
      <w:r>
        <w:rPr>
          <w:rFonts w:hint="eastAsia" w:ascii="宋体" w:hAnsi="宋体" w:eastAsia="宋体" w:cs="宋体"/>
          <w:iCs/>
          <w:sz w:val="21"/>
          <w:szCs w:val="21"/>
        </w:rPr>
        <w:sym w:font="Wingdings" w:char="00A8"/>
      </w:r>
      <w:r>
        <w:rPr>
          <w:rFonts w:hint="eastAsia" w:ascii="宋体" w:hAnsi="宋体" w:eastAsia="宋体" w:cs="宋体"/>
          <w:iCs/>
          <w:sz w:val="21"/>
          <w:szCs w:val="21"/>
        </w:rPr>
        <w:t>微型企业</w:t>
      </w:r>
    </w:p>
    <w:p w14:paraId="06E2E62E">
      <w:pPr>
        <w:numPr>
          <w:ilvl w:val="255"/>
          <w:numId w:val="0"/>
        </w:numPr>
        <w:adjustRightInd w:val="0"/>
        <w:snapToGrid w:val="0"/>
        <w:spacing w:line="400" w:lineRule="exact"/>
        <w:rPr>
          <w:rFonts w:hint="eastAsia" w:ascii="宋体" w:hAnsi="宋体" w:eastAsia="宋体" w:cs="宋体"/>
          <w:iCs/>
          <w:sz w:val="21"/>
          <w:szCs w:val="21"/>
        </w:rPr>
      </w:pPr>
      <w:r>
        <w:rPr>
          <w:rFonts w:hint="eastAsia" w:ascii="宋体" w:hAnsi="宋体" w:eastAsia="宋体" w:cs="宋体"/>
          <w:sz w:val="21"/>
          <w:szCs w:val="21"/>
        </w:rPr>
        <w:t xml:space="preserve">         本合同是否为专门面向中小企业的采购合同（中小企业预留合同）：</w:t>
      </w:r>
      <w:r>
        <w:rPr>
          <w:rFonts w:hint="eastAsia" w:ascii="宋体" w:hAnsi="宋体" w:eastAsia="宋体" w:cs="宋体"/>
          <w:iCs/>
          <w:sz w:val="21"/>
          <w:szCs w:val="21"/>
        </w:rPr>
        <w:sym w:font="Wingdings" w:char="00A8"/>
      </w:r>
      <w:r>
        <w:rPr>
          <w:rFonts w:hint="eastAsia" w:ascii="宋体" w:hAnsi="宋体" w:eastAsia="宋体" w:cs="宋体"/>
          <w:iCs/>
          <w:sz w:val="21"/>
          <w:szCs w:val="21"/>
        </w:rPr>
        <w:t xml:space="preserve">是    </w:t>
      </w:r>
      <w:r>
        <w:rPr>
          <w:rFonts w:hint="eastAsia" w:ascii="宋体" w:hAnsi="宋体" w:eastAsia="宋体" w:cs="宋体"/>
          <w:iCs/>
          <w:sz w:val="21"/>
          <w:szCs w:val="21"/>
        </w:rPr>
        <w:sym w:font="Wingdings" w:char="00FE"/>
      </w:r>
      <w:r>
        <w:rPr>
          <w:rFonts w:hint="eastAsia" w:ascii="宋体" w:hAnsi="宋体" w:eastAsia="宋体" w:cs="宋体"/>
          <w:iCs/>
          <w:sz w:val="21"/>
          <w:szCs w:val="21"/>
        </w:rPr>
        <w:t>否</w:t>
      </w:r>
    </w:p>
    <w:p w14:paraId="51127F2B">
      <w:pPr>
        <w:numPr>
          <w:ilvl w:val="255"/>
          <w:numId w:val="0"/>
        </w:numPr>
        <w:adjustRightInd w:val="0"/>
        <w:snapToGrid w:val="0"/>
        <w:spacing w:line="400" w:lineRule="exact"/>
        <w:rPr>
          <w:rFonts w:hint="eastAsia" w:ascii="宋体" w:hAnsi="宋体" w:eastAsia="宋体" w:cs="宋体"/>
          <w:sz w:val="21"/>
          <w:szCs w:val="21"/>
        </w:rPr>
      </w:pPr>
      <w:r>
        <w:rPr>
          <w:rFonts w:hint="eastAsia" w:ascii="宋体" w:hAnsi="宋体" w:eastAsia="宋体" w:cs="宋体"/>
          <w:sz w:val="21"/>
          <w:szCs w:val="21"/>
        </w:rPr>
        <w:t xml:space="preserve">         若本项目不专门面向中小企业采购，是否给予小微企业评审优惠：</w:t>
      </w:r>
      <w:r>
        <w:rPr>
          <w:rFonts w:hint="eastAsia" w:ascii="宋体" w:hAnsi="宋体" w:eastAsia="宋体" w:cs="宋体"/>
          <w:iCs/>
          <w:sz w:val="21"/>
          <w:szCs w:val="21"/>
        </w:rPr>
        <w:sym w:font="Wingdings" w:char="00FE"/>
      </w:r>
      <w:r>
        <w:rPr>
          <w:rFonts w:hint="eastAsia" w:ascii="宋体" w:hAnsi="宋体" w:eastAsia="宋体" w:cs="宋体"/>
          <w:iCs/>
          <w:sz w:val="21"/>
          <w:szCs w:val="21"/>
        </w:rPr>
        <w:t xml:space="preserve">是   </w:t>
      </w:r>
      <w:r>
        <w:rPr>
          <w:rFonts w:hint="eastAsia" w:ascii="宋体" w:hAnsi="宋体" w:eastAsia="宋体" w:cs="宋体"/>
          <w:iCs/>
          <w:sz w:val="21"/>
          <w:szCs w:val="21"/>
        </w:rPr>
        <w:sym w:font="Wingdings" w:char="00A8"/>
      </w:r>
      <w:r>
        <w:rPr>
          <w:rFonts w:hint="eastAsia" w:ascii="宋体" w:hAnsi="宋体" w:eastAsia="宋体" w:cs="宋体"/>
          <w:iCs/>
          <w:sz w:val="21"/>
          <w:szCs w:val="21"/>
        </w:rPr>
        <w:t>否</w:t>
      </w:r>
    </w:p>
    <w:p w14:paraId="680DF4D0">
      <w:pPr>
        <w:pStyle w:val="59"/>
        <w:numPr>
          <w:ilvl w:val="0"/>
          <w:numId w:val="9"/>
        </w:numPr>
        <w:snapToGrid w:val="0"/>
        <w:ind w:firstLine="420" w:firstLineChars="0"/>
        <w:rPr>
          <w:rFonts w:hint="eastAsia" w:ascii="宋体" w:hAnsi="宋体" w:eastAsia="宋体" w:cs="宋体"/>
          <w:kern w:val="2"/>
          <w:sz w:val="21"/>
          <w:szCs w:val="21"/>
        </w:rPr>
      </w:pPr>
      <w:r>
        <w:rPr>
          <w:rFonts w:hint="eastAsia" w:ascii="宋体" w:hAnsi="宋体" w:eastAsia="宋体" w:cs="宋体"/>
          <w:sz w:val="21"/>
          <w:szCs w:val="21"/>
        </w:rPr>
        <w:t>合同授予类型：</w:t>
      </w:r>
      <w:r>
        <w:rPr>
          <w:rFonts w:hint="eastAsia" w:ascii="宋体" w:hAnsi="宋体" w:eastAsia="宋体" w:cs="宋体"/>
          <w:kern w:val="2"/>
          <w:sz w:val="21"/>
          <w:szCs w:val="21"/>
        </w:rPr>
        <w:sym w:font="Wingdings" w:char="00A8"/>
      </w:r>
      <w:r>
        <w:rPr>
          <w:rFonts w:hint="eastAsia" w:ascii="宋体" w:hAnsi="宋体" w:eastAsia="宋体" w:cs="宋体"/>
          <w:kern w:val="2"/>
          <w:sz w:val="21"/>
          <w:szCs w:val="21"/>
        </w:rPr>
        <w:t xml:space="preserve">省内      </w:t>
      </w:r>
      <w:r>
        <w:rPr>
          <w:rFonts w:hint="eastAsia" w:ascii="宋体" w:hAnsi="宋体" w:eastAsia="宋体" w:cs="宋体"/>
          <w:kern w:val="2"/>
          <w:sz w:val="21"/>
          <w:szCs w:val="21"/>
        </w:rPr>
        <w:sym w:font="Wingdings" w:char="00A8"/>
      </w:r>
      <w:r>
        <w:rPr>
          <w:rFonts w:hint="eastAsia" w:ascii="宋体" w:hAnsi="宋体" w:eastAsia="宋体" w:cs="宋体"/>
          <w:kern w:val="2"/>
          <w:sz w:val="21"/>
          <w:szCs w:val="21"/>
        </w:rPr>
        <w:t>省外</w:t>
      </w:r>
    </w:p>
    <w:p w14:paraId="73D71A66">
      <w:pPr>
        <w:numPr>
          <w:ilvl w:val="0"/>
          <w:numId w:val="7"/>
        </w:numPr>
        <w:adjustRightInd w:val="0"/>
        <w:snapToGrid w:val="0"/>
        <w:spacing w:line="400" w:lineRule="exact"/>
        <w:ind w:firstLine="422" w:firstLineChars="200"/>
        <w:rPr>
          <w:rFonts w:hint="eastAsia" w:ascii="宋体" w:hAnsi="宋体" w:eastAsia="宋体" w:cs="宋体"/>
          <w:b/>
          <w:sz w:val="21"/>
          <w:szCs w:val="21"/>
        </w:rPr>
      </w:pPr>
      <w:r>
        <w:rPr>
          <w:rFonts w:hint="eastAsia" w:ascii="宋体" w:hAnsi="宋体" w:eastAsia="宋体" w:cs="宋体"/>
          <w:b/>
          <w:sz w:val="21"/>
          <w:szCs w:val="21"/>
        </w:rPr>
        <w:t>合同金额</w:t>
      </w:r>
    </w:p>
    <w:p w14:paraId="492FD01D">
      <w:pPr>
        <w:adjustRightInd w:val="0"/>
        <w:snapToGrid w:val="0"/>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（1）合同金额大写：</w:t>
      </w:r>
      <w:r>
        <w:rPr>
          <w:rFonts w:hint="eastAsia" w:ascii="宋体" w:hAnsi="宋体" w:eastAsia="宋体" w:cs="宋体"/>
          <w:sz w:val="21"/>
          <w:szCs w:val="21"/>
          <w:u w:val="single"/>
        </w:rPr>
        <w:t xml:space="preserve">                           </w:t>
      </w:r>
    </w:p>
    <w:p w14:paraId="597476B2">
      <w:pPr>
        <w:adjustRightInd w:val="0"/>
        <w:snapToGrid w:val="0"/>
        <w:spacing w:line="400" w:lineRule="exact"/>
        <w:rPr>
          <w:rFonts w:hint="eastAsia" w:ascii="宋体" w:hAnsi="宋体" w:eastAsia="宋体" w:cs="宋体"/>
          <w:sz w:val="21"/>
          <w:szCs w:val="21"/>
          <w:u w:val="single"/>
        </w:rPr>
      </w:pPr>
      <w:r>
        <w:rPr>
          <w:rFonts w:hint="eastAsia" w:ascii="宋体" w:hAnsi="宋体" w:eastAsia="宋体" w:cs="宋体"/>
          <w:sz w:val="21"/>
          <w:szCs w:val="21"/>
        </w:rPr>
        <w:t xml:space="preserve">                 小写：</w:t>
      </w:r>
      <w:r>
        <w:rPr>
          <w:rFonts w:hint="eastAsia" w:ascii="宋体" w:hAnsi="宋体" w:eastAsia="宋体" w:cs="宋体"/>
          <w:sz w:val="21"/>
          <w:szCs w:val="21"/>
          <w:u w:val="single"/>
        </w:rPr>
        <w:t xml:space="preserve">                           </w:t>
      </w:r>
    </w:p>
    <w:p w14:paraId="1997DA8D">
      <w:pPr>
        <w:pStyle w:val="55"/>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（2）付款方式（按项目实际勾选填写）：</w:t>
      </w:r>
    </w:p>
    <w:p w14:paraId="4CE6A476">
      <w:pPr>
        <w:adjustRightInd w:val="0"/>
        <w:snapToGrid w:val="0"/>
        <w:spacing w:line="400" w:lineRule="exact"/>
        <w:ind w:firstLine="630" w:firstLineChars="300"/>
        <w:rPr>
          <w:rFonts w:hint="eastAsia" w:ascii="宋体" w:hAnsi="宋体" w:eastAsia="宋体" w:cs="宋体"/>
          <w:color w:val="auto"/>
          <w:sz w:val="21"/>
          <w:szCs w:val="21"/>
          <w:u w:val="single"/>
        </w:rPr>
      </w:pPr>
      <w:r>
        <w:rPr>
          <w:rFonts w:hint="eastAsia" w:ascii="宋体" w:hAnsi="宋体" w:eastAsia="宋体" w:cs="宋体"/>
          <w:color w:val="auto"/>
          <w:sz w:val="21"/>
          <w:szCs w:val="21"/>
        </w:rPr>
        <w:sym w:font="Wingdings" w:char="00FE"/>
      </w:r>
      <w:r>
        <w:rPr>
          <w:rFonts w:hint="eastAsia" w:ascii="宋体" w:hAnsi="宋体" w:cs="宋体"/>
          <w:color w:val="auto"/>
          <w:sz w:val="21"/>
          <w:szCs w:val="21"/>
          <w:lang w:val="en-US" w:eastAsia="zh-CN"/>
        </w:rPr>
        <w:t>分期</w:t>
      </w:r>
      <w:r>
        <w:rPr>
          <w:rFonts w:hint="eastAsia" w:ascii="宋体" w:hAnsi="宋体" w:eastAsia="宋体" w:cs="宋体"/>
          <w:color w:val="auto"/>
          <w:sz w:val="21"/>
          <w:szCs w:val="21"/>
        </w:rPr>
        <w:t>付款：</w:t>
      </w:r>
      <w:r>
        <w:rPr>
          <w:rFonts w:hint="eastAsia" w:ascii="宋体" w:hAnsi="宋体" w:eastAsia="宋体" w:cs="宋体"/>
          <w:color w:val="auto"/>
          <w:sz w:val="21"/>
          <w:szCs w:val="21"/>
          <w:u w:val="single"/>
        </w:rPr>
        <w:t xml:space="preserve"> 合同签订后30日内，由乙方提供本合同金额30%的预付款保函（银行保函形式、有效期至甲方收货后），甲方收到预付款保函、合同备案通过后一个月内，支付合同总额30%作为预付款给乙方；</w:t>
      </w:r>
    </w:p>
    <w:p w14:paraId="7C6A2B3B">
      <w:pPr>
        <w:adjustRightInd w:val="0"/>
        <w:snapToGrid w:val="0"/>
        <w:spacing w:line="400" w:lineRule="exact"/>
        <w:ind w:firstLine="630" w:firstLineChars="300"/>
        <w:rPr>
          <w:rFonts w:hint="eastAsia" w:ascii="宋体" w:hAnsi="宋体" w:eastAsia="宋体" w:cs="宋体"/>
          <w:color w:val="auto"/>
          <w:sz w:val="21"/>
          <w:szCs w:val="21"/>
          <w:u w:val="single"/>
        </w:rPr>
      </w:pPr>
      <w:r>
        <w:rPr>
          <w:rFonts w:hint="eastAsia" w:ascii="宋体" w:hAnsi="宋体" w:eastAsia="宋体" w:cs="宋体"/>
          <w:color w:val="auto"/>
          <w:sz w:val="21"/>
          <w:szCs w:val="21"/>
          <w:u w:val="single"/>
        </w:rPr>
        <w:t>乙方在验收合格之日起15日内，按照合同金额的100%向甲方开具发票，甲方收到全额发票30日内支付合同总额的70%给乙方并退还乙方预付款保函，在乙方完成其合同义务包括任何保证义务至质保期结束无质量问题，退还乙方履约保证金（银行保函）；</w:t>
      </w:r>
    </w:p>
    <w:p w14:paraId="53AECB39">
      <w:pPr>
        <w:adjustRightInd w:val="0"/>
        <w:snapToGrid w:val="0"/>
        <w:spacing w:line="400" w:lineRule="exact"/>
        <w:ind w:firstLine="630" w:firstLineChars="300"/>
        <w:rPr>
          <w:rFonts w:hint="eastAsia" w:ascii="宋体" w:hAnsi="宋体" w:eastAsia="宋体" w:cs="宋体"/>
          <w:color w:val="auto"/>
          <w:sz w:val="21"/>
          <w:szCs w:val="21"/>
          <w:u w:val="single"/>
        </w:rPr>
      </w:pPr>
      <w:r>
        <w:rPr>
          <w:rFonts w:hint="eastAsia" w:ascii="宋体" w:hAnsi="宋体" w:eastAsia="宋体" w:cs="宋体"/>
          <w:color w:val="auto"/>
          <w:sz w:val="21"/>
          <w:szCs w:val="21"/>
          <w:u w:val="single"/>
        </w:rPr>
        <w:t>如乙方未开具预付款保函，视为放弃预付款。乙方在验收合格之日起15日内，按照合同金额的100%向甲方开具发票，甲方收到全额发票30日内支付合同总额的100%给乙方，在乙方完成其合同义务包括任何保证义务至质保期结束无质量问题，退还乙方履约保证金（银行保函）；</w:t>
      </w:r>
    </w:p>
    <w:p w14:paraId="5CE668B5">
      <w:pPr>
        <w:snapToGrid w:val="0"/>
        <w:spacing w:line="400" w:lineRule="exact"/>
        <w:ind w:firstLine="420" w:firstLineChars="200"/>
        <w:rPr>
          <w:rFonts w:hint="eastAsia" w:ascii="宋体" w:hAnsi="宋体" w:eastAsia="宋体" w:cs="宋体"/>
          <w:color w:val="auto"/>
          <w:sz w:val="21"/>
          <w:szCs w:val="21"/>
          <w:u w:val="single"/>
        </w:rPr>
      </w:pPr>
      <w:r>
        <w:rPr>
          <w:rFonts w:hint="eastAsia" w:ascii="宋体" w:hAnsi="宋体" w:eastAsia="宋体" w:cs="宋体"/>
          <w:color w:val="auto"/>
          <w:sz w:val="21"/>
          <w:szCs w:val="21"/>
        </w:rPr>
        <w:t>（3）其他事项：</w:t>
      </w:r>
      <w:r>
        <w:rPr>
          <w:rFonts w:hint="eastAsia" w:ascii="宋体" w:hAnsi="宋体" w:eastAsia="宋体" w:cs="宋体"/>
          <w:color w:val="auto"/>
          <w:sz w:val="21"/>
          <w:szCs w:val="21"/>
          <w:u w:val="single"/>
        </w:rPr>
        <w:t>因甲方单位性质，需要按照国家、省级项目资金支付规定执行，乙方应对此清楚知晓，甲方尽量保证按照本协议约定履行义务，如因以上原因导致无法按时支付款项的，乙方承诺不追究甲方违约责任。</w:t>
      </w:r>
    </w:p>
    <w:p w14:paraId="0463E969">
      <w:pPr>
        <w:numPr>
          <w:ilvl w:val="0"/>
          <w:numId w:val="7"/>
        </w:numPr>
        <w:adjustRightInd w:val="0"/>
        <w:snapToGrid w:val="0"/>
        <w:spacing w:line="400" w:lineRule="exact"/>
        <w:ind w:firstLine="422" w:firstLineChars="200"/>
        <w:rPr>
          <w:rFonts w:hint="eastAsia" w:ascii="宋体" w:hAnsi="宋体" w:eastAsia="宋体" w:cs="宋体"/>
          <w:b/>
          <w:color w:val="auto"/>
          <w:sz w:val="21"/>
          <w:szCs w:val="21"/>
          <w:u w:val="single"/>
        </w:rPr>
      </w:pPr>
      <w:r>
        <w:rPr>
          <w:rFonts w:hint="eastAsia" w:ascii="宋体" w:hAnsi="宋体" w:eastAsia="宋体" w:cs="宋体"/>
          <w:b/>
          <w:color w:val="auto"/>
          <w:sz w:val="21"/>
          <w:szCs w:val="21"/>
        </w:rPr>
        <w:t>合同履行</w:t>
      </w:r>
    </w:p>
    <w:p w14:paraId="3E34F8B0">
      <w:pPr>
        <w:adjustRightInd w:val="0"/>
        <w:snapToGrid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（1）起始日期：</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日，完成日期：</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日。</w:t>
      </w:r>
    </w:p>
    <w:p w14:paraId="4F10A970">
      <w:pPr>
        <w:adjustRightInd w:val="0"/>
        <w:snapToGrid w:val="0"/>
        <w:spacing w:line="400" w:lineRule="exact"/>
        <w:ind w:firstLine="420" w:firstLineChars="200"/>
        <w:rPr>
          <w:rFonts w:hint="eastAsia" w:ascii="宋体" w:hAnsi="宋体" w:eastAsia="宋体" w:cs="宋体"/>
          <w:color w:val="auto"/>
          <w:sz w:val="21"/>
          <w:szCs w:val="21"/>
          <w:u w:val="single"/>
        </w:rPr>
      </w:pPr>
      <w:r>
        <w:rPr>
          <w:rFonts w:hint="eastAsia" w:ascii="宋体" w:hAnsi="宋体" w:eastAsia="宋体" w:cs="宋体"/>
          <w:color w:val="auto"/>
          <w:sz w:val="21"/>
          <w:szCs w:val="21"/>
        </w:rPr>
        <w:t>（2）履约地点</w:t>
      </w:r>
      <w:r>
        <w:rPr>
          <w:rFonts w:hint="eastAsia" w:ascii="宋体" w:hAnsi="宋体" w:eastAsia="宋体" w:cs="宋体"/>
          <w:bCs/>
          <w:color w:val="auto"/>
          <w:sz w:val="21"/>
          <w:szCs w:val="21"/>
        </w:rPr>
        <w:t>：</w:t>
      </w:r>
      <w:r>
        <w:rPr>
          <w:rFonts w:hint="eastAsia" w:ascii="宋体" w:hAnsi="宋体" w:eastAsia="宋体" w:cs="宋体"/>
          <w:color w:val="auto"/>
          <w:sz w:val="21"/>
          <w:szCs w:val="21"/>
          <w:u w:val="single"/>
        </w:rPr>
        <w:t xml:space="preserve">     </w:t>
      </w:r>
    </w:p>
    <w:p w14:paraId="1FF02C0E">
      <w:pPr>
        <w:adjustRightInd w:val="0"/>
        <w:snapToGrid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bCs/>
          <w:color w:val="auto"/>
          <w:sz w:val="21"/>
          <w:szCs w:val="21"/>
        </w:rPr>
        <w:t>（3）履约担保：</w:t>
      </w:r>
      <w:r>
        <w:rPr>
          <w:rFonts w:hint="eastAsia" w:ascii="宋体" w:hAnsi="宋体" w:eastAsia="宋体" w:cs="宋体"/>
          <w:color w:val="auto"/>
          <w:sz w:val="21"/>
          <w:szCs w:val="21"/>
        </w:rPr>
        <w:t>是否收取履约保证金：</w:t>
      </w:r>
      <w:r>
        <w:rPr>
          <w:rFonts w:hint="eastAsia" w:ascii="宋体" w:hAnsi="宋体" w:eastAsia="宋体" w:cs="宋体"/>
          <w:color w:val="auto"/>
          <w:sz w:val="21"/>
          <w:szCs w:val="21"/>
        </w:rPr>
        <w:sym w:font="Wingdings" w:char="00FE"/>
      </w:r>
      <w:r>
        <w:rPr>
          <w:rFonts w:hint="eastAsia" w:ascii="宋体" w:hAnsi="宋体" w:eastAsia="宋体" w:cs="宋体"/>
          <w:color w:val="auto"/>
          <w:sz w:val="21"/>
          <w:szCs w:val="21"/>
        </w:rPr>
        <w:t xml:space="preserve">是    </w:t>
      </w:r>
      <w:r>
        <w:rPr>
          <w:rFonts w:hint="eastAsia" w:ascii="宋体" w:hAnsi="宋体" w:eastAsia="宋体" w:cs="宋体"/>
          <w:color w:val="auto"/>
          <w:sz w:val="21"/>
          <w:szCs w:val="21"/>
        </w:rPr>
        <w:sym w:font="Wingdings" w:char="00A8"/>
      </w:r>
      <w:r>
        <w:rPr>
          <w:rFonts w:hint="eastAsia" w:ascii="宋体" w:hAnsi="宋体" w:eastAsia="宋体" w:cs="宋体"/>
          <w:color w:val="auto"/>
          <w:sz w:val="21"/>
          <w:szCs w:val="21"/>
        </w:rPr>
        <w:t>否</w:t>
      </w:r>
    </w:p>
    <w:p w14:paraId="1960D65C">
      <w:pPr>
        <w:pStyle w:val="59"/>
        <w:rPr>
          <w:rFonts w:hint="eastAsia" w:ascii="宋体" w:hAnsi="宋体" w:eastAsia="宋体" w:cs="宋体"/>
          <w:color w:val="auto"/>
          <w:sz w:val="21"/>
          <w:szCs w:val="21"/>
        </w:rPr>
      </w:pPr>
      <w:r>
        <w:rPr>
          <w:rFonts w:hint="eastAsia" w:ascii="宋体" w:hAnsi="宋体" w:eastAsia="宋体" w:cs="宋体"/>
          <w:bCs/>
          <w:color w:val="auto"/>
          <w:sz w:val="21"/>
          <w:szCs w:val="21"/>
        </w:rPr>
        <w:t xml:space="preserve">  </w:t>
      </w:r>
      <w:r>
        <w:rPr>
          <w:rFonts w:hint="eastAsia" w:ascii="宋体" w:hAnsi="宋体" w:eastAsia="宋体" w:cs="宋体"/>
          <w:color w:val="auto"/>
          <w:sz w:val="21"/>
          <w:szCs w:val="21"/>
        </w:rPr>
        <w:t xml:space="preserve">  收取履约保证金形式：</w:t>
      </w:r>
      <w:r>
        <w:rPr>
          <w:rFonts w:hint="eastAsia" w:ascii="宋体" w:hAnsi="宋体" w:eastAsia="宋体" w:cs="宋体"/>
          <w:bCs/>
          <w:color w:val="auto"/>
          <w:sz w:val="21"/>
          <w:szCs w:val="21"/>
          <w:u w:val="single"/>
        </w:rPr>
        <w:t xml:space="preserve">  银行保函  </w:t>
      </w:r>
    </w:p>
    <w:p w14:paraId="08F37FE2">
      <w:pPr>
        <w:pStyle w:val="59"/>
        <w:ind w:firstLine="420"/>
        <w:rPr>
          <w:rFonts w:hint="eastAsia" w:ascii="宋体" w:hAnsi="宋体" w:eastAsia="宋体" w:cs="宋体"/>
          <w:color w:val="auto"/>
          <w:sz w:val="21"/>
          <w:szCs w:val="21"/>
        </w:rPr>
      </w:pPr>
      <w:r>
        <w:rPr>
          <w:rFonts w:hint="eastAsia" w:ascii="宋体" w:hAnsi="宋体" w:eastAsia="宋体" w:cs="宋体"/>
          <w:color w:val="auto"/>
          <w:sz w:val="21"/>
          <w:szCs w:val="21"/>
        </w:rPr>
        <w:t xml:space="preserve">    收取履约保证金金额或比例：</w:t>
      </w:r>
      <w:r>
        <w:rPr>
          <w:rFonts w:hint="eastAsia" w:ascii="宋体" w:hAnsi="宋体" w:eastAsia="宋体" w:cs="宋体"/>
          <w:bCs/>
          <w:color w:val="auto"/>
          <w:sz w:val="21"/>
          <w:szCs w:val="21"/>
          <w:u w:val="single"/>
        </w:rPr>
        <w:t xml:space="preserve">  合同金额的5% </w:t>
      </w:r>
    </w:p>
    <w:p w14:paraId="235DC748">
      <w:pPr>
        <w:snapToGrid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bCs/>
          <w:color w:val="auto"/>
          <w:sz w:val="21"/>
          <w:szCs w:val="21"/>
        </w:rPr>
        <w:t xml:space="preserve">    履约担保期限：</w:t>
      </w:r>
      <w:r>
        <w:rPr>
          <w:rFonts w:hint="eastAsia" w:ascii="宋体" w:hAnsi="宋体" w:eastAsia="宋体" w:cs="宋体"/>
          <w:bCs/>
          <w:color w:val="auto"/>
          <w:kern w:val="0"/>
          <w:sz w:val="21"/>
          <w:szCs w:val="21"/>
          <w:u w:val="single"/>
        </w:rPr>
        <w:t xml:space="preserve"> 自合同签订之日起至质保期结束之日止     </w:t>
      </w:r>
      <w:r>
        <w:rPr>
          <w:rFonts w:hint="eastAsia" w:ascii="宋体" w:hAnsi="宋体" w:eastAsia="宋体" w:cs="宋体"/>
          <w:bCs/>
          <w:color w:val="auto"/>
          <w:sz w:val="21"/>
          <w:szCs w:val="21"/>
          <w:u w:val="single"/>
        </w:rPr>
        <w:t xml:space="preserve">       </w:t>
      </w:r>
    </w:p>
    <w:p w14:paraId="661409E5">
      <w:pPr>
        <w:adjustRightInd w:val="0"/>
        <w:snapToGrid w:val="0"/>
        <w:spacing w:line="400" w:lineRule="exact"/>
        <w:ind w:firstLine="420" w:firstLineChars="200"/>
        <w:rPr>
          <w:rFonts w:hint="eastAsia" w:ascii="宋体" w:hAnsi="宋体" w:eastAsia="宋体" w:cs="宋体"/>
          <w:bCs/>
          <w:color w:val="auto"/>
          <w:sz w:val="21"/>
          <w:szCs w:val="21"/>
          <w:u w:val="single"/>
        </w:rPr>
      </w:pPr>
      <w:r>
        <w:rPr>
          <w:rFonts w:hint="eastAsia" w:ascii="宋体" w:hAnsi="宋体" w:eastAsia="宋体" w:cs="宋体"/>
          <w:bCs/>
          <w:color w:val="auto"/>
          <w:sz w:val="21"/>
          <w:szCs w:val="21"/>
        </w:rPr>
        <w:t>（4）分期履行要求：</w:t>
      </w:r>
      <w:r>
        <w:rPr>
          <w:rFonts w:hint="eastAsia" w:ascii="宋体" w:hAnsi="宋体" w:eastAsia="宋体" w:cs="宋体"/>
          <w:bCs/>
          <w:color w:val="auto"/>
          <w:sz w:val="21"/>
          <w:szCs w:val="21"/>
          <w:u w:val="single"/>
        </w:rPr>
        <w:t xml:space="preserve">                                                        </w:t>
      </w:r>
    </w:p>
    <w:p w14:paraId="0214FA74">
      <w:pPr>
        <w:pStyle w:val="59"/>
        <w:ind w:firstLine="422"/>
        <w:rPr>
          <w:rFonts w:hint="eastAsia" w:ascii="宋体" w:hAnsi="宋体" w:eastAsia="宋体" w:cs="宋体"/>
          <w:color w:val="auto"/>
          <w:sz w:val="21"/>
          <w:szCs w:val="21"/>
          <w:u w:val="single"/>
        </w:rPr>
      </w:pPr>
      <w:r>
        <w:rPr>
          <w:rFonts w:hint="eastAsia" w:ascii="宋体" w:hAnsi="宋体" w:eastAsia="宋体" w:cs="宋体"/>
          <w:b/>
          <w:color w:val="auto"/>
          <w:kern w:val="2"/>
          <w:sz w:val="21"/>
          <w:szCs w:val="21"/>
        </w:rPr>
        <w:t>（5）风险处置措施和替代方案：</w:t>
      </w:r>
      <w:r>
        <w:rPr>
          <w:rFonts w:hint="eastAsia" w:ascii="宋体" w:hAnsi="宋体" w:eastAsia="宋体" w:cs="宋体"/>
          <w:b/>
          <w:color w:val="auto"/>
          <w:kern w:val="2"/>
          <w:sz w:val="21"/>
          <w:szCs w:val="21"/>
          <w:u w:val="single"/>
        </w:rPr>
        <w:t xml:space="preserve"> a.本合同附件一所列的货物在到达</w:t>
      </w:r>
      <w:r>
        <w:rPr>
          <w:rFonts w:hint="eastAsia" w:ascii="宋体" w:hAnsi="宋体" w:eastAsia="宋体" w:cs="宋体"/>
          <w:b/>
          <w:color w:val="auto"/>
          <w:kern w:val="2"/>
          <w:sz w:val="21"/>
          <w:szCs w:val="21"/>
          <w:u w:val="single"/>
          <w:lang w:eastAsia="zh-CN"/>
        </w:rPr>
        <w:t>郑州市</w:t>
      </w:r>
      <w:r>
        <w:rPr>
          <w:rFonts w:hint="eastAsia" w:ascii="宋体" w:hAnsi="宋体" w:eastAsia="宋体" w:cs="宋体"/>
          <w:b/>
          <w:color w:val="auto"/>
          <w:kern w:val="2"/>
          <w:sz w:val="21"/>
          <w:szCs w:val="21"/>
          <w:u w:val="single"/>
        </w:rPr>
        <w:t>之前的货物灭失风险由供应商负责；b.供应商应对途中运输的货物向保险公司投保商业保险，保险费用由供应商承担。</w:t>
      </w:r>
    </w:p>
    <w:p w14:paraId="5FD83445">
      <w:pPr>
        <w:numPr>
          <w:ilvl w:val="0"/>
          <w:numId w:val="7"/>
        </w:numPr>
        <w:adjustRightInd w:val="0"/>
        <w:snapToGrid w:val="0"/>
        <w:spacing w:line="400" w:lineRule="exact"/>
        <w:ind w:firstLine="422" w:firstLineChars="200"/>
        <w:rPr>
          <w:rFonts w:hint="eastAsia" w:ascii="宋体" w:hAnsi="宋体" w:eastAsia="宋体" w:cs="宋体"/>
          <w:b/>
          <w:sz w:val="21"/>
          <w:szCs w:val="21"/>
        </w:rPr>
      </w:pPr>
      <w:r>
        <w:rPr>
          <w:rFonts w:hint="eastAsia" w:ascii="宋体" w:hAnsi="宋体" w:eastAsia="宋体" w:cs="宋体"/>
          <w:b/>
          <w:sz w:val="21"/>
          <w:szCs w:val="21"/>
        </w:rPr>
        <w:t>合同验收</w:t>
      </w:r>
    </w:p>
    <w:p w14:paraId="23FF68E8">
      <w:pPr>
        <w:numPr>
          <w:ilvl w:val="0"/>
          <w:numId w:val="10"/>
        </w:numPr>
        <w:adjustRightInd w:val="0"/>
        <w:snapToGrid w:val="0"/>
        <w:spacing w:line="400" w:lineRule="exact"/>
        <w:ind w:firstLine="420" w:firstLineChars="200"/>
        <w:rPr>
          <w:rFonts w:hint="eastAsia" w:ascii="宋体" w:hAnsi="宋体" w:eastAsia="宋体" w:cs="宋体"/>
          <w:bCs/>
          <w:sz w:val="21"/>
          <w:szCs w:val="21"/>
        </w:rPr>
      </w:pPr>
      <w:r>
        <w:rPr>
          <w:rFonts w:hint="eastAsia" w:ascii="宋体" w:hAnsi="宋体" w:eastAsia="宋体" w:cs="宋体"/>
          <w:bCs/>
          <w:sz w:val="21"/>
          <w:szCs w:val="21"/>
        </w:rPr>
        <w:t>验收组织方式：自行组织</w:t>
      </w:r>
    </w:p>
    <w:p w14:paraId="7F392DA3">
      <w:pPr>
        <w:adjustRightInd w:val="0"/>
        <w:snapToGrid w:val="0"/>
        <w:spacing w:line="400" w:lineRule="exact"/>
        <w:rPr>
          <w:rFonts w:hint="eastAsia" w:ascii="宋体" w:hAnsi="宋体" w:eastAsia="宋体" w:cs="宋体"/>
          <w:bCs/>
          <w:sz w:val="21"/>
          <w:szCs w:val="21"/>
        </w:rPr>
      </w:pPr>
      <w:r>
        <w:rPr>
          <w:rFonts w:hint="eastAsia" w:ascii="宋体" w:hAnsi="宋体" w:eastAsia="宋体" w:cs="宋体"/>
          <w:bCs/>
          <w:sz w:val="21"/>
          <w:szCs w:val="21"/>
        </w:rPr>
        <w:t xml:space="preserve">         验收主</w:t>
      </w:r>
      <w:r>
        <w:rPr>
          <w:rFonts w:hint="eastAsia" w:ascii="宋体" w:hAnsi="宋体" w:eastAsia="宋体" w:cs="宋体"/>
          <w:bCs/>
          <w:color w:val="auto"/>
          <w:sz w:val="21"/>
          <w:szCs w:val="21"/>
        </w:rPr>
        <w:t>体：</w:t>
      </w:r>
      <w:r>
        <w:rPr>
          <w:rFonts w:hint="eastAsia" w:ascii="宋体" w:hAnsi="宋体" w:eastAsia="宋体" w:cs="宋体"/>
          <w:bCs/>
          <w:color w:val="auto"/>
          <w:sz w:val="21"/>
          <w:szCs w:val="21"/>
          <w:u w:val="single"/>
        </w:rPr>
        <w:t xml:space="preserve"> </w:t>
      </w:r>
      <w:r>
        <w:rPr>
          <w:rFonts w:hint="eastAsia" w:ascii="宋体" w:hAnsi="宋体" w:cs="宋体"/>
          <w:bCs/>
          <w:color w:val="auto"/>
          <w:sz w:val="21"/>
          <w:szCs w:val="21"/>
          <w:u w:val="single"/>
          <w:lang w:eastAsia="zh-CN"/>
        </w:rPr>
        <w:t>河南省科学院和河南省科学院材料基因工程研究所</w:t>
      </w:r>
      <w:r>
        <w:rPr>
          <w:rFonts w:hint="eastAsia" w:ascii="宋体" w:hAnsi="宋体" w:cs="宋体"/>
          <w:bCs/>
          <w:color w:val="auto"/>
          <w:sz w:val="21"/>
          <w:szCs w:val="21"/>
          <w:u w:val="single"/>
          <w:lang w:val="en-US" w:eastAsia="zh-CN"/>
        </w:rPr>
        <w:t xml:space="preserve"> </w:t>
      </w:r>
      <w:r>
        <w:rPr>
          <w:rFonts w:hint="eastAsia" w:ascii="宋体" w:hAnsi="宋体" w:eastAsia="宋体" w:cs="宋体"/>
          <w:bCs/>
          <w:sz w:val="21"/>
          <w:szCs w:val="21"/>
          <w:u w:val="single"/>
        </w:rPr>
        <w:t xml:space="preserve"> </w:t>
      </w:r>
    </w:p>
    <w:p w14:paraId="619C2A3E">
      <w:pPr>
        <w:adjustRightInd w:val="0"/>
        <w:snapToGrid w:val="0"/>
        <w:spacing w:line="400" w:lineRule="exact"/>
        <w:ind w:firstLine="420" w:firstLineChars="200"/>
        <w:rPr>
          <w:rFonts w:hint="eastAsia" w:ascii="宋体" w:hAnsi="宋体" w:eastAsia="宋体" w:cs="宋体"/>
          <w:bCs/>
          <w:sz w:val="21"/>
          <w:szCs w:val="21"/>
          <w:u w:val="single"/>
        </w:rPr>
      </w:pPr>
      <w:r>
        <w:rPr>
          <w:rFonts w:hint="eastAsia" w:ascii="宋体" w:hAnsi="宋体" w:eastAsia="宋体" w:cs="宋体"/>
          <w:bCs/>
          <w:sz w:val="21"/>
          <w:szCs w:val="21"/>
        </w:rPr>
        <w:t>（2）履约验收时间：</w:t>
      </w:r>
      <w:r>
        <w:rPr>
          <w:rFonts w:hint="eastAsia" w:ascii="宋体" w:hAnsi="宋体" w:eastAsia="宋体" w:cs="宋体"/>
          <w:bCs/>
          <w:sz w:val="21"/>
          <w:szCs w:val="21"/>
          <w:u w:val="single"/>
        </w:rPr>
        <w:t>（供应商提出验收申请之日起</w:t>
      </w:r>
      <w:r>
        <w:rPr>
          <w:rFonts w:hint="eastAsia" w:ascii="宋体" w:hAnsi="宋体" w:eastAsia="宋体" w:cs="宋体"/>
          <w:b/>
          <w:sz w:val="21"/>
          <w:szCs w:val="21"/>
          <w:u w:val="single"/>
        </w:rPr>
        <w:t>5个工作日内</w:t>
      </w:r>
      <w:r>
        <w:rPr>
          <w:rFonts w:hint="eastAsia" w:ascii="宋体" w:hAnsi="宋体" w:eastAsia="宋体" w:cs="宋体"/>
          <w:bCs/>
          <w:sz w:val="21"/>
          <w:szCs w:val="21"/>
          <w:u w:val="single"/>
        </w:rPr>
        <w:t xml:space="preserve">组织验收） </w:t>
      </w:r>
    </w:p>
    <w:p w14:paraId="7F30F67C">
      <w:pPr>
        <w:adjustRightInd w:val="0"/>
        <w:snapToGrid w:val="0"/>
        <w:spacing w:line="400" w:lineRule="exact"/>
        <w:ind w:firstLine="420" w:firstLineChars="200"/>
        <w:rPr>
          <w:rFonts w:hint="eastAsia" w:ascii="宋体" w:hAnsi="宋体" w:eastAsia="宋体" w:cs="宋体"/>
          <w:bCs/>
          <w:sz w:val="21"/>
          <w:szCs w:val="21"/>
          <w:u w:val="single"/>
        </w:rPr>
      </w:pPr>
      <w:r>
        <w:rPr>
          <w:rFonts w:hint="eastAsia" w:ascii="宋体" w:hAnsi="宋体" w:eastAsia="宋体" w:cs="宋体"/>
          <w:bCs/>
          <w:sz w:val="21"/>
          <w:szCs w:val="21"/>
        </w:rPr>
        <w:t>（3）履约验收方式和程序：</w:t>
      </w:r>
    </w:p>
    <w:p w14:paraId="798C1994">
      <w:pPr>
        <w:adjustRightInd w:val="0"/>
        <w:snapToGrid w:val="0"/>
        <w:spacing w:line="400" w:lineRule="exact"/>
        <w:ind w:firstLine="420" w:firstLineChars="200"/>
        <w:rPr>
          <w:rFonts w:hint="eastAsia" w:ascii="宋体" w:hAnsi="宋体" w:eastAsia="宋体" w:cs="宋体"/>
          <w:bCs/>
          <w:sz w:val="21"/>
          <w:szCs w:val="21"/>
        </w:rPr>
      </w:pPr>
      <w:r>
        <w:rPr>
          <w:rFonts w:hint="eastAsia" w:ascii="宋体" w:hAnsi="宋体" w:eastAsia="宋体" w:cs="宋体"/>
          <w:bCs/>
          <w:sz w:val="21"/>
          <w:szCs w:val="21"/>
          <w:u w:val="single"/>
        </w:rPr>
        <w:t>技术性验收：接供应商通知后，采购人根据合同、招标文件、投标文件对相关货物数量（规模）和仪器设备安装调试及使用人员情况进行验收、对设备运行是否能够满足采购需求进行现场测试。符合性验收：技术性验收合格后，由财务审计部在技术性验收报告的基础上进行的实地、实物符合性验收。</w:t>
      </w:r>
    </w:p>
    <w:p w14:paraId="12920DDB">
      <w:pPr>
        <w:adjustRightInd w:val="0"/>
        <w:snapToGrid w:val="0"/>
        <w:spacing w:line="400" w:lineRule="exact"/>
        <w:ind w:firstLine="420" w:firstLineChars="200"/>
        <w:rPr>
          <w:rFonts w:hint="eastAsia" w:ascii="宋体" w:hAnsi="宋体" w:eastAsia="宋体" w:cs="宋体"/>
          <w:bCs/>
          <w:sz w:val="21"/>
          <w:szCs w:val="21"/>
          <w:u w:val="single"/>
        </w:rPr>
      </w:pPr>
      <w:r>
        <w:rPr>
          <w:rFonts w:hint="eastAsia" w:ascii="宋体" w:hAnsi="宋体" w:eastAsia="宋体" w:cs="宋体"/>
          <w:bCs/>
          <w:sz w:val="21"/>
          <w:szCs w:val="21"/>
        </w:rPr>
        <w:t>（4）履约验收的内容：</w:t>
      </w:r>
      <w:r>
        <w:rPr>
          <w:rFonts w:hint="eastAsia" w:ascii="宋体" w:hAnsi="宋体" w:eastAsia="宋体" w:cs="宋体"/>
          <w:bCs/>
          <w:sz w:val="21"/>
          <w:szCs w:val="21"/>
          <w:u w:val="single"/>
        </w:rPr>
        <w:t xml:space="preserve"> 合同、投标文件、招标文件货物数量、技术规格以及商务服务要求。</w:t>
      </w:r>
    </w:p>
    <w:p w14:paraId="4B1AFF0D">
      <w:pPr>
        <w:adjustRightInd w:val="0"/>
        <w:snapToGrid w:val="0"/>
        <w:spacing w:line="400" w:lineRule="exact"/>
        <w:ind w:firstLine="420" w:firstLineChars="200"/>
        <w:rPr>
          <w:rFonts w:hint="eastAsia" w:ascii="宋体" w:hAnsi="宋体" w:eastAsia="宋体" w:cs="宋体"/>
          <w:bCs/>
          <w:sz w:val="21"/>
          <w:szCs w:val="21"/>
          <w:u w:val="single"/>
        </w:rPr>
      </w:pPr>
      <w:r>
        <w:rPr>
          <w:rFonts w:hint="eastAsia" w:ascii="宋体" w:hAnsi="宋体" w:eastAsia="宋体" w:cs="宋体"/>
          <w:bCs/>
          <w:sz w:val="21"/>
          <w:szCs w:val="21"/>
        </w:rPr>
        <w:t>（5）履约验收标准：</w:t>
      </w:r>
      <w:r>
        <w:rPr>
          <w:rFonts w:hint="eastAsia" w:ascii="宋体" w:hAnsi="宋体" w:eastAsia="宋体" w:cs="宋体"/>
          <w:bCs/>
          <w:sz w:val="21"/>
          <w:szCs w:val="21"/>
          <w:u w:val="single"/>
        </w:rPr>
        <w:t xml:space="preserve"> 满足国家有关规定，符合合同、投标文件、招标文件货物数量、技术规格以及商务服务要求。 </w:t>
      </w:r>
    </w:p>
    <w:p w14:paraId="4FF99F48">
      <w:pPr>
        <w:adjustRightInd w:val="0"/>
        <w:snapToGrid w:val="0"/>
        <w:spacing w:line="400" w:lineRule="exact"/>
        <w:ind w:firstLine="420" w:firstLineChars="200"/>
        <w:rPr>
          <w:rFonts w:hint="eastAsia" w:ascii="宋体" w:hAnsi="宋体" w:eastAsia="宋体" w:cs="宋体"/>
          <w:bCs/>
          <w:sz w:val="21"/>
          <w:szCs w:val="21"/>
          <w:u w:val="single"/>
        </w:rPr>
      </w:pPr>
      <w:r>
        <w:rPr>
          <w:rFonts w:hint="eastAsia" w:ascii="宋体" w:hAnsi="宋体" w:eastAsia="宋体" w:cs="宋体"/>
          <w:bCs/>
          <w:sz w:val="21"/>
          <w:szCs w:val="21"/>
        </w:rPr>
        <w:t>（6）履约验收其他事项：</w:t>
      </w:r>
      <w:r>
        <w:rPr>
          <w:rFonts w:hint="eastAsia" w:ascii="宋体" w:hAnsi="宋体" w:eastAsia="宋体" w:cs="宋体"/>
          <w:bCs/>
          <w:sz w:val="21"/>
          <w:szCs w:val="21"/>
          <w:u w:val="single"/>
        </w:rPr>
        <w:t>采购人根据国家有关规定、招标文件、中标人的投标文件以及合同约定的内容和验收标准进行验收，采购人可以视项目情况邀请第三方机构或者参加本项目投标的落标人参与验收。验收情况作为支付货款的依据。如有异议，以相关质量技术检验检测机构的检验结果为准，如产生检验检测费用，则该费用由过失方承担。</w:t>
      </w:r>
    </w:p>
    <w:p w14:paraId="77EE1023">
      <w:pPr>
        <w:numPr>
          <w:ilvl w:val="0"/>
          <w:numId w:val="7"/>
        </w:numPr>
        <w:adjustRightInd w:val="0"/>
        <w:snapToGrid w:val="0"/>
        <w:spacing w:line="400" w:lineRule="exact"/>
        <w:ind w:firstLine="422" w:firstLineChars="200"/>
        <w:rPr>
          <w:rFonts w:hint="eastAsia" w:ascii="宋体" w:hAnsi="宋体" w:eastAsia="宋体" w:cs="宋体"/>
          <w:b/>
          <w:sz w:val="21"/>
          <w:szCs w:val="21"/>
        </w:rPr>
      </w:pPr>
      <w:r>
        <w:rPr>
          <w:rFonts w:hint="eastAsia" w:ascii="宋体" w:hAnsi="宋体" w:eastAsia="宋体" w:cs="宋体"/>
          <w:b/>
          <w:sz w:val="21"/>
          <w:szCs w:val="21"/>
        </w:rPr>
        <w:t>组成合同的文件</w:t>
      </w:r>
    </w:p>
    <w:p w14:paraId="6E3F27DA">
      <w:pPr>
        <w:adjustRightInd w:val="0"/>
        <w:snapToGrid w:val="0"/>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本协议书与下列文件一起构成合同文件，如下述文件之间有任何抵触、矛盾或歧义，应按以下顺序解释：</w:t>
      </w:r>
    </w:p>
    <w:p w14:paraId="06C8E330">
      <w:pPr>
        <w:adjustRightInd w:val="0"/>
        <w:snapToGrid w:val="0"/>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（1）政府采购合同协议书及其变更、补充协议</w:t>
      </w:r>
    </w:p>
    <w:p w14:paraId="36147C5D">
      <w:pPr>
        <w:adjustRightInd w:val="0"/>
        <w:snapToGrid w:val="0"/>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（2）政府采购合同专用条款</w:t>
      </w:r>
    </w:p>
    <w:p w14:paraId="22C7C46F">
      <w:pPr>
        <w:adjustRightInd w:val="0"/>
        <w:snapToGrid w:val="0"/>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（3）政府采购合同通用条款</w:t>
      </w:r>
    </w:p>
    <w:p w14:paraId="1EA72AC0">
      <w:pPr>
        <w:adjustRightInd w:val="0"/>
        <w:snapToGrid w:val="0"/>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（4）中标（成交）通知书</w:t>
      </w:r>
    </w:p>
    <w:p w14:paraId="6B2519C0">
      <w:pPr>
        <w:adjustRightInd w:val="0"/>
        <w:snapToGrid w:val="0"/>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（5）投标（响应）文件</w:t>
      </w:r>
    </w:p>
    <w:p w14:paraId="56F5FEAD">
      <w:pPr>
        <w:adjustRightInd w:val="0"/>
        <w:snapToGrid w:val="0"/>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（6）采购文件</w:t>
      </w:r>
    </w:p>
    <w:p w14:paraId="5C66B006">
      <w:pPr>
        <w:adjustRightInd w:val="0"/>
        <w:snapToGrid w:val="0"/>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（7）有关技术文件，图纸</w:t>
      </w:r>
    </w:p>
    <w:p w14:paraId="33CBC3A4">
      <w:pPr>
        <w:pStyle w:val="59"/>
        <w:ind w:firstLine="420"/>
        <w:rPr>
          <w:rFonts w:hint="eastAsia" w:ascii="宋体" w:hAnsi="宋体" w:eastAsia="宋体" w:cs="宋体"/>
          <w:kern w:val="2"/>
          <w:sz w:val="21"/>
          <w:szCs w:val="21"/>
        </w:rPr>
      </w:pPr>
      <w:r>
        <w:rPr>
          <w:rFonts w:hint="eastAsia" w:ascii="宋体" w:hAnsi="宋体" w:eastAsia="宋体" w:cs="宋体"/>
          <w:sz w:val="21"/>
          <w:szCs w:val="21"/>
        </w:rPr>
        <w:t>（8）</w:t>
      </w:r>
      <w:r>
        <w:rPr>
          <w:rFonts w:hint="eastAsia" w:ascii="宋体" w:hAnsi="宋体" w:eastAsia="宋体" w:cs="宋体"/>
          <w:kern w:val="2"/>
          <w:sz w:val="21"/>
          <w:szCs w:val="21"/>
        </w:rPr>
        <w:t>国家法律、行政法规和规章制度规定或合同约定的作为合同组成部分的其他文件</w:t>
      </w:r>
    </w:p>
    <w:p w14:paraId="2C4AF1BA">
      <w:pPr>
        <w:numPr>
          <w:ilvl w:val="0"/>
          <w:numId w:val="7"/>
        </w:numPr>
        <w:adjustRightInd w:val="0"/>
        <w:snapToGrid w:val="0"/>
        <w:spacing w:line="400" w:lineRule="exact"/>
        <w:ind w:firstLine="422" w:firstLineChars="200"/>
        <w:rPr>
          <w:rFonts w:hint="eastAsia" w:ascii="宋体" w:hAnsi="宋体" w:eastAsia="宋体" w:cs="宋体"/>
          <w:b/>
          <w:sz w:val="21"/>
          <w:szCs w:val="21"/>
        </w:rPr>
      </w:pPr>
      <w:r>
        <w:rPr>
          <w:rFonts w:hint="eastAsia" w:ascii="宋体" w:hAnsi="宋体" w:eastAsia="宋体" w:cs="宋体"/>
          <w:b/>
          <w:sz w:val="21"/>
          <w:szCs w:val="21"/>
        </w:rPr>
        <w:t>合同的履行、变更和解除</w:t>
      </w:r>
    </w:p>
    <w:p w14:paraId="51792829">
      <w:pPr>
        <w:pStyle w:val="170"/>
        <w:spacing w:line="360" w:lineRule="auto"/>
        <w:ind w:firstLine="420" w:firstLineChars="200"/>
        <w:jc w:val="both"/>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（1）合同签订后并经甲方备案通过即具法律效力，甲乙双方均须认真履行，不得随意解除合同，如甲方备案未能通过的，双方应就本协议另行约定处理方案。</w:t>
      </w:r>
    </w:p>
    <w:p w14:paraId="613F2892">
      <w:pPr>
        <w:pStyle w:val="170"/>
        <w:spacing w:line="360" w:lineRule="auto"/>
        <w:ind w:firstLine="420" w:firstLineChars="200"/>
        <w:jc w:val="both"/>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（2）甲乙双方不得擅自变更合同。如因项目实际情况确需变更，须经双方书面认可方可变更并备案通过后生效。</w:t>
      </w:r>
    </w:p>
    <w:p w14:paraId="75123325">
      <w:pPr>
        <w:numPr>
          <w:ilvl w:val="0"/>
          <w:numId w:val="7"/>
        </w:numPr>
        <w:adjustRightInd w:val="0"/>
        <w:snapToGrid w:val="0"/>
        <w:spacing w:line="400" w:lineRule="exact"/>
        <w:ind w:firstLine="422" w:firstLineChars="200"/>
        <w:rPr>
          <w:rFonts w:hint="eastAsia" w:ascii="宋体" w:hAnsi="宋体" w:eastAsia="宋体" w:cs="宋体"/>
          <w:b/>
          <w:sz w:val="21"/>
          <w:szCs w:val="21"/>
        </w:rPr>
      </w:pPr>
      <w:r>
        <w:rPr>
          <w:rFonts w:hint="eastAsia" w:ascii="宋体" w:hAnsi="宋体" w:eastAsia="宋体" w:cs="宋体"/>
          <w:b/>
          <w:sz w:val="21"/>
          <w:szCs w:val="21"/>
        </w:rPr>
        <w:t>违约责任</w:t>
      </w:r>
    </w:p>
    <w:p w14:paraId="3A0349F5">
      <w:pPr>
        <w:tabs>
          <w:tab w:val="left" w:pos="630"/>
        </w:tabs>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（1）除如因战争、严重火灾、水灾、台风、地震和其他甲乙双方认可的不可抗力事件外，甲乙双方不得随意解除合同，否则按违约处理。</w:t>
      </w:r>
    </w:p>
    <w:p w14:paraId="035B66B6">
      <w:pPr>
        <w:tabs>
          <w:tab w:val="left" w:pos="630"/>
        </w:tabs>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乙方提供的货物（设备）不符合合同约定的质量标准或存在产品质量缺陷，甲方有权要求乙方及时修理、重作、更换，乙方应承担因此而发生的一切费用，同时甲方有权拒收并追究乙方责任。因乙方更换而造成逾期交货，则按逾期交货处理。</w:t>
      </w:r>
    </w:p>
    <w:p w14:paraId="521E70DC">
      <w:pPr>
        <w:pStyle w:val="59"/>
        <w:spacing w:line="360" w:lineRule="auto"/>
        <w:ind w:firstLine="420"/>
        <w:rPr>
          <w:rFonts w:hint="eastAsia" w:ascii="宋体" w:hAnsi="宋体" w:eastAsia="宋体" w:cs="宋体"/>
          <w:kern w:val="2"/>
          <w:sz w:val="21"/>
          <w:szCs w:val="21"/>
        </w:rPr>
      </w:pPr>
      <w:r>
        <w:rPr>
          <w:rFonts w:hint="eastAsia" w:ascii="宋体" w:hAnsi="宋体" w:eastAsia="宋体" w:cs="宋体"/>
          <w:kern w:val="2"/>
          <w:sz w:val="21"/>
          <w:szCs w:val="21"/>
        </w:rPr>
        <w:t>（3）乙方应保证货物（设备）由原厂生产的全新产品，无侵权行为，表面无划痕、无任何缺陷隐患，在中国境内可依常规安全合法使用，</w:t>
      </w:r>
      <w:r>
        <w:rPr>
          <w:rFonts w:hint="eastAsia" w:ascii="宋体" w:hAnsi="宋体" w:eastAsia="宋体" w:cs="宋体"/>
          <w:b/>
          <w:bCs/>
          <w:kern w:val="2"/>
          <w:sz w:val="21"/>
          <w:szCs w:val="21"/>
        </w:rPr>
        <w:t>乙方应保证进货渠道的合法性。</w:t>
      </w:r>
      <w:r>
        <w:rPr>
          <w:rFonts w:hint="eastAsia" w:ascii="宋体" w:hAnsi="宋体" w:eastAsia="宋体" w:cs="宋体"/>
          <w:kern w:val="2"/>
          <w:sz w:val="21"/>
          <w:szCs w:val="21"/>
        </w:rPr>
        <w:t>一经发现存在上述问题，甲方有权要求按照货物（设备）原值退货退款，乙方需承担由此产生的一切费用和损失。</w:t>
      </w:r>
    </w:p>
    <w:p w14:paraId="51ACA9A0">
      <w:pPr>
        <w:tabs>
          <w:tab w:val="left" w:pos="630"/>
        </w:tabs>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（4）乙方应按照本合同规定的时间、地点交货和提供相关服务。在履行合同过程中，如果乙方遇到可能影响按时交货和提供服务的情形时，</w:t>
      </w:r>
      <w:r>
        <w:rPr>
          <w:rFonts w:hint="eastAsia" w:ascii="宋体" w:hAnsi="宋体" w:eastAsia="宋体" w:cs="宋体"/>
          <w:b/>
          <w:bCs/>
          <w:sz w:val="21"/>
          <w:szCs w:val="21"/>
        </w:rPr>
        <w:t>应及时以书面形式将迟延的事实、可能迟延的期限和理由通知甲方</w:t>
      </w:r>
      <w:r>
        <w:rPr>
          <w:rFonts w:hint="eastAsia" w:ascii="宋体" w:hAnsi="宋体" w:eastAsia="宋体" w:cs="宋体"/>
          <w:sz w:val="21"/>
          <w:szCs w:val="21"/>
        </w:rPr>
        <w:t>。甲方在收到乙方通知后，应尽快对情况进行评价，并确定是否同意延长交货时间或延期提供服务。</w:t>
      </w:r>
    </w:p>
    <w:p w14:paraId="0CEF57FC">
      <w:pPr>
        <w:tabs>
          <w:tab w:val="left" w:pos="630"/>
        </w:tabs>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5）如乙方逾期交付货物（供货、安装调试完毕）达70天。甲方有权单方解除合同，甲方解除合同通知自到达乙方时生效。乙方向甲方偿付合同总额5%的违约金，乙方需在3日内将违约金支付给甲方，并退还甲方已支付的预付款。</w:t>
      </w:r>
    </w:p>
    <w:p w14:paraId="7D4DBBC2">
      <w:pPr>
        <w:tabs>
          <w:tab w:val="left" w:pos="630"/>
        </w:tabs>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6）验收过程中，甲乙双方因质量问题发生争议，由甲方所在地或上一级质量技术鉴定单位进行质量鉴定。经鉴定质量合格，鉴定费由甲方承担；鉴定质量不合格，鉴定费用由乙方承担。鉴定质量不合格的，甲方有权拒收、有权单方解除合同并要求乙方赔偿因此造成的一切损失，乙方应在3日内向甲方偿付合同总额5%的违约金，并退还甲方已支付的预付款。在此情况下，乙方给甲方造成的实际损失高于违约金的，对高出违约金的部分乙方应予以赔偿。</w:t>
      </w:r>
    </w:p>
    <w:p w14:paraId="1F861AE8">
      <w:pPr>
        <w:tabs>
          <w:tab w:val="left" w:pos="630"/>
        </w:tabs>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（7）当违约金超过履约保证金时，超过部分甲方有权从合同总价款中扣除，用于补偿违约金不足的部分。</w:t>
      </w:r>
    </w:p>
    <w:p w14:paraId="29F99F5A">
      <w:pPr>
        <w:numPr>
          <w:ilvl w:val="0"/>
          <w:numId w:val="7"/>
        </w:numPr>
        <w:adjustRightInd w:val="0"/>
        <w:snapToGrid w:val="0"/>
        <w:spacing w:line="400" w:lineRule="exact"/>
        <w:ind w:firstLine="422" w:firstLineChars="200"/>
        <w:rPr>
          <w:rFonts w:hint="eastAsia" w:ascii="宋体" w:hAnsi="宋体" w:eastAsia="宋体" w:cs="宋体"/>
          <w:b/>
          <w:sz w:val="21"/>
          <w:szCs w:val="21"/>
        </w:rPr>
      </w:pPr>
      <w:r>
        <w:rPr>
          <w:rFonts w:hint="eastAsia" w:ascii="宋体" w:hAnsi="宋体" w:eastAsia="宋体" w:cs="宋体"/>
          <w:b/>
          <w:sz w:val="21"/>
          <w:szCs w:val="21"/>
        </w:rPr>
        <w:t>合同争议的解决</w:t>
      </w:r>
    </w:p>
    <w:p w14:paraId="12A9AEFF">
      <w:pPr>
        <w:tabs>
          <w:tab w:val="left" w:pos="630"/>
        </w:tabs>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本合同履行过程中发生的任何争议，双方当事人均可通过和解或者调解解决；不愿和解、调解或者和解、调解不成的，可以选择下列第</w:t>
      </w:r>
      <w:r>
        <w:rPr>
          <w:rFonts w:hint="eastAsia" w:ascii="宋体" w:hAnsi="宋体" w:eastAsia="宋体" w:cs="宋体"/>
          <w:sz w:val="21"/>
          <w:szCs w:val="21"/>
          <w:u w:val="single"/>
        </w:rPr>
        <w:t xml:space="preserve"> （2） </w:t>
      </w:r>
      <w:r>
        <w:rPr>
          <w:rFonts w:hint="eastAsia" w:ascii="宋体" w:hAnsi="宋体" w:eastAsia="宋体" w:cs="宋体"/>
          <w:sz w:val="21"/>
          <w:szCs w:val="21"/>
        </w:rPr>
        <w:t>种方式解决：</w:t>
      </w:r>
    </w:p>
    <w:p w14:paraId="14705C18">
      <w:pPr>
        <w:tabs>
          <w:tab w:val="left" w:pos="630"/>
        </w:tabs>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 将争议提交</w:t>
      </w:r>
      <w:r>
        <w:rPr>
          <w:rFonts w:hint="eastAsia" w:ascii="宋体" w:hAnsi="宋体" w:eastAsia="宋体" w:cs="宋体"/>
          <w:sz w:val="21"/>
          <w:szCs w:val="21"/>
          <w:u w:val="single"/>
        </w:rPr>
        <w:t xml:space="preserve">  /  </w:t>
      </w:r>
      <w:r>
        <w:rPr>
          <w:rFonts w:hint="eastAsia" w:ascii="宋体" w:hAnsi="宋体" w:eastAsia="宋体" w:cs="宋体"/>
          <w:sz w:val="21"/>
          <w:szCs w:val="21"/>
        </w:rPr>
        <w:t>仲裁委员会依申请仲裁时其现行有效的仲裁规则裁决；</w:t>
      </w:r>
    </w:p>
    <w:p w14:paraId="29026334">
      <w:pPr>
        <w:tabs>
          <w:tab w:val="left" w:pos="630"/>
        </w:tabs>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 向</w:t>
      </w:r>
      <w:r>
        <w:rPr>
          <w:rFonts w:hint="eastAsia" w:ascii="宋体" w:hAnsi="宋体" w:cs="宋体"/>
          <w:sz w:val="21"/>
          <w:szCs w:val="21"/>
          <w:u w:val="single"/>
          <w:lang w:eastAsia="zh-CN"/>
        </w:rPr>
        <w:t>郑州市金水</w:t>
      </w:r>
      <w:r>
        <w:rPr>
          <w:rFonts w:hint="eastAsia" w:ascii="宋体" w:hAnsi="宋体" w:cs="宋体"/>
          <w:sz w:val="21"/>
          <w:szCs w:val="21"/>
          <w:u w:val="single"/>
          <w:lang w:val="en-US" w:eastAsia="zh-CN"/>
        </w:rPr>
        <w:t>区</w:t>
      </w:r>
      <w:r>
        <w:rPr>
          <w:rFonts w:hint="eastAsia" w:ascii="宋体" w:hAnsi="宋体" w:eastAsia="宋体" w:cs="宋体"/>
          <w:sz w:val="21"/>
          <w:szCs w:val="21"/>
        </w:rPr>
        <w:t>人民法院起诉。</w:t>
      </w:r>
    </w:p>
    <w:p w14:paraId="487E0DF5">
      <w:pPr>
        <w:numPr>
          <w:ilvl w:val="0"/>
          <w:numId w:val="7"/>
        </w:numPr>
        <w:adjustRightInd w:val="0"/>
        <w:snapToGrid w:val="0"/>
        <w:spacing w:line="400" w:lineRule="exact"/>
        <w:ind w:firstLine="422" w:firstLineChars="200"/>
        <w:rPr>
          <w:rFonts w:hint="eastAsia" w:ascii="宋体" w:hAnsi="宋体" w:eastAsia="宋体" w:cs="宋体"/>
          <w:b/>
          <w:sz w:val="21"/>
          <w:szCs w:val="21"/>
        </w:rPr>
      </w:pPr>
      <w:r>
        <w:rPr>
          <w:rFonts w:hint="eastAsia" w:ascii="宋体" w:hAnsi="宋体" w:eastAsia="宋体" w:cs="宋体"/>
          <w:b/>
          <w:sz w:val="21"/>
          <w:szCs w:val="21"/>
        </w:rPr>
        <w:t>合同生效</w:t>
      </w:r>
    </w:p>
    <w:p w14:paraId="31C7CE50">
      <w:pPr>
        <w:tabs>
          <w:tab w:val="left" w:pos="630"/>
        </w:tabs>
        <w:spacing w:line="360" w:lineRule="auto"/>
        <w:ind w:firstLine="420" w:firstLineChars="200"/>
        <w:rPr>
          <w:rFonts w:hint="eastAsia" w:ascii="宋体" w:hAnsi="宋体" w:eastAsia="宋体" w:cs="宋体"/>
          <w:b/>
          <w:sz w:val="21"/>
          <w:szCs w:val="21"/>
        </w:rPr>
      </w:pPr>
      <w:r>
        <w:rPr>
          <w:rFonts w:hint="eastAsia" w:ascii="宋体" w:hAnsi="宋体" w:eastAsia="宋体" w:cs="宋体"/>
          <w:sz w:val="21"/>
          <w:szCs w:val="21"/>
        </w:rPr>
        <w:t>本合同自双方当事人签字加盖单位印章</w:t>
      </w:r>
      <w:r>
        <w:rPr>
          <w:rFonts w:hint="eastAsia" w:ascii="宋体" w:hAnsi="宋体" w:cs="宋体"/>
          <w:sz w:val="21"/>
          <w:szCs w:val="21"/>
          <w:lang w:eastAsia="zh-CN"/>
        </w:rPr>
        <w:t>并经甲方备案通过</w:t>
      </w:r>
      <w:r>
        <w:rPr>
          <w:rFonts w:hint="eastAsia" w:ascii="宋体" w:hAnsi="宋体" w:eastAsia="宋体" w:cs="宋体"/>
          <w:sz w:val="21"/>
          <w:szCs w:val="21"/>
        </w:rPr>
        <w:t>后生效（如授权代表代为签字，应将《授权委托书》作为附件）。</w:t>
      </w:r>
    </w:p>
    <w:p w14:paraId="5AB629DA">
      <w:pPr>
        <w:numPr>
          <w:ilvl w:val="0"/>
          <w:numId w:val="7"/>
        </w:numPr>
        <w:adjustRightInd w:val="0"/>
        <w:snapToGrid w:val="0"/>
        <w:spacing w:line="400" w:lineRule="exact"/>
        <w:ind w:firstLine="422" w:firstLineChars="200"/>
        <w:rPr>
          <w:rFonts w:hint="eastAsia" w:ascii="宋体" w:hAnsi="宋体" w:eastAsia="宋体" w:cs="宋体"/>
          <w:b/>
          <w:sz w:val="21"/>
          <w:szCs w:val="21"/>
        </w:rPr>
      </w:pPr>
      <w:r>
        <w:rPr>
          <w:rFonts w:hint="eastAsia" w:ascii="宋体" w:hAnsi="宋体" w:eastAsia="宋体" w:cs="宋体"/>
          <w:b/>
          <w:sz w:val="21"/>
          <w:szCs w:val="21"/>
        </w:rPr>
        <w:t>合同份数</w:t>
      </w:r>
    </w:p>
    <w:p w14:paraId="752664CF">
      <w:pPr>
        <w:pStyle w:val="59"/>
        <w:ind w:firstLine="420"/>
        <w:rPr>
          <w:rFonts w:hint="eastAsia" w:ascii="宋体" w:hAnsi="宋体" w:eastAsia="宋体" w:cs="宋体"/>
          <w:kern w:val="2"/>
          <w:sz w:val="21"/>
          <w:szCs w:val="21"/>
        </w:rPr>
      </w:pPr>
      <w:r>
        <w:rPr>
          <w:rFonts w:hint="eastAsia" w:ascii="宋体" w:hAnsi="宋体" w:eastAsia="宋体" w:cs="宋体"/>
          <w:kern w:val="2"/>
          <w:sz w:val="21"/>
          <w:szCs w:val="21"/>
        </w:rPr>
        <w:t>本合同一式捌份，甲方执陆份，乙方执贰份，均具有同等法律效力。</w:t>
      </w:r>
    </w:p>
    <w:p w14:paraId="1DBDD5B2">
      <w:pPr>
        <w:rPr>
          <w:rFonts w:hint="eastAsia" w:ascii="宋体" w:hAnsi="宋体" w:eastAsia="宋体" w:cs="宋体"/>
          <w:sz w:val="21"/>
          <w:szCs w:val="21"/>
        </w:rPr>
      </w:pPr>
      <w:r>
        <w:rPr>
          <w:rFonts w:hint="eastAsia" w:ascii="宋体" w:hAnsi="宋体" w:eastAsia="宋体" w:cs="宋体"/>
          <w:sz w:val="21"/>
          <w:szCs w:val="21"/>
        </w:rPr>
        <w:br w:type="page"/>
      </w:r>
    </w:p>
    <w:p w14:paraId="2911AD95">
      <w:pPr>
        <w:pStyle w:val="59"/>
        <w:rPr>
          <w:rFonts w:hint="eastAsia" w:ascii="宋体" w:hAnsi="宋体" w:eastAsia="宋体" w:cs="宋体"/>
          <w:sz w:val="21"/>
          <w:szCs w:val="21"/>
        </w:rPr>
      </w:pPr>
    </w:p>
    <w:tbl>
      <w:tblPr>
        <w:tblStyle w:val="38"/>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999"/>
        <w:gridCol w:w="2553"/>
        <w:gridCol w:w="2095"/>
        <w:gridCol w:w="2242"/>
      </w:tblGrid>
      <w:tr w14:paraId="3C2750A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0" w:type="pct"/>
            <w:gridSpan w:val="2"/>
            <w:tcBorders>
              <w:bottom w:val="single" w:color="auto" w:sz="2" w:space="0"/>
              <w:right w:val="single" w:color="auto" w:sz="2" w:space="0"/>
            </w:tcBorders>
            <w:vAlign w:val="center"/>
          </w:tcPr>
          <w:p w14:paraId="6EB3A18D">
            <w:pPr>
              <w:adjustRightInd w:val="0"/>
              <w:snapToGrid w:val="0"/>
              <w:spacing w:line="300" w:lineRule="exact"/>
              <w:jc w:val="center"/>
              <w:rPr>
                <w:rFonts w:hint="eastAsia" w:ascii="宋体" w:hAnsi="宋体" w:eastAsia="宋体" w:cs="宋体"/>
                <w:sz w:val="21"/>
                <w:szCs w:val="21"/>
                <w:lang w:eastAsia="zh-CN"/>
              </w:rPr>
            </w:pPr>
            <w:r>
              <w:rPr>
                <w:rFonts w:hint="eastAsia" w:ascii="宋体" w:hAnsi="宋体" w:eastAsia="宋体" w:cs="宋体"/>
                <w:sz w:val="21"/>
                <w:szCs w:val="21"/>
              </w:rPr>
              <w:t>甲方（采购人）</w:t>
            </w:r>
            <w:r>
              <w:rPr>
                <w:rFonts w:hint="eastAsia" w:ascii="宋体" w:hAnsi="宋体" w:cs="宋体"/>
                <w:sz w:val="21"/>
                <w:szCs w:val="21"/>
                <w:lang w:eastAsia="zh-CN"/>
              </w:rPr>
              <w:t>河南省科学院材料基因工程研究所</w:t>
            </w:r>
          </w:p>
        </w:tc>
        <w:tc>
          <w:tcPr>
            <w:tcW w:w="2439" w:type="pct"/>
            <w:gridSpan w:val="2"/>
            <w:tcBorders>
              <w:left w:val="single" w:color="auto" w:sz="2" w:space="0"/>
              <w:bottom w:val="single" w:color="auto" w:sz="2" w:space="0"/>
            </w:tcBorders>
            <w:vAlign w:val="center"/>
          </w:tcPr>
          <w:p w14:paraId="764A232C">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乙方（供应商）</w:t>
            </w:r>
          </w:p>
        </w:tc>
      </w:tr>
      <w:tr w14:paraId="5C6461F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4" w:type="pct"/>
            <w:tcBorders>
              <w:top w:val="single" w:color="auto" w:sz="2" w:space="0"/>
              <w:bottom w:val="single" w:color="auto" w:sz="2" w:space="0"/>
              <w:right w:val="single" w:color="auto" w:sz="2" w:space="0"/>
            </w:tcBorders>
            <w:vAlign w:val="center"/>
          </w:tcPr>
          <w:p w14:paraId="55BF66E9">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7781ED8B">
            <w:pPr>
              <w:adjustRightInd w:val="0"/>
              <w:snapToGrid w:val="0"/>
              <w:spacing w:line="300" w:lineRule="exact"/>
              <w:jc w:val="center"/>
              <w:rPr>
                <w:rFonts w:hint="eastAsia" w:ascii="宋体" w:hAnsi="宋体" w:eastAsia="宋体" w:cs="宋体"/>
                <w:sz w:val="21"/>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FA29CFE">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单位名称（公章或合同章）</w:t>
            </w:r>
          </w:p>
        </w:tc>
        <w:tc>
          <w:tcPr>
            <w:tcW w:w="1261" w:type="pct"/>
            <w:tcBorders>
              <w:top w:val="single" w:color="auto" w:sz="2" w:space="0"/>
              <w:left w:val="single" w:color="auto" w:sz="2" w:space="0"/>
              <w:bottom w:val="single" w:color="auto" w:sz="2" w:space="0"/>
            </w:tcBorders>
            <w:vAlign w:val="center"/>
          </w:tcPr>
          <w:p w14:paraId="7E5DCF77">
            <w:pPr>
              <w:adjustRightInd w:val="0"/>
              <w:snapToGrid w:val="0"/>
              <w:spacing w:line="300" w:lineRule="exact"/>
              <w:jc w:val="center"/>
              <w:rPr>
                <w:rFonts w:hint="eastAsia" w:ascii="宋体" w:hAnsi="宋体" w:eastAsia="宋体" w:cs="宋体"/>
                <w:spacing w:val="20"/>
                <w:sz w:val="21"/>
                <w:szCs w:val="21"/>
              </w:rPr>
            </w:pPr>
          </w:p>
        </w:tc>
      </w:tr>
      <w:tr w14:paraId="112243D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4" w:type="pct"/>
            <w:tcBorders>
              <w:top w:val="single" w:color="auto" w:sz="2" w:space="0"/>
              <w:right w:val="single" w:color="auto" w:sz="2" w:space="0"/>
            </w:tcBorders>
            <w:vAlign w:val="center"/>
          </w:tcPr>
          <w:p w14:paraId="14B0CBCB">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法定代表人</w:t>
            </w:r>
          </w:p>
          <w:p w14:paraId="6F09A740">
            <w:pPr>
              <w:adjustRightInd w:val="0"/>
              <w:snapToGrid w:val="0"/>
              <w:spacing w:line="300" w:lineRule="exact"/>
              <w:ind w:firstLine="100" w:firstLineChars="48"/>
              <w:jc w:val="center"/>
              <w:rPr>
                <w:rFonts w:hint="eastAsia" w:ascii="宋体" w:hAnsi="宋体" w:eastAsia="宋体" w:cs="宋体"/>
                <w:sz w:val="21"/>
                <w:szCs w:val="21"/>
              </w:rPr>
            </w:pPr>
            <w:r>
              <w:rPr>
                <w:rFonts w:hint="eastAsia" w:ascii="宋体" w:hAnsi="宋体" w:eastAsia="宋体" w:cs="宋体"/>
                <w:sz w:val="21"/>
                <w:szCs w:val="21"/>
              </w:rPr>
              <w:t>或其委托代理人（签章）</w:t>
            </w:r>
          </w:p>
        </w:tc>
        <w:tc>
          <w:tcPr>
            <w:tcW w:w="1436" w:type="pct"/>
            <w:tcBorders>
              <w:top w:val="single" w:color="auto" w:sz="2" w:space="0"/>
              <w:left w:val="single" w:color="auto" w:sz="2" w:space="0"/>
              <w:right w:val="single" w:color="auto" w:sz="2" w:space="0"/>
            </w:tcBorders>
            <w:vAlign w:val="center"/>
          </w:tcPr>
          <w:p w14:paraId="5E4B944D">
            <w:pPr>
              <w:adjustRightInd w:val="0"/>
              <w:snapToGrid w:val="0"/>
              <w:spacing w:line="300" w:lineRule="exact"/>
              <w:jc w:val="center"/>
              <w:rPr>
                <w:rFonts w:hint="eastAsia" w:ascii="宋体" w:hAnsi="宋体" w:eastAsia="宋体" w:cs="宋体"/>
                <w:sz w:val="21"/>
                <w:szCs w:val="21"/>
              </w:rPr>
            </w:pPr>
          </w:p>
        </w:tc>
        <w:tc>
          <w:tcPr>
            <w:tcW w:w="1178" w:type="pct"/>
            <w:tcBorders>
              <w:top w:val="single" w:color="auto" w:sz="2" w:space="0"/>
              <w:left w:val="single" w:color="auto" w:sz="2" w:space="0"/>
              <w:right w:val="single" w:color="auto" w:sz="2" w:space="0"/>
            </w:tcBorders>
            <w:vAlign w:val="center"/>
          </w:tcPr>
          <w:p w14:paraId="0630685E">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法定代表人</w:t>
            </w:r>
          </w:p>
          <w:p w14:paraId="0243ED7A">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或其委托代理人（签章）</w:t>
            </w:r>
          </w:p>
        </w:tc>
        <w:tc>
          <w:tcPr>
            <w:tcW w:w="1261" w:type="pct"/>
            <w:tcBorders>
              <w:top w:val="single" w:color="auto" w:sz="2" w:space="0"/>
              <w:left w:val="single" w:color="auto" w:sz="2" w:space="0"/>
              <w:bottom w:val="single" w:color="auto" w:sz="2" w:space="0"/>
            </w:tcBorders>
            <w:vAlign w:val="center"/>
          </w:tcPr>
          <w:p w14:paraId="7A4EB22A">
            <w:pPr>
              <w:adjustRightInd w:val="0"/>
              <w:snapToGrid w:val="0"/>
              <w:spacing w:line="300" w:lineRule="exact"/>
              <w:jc w:val="center"/>
              <w:rPr>
                <w:rFonts w:hint="eastAsia" w:ascii="宋体" w:hAnsi="宋体" w:eastAsia="宋体" w:cs="宋体"/>
                <w:sz w:val="21"/>
                <w:szCs w:val="21"/>
              </w:rPr>
            </w:pPr>
          </w:p>
        </w:tc>
      </w:tr>
      <w:tr w14:paraId="16EA876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4" w:type="pct"/>
            <w:tcBorders>
              <w:top w:val="single" w:color="auto" w:sz="2" w:space="0"/>
              <w:bottom w:val="single" w:color="auto" w:sz="2" w:space="0"/>
              <w:right w:val="single" w:color="auto" w:sz="2" w:space="0"/>
            </w:tcBorders>
            <w:vAlign w:val="center"/>
          </w:tcPr>
          <w:p w14:paraId="393AAE03">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49E4EE53">
            <w:pPr>
              <w:adjustRightInd w:val="0"/>
              <w:snapToGrid w:val="0"/>
              <w:spacing w:line="300" w:lineRule="exact"/>
              <w:jc w:val="center"/>
              <w:rPr>
                <w:rFonts w:hint="eastAsia" w:ascii="宋体" w:hAnsi="宋体" w:eastAsia="宋体" w:cs="宋体"/>
                <w:sz w:val="21"/>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23787F7">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住  所</w:t>
            </w:r>
          </w:p>
        </w:tc>
        <w:tc>
          <w:tcPr>
            <w:tcW w:w="1261" w:type="pct"/>
            <w:tcBorders>
              <w:top w:val="single" w:color="auto" w:sz="2" w:space="0"/>
              <w:left w:val="single" w:color="auto" w:sz="2" w:space="0"/>
              <w:bottom w:val="single" w:color="auto" w:sz="2" w:space="0"/>
            </w:tcBorders>
            <w:vAlign w:val="center"/>
          </w:tcPr>
          <w:p w14:paraId="61E23588">
            <w:pPr>
              <w:adjustRightInd w:val="0"/>
              <w:snapToGrid w:val="0"/>
              <w:spacing w:line="300" w:lineRule="exact"/>
              <w:jc w:val="center"/>
              <w:rPr>
                <w:rFonts w:hint="eastAsia" w:ascii="宋体" w:hAnsi="宋体" w:eastAsia="宋体" w:cs="宋体"/>
                <w:spacing w:val="20"/>
                <w:sz w:val="21"/>
                <w:szCs w:val="21"/>
              </w:rPr>
            </w:pPr>
          </w:p>
        </w:tc>
      </w:tr>
      <w:tr w14:paraId="500170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4" w:type="pct"/>
            <w:tcBorders>
              <w:top w:val="single" w:color="auto" w:sz="2" w:space="0"/>
              <w:bottom w:val="single" w:color="auto" w:sz="2" w:space="0"/>
              <w:right w:val="single" w:color="auto" w:sz="2" w:space="0"/>
            </w:tcBorders>
            <w:vAlign w:val="center"/>
          </w:tcPr>
          <w:p w14:paraId="54FCFB9E">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7515B7C6">
            <w:pPr>
              <w:adjustRightInd w:val="0"/>
              <w:snapToGrid w:val="0"/>
              <w:spacing w:line="300" w:lineRule="exact"/>
              <w:jc w:val="center"/>
              <w:rPr>
                <w:rFonts w:hint="eastAsia" w:ascii="宋体" w:hAnsi="宋体" w:eastAsia="宋体" w:cs="宋体"/>
                <w:sz w:val="21"/>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CFA1018">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联 系 人</w:t>
            </w:r>
          </w:p>
        </w:tc>
        <w:tc>
          <w:tcPr>
            <w:tcW w:w="1261" w:type="pct"/>
            <w:tcBorders>
              <w:top w:val="single" w:color="auto" w:sz="2" w:space="0"/>
              <w:left w:val="single" w:color="auto" w:sz="2" w:space="0"/>
              <w:bottom w:val="single" w:color="auto" w:sz="2" w:space="0"/>
            </w:tcBorders>
            <w:vAlign w:val="center"/>
          </w:tcPr>
          <w:p w14:paraId="663C9B5B">
            <w:pPr>
              <w:adjustRightInd w:val="0"/>
              <w:snapToGrid w:val="0"/>
              <w:spacing w:line="300" w:lineRule="exact"/>
              <w:jc w:val="center"/>
              <w:rPr>
                <w:rFonts w:hint="eastAsia" w:ascii="宋体" w:hAnsi="宋体" w:eastAsia="宋体" w:cs="宋体"/>
                <w:spacing w:val="20"/>
                <w:sz w:val="21"/>
                <w:szCs w:val="21"/>
              </w:rPr>
            </w:pPr>
          </w:p>
        </w:tc>
      </w:tr>
      <w:tr w14:paraId="2E7C4A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4" w:type="pct"/>
            <w:tcBorders>
              <w:top w:val="single" w:color="auto" w:sz="2" w:space="0"/>
              <w:bottom w:val="single" w:color="auto" w:sz="2" w:space="0"/>
              <w:right w:val="single" w:color="auto" w:sz="2" w:space="0"/>
            </w:tcBorders>
            <w:vAlign w:val="center"/>
          </w:tcPr>
          <w:p w14:paraId="7DB87E06">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284A60B1">
            <w:pPr>
              <w:adjustRightInd w:val="0"/>
              <w:snapToGrid w:val="0"/>
              <w:spacing w:line="300" w:lineRule="exact"/>
              <w:jc w:val="center"/>
              <w:rPr>
                <w:rFonts w:hint="eastAsia" w:ascii="宋体" w:hAnsi="宋体" w:eastAsia="宋体" w:cs="宋体"/>
                <w:sz w:val="21"/>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C055AF9">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联系电话</w:t>
            </w:r>
          </w:p>
        </w:tc>
        <w:tc>
          <w:tcPr>
            <w:tcW w:w="1261" w:type="pct"/>
            <w:tcBorders>
              <w:top w:val="single" w:color="auto" w:sz="2" w:space="0"/>
              <w:left w:val="single" w:color="auto" w:sz="2" w:space="0"/>
              <w:bottom w:val="single" w:color="auto" w:sz="2" w:space="0"/>
            </w:tcBorders>
            <w:vAlign w:val="center"/>
          </w:tcPr>
          <w:p w14:paraId="5172165B">
            <w:pPr>
              <w:adjustRightInd w:val="0"/>
              <w:snapToGrid w:val="0"/>
              <w:spacing w:line="300" w:lineRule="exact"/>
              <w:jc w:val="center"/>
              <w:rPr>
                <w:rFonts w:hint="eastAsia" w:ascii="宋体" w:hAnsi="宋体" w:eastAsia="宋体" w:cs="宋体"/>
                <w:spacing w:val="20"/>
                <w:sz w:val="21"/>
                <w:szCs w:val="21"/>
              </w:rPr>
            </w:pPr>
          </w:p>
        </w:tc>
      </w:tr>
      <w:tr w14:paraId="6311D72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4" w:type="pct"/>
            <w:tcBorders>
              <w:top w:val="single" w:color="auto" w:sz="2" w:space="0"/>
              <w:bottom w:val="single" w:color="auto" w:sz="2" w:space="0"/>
              <w:right w:val="single" w:color="auto" w:sz="2" w:space="0"/>
            </w:tcBorders>
            <w:vAlign w:val="center"/>
          </w:tcPr>
          <w:p w14:paraId="621BF224">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183051C5">
            <w:pPr>
              <w:adjustRightInd w:val="0"/>
              <w:snapToGrid w:val="0"/>
              <w:spacing w:line="300" w:lineRule="exact"/>
              <w:jc w:val="center"/>
              <w:rPr>
                <w:rFonts w:hint="eastAsia" w:ascii="宋体" w:hAnsi="宋体" w:eastAsia="宋体" w:cs="宋体"/>
                <w:sz w:val="21"/>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098C57A">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通信地址</w:t>
            </w:r>
          </w:p>
        </w:tc>
        <w:tc>
          <w:tcPr>
            <w:tcW w:w="1261" w:type="pct"/>
            <w:tcBorders>
              <w:top w:val="single" w:color="auto" w:sz="2" w:space="0"/>
              <w:left w:val="single" w:color="auto" w:sz="2" w:space="0"/>
              <w:bottom w:val="single" w:color="auto" w:sz="2" w:space="0"/>
            </w:tcBorders>
            <w:vAlign w:val="center"/>
          </w:tcPr>
          <w:p w14:paraId="2BA3CC09">
            <w:pPr>
              <w:adjustRightInd w:val="0"/>
              <w:snapToGrid w:val="0"/>
              <w:spacing w:line="300" w:lineRule="exact"/>
              <w:jc w:val="center"/>
              <w:rPr>
                <w:rFonts w:hint="eastAsia" w:ascii="宋体" w:hAnsi="宋体" w:eastAsia="宋体" w:cs="宋体"/>
                <w:spacing w:val="20"/>
                <w:sz w:val="21"/>
                <w:szCs w:val="21"/>
              </w:rPr>
            </w:pPr>
          </w:p>
        </w:tc>
      </w:tr>
      <w:tr w14:paraId="28BC938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4" w:type="pct"/>
            <w:tcBorders>
              <w:top w:val="single" w:color="auto" w:sz="2" w:space="0"/>
              <w:bottom w:val="single" w:color="auto" w:sz="2" w:space="0"/>
              <w:right w:val="single" w:color="auto" w:sz="2" w:space="0"/>
            </w:tcBorders>
            <w:vAlign w:val="center"/>
          </w:tcPr>
          <w:p w14:paraId="4C8C5751">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7E949916">
            <w:pPr>
              <w:adjustRightInd w:val="0"/>
              <w:snapToGrid w:val="0"/>
              <w:spacing w:line="300" w:lineRule="exact"/>
              <w:jc w:val="center"/>
              <w:rPr>
                <w:rFonts w:hint="eastAsia" w:ascii="宋体" w:hAnsi="宋体" w:eastAsia="宋体" w:cs="宋体"/>
                <w:sz w:val="21"/>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D72A862">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邮政编码</w:t>
            </w:r>
          </w:p>
        </w:tc>
        <w:tc>
          <w:tcPr>
            <w:tcW w:w="1261" w:type="pct"/>
            <w:tcBorders>
              <w:top w:val="single" w:color="auto" w:sz="2" w:space="0"/>
              <w:left w:val="single" w:color="auto" w:sz="2" w:space="0"/>
              <w:bottom w:val="single" w:color="auto" w:sz="2" w:space="0"/>
            </w:tcBorders>
            <w:vAlign w:val="center"/>
          </w:tcPr>
          <w:p w14:paraId="22549185">
            <w:pPr>
              <w:adjustRightInd w:val="0"/>
              <w:snapToGrid w:val="0"/>
              <w:spacing w:line="300" w:lineRule="exact"/>
              <w:jc w:val="center"/>
              <w:rPr>
                <w:rFonts w:hint="eastAsia" w:ascii="宋体" w:hAnsi="宋体" w:eastAsia="宋体" w:cs="宋体"/>
                <w:spacing w:val="20"/>
                <w:sz w:val="21"/>
                <w:szCs w:val="21"/>
              </w:rPr>
            </w:pPr>
          </w:p>
        </w:tc>
      </w:tr>
      <w:tr w14:paraId="7BD3E90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4" w:type="pct"/>
            <w:tcBorders>
              <w:top w:val="single" w:color="auto" w:sz="2" w:space="0"/>
              <w:bottom w:val="single" w:color="auto" w:sz="2" w:space="0"/>
              <w:right w:val="single" w:color="auto" w:sz="2" w:space="0"/>
            </w:tcBorders>
            <w:vAlign w:val="center"/>
          </w:tcPr>
          <w:p w14:paraId="5542E2DB">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13331F66">
            <w:pPr>
              <w:adjustRightInd w:val="0"/>
              <w:snapToGrid w:val="0"/>
              <w:spacing w:line="300" w:lineRule="exact"/>
              <w:jc w:val="center"/>
              <w:rPr>
                <w:rFonts w:hint="eastAsia" w:ascii="宋体" w:hAnsi="宋体" w:eastAsia="宋体" w:cs="宋体"/>
                <w:sz w:val="21"/>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DF648D1">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电子邮箱</w:t>
            </w:r>
          </w:p>
        </w:tc>
        <w:tc>
          <w:tcPr>
            <w:tcW w:w="1261" w:type="pct"/>
            <w:tcBorders>
              <w:top w:val="single" w:color="auto" w:sz="2" w:space="0"/>
              <w:left w:val="single" w:color="auto" w:sz="2" w:space="0"/>
              <w:bottom w:val="single" w:color="auto" w:sz="2" w:space="0"/>
            </w:tcBorders>
            <w:vAlign w:val="center"/>
          </w:tcPr>
          <w:p w14:paraId="735BA2D0">
            <w:pPr>
              <w:adjustRightInd w:val="0"/>
              <w:snapToGrid w:val="0"/>
              <w:spacing w:line="300" w:lineRule="exact"/>
              <w:jc w:val="center"/>
              <w:rPr>
                <w:rFonts w:hint="eastAsia" w:ascii="宋体" w:hAnsi="宋体" w:eastAsia="宋体" w:cs="宋体"/>
                <w:spacing w:val="20"/>
                <w:sz w:val="21"/>
                <w:szCs w:val="21"/>
              </w:rPr>
            </w:pPr>
          </w:p>
        </w:tc>
      </w:tr>
      <w:tr w14:paraId="3848364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4" w:type="pct"/>
            <w:tcBorders>
              <w:top w:val="single" w:color="auto" w:sz="2" w:space="0"/>
              <w:bottom w:val="single" w:color="auto" w:sz="2" w:space="0"/>
              <w:right w:val="single" w:color="auto" w:sz="2" w:space="0"/>
            </w:tcBorders>
            <w:vAlign w:val="center"/>
          </w:tcPr>
          <w:p w14:paraId="4DC8ABE2">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641428D5">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12410000MB1Q8377XD</w:t>
            </w:r>
          </w:p>
        </w:tc>
        <w:tc>
          <w:tcPr>
            <w:tcW w:w="1178" w:type="pct"/>
            <w:tcBorders>
              <w:top w:val="single" w:color="auto" w:sz="2" w:space="0"/>
              <w:left w:val="single" w:color="auto" w:sz="2" w:space="0"/>
              <w:bottom w:val="single" w:color="auto" w:sz="2" w:space="0"/>
              <w:right w:val="single" w:color="auto" w:sz="2" w:space="0"/>
            </w:tcBorders>
            <w:vAlign w:val="center"/>
          </w:tcPr>
          <w:p w14:paraId="4A2AF3B5">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统一社会信用代码</w:t>
            </w:r>
          </w:p>
        </w:tc>
        <w:tc>
          <w:tcPr>
            <w:tcW w:w="1261" w:type="pct"/>
            <w:tcBorders>
              <w:top w:val="single" w:color="auto" w:sz="2" w:space="0"/>
              <w:left w:val="single" w:color="auto" w:sz="2" w:space="0"/>
              <w:bottom w:val="single" w:color="auto" w:sz="2" w:space="0"/>
            </w:tcBorders>
            <w:vAlign w:val="center"/>
          </w:tcPr>
          <w:p w14:paraId="3E73C678">
            <w:pPr>
              <w:adjustRightInd w:val="0"/>
              <w:snapToGrid w:val="0"/>
              <w:spacing w:line="300" w:lineRule="exact"/>
              <w:jc w:val="center"/>
              <w:rPr>
                <w:rFonts w:hint="eastAsia" w:ascii="宋体" w:hAnsi="宋体" w:eastAsia="宋体" w:cs="宋体"/>
                <w:spacing w:val="20"/>
                <w:sz w:val="21"/>
                <w:szCs w:val="21"/>
              </w:rPr>
            </w:pPr>
          </w:p>
        </w:tc>
      </w:tr>
      <w:tr w14:paraId="4FA675C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4" w:type="pct"/>
            <w:tcBorders>
              <w:top w:val="single" w:color="auto" w:sz="2" w:space="0"/>
              <w:bottom w:val="single" w:color="auto" w:sz="2" w:space="0"/>
              <w:right w:val="single" w:color="auto" w:sz="2" w:space="0"/>
            </w:tcBorders>
            <w:vAlign w:val="center"/>
          </w:tcPr>
          <w:p w14:paraId="0B00189B">
            <w:pPr>
              <w:adjustRightInd w:val="0"/>
              <w:snapToGrid w:val="0"/>
              <w:spacing w:line="300" w:lineRule="exact"/>
              <w:jc w:val="center"/>
              <w:rPr>
                <w:rFonts w:hint="eastAsia" w:ascii="宋体" w:hAnsi="宋体" w:eastAsia="宋体" w:cs="宋体"/>
                <w:sz w:val="21"/>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6955E568">
            <w:pPr>
              <w:adjustRightInd w:val="0"/>
              <w:snapToGrid w:val="0"/>
              <w:spacing w:line="300" w:lineRule="exact"/>
              <w:jc w:val="center"/>
              <w:rPr>
                <w:rFonts w:hint="eastAsia" w:ascii="宋体" w:hAnsi="宋体" w:eastAsia="宋体" w:cs="宋体"/>
                <w:sz w:val="21"/>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8A209EE">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开户名称</w:t>
            </w:r>
          </w:p>
        </w:tc>
        <w:tc>
          <w:tcPr>
            <w:tcW w:w="1261" w:type="pct"/>
            <w:tcBorders>
              <w:top w:val="single" w:color="auto" w:sz="2" w:space="0"/>
              <w:left w:val="single" w:color="auto" w:sz="2" w:space="0"/>
              <w:bottom w:val="single" w:color="auto" w:sz="2" w:space="0"/>
            </w:tcBorders>
            <w:vAlign w:val="center"/>
          </w:tcPr>
          <w:p w14:paraId="4F304092">
            <w:pPr>
              <w:adjustRightInd w:val="0"/>
              <w:snapToGrid w:val="0"/>
              <w:spacing w:line="300" w:lineRule="exact"/>
              <w:jc w:val="center"/>
              <w:rPr>
                <w:rFonts w:hint="eastAsia" w:ascii="宋体" w:hAnsi="宋体" w:eastAsia="宋体" w:cs="宋体"/>
                <w:spacing w:val="20"/>
                <w:sz w:val="21"/>
                <w:szCs w:val="21"/>
              </w:rPr>
            </w:pPr>
          </w:p>
        </w:tc>
      </w:tr>
      <w:tr w14:paraId="29D3BC5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4" w:type="pct"/>
            <w:tcBorders>
              <w:top w:val="single" w:color="auto" w:sz="2" w:space="0"/>
              <w:bottom w:val="single" w:color="auto" w:sz="2" w:space="0"/>
              <w:right w:val="single" w:color="auto" w:sz="2" w:space="0"/>
            </w:tcBorders>
            <w:vAlign w:val="center"/>
          </w:tcPr>
          <w:p w14:paraId="3D139E41">
            <w:pPr>
              <w:adjustRightInd w:val="0"/>
              <w:snapToGrid w:val="0"/>
              <w:spacing w:line="300" w:lineRule="exact"/>
              <w:jc w:val="center"/>
              <w:rPr>
                <w:rFonts w:hint="eastAsia" w:ascii="宋体" w:hAnsi="宋体" w:eastAsia="宋体" w:cs="宋体"/>
                <w:sz w:val="21"/>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02B65261">
            <w:pPr>
              <w:adjustRightInd w:val="0"/>
              <w:snapToGrid w:val="0"/>
              <w:spacing w:line="300" w:lineRule="exact"/>
              <w:jc w:val="center"/>
              <w:rPr>
                <w:rFonts w:hint="eastAsia" w:ascii="宋体" w:hAnsi="宋体" w:eastAsia="宋体" w:cs="宋体"/>
                <w:sz w:val="21"/>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DDE44C4">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开户银行</w:t>
            </w:r>
          </w:p>
        </w:tc>
        <w:tc>
          <w:tcPr>
            <w:tcW w:w="1261" w:type="pct"/>
            <w:tcBorders>
              <w:top w:val="single" w:color="auto" w:sz="2" w:space="0"/>
              <w:left w:val="single" w:color="auto" w:sz="2" w:space="0"/>
              <w:bottom w:val="single" w:color="auto" w:sz="2" w:space="0"/>
            </w:tcBorders>
            <w:vAlign w:val="center"/>
          </w:tcPr>
          <w:p w14:paraId="4726A179">
            <w:pPr>
              <w:adjustRightInd w:val="0"/>
              <w:snapToGrid w:val="0"/>
              <w:spacing w:line="300" w:lineRule="exact"/>
              <w:jc w:val="center"/>
              <w:rPr>
                <w:rFonts w:hint="eastAsia" w:ascii="宋体" w:hAnsi="宋体" w:eastAsia="宋体" w:cs="宋体"/>
                <w:spacing w:val="20"/>
                <w:sz w:val="21"/>
                <w:szCs w:val="21"/>
              </w:rPr>
            </w:pPr>
          </w:p>
        </w:tc>
      </w:tr>
      <w:tr w14:paraId="30A074F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4" w:type="pct"/>
            <w:tcBorders>
              <w:top w:val="single" w:color="auto" w:sz="2" w:space="0"/>
              <w:bottom w:val="single" w:color="auto" w:sz="2" w:space="0"/>
              <w:right w:val="single" w:color="auto" w:sz="2" w:space="0"/>
            </w:tcBorders>
            <w:vAlign w:val="center"/>
          </w:tcPr>
          <w:p w14:paraId="1B0A34CE">
            <w:pPr>
              <w:adjustRightInd w:val="0"/>
              <w:snapToGrid w:val="0"/>
              <w:spacing w:line="300" w:lineRule="exact"/>
              <w:jc w:val="center"/>
              <w:rPr>
                <w:rFonts w:hint="eastAsia" w:ascii="宋体" w:hAnsi="宋体" w:eastAsia="宋体" w:cs="宋体"/>
                <w:sz w:val="21"/>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6835A986">
            <w:pPr>
              <w:adjustRightInd w:val="0"/>
              <w:snapToGrid w:val="0"/>
              <w:spacing w:line="300" w:lineRule="exact"/>
              <w:jc w:val="center"/>
              <w:rPr>
                <w:rFonts w:hint="eastAsia" w:ascii="宋体" w:hAnsi="宋体" w:eastAsia="宋体" w:cs="宋体"/>
                <w:sz w:val="21"/>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36C41CD">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银行账号</w:t>
            </w:r>
          </w:p>
        </w:tc>
        <w:tc>
          <w:tcPr>
            <w:tcW w:w="1261" w:type="pct"/>
            <w:tcBorders>
              <w:top w:val="single" w:color="auto" w:sz="2" w:space="0"/>
              <w:left w:val="single" w:color="auto" w:sz="2" w:space="0"/>
              <w:bottom w:val="single" w:color="auto" w:sz="2" w:space="0"/>
            </w:tcBorders>
            <w:vAlign w:val="center"/>
          </w:tcPr>
          <w:p w14:paraId="2E455DF9">
            <w:pPr>
              <w:adjustRightInd w:val="0"/>
              <w:snapToGrid w:val="0"/>
              <w:spacing w:line="300" w:lineRule="exact"/>
              <w:jc w:val="center"/>
              <w:rPr>
                <w:rFonts w:hint="eastAsia" w:ascii="宋体" w:hAnsi="宋体" w:eastAsia="宋体" w:cs="宋体"/>
                <w:spacing w:val="20"/>
                <w:sz w:val="21"/>
                <w:szCs w:val="21"/>
              </w:rPr>
            </w:pPr>
          </w:p>
        </w:tc>
      </w:tr>
    </w:tbl>
    <w:p w14:paraId="3D62FCEB">
      <w:pPr>
        <w:rPr>
          <w:rFonts w:hint="eastAsia"/>
          <w:b/>
          <w:bCs/>
          <w:sz w:val="28"/>
          <w:szCs w:val="28"/>
        </w:rPr>
      </w:pPr>
      <w:bookmarkStart w:id="235" w:name="_Toc27624"/>
      <w:r>
        <w:rPr>
          <w:rFonts w:hint="eastAsia"/>
          <w:b/>
          <w:bCs/>
          <w:sz w:val="28"/>
          <w:szCs w:val="28"/>
        </w:rPr>
        <w:br w:type="page"/>
      </w:r>
    </w:p>
    <w:p w14:paraId="3C2FF023">
      <w:pPr>
        <w:jc w:val="center"/>
        <w:rPr>
          <w:b/>
          <w:bCs/>
          <w:sz w:val="28"/>
          <w:szCs w:val="28"/>
        </w:rPr>
      </w:pPr>
      <w:r>
        <w:rPr>
          <w:rFonts w:hint="eastAsia"/>
          <w:b/>
          <w:bCs/>
          <w:sz w:val="28"/>
          <w:szCs w:val="28"/>
        </w:rPr>
        <w:t>第二节 政府采购合同通用条款</w:t>
      </w:r>
      <w:bookmarkEnd w:id="235"/>
    </w:p>
    <w:p w14:paraId="27F0BE40">
      <w:pPr>
        <w:tabs>
          <w:tab w:val="left" w:pos="8820"/>
          <w:tab w:val="left" w:pos="9345"/>
          <w:tab w:val="left" w:pos="9765"/>
        </w:tabs>
        <w:adjustRightInd w:val="0"/>
        <w:snapToGrid w:val="0"/>
        <w:spacing w:line="400" w:lineRule="exact"/>
        <w:jc w:val="left"/>
        <w:rPr>
          <w:rFonts w:hint="eastAsia" w:ascii="宋体" w:hAnsi="宋体"/>
          <w:b/>
          <w:bCs/>
          <w:sz w:val="24"/>
        </w:rPr>
      </w:pPr>
      <w:r>
        <w:rPr>
          <w:rFonts w:hint="eastAsia" w:ascii="宋体" w:hAnsi="宋体"/>
          <w:b/>
          <w:sz w:val="24"/>
        </w:rPr>
        <w:t xml:space="preserve">1. </w:t>
      </w:r>
      <w:r>
        <w:rPr>
          <w:rFonts w:hint="eastAsia" w:ascii="宋体" w:hAnsi="宋体"/>
          <w:b/>
          <w:bCs/>
          <w:sz w:val="24"/>
        </w:rPr>
        <w:t>定义</w:t>
      </w:r>
    </w:p>
    <w:p w14:paraId="585BA44E">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1.1合同当事人</w:t>
      </w:r>
    </w:p>
    <w:p w14:paraId="059D5BE2">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（1）采购人（以下称甲方）是指使用财政性资金，通过政府采购方式向供应商购买货物及其相关服务的国家机关、事业单位、团体组织。</w:t>
      </w:r>
    </w:p>
    <w:p w14:paraId="06BFBC7F">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（2）供应商（以下称乙方）是指参加政府采购活动并且中标（成交），向采购人提供合同约定的货物及其相关服务的法人、非法人组织或者自然人。</w:t>
      </w:r>
    </w:p>
    <w:p w14:paraId="29D3403F">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（3）其他合同主体是指除采购人和供应商以外，</w:t>
      </w:r>
      <w:r>
        <w:rPr>
          <w:rFonts w:hint="eastAsia" w:ascii="宋体" w:hAnsi="宋体" w:cs="宋体"/>
          <w:bCs/>
        </w:rPr>
        <w:t>依法参与合同缔结或履行，享有权利、承担义务的合同当事人</w:t>
      </w:r>
      <w:r>
        <w:rPr>
          <w:rFonts w:hint="eastAsia" w:ascii="宋体" w:hAnsi="宋体"/>
        </w:rPr>
        <w:t>。</w:t>
      </w:r>
    </w:p>
    <w:p w14:paraId="647194CF">
      <w:pPr>
        <w:tabs>
          <w:tab w:val="left" w:pos="570"/>
          <w:tab w:val="left" w:pos="9240"/>
          <w:tab w:val="left" w:pos="9555"/>
        </w:tabs>
        <w:adjustRightInd w:val="0"/>
        <w:snapToGrid w:val="0"/>
        <w:spacing w:line="400" w:lineRule="exact"/>
        <w:ind w:firstLine="420" w:firstLineChars="200"/>
        <w:jc w:val="left"/>
        <w:rPr>
          <w:rFonts w:hint="eastAsia" w:ascii="宋体" w:hAnsi="宋体"/>
        </w:rPr>
      </w:pPr>
      <w:r>
        <w:rPr>
          <w:rFonts w:hint="eastAsia" w:ascii="宋体" w:hAnsi="宋体"/>
        </w:rPr>
        <w:t>1.2本合同下列术语应解释为：</w:t>
      </w:r>
    </w:p>
    <w:p w14:paraId="3508FDC1">
      <w:pPr>
        <w:adjustRightInd w:val="0"/>
        <w:snapToGrid w:val="0"/>
        <w:spacing w:line="400" w:lineRule="exact"/>
        <w:ind w:firstLine="420" w:firstLineChars="200"/>
        <w:jc w:val="left"/>
        <w:rPr>
          <w:rFonts w:hint="eastAsia" w:ascii="宋体" w:hAnsi="宋体"/>
        </w:rPr>
      </w:pPr>
      <w:r>
        <w:rPr>
          <w:rFonts w:hint="eastAsia" w:ascii="宋体" w:hAnsi="宋体"/>
        </w:rPr>
        <w:t>（1）“合同”系指</w:t>
      </w:r>
      <w:r>
        <w:rPr>
          <w:rFonts w:hint="eastAsia" w:ascii="宋体" w:hAnsi="宋体" w:cs="宋体"/>
          <w:bCs/>
        </w:rPr>
        <w:t>合同当事人意思表示达成一致的任何协议，包括签署的</w:t>
      </w:r>
      <w:r>
        <w:rPr>
          <w:rFonts w:hint="eastAsia" w:ascii="宋体" w:hAnsi="宋体"/>
        </w:rPr>
        <w:t>政府采购合同协议书及其变更、补充协议，政府采购合同专用条款，政府采购合同通用条款，中标（成交）通知书，投标（响应）文件，采购文件，有关技术文件和图纸，以及</w:t>
      </w:r>
      <w:r>
        <w:rPr>
          <w:rFonts w:hint="eastAsia" w:ascii="宋体" w:hAnsi="宋体" w:cs="宋体"/>
        </w:rPr>
        <w:t>国家法律、行政法规和规章制度规定或合同约定的作为合同组成部分的其他文件</w:t>
      </w:r>
      <w:r>
        <w:rPr>
          <w:rFonts w:hint="eastAsia" w:ascii="宋体" w:hAnsi="宋体"/>
        </w:rPr>
        <w:t>。</w:t>
      </w:r>
    </w:p>
    <w:p w14:paraId="535ECED2">
      <w:pPr>
        <w:tabs>
          <w:tab w:val="left" w:pos="570"/>
          <w:tab w:val="left" w:pos="9240"/>
          <w:tab w:val="left" w:pos="9555"/>
        </w:tabs>
        <w:adjustRightInd w:val="0"/>
        <w:snapToGrid w:val="0"/>
        <w:spacing w:line="400" w:lineRule="exact"/>
        <w:ind w:firstLine="420" w:firstLineChars="200"/>
        <w:jc w:val="left"/>
        <w:rPr>
          <w:rFonts w:hint="eastAsia" w:ascii="宋体" w:hAnsi="宋体"/>
        </w:rPr>
      </w:pPr>
      <w:r>
        <w:rPr>
          <w:rFonts w:hint="eastAsia" w:ascii="宋体" w:hAnsi="宋体"/>
        </w:rPr>
        <w:t>（2）“合同价款”系指根据本合同规定乙方在全面履行合同义务后甲方应支付给乙方的价款。</w:t>
      </w:r>
    </w:p>
    <w:p w14:paraId="57587DA5">
      <w:pPr>
        <w:tabs>
          <w:tab w:val="left" w:pos="570"/>
          <w:tab w:val="left" w:pos="9240"/>
          <w:tab w:val="left" w:pos="9555"/>
        </w:tabs>
        <w:adjustRightInd w:val="0"/>
        <w:snapToGrid w:val="0"/>
        <w:spacing w:line="400" w:lineRule="exact"/>
        <w:ind w:firstLine="420" w:firstLineChars="200"/>
        <w:jc w:val="left"/>
        <w:rPr>
          <w:rFonts w:hint="eastAsia" w:ascii="宋体" w:hAnsi="宋体"/>
        </w:rPr>
      </w:pPr>
      <w:r>
        <w:rPr>
          <w:rFonts w:hint="eastAsia" w:ascii="宋体" w:hAnsi="宋体"/>
        </w:rPr>
        <w:t>（3）“货物”系指乙方根据本合同规定须向甲方提供的各种形态和种类的物品，包括原材料、设备、产品（包括软件）及相关的其备品备件、工具、手册及</w:t>
      </w:r>
      <w:r>
        <w:rPr>
          <w:rFonts w:ascii="宋体" w:hAnsi="宋体"/>
          <w:lang w:val="en"/>
        </w:rPr>
        <w:t>其他</w:t>
      </w:r>
      <w:r>
        <w:rPr>
          <w:rFonts w:hint="eastAsia" w:ascii="宋体" w:hAnsi="宋体"/>
        </w:rPr>
        <w:t>技术资料和材料等。</w:t>
      </w:r>
    </w:p>
    <w:p w14:paraId="7D03406E">
      <w:pPr>
        <w:adjustRightInd w:val="0"/>
        <w:snapToGrid w:val="0"/>
        <w:spacing w:line="400" w:lineRule="exact"/>
        <w:ind w:firstLine="420" w:firstLineChars="200"/>
        <w:jc w:val="left"/>
        <w:rPr>
          <w:rFonts w:hint="eastAsia" w:ascii="宋体" w:hAnsi="宋体"/>
        </w:rPr>
      </w:pPr>
      <w:r>
        <w:rPr>
          <w:rFonts w:hint="eastAsia" w:ascii="宋体" w:hAnsi="宋体"/>
        </w:rPr>
        <w:t>（4）“相关服务”系指根据合同规定，乙方应提供的与货物有关的技术、管理和</w:t>
      </w:r>
      <w:r>
        <w:rPr>
          <w:rFonts w:ascii="宋体" w:hAnsi="宋体"/>
          <w:lang w:val="en"/>
        </w:rPr>
        <w:t>其他</w:t>
      </w:r>
      <w:r>
        <w:rPr>
          <w:rFonts w:hint="eastAsia" w:ascii="宋体" w:hAnsi="宋体"/>
        </w:rPr>
        <w:t>服务，包括但不限于：管理和质量保证、运输、保险、检验、现场准备、安装、集成、调试、培训、维修、废弃处置、技术支持等以及合同中规定乙方应承担的</w:t>
      </w:r>
      <w:r>
        <w:rPr>
          <w:rFonts w:ascii="宋体" w:hAnsi="宋体"/>
          <w:lang w:val="en"/>
        </w:rPr>
        <w:t>其他</w:t>
      </w:r>
      <w:r>
        <w:rPr>
          <w:rFonts w:hint="eastAsia" w:ascii="宋体" w:hAnsi="宋体"/>
        </w:rPr>
        <w:t>义务。</w:t>
      </w:r>
    </w:p>
    <w:p w14:paraId="4FF633BF">
      <w:pPr>
        <w:numPr>
          <w:ilvl w:val="0"/>
          <w:numId w:val="11"/>
        </w:numPr>
        <w:autoSpaceDE w:val="0"/>
        <w:autoSpaceDN w:val="0"/>
        <w:adjustRightInd w:val="0"/>
        <w:snapToGrid w:val="0"/>
        <w:spacing w:line="400" w:lineRule="exact"/>
        <w:jc w:val="left"/>
        <w:rPr>
          <w:rFonts w:hint="eastAsia" w:ascii="宋体" w:hAnsi="宋体"/>
          <w:b/>
          <w:bCs/>
          <w:sz w:val="24"/>
        </w:rPr>
      </w:pPr>
      <w:r>
        <w:rPr>
          <w:rFonts w:hint="eastAsia" w:ascii="宋体" w:hAnsi="宋体"/>
          <w:b/>
          <w:sz w:val="24"/>
        </w:rPr>
        <w:t>合同标的及金额</w:t>
      </w:r>
    </w:p>
    <w:p w14:paraId="50AC2E78">
      <w:pPr>
        <w:autoSpaceDE w:val="0"/>
        <w:autoSpaceDN w:val="0"/>
        <w:adjustRightInd w:val="0"/>
        <w:snapToGrid w:val="0"/>
        <w:spacing w:line="400" w:lineRule="exact"/>
        <w:ind w:firstLine="420" w:firstLineChars="200"/>
        <w:jc w:val="left"/>
        <w:rPr>
          <w:rFonts w:hint="eastAsia" w:ascii="宋体" w:hAnsi="宋体"/>
          <w:b/>
          <w:bCs/>
          <w:i/>
          <w:iCs/>
        </w:rPr>
      </w:pPr>
      <w:r>
        <w:rPr>
          <w:rFonts w:hint="eastAsia" w:ascii="宋体" w:hAnsi="宋体"/>
        </w:rPr>
        <w:t>2.1 合同标的及金额应与中标（成交）结果一致。乙方为履行本合同而发生的所有费用均应包含在合同价款中，甲方不再另行支付</w:t>
      </w:r>
      <w:r>
        <w:rPr>
          <w:rFonts w:ascii="宋体" w:hAnsi="宋体"/>
          <w:lang w:val="en"/>
        </w:rPr>
        <w:t>其他</w:t>
      </w:r>
      <w:r>
        <w:rPr>
          <w:rFonts w:hint="eastAsia" w:ascii="宋体" w:hAnsi="宋体"/>
        </w:rPr>
        <w:t>任何费用。</w:t>
      </w:r>
    </w:p>
    <w:p w14:paraId="39CF5E3E">
      <w:pPr>
        <w:adjustRightInd w:val="0"/>
        <w:snapToGrid w:val="0"/>
        <w:spacing w:line="400" w:lineRule="exact"/>
        <w:jc w:val="left"/>
        <w:rPr>
          <w:rFonts w:hint="eastAsia" w:ascii="宋体" w:hAnsi="宋体"/>
          <w:b/>
          <w:sz w:val="24"/>
        </w:rPr>
      </w:pPr>
      <w:r>
        <w:rPr>
          <w:rFonts w:hint="eastAsia" w:ascii="宋体" w:hAnsi="宋体"/>
          <w:b/>
          <w:sz w:val="24"/>
        </w:rPr>
        <w:t>3. 履行合同的时间、地点和方式</w:t>
      </w:r>
    </w:p>
    <w:p w14:paraId="23482943">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 xml:space="preserve">3.1 </w:t>
      </w:r>
      <w:r>
        <w:rPr>
          <w:rFonts w:hint="eastAsia" w:ascii="宋体" w:hAnsi="宋体" w:cs="宋体"/>
        </w:rPr>
        <w:t>乙方应当在约定的时间、地点，按照约定方式履行合同。</w:t>
      </w:r>
    </w:p>
    <w:p w14:paraId="3314C26B">
      <w:pPr>
        <w:autoSpaceDE w:val="0"/>
        <w:autoSpaceDN w:val="0"/>
        <w:adjustRightInd w:val="0"/>
        <w:snapToGrid w:val="0"/>
        <w:spacing w:line="400" w:lineRule="exact"/>
        <w:jc w:val="left"/>
        <w:rPr>
          <w:rFonts w:hint="eastAsia" w:ascii="宋体" w:hAnsi="宋体"/>
          <w:b/>
          <w:bCs/>
          <w:sz w:val="24"/>
        </w:rPr>
      </w:pPr>
      <w:r>
        <w:rPr>
          <w:rFonts w:hint="eastAsia" w:ascii="宋体" w:hAnsi="宋体"/>
          <w:b/>
          <w:bCs/>
          <w:sz w:val="24"/>
        </w:rPr>
        <w:t>4. 甲方的权利和义务</w:t>
      </w:r>
    </w:p>
    <w:p w14:paraId="477F058A">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4.1</w:t>
      </w:r>
      <w:r>
        <w:rPr>
          <w:rFonts w:ascii="宋体" w:hAnsi="宋体"/>
        </w:rPr>
        <w:t xml:space="preserve"> 签署合同后，甲方</w:t>
      </w:r>
      <w:r>
        <w:rPr>
          <w:rFonts w:hint="eastAsia" w:ascii="宋体" w:hAnsi="宋体"/>
        </w:rPr>
        <w:t>应</w:t>
      </w:r>
      <w:r>
        <w:rPr>
          <w:rFonts w:ascii="宋体" w:hAnsi="宋体"/>
        </w:rPr>
        <w:t>确定</w:t>
      </w:r>
      <w:r>
        <w:rPr>
          <w:rFonts w:hint="eastAsia" w:ascii="宋体" w:hAnsi="宋体"/>
        </w:rPr>
        <w:t>项目负责人（或项目联系人）</w:t>
      </w:r>
      <w:r>
        <w:rPr>
          <w:rFonts w:ascii="宋体" w:hAnsi="宋体"/>
        </w:rPr>
        <w:t>，负责与本合同有关的事务。</w:t>
      </w:r>
      <w:r>
        <w:rPr>
          <w:rFonts w:hint="eastAsia" w:ascii="宋体" w:hAnsi="宋体"/>
        </w:rPr>
        <w:t>甲方有权对乙方的履约行为进行检查，并</w:t>
      </w:r>
      <w:r>
        <w:rPr>
          <w:rFonts w:ascii="宋体" w:hAnsi="宋体"/>
        </w:rPr>
        <w:t>及时确认乙方提交的事项</w:t>
      </w:r>
      <w:r>
        <w:rPr>
          <w:rFonts w:hint="eastAsia" w:ascii="宋体" w:hAnsi="宋体"/>
        </w:rPr>
        <w:t>。甲方应当</w:t>
      </w:r>
      <w:r>
        <w:rPr>
          <w:rFonts w:ascii="宋体" w:hAnsi="宋体"/>
        </w:rPr>
        <w:t>配合乙方完成</w:t>
      </w:r>
      <w:r>
        <w:rPr>
          <w:rFonts w:hint="eastAsia" w:ascii="宋体" w:hAnsi="宋体"/>
        </w:rPr>
        <w:t>相关项目</w:t>
      </w:r>
      <w:r>
        <w:rPr>
          <w:rFonts w:ascii="宋体" w:hAnsi="宋体"/>
        </w:rPr>
        <w:t>实施工作。</w:t>
      </w:r>
    </w:p>
    <w:p w14:paraId="6BF50F89">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 xml:space="preserve">4.2 </w:t>
      </w:r>
      <w:r>
        <w:rPr>
          <w:rFonts w:ascii="宋体" w:hAnsi="宋体"/>
        </w:rPr>
        <w:t>甲方有权要求乙方按时提交各阶段有关</w:t>
      </w:r>
      <w:r>
        <w:rPr>
          <w:rFonts w:hint="eastAsia" w:ascii="宋体" w:hAnsi="宋体"/>
        </w:rPr>
        <w:t>安排计划</w:t>
      </w:r>
      <w:r>
        <w:rPr>
          <w:rFonts w:ascii="宋体" w:hAnsi="宋体"/>
        </w:rPr>
        <w:t>，并有权</w:t>
      </w:r>
      <w:r>
        <w:rPr>
          <w:rFonts w:hint="eastAsia" w:ascii="宋体" w:hAnsi="宋体"/>
        </w:rPr>
        <w:t>定期核对乙方提供货物数量、规格、质量等内容。甲方</w:t>
      </w:r>
      <w:r>
        <w:rPr>
          <w:rFonts w:ascii="宋体" w:hAnsi="宋体"/>
        </w:rPr>
        <w:t>有权督促乙方工作并要求乙方</w:t>
      </w:r>
      <w:r>
        <w:rPr>
          <w:rFonts w:hint="eastAsia" w:ascii="宋体" w:hAnsi="宋体"/>
        </w:rPr>
        <w:t>更</w:t>
      </w:r>
      <w:r>
        <w:rPr>
          <w:rFonts w:ascii="宋体" w:hAnsi="宋体"/>
        </w:rPr>
        <w:t>换不符合要求的</w:t>
      </w:r>
      <w:r>
        <w:rPr>
          <w:rFonts w:hint="eastAsia" w:ascii="宋体" w:hAnsi="宋体"/>
        </w:rPr>
        <w:t>货物</w:t>
      </w:r>
      <w:r>
        <w:rPr>
          <w:rFonts w:ascii="宋体" w:hAnsi="宋体"/>
        </w:rPr>
        <w:t>。</w:t>
      </w:r>
    </w:p>
    <w:p w14:paraId="1AE449FB">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4.</w:t>
      </w:r>
      <w:r>
        <w:rPr>
          <w:rFonts w:ascii="宋体" w:hAnsi="宋体"/>
        </w:rPr>
        <w:t>3</w:t>
      </w:r>
      <w:r>
        <w:rPr>
          <w:rFonts w:hint="eastAsia" w:ascii="宋体" w:hAnsi="宋体"/>
        </w:rPr>
        <w:t xml:space="preserve"> </w:t>
      </w:r>
      <w:r>
        <w:rPr>
          <w:rFonts w:ascii="宋体" w:hAnsi="宋体"/>
        </w:rPr>
        <w:t>甲方</w:t>
      </w:r>
      <w:r>
        <w:rPr>
          <w:rFonts w:hint="eastAsia" w:ascii="宋体" w:hAnsi="宋体"/>
        </w:rPr>
        <w:t>有权要求乙方对缺陷部分予以修复，并按合同约定享有货物保修及其他合同约定的权利。</w:t>
      </w:r>
    </w:p>
    <w:p w14:paraId="39C3BE3B">
      <w:pPr>
        <w:snapToGrid w:val="0"/>
        <w:spacing w:line="400" w:lineRule="exact"/>
        <w:ind w:firstLine="420" w:firstLineChars="200"/>
        <w:rPr>
          <w:rFonts w:eastAsia="华文楷体"/>
        </w:rPr>
      </w:pPr>
      <w:r>
        <w:rPr>
          <w:rFonts w:ascii="宋体" w:hAnsi="宋体"/>
        </w:rPr>
        <w:t>4.4 甲方应当按照合同约定及时对交付的货物进行验收</w:t>
      </w:r>
      <w:r>
        <w:rPr>
          <w:rFonts w:hint="eastAsia" w:ascii="宋体" w:hAnsi="宋体"/>
        </w:rPr>
        <w:t>，</w:t>
      </w:r>
      <w:r>
        <w:rPr>
          <w:rFonts w:hint="eastAsia" w:ascii="宋体" w:hAnsi="宋体" w:cs="宋体"/>
        </w:rPr>
        <w:t>未</w:t>
      </w:r>
      <w:r>
        <w:rPr>
          <w:rFonts w:hint="eastAsia" w:ascii="宋体" w:hAnsi="宋体"/>
        </w:rPr>
        <w:t>在</w:t>
      </w:r>
      <w:r>
        <w:rPr>
          <w:rFonts w:hint="eastAsia" w:ascii="宋体" w:hAnsi="宋体" w:cs="宋体"/>
          <w:b/>
          <w:bCs/>
        </w:rPr>
        <w:t>【政府采购合同专用条款】</w:t>
      </w:r>
      <w:r>
        <w:rPr>
          <w:rFonts w:hint="eastAsia" w:ascii="宋体" w:hAnsi="宋体" w:cs="宋体"/>
        </w:rPr>
        <w:t>约定的期限内对乙方履约提出任何异议或者向乙方作出任何说明的，</w:t>
      </w:r>
      <w:r>
        <w:rPr>
          <w:rFonts w:hint="eastAsia" w:ascii="宋体" w:hAnsi="宋体"/>
        </w:rPr>
        <w:t>视为验收通过。</w:t>
      </w:r>
    </w:p>
    <w:p w14:paraId="37E8A8E0">
      <w:pPr>
        <w:autoSpaceDE w:val="0"/>
        <w:autoSpaceDN w:val="0"/>
        <w:adjustRightInd w:val="0"/>
        <w:snapToGrid w:val="0"/>
        <w:spacing w:line="400" w:lineRule="exact"/>
        <w:ind w:firstLine="420" w:firstLineChars="200"/>
        <w:jc w:val="left"/>
        <w:rPr>
          <w:rFonts w:hint="eastAsia" w:ascii="宋体" w:hAnsi="宋体"/>
        </w:rPr>
      </w:pPr>
      <w:r>
        <w:rPr>
          <w:rFonts w:ascii="宋体" w:hAnsi="宋体"/>
        </w:rPr>
        <w:t>4</w:t>
      </w:r>
      <w:r>
        <w:rPr>
          <w:rFonts w:hint="eastAsia" w:ascii="宋体" w:hAnsi="宋体"/>
        </w:rPr>
        <w:t>.</w:t>
      </w:r>
      <w:r>
        <w:rPr>
          <w:rFonts w:ascii="宋体" w:hAnsi="宋体"/>
        </w:rPr>
        <w:t xml:space="preserve">5 </w:t>
      </w:r>
      <w:r>
        <w:rPr>
          <w:rFonts w:hint="eastAsia" w:ascii="宋体" w:hAnsi="宋体"/>
        </w:rPr>
        <w:t>甲方应当根据合同约定及时向乙方支付合同价款</w:t>
      </w:r>
      <w:r>
        <w:rPr>
          <w:rFonts w:ascii="宋体" w:hAnsi="宋体"/>
        </w:rPr>
        <w:t>，不得以内部人员变更、履行内部付款流程等为由，拒绝或迟延支付。</w:t>
      </w:r>
    </w:p>
    <w:p w14:paraId="1BDC2151">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4.6</w:t>
      </w:r>
      <w:r>
        <w:rPr>
          <w:rFonts w:ascii="宋体" w:hAnsi="宋体"/>
        </w:rPr>
        <w:t xml:space="preserve"> </w:t>
      </w:r>
      <w:r>
        <w:rPr>
          <w:rFonts w:hint="eastAsia" w:ascii="宋体" w:hAnsi="宋体"/>
        </w:rPr>
        <w:t>国家法律法规规定及</w:t>
      </w:r>
      <w:r>
        <w:rPr>
          <w:rFonts w:hint="eastAsia" w:ascii="宋体" w:hAnsi="宋体" w:cs="宋体"/>
          <w:b/>
          <w:bCs/>
        </w:rPr>
        <w:t>【政府采购合同专用条款】</w:t>
      </w:r>
      <w:r>
        <w:rPr>
          <w:rFonts w:hint="eastAsia" w:ascii="宋体" w:hAnsi="宋体"/>
        </w:rPr>
        <w:t>约定应由甲方承担的其他义务和责任。</w:t>
      </w:r>
    </w:p>
    <w:p w14:paraId="12538A36">
      <w:pPr>
        <w:autoSpaceDE w:val="0"/>
        <w:autoSpaceDN w:val="0"/>
        <w:adjustRightInd w:val="0"/>
        <w:snapToGrid w:val="0"/>
        <w:spacing w:line="400" w:lineRule="exact"/>
        <w:jc w:val="left"/>
        <w:rPr>
          <w:rFonts w:hint="eastAsia" w:ascii="宋体" w:hAnsi="宋体"/>
          <w:b/>
          <w:bCs/>
          <w:sz w:val="24"/>
        </w:rPr>
      </w:pPr>
      <w:r>
        <w:rPr>
          <w:rFonts w:hint="eastAsia" w:ascii="宋体" w:hAnsi="宋体"/>
          <w:b/>
          <w:bCs/>
          <w:sz w:val="24"/>
        </w:rPr>
        <w:t>5. 乙方的权利和义务</w:t>
      </w:r>
    </w:p>
    <w:p w14:paraId="2311BDAB">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 xml:space="preserve">5.1 </w:t>
      </w:r>
      <w:r>
        <w:rPr>
          <w:rFonts w:ascii="宋体" w:hAnsi="宋体"/>
        </w:rPr>
        <w:t>签署合同后，乙方</w:t>
      </w:r>
      <w:r>
        <w:rPr>
          <w:rFonts w:hint="eastAsia" w:ascii="宋体" w:hAnsi="宋体"/>
        </w:rPr>
        <w:t>应</w:t>
      </w:r>
      <w:r>
        <w:rPr>
          <w:rFonts w:ascii="宋体" w:hAnsi="宋体"/>
        </w:rPr>
        <w:t>确定</w:t>
      </w:r>
      <w:r>
        <w:rPr>
          <w:rFonts w:hint="eastAsia" w:ascii="宋体" w:hAnsi="宋体"/>
        </w:rPr>
        <w:t>项目负责人（或项目联系人）</w:t>
      </w:r>
      <w:r>
        <w:rPr>
          <w:rFonts w:ascii="宋体" w:hAnsi="宋体"/>
        </w:rPr>
        <w:t>，负责与本合同有关的事务。</w:t>
      </w:r>
    </w:p>
    <w:p w14:paraId="77515F2F">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5.</w:t>
      </w:r>
      <w:r>
        <w:rPr>
          <w:rFonts w:ascii="宋体" w:hAnsi="宋体"/>
        </w:rPr>
        <w:t>2 乙方应按照合同要求</w:t>
      </w:r>
      <w:r>
        <w:rPr>
          <w:rFonts w:hint="eastAsia" w:ascii="宋体" w:hAnsi="宋体"/>
        </w:rPr>
        <w:t>履约</w:t>
      </w:r>
      <w:r>
        <w:rPr>
          <w:rFonts w:ascii="宋体" w:hAnsi="宋体"/>
        </w:rPr>
        <w:t>，充分合理安排，确保</w:t>
      </w:r>
      <w:r>
        <w:rPr>
          <w:rFonts w:hint="eastAsia" w:ascii="宋体" w:hAnsi="宋体"/>
        </w:rPr>
        <w:t>提供的货物及相关服务符合合同有关</w:t>
      </w:r>
      <w:r>
        <w:rPr>
          <w:rFonts w:ascii="宋体" w:hAnsi="宋体"/>
        </w:rPr>
        <w:t>要求</w:t>
      </w:r>
      <w:r>
        <w:rPr>
          <w:rFonts w:hint="eastAsia" w:ascii="宋体" w:hAnsi="宋体"/>
        </w:rPr>
        <w:t>。接受项目行业管理部门及政府有关部门的指导，配合甲方的履约检查及验收，并</w:t>
      </w:r>
      <w:r>
        <w:rPr>
          <w:rFonts w:ascii="宋体" w:hAnsi="宋体"/>
        </w:rPr>
        <w:t>负责项目实施过程中的所有协调工作。</w:t>
      </w:r>
    </w:p>
    <w:p w14:paraId="559C4CB4">
      <w:pPr>
        <w:pStyle w:val="15"/>
        <w:spacing w:after="0" w:line="400" w:lineRule="exact"/>
        <w:ind w:firstLine="422" w:firstLineChars="176"/>
        <w:rPr>
          <w:rFonts w:hint="eastAsia" w:ascii="宋体" w:hAnsi="宋体" w:cs="宋体"/>
          <w:szCs w:val="21"/>
        </w:rPr>
      </w:pPr>
      <w:r>
        <w:rPr>
          <w:rFonts w:hint="eastAsia" w:ascii="宋体" w:hAnsi="宋体"/>
          <w:szCs w:val="21"/>
        </w:rPr>
        <w:t>5.</w:t>
      </w:r>
      <w:r>
        <w:rPr>
          <w:rFonts w:ascii="宋体" w:hAnsi="宋体"/>
          <w:szCs w:val="21"/>
        </w:rPr>
        <w:t>3</w:t>
      </w:r>
      <w:r>
        <w:rPr>
          <w:rFonts w:hint="eastAsia" w:ascii="宋体" w:hAnsi="宋体"/>
          <w:szCs w:val="21"/>
        </w:rPr>
        <w:t>乙方有权</w:t>
      </w:r>
      <w:r>
        <w:rPr>
          <w:rFonts w:hint="eastAsia" w:ascii="宋体" w:hAnsi="宋体" w:cs="宋体"/>
          <w:szCs w:val="21"/>
        </w:rPr>
        <w:t>根据合同约定向甲方收取合同价款。</w:t>
      </w:r>
    </w:p>
    <w:p w14:paraId="0607CD42">
      <w:pPr>
        <w:pStyle w:val="15"/>
        <w:spacing w:after="0" w:line="400" w:lineRule="exact"/>
        <w:ind w:firstLine="422" w:firstLineChars="176"/>
        <w:rPr>
          <w:rFonts w:hint="eastAsia" w:ascii="宋体" w:hAnsi="宋体" w:cs="宋体"/>
          <w:szCs w:val="21"/>
        </w:rPr>
      </w:pPr>
      <w:r>
        <w:rPr>
          <w:rFonts w:hint="eastAsia" w:ascii="宋体" w:hAnsi="宋体"/>
          <w:szCs w:val="21"/>
        </w:rPr>
        <w:t>5.</w:t>
      </w:r>
      <w:r>
        <w:rPr>
          <w:rFonts w:ascii="宋体" w:hAnsi="宋体"/>
          <w:szCs w:val="21"/>
        </w:rPr>
        <w:t>4</w:t>
      </w:r>
      <w:r>
        <w:rPr>
          <w:rFonts w:hint="eastAsia" w:ascii="宋体" w:hAnsi="宋体" w:cs="宋体"/>
          <w:szCs w:val="21"/>
        </w:rPr>
        <w:t>国家法律法规规定</w:t>
      </w:r>
      <w:r>
        <w:rPr>
          <w:rFonts w:hint="eastAsia" w:ascii="宋体" w:hAnsi="宋体"/>
          <w:szCs w:val="21"/>
        </w:rPr>
        <w:t>及</w:t>
      </w:r>
      <w:r>
        <w:rPr>
          <w:rFonts w:hint="eastAsia" w:ascii="宋体" w:hAnsi="宋体" w:cs="宋体"/>
          <w:b/>
          <w:bCs/>
          <w:szCs w:val="21"/>
        </w:rPr>
        <w:t>【政府采购合同专用条款】</w:t>
      </w:r>
      <w:r>
        <w:rPr>
          <w:rFonts w:hint="eastAsia" w:ascii="宋体" w:hAnsi="宋体" w:cs="宋体"/>
          <w:szCs w:val="21"/>
        </w:rPr>
        <w:t>约定应由乙方承担的其他义务和责任。</w:t>
      </w:r>
    </w:p>
    <w:p w14:paraId="356DFDB9">
      <w:pPr>
        <w:numPr>
          <w:ilvl w:val="0"/>
          <w:numId w:val="12"/>
        </w:numPr>
        <w:autoSpaceDE w:val="0"/>
        <w:autoSpaceDN w:val="0"/>
        <w:adjustRightInd w:val="0"/>
        <w:snapToGrid w:val="0"/>
        <w:spacing w:line="400" w:lineRule="exact"/>
        <w:jc w:val="left"/>
        <w:rPr>
          <w:rFonts w:hint="eastAsia" w:ascii="宋体" w:hAnsi="宋体"/>
          <w:b/>
          <w:bCs/>
          <w:sz w:val="24"/>
        </w:rPr>
      </w:pPr>
      <w:r>
        <w:rPr>
          <w:rFonts w:hint="eastAsia" w:ascii="宋体" w:hAnsi="宋体"/>
          <w:b/>
          <w:bCs/>
          <w:sz w:val="24"/>
        </w:rPr>
        <w:t>合同履行</w:t>
      </w:r>
    </w:p>
    <w:p w14:paraId="0FD8CCEA">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6.1 甲乙双方应当按照</w:t>
      </w:r>
      <w:r>
        <w:rPr>
          <w:rFonts w:hint="eastAsia" w:ascii="宋体" w:hAnsi="宋体" w:cs="宋体"/>
          <w:b/>
          <w:bCs/>
        </w:rPr>
        <w:t>【政府采购合同专用条款】</w:t>
      </w:r>
      <w:r>
        <w:rPr>
          <w:rFonts w:hint="eastAsia" w:ascii="宋体" w:hAnsi="宋体"/>
        </w:rPr>
        <w:t>约定顺序履行合同义务；如果没有先后顺序的，应当同时履行。</w:t>
      </w:r>
    </w:p>
    <w:p w14:paraId="469D472F">
      <w:pPr>
        <w:autoSpaceDE w:val="0"/>
        <w:autoSpaceDN w:val="0"/>
        <w:adjustRightInd w:val="0"/>
        <w:snapToGrid w:val="0"/>
        <w:spacing w:line="400" w:lineRule="exact"/>
        <w:ind w:firstLine="420" w:firstLineChars="200"/>
        <w:jc w:val="left"/>
      </w:pPr>
      <w:r>
        <w:rPr>
          <w:rFonts w:hint="eastAsia" w:ascii="宋体" w:hAnsi="宋体"/>
        </w:rPr>
        <w:t>6.2 甲乙双方按照合同约定顺序履行合同义务时，应当先履行一方未履行的，后履行一方有权拒绝其履行请求。先履行一方履行不符合约定的，后履行一方有权拒绝其相应的履行请求。</w:t>
      </w:r>
    </w:p>
    <w:p w14:paraId="4B2B7F85">
      <w:pPr>
        <w:adjustRightInd w:val="0"/>
        <w:snapToGrid w:val="0"/>
        <w:spacing w:line="400" w:lineRule="exact"/>
        <w:jc w:val="left"/>
        <w:rPr>
          <w:rFonts w:hint="eastAsia" w:ascii="宋体" w:hAnsi="宋体"/>
          <w:b/>
          <w:bCs/>
          <w:sz w:val="24"/>
        </w:rPr>
      </w:pPr>
      <w:r>
        <w:rPr>
          <w:rFonts w:hint="eastAsia" w:ascii="宋体" w:hAnsi="宋体"/>
          <w:b/>
          <w:bCs/>
          <w:sz w:val="24"/>
        </w:rPr>
        <w:t>7. 货物包装、运输、保险和交付要求</w:t>
      </w:r>
    </w:p>
    <w:p w14:paraId="34531FED">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7.1 本合同</w:t>
      </w:r>
      <w:r>
        <w:rPr>
          <w:rFonts w:hint="eastAsia" w:ascii="宋体" w:hAnsi="宋体"/>
          <w:bCs/>
        </w:rPr>
        <w:t>涉及商品包装、快递包装的，</w:t>
      </w:r>
      <w:r>
        <w:rPr>
          <w:rFonts w:hint="eastAsia" w:ascii="宋体" w:hAnsi="宋体"/>
        </w:rPr>
        <w:t>除</w:t>
      </w:r>
      <w:r>
        <w:rPr>
          <w:rFonts w:hint="eastAsia" w:ascii="宋体" w:hAnsi="宋体"/>
          <w:b/>
        </w:rPr>
        <w:t>【政府采购合同专用条款】</w:t>
      </w:r>
      <w:r>
        <w:rPr>
          <w:rFonts w:hint="eastAsia" w:ascii="宋体" w:hAnsi="宋体"/>
          <w:bCs/>
        </w:rPr>
        <w:t>另有约定外，</w:t>
      </w:r>
      <w:r>
        <w:rPr>
          <w:rFonts w:hint="eastAsia" w:ascii="宋体" w:hAnsi="宋体"/>
        </w:rPr>
        <w:t>包装应适应远距离运输、防潮、防震、防锈和防野蛮装卸等要求，确保货物安全无损地运抵</w:t>
      </w:r>
      <w:r>
        <w:rPr>
          <w:rFonts w:hint="eastAsia" w:ascii="宋体" w:hAnsi="宋体"/>
          <w:b/>
        </w:rPr>
        <w:t>【政府采购合同专用条款】</w:t>
      </w:r>
      <w:r>
        <w:rPr>
          <w:rFonts w:hint="eastAsia" w:ascii="宋体" w:hAnsi="宋体"/>
          <w:bCs/>
        </w:rPr>
        <w:t>约定的</w:t>
      </w:r>
      <w:r>
        <w:rPr>
          <w:rFonts w:hint="eastAsia" w:ascii="宋体" w:hAnsi="宋体"/>
        </w:rPr>
        <w:t>指定现场。</w:t>
      </w:r>
    </w:p>
    <w:p w14:paraId="476EDA2C">
      <w:pPr>
        <w:adjustRightInd w:val="0"/>
        <w:snapToGrid w:val="0"/>
        <w:spacing w:line="400" w:lineRule="exact"/>
        <w:ind w:firstLine="420" w:firstLineChars="200"/>
        <w:jc w:val="left"/>
        <w:rPr>
          <w:rFonts w:hint="eastAsia" w:ascii="宋体" w:hAnsi="宋体"/>
        </w:rPr>
      </w:pPr>
      <w:r>
        <w:rPr>
          <w:rFonts w:hint="eastAsia" w:ascii="宋体" w:hAnsi="宋体"/>
        </w:rPr>
        <w:t>7.2 除</w:t>
      </w:r>
      <w:r>
        <w:rPr>
          <w:rFonts w:hint="eastAsia" w:ascii="宋体" w:hAnsi="宋体"/>
          <w:b/>
        </w:rPr>
        <w:t>【政府采购合同专用条款】</w:t>
      </w:r>
      <w:r>
        <w:rPr>
          <w:rFonts w:hint="eastAsia" w:ascii="宋体" w:hAnsi="宋体"/>
          <w:bCs/>
        </w:rPr>
        <w:t>另有约定外，</w:t>
      </w:r>
      <w:r>
        <w:rPr>
          <w:rFonts w:hint="eastAsia" w:ascii="宋体" w:hAnsi="宋体"/>
        </w:rPr>
        <w:t>乙方负责办理将货物运抵本合同规定的交货地点，并装卸、交付至甲方的一切运输事项，相关费用应包含在合同价款中。</w:t>
      </w:r>
    </w:p>
    <w:p w14:paraId="18490E3E">
      <w:pPr>
        <w:adjustRightInd w:val="0"/>
        <w:snapToGrid w:val="0"/>
        <w:spacing w:line="400" w:lineRule="exact"/>
        <w:ind w:firstLine="420" w:firstLineChars="200"/>
        <w:jc w:val="left"/>
        <w:rPr>
          <w:rFonts w:hint="eastAsia" w:ascii="宋体" w:hAnsi="宋体"/>
        </w:rPr>
      </w:pPr>
      <w:r>
        <w:rPr>
          <w:rFonts w:hint="eastAsia" w:ascii="宋体" w:hAnsi="宋体"/>
        </w:rPr>
        <w:t>7.3 货物保险要求按</w:t>
      </w:r>
      <w:r>
        <w:rPr>
          <w:rFonts w:hint="eastAsia" w:ascii="宋体" w:hAnsi="宋体"/>
          <w:b/>
        </w:rPr>
        <w:t>【政府采购合同专用条款】</w:t>
      </w:r>
      <w:r>
        <w:rPr>
          <w:rFonts w:hint="eastAsia" w:ascii="宋体" w:hAnsi="宋体"/>
          <w:bCs/>
        </w:rPr>
        <w:t>规定执行</w:t>
      </w:r>
      <w:r>
        <w:rPr>
          <w:rFonts w:hint="eastAsia" w:ascii="宋体" w:hAnsi="宋体"/>
        </w:rPr>
        <w:t>。</w:t>
      </w:r>
    </w:p>
    <w:p w14:paraId="00747332">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6249F259">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 xml:space="preserve">7.5 </w:t>
      </w:r>
      <w:r>
        <w:rPr>
          <w:rFonts w:hint="eastAsia" w:ascii="宋体" w:hAnsi="宋体" w:cs="宋体"/>
        </w:rPr>
        <w:t>乙方在运输到达之前应提前通知甲方，并提示货物运输装卸的注意事项，甲方配合乙方做好货物的接收工作。</w:t>
      </w:r>
    </w:p>
    <w:p w14:paraId="4501515D">
      <w:pPr>
        <w:pStyle w:val="59"/>
        <w:ind w:firstLine="420"/>
        <w:rPr>
          <w:rFonts w:hint="eastAsia"/>
          <w:sz w:val="21"/>
        </w:rPr>
      </w:pPr>
      <w:r>
        <w:rPr>
          <w:rFonts w:hint="eastAsia" w:ascii="宋体" w:hAnsi="宋体" w:eastAsia="宋体" w:cs="Times New Roman"/>
          <w:kern w:val="2"/>
          <w:sz w:val="21"/>
        </w:rPr>
        <w:t>7.6 如因包装、运输问题导致货物损毁、丢失或者品质下降，甲方有权要求降价、换货、拒收部分或整批货物，由此产生的费用和损失，均由乙方承担。</w:t>
      </w:r>
    </w:p>
    <w:p w14:paraId="14F7D5F0">
      <w:pPr>
        <w:adjustRightInd w:val="0"/>
        <w:snapToGrid w:val="0"/>
        <w:spacing w:line="400" w:lineRule="exact"/>
        <w:jc w:val="left"/>
        <w:rPr>
          <w:rFonts w:hint="eastAsia" w:ascii="宋体" w:hAnsi="宋体"/>
          <w:b/>
          <w:sz w:val="24"/>
        </w:rPr>
      </w:pPr>
      <w:r>
        <w:rPr>
          <w:rFonts w:hint="eastAsia" w:ascii="宋体" w:hAnsi="宋体"/>
          <w:b/>
          <w:sz w:val="24"/>
        </w:rPr>
        <w:t>8. 质量标准和保证</w:t>
      </w:r>
    </w:p>
    <w:p w14:paraId="0FB66909">
      <w:pPr>
        <w:pStyle w:val="18"/>
        <w:adjustRightInd w:val="0"/>
        <w:snapToGrid w:val="0"/>
        <w:spacing w:line="400" w:lineRule="exact"/>
        <w:ind w:firstLine="420" w:firstLineChars="200"/>
        <w:jc w:val="left"/>
        <w:rPr>
          <w:rFonts w:hint="eastAsia" w:hAnsi="宋体"/>
          <w:b/>
        </w:rPr>
      </w:pPr>
      <w:r>
        <w:rPr>
          <w:rFonts w:hint="eastAsia" w:hAnsi="宋体"/>
        </w:rPr>
        <w:t>8.1 质量标准</w:t>
      </w:r>
    </w:p>
    <w:p w14:paraId="629CE81C">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（1）本合同下提供的货物应符合合同</w:t>
      </w:r>
      <w:r>
        <w:rPr>
          <w:rFonts w:hint="eastAsia" w:ascii="宋体" w:hAnsi="宋体" w:cs="宋体"/>
        </w:rPr>
        <w:t>约定的品牌、规格型号、技术性能、配置、质量、数量等要求。</w:t>
      </w:r>
      <w:r>
        <w:rPr>
          <w:rFonts w:hint="eastAsia" w:ascii="宋体" w:hAnsi="宋体"/>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1578DAD7">
      <w:pPr>
        <w:pStyle w:val="18"/>
        <w:adjustRightInd w:val="0"/>
        <w:snapToGrid w:val="0"/>
        <w:spacing w:line="400" w:lineRule="exact"/>
        <w:ind w:firstLine="420" w:firstLineChars="200"/>
        <w:jc w:val="left"/>
        <w:rPr>
          <w:rFonts w:hint="eastAsia" w:hAnsi="宋体"/>
        </w:rPr>
      </w:pPr>
      <w:r>
        <w:rPr>
          <w:rFonts w:hint="eastAsia" w:hAnsi="宋体"/>
        </w:rPr>
        <w:t>（2）采用中华人民共和国法定计量单位。</w:t>
      </w:r>
    </w:p>
    <w:p w14:paraId="5C2E7FC0">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（3）乙方所提供的货物应符合国家有关安全、环保、卫生的规定。</w:t>
      </w:r>
    </w:p>
    <w:p w14:paraId="177322F9">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（4）乙方应向甲方提交所提供货物的技术文件，包括相应的中文技术文件，如：产品目录、图纸、操作手册、使用说明、维护手册或服务指南等。上述文件应包装好随货物一同发运。</w:t>
      </w:r>
    </w:p>
    <w:p w14:paraId="519D3CDA">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8.2 保证</w:t>
      </w:r>
    </w:p>
    <w:p w14:paraId="6A223E53">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（1）乙方应保证提供的货物完全符合合同规定的质量、规格和性能要求。乙方应保证货物在正确安装、正常使用和保养条件下，</w:t>
      </w:r>
      <w:r>
        <w:rPr>
          <w:rFonts w:hint="eastAsia" w:ascii="宋体" w:hAnsi="宋体" w:cs="宋体"/>
        </w:rPr>
        <w:t>在其使用寿命期内具备合同约定的性能</w:t>
      </w:r>
      <w:r>
        <w:rPr>
          <w:rFonts w:hint="eastAsia" w:ascii="宋体" w:hAnsi="宋体"/>
        </w:rPr>
        <w:t>。存在质量保证期的，货物最终交付验收合格后在</w:t>
      </w:r>
      <w:r>
        <w:rPr>
          <w:rFonts w:hint="eastAsia" w:ascii="宋体" w:hAnsi="宋体"/>
          <w:b/>
        </w:rPr>
        <w:t>【政府采购合同专用条款】</w:t>
      </w:r>
      <w:r>
        <w:rPr>
          <w:rFonts w:hint="eastAsia" w:ascii="宋体" w:hAnsi="宋体"/>
        </w:rPr>
        <w:t>规定或乙方书面承诺（两者以较长的为准）的质量保证期内，本保证保持有效。</w:t>
      </w:r>
    </w:p>
    <w:p w14:paraId="24BEB64A">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（2）在质量保证期内所发现的缺陷，甲方应尽快以书面形式通知乙方。</w:t>
      </w:r>
    </w:p>
    <w:p w14:paraId="26CF8D8E">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（3）乙方收到通知后，应在</w:t>
      </w:r>
      <w:r>
        <w:rPr>
          <w:rFonts w:hint="eastAsia" w:ascii="宋体" w:hAnsi="宋体"/>
          <w:b/>
        </w:rPr>
        <w:t>【政府采购合同专用条款】</w:t>
      </w:r>
      <w:r>
        <w:rPr>
          <w:rFonts w:hint="eastAsia" w:ascii="宋体" w:hAnsi="宋体"/>
        </w:rPr>
        <w:t>规定的响应时间内以合理的速度免费维修或更换有缺陷的货物或部件。</w:t>
      </w:r>
    </w:p>
    <w:p w14:paraId="1A1CFF83">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（4）在质量保证期内，如果货物的质量或规格与合同不符，或证实货物是有缺陷的，包括潜在的缺陷或使用不符合要求的材料等，甲方可以追究乙方的违约责任。</w:t>
      </w:r>
    </w:p>
    <w:p w14:paraId="7302A339">
      <w:pPr>
        <w:adjustRightInd w:val="0"/>
        <w:snapToGrid w:val="0"/>
        <w:spacing w:line="400" w:lineRule="exact"/>
        <w:ind w:firstLine="420" w:firstLineChars="200"/>
        <w:jc w:val="left"/>
      </w:pPr>
      <w:r>
        <w:rPr>
          <w:rFonts w:hint="eastAsia" w:ascii="宋体" w:hAnsi="宋体"/>
        </w:rPr>
        <w:t>（5）乙方在约定的时间内未能弥补缺陷，甲方可采取必要的补救措施，但其风险和费用将由乙方承担，甲方根据合同约定对乙方行使的其他权利不受影响。</w:t>
      </w:r>
    </w:p>
    <w:p w14:paraId="1CE660D5">
      <w:pPr>
        <w:adjustRightInd w:val="0"/>
        <w:snapToGrid w:val="0"/>
        <w:spacing w:line="400" w:lineRule="exact"/>
        <w:jc w:val="left"/>
        <w:rPr>
          <w:rFonts w:hint="eastAsia" w:ascii="宋体" w:hAnsi="宋体"/>
          <w:b/>
          <w:bCs/>
          <w:sz w:val="24"/>
        </w:rPr>
      </w:pPr>
      <w:r>
        <w:rPr>
          <w:rFonts w:hint="eastAsia" w:ascii="宋体" w:hAnsi="宋体"/>
          <w:b/>
          <w:bCs/>
          <w:sz w:val="24"/>
        </w:rPr>
        <w:t>9. 权利瑕疵担保</w:t>
      </w:r>
    </w:p>
    <w:p w14:paraId="3F7A9A79">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9.1 乙方保证对其出售的货物享有合法的权利。</w:t>
      </w:r>
    </w:p>
    <w:p w14:paraId="36517544">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 xml:space="preserve">9.2 </w:t>
      </w:r>
      <w:r>
        <w:rPr>
          <w:rFonts w:hint="eastAsia" w:ascii="宋体" w:hAnsi="宋体" w:cs="宋体"/>
          <w:szCs w:val="15"/>
        </w:rPr>
        <w:t>乙方保证在交付的货物上不存在抵押权等担保物权。</w:t>
      </w:r>
    </w:p>
    <w:p w14:paraId="62C0A395">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9.3 如甲方使用上述货物构成对第三人侵权的，则由乙方承担全部责任。</w:t>
      </w:r>
    </w:p>
    <w:p w14:paraId="4B4A4D33">
      <w:pPr>
        <w:autoSpaceDE w:val="0"/>
        <w:autoSpaceDN w:val="0"/>
        <w:adjustRightInd w:val="0"/>
        <w:snapToGrid w:val="0"/>
        <w:spacing w:line="400" w:lineRule="exact"/>
        <w:jc w:val="left"/>
        <w:rPr>
          <w:rFonts w:hint="eastAsia" w:ascii="宋体" w:hAnsi="宋体"/>
          <w:b/>
          <w:bCs/>
          <w:sz w:val="24"/>
        </w:rPr>
      </w:pPr>
      <w:r>
        <w:rPr>
          <w:rFonts w:hint="eastAsia" w:ascii="宋体" w:hAnsi="宋体"/>
          <w:b/>
          <w:bCs/>
          <w:sz w:val="24"/>
        </w:rPr>
        <w:t>10. 知识产权保护</w:t>
      </w:r>
    </w:p>
    <w:p w14:paraId="1498E6A5">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10.1 乙方对其所销售的货物应当享有知识产权或经权利人合法授权，保证没有侵犯任何第三人的知识产权等权利。</w:t>
      </w:r>
      <w:bookmarkStart w:id="236" w:name="_Hlk163047038"/>
      <w:r>
        <w:rPr>
          <w:rFonts w:hint="eastAsia" w:ascii="宋体" w:hAnsi="宋体" w:cs="宋体"/>
          <w:szCs w:val="15"/>
        </w:rPr>
        <w:t>因违反前述约定对第三人构成侵权的，应当由乙方向第三人承担法律责任；甲方依法向第三人赔偿后，有权向乙方追偿。甲方有其他损失的，乙方应当赔偿</w:t>
      </w:r>
      <w:bookmarkEnd w:id="236"/>
      <w:r>
        <w:rPr>
          <w:rFonts w:hint="eastAsia" w:ascii="宋体" w:hAnsi="宋体"/>
        </w:rPr>
        <w:t>。</w:t>
      </w:r>
    </w:p>
    <w:p w14:paraId="1C778C84">
      <w:pPr>
        <w:autoSpaceDE w:val="0"/>
        <w:autoSpaceDN w:val="0"/>
        <w:adjustRightInd w:val="0"/>
        <w:snapToGrid w:val="0"/>
        <w:spacing w:line="400" w:lineRule="exact"/>
        <w:jc w:val="left"/>
        <w:rPr>
          <w:rFonts w:hint="eastAsia" w:ascii="宋体" w:hAnsi="宋体"/>
          <w:b/>
          <w:bCs/>
          <w:sz w:val="24"/>
        </w:rPr>
      </w:pPr>
      <w:r>
        <w:rPr>
          <w:rFonts w:hint="eastAsia" w:ascii="宋体" w:hAnsi="宋体"/>
          <w:b/>
          <w:bCs/>
          <w:sz w:val="24"/>
        </w:rPr>
        <w:t>11. 保密义务</w:t>
      </w:r>
    </w:p>
    <w:p w14:paraId="54E41B53">
      <w:pPr>
        <w:autoSpaceDE w:val="0"/>
        <w:autoSpaceDN w:val="0"/>
        <w:adjustRightInd w:val="0"/>
        <w:snapToGrid w:val="0"/>
        <w:spacing w:line="400" w:lineRule="exact"/>
        <w:ind w:firstLine="420" w:firstLineChars="200"/>
        <w:jc w:val="left"/>
        <w:rPr>
          <w:rFonts w:hint="eastAsia" w:ascii="宋体" w:hAnsi="宋体" w:cs="宋体"/>
          <w:szCs w:val="15"/>
        </w:rPr>
      </w:pPr>
      <w:r>
        <w:rPr>
          <w:rFonts w:hint="eastAsia" w:ascii="宋体" w:hAnsi="宋体" w:cs="宋体"/>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szCs w:val="15"/>
        </w:rPr>
        <w:t>【政府采购合同专用条款】</w:t>
      </w:r>
      <w:r>
        <w:rPr>
          <w:rFonts w:hint="eastAsia" w:ascii="宋体" w:hAnsi="宋体" w:cs="宋体"/>
          <w:szCs w:val="15"/>
        </w:rPr>
        <w:t>中约定。</w:t>
      </w:r>
    </w:p>
    <w:p w14:paraId="6DBC5E3C">
      <w:pPr>
        <w:autoSpaceDE w:val="0"/>
        <w:autoSpaceDN w:val="0"/>
        <w:adjustRightInd w:val="0"/>
        <w:snapToGrid w:val="0"/>
        <w:spacing w:line="400" w:lineRule="exact"/>
        <w:jc w:val="left"/>
        <w:rPr>
          <w:rFonts w:hint="eastAsia" w:ascii="宋体" w:hAnsi="宋体"/>
          <w:b/>
          <w:bCs/>
          <w:sz w:val="24"/>
        </w:rPr>
      </w:pPr>
      <w:r>
        <w:rPr>
          <w:rFonts w:hint="eastAsia" w:ascii="宋体" w:hAnsi="宋体"/>
          <w:b/>
          <w:bCs/>
          <w:sz w:val="24"/>
        </w:rPr>
        <w:t>12. 合同价款支付</w:t>
      </w:r>
    </w:p>
    <w:p w14:paraId="41F9E7BB">
      <w:pPr>
        <w:autoSpaceDE w:val="0"/>
        <w:autoSpaceDN w:val="0"/>
        <w:adjustRightInd w:val="0"/>
        <w:snapToGrid w:val="0"/>
        <w:spacing w:line="400" w:lineRule="exact"/>
        <w:ind w:firstLine="420" w:firstLineChars="200"/>
        <w:jc w:val="left"/>
        <w:rPr>
          <w:rFonts w:hint="eastAsia" w:ascii="宋体" w:hAnsi="宋体" w:cs="宋体"/>
          <w:szCs w:val="15"/>
        </w:rPr>
      </w:pPr>
      <w:r>
        <w:rPr>
          <w:rFonts w:hint="eastAsia" w:ascii="宋体" w:hAnsi="宋体" w:cs="宋体"/>
          <w:szCs w:val="15"/>
        </w:rPr>
        <w:t>12.1 合同价款支付按照国库集中支付制度及财政管理相关规定执行。</w:t>
      </w:r>
    </w:p>
    <w:p w14:paraId="19F100A9">
      <w:pPr>
        <w:autoSpaceDE w:val="0"/>
        <w:autoSpaceDN w:val="0"/>
        <w:adjustRightInd w:val="0"/>
        <w:snapToGrid w:val="0"/>
        <w:spacing w:line="400" w:lineRule="exact"/>
        <w:ind w:firstLine="420" w:firstLineChars="200"/>
        <w:jc w:val="left"/>
        <w:rPr>
          <w:rFonts w:hint="eastAsia" w:ascii="宋体" w:hAnsi="宋体" w:cs="宋体"/>
          <w:szCs w:val="15"/>
        </w:rPr>
      </w:pPr>
      <w:r>
        <w:rPr>
          <w:rFonts w:hint="eastAsia" w:ascii="宋体" w:hAnsi="宋体" w:cs="宋体"/>
          <w:szCs w:val="15"/>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cs="宋体"/>
          <w:b/>
          <w:bCs/>
          <w:szCs w:val="15"/>
        </w:rPr>
        <w:t>【政府采购合同专用条款】</w:t>
      </w:r>
      <w:r>
        <w:rPr>
          <w:rFonts w:hint="eastAsia" w:ascii="宋体" w:hAnsi="宋体" w:cs="宋体"/>
          <w:szCs w:val="15"/>
        </w:rPr>
        <w:t>中约定。</w:t>
      </w:r>
    </w:p>
    <w:p w14:paraId="5C5E9BF9">
      <w:pPr>
        <w:pStyle w:val="15"/>
        <w:spacing w:after="0" w:line="400" w:lineRule="exact"/>
        <w:rPr>
          <w:rFonts w:hint="eastAsia" w:ascii="宋体" w:hAnsi="宋体"/>
          <w:b/>
          <w:bCs/>
          <w:sz w:val="24"/>
          <w:szCs w:val="24"/>
        </w:rPr>
      </w:pPr>
      <w:r>
        <w:rPr>
          <w:rFonts w:hint="eastAsia" w:ascii="宋体" w:hAnsi="宋体"/>
          <w:b/>
          <w:bCs/>
          <w:sz w:val="24"/>
          <w:szCs w:val="24"/>
        </w:rPr>
        <w:t>13. 履约保证金</w:t>
      </w:r>
    </w:p>
    <w:p w14:paraId="7BAEEF70">
      <w:pPr>
        <w:adjustRightInd w:val="0"/>
        <w:snapToGrid w:val="0"/>
        <w:spacing w:line="400" w:lineRule="exact"/>
        <w:ind w:firstLine="420" w:firstLineChars="200"/>
        <w:jc w:val="left"/>
        <w:rPr>
          <w:rFonts w:hint="eastAsia" w:ascii="宋体" w:hAnsi="宋体"/>
        </w:rPr>
      </w:pPr>
      <w:r>
        <w:rPr>
          <w:rFonts w:hint="eastAsia" w:ascii="宋体" w:hAnsi="宋体"/>
        </w:rPr>
        <w:t xml:space="preserve">13.1 </w:t>
      </w:r>
      <w:r>
        <w:rPr>
          <w:rFonts w:hint="eastAsia" w:ascii="宋体" w:hAnsi="宋体" w:cs="宋体"/>
          <w:szCs w:val="15"/>
        </w:rPr>
        <w:t>乙方应当以支票、汇票、本票或者金融机构、担保机构出具的保函等非现金形式提交。</w:t>
      </w:r>
    </w:p>
    <w:p w14:paraId="5FF1D232">
      <w:pPr>
        <w:adjustRightInd w:val="0"/>
        <w:snapToGrid w:val="0"/>
        <w:spacing w:line="400" w:lineRule="exact"/>
        <w:ind w:firstLine="420" w:firstLineChars="200"/>
        <w:jc w:val="left"/>
        <w:rPr>
          <w:rFonts w:hint="eastAsia" w:ascii="宋体" w:hAnsi="宋体"/>
        </w:rPr>
      </w:pPr>
      <w:r>
        <w:rPr>
          <w:rFonts w:hint="eastAsia" w:ascii="宋体" w:hAnsi="宋体"/>
        </w:rPr>
        <w:t>13.2 如果乙方出现</w:t>
      </w:r>
      <w:r>
        <w:rPr>
          <w:rFonts w:hint="eastAsia" w:ascii="宋体" w:hAnsi="宋体" w:cs="宋体"/>
          <w:b/>
          <w:bCs/>
          <w:szCs w:val="15"/>
        </w:rPr>
        <w:t>【政府采购合同专用条款】</w:t>
      </w:r>
      <w:r>
        <w:rPr>
          <w:rFonts w:hint="eastAsia" w:ascii="宋体" w:hAnsi="宋体" w:cs="宋体"/>
          <w:szCs w:val="15"/>
        </w:rPr>
        <w:t>约定情形的</w:t>
      </w:r>
      <w:r>
        <w:rPr>
          <w:rFonts w:hint="eastAsia" w:ascii="宋体" w:hAnsi="宋体"/>
        </w:rPr>
        <w:t>，履约保证金不予退还；如果乙方未能按合同约定全面履行义务，甲方有权从履约保证金中取得补偿或赔偿，且不影响甲方要求乙方承担合同约定的超过履约保证金的违约责任的权利。</w:t>
      </w:r>
    </w:p>
    <w:p w14:paraId="01E9CAC8">
      <w:pPr>
        <w:spacing w:line="400" w:lineRule="exact"/>
        <w:ind w:firstLine="420"/>
      </w:pPr>
      <w:r>
        <w:rPr>
          <w:rFonts w:hint="eastAsia" w:ascii="宋体" w:hAnsi="宋体"/>
        </w:rPr>
        <w:t>13.3 甲方在项目通过验收后按照</w:t>
      </w:r>
      <w:r>
        <w:rPr>
          <w:rFonts w:hint="eastAsia" w:ascii="宋体" w:hAnsi="宋体"/>
          <w:b/>
        </w:rPr>
        <w:t>【政府采购合同专用条款】</w:t>
      </w:r>
      <w:r>
        <w:rPr>
          <w:rFonts w:hint="eastAsia" w:ascii="宋体" w:hAnsi="宋体"/>
        </w:rPr>
        <w:t>规定的时间内将履约保证金退还乙方。</w:t>
      </w:r>
    </w:p>
    <w:p w14:paraId="59DA7050">
      <w:pPr>
        <w:autoSpaceDE w:val="0"/>
        <w:autoSpaceDN w:val="0"/>
        <w:adjustRightInd w:val="0"/>
        <w:snapToGrid w:val="0"/>
        <w:spacing w:line="400" w:lineRule="exact"/>
        <w:jc w:val="left"/>
        <w:rPr>
          <w:rFonts w:hint="eastAsia" w:ascii="宋体" w:hAnsi="宋体"/>
          <w:b/>
          <w:sz w:val="24"/>
        </w:rPr>
      </w:pPr>
      <w:r>
        <w:rPr>
          <w:rFonts w:hint="eastAsia" w:ascii="宋体" w:hAnsi="宋体"/>
          <w:b/>
          <w:bCs/>
          <w:sz w:val="24"/>
        </w:rPr>
        <w:t xml:space="preserve">14. </w:t>
      </w:r>
      <w:r>
        <w:rPr>
          <w:rFonts w:hint="eastAsia"/>
          <w:b/>
          <w:sz w:val="24"/>
        </w:rPr>
        <w:t>售后</w:t>
      </w:r>
      <w:r>
        <w:rPr>
          <w:rFonts w:hint="eastAsia" w:ascii="宋体" w:hAnsi="宋体"/>
          <w:b/>
          <w:sz w:val="24"/>
        </w:rPr>
        <w:t>服务</w:t>
      </w:r>
    </w:p>
    <w:p w14:paraId="682E3797">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14.1 除项目不涉及或采购活动中明确约定无须承担外，乙方还应提供下列服务：</w:t>
      </w:r>
    </w:p>
    <w:p w14:paraId="30039DA0">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（1）货物的现场移动、安装、调试、启动监督及技术支持；</w:t>
      </w:r>
    </w:p>
    <w:p w14:paraId="5EA5022B">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（2）提供货物组装和维修所需的专用工具和辅助材料；</w:t>
      </w:r>
    </w:p>
    <w:p w14:paraId="0BDEEAF8">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（3）在制造商所在地或指定现场就货物的安装、启动、运营、维护、废弃处置等对甲方操作人员进行培训</w:t>
      </w:r>
      <w:r>
        <w:rPr>
          <w:rFonts w:hint="eastAsia" w:ascii="宋体" w:hAnsi="宋体" w:cs="宋体"/>
          <w:szCs w:val="15"/>
        </w:rPr>
        <w:t>；</w:t>
      </w:r>
    </w:p>
    <w:p w14:paraId="795CBA2F">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（4）</w:t>
      </w:r>
      <w:r>
        <w:rPr>
          <w:rFonts w:hint="eastAsia" w:ascii="宋体" w:hAnsi="宋体"/>
          <w:b/>
        </w:rPr>
        <w:t>【政府采购合同专用条款】</w:t>
      </w:r>
      <w:r>
        <w:rPr>
          <w:rFonts w:hint="eastAsia" w:ascii="宋体" w:hAnsi="宋体"/>
        </w:rPr>
        <w:t>规定由乙方提供的其他服务。</w:t>
      </w:r>
    </w:p>
    <w:p w14:paraId="12EB1E5E">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14.2 乙方提供的售后服务的费用已包含在合同价款中，甲方不再另行支付。</w:t>
      </w:r>
    </w:p>
    <w:p w14:paraId="57B2B583">
      <w:pPr>
        <w:autoSpaceDE w:val="0"/>
        <w:autoSpaceDN w:val="0"/>
        <w:adjustRightInd w:val="0"/>
        <w:snapToGrid w:val="0"/>
        <w:spacing w:line="400" w:lineRule="exact"/>
        <w:jc w:val="left"/>
        <w:rPr>
          <w:rFonts w:hint="eastAsia" w:ascii="宋体" w:hAnsi="宋体"/>
          <w:b/>
          <w:bCs/>
          <w:sz w:val="24"/>
        </w:rPr>
      </w:pPr>
      <w:r>
        <w:rPr>
          <w:rFonts w:hint="eastAsia" w:ascii="宋体" w:hAnsi="宋体"/>
          <w:b/>
          <w:bCs/>
          <w:sz w:val="24"/>
        </w:rPr>
        <w:t>15. 不可抗力</w:t>
      </w:r>
    </w:p>
    <w:p w14:paraId="237EA25C">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15.1 不可抗力是指合同双方不能预见、不能避免且不能克服的客观情况。</w:t>
      </w:r>
    </w:p>
    <w:p w14:paraId="4EE4AA37">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15.2 任何一方对由于不可抗力造成的部分或全部不能履行合同不承担违约责任。但迟延履行后发生不可抗力的，不能免除责任。</w:t>
      </w:r>
    </w:p>
    <w:p w14:paraId="4D03DF6A">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15.3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038CBA09">
      <w:pPr>
        <w:autoSpaceDE w:val="0"/>
        <w:autoSpaceDN w:val="0"/>
        <w:adjustRightInd w:val="0"/>
        <w:snapToGrid w:val="0"/>
        <w:spacing w:line="400" w:lineRule="exact"/>
        <w:jc w:val="left"/>
        <w:rPr>
          <w:rFonts w:hint="eastAsia" w:ascii="宋体" w:hAnsi="宋体"/>
          <w:sz w:val="24"/>
        </w:rPr>
      </w:pPr>
      <w:r>
        <w:rPr>
          <w:rFonts w:hint="eastAsia" w:ascii="宋体" w:hAnsi="宋体"/>
          <w:b/>
          <w:sz w:val="24"/>
        </w:rPr>
        <w:t>16. 政府采购政策</w:t>
      </w:r>
    </w:p>
    <w:p w14:paraId="06ACA3BC">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 xml:space="preserve">16.1 </w:t>
      </w:r>
      <w:r>
        <w:rPr>
          <w:rFonts w:hint="eastAsia" w:ascii="宋体" w:hAnsi="宋体" w:cs="宋体"/>
          <w:lang w:val="en-GB"/>
        </w:rPr>
        <w:t>本合同应当按照规定执行政府采购政策。</w:t>
      </w:r>
    </w:p>
    <w:p w14:paraId="4A2939E7">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16.2 本合同依法执行政府采购政策的方式和内容，属于合同履约验收的范围。</w:t>
      </w:r>
      <w:r>
        <w:rPr>
          <w:rFonts w:hint="eastAsia" w:ascii="宋体" w:hAnsi="宋体" w:cs="宋体"/>
        </w:rPr>
        <w:t>甲乙双方</w:t>
      </w:r>
      <w:r>
        <w:rPr>
          <w:rFonts w:hint="eastAsia" w:ascii="宋体" w:hAnsi="宋体" w:cs="宋体"/>
          <w:lang w:val="en-GB"/>
        </w:rPr>
        <w:t>未按规定要求执行政府采购政策造成损失的</w:t>
      </w:r>
      <w:r>
        <w:rPr>
          <w:rFonts w:hint="eastAsia" w:ascii="宋体" w:hAnsi="宋体"/>
        </w:rPr>
        <w:t>，有过错的一方应当承担赔偿责任，双方都有过错的，各自承担相应的责任。</w:t>
      </w:r>
    </w:p>
    <w:p w14:paraId="4293FF56">
      <w:pPr>
        <w:pStyle w:val="15"/>
        <w:spacing w:after="0" w:line="400" w:lineRule="exact"/>
        <w:ind w:firstLine="420" w:firstLineChars="200"/>
        <w:rPr>
          <w:sz w:val="21"/>
          <w:szCs w:val="21"/>
        </w:rPr>
      </w:pPr>
      <w:r>
        <w:rPr>
          <w:rFonts w:hint="eastAsia" w:ascii="宋体" w:hAnsi="宋体"/>
          <w:sz w:val="21"/>
          <w:szCs w:val="21"/>
        </w:rPr>
        <w:t>16.3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36CB2F7B">
      <w:pPr>
        <w:autoSpaceDE w:val="0"/>
        <w:autoSpaceDN w:val="0"/>
        <w:adjustRightInd w:val="0"/>
        <w:snapToGrid w:val="0"/>
        <w:spacing w:line="400" w:lineRule="exact"/>
        <w:jc w:val="left"/>
        <w:rPr>
          <w:rFonts w:hint="eastAsia" w:ascii="宋体" w:hAnsi="宋体"/>
          <w:b/>
          <w:sz w:val="24"/>
        </w:rPr>
      </w:pPr>
      <w:r>
        <w:rPr>
          <w:rFonts w:hint="eastAsia" w:ascii="宋体" w:hAnsi="宋体"/>
          <w:b/>
          <w:sz w:val="24"/>
        </w:rPr>
        <w:t>17. 法律适用</w:t>
      </w:r>
    </w:p>
    <w:p w14:paraId="24CED168">
      <w:pPr>
        <w:pStyle w:val="59"/>
        <w:ind w:firstLine="420"/>
        <w:jc w:val="both"/>
        <w:rPr>
          <w:rFonts w:hint="eastAsia" w:ascii="宋体" w:hAnsi="宋体" w:eastAsia="宋体" w:cs="宋体"/>
          <w:sz w:val="21"/>
        </w:rPr>
      </w:pPr>
      <w:r>
        <w:rPr>
          <w:rFonts w:hint="eastAsia" w:ascii="宋体" w:hAnsi="宋体" w:eastAsia="宋体" w:cs="宋体"/>
          <w:sz w:val="21"/>
        </w:rPr>
        <w:t>17.1 本合同的订立、生效、解释、履行及与本合同有关的争议解决，均适用法律、行政法规。</w:t>
      </w:r>
    </w:p>
    <w:p w14:paraId="726D135C">
      <w:pPr>
        <w:pStyle w:val="59"/>
        <w:ind w:firstLine="420"/>
        <w:jc w:val="both"/>
        <w:rPr>
          <w:rFonts w:hint="eastAsia" w:ascii="宋体" w:hAnsi="宋体" w:eastAsia="宋体" w:cs="宋体"/>
          <w:sz w:val="21"/>
        </w:rPr>
      </w:pPr>
      <w:r>
        <w:rPr>
          <w:rFonts w:hint="eastAsia" w:ascii="宋体" w:hAnsi="宋体" w:eastAsia="宋体" w:cs="宋体"/>
          <w:sz w:val="21"/>
        </w:rPr>
        <w:t>17.2 本合同条款与法律、行政法规的强制性规定不一致的，双方当事人应按照法律、行政法规的强制性规定修改本合同的相关条款。</w:t>
      </w:r>
    </w:p>
    <w:p w14:paraId="17E41676">
      <w:pPr>
        <w:numPr>
          <w:ilvl w:val="255"/>
          <w:numId w:val="0"/>
        </w:numPr>
        <w:autoSpaceDE w:val="0"/>
        <w:autoSpaceDN w:val="0"/>
        <w:adjustRightInd w:val="0"/>
        <w:snapToGrid w:val="0"/>
        <w:spacing w:line="400" w:lineRule="exact"/>
        <w:jc w:val="left"/>
        <w:rPr>
          <w:rFonts w:hint="eastAsia" w:ascii="宋体" w:hAnsi="宋体"/>
          <w:b/>
          <w:sz w:val="24"/>
        </w:rPr>
      </w:pPr>
      <w:r>
        <w:rPr>
          <w:rFonts w:hint="eastAsia" w:ascii="宋体" w:hAnsi="宋体"/>
          <w:b/>
          <w:sz w:val="24"/>
        </w:rPr>
        <w:t>18. 通知</w:t>
      </w:r>
    </w:p>
    <w:p w14:paraId="33E400EB">
      <w:pPr>
        <w:pStyle w:val="59"/>
        <w:ind w:firstLine="420"/>
        <w:jc w:val="both"/>
        <w:rPr>
          <w:rFonts w:hint="eastAsia" w:ascii="宋体" w:hAnsi="宋体" w:eastAsia="宋体" w:cs="宋体"/>
          <w:sz w:val="21"/>
        </w:rPr>
      </w:pPr>
      <w:r>
        <w:rPr>
          <w:rFonts w:hint="eastAsia" w:ascii="宋体" w:hAnsi="宋体" w:eastAsia="宋体" w:cs="宋体"/>
          <w:sz w:val="21"/>
        </w:rPr>
        <w:t>18.1 本合同任何一方向对方发出的通知、信件、数据电文等，应当发送至本合同第一部分《政府采购合同协议书》所约定的通讯地址、联系人、联系电话或电子邮箱。</w:t>
      </w:r>
    </w:p>
    <w:p w14:paraId="6302C6C9">
      <w:pPr>
        <w:pStyle w:val="59"/>
        <w:ind w:firstLine="0" w:firstLineChars="0"/>
        <w:jc w:val="both"/>
        <w:rPr>
          <w:rFonts w:hint="eastAsia"/>
          <w:sz w:val="21"/>
        </w:rPr>
      </w:pPr>
      <w:r>
        <w:rPr>
          <w:rFonts w:hint="eastAsia" w:ascii="宋体" w:hAnsi="宋体" w:eastAsia="宋体" w:cs="宋体"/>
          <w:sz w:val="21"/>
        </w:rPr>
        <w:t xml:space="preserve">    18.2 一方当事人变更名称、住所、联系人、联系电话或电子邮箱等信息的，应当在变更后3日内及时书面通知对方，对方实际收到变更通知前的送达仍为有效送达。</w:t>
      </w:r>
    </w:p>
    <w:p w14:paraId="0177A7AF">
      <w:pPr>
        <w:adjustRightInd w:val="0"/>
        <w:snapToGrid w:val="0"/>
        <w:spacing w:line="400" w:lineRule="exact"/>
        <w:ind w:firstLine="420" w:firstLineChars="200"/>
        <w:jc w:val="left"/>
        <w:rPr>
          <w:rFonts w:hint="eastAsia" w:ascii="宋体" w:hAnsi="宋体"/>
        </w:rPr>
      </w:pPr>
      <w:r>
        <w:rPr>
          <w:rFonts w:hint="eastAsia" w:ascii="宋体" w:hAnsi="宋体" w:cs="宋体"/>
        </w:rPr>
        <w:t>18</w:t>
      </w:r>
      <w:r>
        <w:rPr>
          <w:rFonts w:hint="eastAsia" w:ascii="宋体" w:hAnsi="宋体"/>
        </w:rPr>
        <w:t>.3本合同一方给另一方的通知均应采用书面形式，传真或快递送到本合同中规定的对方的地址和办理签收手续。</w:t>
      </w:r>
    </w:p>
    <w:p w14:paraId="7A4F5CD0">
      <w:pPr>
        <w:adjustRightInd w:val="0"/>
        <w:snapToGrid w:val="0"/>
        <w:spacing w:line="400" w:lineRule="exact"/>
        <w:ind w:firstLine="420" w:firstLineChars="200"/>
        <w:jc w:val="left"/>
        <w:rPr>
          <w:rFonts w:hint="eastAsia" w:ascii="宋体" w:hAnsi="宋体"/>
        </w:rPr>
      </w:pPr>
      <w:r>
        <w:rPr>
          <w:rFonts w:hint="eastAsia" w:ascii="宋体" w:hAnsi="宋体" w:cs="宋体"/>
        </w:rPr>
        <w:t>18</w:t>
      </w:r>
      <w:r>
        <w:rPr>
          <w:rFonts w:hint="eastAsia" w:ascii="宋体" w:hAnsi="宋体"/>
        </w:rPr>
        <w:t>.4通知以送达之日或通知书中规定的生效之日起生效，两者中以较迟之日为准。</w:t>
      </w:r>
    </w:p>
    <w:p w14:paraId="569211D9">
      <w:pPr>
        <w:numPr>
          <w:ilvl w:val="0"/>
          <w:numId w:val="13"/>
        </w:numPr>
        <w:adjustRightInd w:val="0"/>
        <w:snapToGrid w:val="0"/>
        <w:spacing w:line="400" w:lineRule="exact"/>
        <w:jc w:val="left"/>
        <w:rPr>
          <w:rFonts w:hint="eastAsia" w:ascii="宋体" w:hAnsi="宋体"/>
          <w:b/>
          <w:bCs/>
          <w:sz w:val="24"/>
        </w:rPr>
      </w:pPr>
      <w:r>
        <w:rPr>
          <w:rFonts w:hint="eastAsia" w:ascii="宋体" w:hAnsi="宋体"/>
          <w:b/>
          <w:bCs/>
          <w:sz w:val="24"/>
        </w:rPr>
        <w:t>合同未尽事项</w:t>
      </w:r>
    </w:p>
    <w:p w14:paraId="48EBD254">
      <w:pPr>
        <w:adjustRightInd w:val="0"/>
        <w:snapToGrid w:val="0"/>
        <w:spacing w:line="400" w:lineRule="exact"/>
        <w:ind w:firstLine="420" w:firstLineChars="200"/>
        <w:jc w:val="left"/>
        <w:rPr>
          <w:rFonts w:hint="eastAsia" w:ascii="宋体" w:hAnsi="宋体"/>
          <w:bCs/>
        </w:rPr>
      </w:pPr>
      <w:r>
        <w:rPr>
          <w:rFonts w:hint="eastAsia" w:ascii="宋体" w:hAnsi="宋体"/>
          <w:bCs/>
        </w:rPr>
        <w:t>19.1合同未尽事项见</w:t>
      </w:r>
      <w:r>
        <w:rPr>
          <w:rFonts w:hint="eastAsia" w:ascii="宋体" w:hAnsi="宋体"/>
          <w:b/>
        </w:rPr>
        <w:t>【政府采购合同专用条款】</w:t>
      </w:r>
      <w:r>
        <w:rPr>
          <w:rFonts w:hint="eastAsia" w:ascii="宋体" w:hAnsi="宋体"/>
          <w:bCs/>
        </w:rPr>
        <w:t>。</w:t>
      </w:r>
    </w:p>
    <w:p w14:paraId="00E3F72A">
      <w:pPr>
        <w:adjustRightInd w:val="0"/>
        <w:snapToGrid w:val="0"/>
        <w:spacing w:line="400" w:lineRule="exact"/>
        <w:jc w:val="left"/>
        <w:rPr>
          <w:rFonts w:hint="eastAsia" w:ascii="黑体" w:hAnsi="华文中宋" w:eastAsia="黑体"/>
          <w:sz w:val="28"/>
          <w:szCs w:val="28"/>
        </w:rPr>
      </w:pPr>
      <w:r>
        <w:rPr>
          <w:rFonts w:hint="eastAsia" w:ascii="宋体" w:hAnsi="宋体"/>
          <w:bCs/>
        </w:rPr>
        <w:t xml:space="preserve">    19.2 合同附件与合同正文具有同等的法律效力。</w:t>
      </w:r>
    </w:p>
    <w:p w14:paraId="408F1DD9">
      <w:pPr>
        <w:adjustRightInd w:val="0"/>
        <w:snapToGrid w:val="0"/>
        <w:jc w:val="center"/>
        <w:rPr>
          <w:rFonts w:hint="eastAsia" w:ascii="黑体" w:hAnsi="华文中宋" w:eastAsia="黑体"/>
          <w:sz w:val="28"/>
          <w:szCs w:val="28"/>
        </w:rPr>
      </w:pPr>
      <w:r>
        <w:rPr>
          <w:rFonts w:hint="eastAsia" w:ascii="黑体" w:hAnsi="华文中宋" w:eastAsia="黑体"/>
          <w:sz w:val="28"/>
          <w:szCs w:val="28"/>
        </w:rPr>
        <w:br w:type="page"/>
      </w:r>
    </w:p>
    <w:p w14:paraId="5439115A">
      <w:pPr>
        <w:numPr>
          <w:ilvl w:val="0"/>
          <w:numId w:val="14"/>
        </w:numPr>
        <w:jc w:val="center"/>
        <w:rPr>
          <w:b/>
          <w:bCs/>
          <w:sz w:val="28"/>
          <w:szCs w:val="28"/>
        </w:rPr>
      </w:pPr>
      <w:r>
        <w:rPr>
          <w:rFonts w:hint="eastAsia"/>
          <w:b/>
          <w:bCs/>
          <w:sz w:val="28"/>
          <w:szCs w:val="28"/>
        </w:rPr>
        <w:t>政府采购合同专用条款</w:t>
      </w:r>
    </w:p>
    <w:tbl>
      <w:tblPr>
        <w:tblStyle w:val="38"/>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2B47BE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97AAC06">
            <w:pPr>
              <w:adjustRightInd w:val="0"/>
              <w:snapToGrid w:val="0"/>
              <w:spacing w:line="360" w:lineRule="auto"/>
              <w:jc w:val="center"/>
              <w:rPr>
                <w:rFonts w:hint="eastAsia" w:ascii="宋体" w:hAnsi="宋体"/>
              </w:rPr>
            </w:pPr>
            <w:r>
              <w:rPr>
                <w:rFonts w:hint="eastAsia" w:ascii="宋体" w:hAnsi="宋体"/>
              </w:rPr>
              <w:t>第二节</w:t>
            </w:r>
          </w:p>
          <w:p w14:paraId="5CEEF060">
            <w:pPr>
              <w:adjustRightInd w:val="0"/>
              <w:snapToGrid w:val="0"/>
              <w:spacing w:line="360" w:lineRule="auto"/>
              <w:jc w:val="center"/>
              <w:rPr>
                <w:rFonts w:hint="eastAsia" w:ascii="宋体" w:hAnsi="宋体"/>
              </w:rPr>
            </w:pPr>
            <w:r>
              <w:rPr>
                <w:rFonts w:hint="eastAsia" w:ascii="宋体" w:hAnsi="宋体"/>
              </w:rPr>
              <w:t>第4.4款</w:t>
            </w:r>
          </w:p>
        </w:tc>
        <w:tc>
          <w:tcPr>
            <w:tcW w:w="1742" w:type="dxa"/>
            <w:vAlign w:val="center"/>
          </w:tcPr>
          <w:p w14:paraId="2FB88141">
            <w:pPr>
              <w:adjustRightInd w:val="0"/>
              <w:snapToGrid w:val="0"/>
              <w:spacing w:line="360" w:lineRule="auto"/>
              <w:jc w:val="left"/>
              <w:rPr>
                <w:rFonts w:hint="eastAsia" w:ascii="宋体" w:hAnsi="宋体"/>
              </w:rPr>
            </w:pPr>
            <w:r>
              <w:rPr>
                <w:rFonts w:hint="eastAsia" w:ascii="宋体" w:hAnsi="宋体"/>
              </w:rPr>
              <w:t>履约验收中甲方提出异议或作出说明的期限</w:t>
            </w:r>
          </w:p>
        </w:tc>
        <w:tc>
          <w:tcPr>
            <w:tcW w:w="5170" w:type="dxa"/>
            <w:vAlign w:val="center"/>
          </w:tcPr>
          <w:p w14:paraId="3658B65B">
            <w:pPr>
              <w:adjustRightInd w:val="0"/>
              <w:snapToGrid w:val="0"/>
              <w:spacing w:line="360" w:lineRule="auto"/>
              <w:jc w:val="left"/>
              <w:rPr>
                <w:rFonts w:hint="eastAsia" w:ascii="宋体" w:hAnsi="宋体"/>
              </w:rPr>
            </w:pPr>
            <w:r>
              <w:rPr>
                <w:rFonts w:hint="eastAsia" w:ascii="宋体" w:hAnsi="宋体"/>
              </w:rPr>
              <w:t>如有异议，甲方在货到一个月内向乙方提出，乙方应在接到甲方异议的7天内做出书面答复，则视为乙方同意甲方提出的异议和处理意见</w:t>
            </w:r>
          </w:p>
        </w:tc>
      </w:tr>
      <w:tr w14:paraId="55D3B71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F2F330B">
            <w:pPr>
              <w:adjustRightInd w:val="0"/>
              <w:snapToGrid w:val="0"/>
              <w:spacing w:line="360" w:lineRule="auto"/>
              <w:jc w:val="center"/>
              <w:rPr>
                <w:rFonts w:hint="eastAsia" w:ascii="宋体" w:hAnsi="宋体"/>
              </w:rPr>
            </w:pPr>
            <w:r>
              <w:rPr>
                <w:rFonts w:hint="eastAsia" w:ascii="宋体" w:hAnsi="宋体"/>
              </w:rPr>
              <w:t>第二节</w:t>
            </w:r>
          </w:p>
          <w:p w14:paraId="2B36F4D6">
            <w:pPr>
              <w:adjustRightInd w:val="0"/>
              <w:snapToGrid w:val="0"/>
              <w:spacing w:line="360" w:lineRule="auto"/>
              <w:jc w:val="center"/>
              <w:rPr>
                <w:rFonts w:hint="eastAsia" w:ascii="宋体" w:hAnsi="宋体"/>
              </w:rPr>
            </w:pPr>
            <w:r>
              <w:rPr>
                <w:rFonts w:hint="eastAsia" w:ascii="宋体" w:hAnsi="宋体"/>
              </w:rPr>
              <w:t>第4.6款</w:t>
            </w:r>
          </w:p>
        </w:tc>
        <w:tc>
          <w:tcPr>
            <w:tcW w:w="1742" w:type="dxa"/>
            <w:vAlign w:val="center"/>
          </w:tcPr>
          <w:p w14:paraId="40AA8102">
            <w:pPr>
              <w:adjustRightInd w:val="0"/>
              <w:snapToGrid w:val="0"/>
              <w:spacing w:line="360" w:lineRule="auto"/>
              <w:jc w:val="left"/>
              <w:rPr>
                <w:rFonts w:hint="eastAsia" w:ascii="宋体" w:hAnsi="宋体"/>
              </w:rPr>
            </w:pPr>
            <w:r>
              <w:rPr>
                <w:rFonts w:hint="eastAsia" w:ascii="宋体" w:hAnsi="宋体"/>
              </w:rPr>
              <w:t>约定甲方承担的其他义务和责任</w:t>
            </w:r>
          </w:p>
        </w:tc>
        <w:tc>
          <w:tcPr>
            <w:tcW w:w="5170" w:type="dxa"/>
            <w:vAlign w:val="center"/>
          </w:tcPr>
          <w:p w14:paraId="41F8BBE8">
            <w:pPr>
              <w:adjustRightInd w:val="0"/>
              <w:snapToGrid w:val="0"/>
              <w:spacing w:line="360" w:lineRule="auto"/>
              <w:jc w:val="left"/>
              <w:rPr>
                <w:rFonts w:hint="eastAsia" w:ascii="宋体" w:hAnsi="宋体"/>
              </w:rPr>
            </w:pPr>
            <w:r>
              <w:rPr>
                <w:rFonts w:hint="eastAsia" w:ascii="宋体" w:hAnsi="宋体"/>
              </w:rPr>
              <w:t>/</w:t>
            </w:r>
          </w:p>
        </w:tc>
      </w:tr>
      <w:tr w14:paraId="4B5290F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343CAA6">
            <w:pPr>
              <w:adjustRightInd w:val="0"/>
              <w:snapToGrid w:val="0"/>
              <w:spacing w:line="360" w:lineRule="auto"/>
              <w:jc w:val="center"/>
              <w:rPr>
                <w:rFonts w:hint="eastAsia" w:ascii="宋体" w:hAnsi="宋体"/>
              </w:rPr>
            </w:pPr>
            <w:r>
              <w:rPr>
                <w:rFonts w:hint="eastAsia" w:ascii="宋体" w:hAnsi="宋体"/>
              </w:rPr>
              <w:t>第二节</w:t>
            </w:r>
          </w:p>
          <w:p w14:paraId="312DCA4A">
            <w:pPr>
              <w:snapToGrid w:val="0"/>
              <w:spacing w:line="360" w:lineRule="auto"/>
              <w:jc w:val="center"/>
            </w:pPr>
            <w:r>
              <w:rPr>
                <w:rFonts w:hint="eastAsia" w:ascii="宋体" w:hAnsi="宋体"/>
              </w:rPr>
              <w:t>第5.4款</w:t>
            </w:r>
          </w:p>
        </w:tc>
        <w:tc>
          <w:tcPr>
            <w:tcW w:w="1742" w:type="dxa"/>
            <w:vAlign w:val="center"/>
          </w:tcPr>
          <w:p w14:paraId="1A3B3524">
            <w:pPr>
              <w:adjustRightInd w:val="0"/>
              <w:snapToGrid w:val="0"/>
              <w:spacing w:line="360" w:lineRule="auto"/>
              <w:jc w:val="left"/>
              <w:rPr>
                <w:rFonts w:hint="eastAsia" w:ascii="宋体" w:hAnsi="宋体"/>
              </w:rPr>
            </w:pPr>
            <w:r>
              <w:rPr>
                <w:rFonts w:hint="eastAsia" w:ascii="宋体" w:hAnsi="宋体"/>
              </w:rPr>
              <w:t>约定乙方承担的其他义务和责任</w:t>
            </w:r>
          </w:p>
        </w:tc>
        <w:tc>
          <w:tcPr>
            <w:tcW w:w="5170" w:type="dxa"/>
            <w:vAlign w:val="center"/>
          </w:tcPr>
          <w:p w14:paraId="79BBEF02">
            <w:pPr>
              <w:adjustRightInd w:val="0"/>
              <w:snapToGrid w:val="0"/>
              <w:spacing w:line="360" w:lineRule="auto"/>
              <w:jc w:val="left"/>
              <w:rPr>
                <w:rFonts w:hint="eastAsia" w:ascii="宋体" w:hAnsi="宋体"/>
              </w:rPr>
            </w:pPr>
            <w:r>
              <w:rPr>
                <w:rFonts w:hint="eastAsia" w:ascii="宋体" w:hAnsi="宋体"/>
              </w:rPr>
              <w:t>/</w:t>
            </w:r>
          </w:p>
        </w:tc>
      </w:tr>
      <w:tr w14:paraId="0D9235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1F31BB3">
            <w:pPr>
              <w:adjustRightInd w:val="0"/>
              <w:snapToGrid w:val="0"/>
              <w:spacing w:line="360" w:lineRule="auto"/>
              <w:jc w:val="center"/>
              <w:rPr>
                <w:rFonts w:hint="eastAsia" w:ascii="宋体" w:hAnsi="宋体"/>
              </w:rPr>
            </w:pPr>
            <w:r>
              <w:rPr>
                <w:rFonts w:hint="eastAsia" w:ascii="宋体" w:hAnsi="宋体"/>
              </w:rPr>
              <w:t>第二节</w:t>
            </w:r>
          </w:p>
          <w:p w14:paraId="45326522">
            <w:pPr>
              <w:snapToGrid w:val="0"/>
              <w:spacing w:line="360" w:lineRule="auto"/>
              <w:jc w:val="center"/>
              <w:rPr>
                <w:rFonts w:hint="eastAsia" w:ascii="宋体" w:hAnsi="宋体"/>
              </w:rPr>
            </w:pPr>
            <w:r>
              <w:rPr>
                <w:rFonts w:hint="eastAsia" w:ascii="宋体" w:hAnsi="宋体"/>
              </w:rPr>
              <w:t>第6.1款</w:t>
            </w:r>
          </w:p>
        </w:tc>
        <w:tc>
          <w:tcPr>
            <w:tcW w:w="1742" w:type="dxa"/>
            <w:vAlign w:val="center"/>
          </w:tcPr>
          <w:p w14:paraId="48B50F0A">
            <w:pPr>
              <w:adjustRightInd w:val="0"/>
              <w:snapToGrid w:val="0"/>
              <w:spacing w:line="360" w:lineRule="auto"/>
              <w:jc w:val="left"/>
              <w:rPr>
                <w:rFonts w:hint="eastAsia" w:ascii="宋体" w:hAnsi="宋体"/>
              </w:rPr>
            </w:pPr>
            <w:r>
              <w:rPr>
                <w:rFonts w:hint="eastAsia" w:ascii="宋体" w:hAnsi="宋体"/>
              </w:rPr>
              <w:t>履行合同义务的顺序</w:t>
            </w:r>
          </w:p>
        </w:tc>
        <w:tc>
          <w:tcPr>
            <w:tcW w:w="5170" w:type="dxa"/>
            <w:vAlign w:val="center"/>
          </w:tcPr>
          <w:p w14:paraId="60C3DEAC">
            <w:pPr>
              <w:adjustRightInd w:val="0"/>
              <w:snapToGrid w:val="0"/>
              <w:spacing w:line="360" w:lineRule="auto"/>
              <w:jc w:val="left"/>
              <w:rPr>
                <w:rFonts w:hint="eastAsia" w:ascii="宋体" w:hAnsi="宋体"/>
              </w:rPr>
            </w:pPr>
            <w:r>
              <w:rPr>
                <w:rFonts w:hint="eastAsia" w:ascii="宋体" w:hAnsi="宋体"/>
              </w:rPr>
              <w:t>/</w:t>
            </w:r>
          </w:p>
        </w:tc>
      </w:tr>
      <w:tr w14:paraId="709BBED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5CF9AFE6">
            <w:pPr>
              <w:adjustRightInd w:val="0"/>
              <w:snapToGrid w:val="0"/>
              <w:spacing w:line="360" w:lineRule="auto"/>
              <w:jc w:val="center"/>
              <w:rPr>
                <w:rFonts w:hint="eastAsia" w:ascii="宋体" w:hAnsi="宋体"/>
              </w:rPr>
            </w:pPr>
            <w:r>
              <w:rPr>
                <w:rFonts w:hint="eastAsia" w:ascii="宋体" w:hAnsi="宋体"/>
              </w:rPr>
              <w:t>第二节</w:t>
            </w:r>
          </w:p>
          <w:p w14:paraId="24596CAB">
            <w:pPr>
              <w:adjustRightInd w:val="0"/>
              <w:snapToGrid w:val="0"/>
              <w:spacing w:line="360" w:lineRule="auto"/>
              <w:jc w:val="center"/>
              <w:rPr>
                <w:rFonts w:hint="eastAsia" w:ascii="宋体" w:hAnsi="宋体"/>
              </w:rPr>
            </w:pPr>
            <w:r>
              <w:rPr>
                <w:rFonts w:hint="eastAsia" w:ascii="宋体" w:hAnsi="宋体"/>
              </w:rPr>
              <w:t>第7.1款</w:t>
            </w:r>
          </w:p>
        </w:tc>
        <w:tc>
          <w:tcPr>
            <w:tcW w:w="1742" w:type="dxa"/>
            <w:vAlign w:val="center"/>
          </w:tcPr>
          <w:p w14:paraId="4777CA2D">
            <w:pPr>
              <w:adjustRightInd w:val="0"/>
              <w:snapToGrid w:val="0"/>
              <w:spacing w:line="360" w:lineRule="auto"/>
              <w:jc w:val="left"/>
              <w:rPr>
                <w:rFonts w:hint="eastAsia" w:ascii="宋体" w:hAnsi="宋体"/>
              </w:rPr>
            </w:pPr>
            <w:r>
              <w:rPr>
                <w:rFonts w:hint="eastAsia" w:ascii="宋体" w:hAnsi="宋体"/>
              </w:rPr>
              <w:t>包装特殊要求</w:t>
            </w:r>
          </w:p>
        </w:tc>
        <w:tc>
          <w:tcPr>
            <w:tcW w:w="5170" w:type="dxa"/>
            <w:vAlign w:val="center"/>
          </w:tcPr>
          <w:p w14:paraId="486A75A4">
            <w:pPr>
              <w:spacing w:line="360" w:lineRule="auto"/>
            </w:pPr>
            <w:r>
              <w:rPr>
                <w:rFonts w:hint="eastAsia"/>
              </w:rPr>
              <w:t>/</w:t>
            </w:r>
          </w:p>
        </w:tc>
      </w:tr>
      <w:tr w14:paraId="5A0FEC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7228BBB0">
            <w:pPr>
              <w:adjustRightInd w:val="0"/>
              <w:snapToGrid w:val="0"/>
              <w:spacing w:line="360" w:lineRule="auto"/>
              <w:jc w:val="center"/>
              <w:rPr>
                <w:rFonts w:hint="eastAsia" w:ascii="宋体" w:hAnsi="宋体"/>
              </w:rPr>
            </w:pPr>
          </w:p>
        </w:tc>
        <w:tc>
          <w:tcPr>
            <w:tcW w:w="1742" w:type="dxa"/>
            <w:vAlign w:val="center"/>
          </w:tcPr>
          <w:p w14:paraId="506E5F7E">
            <w:pPr>
              <w:adjustRightInd w:val="0"/>
              <w:snapToGrid w:val="0"/>
              <w:spacing w:line="360" w:lineRule="auto"/>
              <w:jc w:val="left"/>
              <w:rPr>
                <w:rFonts w:hint="eastAsia" w:ascii="宋体" w:hAnsi="宋体"/>
              </w:rPr>
            </w:pPr>
            <w:r>
              <w:rPr>
                <w:rFonts w:hint="eastAsia" w:ascii="宋体" w:hAnsi="宋体"/>
              </w:rPr>
              <w:t>指定现场</w:t>
            </w:r>
          </w:p>
        </w:tc>
        <w:tc>
          <w:tcPr>
            <w:tcW w:w="5170" w:type="dxa"/>
            <w:vAlign w:val="center"/>
          </w:tcPr>
          <w:p w14:paraId="6BDD3302">
            <w:pPr>
              <w:spacing w:line="360" w:lineRule="auto"/>
            </w:pPr>
            <w:r>
              <w:rPr>
                <w:rFonts w:hint="eastAsia"/>
              </w:rPr>
              <w:t>根据采购人要求</w:t>
            </w:r>
          </w:p>
        </w:tc>
      </w:tr>
      <w:tr w14:paraId="279635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B01D313">
            <w:pPr>
              <w:adjustRightInd w:val="0"/>
              <w:snapToGrid w:val="0"/>
              <w:spacing w:line="360" w:lineRule="auto"/>
              <w:jc w:val="center"/>
              <w:rPr>
                <w:rFonts w:hint="eastAsia" w:ascii="宋体" w:hAnsi="宋体"/>
              </w:rPr>
            </w:pPr>
            <w:r>
              <w:rPr>
                <w:rFonts w:hint="eastAsia" w:ascii="宋体" w:hAnsi="宋体"/>
              </w:rPr>
              <w:t>第二节</w:t>
            </w:r>
          </w:p>
          <w:p w14:paraId="261A8211">
            <w:pPr>
              <w:adjustRightInd w:val="0"/>
              <w:snapToGrid w:val="0"/>
              <w:spacing w:line="360" w:lineRule="auto"/>
              <w:jc w:val="center"/>
              <w:rPr>
                <w:rFonts w:hint="eastAsia" w:ascii="宋体" w:hAnsi="宋体"/>
              </w:rPr>
            </w:pPr>
            <w:r>
              <w:rPr>
                <w:rFonts w:hint="eastAsia" w:ascii="宋体" w:hAnsi="宋体"/>
              </w:rPr>
              <w:t>第7.2款</w:t>
            </w:r>
          </w:p>
        </w:tc>
        <w:tc>
          <w:tcPr>
            <w:tcW w:w="1742" w:type="dxa"/>
            <w:vAlign w:val="center"/>
          </w:tcPr>
          <w:p w14:paraId="396097D4">
            <w:pPr>
              <w:adjustRightInd w:val="0"/>
              <w:snapToGrid w:val="0"/>
              <w:spacing w:line="360" w:lineRule="auto"/>
              <w:jc w:val="left"/>
              <w:rPr>
                <w:rFonts w:hint="eastAsia" w:ascii="宋体" w:hAnsi="宋体"/>
              </w:rPr>
            </w:pPr>
            <w:r>
              <w:rPr>
                <w:rFonts w:hint="eastAsia" w:ascii="宋体" w:hAnsi="宋体"/>
              </w:rPr>
              <w:t>运输特殊要求</w:t>
            </w:r>
          </w:p>
        </w:tc>
        <w:tc>
          <w:tcPr>
            <w:tcW w:w="5170" w:type="dxa"/>
            <w:vAlign w:val="center"/>
          </w:tcPr>
          <w:p w14:paraId="77490C84">
            <w:pPr>
              <w:spacing w:line="360" w:lineRule="auto"/>
            </w:pPr>
            <w:r>
              <w:rPr>
                <w:rFonts w:hint="eastAsia"/>
              </w:rPr>
              <w:t>/</w:t>
            </w:r>
          </w:p>
        </w:tc>
      </w:tr>
      <w:tr w14:paraId="65B53F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0325B118">
            <w:pPr>
              <w:adjustRightInd w:val="0"/>
              <w:snapToGrid w:val="0"/>
              <w:spacing w:line="360" w:lineRule="auto"/>
              <w:jc w:val="center"/>
              <w:rPr>
                <w:rFonts w:hint="eastAsia" w:ascii="宋体" w:hAnsi="宋体"/>
              </w:rPr>
            </w:pPr>
            <w:r>
              <w:rPr>
                <w:rFonts w:hint="eastAsia" w:ascii="宋体" w:hAnsi="宋体"/>
              </w:rPr>
              <w:t>第二节</w:t>
            </w:r>
          </w:p>
          <w:p w14:paraId="2407CD0C">
            <w:pPr>
              <w:adjustRightInd w:val="0"/>
              <w:snapToGrid w:val="0"/>
              <w:spacing w:line="360" w:lineRule="auto"/>
              <w:jc w:val="center"/>
              <w:rPr>
                <w:rFonts w:hint="eastAsia" w:ascii="宋体" w:hAnsi="宋体"/>
              </w:rPr>
            </w:pPr>
            <w:r>
              <w:rPr>
                <w:rFonts w:hint="eastAsia" w:ascii="宋体" w:hAnsi="宋体"/>
              </w:rPr>
              <w:t>第7.3款</w:t>
            </w:r>
          </w:p>
        </w:tc>
        <w:tc>
          <w:tcPr>
            <w:tcW w:w="1742" w:type="dxa"/>
            <w:vAlign w:val="center"/>
          </w:tcPr>
          <w:p w14:paraId="5A93B3BD">
            <w:pPr>
              <w:adjustRightInd w:val="0"/>
              <w:snapToGrid w:val="0"/>
              <w:spacing w:line="360" w:lineRule="auto"/>
              <w:jc w:val="left"/>
              <w:rPr>
                <w:rFonts w:hint="eastAsia" w:ascii="宋体" w:hAnsi="宋体"/>
              </w:rPr>
            </w:pPr>
            <w:r>
              <w:rPr>
                <w:rFonts w:hint="eastAsia" w:ascii="宋体" w:hAnsi="宋体"/>
              </w:rPr>
              <w:t>保险要求</w:t>
            </w:r>
          </w:p>
        </w:tc>
        <w:tc>
          <w:tcPr>
            <w:tcW w:w="5170" w:type="dxa"/>
            <w:vAlign w:val="center"/>
          </w:tcPr>
          <w:p w14:paraId="16685FD5">
            <w:pPr>
              <w:spacing w:line="360" w:lineRule="auto"/>
            </w:pPr>
            <w:r>
              <w:rPr>
                <w:rFonts w:hint="eastAsia"/>
              </w:rPr>
              <w:t>/</w:t>
            </w:r>
          </w:p>
        </w:tc>
      </w:tr>
      <w:tr w14:paraId="634DF5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1BB12B1">
            <w:pPr>
              <w:adjustRightInd w:val="0"/>
              <w:snapToGrid w:val="0"/>
              <w:spacing w:line="360" w:lineRule="auto"/>
              <w:jc w:val="center"/>
              <w:rPr>
                <w:rFonts w:hint="eastAsia" w:ascii="宋体" w:hAnsi="宋体"/>
              </w:rPr>
            </w:pPr>
            <w:r>
              <w:rPr>
                <w:rFonts w:hint="eastAsia" w:ascii="宋体" w:hAnsi="宋体"/>
              </w:rPr>
              <w:t>第二节</w:t>
            </w:r>
          </w:p>
          <w:p w14:paraId="4D160B16">
            <w:pPr>
              <w:adjustRightInd w:val="0"/>
              <w:snapToGrid w:val="0"/>
              <w:spacing w:line="360" w:lineRule="auto"/>
              <w:jc w:val="center"/>
              <w:rPr>
                <w:rFonts w:hint="eastAsia" w:ascii="宋体" w:hAnsi="宋体"/>
              </w:rPr>
            </w:pPr>
            <w:r>
              <w:rPr>
                <w:rFonts w:hint="eastAsia" w:ascii="宋体" w:hAnsi="宋体"/>
              </w:rPr>
              <w:t>第8.2（1）项</w:t>
            </w:r>
          </w:p>
        </w:tc>
        <w:tc>
          <w:tcPr>
            <w:tcW w:w="1742" w:type="dxa"/>
            <w:vAlign w:val="center"/>
          </w:tcPr>
          <w:p w14:paraId="64F5F49E">
            <w:pPr>
              <w:adjustRightInd w:val="0"/>
              <w:snapToGrid w:val="0"/>
              <w:spacing w:line="360" w:lineRule="auto"/>
              <w:jc w:val="left"/>
              <w:rPr>
                <w:rFonts w:hint="eastAsia" w:ascii="宋体" w:hAnsi="宋体"/>
              </w:rPr>
            </w:pPr>
            <w:r>
              <w:rPr>
                <w:rFonts w:hint="eastAsia" w:ascii="宋体" w:hAnsi="宋体"/>
              </w:rPr>
              <w:t>质量保证期</w:t>
            </w:r>
          </w:p>
        </w:tc>
        <w:tc>
          <w:tcPr>
            <w:tcW w:w="5170" w:type="dxa"/>
            <w:vAlign w:val="center"/>
          </w:tcPr>
          <w:p w14:paraId="13341F9A">
            <w:pPr>
              <w:autoSpaceDE w:val="0"/>
              <w:autoSpaceDN w:val="0"/>
              <w:adjustRightInd w:val="0"/>
              <w:snapToGrid w:val="0"/>
              <w:spacing w:line="360" w:lineRule="auto"/>
              <w:jc w:val="left"/>
              <w:rPr>
                <w:rFonts w:hint="eastAsia" w:ascii="宋体" w:hAnsi="宋体"/>
              </w:rPr>
            </w:pPr>
            <w:r>
              <w:rPr>
                <w:rFonts w:hint="eastAsia" w:ascii="宋体" w:hAnsi="宋体"/>
              </w:rPr>
              <w:t>验收合格后XX年（以最终验收结果单据签订时间为准）</w:t>
            </w:r>
          </w:p>
        </w:tc>
      </w:tr>
      <w:tr w14:paraId="53D85B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CA5C94D">
            <w:pPr>
              <w:adjustRightInd w:val="0"/>
              <w:snapToGrid w:val="0"/>
              <w:spacing w:line="360" w:lineRule="auto"/>
              <w:jc w:val="center"/>
              <w:rPr>
                <w:rFonts w:hint="eastAsia" w:ascii="宋体" w:hAnsi="宋体"/>
              </w:rPr>
            </w:pPr>
            <w:r>
              <w:rPr>
                <w:rFonts w:hint="eastAsia" w:ascii="宋体" w:hAnsi="宋体"/>
              </w:rPr>
              <w:t>第二节</w:t>
            </w:r>
          </w:p>
          <w:p w14:paraId="42C4668A">
            <w:pPr>
              <w:adjustRightInd w:val="0"/>
              <w:snapToGrid w:val="0"/>
              <w:spacing w:line="360" w:lineRule="auto"/>
              <w:jc w:val="center"/>
              <w:rPr>
                <w:rFonts w:hint="eastAsia" w:ascii="宋体" w:hAnsi="宋体"/>
              </w:rPr>
            </w:pPr>
            <w:r>
              <w:rPr>
                <w:rFonts w:hint="eastAsia" w:ascii="宋体" w:hAnsi="宋体"/>
              </w:rPr>
              <w:t>第8.2（3）项</w:t>
            </w:r>
          </w:p>
        </w:tc>
        <w:tc>
          <w:tcPr>
            <w:tcW w:w="1742" w:type="dxa"/>
            <w:vAlign w:val="center"/>
          </w:tcPr>
          <w:p w14:paraId="3F168087">
            <w:pPr>
              <w:adjustRightInd w:val="0"/>
              <w:snapToGrid w:val="0"/>
              <w:spacing w:line="360" w:lineRule="auto"/>
              <w:jc w:val="left"/>
              <w:rPr>
                <w:rFonts w:hint="eastAsia" w:ascii="宋体" w:hAnsi="宋体"/>
              </w:rPr>
            </w:pPr>
            <w:r>
              <w:rPr>
                <w:rFonts w:hint="eastAsia" w:ascii="宋体" w:hAnsi="宋体"/>
              </w:rPr>
              <w:t>货物质量缺陷</w:t>
            </w:r>
          </w:p>
          <w:p w14:paraId="1125CBAF">
            <w:pPr>
              <w:adjustRightInd w:val="0"/>
              <w:snapToGrid w:val="0"/>
              <w:spacing w:line="360" w:lineRule="auto"/>
              <w:jc w:val="left"/>
              <w:rPr>
                <w:rFonts w:hint="eastAsia" w:ascii="宋体" w:hAnsi="宋体"/>
              </w:rPr>
            </w:pPr>
            <w:r>
              <w:rPr>
                <w:rFonts w:hint="eastAsia" w:ascii="宋体" w:hAnsi="宋体"/>
              </w:rPr>
              <w:t>响应时间</w:t>
            </w:r>
          </w:p>
        </w:tc>
        <w:tc>
          <w:tcPr>
            <w:tcW w:w="5170" w:type="dxa"/>
            <w:vAlign w:val="center"/>
          </w:tcPr>
          <w:p w14:paraId="273BB9D2">
            <w:pPr>
              <w:adjustRightInd w:val="0"/>
              <w:snapToGrid w:val="0"/>
              <w:spacing w:line="360" w:lineRule="auto"/>
              <w:jc w:val="left"/>
              <w:rPr>
                <w:rFonts w:hint="eastAsia" w:ascii="宋体" w:hAnsi="宋体"/>
              </w:rPr>
            </w:pPr>
            <w:r>
              <w:rPr>
                <w:rFonts w:hint="eastAsia" w:ascii="宋体" w:hAnsi="宋体"/>
              </w:rPr>
              <w:t>以成交后签订合同为准</w:t>
            </w:r>
          </w:p>
        </w:tc>
      </w:tr>
      <w:tr w14:paraId="2EB036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04F93CA">
            <w:pPr>
              <w:snapToGrid w:val="0"/>
              <w:spacing w:line="360" w:lineRule="auto"/>
              <w:jc w:val="center"/>
              <w:rPr>
                <w:rFonts w:hint="eastAsia" w:ascii="宋体" w:hAnsi="宋体" w:cs="宋体"/>
              </w:rPr>
            </w:pPr>
            <w:r>
              <w:rPr>
                <w:rFonts w:hint="eastAsia" w:ascii="宋体" w:hAnsi="宋体" w:cs="宋体"/>
              </w:rPr>
              <w:t>第二节</w:t>
            </w:r>
          </w:p>
          <w:p w14:paraId="6062FC92">
            <w:pPr>
              <w:pStyle w:val="59"/>
              <w:spacing w:line="360" w:lineRule="auto"/>
              <w:ind w:firstLine="0" w:firstLineChars="0"/>
              <w:jc w:val="center"/>
              <w:rPr>
                <w:rFonts w:hint="eastAsia"/>
              </w:rPr>
            </w:pPr>
            <w:r>
              <w:rPr>
                <w:rFonts w:hint="eastAsia" w:ascii="宋体" w:hAnsi="宋体" w:eastAsia="宋体" w:cs="宋体"/>
              </w:rPr>
              <w:t>第11.1款</w:t>
            </w:r>
          </w:p>
        </w:tc>
        <w:tc>
          <w:tcPr>
            <w:tcW w:w="1742" w:type="dxa"/>
            <w:vAlign w:val="center"/>
          </w:tcPr>
          <w:p w14:paraId="5BAEF7BA">
            <w:pPr>
              <w:adjustRightInd w:val="0"/>
              <w:snapToGrid w:val="0"/>
              <w:spacing w:line="360" w:lineRule="auto"/>
              <w:rPr>
                <w:rFonts w:hint="eastAsia" w:ascii="宋体" w:hAnsi="宋体"/>
              </w:rPr>
            </w:pPr>
            <w:r>
              <w:rPr>
                <w:rFonts w:hint="eastAsia" w:ascii="宋体" w:hAnsi="宋体"/>
              </w:rPr>
              <w:t>其他应当保密的信息</w:t>
            </w:r>
          </w:p>
        </w:tc>
        <w:tc>
          <w:tcPr>
            <w:tcW w:w="5170" w:type="dxa"/>
            <w:vAlign w:val="center"/>
          </w:tcPr>
          <w:p w14:paraId="29038F0A">
            <w:pPr>
              <w:adjustRightInd w:val="0"/>
              <w:snapToGrid w:val="0"/>
              <w:spacing w:line="360" w:lineRule="auto"/>
              <w:jc w:val="left"/>
              <w:rPr>
                <w:rFonts w:hint="eastAsia" w:ascii="宋体" w:hAnsi="宋体"/>
              </w:rPr>
            </w:pPr>
            <w:r>
              <w:rPr>
                <w:rFonts w:hint="eastAsia" w:ascii="宋体" w:hAnsi="宋体"/>
              </w:rPr>
              <w:t>包括但不限于技术情报、技术资料、商业秘密和商业信息等。</w:t>
            </w:r>
          </w:p>
        </w:tc>
      </w:tr>
      <w:tr w14:paraId="196B4C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D7C32A8">
            <w:pPr>
              <w:adjustRightInd w:val="0"/>
              <w:snapToGrid w:val="0"/>
              <w:spacing w:line="360" w:lineRule="auto"/>
              <w:jc w:val="center"/>
              <w:rPr>
                <w:rFonts w:hint="eastAsia" w:ascii="宋体" w:hAnsi="宋体"/>
              </w:rPr>
            </w:pPr>
            <w:r>
              <w:rPr>
                <w:rFonts w:hint="eastAsia" w:ascii="宋体" w:hAnsi="宋体"/>
              </w:rPr>
              <w:t>第二节</w:t>
            </w:r>
          </w:p>
          <w:p w14:paraId="19A0ECEC">
            <w:pPr>
              <w:adjustRightInd w:val="0"/>
              <w:snapToGrid w:val="0"/>
              <w:spacing w:line="360" w:lineRule="auto"/>
              <w:jc w:val="center"/>
              <w:rPr>
                <w:rFonts w:hint="eastAsia" w:ascii="宋体" w:hAnsi="宋体"/>
              </w:rPr>
            </w:pPr>
            <w:r>
              <w:rPr>
                <w:rFonts w:hint="eastAsia" w:ascii="宋体" w:hAnsi="宋体"/>
              </w:rPr>
              <w:t>第12.2款</w:t>
            </w:r>
          </w:p>
        </w:tc>
        <w:tc>
          <w:tcPr>
            <w:tcW w:w="1742" w:type="dxa"/>
            <w:vAlign w:val="center"/>
          </w:tcPr>
          <w:p w14:paraId="258E7017">
            <w:pPr>
              <w:adjustRightInd w:val="0"/>
              <w:snapToGrid w:val="0"/>
              <w:spacing w:line="360" w:lineRule="auto"/>
              <w:jc w:val="left"/>
              <w:rPr>
                <w:rFonts w:hint="eastAsia" w:ascii="宋体" w:hAnsi="宋体"/>
              </w:rPr>
            </w:pPr>
            <w:r>
              <w:rPr>
                <w:rFonts w:hint="eastAsia" w:ascii="宋体" w:hAnsi="宋体"/>
              </w:rPr>
              <w:t>合同价款支付时间</w:t>
            </w:r>
          </w:p>
        </w:tc>
        <w:tc>
          <w:tcPr>
            <w:tcW w:w="5170" w:type="dxa"/>
            <w:vAlign w:val="center"/>
          </w:tcPr>
          <w:p w14:paraId="54DC95B4">
            <w:pPr>
              <w:pStyle w:val="36"/>
              <w:adjustRightInd w:val="0"/>
              <w:snapToGrid w:val="0"/>
              <w:spacing w:after="0" w:line="440" w:lineRule="exact"/>
              <w:ind w:firstLine="0" w:firstLineChars="0"/>
              <w:rPr>
                <w:rFonts w:hint="eastAsia"/>
                <w:color w:val="auto"/>
                <w:lang w:val="en-US" w:eastAsia="zh-CN"/>
              </w:rPr>
            </w:pPr>
            <w:r>
              <w:rPr>
                <w:rFonts w:hint="eastAsia"/>
                <w:color w:val="auto"/>
                <w:lang w:val="en-US" w:eastAsia="zh-CN"/>
              </w:rPr>
              <w:t>合同签订后30日内，由乙方提供本合同金额30%的预付款保函（银行保函形式、有效期至甲方收货后），甲方收到预付款保函、合同备案通过后一个月内，支付合同总额30%作为预付款给乙方；</w:t>
            </w:r>
          </w:p>
          <w:p w14:paraId="71EBB148">
            <w:pPr>
              <w:pStyle w:val="36"/>
              <w:adjustRightInd w:val="0"/>
              <w:snapToGrid w:val="0"/>
              <w:spacing w:after="0" w:line="440" w:lineRule="exact"/>
              <w:ind w:firstLine="0" w:firstLineChars="0"/>
              <w:rPr>
                <w:rFonts w:hint="eastAsia"/>
                <w:color w:val="auto"/>
                <w:lang w:val="en-US" w:eastAsia="zh-CN"/>
              </w:rPr>
            </w:pPr>
            <w:r>
              <w:rPr>
                <w:rFonts w:hint="eastAsia"/>
                <w:color w:val="auto"/>
                <w:lang w:val="en-US" w:eastAsia="zh-CN"/>
              </w:rPr>
              <w:t>乙方在验收合格之日起15日内，按照合同金额的100%向甲方开具发票，甲方收到全额发票30日内支付合同总额的70%给乙方并退还乙方预付款保函，在乙方完成其合同义务包括任何保证义务至质保期结束无质量问题，退还乙方履约保证金（银行保函）；</w:t>
            </w:r>
          </w:p>
          <w:p w14:paraId="205F3483">
            <w:pPr>
              <w:pStyle w:val="36"/>
              <w:adjustRightInd w:val="0"/>
              <w:snapToGrid w:val="0"/>
              <w:spacing w:after="0" w:line="440" w:lineRule="exact"/>
              <w:ind w:firstLine="0" w:firstLineChars="0"/>
              <w:rPr>
                <w:rFonts w:hint="eastAsia" w:ascii="宋体" w:hAnsi="宋体"/>
              </w:rPr>
            </w:pPr>
            <w:r>
              <w:rPr>
                <w:rFonts w:hint="eastAsia"/>
                <w:color w:val="auto"/>
                <w:lang w:val="en-US" w:eastAsia="zh-CN"/>
              </w:rPr>
              <w:t>如乙方未开具预付款保函，视为放弃预付款。乙方在验收合格之日起15日内，按照合同金额的100%向甲方开具发票，甲方收到全额发票30日内支付合同总额的100%给乙方，在乙方完成其合同义务包括任何保证义务至质保期结束无质量问题，退还乙方履约保证金（银行保函）；</w:t>
            </w:r>
          </w:p>
        </w:tc>
      </w:tr>
      <w:tr w14:paraId="7384C0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53F987FA">
            <w:pPr>
              <w:adjustRightInd w:val="0"/>
              <w:snapToGrid w:val="0"/>
              <w:spacing w:line="360" w:lineRule="auto"/>
              <w:jc w:val="center"/>
              <w:rPr>
                <w:rFonts w:hint="eastAsia" w:ascii="宋体" w:hAnsi="宋体"/>
              </w:rPr>
            </w:pPr>
            <w:r>
              <w:rPr>
                <w:rFonts w:hint="eastAsia" w:ascii="宋体" w:hAnsi="宋体"/>
              </w:rPr>
              <w:t>第二节</w:t>
            </w:r>
          </w:p>
          <w:p w14:paraId="44C10D3A">
            <w:pPr>
              <w:adjustRightInd w:val="0"/>
              <w:snapToGrid w:val="0"/>
              <w:spacing w:line="360" w:lineRule="auto"/>
              <w:jc w:val="center"/>
              <w:rPr>
                <w:rFonts w:hint="eastAsia" w:ascii="宋体" w:hAnsi="宋体"/>
              </w:rPr>
            </w:pPr>
            <w:r>
              <w:rPr>
                <w:rFonts w:hint="eastAsia" w:ascii="宋体" w:hAnsi="宋体"/>
              </w:rPr>
              <w:t>第13.2款</w:t>
            </w:r>
          </w:p>
        </w:tc>
        <w:tc>
          <w:tcPr>
            <w:tcW w:w="1742" w:type="dxa"/>
            <w:vAlign w:val="center"/>
          </w:tcPr>
          <w:p w14:paraId="21E59B99">
            <w:pPr>
              <w:adjustRightInd w:val="0"/>
              <w:snapToGrid w:val="0"/>
              <w:spacing w:line="360" w:lineRule="auto"/>
              <w:jc w:val="left"/>
              <w:rPr>
                <w:rFonts w:hint="eastAsia" w:ascii="宋体" w:hAnsi="宋体"/>
              </w:rPr>
            </w:pPr>
            <w:r>
              <w:rPr>
                <w:rFonts w:hint="eastAsia" w:ascii="宋体" w:hAnsi="宋体"/>
              </w:rPr>
              <w:t>履约保证金不予退还的情形</w:t>
            </w:r>
          </w:p>
        </w:tc>
        <w:tc>
          <w:tcPr>
            <w:tcW w:w="5170" w:type="dxa"/>
            <w:vAlign w:val="center"/>
          </w:tcPr>
          <w:p w14:paraId="4E079313">
            <w:pPr>
              <w:adjustRightInd w:val="0"/>
              <w:snapToGrid w:val="0"/>
              <w:spacing w:line="360" w:lineRule="auto"/>
              <w:jc w:val="left"/>
              <w:rPr>
                <w:rFonts w:hint="eastAsia" w:ascii="宋体" w:hAnsi="宋体"/>
              </w:rPr>
            </w:pPr>
            <w:r>
              <w:rPr>
                <w:rFonts w:hint="eastAsia" w:ascii="宋体" w:hAnsi="宋体"/>
              </w:rPr>
              <w:t>1.乙方不履行合同，履约保证金不予退还；</w:t>
            </w:r>
          </w:p>
          <w:p w14:paraId="1D90F668">
            <w:pPr>
              <w:adjustRightInd w:val="0"/>
              <w:snapToGrid w:val="0"/>
              <w:spacing w:line="360" w:lineRule="auto"/>
              <w:jc w:val="left"/>
              <w:rPr>
                <w:rFonts w:hint="eastAsia" w:ascii="宋体" w:hAnsi="宋体"/>
              </w:rPr>
            </w:pPr>
            <w:r>
              <w:rPr>
                <w:rFonts w:hint="eastAsia" w:ascii="宋体" w:hAnsi="宋体"/>
              </w:rPr>
              <w:t>2.乙方未能按合同约定全面履行业务，甲方有权从履约保证金中取得补偿或赔偿，给甲方造成的损失超过履约保证金数额的，还应当对超过部分予以赔偿；</w:t>
            </w:r>
          </w:p>
        </w:tc>
      </w:tr>
      <w:tr w14:paraId="47CCA5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024F4DC">
            <w:pPr>
              <w:adjustRightInd w:val="0"/>
              <w:snapToGrid w:val="0"/>
              <w:spacing w:line="360" w:lineRule="auto"/>
              <w:jc w:val="center"/>
              <w:rPr>
                <w:rFonts w:hint="eastAsia" w:ascii="宋体" w:hAnsi="宋体"/>
              </w:rPr>
            </w:pPr>
            <w:r>
              <w:rPr>
                <w:rFonts w:hint="eastAsia" w:ascii="宋体" w:hAnsi="宋体"/>
              </w:rPr>
              <w:t>第二节</w:t>
            </w:r>
          </w:p>
          <w:p w14:paraId="65295517">
            <w:pPr>
              <w:adjustRightInd w:val="0"/>
              <w:snapToGrid w:val="0"/>
              <w:spacing w:line="360" w:lineRule="auto"/>
              <w:jc w:val="center"/>
              <w:rPr>
                <w:rFonts w:hint="eastAsia" w:ascii="宋体" w:hAnsi="宋体"/>
              </w:rPr>
            </w:pPr>
            <w:r>
              <w:rPr>
                <w:rFonts w:hint="eastAsia" w:ascii="宋体" w:hAnsi="宋体"/>
              </w:rPr>
              <w:t>第13.3款</w:t>
            </w:r>
          </w:p>
        </w:tc>
        <w:tc>
          <w:tcPr>
            <w:tcW w:w="1742" w:type="dxa"/>
            <w:vAlign w:val="center"/>
          </w:tcPr>
          <w:p w14:paraId="5FA3977C">
            <w:pPr>
              <w:adjustRightInd w:val="0"/>
              <w:snapToGrid w:val="0"/>
              <w:spacing w:line="360" w:lineRule="auto"/>
              <w:jc w:val="left"/>
              <w:rPr>
                <w:rFonts w:hint="eastAsia" w:ascii="宋体" w:hAnsi="宋体"/>
              </w:rPr>
            </w:pPr>
            <w:r>
              <w:rPr>
                <w:rFonts w:hint="eastAsia" w:ascii="宋体" w:hAnsi="宋体"/>
              </w:rPr>
              <w:t>履约保证金退还时间</w:t>
            </w:r>
          </w:p>
        </w:tc>
        <w:tc>
          <w:tcPr>
            <w:tcW w:w="5170" w:type="dxa"/>
            <w:vAlign w:val="center"/>
          </w:tcPr>
          <w:p w14:paraId="599E3234">
            <w:pPr>
              <w:adjustRightInd w:val="0"/>
              <w:snapToGrid w:val="0"/>
              <w:spacing w:line="360" w:lineRule="auto"/>
              <w:jc w:val="left"/>
              <w:rPr>
                <w:rFonts w:hint="eastAsia" w:ascii="宋体" w:hAnsi="宋体"/>
              </w:rPr>
            </w:pPr>
            <w:r>
              <w:rPr>
                <w:rFonts w:hint="eastAsia" w:ascii="宋体" w:hAnsi="宋体"/>
              </w:rPr>
              <w:t>在成交人响应文件中承诺的质保期满无质量问题退还履约保函。</w:t>
            </w:r>
          </w:p>
        </w:tc>
      </w:tr>
      <w:tr w14:paraId="6FE81F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C40A90D">
            <w:pPr>
              <w:adjustRightInd w:val="0"/>
              <w:snapToGrid w:val="0"/>
              <w:spacing w:line="360" w:lineRule="auto"/>
              <w:jc w:val="center"/>
              <w:rPr>
                <w:rFonts w:hint="eastAsia" w:ascii="宋体" w:hAnsi="宋体"/>
              </w:rPr>
            </w:pPr>
            <w:r>
              <w:rPr>
                <w:rFonts w:hint="eastAsia" w:ascii="宋体" w:hAnsi="宋体"/>
              </w:rPr>
              <w:t>第二节</w:t>
            </w:r>
          </w:p>
          <w:p w14:paraId="1743D225">
            <w:pPr>
              <w:adjustRightInd w:val="0"/>
              <w:snapToGrid w:val="0"/>
              <w:spacing w:line="360" w:lineRule="auto"/>
              <w:jc w:val="center"/>
              <w:rPr>
                <w:rFonts w:hint="eastAsia" w:ascii="宋体" w:hAnsi="宋体"/>
              </w:rPr>
            </w:pPr>
            <w:r>
              <w:rPr>
                <w:rFonts w:hint="eastAsia" w:ascii="宋体" w:hAnsi="宋体"/>
              </w:rPr>
              <w:t>第14.1（6）项</w:t>
            </w:r>
          </w:p>
        </w:tc>
        <w:tc>
          <w:tcPr>
            <w:tcW w:w="1742" w:type="dxa"/>
            <w:vAlign w:val="center"/>
          </w:tcPr>
          <w:p w14:paraId="5460622F">
            <w:pPr>
              <w:adjustRightInd w:val="0"/>
              <w:snapToGrid w:val="0"/>
              <w:spacing w:line="360" w:lineRule="auto"/>
              <w:jc w:val="left"/>
              <w:rPr>
                <w:rFonts w:hint="eastAsia" w:ascii="宋体" w:hAnsi="宋体"/>
              </w:rPr>
            </w:pPr>
            <w:r>
              <w:rPr>
                <w:rFonts w:hint="eastAsia" w:ascii="宋体" w:hAnsi="宋体"/>
              </w:rPr>
              <w:t>乙方提供的其他服务</w:t>
            </w:r>
          </w:p>
        </w:tc>
        <w:tc>
          <w:tcPr>
            <w:tcW w:w="5170" w:type="dxa"/>
            <w:vAlign w:val="center"/>
          </w:tcPr>
          <w:p w14:paraId="4A9E30A9">
            <w:pPr>
              <w:pStyle w:val="59"/>
              <w:ind w:firstLine="0" w:firstLineChars="0"/>
              <w:rPr>
                <w:rFonts w:hint="eastAsia" w:ascii="宋体" w:hAnsi="宋体" w:eastAsia="宋体" w:cs="Times New Roman"/>
                <w:kern w:val="2"/>
                <w:sz w:val="21"/>
              </w:rPr>
            </w:pPr>
            <w:r>
              <w:rPr>
                <w:rFonts w:hint="eastAsia" w:ascii="宋体" w:hAnsi="宋体" w:eastAsia="宋体" w:cs="Times New Roman"/>
                <w:kern w:val="2"/>
                <w:sz w:val="21"/>
              </w:rPr>
              <w:t>质保期内，乙方应对货物及主要部件、配件维修更换，对货物（人为故意损坏除外）提供全免费保修或免费更换；如出现故障，乙方应在接到通知后2小时内响应，24小时内抵达现场进行维修，若问题、故障在检修48小时内仍无法解决，乙方应在3个工作日内免费提供不低于故障货物规格型号档次的备用货物供甲方使用，直至故障货物修复，期间产生的所有费用均由乙方承担。更换的全新配件在使用期间的质保及售后均按本合同执行。</w:t>
            </w:r>
          </w:p>
          <w:p w14:paraId="1D3ACD2A">
            <w:pPr>
              <w:adjustRightInd w:val="0"/>
              <w:snapToGrid w:val="0"/>
              <w:spacing w:line="360" w:lineRule="auto"/>
              <w:jc w:val="left"/>
              <w:rPr>
                <w:rFonts w:hint="eastAsia" w:ascii="宋体" w:hAnsi="宋体"/>
              </w:rPr>
            </w:pPr>
            <w:r>
              <w:rPr>
                <w:rFonts w:hint="eastAsia" w:ascii="宋体" w:hAnsi="宋体"/>
              </w:rPr>
              <w:t>质保期外，乙方应提供货物（设备）的终身维修服务，服务响应时间与质保期内保持一致，质保期外只收取甲方零配件成本费，其他免费。</w:t>
            </w:r>
          </w:p>
        </w:tc>
      </w:tr>
      <w:tr w14:paraId="56CDF0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0B9C033">
            <w:pPr>
              <w:adjustRightInd w:val="0"/>
              <w:snapToGrid w:val="0"/>
              <w:spacing w:line="360" w:lineRule="auto"/>
              <w:jc w:val="center"/>
              <w:rPr>
                <w:rFonts w:hint="eastAsia" w:ascii="宋体" w:hAnsi="宋体"/>
              </w:rPr>
            </w:pPr>
            <w:r>
              <w:rPr>
                <w:rFonts w:hint="eastAsia" w:ascii="宋体" w:hAnsi="宋体"/>
              </w:rPr>
              <w:t>第二节</w:t>
            </w:r>
          </w:p>
          <w:p w14:paraId="2E7CDD9A">
            <w:pPr>
              <w:adjustRightInd w:val="0"/>
              <w:snapToGrid w:val="0"/>
              <w:spacing w:line="360" w:lineRule="auto"/>
              <w:jc w:val="center"/>
              <w:rPr>
                <w:rFonts w:hint="eastAsia" w:ascii="宋体" w:hAnsi="宋体"/>
              </w:rPr>
            </w:pPr>
            <w:r>
              <w:rPr>
                <w:rFonts w:hint="eastAsia" w:ascii="宋体" w:hAnsi="宋体"/>
              </w:rPr>
              <w:t>第19.1款</w:t>
            </w:r>
          </w:p>
        </w:tc>
        <w:tc>
          <w:tcPr>
            <w:tcW w:w="1742" w:type="dxa"/>
            <w:vAlign w:val="center"/>
          </w:tcPr>
          <w:p w14:paraId="241557C8">
            <w:pPr>
              <w:adjustRightInd w:val="0"/>
              <w:snapToGrid w:val="0"/>
              <w:spacing w:line="360" w:lineRule="auto"/>
              <w:jc w:val="left"/>
              <w:rPr>
                <w:rFonts w:hint="eastAsia" w:ascii="宋体" w:hAnsi="宋体"/>
              </w:rPr>
            </w:pPr>
            <w:r>
              <w:rPr>
                <w:rFonts w:hint="eastAsia" w:ascii="宋体" w:hAnsi="宋体"/>
                <w:bCs/>
              </w:rPr>
              <w:t>其他专用条款</w:t>
            </w:r>
          </w:p>
        </w:tc>
        <w:tc>
          <w:tcPr>
            <w:tcW w:w="5170" w:type="dxa"/>
            <w:vAlign w:val="center"/>
          </w:tcPr>
          <w:p w14:paraId="50FBAB45">
            <w:pPr>
              <w:adjustRightInd w:val="0"/>
              <w:snapToGrid w:val="0"/>
              <w:spacing w:line="400" w:lineRule="exact"/>
              <w:jc w:val="left"/>
              <w:rPr>
                <w:rFonts w:hint="eastAsia" w:ascii="宋体" w:hAnsi="宋体"/>
              </w:rPr>
            </w:pPr>
            <w:r>
              <w:rPr>
                <w:rFonts w:hint="eastAsia" w:ascii="宋体" w:hAnsi="宋体"/>
              </w:rPr>
              <w:t>项目管理服务：乙方应指定不少于一人全权全程负责本项目的商务服务，以及货物安装、调试、咨询、培训和售后等技术服务工作。（如发生变更应及时书面通知甲方。）</w:t>
            </w:r>
          </w:p>
          <w:p w14:paraId="09E324C5">
            <w:pPr>
              <w:adjustRightInd w:val="0"/>
              <w:snapToGrid w:val="0"/>
              <w:spacing w:line="360" w:lineRule="auto"/>
              <w:jc w:val="left"/>
              <w:rPr>
                <w:rFonts w:hint="eastAsia" w:ascii="宋体" w:hAnsi="宋体"/>
              </w:rPr>
            </w:pPr>
            <w:r>
              <w:rPr>
                <w:rFonts w:hint="eastAsia" w:ascii="宋体" w:hAnsi="宋体"/>
              </w:rPr>
              <w:t>项目负责人：</w:t>
            </w:r>
            <w:r>
              <w:rPr>
                <w:rFonts w:hint="eastAsia" w:ascii="宋体" w:hAnsi="宋体"/>
                <w:u w:val="single"/>
              </w:rPr>
              <w:t xml:space="preserve">        </w:t>
            </w:r>
            <w:r>
              <w:rPr>
                <w:rFonts w:hint="eastAsia" w:ascii="宋体" w:hAnsi="宋体"/>
              </w:rPr>
              <w:t>；联系电话：</w:t>
            </w:r>
            <w:r>
              <w:rPr>
                <w:rFonts w:hint="eastAsia" w:ascii="宋体" w:hAnsi="宋体"/>
                <w:u w:val="single"/>
              </w:rPr>
              <w:t xml:space="preserve">          </w:t>
            </w:r>
          </w:p>
        </w:tc>
      </w:tr>
    </w:tbl>
    <w:p w14:paraId="75532896">
      <w:pPr>
        <w:rPr>
          <w:rFonts w:hint="eastAsia" w:ascii="宋体" w:hAnsi="宋体"/>
          <w:b/>
          <w:bCs/>
        </w:rPr>
      </w:pPr>
    </w:p>
    <w:p w14:paraId="7068D38A">
      <w:pPr>
        <w:rPr>
          <w:rFonts w:hint="eastAsia" w:ascii="宋体" w:hAnsi="宋体"/>
          <w:b/>
          <w:bCs/>
        </w:rPr>
      </w:pPr>
      <w:r>
        <w:rPr>
          <w:rFonts w:hint="eastAsia" w:ascii="宋体" w:hAnsi="宋体"/>
          <w:b/>
          <w:bCs/>
        </w:rPr>
        <w:t>附件1：货物分项报价一览表</w:t>
      </w:r>
    </w:p>
    <w:p w14:paraId="53FF6D87">
      <w:pPr>
        <w:rPr>
          <w:rFonts w:hint="eastAsia" w:ascii="宋体" w:hAnsi="宋体"/>
          <w:b/>
          <w:bCs/>
        </w:rPr>
      </w:pPr>
      <w:r>
        <w:rPr>
          <w:rFonts w:hint="eastAsia" w:ascii="宋体" w:hAnsi="宋体"/>
          <w:b/>
          <w:bCs/>
        </w:rPr>
        <w:t>附件2：配置清单</w:t>
      </w:r>
    </w:p>
    <w:p w14:paraId="3C9C97B5">
      <w:pPr>
        <w:rPr>
          <w:rFonts w:hint="eastAsia" w:ascii="宋体" w:hAnsi="宋体"/>
          <w:b/>
          <w:bCs/>
        </w:rPr>
      </w:pPr>
      <w:r>
        <w:rPr>
          <w:rFonts w:hint="eastAsia" w:ascii="宋体" w:hAnsi="宋体"/>
          <w:b/>
          <w:bCs/>
        </w:rPr>
        <w:t>附件3：技术参数</w:t>
      </w:r>
    </w:p>
    <w:p w14:paraId="642F29D5">
      <w:pPr>
        <w:rPr>
          <w:rFonts w:hint="eastAsia" w:ascii="宋体" w:hAnsi="宋体"/>
          <w:b/>
          <w:bCs/>
        </w:rPr>
      </w:pPr>
      <w:r>
        <w:rPr>
          <w:rFonts w:hint="eastAsia" w:ascii="宋体" w:hAnsi="宋体"/>
          <w:b/>
          <w:bCs/>
        </w:rPr>
        <w:t>附件4：售后服务</w:t>
      </w:r>
    </w:p>
    <w:p w14:paraId="37257D2C">
      <w:pPr>
        <w:rPr>
          <w:rFonts w:hint="eastAsia" w:ascii="宋体" w:hAnsi="宋体"/>
          <w:b/>
          <w:bCs/>
        </w:rPr>
        <w:sectPr>
          <w:footerReference r:id="rId12" w:type="first"/>
          <w:footerReference r:id="rId11" w:type="default"/>
          <w:pgSz w:w="11922" w:h="16838"/>
          <w:pgMar w:top="1417" w:right="1417" w:bottom="1417" w:left="1417" w:header="624" w:footer="624" w:gutter="283"/>
          <w:pgBorders>
            <w:top w:val="none" w:sz="0" w:space="0"/>
            <w:left w:val="none" w:sz="0" w:space="0"/>
            <w:bottom w:val="none" w:sz="0" w:space="0"/>
            <w:right w:val="none" w:sz="0" w:space="0"/>
          </w:pgBorders>
          <w:pgNumType w:fmt="decimal"/>
          <w:cols w:space="0" w:num="1"/>
          <w:titlePg/>
          <w:rtlGutter w:val="0"/>
          <w:docGrid w:linePitch="306" w:charSpace="0"/>
        </w:sectPr>
      </w:pPr>
      <w:r>
        <w:rPr>
          <w:rFonts w:hint="eastAsia" w:ascii="宋体" w:hAnsi="宋体"/>
          <w:b/>
          <w:bCs/>
        </w:rPr>
        <w:t>附件5：授权委托书等</w:t>
      </w:r>
    </w:p>
    <w:p w14:paraId="4C55EE1B">
      <w:pPr>
        <w:rPr>
          <w:rFonts w:hint="eastAsia" w:ascii="宋体" w:hAnsi="宋体"/>
          <w:b/>
          <w:bCs/>
        </w:rPr>
      </w:pPr>
    </w:p>
    <w:p w14:paraId="3FED433F">
      <w:pPr>
        <w:widowControl/>
        <w:jc w:val="center"/>
        <w:outlineLvl w:val="0"/>
        <w:rPr>
          <w:rFonts w:ascii="宋体" w:hAnsi="宋体" w:cs="宋体"/>
          <w:b/>
          <w:color w:val="auto"/>
          <w:sz w:val="30"/>
          <w:szCs w:val="30"/>
          <w:highlight w:val="none"/>
        </w:rPr>
      </w:pPr>
      <w:bookmarkStart w:id="237" w:name="_Toc16690"/>
      <w:bookmarkStart w:id="238" w:name="_Toc16887"/>
      <w:bookmarkStart w:id="239" w:name="_Toc2131528488"/>
      <w:bookmarkStart w:id="240" w:name="_Toc95"/>
      <w:bookmarkStart w:id="241" w:name="_Toc256363560"/>
      <w:r>
        <w:rPr>
          <w:rFonts w:hint="eastAsia" w:ascii="宋体" w:hAnsi="宋体" w:cs="宋体"/>
          <w:b/>
          <w:color w:val="auto"/>
          <w:kern w:val="44"/>
          <w:sz w:val="36"/>
          <w:szCs w:val="36"/>
          <w:highlight w:val="none"/>
        </w:rPr>
        <w:t xml:space="preserve">第五章  </w:t>
      </w:r>
      <w:bookmarkEnd w:id="237"/>
      <w:r>
        <w:rPr>
          <w:rFonts w:hint="eastAsia" w:ascii="宋体" w:hAnsi="宋体" w:cs="宋体"/>
          <w:b/>
          <w:color w:val="auto"/>
          <w:kern w:val="44"/>
          <w:sz w:val="36"/>
          <w:szCs w:val="36"/>
          <w:highlight w:val="none"/>
        </w:rPr>
        <w:t>采购需求</w:t>
      </w:r>
      <w:bookmarkEnd w:id="238"/>
      <w:bookmarkEnd w:id="239"/>
      <w:bookmarkEnd w:id="240"/>
    </w:p>
    <w:p w14:paraId="5F744226">
      <w:pPr>
        <w:keepNext w:val="0"/>
        <w:keepLines w:val="0"/>
        <w:pageBreakBefore w:val="0"/>
        <w:widowControl w:val="0"/>
        <w:kinsoku/>
        <w:wordWrap/>
        <w:overflowPunct/>
        <w:topLinePunct w:val="0"/>
        <w:autoSpaceDE/>
        <w:autoSpaceDN/>
        <w:bidi w:val="0"/>
        <w:adjustRightInd/>
        <w:snapToGrid/>
        <w:spacing w:before="312" w:beforeLines="100" w:after="312" w:afterLines="100" w:line="360" w:lineRule="auto"/>
        <w:jc w:val="center"/>
        <w:textAlignment w:val="auto"/>
        <w:outlineLvl w:val="9"/>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采购标的汇总表</w:t>
      </w:r>
    </w:p>
    <w:tbl>
      <w:tblPr>
        <w:tblStyle w:val="38"/>
        <w:tblW w:w="1387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2"/>
        <w:gridCol w:w="494"/>
        <w:gridCol w:w="3881"/>
        <w:gridCol w:w="664"/>
        <w:gridCol w:w="633"/>
        <w:gridCol w:w="838"/>
        <w:gridCol w:w="2625"/>
        <w:gridCol w:w="949"/>
        <w:gridCol w:w="949"/>
        <w:gridCol w:w="933"/>
        <w:gridCol w:w="949"/>
      </w:tblGrid>
      <w:tr w14:paraId="3900D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1" w:hRule="atLeast"/>
        </w:trPr>
        <w:tc>
          <w:tcPr>
            <w:tcW w:w="962"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2469CFF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包名称</w:t>
            </w:r>
          </w:p>
        </w:tc>
        <w:tc>
          <w:tcPr>
            <w:tcW w:w="494"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0A057F8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序号</w:t>
            </w:r>
          </w:p>
        </w:tc>
        <w:tc>
          <w:tcPr>
            <w:tcW w:w="3881"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4D51CFD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货物名称</w:t>
            </w:r>
          </w:p>
        </w:tc>
        <w:tc>
          <w:tcPr>
            <w:tcW w:w="664"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5773311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数量</w:t>
            </w:r>
          </w:p>
        </w:tc>
        <w:tc>
          <w:tcPr>
            <w:tcW w:w="633"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3C5F589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w:t>
            </w:r>
          </w:p>
        </w:tc>
        <w:tc>
          <w:tcPr>
            <w:tcW w:w="838"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07103B5B">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default" w:ascii="宋体" w:hAnsi="宋体" w:eastAsia="宋体" w:cs="宋体"/>
                <w:b/>
                <w:bCs/>
                <w:i w:val="0"/>
                <w:iCs w:val="0"/>
                <w:color w:val="auto"/>
                <w:kern w:val="0"/>
                <w:sz w:val="22"/>
                <w:szCs w:val="22"/>
                <w:u w:val="none"/>
                <w:lang w:val="en-US" w:eastAsia="zh-CN" w:bidi="ar"/>
              </w:rPr>
            </w:pPr>
            <w:r>
              <w:rPr>
                <w:rFonts w:hint="eastAsia" w:ascii="宋体" w:hAnsi="宋体" w:cs="宋体"/>
                <w:b/>
                <w:bCs/>
                <w:i w:val="0"/>
                <w:iCs w:val="0"/>
                <w:color w:val="auto"/>
                <w:kern w:val="0"/>
                <w:sz w:val="22"/>
                <w:szCs w:val="22"/>
                <w:u w:val="none"/>
                <w:lang w:val="en-US" w:eastAsia="zh-CN" w:bidi="ar"/>
              </w:rPr>
              <w:t>是否为核心产品</w:t>
            </w:r>
          </w:p>
        </w:tc>
        <w:tc>
          <w:tcPr>
            <w:tcW w:w="2625"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7805527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所属行业</w:t>
            </w:r>
          </w:p>
        </w:tc>
        <w:tc>
          <w:tcPr>
            <w:tcW w:w="949"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281ACCA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宋体" w:hAnsi="宋体" w:eastAsia="宋体" w:cs="宋体"/>
                <w:b/>
                <w:bCs/>
                <w:i w:val="0"/>
                <w:iCs w:val="0"/>
                <w:color w:val="auto"/>
                <w:kern w:val="0"/>
                <w:sz w:val="22"/>
                <w:szCs w:val="22"/>
                <w:u w:val="none"/>
                <w:lang w:val="en-US" w:eastAsia="zh-CN" w:bidi="ar"/>
              </w:rPr>
            </w:pPr>
            <w:r>
              <w:rPr>
                <w:rFonts w:hint="eastAsia" w:ascii="宋体" w:hAnsi="宋体" w:cs="宋体"/>
                <w:b/>
                <w:bCs/>
                <w:color w:val="auto"/>
                <w:kern w:val="0"/>
                <w:sz w:val="22"/>
                <w:szCs w:val="22"/>
                <w:highlight w:val="none"/>
                <w:u w:val="none"/>
                <w:lang w:bidi="ar"/>
              </w:rPr>
              <w:t>属于政府强制采购节能产品</w:t>
            </w:r>
          </w:p>
        </w:tc>
        <w:tc>
          <w:tcPr>
            <w:tcW w:w="949"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190E169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宋体" w:hAnsi="宋体" w:eastAsia="宋体" w:cs="宋体"/>
                <w:b/>
                <w:bCs/>
                <w:i w:val="0"/>
                <w:iCs w:val="0"/>
                <w:color w:val="auto"/>
                <w:kern w:val="0"/>
                <w:sz w:val="22"/>
                <w:szCs w:val="22"/>
                <w:u w:val="none"/>
                <w:lang w:val="en-US" w:eastAsia="zh-CN" w:bidi="ar"/>
              </w:rPr>
            </w:pPr>
            <w:r>
              <w:rPr>
                <w:rFonts w:hint="eastAsia" w:ascii="宋体" w:hAnsi="宋体" w:cs="宋体"/>
                <w:b/>
                <w:bCs/>
                <w:i w:val="0"/>
                <w:iCs w:val="0"/>
                <w:color w:val="auto"/>
                <w:kern w:val="0"/>
                <w:sz w:val="22"/>
                <w:szCs w:val="22"/>
                <w:u w:val="none"/>
                <w:lang w:val="en-US" w:eastAsia="zh-CN" w:bidi="ar"/>
              </w:rPr>
              <w:t>属于</w:t>
            </w:r>
            <w:r>
              <w:rPr>
                <w:rFonts w:hint="eastAsia" w:ascii="宋体" w:hAnsi="宋体" w:eastAsia="宋体" w:cs="宋体"/>
                <w:b/>
                <w:bCs/>
                <w:i w:val="0"/>
                <w:iCs w:val="0"/>
                <w:color w:val="auto"/>
                <w:kern w:val="0"/>
                <w:sz w:val="22"/>
                <w:szCs w:val="22"/>
                <w:u w:val="none"/>
                <w:lang w:val="en-US" w:eastAsia="zh-CN" w:bidi="ar"/>
              </w:rPr>
              <w:t>列入强制性产品认证目录</w:t>
            </w:r>
            <w:r>
              <w:rPr>
                <w:rFonts w:hint="eastAsia" w:ascii="宋体" w:hAnsi="宋体" w:cs="宋体"/>
                <w:b/>
                <w:bCs/>
                <w:i w:val="0"/>
                <w:iCs w:val="0"/>
                <w:color w:val="auto"/>
                <w:kern w:val="0"/>
                <w:sz w:val="22"/>
                <w:szCs w:val="22"/>
                <w:u w:val="none"/>
                <w:lang w:val="en-US" w:eastAsia="zh-CN" w:bidi="ar"/>
              </w:rPr>
              <w:t>产品</w:t>
            </w:r>
          </w:p>
        </w:tc>
        <w:tc>
          <w:tcPr>
            <w:tcW w:w="933"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4E45245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cs="宋体"/>
                <w:b/>
                <w:bCs/>
                <w:color w:val="auto"/>
                <w:sz w:val="22"/>
                <w:szCs w:val="22"/>
                <w:highlight w:val="none"/>
                <w:lang w:val="en-US" w:eastAsia="zh-CN"/>
              </w:rPr>
              <w:t>属于网络关键设备</w:t>
            </w:r>
          </w:p>
        </w:tc>
        <w:tc>
          <w:tcPr>
            <w:tcW w:w="949"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26E48B3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宋体" w:hAnsi="宋体" w:eastAsia="宋体" w:cs="宋体"/>
                <w:b/>
                <w:bCs/>
                <w:i w:val="0"/>
                <w:iCs w:val="0"/>
                <w:color w:val="auto"/>
                <w:kern w:val="0"/>
                <w:sz w:val="22"/>
                <w:szCs w:val="22"/>
                <w:u w:val="none"/>
                <w:lang w:val="en-US" w:eastAsia="zh-CN" w:bidi="ar"/>
              </w:rPr>
            </w:pPr>
            <w:r>
              <w:rPr>
                <w:rFonts w:hint="eastAsia" w:ascii="宋体" w:hAnsi="宋体" w:cs="宋体"/>
                <w:b/>
                <w:bCs/>
                <w:i w:val="0"/>
                <w:iCs w:val="0"/>
                <w:color w:val="auto"/>
                <w:kern w:val="0"/>
                <w:sz w:val="22"/>
                <w:szCs w:val="22"/>
                <w:u w:val="none"/>
                <w:lang w:val="en-US" w:eastAsia="zh-CN" w:bidi="ar"/>
              </w:rPr>
              <w:t>属于</w:t>
            </w:r>
            <w:r>
              <w:rPr>
                <w:rFonts w:hint="eastAsia" w:ascii="宋体" w:hAnsi="宋体" w:cs="宋体"/>
                <w:b/>
                <w:bCs/>
                <w:color w:val="auto"/>
                <w:sz w:val="22"/>
                <w:szCs w:val="22"/>
                <w:highlight w:val="none"/>
                <w:lang w:val="en-US" w:eastAsia="zh-CN"/>
              </w:rPr>
              <w:t>网络安全专用产品</w:t>
            </w:r>
          </w:p>
        </w:tc>
      </w:tr>
      <w:tr w14:paraId="1E048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9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B7681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包2</w:t>
            </w:r>
            <w:r>
              <w:rPr>
                <w:rFonts w:hint="eastAsia" w:ascii="宋体" w:hAnsi="宋体" w:cs="宋体"/>
                <w:i w:val="0"/>
                <w:iCs w:val="0"/>
                <w:color w:val="auto"/>
                <w:kern w:val="0"/>
                <w:sz w:val="22"/>
                <w:szCs w:val="22"/>
                <w:u w:val="none"/>
                <w:lang w:val="en-US" w:eastAsia="zh-CN" w:bidi="ar"/>
              </w:rPr>
              <w:t>：私有云平台、数据采集和终端</w:t>
            </w:r>
          </w:p>
        </w:tc>
        <w:tc>
          <w:tcPr>
            <w:tcW w:w="913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7EE8ED0">
            <w:pPr>
              <w:keepNext w:val="0"/>
              <w:keepLines w:val="0"/>
              <w:pageBreakBefore w:val="0"/>
              <w:kinsoku/>
              <w:wordWrap/>
              <w:overflowPunct/>
              <w:topLinePunct w:val="0"/>
              <w:autoSpaceDE/>
              <w:autoSpaceDN/>
              <w:bidi w:val="0"/>
              <w:adjustRightInd/>
              <w:snapToGrid/>
              <w:spacing w:line="440" w:lineRule="exact"/>
              <w:jc w:val="left"/>
              <w:rPr>
                <w:rFonts w:hint="eastAsia" w:ascii="宋体" w:hAnsi="宋体" w:eastAsia="宋体" w:cs="宋体"/>
                <w:i w:val="0"/>
                <w:iCs w:val="0"/>
                <w:color w:val="auto"/>
                <w:sz w:val="22"/>
                <w:szCs w:val="22"/>
                <w:u w:val="none"/>
              </w:rPr>
            </w:pPr>
            <w:r>
              <w:rPr>
                <w:rFonts w:hint="eastAsia" w:ascii="宋体" w:hAnsi="宋体" w:cs="宋体"/>
                <w:i w:val="0"/>
                <w:iCs w:val="0"/>
                <w:color w:val="auto"/>
                <w:sz w:val="22"/>
                <w:szCs w:val="22"/>
                <w:u w:val="none"/>
                <w:lang w:val="en-US" w:eastAsia="zh-CN"/>
              </w:rPr>
              <w:t>一、</w:t>
            </w:r>
            <w:r>
              <w:rPr>
                <w:rFonts w:hint="eastAsia" w:ascii="宋体" w:hAnsi="宋体" w:eastAsia="宋体" w:cs="宋体"/>
                <w:i w:val="0"/>
                <w:iCs w:val="0"/>
                <w:color w:val="auto"/>
                <w:sz w:val="22"/>
                <w:szCs w:val="22"/>
                <w:u w:val="none"/>
              </w:rPr>
              <w:t>私有云平台（搭建大数据平台和数字孪生应用系统）</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3FFFE">
            <w:pPr>
              <w:keepNext w:val="0"/>
              <w:keepLines w:val="0"/>
              <w:pageBreakBefore w:val="0"/>
              <w:kinsoku/>
              <w:wordWrap/>
              <w:overflowPunct/>
              <w:topLinePunct w:val="0"/>
              <w:autoSpaceDE/>
              <w:autoSpaceDN/>
              <w:bidi w:val="0"/>
              <w:adjustRightInd/>
              <w:snapToGrid/>
              <w:spacing w:line="440" w:lineRule="exact"/>
              <w:jc w:val="left"/>
              <w:rPr>
                <w:rFonts w:hint="eastAsia" w:ascii="宋体" w:hAnsi="宋体" w:cs="宋体"/>
                <w:i w:val="0"/>
                <w:iCs w:val="0"/>
                <w:color w:val="auto"/>
                <w:sz w:val="22"/>
                <w:szCs w:val="22"/>
                <w:u w:val="none"/>
                <w:lang w:val="en-US" w:eastAsia="zh-CN"/>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B339E">
            <w:pPr>
              <w:keepNext w:val="0"/>
              <w:keepLines w:val="0"/>
              <w:pageBreakBefore w:val="0"/>
              <w:kinsoku/>
              <w:wordWrap/>
              <w:overflowPunct/>
              <w:topLinePunct w:val="0"/>
              <w:autoSpaceDE/>
              <w:autoSpaceDN/>
              <w:bidi w:val="0"/>
              <w:adjustRightInd/>
              <w:snapToGrid/>
              <w:spacing w:line="440" w:lineRule="exact"/>
              <w:jc w:val="left"/>
              <w:rPr>
                <w:rFonts w:hint="eastAsia" w:ascii="宋体" w:hAnsi="宋体" w:cs="宋体"/>
                <w:i w:val="0"/>
                <w:iCs w:val="0"/>
                <w:color w:val="auto"/>
                <w:sz w:val="22"/>
                <w:szCs w:val="22"/>
                <w:u w:val="none"/>
                <w:lang w:val="en-US" w:eastAsia="zh-CN"/>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45C53">
            <w:pPr>
              <w:keepNext w:val="0"/>
              <w:keepLines w:val="0"/>
              <w:pageBreakBefore w:val="0"/>
              <w:kinsoku/>
              <w:wordWrap/>
              <w:overflowPunct/>
              <w:topLinePunct w:val="0"/>
              <w:autoSpaceDE/>
              <w:autoSpaceDN/>
              <w:bidi w:val="0"/>
              <w:adjustRightInd/>
              <w:snapToGrid/>
              <w:spacing w:line="440" w:lineRule="exact"/>
              <w:jc w:val="left"/>
              <w:rPr>
                <w:rFonts w:hint="eastAsia" w:ascii="宋体" w:hAnsi="宋体" w:cs="宋体"/>
                <w:i w:val="0"/>
                <w:iCs w:val="0"/>
                <w:color w:val="auto"/>
                <w:sz w:val="22"/>
                <w:szCs w:val="22"/>
                <w:u w:val="none"/>
                <w:lang w:val="en-US" w:eastAsia="zh-CN"/>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B57EF">
            <w:pPr>
              <w:keepNext w:val="0"/>
              <w:keepLines w:val="0"/>
              <w:pageBreakBefore w:val="0"/>
              <w:kinsoku/>
              <w:wordWrap/>
              <w:overflowPunct/>
              <w:topLinePunct w:val="0"/>
              <w:autoSpaceDE/>
              <w:autoSpaceDN/>
              <w:bidi w:val="0"/>
              <w:adjustRightInd/>
              <w:snapToGrid/>
              <w:spacing w:line="440" w:lineRule="exact"/>
              <w:jc w:val="left"/>
              <w:rPr>
                <w:rFonts w:hint="eastAsia" w:ascii="宋体" w:hAnsi="宋体" w:cs="宋体"/>
                <w:i w:val="0"/>
                <w:iCs w:val="0"/>
                <w:color w:val="auto"/>
                <w:sz w:val="22"/>
                <w:szCs w:val="22"/>
                <w:u w:val="none"/>
                <w:lang w:val="en-US" w:eastAsia="zh-CN"/>
              </w:rPr>
            </w:pPr>
          </w:p>
        </w:tc>
      </w:tr>
      <w:tr w14:paraId="12114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E521EE">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CA2E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8F267">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主机服务器</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7DCD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0836B">
            <w:pPr>
              <w:keepNext w:val="0"/>
              <w:keepLines w:val="0"/>
              <w:pageBreakBefore w:val="0"/>
              <w:kinsoku/>
              <w:wordWrap/>
              <w:overflowPunct/>
              <w:topLinePunct w:val="0"/>
              <w:autoSpaceDE/>
              <w:autoSpaceDN/>
              <w:bidi w:val="0"/>
              <w:adjustRightInd/>
              <w:snapToGrid/>
              <w:spacing w:line="440" w:lineRule="exact"/>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台</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8111D">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lang w:val="en-US" w:eastAsia="zh-CN"/>
              </w:rPr>
            </w:pPr>
            <w:r>
              <w:rPr>
                <w:rFonts w:hint="eastAsia" w:ascii="宋体" w:hAnsi="宋体" w:cs="宋体"/>
                <w:i w:val="0"/>
                <w:iCs w:val="0"/>
                <w:color w:val="auto"/>
                <w:sz w:val="22"/>
                <w:szCs w:val="22"/>
                <w:u w:val="none"/>
                <w:lang w:val="en-US" w:eastAsia="zh-CN"/>
              </w:rPr>
              <w:t>是</w:t>
            </w: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7C02E">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5C475">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17A3A">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是</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BFA8B">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是</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EFABC">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r>
      <w:tr w14:paraId="529F6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96151F">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5711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E3F66">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存储节点</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2E06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C83F5">
            <w:pPr>
              <w:keepNext w:val="0"/>
              <w:keepLines w:val="0"/>
              <w:pageBreakBefore w:val="0"/>
              <w:kinsoku/>
              <w:wordWrap/>
              <w:overflowPunct/>
              <w:topLinePunct w:val="0"/>
              <w:autoSpaceDE/>
              <w:autoSpaceDN/>
              <w:bidi w:val="0"/>
              <w:adjustRightInd/>
              <w:snapToGrid/>
              <w:spacing w:line="440" w:lineRule="exact"/>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台</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64F9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D77B1">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38370">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5AFCF">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0583C">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FCB38">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是</w:t>
            </w:r>
          </w:p>
        </w:tc>
      </w:tr>
      <w:tr w14:paraId="437D2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F33C71">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7F05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68F35">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SAN交换机</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E7CE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2</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51CA4">
            <w:pPr>
              <w:keepNext w:val="0"/>
              <w:keepLines w:val="0"/>
              <w:pageBreakBefore w:val="0"/>
              <w:kinsoku/>
              <w:wordWrap/>
              <w:overflowPunct/>
              <w:topLinePunct w:val="0"/>
              <w:autoSpaceDE/>
              <w:autoSpaceDN/>
              <w:bidi w:val="0"/>
              <w:adjustRightInd/>
              <w:snapToGrid/>
              <w:spacing w:line="440" w:lineRule="exact"/>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台</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13045">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9F965">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A3DDF">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CE94B">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0A7F1">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是</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0F5D9">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r>
      <w:tr w14:paraId="7857E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A6DEA0">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0094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3A8E8">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主交换机</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1F44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2</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31457">
            <w:pPr>
              <w:keepNext w:val="0"/>
              <w:keepLines w:val="0"/>
              <w:pageBreakBefore w:val="0"/>
              <w:kinsoku/>
              <w:wordWrap/>
              <w:overflowPunct/>
              <w:topLinePunct w:val="0"/>
              <w:autoSpaceDE/>
              <w:autoSpaceDN/>
              <w:bidi w:val="0"/>
              <w:adjustRightInd/>
              <w:snapToGrid/>
              <w:spacing w:line="440" w:lineRule="exact"/>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台</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D7544">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746A1">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DD45A">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7F4A5">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074B0">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是</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53E4A">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r>
      <w:tr w14:paraId="714F2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53AFDD">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6ED6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3D5D6">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企业级硬件防火墙</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D32C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5093A">
            <w:pPr>
              <w:keepNext w:val="0"/>
              <w:keepLines w:val="0"/>
              <w:pageBreakBefore w:val="0"/>
              <w:kinsoku/>
              <w:wordWrap/>
              <w:overflowPunct/>
              <w:topLinePunct w:val="0"/>
              <w:autoSpaceDE/>
              <w:autoSpaceDN/>
              <w:bidi w:val="0"/>
              <w:adjustRightInd/>
              <w:snapToGrid/>
              <w:spacing w:line="440" w:lineRule="exact"/>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台</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E8624">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2B592">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290F4">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6DD92">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62382">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BF645">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是</w:t>
            </w:r>
          </w:p>
        </w:tc>
      </w:tr>
      <w:tr w14:paraId="4894B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AD23B">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3FBC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B49A7">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机柜</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D433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7480B">
            <w:pPr>
              <w:keepNext w:val="0"/>
              <w:keepLines w:val="0"/>
              <w:pageBreakBefore w:val="0"/>
              <w:kinsoku/>
              <w:wordWrap/>
              <w:overflowPunct/>
              <w:topLinePunct w:val="0"/>
              <w:autoSpaceDE/>
              <w:autoSpaceDN/>
              <w:bidi w:val="0"/>
              <w:adjustRightInd/>
              <w:snapToGrid/>
              <w:spacing w:line="440" w:lineRule="exact"/>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台</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20E1C">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F8F11">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DB509">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8A433">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17712">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4FFB5">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r>
      <w:tr w14:paraId="3796C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65D22E">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913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2CEAEBA">
            <w:pPr>
              <w:keepNext w:val="0"/>
              <w:keepLines w:val="0"/>
              <w:pageBreakBefore w:val="0"/>
              <w:kinsoku/>
              <w:wordWrap/>
              <w:overflowPunct/>
              <w:topLinePunct w:val="0"/>
              <w:autoSpaceDE/>
              <w:autoSpaceDN/>
              <w:bidi w:val="0"/>
              <w:adjustRightInd/>
              <w:snapToGrid/>
              <w:spacing w:line="440" w:lineRule="exact"/>
              <w:jc w:val="left"/>
              <w:rPr>
                <w:rFonts w:hint="eastAsia" w:ascii="宋体" w:hAnsi="宋体" w:eastAsia="宋体" w:cs="宋体"/>
                <w:i w:val="0"/>
                <w:iCs w:val="0"/>
                <w:color w:val="auto"/>
                <w:sz w:val="22"/>
                <w:szCs w:val="22"/>
                <w:u w:val="none"/>
              </w:rPr>
            </w:pPr>
            <w:r>
              <w:rPr>
                <w:rFonts w:hint="eastAsia" w:ascii="宋体" w:hAnsi="宋体" w:cs="宋体"/>
                <w:i w:val="0"/>
                <w:iCs w:val="0"/>
                <w:color w:val="auto"/>
                <w:sz w:val="22"/>
                <w:szCs w:val="22"/>
                <w:u w:val="none"/>
                <w:lang w:val="en-US" w:eastAsia="zh-CN"/>
              </w:rPr>
              <w:t>二</w:t>
            </w:r>
            <w:r>
              <w:rPr>
                <w:rFonts w:hint="eastAsia" w:ascii="宋体" w:hAnsi="宋体" w:eastAsia="宋体" w:cs="宋体"/>
                <w:i w:val="0"/>
                <w:iCs w:val="0"/>
                <w:color w:val="auto"/>
                <w:sz w:val="22"/>
                <w:szCs w:val="22"/>
                <w:u w:val="none"/>
              </w:rPr>
              <w:t>、数据采集</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93617">
            <w:pPr>
              <w:keepNext w:val="0"/>
              <w:keepLines w:val="0"/>
              <w:pageBreakBefore w:val="0"/>
              <w:kinsoku/>
              <w:wordWrap/>
              <w:overflowPunct/>
              <w:topLinePunct w:val="0"/>
              <w:autoSpaceDE/>
              <w:autoSpaceDN/>
              <w:bidi w:val="0"/>
              <w:adjustRightInd/>
              <w:snapToGrid/>
              <w:spacing w:line="440" w:lineRule="exact"/>
              <w:jc w:val="left"/>
              <w:rPr>
                <w:rFonts w:hint="eastAsia" w:ascii="宋体" w:hAnsi="宋体" w:cs="宋体"/>
                <w:i w:val="0"/>
                <w:iCs w:val="0"/>
                <w:color w:val="auto"/>
                <w:sz w:val="22"/>
                <w:szCs w:val="22"/>
                <w:u w:val="none"/>
                <w:lang w:val="en-US" w:eastAsia="zh-CN"/>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FD28E">
            <w:pPr>
              <w:keepNext w:val="0"/>
              <w:keepLines w:val="0"/>
              <w:pageBreakBefore w:val="0"/>
              <w:kinsoku/>
              <w:wordWrap/>
              <w:overflowPunct/>
              <w:topLinePunct w:val="0"/>
              <w:autoSpaceDE/>
              <w:autoSpaceDN/>
              <w:bidi w:val="0"/>
              <w:adjustRightInd/>
              <w:snapToGrid/>
              <w:spacing w:line="440" w:lineRule="exact"/>
              <w:jc w:val="left"/>
              <w:rPr>
                <w:rFonts w:hint="eastAsia" w:ascii="宋体" w:hAnsi="宋体" w:cs="宋体"/>
                <w:i w:val="0"/>
                <w:iCs w:val="0"/>
                <w:color w:val="auto"/>
                <w:sz w:val="22"/>
                <w:szCs w:val="22"/>
                <w:u w:val="none"/>
                <w:lang w:val="en-US" w:eastAsia="zh-CN"/>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DEE40">
            <w:pPr>
              <w:keepNext w:val="0"/>
              <w:keepLines w:val="0"/>
              <w:pageBreakBefore w:val="0"/>
              <w:kinsoku/>
              <w:wordWrap/>
              <w:overflowPunct/>
              <w:topLinePunct w:val="0"/>
              <w:autoSpaceDE/>
              <w:autoSpaceDN/>
              <w:bidi w:val="0"/>
              <w:adjustRightInd/>
              <w:snapToGrid/>
              <w:spacing w:line="440" w:lineRule="exact"/>
              <w:jc w:val="left"/>
              <w:rPr>
                <w:rFonts w:hint="eastAsia" w:ascii="宋体" w:hAnsi="宋体" w:cs="宋体"/>
                <w:i w:val="0"/>
                <w:iCs w:val="0"/>
                <w:color w:val="auto"/>
                <w:sz w:val="22"/>
                <w:szCs w:val="22"/>
                <w:u w:val="none"/>
                <w:lang w:val="en-US" w:eastAsia="zh-CN"/>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B6A89">
            <w:pPr>
              <w:keepNext w:val="0"/>
              <w:keepLines w:val="0"/>
              <w:pageBreakBefore w:val="0"/>
              <w:kinsoku/>
              <w:wordWrap/>
              <w:overflowPunct/>
              <w:topLinePunct w:val="0"/>
              <w:autoSpaceDE/>
              <w:autoSpaceDN/>
              <w:bidi w:val="0"/>
              <w:adjustRightInd/>
              <w:snapToGrid/>
              <w:spacing w:line="440" w:lineRule="exact"/>
              <w:jc w:val="left"/>
              <w:rPr>
                <w:rFonts w:hint="eastAsia" w:ascii="宋体" w:hAnsi="宋体" w:cs="宋体"/>
                <w:i w:val="0"/>
                <w:iCs w:val="0"/>
                <w:color w:val="auto"/>
                <w:sz w:val="22"/>
                <w:szCs w:val="22"/>
                <w:u w:val="none"/>
                <w:lang w:val="en-US" w:eastAsia="zh-CN"/>
              </w:rPr>
            </w:pPr>
          </w:p>
        </w:tc>
      </w:tr>
      <w:tr w14:paraId="5E8C2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9711FF">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88C1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2"/>
                <w:szCs w:val="22"/>
                <w:u w:val="none"/>
                <w:lang w:val="en-US" w:eastAsia="zh-CN" w:bidi="ar"/>
              </w:rPr>
              <w:t>1</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A463B">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实时数据采集终端</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9503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A380E">
            <w:pPr>
              <w:keepNext w:val="0"/>
              <w:keepLines w:val="0"/>
              <w:pageBreakBefore w:val="0"/>
              <w:kinsoku/>
              <w:wordWrap/>
              <w:overflowPunct/>
              <w:topLinePunct w:val="0"/>
              <w:autoSpaceDE/>
              <w:autoSpaceDN/>
              <w:bidi w:val="0"/>
              <w:adjustRightInd/>
              <w:snapToGrid/>
              <w:spacing w:line="440" w:lineRule="exact"/>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台</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902C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626B7">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759F2">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可能涉及</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BDAB5">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是</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D4D49">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E0EB4">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r>
      <w:tr w14:paraId="235E9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56EBAA">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D932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2"/>
                <w:szCs w:val="22"/>
                <w:u w:val="none"/>
                <w:lang w:val="en-US" w:eastAsia="zh-CN" w:bidi="ar"/>
              </w:rPr>
              <w:t>2</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734F5">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关系数据采集终端</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BBA1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A5E7F">
            <w:pPr>
              <w:keepNext w:val="0"/>
              <w:keepLines w:val="0"/>
              <w:pageBreakBefore w:val="0"/>
              <w:kinsoku/>
              <w:wordWrap/>
              <w:overflowPunct/>
              <w:topLinePunct w:val="0"/>
              <w:autoSpaceDE/>
              <w:autoSpaceDN/>
              <w:bidi w:val="0"/>
              <w:adjustRightInd/>
              <w:snapToGrid/>
              <w:spacing w:line="440" w:lineRule="exact"/>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台</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0D1CB">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7A751">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EB3A0">
            <w:pPr>
              <w:keepNext w:val="0"/>
              <w:keepLines w:val="0"/>
              <w:pageBreakBefore w:val="0"/>
              <w:kinsoku/>
              <w:wordWrap/>
              <w:overflowPunct/>
              <w:topLinePunct w:val="0"/>
              <w:autoSpaceDE/>
              <w:autoSpaceDN/>
              <w:bidi w:val="0"/>
              <w:adjustRightInd/>
              <w:snapToGrid/>
              <w:spacing w:line="440" w:lineRule="exact"/>
              <w:jc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可能涉及</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BE7C0">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是</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49941">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EB5DD">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r>
      <w:tr w14:paraId="66EE0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E7C3B4">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5A0E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2"/>
                <w:szCs w:val="22"/>
                <w:u w:val="none"/>
                <w:lang w:val="en-US" w:eastAsia="zh-CN" w:bidi="ar"/>
              </w:rPr>
              <w:t>3</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72D87">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接入交换机</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71AB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1F8FA">
            <w:pPr>
              <w:keepNext w:val="0"/>
              <w:keepLines w:val="0"/>
              <w:pageBreakBefore w:val="0"/>
              <w:kinsoku/>
              <w:wordWrap/>
              <w:overflowPunct/>
              <w:topLinePunct w:val="0"/>
              <w:autoSpaceDE/>
              <w:autoSpaceDN/>
              <w:bidi w:val="0"/>
              <w:adjustRightInd/>
              <w:snapToGrid/>
              <w:spacing w:line="440" w:lineRule="exact"/>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台</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352A3">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E6DF2">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317CC">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207F0">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02586">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CB2B5">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r>
      <w:tr w14:paraId="65DD1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183782">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913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F6F78F5">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sz w:val="22"/>
                <w:szCs w:val="22"/>
                <w:u w:val="none"/>
                <w:lang w:val="en-US" w:eastAsia="zh-CN"/>
              </w:rPr>
              <w:t>三</w:t>
            </w:r>
            <w:r>
              <w:rPr>
                <w:rFonts w:hint="eastAsia" w:ascii="宋体" w:hAnsi="宋体" w:eastAsia="宋体" w:cs="宋体"/>
                <w:i w:val="0"/>
                <w:iCs w:val="0"/>
                <w:color w:val="auto"/>
                <w:sz w:val="22"/>
                <w:szCs w:val="22"/>
                <w:u w:val="none"/>
              </w:rPr>
              <w:t>、终端</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D1FAD">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cs="宋体"/>
                <w:i w:val="0"/>
                <w:iCs w:val="0"/>
                <w:color w:val="auto"/>
                <w:sz w:val="22"/>
                <w:szCs w:val="22"/>
                <w:u w:val="none"/>
                <w:lang w:val="en-US" w:eastAsia="zh-CN"/>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A5314">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cs="宋体"/>
                <w:i w:val="0"/>
                <w:iCs w:val="0"/>
                <w:color w:val="auto"/>
                <w:sz w:val="22"/>
                <w:szCs w:val="22"/>
                <w:u w:val="none"/>
                <w:lang w:val="en-US" w:eastAsia="zh-CN"/>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1CFD0">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cs="宋体"/>
                <w:i w:val="0"/>
                <w:iCs w:val="0"/>
                <w:color w:val="auto"/>
                <w:sz w:val="22"/>
                <w:szCs w:val="22"/>
                <w:u w:val="none"/>
                <w:lang w:val="en-US" w:eastAsia="zh-CN"/>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D2792">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cs="宋体"/>
                <w:i w:val="0"/>
                <w:iCs w:val="0"/>
                <w:color w:val="auto"/>
                <w:sz w:val="22"/>
                <w:szCs w:val="22"/>
                <w:u w:val="none"/>
                <w:lang w:val="en-US" w:eastAsia="zh-CN"/>
              </w:rPr>
            </w:pPr>
          </w:p>
        </w:tc>
      </w:tr>
      <w:tr w14:paraId="6437B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79444">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C2A3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2"/>
                <w:szCs w:val="22"/>
                <w:u w:val="none"/>
                <w:lang w:val="en-US" w:eastAsia="zh-CN" w:bidi="ar"/>
              </w:rPr>
              <w:t>1</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ABA3A">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操作客户机</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8719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10</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34908">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sz w:val="22"/>
                <w:szCs w:val="22"/>
                <w:u w:val="none"/>
                <w:lang w:val="en-US" w:eastAsia="zh-CN"/>
              </w:rPr>
            </w:pPr>
            <w:r>
              <w:rPr>
                <w:rFonts w:hint="eastAsia" w:ascii="宋体" w:hAnsi="宋体" w:cs="宋体"/>
                <w:i w:val="0"/>
                <w:iCs w:val="0"/>
                <w:color w:val="auto"/>
                <w:sz w:val="22"/>
                <w:szCs w:val="22"/>
                <w:u w:val="none"/>
                <w:lang w:val="en-US" w:eastAsia="zh-CN"/>
              </w:rPr>
              <w:t>台</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98A7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74233">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ED789">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是（包含主机、显示器）</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89E43">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是</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479C8">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2628B">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r>
      <w:tr w14:paraId="2F81A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55DB9B">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6829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2"/>
                <w:szCs w:val="22"/>
                <w:u w:val="none"/>
                <w:lang w:val="en-US" w:eastAsia="zh-CN" w:bidi="ar"/>
              </w:rPr>
              <w:t>2</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52625">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拼接大屏</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D198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62DEE">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sz w:val="22"/>
                <w:szCs w:val="22"/>
                <w:u w:val="none"/>
                <w:lang w:val="en-US" w:eastAsia="zh-CN"/>
              </w:rPr>
            </w:pPr>
            <w:r>
              <w:rPr>
                <w:rFonts w:hint="eastAsia" w:ascii="宋体" w:hAnsi="宋体" w:cs="宋体"/>
                <w:i w:val="0"/>
                <w:iCs w:val="0"/>
                <w:color w:val="auto"/>
                <w:sz w:val="22"/>
                <w:szCs w:val="22"/>
                <w:u w:val="none"/>
                <w:lang w:val="en-US" w:eastAsia="zh-CN"/>
              </w:rPr>
              <w:t>台</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D9677">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51A6A">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D35D4">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是</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91030">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是</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2925A">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6F1DE">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r>
      <w:tr w14:paraId="574E6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EFF213">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3450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2"/>
                <w:szCs w:val="22"/>
                <w:u w:val="none"/>
                <w:lang w:val="en-US" w:eastAsia="zh-CN" w:bidi="ar"/>
              </w:rPr>
              <w:t>3</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6490E">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3D孪生客户端</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BB47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10828">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sz w:val="22"/>
                <w:szCs w:val="22"/>
                <w:u w:val="none"/>
                <w:lang w:val="en-US" w:eastAsia="zh-CN"/>
              </w:rPr>
            </w:pPr>
            <w:r>
              <w:rPr>
                <w:rFonts w:hint="eastAsia" w:ascii="宋体" w:hAnsi="宋体" w:cs="宋体"/>
                <w:i w:val="0"/>
                <w:iCs w:val="0"/>
                <w:color w:val="auto"/>
                <w:sz w:val="22"/>
                <w:szCs w:val="22"/>
                <w:u w:val="none"/>
                <w:lang w:val="en-US" w:eastAsia="zh-CN"/>
              </w:rPr>
              <w:t>台</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F56BE">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564BD">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1D9B4">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是（包含主机、显示器）</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096CB">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是</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3975B">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D0352">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r>
    </w:tbl>
    <w:p w14:paraId="3BA7308F">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注：</w:t>
      </w:r>
    </w:p>
    <w:p w14:paraId="02321B79">
      <w:pPr>
        <w:keepNext w:val="0"/>
        <w:keepLines w:val="0"/>
        <w:pageBreakBefore w:val="0"/>
        <w:widowControl/>
        <w:numPr>
          <w:ilvl w:val="0"/>
          <w:numId w:val="15"/>
        </w:numPr>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以上表格中</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是否为核心产品</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属于政府强制采购节能产品</w:t>
      </w:r>
      <w:r>
        <w:rPr>
          <w:rFonts w:hint="eastAsia" w:ascii="宋体" w:hAnsi="宋体" w:cs="宋体"/>
          <w:i w:val="0"/>
          <w:iCs w:val="0"/>
          <w:color w:val="000000"/>
          <w:kern w:val="0"/>
          <w:sz w:val="22"/>
          <w:szCs w:val="22"/>
          <w:u w:val="none"/>
          <w:lang w:val="en-US" w:eastAsia="zh-CN" w:bidi="ar"/>
        </w:rPr>
        <w:t>...”项空格即为“否”。</w:t>
      </w:r>
    </w:p>
    <w:p w14:paraId="0A03C5EB">
      <w:pPr>
        <w:keepNext w:val="0"/>
        <w:keepLines w:val="0"/>
        <w:pageBreakBefore w:val="0"/>
        <w:widowControl/>
        <w:numPr>
          <w:ilvl w:val="0"/>
          <w:numId w:val="15"/>
        </w:numPr>
        <w:suppressLineNumbers w:val="0"/>
        <w:kinsoku/>
        <w:wordWrap/>
        <w:overflowPunct/>
        <w:topLinePunct w:val="0"/>
        <w:autoSpaceDE/>
        <w:autoSpaceDN/>
        <w:bidi w:val="0"/>
        <w:adjustRightInd/>
        <w:snapToGrid/>
        <w:spacing w:line="440" w:lineRule="exact"/>
        <w:jc w:val="left"/>
        <w:textAlignment w:val="center"/>
        <w:rPr>
          <w:rFonts w:hint="default" w:ascii="宋体" w:hAnsi="宋体" w:cs="宋体"/>
          <w:b/>
          <w:bCs/>
          <w:i w:val="0"/>
          <w:iCs w:val="0"/>
          <w:color w:val="000000"/>
          <w:kern w:val="0"/>
          <w:sz w:val="22"/>
          <w:szCs w:val="22"/>
          <w:u w:val="none"/>
          <w:lang w:val="en-US" w:eastAsia="zh-CN" w:bidi="ar"/>
        </w:rPr>
      </w:pPr>
      <w:r>
        <w:rPr>
          <w:rFonts w:hint="eastAsia" w:ascii="宋体" w:hAnsi="宋体" w:cs="宋体"/>
          <w:b/>
          <w:bCs/>
          <w:i w:val="0"/>
          <w:iCs w:val="0"/>
          <w:color w:val="000000"/>
          <w:kern w:val="0"/>
          <w:sz w:val="22"/>
          <w:szCs w:val="22"/>
          <w:u w:val="none"/>
          <w:lang w:val="en-US" w:eastAsia="zh-CN" w:bidi="ar"/>
        </w:rPr>
        <w:t>以上表格中</w:t>
      </w:r>
      <w:r>
        <w:rPr>
          <w:rFonts w:hint="eastAsia" w:ascii="宋体" w:hAnsi="宋体" w:eastAsia="宋体" w:cs="宋体"/>
          <w:b/>
          <w:bCs/>
          <w:i w:val="0"/>
          <w:iCs w:val="0"/>
          <w:color w:val="000000"/>
          <w:kern w:val="0"/>
          <w:sz w:val="22"/>
          <w:szCs w:val="22"/>
          <w:u w:val="none"/>
          <w:lang w:val="en-US" w:eastAsia="zh-CN" w:bidi="ar"/>
        </w:rPr>
        <w:t>属于政府强制采购节能产品</w:t>
      </w:r>
      <w:r>
        <w:rPr>
          <w:rFonts w:hint="eastAsia" w:ascii="宋体" w:hAnsi="宋体" w:cs="宋体"/>
          <w:b/>
          <w:bCs/>
          <w:i w:val="0"/>
          <w:iCs w:val="0"/>
          <w:color w:val="000000"/>
          <w:kern w:val="0"/>
          <w:sz w:val="22"/>
          <w:szCs w:val="22"/>
          <w:u w:val="none"/>
          <w:lang w:val="en-US" w:eastAsia="zh-CN" w:bidi="ar"/>
        </w:rPr>
        <w:t>显示“</w:t>
      </w:r>
      <w:r>
        <w:rPr>
          <w:rFonts w:hint="eastAsia" w:ascii="宋体" w:hAnsi="宋体" w:cs="宋体"/>
          <w:b/>
          <w:bCs/>
          <w:i w:val="0"/>
          <w:iCs w:val="0"/>
          <w:color w:val="auto"/>
          <w:kern w:val="0"/>
          <w:sz w:val="22"/>
          <w:szCs w:val="22"/>
          <w:u w:val="none"/>
          <w:lang w:val="en-US" w:eastAsia="zh-CN" w:bidi="ar"/>
        </w:rPr>
        <w:t>包含主机、显示器</w:t>
      </w:r>
      <w:r>
        <w:rPr>
          <w:rFonts w:hint="eastAsia" w:ascii="宋体" w:hAnsi="宋体" w:cs="宋体"/>
          <w:b/>
          <w:bCs/>
          <w:i w:val="0"/>
          <w:iCs w:val="0"/>
          <w:color w:val="000000"/>
          <w:kern w:val="0"/>
          <w:sz w:val="22"/>
          <w:szCs w:val="22"/>
          <w:u w:val="none"/>
          <w:lang w:val="en-US" w:eastAsia="zh-CN" w:bidi="ar"/>
        </w:rPr>
        <w:t>”的，主机、显示器均必须按要求分别提供相关证书复印件。</w:t>
      </w:r>
    </w:p>
    <w:p w14:paraId="0C85CB4F">
      <w:pPr>
        <w:keepNext w:val="0"/>
        <w:keepLines w:val="0"/>
        <w:pageBreakBefore w:val="0"/>
        <w:widowControl/>
        <w:numPr>
          <w:ilvl w:val="0"/>
          <w:numId w:val="15"/>
        </w:numPr>
        <w:suppressLineNumbers w:val="0"/>
        <w:kinsoku/>
        <w:wordWrap/>
        <w:overflowPunct/>
        <w:topLinePunct w:val="0"/>
        <w:autoSpaceDE/>
        <w:autoSpaceDN/>
        <w:bidi w:val="0"/>
        <w:adjustRightInd/>
        <w:snapToGrid/>
        <w:spacing w:line="440" w:lineRule="exact"/>
        <w:jc w:val="left"/>
        <w:textAlignment w:val="center"/>
        <w:rPr>
          <w:rFonts w:hint="default" w:ascii="宋体" w:hAnsi="宋体" w:cs="宋体"/>
          <w:b/>
          <w:bCs/>
          <w:i w:val="0"/>
          <w:iCs w:val="0"/>
          <w:color w:val="000000"/>
          <w:kern w:val="0"/>
          <w:sz w:val="22"/>
          <w:szCs w:val="22"/>
          <w:u w:val="none"/>
          <w:lang w:val="en-US" w:eastAsia="zh-CN" w:bidi="ar"/>
        </w:rPr>
      </w:pPr>
      <w:r>
        <w:rPr>
          <w:rFonts w:hint="eastAsia" w:ascii="宋体" w:hAnsi="宋体" w:cs="宋体"/>
          <w:b/>
          <w:bCs/>
          <w:i w:val="0"/>
          <w:iCs w:val="0"/>
          <w:color w:val="000000"/>
          <w:kern w:val="0"/>
          <w:sz w:val="22"/>
          <w:szCs w:val="22"/>
          <w:u w:val="none"/>
          <w:lang w:val="en-US" w:eastAsia="zh-CN" w:bidi="ar"/>
        </w:rPr>
        <w:t>以上表格中显示“</w:t>
      </w:r>
      <w:r>
        <w:rPr>
          <w:rFonts w:hint="eastAsia" w:ascii="宋体" w:hAnsi="宋体" w:eastAsia="宋体" w:cs="宋体"/>
          <w:b/>
          <w:bCs/>
          <w:i w:val="0"/>
          <w:iCs w:val="0"/>
          <w:color w:val="auto"/>
          <w:kern w:val="0"/>
          <w:sz w:val="22"/>
          <w:szCs w:val="22"/>
          <w:u w:val="none"/>
          <w:lang w:val="en-US" w:eastAsia="zh-CN" w:bidi="ar"/>
        </w:rPr>
        <w:t>可能涉及</w:t>
      </w:r>
      <w:r>
        <w:rPr>
          <w:rFonts w:hint="eastAsia" w:ascii="宋体" w:hAnsi="宋体" w:cs="宋体"/>
          <w:b/>
          <w:bCs/>
          <w:i w:val="0"/>
          <w:iCs w:val="0"/>
          <w:color w:val="000000"/>
          <w:kern w:val="0"/>
          <w:sz w:val="22"/>
          <w:szCs w:val="22"/>
          <w:u w:val="none"/>
          <w:lang w:val="en-US" w:eastAsia="zh-CN" w:bidi="ar"/>
        </w:rPr>
        <w:t>”的，根据投标人所投产品而定。所投产品若属于</w:t>
      </w:r>
      <w:r>
        <w:rPr>
          <w:rFonts w:hint="eastAsia" w:ascii="宋体" w:hAnsi="宋体" w:cs="宋体"/>
          <w:b/>
          <w:bCs/>
          <w:color w:val="auto"/>
          <w:kern w:val="0"/>
          <w:sz w:val="22"/>
          <w:szCs w:val="22"/>
          <w:highlight w:val="none"/>
        </w:rPr>
        <w:t>政府强制采购节能产品</w:t>
      </w:r>
      <w:r>
        <w:rPr>
          <w:rFonts w:hint="eastAsia" w:ascii="宋体" w:hAnsi="宋体" w:cs="宋体"/>
          <w:b/>
          <w:bCs/>
          <w:color w:val="auto"/>
          <w:kern w:val="0"/>
          <w:sz w:val="22"/>
          <w:szCs w:val="22"/>
          <w:highlight w:val="none"/>
          <w:lang w:eastAsia="zh-CN"/>
        </w:rPr>
        <w:t>（</w:t>
      </w:r>
      <w:r>
        <w:rPr>
          <w:rFonts w:hint="eastAsia" w:ascii="宋体" w:hAnsi="宋体" w:cs="宋体"/>
          <w:b/>
          <w:bCs/>
          <w:color w:val="auto"/>
          <w:kern w:val="0"/>
          <w:sz w:val="22"/>
          <w:szCs w:val="22"/>
          <w:highlight w:val="none"/>
          <w:lang w:val="en-US" w:eastAsia="zh-CN"/>
        </w:rPr>
        <w:t>品目清单详见第二章 附件5</w:t>
      </w:r>
      <w:r>
        <w:rPr>
          <w:rFonts w:hint="eastAsia" w:ascii="宋体" w:hAnsi="宋体" w:cs="宋体"/>
          <w:b/>
          <w:bCs/>
          <w:color w:val="auto"/>
          <w:kern w:val="0"/>
          <w:sz w:val="22"/>
          <w:szCs w:val="22"/>
          <w:highlight w:val="none"/>
          <w:lang w:eastAsia="zh-CN"/>
        </w:rPr>
        <w:t>）</w:t>
      </w:r>
      <w:r>
        <w:rPr>
          <w:rFonts w:hint="eastAsia" w:ascii="宋体" w:hAnsi="宋体" w:cs="宋体"/>
          <w:b/>
          <w:bCs/>
          <w:color w:val="auto"/>
          <w:kern w:val="0"/>
          <w:sz w:val="22"/>
          <w:szCs w:val="22"/>
          <w:highlight w:val="none"/>
        </w:rPr>
        <w:t>的</w:t>
      </w:r>
      <w:r>
        <w:rPr>
          <w:rFonts w:hint="eastAsia" w:ascii="宋体" w:hAnsi="宋体" w:cs="宋体"/>
          <w:b/>
          <w:bCs/>
          <w:color w:val="auto"/>
          <w:kern w:val="0"/>
          <w:sz w:val="22"/>
          <w:szCs w:val="22"/>
          <w:highlight w:val="none"/>
          <w:lang w:eastAsia="zh-CN"/>
        </w:rPr>
        <w:t>，</w:t>
      </w:r>
      <w:r>
        <w:rPr>
          <w:rFonts w:hint="eastAsia" w:ascii="宋体" w:hAnsi="宋体" w:cs="宋体"/>
          <w:b/>
          <w:bCs/>
          <w:color w:val="auto"/>
          <w:kern w:val="0"/>
          <w:sz w:val="22"/>
          <w:szCs w:val="22"/>
          <w:highlight w:val="none"/>
          <w:lang w:val="en-US" w:eastAsia="zh-CN"/>
        </w:rPr>
        <w:t>必须按投标人须知前附表要求提供相关证书复印件；若不属于，则无需提供。</w:t>
      </w:r>
    </w:p>
    <w:p w14:paraId="099781D5">
      <w:pPr>
        <w:rPr>
          <w:rFonts w:hint="eastAsia" w:ascii="Times New Roman" w:hAnsi="Times New Roman" w:eastAsia="宋体" w:cs="Times New Roman"/>
          <w:b/>
          <w:sz w:val="24"/>
          <w:szCs w:val="24"/>
          <w:lang w:val="en-US" w:eastAsia="zh-CN"/>
        </w:rPr>
        <w:sectPr>
          <w:headerReference r:id="rId13" w:type="first"/>
          <w:footerReference r:id="rId15" w:type="first"/>
          <w:footerReference r:id="rId14" w:type="default"/>
          <w:pgSz w:w="16838" w:h="11922" w:orient="landscape"/>
          <w:pgMar w:top="1417" w:right="1417" w:bottom="1417" w:left="1417" w:header="624" w:footer="624" w:gutter="283"/>
          <w:pgBorders>
            <w:top w:val="none" w:sz="0" w:space="0"/>
            <w:left w:val="none" w:sz="0" w:space="0"/>
            <w:bottom w:val="none" w:sz="0" w:space="0"/>
            <w:right w:val="none" w:sz="0" w:space="0"/>
          </w:pgBorders>
          <w:pgNumType w:fmt="decimal"/>
          <w:cols w:space="0" w:num="1"/>
          <w:titlePg/>
          <w:rtlGutter w:val="0"/>
          <w:docGrid w:linePitch="306" w:charSpace="0"/>
        </w:sectPr>
      </w:pPr>
      <w:r>
        <w:rPr>
          <w:rFonts w:hint="eastAsia" w:ascii="Times New Roman" w:hAnsi="Times New Roman" w:eastAsia="宋体" w:cs="Times New Roman"/>
          <w:b/>
          <w:sz w:val="24"/>
          <w:szCs w:val="24"/>
          <w:lang w:val="en-US" w:eastAsia="zh-CN"/>
        </w:rPr>
        <w:br w:type="page"/>
      </w:r>
    </w:p>
    <w:p w14:paraId="09131C7B">
      <w:pPr>
        <w:spacing w:before="312" w:beforeLines="100" w:after="312" w:afterLines="100" w:line="360" w:lineRule="auto"/>
        <w:jc w:val="center"/>
        <w:outlineLvl w:val="1"/>
        <w:rPr>
          <w:rFonts w:hint="eastAsia" w:ascii="Times New Roman" w:hAnsi="Times New Roman" w:eastAsia="宋体" w:cs="Times New Roman"/>
          <w:b/>
          <w:sz w:val="24"/>
          <w:szCs w:val="24"/>
          <w:lang w:val="en-US" w:eastAsia="zh-CN"/>
        </w:rPr>
      </w:pPr>
      <w:bookmarkStart w:id="242" w:name="_Toc1444"/>
      <w:bookmarkStart w:id="243" w:name="_Toc277098562"/>
      <w:r>
        <w:rPr>
          <w:rFonts w:hint="eastAsia" w:ascii="Times New Roman" w:hAnsi="Times New Roman" w:eastAsia="宋体" w:cs="Times New Roman"/>
          <w:b/>
          <w:sz w:val="24"/>
          <w:szCs w:val="24"/>
          <w:lang w:val="en-US" w:eastAsia="zh-CN"/>
        </w:rPr>
        <w:t>（一）技术要求</w:t>
      </w:r>
      <w:bookmarkEnd w:id="242"/>
      <w:bookmarkEnd w:id="243"/>
    </w:p>
    <w:p w14:paraId="3A50FE1C">
      <w:pPr>
        <w:spacing w:before="312" w:beforeLines="100" w:after="312" w:afterLines="100" w:line="360" w:lineRule="auto"/>
        <w:outlineLvl w:val="1"/>
        <w:rPr>
          <w:rFonts w:hint="eastAsia" w:cs="Times New Roman"/>
          <w:b/>
          <w:sz w:val="24"/>
          <w:szCs w:val="24"/>
          <w:lang w:val="en-US" w:eastAsia="zh-CN"/>
        </w:rPr>
      </w:pPr>
      <w:bookmarkStart w:id="244" w:name="_Toc2025360581"/>
      <w:bookmarkStart w:id="245" w:name="_Toc18422"/>
      <w:r>
        <w:rPr>
          <w:rFonts w:hint="eastAsia" w:cs="Times New Roman"/>
          <w:b/>
          <w:sz w:val="24"/>
          <w:szCs w:val="24"/>
          <w:lang w:val="en-US" w:eastAsia="zh-CN"/>
        </w:rPr>
        <w:t>包2</w:t>
      </w:r>
      <w:r>
        <w:rPr>
          <w:rFonts w:hint="eastAsia" w:ascii="Times New Roman" w:hAnsi="Times New Roman" w:eastAsia="宋体" w:cs="Times New Roman"/>
          <w:b/>
          <w:sz w:val="24"/>
          <w:szCs w:val="24"/>
          <w:lang w:val="en-US" w:eastAsia="zh-CN"/>
        </w:rPr>
        <w:t>：</w:t>
      </w:r>
      <w:r>
        <w:rPr>
          <w:rFonts w:hint="eastAsia" w:cs="Times New Roman"/>
          <w:b/>
          <w:sz w:val="24"/>
          <w:szCs w:val="24"/>
          <w:lang w:val="en-US" w:eastAsia="zh-CN"/>
        </w:rPr>
        <w:t>私有云平台、数据采集和终端</w:t>
      </w:r>
      <w:bookmarkEnd w:id="244"/>
      <w:bookmarkEnd w:id="245"/>
    </w:p>
    <w:p w14:paraId="1531F942">
      <w:pPr>
        <w:numPr>
          <w:ilvl w:val="0"/>
          <w:numId w:val="16"/>
        </w:numPr>
        <w:spacing w:before="312" w:beforeLines="100" w:after="312" w:afterLines="100" w:line="360" w:lineRule="auto"/>
        <w:ind w:left="0" w:leftChars="0" w:firstLine="482" w:firstLineChars="200"/>
        <w:outlineLvl w:val="2"/>
        <w:rPr>
          <w:rFonts w:hint="default" w:ascii="Times New Roman" w:hAnsi="Times New Roman" w:eastAsia="宋体" w:cs="Times New Roman"/>
          <w:b/>
          <w:color w:val="auto"/>
          <w:sz w:val="24"/>
          <w:szCs w:val="24"/>
        </w:rPr>
      </w:pPr>
      <w:bookmarkStart w:id="246" w:name="_Toc471996270"/>
      <w:r>
        <w:rPr>
          <w:rFonts w:hint="default" w:cs="Times New Roman"/>
          <w:b/>
          <w:color w:val="auto"/>
          <w:sz w:val="24"/>
          <w:szCs w:val="24"/>
          <w:lang w:val="en-US" w:eastAsia="zh-CN"/>
        </w:rPr>
        <w:t>私有云平台（搭建大数据平台和数字孪生应用系统）</w:t>
      </w:r>
      <w:bookmarkEnd w:id="246"/>
    </w:p>
    <w:p w14:paraId="58AD2CDA">
      <w:pPr>
        <w:keepNext/>
        <w:keepLines/>
        <w:numPr>
          <w:ilvl w:val="0"/>
          <w:numId w:val="17"/>
        </w:numPr>
        <w:spacing w:line="360" w:lineRule="auto"/>
        <w:ind w:left="0" w:firstLine="0"/>
        <w:outlineLvl w:val="4"/>
        <w:rPr>
          <w:rFonts w:hint="default" w:ascii="Times New Roman" w:hAnsi="Times New Roman" w:eastAsia="宋体" w:cs="Times New Roman"/>
          <w:color w:val="auto"/>
          <w:sz w:val="24"/>
          <w:szCs w:val="24"/>
          <w:lang w:val="en-US" w:eastAsia="zh-CN"/>
        </w:rPr>
      </w:pPr>
      <w:r>
        <w:rPr>
          <w:rFonts w:hint="default"/>
          <w:color w:val="auto"/>
          <w:sz w:val="24"/>
          <w:szCs w:val="24"/>
        </w:rPr>
        <w:t>主机服务器（4台）</w:t>
      </w:r>
    </w:p>
    <w:tbl>
      <w:tblPr>
        <w:tblStyle w:val="38"/>
        <w:tblW w:w="90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45"/>
        <w:gridCol w:w="615"/>
        <w:gridCol w:w="1005"/>
        <w:gridCol w:w="5910"/>
        <w:gridCol w:w="896"/>
      </w:tblGrid>
      <w:tr w14:paraId="5F14C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5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42DC642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序号</w:t>
            </w:r>
          </w:p>
        </w:tc>
        <w:tc>
          <w:tcPr>
            <w:tcW w:w="61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481F8E2E">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重要性</w:t>
            </w:r>
          </w:p>
        </w:tc>
        <w:tc>
          <w:tcPr>
            <w:tcW w:w="100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0C8E5B3E">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指标项</w:t>
            </w:r>
          </w:p>
        </w:tc>
        <w:tc>
          <w:tcPr>
            <w:tcW w:w="5910"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528C315C">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指标要求</w:t>
            </w:r>
          </w:p>
        </w:tc>
        <w:tc>
          <w:tcPr>
            <w:tcW w:w="896"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3725A8FC">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color w:val="auto"/>
                <w:sz w:val="24"/>
                <w:szCs w:val="24"/>
                <w:lang w:val="en-US" w:eastAsia="zh-CN"/>
              </w:rPr>
              <w:t>是否需要提供证明材料</w:t>
            </w:r>
          </w:p>
        </w:tc>
      </w:tr>
      <w:tr w14:paraId="28967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6"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B19CE">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kern w:val="0"/>
                <w:sz w:val="24"/>
                <w:szCs w:val="24"/>
                <w:u w:val="none"/>
                <w:lang w:val="en-US" w:eastAsia="zh-CN" w:bidi="ar"/>
              </w:rPr>
              <w:t>1</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3565D">
            <w:pPr>
              <w:keepNext w:val="0"/>
              <w:keepLines w:val="0"/>
              <w:widowControl/>
              <w:suppressLineNumbers w:val="0"/>
              <w:jc w:val="center"/>
              <w:textAlignment w:val="center"/>
              <w:rPr>
                <w:rFonts w:hint="default" w:ascii="Times New Roman" w:hAnsi="Times New Roman" w:eastAsia="Segoe UI Symbol"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w:t>
            </w: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74271A">
            <w:pPr>
              <w:jc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处理器</w:t>
            </w:r>
          </w:p>
        </w:tc>
        <w:tc>
          <w:tcPr>
            <w:tcW w:w="5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FE8DF">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lang w:eastAsia="zh-CN"/>
              </w:rPr>
            </w:pPr>
            <w:r>
              <w:rPr>
                <w:rFonts w:hint="default" w:ascii="Times New Roman" w:hAnsi="Times New Roman" w:eastAsia="宋体" w:cs="Times New Roman"/>
                <w:i w:val="0"/>
                <w:iCs w:val="0"/>
                <w:color w:val="auto"/>
                <w:sz w:val="24"/>
                <w:szCs w:val="24"/>
                <w:u w:val="none"/>
              </w:rPr>
              <w:t>每台包含2个性能不低于6248R（≥3.0GHz/24-core）CPU</w:t>
            </w:r>
            <w:r>
              <w:rPr>
                <w:rFonts w:hint="default" w:ascii="Times New Roman" w:hAnsi="Times New Roman" w:cs="Times New Roman"/>
                <w:i w:val="0"/>
                <w:iCs w:val="0"/>
                <w:color w:val="auto"/>
                <w:sz w:val="24"/>
                <w:szCs w:val="24"/>
                <w:u w:val="none"/>
                <w:lang w:eastAsia="zh-CN"/>
              </w:rPr>
              <w:t>）</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63DAB">
            <w:pPr>
              <w:jc w:val="center"/>
              <w:rPr>
                <w:rFonts w:hint="default" w:ascii="Times New Roman" w:hAnsi="Times New Roman" w:eastAsia="宋体"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否</w:t>
            </w:r>
          </w:p>
        </w:tc>
      </w:tr>
      <w:tr w14:paraId="2BBA9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18F62">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77519">
            <w:pPr>
              <w:keepNext w:val="0"/>
              <w:keepLines w:val="0"/>
              <w:widowControl/>
              <w:suppressLineNumbers w:val="0"/>
              <w:jc w:val="center"/>
              <w:textAlignment w:val="center"/>
              <w:rPr>
                <w:rFonts w:hint="default" w:ascii="Times New Roman" w:hAnsi="Times New Roman" w:eastAsia="Segoe UI Symbol"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 xml:space="preserve">#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8216CD">
            <w:pPr>
              <w:jc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内存</w:t>
            </w:r>
          </w:p>
        </w:tc>
        <w:tc>
          <w:tcPr>
            <w:tcW w:w="5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B367C">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每台包含1个≥256G（≥8*32GB DDR4 3200MHz）内存；</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E2C82">
            <w:pPr>
              <w:jc w:val="center"/>
              <w:rPr>
                <w:rFonts w:hint="default" w:ascii="Times New Roman" w:hAnsi="Times New Roman" w:eastAsia="宋体" w:cs="Times New Roman"/>
                <w:i w:val="0"/>
                <w:iCs w:val="0"/>
                <w:color w:val="auto"/>
                <w:sz w:val="24"/>
                <w:szCs w:val="24"/>
                <w:u w:val="none"/>
              </w:rPr>
            </w:pPr>
            <w:r>
              <w:rPr>
                <w:rFonts w:hint="default" w:cs="Times New Roman"/>
                <w:i w:val="0"/>
                <w:iCs w:val="0"/>
                <w:color w:val="auto"/>
                <w:sz w:val="24"/>
                <w:szCs w:val="24"/>
                <w:u w:val="none"/>
                <w:lang w:val="en-US" w:eastAsia="zh-CN"/>
              </w:rPr>
              <w:t>否</w:t>
            </w:r>
          </w:p>
        </w:tc>
      </w:tr>
      <w:tr w14:paraId="32BED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42831">
            <w:pPr>
              <w:keepNext w:val="0"/>
              <w:keepLines w:val="0"/>
              <w:widowControl/>
              <w:suppressLineNumbers w:val="0"/>
              <w:jc w:val="center"/>
              <w:textAlignment w:val="center"/>
              <w:rPr>
                <w:rFonts w:hint="eastAsia" w:ascii="Times New Roman" w:hAnsi="Times New Roman" w:eastAsia="宋体" w:cs="Times New Roman"/>
                <w:i w:val="0"/>
                <w:iCs w:val="0"/>
                <w:color w:val="auto"/>
                <w:sz w:val="24"/>
                <w:szCs w:val="24"/>
                <w:u w:val="none"/>
                <w:lang w:val="en-US" w:eastAsia="zh-CN"/>
              </w:rPr>
            </w:pPr>
            <w:r>
              <w:rPr>
                <w:rFonts w:hint="eastAsia" w:cs="Times New Roman"/>
                <w:i w:val="0"/>
                <w:iCs w:val="0"/>
                <w:color w:val="auto"/>
                <w:sz w:val="24"/>
                <w:szCs w:val="24"/>
                <w:u w:val="none"/>
                <w:lang w:val="en-US" w:eastAsia="zh-CN"/>
              </w:rPr>
              <w:t>3</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5EBD0">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 xml:space="preserve">#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C3D0D8">
            <w:pPr>
              <w:jc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硬盘</w:t>
            </w:r>
          </w:p>
        </w:tc>
        <w:tc>
          <w:tcPr>
            <w:tcW w:w="5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77BF9">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每台包含≥2*480GB SATA SSD；</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FA58B">
            <w:pPr>
              <w:jc w:val="center"/>
              <w:rPr>
                <w:rFonts w:hint="default" w:ascii="Times New Roman" w:hAnsi="Times New Roman" w:eastAsia="宋体" w:cs="Times New Roman"/>
                <w:i w:val="0"/>
                <w:iCs w:val="0"/>
                <w:color w:val="auto"/>
                <w:sz w:val="24"/>
                <w:szCs w:val="24"/>
                <w:u w:val="none"/>
              </w:rPr>
            </w:pPr>
            <w:r>
              <w:rPr>
                <w:rFonts w:hint="default" w:cs="Times New Roman"/>
                <w:i w:val="0"/>
                <w:iCs w:val="0"/>
                <w:color w:val="auto"/>
                <w:sz w:val="24"/>
                <w:szCs w:val="24"/>
                <w:u w:val="none"/>
                <w:lang w:val="en-US" w:eastAsia="zh-CN"/>
              </w:rPr>
              <w:t>否</w:t>
            </w:r>
          </w:p>
        </w:tc>
      </w:tr>
      <w:tr w14:paraId="1002A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773EE">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4</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41397">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w:t>
            </w: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C7F37E">
            <w:pPr>
              <w:jc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RAID卡</w:t>
            </w:r>
          </w:p>
        </w:tc>
        <w:tc>
          <w:tcPr>
            <w:tcW w:w="5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CCE53">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每台包含1张独立RAID卡，支持RAID0/1/10；</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498E9">
            <w:pPr>
              <w:jc w:val="center"/>
              <w:rPr>
                <w:rFonts w:hint="default" w:ascii="Times New Roman" w:hAnsi="Times New Roman" w:eastAsia="宋体" w:cs="Times New Roman"/>
                <w:i w:val="0"/>
                <w:iCs w:val="0"/>
                <w:color w:val="auto"/>
                <w:sz w:val="24"/>
                <w:szCs w:val="24"/>
                <w:u w:val="none"/>
              </w:rPr>
            </w:pPr>
            <w:r>
              <w:rPr>
                <w:rFonts w:hint="default" w:cs="Times New Roman"/>
                <w:i w:val="0"/>
                <w:iCs w:val="0"/>
                <w:color w:val="auto"/>
                <w:sz w:val="24"/>
                <w:szCs w:val="24"/>
                <w:u w:val="none"/>
                <w:lang w:val="en-US" w:eastAsia="zh-CN"/>
              </w:rPr>
              <w:t>否</w:t>
            </w:r>
          </w:p>
        </w:tc>
      </w:tr>
      <w:tr w14:paraId="401E2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B0158">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5</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6DA77">
            <w:pPr>
              <w:keepNext w:val="0"/>
              <w:keepLines w:val="0"/>
              <w:widowControl/>
              <w:suppressLineNumbers w:val="0"/>
              <w:jc w:val="center"/>
              <w:textAlignment w:val="center"/>
              <w:rPr>
                <w:rFonts w:hint="eastAsia" w:ascii="Times New Roman" w:hAnsi="Times New Roman" w:eastAsia="宋体" w:cs="Times New Roman"/>
                <w:i w:val="0"/>
                <w:iCs w:val="0"/>
                <w:color w:val="auto"/>
                <w:sz w:val="24"/>
                <w:szCs w:val="24"/>
                <w:u w:val="none"/>
                <w:lang w:val="en-US" w:eastAsia="zh-CN"/>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6CB479">
            <w:pPr>
              <w:jc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网卡</w:t>
            </w:r>
          </w:p>
        </w:tc>
        <w:tc>
          <w:tcPr>
            <w:tcW w:w="5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98060">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每台包含1块≥2口千兆以太网卡；</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251FB">
            <w:pPr>
              <w:jc w:val="center"/>
              <w:rPr>
                <w:rFonts w:hint="default" w:ascii="Times New Roman" w:hAnsi="Times New Roman" w:eastAsia="宋体" w:cs="Times New Roman"/>
                <w:i w:val="0"/>
                <w:iCs w:val="0"/>
                <w:color w:val="auto"/>
                <w:sz w:val="24"/>
                <w:szCs w:val="24"/>
                <w:u w:val="none"/>
              </w:rPr>
            </w:pPr>
            <w:r>
              <w:rPr>
                <w:rFonts w:hint="default" w:cs="Times New Roman"/>
                <w:i w:val="0"/>
                <w:iCs w:val="0"/>
                <w:color w:val="auto"/>
                <w:sz w:val="24"/>
                <w:szCs w:val="24"/>
                <w:u w:val="none"/>
                <w:lang w:val="en-US" w:eastAsia="zh-CN"/>
              </w:rPr>
              <w:t>否</w:t>
            </w:r>
          </w:p>
        </w:tc>
      </w:tr>
      <w:tr w14:paraId="7670F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5A7D4">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6</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92CAF">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A2F6D9">
            <w:pPr>
              <w:jc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光口</w:t>
            </w:r>
          </w:p>
        </w:tc>
        <w:tc>
          <w:tcPr>
            <w:tcW w:w="5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5CE32">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每台包含≥2个10GE光口（含光模块）；</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6D291">
            <w:pPr>
              <w:jc w:val="center"/>
              <w:rPr>
                <w:rFonts w:hint="default" w:ascii="Times New Roman" w:hAnsi="Times New Roman" w:eastAsia="宋体" w:cs="Times New Roman"/>
                <w:i w:val="0"/>
                <w:iCs w:val="0"/>
                <w:color w:val="auto"/>
                <w:sz w:val="24"/>
                <w:szCs w:val="24"/>
                <w:u w:val="none"/>
              </w:rPr>
            </w:pPr>
            <w:r>
              <w:rPr>
                <w:rFonts w:hint="default" w:cs="Times New Roman"/>
                <w:i w:val="0"/>
                <w:iCs w:val="0"/>
                <w:color w:val="auto"/>
                <w:sz w:val="24"/>
                <w:szCs w:val="24"/>
                <w:u w:val="none"/>
                <w:lang w:val="en-US" w:eastAsia="zh-CN"/>
              </w:rPr>
              <w:t>否</w:t>
            </w:r>
          </w:p>
        </w:tc>
      </w:tr>
      <w:tr w14:paraId="5C261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27DE">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7</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40932">
            <w:pPr>
              <w:keepNext w:val="0"/>
              <w:keepLines w:val="0"/>
              <w:widowControl/>
              <w:suppressLineNumbers w:val="0"/>
              <w:jc w:val="center"/>
              <w:textAlignment w:val="center"/>
              <w:rPr>
                <w:rFonts w:hint="default" w:ascii="Times New Roman" w:hAnsi="Times New Roman" w:eastAsia="Segoe UI Symbol" w:cs="Times New Roman"/>
                <w:i w:val="0"/>
                <w:iCs w:val="0"/>
                <w:color w:val="auto"/>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E1BCAE">
            <w:pPr>
              <w:jc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HBA卡</w:t>
            </w:r>
          </w:p>
        </w:tc>
        <w:tc>
          <w:tcPr>
            <w:tcW w:w="5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EB5B2">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每台包含1块≥16GB双口HBA卡；</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356AC">
            <w:pPr>
              <w:jc w:val="center"/>
              <w:rPr>
                <w:rFonts w:hint="default" w:ascii="Times New Roman" w:hAnsi="Times New Roman" w:eastAsia="宋体" w:cs="Times New Roman"/>
                <w:i w:val="0"/>
                <w:iCs w:val="0"/>
                <w:color w:val="auto"/>
                <w:sz w:val="24"/>
                <w:szCs w:val="24"/>
                <w:u w:val="none"/>
              </w:rPr>
            </w:pPr>
            <w:r>
              <w:rPr>
                <w:rFonts w:hint="default" w:cs="Times New Roman"/>
                <w:i w:val="0"/>
                <w:iCs w:val="0"/>
                <w:color w:val="auto"/>
                <w:sz w:val="24"/>
                <w:szCs w:val="24"/>
                <w:u w:val="none"/>
                <w:lang w:val="en-US" w:eastAsia="zh-CN"/>
              </w:rPr>
              <w:t>否</w:t>
            </w:r>
          </w:p>
        </w:tc>
      </w:tr>
      <w:tr w14:paraId="3CB4A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EDF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auto"/>
                <w:kern w:val="0"/>
                <w:sz w:val="24"/>
                <w:szCs w:val="24"/>
                <w:u w:val="none"/>
                <w:lang w:val="en-US" w:eastAsia="zh-CN" w:bidi="ar"/>
              </w:rPr>
              <w:t>8</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0CB73">
            <w:pPr>
              <w:keepNext w:val="0"/>
              <w:keepLines w:val="0"/>
              <w:widowControl/>
              <w:suppressLineNumbers w:val="0"/>
              <w:jc w:val="center"/>
              <w:textAlignment w:val="center"/>
              <w:rPr>
                <w:rFonts w:hint="default" w:ascii="Times New Roman" w:hAnsi="Times New Roman" w:eastAsia="Segoe UI Symbol" w:cs="Times New Roman"/>
                <w:i w:val="0"/>
                <w:iCs w:val="0"/>
                <w:color w:val="auto"/>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DE67E9">
            <w:pPr>
              <w:jc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cs="Times New Roman"/>
                <w:i w:val="0"/>
                <w:iCs w:val="0"/>
                <w:color w:val="auto"/>
                <w:sz w:val="24"/>
                <w:szCs w:val="24"/>
                <w:u w:val="none"/>
                <w:lang w:val="en-US" w:eastAsia="zh-CN"/>
              </w:rPr>
              <w:t>电源</w:t>
            </w:r>
          </w:p>
        </w:tc>
        <w:tc>
          <w:tcPr>
            <w:tcW w:w="5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59B4D">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每台包含2个≥2000W冗余电源；</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38927">
            <w:pPr>
              <w:jc w:val="center"/>
              <w:rPr>
                <w:rFonts w:hint="default" w:ascii="Times New Roman" w:hAnsi="Times New Roman" w:eastAsia="宋体" w:cs="Times New Roman"/>
                <w:i w:val="0"/>
                <w:iCs w:val="0"/>
                <w:color w:val="auto"/>
                <w:sz w:val="24"/>
                <w:szCs w:val="24"/>
                <w:u w:val="none"/>
              </w:rPr>
            </w:pPr>
            <w:r>
              <w:rPr>
                <w:rFonts w:hint="default" w:cs="Times New Roman"/>
                <w:i w:val="0"/>
                <w:iCs w:val="0"/>
                <w:color w:val="auto"/>
                <w:sz w:val="24"/>
                <w:szCs w:val="24"/>
                <w:u w:val="none"/>
                <w:lang w:val="en-US" w:eastAsia="zh-CN"/>
              </w:rPr>
              <w:t>否</w:t>
            </w:r>
          </w:p>
        </w:tc>
      </w:tr>
      <w:tr w14:paraId="56914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29E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cs="Times New Roman"/>
                <w:i w:val="0"/>
                <w:iCs w:val="0"/>
                <w:color w:val="auto"/>
                <w:kern w:val="0"/>
                <w:sz w:val="24"/>
                <w:szCs w:val="24"/>
                <w:u w:val="none"/>
                <w:lang w:val="en-US" w:eastAsia="zh-CN" w:bidi="ar"/>
              </w:rPr>
              <w:t>9</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D7E9E">
            <w:pPr>
              <w:keepNext w:val="0"/>
              <w:keepLines w:val="0"/>
              <w:widowControl/>
              <w:suppressLineNumbers w:val="0"/>
              <w:jc w:val="center"/>
              <w:textAlignment w:val="center"/>
              <w:rPr>
                <w:rFonts w:hint="default" w:ascii="Times New Roman" w:hAnsi="Times New Roman" w:eastAsia="Segoe UI Symbol" w:cs="Times New Roman"/>
                <w:i w:val="0"/>
                <w:iCs w:val="0"/>
                <w:color w:val="auto"/>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7C68EF">
            <w:pPr>
              <w:jc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虚拟化套件</w:t>
            </w:r>
          </w:p>
        </w:tc>
        <w:tc>
          <w:tcPr>
            <w:tcW w:w="5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02EBD">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CPU+虚拟化套件标准版</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FA30E">
            <w:pPr>
              <w:jc w:val="center"/>
              <w:rPr>
                <w:rFonts w:hint="default" w:ascii="Times New Roman" w:hAnsi="Times New Roman" w:eastAsia="宋体" w:cs="Times New Roman"/>
                <w:i w:val="0"/>
                <w:iCs w:val="0"/>
                <w:color w:val="auto"/>
                <w:sz w:val="24"/>
                <w:szCs w:val="24"/>
                <w:u w:val="none"/>
              </w:rPr>
            </w:pPr>
            <w:r>
              <w:rPr>
                <w:rFonts w:hint="default" w:cs="Times New Roman"/>
                <w:i w:val="0"/>
                <w:iCs w:val="0"/>
                <w:color w:val="auto"/>
                <w:sz w:val="24"/>
                <w:szCs w:val="24"/>
                <w:u w:val="none"/>
                <w:lang w:val="en-US" w:eastAsia="zh-CN"/>
              </w:rPr>
              <w:t>否</w:t>
            </w:r>
          </w:p>
        </w:tc>
      </w:tr>
      <w:tr w14:paraId="507A1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BB0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cs="Times New Roman"/>
                <w:i w:val="0"/>
                <w:iCs w:val="0"/>
                <w:color w:val="auto"/>
                <w:kern w:val="0"/>
                <w:sz w:val="24"/>
                <w:szCs w:val="24"/>
                <w:u w:val="none"/>
                <w:lang w:val="en-US" w:eastAsia="zh-CN" w:bidi="ar"/>
              </w:rPr>
              <w:t>10</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AAC60">
            <w:pPr>
              <w:keepNext w:val="0"/>
              <w:keepLines w:val="0"/>
              <w:widowControl/>
              <w:suppressLineNumbers w:val="0"/>
              <w:jc w:val="center"/>
              <w:textAlignment w:val="center"/>
              <w:rPr>
                <w:rFonts w:hint="default" w:ascii="Times New Roman" w:hAnsi="Times New Roman" w:eastAsia="Segoe UI Symbol"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w:t>
            </w: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575071">
            <w:pPr>
              <w:jc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关系型数据库</w:t>
            </w:r>
          </w:p>
        </w:tc>
        <w:tc>
          <w:tcPr>
            <w:tcW w:w="5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5EEA6">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 xml:space="preserve">服务器已授权关系型数据库1套，拥有完全自主知识产权，至少兼容Oracle的DBA_*、ALL_*和USER_*开头的数据字典视图、系统包；至少兼容Oracle、Mysql、SQLServer、DB2、PostgreSQL的常用系统函数；支持至少25万用户在线并发访问，持续测试≥1小时，测试期间没有失败的请求，平均响应时间≤200ms。 </w:t>
            </w:r>
            <w:r>
              <w:rPr>
                <w:rFonts w:hint="default" w:ascii="Times New Roman" w:hAnsi="Times New Roman" w:cs="Times New Roman"/>
                <w:i w:val="0"/>
                <w:iCs w:val="0"/>
                <w:color w:val="auto"/>
                <w:sz w:val="24"/>
                <w:szCs w:val="24"/>
                <w:u w:val="none"/>
                <w:lang w:eastAsia="zh-CN"/>
              </w:rPr>
              <w:t>（</w:t>
            </w:r>
            <w:r>
              <w:rPr>
                <w:rFonts w:hint="default" w:ascii="Times New Roman" w:hAnsi="Times New Roman" w:cs="Times New Roman"/>
                <w:i w:val="0"/>
                <w:iCs w:val="0"/>
                <w:color w:val="auto"/>
                <w:sz w:val="24"/>
                <w:szCs w:val="24"/>
                <w:u w:val="none"/>
                <w:lang w:val="en-US" w:eastAsia="zh-CN"/>
              </w:rPr>
              <w:t>实际响应为准</w:t>
            </w:r>
            <w:r>
              <w:rPr>
                <w:rFonts w:hint="default" w:ascii="Times New Roman" w:hAnsi="Times New Roman" w:cs="Times New Roman"/>
                <w:i w:val="0"/>
                <w:iCs w:val="0"/>
                <w:color w:val="auto"/>
                <w:sz w:val="24"/>
                <w:szCs w:val="24"/>
                <w:u w:val="none"/>
                <w:lang w:eastAsia="zh-CN"/>
              </w:rPr>
              <w:t>）</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65E2E">
            <w:pPr>
              <w:jc w:val="center"/>
              <w:rPr>
                <w:rFonts w:hint="default" w:ascii="Times New Roman" w:hAnsi="Times New Roman" w:eastAsia="宋体" w:cs="Times New Roman"/>
                <w:i w:val="0"/>
                <w:iCs w:val="0"/>
                <w:color w:val="auto"/>
                <w:sz w:val="24"/>
                <w:szCs w:val="24"/>
                <w:u w:val="none"/>
              </w:rPr>
            </w:pPr>
            <w:r>
              <w:rPr>
                <w:rFonts w:hint="default" w:cs="Times New Roman"/>
                <w:i w:val="0"/>
                <w:iCs w:val="0"/>
                <w:color w:val="auto"/>
                <w:sz w:val="24"/>
                <w:szCs w:val="24"/>
                <w:u w:val="none"/>
                <w:lang w:val="en-US" w:eastAsia="zh-CN"/>
              </w:rPr>
              <w:t>否</w:t>
            </w:r>
          </w:p>
        </w:tc>
      </w:tr>
    </w:tbl>
    <w:p w14:paraId="78B12685">
      <w:pPr>
        <w:pStyle w:val="55"/>
        <w:rPr>
          <w:rFonts w:hint="default"/>
          <w:color w:val="auto"/>
          <w:sz w:val="24"/>
          <w:szCs w:val="24"/>
        </w:rPr>
      </w:pPr>
    </w:p>
    <w:p w14:paraId="582778C1">
      <w:pPr>
        <w:keepNext/>
        <w:keepLines/>
        <w:numPr>
          <w:ilvl w:val="0"/>
          <w:numId w:val="17"/>
        </w:numPr>
        <w:spacing w:line="360" w:lineRule="auto"/>
        <w:ind w:left="0" w:firstLine="0"/>
        <w:outlineLvl w:val="4"/>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iCs w:val="0"/>
          <w:color w:val="auto"/>
          <w:kern w:val="0"/>
          <w:sz w:val="24"/>
          <w:szCs w:val="24"/>
          <w:u w:val="none"/>
          <w:lang w:val="en-US" w:eastAsia="zh-CN" w:bidi="ar"/>
        </w:rPr>
        <w:t>存储节点（1台）</w:t>
      </w:r>
    </w:p>
    <w:tbl>
      <w:tblPr>
        <w:tblStyle w:val="38"/>
        <w:tblW w:w="90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0"/>
        <w:gridCol w:w="600"/>
        <w:gridCol w:w="1005"/>
        <w:gridCol w:w="5910"/>
        <w:gridCol w:w="896"/>
      </w:tblGrid>
      <w:tr w14:paraId="0A3EA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5760F992">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序号</w:t>
            </w:r>
          </w:p>
        </w:tc>
        <w:tc>
          <w:tcPr>
            <w:tcW w:w="600"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4A6FB5B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重要性</w:t>
            </w:r>
          </w:p>
        </w:tc>
        <w:tc>
          <w:tcPr>
            <w:tcW w:w="100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24C94E2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指标项</w:t>
            </w:r>
          </w:p>
        </w:tc>
        <w:tc>
          <w:tcPr>
            <w:tcW w:w="5910"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73601C8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指标要求</w:t>
            </w:r>
          </w:p>
        </w:tc>
        <w:tc>
          <w:tcPr>
            <w:tcW w:w="896" w:type="dxa"/>
            <w:tcBorders>
              <w:top w:val="single" w:color="000000" w:sz="4" w:space="0"/>
              <w:left w:val="single" w:color="000000" w:sz="4" w:space="0"/>
              <w:bottom w:val="single" w:color="auto" w:sz="4" w:space="0"/>
              <w:right w:val="single" w:color="000000" w:sz="4" w:space="0"/>
            </w:tcBorders>
            <w:shd w:val="clear" w:color="auto" w:fill="E7E6E6"/>
            <w:vAlign w:val="center"/>
          </w:tcPr>
          <w:p w14:paraId="1406FA2E">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sz w:val="24"/>
                <w:szCs w:val="24"/>
                <w:u w:val="none"/>
                <w:lang w:val="en-US" w:eastAsia="zh-CN"/>
              </w:rPr>
              <w:t>是否需要提供证明材料</w:t>
            </w:r>
          </w:p>
        </w:tc>
      </w:tr>
      <w:tr w14:paraId="7B7AE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44F13">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kern w:val="0"/>
                <w:sz w:val="24"/>
                <w:szCs w:val="24"/>
                <w:u w:val="none"/>
                <w:lang w:val="en-US" w:eastAsia="zh-CN"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A3315">
            <w:pPr>
              <w:keepNext w:val="0"/>
              <w:keepLines w:val="0"/>
              <w:widowControl/>
              <w:suppressLineNumbers w:val="0"/>
              <w:jc w:val="center"/>
              <w:textAlignment w:val="center"/>
              <w:rPr>
                <w:rFonts w:hint="default" w:ascii="Times New Roman" w:hAnsi="Times New Roman" w:eastAsia="Segoe UI Symbol" w:cs="Times New Roman"/>
                <w:i w:val="0"/>
                <w:iCs w:val="0"/>
                <w:color w:val="auto"/>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8A227F">
            <w:pPr>
              <w:jc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操作系统</w:t>
            </w:r>
          </w:p>
        </w:tc>
        <w:tc>
          <w:tcPr>
            <w:tcW w:w="5910" w:type="dxa"/>
            <w:tcBorders>
              <w:top w:val="single" w:color="000000" w:sz="4" w:space="0"/>
              <w:left w:val="single" w:color="000000" w:sz="4" w:space="0"/>
              <w:bottom w:val="single" w:color="000000" w:sz="4" w:space="0"/>
              <w:right w:val="single" w:color="auto" w:sz="4" w:space="0"/>
            </w:tcBorders>
            <w:shd w:val="clear" w:color="auto" w:fill="auto"/>
            <w:vAlign w:val="center"/>
          </w:tcPr>
          <w:p w14:paraId="1FF5ADFE">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所投存储底层操作系统不得采用国外开源社区操作系统（包括但不限于RedHat、CentOS及衍生版本）和国外操作系统（如Suse Linux），</w:t>
            </w:r>
            <w:r>
              <w:rPr>
                <w:rFonts w:hint="default" w:ascii="Times New Roman" w:hAnsi="Times New Roman" w:eastAsia="宋体" w:cs="Times New Roman"/>
                <w:b/>
                <w:bCs/>
                <w:i w:val="0"/>
                <w:iCs w:val="0"/>
                <w:color w:val="auto"/>
                <w:sz w:val="24"/>
                <w:szCs w:val="24"/>
                <w:u w:val="none"/>
              </w:rPr>
              <w:t>提供证明材料</w:t>
            </w:r>
            <w:r>
              <w:rPr>
                <w:rFonts w:hint="default" w:ascii="Times New Roman" w:hAnsi="Times New Roman" w:cs="Times New Roman"/>
                <w:b/>
                <w:bCs/>
                <w:i w:val="0"/>
                <w:iCs w:val="0"/>
                <w:color w:val="auto"/>
                <w:sz w:val="24"/>
                <w:szCs w:val="24"/>
                <w:u w:val="none"/>
                <w:lang w:eastAsia="zh-CN"/>
              </w:rPr>
              <w:t>。</w:t>
            </w:r>
          </w:p>
        </w:tc>
        <w:tc>
          <w:tcPr>
            <w:tcW w:w="896" w:type="dxa"/>
            <w:tcBorders>
              <w:top w:val="single" w:color="auto" w:sz="4" w:space="0"/>
              <w:left w:val="single" w:color="auto" w:sz="4" w:space="0"/>
              <w:bottom w:val="single" w:color="auto" w:sz="4" w:space="0"/>
              <w:right w:val="single" w:color="auto" w:sz="4" w:space="0"/>
            </w:tcBorders>
            <w:shd w:val="clear" w:color="auto" w:fill="auto"/>
            <w:vAlign w:val="center"/>
          </w:tcPr>
          <w:p w14:paraId="6E18CE01">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eastAsia" w:cs="Times New Roman"/>
                <w:i w:val="0"/>
                <w:iCs w:val="0"/>
                <w:color w:val="auto"/>
                <w:sz w:val="24"/>
                <w:szCs w:val="24"/>
                <w:u w:val="none"/>
                <w:lang w:val="en-US" w:eastAsia="zh-CN"/>
              </w:rPr>
              <w:t>是</w:t>
            </w:r>
          </w:p>
        </w:tc>
      </w:tr>
      <w:tr w14:paraId="4024A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DFA47">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lang w:val="en-US" w:eastAsia="zh-CN"/>
              </w:rPr>
            </w:pPr>
            <w:r>
              <w:rPr>
                <w:rFonts w:hint="default" w:ascii="Times New Roman" w:hAnsi="Times New Roman" w:eastAsia="宋体" w:cs="Times New Roman"/>
                <w:i w:val="0"/>
                <w:iCs w:val="0"/>
                <w:color w:val="auto"/>
                <w:kern w:val="0"/>
                <w:sz w:val="24"/>
                <w:szCs w:val="24"/>
                <w:u w:val="none"/>
                <w:lang w:val="en-US" w:eastAsia="zh-CN" w:bidi="ar"/>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703EC">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D8C3A3">
            <w:pPr>
              <w:jc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芯片</w:t>
            </w:r>
          </w:p>
        </w:tc>
        <w:tc>
          <w:tcPr>
            <w:tcW w:w="5910" w:type="dxa"/>
            <w:tcBorders>
              <w:top w:val="single" w:color="000000" w:sz="4" w:space="0"/>
              <w:left w:val="single" w:color="000000" w:sz="4" w:space="0"/>
              <w:bottom w:val="single" w:color="000000" w:sz="4" w:space="0"/>
              <w:right w:val="single" w:color="auto" w:sz="4" w:space="0"/>
            </w:tcBorders>
            <w:shd w:val="clear" w:color="auto" w:fill="auto"/>
            <w:vAlign w:val="center"/>
          </w:tcPr>
          <w:p w14:paraId="6A231CB4">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为保证核心数据安全，存储的关键芯片（系统 BMC 管理芯片、接口卡处理芯片、SSD 控制芯片）均为国产品牌，实现关键芯片自主可控，保障数据安全可靠。</w:t>
            </w:r>
            <w:r>
              <w:rPr>
                <w:rFonts w:hint="default" w:ascii="Times New Roman" w:hAnsi="Times New Roman" w:eastAsia="宋体" w:cs="Times New Roman"/>
                <w:b/>
                <w:bCs/>
                <w:i w:val="0"/>
                <w:iCs w:val="0"/>
                <w:color w:val="auto"/>
                <w:sz w:val="24"/>
                <w:szCs w:val="24"/>
                <w:u w:val="none"/>
              </w:rPr>
              <w:t>提供第三方评测机构测试报告。</w:t>
            </w:r>
          </w:p>
        </w:tc>
        <w:tc>
          <w:tcPr>
            <w:tcW w:w="896" w:type="dxa"/>
            <w:tcBorders>
              <w:top w:val="single" w:color="auto" w:sz="4" w:space="0"/>
              <w:left w:val="single" w:color="auto" w:sz="4" w:space="0"/>
              <w:bottom w:val="single" w:color="auto" w:sz="4" w:space="0"/>
              <w:right w:val="single" w:color="auto" w:sz="4" w:space="0"/>
            </w:tcBorders>
            <w:shd w:val="clear" w:color="auto" w:fill="auto"/>
            <w:vAlign w:val="center"/>
          </w:tcPr>
          <w:p w14:paraId="00A9D7CF">
            <w:pPr>
              <w:jc w:val="center"/>
              <w:rPr>
                <w:rFonts w:hint="default" w:ascii="Times New Roman" w:hAnsi="Times New Roman" w:eastAsia="宋体" w:cs="Times New Roman"/>
                <w:i w:val="0"/>
                <w:iCs w:val="0"/>
                <w:color w:val="auto"/>
                <w:sz w:val="24"/>
                <w:szCs w:val="24"/>
                <w:u w:val="none"/>
                <w:lang w:val="en-US" w:eastAsia="zh-CN"/>
              </w:rPr>
            </w:pPr>
            <w:r>
              <w:rPr>
                <w:rFonts w:hint="eastAsia" w:cs="Times New Roman"/>
                <w:i w:val="0"/>
                <w:iCs w:val="0"/>
                <w:color w:val="auto"/>
                <w:sz w:val="24"/>
                <w:szCs w:val="24"/>
                <w:u w:val="none"/>
                <w:lang w:val="en-US" w:eastAsia="zh-CN"/>
              </w:rPr>
              <w:t>是</w:t>
            </w:r>
          </w:p>
        </w:tc>
      </w:tr>
      <w:tr w14:paraId="36EB3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1B19E">
            <w:pPr>
              <w:jc w:val="center"/>
              <w:rPr>
                <w:rFonts w:hint="default" w:ascii="Times New Roman" w:hAnsi="Times New Roman" w:eastAsia="宋体" w:cs="Times New Roman"/>
                <w:i w:val="0"/>
                <w:iCs w:val="0"/>
                <w:color w:val="auto"/>
                <w:sz w:val="22"/>
                <w:szCs w:val="22"/>
                <w:u w:val="none"/>
                <w:lang w:val="en-US" w:eastAsia="zh-CN"/>
              </w:rPr>
            </w:pPr>
            <w:r>
              <w:rPr>
                <w:rFonts w:hint="default" w:ascii="Times New Roman" w:hAnsi="Times New Roman" w:eastAsia="宋体" w:cs="Times New Roman"/>
                <w:i w:val="0"/>
                <w:iCs w:val="0"/>
                <w:color w:val="auto"/>
                <w:sz w:val="22"/>
                <w:szCs w:val="22"/>
                <w:u w:val="none"/>
                <w:lang w:val="en-US" w:eastAsia="zh-CN"/>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746EE">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C53A55">
            <w:pPr>
              <w:jc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处理器</w:t>
            </w:r>
          </w:p>
        </w:tc>
        <w:tc>
          <w:tcPr>
            <w:tcW w:w="5910" w:type="dxa"/>
            <w:tcBorders>
              <w:top w:val="single" w:color="000000" w:sz="4" w:space="0"/>
              <w:left w:val="single" w:color="000000" w:sz="4" w:space="0"/>
              <w:bottom w:val="single" w:color="000000" w:sz="4" w:space="0"/>
              <w:right w:val="single" w:color="auto" w:sz="4" w:space="0"/>
            </w:tcBorders>
            <w:shd w:val="clear" w:color="auto" w:fill="auto"/>
            <w:vAlign w:val="center"/>
          </w:tcPr>
          <w:p w14:paraId="525BFFAB">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采用国产多核处理器，控制器处理器总物理核心数</w:t>
            </w:r>
            <w:r>
              <w:rPr>
                <w:rFonts w:hint="eastAsia" w:cs="Times New Roman"/>
                <w:i w:val="0"/>
                <w:iCs w:val="0"/>
                <w:color w:val="auto"/>
                <w:sz w:val="24"/>
                <w:szCs w:val="24"/>
                <w:u w:val="none"/>
                <w:lang w:val="en-US" w:eastAsia="zh-CN"/>
              </w:rPr>
              <w:t>为</w:t>
            </w:r>
            <w:r>
              <w:rPr>
                <w:rFonts w:hint="default" w:ascii="Times New Roman" w:hAnsi="Times New Roman" w:eastAsia="宋体" w:cs="Times New Roman"/>
                <w:i w:val="0"/>
                <w:iCs w:val="0"/>
                <w:color w:val="auto"/>
                <w:sz w:val="24"/>
                <w:szCs w:val="24"/>
                <w:u w:val="none"/>
              </w:rPr>
              <w:t>18，</w:t>
            </w:r>
            <w:r>
              <w:rPr>
                <w:rFonts w:hint="default" w:ascii="Times New Roman" w:hAnsi="Times New Roman" w:eastAsia="宋体" w:cs="Times New Roman"/>
                <w:b/>
                <w:bCs/>
                <w:i w:val="0"/>
                <w:iCs w:val="0"/>
                <w:color w:val="auto"/>
                <w:sz w:val="24"/>
                <w:szCs w:val="24"/>
                <w:u w:val="none"/>
              </w:rPr>
              <w:t>提供证明资料</w:t>
            </w:r>
            <w:r>
              <w:rPr>
                <w:rFonts w:hint="default" w:ascii="Times New Roman" w:hAnsi="Times New Roman" w:eastAsia="宋体" w:cs="Times New Roman"/>
                <w:i w:val="0"/>
                <w:iCs w:val="0"/>
                <w:color w:val="auto"/>
                <w:sz w:val="24"/>
                <w:szCs w:val="24"/>
                <w:u w:val="none"/>
              </w:rPr>
              <w:t>。</w:t>
            </w:r>
          </w:p>
        </w:tc>
        <w:tc>
          <w:tcPr>
            <w:tcW w:w="896" w:type="dxa"/>
            <w:tcBorders>
              <w:top w:val="single" w:color="auto" w:sz="4" w:space="0"/>
              <w:left w:val="single" w:color="auto" w:sz="4" w:space="0"/>
              <w:bottom w:val="single" w:color="auto" w:sz="4" w:space="0"/>
              <w:right w:val="single" w:color="auto" w:sz="4" w:space="0"/>
            </w:tcBorders>
            <w:shd w:val="clear" w:color="auto" w:fill="auto"/>
            <w:vAlign w:val="center"/>
          </w:tcPr>
          <w:p w14:paraId="747C5FDD">
            <w:pPr>
              <w:jc w:val="center"/>
              <w:rPr>
                <w:rFonts w:hint="default" w:ascii="Times New Roman" w:hAnsi="Times New Roman" w:eastAsia="宋体" w:cs="Times New Roman"/>
                <w:i w:val="0"/>
                <w:iCs w:val="0"/>
                <w:color w:val="auto"/>
                <w:sz w:val="24"/>
                <w:szCs w:val="24"/>
                <w:u w:val="none"/>
                <w:lang w:val="en-US" w:eastAsia="zh-CN"/>
              </w:rPr>
            </w:pPr>
            <w:r>
              <w:rPr>
                <w:rFonts w:hint="eastAsia" w:cs="Times New Roman"/>
                <w:i w:val="0"/>
                <w:iCs w:val="0"/>
                <w:color w:val="auto"/>
                <w:sz w:val="24"/>
                <w:szCs w:val="24"/>
                <w:u w:val="none"/>
                <w:lang w:val="en-US" w:eastAsia="zh-CN"/>
              </w:rPr>
              <w:t>是</w:t>
            </w:r>
          </w:p>
        </w:tc>
      </w:tr>
      <w:tr w14:paraId="16CD2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2"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8C533">
            <w:pPr>
              <w:jc w:val="center"/>
              <w:rPr>
                <w:rFonts w:hint="default" w:ascii="Times New Roman" w:hAnsi="Times New Roman" w:eastAsia="宋体" w:cs="Times New Roman"/>
                <w:i w:val="0"/>
                <w:iCs w:val="0"/>
                <w:color w:val="auto"/>
                <w:sz w:val="22"/>
                <w:szCs w:val="22"/>
                <w:u w:val="none"/>
                <w:lang w:val="en-US" w:eastAsia="zh-CN"/>
              </w:rPr>
            </w:pPr>
            <w:r>
              <w:rPr>
                <w:rFonts w:hint="default" w:ascii="Times New Roman" w:hAnsi="Times New Roman" w:eastAsia="宋体" w:cs="Times New Roman"/>
                <w:i w:val="0"/>
                <w:iCs w:val="0"/>
                <w:color w:val="auto"/>
                <w:sz w:val="22"/>
                <w:szCs w:val="22"/>
                <w:u w:val="none"/>
                <w:lang w:val="en-US" w:eastAsia="zh-CN"/>
              </w:rPr>
              <w:t>4</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73EE4">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w:t>
            </w: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D8D3D2">
            <w:pPr>
              <w:jc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缓存</w:t>
            </w:r>
          </w:p>
        </w:tc>
        <w:tc>
          <w:tcPr>
            <w:tcW w:w="5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4C19C">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配置高速缓存32GB，且任意控制器一级缓存容量≥16GB（缓存不包含SSD磁盘、PCI-E SSD、闪存、压缩或重删缓存和NAS控制器缓存）;</w:t>
            </w:r>
          </w:p>
        </w:tc>
        <w:tc>
          <w:tcPr>
            <w:tcW w:w="896" w:type="dxa"/>
            <w:tcBorders>
              <w:top w:val="single" w:color="auto" w:sz="4" w:space="0"/>
              <w:left w:val="single" w:color="000000" w:sz="4" w:space="0"/>
              <w:bottom w:val="single" w:color="000000" w:sz="4" w:space="0"/>
              <w:right w:val="single" w:color="000000" w:sz="4" w:space="0"/>
            </w:tcBorders>
            <w:shd w:val="clear" w:color="auto" w:fill="auto"/>
            <w:vAlign w:val="center"/>
          </w:tcPr>
          <w:p w14:paraId="3DEE9299">
            <w:pPr>
              <w:jc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cs="Times New Roman"/>
                <w:i w:val="0"/>
                <w:iCs w:val="0"/>
                <w:color w:val="auto"/>
                <w:sz w:val="24"/>
                <w:szCs w:val="24"/>
                <w:u w:val="none"/>
                <w:lang w:val="en-US" w:eastAsia="zh-CN"/>
              </w:rPr>
              <w:t>否</w:t>
            </w:r>
          </w:p>
        </w:tc>
      </w:tr>
      <w:tr w14:paraId="142D5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2"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59FA8">
            <w:pPr>
              <w:jc w:val="center"/>
              <w:rPr>
                <w:rFonts w:hint="default" w:ascii="Times New Roman" w:hAnsi="Times New Roman" w:eastAsia="宋体" w:cs="Times New Roman"/>
                <w:i w:val="0"/>
                <w:iCs w:val="0"/>
                <w:color w:val="auto"/>
                <w:sz w:val="22"/>
                <w:szCs w:val="22"/>
                <w:u w:val="none"/>
                <w:lang w:val="en-US" w:eastAsia="zh-CN"/>
              </w:rPr>
            </w:pPr>
            <w:r>
              <w:rPr>
                <w:rFonts w:hint="default" w:ascii="Times New Roman" w:hAnsi="Times New Roman" w:cs="Times New Roman"/>
                <w:i w:val="0"/>
                <w:iCs w:val="0"/>
                <w:color w:val="auto"/>
                <w:sz w:val="22"/>
                <w:szCs w:val="22"/>
                <w:u w:val="none"/>
                <w:lang w:val="en-US" w:eastAsia="zh-CN"/>
              </w:rPr>
              <w:t>5</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9B38C">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w:t>
            </w: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4054D3">
            <w:pPr>
              <w:jc w:val="center"/>
              <w:rPr>
                <w:rFonts w:hint="eastAsia"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接口</w:t>
            </w:r>
            <w:r>
              <w:rPr>
                <w:rFonts w:hint="eastAsia" w:cs="Times New Roman"/>
                <w:i w:val="0"/>
                <w:iCs w:val="0"/>
                <w:color w:val="auto"/>
                <w:sz w:val="24"/>
                <w:szCs w:val="24"/>
                <w:u w:val="none"/>
                <w:lang w:val="en-US" w:eastAsia="zh-CN"/>
              </w:rPr>
              <w:t>配置</w:t>
            </w:r>
          </w:p>
        </w:tc>
        <w:tc>
          <w:tcPr>
            <w:tcW w:w="5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7F923">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接口配置≥8个1Gb接口，≥4个10Gb接口（含光模块），≥8个16Gb FC接口（含光模块）</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3FAB0">
            <w:pPr>
              <w:jc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cs="Times New Roman"/>
                <w:i w:val="0"/>
                <w:iCs w:val="0"/>
                <w:color w:val="auto"/>
                <w:sz w:val="24"/>
                <w:szCs w:val="24"/>
                <w:u w:val="none"/>
                <w:lang w:val="en-US" w:eastAsia="zh-CN"/>
              </w:rPr>
              <w:t>否</w:t>
            </w:r>
          </w:p>
        </w:tc>
      </w:tr>
      <w:tr w14:paraId="7FD31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C93E4">
            <w:pPr>
              <w:jc w:val="center"/>
              <w:rPr>
                <w:rFonts w:hint="default" w:ascii="Times New Roman" w:hAnsi="Times New Roman" w:eastAsia="宋体" w:cs="Times New Roman"/>
                <w:i w:val="0"/>
                <w:iCs w:val="0"/>
                <w:color w:val="auto"/>
                <w:sz w:val="22"/>
                <w:szCs w:val="22"/>
                <w:u w:val="none"/>
                <w:lang w:val="en-US" w:eastAsia="zh-CN"/>
              </w:rPr>
            </w:pPr>
            <w:r>
              <w:rPr>
                <w:rFonts w:hint="default" w:ascii="Times New Roman" w:hAnsi="Times New Roman" w:cs="Times New Roman"/>
                <w:i w:val="0"/>
                <w:iCs w:val="0"/>
                <w:color w:val="auto"/>
                <w:sz w:val="22"/>
                <w:szCs w:val="22"/>
                <w:u w:val="none"/>
                <w:lang w:val="en-US" w:eastAsia="zh-CN"/>
              </w:rPr>
              <w:t>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4EB4A">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w:t>
            </w: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FFAFCA">
            <w:pPr>
              <w:jc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硬盘</w:t>
            </w:r>
          </w:p>
        </w:tc>
        <w:tc>
          <w:tcPr>
            <w:tcW w:w="5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49873">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≥4块1920GB SAS SSD，≥5块8TB NL_SAS 7.2K硬盘</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AB298">
            <w:pPr>
              <w:jc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cs="Times New Roman"/>
                <w:i w:val="0"/>
                <w:iCs w:val="0"/>
                <w:color w:val="auto"/>
                <w:sz w:val="24"/>
                <w:szCs w:val="24"/>
                <w:u w:val="none"/>
                <w:lang w:val="en-US" w:eastAsia="zh-CN"/>
              </w:rPr>
              <w:t>否</w:t>
            </w:r>
          </w:p>
        </w:tc>
      </w:tr>
      <w:tr w14:paraId="4A640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912E0">
            <w:pPr>
              <w:jc w:val="center"/>
              <w:rPr>
                <w:rFonts w:hint="default" w:ascii="Times New Roman" w:hAnsi="Times New Roman" w:eastAsia="宋体" w:cs="Times New Roman"/>
                <w:i w:val="0"/>
                <w:iCs w:val="0"/>
                <w:color w:val="auto"/>
                <w:sz w:val="22"/>
                <w:szCs w:val="22"/>
                <w:u w:val="none"/>
                <w:lang w:val="en-US" w:eastAsia="zh-CN"/>
              </w:rPr>
            </w:pPr>
            <w:r>
              <w:rPr>
                <w:rFonts w:hint="default" w:ascii="Times New Roman" w:hAnsi="Times New Roman" w:cs="Times New Roman"/>
                <w:i w:val="0"/>
                <w:iCs w:val="0"/>
                <w:color w:val="auto"/>
                <w:sz w:val="22"/>
                <w:szCs w:val="22"/>
                <w:u w:val="none"/>
                <w:lang w:val="en-US" w:eastAsia="zh-CN"/>
              </w:rPr>
              <w:t>7</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327C4">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79B3EA">
            <w:pPr>
              <w:jc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软件功能</w:t>
            </w:r>
          </w:p>
        </w:tc>
        <w:tc>
          <w:tcPr>
            <w:tcW w:w="5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E7A98">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含存储管理软件,运维管理软件,服务质量管理,多路径,多租户。</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27C85">
            <w:pPr>
              <w:jc w:val="center"/>
              <w:rPr>
                <w:rFonts w:hint="eastAsia" w:ascii="Times New Roman" w:hAnsi="Times New Roman" w:eastAsia="宋体" w:cs="Times New Roman"/>
                <w:i w:val="0"/>
                <w:iCs w:val="0"/>
                <w:color w:val="auto"/>
                <w:sz w:val="24"/>
                <w:szCs w:val="24"/>
                <w:u w:val="none"/>
                <w:lang w:val="en-US" w:eastAsia="zh-CN"/>
              </w:rPr>
            </w:pPr>
            <w:r>
              <w:rPr>
                <w:rFonts w:hint="eastAsia" w:cs="Times New Roman"/>
                <w:i w:val="0"/>
                <w:iCs w:val="0"/>
                <w:color w:val="auto"/>
                <w:sz w:val="24"/>
                <w:szCs w:val="24"/>
                <w:u w:val="none"/>
                <w:lang w:val="en-US" w:eastAsia="zh-CN"/>
              </w:rPr>
              <w:t>否</w:t>
            </w:r>
          </w:p>
        </w:tc>
      </w:tr>
      <w:tr w14:paraId="4B4BA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2"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EAEB6">
            <w:pPr>
              <w:jc w:val="center"/>
              <w:rPr>
                <w:rFonts w:hint="default" w:ascii="Times New Roman" w:hAnsi="Times New Roman" w:eastAsia="宋体" w:cs="Times New Roman"/>
                <w:i w:val="0"/>
                <w:iCs w:val="0"/>
                <w:color w:val="auto"/>
                <w:sz w:val="22"/>
                <w:szCs w:val="22"/>
                <w:u w:val="none"/>
                <w:lang w:val="en-US" w:eastAsia="zh-CN"/>
              </w:rPr>
            </w:pPr>
            <w:r>
              <w:rPr>
                <w:rFonts w:hint="default" w:ascii="Times New Roman" w:hAnsi="Times New Roman" w:cs="Times New Roman"/>
                <w:i w:val="0"/>
                <w:iCs w:val="0"/>
                <w:color w:val="auto"/>
                <w:sz w:val="22"/>
                <w:szCs w:val="22"/>
                <w:u w:val="none"/>
                <w:lang w:val="en-US" w:eastAsia="zh-CN"/>
              </w:rPr>
              <w:t>8</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027DC">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E17A3E">
            <w:pPr>
              <w:jc w:val="both"/>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硬盘缩列</w:t>
            </w:r>
          </w:p>
        </w:tc>
        <w:tc>
          <w:tcPr>
            <w:tcW w:w="5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44F20">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支持硬盘缩列技术，采用动态RAID重构（缩列重构），当存储池总的可用硬盘小于RAID成员盘数，缩列重构时保持M（校验列）不变，减少N（数据列）的方式进行重构，重构前后RAID校验列数不变，数据列数变少。缩列重构完成后，RAID组成员盘数减少，但是RAID冗余级别不变，</w:t>
            </w:r>
            <w:r>
              <w:rPr>
                <w:rFonts w:hint="default" w:ascii="Times New Roman" w:hAnsi="Times New Roman" w:eastAsia="宋体" w:cs="Times New Roman"/>
                <w:b/>
                <w:bCs/>
                <w:i w:val="0"/>
                <w:iCs w:val="0"/>
                <w:color w:val="auto"/>
                <w:sz w:val="24"/>
                <w:szCs w:val="24"/>
                <w:u w:val="none"/>
              </w:rPr>
              <w:t>提供证明材料。</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8BAE5">
            <w:pPr>
              <w:jc w:val="center"/>
              <w:rPr>
                <w:rFonts w:hint="default" w:ascii="Times New Roman" w:hAnsi="Times New Roman" w:eastAsia="宋体" w:cs="Times New Roman"/>
                <w:i w:val="0"/>
                <w:iCs w:val="0"/>
                <w:color w:val="auto"/>
                <w:sz w:val="24"/>
                <w:szCs w:val="24"/>
                <w:u w:val="none"/>
                <w:lang w:val="en-US" w:eastAsia="zh-CN"/>
              </w:rPr>
            </w:pPr>
            <w:r>
              <w:rPr>
                <w:rFonts w:hint="eastAsia" w:cs="Times New Roman"/>
                <w:i w:val="0"/>
                <w:iCs w:val="0"/>
                <w:color w:val="auto"/>
                <w:sz w:val="24"/>
                <w:szCs w:val="24"/>
                <w:u w:val="none"/>
                <w:lang w:val="en-US" w:eastAsia="zh-CN"/>
              </w:rPr>
              <w:t>是</w:t>
            </w:r>
          </w:p>
        </w:tc>
      </w:tr>
    </w:tbl>
    <w:p w14:paraId="22CC2630">
      <w:pPr>
        <w:pStyle w:val="55"/>
        <w:rPr>
          <w:rFonts w:hint="default"/>
          <w:color w:val="auto"/>
          <w:lang w:val="en-US" w:eastAsia="zh-CN"/>
        </w:rPr>
      </w:pPr>
    </w:p>
    <w:p w14:paraId="00629871">
      <w:pPr>
        <w:keepNext/>
        <w:keepLines/>
        <w:numPr>
          <w:ilvl w:val="0"/>
          <w:numId w:val="17"/>
        </w:numPr>
        <w:spacing w:line="360" w:lineRule="auto"/>
        <w:ind w:left="0" w:firstLine="0"/>
        <w:outlineLvl w:val="4"/>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iCs w:val="0"/>
          <w:color w:val="auto"/>
          <w:kern w:val="0"/>
          <w:sz w:val="24"/>
          <w:szCs w:val="24"/>
          <w:u w:val="none"/>
          <w:lang w:val="en-US" w:eastAsia="zh-CN" w:bidi="ar"/>
        </w:rPr>
        <w:t>SAN交换机（2台）</w:t>
      </w:r>
    </w:p>
    <w:tbl>
      <w:tblPr>
        <w:tblStyle w:val="38"/>
        <w:tblW w:w="90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5"/>
        <w:gridCol w:w="615"/>
        <w:gridCol w:w="1005"/>
        <w:gridCol w:w="5955"/>
        <w:gridCol w:w="851"/>
      </w:tblGrid>
      <w:tr w14:paraId="6E7EA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0FA071F1">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序号</w:t>
            </w:r>
          </w:p>
        </w:tc>
        <w:tc>
          <w:tcPr>
            <w:tcW w:w="61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35B2C2BA">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重要性</w:t>
            </w:r>
          </w:p>
        </w:tc>
        <w:tc>
          <w:tcPr>
            <w:tcW w:w="100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2C4F1707">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指标项</w:t>
            </w:r>
          </w:p>
        </w:tc>
        <w:tc>
          <w:tcPr>
            <w:tcW w:w="595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593F10D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指标要求</w:t>
            </w:r>
          </w:p>
        </w:tc>
        <w:tc>
          <w:tcPr>
            <w:tcW w:w="851"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58911FE9">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color w:val="auto"/>
                <w:sz w:val="24"/>
                <w:szCs w:val="24"/>
                <w:lang w:val="en-US" w:eastAsia="zh-CN"/>
              </w:rPr>
              <w:t>是否需要提供证明材料</w:t>
            </w:r>
          </w:p>
        </w:tc>
      </w:tr>
      <w:tr w14:paraId="4911A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887B5">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eastAsia" w:cs="Times New Roman"/>
                <w:i w:val="0"/>
                <w:iCs w:val="0"/>
                <w:color w:val="auto"/>
                <w:sz w:val="24"/>
                <w:szCs w:val="24"/>
                <w:u w:val="none"/>
                <w:lang w:val="en-US" w:eastAsia="zh-CN"/>
              </w:rPr>
              <w:t>1</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3D413">
            <w:pPr>
              <w:keepNext w:val="0"/>
              <w:keepLines w:val="0"/>
              <w:widowControl/>
              <w:suppressLineNumbers w:val="0"/>
              <w:jc w:val="center"/>
              <w:textAlignment w:val="center"/>
              <w:rPr>
                <w:rFonts w:hint="default" w:ascii="Times New Roman" w:hAnsi="Times New Roman" w:eastAsia="Segoe UI Symbol" w:cs="Times New Roman"/>
                <w:i w:val="0"/>
                <w:iCs w:val="0"/>
                <w:color w:val="auto"/>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CC51D9">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端口速度</w:t>
            </w:r>
          </w:p>
        </w:tc>
        <w:tc>
          <w:tcPr>
            <w:tcW w:w="5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0BC2B">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≥16Gb/s光纤通道，</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D9617">
            <w:pPr>
              <w:jc w:val="center"/>
              <w:rPr>
                <w:rFonts w:hint="eastAsia" w:ascii="Times New Roman" w:hAnsi="Times New Roman" w:eastAsia="宋体" w:cs="Times New Roman"/>
                <w:i w:val="0"/>
                <w:iCs w:val="0"/>
                <w:color w:val="auto"/>
                <w:sz w:val="24"/>
                <w:szCs w:val="24"/>
                <w:u w:val="none"/>
                <w:lang w:val="en-US" w:eastAsia="zh-CN"/>
              </w:rPr>
            </w:pPr>
            <w:r>
              <w:rPr>
                <w:rFonts w:hint="eastAsia" w:cs="Times New Roman"/>
                <w:i w:val="0"/>
                <w:iCs w:val="0"/>
                <w:color w:val="auto"/>
                <w:sz w:val="24"/>
                <w:szCs w:val="24"/>
                <w:u w:val="none"/>
                <w:lang w:val="en-US" w:eastAsia="zh-CN"/>
              </w:rPr>
              <w:t>否</w:t>
            </w:r>
          </w:p>
        </w:tc>
      </w:tr>
      <w:tr w14:paraId="5402C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F91C2">
            <w:pPr>
              <w:jc w:val="center"/>
              <w:rPr>
                <w:rFonts w:hint="default" w:ascii="Times New Roman" w:hAnsi="Times New Roman" w:eastAsia="宋体" w:cs="Times New Roman"/>
                <w:i w:val="0"/>
                <w:iCs w:val="0"/>
                <w:color w:val="auto"/>
                <w:sz w:val="22"/>
                <w:szCs w:val="22"/>
                <w:u w:val="none"/>
                <w:lang w:val="en-US" w:eastAsia="zh-CN"/>
              </w:rPr>
            </w:pPr>
            <w:r>
              <w:rPr>
                <w:rFonts w:hint="eastAsia" w:cs="Times New Roman"/>
                <w:i w:val="0"/>
                <w:iCs w:val="0"/>
                <w:color w:val="auto"/>
                <w:sz w:val="22"/>
                <w:szCs w:val="22"/>
                <w:u w:val="none"/>
                <w:lang w:val="en-US" w:eastAsia="zh-CN"/>
              </w:rPr>
              <w:t>2</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BA2E9">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83CA11">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最大总带宽</w:t>
            </w:r>
          </w:p>
        </w:tc>
        <w:tc>
          <w:tcPr>
            <w:tcW w:w="5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05B16">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≥768Gb/s。</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442BB">
            <w:pPr>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r w14:paraId="3243E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4A655">
            <w:pPr>
              <w:jc w:val="center"/>
              <w:rPr>
                <w:rFonts w:hint="default" w:ascii="Times New Roman" w:hAnsi="Times New Roman" w:eastAsia="宋体" w:cs="Times New Roman"/>
                <w:i w:val="0"/>
                <w:iCs w:val="0"/>
                <w:color w:val="auto"/>
                <w:sz w:val="22"/>
                <w:szCs w:val="22"/>
                <w:u w:val="none"/>
                <w:lang w:val="en-US" w:eastAsia="zh-CN"/>
              </w:rPr>
            </w:pPr>
            <w:r>
              <w:rPr>
                <w:rFonts w:hint="eastAsia" w:cs="Times New Roman"/>
                <w:i w:val="0"/>
                <w:iCs w:val="0"/>
                <w:color w:val="auto"/>
                <w:sz w:val="22"/>
                <w:szCs w:val="22"/>
                <w:u w:val="none"/>
                <w:lang w:val="en-US" w:eastAsia="zh-CN"/>
              </w:rPr>
              <w:t>3</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4F3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9361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auto"/>
                <w:kern w:val="0"/>
                <w:sz w:val="24"/>
                <w:szCs w:val="24"/>
                <w:u w:val="none"/>
                <w:lang w:val="en-US" w:eastAsia="zh-CN" w:bidi="ar"/>
              </w:rPr>
              <w:t>端口数量</w:t>
            </w:r>
          </w:p>
        </w:tc>
        <w:tc>
          <w:tcPr>
            <w:tcW w:w="5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87BA4">
            <w:pPr>
              <w:keepNext w:val="0"/>
              <w:keepLines w:val="0"/>
              <w:widowControl/>
              <w:suppressLineNumbers w:val="0"/>
              <w:jc w:val="both"/>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auto"/>
                <w:kern w:val="0"/>
                <w:sz w:val="24"/>
                <w:szCs w:val="24"/>
                <w:u w:val="none"/>
                <w:lang w:val="en-US" w:eastAsia="zh-CN" w:bidi="ar"/>
              </w:rPr>
              <w:t>最大24端口，默认</w:t>
            </w:r>
            <w:r>
              <w:rPr>
                <w:rFonts w:hint="eastAsia" w:cs="Times New Roman"/>
                <w:i w:val="0"/>
                <w:iCs w:val="0"/>
                <w:color w:val="auto"/>
                <w:kern w:val="0"/>
                <w:sz w:val="24"/>
                <w:szCs w:val="24"/>
                <w:u w:val="none"/>
                <w:lang w:val="en-US" w:eastAsia="zh-CN" w:bidi="ar"/>
              </w:rPr>
              <w:t>激活</w:t>
            </w:r>
            <w:r>
              <w:rPr>
                <w:rFonts w:hint="default" w:ascii="Times New Roman" w:hAnsi="Times New Roman" w:eastAsia="宋体" w:cs="Times New Roman"/>
                <w:i w:val="0"/>
                <w:iCs w:val="0"/>
                <w:color w:val="auto"/>
                <w:kern w:val="0"/>
                <w:sz w:val="24"/>
                <w:szCs w:val="24"/>
                <w:u w:val="none"/>
                <w:lang w:val="en-US" w:eastAsia="zh-CN" w:bidi="ar"/>
              </w:rPr>
              <w:t>8端口可用，后续端口购买许可激活可用</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02CC5">
            <w:pPr>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bl>
    <w:p w14:paraId="6D369F07">
      <w:pPr>
        <w:pStyle w:val="55"/>
        <w:rPr>
          <w:rFonts w:hint="default"/>
          <w:color w:val="auto"/>
          <w:lang w:val="en-US" w:eastAsia="zh-CN"/>
        </w:rPr>
      </w:pPr>
    </w:p>
    <w:p w14:paraId="38820DA4">
      <w:pPr>
        <w:keepNext/>
        <w:keepLines/>
        <w:numPr>
          <w:ilvl w:val="0"/>
          <w:numId w:val="17"/>
        </w:numPr>
        <w:spacing w:line="360" w:lineRule="auto"/>
        <w:ind w:left="0" w:firstLine="0"/>
        <w:outlineLvl w:val="4"/>
        <w:rPr>
          <w:rFonts w:hint="default" w:ascii="Times New Roman" w:hAnsi="Times New Roman" w:eastAsia="宋体" w:cs="Times New Roman"/>
          <w:color w:val="auto"/>
          <w:sz w:val="24"/>
          <w:szCs w:val="24"/>
          <w:lang w:val="en-US" w:eastAsia="zh-CN"/>
        </w:rPr>
      </w:pPr>
      <w:r>
        <w:rPr>
          <w:rFonts w:hint="default"/>
          <w:color w:val="auto"/>
          <w:sz w:val="24"/>
          <w:szCs w:val="24"/>
        </w:rPr>
        <w:t>主</w:t>
      </w:r>
      <w:r>
        <w:rPr>
          <w:rFonts w:hint="default" w:ascii="Times New Roman" w:hAnsi="Times New Roman" w:eastAsia="宋体" w:cs="Times New Roman"/>
          <w:i w:val="0"/>
          <w:iCs w:val="0"/>
          <w:color w:val="auto"/>
          <w:kern w:val="0"/>
          <w:sz w:val="24"/>
          <w:szCs w:val="24"/>
          <w:u w:val="none"/>
          <w:lang w:val="en-US" w:eastAsia="zh-CN" w:bidi="ar"/>
        </w:rPr>
        <w:t>交换机（2台）</w:t>
      </w:r>
    </w:p>
    <w:tbl>
      <w:tblPr>
        <w:tblStyle w:val="38"/>
        <w:tblW w:w="90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5"/>
        <w:gridCol w:w="630"/>
        <w:gridCol w:w="1791"/>
        <w:gridCol w:w="5004"/>
        <w:gridCol w:w="1001"/>
      </w:tblGrid>
      <w:tr w14:paraId="02CD5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27134B67">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序号</w:t>
            </w:r>
          </w:p>
        </w:tc>
        <w:tc>
          <w:tcPr>
            <w:tcW w:w="630"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502B82F0">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重要性</w:t>
            </w:r>
          </w:p>
        </w:tc>
        <w:tc>
          <w:tcPr>
            <w:tcW w:w="1791"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24231C51">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指标项</w:t>
            </w:r>
          </w:p>
        </w:tc>
        <w:tc>
          <w:tcPr>
            <w:tcW w:w="5004"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4DC73D7C">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指标要求</w:t>
            </w:r>
          </w:p>
        </w:tc>
        <w:tc>
          <w:tcPr>
            <w:tcW w:w="1001"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38862EE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color w:val="auto"/>
                <w:sz w:val="24"/>
                <w:szCs w:val="24"/>
                <w:lang w:val="en-US" w:eastAsia="zh-CN"/>
              </w:rPr>
              <w:t>是否需要提供证明材料</w:t>
            </w:r>
          </w:p>
        </w:tc>
      </w:tr>
      <w:tr w14:paraId="74D2D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FEDF4">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BA981">
            <w:pPr>
              <w:keepNext w:val="0"/>
              <w:keepLines w:val="0"/>
              <w:widowControl/>
              <w:suppressLineNumbers w:val="0"/>
              <w:jc w:val="center"/>
              <w:textAlignment w:val="center"/>
              <w:rPr>
                <w:rFonts w:ascii="Times New Roman" w:hAnsi="Times New Roman" w:eastAsia="Segoe UI Symbol" w:cs="Times New Roman"/>
                <w:i w:val="0"/>
                <w:iCs w:val="0"/>
                <w:color w:val="auto"/>
                <w:sz w:val="24"/>
                <w:szCs w:val="24"/>
                <w:u w:val="none"/>
              </w:rPr>
            </w:pPr>
          </w:p>
        </w:tc>
        <w:tc>
          <w:tcPr>
            <w:tcW w:w="17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D2C0AD">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kern w:val="0"/>
                <w:sz w:val="24"/>
                <w:szCs w:val="24"/>
                <w:u w:val="none"/>
                <w:lang w:val="en-US" w:eastAsia="zh-CN" w:bidi="ar"/>
              </w:rPr>
              <w:t>交换容量</w:t>
            </w:r>
          </w:p>
        </w:tc>
        <w:tc>
          <w:tcPr>
            <w:tcW w:w="5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DF4F7">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≥336Gbps;</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6FB58">
            <w:pPr>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r w14:paraId="1B3F3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9B165">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5E103">
            <w:pPr>
              <w:keepNext w:val="0"/>
              <w:keepLines w:val="0"/>
              <w:widowControl/>
              <w:suppressLineNumbers w:val="0"/>
              <w:jc w:val="center"/>
              <w:textAlignment w:val="center"/>
              <w:rPr>
                <w:rFonts w:hint="default" w:ascii="Times New Roman" w:hAnsi="Times New Roman" w:eastAsia="Segoe UI Symbol" w:cs="Times New Roman"/>
                <w:i w:val="0"/>
                <w:iCs w:val="0"/>
                <w:color w:val="auto"/>
                <w:sz w:val="24"/>
                <w:szCs w:val="24"/>
                <w:u w:val="none"/>
              </w:rPr>
            </w:pPr>
          </w:p>
        </w:tc>
        <w:tc>
          <w:tcPr>
            <w:tcW w:w="17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26C508">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kern w:val="0"/>
                <w:sz w:val="24"/>
                <w:szCs w:val="24"/>
                <w:u w:val="none"/>
                <w:lang w:val="en-US" w:eastAsia="zh-CN" w:bidi="ar"/>
              </w:rPr>
              <w:t>包转发率</w:t>
            </w:r>
          </w:p>
        </w:tc>
        <w:tc>
          <w:tcPr>
            <w:tcW w:w="5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B34EE">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≥108Mpps;</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6EC9A">
            <w:pPr>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r w14:paraId="0D4C2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7170E">
            <w:pPr>
              <w:jc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3</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2085A">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p>
        </w:tc>
        <w:tc>
          <w:tcPr>
            <w:tcW w:w="17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8F4D3D">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kern w:val="0"/>
                <w:sz w:val="24"/>
                <w:szCs w:val="24"/>
                <w:u w:val="none"/>
                <w:lang w:val="en-US" w:eastAsia="zh-CN" w:bidi="ar"/>
              </w:rPr>
              <w:t>千兆电口</w:t>
            </w:r>
          </w:p>
        </w:tc>
        <w:tc>
          <w:tcPr>
            <w:tcW w:w="5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65E24">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≥24个；</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4A584">
            <w:pPr>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r w14:paraId="6D401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DC193">
            <w:pPr>
              <w:jc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B0B28">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p>
        </w:tc>
        <w:tc>
          <w:tcPr>
            <w:tcW w:w="17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EA4043">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kern w:val="0"/>
                <w:sz w:val="24"/>
                <w:szCs w:val="24"/>
                <w:u w:val="none"/>
                <w:lang w:val="en-US" w:eastAsia="zh-CN" w:bidi="ar"/>
              </w:rPr>
              <w:t>万兆光口</w:t>
            </w:r>
          </w:p>
        </w:tc>
        <w:tc>
          <w:tcPr>
            <w:tcW w:w="5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F483C">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≥4个；</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5F6D1">
            <w:pPr>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bl>
    <w:p w14:paraId="151514BD">
      <w:pPr>
        <w:pStyle w:val="55"/>
        <w:rPr>
          <w:rFonts w:hint="default"/>
          <w:color w:val="auto"/>
          <w:lang w:val="en-US" w:eastAsia="zh-CN"/>
        </w:rPr>
      </w:pPr>
    </w:p>
    <w:p w14:paraId="7504253A">
      <w:pPr>
        <w:keepNext/>
        <w:keepLines/>
        <w:numPr>
          <w:ilvl w:val="0"/>
          <w:numId w:val="17"/>
        </w:numPr>
        <w:spacing w:line="360" w:lineRule="auto"/>
        <w:ind w:left="0" w:firstLine="0"/>
        <w:outlineLvl w:val="4"/>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iCs w:val="0"/>
          <w:color w:val="auto"/>
          <w:kern w:val="0"/>
          <w:sz w:val="24"/>
          <w:szCs w:val="24"/>
          <w:u w:val="none"/>
          <w:lang w:val="en-US" w:eastAsia="zh-CN" w:bidi="ar"/>
        </w:rPr>
        <w:t>企业级硬件防火墙（1台）</w:t>
      </w:r>
    </w:p>
    <w:tbl>
      <w:tblPr>
        <w:tblStyle w:val="38"/>
        <w:tblW w:w="90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0"/>
        <w:gridCol w:w="600"/>
        <w:gridCol w:w="1795"/>
        <w:gridCol w:w="5000"/>
        <w:gridCol w:w="1016"/>
      </w:tblGrid>
      <w:tr w14:paraId="5A58B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65AD3F02">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序号</w:t>
            </w:r>
          </w:p>
        </w:tc>
        <w:tc>
          <w:tcPr>
            <w:tcW w:w="600"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399DB132">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重要性</w:t>
            </w:r>
          </w:p>
        </w:tc>
        <w:tc>
          <w:tcPr>
            <w:tcW w:w="179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150320F4">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指标项</w:t>
            </w:r>
          </w:p>
        </w:tc>
        <w:tc>
          <w:tcPr>
            <w:tcW w:w="5000"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5E932EE4">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指标要求</w:t>
            </w:r>
          </w:p>
        </w:tc>
        <w:tc>
          <w:tcPr>
            <w:tcW w:w="1016"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22FE65C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color w:val="auto"/>
                <w:sz w:val="24"/>
                <w:szCs w:val="24"/>
                <w:lang w:val="en-US" w:eastAsia="zh-CN"/>
              </w:rPr>
              <w:t>是否需要提供证明材料</w:t>
            </w:r>
          </w:p>
        </w:tc>
      </w:tr>
      <w:tr w14:paraId="2E8AB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5A661">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4"/>
                <w:szCs w:val="24"/>
                <w:u w:val="none"/>
                <w:lang w:val="en-US" w:eastAsia="zh-CN"/>
              </w:rPr>
            </w:pPr>
            <w:r>
              <w:rPr>
                <w:rFonts w:hint="eastAsia" w:cs="Times New Roman"/>
                <w:i w:val="0"/>
                <w:iCs w:val="0"/>
                <w:color w:val="auto"/>
                <w:sz w:val="24"/>
                <w:szCs w:val="24"/>
                <w:u w:val="none"/>
                <w:lang w:val="en-US" w:eastAsia="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08974">
            <w:pPr>
              <w:keepNext w:val="0"/>
              <w:keepLines w:val="0"/>
              <w:widowControl/>
              <w:suppressLineNumbers w:val="0"/>
              <w:spacing w:line="240" w:lineRule="auto"/>
              <w:jc w:val="center"/>
              <w:textAlignment w:val="center"/>
              <w:rPr>
                <w:rFonts w:hint="default" w:ascii="Times New Roman" w:hAnsi="Times New Roman" w:eastAsia="Segoe UI Symbol" w:cs="Times New Roman"/>
                <w:i w:val="0"/>
                <w:iCs w:val="0"/>
                <w:color w:val="auto"/>
                <w:sz w:val="24"/>
                <w:szCs w:val="24"/>
                <w:u w:val="none"/>
              </w:rPr>
            </w:pPr>
          </w:p>
        </w:tc>
        <w:tc>
          <w:tcPr>
            <w:tcW w:w="1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EC226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三层吞吐量</w:t>
            </w:r>
          </w:p>
        </w:tc>
        <w:tc>
          <w:tcPr>
            <w:tcW w:w="5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7242E">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≥5Gbps；</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53C60">
            <w:pPr>
              <w:spacing w:line="240" w:lineRule="auto"/>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r w14:paraId="2D383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ABF9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2"/>
                <w:szCs w:val="22"/>
                <w:u w:val="none"/>
                <w:lang w:val="en-US" w:eastAsia="zh-CN"/>
              </w:rPr>
            </w:pPr>
            <w:r>
              <w:rPr>
                <w:rFonts w:hint="default" w:ascii="Times New Roman" w:hAnsi="Times New Roman" w:eastAsia="宋体" w:cs="Times New Roman"/>
                <w:i w:val="0"/>
                <w:iCs w:val="0"/>
                <w:color w:val="auto"/>
                <w:kern w:val="0"/>
                <w:sz w:val="24"/>
                <w:szCs w:val="24"/>
                <w:u w:val="none"/>
                <w:lang w:val="en-US" w:eastAsia="zh-CN" w:bidi="ar"/>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8279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p>
        </w:tc>
        <w:tc>
          <w:tcPr>
            <w:tcW w:w="1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4122F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并发连接数</w:t>
            </w:r>
          </w:p>
        </w:tc>
        <w:tc>
          <w:tcPr>
            <w:tcW w:w="5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0031B">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&gt;100万，每秒新建连接数&gt;8万</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DCEF3">
            <w:pPr>
              <w:spacing w:line="240" w:lineRule="auto"/>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r w14:paraId="067A8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A01E4">
            <w:pPr>
              <w:keepNext w:val="0"/>
              <w:keepLines w:val="0"/>
              <w:widowControl/>
              <w:suppressLineNumbers w:val="0"/>
              <w:spacing w:line="240" w:lineRule="auto"/>
              <w:jc w:val="center"/>
              <w:textAlignment w:val="center"/>
              <w:rPr>
                <w:rFonts w:hint="default"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E0D49">
            <w:pPr>
              <w:keepNext w:val="0"/>
              <w:keepLines w:val="0"/>
              <w:widowControl/>
              <w:suppressLineNumbers w:val="0"/>
              <w:spacing w:line="240" w:lineRule="auto"/>
              <w:jc w:val="center"/>
              <w:textAlignment w:val="center"/>
              <w:rPr>
                <w:rFonts w:hint="default" w:cs="Times New Roman"/>
                <w:i w:val="0"/>
                <w:iCs w:val="0"/>
                <w:color w:val="auto"/>
                <w:sz w:val="24"/>
                <w:szCs w:val="24"/>
                <w:u w:val="none"/>
                <w:lang w:val="en-US" w:eastAsia="zh-CN"/>
              </w:rPr>
            </w:pPr>
          </w:p>
        </w:tc>
        <w:tc>
          <w:tcPr>
            <w:tcW w:w="1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97F1B7">
            <w:pPr>
              <w:keepNext w:val="0"/>
              <w:keepLines w:val="0"/>
              <w:widowControl/>
              <w:suppressLineNumbers w:val="0"/>
              <w:spacing w:line="240" w:lineRule="auto"/>
              <w:jc w:val="center"/>
              <w:textAlignment w:val="center"/>
              <w:rPr>
                <w:rFonts w:hint="default"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管理电口数量</w:t>
            </w:r>
          </w:p>
        </w:tc>
        <w:tc>
          <w:tcPr>
            <w:tcW w:w="5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6F067">
            <w:pPr>
              <w:keepNext w:val="0"/>
              <w:keepLines w:val="0"/>
              <w:widowControl/>
              <w:suppressLineNumbers w:val="0"/>
              <w:spacing w:line="240" w:lineRule="auto"/>
              <w:jc w:val="left"/>
              <w:textAlignment w:val="center"/>
              <w:rPr>
                <w:rFonts w:hint="default"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≥1个</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94306">
            <w:pPr>
              <w:keepNext w:val="0"/>
              <w:keepLines w:val="0"/>
              <w:widowControl/>
              <w:suppressLineNumbers w:val="0"/>
              <w:spacing w:line="240" w:lineRule="auto"/>
              <w:jc w:val="center"/>
              <w:textAlignment w:val="center"/>
              <w:rPr>
                <w:rFonts w:hint="default" w:cs="Times New Roman"/>
                <w:i w:val="0"/>
                <w:iCs w:val="0"/>
                <w:color w:val="auto"/>
                <w:sz w:val="24"/>
                <w:szCs w:val="24"/>
                <w:u w:val="none"/>
                <w:lang w:val="en-US" w:eastAsia="zh-CN"/>
              </w:rPr>
            </w:pPr>
            <w:r>
              <w:rPr>
                <w:rFonts w:hint="eastAsia" w:cs="Times New Roman"/>
                <w:i w:val="0"/>
                <w:iCs w:val="0"/>
                <w:color w:val="auto"/>
                <w:sz w:val="24"/>
                <w:szCs w:val="24"/>
                <w:u w:val="none"/>
                <w:lang w:val="en-US" w:eastAsia="zh-CN"/>
              </w:rPr>
              <w:t>否</w:t>
            </w:r>
          </w:p>
        </w:tc>
      </w:tr>
      <w:tr w14:paraId="0BA4E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7235E">
            <w:pPr>
              <w:keepNext w:val="0"/>
              <w:keepLines w:val="0"/>
              <w:widowControl/>
              <w:suppressLineNumbers w:val="0"/>
              <w:spacing w:line="240" w:lineRule="auto"/>
              <w:jc w:val="center"/>
              <w:textAlignment w:val="center"/>
              <w:rPr>
                <w:rFonts w:hint="default"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4</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B729A">
            <w:pPr>
              <w:keepNext w:val="0"/>
              <w:keepLines w:val="0"/>
              <w:widowControl/>
              <w:suppressLineNumbers w:val="0"/>
              <w:spacing w:line="240" w:lineRule="auto"/>
              <w:jc w:val="center"/>
              <w:textAlignment w:val="center"/>
              <w:rPr>
                <w:rFonts w:hint="default" w:cs="Times New Roman"/>
                <w:i w:val="0"/>
                <w:iCs w:val="0"/>
                <w:color w:val="auto"/>
                <w:sz w:val="24"/>
                <w:szCs w:val="24"/>
                <w:u w:val="none"/>
                <w:lang w:val="en-US" w:eastAsia="zh-CN"/>
              </w:rPr>
            </w:pPr>
          </w:p>
        </w:tc>
        <w:tc>
          <w:tcPr>
            <w:tcW w:w="1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163D6A">
            <w:pPr>
              <w:keepNext w:val="0"/>
              <w:keepLines w:val="0"/>
              <w:widowControl/>
              <w:suppressLineNumbers w:val="0"/>
              <w:spacing w:line="240" w:lineRule="auto"/>
              <w:jc w:val="center"/>
              <w:textAlignment w:val="center"/>
              <w:rPr>
                <w:rFonts w:hint="default"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千兆电口数量</w:t>
            </w:r>
          </w:p>
        </w:tc>
        <w:tc>
          <w:tcPr>
            <w:tcW w:w="5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5E7FA">
            <w:pPr>
              <w:keepNext w:val="0"/>
              <w:keepLines w:val="0"/>
              <w:widowControl/>
              <w:suppressLineNumbers w:val="0"/>
              <w:spacing w:line="240" w:lineRule="auto"/>
              <w:jc w:val="left"/>
              <w:textAlignment w:val="center"/>
              <w:rPr>
                <w:rFonts w:hint="default"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≥8个</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9A134">
            <w:pPr>
              <w:keepNext w:val="0"/>
              <w:keepLines w:val="0"/>
              <w:widowControl/>
              <w:suppressLineNumbers w:val="0"/>
              <w:spacing w:line="240" w:lineRule="auto"/>
              <w:jc w:val="center"/>
              <w:textAlignment w:val="center"/>
              <w:rPr>
                <w:rFonts w:hint="default" w:cs="Times New Roman"/>
                <w:i w:val="0"/>
                <w:iCs w:val="0"/>
                <w:color w:val="auto"/>
                <w:sz w:val="24"/>
                <w:szCs w:val="24"/>
                <w:u w:val="none"/>
                <w:lang w:val="en-US" w:eastAsia="zh-CN"/>
              </w:rPr>
            </w:pPr>
            <w:r>
              <w:rPr>
                <w:rFonts w:hint="eastAsia" w:cs="Times New Roman"/>
                <w:i w:val="0"/>
                <w:iCs w:val="0"/>
                <w:color w:val="auto"/>
                <w:sz w:val="24"/>
                <w:szCs w:val="24"/>
                <w:u w:val="none"/>
                <w:lang w:val="en-US" w:eastAsia="zh-CN"/>
              </w:rPr>
              <w:t>否</w:t>
            </w:r>
          </w:p>
        </w:tc>
      </w:tr>
      <w:tr w14:paraId="62301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10BD2">
            <w:pPr>
              <w:keepNext w:val="0"/>
              <w:keepLines w:val="0"/>
              <w:widowControl/>
              <w:suppressLineNumbers w:val="0"/>
              <w:spacing w:line="240" w:lineRule="auto"/>
              <w:jc w:val="center"/>
              <w:textAlignment w:val="center"/>
              <w:rPr>
                <w:rFonts w:hint="default"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5</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D55F4">
            <w:pPr>
              <w:keepNext w:val="0"/>
              <w:keepLines w:val="0"/>
              <w:widowControl/>
              <w:suppressLineNumbers w:val="0"/>
              <w:spacing w:line="240" w:lineRule="auto"/>
              <w:jc w:val="center"/>
              <w:textAlignment w:val="center"/>
              <w:rPr>
                <w:rFonts w:hint="default" w:cs="Times New Roman"/>
                <w:i w:val="0"/>
                <w:iCs w:val="0"/>
                <w:color w:val="auto"/>
                <w:sz w:val="24"/>
                <w:szCs w:val="24"/>
                <w:u w:val="none"/>
                <w:lang w:val="en-US" w:eastAsia="zh-CN"/>
              </w:rPr>
            </w:pPr>
          </w:p>
        </w:tc>
        <w:tc>
          <w:tcPr>
            <w:tcW w:w="1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D9931D">
            <w:pPr>
              <w:keepNext w:val="0"/>
              <w:keepLines w:val="0"/>
              <w:widowControl/>
              <w:suppressLineNumbers w:val="0"/>
              <w:spacing w:line="240" w:lineRule="auto"/>
              <w:jc w:val="center"/>
              <w:textAlignment w:val="center"/>
              <w:rPr>
                <w:rFonts w:hint="default"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Combo口数量</w:t>
            </w:r>
          </w:p>
        </w:tc>
        <w:tc>
          <w:tcPr>
            <w:tcW w:w="5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40590">
            <w:pPr>
              <w:keepNext w:val="0"/>
              <w:keepLines w:val="0"/>
              <w:widowControl/>
              <w:suppressLineNumbers w:val="0"/>
              <w:spacing w:line="240" w:lineRule="auto"/>
              <w:jc w:val="left"/>
              <w:textAlignment w:val="center"/>
              <w:rPr>
                <w:rFonts w:hint="default"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≥8个</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06EF2">
            <w:pPr>
              <w:keepNext w:val="0"/>
              <w:keepLines w:val="0"/>
              <w:widowControl/>
              <w:suppressLineNumbers w:val="0"/>
              <w:spacing w:line="240" w:lineRule="auto"/>
              <w:jc w:val="center"/>
              <w:textAlignment w:val="center"/>
              <w:rPr>
                <w:rFonts w:hint="default" w:cs="Times New Roman"/>
                <w:i w:val="0"/>
                <w:iCs w:val="0"/>
                <w:color w:val="auto"/>
                <w:sz w:val="24"/>
                <w:szCs w:val="24"/>
                <w:u w:val="none"/>
                <w:lang w:val="en-US" w:eastAsia="zh-CN"/>
              </w:rPr>
            </w:pPr>
            <w:r>
              <w:rPr>
                <w:rFonts w:hint="eastAsia" w:cs="Times New Roman"/>
                <w:i w:val="0"/>
                <w:iCs w:val="0"/>
                <w:color w:val="auto"/>
                <w:sz w:val="24"/>
                <w:szCs w:val="24"/>
                <w:u w:val="none"/>
                <w:lang w:val="en-US" w:eastAsia="zh-CN"/>
              </w:rPr>
              <w:t>否</w:t>
            </w:r>
          </w:p>
        </w:tc>
      </w:tr>
      <w:tr w14:paraId="33B20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6D500">
            <w:pPr>
              <w:keepNext w:val="0"/>
              <w:keepLines w:val="0"/>
              <w:widowControl/>
              <w:suppressLineNumbers w:val="0"/>
              <w:spacing w:line="240" w:lineRule="auto"/>
              <w:jc w:val="center"/>
              <w:textAlignment w:val="center"/>
              <w:rPr>
                <w:rFonts w:hint="default"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4DBAE">
            <w:pPr>
              <w:keepNext w:val="0"/>
              <w:keepLines w:val="0"/>
              <w:widowControl/>
              <w:suppressLineNumbers w:val="0"/>
              <w:spacing w:line="240" w:lineRule="auto"/>
              <w:jc w:val="center"/>
              <w:textAlignment w:val="center"/>
              <w:rPr>
                <w:rFonts w:hint="default" w:cs="Times New Roman"/>
                <w:i w:val="0"/>
                <w:iCs w:val="0"/>
                <w:color w:val="auto"/>
                <w:sz w:val="24"/>
                <w:szCs w:val="24"/>
                <w:u w:val="none"/>
                <w:lang w:val="en-US" w:eastAsia="zh-CN"/>
              </w:rPr>
            </w:pPr>
          </w:p>
        </w:tc>
        <w:tc>
          <w:tcPr>
            <w:tcW w:w="1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9FA87B">
            <w:pPr>
              <w:keepNext w:val="0"/>
              <w:keepLines w:val="0"/>
              <w:widowControl/>
              <w:suppressLineNumbers w:val="0"/>
              <w:spacing w:line="240" w:lineRule="auto"/>
              <w:jc w:val="center"/>
              <w:textAlignment w:val="center"/>
              <w:rPr>
                <w:rFonts w:hint="default"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万兆光口数量</w:t>
            </w:r>
          </w:p>
        </w:tc>
        <w:tc>
          <w:tcPr>
            <w:tcW w:w="5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5902B">
            <w:pPr>
              <w:keepNext w:val="0"/>
              <w:keepLines w:val="0"/>
              <w:widowControl/>
              <w:suppressLineNumbers w:val="0"/>
              <w:spacing w:line="240" w:lineRule="auto"/>
              <w:jc w:val="left"/>
              <w:textAlignment w:val="center"/>
              <w:rPr>
                <w:rFonts w:hint="default"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≥2个</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81610">
            <w:pPr>
              <w:keepNext w:val="0"/>
              <w:keepLines w:val="0"/>
              <w:widowControl/>
              <w:suppressLineNumbers w:val="0"/>
              <w:spacing w:line="240" w:lineRule="auto"/>
              <w:jc w:val="center"/>
              <w:textAlignment w:val="center"/>
              <w:rPr>
                <w:rFonts w:hint="default" w:cs="Times New Roman"/>
                <w:i w:val="0"/>
                <w:iCs w:val="0"/>
                <w:color w:val="auto"/>
                <w:sz w:val="24"/>
                <w:szCs w:val="24"/>
                <w:u w:val="none"/>
                <w:lang w:val="en-US" w:eastAsia="zh-CN"/>
              </w:rPr>
            </w:pPr>
            <w:r>
              <w:rPr>
                <w:rFonts w:hint="eastAsia" w:cs="Times New Roman"/>
                <w:i w:val="0"/>
                <w:iCs w:val="0"/>
                <w:color w:val="auto"/>
                <w:sz w:val="24"/>
                <w:szCs w:val="24"/>
                <w:u w:val="none"/>
                <w:lang w:val="en-US" w:eastAsia="zh-CN"/>
              </w:rPr>
              <w:t>否</w:t>
            </w:r>
          </w:p>
        </w:tc>
      </w:tr>
      <w:tr w14:paraId="1D35C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D12FC">
            <w:pPr>
              <w:keepNext w:val="0"/>
              <w:keepLines w:val="0"/>
              <w:widowControl/>
              <w:suppressLineNumbers w:val="0"/>
              <w:spacing w:line="240" w:lineRule="auto"/>
              <w:jc w:val="center"/>
              <w:textAlignment w:val="center"/>
              <w:rPr>
                <w:rFonts w:hint="default"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7</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347C7">
            <w:pPr>
              <w:keepNext w:val="0"/>
              <w:keepLines w:val="0"/>
              <w:widowControl/>
              <w:suppressLineNumbers w:val="0"/>
              <w:spacing w:line="240" w:lineRule="auto"/>
              <w:jc w:val="center"/>
              <w:textAlignment w:val="center"/>
              <w:rPr>
                <w:rFonts w:hint="default" w:cs="Times New Roman"/>
                <w:i w:val="0"/>
                <w:iCs w:val="0"/>
                <w:color w:val="auto"/>
                <w:sz w:val="24"/>
                <w:szCs w:val="24"/>
                <w:u w:val="none"/>
                <w:lang w:val="en-US" w:eastAsia="zh-CN"/>
              </w:rPr>
            </w:pPr>
          </w:p>
        </w:tc>
        <w:tc>
          <w:tcPr>
            <w:tcW w:w="1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3CEAA1">
            <w:pPr>
              <w:keepNext w:val="0"/>
              <w:keepLines w:val="0"/>
              <w:widowControl/>
              <w:suppressLineNumbers w:val="0"/>
              <w:spacing w:line="240" w:lineRule="auto"/>
              <w:jc w:val="center"/>
              <w:textAlignment w:val="center"/>
              <w:rPr>
                <w:rFonts w:hint="default"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Console口数量</w:t>
            </w:r>
          </w:p>
        </w:tc>
        <w:tc>
          <w:tcPr>
            <w:tcW w:w="5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62465">
            <w:pPr>
              <w:keepNext w:val="0"/>
              <w:keepLines w:val="0"/>
              <w:widowControl/>
              <w:suppressLineNumbers w:val="0"/>
              <w:spacing w:line="240" w:lineRule="auto"/>
              <w:jc w:val="left"/>
              <w:textAlignment w:val="center"/>
              <w:rPr>
                <w:rFonts w:hint="default"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≥1个</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4209F">
            <w:pPr>
              <w:keepNext w:val="0"/>
              <w:keepLines w:val="0"/>
              <w:widowControl/>
              <w:suppressLineNumbers w:val="0"/>
              <w:spacing w:line="240" w:lineRule="auto"/>
              <w:jc w:val="center"/>
              <w:textAlignment w:val="center"/>
              <w:rPr>
                <w:rFonts w:hint="default" w:cs="Times New Roman"/>
                <w:i w:val="0"/>
                <w:iCs w:val="0"/>
                <w:color w:val="auto"/>
                <w:sz w:val="24"/>
                <w:szCs w:val="24"/>
                <w:u w:val="none"/>
                <w:lang w:val="en-US" w:eastAsia="zh-CN"/>
              </w:rPr>
            </w:pPr>
            <w:r>
              <w:rPr>
                <w:rFonts w:hint="eastAsia" w:cs="Times New Roman"/>
                <w:i w:val="0"/>
                <w:iCs w:val="0"/>
                <w:color w:val="auto"/>
                <w:sz w:val="24"/>
                <w:szCs w:val="24"/>
                <w:u w:val="none"/>
                <w:lang w:val="en-US" w:eastAsia="zh-CN"/>
              </w:rPr>
              <w:t>否</w:t>
            </w:r>
          </w:p>
        </w:tc>
      </w:tr>
    </w:tbl>
    <w:p w14:paraId="2DA0ADE1">
      <w:pPr>
        <w:pStyle w:val="55"/>
        <w:rPr>
          <w:rFonts w:hint="default"/>
          <w:color w:val="auto"/>
          <w:lang w:val="en-US" w:eastAsia="zh-CN"/>
        </w:rPr>
      </w:pPr>
    </w:p>
    <w:p w14:paraId="74D96559">
      <w:pPr>
        <w:keepNext/>
        <w:keepLines/>
        <w:numPr>
          <w:ilvl w:val="0"/>
          <w:numId w:val="17"/>
        </w:numPr>
        <w:spacing w:line="360" w:lineRule="auto"/>
        <w:ind w:left="0" w:firstLine="0"/>
        <w:outlineLvl w:val="4"/>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iCs w:val="0"/>
          <w:color w:val="auto"/>
          <w:kern w:val="0"/>
          <w:sz w:val="24"/>
          <w:szCs w:val="24"/>
          <w:u w:val="none"/>
          <w:lang w:val="en-US" w:eastAsia="zh-CN" w:bidi="ar"/>
        </w:rPr>
        <w:t>机柜（1</w:t>
      </w:r>
      <w:r>
        <w:rPr>
          <w:rFonts w:hint="default" w:ascii="Times New Roman" w:hAnsi="Times New Roman" w:cs="Times New Roman"/>
          <w:i w:val="0"/>
          <w:iCs w:val="0"/>
          <w:color w:val="auto"/>
          <w:kern w:val="0"/>
          <w:sz w:val="24"/>
          <w:szCs w:val="24"/>
          <w:u w:val="none"/>
          <w:lang w:val="en-US" w:eastAsia="zh-CN" w:bidi="ar"/>
        </w:rPr>
        <w:t>台</w:t>
      </w:r>
      <w:r>
        <w:rPr>
          <w:rFonts w:hint="default" w:ascii="Times New Roman" w:hAnsi="Times New Roman" w:eastAsia="宋体" w:cs="Times New Roman"/>
          <w:i w:val="0"/>
          <w:iCs w:val="0"/>
          <w:color w:val="auto"/>
          <w:kern w:val="0"/>
          <w:sz w:val="24"/>
          <w:szCs w:val="24"/>
          <w:u w:val="none"/>
          <w:lang w:val="en-US" w:eastAsia="zh-CN" w:bidi="ar"/>
        </w:rPr>
        <w:t>）</w:t>
      </w:r>
    </w:p>
    <w:tbl>
      <w:tblPr>
        <w:tblStyle w:val="38"/>
        <w:tblW w:w="90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75"/>
        <w:gridCol w:w="585"/>
        <w:gridCol w:w="1020"/>
        <w:gridCol w:w="5775"/>
        <w:gridCol w:w="1016"/>
      </w:tblGrid>
      <w:tr w14:paraId="2D84C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1CD65781">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序号</w:t>
            </w:r>
          </w:p>
        </w:tc>
        <w:tc>
          <w:tcPr>
            <w:tcW w:w="58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6BF6272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重要性</w:t>
            </w:r>
          </w:p>
        </w:tc>
        <w:tc>
          <w:tcPr>
            <w:tcW w:w="1020"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18C3852C">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指标项</w:t>
            </w:r>
          </w:p>
        </w:tc>
        <w:tc>
          <w:tcPr>
            <w:tcW w:w="577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7627CA98">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指标要求</w:t>
            </w:r>
          </w:p>
        </w:tc>
        <w:tc>
          <w:tcPr>
            <w:tcW w:w="1016"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2CF83CC1">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color w:val="auto"/>
                <w:sz w:val="24"/>
                <w:szCs w:val="24"/>
                <w:lang w:val="en-US" w:eastAsia="zh-CN"/>
              </w:rPr>
              <w:t>是否需要提供证明材料</w:t>
            </w:r>
          </w:p>
        </w:tc>
      </w:tr>
      <w:tr w14:paraId="4CDDE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F5873">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kern w:val="0"/>
                <w:sz w:val="24"/>
                <w:szCs w:val="24"/>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53B41">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9A2196">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服务器机柜</w:t>
            </w:r>
          </w:p>
        </w:tc>
        <w:tc>
          <w:tcPr>
            <w:tcW w:w="5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651FC">
            <w:pPr>
              <w:keepNext w:val="0"/>
              <w:keepLines w:val="0"/>
              <w:widowControl/>
              <w:suppressLineNumbers w:val="0"/>
              <w:jc w:val="both"/>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auto"/>
                <w:kern w:val="0"/>
                <w:sz w:val="24"/>
                <w:szCs w:val="24"/>
                <w:u w:val="none"/>
                <w:lang w:val="en-US" w:eastAsia="zh-CN" w:bidi="ar"/>
              </w:rPr>
              <w:t>42U标准服务器机柜：≥3个隔板，≥2个10口PDU，配有风扇，前后网门黑色，含</w:t>
            </w:r>
            <w:r>
              <w:rPr>
                <w:rFonts w:hint="eastAsia" w:cs="Times New Roman"/>
                <w:i w:val="0"/>
                <w:iCs w:val="0"/>
                <w:color w:val="auto"/>
                <w:kern w:val="0"/>
                <w:sz w:val="24"/>
                <w:szCs w:val="24"/>
                <w:u w:val="none"/>
                <w:lang w:val="en-US" w:eastAsia="zh-CN" w:bidi="ar"/>
              </w:rPr>
              <w:t>1套</w:t>
            </w:r>
            <w:r>
              <w:rPr>
                <w:rFonts w:hint="default" w:ascii="Times New Roman" w:hAnsi="Times New Roman" w:eastAsia="宋体" w:cs="Times New Roman"/>
                <w:i w:val="0"/>
                <w:iCs w:val="0"/>
                <w:color w:val="auto"/>
                <w:kern w:val="0"/>
                <w:sz w:val="24"/>
                <w:szCs w:val="24"/>
                <w:u w:val="none"/>
                <w:lang w:val="en-US" w:eastAsia="zh-CN" w:bidi="ar"/>
              </w:rPr>
              <w:t>KVM。</w:t>
            </w:r>
          </w:p>
          <w:p w14:paraId="410E5BAC">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kern w:val="0"/>
                <w:sz w:val="24"/>
                <w:szCs w:val="24"/>
                <w:u w:val="none"/>
                <w:lang w:val="en-US" w:eastAsia="zh-CN" w:bidi="ar"/>
              </w:rPr>
              <w:t>提供</w:t>
            </w:r>
            <w:r>
              <w:rPr>
                <w:rFonts w:hint="default" w:ascii="Times New Roman" w:hAnsi="Times New Roman" w:eastAsia="宋体" w:cs="Times New Roman"/>
                <w:i w:val="0"/>
                <w:iCs w:val="0"/>
                <w:color w:val="auto"/>
                <w:kern w:val="0"/>
                <w:sz w:val="24"/>
                <w:szCs w:val="24"/>
                <w:u w:val="none"/>
                <w:lang w:val="en-US" w:eastAsia="zh-CN" w:bidi="ar"/>
              </w:rPr>
              <w:t>设备调试及辅料</w:t>
            </w:r>
            <w:r>
              <w:rPr>
                <w:rFonts w:hint="eastAsia" w:cs="Times New Roman"/>
                <w:i w:val="0"/>
                <w:iCs w:val="0"/>
                <w:color w:val="auto"/>
                <w:kern w:val="0"/>
                <w:sz w:val="24"/>
                <w:szCs w:val="24"/>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4C947">
            <w:pPr>
              <w:jc w:val="center"/>
              <w:rPr>
                <w:rFonts w:hint="eastAsia" w:ascii="Times New Roman" w:hAnsi="Times New Roman" w:eastAsia="宋体" w:cs="Times New Roman"/>
                <w:i w:val="0"/>
                <w:iCs w:val="0"/>
                <w:color w:val="auto"/>
                <w:sz w:val="24"/>
                <w:szCs w:val="24"/>
                <w:u w:val="none"/>
                <w:lang w:val="en-US" w:eastAsia="zh-CN"/>
              </w:rPr>
            </w:pPr>
            <w:r>
              <w:rPr>
                <w:rFonts w:hint="eastAsia" w:cs="Times New Roman"/>
                <w:i w:val="0"/>
                <w:iCs w:val="0"/>
                <w:color w:val="auto"/>
                <w:sz w:val="24"/>
                <w:szCs w:val="24"/>
                <w:u w:val="none"/>
                <w:lang w:val="en-US" w:eastAsia="zh-CN"/>
              </w:rPr>
              <w:t>否</w:t>
            </w:r>
          </w:p>
        </w:tc>
      </w:tr>
    </w:tbl>
    <w:p w14:paraId="23BDB2E9">
      <w:pPr>
        <w:numPr>
          <w:ilvl w:val="0"/>
          <w:numId w:val="0"/>
        </w:numPr>
        <w:spacing w:before="312" w:beforeLines="100" w:after="312" w:afterLines="100" w:line="360" w:lineRule="auto"/>
        <w:ind w:leftChars="200"/>
        <w:outlineLvl w:val="2"/>
        <w:rPr>
          <w:rFonts w:hint="default" w:ascii="Times New Roman" w:hAnsi="Times New Roman" w:eastAsia="宋体" w:cs="Times New Roman"/>
          <w:b/>
          <w:color w:val="auto"/>
          <w:sz w:val="24"/>
          <w:szCs w:val="24"/>
        </w:rPr>
      </w:pPr>
      <w:bookmarkStart w:id="247" w:name="_Toc36717872"/>
      <w:r>
        <w:rPr>
          <w:rFonts w:hint="eastAsia" w:cs="Times New Roman"/>
          <w:b/>
          <w:color w:val="auto"/>
          <w:sz w:val="24"/>
          <w:szCs w:val="24"/>
          <w:lang w:val="en-US" w:eastAsia="zh-CN"/>
        </w:rPr>
        <w:t>二、</w:t>
      </w:r>
      <w:r>
        <w:rPr>
          <w:rFonts w:hint="default" w:ascii="Times New Roman" w:hAnsi="Times New Roman" w:eastAsia="宋体" w:cs="Times New Roman"/>
          <w:b/>
          <w:color w:val="auto"/>
          <w:sz w:val="24"/>
          <w:szCs w:val="24"/>
        </w:rPr>
        <w:t>数据</w:t>
      </w:r>
      <w:r>
        <w:rPr>
          <w:rFonts w:hint="default" w:cs="Times New Roman"/>
          <w:b/>
          <w:color w:val="auto"/>
          <w:sz w:val="24"/>
          <w:szCs w:val="24"/>
          <w:lang w:val="en-US" w:eastAsia="zh-CN"/>
        </w:rPr>
        <w:t>采集</w:t>
      </w:r>
      <w:bookmarkEnd w:id="247"/>
    </w:p>
    <w:p w14:paraId="657A0B14">
      <w:pPr>
        <w:keepNext/>
        <w:keepLines/>
        <w:numPr>
          <w:ilvl w:val="0"/>
          <w:numId w:val="18"/>
        </w:numPr>
        <w:spacing w:line="360" w:lineRule="auto"/>
        <w:ind w:left="0" w:firstLine="0"/>
        <w:outlineLvl w:val="4"/>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iCs w:val="0"/>
          <w:color w:val="auto"/>
          <w:kern w:val="0"/>
          <w:sz w:val="24"/>
          <w:szCs w:val="24"/>
          <w:u w:val="none"/>
          <w:lang w:val="en-US" w:eastAsia="zh-CN" w:bidi="ar"/>
        </w:rPr>
        <w:t>实时数据采集终端</w:t>
      </w:r>
      <w:r>
        <w:rPr>
          <w:rFonts w:hint="default" w:ascii="Times New Roman" w:hAnsi="Times New Roman" w:cs="Times New Roman"/>
          <w:i w:val="0"/>
          <w:iCs w:val="0"/>
          <w:color w:val="auto"/>
          <w:kern w:val="0"/>
          <w:sz w:val="24"/>
          <w:szCs w:val="24"/>
          <w:u w:val="none"/>
          <w:lang w:val="en-US" w:eastAsia="zh-CN" w:bidi="ar"/>
        </w:rPr>
        <w:t>（1台）</w:t>
      </w:r>
    </w:p>
    <w:tbl>
      <w:tblPr>
        <w:tblStyle w:val="38"/>
        <w:tblW w:w="90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0"/>
        <w:gridCol w:w="555"/>
        <w:gridCol w:w="1020"/>
        <w:gridCol w:w="5805"/>
        <w:gridCol w:w="1001"/>
      </w:tblGrid>
      <w:tr w14:paraId="3F2AF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2FE470C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序号</w:t>
            </w:r>
          </w:p>
        </w:tc>
        <w:tc>
          <w:tcPr>
            <w:tcW w:w="55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652FA6D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重要性</w:t>
            </w:r>
          </w:p>
        </w:tc>
        <w:tc>
          <w:tcPr>
            <w:tcW w:w="1020"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064D7AB9">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指标项</w:t>
            </w:r>
          </w:p>
        </w:tc>
        <w:tc>
          <w:tcPr>
            <w:tcW w:w="580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311C6B5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指标要求</w:t>
            </w:r>
          </w:p>
        </w:tc>
        <w:tc>
          <w:tcPr>
            <w:tcW w:w="1001"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742E45B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color w:val="auto"/>
                <w:sz w:val="24"/>
                <w:szCs w:val="24"/>
                <w:lang w:val="en-US" w:eastAsia="zh-CN"/>
              </w:rPr>
              <w:t>是否需要提供证明材料</w:t>
            </w:r>
          </w:p>
        </w:tc>
      </w:tr>
      <w:tr w14:paraId="0A83C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4"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54972">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87040">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w:t>
            </w: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25A6F8">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工控机</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2DA8E">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cs="Times New Roman"/>
                <w:i w:val="0"/>
                <w:iCs w:val="0"/>
                <w:color w:val="auto"/>
                <w:sz w:val="24"/>
                <w:szCs w:val="24"/>
                <w:u w:val="none"/>
                <w:lang w:val="en-US" w:eastAsia="zh-CN"/>
              </w:rPr>
              <w:t>处理器</w:t>
            </w:r>
            <w:r>
              <w:rPr>
                <w:rFonts w:hint="default" w:ascii="Times New Roman" w:hAnsi="Times New Roman" w:eastAsia="宋体" w:cs="Times New Roman"/>
                <w:i w:val="0"/>
                <w:iCs w:val="0"/>
                <w:color w:val="auto"/>
                <w:sz w:val="24"/>
                <w:szCs w:val="24"/>
                <w:u w:val="none"/>
              </w:rPr>
              <w:t>I5-2400</w:t>
            </w:r>
            <w:r>
              <w:rPr>
                <w:rFonts w:hint="default" w:ascii="Times New Roman" w:hAnsi="Times New Roman" w:cs="Times New Roman"/>
                <w:i w:val="0"/>
                <w:iCs w:val="0"/>
                <w:color w:val="auto"/>
                <w:sz w:val="24"/>
                <w:szCs w:val="24"/>
                <w:u w:val="none"/>
                <w:lang w:val="en-US" w:eastAsia="zh-CN"/>
              </w:rPr>
              <w:t>内存</w:t>
            </w:r>
            <w:r>
              <w:rPr>
                <w:rFonts w:hint="default"/>
                <w:color w:val="auto"/>
                <w:lang w:val="en-US" w:eastAsia="zh-CN"/>
              </w:rPr>
              <w:t>不少于8G</w:t>
            </w:r>
            <w:r>
              <w:rPr>
                <w:rFonts w:hint="default" w:ascii="Times New Roman" w:hAnsi="Times New Roman" w:eastAsia="宋体" w:cs="Times New Roman"/>
                <w:i w:val="0"/>
                <w:iCs w:val="0"/>
                <w:color w:val="auto"/>
                <w:sz w:val="24"/>
                <w:szCs w:val="24"/>
                <w:u w:val="none"/>
              </w:rPr>
              <w:t>/</w:t>
            </w:r>
            <w:r>
              <w:rPr>
                <w:rFonts w:hint="default" w:ascii="Times New Roman" w:hAnsi="Times New Roman" w:cs="Times New Roman"/>
                <w:i w:val="0"/>
                <w:iCs w:val="0"/>
                <w:color w:val="auto"/>
                <w:sz w:val="24"/>
                <w:szCs w:val="24"/>
                <w:u w:val="none"/>
                <w:lang w:val="en-US" w:eastAsia="zh-CN"/>
              </w:rPr>
              <w:t>硬盘容量</w:t>
            </w:r>
            <w:r>
              <w:rPr>
                <w:rFonts w:hint="default" w:ascii="Times New Roman" w:hAnsi="Times New Roman" w:eastAsia="宋体" w:cs="Times New Roman"/>
                <w:i w:val="0"/>
                <w:iCs w:val="0"/>
                <w:color w:val="auto"/>
                <w:sz w:val="24"/>
                <w:szCs w:val="24"/>
                <w:u w:val="none"/>
              </w:rPr>
              <w:t>1T/集成双网卡/单扩2个网口/</w:t>
            </w:r>
            <w:r>
              <w:rPr>
                <w:rFonts w:hint="eastAsia" w:cs="Times New Roman"/>
                <w:i w:val="0"/>
                <w:iCs w:val="0"/>
                <w:color w:val="auto"/>
                <w:sz w:val="24"/>
                <w:szCs w:val="24"/>
                <w:u w:val="none"/>
                <w:lang w:val="en-US" w:eastAsia="zh-CN"/>
              </w:rPr>
              <w:t>键盘、鼠标</w:t>
            </w:r>
            <w:r>
              <w:rPr>
                <w:rFonts w:hint="default" w:ascii="Times New Roman" w:hAnsi="Times New Roman" w:eastAsia="宋体" w:cs="Times New Roman"/>
                <w:i w:val="0"/>
                <w:iCs w:val="0"/>
                <w:color w:val="auto"/>
                <w:sz w:val="24"/>
                <w:szCs w:val="24"/>
                <w:u w:val="none"/>
              </w:rPr>
              <w:t>/</w:t>
            </w:r>
            <w:r>
              <w:rPr>
                <w:rFonts w:hint="default" w:ascii="Times New Roman" w:hAnsi="Times New Roman" w:cs="Times New Roman"/>
                <w:i w:val="0"/>
                <w:iCs w:val="0"/>
                <w:color w:val="auto"/>
                <w:sz w:val="24"/>
                <w:szCs w:val="24"/>
                <w:u w:val="none"/>
                <w:lang w:val="en-US" w:eastAsia="zh-CN"/>
              </w:rPr>
              <w:t>操作系统</w:t>
            </w:r>
            <w:r>
              <w:rPr>
                <w:rFonts w:hint="default" w:ascii="Times New Roman" w:hAnsi="Times New Roman" w:eastAsia="宋体" w:cs="Times New Roman"/>
                <w:i w:val="0"/>
                <w:iCs w:val="0"/>
                <w:color w:val="auto"/>
                <w:sz w:val="24"/>
                <w:szCs w:val="24"/>
                <w:u w:val="none"/>
              </w:rPr>
              <w:t>WIN10；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961E3">
            <w:pPr>
              <w:jc w:val="center"/>
              <w:rPr>
                <w:rFonts w:hint="default" w:ascii="Times New Roman" w:hAnsi="Times New Roman" w:eastAsia="宋体"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否</w:t>
            </w:r>
          </w:p>
        </w:tc>
      </w:tr>
      <w:tr w14:paraId="6E6A5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8"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90099">
            <w:pPr>
              <w:jc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EA39B">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w:t>
            </w: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9FFF61">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数据库采集软件</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DA7CC">
            <w:pPr>
              <w:keepNext w:val="0"/>
              <w:keepLines w:val="0"/>
              <w:widowControl/>
              <w:suppressLineNumbers w:val="0"/>
              <w:jc w:val="left"/>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集成实时数据库采集软件，开发版≥3000点；基于 Web 的解决方案支持远程访问和控制；实时采集和监控各种传感器和设备的数据；具有丰富的界面设计工具；方便与标准程序和用户程序组合在一起使用，满足实际需要‌。</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71D16">
            <w:pPr>
              <w:jc w:val="center"/>
              <w:rPr>
                <w:rFonts w:hint="default" w:ascii="Times New Roman" w:hAnsi="Times New Roman" w:eastAsia="宋体"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否</w:t>
            </w:r>
          </w:p>
        </w:tc>
      </w:tr>
    </w:tbl>
    <w:p w14:paraId="648BA435">
      <w:pPr>
        <w:pStyle w:val="55"/>
        <w:rPr>
          <w:rFonts w:hint="default"/>
          <w:color w:val="auto"/>
          <w:lang w:val="en-US" w:eastAsia="zh-CN"/>
        </w:rPr>
      </w:pPr>
    </w:p>
    <w:p w14:paraId="7C27C443">
      <w:pPr>
        <w:keepNext/>
        <w:keepLines/>
        <w:numPr>
          <w:ilvl w:val="0"/>
          <w:numId w:val="18"/>
        </w:numPr>
        <w:spacing w:line="360" w:lineRule="auto"/>
        <w:ind w:left="0" w:firstLine="0"/>
        <w:outlineLvl w:val="4"/>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iCs w:val="0"/>
          <w:color w:val="auto"/>
          <w:kern w:val="0"/>
          <w:sz w:val="24"/>
          <w:szCs w:val="24"/>
          <w:u w:val="none"/>
          <w:lang w:val="en-US" w:eastAsia="zh-CN" w:bidi="ar"/>
        </w:rPr>
        <w:t>关系数据采集终端（</w:t>
      </w:r>
      <w:r>
        <w:rPr>
          <w:rFonts w:hint="default" w:ascii="Times New Roman" w:hAnsi="Times New Roman" w:cs="Times New Roman"/>
          <w:i w:val="0"/>
          <w:iCs w:val="0"/>
          <w:color w:val="auto"/>
          <w:kern w:val="0"/>
          <w:sz w:val="24"/>
          <w:szCs w:val="24"/>
          <w:u w:val="none"/>
          <w:lang w:val="en-US" w:eastAsia="zh-CN" w:bidi="ar"/>
        </w:rPr>
        <w:t>1台</w:t>
      </w:r>
      <w:r>
        <w:rPr>
          <w:rFonts w:hint="default" w:ascii="Times New Roman" w:hAnsi="Times New Roman" w:eastAsia="宋体" w:cs="Times New Roman"/>
          <w:i w:val="0"/>
          <w:iCs w:val="0"/>
          <w:color w:val="auto"/>
          <w:kern w:val="0"/>
          <w:sz w:val="24"/>
          <w:szCs w:val="24"/>
          <w:u w:val="none"/>
          <w:lang w:val="en-US" w:eastAsia="zh-CN" w:bidi="ar"/>
        </w:rPr>
        <w:t>）</w:t>
      </w:r>
    </w:p>
    <w:tbl>
      <w:tblPr>
        <w:tblStyle w:val="38"/>
        <w:tblW w:w="90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75"/>
        <w:gridCol w:w="585"/>
        <w:gridCol w:w="1005"/>
        <w:gridCol w:w="5805"/>
        <w:gridCol w:w="1001"/>
      </w:tblGrid>
      <w:tr w14:paraId="3DDCF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70C2FFD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序号</w:t>
            </w:r>
          </w:p>
        </w:tc>
        <w:tc>
          <w:tcPr>
            <w:tcW w:w="58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6F252D0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重要性</w:t>
            </w:r>
          </w:p>
        </w:tc>
        <w:tc>
          <w:tcPr>
            <w:tcW w:w="100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047D7D38">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指标项</w:t>
            </w:r>
          </w:p>
        </w:tc>
        <w:tc>
          <w:tcPr>
            <w:tcW w:w="580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3EFBD058">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指标要求</w:t>
            </w:r>
          </w:p>
        </w:tc>
        <w:tc>
          <w:tcPr>
            <w:tcW w:w="1001"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4A01815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color w:val="auto"/>
                <w:sz w:val="24"/>
                <w:szCs w:val="24"/>
                <w:lang w:val="en-US" w:eastAsia="zh-CN"/>
              </w:rPr>
              <w:t>是否需要提供证明材料</w:t>
            </w:r>
          </w:p>
        </w:tc>
      </w:tr>
      <w:tr w14:paraId="49A20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FBC06">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D1A77">
            <w:pPr>
              <w:keepNext w:val="0"/>
              <w:keepLines w:val="0"/>
              <w:widowControl/>
              <w:suppressLineNumbers w:val="0"/>
              <w:jc w:val="center"/>
              <w:textAlignment w:val="center"/>
              <w:rPr>
                <w:rFonts w:ascii="Times New Roman" w:hAnsi="Times New Roman" w:eastAsia="Segoe UI Symbol"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w:t>
            </w: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D79B6E">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工控机</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AFBE6">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cs="Times New Roman"/>
                <w:i w:val="0"/>
                <w:iCs w:val="0"/>
                <w:color w:val="auto"/>
                <w:sz w:val="24"/>
                <w:szCs w:val="24"/>
                <w:u w:val="none"/>
                <w:lang w:val="en-US" w:eastAsia="zh-CN"/>
              </w:rPr>
              <w:t>处理器</w:t>
            </w:r>
            <w:r>
              <w:rPr>
                <w:rFonts w:hint="default" w:ascii="Times New Roman" w:hAnsi="Times New Roman" w:eastAsia="宋体" w:cs="Times New Roman"/>
                <w:i w:val="0"/>
                <w:iCs w:val="0"/>
                <w:color w:val="auto"/>
                <w:sz w:val="24"/>
                <w:szCs w:val="24"/>
                <w:u w:val="none"/>
              </w:rPr>
              <w:t>I5-2400/</w:t>
            </w:r>
            <w:r>
              <w:rPr>
                <w:rFonts w:hint="default" w:ascii="Times New Roman" w:hAnsi="Times New Roman" w:cs="Times New Roman"/>
                <w:i w:val="0"/>
                <w:iCs w:val="0"/>
                <w:color w:val="auto"/>
                <w:sz w:val="24"/>
                <w:szCs w:val="24"/>
                <w:u w:val="none"/>
                <w:lang w:val="en-US" w:eastAsia="zh-CN"/>
              </w:rPr>
              <w:t>内存</w:t>
            </w:r>
            <w:r>
              <w:rPr>
                <w:rFonts w:hint="default"/>
                <w:color w:val="auto"/>
                <w:lang w:val="en-US" w:eastAsia="zh-CN"/>
              </w:rPr>
              <w:t>不少于8G</w:t>
            </w:r>
            <w:r>
              <w:rPr>
                <w:rFonts w:hint="default" w:ascii="Times New Roman" w:hAnsi="Times New Roman" w:eastAsia="宋体" w:cs="Times New Roman"/>
                <w:i w:val="0"/>
                <w:iCs w:val="0"/>
                <w:color w:val="auto"/>
                <w:sz w:val="24"/>
                <w:szCs w:val="24"/>
                <w:u w:val="none"/>
              </w:rPr>
              <w:t>/</w:t>
            </w:r>
            <w:r>
              <w:rPr>
                <w:rFonts w:hint="default" w:ascii="Times New Roman" w:hAnsi="Times New Roman" w:cs="Times New Roman"/>
                <w:i w:val="0"/>
                <w:iCs w:val="0"/>
                <w:color w:val="auto"/>
                <w:sz w:val="24"/>
                <w:szCs w:val="24"/>
                <w:u w:val="none"/>
                <w:lang w:val="en-US" w:eastAsia="zh-CN"/>
              </w:rPr>
              <w:t>硬盘容量</w:t>
            </w:r>
            <w:r>
              <w:rPr>
                <w:rFonts w:hint="default" w:ascii="Times New Roman" w:hAnsi="Times New Roman" w:eastAsia="宋体" w:cs="Times New Roman"/>
                <w:i w:val="0"/>
                <w:iCs w:val="0"/>
                <w:color w:val="auto"/>
                <w:sz w:val="24"/>
                <w:szCs w:val="24"/>
                <w:u w:val="none"/>
              </w:rPr>
              <w:t>1T/集成双网卡/单扩2个网口/</w:t>
            </w:r>
            <w:r>
              <w:rPr>
                <w:rFonts w:hint="eastAsia" w:cs="Times New Roman"/>
                <w:i w:val="0"/>
                <w:iCs w:val="0"/>
                <w:color w:val="auto"/>
                <w:sz w:val="24"/>
                <w:szCs w:val="24"/>
                <w:u w:val="none"/>
                <w:lang w:val="en-US" w:eastAsia="zh-CN"/>
              </w:rPr>
              <w:t>键盘、鼠标</w:t>
            </w:r>
            <w:r>
              <w:rPr>
                <w:rFonts w:hint="default" w:ascii="Times New Roman" w:hAnsi="Times New Roman" w:eastAsia="宋体" w:cs="Times New Roman"/>
                <w:i w:val="0"/>
                <w:iCs w:val="0"/>
                <w:color w:val="auto"/>
                <w:sz w:val="24"/>
                <w:szCs w:val="24"/>
                <w:u w:val="none"/>
              </w:rPr>
              <w:t>/</w:t>
            </w:r>
            <w:r>
              <w:rPr>
                <w:rFonts w:hint="default" w:ascii="Times New Roman" w:hAnsi="Times New Roman" w:cs="Times New Roman"/>
                <w:i w:val="0"/>
                <w:iCs w:val="0"/>
                <w:color w:val="auto"/>
                <w:sz w:val="24"/>
                <w:szCs w:val="24"/>
                <w:u w:val="none"/>
                <w:lang w:val="en-US" w:eastAsia="zh-CN"/>
              </w:rPr>
              <w:t>操作系统</w:t>
            </w:r>
            <w:r>
              <w:rPr>
                <w:rFonts w:hint="default" w:ascii="Times New Roman" w:hAnsi="Times New Roman" w:eastAsia="宋体" w:cs="Times New Roman"/>
                <w:i w:val="0"/>
                <w:iCs w:val="0"/>
                <w:color w:val="auto"/>
                <w:sz w:val="24"/>
                <w:szCs w:val="24"/>
                <w:u w:val="none"/>
              </w:rPr>
              <w:t>WIN10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F4245">
            <w:pPr>
              <w:jc w:val="center"/>
              <w:rPr>
                <w:rFonts w:hint="default" w:ascii="Times New Roman" w:hAnsi="Times New Roman" w:eastAsia="宋体"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否</w:t>
            </w:r>
          </w:p>
        </w:tc>
      </w:tr>
      <w:tr w14:paraId="5F259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11F1D">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1AE8F">
            <w:pPr>
              <w:keepNext w:val="0"/>
              <w:keepLines w:val="0"/>
              <w:widowControl/>
              <w:suppressLineNumbers w:val="0"/>
              <w:jc w:val="center"/>
              <w:textAlignment w:val="center"/>
              <w:rPr>
                <w:rFonts w:hint="default" w:ascii="Times New Roman" w:hAnsi="Times New Roman" w:eastAsia="Segoe UI Symbol"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w:t>
            </w: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6F8088">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集成数据采集软件</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1A5B2">
            <w:pPr>
              <w:keepNext w:val="0"/>
              <w:keepLines w:val="0"/>
              <w:widowControl/>
              <w:suppressLineNumbers w:val="0"/>
              <w:jc w:val="left"/>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集成数据采集软件，支持（S7, Codesys, Allen Bradley,B&amp;R, Bachmann, Beckhoff, Sigmatek, Logix, Mitsubishi MELSEC）PLC数据通讯，支持Modbus TCP client communication interface、Generic-TCP/IP protocol communication interface通讯，采集下位机数据</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9682E">
            <w:pPr>
              <w:jc w:val="center"/>
              <w:rPr>
                <w:rFonts w:hint="default" w:ascii="Times New Roman" w:hAnsi="Times New Roman" w:eastAsia="宋体"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否</w:t>
            </w:r>
          </w:p>
        </w:tc>
      </w:tr>
    </w:tbl>
    <w:p w14:paraId="48F02AB6">
      <w:pPr>
        <w:pStyle w:val="55"/>
        <w:rPr>
          <w:rFonts w:hint="default"/>
          <w:color w:val="auto"/>
          <w:lang w:val="en-US" w:eastAsia="zh-CN"/>
        </w:rPr>
      </w:pPr>
    </w:p>
    <w:p w14:paraId="7FB94401">
      <w:pPr>
        <w:keepNext/>
        <w:keepLines/>
        <w:numPr>
          <w:ilvl w:val="0"/>
          <w:numId w:val="18"/>
        </w:numPr>
        <w:spacing w:line="360" w:lineRule="auto"/>
        <w:ind w:left="0" w:firstLine="0"/>
        <w:outlineLvl w:val="4"/>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iCs w:val="0"/>
          <w:color w:val="auto"/>
          <w:kern w:val="0"/>
          <w:sz w:val="24"/>
          <w:szCs w:val="24"/>
          <w:u w:val="none"/>
          <w:lang w:val="en-US" w:eastAsia="zh-CN" w:bidi="ar"/>
        </w:rPr>
        <w:t>接入交换机</w:t>
      </w:r>
      <w:r>
        <w:rPr>
          <w:rFonts w:hint="default" w:ascii="Times New Roman" w:hAnsi="Times New Roman" w:cs="Times New Roman"/>
          <w:i w:val="0"/>
          <w:iCs w:val="0"/>
          <w:color w:val="auto"/>
          <w:kern w:val="0"/>
          <w:sz w:val="24"/>
          <w:szCs w:val="24"/>
          <w:u w:val="none"/>
          <w:lang w:val="en-US" w:eastAsia="zh-CN" w:bidi="ar"/>
        </w:rPr>
        <w:t>（1台）</w:t>
      </w:r>
    </w:p>
    <w:tbl>
      <w:tblPr>
        <w:tblStyle w:val="38"/>
        <w:tblW w:w="90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0"/>
        <w:gridCol w:w="615"/>
        <w:gridCol w:w="990"/>
        <w:gridCol w:w="5760"/>
        <w:gridCol w:w="1046"/>
      </w:tblGrid>
      <w:tr w14:paraId="4BFFF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0DD773F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序号</w:t>
            </w:r>
          </w:p>
        </w:tc>
        <w:tc>
          <w:tcPr>
            <w:tcW w:w="61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70374584">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重要性</w:t>
            </w:r>
          </w:p>
        </w:tc>
        <w:tc>
          <w:tcPr>
            <w:tcW w:w="990"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117B634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指标项</w:t>
            </w:r>
          </w:p>
        </w:tc>
        <w:tc>
          <w:tcPr>
            <w:tcW w:w="5760"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1DBB2CD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指标要求</w:t>
            </w:r>
          </w:p>
        </w:tc>
        <w:tc>
          <w:tcPr>
            <w:tcW w:w="1046"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7E239BDA">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color w:val="auto"/>
                <w:sz w:val="24"/>
                <w:szCs w:val="24"/>
                <w:lang w:val="en-US" w:eastAsia="zh-CN"/>
              </w:rPr>
              <w:t>是否需要提供证明材料</w:t>
            </w:r>
          </w:p>
        </w:tc>
      </w:tr>
      <w:tr w14:paraId="15980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53391">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1</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6190D">
            <w:pPr>
              <w:keepNext w:val="0"/>
              <w:keepLines w:val="0"/>
              <w:widowControl/>
              <w:suppressLineNumbers w:val="0"/>
              <w:jc w:val="center"/>
              <w:textAlignment w:val="center"/>
              <w:rPr>
                <w:rFonts w:ascii="Times New Roman" w:hAnsi="Times New Roman" w:eastAsia="Segoe UI Symbol" w:cs="Times New Roman"/>
                <w:i w:val="0"/>
                <w:iCs w:val="0"/>
                <w:color w:val="auto"/>
                <w:sz w:val="24"/>
                <w:szCs w:val="24"/>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8C11AC">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接入交换机</w:t>
            </w:r>
          </w:p>
        </w:tc>
        <w:tc>
          <w:tcPr>
            <w:tcW w:w="5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92604">
            <w:pPr>
              <w:keepNext w:val="0"/>
              <w:keepLines w:val="0"/>
              <w:widowControl/>
              <w:suppressLineNumbers w:val="0"/>
              <w:jc w:val="left"/>
              <w:textAlignment w:val="center"/>
              <w:rPr>
                <w:rFonts w:hint="default" w:ascii="Times New Roman" w:hAnsi="Times New Roman" w:eastAsia="宋体" w:cs="Times New Roman"/>
                <w:i w:val="0"/>
                <w:iCs w:val="0"/>
                <w:color w:val="auto"/>
                <w:sz w:val="24"/>
                <w:szCs w:val="24"/>
                <w:u w:val="none"/>
                <w:lang w:eastAsia="zh-CN"/>
              </w:rPr>
            </w:pPr>
            <w:r>
              <w:rPr>
                <w:rFonts w:hint="default" w:ascii="Times New Roman" w:hAnsi="Times New Roman" w:eastAsia="宋体" w:cs="Times New Roman"/>
                <w:i w:val="0"/>
                <w:iCs w:val="0"/>
                <w:color w:val="auto"/>
                <w:sz w:val="24"/>
                <w:szCs w:val="24"/>
                <w:u w:val="none"/>
              </w:rPr>
              <w:t>支持≥48个10/100/1000BASE-T电口</w:t>
            </w:r>
            <w:r>
              <w:rPr>
                <w:rFonts w:hint="default" w:ascii="Times New Roman" w:hAnsi="Times New Roman" w:cs="Times New Roman"/>
                <w:i w:val="0"/>
                <w:iCs w:val="0"/>
                <w:color w:val="auto"/>
                <w:sz w:val="24"/>
                <w:szCs w:val="24"/>
                <w:u w:val="none"/>
                <w:lang w:eastAsia="zh-CN"/>
              </w:rPr>
              <w:t>；</w:t>
            </w:r>
            <w:r>
              <w:rPr>
                <w:rFonts w:hint="default" w:ascii="Times New Roman" w:hAnsi="Times New Roman" w:eastAsia="宋体" w:cs="Times New Roman"/>
                <w:i w:val="0"/>
                <w:iCs w:val="0"/>
                <w:color w:val="auto"/>
                <w:sz w:val="24"/>
                <w:szCs w:val="24"/>
                <w:u w:val="none"/>
              </w:rPr>
              <w:t>支持≥4个千兆SPF+端口</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BA041">
            <w:pPr>
              <w:jc w:val="center"/>
              <w:rPr>
                <w:rFonts w:hint="eastAsia" w:ascii="Times New Roman" w:hAnsi="Times New Roman" w:eastAsia="宋体" w:cs="Times New Roman"/>
                <w:i w:val="0"/>
                <w:iCs w:val="0"/>
                <w:color w:val="auto"/>
                <w:sz w:val="24"/>
                <w:szCs w:val="24"/>
                <w:u w:val="none"/>
                <w:lang w:val="en-US" w:eastAsia="zh-CN"/>
              </w:rPr>
            </w:pPr>
            <w:r>
              <w:rPr>
                <w:rFonts w:hint="eastAsia" w:cs="Times New Roman"/>
                <w:i w:val="0"/>
                <w:iCs w:val="0"/>
                <w:color w:val="auto"/>
                <w:sz w:val="24"/>
                <w:szCs w:val="24"/>
                <w:u w:val="none"/>
                <w:lang w:val="en-US" w:eastAsia="zh-CN"/>
              </w:rPr>
              <w:t>否</w:t>
            </w:r>
          </w:p>
        </w:tc>
      </w:tr>
    </w:tbl>
    <w:p w14:paraId="6C2B8AD8">
      <w:pPr>
        <w:pStyle w:val="55"/>
        <w:rPr>
          <w:rFonts w:hint="default"/>
          <w:color w:val="auto"/>
          <w:lang w:val="en-US" w:eastAsia="zh-CN"/>
        </w:rPr>
      </w:pPr>
    </w:p>
    <w:p w14:paraId="67E9C05D">
      <w:pPr>
        <w:numPr>
          <w:ilvl w:val="0"/>
          <w:numId w:val="0"/>
        </w:numPr>
        <w:spacing w:before="312" w:beforeLines="100" w:after="312" w:afterLines="100" w:line="360" w:lineRule="auto"/>
        <w:ind w:leftChars="200"/>
        <w:outlineLvl w:val="2"/>
        <w:rPr>
          <w:rFonts w:hint="default" w:ascii="Times New Roman" w:hAnsi="Times New Roman" w:eastAsia="宋体" w:cs="Times New Roman"/>
          <w:b/>
          <w:color w:val="auto"/>
          <w:sz w:val="24"/>
          <w:szCs w:val="24"/>
        </w:rPr>
      </w:pPr>
      <w:bookmarkStart w:id="248" w:name="_Toc789468015"/>
      <w:r>
        <w:rPr>
          <w:rFonts w:hint="eastAsia" w:cs="Times New Roman"/>
          <w:b/>
          <w:color w:val="auto"/>
          <w:sz w:val="24"/>
          <w:szCs w:val="24"/>
          <w:lang w:val="en-US" w:eastAsia="zh-CN"/>
        </w:rPr>
        <w:t>三、</w:t>
      </w:r>
      <w:r>
        <w:rPr>
          <w:rFonts w:hint="default" w:cs="Times New Roman"/>
          <w:b/>
          <w:color w:val="auto"/>
          <w:sz w:val="24"/>
          <w:szCs w:val="24"/>
          <w:lang w:val="en-US" w:eastAsia="zh-CN"/>
        </w:rPr>
        <w:t>终端</w:t>
      </w:r>
      <w:bookmarkEnd w:id="248"/>
    </w:p>
    <w:p w14:paraId="012E1E29">
      <w:pPr>
        <w:keepNext/>
        <w:keepLines/>
        <w:numPr>
          <w:ilvl w:val="0"/>
          <w:numId w:val="19"/>
        </w:numPr>
        <w:spacing w:line="360" w:lineRule="auto"/>
        <w:ind w:left="0" w:firstLine="0"/>
        <w:outlineLvl w:val="4"/>
        <w:rPr>
          <w:rFonts w:hint="default" w:ascii="Times New Roman" w:hAnsi="Times New Roman" w:eastAsia="宋体" w:cs="Times New Roman"/>
          <w:color w:val="auto"/>
          <w:sz w:val="24"/>
          <w:szCs w:val="24"/>
          <w:lang w:val="en-US" w:eastAsia="zh-CN"/>
        </w:rPr>
      </w:pPr>
      <w:r>
        <w:rPr>
          <w:rFonts w:hint="default"/>
          <w:color w:val="auto"/>
          <w:sz w:val="24"/>
          <w:szCs w:val="24"/>
        </w:rPr>
        <w:t>操作客户机</w:t>
      </w:r>
      <w:r>
        <w:rPr>
          <w:rFonts w:hint="default"/>
          <w:color w:val="auto"/>
          <w:sz w:val="24"/>
          <w:szCs w:val="24"/>
          <w:lang w:eastAsia="zh-CN"/>
        </w:rPr>
        <w:t>（</w:t>
      </w:r>
      <w:r>
        <w:rPr>
          <w:rFonts w:hint="default"/>
          <w:color w:val="auto"/>
          <w:sz w:val="24"/>
          <w:szCs w:val="24"/>
          <w:lang w:val="en-US" w:eastAsia="zh-CN"/>
        </w:rPr>
        <w:t>10台</w:t>
      </w:r>
      <w:r>
        <w:rPr>
          <w:rFonts w:hint="default"/>
          <w:color w:val="auto"/>
          <w:sz w:val="24"/>
          <w:szCs w:val="24"/>
          <w:lang w:eastAsia="zh-CN"/>
        </w:rPr>
        <w:t>）</w:t>
      </w:r>
    </w:p>
    <w:tbl>
      <w:tblPr>
        <w:tblStyle w:val="38"/>
        <w:tblW w:w="90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0"/>
        <w:gridCol w:w="570"/>
        <w:gridCol w:w="1020"/>
        <w:gridCol w:w="5375"/>
        <w:gridCol w:w="1416"/>
      </w:tblGrid>
      <w:tr w14:paraId="3E02F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0C602B16">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序号</w:t>
            </w:r>
          </w:p>
        </w:tc>
        <w:tc>
          <w:tcPr>
            <w:tcW w:w="570"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064C6B59">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重要性</w:t>
            </w:r>
          </w:p>
        </w:tc>
        <w:tc>
          <w:tcPr>
            <w:tcW w:w="1020"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158D933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指标项</w:t>
            </w:r>
          </w:p>
        </w:tc>
        <w:tc>
          <w:tcPr>
            <w:tcW w:w="537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0E72802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指标要求</w:t>
            </w:r>
          </w:p>
        </w:tc>
        <w:tc>
          <w:tcPr>
            <w:tcW w:w="1416"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1F03295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color w:val="auto"/>
                <w:sz w:val="24"/>
                <w:szCs w:val="24"/>
                <w:lang w:val="en-US" w:eastAsia="zh-CN"/>
              </w:rPr>
              <w:t>是否需要提供证明材料</w:t>
            </w:r>
          </w:p>
        </w:tc>
      </w:tr>
      <w:tr w14:paraId="4E4C4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10ADA">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6CCA1">
            <w:pPr>
              <w:keepNext w:val="0"/>
              <w:keepLines w:val="0"/>
              <w:widowControl/>
              <w:suppressLineNumbers w:val="0"/>
              <w:jc w:val="center"/>
              <w:textAlignment w:val="center"/>
              <w:rPr>
                <w:rFonts w:ascii="Times New Roman" w:hAnsi="Times New Roman" w:eastAsia="Segoe UI Symbol" w:cs="Times New Roman"/>
                <w:i w:val="0"/>
                <w:iCs w:val="0"/>
                <w:color w:val="auto"/>
                <w:sz w:val="24"/>
                <w:szCs w:val="24"/>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36A658">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处理器</w:t>
            </w:r>
          </w:p>
        </w:tc>
        <w:tc>
          <w:tcPr>
            <w:tcW w:w="5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D8B04">
            <w:pPr>
              <w:keepNext w:val="0"/>
              <w:keepLines w:val="0"/>
              <w:widowControl/>
              <w:suppressLineNumbers w:val="0"/>
              <w:jc w:val="left"/>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i7-10700 CPU</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20842">
            <w:pPr>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r w14:paraId="652A0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5A111">
            <w:pPr>
              <w:jc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2</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99D92">
            <w:pPr>
              <w:keepNext w:val="0"/>
              <w:keepLines w:val="0"/>
              <w:widowControl/>
              <w:suppressLineNumbers w:val="0"/>
              <w:jc w:val="center"/>
              <w:textAlignment w:val="center"/>
              <w:rPr>
                <w:rFonts w:hint="default" w:ascii="Times New Roman" w:hAnsi="Times New Roman" w:eastAsia="Segoe UI Symbol" w:cs="Times New Roman"/>
                <w:i w:val="0"/>
                <w:iCs w:val="0"/>
                <w:color w:val="auto"/>
                <w:sz w:val="24"/>
                <w:szCs w:val="24"/>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C8C705">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内存</w:t>
            </w:r>
          </w:p>
        </w:tc>
        <w:tc>
          <w:tcPr>
            <w:tcW w:w="5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5BBC6">
            <w:pPr>
              <w:keepNext w:val="0"/>
              <w:keepLines w:val="0"/>
              <w:widowControl/>
              <w:suppressLineNumbers w:val="0"/>
              <w:jc w:val="left"/>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16G</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5DDEB">
            <w:pPr>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r w14:paraId="50266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15CD6">
            <w:pPr>
              <w:jc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3</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58948">
            <w:pPr>
              <w:keepNext w:val="0"/>
              <w:keepLines w:val="0"/>
              <w:widowControl/>
              <w:suppressLineNumbers w:val="0"/>
              <w:jc w:val="center"/>
              <w:textAlignment w:val="center"/>
              <w:rPr>
                <w:rFonts w:hint="default" w:ascii="Times New Roman" w:hAnsi="Times New Roman" w:eastAsia="Segoe UI Symbol" w:cs="Times New Roman"/>
                <w:i w:val="0"/>
                <w:iCs w:val="0"/>
                <w:color w:val="auto"/>
                <w:sz w:val="24"/>
                <w:szCs w:val="24"/>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896491">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硬盘容量</w:t>
            </w:r>
          </w:p>
        </w:tc>
        <w:tc>
          <w:tcPr>
            <w:tcW w:w="5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1A474">
            <w:pPr>
              <w:keepNext w:val="0"/>
              <w:keepLines w:val="0"/>
              <w:widowControl/>
              <w:suppressLineNumbers w:val="0"/>
              <w:jc w:val="left"/>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240GB/256GB SSD+1TB</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7E608">
            <w:pPr>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r w14:paraId="14F1B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6F3EA">
            <w:pPr>
              <w:jc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4</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B8973">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29D736">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液晶显示器</w:t>
            </w:r>
          </w:p>
        </w:tc>
        <w:tc>
          <w:tcPr>
            <w:tcW w:w="5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C6837">
            <w:pPr>
              <w:keepNext w:val="0"/>
              <w:keepLines w:val="0"/>
              <w:widowControl/>
              <w:suppressLineNumbers w:val="0"/>
              <w:jc w:val="left"/>
              <w:textAlignment w:val="center"/>
              <w:rPr>
                <w:rFonts w:hint="default" w:ascii="Times New Roman" w:hAnsi="Times New Roman" w:eastAsia="宋体" w:cs="Times New Roman"/>
                <w:i w:val="0"/>
                <w:iCs w:val="0"/>
                <w:color w:val="auto"/>
                <w:sz w:val="24"/>
                <w:szCs w:val="24"/>
                <w:u w:val="none"/>
                <w:lang w:val="en-US"/>
              </w:rPr>
            </w:pPr>
            <w:r>
              <w:rPr>
                <w:rFonts w:hint="default" w:ascii="Times New Roman" w:hAnsi="Times New Roman" w:eastAsia="宋体" w:cs="Times New Roman"/>
                <w:i w:val="0"/>
                <w:iCs w:val="0"/>
                <w:color w:val="auto"/>
                <w:sz w:val="24"/>
                <w:szCs w:val="24"/>
                <w:u w:val="none"/>
              </w:rPr>
              <w:t>27</w:t>
            </w:r>
            <w:r>
              <w:rPr>
                <w:rFonts w:hint="default"/>
                <w:color w:val="auto"/>
                <w:lang w:val="en-US" w:eastAsia="zh-CN"/>
              </w:rPr>
              <w:t>寸</w:t>
            </w:r>
            <w:r>
              <w:rPr>
                <w:rFonts w:hint="eastAsia"/>
                <w:lang w:eastAsia="zh-CN"/>
              </w:rPr>
              <w:t>，</w:t>
            </w:r>
            <w:r>
              <w:rPr>
                <w:rFonts w:hint="eastAsia"/>
                <w:lang w:val="en-US" w:eastAsia="zh-CN"/>
              </w:rPr>
              <w:t>分辨率2560*1440</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1BF43">
            <w:pPr>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r w14:paraId="1B62C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7EB2F">
            <w:pPr>
              <w:jc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5</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F7D67">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255DB1">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操作系统</w:t>
            </w:r>
          </w:p>
        </w:tc>
        <w:tc>
          <w:tcPr>
            <w:tcW w:w="5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B6912">
            <w:pPr>
              <w:keepNext w:val="0"/>
              <w:keepLines w:val="0"/>
              <w:widowControl/>
              <w:suppressLineNumbers w:val="0"/>
              <w:jc w:val="left"/>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WIN10</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6744B">
            <w:pPr>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bl>
    <w:p w14:paraId="22A167E6">
      <w:pPr>
        <w:pStyle w:val="55"/>
        <w:rPr>
          <w:rFonts w:hint="default"/>
          <w:color w:val="auto"/>
          <w:lang w:val="en-US" w:eastAsia="zh-CN"/>
        </w:rPr>
      </w:pPr>
    </w:p>
    <w:p w14:paraId="2AA07404">
      <w:pPr>
        <w:keepNext/>
        <w:keepLines/>
        <w:numPr>
          <w:ilvl w:val="0"/>
          <w:numId w:val="19"/>
        </w:numPr>
        <w:spacing w:line="360" w:lineRule="auto"/>
        <w:ind w:left="0" w:firstLine="0"/>
        <w:outlineLvl w:val="4"/>
        <w:rPr>
          <w:rFonts w:hint="default" w:ascii="Times New Roman" w:hAnsi="Times New Roman" w:eastAsia="宋体" w:cs="Times New Roman"/>
          <w:color w:val="auto"/>
          <w:sz w:val="24"/>
          <w:szCs w:val="24"/>
          <w:lang w:val="en-US" w:eastAsia="zh-CN"/>
        </w:rPr>
      </w:pPr>
      <w:r>
        <w:rPr>
          <w:rFonts w:hint="default" w:cs="Times New Roman"/>
          <w:i w:val="0"/>
          <w:iCs w:val="0"/>
          <w:color w:val="auto"/>
          <w:kern w:val="0"/>
          <w:sz w:val="24"/>
          <w:szCs w:val="24"/>
          <w:u w:val="none"/>
          <w:lang w:val="en-US" w:eastAsia="zh-CN" w:bidi="ar"/>
        </w:rPr>
        <w:t>拼接大屏</w:t>
      </w:r>
      <w:r>
        <w:rPr>
          <w:rFonts w:hint="default" w:ascii="Times New Roman" w:hAnsi="Times New Roman" w:cs="Times New Roman"/>
          <w:i w:val="0"/>
          <w:iCs w:val="0"/>
          <w:color w:val="auto"/>
          <w:kern w:val="0"/>
          <w:sz w:val="24"/>
          <w:szCs w:val="24"/>
          <w:u w:val="none"/>
          <w:lang w:val="en-US" w:eastAsia="zh-CN" w:bidi="ar"/>
        </w:rPr>
        <w:t>（1台）</w:t>
      </w:r>
    </w:p>
    <w:tbl>
      <w:tblPr>
        <w:tblStyle w:val="38"/>
        <w:tblW w:w="90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5"/>
        <w:gridCol w:w="600"/>
        <w:gridCol w:w="1005"/>
        <w:gridCol w:w="5332"/>
        <w:gridCol w:w="1429"/>
      </w:tblGrid>
      <w:tr w14:paraId="649F6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5C556481">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序号</w:t>
            </w:r>
          </w:p>
        </w:tc>
        <w:tc>
          <w:tcPr>
            <w:tcW w:w="600"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2F8BD934">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重要性</w:t>
            </w:r>
          </w:p>
        </w:tc>
        <w:tc>
          <w:tcPr>
            <w:tcW w:w="100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4C95A06F">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指标项</w:t>
            </w:r>
          </w:p>
        </w:tc>
        <w:tc>
          <w:tcPr>
            <w:tcW w:w="5332"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4CD97873">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指标要求</w:t>
            </w:r>
          </w:p>
        </w:tc>
        <w:tc>
          <w:tcPr>
            <w:tcW w:w="1429"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6E1AE14A">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color w:val="auto"/>
                <w:sz w:val="24"/>
                <w:szCs w:val="24"/>
                <w:lang w:val="en-US" w:eastAsia="zh-CN"/>
              </w:rPr>
              <w:t>是否需要提供证明材料</w:t>
            </w:r>
          </w:p>
        </w:tc>
      </w:tr>
      <w:tr w14:paraId="33BBD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4"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A7FE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4D0C0">
            <w:pPr>
              <w:keepNext w:val="0"/>
              <w:keepLines w:val="0"/>
              <w:widowControl/>
              <w:suppressLineNumbers w:val="0"/>
              <w:spacing w:line="240" w:lineRule="auto"/>
              <w:jc w:val="center"/>
              <w:textAlignment w:val="center"/>
              <w:rPr>
                <w:rFonts w:ascii="Times New Roman" w:hAnsi="Times New Roman" w:eastAsia="Segoe UI Symbol" w:cs="Times New Roman"/>
                <w:i w:val="0"/>
                <w:iCs w:val="0"/>
                <w:color w:val="auto"/>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63D7B8">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像素点间距</w:t>
            </w:r>
          </w:p>
        </w:tc>
        <w:tc>
          <w:tcPr>
            <w:tcW w:w="5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9592F">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1.8mm</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6F30D">
            <w:pPr>
              <w:spacing w:line="240" w:lineRule="auto"/>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r w14:paraId="324DC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0A69A">
            <w:pPr>
              <w:spacing w:line="240" w:lineRule="auto"/>
              <w:jc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1CEB6">
            <w:pPr>
              <w:keepNext w:val="0"/>
              <w:keepLines w:val="0"/>
              <w:widowControl/>
              <w:suppressLineNumbers w:val="0"/>
              <w:spacing w:line="240" w:lineRule="auto"/>
              <w:jc w:val="center"/>
              <w:textAlignment w:val="center"/>
              <w:rPr>
                <w:rFonts w:hint="default" w:ascii="Times New Roman" w:hAnsi="Times New Roman" w:eastAsia="Segoe UI Symbol" w:cs="Times New Roman"/>
                <w:i w:val="0"/>
                <w:iCs w:val="0"/>
                <w:color w:val="auto"/>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1BCB69">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屏幕整体尺寸</w:t>
            </w:r>
          </w:p>
        </w:tc>
        <w:tc>
          <w:tcPr>
            <w:tcW w:w="5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FEB47">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7.04m×4m，</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D6DC3">
            <w:pPr>
              <w:spacing w:line="240" w:lineRule="auto"/>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r w14:paraId="7AF07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2DA42">
            <w:pPr>
              <w:spacing w:line="240" w:lineRule="auto"/>
              <w:jc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9BFA0">
            <w:pPr>
              <w:keepNext w:val="0"/>
              <w:keepLines w:val="0"/>
              <w:widowControl/>
              <w:suppressLineNumbers w:val="0"/>
              <w:spacing w:line="240" w:lineRule="auto"/>
              <w:jc w:val="center"/>
              <w:textAlignment w:val="center"/>
              <w:rPr>
                <w:rFonts w:hint="default" w:ascii="Times New Roman" w:hAnsi="Times New Roman" w:eastAsia="Segoe UI Symbol" w:cs="Times New Roman"/>
                <w:i w:val="0"/>
                <w:iCs w:val="0"/>
                <w:color w:val="auto"/>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87DF61">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整屏分辨率</w:t>
            </w:r>
          </w:p>
        </w:tc>
        <w:tc>
          <w:tcPr>
            <w:tcW w:w="5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E328B">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3784*2150</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16AB6">
            <w:pPr>
              <w:spacing w:line="240" w:lineRule="auto"/>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r w14:paraId="5F6FE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5D030">
            <w:pPr>
              <w:spacing w:line="240" w:lineRule="auto"/>
              <w:jc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4</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C738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20478C">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整屏平整度</w:t>
            </w:r>
          </w:p>
        </w:tc>
        <w:tc>
          <w:tcPr>
            <w:tcW w:w="5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210FC">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≤0.1mm</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4060E">
            <w:pPr>
              <w:spacing w:line="240" w:lineRule="auto"/>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r w14:paraId="419D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3BE95">
            <w:pPr>
              <w:spacing w:line="240" w:lineRule="auto"/>
              <w:jc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5</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024F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4CE116">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模组平整度</w:t>
            </w:r>
          </w:p>
        </w:tc>
        <w:tc>
          <w:tcPr>
            <w:tcW w:w="5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A4D14">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≤0.05mm</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27C39">
            <w:pPr>
              <w:spacing w:line="240" w:lineRule="auto"/>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r w14:paraId="20813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E4FA0">
            <w:pPr>
              <w:spacing w:line="240" w:lineRule="auto"/>
              <w:jc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523F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A5390D">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拼接缝</w:t>
            </w:r>
          </w:p>
        </w:tc>
        <w:tc>
          <w:tcPr>
            <w:tcW w:w="5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8C36A">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≤0.05mm</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BB96D">
            <w:pPr>
              <w:spacing w:line="240" w:lineRule="auto"/>
              <w:jc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sz w:val="24"/>
                <w:szCs w:val="24"/>
                <w:u w:val="none"/>
                <w:lang w:val="en-US" w:eastAsia="zh-CN"/>
              </w:rPr>
              <w:t>否</w:t>
            </w:r>
          </w:p>
        </w:tc>
      </w:tr>
    </w:tbl>
    <w:p w14:paraId="6BE8D0D6">
      <w:pPr>
        <w:pStyle w:val="55"/>
        <w:rPr>
          <w:rFonts w:hint="default"/>
          <w:color w:val="auto"/>
          <w:lang w:val="en-US" w:eastAsia="zh-CN"/>
        </w:rPr>
      </w:pPr>
    </w:p>
    <w:p w14:paraId="3687CD27">
      <w:pPr>
        <w:keepNext/>
        <w:keepLines/>
        <w:numPr>
          <w:ilvl w:val="0"/>
          <w:numId w:val="19"/>
        </w:numPr>
        <w:spacing w:line="360" w:lineRule="auto"/>
        <w:ind w:left="0" w:firstLine="0"/>
        <w:outlineLvl w:val="4"/>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iCs w:val="0"/>
          <w:color w:val="auto"/>
          <w:kern w:val="0"/>
          <w:sz w:val="24"/>
          <w:szCs w:val="24"/>
          <w:u w:val="none"/>
          <w:lang w:val="en-US" w:eastAsia="zh-CN" w:bidi="ar"/>
        </w:rPr>
        <w:t>3D孪生客户端</w:t>
      </w:r>
      <w:r>
        <w:rPr>
          <w:rFonts w:hint="default" w:ascii="Times New Roman" w:hAnsi="Times New Roman" w:cs="Times New Roman"/>
          <w:i w:val="0"/>
          <w:iCs w:val="0"/>
          <w:color w:val="auto"/>
          <w:kern w:val="0"/>
          <w:sz w:val="24"/>
          <w:szCs w:val="24"/>
          <w:u w:val="none"/>
          <w:lang w:val="en-US" w:eastAsia="zh-CN" w:bidi="ar"/>
        </w:rPr>
        <w:t>（1台）</w:t>
      </w:r>
    </w:p>
    <w:tbl>
      <w:tblPr>
        <w:tblStyle w:val="38"/>
        <w:tblW w:w="90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5"/>
        <w:gridCol w:w="615"/>
        <w:gridCol w:w="990"/>
        <w:gridCol w:w="5322"/>
        <w:gridCol w:w="1439"/>
      </w:tblGrid>
      <w:tr w14:paraId="65A21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37FCBAE1">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序号</w:t>
            </w:r>
          </w:p>
        </w:tc>
        <w:tc>
          <w:tcPr>
            <w:tcW w:w="61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0F2F3254">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重要性</w:t>
            </w:r>
          </w:p>
        </w:tc>
        <w:tc>
          <w:tcPr>
            <w:tcW w:w="990"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4092920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指标项</w:t>
            </w:r>
          </w:p>
        </w:tc>
        <w:tc>
          <w:tcPr>
            <w:tcW w:w="5322"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5D19A792">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指标要求</w:t>
            </w:r>
          </w:p>
        </w:tc>
        <w:tc>
          <w:tcPr>
            <w:tcW w:w="1439"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254E7D8C">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color w:val="auto"/>
                <w:sz w:val="24"/>
                <w:szCs w:val="24"/>
                <w:lang w:val="en-US" w:eastAsia="zh-CN"/>
              </w:rPr>
              <w:t>是否需要提供证明材料</w:t>
            </w:r>
          </w:p>
        </w:tc>
      </w:tr>
      <w:tr w14:paraId="332B5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B914D">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1</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DFE61">
            <w:pPr>
              <w:keepNext w:val="0"/>
              <w:keepLines w:val="0"/>
              <w:widowControl/>
              <w:suppressLineNumbers w:val="0"/>
              <w:jc w:val="center"/>
              <w:textAlignment w:val="center"/>
              <w:rPr>
                <w:rFonts w:ascii="Times New Roman" w:hAnsi="Times New Roman" w:eastAsia="Segoe UI Symbol" w:cs="Times New Roman"/>
                <w:i w:val="0"/>
                <w:iCs w:val="0"/>
                <w:color w:val="auto"/>
                <w:sz w:val="24"/>
                <w:szCs w:val="24"/>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B4BFA0">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CPU</w:t>
            </w:r>
          </w:p>
        </w:tc>
        <w:tc>
          <w:tcPr>
            <w:tcW w:w="5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76817">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Intel Core i9 10900K</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F6C2B">
            <w:pPr>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r w14:paraId="2CC72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02149">
            <w:pPr>
              <w:jc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2</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308D6">
            <w:pPr>
              <w:keepNext w:val="0"/>
              <w:keepLines w:val="0"/>
              <w:widowControl/>
              <w:suppressLineNumbers w:val="0"/>
              <w:jc w:val="center"/>
              <w:textAlignment w:val="center"/>
              <w:rPr>
                <w:rFonts w:hint="default" w:ascii="Times New Roman" w:hAnsi="Times New Roman" w:eastAsia="Segoe UI Symbol" w:cs="Times New Roman"/>
                <w:i w:val="0"/>
                <w:iCs w:val="0"/>
                <w:color w:val="auto"/>
                <w:sz w:val="24"/>
                <w:szCs w:val="24"/>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064D89">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内存</w:t>
            </w:r>
          </w:p>
        </w:tc>
        <w:tc>
          <w:tcPr>
            <w:tcW w:w="5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300FD">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DDR4 2*32GB；</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E84DB">
            <w:pPr>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r w14:paraId="7C495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F30C0">
            <w:pPr>
              <w:jc w:val="center"/>
              <w:rPr>
                <w:rFonts w:hint="default" w:ascii="Times New Roman" w:hAnsi="Times New Roman" w:eastAsia="宋体"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3</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A22C1">
            <w:pPr>
              <w:keepNext w:val="0"/>
              <w:keepLines w:val="0"/>
              <w:widowControl/>
              <w:suppressLineNumbers w:val="0"/>
              <w:jc w:val="center"/>
              <w:textAlignment w:val="center"/>
              <w:rPr>
                <w:rFonts w:hint="default" w:ascii="Times New Roman" w:hAnsi="Times New Roman" w:eastAsia="Segoe UI Symbol" w:cs="Times New Roman"/>
                <w:i w:val="0"/>
                <w:iCs w:val="0"/>
                <w:color w:val="auto"/>
                <w:sz w:val="24"/>
                <w:szCs w:val="24"/>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1463BC">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硬盘</w:t>
            </w:r>
          </w:p>
        </w:tc>
        <w:tc>
          <w:tcPr>
            <w:tcW w:w="5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59599">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1TB固态硬盘 + 2T机械硬盘；</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05B07">
            <w:pPr>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r w14:paraId="50540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74613">
            <w:pPr>
              <w:jc w:val="center"/>
              <w:rPr>
                <w:rFonts w:hint="default" w:ascii="Times New Roman" w:hAnsi="Times New Roman" w:eastAsia="宋体"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4</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B82EF">
            <w:pPr>
              <w:keepNext w:val="0"/>
              <w:keepLines w:val="0"/>
              <w:widowControl/>
              <w:suppressLineNumbers w:val="0"/>
              <w:jc w:val="center"/>
              <w:textAlignment w:val="center"/>
              <w:rPr>
                <w:rFonts w:hint="default" w:ascii="Times New Roman" w:hAnsi="Times New Roman" w:eastAsia="Segoe UI Symbol" w:cs="Times New Roman"/>
                <w:i w:val="0"/>
                <w:iCs w:val="0"/>
                <w:color w:val="auto"/>
                <w:sz w:val="24"/>
                <w:szCs w:val="24"/>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23557D">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显卡</w:t>
            </w:r>
          </w:p>
        </w:tc>
        <w:tc>
          <w:tcPr>
            <w:tcW w:w="5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93108">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NVIDIA GeForce RTX 3090；</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302E8">
            <w:pPr>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r w14:paraId="5C047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22A9B">
            <w:pPr>
              <w:jc w:val="center"/>
              <w:rPr>
                <w:rFonts w:hint="default" w:ascii="Times New Roman" w:hAnsi="Times New Roman" w:eastAsia="宋体"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5</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C05D9">
            <w:pPr>
              <w:keepNext w:val="0"/>
              <w:keepLines w:val="0"/>
              <w:widowControl/>
              <w:suppressLineNumbers w:val="0"/>
              <w:jc w:val="center"/>
              <w:textAlignment w:val="center"/>
              <w:rPr>
                <w:rFonts w:hint="default" w:ascii="Times New Roman" w:hAnsi="Times New Roman" w:eastAsia="Segoe UI Symbol" w:cs="Times New Roman"/>
                <w:i w:val="0"/>
                <w:iCs w:val="0"/>
                <w:color w:val="auto"/>
                <w:sz w:val="24"/>
                <w:szCs w:val="24"/>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29C03E">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电源</w:t>
            </w:r>
          </w:p>
        </w:tc>
        <w:tc>
          <w:tcPr>
            <w:tcW w:w="5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F04F4">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1000W；</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8B7BD">
            <w:pPr>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r w14:paraId="49B90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80524">
            <w:pPr>
              <w:jc w:val="center"/>
              <w:rPr>
                <w:rFonts w:hint="default" w:ascii="Times New Roman" w:hAnsi="Times New Roman" w:eastAsia="宋体"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6</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1E35F">
            <w:pPr>
              <w:keepNext w:val="0"/>
              <w:keepLines w:val="0"/>
              <w:widowControl/>
              <w:suppressLineNumbers w:val="0"/>
              <w:jc w:val="center"/>
              <w:textAlignment w:val="center"/>
              <w:rPr>
                <w:rFonts w:hint="default" w:ascii="Times New Roman" w:hAnsi="Times New Roman" w:eastAsia="Segoe UI Symbol" w:cs="Times New Roman"/>
                <w:i w:val="0"/>
                <w:iCs w:val="0"/>
                <w:color w:val="auto"/>
                <w:sz w:val="24"/>
                <w:szCs w:val="24"/>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DAE99E">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显示器</w:t>
            </w:r>
          </w:p>
        </w:tc>
        <w:tc>
          <w:tcPr>
            <w:tcW w:w="5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9D6E1">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32寸，4K，</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4F916">
            <w:pPr>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r w14:paraId="1FA0E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024C1">
            <w:pPr>
              <w:jc w:val="center"/>
              <w:rPr>
                <w:rFonts w:hint="default" w:ascii="Times New Roman" w:hAnsi="Times New Roman" w:eastAsia="宋体"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7</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D516D">
            <w:pPr>
              <w:keepNext w:val="0"/>
              <w:keepLines w:val="0"/>
              <w:widowControl/>
              <w:suppressLineNumbers w:val="0"/>
              <w:jc w:val="center"/>
              <w:textAlignment w:val="center"/>
              <w:rPr>
                <w:rFonts w:hint="default" w:ascii="Times New Roman" w:hAnsi="Times New Roman" w:eastAsia="Segoe UI Symbol" w:cs="Times New Roman"/>
                <w:i w:val="0"/>
                <w:iCs w:val="0"/>
                <w:color w:val="auto"/>
                <w:sz w:val="24"/>
                <w:szCs w:val="24"/>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289C51">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接口</w:t>
            </w:r>
          </w:p>
        </w:tc>
        <w:tc>
          <w:tcPr>
            <w:tcW w:w="5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FC237">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至少</w:t>
            </w:r>
            <w:r>
              <w:rPr>
                <w:rFonts w:hint="default" w:ascii="Times New Roman" w:hAnsi="Times New Roman" w:eastAsia="宋体" w:cs="Times New Roman"/>
                <w:i w:val="0"/>
                <w:iCs w:val="0"/>
                <w:color w:val="auto"/>
                <w:sz w:val="24"/>
                <w:szCs w:val="24"/>
                <w:u w:val="none"/>
              </w:rPr>
              <w:t>包含HDMI/TYPY-C</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92B97">
            <w:pPr>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bl>
    <w:p w14:paraId="74845671">
      <w:pPr>
        <w:rPr>
          <w:rFonts w:hint="eastAsia" w:cs="Times New Roman"/>
          <w:b/>
          <w:sz w:val="24"/>
          <w:szCs w:val="24"/>
          <w:lang w:val="en-US" w:eastAsia="zh-CN"/>
        </w:rPr>
      </w:pPr>
      <w:r>
        <w:rPr>
          <w:rFonts w:hint="eastAsia" w:cs="Times New Roman"/>
          <w:b/>
          <w:sz w:val="24"/>
          <w:szCs w:val="24"/>
          <w:lang w:val="en-US" w:eastAsia="zh-CN"/>
        </w:rPr>
        <w:br w:type="page"/>
      </w:r>
    </w:p>
    <w:p w14:paraId="248292C1">
      <w:pPr>
        <w:numPr>
          <w:ilvl w:val="0"/>
          <w:numId w:val="20"/>
        </w:numPr>
        <w:spacing w:before="312" w:beforeLines="100" w:after="312" w:afterLines="100" w:line="360" w:lineRule="auto"/>
        <w:jc w:val="center"/>
        <w:outlineLvl w:val="1"/>
        <w:rPr>
          <w:rFonts w:hint="eastAsia" w:ascii="Times New Roman" w:hAnsi="Times New Roman" w:eastAsia="宋体" w:cs="Times New Roman"/>
          <w:b/>
          <w:color w:val="auto"/>
          <w:sz w:val="24"/>
          <w:szCs w:val="24"/>
          <w:highlight w:val="none"/>
          <w:lang w:val="en-US" w:eastAsia="zh-CN"/>
        </w:rPr>
      </w:pPr>
      <w:bookmarkStart w:id="249" w:name="_Toc1796903344"/>
      <w:bookmarkStart w:id="250" w:name="_Toc15438"/>
      <w:r>
        <w:rPr>
          <w:rFonts w:hint="eastAsia" w:ascii="Times New Roman" w:hAnsi="Times New Roman" w:eastAsia="宋体" w:cs="Times New Roman"/>
          <w:b/>
          <w:color w:val="auto"/>
          <w:sz w:val="24"/>
          <w:szCs w:val="24"/>
          <w:highlight w:val="none"/>
          <w:lang w:val="en-US" w:eastAsia="zh-CN"/>
        </w:rPr>
        <w:t>商务服务</w:t>
      </w:r>
      <w:r>
        <w:rPr>
          <w:rFonts w:hint="eastAsia" w:cs="Times New Roman"/>
          <w:b/>
          <w:color w:val="auto"/>
          <w:sz w:val="24"/>
          <w:szCs w:val="24"/>
          <w:highlight w:val="none"/>
          <w:lang w:val="en-US" w:eastAsia="zh-CN"/>
        </w:rPr>
        <w:t>基本</w:t>
      </w:r>
      <w:r>
        <w:rPr>
          <w:rFonts w:hint="eastAsia" w:ascii="Times New Roman" w:hAnsi="Times New Roman" w:eastAsia="宋体" w:cs="Times New Roman"/>
          <w:b/>
          <w:color w:val="auto"/>
          <w:sz w:val="24"/>
          <w:szCs w:val="24"/>
          <w:highlight w:val="none"/>
          <w:lang w:val="en-US" w:eastAsia="zh-CN"/>
        </w:rPr>
        <w:t>要求</w:t>
      </w:r>
      <w:bookmarkEnd w:id="249"/>
      <w:bookmarkEnd w:id="250"/>
    </w:p>
    <w:p w14:paraId="462D3861">
      <w:pPr>
        <w:adjustRightInd w:val="0"/>
        <w:snapToGrid w:val="0"/>
        <w:spacing w:line="440" w:lineRule="exact"/>
        <w:ind w:firstLine="422" w:firstLineChars="200"/>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一、基础要求</w:t>
      </w:r>
    </w:p>
    <w:p w14:paraId="6BC2C73D">
      <w:pPr>
        <w:adjustRightInd w:val="0"/>
        <w:snapToGrid w:val="0"/>
        <w:spacing w:line="4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1、交货地点：</w:t>
      </w:r>
      <w:r>
        <w:rPr>
          <w:rFonts w:hint="eastAsia" w:ascii="宋体" w:hAnsi="宋体" w:cs="宋体"/>
          <w:color w:val="auto"/>
          <w:szCs w:val="21"/>
          <w:highlight w:val="none"/>
          <w:lang w:val="en-US" w:eastAsia="zh-CN"/>
        </w:rPr>
        <w:t>郑州市</w:t>
      </w:r>
      <w:r>
        <w:rPr>
          <w:rFonts w:hint="eastAsia" w:ascii="宋体" w:hAnsi="宋体" w:eastAsia="宋体" w:cs="宋体"/>
          <w:color w:val="auto"/>
          <w:szCs w:val="21"/>
          <w:highlight w:val="none"/>
          <w:lang w:val="en-US" w:eastAsia="zh-CN"/>
        </w:rPr>
        <w:t>；</w:t>
      </w:r>
    </w:p>
    <w:p w14:paraId="5DD68884">
      <w:pPr>
        <w:adjustRightInd w:val="0"/>
        <w:snapToGrid w:val="0"/>
        <w:spacing w:line="440" w:lineRule="exact"/>
        <w:ind w:firstLine="420" w:firstLineChars="200"/>
        <w:rPr>
          <w:rFonts w:hint="eastAsia" w:eastAsia="宋体" w:cs="宋体"/>
          <w:b w:val="0"/>
          <w:bCs w:val="0"/>
          <w:color w:val="auto"/>
          <w:kern w:val="0"/>
          <w:sz w:val="21"/>
          <w:szCs w:val="21"/>
          <w:highlight w:val="none"/>
          <w:lang w:eastAsia="zh-CN"/>
        </w:rPr>
      </w:pPr>
      <w:r>
        <w:rPr>
          <w:rFonts w:hint="eastAsia" w:ascii="宋体" w:hAnsi="宋体" w:eastAsia="宋体" w:cs="宋体"/>
          <w:color w:val="auto"/>
          <w:szCs w:val="21"/>
          <w:highlight w:val="none"/>
          <w:lang w:val="en-US" w:eastAsia="zh-CN"/>
        </w:rPr>
        <w:t>2、交货期：</w:t>
      </w:r>
      <w:r>
        <w:rPr>
          <w:rFonts w:hint="eastAsia" w:cs="宋体"/>
          <w:b w:val="0"/>
          <w:bCs w:val="0"/>
          <w:color w:val="auto"/>
          <w:kern w:val="0"/>
          <w:sz w:val="21"/>
          <w:szCs w:val="21"/>
          <w:highlight w:val="none"/>
        </w:rPr>
        <w:t>自合同生效之日起</w:t>
      </w:r>
      <w:r>
        <w:rPr>
          <w:rFonts w:hint="eastAsia" w:cs="宋体"/>
          <w:b w:val="0"/>
          <w:bCs w:val="0"/>
          <w:color w:val="auto"/>
          <w:kern w:val="0"/>
          <w:sz w:val="21"/>
          <w:szCs w:val="21"/>
          <w:highlight w:val="none"/>
          <w:lang w:val="en-US" w:eastAsia="zh-CN"/>
        </w:rPr>
        <w:t>4</w:t>
      </w:r>
      <w:r>
        <w:rPr>
          <w:rFonts w:hint="eastAsia" w:cs="宋体"/>
          <w:b w:val="0"/>
          <w:bCs w:val="0"/>
          <w:color w:val="auto"/>
          <w:kern w:val="0"/>
          <w:sz w:val="21"/>
          <w:szCs w:val="21"/>
          <w:highlight w:val="none"/>
        </w:rPr>
        <w:t>个月内全部到货并安装调试完毕</w:t>
      </w:r>
      <w:r>
        <w:rPr>
          <w:rFonts w:hint="eastAsia" w:cs="宋体"/>
          <w:b w:val="0"/>
          <w:bCs w:val="0"/>
          <w:color w:val="auto"/>
          <w:kern w:val="0"/>
          <w:sz w:val="21"/>
          <w:szCs w:val="21"/>
          <w:highlight w:val="none"/>
          <w:lang w:eastAsia="zh-CN"/>
        </w:rPr>
        <w:t>。</w:t>
      </w:r>
    </w:p>
    <w:p w14:paraId="00FA5E4E">
      <w:pPr>
        <w:adjustRightInd w:val="0"/>
        <w:snapToGrid w:val="0"/>
        <w:spacing w:line="4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3、质量标准：符合国家、行业现行验收规范和标准，满足采购人的相关要求</w:t>
      </w:r>
      <w:r>
        <w:rPr>
          <w:rFonts w:hint="eastAsia" w:ascii="宋体" w:hAnsi="宋体" w:cs="宋体"/>
          <w:color w:val="auto"/>
          <w:szCs w:val="21"/>
          <w:highlight w:val="none"/>
          <w:lang w:val="en-US" w:eastAsia="zh-CN"/>
        </w:rPr>
        <w:t>。</w:t>
      </w:r>
    </w:p>
    <w:p w14:paraId="73C0AC5C">
      <w:pPr>
        <w:adjustRightInd w:val="0"/>
        <w:snapToGrid w:val="0"/>
        <w:spacing w:line="440" w:lineRule="exact"/>
        <w:ind w:firstLine="420" w:firstLineChars="200"/>
        <w:rPr>
          <w:rFonts w:hint="eastAsia" w:eastAsia="宋体" w:cs="宋体"/>
          <w:b w:val="0"/>
          <w:bCs w:val="0"/>
          <w:color w:val="auto"/>
          <w:sz w:val="21"/>
          <w:szCs w:val="21"/>
          <w:highlight w:val="none"/>
          <w:lang w:eastAsia="zh-CN"/>
        </w:rPr>
      </w:pPr>
      <w:r>
        <w:rPr>
          <w:rFonts w:hint="eastAsia" w:ascii="宋体" w:hAnsi="宋体" w:eastAsia="宋体" w:cs="宋体"/>
          <w:color w:val="auto"/>
          <w:szCs w:val="21"/>
          <w:highlight w:val="none"/>
          <w:lang w:val="en-US" w:eastAsia="zh-CN"/>
        </w:rPr>
        <w:t>4、质保期：</w:t>
      </w:r>
      <w:r>
        <w:rPr>
          <w:rFonts w:hint="eastAsia" w:cs="宋体"/>
          <w:b w:val="0"/>
          <w:bCs w:val="0"/>
          <w:color w:val="auto"/>
          <w:sz w:val="21"/>
          <w:szCs w:val="21"/>
          <w:highlight w:val="none"/>
          <w:lang w:eastAsia="zh-CN"/>
        </w:rPr>
        <w:t>自验收合格之日起质保不少于</w:t>
      </w:r>
      <w:r>
        <w:rPr>
          <w:rFonts w:hint="eastAsia" w:cs="宋体"/>
          <w:b w:val="0"/>
          <w:bCs w:val="0"/>
          <w:color w:val="auto"/>
          <w:sz w:val="21"/>
          <w:szCs w:val="21"/>
          <w:highlight w:val="none"/>
          <w:lang w:val="en-US" w:eastAsia="zh-CN"/>
        </w:rPr>
        <w:t>3</w:t>
      </w:r>
      <w:r>
        <w:rPr>
          <w:rFonts w:hint="eastAsia" w:cs="宋体"/>
          <w:b w:val="0"/>
          <w:bCs w:val="0"/>
          <w:color w:val="auto"/>
          <w:sz w:val="21"/>
          <w:szCs w:val="21"/>
          <w:highlight w:val="none"/>
          <w:lang w:eastAsia="zh-CN"/>
        </w:rPr>
        <w:t>年。</w:t>
      </w:r>
    </w:p>
    <w:p w14:paraId="4C33E611">
      <w:pPr>
        <w:adjustRightInd w:val="0"/>
        <w:snapToGrid w:val="0"/>
        <w:spacing w:line="440" w:lineRule="exact"/>
        <w:ind w:firstLine="422" w:firstLineChars="200"/>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二、供货、安装、调试、验收要求</w:t>
      </w:r>
    </w:p>
    <w:p w14:paraId="28C46A47">
      <w:pPr>
        <w:adjustRightInd w:val="0"/>
        <w:snapToGrid w:val="0"/>
        <w:spacing w:line="4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供应商须提供符合国家质量标准、部颁标准、行业标准或本招标文件规定标准、供货渠道合法的全新原装合格正品（包括零部件），如安装或配置软件的，须为正版软件。所提供的货物应当同时符合国家有关安全、卫生、环保规定。</w:t>
      </w:r>
    </w:p>
    <w:p w14:paraId="1A56FC87">
      <w:pPr>
        <w:adjustRightInd w:val="0"/>
        <w:snapToGrid w:val="0"/>
        <w:spacing w:line="4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采购人使用供应商中标的货物、技术、资料、服务或其他任何一部分时，享有无偿使用权。免受第三方提出的侵犯其专利权、著作权、商标权或其它知识产权的起诉。如果第三方提出侵权指控，中标供应商应承担由此而引起的一切法律责任和费用。</w:t>
      </w:r>
    </w:p>
    <w:p w14:paraId="54CB3A71">
      <w:pPr>
        <w:adjustRightInd w:val="0"/>
        <w:snapToGrid w:val="0"/>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eastAsia="zh-CN"/>
        </w:rPr>
        <w:t>3</w:t>
      </w:r>
      <w:r>
        <w:rPr>
          <w:rFonts w:hint="eastAsia" w:ascii="宋体" w:hAnsi="宋体" w:cs="宋体"/>
          <w:color w:val="auto"/>
          <w:szCs w:val="21"/>
          <w:highlight w:val="none"/>
        </w:rPr>
        <w:t>、包装和发运</w:t>
      </w:r>
    </w:p>
    <w:p w14:paraId="1E3F29A0">
      <w:pPr>
        <w:adjustRightInd w:val="0"/>
        <w:snapToGrid w:val="0"/>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（1）货物的包装和运输须符合货物特性要求。</w:t>
      </w:r>
    </w:p>
    <w:p w14:paraId="0C75DB5B">
      <w:pPr>
        <w:adjustRightInd w:val="0"/>
        <w:snapToGrid w:val="0"/>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（2）为了保证货物在长途运输、多次搬运和装卸过程中的安全，货物包装应符合国家或行业标准规定。由于包装、运输、搬运和装卸不当导致货物锈蚀、缺失或损坏，由</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承担一切责任。</w:t>
      </w:r>
    </w:p>
    <w:p w14:paraId="466B3D94">
      <w:pPr>
        <w:adjustRightInd w:val="0"/>
        <w:snapToGrid w:val="0"/>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技术工程师负责</w:t>
      </w:r>
      <w:r>
        <w:rPr>
          <w:rFonts w:hint="eastAsia" w:ascii="宋体" w:hAnsi="宋体" w:cs="宋体"/>
          <w:color w:val="auto"/>
          <w:szCs w:val="21"/>
          <w:highlight w:val="none"/>
          <w:lang w:val="en-US" w:eastAsia="zh-CN"/>
        </w:rPr>
        <w:t>统筹安排</w:t>
      </w:r>
      <w:r>
        <w:rPr>
          <w:rFonts w:hint="eastAsia" w:ascii="宋体" w:hAnsi="宋体" w:cs="宋体"/>
          <w:color w:val="auto"/>
          <w:szCs w:val="21"/>
          <w:highlight w:val="none"/>
        </w:rPr>
        <w:t>现场的免费安装、调试</w:t>
      </w:r>
      <w:r>
        <w:rPr>
          <w:rFonts w:hint="eastAsia" w:ascii="宋体" w:hAnsi="宋体" w:cs="宋体"/>
          <w:color w:val="auto"/>
          <w:szCs w:val="21"/>
          <w:highlight w:val="none"/>
          <w:lang w:val="en-US" w:eastAsia="zh-CN"/>
        </w:rPr>
        <w:t>工作</w:t>
      </w:r>
      <w:r>
        <w:rPr>
          <w:rFonts w:hint="eastAsia" w:ascii="宋体" w:hAnsi="宋体" w:cs="宋体"/>
          <w:color w:val="auto"/>
          <w:szCs w:val="21"/>
          <w:highlight w:val="none"/>
        </w:rPr>
        <w:t>；如需特殊安装条件的，</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应当发货前30天内与采购人进行场地安装事宜的确认。</w:t>
      </w:r>
    </w:p>
    <w:p w14:paraId="40292EFF">
      <w:pPr>
        <w:adjustRightInd w:val="0"/>
        <w:snapToGrid w:val="0"/>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货物运抵安装现场后，采购人应当与</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共同开箱</w:t>
      </w:r>
      <w:r>
        <w:rPr>
          <w:rFonts w:hint="eastAsia" w:ascii="宋体" w:hAnsi="宋体" w:cs="宋体"/>
          <w:color w:val="auto"/>
          <w:szCs w:val="21"/>
          <w:highlight w:val="none"/>
          <w:lang w:val="en-US" w:eastAsia="zh-CN"/>
        </w:rPr>
        <w:t>进行初步验收</w:t>
      </w:r>
      <w:r>
        <w:rPr>
          <w:rFonts w:hint="eastAsia" w:ascii="宋体" w:hAnsi="宋体" w:cs="宋体"/>
          <w:color w:val="auto"/>
          <w:szCs w:val="21"/>
          <w:highlight w:val="none"/>
        </w:rPr>
        <w:t>；验收结果</w:t>
      </w:r>
      <w:r>
        <w:rPr>
          <w:rFonts w:hint="eastAsia" w:ascii="宋体" w:hAnsi="宋体" w:cs="宋体"/>
          <w:color w:val="auto"/>
          <w:szCs w:val="21"/>
          <w:highlight w:val="none"/>
          <w:lang w:val="en-US" w:eastAsia="zh-CN"/>
        </w:rPr>
        <w:t>以双方签署的</w:t>
      </w:r>
      <w:r>
        <w:rPr>
          <w:rFonts w:hint="eastAsia" w:ascii="宋体" w:hAnsi="宋体" w:cs="宋体"/>
          <w:color w:val="auto"/>
          <w:szCs w:val="21"/>
          <w:highlight w:val="none"/>
        </w:rPr>
        <w:t>验收报告为</w:t>
      </w:r>
      <w:r>
        <w:rPr>
          <w:rFonts w:hint="eastAsia" w:ascii="宋体" w:hAnsi="宋体" w:cs="宋体"/>
          <w:color w:val="auto"/>
          <w:szCs w:val="21"/>
          <w:highlight w:val="none"/>
          <w:lang w:val="en-US" w:eastAsia="zh-CN"/>
        </w:rPr>
        <w:t>准</w:t>
      </w:r>
      <w:r>
        <w:rPr>
          <w:rFonts w:hint="eastAsia" w:ascii="宋体" w:hAnsi="宋体" w:cs="宋体"/>
          <w:color w:val="auto"/>
          <w:szCs w:val="21"/>
          <w:highlight w:val="none"/>
        </w:rPr>
        <w:t>，验收时发现短缺、破损,采购人有权要求</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立即补发和负责更换。</w:t>
      </w:r>
    </w:p>
    <w:p w14:paraId="28B3CF4B">
      <w:pPr>
        <w:adjustRightInd w:val="0"/>
        <w:snapToGrid w:val="0"/>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应提出仪器设备测试的内容、项目、指标和方法,</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有责任对采购人的技术人员提出的问题做出解答。测试应进行详细记录,仪器设备测试结束后,由</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技术人员签字后交给采购人验收。</w:t>
      </w:r>
    </w:p>
    <w:p w14:paraId="08A30F11">
      <w:pPr>
        <w:adjustRightInd w:val="0"/>
        <w:snapToGrid w:val="0"/>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应提前一周将发货信息提供给</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。货物到达后，采购人应将到货信息立即通知</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应协助采购人于到货后一周（7天）内在</w:t>
      </w:r>
      <w:r>
        <w:rPr>
          <w:rFonts w:hint="eastAsia" w:ascii="宋体" w:hAnsi="宋体" w:cs="宋体"/>
          <w:color w:val="auto"/>
          <w:szCs w:val="21"/>
          <w:highlight w:val="none"/>
          <w:lang w:val="en-US" w:eastAsia="zh-CN"/>
        </w:rPr>
        <w:t>设备</w:t>
      </w:r>
      <w:r>
        <w:rPr>
          <w:rFonts w:hint="eastAsia" w:ascii="宋体" w:hAnsi="宋体" w:cs="宋体"/>
          <w:color w:val="auto"/>
          <w:szCs w:val="21"/>
          <w:highlight w:val="none"/>
        </w:rPr>
        <w:t>基础上</w:t>
      </w:r>
      <w:r>
        <w:rPr>
          <w:rFonts w:hint="eastAsia" w:ascii="宋体" w:hAnsi="宋体" w:cs="宋体"/>
          <w:color w:val="auto"/>
          <w:szCs w:val="21"/>
          <w:highlight w:val="none"/>
          <w:lang w:val="en-US" w:eastAsia="zh-CN"/>
        </w:rPr>
        <w:t>安装</w:t>
      </w:r>
      <w:r>
        <w:rPr>
          <w:rFonts w:hint="eastAsia" w:ascii="宋体" w:hAnsi="宋体" w:cs="宋体"/>
          <w:color w:val="auto"/>
          <w:szCs w:val="21"/>
          <w:highlight w:val="none"/>
        </w:rPr>
        <w:t>就位，并做好现场安装调试、验收的各项准备工作，包括必要的试件、刀具及检具等。</w:t>
      </w:r>
    </w:p>
    <w:p w14:paraId="2B98C4B4">
      <w:pPr>
        <w:adjustRightInd w:val="0"/>
        <w:snapToGrid w:val="0"/>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同时满足以下条件，采购人</w:t>
      </w:r>
      <w:r>
        <w:rPr>
          <w:rFonts w:hint="eastAsia" w:ascii="宋体" w:hAnsi="宋体" w:cs="宋体"/>
          <w:color w:val="auto"/>
          <w:szCs w:val="21"/>
          <w:highlight w:val="none"/>
          <w:lang w:val="en-US" w:eastAsia="zh-CN"/>
        </w:rPr>
        <w:t>将</w:t>
      </w:r>
      <w:r>
        <w:rPr>
          <w:rFonts w:hint="eastAsia" w:ascii="宋体" w:hAnsi="宋体" w:cs="宋体"/>
          <w:color w:val="auto"/>
          <w:szCs w:val="21"/>
          <w:highlight w:val="none"/>
        </w:rPr>
        <w:t>向</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签发货物验收报告：</w:t>
      </w:r>
    </w:p>
    <w:p w14:paraId="1A53D9F0">
      <w:pPr>
        <w:adjustRightInd w:val="0"/>
        <w:snapToGrid w:val="0"/>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已按照合同规定提供了全部产品及完整的技术资料。</w:t>
      </w:r>
    </w:p>
    <w:p w14:paraId="2496AE94">
      <w:pPr>
        <w:adjustRightInd w:val="0"/>
        <w:snapToGrid w:val="0"/>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2）采购人确定最终验收方案，并根据该验收方案验收所有的配置、功能和技术指标。</w:t>
      </w:r>
    </w:p>
    <w:p w14:paraId="59D699CC">
      <w:pPr>
        <w:adjustRightInd w:val="0"/>
        <w:snapToGrid w:val="0"/>
        <w:spacing w:line="44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rPr>
        <w:t>3）最终验收在采购人授权代表在场和</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授权代表在场的情况下按照现场验收方案逐项进行。验收报告由双方签署后完成设备最终验收。</w:t>
      </w:r>
    </w:p>
    <w:p w14:paraId="41D01705">
      <w:pPr>
        <w:widowControl/>
        <w:adjustRightInd w:val="0"/>
        <w:snapToGrid w:val="0"/>
        <w:spacing w:line="440" w:lineRule="exact"/>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9、采购人根据国家有关规定、招标文件、供应商的投标文件以及合同约定的内容和验收标准进行验收，采购人可以视项目情况邀请第三方机构或者参加本项目投标的其他供应商参与验收。验收情况作为支付货款的依据。如有异议，以相关质量技术检验检测机构的检验结果为准，如产生检验检测费用，则该费用由过失方承担。</w:t>
      </w:r>
    </w:p>
    <w:p w14:paraId="6680C778">
      <w:pPr>
        <w:adjustRightInd w:val="0"/>
        <w:snapToGrid w:val="0"/>
        <w:spacing w:line="440" w:lineRule="exact"/>
        <w:ind w:firstLine="422" w:firstLineChars="200"/>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三、售后服务要求</w:t>
      </w:r>
    </w:p>
    <w:p w14:paraId="6966F402">
      <w:pPr>
        <w:adjustRightInd w:val="0"/>
        <w:snapToGrid w:val="0"/>
        <w:spacing w:line="4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r>
        <w:rPr>
          <w:rFonts w:hint="eastAsia" w:ascii="宋体" w:hAnsi="宋体" w:cs="宋体"/>
          <w:color w:val="auto"/>
          <w:szCs w:val="21"/>
          <w:highlight w:val="none"/>
          <w:lang w:val="en-US" w:eastAsia="zh-CN"/>
        </w:rPr>
        <w:t>中标后</w:t>
      </w:r>
      <w:r>
        <w:rPr>
          <w:rFonts w:hint="eastAsia" w:ascii="宋体" w:hAnsi="宋体" w:eastAsia="宋体" w:cs="宋体"/>
          <w:color w:val="auto"/>
          <w:szCs w:val="21"/>
          <w:highlight w:val="none"/>
          <w:lang w:val="en-US" w:eastAsia="zh-CN"/>
        </w:rPr>
        <w:t>提供所投产品供应商或制造商售后服务机构情况，包括地址、技术人员及联系方式，售后技术人员力量、设备实力等。</w:t>
      </w:r>
    </w:p>
    <w:p w14:paraId="0B195909">
      <w:pPr>
        <w:adjustRightInd w:val="0"/>
        <w:snapToGrid w:val="0"/>
        <w:spacing w:line="4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2、提供质保期内免费上门保修服务。</w:t>
      </w:r>
    </w:p>
    <w:p w14:paraId="6B71619A">
      <w:pPr>
        <w:adjustRightInd w:val="0"/>
        <w:snapToGrid w:val="0"/>
        <w:spacing w:line="4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3、质保期内（以本项目验收合格之日算起）应当为采购人提供以下技术支持和服务：</w:t>
      </w:r>
    </w:p>
    <w:p w14:paraId="7319131B">
      <w:pPr>
        <w:adjustRightInd w:val="0"/>
        <w:snapToGrid w:val="0"/>
        <w:spacing w:line="4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（1）电话咨询。</w:t>
      </w:r>
      <w:r>
        <w:rPr>
          <w:rFonts w:hint="eastAsia" w:ascii="宋体" w:hAnsi="宋体" w:cs="宋体"/>
          <w:color w:val="auto"/>
          <w:szCs w:val="21"/>
          <w:highlight w:val="none"/>
          <w:lang w:val="en-US" w:eastAsia="zh-CN"/>
        </w:rPr>
        <w:t>供应商</w:t>
      </w:r>
      <w:r>
        <w:rPr>
          <w:rFonts w:hint="eastAsia" w:ascii="宋体" w:hAnsi="宋体" w:eastAsia="宋体" w:cs="宋体"/>
          <w:color w:val="auto"/>
          <w:szCs w:val="21"/>
          <w:highlight w:val="none"/>
          <w:lang w:val="en-US" w:eastAsia="zh-CN"/>
        </w:rPr>
        <w:t>或制造商应当为采购人提供技术援助电话，解答采购人在使用中遇到的问题，及时为采购人提出解决问题的建议和办法。</w:t>
      </w:r>
    </w:p>
    <w:p w14:paraId="5DBB0210">
      <w:pPr>
        <w:adjustRightInd w:val="0"/>
        <w:snapToGrid w:val="0"/>
        <w:spacing w:line="4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（2）现场响应。质保期内出现设备故障，乙方2小时内电话响应，24小时内抵达现场，在双方协商期限内处理完毕，</w:t>
      </w:r>
      <w:r>
        <w:rPr>
          <w:rFonts w:hint="eastAsia" w:ascii="宋体" w:hAnsi="宋体" w:cs="宋体"/>
          <w:color w:val="auto"/>
          <w:szCs w:val="21"/>
          <w:highlight w:val="none"/>
          <w:lang w:val="en-US" w:eastAsia="zh-CN"/>
        </w:rPr>
        <w:t>乙方在</w:t>
      </w:r>
      <w:r>
        <w:rPr>
          <w:rFonts w:hint="eastAsia" w:ascii="宋体" w:hAnsi="宋体" w:eastAsia="宋体" w:cs="宋体"/>
          <w:color w:val="auto"/>
          <w:szCs w:val="21"/>
          <w:highlight w:val="none"/>
          <w:lang w:val="en-US" w:eastAsia="zh-CN"/>
        </w:rPr>
        <w:t>协商期限内未安排处理售后服务的，甲方有权委托第三方进行维修，产生的费用全部由乙方承担；超过免费保修期，乙方提供该设备终身维修服务，服务响应时间与质保期内保持一致，维修费用另行协商。</w:t>
      </w:r>
    </w:p>
    <w:p w14:paraId="4D820D4F">
      <w:pPr>
        <w:adjustRightInd w:val="0"/>
        <w:snapToGrid w:val="0"/>
        <w:spacing w:line="4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w:t>
      </w:r>
      <w:r>
        <w:rPr>
          <w:rFonts w:hint="eastAsia" w:ascii="宋体" w:hAnsi="宋体" w:cs="宋体"/>
          <w:color w:val="auto"/>
          <w:szCs w:val="21"/>
          <w:highlight w:val="none"/>
          <w:lang w:val="en-US" w:eastAsia="zh-CN"/>
        </w:rPr>
        <w:t>供应商</w:t>
      </w:r>
      <w:r>
        <w:rPr>
          <w:rFonts w:hint="eastAsia" w:ascii="宋体" w:hAnsi="宋体" w:eastAsia="宋体" w:cs="宋体"/>
          <w:color w:val="auto"/>
          <w:szCs w:val="21"/>
          <w:highlight w:val="none"/>
          <w:lang w:val="en-US" w:eastAsia="zh-CN"/>
        </w:rPr>
        <w:t>应当定期对所供设备系统运行情况进行检测，消除故障隐患，以保证设备的正常运行。</w:t>
      </w:r>
    </w:p>
    <w:p w14:paraId="197005E5">
      <w:pPr>
        <w:adjustRightInd w:val="0"/>
        <w:snapToGrid w:val="0"/>
        <w:spacing w:line="4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（4）技术升级。在质保期内，如果制造商的产品技术升级，</w:t>
      </w:r>
      <w:r>
        <w:rPr>
          <w:rFonts w:hint="eastAsia" w:ascii="宋体" w:hAnsi="宋体" w:cs="宋体"/>
          <w:color w:val="auto"/>
          <w:szCs w:val="21"/>
          <w:highlight w:val="none"/>
          <w:lang w:val="en-US" w:eastAsia="zh-CN"/>
        </w:rPr>
        <w:t>供应商</w:t>
      </w:r>
      <w:r>
        <w:rPr>
          <w:rFonts w:hint="eastAsia" w:ascii="宋体" w:hAnsi="宋体" w:eastAsia="宋体" w:cs="宋体"/>
          <w:color w:val="auto"/>
          <w:szCs w:val="21"/>
          <w:highlight w:val="none"/>
          <w:lang w:val="en-US" w:eastAsia="zh-CN"/>
        </w:rPr>
        <w:t>应及时通知采购人，如采购人有相应要求，</w:t>
      </w:r>
      <w:r>
        <w:rPr>
          <w:rFonts w:hint="eastAsia" w:ascii="宋体" w:hAnsi="宋体" w:cs="宋体"/>
          <w:color w:val="auto"/>
          <w:szCs w:val="21"/>
          <w:highlight w:val="none"/>
          <w:lang w:val="en-US" w:eastAsia="zh-CN"/>
        </w:rPr>
        <w:t>供应商</w:t>
      </w:r>
      <w:r>
        <w:rPr>
          <w:rFonts w:hint="eastAsia" w:ascii="宋体" w:hAnsi="宋体" w:eastAsia="宋体" w:cs="宋体"/>
          <w:color w:val="auto"/>
          <w:szCs w:val="21"/>
          <w:highlight w:val="none"/>
          <w:lang w:val="en-US" w:eastAsia="zh-CN"/>
        </w:rPr>
        <w:t>和制造商应对采购人购买的产品进行免费升级服务或优惠价格的有偿升级服务。</w:t>
      </w:r>
    </w:p>
    <w:p w14:paraId="38BE35C7">
      <w:pPr>
        <w:adjustRightInd w:val="0"/>
        <w:snapToGrid w:val="0"/>
        <w:spacing w:line="4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4、质保期外应当为采购人提供以下技术支持和服务：</w:t>
      </w:r>
    </w:p>
    <w:p w14:paraId="6D391947">
      <w:pPr>
        <w:adjustRightInd w:val="0"/>
        <w:snapToGrid w:val="0"/>
        <w:spacing w:line="4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（1）应提供免费电话咨询服务，并应提供产品上门维护服务。</w:t>
      </w:r>
    </w:p>
    <w:p w14:paraId="0CED6D8D">
      <w:pPr>
        <w:adjustRightInd w:val="0"/>
        <w:snapToGrid w:val="0"/>
        <w:spacing w:line="4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（2）应以优惠价格继续提供售后服务。</w:t>
      </w:r>
    </w:p>
    <w:p w14:paraId="049E8284">
      <w:pPr>
        <w:adjustRightInd w:val="0"/>
        <w:snapToGrid w:val="0"/>
        <w:spacing w:line="440" w:lineRule="exact"/>
        <w:ind w:firstLine="422" w:firstLineChars="200"/>
        <w:rPr>
          <w:rFonts w:hint="eastAsia"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四</w:t>
      </w:r>
      <w:r>
        <w:rPr>
          <w:rFonts w:hint="eastAsia" w:ascii="宋体" w:hAnsi="宋体" w:eastAsia="宋体" w:cs="宋体"/>
          <w:b/>
          <w:bCs/>
          <w:color w:val="auto"/>
          <w:szCs w:val="21"/>
          <w:highlight w:val="none"/>
          <w:lang w:val="en-US" w:eastAsia="zh-CN"/>
        </w:rPr>
        <w:t>、备品备件及易损件</w:t>
      </w:r>
    </w:p>
    <w:p w14:paraId="5E60E874">
      <w:pPr>
        <w:adjustRightInd w:val="0"/>
        <w:snapToGrid w:val="0"/>
        <w:spacing w:line="4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供应商</w:t>
      </w:r>
      <w:r>
        <w:rPr>
          <w:rFonts w:hint="eastAsia" w:ascii="宋体" w:hAnsi="宋体" w:eastAsia="宋体" w:cs="宋体"/>
          <w:color w:val="auto"/>
          <w:szCs w:val="21"/>
          <w:highlight w:val="none"/>
          <w:lang w:val="en-US" w:eastAsia="zh-CN"/>
        </w:rPr>
        <w:t>或制造商售后服务</w:t>
      </w:r>
      <w:r>
        <w:rPr>
          <w:rFonts w:hint="eastAsia" w:ascii="宋体" w:hAnsi="宋体" w:cs="宋体"/>
          <w:color w:val="auto"/>
          <w:szCs w:val="21"/>
          <w:highlight w:val="none"/>
          <w:lang w:val="en-US" w:eastAsia="zh-CN"/>
        </w:rPr>
        <w:t>过程</w:t>
      </w:r>
      <w:r>
        <w:rPr>
          <w:rFonts w:hint="eastAsia" w:ascii="宋体" w:hAnsi="宋体" w:eastAsia="宋体" w:cs="宋体"/>
          <w:color w:val="auto"/>
          <w:szCs w:val="21"/>
          <w:highlight w:val="none"/>
          <w:lang w:val="en-US" w:eastAsia="zh-CN"/>
        </w:rPr>
        <w:t>中，维修使用的备品备件及易损件应为原厂配件，未经采购人同意不得使用非原厂配件。</w:t>
      </w:r>
    </w:p>
    <w:p w14:paraId="03B36042">
      <w:pPr>
        <w:adjustRightInd w:val="0"/>
        <w:snapToGrid w:val="0"/>
        <w:spacing w:line="440" w:lineRule="exact"/>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lang w:eastAsia="zh-CN"/>
        </w:rPr>
        <w:t>五</w:t>
      </w:r>
      <w:r>
        <w:rPr>
          <w:rFonts w:hint="eastAsia" w:ascii="宋体" w:hAnsi="宋体" w:cs="宋体"/>
          <w:b/>
          <w:bCs/>
          <w:color w:val="auto"/>
          <w:szCs w:val="21"/>
          <w:highlight w:val="none"/>
        </w:rPr>
        <w:t>、培训要求</w:t>
      </w:r>
    </w:p>
    <w:p w14:paraId="2926E5C6">
      <w:pPr>
        <w:adjustRightInd w:val="0"/>
        <w:snapToGrid w:val="0"/>
        <w:spacing w:line="440" w:lineRule="exact"/>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通过培训使采购人相关人员掌握有关使用、维护和管理方法，达到能独立进行管理、一般故障处理、日常检测和维护等工作的目标。</w:t>
      </w:r>
      <w:r>
        <w:rPr>
          <w:rFonts w:hint="eastAsia" w:ascii="宋体" w:hAnsi="宋体" w:cs="宋体"/>
          <w:b w:val="0"/>
          <w:bCs w:val="0"/>
          <w:color w:val="auto"/>
          <w:szCs w:val="21"/>
          <w:highlight w:val="none"/>
          <w:lang w:eastAsia="zh-CN"/>
        </w:rPr>
        <w:t>培训过程中产生的费用由供应商承担。</w:t>
      </w:r>
    </w:p>
    <w:p w14:paraId="08652B8A">
      <w:pPr>
        <w:adjustRightInd w:val="0"/>
        <w:snapToGrid w:val="0"/>
        <w:spacing w:line="440" w:lineRule="exact"/>
        <w:ind w:firstLine="422" w:firstLineChars="200"/>
        <w:rPr>
          <w:rFonts w:hint="eastAsia"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六</w:t>
      </w:r>
      <w:r>
        <w:rPr>
          <w:rFonts w:hint="eastAsia" w:ascii="宋体" w:hAnsi="宋体" w:eastAsia="宋体" w:cs="宋体"/>
          <w:b/>
          <w:bCs/>
          <w:color w:val="auto"/>
          <w:szCs w:val="21"/>
          <w:highlight w:val="none"/>
          <w:lang w:val="en-US" w:eastAsia="zh-CN"/>
        </w:rPr>
        <w:t>、其他要求</w:t>
      </w:r>
    </w:p>
    <w:p w14:paraId="441BCFF3">
      <w:pPr>
        <w:adjustRightInd w:val="0"/>
        <w:snapToGrid w:val="0"/>
        <w:spacing w:line="4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1、供应商资格要求见供应商须知前附表。如资格证明文件遇年检、换证，则必须提供法定年检、换证单位出具的有效证明原件。</w:t>
      </w:r>
    </w:p>
    <w:p w14:paraId="38DE44D2">
      <w:pPr>
        <w:adjustRightInd w:val="0"/>
        <w:snapToGrid w:val="0"/>
        <w:spacing w:line="4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投标报价均为人民币报价。应包括本招标项目所包含的货物、软件、标准附件、备品备件、专用工具、图纸资料、技术服务，包装、仓储、运输、装卸、保险、税金，货到就位以及安装、调试、培训、保修等一切税金和费用。</w:t>
      </w:r>
    </w:p>
    <w:p w14:paraId="4A1F1D2A">
      <w:pPr>
        <w:adjustRightInd w:val="0"/>
        <w:snapToGrid w:val="0"/>
        <w:spacing w:line="4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3、采购人在授予供应商合同时，保留对货物数量予以增减的权利。供应商不得在此情况下对投标文件做出修改，如单价、交货期、售后服务等。</w:t>
      </w:r>
    </w:p>
    <w:p w14:paraId="29DF1822">
      <w:pPr>
        <w:adjustRightInd w:val="0"/>
        <w:snapToGrid w:val="0"/>
        <w:spacing w:line="440" w:lineRule="exact"/>
        <w:ind w:firstLine="420" w:firstLineChars="200"/>
        <w:rPr>
          <w:rFonts w:hint="eastAsia" w:ascii="宋体" w:hAnsi="宋体" w:eastAsia="宋体" w:cs="宋体"/>
          <w:color w:val="auto"/>
          <w:szCs w:val="21"/>
          <w:highlight w:val="none"/>
          <w:lang w:val="en-US" w:eastAsia="zh-CN"/>
        </w:rPr>
      </w:pPr>
    </w:p>
    <w:p w14:paraId="61431B45">
      <w:pPr>
        <w:adjustRightInd w:val="0"/>
        <w:snapToGrid w:val="0"/>
        <w:spacing w:line="440" w:lineRule="exact"/>
        <w:ind w:firstLine="422" w:firstLineChars="200"/>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注：以上要求是本项目的商务服务基本要求，不允许负偏离，需逐条在投标文件中响应。投标人可根据自身实力在满足以上实质性要求的基础上，提出更有利于采购人的承诺。</w:t>
      </w:r>
    </w:p>
    <w:p w14:paraId="2B1BEF26">
      <w:pPr>
        <w:bidi w:val="0"/>
        <w:rPr>
          <w:rFonts w:hint="default"/>
          <w:lang w:val="en-US" w:eastAsia="zh-CN"/>
        </w:rPr>
      </w:pPr>
    </w:p>
    <w:p w14:paraId="78913E0D">
      <w:pPr>
        <w:rPr>
          <w:rFonts w:hint="eastAsia"/>
          <w:lang w:val="en-US" w:eastAsia="zh-CN"/>
        </w:rPr>
      </w:pPr>
      <w:r>
        <w:rPr>
          <w:rFonts w:hint="eastAsia"/>
          <w:lang w:val="en-US" w:eastAsia="zh-CN"/>
        </w:rPr>
        <w:br w:type="page"/>
      </w:r>
    </w:p>
    <w:bookmarkEnd w:id="241"/>
    <w:p w14:paraId="090338DF">
      <w:pPr>
        <w:pageBreakBefore/>
        <w:adjustRightInd w:val="0"/>
        <w:snapToGrid w:val="0"/>
        <w:spacing w:line="400" w:lineRule="exact"/>
        <w:jc w:val="center"/>
        <w:outlineLvl w:val="0"/>
        <w:rPr>
          <w:rFonts w:ascii="宋体" w:hAnsi="宋体" w:cs="宋体"/>
          <w:b/>
          <w:color w:val="auto"/>
          <w:kern w:val="44"/>
          <w:sz w:val="36"/>
          <w:szCs w:val="36"/>
          <w:highlight w:val="none"/>
        </w:rPr>
      </w:pPr>
      <w:bookmarkStart w:id="251" w:name="_Toc13711"/>
      <w:bookmarkStart w:id="252" w:name="_Toc10248"/>
      <w:bookmarkStart w:id="253" w:name="_Toc809212579"/>
      <w:bookmarkStart w:id="254" w:name="_Toc22605"/>
      <w:bookmarkStart w:id="255" w:name="_Toc256363562"/>
      <w:r>
        <w:rPr>
          <w:rFonts w:hint="eastAsia" w:ascii="宋体" w:hAnsi="宋体" w:cs="宋体"/>
          <w:b/>
          <w:color w:val="auto"/>
          <w:kern w:val="44"/>
          <w:sz w:val="36"/>
          <w:szCs w:val="36"/>
          <w:highlight w:val="none"/>
        </w:rPr>
        <w:t>第六章 投标文件格式</w:t>
      </w:r>
      <w:bookmarkEnd w:id="251"/>
      <w:bookmarkEnd w:id="252"/>
      <w:bookmarkEnd w:id="253"/>
      <w:bookmarkEnd w:id="254"/>
      <w:bookmarkEnd w:id="255"/>
    </w:p>
    <w:p w14:paraId="10033062">
      <w:pPr>
        <w:spacing w:line="400" w:lineRule="exact"/>
        <w:jc w:val="center"/>
        <w:rPr>
          <w:rFonts w:ascii="宋体" w:hAnsi="宋体" w:cs="宋体"/>
          <w:b/>
          <w:color w:val="auto"/>
          <w:sz w:val="30"/>
          <w:szCs w:val="30"/>
          <w:highlight w:val="none"/>
        </w:rPr>
      </w:pPr>
    </w:p>
    <w:p w14:paraId="45FC7EB7">
      <w:pPr>
        <w:spacing w:line="400" w:lineRule="exact"/>
        <w:ind w:right="440"/>
        <w:jc w:val="right"/>
        <w:rPr>
          <w:rFonts w:ascii="宋体" w:hAnsi="宋体" w:cs="宋体"/>
          <w:color w:val="auto"/>
          <w:sz w:val="28"/>
          <w:szCs w:val="28"/>
          <w:highlight w:val="none"/>
        </w:rPr>
      </w:pPr>
      <w:r>
        <w:rPr>
          <w:rFonts w:hint="eastAsia" w:ascii="宋体" w:hAnsi="宋体" w:cs="宋体"/>
          <w:color w:val="auto"/>
          <w:sz w:val="28"/>
          <w:szCs w:val="28"/>
          <w:highlight w:val="none"/>
        </w:rPr>
        <w:t>封面</w:t>
      </w:r>
    </w:p>
    <w:p w14:paraId="6650408E">
      <w:pPr>
        <w:spacing w:line="400" w:lineRule="exact"/>
        <w:ind w:right="440"/>
        <w:jc w:val="right"/>
        <w:rPr>
          <w:rFonts w:ascii="宋体" w:hAnsi="宋体" w:cs="宋体"/>
          <w:color w:val="auto"/>
          <w:sz w:val="28"/>
          <w:szCs w:val="28"/>
          <w:highlight w:val="none"/>
        </w:rPr>
      </w:pPr>
    </w:p>
    <w:p w14:paraId="005C9F43">
      <w:pPr>
        <w:pStyle w:val="17"/>
        <w:spacing w:line="360" w:lineRule="auto"/>
        <w:ind w:left="0" w:leftChars="0"/>
        <w:jc w:val="center"/>
        <w:rPr>
          <w:rFonts w:ascii="宋体" w:hAnsi="宋体" w:cs="宋体"/>
          <w:b/>
          <w:color w:val="auto"/>
          <w:sz w:val="36"/>
          <w:szCs w:val="36"/>
          <w:highlight w:val="none"/>
        </w:rPr>
      </w:pPr>
      <w:r>
        <w:rPr>
          <w:rFonts w:hint="eastAsia" w:ascii="宋体" w:hAnsi="宋体" w:cs="宋体"/>
          <w:b/>
          <w:color w:val="auto"/>
          <w:sz w:val="36"/>
          <w:szCs w:val="36"/>
          <w:highlight w:val="none"/>
          <w:lang w:eastAsia="zh-CN"/>
        </w:rPr>
        <w:t>河南省科学院材料基因工程研究所河南省科学院材料创新基地材料大数据与数字化设计平台（一期）建设项目</w:t>
      </w:r>
      <w:r>
        <w:rPr>
          <w:rFonts w:hint="eastAsia" w:ascii="宋体" w:hAnsi="宋体" w:cs="宋体"/>
          <w:b/>
          <w:color w:val="auto"/>
          <w:sz w:val="36"/>
          <w:szCs w:val="36"/>
          <w:highlight w:val="none"/>
          <w:u w:val="none"/>
          <w:lang w:eastAsia="zh-CN"/>
        </w:rPr>
        <w:t>（豫政采(2)20242255-</w:t>
      </w:r>
      <w:r>
        <w:rPr>
          <w:rFonts w:hint="eastAsia" w:ascii="宋体" w:hAnsi="宋体" w:cs="宋体"/>
          <w:b/>
          <w:color w:val="auto"/>
          <w:sz w:val="36"/>
          <w:szCs w:val="36"/>
          <w:highlight w:val="none"/>
          <w:u w:val="none"/>
          <w:lang w:val="en-US" w:eastAsia="zh-CN"/>
        </w:rPr>
        <w:t>2</w:t>
      </w:r>
      <w:r>
        <w:rPr>
          <w:rFonts w:hint="eastAsia" w:ascii="宋体" w:hAnsi="宋体" w:cs="宋体"/>
          <w:b/>
          <w:color w:val="auto"/>
          <w:sz w:val="36"/>
          <w:szCs w:val="36"/>
          <w:highlight w:val="none"/>
          <w:u w:val="none"/>
          <w:lang w:eastAsia="zh-CN"/>
        </w:rPr>
        <w:t>）</w:t>
      </w:r>
      <w:r>
        <w:rPr>
          <w:rFonts w:hint="eastAsia" w:ascii="宋体" w:hAnsi="宋体" w:cs="宋体"/>
          <w:b/>
          <w:color w:val="auto"/>
          <w:sz w:val="36"/>
          <w:szCs w:val="36"/>
          <w:highlight w:val="none"/>
          <w:u w:val="none"/>
        </w:rPr>
        <w:t>包</w:t>
      </w:r>
      <w:r>
        <w:rPr>
          <w:rFonts w:hint="eastAsia" w:ascii="宋体" w:hAnsi="宋体" w:cs="宋体"/>
          <w:b/>
          <w:color w:val="auto"/>
          <w:sz w:val="36"/>
          <w:szCs w:val="36"/>
          <w:highlight w:val="none"/>
          <w:u w:val="none"/>
          <w:lang w:val="en-US" w:eastAsia="zh-CN"/>
        </w:rPr>
        <w:t>2</w:t>
      </w:r>
      <w:r>
        <w:rPr>
          <w:rFonts w:hint="eastAsia" w:ascii="宋体" w:hAnsi="宋体" w:cs="宋体"/>
          <w:b/>
          <w:color w:val="auto"/>
          <w:sz w:val="36"/>
          <w:szCs w:val="36"/>
          <w:highlight w:val="none"/>
          <w:lang w:eastAsia="zh-CN"/>
        </w:rPr>
        <w:t>：</w:t>
      </w:r>
      <w:r>
        <w:rPr>
          <w:rFonts w:hint="eastAsia" w:ascii="宋体" w:hAnsi="宋体" w:cs="宋体"/>
          <w:b/>
          <w:color w:val="auto"/>
          <w:sz w:val="36"/>
          <w:szCs w:val="36"/>
          <w:highlight w:val="none"/>
          <w:lang w:val="en-US" w:eastAsia="zh-CN"/>
        </w:rPr>
        <w:t>私有云平台、数据采集和终端</w:t>
      </w:r>
    </w:p>
    <w:p w14:paraId="7A508BF1">
      <w:pPr>
        <w:adjustRightInd w:val="0"/>
        <w:snapToGrid w:val="0"/>
        <w:spacing w:line="360" w:lineRule="auto"/>
        <w:rPr>
          <w:rFonts w:ascii="宋体" w:hAnsi="宋体" w:cs="宋体"/>
          <w:b/>
          <w:color w:val="auto"/>
          <w:sz w:val="36"/>
          <w:szCs w:val="36"/>
          <w:highlight w:val="none"/>
        </w:rPr>
      </w:pPr>
    </w:p>
    <w:p w14:paraId="327B3874">
      <w:pPr>
        <w:widowControl/>
        <w:adjustRightInd w:val="0"/>
        <w:snapToGrid w:val="0"/>
        <w:spacing w:after="200"/>
        <w:jc w:val="center"/>
        <w:rPr>
          <w:rFonts w:ascii="宋体" w:hAnsi="宋体"/>
          <w:b/>
          <w:color w:val="auto"/>
          <w:sz w:val="100"/>
          <w:szCs w:val="100"/>
          <w:highlight w:val="none"/>
        </w:rPr>
      </w:pPr>
      <w:r>
        <w:rPr>
          <w:rFonts w:hint="eastAsia" w:ascii="宋体" w:hAnsi="宋体"/>
          <w:b/>
          <w:color w:val="auto"/>
          <w:sz w:val="100"/>
          <w:szCs w:val="100"/>
          <w:highlight w:val="none"/>
        </w:rPr>
        <w:t>投 标</w:t>
      </w:r>
      <w:r>
        <w:rPr>
          <w:rFonts w:ascii="宋体" w:hAnsi="宋体"/>
          <w:b/>
          <w:color w:val="auto"/>
          <w:sz w:val="100"/>
          <w:szCs w:val="100"/>
          <w:highlight w:val="none"/>
        </w:rPr>
        <w:t xml:space="preserve"> </w:t>
      </w:r>
      <w:r>
        <w:rPr>
          <w:rFonts w:hint="eastAsia" w:ascii="宋体" w:hAnsi="宋体"/>
          <w:b/>
          <w:color w:val="auto"/>
          <w:sz w:val="100"/>
          <w:szCs w:val="100"/>
          <w:highlight w:val="none"/>
        </w:rPr>
        <w:t>文</w:t>
      </w:r>
      <w:r>
        <w:rPr>
          <w:rFonts w:ascii="宋体" w:hAnsi="宋体"/>
          <w:b/>
          <w:color w:val="auto"/>
          <w:sz w:val="100"/>
          <w:szCs w:val="100"/>
          <w:highlight w:val="none"/>
        </w:rPr>
        <w:t xml:space="preserve"> </w:t>
      </w:r>
      <w:r>
        <w:rPr>
          <w:rFonts w:hint="eastAsia" w:ascii="宋体" w:hAnsi="宋体"/>
          <w:b/>
          <w:color w:val="auto"/>
          <w:sz w:val="100"/>
          <w:szCs w:val="100"/>
          <w:highlight w:val="none"/>
        </w:rPr>
        <w:t>件</w:t>
      </w:r>
    </w:p>
    <w:p w14:paraId="7C1E7D32">
      <w:pPr>
        <w:spacing w:line="500" w:lineRule="exact"/>
        <w:jc w:val="center"/>
        <w:rPr>
          <w:rFonts w:ascii="宋体"/>
          <w:b/>
          <w:bCs/>
          <w:color w:val="auto"/>
          <w:sz w:val="28"/>
          <w:szCs w:val="28"/>
          <w:highlight w:val="none"/>
        </w:rPr>
      </w:pPr>
    </w:p>
    <w:p w14:paraId="6B5AF154">
      <w:pPr>
        <w:spacing w:line="500" w:lineRule="exact"/>
        <w:jc w:val="center"/>
        <w:rPr>
          <w:rFonts w:hint="eastAsia" w:ascii="宋体" w:eastAsia="宋体"/>
          <w:b/>
          <w:bCs/>
          <w:color w:val="auto"/>
          <w:sz w:val="28"/>
          <w:szCs w:val="28"/>
          <w:highlight w:val="none"/>
          <w:lang w:eastAsia="zh-CN"/>
        </w:rPr>
      </w:pPr>
      <w:r>
        <w:rPr>
          <w:rFonts w:hint="eastAsia" w:ascii="宋体"/>
          <w:b/>
          <w:bCs/>
          <w:color w:val="auto"/>
          <w:sz w:val="28"/>
          <w:szCs w:val="28"/>
          <w:highlight w:val="none"/>
        </w:rPr>
        <w:t>项目</w:t>
      </w:r>
      <w:r>
        <w:rPr>
          <w:rFonts w:ascii="宋体"/>
          <w:b/>
          <w:bCs/>
          <w:color w:val="auto"/>
          <w:sz w:val="28"/>
          <w:szCs w:val="28"/>
          <w:highlight w:val="none"/>
        </w:rPr>
        <w:t>编号：</w:t>
      </w:r>
      <w:r>
        <w:rPr>
          <w:rFonts w:hint="eastAsia" w:ascii="宋体"/>
          <w:b/>
          <w:bCs/>
          <w:color w:val="auto"/>
          <w:sz w:val="28"/>
          <w:szCs w:val="28"/>
          <w:highlight w:val="none"/>
          <w:lang w:eastAsia="zh-CN"/>
        </w:rPr>
        <w:t>豫财招标采购-2024-</w:t>
      </w:r>
      <w:r>
        <w:rPr>
          <w:rFonts w:hint="eastAsia" w:ascii="宋体"/>
          <w:b/>
          <w:bCs/>
          <w:color w:val="auto"/>
          <w:sz w:val="28"/>
          <w:szCs w:val="28"/>
          <w:highlight w:val="none"/>
          <w:lang w:val="en-US" w:eastAsia="zh-CN"/>
        </w:rPr>
        <w:t xml:space="preserve">1437 </w:t>
      </w:r>
    </w:p>
    <w:p w14:paraId="0A4E592C">
      <w:pPr>
        <w:pStyle w:val="36"/>
        <w:ind w:firstLine="0" w:firstLineChars="0"/>
        <w:rPr>
          <w:rFonts w:ascii="宋体" w:hAnsi="宋体" w:eastAsia="黑体" w:cs="宋体"/>
          <w:color w:val="auto"/>
          <w:sz w:val="30"/>
          <w:szCs w:val="28"/>
          <w:highlight w:val="none"/>
        </w:rPr>
      </w:pPr>
    </w:p>
    <w:p w14:paraId="0C7A6053">
      <w:pPr>
        <w:pStyle w:val="37"/>
        <w:ind w:firstLine="880"/>
        <w:rPr>
          <w:color w:val="auto"/>
          <w:highlight w:val="none"/>
        </w:rPr>
      </w:pPr>
    </w:p>
    <w:p w14:paraId="61C2DDA4">
      <w:pPr>
        <w:pStyle w:val="11"/>
        <w:rPr>
          <w:color w:val="auto"/>
          <w:highlight w:val="none"/>
        </w:rPr>
      </w:pPr>
    </w:p>
    <w:p w14:paraId="3FEC85E9">
      <w:pPr>
        <w:pStyle w:val="12"/>
        <w:rPr>
          <w:color w:val="auto"/>
          <w:highlight w:val="none"/>
        </w:rPr>
      </w:pPr>
    </w:p>
    <w:p w14:paraId="228F35AC">
      <w:pPr>
        <w:pStyle w:val="12"/>
        <w:rPr>
          <w:color w:val="auto"/>
          <w:highlight w:val="none"/>
        </w:rPr>
      </w:pPr>
    </w:p>
    <w:p w14:paraId="7A4D3C2A">
      <w:pPr>
        <w:pStyle w:val="12"/>
        <w:rPr>
          <w:color w:val="auto"/>
          <w:highlight w:val="none"/>
        </w:rPr>
      </w:pPr>
    </w:p>
    <w:p w14:paraId="4F6A1C55">
      <w:pPr>
        <w:rPr>
          <w:color w:val="auto"/>
          <w:highlight w:val="none"/>
        </w:rPr>
      </w:pPr>
    </w:p>
    <w:p w14:paraId="5065B41E">
      <w:pPr>
        <w:pStyle w:val="36"/>
        <w:ind w:firstLine="210"/>
        <w:rPr>
          <w:color w:val="auto"/>
          <w:highlight w:val="none"/>
        </w:rPr>
      </w:pPr>
    </w:p>
    <w:p w14:paraId="32208108">
      <w:pPr>
        <w:rPr>
          <w:rFonts w:ascii="宋体" w:hAnsi="宋体" w:eastAsia="黑体" w:cs="宋体"/>
          <w:color w:val="auto"/>
          <w:sz w:val="30"/>
          <w:szCs w:val="28"/>
          <w:highlight w:val="none"/>
        </w:rPr>
      </w:pPr>
    </w:p>
    <w:p w14:paraId="4DC1228B">
      <w:pPr>
        <w:rPr>
          <w:rFonts w:ascii="宋体" w:hAnsi="宋体" w:eastAsia="黑体" w:cs="宋体"/>
          <w:color w:val="auto"/>
          <w:sz w:val="30"/>
          <w:szCs w:val="28"/>
          <w:highlight w:val="none"/>
        </w:rPr>
      </w:pPr>
    </w:p>
    <w:p w14:paraId="24BF0330">
      <w:pPr>
        <w:spacing w:line="360" w:lineRule="auto"/>
        <w:jc w:val="center"/>
        <w:rPr>
          <w:rFonts w:ascii="宋体" w:hAnsi="宋体" w:cs="宋体"/>
          <w:color w:val="auto"/>
          <w:sz w:val="28"/>
          <w:highlight w:val="none"/>
          <w:u w:val="single"/>
        </w:rPr>
      </w:pPr>
      <w:r>
        <w:rPr>
          <w:rFonts w:hint="eastAsia" w:ascii="宋体" w:hAnsi="宋体" w:cs="宋体"/>
          <w:color w:val="auto"/>
          <w:sz w:val="28"/>
          <w:highlight w:val="none"/>
        </w:rPr>
        <w:t>投标人：</w:t>
      </w:r>
      <w:r>
        <w:rPr>
          <w:rFonts w:hint="eastAsia" w:ascii="宋体" w:hAnsi="宋体" w:cs="宋体"/>
          <w:color w:val="auto"/>
          <w:sz w:val="28"/>
          <w:highlight w:val="none"/>
          <w:u w:val="single"/>
        </w:rPr>
        <w:t xml:space="preserve">                            </w:t>
      </w:r>
      <w:r>
        <w:rPr>
          <w:rFonts w:hint="eastAsia" w:ascii="宋体" w:hAnsi="宋体" w:cs="宋体"/>
          <w:color w:val="auto"/>
          <w:sz w:val="28"/>
          <w:highlight w:val="none"/>
        </w:rPr>
        <w:t>（单位电子印章）</w:t>
      </w:r>
    </w:p>
    <w:p w14:paraId="0ECEEBFF">
      <w:pPr>
        <w:spacing w:line="360" w:lineRule="auto"/>
        <w:jc w:val="center"/>
        <w:rPr>
          <w:rFonts w:ascii="宋体" w:hAnsi="宋体" w:cs="宋体"/>
          <w:color w:val="auto"/>
          <w:sz w:val="28"/>
          <w:highlight w:val="none"/>
        </w:rPr>
      </w:pPr>
      <w:r>
        <w:rPr>
          <w:rFonts w:hint="eastAsia" w:ascii="宋体" w:hAnsi="宋体" w:cs="宋体"/>
          <w:color w:val="auto"/>
          <w:sz w:val="28"/>
          <w:highlight w:val="none"/>
        </w:rPr>
        <w:t>法定代表人或其委托代理人：</w:t>
      </w:r>
      <w:r>
        <w:rPr>
          <w:rFonts w:hint="eastAsia" w:ascii="宋体" w:hAnsi="宋体" w:cs="宋体"/>
          <w:color w:val="auto"/>
          <w:sz w:val="28"/>
          <w:highlight w:val="none"/>
          <w:u w:val="single"/>
        </w:rPr>
        <w:t xml:space="preserve">               </w:t>
      </w:r>
      <w:r>
        <w:rPr>
          <w:rFonts w:hint="eastAsia" w:ascii="宋体" w:hAnsi="宋体" w:cs="宋体"/>
          <w:color w:val="auto"/>
          <w:sz w:val="28"/>
          <w:highlight w:val="none"/>
        </w:rPr>
        <w:t>（电子签章或签字）</w:t>
      </w:r>
    </w:p>
    <w:p w14:paraId="04A62D5C">
      <w:pPr>
        <w:jc w:val="center"/>
        <w:rPr>
          <w:rFonts w:ascii="宋体" w:hAnsi="宋体" w:eastAsia="黑体" w:cs="宋体"/>
          <w:color w:val="auto"/>
          <w:sz w:val="30"/>
          <w:szCs w:val="28"/>
          <w:highlight w:val="none"/>
        </w:rPr>
      </w:pPr>
      <w:r>
        <w:rPr>
          <w:rFonts w:hint="eastAsia" w:ascii="宋体" w:hAnsi="宋体" w:cs="宋体"/>
          <w:color w:val="auto"/>
          <w:sz w:val="30"/>
          <w:szCs w:val="28"/>
          <w:highlight w:val="none"/>
          <w:u w:val="single"/>
        </w:rPr>
        <w:t xml:space="preserve">        </w:t>
      </w:r>
      <w:r>
        <w:rPr>
          <w:rFonts w:hint="eastAsia" w:ascii="宋体" w:hAnsi="宋体" w:cs="宋体"/>
          <w:color w:val="auto"/>
          <w:sz w:val="30"/>
          <w:szCs w:val="28"/>
          <w:highlight w:val="none"/>
        </w:rPr>
        <w:t>年</w:t>
      </w:r>
      <w:r>
        <w:rPr>
          <w:rFonts w:hint="eastAsia" w:ascii="宋体" w:hAnsi="宋体" w:cs="宋体"/>
          <w:color w:val="auto"/>
          <w:sz w:val="30"/>
          <w:szCs w:val="28"/>
          <w:highlight w:val="none"/>
          <w:u w:val="single"/>
        </w:rPr>
        <w:t xml:space="preserve">        </w:t>
      </w:r>
      <w:r>
        <w:rPr>
          <w:rFonts w:hint="eastAsia" w:ascii="宋体" w:hAnsi="宋体" w:cs="宋体"/>
          <w:color w:val="auto"/>
          <w:sz w:val="30"/>
          <w:szCs w:val="28"/>
          <w:highlight w:val="none"/>
        </w:rPr>
        <w:t>月</w:t>
      </w:r>
      <w:r>
        <w:rPr>
          <w:rFonts w:hint="eastAsia" w:ascii="宋体" w:hAnsi="宋体" w:cs="宋体"/>
          <w:color w:val="auto"/>
          <w:sz w:val="30"/>
          <w:szCs w:val="28"/>
          <w:highlight w:val="none"/>
          <w:u w:val="single"/>
        </w:rPr>
        <w:t xml:space="preserve">        </w:t>
      </w:r>
      <w:r>
        <w:rPr>
          <w:rFonts w:hint="eastAsia" w:ascii="宋体" w:hAnsi="宋体" w:cs="宋体"/>
          <w:color w:val="auto"/>
          <w:sz w:val="30"/>
          <w:szCs w:val="28"/>
          <w:highlight w:val="none"/>
        </w:rPr>
        <w:t>日</w:t>
      </w:r>
    </w:p>
    <w:p w14:paraId="282DDD8B">
      <w:pPr>
        <w:ind w:firstLine="1680" w:firstLineChars="600"/>
        <w:jc w:val="left"/>
        <w:rPr>
          <w:rFonts w:ascii="宋体" w:hAnsi="宋体" w:cs="宋体"/>
          <w:color w:val="auto"/>
          <w:sz w:val="28"/>
          <w:szCs w:val="28"/>
          <w:highlight w:val="none"/>
        </w:rPr>
      </w:pPr>
    </w:p>
    <w:p w14:paraId="684E5580">
      <w:pPr>
        <w:rPr>
          <w:rFonts w:ascii="宋体" w:hAnsi="宋体" w:cs="宋体"/>
          <w:color w:val="auto"/>
          <w:sz w:val="28"/>
          <w:szCs w:val="28"/>
          <w:highlight w:val="none"/>
        </w:rPr>
      </w:pPr>
      <w:r>
        <w:rPr>
          <w:rFonts w:ascii="宋体" w:hAnsi="宋体" w:cs="宋体"/>
          <w:color w:val="auto"/>
          <w:sz w:val="28"/>
          <w:szCs w:val="28"/>
          <w:highlight w:val="none"/>
        </w:rPr>
        <w:br w:type="page"/>
      </w:r>
    </w:p>
    <w:p w14:paraId="24BF0479">
      <w:pPr>
        <w:tabs>
          <w:tab w:val="left" w:pos="3280"/>
          <w:tab w:val="left" w:pos="4680"/>
          <w:tab w:val="left" w:pos="6080"/>
        </w:tabs>
        <w:autoSpaceDE w:val="0"/>
        <w:autoSpaceDN w:val="0"/>
        <w:adjustRightInd w:val="0"/>
        <w:spacing w:line="480" w:lineRule="exact"/>
        <w:ind w:right="-20"/>
        <w:jc w:val="center"/>
        <w:rPr>
          <w:rFonts w:ascii="宋体" w:hAnsi="宋体" w:cs="宋体"/>
          <w:b/>
          <w:color w:val="auto"/>
          <w:kern w:val="0"/>
          <w:sz w:val="28"/>
          <w:szCs w:val="28"/>
          <w:highlight w:val="none"/>
        </w:rPr>
      </w:pPr>
      <w:r>
        <w:rPr>
          <w:rFonts w:hint="eastAsia" w:ascii="宋体" w:hAnsi="宋体" w:cs="宋体"/>
          <w:b/>
          <w:color w:val="auto"/>
          <w:kern w:val="0"/>
          <w:sz w:val="36"/>
          <w:szCs w:val="36"/>
          <w:highlight w:val="none"/>
        </w:rPr>
        <w:t>目  录</w:t>
      </w:r>
    </w:p>
    <w:p w14:paraId="62AD39DF">
      <w:pPr>
        <w:tabs>
          <w:tab w:val="left" w:pos="3280"/>
          <w:tab w:val="left" w:pos="4680"/>
          <w:tab w:val="left" w:pos="6080"/>
        </w:tabs>
        <w:autoSpaceDE w:val="0"/>
        <w:autoSpaceDN w:val="0"/>
        <w:adjustRightInd w:val="0"/>
        <w:spacing w:line="480" w:lineRule="exact"/>
        <w:ind w:right="-20"/>
        <w:jc w:val="center"/>
        <w:rPr>
          <w:rFonts w:ascii="宋体" w:hAnsi="宋体" w:cs="宋体"/>
          <w:color w:val="auto"/>
          <w:kern w:val="0"/>
          <w:sz w:val="28"/>
          <w:szCs w:val="28"/>
          <w:highlight w:val="none"/>
        </w:rPr>
      </w:pPr>
    </w:p>
    <w:p w14:paraId="7975329D">
      <w:pPr>
        <w:spacing w:line="48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一、投标函及开标一览表</w:t>
      </w:r>
    </w:p>
    <w:p w14:paraId="51859EEB">
      <w:pPr>
        <w:spacing w:line="48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二、法定代表人身份证明及法定代表人授权委托书</w:t>
      </w:r>
    </w:p>
    <w:p w14:paraId="71B2EFEA">
      <w:pPr>
        <w:spacing w:line="48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三、投标报价明细一览表</w:t>
      </w:r>
    </w:p>
    <w:p w14:paraId="36B814BC">
      <w:pPr>
        <w:spacing w:line="48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四、</w:t>
      </w:r>
      <w:r>
        <w:rPr>
          <w:rFonts w:hint="eastAsia" w:ascii="宋体" w:hAnsi="宋体" w:cs="宋体"/>
          <w:bCs/>
          <w:color w:val="auto"/>
          <w:szCs w:val="21"/>
          <w:highlight w:val="none"/>
          <w:lang w:eastAsia="zh-CN"/>
        </w:rPr>
        <w:t>随机配件、附件、耗材明细</w:t>
      </w:r>
      <w:r>
        <w:rPr>
          <w:rFonts w:hint="eastAsia" w:ascii="宋体" w:hAnsi="宋体" w:cs="宋体"/>
          <w:bCs/>
          <w:color w:val="auto"/>
          <w:szCs w:val="21"/>
          <w:highlight w:val="none"/>
        </w:rPr>
        <w:t>表</w:t>
      </w:r>
    </w:p>
    <w:p w14:paraId="75606C9E">
      <w:pPr>
        <w:spacing w:line="48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五、响应偏离表</w:t>
      </w:r>
    </w:p>
    <w:p w14:paraId="6C75FDFE">
      <w:pPr>
        <w:spacing w:line="48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六、资格审查资料</w:t>
      </w:r>
    </w:p>
    <w:p w14:paraId="52616FC1">
      <w:pPr>
        <w:spacing w:line="48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七、业绩</w:t>
      </w:r>
    </w:p>
    <w:p w14:paraId="6A7A1E9D">
      <w:pPr>
        <w:spacing w:line="48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八、商务部分其他资料</w:t>
      </w:r>
    </w:p>
    <w:p w14:paraId="6DBB5F04">
      <w:pPr>
        <w:spacing w:line="480" w:lineRule="auto"/>
        <w:ind w:firstLine="420" w:firstLineChars="200"/>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rPr>
        <w:t>九、</w:t>
      </w:r>
      <w:r>
        <w:rPr>
          <w:rFonts w:hint="eastAsia" w:ascii="宋体" w:hAnsi="宋体" w:cs="宋体"/>
          <w:bCs/>
          <w:color w:val="auto"/>
          <w:szCs w:val="21"/>
          <w:highlight w:val="none"/>
          <w:lang w:val="en-US" w:eastAsia="zh-CN"/>
        </w:rPr>
        <w:t>技术部分其他资料</w:t>
      </w:r>
    </w:p>
    <w:p w14:paraId="5AEAE1E1">
      <w:pPr>
        <w:spacing w:line="48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lang w:val="en-US" w:eastAsia="zh-CN"/>
        </w:rPr>
        <w:t>十、</w:t>
      </w:r>
      <w:r>
        <w:rPr>
          <w:rFonts w:hint="eastAsia" w:ascii="宋体" w:hAnsi="宋体" w:cs="宋体"/>
          <w:bCs/>
          <w:color w:val="auto"/>
          <w:szCs w:val="21"/>
          <w:highlight w:val="none"/>
        </w:rPr>
        <w:t>反商业贿赂承诺书</w:t>
      </w:r>
    </w:p>
    <w:p w14:paraId="70F3183E">
      <w:pPr>
        <w:spacing w:line="48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十</w:t>
      </w:r>
      <w:r>
        <w:rPr>
          <w:rFonts w:hint="eastAsia" w:ascii="宋体" w:hAnsi="宋体" w:cs="宋体"/>
          <w:bCs/>
          <w:color w:val="auto"/>
          <w:szCs w:val="21"/>
          <w:highlight w:val="none"/>
          <w:lang w:val="en-US" w:eastAsia="zh-CN"/>
        </w:rPr>
        <w:t>一</w:t>
      </w:r>
      <w:r>
        <w:rPr>
          <w:rFonts w:hint="eastAsia" w:ascii="宋体" w:hAnsi="宋体" w:cs="宋体"/>
          <w:bCs/>
          <w:color w:val="auto"/>
          <w:szCs w:val="21"/>
          <w:highlight w:val="none"/>
        </w:rPr>
        <w:t>、中小微企业、残疾人福利企业、监狱企业</w:t>
      </w:r>
    </w:p>
    <w:p w14:paraId="3A25184B">
      <w:pPr>
        <w:spacing w:line="48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十</w:t>
      </w:r>
      <w:r>
        <w:rPr>
          <w:rFonts w:hint="eastAsia" w:ascii="宋体" w:hAnsi="宋体" w:cs="宋体"/>
          <w:bCs/>
          <w:color w:val="auto"/>
          <w:szCs w:val="21"/>
          <w:highlight w:val="none"/>
          <w:lang w:val="en-US" w:eastAsia="zh-CN"/>
        </w:rPr>
        <w:t>二</w:t>
      </w:r>
      <w:r>
        <w:rPr>
          <w:rFonts w:hint="eastAsia" w:ascii="宋体" w:hAnsi="宋体" w:cs="宋体"/>
          <w:bCs/>
          <w:color w:val="auto"/>
          <w:szCs w:val="21"/>
          <w:highlight w:val="none"/>
        </w:rPr>
        <w:t>、投标人认为需要提供的其他资料</w:t>
      </w:r>
    </w:p>
    <w:p w14:paraId="61EFA8FC">
      <w:pPr>
        <w:spacing w:line="400" w:lineRule="exact"/>
        <w:jc w:val="center"/>
        <w:rPr>
          <w:rFonts w:ascii="宋体" w:hAnsi="宋体" w:cs="宋体"/>
          <w:b/>
          <w:color w:val="auto"/>
          <w:sz w:val="30"/>
          <w:szCs w:val="30"/>
          <w:highlight w:val="none"/>
        </w:rPr>
      </w:pPr>
    </w:p>
    <w:p w14:paraId="2289D23A">
      <w:pPr>
        <w:spacing w:line="400" w:lineRule="exact"/>
        <w:jc w:val="center"/>
        <w:rPr>
          <w:rFonts w:ascii="宋体" w:hAnsi="宋体" w:cs="宋体"/>
          <w:b/>
          <w:color w:val="auto"/>
          <w:sz w:val="30"/>
          <w:szCs w:val="30"/>
          <w:highlight w:val="none"/>
        </w:rPr>
      </w:pPr>
    </w:p>
    <w:p w14:paraId="14B7965D">
      <w:pPr>
        <w:spacing w:line="400" w:lineRule="exact"/>
        <w:jc w:val="center"/>
        <w:rPr>
          <w:rFonts w:ascii="宋体" w:hAnsi="宋体" w:cs="宋体"/>
          <w:b/>
          <w:color w:val="auto"/>
          <w:sz w:val="30"/>
          <w:szCs w:val="30"/>
          <w:highlight w:val="none"/>
        </w:rPr>
      </w:pPr>
    </w:p>
    <w:p w14:paraId="62D74FD7">
      <w:pPr>
        <w:spacing w:line="400" w:lineRule="exact"/>
        <w:jc w:val="center"/>
        <w:rPr>
          <w:rFonts w:ascii="宋体" w:hAnsi="宋体" w:cs="宋体"/>
          <w:b/>
          <w:color w:val="auto"/>
          <w:sz w:val="30"/>
          <w:szCs w:val="30"/>
          <w:highlight w:val="none"/>
        </w:rPr>
      </w:pPr>
    </w:p>
    <w:p w14:paraId="4835FC9B">
      <w:pPr>
        <w:spacing w:line="400" w:lineRule="exact"/>
        <w:jc w:val="center"/>
        <w:rPr>
          <w:rFonts w:ascii="宋体" w:hAnsi="宋体" w:cs="宋体"/>
          <w:b/>
          <w:color w:val="auto"/>
          <w:sz w:val="30"/>
          <w:szCs w:val="30"/>
          <w:highlight w:val="none"/>
        </w:rPr>
      </w:pPr>
    </w:p>
    <w:p w14:paraId="37FB8A62">
      <w:pPr>
        <w:spacing w:line="400" w:lineRule="exact"/>
        <w:jc w:val="center"/>
        <w:rPr>
          <w:rFonts w:ascii="宋体" w:hAnsi="宋体" w:cs="宋体"/>
          <w:b/>
          <w:color w:val="auto"/>
          <w:sz w:val="30"/>
          <w:szCs w:val="30"/>
          <w:highlight w:val="none"/>
        </w:rPr>
      </w:pPr>
    </w:p>
    <w:p w14:paraId="732BE868">
      <w:pPr>
        <w:rPr>
          <w:rFonts w:ascii="宋体" w:hAnsi="宋体" w:cs="宋体"/>
          <w:bCs/>
          <w:color w:val="auto"/>
          <w:sz w:val="30"/>
          <w:szCs w:val="30"/>
          <w:highlight w:val="none"/>
        </w:rPr>
      </w:pPr>
      <w:r>
        <w:rPr>
          <w:rFonts w:hint="eastAsia" w:ascii="宋体" w:hAnsi="宋体" w:cs="宋体"/>
          <w:bCs/>
          <w:color w:val="auto"/>
          <w:sz w:val="30"/>
          <w:szCs w:val="30"/>
          <w:highlight w:val="none"/>
        </w:rPr>
        <w:br w:type="page"/>
      </w:r>
    </w:p>
    <w:p w14:paraId="6A51B2DF">
      <w:pPr>
        <w:pStyle w:val="3"/>
        <w:rPr>
          <w:color w:val="auto"/>
          <w:highlight w:val="none"/>
        </w:rPr>
      </w:pPr>
      <w:bookmarkStart w:id="256" w:name="_Toc22637"/>
      <w:bookmarkStart w:id="257" w:name="_Toc22848"/>
      <w:bookmarkStart w:id="258" w:name="_Toc421878802"/>
      <w:bookmarkStart w:id="259" w:name="_Toc17192"/>
      <w:bookmarkStart w:id="260" w:name="_Toc3008"/>
      <w:bookmarkStart w:id="261" w:name="_Toc29685"/>
      <w:bookmarkStart w:id="262" w:name="_Toc10763"/>
      <w:r>
        <w:rPr>
          <w:rFonts w:hint="eastAsia"/>
          <w:color w:val="auto"/>
          <w:highlight w:val="none"/>
        </w:rPr>
        <w:t>一、</w:t>
      </w:r>
      <w:bookmarkStart w:id="263" w:name="_Toc277685508"/>
      <w:r>
        <w:rPr>
          <w:rFonts w:hint="eastAsia"/>
          <w:color w:val="auto"/>
          <w:highlight w:val="none"/>
        </w:rPr>
        <w:t>投标函及开标一览表</w:t>
      </w:r>
      <w:bookmarkEnd w:id="256"/>
      <w:bookmarkEnd w:id="257"/>
      <w:bookmarkEnd w:id="258"/>
    </w:p>
    <w:p w14:paraId="1DED3657">
      <w:pPr>
        <w:pStyle w:val="4"/>
        <w:jc w:val="center"/>
        <w:rPr>
          <w:color w:val="auto"/>
          <w:highlight w:val="none"/>
        </w:rPr>
      </w:pPr>
      <w:bookmarkStart w:id="264" w:name="_Toc1673506467"/>
      <w:bookmarkStart w:id="265" w:name="_Toc26561"/>
      <w:bookmarkStart w:id="266" w:name="_Toc8414"/>
      <w:r>
        <w:rPr>
          <w:rFonts w:hint="eastAsia"/>
          <w:color w:val="auto"/>
          <w:highlight w:val="none"/>
        </w:rPr>
        <w:t>1、投标函</w:t>
      </w:r>
      <w:bookmarkEnd w:id="259"/>
      <w:bookmarkEnd w:id="260"/>
      <w:bookmarkEnd w:id="261"/>
      <w:bookmarkEnd w:id="262"/>
      <w:bookmarkEnd w:id="263"/>
      <w:bookmarkEnd w:id="264"/>
      <w:bookmarkEnd w:id="265"/>
      <w:bookmarkEnd w:id="266"/>
    </w:p>
    <w:p w14:paraId="71DFC594">
      <w:pPr>
        <w:widowControl/>
        <w:spacing w:line="360" w:lineRule="auto"/>
        <w:jc w:val="left"/>
        <w:rPr>
          <w:rFonts w:hint="eastAsia" w:ascii="宋体" w:hAnsi="宋体" w:eastAsia="宋体" w:cs="宋体"/>
          <w:b/>
          <w:color w:val="auto"/>
          <w:kern w:val="0"/>
          <w:szCs w:val="21"/>
          <w:highlight w:val="none"/>
          <w:lang w:eastAsia="zh-CN"/>
        </w:rPr>
      </w:pPr>
      <w:r>
        <w:rPr>
          <w:rFonts w:hint="eastAsia" w:ascii="宋体" w:hAnsi="宋体" w:cs="宋体"/>
          <w:bCs/>
          <w:color w:val="auto"/>
          <w:kern w:val="0"/>
          <w:szCs w:val="21"/>
          <w:highlight w:val="none"/>
        </w:rPr>
        <w:t>致（采购人）：</w:t>
      </w:r>
      <w:r>
        <w:rPr>
          <w:rFonts w:hint="eastAsia" w:ascii="宋体" w:hAnsi="宋体" w:cs="宋体"/>
          <w:bCs/>
          <w:color w:val="auto"/>
          <w:kern w:val="0"/>
          <w:szCs w:val="21"/>
          <w:highlight w:val="none"/>
          <w:u w:val="single"/>
          <w:lang w:eastAsia="zh-CN"/>
        </w:rPr>
        <w:t>河南省科学院材料基因工程研究所</w:t>
      </w:r>
    </w:p>
    <w:p w14:paraId="1C341E9B">
      <w:pPr>
        <w:pStyle w:val="18"/>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我方收到了贵单位采购编号为</w:t>
      </w:r>
      <w:r>
        <w:rPr>
          <w:rFonts w:hint="eastAsia" w:hAnsi="宋体" w:cs="宋体"/>
          <w:color w:val="auto"/>
          <w:szCs w:val="21"/>
          <w:highlight w:val="none"/>
          <w:u w:val="single"/>
        </w:rPr>
        <w:t xml:space="preserve">       </w:t>
      </w:r>
      <w:r>
        <w:rPr>
          <w:rFonts w:hint="eastAsia" w:hAnsi="宋体" w:cs="宋体"/>
          <w:color w:val="auto"/>
          <w:szCs w:val="21"/>
          <w:highlight w:val="none"/>
        </w:rPr>
        <w:t>的</w:t>
      </w:r>
      <w:r>
        <w:rPr>
          <w:rFonts w:hint="eastAsia" w:hAnsi="宋体" w:cs="宋体"/>
          <w:color w:val="auto"/>
          <w:szCs w:val="21"/>
          <w:highlight w:val="none"/>
          <w:u w:val="single"/>
        </w:rPr>
        <w:t xml:space="preserve">   （项目名称、包</w:t>
      </w:r>
      <w:r>
        <w:rPr>
          <w:rFonts w:hint="eastAsia" w:hAnsi="宋体" w:cs="宋体"/>
          <w:color w:val="auto"/>
          <w:szCs w:val="21"/>
          <w:highlight w:val="none"/>
          <w:u w:val="single"/>
          <w:lang w:val="en-US" w:eastAsia="zh-CN"/>
        </w:rPr>
        <w:t>号、包名称</w:t>
      </w:r>
      <w:r>
        <w:rPr>
          <w:rFonts w:hint="eastAsia" w:hAnsi="宋体" w:cs="宋体"/>
          <w:color w:val="auto"/>
          <w:szCs w:val="21"/>
          <w:highlight w:val="none"/>
          <w:u w:val="single"/>
        </w:rPr>
        <w:t xml:space="preserve">）   </w:t>
      </w:r>
      <w:r>
        <w:rPr>
          <w:rFonts w:hint="eastAsia" w:hAnsi="宋体" w:cs="宋体"/>
          <w:color w:val="auto"/>
          <w:szCs w:val="21"/>
          <w:highlight w:val="none"/>
        </w:rPr>
        <w:t>招标文件，经研究，我公司决定参加该项目的投标活动，并按要求提交投标文件。我们郑重声明以下内容并负法律责任：</w:t>
      </w:r>
    </w:p>
    <w:p w14:paraId="03C4C07C">
      <w:pPr>
        <w:pStyle w:val="18"/>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根据贵方的投标邀请,我方签字代表</w:t>
      </w:r>
      <w:r>
        <w:rPr>
          <w:rFonts w:hint="eastAsia" w:hAnsi="宋体" w:cs="宋体"/>
          <w:color w:val="auto"/>
          <w:szCs w:val="21"/>
          <w:highlight w:val="none"/>
          <w:lang w:val="en-US" w:eastAsia="zh-CN"/>
        </w:rPr>
        <w:t xml:space="preserve"> </w:t>
      </w:r>
      <w:r>
        <w:rPr>
          <w:rFonts w:hint="eastAsia" w:hAnsi="宋体" w:cs="宋体"/>
          <w:color w:val="auto"/>
          <w:szCs w:val="21"/>
          <w:highlight w:val="none"/>
          <w:u w:val="single"/>
          <w:lang w:val="en-US" w:eastAsia="zh-CN"/>
        </w:rPr>
        <w:t xml:space="preserve">  </w:t>
      </w:r>
      <w:r>
        <w:rPr>
          <w:rFonts w:hint="eastAsia" w:hAnsi="宋体" w:cs="宋体"/>
          <w:color w:val="auto"/>
          <w:szCs w:val="21"/>
          <w:highlight w:val="none"/>
          <w:u w:val="single"/>
        </w:rPr>
        <w:t>(姓名、职务</w:t>
      </w:r>
      <w:r>
        <w:rPr>
          <w:rFonts w:hint="eastAsia" w:hAnsi="宋体" w:cs="宋体"/>
          <w:color w:val="auto"/>
          <w:szCs w:val="21"/>
          <w:highlight w:val="none"/>
        </w:rPr>
        <w:t>)经正式授权，代表投标人</w:t>
      </w:r>
      <w:r>
        <w:rPr>
          <w:rFonts w:hint="eastAsia" w:hAnsi="宋体" w:cs="宋体"/>
          <w:color w:val="auto"/>
          <w:szCs w:val="21"/>
          <w:highlight w:val="none"/>
          <w:u w:val="single"/>
          <w:lang w:val="en-US" w:eastAsia="zh-CN"/>
        </w:rPr>
        <w:t xml:space="preserve">    </w:t>
      </w:r>
      <w:r>
        <w:rPr>
          <w:rFonts w:hint="eastAsia" w:hAnsi="宋体" w:cs="宋体"/>
          <w:color w:val="auto"/>
          <w:szCs w:val="21"/>
          <w:highlight w:val="none"/>
          <w:u w:val="single"/>
        </w:rPr>
        <w:t>（名称、地址</w:t>
      </w:r>
      <w:r>
        <w:rPr>
          <w:rFonts w:hint="eastAsia" w:hAnsi="宋体" w:cs="宋体"/>
          <w:color w:val="auto"/>
          <w:szCs w:val="21"/>
          <w:highlight w:val="none"/>
        </w:rPr>
        <w:t>）提交投标文件。</w:t>
      </w:r>
    </w:p>
    <w:p w14:paraId="753DC733">
      <w:pPr>
        <w:pStyle w:val="18"/>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据此，签字代表宣布同意如下：</w:t>
      </w:r>
    </w:p>
    <w:p w14:paraId="558F386C">
      <w:pPr>
        <w:pStyle w:val="18"/>
        <w:spacing w:line="360" w:lineRule="auto"/>
        <w:ind w:firstLine="420" w:firstLineChars="200"/>
        <w:jc w:val="left"/>
        <w:rPr>
          <w:rFonts w:hAnsi="宋体" w:cs="宋体"/>
          <w:color w:val="auto"/>
          <w:szCs w:val="21"/>
          <w:highlight w:val="none"/>
          <w:u w:val="single"/>
        </w:rPr>
      </w:pPr>
      <w:r>
        <w:rPr>
          <w:rFonts w:hint="eastAsia" w:hAnsi="宋体" w:cs="宋体"/>
          <w:color w:val="auto"/>
          <w:szCs w:val="21"/>
          <w:highlight w:val="none"/>
        </w:rPr>
        <w:t>（1）愿按照招标文件中规定的条款和要求，提供完成招标文件规定的全部工作，投标总报价为（大写）人民币</w:t>
      </w:r>
      <w:r>
        <w:rPr>
          <w:rFonts w:hint="eastAsia" w:hAnsi="宋体" w:cs="宋体"/>
          <w:color w:val="auto"/>
          <w:szCs w:val="21"/>
          <w:highlight w:val="none"/>
          <w:u w:val="single"/>
        </w:rPr>
        <w:t xml:space="preserve">       </w:t>
      </w:r>
      <w:r>
        <w:rPr>
          <w:rFonts w:hint="eastAsia" w:hAnsi="宋体" w:cs="宋体"/>
          <w:color w:val="auto"/>
          <w:szCs w:val="21"/>
          <w:highlight w:val="none"/>
        </w:rPr>
        <w:t>（¥：</w:t>
      </w:r>
      <w:r>
        <w:rPr>
          <w:rFonts w:hint="eastAsia" w:hAnsi="宋体" w:cs="宋体"/>
          <w:color w:val="auto"/>
          <w:szCs w:val="21"/>
          <w:highlight w:val="none"/>
          <w:u w:val="single"/>
        </w:rPr>
        <w:t xml:space="preserve">         </w:t>
      </w:r>
      <w:r>
        <w:rPr>
          <w:rFonts w:hint="eastAsia" w:hAnsi="宋体" w:cs="宋体"/>
          <w:color w:val="auto"/>
          <w:szCs w:val="21"/>
          <w:highlight w:val="none"/>
        </w:rPr>
        <w:t>元），交货期为</w:t>
      </w:r>
      <w:r>
        <w:rPr>
          <w:rFonts w:hint="eastAsia" w:hAnsi="宋体" w:cs="宋体"/>
          <w:color w:val="auto"/>
          <w:szCs w:val="21"/>
          <w:highlight w:val="none"/>
          <w:u w:val="single"/>
        </w:rPr>
        <w:t xml:space="preserve">        </w:t>
      </w:r>
      <w:r>
        <w:rPr>
          <w:rFonts w:hint="eastAsia" w:hAnsi="宋体" w:cs="宋体"/>
          <w:color w:val="auto"/>
          <w:szCs w:val="21"/>
          <w:highlight w:val="none"/>
        </w:rPr>
        <w:t>，质保期为</w:t>
      </w:r>
      <w:r>
        <w:rPr>
          <w:rFonts w:hint="eastAsia" w:hAnsi="宋体" w:cs="宋体"/>
          <w:color w:val="auto"/>
          <w:szCs w:val="21"/>
          <w:highlight w:val="none"/>
          <w:u w:val="single"/>
        </w:rPr>
        <w:t xml:space="preserve">       </w:t>
      </w:r>
      <w:r>
        <w:rPr>
          <w:rFonts w:hint="eastAsia" w:hAnsi="宋体" w:cs="宋体"/>
          <w:color w:val="auto"/>
          <w:szCs w:val="21"/>
          <w:highlight w:val="none"/>
        </w:rPr>
        <w:t>。</w:t>
      </w:r>
    </w:p>
    <w:p w14:paraId="5081B885">
      <w:pPr>
        <w:pStyle w:val="18"/>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（2）本投标有效期为</w:t>
      </w:r>
      <w:r>
        <w:rPr>
          <w:rFonts w:hint="eastAsia" w:hAnsi="宋体" w:cs="宋体"/>
          <w:color w:val="auto"/>
          <w:szCs w:val="21"/>
          <w:highlight w:val="none"/>
          <w:lang w:eastAsia="zh-CN"/>
        </w:rPr>
        <w:t>递交</w:t>
      </w:r>
      <w:r>
        <w:rPr>
          <w:rFonts w:hint="eastAsia" w:hAnsi="宋体" w:cs="宋体"/>
          <w:color w:val="auto"/>
          <w:szCs w:val="21"/>
          <w:highlight w:val="none"/>
        </w:rPr>
        <w:t>投标</w:t>
      </w:r>
      <w:r>
        <w:rPr>
          <w:rFonts w:hint="eastAsia" w:hAnsi="宋体" w:cs="宋体"/>
          <w:color w:val="auto"/>
          <w:szCs w:val="21"/>
          <w:highlight w:val="none"/>
          <w:lang w:eastAsia="zh-CN"/>
        </w:rPr>
        <w:t>文件</w:t>
      </w:r>
      <w:r>
        <w:rPr>
          <w:rFonts w:hint="eastAsia" w:hAnsi="宋体" w:cs="宋体"/>
          <w:color w:val="auto"/>
          <w:szCs w:val="21"/>
          <w:highlight w:val="none"/>
        </w:rPr>
        <w:t>截止</w:t>
      </w:r>
      <w:r>
        <w:rPr>
          <w:rFonts w:hint="eastAsia" w:hAnsi="宋体" w:cs="宋体"/>
          <w:color w:val="auto"/>
          <w:szCs w:val="21"/>
          <w:highlight w:val="none"/>
          <w:lang w:eastAsia="zh-CN"/>
        </w:rPr>
        <w:t>时间</w:t>
      </w:r>
      <w:r>
        <w:rPr>
          <w:rFonts w:hint="eastAsia" w:hAnsi="宋体" w:cs="宋体"/>
          <w:color w:val="auto"/>
          <w:szCs w:val="21"/>
          <w:highlight w:val="none"/>
        </w:rPr>
        <w:t>起</w:t>
      </w:r>
      <w:r>
        <w:rPr>
          <w:rFonts w:hint="eastAsia" w:hAnsi="宋体" w:cs="宋体"/>
          <w:color w:val="auto"/>
          <w:szCs w:val="21"/>
          <w:highlight w:val="none"/>
          <w:u w:val="single"/>
        </w:rPr>
        <w:t xml:space="preserve">  90  </w:t>
      </w:r>
      <w:r>
        <w:rPr>
          <w:rFonts w:hint="eastAsia" w:hAnsi="宋体" w:cs="宋体"/>
          <w:color w:val="auto"/>
          <w:szCs w:val="21"/>
          <w:highlight w:val="none"/>
        </w:rPr>
        <w:t>日历</w:t>
      </w:r>
      <w:r>
        <w:rPr>
          <w:rFonts w:hint="eastAsia" w:hAnsi="宋体" w:cs="宋体"/>
          <w:color w:val="auto"/>
          <w:kern w:val="0"/>
          <w:szCs w:val="21"/>
          <w:highlight w:val="none"/>
        </w:rPr>
        <w:t>天</w:t>
      </w:r>
      <w:r>
        <w:rPr>
          <w:rFonts w:hint="eastAsia" w:hAnsi="宋体" w:cs="宋体"/>
          <w:color w:val="auto"/>
          <w:szCs w:val="21"/>
          <w:highlight w:val="none"/>
        </w:rPr>
        <w:t>。</w:t>
      </w:r>
    </w:p>
    <w:p w14:paraId="1D955181">
      <w:pPr>
        <w:pStyle w:val="18"/>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（3）已详细审查全部招标文件，包括所有补充文件、更正公告、澄清、答疑文件（如有），完全理解并同意放弃对这方面有不明、误解的权利。</w:t>
      </w:r>
    </w:p>
    <w:p w14:paraId="3D89845F">
      <w:pPr>
        <w:pStyle w:val="18"/>
        <w:spacing w:line="360" w:lineRule="auto"/>
        <w:ind w:firstLine="420" w:firstLineChars="200"/>
        <w:jc w:val="left"/>
        <w:rPr>
          <w:rFonts w:hAnsi="宋体" w:cs="宋体"/>
          <w:b w:val="0"/>
          <w:bCs w:val="0"/>
          <w:color w:val="auto"/>
          <w:szCs w:val="21"/>
          <w:highlight w:val="none"/>
        </w:rPr>
      </w:pPr>
      <w:r>
        <w:rPr>
          <w:rFonts w:hint="eastAsia" w:hAnsi="宋体" w:cs="宋体"/>
          <w:b w:val="0"/>
          <w:bCs w:val="0"/>
          <w:color w:val="auto"/>
          <w:szCs w:val="21"/>
          <w:highlight w:val="none"/>
        </w:rPr>
        <w:t>（4）我方不是为本项目提供整体设计、规范编制或者项目管理、检测等服务的供应商，我方与采购代理机构不存在附属关系。</w:t>
      </w:r>
    </w:p>
    <w:p w14:paraId="60369640">
      <w:pPr>
        <w:pStyle w:val="18"/>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（5）若我方中标，同意按招标文件的规定的收费标准和方式，一次性支付招标代理服务费。</w:t>
      </w:r>
    </w:p>
    <w:p w14:paraId="0186D53B">
      <w:pPr>
        <w:pStyle w:val="18"/>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（6）按照贵方可能的要求，提供与投标有关的一切真实数据或资料，完全理解贵方不一定接受最低价的投标或收到的任何投标。</w:t>
      </w:r>
    </w:p>
    <w:p w14:paraId="07D7C525">
      <w:pPr>
        <w:pStyle w:val="18"/>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（7）按照招标文件的规定履行合同责任和义务。</w:t>
      </w:r>
    </w:p>
    <w:p w14:paraId="5B737C60">
      <w:pPr>
        <w:pStyle w:val="18"/>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（8）完全理解并无条件承担中标后不依法与采购人签订合同的法律后果。</w:t>
      </w:r>
    </w:p>
    <w:p w14:paraId="7D1BAAC9">
      <w:pPr>
        <w:pStyle w:val="18"/>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（9）与本次投标有关的一切正式往来请寄：</w:t>
      </w:r>
    </w:p>
    <w:p w14:paraId="0E45A97E">
      <w:pPr>
        <w:pStyle w:val="18"/>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地  址：</w:t>
      </w:r>
      <w:r>
        <w:rPr>
          <w:rFonts w:hint="eastAsia" w:hAnsi="宋体" w:cs="宋体"/>
          <w:color w:val="auto"/>
          <w:szCs w:val="21"/>
          <w:highlight w:val="none"/>
          <w:u w:val="single"/>
        </w:rPr>
        <w:t xml:space="preserve">              </w:t>
      </w:r>
    </w:p>
    <w:p w14:paraId="0877F436">
      <w:pPr>
        <w:pStyle w:val="18"/>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联系人：</w:t>
      </w:r>
      <w:r>
        <w:rPr>
          <w:rFonts w:hint="eastAsia" w:hAnsi="宋体" w:cs="宋体"/>
          <w:color w:val="auto"/>
          <w:szCs w:val="21"/>
          <w:highlight w:val="none"/>
          <w:u w:val="single"/>
        </w:rPr>
        <w:t xml:space="preserve">              </w:t>
      </w:r>
      <w:r>
        <w:rPr>
          <w:rFonts w:hint="eastAsia" w:hAnsi="宋体" w:cs="宋体"/>
          <w:color w:val="auto"/>
          <w:szCs w:val="21"/>
          <w:highlight w:val="none"/>
        </w:rPr>
        <w:t xml:space="preserve">               </w:t>
      </w:r>
    </w:p>
    <w:p w14:paraId="07313867">
      <w:pPr>
        <w:pStyle w:val="18"/>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电  话：</w:t>
      </w:r>
      <w:r>
        <w:rPr>
          <w:rFonts w:hint="eastAsia" w:hAnsi="宋体" w:cs="宋体"/>
          <w:color w:val="auto"/>
          <w:szCs w:val="21"/>
          <w:highlight w:val="none"/>
          <w:u w:val="single"/>
        </w:rPr>
        <w:t xml:space="preserve">              </w:t>
      </w:r>
    </w:p>
    <w:p w14:paraId="007D235E">
      <w:pPr>
        <w:spacing w:line="520" w:lineRule="exact"/>
        <w:jc w:val="right"/>
        <w:rPr>
          <w:rFonts w:ascii="宋体" w:hAnsi="宋体" w:cs="宋体"/>
          <w:color w:val="auto"/>
          <w:szCs w:val="21"/>
          <w:highlight w:val="none"/>
        </w:rPr>
      </w:pPr>
      <w:r>
        <w:rPr>
          <w:rFonts w:hint="eastAsia" w:ascii="宋体" w:hAnsi="宋体" w:cs="宋体"/>
          <w:color w:val="auto"/>
          <w:szCs w:val="21"/>
          <w:highlight w:val="none"/>
        </w:rPr>
        <w:t xml:space="preserve">                           </w:t>
      </w:r>
    </w:p>
    <w:p w14:paraId="038C33DD">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（单位电子印章）</w:t>
      </w:r>
    </w:p>
    <w:p w14:paraId="03E0AEBC">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（电子签章或签字）</w:t>
      </w:r>
    </w:p>
    <w:p w14:paraId="0253ECF3">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7B475430">
      <w:pPr>
        <w:rPr>
          <w:rFonts w:ascii="宋体" w:hAnsi="宋体" w:cs="宋体"/>
          <w:color w:val="auto"/>
          <w:highlight w:val="none"/>
        </w:rPr>
      </w:pPr>
    </w:p>
    <w:p w14:paraId="2D7F8C39">
      <w:pPr>
        <w:spacing w:line="520" w:lineRule="exact"/>
        <w:ind w:firstLine="480" w:firstLineChars="200"/>
        <w:rPr>
          <w:rFonts w:ascii="宋体" w:hAnsi="宋体" w:cs="宋体"/>
          <w:color w:val="auto"/>
          <w:sz w:val="24"/>
          <w:highlight w:val="none"/>
        </w:rPr>
      </w:pPr>
    </w:p>
    <w:p w14:paraId="72364514">
      <w:pPr>
        <w:autoSpaceDE w:val="0"/>
        <w:autoSpaceDN w:val="0"/>
        <w:adjustRightInd w:val="0"/>
        <w:spacing w:line="360" w:lineRule="auto"/>
        <w:rPr>
          <w:rFonts w:ascii="宋体" w:hAnsi="宋体" w:cs="宋体"/>
          <w:b/>
          <w:color w:val="auto"/>
          <w:sz w:val="32"/>
          <w:szCs w:val="32"/>
          <w:highlight w:val="none"/>
        </w:rPr>
      </w:pPr>
      <w:r>
        <w:rPr>
          <w:rFonts w:hint="eastAsia" w:ascii="宋体" w:hAnsi="宋体" w:cs="宋体"/>
          <w:b/>
          <w:color w:val="auto"/>
          <w:sz w:val="32"/>
          <w:szCs w:val="32"/>
          <w:highlight w:val="none"/>
        </w:rPr>
        <w:br w:type="page"/>
      </w:r>
    </w:p>
    <w:p w14:paraId="0D37DC33">
      <w:pPr>
        <w:jc w:val="center"/>
        <w:outlineLvl w:val="2"/>
        <w:rPr>
          <w:rFonts w:ascii="宋体" w:hAnsi="宋体" w:cs="宋体"/>
          <w:b/>
          <w:color w:val="auto"/>
          <w:kern w:val="0"/>
          <w:sz w:val="30"/>
          <w:szCs w:val="20"/>
          <w:highlight w:val="none"/>
        </w:rPr>
      </w:pPr>
      <w:bookmarkStart w:id="267" w:name="_Toc1029866110"/>
      <w:bookmarkStart w:id="268" w:name="_Toc28743"/>
      <w:bookmarkStart w:id="269" w:name="_Toc7141"/>
      <w:r>
        <w:rPr>
          <w:rFonts w:hint="eastAsia" w:ascii="宋体" w:hAnsi="宋体" w:cs="宋体"/>
          <w:b/>
          <w:color w:val="auto"/>
          <w:kern w:val="0"/>
          <w:sz w:val="30"/>
          <w:szCs w:val="20"/>
          <w:highlight w:val="none"/>
        </w:rPr>
        <w:t>2</w:t>
      </w:r>
      <w:bookmarkStart w:id="270" w:name="_Toc10808"/>
      <w:bookmarkStart w:id="271" w:name="_Toc1074"/>
      <w:bookmarkStart w:id="272" w:name="_Toc1085"/>
      <w:bookmarkStart w:id="273" w:name="_Toc30355"/>
      <w:r>
        <w:rPr>
          <w:rFonts w:hint="eastAsia" w:ascii="宋体" w:hAnsi="宋体" w:cs="宋体"/>
          <w:b/>
          <w:color w:val="auto"/>
          <w:kern w:val="0"/>
          <w:sz w:val="30"/>
          <w:szCs w:val="20"/>
          <w:highlight w:val="none"/>
        </w:rPr>
        <w:t>、开标一览表</w:t>
      </w:r>
      <w:bookmarkEnd w:id="267"/>
      <w:bookmarkEnd w:id="268"/>
      <w:bookmarkEnd w:id="269"/>
      <w:bookmarkEnd w:id="270"/>
      <w:bookmarkEnd w:id="271"/>
      <w:bookmarkEnd w:id="272"/>
      <w:bookmarkEnd w:id="273"/>
    </w:p>
    <w:tbl>
      <w:tblPr>
        <w:tblStyle w:val="38"/>
        <w:tblW w:w="86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0"/>
        <w:gridCol w:w="6216"/>
      </w:tblGrid>
      <w:tr w14:paraId="7F1A9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80" w:type="dxa"/>
            <w:vAlign w:val="center"/>
          </w:tcPr>
          <w:p w14:paraId="05165551">
            <w:pPr>
              <w:pStyle w:val="70"/>
              <w:spacing w:line="240" w:lineRule="auto"/>
              <w:ind w:firstLine="0"/>
              <w:jc w:val="center"/>
              <w:rPr>
                <w:rFonts w:ascii="宋体" w:hAnsi="宋体" w:eastAsia="宋体"/>
                <w:color w:val="auto"/>
                <w:sz w:val="21"/>
                <w:szCs w:val="21"/>
                <w:highlight w:val="none"/>
              </w:rPr>
            </w:pPr>
            <w:bookmarkStart w:id="274" w:name="_Toc31158"/>
            <w:bookmarkStart w:id="275" w:name="_Toc24299"/>
            <w:bookmarkStart w:id="276" w:name="_Toc13480"/>
            <w:bookmarkStart w:id="277" w:name="_Toc79579478"/>
            <w:bookmarkStart w:id="278" w:name="_Toc4328"/>
            <w:bookmarkStart w:id="279" w:name="_Toc27452"/>
            <w:bookmarkStart w:id="280" w:name="_Toc16938"/>
            <w:bookmarkStart w:id="281" w:name="_Toc10771"/>
            <w:bookmarkStart w:id="282" w:name="_Toc7338"/>
            <w:r>
              <w:rPr>
                <w:rFonts w:hint="eastAsia" w:ascii="宋体" w:hAnsi="宋体" w:eastAsia="宋体"/>
                <w:color w:val="auto"/>
                <w:sz w:val="21"/>
                <w:szCs w:val="21"/>
                <w:highlight w:val="none"/>
              </w:rPr>
              <w:t>项目名称</w:t>
            </w:r>
          </w:p>
        </w:tc>
        <w:tc>
          <w:tcPr>
            <w:tcW w:w="6216" w:type="dxa"/>
            <w:vAlign w:val="center"/>
          </w:tcPr>
          <w:p w14:paraId="6E0E6316">
            <w:pPr>
              <w:pStyle w:val="18"/>
              <w:spacing w:line="240" w:lineRule="auto"/>
              <w:jc w:val="center"/>
              <w:rPr>
                <w:rFonts w:hint="eastAsia" w:hAnsi="宋体" w:eastAsia="宋体"/>
                <w:color w:val="auto"/>
                <w:szCs w:val="21"/>
                <w:highlight w:val="none"/>
                <w:u w:val="single"/>
                <w:lang w:eastAsia="zh-CN"/>
              </w:rPr>
            </w:pPr>
            <w:r>
              <w:rPr>
                <w:rFonts w:hint="eastAsia" w:hAnsi="宋体"/>
                <w:color w:val="auto"/>
                <w:szCs w:val="21"/>
                <w:highlight w:val="none"/>
                <w:u w:val="none"/>
                <w:lang w:eastAsia="zh-CN"/>
              </w:rPr>
              <w:t>河南省科学院材料基因工程研究所河南省科学院材料创新基地材料大数据与数字化设计平台（一期）建设项目</w:t>
            </w:r>
          </w:p>
        </w:tc>
      </w:tr>
      <w:tr w14:paraId="37511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80" w:type="dxa"/>
            <w:vAlign w:val="center"/>
          </w:tcPr>
          <w:p w14:paraId="3470EC0E">
            <w:pPr>
              <w:pStyle w:val="70"/>
              <w:spacing w:line="240" w:lineRule="auto"/>
              <w:ind w:firstLine="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包</w:t>
            </w:r>
            <w:r>
              <w:rPr>
                <w:rFonts w:hint="eastAsia" w:ascii="宋体" w:hAnsi="宋体" w:eastAsia="宋体"/>
                <w:color w:val="auto"/>
                <w:sz w:val="21"/>
                <w:szCs w:val="21"/>
                <w:highlight w:val="none"/>
                <w:lang w:val="en-US" w:eastAsia="zh-CN"/>
              </w:rPr>
              <w:t>号及名称</w:t>
            </w:r>
          </w:p>
        </w:tc>
        <w:tc>
          <w:tcPr>
            <w:tcW w:w="6216" w:type="dxa"/>
            <w:vAlign w:val="center"/>
          </w:tcPr>
          <w:p w14:paraId="510A5F13">
            <w:pPr>
              <w:pStyle w:val="18"/>
              <w:spacing w:line="240" w:lineRule="auto"/>
              <w:jc w:val="left"/>
              <w:rPr>
                <w:rFonts w:hAnsi="宋体"/>
                <w:color w:val="auto"/>
                <w:szCs w:val="21"/>
                <w:highlight w:val="none"/>
                <w:u w:val="single"/>
              </w:rPr>
            </w:pPr>
            <w:r>
              <w:rPr>
                <w:rFonts w:hint="eastAsia" w:hAnsi="宋体"/>
                <w:color w:val="auto"/>
                <w:szCs w:val="21"/>
                <w:highlight w:val="none"/>
                <w:u w:val="none"/>
                <w:lang w:eastAsia="zh-CN"/>
              </w:rPr>
              <w:t>豫政采(2)20242255-</w:t>
            </w:r>
            <w:r>
              <w:rPr>
                <w:rFonts w:hint="eastAsia" w:hAnsi="宋体"/>
                <w:color w:val="auto"/>
                <w:szCs w:val="21"/>
                <w:highlight w:val="none"/>
                <w:u w:val="single"/>
                <w:lang w:val="en-US" w:eastAsia="zh-CN"/>
              </w:rPr>
              <w:t xml:space="preserve">    、                  </w:t>
            </w:r>
            <w:r>
              <w:rPr>
                <w:rFonts w:hint="eastAsia" w:hAnsi="宋体"/>
                <w:color w:val="auto"/>
                <w:szCs w:val="21"/>
                <w:highlight w:val="none"/>
                <w:u w:val="none"/>
              </w:rPr>
              <w:t xml:space="preserve">   </w:t>
            </w:r>
          </w:p>
        </w:tc>
      </w:tr>
      <w:tr w14:paraId="06764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80" w:type="dxa"/>
            <w:vAlign w:val="center"/>
          </w:tcPr>
          <w:p w14:paraId="15A70BCB">
            <w:pPr>
              <w:pStyle w:val="70"/>
              <w:spacing w:line="240" w:lineRule="auto"/>
              <w:ind w:firstLine="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项目编号</w:t>
            </w:r>
          </w:p>
        </w:tc>
        <w:tc>
          <w:tcPr>
            <w:tcW w:w="6216" w:type="dxa"/>
            <w:vAlign w:val="center"/>
          </w:tcPr>
          <w:p w14:paraId="774140AE">
            <w:pPr>
              <w:pStyle w:val="18"/>
              <w:spacing w:line="240" w:lineRule="auto"/>
              <w:jc w:val="left"/>
              <w:rPr>
                <w:rFonts w:hAnsi="宋体"/>
                <w:color w:val="auto"/>
                <w:szCs w:val="21"/>
                <w:highlight w:val="none"/>
                <w:u w:val="single"/>
              </w:rPr>
            </w:pPr>
            <w:r>
              <w:rPr>
                <w:rFonts w:hint="eastAsia" w:cs="宋体"/>
                <w:color w:val="auto"/>
                <w:kern w:val="0"/>
                <w:sz w:val="21"/>
                <w:szCs w:val="21"/>
                <w:highlight w:val="none"/>
                <w:lang w:val="en-US" w:eastAsia="zh-CN"/>
              </w:rPr>
              <w:t>豫财招标采购-2024-1437</w:t>
            </w:r>
          </w:p>
        </w:tc>
      </w:tr>
      <w:tr w14:paraId="3DFFB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80" w:type="dxa"/>
            <w:vAlign w:val="center"/>
          </w:tcPr>
          <w:p w14:paraId="7AC75D1F">
            <w:pPr>
              <w:pStyle w:val="70"/>
              <w:spacing w:line="240" w:lineRule="auto"/>
              <w:ind w:firstLine="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投标人名称</w:t>
            </w:r>
          </w:p>
        </w:tc>
        <w:tc>
          <w:tcPr>
            <w:tcW w:w="6216" w:type="dxa"/>
            <w:vAlign w:val="center"/>
          </w:tcPr>
          <w:p w14:paraId="5D356EFA">
            <w:pPr>
              <w:pStyle w:val="70"/>
              <w:spacing w:line="240" w:lineRule="auto"/>
              <w:ind w:firstLine="0"/>
              <w:jc w:val="center"/>
              <w:rPr>
                <w:rFonts w:ascii="宋体" w:hAnsi="宋体" w:eastAsia="宋体"/>
                <w:color w:val="auto"/>
                <w:sz w:val="21"/>
                <w:szCs w:val="21"/>
                <w:highlight w:val="none"/>
              </w:rPr>
            </w:pPr>
          </w:p>
        </w:tc>
      </w:tr>
      <w:tr w14:paraId="28627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2480" w:type="dxa"/>
            <w:vAlign w:val="center"/>
          </w:tcPr>
          <w:p w14:paraId="4D4DFDA2">
            <w:pPr>
              <w:pStyle w:val="70"/>
              <w:spacing w:line="240" w:lineRule="auto"/>
              <w:ind w:firstLine="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投标报价（元）</w:t>
            </w:r>
          </w:p>
        </w:tc>
        <w:tc>
          <w:tcPr>
            <w:tcW w:w="6216" w:type="dxa"/>
            <w:vAlign w:val="center"/>
          </w:tcPr>
          <w:p w14:paraId="500D22E8">
            <w:pPr>
              <w:pStyle w:val="70"/>
              <w:spacing w:line="240" w:lineRule="auto"/>
              <w:ind w:firstLine="0"/>
              <w:jc w:val="left"/>
              <w:rPr>
                <w:rFonts w:ascii="宋体" w:hAnsi="宋体" w:eastAsia="宋体"/>
                <w:color w:val="auto"/>
                <w:sz w:val="21"/>
                <w:szCs w:val="21"/>
                <w:highlight w:val="none"/>
                <w:u w:val="single"/>
              </w:rPr>
            </w:pPr>
            <w:r>
              <w:rPr>
                <w:rFonts w:hint="eastAsia" w:ascii="宋体" w:hAnsi="宋体" w:eastAsia="宋体"/>
                <w:color w:val="auto"/>
                <w:sz w:val="21"/>
                <w:szCs w:val="21"/>
                <w:highlight w:val="none"/>
              </w:rPr>
              <w:t>大写：</w:t>
            </w:r>
          </w:p>
          <w:p w14:paraId="35EDFC31">
            <w:pPr>
              <w:pStyle w:val="70"/>
              <w:spacing w:line="240" w:lineRule="auto"/>
              <w:ind w:firstLine="0"/>
              <w:jc w:val="left"/>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r>
      <w:tr w14:paraId="5CF1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80" w:type="dxa"/>
            <w:vAlign w:val="center"/>
          </w:tcPr>
          <w:p w14:paraId="1079EC47">
            <w:pPr>
              <w:pStyle w:val="70"/>
              <w:spacing w:line="240" w:lineRule="auto"/>
              <w:ind w:firstLine="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投标内容</w:t>
            </w:r>
          </w:p>
        </w:tc>
        <w:tc>
          <w:tcPr>
            <w:tcW w:w="6216" w:type="dxa"/>
            <w:vAlign w:val="center"/>
          </w:tcPr>
          <w:p w14:paraId="3D7EB141">
            <w:pPr>
              <w:pStyle w:val="70"/>
              <w:spacing w:line="240" w:lineRule="auto"/>
              <w:ind w:firstLine="0"/>
              <w:jc w:val="center"/>
              <w:rPr>
                <w:rFonts w:hint="eastAsia" w:ascii="宋体" w:hAnsi="宋体" w:eastAsia="宋体"/>
                <w:color w:val="auto"/>
                <w:sz w:val="21"/>
                <w:szCs w:val="21"/>
                <w:highlight w:val="none"/>
                <w:lang w:eastAsia="zh-CN"/>
              </w:rPr>
            </w:pPr>
          </w:p>
        </w:tc>
      </w:tr>
      <w:tr w14:paraId="42AE1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80" w:type="dxa"/>
            <w:vAlign w:val="center"/>
          </w:tcPr>
          <w:p w14:paraId="4CFF772E">
            <w:pPr>
              <w:pStyle w:val="70"/>
              <w:spacing w:line="240" w:lineRule="auto"/>
              <w:ind w:firstLine="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品牌、型号</w:t>
            </w:r>
          </w:p>
        </w:tc>
        <w:tc>
          <w:tcPr>
            <w:tcW w:w="6216" w:type="dxa"/>
            <w:vAlign w:val="center"/>
          </w:tcPr>
          <w:p w14:paraId="63D847B5">
            <w:pPr>
              <w:pStyle w:val="70"/>
              <w:spacing w:line="240" w:lineRule="auto"/>
              <w:ind w:firstLine="0"/>
              <w:jc w:val="center"/>
              <w:rPr>
                <w:rFonts w:ascii="宋体" w:hAnsi="宋体" w:eastAsia="宋体"/>
                <w:color w:val="auto"/>
                <w:sz w:val="21"/>
                <w:szCs w:val="21"/>
                <w:highlight w:val="none"/>
              </w:rPr>
            </w:pPr>
          </w:p>
        </w:tc>
      </w:tr>
      <w:tr w14:paraId="1A62D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80" w:type="dxa"/>
            <w:vAlign w:val="center"/>
          </w:tcPr>
          <w:p w14:paraId="270A327F">
            <w:pPr>
              <w:pStyle w:val="70"/>
              <w:spacing w:line="240" w:lineRule="auto"/>
              <w:ind w:firstLine="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交货期</w:t>
            </w:r>
          </w:p>
        </w:tc>
        <w:tc>
          <w:tcPr>
            <w:tcW w:w="6216" w:type="dxa"/>
            <w:vAlign w:val="center"/>
          </w:tcPr>
          <w:p w14:paraId="5DBDA546">
            <w:pPr>
              <w:pStyle w:val="70"/>
              <w:spacing w:line="240" w:lineRule="auto"/>
              <w:ind w:firstLine="0"/>
              <w:jc w:val="center"/>
              <w:rPr>
                <w:rFonts w:ascii="宋体" w:hAnsi="宋体" w:eastAsia="宋体"/>
                <w:color w:val="auto"/>
                <w:sz w:val="21"/>
                <w:szCs w:val="21"/>
                <w:highlight w:val="none"/>
              </w:rPr>
            </w:pPr>
          </w:p>
        </w:tc>
      </w:tr>
      <w:tr w14:paraId="444EB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80" w:type="dxa"/>
            <w:vAlign w:val="center"/>
          </w:tcPr>
          <w:p w14:paraId="25FD9445">
            <w:pPr>
              <w:pStyle w:val="70"/>
              <w:spacing w:line="240" w:lineRule="auto"/>
              <w:ind w:firstLine="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交货地点</w:t>
            </w:r>
          </w:p>
        </w:tc>
        <w:tc>
          <w:tcPr>
            <w:tcW w:w="6216" w:type="dxa"/>
            <w:vAlign w:val="center"/>
          </w:tcPr>
          <w:p w14:paraId="79B76BF4">
            <w:pPr>
              <w:pStyle w:val="70"/>
              <w:spacing w:line="240" w:lineRule="auto"/>
              <w:ind w:firstLine="0"/>
              <w:jc w:val="center"/>
              <w:rPr>
                <w:rFonts w:ascii="宋体" w:hAnsi="宋体" w:eastAsia="宋体"/>
                <w:color w:val="auto"/>
                <w:sz w:val="21"/>
                <w:szCs w:val="21"/>
                <w:highlight w:val="none"/>
              </w:rPr>
            </w:pPr>
          </w:p>
        </w:tc>
      </w:tr>
      <w:tr w14:paraId="6F002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80" w:type="dxa"/>
            <w:vAlign w:val="center"/>
          </w:tcPr>
          <w:p w14:paraId="244B4BC4">
            <w:pPr>
              <w:pStyle w:val="70"/>
              <w:spacing w:line="240" w:lineRule="auto"/>
              <w:ind w:firstLine="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质量标准</w:t>
            </w:r>
          </w:p>
        </w:tc>
        <w:tc>
          <w:tcPr>
            <w:tcW w:w="6216" w:type="dxa"/>
            <w:vAlign w:val="center"/>
          </w:tcPr>
          <w:p w14:paraId="35D7CAAC">
            <w:pPr>
              <w:pStyle w:val="70"/>
              <w:spacing w:line="240" w:lineRule="auto"/>
              <w:ind w:firstLine="0"/>
              <w:jc w:val="center"/>
              <w:rPr>
                <w:rFonts w:ascii="宋体" w:hAnsi="宋体" w:eastAsia="宋体"/>
                <w:color w:val="auto"/>
                <w:sz w:val="21"/>
                <w:szCs w:val="21"/>
                <w:highlight w:val="none"/>
              </w:rPr>
            </w:pPr>
          </w:p>
        </w:tc>
      </w:tr>
      <w:tr w14:paraId="1956F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80" w:type="dxa"/>
            <w:vAlign w:val="center"/>
          </w:tcPr>
          <w:p w14:paraId="461650E1">
            <w:pPr>
              <w:pStyle w:val="70"/>
              <w:spacing w:line="240" w:lineRule="auto"/>
              <w:ind w:firstLine="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质保期</w:t>
            </w:r>
          </w:p>
        </w:tc>
        <w:tc>
          <w:tcPr>
            <w:tcW w:w="6216" w:type="dxa"/>
            <w:vAlign w:val="center"/>
          </w:tcPr>
          <w:p w14:paraId="6F244B7C">
            <w:pPr>
              <w:pStyle w:val="70"/>
              <w:spacing w:line="240" w:lineRule="auto"/>
              <w:ind w:firstLine="0"/>
              <w:jc w:val="center"/>
              <w:rPr>
                <w:rFonts w:ascii="宋体" w:hAnsi="宋体" w:eastAsia="宋体"/>
                <w:color w:val="auto"/>
                <w:sz w:val="21"/>
                <w:szCs w:val="21"/>
                <w:highlight w:val="none"/>
              </w:rPr>
            </w:pPr>
          </w:p>
        </w:tc>
      </w:tr>
      <w:tr w14:paraId="11CDB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80" w:type="dxa"/>
            <w:vAlign w:val="center"/>
          </w:tcPr>
          <w:p w14:paraId="278068D3">
            <w:pPr>
              <w:pStyle w:val="70"/>
              <w:spacing w:line="240" w:lineRule="auto"/>
              <w:ind w:firstLine="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投标有效期</w:t>
            </w:r>
          </w:p>
        </w:tc>
        <w:tc>
          <w:tcPr>
            <w:tcW w:w="6216" w:type="dxa"/>
            <w:vAlign w:val="center"/>
          </w:tcPr>
          <w:p w14:paraId="4A5CC55A">
            <w:pPr>
              <w:pStyle w:val="70"/>
              <w:spacing w:line="240" w:lineRule="auto"/>
              <w:ind w:firstLine="0"/>
              <w:jc w:val="center"/>
              <w:rPr>
                <w:rFonts w:ascii="宋体" w:hAnsi="宋体" w:eastAsia="宋体"/>
                <w:color w:val="auto"/>
                <w:sz w:val="21"/>
                <w:szCs w:val="21"/>
                <w:highlight w:val="none"/>
              </w:rPr>
            </w:pPr>
          </w:p>
        </w:tc>
      </w:tr>
      <w:tr w14:paraId="65157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80" w:type="dxa"/>
            <w:vAlign w:val="center"/>
          </w:tcPr>
          <w:p w14:paraId="4FACA02E">
            <w:pPr>
              <w:pStyle w:val="70"/>
              <w:spacing w:line="240" w:lineRule="auto"/>
              <w:ind w:firstLine="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其他声明</w:t>
            </w:r>
          </w:p>
        </w:tc>
        <w:tc>
          <w:tcPr>
            <w:tcW w:w="6216" w:type="dxa"/>
            <w:vAlign w:val="center"/>
          </w:tcPr>
          <w:p w14:paraId="0917BBBB">
            <w:pPr>
              <w:pStyle w:val="70"/>
              <w:spacing w:line="240" w:lineRule="auto"/>
              <w:ind w:firstLine="0"/>
              <w:jc w:val="center"/>
              <w:rPr>
                <w:rFonts w:ascii="宋体" w:hAnsi="宋体" w:eastAsia="宋体"/>
                <w:color w:val="auto"/>
                <w:sz w:val="21"/>
                <w:szCs w:val="21"/>
                <w:highlight w:val="none"/>
              </w:rPr>
            </w:pPr>
          </w:p>
        </w:tc>
      </w:tr>
    </w:tbl>
    <w:p w14:paraId="4EFD4E08">
      <w:pPr>
        <w:jc w:val="left"/>
        <w:rPr>
          <w:rFonts w:hint="eastAsia"/>
          <w:color w:val="auto"/>
          <w:szCs w:val="21"/>
          <w:highlight w:val="none"/>
          <w:lang w:val="en-US" w:eastAsia="zh-CN"/>
        </w:rPr>
      </w:pPr>
    </w:p>
    <w:p w14:paraId="28533464">
      <w:pPr>
        <w:keepNext w:val="0"/>
        <w:keepLines w:val="0"/>
        <w:pageBreakBefore w:val="0"/>
        <w:widowControl w:val="0"/>
        <w:numPr>
          <w:ilvl w:val="-1"/>
          <w:numId w:val="0"/>
        </w:numPr>
        <w:kinsoku/>
        <w:wordWrap/>
        <w:overflowPunct/>
        <w:topLinePunct w:val="0"/>
        <w:autoSpaceDE/>
        <w:autoSpaceDN/>
        <w:bidi w:val="0"/>
        <w:adjustRightInd/>
        <w:snapToGrid/>
        <w:spacing w:line="440" w:lineRule="exact"/>
        <w:ind w:firstLine="0" w:firstLineChars="0"/>
        <w:jc w:val="left"/>
        <w:textAlignment w:val="auto"/>
        <w:rPr>
          <w:rFonts w:hint="eastAsia" w:ascii="宋体" w:hAnsi="宋体" w:cs="宋体"/>
          <w:color w:val="auto"/>
          <w:sz w:val="21"/>
          <w:szCs w:val="21"/>
          <w:highlight w:val="none"/>
          <w:lang w:val="en-US" w:eastAsia="zh-CN"/>
        </w:rPr>
      </w:pPr>
      <w:r>
        <w:rPr>
          <w:rFonts w:hint="eastAsia" w:ascii="宋体" w:hAnsi="宋体" w:eastAsia="宋体" w:cs="宋体"/>
          <w:color w:val="auto"/>
          <w:szCs w:val="21"/>
          <w:highlight w:val="none"/>
          <w:lang w:val="en-US" w:eastAsia="zh-CN"/>
        </w:rPr>
        <w:t>注：1、</w:t>
      </w:r>
      <w:r>
        <w:rPr>
          <w:rFonts w:hint="eastAsia" w:ascii="宋体" w:hAnsi="宋体" w:eastAsia="宋体" w:cs="宋体"/>
          <w:color w:val="auto"/>
          <w:sz w:val="21"/>
          <w:szCs w:val="21"/>
          <w:highlight w:val="none"/>
        </w:rPr>
        <w:t>品牌、型号</w:t>
      </w:r>
      <w:r>
        <w:rPr>
          <w:rFonts w:hint="eastAsia" w:ascii="宋体" w:hAnsi="宋体" w:cs="宋体"/>
          <w:color w:val="auto"/>
          <w:sz w:val="21"/>
          <w:szCs w:val="21"/>
          <w:highlight w:val="none"/>
          <w:lang w:val="en-US" w:eastAsia="zh-CN"/>
        </w:rPr>
        <w:t>一栏</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填写核心产品相关内容即可。</w:t>
      </w:r>
    </w:p>
    <w:bookmarkEnd w:id="274"/>
    <w:bookmarkEnd w:id="275"/>
    <w:bookmarkEnd w:id="276"/>
    <w:bookmarkEnd w:id="277"/>
    <w:bookmarkEnd w:id="278"/>
    <w:bookmarkEnd w:id="279"/>
    <w:bookmarkEnd w:id="280"/>
    <w:bookmarkEnd w:id="281"/>
    <w:bookmarkEnd w:id="282"/>
    <w:p w14:paraId="0EF0D115">
      <w:pPr>
        <w:spacing w:line="520" w:lineRule="exact"/>
        <w:ind w:firstLine="420" w:firstLineChars="200"/>
        <w:rPr>
          <w:rFonts w:ascii="宋体" w:hAnsi="宋体" w:cs="宋体"/>
          <w:color w:val="auto"/>
          <w:szCs w:val="21"/>
          <w:highlight w:val="none"/>
        </w:rPr>
      </w:pPr>
      <w:bookmarkStart w:id="283" w:name="_Toc14271"/>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（单位电子印章）</w:t>
      </w:r>
    </w:p>
    <w:p w14:paraId="5035F233">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（电子签章或签字）</w:t>
      </w:r>
    </w:p>
    <w:p w14:paraId="589B3940">
      <w:pPr>
        <w:spacing w:line="520" w:lineRule="exact"/>
        <w:ind w:firstLine="420" w:firstLineChars="200"/>
        <w:rPr>
          <w:rStyle w:val="96"/>
          <w:rFonts w:hint="eastAsia"/>
          <w:color w:val="auto"/>
          <w:highlight w:val="none"/>
        </w:rPr>
      </w:pPr>
      <w:r>
        <w:rPr>
          <w:rFonts w:hint="eastAsia" w:ascii="宋体" w:hAnsi="宋体" w:cs="宋体"/>
          <w:color w:val="auto"/>
          <w:szCs w:val="21"/>
          <w:highlight w:val="none"/>
        </w:rPr>
        <w:t>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bookmarkStart w:id="284" w:name="_Toc18973"/>
      <w:bookmarkStart w:id="285" w:name="_Toc16304"/>
      <w:bookmarkStart w:id="286" w:name="_Toc7482"/>
      <w:bookmarkStart w:id="287" w:name="_Toc30099"/>
    </w:p>
    <w:p w14:paraId="4529FA1F">
      <w:pPr>
        <w:spacing w:before="0" w:beforeLines="-2147483648" w:after="0" w:afterLines="-2147483648"/>
        <w:jc w:val="left"/>
        <w:outlineLvl w:val="9"/>
        <w:rPr>
          <w:rStyle w:val="96"/>
          <w:rFonts w:hint="eastAsia"/>
          <w:color w:val="auto"/>
          <w:highlight w:val="none"/>
        </w:rPr>
      </w:pPr>
      <w:bookmarkStart w:id="288" w:name="_Toc241515950"/>
      <w:r>
        <w:rPr>
          <w:rStyle w:val="96"/>
          <w:rFonts w:hint="eastAsia"/>
          <w:color w:val="auto"/>
          <w:highlight w:val="none"/>
        </w:rPr>
        <w:br w:type="page"/>
      </w:r>
    </w:p>
    <w:p w14:paraId="31E18FE9">
      <w:pPr>
        <w:spacing w:before="120" w:beforeLines="50" w:after="120" w:afterLines="50"/>
        <w:jc w:val="center"/>
        <w:outlineLvl w:val="1"/>
        <w:rPr>
          <w:rFonts w:ascii="宋体" w:hAnsi="宋体" w:cs="宋体"/>
          <w:color w:val="auto"/>
          <w:highlight w:val="none"/>
        </w:rPr>
      </w:pPr>
      <w:bookmarkStart w:id="289" w:name="_Toc24100"/>
      <w:r>
        <w:rPr>
          <w:rStyle w:val="96"/>
          <w:rFonts w:hint="eastAsia"/>
          <w:color w:val="auto"/>
          <w:highlight w:val="none"/>
        </w:rPr>
        <w:t>二、法定代表人身份证明及法定代表人授权委托书</w:t>
      </w:r>
      <w:bookmarkEnd w:id="284"/>
      <w:bookmarkEnd w:id="288"/>
      <w:bookmarkEnd w:id="289"/>
    </w:p>
    <w:p w14:paraId="36AD1C72">
      <w:pPr>
        <w:spacing w:line="440" w:lineRule="exact"/>
        <w:rPr>
          <w:rFonts w:ascii="宋体" w:hAnsi="宋体" w:cs="宋体"/>
          <w:color w:val="auto"/>
          <w:sz w:val="20"/>
          <w:szCs w:val="20"/>
          <w:highlight w:val="none"/>
        </w:rPr>
      </w:pPr>
    </w:p>
    <w:p w14:paraId="196CCCB3">
      <w:pPr>
        <w:spacing w:line="440" w:lineRule="exact"/>
        <w:jc w:val="center"/>
        <w:outlineLvl w:val="2"/>
        <w:rPr>
          <w:rFonts w:ascii="宋体" w:hAnsi="宋体" w:cs="宋体"/>
          <w:b/>
          <w:bCs/>
          <w:color w:val="auto"/>
          <w:szCs w:val="21"/>
          <w:highlight w:val="none"/>
        </w:rPr>
      </w:pPr>
      <w:bookmarkStart w:id="290" w:name="_Toc25274"/>
      <w:bookmarkStart w:id="291" w:name="_Toc414478820"/>
      <w:bookmarkStart w:id="292" w:name="_Toc10779"/>
      <w:r>
        <w:rPr>
          <w:rFonts w:hint="eastAsia" w:ascii="宋体" w:hAnsi="宋体" w:cs="宋体"/>
          <w:b/>
          <w:bCs/>
          <w:color w:val="auto"/>
          <w:szCs w:val="21"/>
          <w:highlight w:val="none"/>
        </w:rPr>
        <w:t>1、法定代表人身份证明</w:t>
      </w:r>
      <w:bookmarkEnd w:id="290"/>
      <w:bookmarkEnd w:id="291"/>
      <w:bookmarkEnd w:id="292"/>
    </w:p>
    <w:p w14:paraId="0B755750">
      <w:pPr>
        <w:spacing w:line="440" w:lineRule="exact"/>
        <w:jc w:val="center"/>
        <w:rPr>
          <w:rFonts w:ascii="宋体" w:hAnsi="宋体" w:cs="宋体"/>
          <w:color w:val="auto"/>
          <w:szCs w:val="21"/>
          <w:highlight w:val="none"/>
        </w:rPr>
      </w:pPr>
    </w:p>
    <w:p w14:paraId="4BB40A6F">
      <w:pPr>
        <w:spacing w:line="44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0C34AC85">
      <w:pPr>
        <w:spacing w:line="44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单位性质：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7477932B">
      <w:pPr>
        <w:spacing w:line="44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single"/>
        </w:rPr>
        <w:t xml:space="preserve">                                      </w:t>
      </w:r>
    </w:p>
    <w:p w14:paraId="3BFAE3E0">
      <w:pPr>
        <w:spacing w:line="44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成立时间：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日</w:t>
      </w:r>
    </w:p>
    <w:p w14:paraId="7AA8A88B">
      <w:pPr>
        <w:spacing w:line="44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经营期限：</w:t>
      </w:r>
      <w:r>
        <w:rPr>
          <w:rFonts w:hint="eastAsia" w:ascii="宋体" w:hAnsi="宋体" w:cs="宋体"/>
          <w:color w:val="auto"/>
          <w:szCs w:val="21"/>
          <w:highlight w:val="none"/>
          <w:u w:val="single"/>
        </w:rPr>
        <w:t xml:space="preserve">                                 </w:t>
      </w:r>
    </w:p>
    <w:p w14:paraId="4BD739D2">
      <w:pPr>
        <w:spacing w:line="44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姓名：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性别：</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年龄：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职务：</w:t>
      </w:r>
      <w:r>
        <w:rPr>
          <w:rFonts w:hint="eastAsia" w:ascii="宋体" w:hAnsi="宋体" w:cs="宋体"/>
          <w:color w:val="auto"/>
          <w:szCs w:val="21"/>
          <w:highlight w:val="none"/>
          <w:u w:val="single"/>
        </w:rPr>
        <w:t xml:space="preserve">        </w:t>
      </w:r>
    </w:p>
    <w:p w14:paraId="043976AB">
      <w:pPr>
        <w:spacing w:line="44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系</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（投标人名称）的法定代表人。</w:t>
      </w:r>
    </w:p>
    <w:p w14:paraId="79F6FD3F">
      <w:pPr>
        <w:spacing w:line="440" w:lineRule="exact"/>
        <w:ind w:firstLine="630" w:firstLineChars="300"/>
        <w:rPr>
          <w:rFonts w:ascii="宋体" w:hAnsi="宋体" w:cs="宋体"/>
          <w:color w:val="auto"/>
          <w:szCs w:val="21"/>
          <w:highlight w:val="none"/>
        </w:rPr>
      </w:pPr>
      <w:r>
        <w:rPr>
          <w:rFonts w:hint="eastAsia" w:ascii="宋体" w:hAnsi="宋体" w:cs="宋体"/>
          <w:color w:val="auto"/>
          <w:szCs w:val="21"/>
          <w:highlight w:val="none"/>
        </w:rPr>
        <w:t>特此证明。</w:t>
      </w:r>
    </w:p>
    <w:p w14:paraId="2C2B5F00">
      <w:pPr>
        <w:spacing w:line="440" w:lineRule="exact"/>
        <w:rPr>
          <w:rFonts w:ascii="宋体" w:hAnsi="宋体" w:cs="宋体"/>
          <w:color w:val="auto"/>
          <w:szCs w:val="21"/>
          <w:highlight w:val="none"/>
        </w:rPr>
      </w:pPr>
    </w:p>
    <w:p w14:paraId="1DEDE184">
      <w:pPr>
        <w:spacing w:line="440" w:lineRule="exact"/>
        <w:rPr>
          <w:rFonts w:ascii="宋体" w:hAnsi="宋体" w:cs="宋体"/>
          <w:color w:val="auto"/>
          <w:szCs w:val="21"/>
          <w:highlight w:val="none"/>
        </w:rPr>
      </w:pPr>
    </w:p>
    <w:p w14:paraId="4C4CA511">
      <w:pPr>
        <w:spacing w:line="440" w:lineRule="exact"/>
        <w:ind w:firstLine="3979" w:firstLineChars="1895"/>
        <w:jc w:val="left"/>
        <w:rPr>
          <w:rFonts w:ascii="宋体" w:hAnsi="宋体" w:cs="宋体"/>
          <w:color w:val="auto"/>
          <w:kern w:val="0"/>
          <w:szCs w:val="21"/>
          <w:highlight w:val="none"/>
        </w:rPr>
      </w:pPr>
      <w:r>
        <w:rPr>
          <w:rFonts w:hint="eastAsia" w:ascii="宋体" w:hAnsi="宋体" w:cs="宋体"/>
          <w:color w:val="auto"/>
          <w:kern w:val="0"/>
          <w:szCs w:val="21"/>
          <w:highlight w:val="none"/>
        </w:rPr>
        <w:t>投标人名称：</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（单位电子印章）</w:t>
      </w:r>
    </w:p>
    <w:p w14:paraId="513AF045">
      <w:pPr>
        <w:spacing w:line="440" w:lineRule="exact"/>
        <w:ind w:firstLine="3979" w:firstLineChars="1895"/>
        <w:jc w:val="left"/>
        <w:rPr>
          <w:rFonts w:ascii="宋体" w:hAnsi="宋体" w:cs="宋体"/>
          <w:color w:val="auto"/>
          <w:szCs w:val="21"/>
          <w:highlight w:val="none"/>
        </w:rPr>
      </w:pPr>
      <w:r>
        <w:rPr>
          <w:rFonts w:hint="eastAsia" w:ascii="宋体" w:hAnsi="宋体" w:cs="宋体"/>
          <w:color w:val="auto"/>
          <w:szCs w:val="21"/>
          <w:highlight w:val="none"/>
        </w:rPr>
        <w:t>法定代表人：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（电子签章）</w:t>
      </w:r>
    </w:p>
    <w:p w14:paraId="22E30D60">
      <w:pPr>
        <w:spacing w:line="440" w:lineRule="exact"/>
        <w:ind w:firstLine="3979" w:firstLineChars="1895"/>
        <w:jc w:val="left"/>
        <w:rPr>
          <w:rFonts w:ascii="宋体" w:hAnsi="宋体" w:cs="宋体"/>
          <w:color w:val="auto"/>
          <w:szCs w:val="21"/>
          <w:highlight w:val="none"/>
        </w:rPr>
      </w:pPr>
      <w:r>
        <w:rPr>
          <w:rFonts w:hint="eastAsia" w:ascii="宋体" w:hAnsi="宋体" w:cs="宋体"/>
          <w:color w:val="auto"/>
          <w:szCs w:val="21"/>
          <w:highlight w:val="none"/>
        </w:rPr>
        <w:t>日      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日 </w:t>
      </w:r>
    </w:p>
    <w:p w14:paraId="0559744B">
      <w:pPr>
        <w:spacing w:line="440" w:lineRule="exact"/>
        <w:rPr>
          <w:rFonts w:ascii="宋体" w:hAnsi="宋体" w:cs="宋体"/>
          <w:color w:val="auto"/>
          <w:szCs w:val="21"/>
          <w:highlight w:val="none"/>
        </w:rPr>
      </w:pPr>
    </w:p>
    <w:p w14:paraId="17EAAE17">
      <w:pPr>
        <w:spacing w:line="440" w:lineRule="exact"/>
        <w:rPr>
          <w:rFonts w:ascii="宋体" w:hAnsi="宋体" w:cs="宋体"/>
          <w:color w:val="auto"/>
          <w:szCs w:val="21"/>
          <w:highlight w:val="none"/>
        </w:rPr>
      </w:pPr>
    </w:p>
    <w:tbl>
      <w:tblPr>
        <w:tblStyle w:val="38"/>
        <w:tblW w:w="8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9"/>
      </w:tblGrid>
      <w:tr w14:paraId="4426B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9" w:hRule="atLeast"/>
          <w:jc w:val="center"/>
        </w:trPr>
        <w:tc>
          <w:tcPr>
            <w:tcW w:w="8629" w:type="dxa"/>
            <w:vAlign w:val="center"/>
          </w:tcPr>
          <w:p w14:paraId="4EF7CBE9">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法定代表人身份证正反面扫描件</w:t>
            </w:r>
          </w:p>
          <w:p w14:paraId="0DBAB0BB">
            <w:pPr>
              <w:spacing w:line="440" w:lineRule="exact"/>
              <w:jc w:val="center"/>
              <w:rPr>
                <w:rFonts w:ascii="宋体" w:hAnsi="宋体" w:cs="宋体"/>
                <w:color w:val="auto"/>
                <w:szCs w:val="21"/>
                <w:highlight w:val="none"/>
              </w:rPr>
            </w:pPr>
          </w:p>
        </w:tc>
      </w:tr>
    </w:tbl>
    <w:p w14:paraId="5BDEFB57">
      <w:pPr>
        <w:spacing w:line="440" w:lineRule="exact"/>
        <w:rPr>
          <w:rFonts w:ascii="宋体" w:hAnsi="宋体" w:cs="宋体"/>
          <w:color w:val="auto"/>
          <w:szCs w:val="21"/>
          <w:highlight w:val="none"/>
        </w:rPr>
      </w:pPr>
    </w:p>
    <w:p w14:paraId="7D06A8CC">
      <w:pPr>
        <w:spacing w:line="440" w:lineRule="exact"/>
        <w:rPr>
          <w:rFonts w:ascii="宋体" w:hAnsi="宋体" w:cs="宋体"/>
          <w:color w:val="auto"/>
          <w:szCs w:val="21"/>
          <w:highlight w:val="none"/>
        </w:rPr>
      </w:pPr>
    </w:p>
    <w:p w14:paraId="42B47C61">
      <w:pPr>
        <w:spacing w:line="440" w:lineRule="exact"/>
        <w:rPr>
          <w:rFonts w:ascii="宋体" w:hAnsi="宋体" w:cs="宋体"/>
          <w:color w:val="auto"/>
          <w:szCs w:val="21"/>
          <w:highlight w:val="none"/>
        </w:rPr>
      </w:pPr>
    </w:p>
    <w:p w14:paraId="2FBECB36">
      <w:pPr>
        <w:spacing w:line="440" w:lineRule="exact"/>
        <w:rPr>
          <w:rFonts w:ascii="宋体" w:hAnsi="宋体" w:cs="宋体"/>
          <w:color w:val="auto"/>
          <w:szCs w:val="21"/>
          <w:highlight w:val="none"/>
        </w:rPr>
      </w:pPr>
    </w:p>
    <w:p w14:paraId="470B3F42">
      <w:pPr>
        <w:spacing w:line="440" w:lineRule="exact"/>
        <w:jc w:val="center"/>
        <w:outlineLvl w:val="2"/>
        <w:rPr>
          <w:rFonts w:ascii="宋体" w:hAnsi="宋体" w:cs="宋体"/>
          <w:b/>
          <w:bCs/>
          <w:color w:val="auto"/>
          <w:szCs w:val="21"/>
          <w:highlight w:val="none"/>
        </w:rPr>
      </w:pPr>
      <w:bookmarkStart w:id="293" w:name="_Toc31180"/>
      <w:bookmarkStart w:id="294" w:name="_Toc1856060519"/>
      <w:bookmarkStart w:id="295" w:name="_Toc27527"/>
      <w:r>
        <w:rPr>
          <w:rFonts w:hint="eastAsia" w:ascii="宋体" w:hAnsi="宋体" w:cs="宋体"/>
          <w:b/>
          <w:bCs/>
          <w:color w:val="auto"/>
          <w:szCs w:val="21"/>
          <w:highlight w:val="none"/>
        </w:rPr>
        <w:t>2、法定代表人授权委托书</w:t>
      </w:r>
      <w:bookmarkEnd w:id="293"/>
      <w:bookmarkEnd w:id="294"/>
      <w:bookmarkEnd w:id="295"/>
    </w:p>
    <w:p w14:paraId="3C8EDE80">
      <w:pPr>
        <w:spacing w:line="440" w:lineRule="exact"/>
        <w:rPr>
          <w:rFonts w:ascii="宋体" w:hAnsi="宋体" w:cs="宋体"/>
          <w:color w:val="auto"/>
          <w:szCs w:val="21"/>
          <w:highlight w:val="none"/>
        </w:rPr>
      </w:pPr>
    </w:p>
    <w:p w14:paraId="0CDDA020">
      <w:pPr>
        <w:topLinePunct/>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（姓名）系</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（投标人名称）的法定代表人，现委托</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（姓名）</w:t>
      </w:r>
      <w:r>
        <w:rPr>
          <w:rFonts w:hint="eastAsia" w:ascii="宋体" w:hAnsi="宋体" w:cs="宋体"/>
          <w:color w:val="auto"/>
          <w:szCs w:val="21"/>
          <w:highlight w:val="none"/>
          <w:lang w:val="en-US" w:eastAsia="zh-CN"/>
        </w:rPr>
        <w:t>联系方式：</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为我方代理人。代理人根据授权，以我方名义签署、澄清、说明、补正、递交、撤回、修改</w:t>
      </w:r>
      <w:r>
        <w:rPr>
          <w:rFonts w:hint="eastAsia" w:ascii="宋体" w:hAnsi="宋体" w:cs="宋体"/>
          <w:color w:val="auto"/>
          <w:szCs w:val="21"/>
          <w:highlight w:val="none"/>
          <w:u w:val="single"/>
        </w:rPr>
        <w:t xml:space="preserve">           （项目名称、包</w:t>
      </w:r>
      <w:r>
        <w:rPr>
          <w:rFonts w:hint="eastAsia" w:ascii="宋体" w:hAnsi="宋体" w:cs="宋体"/>
          <w:color w:val="auto"/>
          <w:szCs w:val="21"/>
          <w:highlight w:val="none"/>
          <w:u w:val="single"/>
          <w:lang w:val="en-US" w:eastAsia="zh-CN"/>
        </w:rPr>
        <w:t>号、包名称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投标文件、签订合同和处理有关事宜，其法律后果由我方承担。</w:t>
      </w:r>
    </w:p>
    <w:p w14:paraId="16051F61">
      <w:pPr>
        <w:spacing w:line="440" w:lineRule="exact"/>
        <w:rPr>
          <w:rFonts w:ascii="宋体" w:hAnsi="宋体" w:cs="宋体"/>
          <w:color w:val="auto"/>
          <w:szCs w:val="21"/>
          <w:highlight w:val="none"/>
        </w:rPr>
      </w:pPr>
      <w:r>
        <w:rPr>
          <w:rFonts w:hint="eastAsia" w:ascii="宋体" w:hAnsi="宋体" w:cs="宋体"/>
          <w:color w:val="auto"/>
          <w:szCs w:val="21"/>
          <w:highlight w:val="none"/>
        </w:rPr>
        <w:t xml:space="preserve">    委托期限：</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F0FD11E">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 </w:t>
      </w:r>
    </w:p>
    <w:p w14:paraId="655BF4D1">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附：法定代表人及授权委托人身份证正反面扫描件</w:t>
      </w:r>
    </w:p>
    <w:p w14:paraId="015CA1A8">
      <w:pPr>
        <w:spacing w:line="440" w:lineRule="exact"/>
        <w:rPr>
          <w:rFonts w:ascii="宋体" w:hAnsi="宋体" w:cs="宋体"/>
          <w:color w:val="auto"/>
          <w:szCs w:val="21"/>
          <w:highlight w:val="none"/>
        </w:rPr>
      </w:pPr>
    </w:p>
    <w:p w14:paraId="28F38E14">
      <w:pPr>
        <w:spacing w:line="440" w:lineRule="exact"/>
        <w:rPr>
          <w:rFonts w:ascii="宋体" w:hAnsi="宋体" w:cs="宋体"/>
          <w:color w:val="auto"/>
          <w:szCs w:val="21"/>
          <w:highlight w:val="none"/>
        </w:rPr>
      </w:pPr>
    </w:p>
    <w:p w14:paraId="2FBE8904">
      <w:pPr>
        <w:spacing w:line="440" w:lineRule="exact"/>
        <w:ind w:firstLine="2310" w:firstLineChars="1100"/>
        <w:rPr>
          <w:rFonts w:ascii="宋体" w:hAnsi="宋体" w:cs="宋体"/>
          <w:color w:val="auto"/>
          <w:kern w:val="0"/>
          <w:szCs w:val="21"/>
          <w:highlight w:val="none"/>
        </w:rPr>
      </w:pPr>
      <w:r>
        <w:rPr>
          <w:rFonts w:hint="eastAsia" w:ascii="宋体" w:hAnsi="宋体" w:cs="宋体"/>
          <w:color w:val="auto"/>
          <w:kern w:val="0"/>
          <w:szCs w:val="21"/>
          <w:highlight w:val="none"/>
        </w:rPr>
        <w:t>投标人名称：</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（单位电子印章）</w:t>
      </w:r>
    </w:p>
    <w:p w14:paraId="2C74EB04">
      <w:pPr>
        <w:spacing w:line="440" w:lineRule="exact"/>
        <w:ind w:firstLine="2310" w:firstLineChars="1100"/>
        <w:rPr>
          <w:rFonts w:ascii="宋体" w:hAnsi="宋体" w:cs="宋体"/>
          <w:color w:val="auto"/>
          <w:szCs w:val="21"/>
          <w:highlight w:val="none"/>
        </w:rPr>
      </w:pPr>
      <w:r>
        <w:rPr>
          <w:rFonts w:hint="eastAsia" w:ascii="宋体" w:hAnsi="宋体" w:cs="宋体"/>
          <w:color w:val="auto"/>
          <w:szCs w:val="21"/>
          <w:highlight w:val="none"/>
        </w:rPr>
        <w:t>法定代表人：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（电子签章）</w:t>
      </w:r>
    </w:p>
    <w:p w14:paraId="776D3C68">
      <w:pPr>
        <w:spacing w:line="440" w:lineRule="exact"/>
        <w:ind w:firstLine="2310" w:firstLineChars="1100"/>
        <w:rPr>
          <w:rFonts w:ascii="宋体" w:hAnsi="宋体" w:cs="宋体"/>
          <w:color w:val="auto"/>
          <w:szCs w:val="21"/>
          <w:highlight w:val="none"/>
        </w:rPr>
      </w:pPr>
      <w:r>
        <w:rPr>
          <w:rFonts w:hint="eastAsia" w:ascii="宋体" w:hAnsi="宋体" w:cs="宋体"/>
          <w:color w:val="auto"/>
          <w:szCs w:val="21"/>
          <w:highlight w:val="none"/>
        </w:rPr>
        <w:t>身份证号码：</w:t>
      </w:r>
      <w:r>
        <w:rPr>
          <w:rFonts w:hint="eastAsia" w:ascii="宋体" w:hAnsi="宋体" w:cs="宋体"/>
          <w:color w:val="auto"/>
          <w:szCs w:val="21"/>
          <w:highlight w:val="none"/>
          <w:u w:val="single"/>
        </w:rPr>
        <w:t xml:space="preserve">                              </w:t>
      </w:r>
    </w:p>
    <w:p w14:paraId="37092B2E">
      <w:pPr>
        <w:wordWrap w:val="0"/>
        <w:spacing w:line="440" w:lineRule="exact"/>
        <w:ind w:right="840"/>
        <w:jc w:val="center"/>
        <w:rPr>
          <w:rFonts w:ascii="宋体" w:hAnsi="宋体" w:cs="宋体"/>
          <w:color w:val="auto"/>
          <w:szCs w:val="21"/>
          <w:highlight w:val="none"/>
        </w:rPr>
      </w:pPr>
      <w:r>
        <w:rPr>
          <w:rFonts w:hint="eastAsia" w:ascii="宋体" w:hAnsi="宋体" w:cs="宋体"/>
          <w:color w:val="auto"/>
          <w:szCs w:val="21"/>
          <w:highlight w:val="none"/>
        </w:rPr>
        <w:t xml:space="preserve">                      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（签字或盖章）</w:t>
      </w:r>
    </w:p>
    <w:p w14:paraId="5512F0BE">
      <w:pPr>
        <w:spacing w:line="440" w:lineRule="exact"/>
        <w:ind w:firstLine="2310" w:firstLineChars="1100"/>
        <w:rPr>
          <w:rFonts w:hint="eastAsia" w:ascii="宋体" w:hAnsi="宋体" w:cs="宋体"/>
          <w:color w:val="auto"/>
          <w:szCs w:val="21"/>
          <w:highlight w:val="none"/>
          <w:u w:val="single"/>
        </w:rPr>
      </w:pPr>
      <w:r>
        <w:rPr>
          <w:rFonts w:hint="eastAsia" w:ascii="宋体" w:hAnsi="宋体" w:cs="宋体"/>
          <w:color w:val="auto"/>
          <w:szCs w:val="21"/>
          <w:highlight w:val="none"/>
        </w:rPr>
        <w:t>身份证号码：</w:t>
      </w:r>
      <w:r>
        <w:rPr>
          <w:rFonts w:hint="eastAsia" w:ascii="宋体" w:hAnsi="宋体" w:cs="宋体"/>
          <w:color w:val="auto"/>
          <w:szCs w:val="21"/>
          <w:highlight w:val="none"/>
          <w:u w:val="single"/>
        </w:rPr>
        <w:t xml:space="preserve">                              </w:t>
      </w:r>
    </w:p>
    <w:p w14:paraId="4283C15B">
      <w:pPr>
        <w:spacing w:line="440" w:lineRule="exact"/>
        <w:ind w:firstLine="2310" w:firstLineChars="1100"/>
        <w:rPr>
          <w:rFonts w:ascii="宋体" w:hAnsi="宋体" w:cs="宋体"/>
          <w:color w:val="auto"/>
          <w:szCs w:val="21"/>
          <w:highlight w:val="none"/>
        </w:rPr>
      </w:pPr>
      <w:r>
        <w:rPr>
          <w:rFonts w:hint="eastAsia" w:ascii="宋体" w:hAnsi="宋体" w:cs="宋体"/>
          <w:color w:val="auto"/>
          <w:szCs w:val="21"/>
          <w:highlight w:val="none"/>
        </w:rPr>
        <w:t>日      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77495623">
      <w:pPr>
        <w:spacing w:line="440" w:lineRule="exact"/>
        <w:rPr>
          <w:rFonts w:ascii="宋体" w:hAnsi="宋体" w:cs="宋体"/>
          <w:color w:val="auto"/>
          <w:szCs w:val="21"/>
          <w:highlight w:val="none"/>
        </w:rPr>
      </w:pPr>
    </w:p>
    <w:tbl>
      <w:tblPr>
        <w:tblStyle w:val="38"/>
        <w:tblW w:w="8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8"/>
      </w:tblGrid>
      <w:tr w14:paraId="5CE9B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5" w:hRule="atLeast"/>
          <w:jc w:val="center"/>
        </w:trPr>
        <w:tc>
          <w:tcPr>
            <w:tcW w:w="8648" w:type="dxa"/>
            <w:vAlign w:val="center"/>
          </w:tcPr>
          <w:p w14:paraId="09DCFD6E">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法定代表人及委托代理人身份证正反面扫描件</w:t>
            </w:r>
          </w:p>
          <w:p w14:paraId="0EA66842">
            <w:pPr>
              <w:spacing w:line="440" w:lineRule="exact"/>
              <w:jc w:val="center"/>
              <w:rPr>
                <w:rFonts w:ascii="宋体" w:hAnsi="宋体" w:cs="宋体"/>
                <w:color w:val="auto"/>
                <w:szCs w:val="21"/>
                <w:highlight w:val="none"/>
              </w:rPr>
            </w:pPr>
          </w:p>
        </w:tc>
      </w:tr>
    </w:tbl>
    <w:p w14:paraId="7A64273D">
      <w:pPr>
        <w:spacing w:line="440" w:lineRule="exact"/>
        <w:rPr>
          <w:rFonts w:ascii="宋体" w:hAnsi="宋体" w:cs="宋体"/>
          <w:color w:val="auto"/>
          <w:szCs w:val="21"/>
          <w:highlight w:val="none"/>
        </w:rPr>
      </w:pPr>
    </w:p>
    <w:p w14:paraId="1F622EE1">
      <w:pPr>
        <w:adjustRightInd w:val="0"/>
        <w:snapToGrid w:val="0"/>
        <w:spacing w:line="400" w:lineRule="exact"/>
        <w:rPr>
          <w:rFonts w:ascii="宋体" w:hAnsi="宋体" w:cs="宋体"/>
          <w:b/>
          <w:color w:val="auto"/>
          <w:kern w:val="44"/>
          <w:sz w:val="36"/>
          <w:szCs w:val="36"/>
          <w:highlight w:val="none"/>
        </w:rPr>
      </w:pPr>
    </w:p>
    <w:p w14:paraId="1BC121A7">
      <w:pPr>
        <w:rPr>
          <w:color w:val="auto"/>
          <w:highlight w:val="none"/>
        </w:rPr>
      </w:pPr>
    </w:p>
    <w:p w14:paraId="52432E4D">
      <w:pPr>
        <w:rPr>
          <w:color w:val="auto"/>
          <w:highlight w:val="none"/>
        </w:rPr>
      </w:pPr>
      <w:r>
        <w:rPr>
          <w:rFonts w:hint="eastAsia"/>
          <w:color w:val="auto"/>
          <w:highlight w:val="none"/>
        </w:rPr>
        <w:br w:type="page"/>
      </w:r>
    </w:p>
    <w:p w14:paraId="6136462A">
      <w:pPr>
        <w:pStyle w:val="3"/>
        <w:bidi w:val="0"/>
        <w:outlineLvl w:val="1"/>
      </w:pPr>
      <w:bookmarkStart w:id="296" w:name="_Toc461686511"/>
      <w:bookmarkStart w:id="297" w:name="_Toc29548"/>
      <w:bookmarkStart w:id="298" w:name="_Toc25575"/>
      <w:r>
        <w:rPr>
          <w:rFonts w:hint="eastAsia"/>
        </w:rPr>
        <w:t>三、投标</w:t>
      </w:r>
      <w:r>
        <w:rPr>
          <w:rFonts w:hint="eastAsia"/>
          <w:lang w:eastAsia="zh-CN"/>
        </w:rPr>
        <w:t>货物分项报价明细</w:t>
      </w:r>
      <w:r>
        <w:rPr>
          <w:rFonts w:hint="eastAsia"/>
        </w:rPr>
        <w:t>表</w:t>
      </w:r>
      <w:bookmarkEnd w:id="283"/>
      <w:bookmarkEnd w:id="285"/>
      <w:bookmarkEnd w:id="286"/>
      <w:bookmarkEnd w:id="287"/>
      <w:bookmarkEnd w:id="296"/>
      <w:bookmarkEnd w:id="297"/>
      <w:bookmarkEnd w:id="298"/>
    </w:p>
    <w:p w14:paraId="4975CE36">
      <w:pPr>
        <w:spacing w:line="400" w:lineRule="exact"/>
        <w:jc w:val="right"/>
        <w:rPr>
          <w:rFonts w:ascii="宋体" w:hAnsi="宋体" w:cs="宋体"/>
          <w:bCs/>
          <w:color w:val="auto"/>
          <w:szCs w:val="21"/>
          <w:highlight w:val="none"/>
        </w:rPr>
      </w:pPr>
      <w:r>
        <w:rPr>
          <w:rFonts w:hint="eastAsia" w:ascii="宋体" w:hAnsi="宋体" w:cs="宋体"/>
          <w:bCs/>
          <w:color w:val="auto"/>
          <w:sz w:val="24"/>
          <w:szCs w:val="20"/>
          <w:highlight w:val="none"/>
        </w:rPr>
        <w:t>单</w:t>
      </w:r>
      <w:r>
        <w:rPr>
          <w:rFonts w:hint="eastAsia" w:ascii="宋体" w:hAnsi="宋体" w:cs="宋体"/>
          <w:bCs/>
          <w:color w:val="auto"/>
          <w:szCs w:val="21"/>
          <w:highlight w:val="none"/>
        </w:rPr>
        <w:t>位：人民币元</w:t>
      </w:r>
    </w:p>
    <w:tbl>
      <w:tblPr>
        <w:tblStyle w:val="38"/>
        <w:tblW w:w="9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1168"/>
        <w:gridCol w:w="1038"/>
        <w:gridCol w:w="909"/>
        <w:gridCol w:w="1002"/>
        <w:gridCol w:w="750"/>
        <w:gridCol w:w="912"/>
        <w:gridCol w:w="650"/>
        <w:gridCol w:w="725"/>
        <w:gridCol w:w="690"/>
        <w:gridCol w:w="864"/>
      </w:tblGrid>
      <w:tr w14:paraId="7430C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31" w:type="dxa"/>
            <w:vAlign w:val="center"/>
          </w:tcPr>
          <w:p w14:paraId="2CEE4D49">
            <w:pPr>
              <w:spacing w:line="240" w:lineRule="auto"/>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1168" w:type="dxa"/>
            <w:vAlign w:val="center"/>
          </w:tcPr>
          <w:p w14:paraId="4C1A38C4">
            <w:pPr>
              <w:spacing w:line="240" w:lineRule="auto"/>
              <w:jc w:val="center"/>
              <w:rPr>
                <w:rFonts w:ascii="宋体" w:hAnsi="宋体" w:cs="宋体"/>
                <w:b/>
                <w:bCs/>
                <w:color w:val="auto"/>
                <w:szCs w:val="21"/>
                <w:highlight w:val="none"/>
              </w:rPr>
            </w:pPr>
            <w:r>
              <w:rPr>
                <w:rFonts w:hint="eastAsia" w:ascii="宋体" w:hAnsi="宋体" w:cs="宋体"/>
                <w:b/>
                <w:bCs/>
                <w:color w:val="auto"/>
                <w:szCs w:val="21"/>
                <w:highlight w:val="none"/>
              </w:rPr>
              <w:t>货物名称</w:t>
            </w:r>
          </w:p>
        </w:tc>
        <w:tc>
          <w:tcPr>
            <w:tcW w:w="1038" w:type="dxa"/>
            <w:vAlign w:val="center"/>
          </w:tcPr>
          <w:p w14:paraId="0EEDE066">
            <w:pPr>
              <w:spacing w:line="240" w:lineRule="auto"/>
              <w:jc w:val="center"/>
              <w:rPr>
                <w:rFonts w:ascii="宋体" w:hAnsi="宋体" w:cs="宋体"/>
                <w:b/>
                <w:bCs/>
                <w:color w:val="auto"/>
                <w:szCs w:val="21"/>
                <w:highlight w:val="none"/>
              </w:rPr>
            </w:pPr>
            <w:r>
              <w:rPr>
                <w:rFonts w:hint="eastAsia" w:ascii="宋体" w:hAnsi="宋体" w:cs="宋体"/>
                <w:b/>
                <w:bCs/>
                <w:color w:val="auto"/>
                <w:szCs w:val="21"/>
                <w:highlight w:val="none"/>
              </w:rPr>
              <w:t>品牌</w:t>
            </w:r>
          </w:p>
        </w:tc>
        <w:tc>
          <w:tcPr>
            <w:tcW w:w="909" w:type="dxa"/>
            <w:vAlign w:val="center"/>
          </w:tcPr>
          <w:p w14:paraId="62162724">
            <w:pPr>
              <w:spacing w:line="240" w:lineRule="auto"/>
              <w:jc w:val="center"/>
              <w:rPr>
                <w:rFonts w:ascii="宋体" w:hAnsi="宋体" w:cs="宋体"/>
                <w:b/>
                <w:bCs/>
                <w:color w:val="auto"/>
                <w:szCs w:val="21"/>
                <w:highlight w:val="none"/>
              </w:rPr>
            </w:pPr>
            <w:r>
              <w:rPr>
                <w:rFonts w:hint="eastAsia" w:ascii="宋体" w:hAnsi="宋体" w:cs="宋体"/>
                <w:b/>
                <w:bCs/>
                <w:color w:val="auto"/>
                <w:szCs w:val="21"/>
                <w:highlight w:val="none"/>
              </w:rPr>
              <w:t>产地</w:t>
            </w:r>
          </w:p>
        </w:tc>
        <w:tc>
          <w:tcPr>
            <w:tcW w:w="1002" w:type="dxa"/>
            <w:vAlign w:val="center"/>
          </w:tcPr>
          <w:p w14:paraId="0CDA7086">
            <w:pPr>
              <w:spacing w:line="240" w:lineRule="auto"/>
              <w:jc w:val="center"/>
              <w:rPr>
                <w:rFonts w:ascii="宋体" w:hAnsi="宋体" w:cs="宋体"/>
                <w:b/>
                <w:bCs/>
                <w:color w:val="auto"/>
                <w:szCs w:val="21"/>
                <w:highlight w:val="none"/>
              </w:rPr>
            </w:pPr>
            <w:r>
              <w:rPr>
                <w:rFonts w:hint="eastAsia" w:ascii="宋体" w:hAnsi="宋体" w:cs="宋体"/>
                <w:b/>
                <w:bCs/>
                <w:color w:val="auto"/>
                <w:szCs w:val="21"/>
                <w:highlight w:val="none"/>
              </w:rPr>
              <w:t>制造商</w:t>
            </w:r>
          </w:p>
        </w:tc>
        <w:tc>
          <w:tcPr>
            <w:tcW w:w="750" w:type="dxa"/>
            <w:vAlign w:val="center"/>
          </w:tcPr>
          <w:p w14:paraId="6004D0D7">
            <w:pPr>
              <w:spacing w:line="240" w:lineRule="auto"/>
              <w:jc w:val="center"/>
              <w:rPr>
                <w:rFonts w:ascii="宋体" w:hAnsi="宋体" w:cs="宋体"/>
                <w:b/>
                <w:bCs/>
                <w:color w:val="auto"/>
                <w:szCs w:val="21"/>
                <w:highlight w:val="none"/>
              </w:rPr>
            </w:pPr>
            <w:r>
              <w:rPr>
                <w:rFonts w:hint="eastAsia" w:ascii="宋体" w:hAnsi="宋体" w:cs="宋体"/>
                <w:b/>
                <w:bCs/>
                <w:color w:val="auto"/>
                <w:szCs w:val="21"/>
                <w:highlight w:val="none"/>
              </w:rPr>
              <w:t>规格型号</w:t>
            </w:r>
          </w:p>
        </w:tc>
        <w:tc>
          <w:tcPr>
            <w:tcW w:w="912" w:type="dxa"/>
            <w:vAlign w:val="center"/>
          </w:tcPr>
          <w:p w14:paraId="1BCE7E89">
            <w:pPr>
              <w:spacing w:line="240" w:lineRule="auto"/>
              <w:jc w:val="center"/>
              <w:rPr>
                <w:rFonts w:hint="eastAsia" w:ascii="宋体" w:hAnsi="宋体" w:eastAsia="宋体" w:cs="宋体"/>
                <w:b/>
                <w:bCs/>
                <w:color w:val="auto"/>
                <w:szCs w:val="21"/>
                <w:highlight w:val="none"/>
                <w:lang w:eastAsia="zh-CN"/>
              </w:rPr>
            </w:pPr>
            <w:r>
              <w:rPr>
                <w:rFonts w:hint="eastAsia" w:ascii="宋体" w:hAnsi="宋体" w:cs="宋体"/>
                <w:b/>
                <w:bCs/>
                <w:color w:val="auto"/>
                <w:szCs w:val="21"/>
                <w:highlight w:val="none"/>
                <w:lang w:eastAsia="zh-CN"/>
              </w:rPr>
              <w:t>质保期</w:t>
            </w:r>
          </w:p>
        </w:tc>
        <w:tc>
          <w:tcPr>
            <w:tcW w:w="650" w:type="dxa"/>
            <w:vAlign w:val="center"/>
          </w:tcPr>
          <w:p w14:paraId="21EDF3BA">
            <w:pPr>
              <w:spacing w:line="240" w:lineRule="auto"/>
              <w:jc w:val="center"/>
              <w:rPr>
                <w:rFonts w:ascii="宋体" w:hAnsi="宋体" w:cs="宋体"/>
                <w:b/>
                <w:bCs/>
                <w:color w:val="auto"/>
                <w:szCs w:val="21"/>
                <w:highlight w:val="none"/>
              </w:rPr>
            </w:pPr>
            <w:r>
              <w:rPr>
                <w:rFonts w:hint="eastAsia" w:ascii="宋体" w:hAnsi="宋体" w:cs="宋体"/>
                <w:b/>
                <w:bCs/>
                <w:color w:val="auto"/>
                <w:szCs w:val="21"/>
                <w:highlight w:val="none"/>
              </w:rPr>
              <w:t>数量</w:t>
            </w:r>
          </w:p>
        </w:tc>
        <w:tc>
          <w:tcPr>
            <w:tcW w:w="725" w:type="dxa"/>
            <w:vAlign w:val="center"/>
          </w:tcPr>
          <w:p w14:paraId="40E14040">
            <w:pPr>
              <w:spacing w:line="240" w:lineRule="auto"/>
              <w:jc w:val="center"/>
              <w:rPr>
                <w:rFonts w:ascii="宋体" w:hAnsi="宋体" w:cs="宋体"/>
                <w:b/>
                <w:bCs/>
                <w:color w:val="auto"/>
                <w:szCs w:val="21"/>
                <w:highlight w:val="none"/>
              </w:rPr>
            </w:pPr>
            <w:r>
              <w:rPr>
                <w:rFonts w:hint="eastAsia" w:ascii="宋体" w:hAnsi="宋体" w:cs="宋体"/>
                <w:b/>
                <w:bCs/>
                <w:color w:val="auto"/>
                <w:szCs w:val="21"/>
                <w:highlight w:val="none"/>
              </w:rPr>
              <w:t>单位</w:t>
            </w:r>
          </w:p>
        </w:tc>
        <w:tc>
          <w:tcPr>
            <w:tcW w:w="690" w:type="dxa"/>
            <w:vAlign w:val="center"/>
          </w:tcPr>
          <w:p w14:paraId="7789290A">
            <w:pPr>
              <w:spacing w:line="240" w:lineRule="auto"/>
              <w:jc w:val="center"/>
              <w:rPr>
                <w:rFonts w:ascii="宋体" w:hAnsi="宋体" w:cs="宋体"/>
                <w:b/>
                <w:bCs/>
                <w:color w:val="auto"/>
                <w:szCs w:val="21"/>
                <w:highlight w:val="none"/>
              </w:rPr>
            </w:pPr>
            <w:r>
              <w:rPr>
                <w:rFonts w:hint="eastAsia" w:ascii="宋体" w:hAnsi="宋体" w:cs="宋体"/>
                <w:b/>
                <w:bCs/>
                <w:color w:val="auto"/>
                <w:szCs w:val="21"/>
                <w:highlight w:val="none"/>
              </w:rPr>
              <w:t>单价</w:t>
            </w:r>
          </w:p>
        </w:tc>
        <w:tc>
          <w:tcPr>
            <w:tcW w:w="864" w:type="dxa"/>
            <w:vAlign w:val="center"/>
          </w:tcPr>
          <w:p w14:paraId="220A0446">
            <w:pPr>
              <w:spacing w:line="240" w:lineRule="auto"/>
              <w:jc w:val="center"/>
              <w:rPr>
                <w:rFonts w:ascii="宋体" w:hAnsi="宋体" w:cs="宋体"/>
                <w:b/>
                <w:bCs/>
                <w:color w:val="auto"/>
                <w:szCs w:val="21"/>
                <w:highlight w:val="none"/>
              </w:rPr>
            </w:pPr>
            <w:r>
              <w:rPr>
                <w:rFonts w:hint="eastAsia" w:ascii="宋体" w:hAnsi="宋体" w:cs="宋体"/>
                <w:b/>
                <w:bCs/>
                <w:color w:val="auto"/>
                <w:szCs w:val="21"/>
                <w:highlight w:val="none"/>
              </w:rPr>
              <w:t>合计</w:t>
            </w:r>
          </w:p>
        </w:tc>
      </w:tr>
      <w:tr w14:paraId="63B95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31" w:type="dxa"/>
          </w:tcPr>
          <w:p w14:paraId="102D818D">
            <w:pPr>
              <w:jc w:val="center"/>
              <w:rPr>
                <w:rFonts w:ascii="宋体" w:hAnsi="宋体" w:cs="宋体"/>
                <w:color w:val="auto"/>
                <w:szCs w:val="21"/>
                <w:highlight w:val="none"/>
              </w:rPr>
            </w:pPr>
          </w:p>
        </w:tc>
        <w:tc>
          <w:tcPr>
            <w:tcW w:w="1168" w:type="dxa"/>
          </w:tcPr>
          <w:p w14:paraId="15C8DC15">
            <w:pPr>
              <w:jc w:val="center"/>
              <w:rPr>
                <w:rFonts w:ascii="宋体" w:hAnsi="宋体" w:cs="宋体"/>
                <w:color w:val="auto"/>
                <w:szCs w:val="21"/>
                <w:highlight w:val="none"/>
              </w:rPr>
            </w:pPr>
          </w:p>
        </w:tc>
        <w:tc>
          <w:tcPr>
            <w:tcW w:w="1038" w:type="dxa"/>
          </w:tcPr>
          <w:p w14:paraId="20C27F59">
            <w:pPr>
              <w:jc w:val="center"/>
              <w:rPr>
                <w:rFonts w:ascii="宋体" w:hAnsi="宋体" w:cs="宋体"/>
                <w:color w:val="auto"/>
                <w:szCs w:val="21"/>
                <w:highlight w:val="none"/>
              </w:rPr>
            </w:pPr>
          </w:p>
        </w:tc>
        <w:tc>
          <w:tcPr>
            <w:tcW w:w="909" w:type="dxa"/>
          </w:tcPr>
          <w:p w14:paraId="3F49CD15">
            <w:pPr>
              <w:jc w:val="center"/>
              <w:rPr>
                <w:rFonts w:ascii="宋体" w:hAnsi="宋体" w:cs="宋体"/>
                <w:color w:val="auto"/>
                <w:szCs w:val="21"/>
                <w:highlight w:val="none"/>
              </w:rPr>
            </w:pPr>
          </w:p>
        </w:tc>
        <w:tc>
          <w:tcPr>
            <w:tcW w:w="1002" w:type="dxa"/>
          </w:tcPr>
          <w:p w14:paraId="76ACE3E7">
            <w:pPr>
              <w:jc w:val="center"/>
              <w:rPr>
                <w:rFonts w:ascii="宋体" w:hAnsi="宋体" w:cs="宋体"/>
                <w:color w:val="auto"/>
                <w:szCs w:val="21"/>
                <w:highlight w:val="none"/>
              </w:rPr>
            </w:pPr>
          </w:p>
        </w:tc>
        <w:tc>
          <w:tcPr>
            <w:tcW w:w="750" w:type="dxa"/>
          </w:tcPr>
          <w:p w14:paraId="682F2303">
            <w:pPr>
              <w:jc w:val="center"/>
              <w:rPr>
                <w:rFonts w:ascii="宋体" w:hAnsi="宋体" w:cs="宋体"/>
                <w:color w:val="auto"/>
                <w:szCs w:val="21"/>
                <w:highlight w:val="none"/>
              </w:rPr>
            </w:pPr>
          </w:p>
        </w:tc>
        <w:tc>
          <w:tcPr>
            <w:tcW w:w="912" w:type="dxa"/>
          </w:tcPr>
          <w:p w14:paraId="0D4B69C2">
            <w:pPr>
              <w:jc w:val="center"/>
              <w:rPr>
                <w:rFonts w:ascii="宋体" w:hAnsi="宋体" w:cs="宋体"/>
                <w:color w:val="auto"/>
                <w:szCs w:val="21"/>
                <w:highlight w:val="none"/>
              </w:rPr>
            </w:pPr>
          </w:p>
        </w:tc>
        <w:tc>
          <w:tcPr>
            <w:tcW w:w="650" w:type="dxa"/>
          </w:tcPr>
          <w:p w14:paraId="58584A5D">
            <w:pPr>
              <w:jc w:val="center"/>
              <w:rPr>
                <w:rFonts w:ascii="宋体" w:hAnsi="宋体" w:cs="宋体"/>
                <w:color w:val="auto"/>
                <w:szCs w:val="21"/>
                <w:highlight w:val="none"/>
              </w:rPr>
            </w:pPr>
          </w:p>
        </w:tc>
        <w:tc>
          <w:tcPr>
            <w:tcW w:w="725" w:type="dxa"/>
          </w:tcPr>
          <w:p w14:paraId="6843BA3B">
            <w:pPr>
              <w:jc w:val="center"/>
              <w:rPr>
                <w:rFonts w:ascii="宋体" w:hAnsi="宋体" w:cs="宋体"/>
                <w:color w:val="auto"/>
                <w:szCs w:val="21"/>
                <w:highlight w:val="none"/>
              </w:rPr>
            </w:pPr>
          </w:p>
        </w:tc>
        <w:tc>
          <w:tcPr>
            <w:tcW w:w="690" w:type="dxa"/>
          </w:tcPr>
          <w:p w14:paraId="1F05ED08">
            <w:pPr>
              <w:jc w:val="center"/>
              <w:rPr>
                <w:rFonts w:ascii="宋体" w:hAnsi="宋体" w:cs="宋体"/>
                <w:color w:val="auto"/>
                <w:szCs w:val="21"/>
                <w:highlight w:val="none"/>
              </w:rPr>
            </w:pPr>
          </w:p>
        </w:tc>
        <w:tc>
          <w:tcPr>
            <w:tcW w:w="864" w:type="dxa"/>
          </w:tcPr>
          <w:p w14:paraId="5827DBC8">
            <w:pPr>
              <w:jc w:val="center"/>
              <w:rPr>
                <w:rFonts w:ascii="宋体" w:hAnsi="宋体" w:cs="宋体"/>
                <w:color w:val="auto"/>
                <w:szCs w:val="21"/>
                <w:highlight w:val="none"/>
              </w:rPr>
            </w:pPr>
          </w:p>
        </w:tc>
      </w:tr>
      <w:tr w14:paraId="4CA14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31" w:type="dxa"/>
          </w:tcPr>
          <w:p w14:paraId="4E04DE98">
            <w:pPr>
              <w:jc w:val="center"/>
              <w:rPr>
                <w:rFonts w:ascii="宋体" w:hAnsi="宋体" w:cs="宋体"/>
                <w:color w:val="auto"/>
                <w:szCs w:val="21"/>
                <w:highlight w:val="none"/>
              </w:rPr>
            </w:pPr>
          </w:p>
        </w:tc>
        <w:tc>
          <w:tcPr>
            <w:tcW w:w="1168" w:type="dxa"/>
          </w:tcPr>
          <w:p w14:paraId="4B3C1843">
            <w:pPr>
              <w:jc w:val="center"/>
              <w:rPr>
                <w:rFonts w:ascii="宋体" w:hAnsi="宋体" w:cs="宋体"/>
                <w:color w:val="auto"/>
                <w:szCs w:val="21"/>
                <w:highlight w:val="none"/>
              </w:rPr>
            </w:pPr>
          </w:p>
        </w:tc>
        <w:tc>
          <w:tcPr>
            <w:tcW w:w="1038" w:type="dxa"/>
          </w:tcPr>
          <w:p w14:paraId="4E4BC648">
            <w:pPr>
              <w:jc w:val="center"/>
              <w:rPr>
                <w:rFonts w:ascii="宋体" w:hAnsi="宋体" w:cs="宋体"/>
                <w:color w:val="auto"/>
                <w:szCs w:val="21"/>
                <w:highlight w:val="none"/>
              </w:rPr>
            </w:pPr>
          </w:p>
        </w:tc>
        <w:tc>
          <w:tcPr>
            <w:tcW w:w="909" w:type="dxa"/>
          </w:tcPr>
          <w:p w14:paraId="486A443B">
            <w:pPr>
              <w:jc w:val="center"/>
              <w:rPr>
                <w:rFonts w:ascii="宋体" w:hAnsi="宋体" w:cs="宋体"/>
                <w:color w:val="auto"/>
                <w:szCs w:val="21"/>
                <w:highlight w:val="none"/>
              </w:rPr>
            </w:pPr>
          </w:p>
        </w:tc>
        <w:tc>
          <w:tcPr>
            <w:tcW w:w="1002" w:type="dxa"/>
          </w:tcPr>
          <w:p w14:paraId="505AC081">
            <w:pPr>
              <w:jc w:val="center"/>
              <w:rPr>
                <w:rFonts w:ascii="宋体" w:hAnsi="宋体" w:cs="宋体"/>
                <w:color w:val="auto"/>
                <w:szCs w:val="21"/>
                <w:highlight w:val="none"/>
              </w:rPr>
            </w:pPr>
          </w:p>
        </w:tc>
        <w:tc>
          <w:tcPr>
            <w:tcW w:w="750" w:type="dxa"/>
          </w:tcPr>
          <w:p w14:paraId="4E23009C">
            <w:pPr>
              <w:jc w:val="center"/>
              <w:rPr>
                <w:rFonts w:ascii="宋体" w:hAnsi="宋体" w:cs="宋体"/>
                <w:color w:val="auto"/>
                <w:szCs w:val="21"/>
                <w:highlight w:val="none"/>
              </w:rPr>
            </w:pPr>
          </w:p>
        </w:tc>
        <w:tc>
          <w:tcPr>
            <w:tcW w:w="912" w:type="dxa"/>
          </w:tcPr>
          <w:p w14:paraId="52636678">
            <w:pPr>
              <w:jc w:val="center"/>
              <w:rPr>
                <w:rFonts w:ascii="宋体" w:hAnsi="宋体" w:cs="宋体"/>
                <w:color w:val="auto"/>
                <w:szCs w:val="21"/>
                <w:highlight w:val="none"/>
              </w:rPr>
            </w:pPr>
          </w:p>
        </w:tc>
        <w:tc>
          <w:tcPr>
            <w:tcW w:w="650" w:type="dxa"/>
          </w:tcPr>
          <w:p w14:paraId="4A54AB5D">
            <w:pPr>
              <w:jc w:val="center"/>
              <w:rPr>
                <w:rFonts w:ascii="宋体" w:hAnsi="宋体" w:cs="宋体"/>
                <w:color w:val="auto"/>
                <w:szCs w:val="21"/>
                <w:highlight w:val="none"/>
              </w:rPr>
            </w:pPr>
          </w:p>
        </w:tc>
        <w:tc>
          <w:tcPr>
            <w:tcW w:w="725" w:type="dxa"/>
          </w:tcPr>
          <w:p w14:paraId="4242DD5D">
            <w:pPr>
              <w:jc w:val="center"/>
              <w:rPr>
                <w:rFonts w:ascii="宋体" w:hAnsi="宋体" w:cs="宋体"/>
                <w:color w:val="auto"/>
                <w:szCs w:val="21"/>
                <w:highlight w:val="none"/>
              </w:rPr>
            </w:pPr>
          </w:p>
        </w:tc>
        <w:tc>
          <w:tcPr>
            <w:tcW w:w="690" w:type="dxa"/>
          </w:tcPr>
          <w:p w14:paraId="37CA2CF9">
            <w:pPr>
              <w:jc w:val="center"/>
              <w:rPr>
                <w:rFonts w:ascii="宋体" w:hAnsi="宋体" w:cs="宋体"/>
                <w:color w:val="auto"/>
                <w:szCs w:val="21"/>
                <w:highlight w:val="none"/>
              </w:rPr>
            </w:pPr>
          </w:p>
        </w:tc>
        <w:tc>
          <w:tcPr>
            <w:tcW w:w="864" w:type="dxa"/>
          </w:tcPr>
          <w:p w14:paraId="0239633E">
            <w:pPr>
              <w:jc w:val="center"/>
              <w:rPr>
                <w:rFonts w:ascii="宋体" w:hAnsi="宋体" w:cs="宋体"/>
                <w:color w:val="auto"/>
                <w:szCs w:val="21"/>
                <w:highlight w:val="none"/>
              </w:rPr>
            </w:pPr>
          </w:p>
        </w:tc>
      </w:tr>
      <w:tr w14:paraId="6F1C1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31" w:type="dxa"/>
          </w:tcPr>
          <w:p w14:paraId="7CA6EE9B">
            <w:pPr>
              <w:jc w:val="center"/>
              <w:rPr>
                <w:rFonts w:ascii="宋体" w:hAnsi="宋体" w:cs="宋体"/>
                <w:color w:val="auto"/>
                <w:szCs w:val="21"/>
                <w:highlight w:val="none"/>
              </w:rPr>
            </w:pPr>
          </w:p>
        </w:tc>
        <w:tc>
          <w:tcPr>
            <w:tcW w:w="1168" w:type="dxa"/>
          </w:tcPr>
          <w:p w14:paraId="7ED8585E">
            <w:pPr>
              <w:jc w:val="center"/>
              <w:rPr>
                <w:rFonts w:ascii="宋体" w:hAnsi="宋体" w:cs="宋体"/>
                <w:color w:val="auto"/>
                <w:szCs w:val="21"/>
                <w:highlight w:val="none"/>
              </w:rPr>
            </w:pPr>
          </w:p>
        </w:tc>
        <w:tc>
          <w:tcPr>
            <w:tcW w:w="1038" w:type="dxa"/>
          </w:tcPr>
          <w:p w14:paraId="5506A348">
            <w:pPr>
              <w:jc w:val="center"/>
              <w:rPr>
                <w:rFonts w:ascii="宋体" w:hAnsi="宋体" w:cs="宋体"/>
                <w:color w:val="auto"/>
                <w:szCs w:val="21"/>
                <w:highlight w:val="none"/>
              </w:rPr>
            </w:pPr>
          </w:p>
        </w:tc>
        <w:tc>
          <w:tcPr>
            <w:tcW w:w="909" w:type="dxa"/>
          </w:tcPr>
          <w:p w14:paraId="7C16FBAB">
            <w:pPr>
              <w:jc w:val="center"/>
              <w:rPr>
                <w:rFonts w:ascii="宋体" w:hAnsi="宋体" w:cs="宋体"/>
                <w:color w:val="auto"/>
                <w:szCs w:val="21"/>
                <w:highlight w:val="none"/>
              </w:rPr>
            </w:pPr>
          </w:p>
        </w:tc>
        <w:tc>
          <w:tcPr>
            <w:tcW w:w="1002" w:type="dxa"/>
          </w:tcPr>
          <w:p w14:paraId="66E16C83">
            <w:pPr>
              <w:jc w:val="center"/>
              <w:rPr>
                <w:rFonts w:ascii="宋体" w:hAnsi="宋体" w:cs="宋体"/>
                <w:color w:val="auto"/>
                <w:szCs w:val="21"/>
                <w:highlight w:val="none"/>
              </w:rPr>
            </w:pPr>
          </w:p>
        </w:tc>
        <w:tc>
          <w:tcPr>
            <w:tcW w:w="750" w:type="dxa"/>
          </w:tcPr>
          <w:p w14:paraId="66E6155F">
            <w:pPr>
              <w:jc w:val="center"/>
              <w:rPr>
                <w:rFonts w:ascii="宋体" w:hAnsi="宋体" w:cs="宋体"/>
                <w:color w:val="auto"/>
                <w:szCs w:val="21"/>
                <w:highlight w:val="none"/>
              </w:rPr>
            </w:pPr>
          </w:p>
        </w:tc>
        <w:tc>
          <w:tcPr>
            <w:tcW w:w="912" w:type="dxa"/>
          </w:tcPr>
          <w:p w14:paraId="27CD813C">
            <w:pPr>
              <w:jc w:val="center"/>
              <w:rPr>
                <w:rFonts w:ascii="宋体" w:hAnsi="宋体" w:cs="宋体"/>
                <w:color w:val="auto"/>
                <w:szCs w:val="21"/>
                <w:highlight w:val="none"/>
              </w:rPr>
            </w:pPr>
          </w:p>
        </w:tc>
        <w:tc>
          <w:tcPr>
            <w:tcW w:w="650" w:type="dxa"/>
          </w:tcPr>
          <w:p w14:paraId="6F8F758F">
            <w:pPr>
              <w:jc w:val="center"/>
              <w:rPr>
                <w:rFonts w:ascii="宋体" w:hAnsi="宋体" w:cs="宋体"/>
                <w:color w:val="auto"/>
                <w:szCs w:val="21"/>
                <w:highlight w:val="none"/>
              </w:rPr>
            </w:pPr>
          </w:p>
        </w:tc>
        <w:tc>
          <w:tcPr>
            <w:tcW w:w="725" w:type="dxa"/>
          </w:tcPr>
          <w:p w14:paraId="6402296F">
            <w:pPr>
              <w:jc w:val="center"/>
              <w:rPr>
                <w:rFonts w:ascii="宋体" w:hAnsi="宋体" w:cs="宋体"/>
                <w:color w:val="auto"/>
                <w:szCs w:val="21"/>
                <w:highlight w:val="none"/>
              </w:rPr>
            </w:pPr>
          </w:p>
        </w:tc>
        <w:tc>
          <w:tcPr>
            <w:tcW w:w="690" w:type="dxa"/>
          </w:tcPr>
          <w:p w14:paraId="57CAE387">
            <w:pPr>
              <w:jc w:val="center"/>
              <w:rPr>
                <w:rFonts w:ascii="宋体" w:hAnsi="宋体" w:cs="宋体"/>
                <w:color w:val="auto"/>
                <w:szCs w:val="21"/>
                <w:highlight w:val="none"/>
              </w:rPr>
            </w:pPr>
          </w:p>
        </w:tc>
        <w:tc>
          <w:tcPr>
            <w:tcW w:w="864" w:type="dxa"/>
          </w:tcPr>
          <w:p w14:paraId="1466E37E">
            <w:pPr>
              <w:jc w:val="center"/>
              <w:rPr>
                <w:rFonts w:ascii="宋体" w:hAnsi="宋体" w:cs="宋体"/>
                <w:color w:val="auto"/>
                <w:szCs w:val="21"/>
                <w:highlight w:val="none"/>
              </w:rPr>
            </w:pPr>
          </w:p>
        </w:tc>
      </w:tr>
      <w:tr w14:paraId="785A7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31" w:type="dxa"/>
          </w:tcPr>
          <w:p w14:paraId="55DF60B2">
            <w:pPr>
              <w:jc w:val="center"/>
              <w:rPr>
                <w:rFonts w:ascii="宋体" w:hAnsi="宋体" w:cs="宋体"/>
                <w:color w:val="auto"/>
                <w:szCs w:val="21"/>
                <w:highlight w:val="none"/>
              </w:rPr>
            </w:pPr>
          </w:p>
          <w:p w14:paraId="3F2908E9">
            <w:pPr>
              <w:jc w:val="center"/>
              <w:rPr>
                <w:rFonts w:ascii="宋体" w:hAnsi="宋体" w:cs="宋体"/>
                <w:color w:val="auto"/>
                <w:szCs w:val="21"/>
                <w:highlight w:val="none"/>
              </w:rPr>
            </w:pPr>
          </w:p>
        </w:tc>
        <w:tc>
          <w:tcPr>
            <w:tcW w:w="1168" w:type="dxa"/>
          </w:tcPr>
          <w:p w14:paraId="58F95C0A">
            <w:pPr>
              <w:jc w:val="center"/>
              <w:rPr>
                <w:rFonts w:ascii="宋体" w:hAnsi="宋体" w:cs="宋体"/>
                <w:color w:val="auto"/>
                <w:szCs w:val="21"/>
                <w:highlight w:val="none"/>
              </w:rPr>
            </w:pPr>
          </w:p>
        </w:tc>
        <w:tc>
          <w:tcPr>
            <w:tcW w:w="1038" w:type="dxa"/>
          </w:tcPr>
          <w:p w14:paraId="5854FBD3">
            <w:pPr>
              <w:jc w:val="center"/>
              <w:rPr>
                <w:rFonts w:ascii="宋体" w:hAnsi="宋体" w:cs="宋体"/>
                <w:color w:val="auto"/>
                <w:szCs w:val="21"/>
                <w:highlight w:val="none"/>
              </w:rPr>
            </w:pPr>
          </w:p>
        </w:tc>
        <w:tc>
          <w:tcPr>
            <w:tcW w:w="909" w:type="dxa"/>
          </w:tcPr>
          <w:p w14:paraId="0008C88F">
            <w:pPr>
              <w:jc w:val="center"/>
              <w:rPr>
                <w:rFonts w:ascii="宋体" w:hAnsi="宋体" w:cs="宋体"/>
                <w:color w:val="auto"/>
                <w:szCs w:val="21"/>
                <w:highlight w:val="none"/>
              </w:rPr>
            </w:pPr>
          </w:p>
        </w:tc>
        <w:tc>
          <w:tcPr>
            <w:tcW w:w="1002" w:type="dxa"/>
          </w:tcPr>
          <w:p w14:paraId="6782D720">
            <w:pPr>
              <w:jc w:val="center"/>
              <w:rPr>
                <w:rFonts w:ascii="宋体" w:hAnsi="宋体" w:cs="宋体"/>
                <w:color w:val="auto"/>
                <w:szCs w:val="21"/>
                <w:highlight w:val="none"/>
              </w:rPr>
            </w:pPr>
          </w:p>
        </w:tc>
        <w:tc>
          <w:tcPr>
            <w:tcW w:w="750" w:type="dxa"/>
          </w:tcPr>
          <w:p w14:paraId="3B0494B3">
            <w:pPr>
              <w:jc w:val="center"/>
              <w:rPr>
                <w:rFonts w:ascii="宋体" w:hAnsi="宋体" w:cs="宋体"/>
                <w:color w:val="auto"/>
                <w:szCs w:val="21"/>
                <w:highlight w:val="none"/>
              </w:rPr>
            </w:pPr>
          </w:p>
        </w:tc>
        <w:tc>
          <w:tcPr>
            <w:tcW w:w="912" w:type="dxa"/>
          </w:tcPr>
          <w:p w14:paraId="27AECEE8">
            <w:pPr>
              <w:jc w:val="center"/>
              <w:rPr>
                <w:rFonts w:ascii="宋体" w:hAnsi="宋体" w:cs="宋体"/>
                <w:color w:val="auto"/>
                <w:szCs w:val="21"/>
                <w:highlight w:val="none"/>
              </w:rPr>
            </w:pPr>
          </w:p>
        </w:tc>
        <w:tc>
          <w:tcPr>
            <w:tcW w:w="650" w:type="dxa"/>
          </w:tcPr>
          <w:p w14:paraId="6300C8C7">
            <w:pPr>
              <w:jc w:val="center"/>
              <w:rPr>
                <w:rFonts w:ascii="宋体" w:hAnsi="宋体" w:cs="宋体"/>
                <w:color w:val="auto"/>
                <w:szCs w:val="21"/>
                <w:highlight w:val="none"/>
              </w:rPr>
            </w:pPr>
          </w:p>
        </w:tc>
        <w:tc>
          <w:tcPr>
            <w:tcW w:w="725" w:type="dxa"/>
          </w:tcPr>
          <w:p w14:paraId="133C76CF">
            <w:pPr>
              <w:jc w:val="center"/>
              <w:rPr>
                <w:rFonts w:ascii="宋体" w:hAnsi="宋体" w:cs="宋体"/>
                <w:color w:val="auto"/>
                <w:szCs w:val="21"/>
                <w:highlight w:val="none"/>
              </w:rPr>
            </w:pPr>
          </w:p>
        </w:tc>
        <w:tc>
          <w:tcPr>
            <w:tcW w:w="690" w:type="dxa"/>
          </w:tcPr>
          <w:p w14:paraId="1F243741">
            <w:pPr>
              <w:jc w:val="center"/>
              <w:rPr>
                <w:rFonts w:ascii="宋体" w:hAnsi="宋体" w:cs="宋体"/>
                <w:color w:val="auto"/>
                <w:szCs w:val="21"/>
                <w:highlight w:val="none"/>
              </w:rPr>
            </w:pPr>
          </w:p>
        </w:tc>
        <w:tc>
          <w:tcPr>
            <w:tcW w:w="864" w:type="dxa"/>
          </w:tcPr>
          <w:p w14:paraId="7102C3B3">
            <w:pPr>
              <w:jc w:val="center"/>
              <w:rPr>
                <w:rFonts w:ascii="宋体" w:hAnsi="宋体" w:cs="宋体"/>
                <w:color w:val="auto"/>
                <w:szCs w:val="21"/>
                <w:highlight w:val="none"/>
              </w:rPr>
            </w:pPr>
          </w:p>
        </w:tc>
      </w:tr>
      <w:tr w14:paraId="3E5B5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31" w:type="dxa"/>
          </w:tcPr>
          <w:p w14:paraId="7C89E3D5">
            <w:pPr>
              <w:jc w:val="center"/>
              <w:rPr>
                <w:rFonts w:ascii="宋体" w:hAnsi="宋体" w:cs="宋体"/>
                <w:color w:val="auto"/>
                <w:szCs w:val="21"/>
                <w:highlight w:val="none"/>
              </w:rPr>
            </w:pPr>
          </w:p>
        </w:tc>
        <w:tc>
          <w:tcPr>
            <w:tcW w:w="1168" w:type="dxa"/>
          </w:tcPr>
          <w:p w14:paraId="5D881874">
            <w:pPr>
              <w:jc w:val="center"/>
              <w:rPr>
                <w:rFonts w:ascii="宋体" w:hAnsi="宋体" w:cs="宋体"/>
                <w:color w:val="auto"/>
                <w:szCs w:val="21"/>
                <w:highlight w:val="none"/>
              </w:rPr>
            </w:pPr>
          </w:p>
        </w:tc>
        <w:tc>
          <w:tcPr>
            <w:tcW w:w="1038" w:type="dxa"/>
          </w:tcPr>
          <w:p w14:paraId="3E152FFC">
            <w:pPr>
              <w:jc w:val="center"/>
              <w:rPr>
                <w:rFonts w:ascii="宋体" w:hAnsi="宋体" w:cs="宋体"/>
                <w:color w:val="auto"/>
                <w:szCs w:val="21"/>
                <w:highlight w:val="none"/>
              </w:rPr>
            </w:pPr>
          </w:p>
        </w:tc>
        <w:tc>
          <w:tcPr>
            <w:tcW w:w="909" w:type="dxa"/>
          </w:tcPr>
          <w:p w14:paraId="74F232FF">
            <w:pPr>
              <w:jc w:val="center"/>
              <w:rPr>
                <w:rFonts w:ascii="宋体" w:hAnsi="宋体" w:cs="宋体"/>
                <w:color w:val="auto"/>
                <w:szCs w:val="21"/>
                <w:highlight w:val="none"/>
              </w:rPr>
            </w:pPr>
          </w:p>
        </w:tc>
        <w:tc>
          <w:tcPr>
            <w:tcW w:w="1002" w:type="dxa"/>
          </w:tcPr>
          <w:p w14:paraId="6F528302">
            <w:pPr>
              <w:jc w:val="center"/>
              <w:rPr>
                <w:rFonts w:ascii="宋体" w:hAnsi="宋体" w:cs="宋体"/>
                <w:color w:val="auto"/>
                <w:szCs w:val="21"/>
                <w:highlight w:val="none"/>
              </w:rPr>
            </w:pPr>
          </w:p>
        </w:tc>
        <w:tc>
          <w:tcPr>
            <w:tcW w:w="750" w:type="dxa"/>
          </w:tcPr>
          <w:p w14:paraId="234CA9E0">
            <w:pPr>
              <w:jc w:val="center"/>
              <w:rPr>
                <w:rFonts w:ascii="宋体" w:hAnsi="宋体" w:cs="宋体"/>
                <w:color w:val="auto"/>
                <w:szCs w:val="21"/>
                <w:highlight w:val="none"/>
              </w:rPr>
            </w:pPr>
          </w:p>
        </w:tc>
        <w:tc>
          <w:tcPr>
            <w:tcW w:w="912" w:type="dxa"/>
          </w:tcPr>
          <w:p w14:paraId="6B178220">
            <w:pPr>
              <w:jc w:val="center"/>
              <w:rPr>
                <w:rFonts w:ascii="宋体" w:hAnsi="宋体" w:cs="宋体"/>
                <w:color w:val="auto"/>
                <w:szCs w:val="21"/>
                <w:highlight w:val="none"/>
              </w:rPr>
            </w:pPr>
          </w:p>
        </w:tc>
        <w:tc>
          <w:tcPr>
            <w:tcW w:w="650" w:type="dxa"/>
          </w:tcPr>
          <w:p w14:paraId="2CE95EC5">
            <w:pPr>
              <w:jc w:val="center"/>
              <w:rPr>
                <w:rFonts w:ascii="宋体" w:hAnsi="宋体" w:cs="宋体"/>
                <w:color w:val="auto"/>
                <w:szCs w:val="21"/>
                <w:highlight w:val="none"/>
              </w:rPr>
            </w:pPr>
          </w:p>
        </w:tc>
        <w:tc>
          <w:tcPr>
            <w:tcW w:w="725" w:type="dxa"/>
          </w:tcPr>
          <w:p w14:paraId="507F05D6">
            <w:pPr>
              <w:jc w:val="center"/>
              <w:rPr>
                <w:rFonts w:ascii="宋体" w:hAnsi="宋体" w:cs="宋体"/>
                <w:color w:val="auto"/>
                <w:szCs w:val="21"/>
                <w:highlight w:val="none"/>
              </w:rPr>
            </w:pPr>
          </w:p>
        </w:tc>
        <w:tc>
          <w:tcPr>
            <w:tcW w:w="690" w:type="dxa"/>
          </w:tcPr>
          <w:p w14:paraId="6A114874">
            <w:pPr>
              <w:jc w:val="center"/>
              <w:rPr>
                <w:rFonts w:ascii="宋体" w:hAnsi="宋体" w:cs="宋体"/>
                <w:color w:val="auto"/>
                <w:szCs w:val="21"/>
                <w:highlight w:val="none"/>
              </w:rPr>
            </w:pPr>
          </w:p>
        </w:tc>
        <w:tc>
          <w:tcPr>
            <w:tcW w:w="864" w:type="dxa"/>
          </w:tcPr>
          <w:p w14:paraId="4EEF43D0">
            <w:pPr>
              <w:jc w:val="center"/>
              <w:rPr>
                <w:rFonts w:ascii="宋体" w:hAnsi="宋体" w:cs="宋体"/>
                <w:color w:val="auto"/>
                <w:szCs w:val="21"/>
                <w:highlight w:val="none"/>
              </w:rPr>
            </w:pPr>
          </w:p>
        </w:tc>
      </w:tr>
      <w:tr w14:paraId="65F1B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31" w:type="dxa"/>
          </w:tcPr>
          <w:p w14:paraId="663FDC16">
            <w:pPr>
              <w:jc w:val="center"/>
              <w:rPr>
                <w:rFonts w:ascii="宋体" w:hAnsi="宋体" w:cs="宋体"/>
                <w:color w:val="auto"/>
                <w:szCs w:val="21"/>
                <w:highlight w:val="none"/>
              </w:rPr>
            </w:pPr>
          </w:p>
          <w:p w14:paraId="186AEBDF">
            <w:pPr>
              <w:jc w:val="center"/>
              <w:rPr>
                <w:rFonts w:ascii="宋体" w:hAnsi="宋体" w:cs="宋体"/>
                <w:color w:val="auto"/>
                <w:szCs w:val="21"/>
                <w:highlight w:val="none"/>
              </w:rPr>
            </w:pPr>
          </w:p>
        </w:tc>
        <w:tc>
          <w:tcPr>
            <w:tcW w:w="1168" w:type="dxa"/>
          </w:tcPr>
          <w:p w14:paraId="77392ABE">
            <w:pPr>
              <w:jc w:val="center"/>
              <w:rPr>
                <w:rFonts w:ascii="宋体" w:hAnsi="宋体" w:cs="宋体"/>
                <w:color w:val="auto"/>
                <w:szCs w:val="21"/>
                <w:highlight w:val="none"/>
              </w:rPr>
            </w:pPr>
          </w:p>
        </w:tc>
        <w:tc>
          <w:tcPr>
            <w:tcW w:w="1038" w:type="dxa"/>
          </w:tcPr>
          <w:p w14:paraId="0159958C">
            <w:pPr>
              <w:jc w:val="center"/>
              <w:rPr>
                <w:rFonts w:ascii="宋体" w:hAnsi="宋体" w:cs="宋体"/>
                <w:color w:val="auto"/>
                <w:szCs w:val="21"/>
                <w:highlight w:val="none"/>
              </w:rPr>
            </w:pPr>
          </w:p>
        </w:tc>
        <w:tc>
          <w:tcPr>
            <w:tcW w:w="909" w:type="dxa"/>
          </w:tcPr>
          <w:p w14:paraId="5DD9F275">
            <w:pPr>
              <w:jc w:val="center"/>
              <w:rPr>
                <w:rFonts w:ascii="宋体" w:hAnsi="宋体" w:cs="宋体"/>
                <w:color w:val="auto"/>
                <w:szCs w:val="21"/>
                <w:highlight w:val="none"/>
              </w:rPr>
            </w:pPr>
          </w:p>
        </w:tc>
        <w:tc>
          <w:tcPr>
            <w:tcW w:w="1002" w:type="dxa"/>
          </w:tcPr>
          <w:p w14:paraId="086B3341">
            <w:pPr>
              <w:jc w:val="center"/>
              <w:rPr>
                <w:rFonts w:ascii="宋体" w:hAnsi="宋体" w:cs="宋体"/>
                <w:color w:val="auto"/>
                <w:szCs w:val="21"/>
                <w:highlight w:val="none"/>
              </w:rPr>
            </w:pPr>
          </w:p>
        </w:tc>
        <w:tc>
          <w:tcPr>
            <w:tcW w:w="750" w:type="dxa"/>
          </w:tcPr>
          <w:p w14:paraId="461E0801">
            <w:pPr>
              <w:jc w:val="center"/>
              <w:rPr>
                <w:rFonts w:ascii="宋体" w:hAnsi="宋体" w:cs="宋体"/>
                <w:color w:val="auto"/>
                <w:szCs w:val="21"/>
                <w:highlight w:val="none"/>
              </w:rPr>
            </w:pPr>
          </w:p>
        </w:tc>
        <w:tc>
          <w:tcPr>
            <w:tcW w:w="912" w:type="dxa"/>
          </w:tcPr>
          <w:p w14:paraId="3362B8E5">
            <w:pPr>
              <w:jc w:val="center"/>
              <w:rPr>
                <w:rFonts w:ascii="宋体" w:hAnsi="宋体" w:cs="宋体"/>
                <w:color w:val="auto"/>
                <w:szCs w:val="21"/>
                <w:highlight w:val="none"/>
              </w:rPr>
            </w:pPr>
          </w:p>
        </w:tc>
        <w:tc>
          <w:tcPr>
            <w:tcW w:w="650" w:type="dxa"/>
          </w:tcPr>
          <w:p w14:paraId="60A417D0">
            <w:pPr>
              <w:jc w:val="center"/>
              <w:rPr>
                <w:rFonts w:ascii="宋体" w:hAnsi="宋体" w:cs="宋体"/>
                <w:color w:val="auto"/>
                <w:szCs w:val="21"/>
                <w:highlight w:val="none"/>
              </w:rPr>
            </w:pPr>
          </w:p>
        </w:tc>
        <w:tc>
          <w:tcPr>
            <w:tcW w:w="725" w:type="dxa"/>
          </w:tcPr>
          <w:p w14:paraId="0E343EC1">
            <w:pPr>
              <w:jc w:val="center"/>
              <w:rPr>
                <w:rFonts w:ascii="宋体" w:hAnsi="宋体" w:cs="宋体"/>
                <w:color w:val="auto"/>
                <w:szCs w:val="21"/>
                <w:highlight w:val="none"/>
              </w:rPr>
            </w:pPr>
          </w:p>
        </w:tc>
        <w:tc>
          <w:tcPr>
            <w:tcW w:w="690" w:type="dxa"/>
          </w:tcPr>
          <w:p w14:paraId="0365124D">
            <w:pPr>
              <w:jc w:val="center"/>
              <w:rPr>
                <w:rFonts w:ascii="宋体" w:hAnsi="宋体" w:cs="宋体"/>
                <w:color w:val="auto"/>
                <w:szCs w:val="21"/>
                <w:highlight w:val="none"/>
              </w:rPr>
            </w:pPr>
          </w:p>
        </w:tc>
        <w:tc>
          <w:tcPr>
            <w:tcW w:w="864" w:type="dxa"/>
          </w:tcPr>
          <w:p w14:paraId="35227298">
            <w:pPr>
              <w:jc w:val="center"/>
              <w:rPr>
                <w:rFonts w:ascii="宋体" w:hAnsi="宋体" w:cs="宋体"/>
                <w:color w:val="auto"/>
                <w:szCs w:val="21"/>
                <w:highlight w:val="none"/>
              </w:rPr>
            </w:pPr>
          </w:p>
        </w:tc>
      </w:tr>
      <w:tr w14:paraId="66846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31" w:type="dxa"/>
          </w:tcPr>
          <w:p w14:paraId="03F84BDD">
            <w:pPr>
              <w:jc w:val="center"/>
              <w:rPr>
                <w:rFonts w:ascii="宋体" w:hAnsi="宋体" w:cs="宋体"/>
                <w:color w:val="auto"/>
                <w:szCs w:val="21"/>
                <w:highlight w:val="none"/>
              </w:rPr>
            </w:pPr>
          </w:p>
        </w:tc>
        <w:tc>
          <w:tcPr>
            <w:tcW w:w="1168" w:type="dxa"/>
          </w:tcPr>
          <w:p w14:paraId="2C7E5B28">
            <w:pPr>
              <w:jc w:val="center"/>
              <w:rPr>
                <w:rFonts w:ascii="宋体" w:hAnsi="宋体" w:cs="宋体"/>
                <w:color w:val="auto"/>
                <w:szCs w:val="21"/>
                <w:highlight w:val="none"/>
              </w:rPr>
            </w:pPr>
          </w:p>
        </w:tc>
        <w:tc>
          <w:tcPr>
            <w:tcW w:w="1038" w:type="dxa"/>
          </w:tcPr>
          <w:p w14:paraId="791BECD8">
            <w:pPr>
              <w:jc w:val="center"/>
              <w:rPr>
                <w:rFonts w:ascii="宋体" w:hAnsi="宋体" w:cs="宋体"/>
                <w:color w:val="auto"/>
                <w:szCs w:val="21"/>
                <w:highlight w:val="none"/>
              </w:rPr>
            </w:pPr>
          </w:p>
        </w:tc>
        <w:tc>
          <w:tcPr>
            <w:tcW w:w="909" w:type="dxa"/>
          </w:tcPr>
          <w:p w14:paraId="2DBB880C">
            <w:pPr>
              <w:jc w:val="center"/>
              <w:rPr>
                <w:rFonts w:ascii="宋体" w:hAnsi="宋体" w:cs="宋体"/>
                <w:color w:val="auto"/>
                <w:szCs w:val="21"/>
                <w:highlight w:val="none"/>
              </w:rPr>
            </w:pPr>
          </w:p>
        </w:tc>
        <w:tc>
          <w:tcPr>
            <w:tcW w:w="1002" w:type="dxa"/>
          </w:tcPr>
          <w:p w14:paraId="24D49D3A">
            <w:pPr>
              <w:jc w:val="center"/>
              <w:rPr>
                <w:rFonts w:ascii="宋体" w:hAnsi="宋体" w:cs="宋体"/>
                <w:color w:val="auto"/>
                <w:szCs w:val="21"/>
                <w:highlight w:val="none"/>
              </w:rPr>
            </w:pPr>
          </w:p>
        </w:tc>
        <w:tc>
          <w:tcPr>
            <w:tcW w:w="750" w:type="dxa"/>
          </w:tcPr>
          <w:p w14:paraId="0793B40D">
            <w:pPr>
              <w:jc w:val="center"/>
              <w:rPr>
                <w:rFonts w:ascii="宋体" w:hAnsi="宋体" w:cs="宋体"/>
                <w:color w:val="auto"/>
                <w:szCs w:val="21"/>
                <w:highlight w:val="none"/>
              </w:rPr>
            </w:pPr>
          </w:p>
        </w:tc>
        <w:tc>
          <w:tcPr>
            <w:tcW w:w="912" w:type="dxa"/>
          </w:tcPr>
          <w:p w14:paraId="5B565098">
            <w:pPr>
              <w:jc w:val="center"/>
              <w:rPr>
                <w:rFonts w:ascii="宋体" w:hAnsi="宋体" w:cs="宋体"/>
                <w:color w:val="auto"/>
                <w:szCs w:val="21"/>
                <w:highlight w:val="none"/>
              </w:rPr>
            </w:pPr>
          </w:p>
        </w:tc>
        <w:tc>
          <w:tcPr>
            <w:tcW w:w="650" w:type="dxa"/>
          </w:tcPr>
          <w:p w14:paraId="040538FB">
            <w:pPr>
              <w:jc w:val="center"/>
              <w:rPr>
                <w:rFonts w:ascii="宋体" w:hAnsi="宋体" w:cs="宋体"/>
                <w:color w:val="auto"/>
                <w:szCs w:val="21"/>
                <w:highlight w:val="none"/>
              </w:rPr>
            </w:pPr>
          </w:p>
        </w:tc>
        <w:tc>
          <w:tcPr>
            <w:tcW w:w="725" w:type="dxa"/>
          </w:tcPr>
          <w:p w14:paraId="5A6E75F8">
            <w:pPr>
              <w:jc w:val="center"/>
              <w:rPr>
                <w:rFonts w:ascii="宋体" w:hAnsi="宋体" w:cs="宋体"/>
                <w:color w:val="auto"/>
                <w:szCs w:val="21"/>
                <w:highlight w:val="none"/>
              </w:rPr>
            </w:pPr>
          </w:p>
        </w:tc>
        <w:tc>
          <w:tcPr>
            <w:tcW w:w="690" w:type="dxa"/>
          </w:tcPr>
          <w:p w14:paraId="70CCF7EA">
            <w:pPr>
              <w:jc w:val="center"/>
              <w:rPr>
                <w:rFonts w:ascii="宋体" w:hAnsi="宋体" w:cs="宋体"/>
                <w:color w:val="auto"/>
                <w:szCs w:val="21"/>
                <w:highlight w:val="none"/>
              </w:rPr>
            </w:pPr>
          </w:p>
        </w:tc>
        <w:tc>
          <w:tcPr>
            <w:tcW w:w="864" w:type="dxa"/>
          </w:tcPr>
          <w:p w14:paraId="7A154E5C">
            <w:pPr>
              <w:jc w:val="center"/>
              <w:rPr>
                <w:rFonts w:ascii="宋体" w:hAnsi="宋体" w:cs="宋体"/>
                <w:color w:val="auto"/>
                <w:szCs w:val="21"/>
                <w:highlight w:val="none"/>
              </w:rPr>
            </w:pPr>
          </w:p>
        </w:tc>
      </w:tr>
      <w:tr w14:paraId="51543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8475" w:type="dxa"/>
            <w:gridSpan w:val="10"/>
            <w:vAlign w:val="center"/>
          </w:tcPr>
          <w:p w14:paraId="45688AA8">
            <w:pPr>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总计:</w:t>
            </w:r>
          </w:p>
        </w:tc>
        <w:tc>
          <w:tcPr>
            <w:tcW w:w="864" w:type="dxa"/>
          </w:tcPr>
          <w:p w14:paraId="6B2A7DFB">
            <w:pPr>
              <w:jc w:val="center"/>
              <w:rPr>
                <w:rFonts w:ascii="宋体" w:hAnsi="宋体" w:cs="宋体"/>
                <w:color w:val="auto"/>
                <w:szCs w:val="21"/>
                <w:highlight w:val="none"/>
              </w:rPr>
            </w:pPr>
          </w:p>
        </w:tc>
      </w:tr>
    </w:tbl>
    <w:p w14:paraId="3A63E325">
      <w:pPr>
        <w:spacing w:line="360" w:lineRule="auto"/>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注：</w:t>
      </w:r>
    </w:p>
    <w:p w14:paraId="594F4577">
      <w:pPr>
        <w:numPr>
          <w:ilvl w:val="0"/>
          <w:numId w:val="21"/>
        </w:numPr>
        <w:spacing w:line="360" w:lineRule="auto"/>
        <w:ind w:left="0" w:leftChars="0" w:firstLine="0" w:firstLineChars="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投标人根据招标文件“第五章 采购需求 采购标的汇总表”各包段货物明细填报。</w:t>
      </w:r>
    </w:p>
    <w:p w14:paraId="11BB8251">
      <w:pPr>
        <w:numPr>
          <w:ilvl w:val="0"/>
          <w:numId w:val="21"/>
        </w:numPr>
        <w:spacing w:line="360" w:lineRule="auto"/>
        <w:ind w:left="0" w:leftChars="0" w:firstLine="0" w:firstLineChars="0"/>
        <w:jc w:val="left"/>
        <w:rPr>
          <w:rFonts w:hint="default"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投标产品品牌、规格型号、制造商等信息必须详细如实填写，否则视为无效投标；若为定制产品，可不填写品牌、规格型号，但至少需明确制造厂家且其他信息应填写完整。</w:t>
      </w:r>
    </w:p>
    <w:p w14:paraId="512ED268">
      <w:pPr>
        <w:spacing w:line="620" w:lineRule="exact"/>
        <w:rPr>
          <w:rFonts w:hint="default" w:ascii="宋体" w:hAnsi="宋体" w:cs="宋体"/>
          <w:color w:val="auto"/>
          <w:sz w:val="24"/>
          <w:szCs w:val="20"/>
          <w:highlight w:val="none"/>
          <w:lang w:val="en-US" w:eastAsia="zh-CN"/>
        </w:rPr>
      </w:pPr>
    </w:p>
    <w:p w14:paraId="1C83EAB2">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（单位电子印章）</w:t>
      </w:r>
    </w:p>
    <w:p w14:paraId="65A5DE2B">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（电子签章或签字）</w:t>
      </w:r>
    </w:p>
    <w:p w14:paraId="7D7DE544">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0E87305A">
      <w:pPr>
        <w:spacing w:line="620" w:lineRule="exact"/>
        <w:rPr>
          <w:rFonts w:ascii="宋体" w:hAnsi="宋体" w:cs="宋体"/>
          <w:b/>
          <w:color w:val="auto"/>
          <w:sz w:val="32"/>
          <w:szCs w:val="32"/>
          <w:highlight w:val="none"/>
        </w:rPr>
      </w:pPr>
    </w:p>
    <w:p w14:paraId="63BC4101">
      <w:pPr>
        <w:spacing w:line="360" w:lineRule="auto"/>
        <w:jc w:val="center"/>
        <w:rPr>
          <w:rFonts w:ascii="宋体" w:hAnsi="宋体" w:cs="宋体"/>
          <w:b/>
          <w:color w:val="auto"/>
          <w:sz w:val="32"/>
          <w:szCs w:val="32"/>
          <w:highlight w:val="none"/>
        </w:rPr>
      </w:pPr>
      <w:bookmarkStart w:id="299" w:name="_Toc6628"/>
    </w:p>
    <w:bookmarkEnd w:id="299"/>
    <w:p w14:paraId="42B2A4E3">
      <w:pPr>
        <w:rPr>
          <w:rFonts w:hint="eastAsia"/>
          <w:color w:val="auto"/>
          <w:highlight w:val="none"/>
        </w:rPr>
      </w:pPr>
      <w:bookmarkStart w:id="300" w:name="_Toc25186"/>
      <w:r>
        <w:rPr>
          <w:rFonts w:hint="eastAsia"/>
          <w:color w:val="auto"/>
          <w:highlight w:val="none"/>
        </w:rPr>
        <w:br w:type="page"/>
      </w:r>
    </w:p>
    <w:p w14:paraId="00C1FB3E">
      <w:pPr>
        <w:pStyle w:val="3"/>
        <w:jc w:val="center"/>
        <w:rPr>
          <w:rFonts w:ascii="宋体" w:hAnsi="宋体" w:cs="宋体"/>
          <w:bCs/>
          <w:color w:val="auto"/>
          <w:szCs w:val="21"/>
          <w:highlight w:val="none"/>
        </w:rPr>
      </w:pPr>
      <w:bookmarkStart w:id="301" w:name="_Toc706773766"/>
      <w:bookmarkStart w:id="302" w:name="_Toc22077"/>
      <w:r>
        <w:rPr>
          <w:rFonts w:hint="eastAsia"/>
          <w:color w:val="auto"/>
          <w:highlight w:val="none"/>
        </w:rPr>
        <w:t>四、</w:t>
      </w:r>
      <w:r>
        <w:rPr>
          <w:rFonts w:hint="eastAsia"/>
          <w:color w:val="auto"/>
          <w:highlight w:val="none"/>
          <w:lang w:eastAsia="zh-CN"/>
        </w:rPr>
        <w:t>随机配件、附件、耗材明细</w:t>
      </w:r>
      <w:r>
        <w:rPr>
          <w:rFonts w:hint="eastAsia"/>
          <w:color w:val="auto"/>
          <w:highlight w:val="none"/>
        </w:rPr>
        <w:t>表</w:t>
      </w:r>
      <w:bookmarkEnd w:id="300"/>
      <w:bookmarkEnd w:id="301"/>
      <w:bookmarkEnd w:id="302"/>
    </w:p>
    <w:p w14:paraId="61910118">
      <w:pPr>
        <w:spacing w:line="400" w:lineRule="exact"/>
        <w:jc w:val="right"/>
        <w:rPr>
          <w:rFonts w:ascii="宋体" w:hAnsi="宋体" w:cs="宋体"/>
          <w:bCs/>
          <w:color w:val="auto"/>
          <w:szCs w:val="21"/>
          <w:highlight w:val="none"/>
        </w:rPr>
      </w:pPr>
      <w:r>
        <w:rPr>
          <w:rFonts w:hint="eastAsia" w:ascii="宋体" w:hAnsi="宋体" w:cs="宋体"/>
          <w:bCs/>
          <w:color w:val="auto"/>
          <w:szCs w:val="21"/>
          <w:highlight w:val="none"/>
        </w:rPr>
        <w:t>单位：人民币元</w:t>
      </w:r>
    </w:p>
    <w:tbl>
      <w:tblPr>
        <w:tblStyle w:val="38"/>
        <w:tblW w:w="84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1916"/>
        <w:gridCol w:w="1130"/>
        <w:gridCol w:w="959"/>
        <w:gridCol w:w="1040"/>
        <w:gridCol w:w="812"/>
        <w:gridCol w:w="942"/>
        <w:gridCol w:w="780"/>
      </w:tblGrid>
      <w:tr w14:paraId="2BB8C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916" w:type="dxa"/>
            <w:vAlign w:val="center"/>
          </w:tcPr>
          <w:p w14:paraId="7586ED5A">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1916" w:type="dxa"/>
            <w:vAlign w:val="center"/>
          </w:tcPr>
          <w:p w14:paraId="25A74935">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lang w:eastAsia="zh-CN"/>
              </w:rPr>
              <w:t>随机配件、附件、耗材</w:t>
            </w:r>
            <w:r>
              <w:rPr>
                <w:rFonts w:hint="eastAsia" w:ascii="宋体" w:hAnsi="宋体" w:cs="宋体"/>
                <w:b/>
                <w:color w:val="auto"/>
                <w:szCs w:val="21"/>
                <w:highlight w:val="none"/>
              </w:rPr>
              <w:t>名称</w:t>
            </w:r>
          </w:p>
        </w:tc>
        <w:tc>
          <w:tcPr>
            <w:tcW w:w="1130" w:type="dxa"/>
            <w:vAlign w:val="center"/>
          </w:tcPr>
          <w:p w14:paraId="50E77094">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lang w:val="en-US" w:eastAsia="zh-CN"/>
              </w:rPr>
              <w:t>品牌</w:t>
            </w:r>
          </w:p>
        </w:tc>
        <w:tc>
          <w:tcPr>
            <w:tcW w:w="959" w:type="dxa"/>
            <w:vAlign w:val="center"/>
          </w:tcPr>
          <w:p w14:paraId="0502ADB5">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rPr>
              <w:t>规格型号</w:t>
            </w:r>
          </w:p>
        </w:tc>
        <w:tc>
          <w:tcPr>
            <w:tcW w:w="1040" w:type="dxa"/>
            <w:vAlign w:val="center"/>
          </w:tcPr>
          <w:p w14:paraId="72A979E9">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rPr>
              <w:t>单位</w:t>
            </w:r>
          </w:p>
        </w:tc>
        <w:tc>
          <w:tcPr>
            <w:tcW w:w="812" w:type="dxa"/>
            <w:vAlign w:val="center"/>
          </w:tcPr>
          <w:p w14:paraId="1A5919E1">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rPr>
              <w:t>单价（元）</w:t>
            </w:r>
          </w:p>
        </w:tc>
        <w:tc>
          <w:tcPr>
            <w:tcW w:w="942" w:type="dxa"/>
            <w:vAlign w:val="center"/>
          </w:tcPr>
          <w:p w14:paraId="544FD5F7">
            <w:pPr>
              <w:spacing w:line="240" w:lineRule="auto"/>
              <w:jc w:val="center"/>
              <w:rPr>
                <w:rFonts w:hint="eastAsia" w:ascii="宋体" w:hAnsi="宋体" w:eastAsia="宋体" w:cs="宋体"/>
                <w:b/>
                <w:color w:val="auto"/>
                <w:szCs w:val="21"/>
                <w:highlight w:val="none"/>
                <w:lang w:eastAsia="zh-CN"/>
              </w:rPr>
            </w:pPr>
            <w:r>
              <w:rPr>
                <w:rFonts w:hint="eastAsia" w:ascii="宋体" w:hAnsi="宋体" w:cs="宋体"/>
                <w:b/>
                <w:color w:val="auto"/>
                <w:szCs w:val="21"/>
                <w:highlight w:val="none"/>
                <w:lang w:val="en-US" w:eastAsia="zh-CN"/>
              </w:rPr>
              <w:t>制造商</w:t>
            </w:r>
          </w:p>
        </w:tc>
        <w:tc>
          <w:tcPr>
            <w:tcW w:w="780" w:type="dxa"/>
            <w:vAlign w:val="center"/>
          </w:tcPr>
          <w:p w14:paraId="03DAF26F">
            <w:pPr>
              <w:spacing w:line="240" w:lineRule="auto"/>
              <w:jc w:val="center"/>
              <w:rPr>
                <w:rFonts w:hint="eastAsia" w:ascii="宋体" w:hAnsi="宋体" w:cs="宋体"/>
                <w:b/>
                <w:color w:val="auto"/>
                <w:szCs w:val="21"/>
                <w:highlight w:val="none"/>
                <w:lang w:val="en-US" w:eastAsia="zh-CN"/>
              </w:rPr>
            </w:pPr>
            <w:r>
              <w:rPr>
                <w:rFonts w:hint="eastAsia" w:ascii="宋体" w:hAnsi="宋体" w:cs="宋体"/>
                <w:b/>
                <w:color w:val="auto"/>
                <w:szCs w:val="21"/>
                <w:highlight w:val="none"/>
              </w:rPr>
              <w:t>产地</w:t>
            </w:r>
          </w:p>
        </w:tc>
      </w:tr>
      <w:tr w14:paraId="53367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916" w:type="dxa"/>
          </w:tcPr>
          <w:p w14:paraId="00DE5C1F">
            <w:pPr>
              <w:adjustRightInd w:val="0"/>
              <w:snapToGrid w:val="0"/>
              <w:spacing w:line="360" w:lineRule="auto"/>
              <w:rPr>
                <w:rFonts w:ascii="宋体" w:hAnsi="宋体" w:cs="宋体"/>
                <w:b/>
                <w:bCs/>
                <w:color w:val="auto"/>
                <w:szCs w:val="21"/>
                <w:highlight w:val="none"/>
              </w:rPr>
            </w:pPr>
          </w:p>
        </w:tc>
        <w:tc>
          <w:tcPr>
            <w:tcW w:w="1916" w:type="dxa"/>
          </w:tcPr>
          <w:p w14:paraId="0B32970E">
            <w:pPr>
              <w:adjustRightInd w:val="0"/>
              <w:snapToGrid w:val="0"/>
              <w:spacing w:line="360" w:lineRule="auto"/>
              <w:rPr>
                <w:rFonts w:ascii="宋体" w:hAnsi="宋体" w:cs="宋体"/>
                <w:b/>
                <w:bCs/>
                <w:color w:val="auto"/>
                <w:szCs w:val="21"/>
                <w:highlight w:val="none"/>
              </w:rPr>
            </w:pPr>
          </w:p>
        </w:tc>
        <w:tc>
          <w:tcPr>
            <w:tcW w:w="1130" w:type="dxa"/>
          </w:tcPr>
          <w:p w14:paraId="403EB073">
            <w:pPr>
              <w:adjustRightInd w:val="0"/>
              <w:snapToGrid w:val="0"/>
              <w:spacing w:line="360" w:lineRule="auto"/>
              <w:rPr>
                <w:rFonts w:ascii="宋体" w:hAnsi="宋体" w:cs="宋体"/>
                <w:b/>
                <w:bCs/>
                <w:color w:val="auto"/>
                <w:szCs w:val="21"/>
                <w:highlight w:val="none"/>
              </w:rPr>
            </w:pPr>
          </w:p>
        </w:tc>
        <w:tc>
          <w:tcPr>
            <w:tcW w:w="959" w:type="dxa"/>
          </w:tcPr>
          <w:p w14:paraId="0389B6F4">
            <w:pPr>
              <w:adjustRightInd w:val="0"/>
              <w:snapToGrid w:val="0"/>
              <w:spacing w:line="360" w:lineRule="auto"/>
              <w:rPr>
                <w:rFonts w:ascii="宋体" w:hAnsi="宋体" w:cs="宋体"/>
                <w:b/>
                <w:bCs/>
                <w:color w:val="auto"/>
                <w:szCs w:val="21"/>
                <w:highlight w:val="none"/>
              </w:rPr>
            </w:pPr>
          </w:p>
        </w:tc>
        <w:tc>
          <w:tcPr>
            <w:tcW w:w="1040" w:type="dxa"/>
          </w:tcPr>
          <w:p w14:paraId="1C6FDCB4">
            <w:pPr>
              <w:adjustRightInd w:val="0"/>
              <w:snapToGrid w:val="0"/>
              <w:spacing w:line="360" w:lineRule="auto"/>
              <w:rPr>
                <w:rFonts w:ascii="宋体" w:hAnsi="宋体" w:cs="宋体"/>
                <w:b/>
                <w:bCs/>
                <w:color w:val="auto"/>
                <w:szCs w:val="21"/>
                <w:highlight w:val="none"/>
              </w:rPr>
            </w:pPr>
          </w:p>
        </w:tc>
        <w:tc>
          <w:tcPr>
            <w:tcW w:w="812" w:type="dxa"/>
          </w:tcPr>
          <w:p w14:paraId="6BC1C207">
            <w:pPr>
              <w:adjustRightInd w:val="0"/>
              <w:snapToGrid w:val="0"/>
              <w:spacing w:line="360" w:lineRule="auto"/>
              <w:rPr>
                <w:rFonts w:ascii="宋体" w:hAnsi="宋体" w:cs="宋体"/>
                <w:b/>
                <w:bCs/>
                <w:color w:val="auto"/>
                <w:szCs w:val="21"/>
                <w:highlight w:val="none"/>
              </w:rPr>
            </w:pPr>
          </w:p>
        </w:tc>
        <w:tc>
          <w:tcPr>
            <w:tcW w:w="942" w:type="dxa"/>
          </w:tcPr>
          <w:p w14:paraId="7FC34008">
            <w:pPr>
              <w:adjustRightInd w:val="0"/>
              <w:snapToGrid w:val="0"/>
              <w:spacing w:line="360" w:lineRule="auto"/>
              <w:rPr>
                <w:rFonts w:ascii="宋体" w:hAnsi="宋体" w:cs="宋体"/>
                <w:b/>
                <w:bCs/>
                <w:color w:val="auto"/>
                <w:szCs w:val="21"/>
                <w:highlight w:val="none"/>
              </w:rPr>
            </w:pPr>
          </w:p>
        </w:tc>
        <w:tc>
          <w:tcPr>
            <w:tcW w:w="780" w:type="dxa"/>
          </w:tcPr>
          <w:p w14:paraId="046E28C5">
            <w:pPr>
              <w:adjustRightInd w:val="0"/>
              <w:snapToGrid w:val="0"/>
              <w:spacing w:line="360" w:lineRule="auto"/>
              <w:rPr>
                <w:rFonts w:ascii="宋体" w:hAnsi="宋体" w:cs="宋体"/>
                <w:b/>
                <w:bCs/>
                <w:color w:val="auto"/>
                <w:szCs w:val="21"/>
                <w:highlight w:val="none"/>
              </w:rPr>
            </w:pPr>
          </w:p>
        </w:tc>
      </w:tr>
      <w:tr w14:paraId="13EE4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916" w:type="dxa"/>
          </w:tcPr>
          <w:p w14:paraId="00218AD2">
            <w:pPr>
              <w:adjustRightInd w:val="0"/>
              <w:snapToGrid w:val="0"/>
              <w:spacing w:line="360" w:lineRule="auto"/>
              <w:rPr>
                <w:rFonts w:ascii="宋体" w:hAnsi="宋体" w:cs="宋体"/>
                <w:b/>
                <w:bCs/>
                <w:color w:val="auto"/>
                <w:szCs w:val="21"/>
                <w:highlight w:val="none"/>
              </w:rPr>
            </w:pPr>
          </w:p>
        </w:tc>
        <w:tc>
          <w:tcPr>
            <w:tcW w:w="1916" w:type="dxa"/>
          </w:tcPr>
          <w:p w14:paraId="598AD127">
            <w:pPr>
              <w:adjustRightInd w:val="0"/>
              <w:snapToGrid w:val="0"/>
              <w:spacing w:line="360" w:lineRule="auto"/>
              <w:rPr>
                <w:rFonts w:ascii="宋体" w:hAnsi="宋体" w:cs="宋体"/>
                <w:b/>
                <w:bCs/>
                <w:color w:val="auto"/>
                <w:szCs w:val="21"/>
                <w:highlight w:val="none"/>
              </w:rPr>
            </w:pPr>
          </w:p>
        </w:tc>
        <w:tc>
          <w:tcPr>
            <w:tcW w:w="1130" w:type="dxa"/>
          </w:tcPr>
          <w:p w14:paraId="69C3566E">
            <w:pPr>
              <w:adjustRightInd w:val="0"/>
              <w:snapToGrid w:val="0"/>
              <w:spacing w:line="360" w:lineRule="auto"/>
              <w:rPr>
                <w:rFonts w:ascii="宋体" w:hAnsi="宋体" w:cs="宋体"/>
                <w:b/>
                <w:bCs/>
                <w:color w:val="auto"/>
                <w:szCs w:val="21"/>
                <w:highlight w:val="none"/>
              </w:rPr>
            </w:pPr>
          </w:p>
        </w:tc>
        <w:tc>
          <w:tcPr>
            <w:tcW w:w="959" w:type="dxa"/>
          </w:tcPr>
          <w:p w14:paraId="1A6D5758">
            <w:pPr>
              <w:adjustRightInd w:val="0"/>
              <w:snapToGrid w:val="0"/>
              <w:spacing w:line="360" w:lineRule="auto"/>
              <w:rPr>
                <w:rFonts w:ascii="宋体" w:hAnsi="宋体" w:cs="宋体"/>
                <w:b/>
                <w:bCs/>
                <w:color w:val="auto"/>
                <w:szCs w:val="21"/>
                <w:highlight w:val="none"/>
              </w:rPr>
            </w:pPr>
          </w:p>
        </w:tc>
        <w:tc>
          <w:tcPr>
            <w:tcW w:w="1040" w:type="dxa"/>
          </w:tcPr>
          <w:p w14:paraId="32968BEB">
            <w:pPr>
              <w:adjustRightInd w:val="0"/>
              <w:snapToGrid w:val="0"/>
              <w:spacing w:line="360" w:lineRule="auto"/>
              <w:rPr>
                <w:rFonts w:ascii="宋体" w:hAnsi="宋体" w:cs="宋体"/>
                <w:b/>
                <w:bCs/>
                <w:color w:val="auto"/>
                <w:szCs w:val="21"/>
                <w:highlight w:val="none"/>
              </w:rPr>
            </w:pPr>
          </w:p>
        </w:tc>
        <w:tc>
          <w:tcPr>
            <w:tcW w:w="812" w:type="dxa"/>
          </w:tcPr>
          <w:p w14:paraId="7A73EE69">
            <w:pPr>
              <w:adjustRightInd w:val="0"/>
              <w:snapToGrid w:val="0"/>
              <w:spacing w:line="360" w:lineRule="auto"/>
              <w:rPr>
                <w:rFonts w:ascii="宋体" w:hAnsi="宋体" w:cs="宋体"/>
                <w:b/>
                <w:bCs/>
                <w:color w:val="auto"/>
                <w:szCs w:val="21"/>
                <w:highlight w:val="none"/>
              </w:rPr>
            </w:pPr>
          </w:p>
        </w:tc>
        <w:tc>
          <w:tcPr>
            <w:tcW w:w="942" w:type="dxa"/>
          </w:tcPr>
          <w:p w14:paraId="652AF553">
            <w:pPr>
              <w:adjustRightInd w:val="0"/>
              <w:snapToGrid w:val="0"/>
              <w:spacing w:line="360" w:lineRule="auto"/>
              <w:rPr>
                <w:rFonts w:ascii="宋体" w:hAnsi="宋体" w:cs="宋体"/>
                <w:b/>
                <w:bCs/>
                <w:color w:val="auto"/>
                <w:szCs w:val="21"/>
                <w:highlight w:val="none"/>
              </w:rPr>
            </w:pPr>
          </w:p>
        </w:tc>
        <w:tc>
          <w:tcPr>
            <w:tcW w:w="780" w:type="dxa"/>
          </w:tcPr>
          <w:p w14:paraId="7516B5EA">
            <w:pPr>
              <w:adjustRightInd w:val="0"/>
              <w:snapToGrid w:val="0"/>
              <w:spacing w:line="360" w:lineRule="auto"/>
              <w:rPr>
                <w:rFonts w:ascii="宋体" w:hAnsi="宋体" w:cs="宋体"/>
                <w:b/>
                <w:bCs/>
                <w:color w:val="auto"/>
                <w:szCs w:val="21"/>
                <w:highlight w:val="none"/>
              </w:rPr>
            </w:pPr>
          </w:p>
        </w:tc>
      </w:tr>
      <w:tr w14:paraId="646AD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916" w:type="dxa"/>
          </w:tcPr>
          <w:p w14:paraId="58ED4455">
            <w:pPr>
              <w:adjustRightInd w:val="0"/>
              <w:snapToGrid w:val="0"/>
              <w:spacing w:line="360" w:lineRule="auto"/>
              <w:rPr>
                <w:rFonts w:ascii="宋体" w:hAnsi="宋体" w:cs="宋体"/>
                <w:b/>
                <w:bCs/>
                <w:color w:val="auto"/>
                <w:szCs w:val="21"/>
                <w:highlight w:val="none"/>
              </w:rPr>
            </w:pPr>
          </w:p>
        </w:tc>
        <w:tc>
          <w:tcPr>
            <w:tcW w:w="1916" w:type="dxa"/>
          </w:tcPr>
          <w:p w14:paraId="127D3DC8">
            <w:pPr>
              <w:adjustRightInd w:val="0"/>
              <w:snapToGrid w:val="0"/>
              <w:spacing w:line="360" w:lineRule="auto"/>
              <w:rPr>
                <w:rFonts w:ascii="宋体" w:hAnsi="宋体" w:cs="宋体"/>
                <w:b/>
                <w:bCs/>
                <w:color w:val="auto"/>
                <w:szCs w:val="21"/>
                <w:highlight w:val="none"/>
              </w:rPr>
            </w:pPr>
          </w:p>
        </w:tc>
        <w:tc>
          <w:tcPr>
            <w:tcW w:w="1130" w:type="dxa"/>
          </w:tcPr>
          <w:p w14:paraId="7B16271D">
            <w:pPr>
              <w:adjustRightInd w:val="0"/>
              <w:snapToGrid w:val="0"/>
              <w:spacing w:line="360" w:lineRule="auto"/>
              <w:rPr>
                <w:rFonts w:ascii="宋体" w:hAnsi="宋体" w:cs="宋体"/>
                <w:b/>
                <w:bCs/>
                <w:color w:val="auto"/>
                <w:szCs w:val="21"/>
                <w:highlight w:val="none"/>
              </w:rPr>
            </w:pPr>
          </w:p>
        </w:tc>
        <w:tc>
          <w:tcPr>
            <w:tcW w:w="959" w:type="dxa"/>
          </w:tcPr>
          <w:p w14:paraId="3EA8D55A">
            <w:pPr>
              <w:adjustRightInd w:val="0"/>
              <w:snapToGrid w:val="0"/>
              <w:spacing w:line="360" w:lineRule="auto"/>
              <w:rPr>
                <w:rFonts w:ascii="宋体" w:hAnsi="宋体" w:cs="宋体"/>
                <w:b/>
                <w:bCs/>
                <w:color w:val="auto"/>
                <w:szCs w:val="21"/>
                <w:highlight w:val="none"/>
              </w:rPr>
            </w:pPr>
          </w:p>
        </w:tc>
        <w:tc>
          <w:tcPr>
            <w:tcW w:w="1040" w:type="dxa"/>
          </w:tcPr>
          <w:p w14:paraId="7B0CCF5B">
            <w:pPr>
              <w:adjustRightInd w:val="0"/>
              <w:snapToGrid w:val="0"/>
              <w:spacing w:line="360" w:lineRule="auto"/>
              <w:rPr>
                <w:rFonts w:ascii="宋体" w:hAnsi="宋体" w:cs="宋体"/>
                <w:b/>
                <w:bCs/>
                <w:color w:val="auto"/>
                <w:szCs w:val="21"/>
                <w:highlight w:val="none"/>
              </w:rPr>
            </w:pPr>
          </w:p>
        </w:tc>
        <w:tc>
          <w:tcPr>
            <w:tcW w:w="812" w:type="dxa"/>
          </w:tcPr>
          <w:p w14:paraId="5C0504A3">
            <w:pPr>
              <w:adjustRightInd w:val="0"/>
              <w:snapToGrid w:val="0"/>
              <w:spacing w:line="360" w:lineRule="auto"/>
              <w:rPr>
                <w:rFonts w:ascii="宋体" w:hAnsi="宋体" w:cs="宋体"/>
                <w:b/>
                <w:bCs/>
                <w:color w:val="auto"/>
                <w:szCs w:val="21"/>
                <w:highlight w:val="none"/>
              </w:rPr>
            </w:pPr>
          </w:p>
        </w:tc>
        <w:tc>
          <w:tcPr>
            <w:tcW w:w="942" w:type="dxa"/>
          </w:tcPr>
          <w:p w14:paraId="07E4A30E">
            <w:pPr>
              <w:adjustRightInd w:val="0"/>
              <w:snapToGrid w:val="0"/>
              <w:spacing w:line="360" w:lineRule="auto"/>
              <w:rPr>
                <w:rFonts w:ascii="宋体" w:hAnsi="宋体" w:cs="宋体"/>
                <w:b/>
                <w:bCs/>
                <w:color w:val="auto"/>
                <w:szCs w:val="21"/>
                <w:highlight w:val="none"/>
              </w:rPr>
            </w:pPr>
          </w:p>
        </w:tc>
        <w:tc>
          <w:tcPr>
            <w:tcW w:w="780" w:type="dxa"/>
          </w:tcPr>
          <w:p w14:paraId="01FEECF3">
            <w:pPr>
              <w:adjustRightInd w:val="0"/>
              <w:snapToGrid w:val="0"/>
              <w:spacing w:line="360" w:lineRule="auto"/>
              <w:rPr>
                <w:rFonts w:ascii="宋体" w:hAnsi="宋体" w:cs="宋体"/>
                <w:b/>
                <w:bCs/>
                <w:color w:val="auto"/>
                <w:szCs w:val="21"/>
                <w:highlight w:val="none"/>
              </w:rPr>
            </w:pPr>
          </w:p>
        </w:tc>
      </w:tr>
      <w:tr w14:paraId="49B9E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916" w:type="dxa"/>
          </w:tcPr>
          <w:p w14:paraId="56499724">
            <w:pPr>
              <w:adjustRightInd w:val="0"/>
              <w:snapToGrid w:val="0"/>
              <w:spacing w:line="360" w:lineRule="auto"/>
              <w:rPr>
                <w:rFonts w:ascii="宋体" w:hAnsi="宋体" w:cs="宋体"/>
                <w:b/>
                <w:bCs/>
                <w:color w:val="auto"/>
                <w:szCs w:val="21"/>
                <w:highlight w:val="none"/>
              </w:rPr>
            </w:pPr>
          </w:p>
        </w:tc>
        <w:tc>
          <w:tcPr>
            <w:tcW w:w="1916" w:type="dxa"/>
          </w:tcPr>
          <w:p w14:paraId="7493E098">
            <w:pPr>
              <w:adjustRightInd w:val="0"/>
              <w:snapToGrid w:val="0"/>
              <w:spacing w:line="360" w:lineRule="auto"/>
              <w:rPr>
                <w:rFonts w:ascii="宋体" w:hAnsi="宋体" w:cs="宋体"/>
                <w:b/>
                <w:bCs/>
                <w:color w:val="auto"/>
                <w:szCs w:val="21"/>
                <w:highlight w:val="none"/>
              </w:rPr>
            </w:pPr>
          </w:p>
        </w:tc>
        <w:tc>
          <w:tcPr>
            <w:tcW w:w="1130" w:type="dxa"/>
          </w:tcPr>
          <w:p w14:paraId="39CF8706">
            <w:pPr>
              <w:adjustRightInd w:val="0"/>
              <w:snapToGrid w:val="0"/>
              <w:spacing w:line="360" w:lineRule="auto"/>
              <w:rPr>
                <w:rFonts w:ascii="宋体" w:hAnsi="宋体" w:cs="宋体"/>
                <w:b/>
                <w:bCs/>
                <w:color w:val="auto"/>
                <w:szCs w:val="21"/>
                <w:highlight w:val="none"/>
              </w:rPr>
            </w:pPr>
          </w:p>
        </w:tc>
        <w:tc>
          <w:tcPr>
            <w:tcW w:w="959" w:type="dxa"/>
          </w:tcPr>
          <w:p w14:paraId="216869C5">
            <w:pPr>
              <w:adjustRightInd w:val="0"/>
              <w:snapToGrid w:val="0"/>
              <w:spacing w:line="360" w:lineRule="auto"/>
              <w:rPr>
                <w:rFonts w:ascii="宋体" w:hAnsi="宋体" w:cs="宋体"/>
                <w:b/>
                <w:bCs/>
                <w:color w:val="auto"/>
                <w:szCs w:val="21"/>
                <w:highlight w:val="none"/>
              </w:rPr>
            </w:pPr>
          </w:p>
        </w:tc>
        <w:tc>
          <w:tcPr>
            <w:tcW w:w="1040" w:type="dxa"/>
          </w:tcPr>
          <w:p w14:paraId="686C4347">
            <w:pPr>
              <w:adjustRightInd w:val="0"/>
              <w:snapToGrid w:val="0"/>
              <w:spacing w:line="360" w:lineRule="auto"/>
              <w:rPr>
                <w:rFonts w:ascii="宋体" w:hAnsi="宋体" w:cs="宋体"/>
                <w:b/>
                <w:bCs/>
                <w:color w:val="auto"/>
                <w:szCs w:val="21"/>
                <w:highlight w:val="none"/>
              </w:rPr>
            </w:pPr>
          </w:p>
        </w:tc>
        <w:tc>
          <w:tcPr>
            <w:tcW w:w="812" w:type="dxa"/>
          </w:tcPr>
          <w:p w14:paraId="1DB1B55B">
            <w:pPr>
              <w:adjustRightInd w:val="0"/>
              <w:snapToGrid w:val="0"/>
              <w:spacing w:line="360" w:lineRule="auto"/>
              <w:rPr>
                <w:rFonts w:ascii="宋体" w:hAnsi="宋体" w:cs="宋体"/>
                <w:b/>
                <w:bCs/>
                <w:color w:val="auto"/>
                <w:szCs w:val="21"/>
                <w:highlight w:val="none"/>
              </w:rPr>
            </w:pPr>
          </w:p>
        </w:tc>
        <w:tc>
          <w:tcPr>
            <w:tcW w:w="942" w:type="dxa"/>
          </w:tcPr>
          <w:p w14:paraId="2C21009F">
            <w:pPr>
              <w:adjustRightInd w:val="0"/>
              <w:snapToGrid w:val="0"/>
              <w:spacing w:line="360" w:lineRule="auto"/>
              <w:rPr>
                <w:rFonts w:ascii="宋体" w:hAnsi="宋体" w:cs="宋体"/>
                <w:b/>
                <w:bCs/>
                <w:color w:val="auto"/>
                <w:szCs w:val="21"/>
                <w:highlight w:val="none"/>
              </w:rPr>
            </w:pPr>
          </w:p>
        </w:tc>
        <w:tc>
          <w:tcPr>
            <w:tcW w:w="780" w:type="dxa"/>
          </w:tcPr>
          <w:p w14:paraId="52F00D78">
            <w:pPr>
              <w:adjustRightInd w:val="0"/>
              <w:snapToGrid w:val="0"/>
              <w:spacing w:line="360" w:lineRule="auto"/>
              <w:rPr>
                <w:rFonts w:ascii="宋体" w:hAnsi="宋体" w:cs="宋体"/>
                <w:b/>
                <w:bCs/>
                <w:color w:val="auto"/>
                <w:szCs w:val="21"/>
                <w:highlight w:val="none"/>
              </w:rPr>
            </w:pPr>
          </w:p>
        </w:tc>
      </w:tr>
      <w:tr w14:paraId="7E278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916" w:type="dxa"/>
          </w:tcPr>
          <w:p w14:paraId="7339254E">
            <w:pPr>
              <w:adjustRightInd w:val="0"/>
              <w:snapToGrid w:val="0"/>
              <w:spacing w:line="360" w:lineRule="auto"/>
              <w:rPr>
                <w:rFonts w:ascii="宋体" w:hAnsi="宋体" w:cs="宋体"/>
                <w:b/>
                <w:bCs/>
                <w:color w:val="auto"/>
                <w:szCs w:val="21"/>
                <w:highlight w:val="none"/>
              </w:rPr>
            </w:pPr>
          </w:p>
        </w:tc>
        <w:tc>
          <w:tcPr>
            <w:tcW w:w="1916" w:type="dxa"/>
          </w:tcPr>
          <w:p w14:paraId="1F4AA023">
            <w:pPr>
              <w:adjustRightInd w:val="0"/>
              <w:snapToGrid w:val="0"/>
              <w:spacing w:line="360" w:lineRule="auto"/>
              <w:rPr>
                <w:rFonts w:ascii="宋体" w:hAnsi="宋体" w:cs="宋体"/>
                <w:b/>
                <w:bCs/>
                <w:color w:val="auto"/>
                <w:szCs w:val="21"/>
                <w:highlight w:val="none"/>
              </w:rPr>
            </w:pPr>
          </w:p>
        </w:tc>
        <w:tc>
          <w:tcPr>
            <w:tcW w:w="1130" w:type="dxa"/>
          </w:tcPr>
          <w:p w14:paraId="08507317">
            <w:pPr>
              <w:adjustRightInd w:val="0"/>
              <w:snapToGrid w:val="0"/>
              <w:spacing w:line="360" w:lineRule="auto"/>
              <w:rPr>
                <w:rFonts w:ascii="宋体" w:hAnsi="宋体" w:cs="宋体"/>
                <w:b/>
                <w:bCs/>
                <w:color w:val="auto"/>
                <w:szCs w:val="21"/>
                <w:highlight w:val="none"/>
              </w:rPr>
            </w:pPr>
          </w:p>
        </w:tc>
        <w:tc>
          <w:tcPr>
            <w:tcW w:w="959" w:type="dxa"/>
          </w:tcPr>
          <w:p w14:paraId="39DBE7A5">
            <w:pPr>
              <w:adjustRightInd w:val="0"/>
              <w:snapToGrid w:val="0"/>
              <w:spacing w:line="360" w:lineRule="auto"/>
              <w:rPr>
                <w:rFonts w:ascii="宋体" w:hAnsi="宋体" w:cs="宋体"/>
                <w:b/>
                <w:bCs/>
                <w:color w:val="auto"/>
                <w:szCs w:val="21"/>
                <w:highlight w:val="none"/>
              </w:rPr>
            </w:pPr>
          </w:p>
        </w:tc>
        <w:tc>
          <w:tcPr>
            <w:tcW w:w="1040" w:type="dxa"/>
          </w:tcPr>
          <w:p w14:paraId="2DC42983">
            <w:pPr>
              <w:adjustRightInd w:val="0"/>
              <w:snapToGrid w:val="0"/>
              <w:spacing w:line="360" w:lineRule="auto"/>
              <w:rPr>
                <w:rFonts w:ascii="宋体" w:hAnsi="宋体" w:cs="宋体"/>
                <w:b/>
                <w:bCs/>
                <w:color w:val="auto"/>
                <w:szCs w:val="21"/>
                <w:highlight w:val="none"/>
              </w:rPr>
            </w:pPr>
          </w:p>
        </w:tc>
        <w:tc>
          <w:tcPr>
            <w:tcW w:w="812" w:type="dxa"/>
          </w:tcPr>
          <w:p w14:paraId="4F7A3933">
            <w:pPr>
              <w:adjustRightInd w:val="0"/>
              <w:snapToGrid w:val="0"/>
              <w:spacing w:line="360" w:lineRule="auto"/>
              <w:rPr>
                <w:rFonts w:ascii="宋体" w:hAnsi="宋体" w:cs="宋体"/>
                <w:b/>
                <w:bCs/>
                <w:color w:val="auto"/>
                <w:szCs w:val="21"/>
                <w:highlight w:val="none"/>
              </w:rPr>
            </w:pPr>
          </w:p>
        </w:tc>
        <w:tc>
          <w:tcPr>
            <w:tcW w:w="942" w:type="dxa"/>
          </w:tcPr>
          <w:p w14:paraId="382D89CD">
            <w:pPr>
              <w:adjustRightInd w:val="0"/>
              <w:snapToGrid w:val="0"/>
              <w:spacing w:line="360" w:lineRule="auto"/>
              <w:rPr>
                <w:rFonts w:ascii="宋体" w:hAnsi="宋体" w:cs="宋体"/>
                <w:b/>
                <w:bCs/>
                <w:color w:val="auto"/>
                <w:szCs w:val="21"/>
                <w:highlight w:val="none"/>
              </w:rPr>
            </w:pPr>
          </w:p>
        </w:tc>
        <w:tc>
          <w:tcPr>
            <w:tcW w:w="780" w:type="dxa"/>
          </w:tcPr>
          <w:p w14:paraId="392E1438">
            <w:pPr>
              <w:adjustRightInd w:val="0"/>
              <w:snapToGrid w:val="0"/>
              <w:spacing w:line="360" w:lineRule="auto"/>
              <w:rPr>
                <w:rFonts w:ascii="宋体" w:hAnsi="宋体" w:cs="宋体"/>
                <w:b/>
                <w:bCs/>
                <w:color w:val="auto"/>
                <w:szCs w:val="21"/>
                <w:highlight w:val="none"/>
              </w:rPr>
            </w:pPr>
          </w:p>
        </w:tc>
      </w:tr>
      <w:tr w14:paraId="4EB7F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916" w:type="dxa"/>
          </w:tcPr>
          <w:p w14:paraId="44CE6713">
            <w:pPr>
              <w:adjustRightInd w:val="0"/>
              <w:snapToGrid w:val="0"/>
              <w:spacing w:line="360" w:lineRule="auto"/>
              <w:rPr>
                <w:rFonts w:ascii="宋体" w:hAnsi="宋体" w:cs="宋体"/>
                <w:b/>
                <w:bCs/>
                <w:color w:val="auto"/>
                <w:szCs w:val="21"/>
                <w:highlight w:val="none"/>
              </w:rPr>
            </w:pPr>
          </w:p>
        </w:tc>
        <w:tc>
          <w:tcPr>
            <w:tcW w:w="1916" w:type="dxa"/>
          </w:tcPr>
          <w:p w14:paraId="231BCFAA">
            <w:pPr>
              <w:adjustRightInd w:val="0"/>
              <w:snapToGrid w:val="0"/>
              <w:spacing w:line="360" w:lineRule="auto"/>
              <w:rPr>
                <w:rFonts w:ascii="宋体" w:hAnsi="宋体" w:cs="宋体"/>
                <w:b/>
                <w:bCs/>
                <w:color w:val="auto"/>
                <w:szCs w:val="21"/>
                <w:highlight w:val="none"/>
              </w:rPr>
            </w:pPr>
          </w:p>
        </w:tc>
        <w:tc>
          <w:tcPr>
            <w:tcW w:w="1130" w:type="dxa"/>
          </w:tcPr>
          <w:p w14:paraId="1168FCA2">
            <w:pPr>
              <w:adjustRightInd w:val="0"/>
              <w:snapToGrid w:val="0"/>
              <w:spacing w:line="360" w:lineRule="auto"/>
              <w:rPr>
                <w:rFonts w:ascii="宋体" w:hAnsi="宋体" w:cs="宋体"/>
                <w:b/>
                <w:bCs/>
                <w:color w:val="auto"/>
                <w:szCs w:val="21"/>
                <w:highlight w:val="none"/>
              </w:rPr>
            </w:pPr>
          </w:p>
        </w:tc>
        <w:tc>
          <w:tcPr>
            <w:tcW w:w="959" w:type="dxa"/>
          </w:tcPr>
          <w:p w14:paraId="73C45CE3">
            <w:pPr>
              <w:adjustRightInd w:val="0"/>
              <w:snapToGrid w:val="0"/>
              <w:spacing w:line="360" w:lineRule="auto"/>
              <w:rPr>
                <w:rFonts w:ascii="宋体" w:hAnsi="宋体" w:cs="宋体"/>
                <w:b/>
                <w:bCs/>
                <w:color w:val="auto"/>
                <w:szCs w:val="21"/>
                <w:highlight w:val="none"/>
              </w:rPr>
            </w:pPr>
          </w:p>
        </w:tc>
        <w:tc>
          <w:tcPr>
            <w:tcW w:w="1040" w:type="dxa"/>
          </w:tcPr>
          <w:p w14:paraId="1B52F417">
            <w:pPr>
              <w:adjustRightInd w:val="0"/>
              <w:snapToGrid w:val="0"/>
              <w:spacing w:line="360" w:lineRule="auto"/>
              <w:rPr>
                <w:rFonts w:ascii="宋体" w:hAnsi="宋体" w:cs="宋体"/>
                <w:b/>
                <w:bCs/>
                <w:color w:val="auto"/>
                <w:szCs w:val="21"/>
                <w:highlight w:val="none"/>
              </w:rPr>
            </w:pPr>
          </w:p>
        </w:tc>
        <w:tc>
          <w:tcPr>
            <w:tcW w:w="812" w:type="dxa"/>
          </w:tcPr>
          <w:p w14:paraId="65EC9527">
            <w:pPr>
              <w:adjustRightInd w:val="0"/>
              <w:snapToGrid w:val="0"/>
              <w:spacing w:line="360" w:lineRule="auto"/>
              <w:rPr>
                <w:rFonts w:ascii="宋体" w:hAnsi="宋体" w:cs="宋体"/>
                <w:b/>
                <w:bCs/>
                <w:color w:val="auto"/>
                <w:szCs w:val="21"/>
                <w:highlight w:val="none"/>
              </w:rPr>
            </w:pPr>
          </w:p>
        </w:tc>
        <w:tc>
          <w:tcPr>
            <w:tcW w:w="942" w:type="dxa"/>
          </w:tcPr>
          <w:p w14:paraId="18CD69C1">
            <w:pPr>
              <w:adjustRightInd w:val="0"/>
              <w:snapToGrid w:val="0"/>
              <w:spacing w:line="360" w:lineRule="auto"/>
              <w:rPr>
                <w:rFonts w:ascii="宋体" w:hAnsi="宋体" w:cs="宋体"/>
                <w:b/>
                <w:bCs/>
                <w:color w:val="auto"/>
                <w:szCs w:val="21"/>
                <w:highlight w:val="none"/>
              </w:rPr>
            </w:pPr>
          </w:p>
        </w:tc>
        <w:tc>
          <w:tcPr>
            <w:tcW w:w="780" w:type="dxa"/>
          </w:tcPr>
          <w:p w14:paraId="6D684BCB">
            <w:pPr>
              <w:adjustRightInd w:val="0"/>
              <w:snapToGrid w:val="0"/>
              <w:spacing w:line="360" w:lineRule="auto"/>
              <w:rPr>
                <w:rFonts w:ascii="宋体" w:hAnsi="宋体" w:cs="宋体"/>
                <w:b/>
                <w:bCs/>
                <w:color w:val="auto"/>
                <w:szCs w:val="21"/>
                <w:highlight w:val="none"/>
              </w:rPr>
            </w:pPr>
          </w:p>
        </w:tc>
      </w:tr>
      <w:tr w14:paraId="4865D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916" w:type="dxa"/>
          </w:tcPr>
          <w:p w14:paraId="2F06745D">
            <w:pPr>
              <w:adjustRightInd w:val="0"/>
              <w:snapToGrid w:val="0"/>
              <w:spacing w:line="360" w:lineRule="auto"/>
              <w:rPr>
                <w:rFonts w:ascii="宋体" w:hAnsi="宋体" w:cs="宋体"/>
                <w:b/>
                <w:bCs/>
                <w:color w:val="auto"/>
                <w:szCs w:val="21"/>
                <w:highlight w:val="none"/>
              </w:rPr>
            </w:pPr>
          </w:p>
        </w:tc>
        <w:tc>
          <w:tcPr>
            <w:tcW w:w="1916" w:type="dxa"/>
          </w:tcPr>
          <w:p w14:paraId="6E658C1B">
            <w:pPr>
              <w:adjustRightInd w:val="0"/>
              <w:snapToGrid w:val="0"/>
              <w:spacing w:line="360" w:lineRule="auto"/>
              <w:rPr>
                <w:rFonts w:ascii="宋体" w:hAnsi="宋体" w:cs="宋体"/>
                <w:b/>
                <w:bCs/>
                <w:color w:val="auto"/>
                <w:szCs w:val="21"/>
                <w:highlight w:val="none"/>
              </w:rPr>
            </w:pPr>
          </w:p>
        </w:tc>
        <w:tc>
          <w:tcPr>
            <w:tcW w:w="1130" w:type="dxa"/>
          </w:tcPr>
          <w:p w14:paraId="7F06DEC0">
            <w:pPr>
              <w:adjustRightInd w:val="0"/>
              <w:snapToGrid w:val="0"/>
              <w:spacing w:line="360" w:lineRule="auto"/>
              <w:rPr>
                <w:rFonts w:ascii="宋体" w:hAnsi="宋体" w:cs="宋体"/>
                <w:b/>
                <w:bCs/>
                <w:color w:val="auto"/>
                <w:szCs w:val="21"/>
                <w:highlight w:val="none"/>
              </w:rPr>
            </w:pPr>
          </w:p>
        </w:tc>
        <w:tc>
          <w:tcPr>
            <w:tcW w:w="959" w:type="dxa"/>
          </w:tcPr>
          <w:p w14:paraId="1F13D2EE">
            <w:pPr>
              <w:adjustRightInd w:val="0"/>
              <w:snapToGrid w:val="0"/>
              <w:spacing w:line="360" w:lineRule="auto"/>
              <w:rPr>
                <w:rFonts w:ascii="宋体" w:hAnsi="宋体" w:cs="宋体"/>
                <w:b/>
                <w:bCs/>
                <w:color w:val="auto"/>
                <w:szCs w:val="21"/>
                <w:highlight w:val="none"/>
              </w:rPr>
            </w:pPr>
          </w:p>
        </w:tc>
        <w:tc>
          <w:tcPr>
            <w:tcW w:w="1040" w:type="dxa"/>
          </w:tcPr>
          <w:p w14:paraId="212D8C89">
            <w:pPr>
              <w:adjustRightInd w:val="0"/>
              <w:snapToGrid w:val="0"/>
              <w:spacing w:line="360" w:lineRule="auto"/>
              <w:rPr>
                <w:rFonts w:ascii="宋体" w:hAnsi="宋体" w:cs="宋体"/>
                <w:b/>
                <w:bCs/>
                <w:color w:val="auto"/>
                <w:szCs w:val="21"/>
                <w:highlight w:val="none"/>
              </w:rPr>
            </w:pPr>
          </w:p>
        </w:tc>
        <w:tc>
          <w:tcPr>
            <w:tcW w:w="812" w:type="dxa"/>
          </w:tcPr>
          <w:p w14:paraId="202FE246">
            <w:pPr>
              <w:adjustRightInd w:val="0"/>
              <w:snapToGrid w:val="0"/>
              <w:spacing w:line="360" w:lineRule="auto"/>
              <w:rPr>
                <w:rFonts w:ascii="宋体" w:hAnsi="宋体" w:cs="宋体"/>
                <w:b/>
                <w:bCs/>
                <w:color w:val="auto"/>
                <w:szCs w:val="21"/>
                <w:highlight w:val="none"/>
              </w:rPr>
            </w:pPr>
          </w:p>
        </w:tc>
        <w:tc>
          <w:tcPr>
            <w:tcW w:w="942" w:type="dxa"/>
          </w:tcPr>
          <w:p w14:paraId="7F5FF9FC">
            <w:pPr>
              <w:adjustRightInd w:val="0"/>
              <w:snapToGrid w:val="0"/>
              <w:spacing w:line="360" w:lineRule="auto"/>
              <w:rPr>
                <w:rFonts w:ascii="宋体" w:hAnsi="宋体" w:cs="宋体"/>
                <w:b/>
                <w:bCs/>
                <w:color w:val="auto"/>
                <w:szCs w:val="21"/>
                <w:highlight w:val="none"/>
              </w:rPr>
            </w:pPr>
          </w:p>
        </w:tc>
        <w:tc>
          <w:tcPr>
            <w:tcW w:w="780" w:type="dxa"/>
          </w:tcPr>
          <w:p w14:paraId="227E3AD1">
            <w:pPr>
              <w:adjustRightInd w:val="0"/>
              <w:snapToGrid w:val="0"/>
              <w:spacing w:line="360" w:lineRule="auto"/>
              <w:rPr>
                <w:rFonts w:ascii="宋体" w:hAnsi="宋体" w:cs="宋体"/>
                <w:b/>
                <w:bCs/>
                <w:color w:val="auto"/>
                <w:szCs w:val="21"/>
                <w:highlight w:val="none"/>
              </w:rPr>
            </w:pPr>
          </w:p>
        </w:tc>
      </w:tr>
      <w:tr w14:paraId="01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916" w:type="dxa"/>
          </w:tcPr>
          <w:p w14:paraId="68E81008">
            <w:pPr>
              <w:adjustRightInd w:val="0"/>
              <w:snapToGrid w:val="0"/>
              <w:spacing w:line="360" w:lineRule="auto"/>
              <w:rPr>
                <w:rFonts w:ascii="宋体" w:hAnsi="宋体" w:cs="宋体"/>
                <w:b/>
                <w:bCs/>
                <w:color w:val="auto"/>
                <w:szCs w:val="21"/>
                <w:highlight w:val="none"/>
              </w:rPr>
            </w:pPr>
          </w:p>
        </w:tc>
        <w:tc>
          <w:tcPr>
            <w:tcW w:w="1916" w:type="dxa"/>
          </w:tcPr>
          <w:p w14:paraId="63E6590F">
            <w:pPr>
              <w:adjustRightInd w:val="0"/>
              <w:snapToGrid w:val="0"/>
              <w:spacing w:line="360" w:lineRule="auto"/>
              <w:rPr>
                <w:rFonts w:ascii="宋体" w:hAnsi="宋体" w:cs="宋体"/>
                <w:b/>
                <w:bCs/>
                <w:color w:val="auto"/>
                <w:szCs w:val="21"/>
                <w:highlight w:val="none"/>
              </w:rPr>
            </w:pPr>
            <w:r>
              <w:rPr>
                <w:rFonts w:hint="eastAsia" w:ascii="宋体" w:hAnsi="宋体" w:cs="宋体"/>
                <w:b/>
                <w:bCs/>
                <w:color w:val="auto"/>
                <w:szCs w:val="21"/>
                <w:highlight w:val="none"/>
              </w:rPr>
              <w:t>......</w:t>
            </w:r>
          </w:p>
        </w:tc>
        <w:tc>
          <w:tcPr>
            <w:tcW w:w="1130" w:type="dxa"/>
          </w:tcPr>
          <w:p w14:paraId="1B530B8E">
            <w:pPr>
              <w:adjustRightInd w:val="0"/>
              <w:snapToGrid w:val="0"/>
              <w:spacing w:line="360" w:lineRule="auto"/>
              <w:rPr>
                <w:rFonts w:ascii="宋体" w:hAnsi="宋体" w:cs="宋体"/>
                <w:b/>
                <w:bCs/>
                <w:color w:val="auto"/>
                <w:szCs w:val="21"/>
                <w:highlight w:val="none"/>
              </w:rPr>
            </w:pPr>
          </w:p>
        </w:tc>
        <w:tc>
          <w:tcPr>
            <w:tcW w:w="959" w:type="dxa"/>
          </w:tcPr>
          <w:p w14:paraId="1B44614C">
            <w:pPr>
              <w:adjustRightInd w:val="0"/>
              <w:snapToGrid w:val="0"/>
              <w:spacing w:line="360" w:lineRule="auto"/>
              <w:rPr>
                <w:rFonts w:ascii="宋体" w:hAnsi="宋体" w:cs="宋体"/>
                <w:b/>
                <w:bCs/>
                <w:color w:val="auto"/>
                <w:szCs w:val="21"/>
                <w:highlight w:val="none"/>
              </w:rPr>
            </w:pPr>
          </w:p>
        </w:tc>
        <w:tc>
          <w:tcPr>
            <w:tcW w:w="1040" w:type="dxa"/>
          </w:tcPr>
          <w:p w14:paraId="551BF277">
            <w:pPr>
              <w:adjustRightInd w:val="0"/>
              <w:snapToGrid w:val="0"/>
              <w:spacing w:line="360" w:lineRule="auto"/>
              <w:rPr>
                <w:rFonts w:ascii="宋体" w:hAnsi="宋体" w:cs="宋体"/>
                <w:b/>
                <w:bCs/>
                <w:color w:val="auto"/>
                <w:szCs w:val="21"/>
                <w:highlight w:val="none"/>
              </w:rPr>
            </w:pPr>
          </w:p>
        </w:tc>
        <w:tc>
          <w:tcPr>
            <w:tcW w:w="812" w:type="dxa"/>
          </w:tcPr>
          <w:p w14:paraId="2C7DDA98">
            <w:pPr>
              <w:adjustRightInd w:val="0"/>
              <w:snapToGrid w:val="0"/>
              <w:spacing w:line="360" w:lineRule="auto"/>
              <w:rPr>
                <w:rFonts w:ascii="宋体" w:hAnsi="宋体" w:cs="宋体"/>
                <w:b/>
                <w:bCs/>
                <w:color w:val="auto"/>
                <w:szCs w:val="21"/>
                <w:highlight w:val="none"/>
              </w:rPr>
            </w:pPr>
          </w:p>
        </w:tc>
        <w:tc>
          <w:tcPr>
            <w:tcW w:w="942" w:type="dxa"/>
          </w:tcPr>
          <w:p w14:paraId="328A3D43">
            <w:pPr>
              <w:adjustRightInd w:val="0"/>
              <w:snapToGrid w:val="0"/>
              <w:spacing w:line="360" w:lineRule="auto"/>
              <w:rPr>
                <w:rFonts w:ascii="宋体" w:hAnsi="宋体" w:cs="宋体"/>
                <w:b/>
                <w:bCs/>
                <w:color w:val="auto"/>
                <w:szCs w:val="21"/>
                <w:highlight w:val="none"/>
              </w:rPr>
            </w:pPr>
          </w:p>
        </w:tc>
        <w:tc>
          <w:tcPr>
            <w:tcW w:w="780" w:type="dxa"/>
          </w:tcPr>
          <w:p w14:paraId="3DE954A5">
            <w:pPr>
              <w:adjustRightInd w:val="0"/>
              <w:snapToGrid w:val="0"/>
              <w:spacing w:line="360" w:lineRule="auto"/>
              <w:rPr>
                <w:rFonts w:ascii="宋体" w:hAnsi="宋体" w:cs="宋体"/>
                <w:b/>
                <w:bCs/>
                <w:color w:val="auto"/>
                <w:szCs w:val="21"/>
                <w:highlight w:val="none"/>
              </w:rPr>
            </w:pPr>
          </w:p>
        </w:tc>
      </w:tr>
      <w:tr w14:paraId="0BE77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916" w:type="dxa"/>
          </w:tcPr>
          <w:p w14:paraId="5FBC1E52">
            <w:pPr>
              <w:adjustRightInd w:val="0"/>
              <w:snapToGrid w:val="0"/>
              <w:spacing w:line="360" w:lineRule="auto"/>
              <w:rPr>
                <w:rFonts w:ascii="宋体" w:hAnsi="宋体" w:cs="宋体"/>
                <w:b/>
                <w:bCs/>
                <w:color w:val="auto"/>
                <w:szCs w:val="21"/>
                <w:highlight w:val="none"/>
              </w:rPr>
            </w:pPr>
          </w:p>
        </w:tc>
        <w:tc>
          <w:tcPr>
            <w:tcW w:w="1916" w:type="dxa"/>
          </w:tcPr>
          <w:p w14:paraId="469E574E">
            <w:pPr>
              <w:adjustRightInd w:val="0"/>
              <w:snapToGrid w:val="0"/>
              <w:spacing w:line="360" w:lineRule="auto"/>
              <w:rPr>
                <w:rFonts w:ascii="宋体" w:hAnsi="宋体" w:cs="宋体"/>
                <w:b/>
                <w:bCs/>
                <w:color w:val="auto"/>
                <w:szCs w:val="21"/>
                <w:highlight w:val="none"/>
              </w:rPr>
            </w:pPr>
          </w:p>
        </w:tc>
        <w:tc>
          <w:tcPr>
            <w:tcW w:w="1130" w:type="dxa"/>
          </w:tcPr>
          <w:p w14:paraId="6DF5D6C6">
            <w:pPr>
              <w:adjustRightInd w:val="0"/>
              <w:snapToGrid w:val="0"/>
              <w:spacing w:line="360" w:lineRule="auto"/>
              <w:rPr>
                <w:rFonts w:ascii="宋体" w:hAnsi="宋体" w:cs="宋体"/>
                <w:b/>
                <w:bCs/>
                <w:color w:val="auto"/>
                <w:szCs w:val="21"/>
                <w:highlight w:val="none"/>
              </w:rPr>
            </w:pPr>
          </w:p>
        </w:tc>
        <w:tc>
          <w:tcPr>
            <w:tcW w:w="959" w:type="dxa"/>
          </w:tcPr>
          <w:p w14:paraId="3F9785DC">
            <w:pPr>
              <w:adjustRightInd w:val="0"/>
              <w:snapToGrid w:val="0"/>
              <w:spacing w:line="360" w:lineRule="auto"/>
              <w:rPr>
                <w:rFonts w:ascii="宋体" w:hAnsi="宋体" w:cs="宋体"/>
                <w:b/>
                <w:bCs/>
                <w:color w:val="auto"/>
                <w:szCs w:val="21"/>
                <w:highlight w:val="none"/>
              </w:rPr>
            </w:pPr>
          </w:p>
        </w:tc>
        <w:tc>
          <w:tcPr>
            <w:tcW w:w="1040" w:type="dxa"/>
          </w:tcPr>
          <w:p w14:paraId="39A91CCE">
            <w:pPr>
              <w:adjustRightInd w:val="0"/>
              <w:snapToGrid w:val="0"/>
              <w:spacing w:line="360" w:lineRule="auto"/>
              <w:rPr>
                <w:rFonts w:ascii="宋体" w:hAnsi="宋体" w:cs="宋体"/>
                <w:b/>
                <w:bCs/>
                <w:color w:val="auto"/>
                <w:szCs w:val="21"/>
                <w:highlight w:val="none"/>
              </w:rPr>
            </w:pPr>
          </w:p>
        </w:tc>
        <w:tc>
          <w:tcPr>
            <w:tcW w:w="812" w:type="dxa"/>
          </w:tcPr>
          <w:p w14:paraId="75203DDD">
            <w:pPr>
              <w:adjustRightInd w:val="0"/>
              <w:snapToGrid w:val="0"/>
              <w:spacing w:line="360" w:lineRule="auto"/>
              <w:rPr>
                <w:rFonts w:ascii="宋体" w:hAnsi="宋体" w:cs="宋体"/>
                <w:b/>
                <w:bCs/>
                <w:color w:val="auto"/>
                <w:szCs w:val="21"/>
                <w:highlight w:val="none"/>
              </w:rPr>
            </w:pPr>
          </w:p>
        </w:tc>
        <w:tc>
          <w:tcPr>
            <w:tcW w:w="942" w:type="dxa"/>
          </w:tcPr>
          <w:p w14:paraId="7E99364B">
            <w:pPr>
              <w:adjustRightInd w:val="0"/>
              <w:snapToGrid w:val="0"/>
              <w:spacing w:line="360" w:lineRule="auto"/>
              <w:rPr>
                <w:rFonts w:ascii="宋体" w:hAnsi="宋体" w:cs="宋体"/>
                <w:b/>
                <w:bCs/>
                <w:color w:val="auto"/>
                <w:szCs w:val="21"/>
                <w:highlight w:val="none"/>
              </w:rPr>
            </w:pPr>
          </w:p>
        </w:tc>
        <w:tc>
          <w:tcPr>
            <w:tcW w:w="780" w:type="dxa"/>
          </w:tcPr>
          <w:p w14:paraId="4207AFDE">
            <w:pPr>
              <w:adjustRightInd w:val="0"/>
              <w:snapToGrid w:val="0"/>
              <w:spacing w:line="360" w:lineRule="auto"/>
              <w:rPr>
                <w:rFonts w:ascii="宋体" w:hAnsi="宋体" w:cs="宋体"/>
                <w:b/>
                <w:bCs/>
                <w:color w:val="auto"/>
                <w:szCs w:val="21"/>
                <w:highlight w:val="none"/>
              </w:rPr>
            </w:pPr>
          </w:p>
        </w:tc>
      </w:tr>
    </w:tbl>
    <w:p w14:paraId="4D3AC587">
      <w:pPr>
        <w:adjustRightInd w:val="0"/>
        <w:snapToGrid w:val="0"/>
        <w:spacing w:line="360" w:lineRule="auto"/>
        <w:jc w:val="left"/>
        <w:rPr>
          <w:rFonts w:ascii="宋体" w:hAnsi="宋体" w:cs="宋体"/>
          <w:color w:val="auto"/>
          <w:sz w:val="22"/>
          <w:highlight w:val="none"/>
        </w:rPr>
      </w:pPr>
    </w:p>
    <w:p w14:paraId="49D98C9C">
      <w:pPr>
        <w:adjustRightInd w:val="0"/>
        <w:snapToGrid w:val="0"/>
        <w:spacing w:line="360" w:lineRule="auto"/>
        <w:jc w:val="left"/>
        <w:rPr>
          <w:rFonts w:hint="eastAsia" w:ascii="宋体" w:hAnsi="宋体" w:cs="宋体"/>
          <w:color w:val="auto"/>
          <w:sz w:val="22"/>
          <w:highlight w:val="none"/>
          <w:lang w:val="en-US" w:eastAsia="zh-CN"/>
        </w:rPr>
      </w:pPr>
      <w:r>
        <w:rPr>
          <w:rFonts w:hint="eastAsia" w:ascii="宋体" w:hAnsi="宋体" w:cs="宋体"/>
          <w:color w:val="auto"/>
          <w:sz w:val="22"/>
          <w:highlight w:val="none"/>
          <w:lang w:val="en-US" w:eastAsia="zh-CN"/>
        </w:rPr>
        <w:t>注：</w:t>
      </w:r>
    </w:p>
    <w:p w14:paraId="48BE89BA">
      <w:pPr>
        <w:numPr>
          <w:ilvl w:val="0"/>
          <w:numId w:val="22"/>
        </w:numPr>
        <w:adjustRightInd w:val="0"/>
        <w:snapToGrid w:val="0"/>
        <w:spacing w:line="360" w:lineRule="auto"/>
        <w:jc w:val="left"/>
        <w:rPr>
          <w:rFonts w:hint="eastAsia"/>
          <w:color w:val="auto"/>
          <w:szCs w:val="21"/>
          <w:highlight w:val="none"/>
          <w:lang w:eastAsia="zh-CN"/>
        </w:rPr>
      </w:pPr>
      <w:r>
        <w:rPr>
          <w:rFonts w:hint="eastAsia" w:ascii="宋体" w:hAnsi="宋体" w:cs="宋体"/>
          <w:color w:val="auto"/>
          <w:sz w:val="21"/>
          <w:szCs w:val="21"/>
          <w:highlight w:val="none"/>
          <w:lang w:val="en-US" w:eastAsia="zh-CN"/>
        </w:rPr>
        <w:t>投标人根据所投包段产品实际需要填写产品使用、</w:t>
      </w:r>
      <w:r>
        <w:rPr>
          <w:rFonts w:hint="eastAsia" w:ascii="宋体" w:hAnsi="宋体" w:eastAsia="宋体" w:cs="宋体"/>
          <w:color w:val="auto"/>
          <w:szCs w:val="21"/>
          <w:highlight w:val="none"/>
          <w:lang w:val="en-US" w:eastAsia="zh-CN"/>
        </w:rPr>
        <w:t>售后服务</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维修</w:t>
      </w:r>
      <w:r>
        <w:rPr>
          <w:rFonts w:hint="eastAsia" w:ascii="宋体" w:hAnsi="宋体" w:cs="宋体"/>
          <w:color w:val="auto"/>
          <w:szCs w:val="21"/>
          <w:highlight w:val="none"/>
          <w:lang w:val="en-US" w:eastAsia="zh-CN"/>
        </w:rPr>
        <w:t>过程中可能涉及</w:t>
      </w:r>
      <w:r>
        <w:rPr>
          <w:rFonts w:hint="eastAsia" w:ascii="宋体" w:hAnsi="宋体" w:eastAsia="宋体" w:cs="宋体"/>
          <w:color w:val="auto"/>
          <w:szCs w:val="21"/>
          <w:highlight w:val="none"/>
          <w:lang w:val="en-US" w:eastAsia="zh-CN"/>
        </w:rPr>
        <w:t>的</w:t>
      </w:r>
      <w:r>
        <w:rPr>
          <w:rFonts w:hint="eastAsia"/>
          <w:color w:val="auto"/>
          <w:szCs w:val="21"/>
          <w:highlight w:val="none"/>
          <w:lang w:eastAsia="zh-CN"/>
        </w:rPr>
        <w:t>随机配件、附件、耗材等。</w:t>
      </w:r>
    </w:p>
    <w:p w14:paraId="00B1CFD2">
      <w:pPr>
        <w:numPr>
          <w:ilvl w:val="0"/>
          <w:numId w:val="22"/>
        </w:numPr>
        <w:adjustRightInd w:val="0"/>
        <w:snapToGrid w:val="0"/>
        <w:spacing w:line="360" w:lineRule="auto"/>
        <w:jc w:val="left"/>
        <w:rPr>
          <w:rFonts w:hint="default" w:ascii="宋体" w:hAnsi="宋体" w:eastAsia="宋体" w:cs="宋体"/>
          <w:color w:val="auto"/>
          <w:sz w:val="21"/>
          <w:szCs w:val="21"/>
          <w:highlight w:val="none"/>
          <w:lang w:val="en-US" w:eastAsia="zh-CN"/>
        </w:rPr>
      </w:pPr>
      <w:r>
        <w:rPr>
          <w:rFonts w:hint="eastAsia"/>
          <w:color w:val="auto"/>
          <w:szCs w:val="21"/>
          <w:highlight w:val="none"/>
          <w:lang w:val="en-US" w:eastAsia="zh-CN"/>
        </w:rPr>
        <w:t>如所投包段采购需求中列明的，上表应至少包含列明的内容；未列明的，根据实际需要填写。</w:t>
      </w:r>
    </w:p>
    <w:p w14:paraId="602286D1">
      <w:pPr>
        <w:spacing w:line="520" w:lineRule="exact"/>
        <w:ind w:firstLine="420" w:firstLineChars="200"/>
        <w:rPr>
          <w:rFonts w:hint="eastAsia" w:ascii="宋体" w:hAnsi="宋体" w:cs="宋体"/>
          <w:color w:val="auto"/>
          <w:szCs w:val="21"/>
          <w:highlight w:val="none"/>
        </w:rPr>
      </w:pPr>
    </w:p>
    <w:p w14:paraId="6FD42BC1">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（单位电子印章）</w:t>
      </w:r>
    </w:p>
    <w:p w14:paraId="113678B3">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（电子签章或签字）</w:t>
      </w:r>
    </w:p>
    <w:p w14:paraId="6A749642">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30B4CCC0">
      <w:pPr>
        <w:rPr>
          <w:rFonts w:ascii="宋体" w:hAnsi="宋体" w:cs="宋体"/>
          <w:b/>
          <w:color w:val="auto"/>
          <w:sz w:val="32"/>
          <w:szCs w:val="32"/>
          <w:highlight w:val="none"/>
        </w:rPr>
      </w:pPr>
      <w:r>
        <w:rPr>
          <w:rFonts w:ascii="宋体" w:hAnsi="宋体" w:cs="宋体"/>
          <w:b/>
          <w:color w:val="auto"/>
          <w:sz w:val="32"/>
          <w:szCs w:val="32"/>
          <w:highlight w:val="none"/>
        </w:rPr>
        <w:br w:type="page"/>
      </w:r>
    </w:p>
    <w:p w14:paraId="2F2A4BDF">
      <w:pPr>
        <w:pStyle w:val="3"/>
        <w:ind w:left="-1" w:leftChars="0" w:firstLine="0" w:firstLineChars="0"/>
        <w:rPr>
          <w:rFonts w:ascii="宋体" w:hAnsi="宋体" w:cs="宋体"/>
          <w:b/>
          <w:bCs/>
          <w:color w:val="auto"/>
          <w:kern w:val="0"/>
          <w:szCs w:val="21"/>
          <w:highlight w:val="none"/>
        </w:rPr>
      </w:pPr>
      <w:bookmarkStart w:id="303" w:name="_Toc4177"/>
      <w:bookmarkStart w:id="304" w:name="_Toc17404"/>
      <w:bookmarkStart w:id="305" w:name="_Toc1014633605"/>
      <w:bookmarkStart w:id="306" w:name="_Toc28212"/>
      <w:bookmarkStart w:id="307" w:name="_Toc23322"/>
      <w:r>
        <w:rPr>
          <w:rFonts w:hint="eastAsia"/>
          <w:color w:val="auto"/>
          <w:sz w:val="32"/>
          <w:szCs w:val="21"/>
          <w:highlight w:val="none"/>
        </w:rPr>
        <w:t>五、响应偏离表</w:t>
      </w:r>
      <w:bookmarkEnd w:id="303"/>
      <w:bookmarkEnd w:id="304"/>
      <w:bookmarkEnd w:id="305"/>
      <w:bookmarkEnd w:id="306"/>
      <w:bookmarkEnd w:id="307"/>
      <w:bookmarkStart w:id="308" w:name="_Toc10704"/>
    </w:p>
    <w:p w14:paraId="78A20010">
      <w:pPr>
        <w:pStyle w:val="4"/>
        <w:jc w:val="center"/>
        <w:rPr>
          <w:rFonts w:hint="eastAsia" w:ascii="宋体" w:hAnsi="宋体" w:eastAsia="宋体" w:cs="宋体"/>
          <w:bCs/>
          <w:color w:val="auto"/>
          <w:sz w:val="21"/>
          <w:szCs w:val="21"/>
          <w:highlight w:val="none"/>
          <w:lang w:val="en-US" w:eastAsia="zh-CN"/>
        </w:rPr>
      </w:pPr>
      <w:bookmarkStart w:id="309" w:name="_Toc32028"/>
      <w:bookmarkStart w:id="310" w:name="_Toc1926842055"/>
      <w:r>
        <w:rPr>
          <w:rFonts w:hint="eastAsia" w:ascii="宋体" w:hAnsi="宋体" w:eastAsia="宋体" w:cs="宋体"/>
          <w:bCs/>
          <w:color w:val="auto"/>
          <w:sz w:val="21"/>
          <w:szCs w:val="21"/>
          <w:highlight w:val="none"/>
          <w:lang w:val="en-US" w:eastAsia="zh-CN"/>
        </w:rPr>
        <w:t>1、技术响应偏离表</w:t>
      </w:r>
      <w:bookmarkEnd w:id="308"/>
      <w:bookmarkEnd w:id="309"/>
      <w:bookmarkEnd w:id="310"/>
    </w:p>
    <w:tbl>
      <w:tblPr>
        <w:tblStyle w:val="38"/>
        <w:tblW w:w="103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865"/>
        <w:gridCol w:w="1054"/>
        <w:gridCol w:w="1740"/>
        <w:gridCol w:w="1507"/>
        <w:gridCol w:w="1148"/>
        <w:gridCol w:w="1144"/>
        <w:gridCol w:w="1392"/>
        <w:gridCol w:w="959"/>
      </w:tblGrid>
      <w:tr w14:paraId="16AE8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555" w:type="dxa"/>
            <w:vAlign w:val="center"/>
          </w:tcPr>
          <w:p w14:paraId="7D9DAC6D">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865" w:type="dxa"/>
            <w:vAlign w:val="center"/>
          </w:tcPr>
          <w:p w14:paraId="7FA83F77">
            <w:pP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重要性（</w:t>
            </w:r>
            <w:r>
              <w:rPr>
                <w:rFonts w:ascii="Segoe UI Symbol" w:hAnsi="Segoe UI Symbol" w:eastAsia="宋体" w:cs="Segoe UI Symbol"/>
                <w:color w:val="auto"/>
                <w:sz w:val="21"/>
                <w:szCs w:val="21"/>
              </w:rPr>
              <w:t>★</w:t>
            </w:r>
            <w:r>
              <w:rPr>
                <w:rFonts w:hint="eastAsia" w:ascii="Segoe UI Symbol" w:hAnsi="Segoe UI Symbol" w:eastAsia="宋体" w:cs="Segoe UI Symbol"/>
                <w:color w:val="auto"/>
                <w:sz w:val="21"/>
                <w:szCs w:val="21"/>
                <w:lang w:val="en-US" w:eastAsia="zh-CN"/>
              </w:rPr>
              <w:t>/</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/无</w:t>
            </w:r>
            <w:r>
              <w:rPr>
                <w:rFonts w:hint="eastAsia" w:ascii="宋体" w:hAnsi="宋体" w:cs="宋体"/>
                <w:color w:val="auto"/>
                <w:szCs w:val="21"/>
                <w:highlight w:val="none"/>
                <w:lang w:val="en-US" w:eastAsia="zh-CN"/>
              </w:rPr>
              <w:t>）</w:t>
            </w:r>
          </w:p>
        </w:tc>
        <w:tc>
          <w:tcPr>
            <w:tcW w:w="1054" w:type="dxa"/>
            <w:vAlign w:val="center"/>
          </w:tcPr>
          <w:p w14:paraId="3CE6B71F">
            <w:pPr>
              <w:spacing w:line="400" w:lineRule="exact"/>
              <w:jc w:val="center"/>
              <w:rPr>
                <w:rFonts w:ascii="宋体" w:hAnsi="宋体" w:cs="宋体"/>
                <w:color w:val="auto"/>
                <w:szCs w:val="21"/>
                <w:highlight w:val="none"/>
              </w:rPr>
            </w:pPr>
            <w:r>
              <w:rPr>
                <w:rFonts w:hint="eastAsia" w:ascii="宋体" w:hAnsi="宋体" w:cs="宋体"/>
                <w:color w:val="auto"/>
                <w:szCs w:val="21"/>
                <w:highlight w:val="none"/>
                <w:lang w:val="en-US" w:eastAsia="zh-CN"/>
              </w:rPr>
              <w:t>指标项</w:t>
            </w:r>
          </w:p>
        </w:tc>
        <w:tc>
          <w:tcPr>
            <w:tcW w:w="1740" w:type="dxa"/>
            <w:vAlign w:val="center"/>
          </w:tcPr>
          <w:p w14:paraId="65279105">
            <w:pPr>
              <w:spacing w:line="400" w:lineRule="exact"/>
              <w:jc w:val="center"/>
              <w:rPr>
                <w:rFonts w:ascii="宋体" w:hAnsi="宋体" w:cs="宋体"/>
                <w:color w:val="auto"/>
                <w:szCs w:val="21"/>
                <w:highlight w:val="none"/>
              </w:rPr>
            </w:pPr>
            <w:r>
              <w:rPr>
                <w:rFonts w:hint="eastAsia" w:ascii="宋体" w:hAnsi="宋体" w:cs="宋体"/>
                <w:color w:val="auto"/>
                <w:szCs w:val="21"/>
                <w:highlight w:val="none"/>
                <w:lang w:val="en-US" w:eastAsia="zh-CN"/>
              </w:rPr>
              <w:t>指标</w:t>
            </w:r>
            <w:r>
              <w:rPr>
                <w:rFonts w:hint="eastAsia" w:ascii="宋体" w:hAnsi="宋体" w:cs="宋体"/>
                <w:color w:val="auto"/>
                <w:szCs w:val="21"/>
                <w:highlight w:val="none"/>
              </w:rPr>
              <w:t>要求</w:t>
            </w:r>
          </w:p>
        </w:tc>
        <w:tc>
          <w:tcPr>
            <w:tcW w:w="1507" w:type="dxa"/>
            <w:vAlign w:val="center"/>
          </w:tcPr>
          <w:p w14:paraId="25AC0453">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投标文件响应</w:t>
            </w:r>
          </w:p>
        </w:tc>
        <w:tc>
          <w:tcPr>
            <w:tcW w:w="1148" w:type="dxa"/>
            <w:vAlign w:val="center"/>
          </w:tcPr>
          <w:p w14:paraId="3FA9C847">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偏离描述</w:t>
            </w:r>
          </w:p>
        </w:tc>
        <w:tc>
          <w:tcPr>
            <w:tcW w:w="1144" w:type="dxa"/>
            <w:vAlign w:val="center"/>
          </w:tcPr>
          <w:p w14:paraId="78EAEB39">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偏离情况（</w:t>
            </w:r>
            <w:r>
              <w:rPr>
                <w:rFonts w:hint="eastAsia" w:ascii="宋体" w:hAnsi="宋体" w:cs="宋体"/>
                <w:b/>
                <w:color w:val="auto"/>
                <w:szCs w:val="21"/>
                <w:highlight w:val="none"/>
              </w:rPr>
              <w:t>正偏离/负偏离/无偏离</w:t>
            </w:r>
            <w:r>
              <w:rPr>
                <w:rFonts w:hint="eastAsia" w:ascii="宋体" w:hAnsi="宋体" w:cs="宋体"/>
                <w:color w:val="auto"/>
                <w:szCs w:val="21"/>
                <w:highlight w:val="none"/>
              </w:rPr>
              <w:t>）</w:t>
            </w:r>
          </w:p>
        </w:tc>
        <w:tc>
          <w:tcPr>
            <w:tcW w:w="1392" w:type="dxa"/>
            <w:vAlign w:val="center"/>
          </w:tcPr>
          <w:p w14:paraId="07BAC87B">
            <w:pPr>
              <w:spacing w:line="400" w:lineRule="exact"/>
              <w:jc w:val="center"/>
              <w:rPr>
                <w:rFonts w:hint="eastAsia" w:ascii="宋体" w:hAnsi="宋体" w:eastAsia="宋体" w:cs="宋体"/>
                <w:color w:val="auto"/>
                <w:szCs w:val="21"/>
                <w:highlight w:val="none"/>
                <w:lang w:eastAsia="zh-CN"/>
              </w:rPr>
            </w:pPr>
            <w:r>
              <w:rPr>
                <w:rFonts w:hint="eastAsia"/>
                <w:color w:val="auto"/>
                <w:kern w:val="0"/>
                <w:sz w:val="21"/>
                <w:szCs w:val="21"/>
                <w:highlight w:val="none"/>
                <w:lang w:val="en-US" w:eastAsia="zh-CN"/>
              </w:rPr>
              <w:t>技术偏离索引（</w:t>
            </w:r>
            <w:r>
              <w:rPr>
                <w:rFonts w:hint="eastAsia" w:ascii="宋体" w:hAnsi="宋体" w:cs="宋体"/>
                <w:color w:val="auto"/>
                <w:szCs w:val="21"/>
                <w:highlight w:val="none"/>
              </w:rPr>
              <w:t>注明技术证明材料对应投标文件页码</w:t>
            </w:r>
            <w:r>
              <w:rPr>
                <w:rFonts w:hint="eastAsia" w:ascii="宋体" w:hAnsi="宋体" w:cs="宋体"/>
                <w:color w:val="auto"/>
                <w:szCs w:val="21"/>
                <w:highlight w:val="none"/>
                <w:lang w:eastAsia="zh-CN"/>
              </w:rPr>
              <w:t>）</w:t>
            </w:r>
          </w:p>
        </w:tc>
        <w:tc>
          <w:tcPr>
            <w:tcW w:w="959" w:type="dxa"/>
            <w:vAlign w:val="center"/>
          </w:tcPr>
          <w:p w14:paraId="66762EC5">
            <w:pPr>
              <w:spacing w:line="400" w:lineRule="exact"/>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备注</w:t>
            </w:r>
          </w:p>
        </w:tc>
      </w:tr>
      <w:tr w14:paraId="4920C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555" w:type="dxa"/>
            <w:vAlign w:val="center"/>
          </w:tcPr>
          <w:p w14:paraId="3C7F3E69">
            <w:pPr>
              <w:spacing w:line="400" w:lineRule="exact"/>
              <w:jc w:val="center"/>
              <w:rPr>
                <w:rFonts w:ascii="宋体" w:hAnsi="宋体" w:cs="宋体"/>
                <w:b/>
                <w:color w:val="auto"/>
                <w:szCs w:val="21"/>
                <w:highlight w:val="none"/>
              </w:rPr>
            </w:pPr>
          </w:p>
        </w:tc>
        <w:tc>
          <w:tcPr>
            <w:tcW w:w="865" w:type="dxa"/>
            <w:vAlign w:val="center"/>
          </w:tcPr>
          <w:p w14:paraId="7DD5772F">
            <w:pPr>
              <w:spacing w:line="400" w:lineRule="exact"/>
              <w:jc w:val="center"/>
              <w:rPr>
                <w:rFonts w:ascii="宋体" w:hAnsi="宋体" w:cs="宋体"/>
                <w:b/>
                <w:color w:val="auto"/>
                <w:szCs w:val="21"/>
                <w:highlight w:val="none"/>
              </w:rPr>
            </w:pPr>
          </w:p>
        </w:tc>
        <w:tc>
          <w:tcPr>
            <w:tcW w:w="1054" w:type="dxa"/>
            <w:vAlign w:val="center"/>
          </w:tcPr>
          <w:p w14:paraId="68D39699">
            <w:pPr>
              <w:spacing w:line="400" w:lineRule="exact"/>
              <w:jc w:val="center"/>
              <w:rPr>
                <w:rFonts w:ascii="宋体" w:hAnsi="宋体" w:cs="宋体"/>
                <w:b/>
                <w:color w:val="auto"/>
                <w:szCs w:val="21"/>
                <w:highlight w:val="none"/>
              </w:rPr>
            </w:pPr>
          </w:p>
        </w:tc>
        <w:tc>
          <w:tcPr>
            <w:tcW w:w="1740" w:type="dxa"/>
            <w:vAlign w:val="center"/>
          </w:tcPr>
          <w:p w14:paraId="5415ACB7">
            <w:pPr>
              <w:spacing w:line="400" w:lineRule="exact"/>
              <w:jc w:val="center"/>
              <w:rPr>
                <w:rFonts w:ascii="宋体" w:hAnsi="宋体" w:cs="宋体"/>
                <w:b/>
                <w:color w:val="auto"/>
                <w:szCs w:val="21"/>
                <w:highlight w:val="none"/>
              </w:rPr>
            </w:pPr>
          </w:p>
        </w:tc>
        <w:tc>
          <w:tcPr>
            <w:tcW w:w="1507" w:type="dxa"/>
            <w:vAlign w:val="center"/>
          </w:tcPr>
          <w:p w14:paraId="50752598">
            <w:pPr>
              <w:spacing w:line="400" w:lineRule="exact"/>
              <w:jc w:val="center"/>
              <w:rPr>
                <w:rFonts w:ascii="宋体" w:hAnsi="宋体" w:cs="宋体"/>
                <w:b/>
                <w:color w:val="auto"/>
                <w:szCs w:val="21"/>
                <w:highlight w:val="none"/>
              </w:rPr>
            </w:pPr>
          </w:p>
        </w:tc>
        <w:tc>
          <w:tcPr>
            <w:tcW w:w="1148" w:type="dxa"/>
            <w:vAlign w:val="center"/>
          </w:tcPr>
          <w:p w14:paraId="269D7000">
            <w:pPr>
              <w:spacing w:line="400" w:lineRule="exact"/>
              <w:jc w:val="center"/>
              <w:rPr>
                <w:rFonts w:ascii="宋体" w:hAnsi="宋体" w:cs="宋体"/>
                <w:b/>
                <w:color w:val="auto"/>
                <w:szCs w:val="21"/>
                <w:highlight w:val="none"/>
              </w:rPr>
            </w:pPr>
          </w:p>
        </w:tc>
        <w:tc>
          <w:tcPr>
            <w:tcW w:w="1144" w:type="dxa"/>
            <w:vAlign w:val="center"/>
          </w:tcPr>
          <w:p w14:paraId="7A353AE5">
            <w:pPr>
              <w:spacing w:line="400" w:lineRule="exact"/>
              <w:jc w:val="center"/>
              <w:rPr>
                <w:rFonts w:ascii="宋体" w:hAnsi="宋体" w:cs="宋体"/>
                <w:b/>
                <w:color w:val="auto"/>
                <w:szCs w:val="21"/>
                <w:highlight w:val="none"/>
              </w:rPr>
            </w:pPr>
          </w:p>
        </w:tc>
        <w:tc>
          <w:tcPr>
            <w:tcW w:w="1392" w:type="dxa"/>
          </w:tcPr>
          <w:p w14:paraId="26C2C740">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 xml:space="preserve"> </w:t>
            </w:r>
          </w:p>
        </w:tc>
        <w:tc>
          <w:tcPr>
            <w:tcW w:w="959" w:type="dxa"/>
          </w:tcPr>
          <w:p w14:paraId="7CDB88EF">
            <w:pPr>
              <w:spacing w:line="400" w:lineRule="exact"/>
              <w:jc w:val="center"/>
              <w:rPr>
                <w:rFonts w:hint="eastAsia" w:ascii="宋体" w:hAnsi="宋体" w:cs="宋体"/>
                <w:color w:val="auto"/>
                <w:szCs w:val="21"/>
                <w:highlight w:val="none"/>
              </w:rPr>
            </w:pPr>
          </w:p>
        </w:tc>
      </w:tr>
      <w:tr w14:paraId="15284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555" w:type="dxa"/>
            <w:vAlign w:val="center"/>
          </w:tcPr>
          <w:p w14:paraId="071E5524">
            <w:pPr>
              <w:widowControl/>
              <w:rPr>
                <w:rFonts w:ascii="宋体" w:hAnsi="宋体" w:cs="宋体"/>
                <w:color w:val="auto"/>
                <w:szCs w:val="21"/>
                <w:highlight w:val="none"/>
              </w:rPr>
            </w:pPr>
          </w:p>
        </w:tc>
        <w:tc>
          <w:tcPr>
            <w:tcW w:w="865" w:type="dxa"/>
            <w:vAlign w:val="center"/>
          </w:tcPr>
          <w:p w14:paraId="1B16A740">
            <w:pPr>
              <w:widowControl/>
              <w:rPr>
                <w:rFonts w:ascii="宋体" w:hAnsi="宋体" w:cs="宋体"/>
                <w:color w:val="auto"/>
                <w:szCs w:val="21"/>
                <w:highlight w:val="none"/>
              </w:rPr>
            </w:pPr>
          </w:p>
        </w:tc>
        <w:tc>
          <w:tcPr>
            <w:tcW w:w="1054" w:type="dxa"/>
            <w:vAlign w:val="center"/>
          </w:tcPr>
          <w:p w14:paraId="3D617907">
            <w:pPr>
              <w:widowControl/>
              <w:rPr>
                <w:rFonts w:ascii="宋体" w:hAnsi="宋体" w:cs="宋体"/>
                <w:color w:val="auto"/>
                <w:szCs w:val="21"/>
                <w:highlight w:val="none"/>
              </w:rPr>
            </w:pPr>
          </w:p>
        </w:tc>
        <w:tc>
          <w:tcPr>
            <w:tcW w:w="1740" w:type="dxa"/>
            <w:vAlign w:val="center"/>
          </w:tcPr>
          <w:p w14:paraId="1E5EBB7D">
            <w:pPr>
              <w:widowControl/>
              <w:rPr>
                <w:rFonts w:ascii="宋体" w:hAnsi="宋体" w:cs="宋体"/>
                <w:color w:val="auto"/>
                <w:szCs w:val="21"/>
                <w:highlight w:val="none"/>
              </w:rPr>
            </w:pPr>
          </w:p>
        </w:tc>
        <w:tc>
          <w:tcPr>
            <w:tcW w:w="1507" w:type="dxa"/>
            <w:vAlign w:val="center"/>
          </w:tcPr>
          <w:p w14:paraId="741C1EA2">
            <w:pPr>
              <w:widowControl/>
              <w:rPr>
                <w:rFonts w:ascii="宋体" w:hAnsi="宋体" w:cs="宋体"/>
                <w:color w:val="auto"/>
                <w:szCs w:val="21"/>
                <w:highlight w:val="none"/>
              </w:rPr>
            </w:pPr>
          </w:p>
        </w:tc>
        <w:tc>
          <w:tcPr>
            <w:tcW w:w="1148" w:type="dxa"/>
            <w:vAlign w:val="center"/>
          </w:tcPr>
          <w:p w14:paraId="68113C12">
            <w:pPr>
              <w:widowControl/>
              <w:rPr>
                <w:rFonts w:ascii="宋体" w:hAnsi="宋体" w:cs="宋体"/>
                <w:color w:val="auto"/>
                <w:szCs w:val="21"/>
                <w:highlight w:val="none"/>
              </w:rPr>
            </w:pPr>
          </w:p>
        </w:tc>
        <w:tc>
          <w:tcPr>
            <w:tcW w:w="1144" w:type="dxa"/>
            <w:vAlign w:val="center"/>
          </w:tcPr>
          <w:p w14:paraId="634F23A9">
            <w:pPr>
              <w:widowControl/>
              <w:rPr>
                <w:rFonts w:ascii="宋体" w:hAnsi="宋体" w:cs="宋体"/>
                <w:color w:val="auto"/>
                <w:szCs w:val="21"/>
                <w:highlight w:val="none"/>
              </w:rPr>
            </w:pPr>
          </w:p>
        </w:tc>
        <w:tc>
          <w:tcPr>
            <w:tcW w:w="1392" w:type="dxa"/>
          </w:tcPr>
          <w:p w14:paraId="27FE29D4">
            <w:pPr>
              <w:spacing w:line="400" w:lineRule="exact"/>
              <w:rPr>
                <w:rFonts w:ascii="宋体" w:hAnsi="宋体" w:cs="宋体"/>
                <w:color w:val="auto"/>
                <w:szCs w:val="21"/>
                <w:highlight w:val="none"/>
              </w:rPr>
            </w:pPr>
          </w:p>
        </w:tc>
        <w:tc>
          <w:tcPr>
            <w:tcW w:w="959" w:type="dxa"/>
          </w:tcPr>
          <w:p w14:paraId="4B6DDC04">
            <w:pPr>
              <w:spacing w:line="400" w:lineRule="exact"/>
              <w:rPr>
                <w:rFonts w:ascii="宋体" w:hAnsi="宋体" w:cs="宋体"/>
                <w:color w:val="auto"/>
                <w:szCs w:val="21"/>
                <w:highlight w:val="none"/>
              </w:rPr>
            </w:pPr>
          </w:p>
        </w:tc>
      </w:tr>
      <w:tr w14:paraId="65CB8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555" w:type="dxa"/>
            <w:vAlign w:val="center"/>
          </w:tcPr>
          <w:p w14:paraId="4CBCBE7E">
            <w:pPr>
              <w:widowControl/>
              <w:rPr>
                <w:rFonts w:ascii="宋体" w:hAnsi="宋体" w:cs="宋体"/>
                <w:color w:val="auto"/>
                <w:szCs w:val="21"/>
                <w:highlight w:val="none"/>
              </w:rPr>
            </w:pPr>
          </w:p>
        </w:tc>
        <w:tc>
          <w:tcPr>
            <w:tcW w:w="865" w:type="dxa"/>
            <w:vAlign w:val="center"/>
          </w:tcPr>
          <w:p w14:paraId="07748F08">
            <w:pPr>
              <w:widowControl/>
              <w:rPr>
                <w:rFonts w:ascii="宋体" w:hAnsi="宋体" w:cs="宋体"/>
                <w:color w:val="auto"/>
                <w:szCs w:val="21"/>
                <w:highlight w:val="none"/>
              </w:rPr>
            </w:pPr>
          </w:p>
        </w:tc>
        <w:tc>
          <w:tcPr>
            <w:tcW w:w="1054" w:type="dxa"/>
            <w:vAlign w:val="center"/>
          </w:tcPr>
          <w:p w14:paraId="130933C8">
            <w:pPr>
              <w:widowControl/>
              <w:rPr>
                <w:rFonts w:ascii="宋体" w:hAnsi="宋体" w:cs="宋体"/>
                <w:color w:val="auto"/>
                <w:szCs w:val="21"/>
                <w:highlight w:val="none"/>
              </w:rPr>
            </w:pPr>
          </w:p>
        </w:tc>
        <w:tc>
          <w:tcPr>
            <w:tcW w:w="1740" w:type="dxa"/>
            <w:vAlign w:val="center"/>
          </w:tcPr>
          <w:p w14:paraId="77A0E33F">
            <w:pPr>
              <w:widowControl/>
              <w:rPr>
                <w:rFonts w:ascii="宋体" w:hAnsi="宋体" w:cs="宋体"/>
                <w:color w:val="auto"/>
                <w:szCs w:val="21"/>
                <w:highlight w:val="none"/>
              </w:rPr>
            </w:pPr>
          </w:p>
        </w:tc>
        <w:tc>
          <w:tcPr>
            <w:tcW w:w="1507" w:type="dxa"/>
            <w:vAlign w:val="center"/>
          </w:tcPr>
          <w:p w14:paraId="54514CA0">
            <w:pPr>
              <w:widowControl/>
              <w:rPr>
                <w:rFonts w:ascii="宋体" w:hAnsi="宋体" w:cs="宋体"/>
                <w:color w:val="auto"/>
                <w:szCs w:val="21"/>
                <w:highlight w:val="none"/>
              </w:rPr>
            </w:pPr>
          </w:p>
        </w:tc>
        <w:tc>
          <w:tcPr>
            <w:tcW w:w="1148" w:type="dxa"/>
            <w:vAlign w:val="center"/>
          </w:tcPr>
          <w:p w14:paraId="3DD4FADC">
            <w:pPr>
              <w:widowControl/>
              <w:rPr>
                <w:rFonts w:ascii="宋体" w:hAnsi="宋体" w:cs="宋体"/>
                <w:color w:val="auto"/>
                <w:szCs w:val="21"/>
                <w:highlight w:val="none"/>
              </w:rPr>
            </w:pPr>
          </w:p>
        </w:tc>
        <w:tc>
          <w:tcPr>
            <w:tcW w:w="1144" w:type="dxa"/>
            <w:vAlign w:val="center"/>
          </w:tcPr>
          <w:p w14:paraId="11D51624">
            <w:pPr>
              <w:widowControl/>
              <w:rPr>
                <w:rFonts w:ascii="宋体" w:hAnsi="宋体" w:cs="宋体"/>
                <w:color w:val="auto"/>
                <w:szCs w:val="21"/>
                <w:highlight w:val="none"/>
              </w:rPr>
            </w:pPr>
          </w:p>
        </w:tc>
        <w:tc>
          <w:tcPr>
            <w:tcW w:w="1392" w:type="dxa"/>
          </w:tcPr>
          <w:p w14:paraId="44E95D0A">
            <w:pPr>
              <w:widowControl/>
              <w:rPr>
                <w:rFonts w:ascii="宋体" w:hAnsi="宋体" w:cs="宋体"/>
                <w:color w:val="auto"/>
                <w:szCs w:val="21"/>
                <w:highlight w:val="none"/>
              </w:rPr>
            </w:pPr>
          </w:p>
        </w:tc>
        <w:tc>
          <w:tcPr>
            <w:tcW w:w="959" w:type="dxa"/>
          </w:tcPr>
          <w:p w14:paraId="7E8558E0">
            <w:pPr>
              <w:widowControl/>
              <w:rPr>
                <w:rFonts w:ascii="宋体" w:hAnsi="宋体" w:cs="宋体"/>
                <w:color w:val="auto"/>
                <w:szCs w:val="21"/>
                <w:highlight w:val="none"/>
              </w:rPr>
            </w:pPr>
          </w:p>
        </w:tc>
      </w:tr>
      <w:tr w14:paraId="2FB3B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555" w:type="dxa"/>
            <w:vAlign w:val="center"/>
          </w:tcPr>
          <w:p w14:paraId="3CE789F1">
            <w:pPr>
              <w:widowControl/>
              <w:rPr>
                <w:rFonts w:ascii="宋体" w:hAnsi="宋体" w:cs="宋体"/>
                <w:color w:val="auto"/>
                <w:szCs w:val="21"/>
                <w:highlight w:val="none"/>
              </w:rPr>
            </w:pPr>
          </w:p>
        </w:tc>
        <w:tc>
          <w:tcPr>
            <w:tcW w:w="865" w:type="dxa"/>
            <w:vAlign w:val="center"/>
          </w:tcPr>
          <w:p w14:paraId="2FC35A01">
            <w:pPr>
              <w:widowControl/>
              <w:rPr>
                <w:rFonts w:ascii="宋体" w:hAnsi="宋体" w:cs="宋体"/>
                <w:color w:val="auto"/>
                <w:szCs w:val="21"/>
                <w:highlight w:val="none"/>
              </w:rPr>
            </w:pPr>
          </w:p>
        </w:tc>
        <w:tc>
          <w:tcPr>
            <w:tcW w:w="1054" w:type="dxa"/>
            <w:vAlign w:val="center"/>
          </w:tcPr>
          <w:p w14:paraId="2AB6FEAD">
            <w:pPr>
              <w:widowControl/>
              <w:rPr>
                <w:rFonts w:ascii="宋体" w:hAnsi="宋体" w:cs="宋体"/>
                <w:color w:val="auto"/>
                <w:szCs w:val="21"/>
                <w:highlight w:val="none"/>
              </w:rPr>
            </w:pPr>
          </w:p>
        </w:tc>
        <w:tc>
          <w:tcPr>
            <w:tcW w:w="1740" w:type="dxa"/>
            <w:vAlign w:val="center"/>
          </w:tcPr>
          <w:p w14:paraId="56D2BF3A">
            <w:pPr>
              <w:widowControl/>
              <w:rPr>
                <w:rFonts w:ascii="宋体" w:hAnsi="宋体" w:cs="宋体"/>
                <w:color w:val="auto"/>
                <w:szCs w:val="21"/>
                <w:highlight w:val="none"/>
              </w:rPr>
            </w:pPr>
          </w:p>
        </w:tc>
        <w:tc>
          <w:tcPr>
            <w:tcW w:w="1507" w:type="dxa"/>
            <w:vAlign w:val="center"/>
          </w:tcPr>
          <w:p w14:paraId="2CB9C1D8">
            <w:pPr>
              <w:widowControl/>
              <w:rPr>
                <w:rFonts w:ascii="宋体" w:hAnsi="宋体" w:cs="宋体"/>
                <w:color w:val="auto"/>
                <w:szCs w:val="21"/>
                <w:highlight w:val="none"/>
              </w:rPr>
            </w:pPr>
          </w:p>
        </w:tc>
        <w:tc>
          <w:tcPr>
            <w:tcW w:w="1148" w:type="dxa"/>
            <w:vAlign w:val="center"/>
          </w:tcPr>
          <w:p w14:paraId="5BA57E44">
            <w:pPr>
              <w:widowControl/>
              <w:rPr>
                <w:rFonts w:ascii="宋体" w:hAnsi="宋体" w:cs="宋体"/>
                <w:color w:val="auto"/>
                <w:szCs w:val="21"/>
                <w:highlight w:val="none"/>
              </w:rPr>
            </w:pPr>
          </w:p>
        </w:tc>
        <w:tc>
          <w:tcPr>
            <w:tcW w:w="1144" w:type="dxa"/>
            <w:vAlign w:val="center"/>
          </w:tcPr>
          <w:p w14:paraId="53329C7D">
            <w:pPr>
              <w:widowControl/>
              <w:rPr>
                <w:rFonts w:ascii="宋体" w:hAnsi="宋体" w:cs="宋体"/>
                <w:color w:val="auto"/>
                <w:szCs w:val="21"/>
                <w:highlight w:val="none"/>
              </w:rPr>
            </w:pPr>
          </w:p>
        </w:tc>
        <w:tc>
          <w:tcPr>
            <w:tcW w:w="1392" w:type="dxa"/>
          </w:tcPr>
          <w:p w14:paraId="2FACB593">
            <w:pPr>
              <w:widowControl/>
              <w:rPr>
                <w:rFonts w:ascii="宋体" w:hAnsi="宋体" w:cs="宋体"/>
                <w:color w:val="auto"/>
                <w:szCs w:val="21"/>
                <w:highlight w:val="none"/>
              </w:rPr>
            </w:pPr>
          </w:p>
        </w:tc>
        <w:tc>
          <w:tcPr>
            <w:tcW w:w="959" w:type="dxa"/>
          </w:tcPr>
          <w:p w14:paraId="77BCE127">
            <w:pPr>
              <w:widowControl/>
              <w:rPr>
                <w:rFonts w:ascii="宋体" w:hAnsi="宋体" w:cs="宋体"/>
                <w:color w:val="auto"/>
                <w:szCs w:val="21"/>
                <w:highlight w:val="none"/>
              </w:rPr>
            </w:pPr>
          </w:p>
        </w:tc>
      </w:tr>
      <w:tr w14:paraId="3A344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555" w:type="dxa"/>
            <w:vAlign w:val="center"/>
          </w:tcPr>
          <w:p w14:paraId="78FEF972">
            <w:pPr>
              <w:widowControl/>
              <w:rPr>
                <w:rFonts w:ascii="宋体" w:hAnsi="宋体" w:cs="宋体"/>
                <w:color w:val="auto"/>
                <w:szCs w:val="21"/>
                <w:highlight w:val="none"/>
              </w:rPr>
            </w:pPr>
          </w:p>
        </w:tc>
        <w:tc>
          <w:tcPr>
            <w:tcW w:w="865" w:type="dxa"/>
            <w:vAlign w:val="center"/>
          </w:tcPr>
          <w:p w14:paraId="198D0683">
            <w:pPr>
              <w:widowControl/>
              <w:rPr>
                <w:rFonts w:ascii="宋体" w:hAnsi="宋体" w:cs="宋体"/>
                <w:color w:val="auto"/>
                <w:szCs w:val="21"/>
                <w:highlight w:val="none"/>
              </w:rPr>
            </w:pPr>
          </w:p>
        </w:tc>
        <w:tc>
          <w:tcPr>
            <w:tcW w:w="1054" w:type="dxa"/>
            <w:vAlign w:val="center"/>
          </w:tcPr>
          <w:p w14:paraId="38E7977D">
            <w:pPr>
              <w:widowControl/>
              <w:rPr>
                <w:rFonts w:ascii="宋体" w:hAnsi="宋体" w:cs="宋体"/>
                <w:color w:val="auto"/>
                <w:szCs w:val="21"/>
                <w:highlight w:val="none"/>
              </w:rPr>
            </w:pPr>
          </w:p>
        </w:tc>
        <w:tc>
          <w:tcPr>
            <w:tcW w:w="1740" w:type="dxa"/>
            <w:vAlign w:val="center"/>
          </w:tcPr>
          <w:p w14:paraId="675545D2">
            <w:pPr>
              <w:widowControl/>
              <w:rPr>
                <w:rFonts w:ascii="宋体" w:hAnsi="宋体" w:cs="宋体"/>
                <w:color w:val="auto"/>
                <w:szCs w:val="21"/>
                <w:highlight w:val="none"/>
              </w:rPr>
            </w:pPr>
          </w:p>
        </w:tc>
        <w:tc>
          <w:tcPr>
            <w:tcW w:w="1507" w:type="dxa"/>
            <w:vAlign w:val="center"/>
          </w:tcPr>
          <w:p w14:paraId="5EEC1898">
            <w:pPr>
              <w:widowControl/>
              <w:rPr>
                <w:rFonts w:ascii="宋体" w:hAnsi="宋体" w:cs="宋体"/>
                <w:color w:val="auto"/>
                <w:szCs w:val="21"/>
                <w:highlight w:val="none"/>
              </w:rPr>
            </w:pPr>
          </w:p>
        </w:tc>
        <w:tc>
          <w:tcPr>
            <w:tcW w:w="1148" w:type="dxa"/>
            <w:vAlign w:val="center"/>
          </w:tcPr>
          <w:p w14:paraId="388FCDE0">
            <w:pPr>
              <w:widowControl/>
              <w:rPr>
                <w:rFonts w:ascii="宋体" w:hAnsi="宋体" w:cs="宋体"/>
                <w:color w:val="auto"/>
                <w:szCs w:val="21"/>
                <w:highlight w:val="none"/>
              </w:rPr>
            </w:pPr>
          </w:p>
        </w:tc>
        <w:tc>
          <w:tcPr>
            <w:tcW w:w="1144" w:type="dxa"/>
            <w:vAlign w:val="center"/>
          </w:tcPr>
          <w:p w14:paraId="3494BD4B">
            <w:pPr>
              <w:widowControl/>
              <w:rPr>
                <w:rFonts w:ascii="宋体" w:hAnsi="宋体" w:cs="宋体"/>
                <w:color w:val="auto"/>
                <w:szCs w:val="21"/>
                <w:highlight w:val="none"/>
              </w:rPr>
            </w:pPr>
          </w:p>
        </w:tc>
        <w:tc>
          <w:tcPr>
            <w:tcW w:w="1392" w:type="dxa"/>
          </w:tcPr>
          <w:p w14:paraId="2B7D48ED">
            <w:pPr>
              <w:widowControl/>
              <w:rPr>
                <w:rFonts w:ascii="宋体" w:hAnsi="宋体" w:cs="宋体"/>
                <w:color w:val="auto"/>
                <w:szCs w:val="21"/>
                <w:highlight w:val="none"/>
              </w:rPr>
            </w:pPr>
          </w:p>
        </w:tc>
        <w:tc>
          <w:tcPr>
            <w:tcW w:w="959" w:type="dxa"/>
          </w:tcPr>
          <w:p w14:paraId="75A7A45C">
            <w:pPr>
              <w:widowControl/>
              <w:rPr>
                <w:rFonts w:ascii="宋体" w:hAnsi="宋体" w:cs="宋体"/>
                <w:color w:val="auto"/>
                <w:szCs w:val="21"/>
                <w:highlight w:val="none"/>
              </w:rPr>
            </w:pPr>
          </w:p>
        </w:tc>
      </w:tr>
      <w:tr w14:paraId="086D2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555" w:type="dxa"/>
            <w:vAlign w:val="center"/>
          </w:tcPr>
          <w:p w14:paraId="48B7C202">
            <w:pPr>
              <w:widowControl/>
              <w:rPr>
                <w:rFonts w:ascii="宋体" w:hAnsi="宋体" w:cs="宋体"/>
                <w:color w:val="auto"/>
                <w:szCs w:val="21"/>
                <w:highlight w:val="none"/>
              </w:rPr>
            </w:pPr>
          </w:p>
        </w:tc>
        <w:tc>
          <w:tcPr>
            <w:tcW w:w="865" w:type="dxa"/>
            <w:vAlign w:val="center"/>
          </w:tcPr>
          <w:p w14:paraId="662CA47C">
            <w:pPr>
              <w:widowControl/>
              <w:rPr>
                <w:rFonts w:ascii="宋体" w:hAnsi="宋体" w:cs="宋体"/>
                <w:color w:val="auto"/>
                <w:szCs w:val="21"/>
                <w:highlight w:val="none"/>
              </w:rPr>
            </w:pPr>
          </w:p>
        </w:tc>
        <w:tc>
          <w:tcPr>
            <w:tcW w:w="1054" w:type="dxa"/>
            <w:vAlign w:val="center"/>
          </w:tcPr>
          <w:p w14:paraId="4D75FD05">
            <w:pPr>
              <w:widowControl/>
              <w:rPr>
                <w:rFonts w:ascii="宋体" w:hAnsi="宋体" w:cs="宋体"/>
                <w:color w:val="auto"/>
                <w:szCs w:val="21"/>
                <w:highlight w:val="none"/>
              </w:rPr>
            </w:pPr>
          </w:p>
        </w:tc>
        <w:tc>
          <w:tcPr>
            <w:tcW w:w="1740" w:type="dxa"/>
            <w:vAlign w:val="center"/>
          </w:tcPr>
          <w:p w14:paraId="0EAB4A5C">
            <w:pPr>
              <w:widowControl/>
              <w:rPr>
                <w:rFonts w:ascii="宋体" w:hAnsi="宋体" w:cs="宋体"/>
                <w:color w:val="auto"/>
                <w:szCs w:val="21"/>
                <w:highlight w:val="none"/>
              </w:rPr>
            </w:pPr>
          </w:p>
        </w:tc>
        <w:tc>
          <w:tcPr>
            <w:tcW w:w="1507" w:type="dxa"/>
            <w:vAlign w:val="center"/>
          </w:tcPr>
          <w:p w14:paraId="34E4621A">
            <w:pPr>
              <w:widowControl/>
              <w:rPr>
                <w:rFonts w:ascii="宋体" w:hAnsi="宋体" w:cs="宋体"/>
                <w:color w:val="auto"/>
                <w:szCs w:val="21"/>
                <w:highlight w:val="none"/>
              </w:rPr>
            </w:pPr>
          </w:p>
        </w:tc>
        <w:tc>
          <w:tcPr>
            <w:tcW w:w="1148" w:type="dxa"/>
            <w:vAlign w:val="center"/>
          </w:tcPr>
          <w:p w14:paraId="42E5AAAF">
            <w:pPr>
              <w:widowControl/>
              <w:rPr>
                <w:rFonts w:ascii="宋体" w:hAnsi="宋体" w:cs="宋体"/>
                <w:color w:val="auto"/>
                <w:szCs w:val="21"/>
                <w:highlight w:val="none"/>
              </w:rPr>
            </w:pPr>
          </w:p>
        </w:tc>
        <w:tc>
          <w:tcPr>
            <w:tcW w:w="1144" w:type="dxa"/>
            <w:vAlign w:val="center"/>
          </w:tcPr>
          <w:p w14:paraId="603315ED">
            <w:pPr>
              <w:widowControl/>
              <w:rPr>
                <w:rFonts w:ascii="宋体" w:hAnsi="宋体" w:cs="宋体"/>
                <w:color w:val="auto"/>
                <w:szCs w:val="21"/>
                <w:highlight w:val="none"/>
              </w:rPr>
            </w:pPr>
          </w:p>
        </w:tc>
        <w:tc>
          <w:tcPr>
            <w:tcW w:w="1392" w:type="dxa"/>
          </w:tcPr>
          <w:p w14:paraId="513EA09B">
            <w:pPr>
              <w:widowControl/>
              <w:rPr>
                <w:rFonts w:ascii="宋体" w:hAnsi="宋体" w:cs="宋体"/>
                <w:color w:val="auto"/>
                <w:szCs w:val="21"/>
                <w:highlight w:val="none"/>
              </w:rPr>
            </w:pPr>
          </w:p>
        </w:tc>
        <w:tc>
          <w:tcPr>
            <w:tcW w:w="959" w:type="dxa"/>
          </w:tcPr>
          <w:p w14:paraId="28E73910">
            <w:pPr>
              <w:widowControl/>
              <w:rPr>
                <w:rFonts w:ascii="宋体" w:hAnsi="宋体" w:cs="宋体"/>
                <w:color w:val="auto"/>
                <w:szCs w:val="21"/>
                <w:highlight w:val="none"/>
              </w:rPr>
            </w:pPr>
          </w:p>
        </w:tc>
      </w:tr>
      <w:tr w14:paraId="7A909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555" w:type="dxa"/>
            <w:vAlign w:val="center"/>
          </w:tcPr>
          <w:p w14:paraId="469E65B5">
            <w:pPr>
              <w:widowControl/>
              <w:rPr>
                <w:rFonts w:ascii="宋体" w:hAnsi="宋体" w:cs="宋体"/>
                <w:color w:val="auto"/>
                <w:szCs w:val="21"/>
                <w:highlight w:val="none"/>
              </w:rPr>
            </w:pPr>
          </w:p>
        </w:tc>
        <w:tc>
          <w:tcPr>
            <w:tcW w:w="865" w:type="dxa"/>
            <w:vAlign w:val="center"/>
          </w:tcPr>
          <w:p w14:paraId="300CACC6">
            <w:pPr>
              <w:widowControl/>
              <w:rPr>
                <w:rFonts w:ascii="宋体" w:hAnsi="宋体" w:cs="宋体"/>
                <w:color w:val="auto"/>
                <w:szCs w:val="21"/>
                <w:highlight w:val="none"/>
              </w:rPr>
            </w:pPr>
          </w:p>
        </w:tc>
        <w:tc>
          <w:tcPr>
            <w:tcW w:w="1054" w:type="dxa"/>
            <w:vAlign w:val="center"/>
          </w:tcPr>
          <w:p w14:paraId="24043500">
            <w:pPr>
              <w:widowControl/>
              <w:rPr>
                <w:rFonts w:ascii="宋体" w:hAnsi="宋体" w:cs="宋体"/>
                <w:color w:val="auto"/>
                <w:szCs w:val="21"/>
                <w:highlight w:val="none"/>
              </w:rPr>
            </w:pPr>
          </w:p>
        </w:tc>
        <w:tc>
          <w:tcPr>
            <w:tcW w:w="1740" w:type="dxa"/>
            <w:vAlign w:val="center"/>
          </w:tcPr>
          <w:p w14:paraId="0B44AC8F">
            <w:pPr>
              <w:widowControl/>
              <w:rPr>
                <w:rFonts w:ascii="宋体" w:hAnsi="宋体" w:cs="宋体"/>
                <w:color w:val="auto"/>
                <w:szCs w:val="21"/>
                <w:highlight w:val="none"/>
              </w:rPr>
            </w:pPr>
          </w:p>
        </w:tc>
        <w:tc>
          <w:tcPr>
            <w:tcW w:w="1507" w:type="dxa"/>
            <w:vAlign w:val="center"/>
          </w:tcPr>
          <w:p w14:paraId="050D82DB">
            <w:pPr>
              <w:widowControl/>
              <w:rPr>
                <w:rFonts w:ascii="宋体" w:hAnsi="宋体" w:cs="宋体"/>
                <w:color w:val="auto"/>
                <w:szCs w:val="21"/>
                <w:highlight w:val="none"/>
              </w:rPr>
            </w:pPr>
          </w:p>
        </w:tc>
        <w:tc>
          <w:tcPr>
            <w:tcW w:w="1148" w:type="dxa"/>
            <w:vAlign w:val="center"/>
          </w:tcPr>
          <w:p w14:paraId="71C12D94">
            <w:pPr>
              <w:widowControl/>
              <w:rPr>
                <w:rFonts w:ascii="宋体" w:hAnsi="宋体" w:cs="宋体"/>
                <w:color w:val="auto"/>
                <w:szCs w:val="21"/>
                <w:highlight w:val="none"/>
              </w:rPr>
            </w:pPr>
          </w:p>
        </w:tc>
        <w:tc>
          <w:tcPr>
            <w:tcW w:w="1144" w:type="dxa"/>
            <w:vAlign w:val="center"/>
          </w:tcPr>
          <w:p w14:paraId="4C904E81">
            <w:pPr>
              <w:widowControl/>
              <w:rPr>
                <w:rFonts w:ascii="宋体" w:hAnsi="宋体" w:cs="宋体"/>
                <w:color w:val="auto"/>
                <w:szCs w:val="21"/>
                <w:highlight w:val="none"/>
              </w:rPr>
            </w:pPr>
          </w:p>
        </w:tc>
        <w:tc>
          <w:tcPr>
            <w:tcW w:w="1392" w:type="dxa"/>
          </w:tcPr>
          <w:p w14:paraId="34EF4EB1">
            <w:pPr>
              <w:widowControl/>
              <w:rPr>
                <w:rFonts w:ascii="宋体" w:hAnsi="宋体" w:cs="宋体"/>
                <w:color w:val="auto"/>
                <w:szCs w:val="21"/>
                <w:highlight w:val="none"/>
              </w:rPr>
            </w:pPr>
          </w:p>
        </w:tc>
        <w:tc>
          <w:tcPr>
            <w:tcW w:w="959" w:type="dxa"/>
          </w:tcPr>
          <w:p w14:paraId="574A11BA">
            <w:pPr>
              <w:widowControl/>
              <w:rPr>
                <w:rFonts w:ascii="宋体" w:hAnsi="宋体" w:cs="宋体"/>
                <w:color w:val="auto"/>
                <w:szCs w:val="21"/>
                <w:highlight w:val="none"/>
              </w:rPr>
            </w:pPr>
          </w:p>
        </w:tc>
      </w:tr>
      <w:tr w14:paraId="7B7A2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555" w:type="dxa"/>
            <w:vAlign w:val="center"/>
          </w:tcPr>
          <w:p w14:paraId="5E2F50B1">
            <w:pPr>
              <w:widowControl/>
              <w:rPr>
                <w:rFonts w:ascii="宋体" w:hAnsi="宋体" w:cs="宋体"/>
                <w:color w:val="auto"/>
                <w:szCs w:val="21"/>
                <w:highlight w:val="none"/>
              </w:rPr>
            </w:pPr>
          </w:p>
        </w:tc>
        <w:tc>
          <w:tcPr>
            <w:tcW w:w="865" w:type="dxa"/>
            <w:vAlign w:val="center"/>
          </w:tcPr>
          <w:p w14:paraId="3BCB9679">
            <w:pPr>
              <w:widowControl/>
              <w:rPr>
                <w:rFonts w:ascii="宋体" w:hAnsi="宋体" w:cs="宋体"/>
                <w:color w:val="auto"/>
                <w:szCs w:val="21"/>
                <w:highlight w:val="none"/>
              </w:rPr>
            </w:pPr>
          </w:p>
        </w:tc>
        <w:tc>
          <w:tcPr>
            <w:tcW w:w="1054" w:type="dxa"/>
            <w:vAlign w:val="center"/>
          </w:tcPr>
          <w:p w14:paraId="6FE5BBC5">
            <w:pPr>
              <w:widowControl/>
              <w:rPr>
                <w:rFonts w:ascii="宋体" w:hAnsi="宋体" w:cs="宋体"/>
                <w:color w:val="auto"/>
                <w:szCs w:val="21"/>
                <w:highlight w:val="none"/>
              </w:rPr>
            </w:pPr>
          </w:p>
        </w:tc>
        <w:tc>
          <w:tcPr>
            <w:tcW w:w="1740" w:type="dxa"/>
            <w:vAlign w:val="center"/>
          </w:tcPr>
          <w:p w14:paraId="735811CC">
            <w:pPr>
              <w:widowControl/>
              <w:rPr>
                <w:rFonts w:ascii="宋体" w:hAnsi="宋体" w:cs="宋体"/>
                <w:color w:val="auto"/>
                <w:szCs w:val="21"/>
                <w:highlight w:val="none"/>
              </w:rPr>
            </w:pPr>
          </w:p>
        </w:tc>
        <w:tc>
          <w:tcPr>
            <w:tcW w:w="1507" w:type="dxa"/>
            <w:vAlign w:val="center"/>
          </w:tcPr>
          <w:p w14:paraId="7CC6C527">
            <w:pPr>
              <w:widowControl/>
              <w:rPr>
                <w:rFonts w:ascii="宋体" w:hAnsi="宋体" w:cs="宋体"/>
                <w:color w:val="auto"/>
                <w:szCs w:val="21"/>
                <w:highlight w:val="none"/>
              </w:rPr>
            </w:pPr>
          </w:p>
        </w:tc>
        <w:tc>
          <w:tcPr>
            <w:tcW w:w="1148" w:type="dxa"/>
            <w:vAlign w:val="center"/>
          </w:tcPr>
          <w:p w14:paraId="3AB11B13">
            <w:pPr>
              <w:widowControl/>
              <w:rPr>
                <w:rFonts w:ascii="宋体" w:hAnsi="宋体" w:cs="宋体"/>
                <w:color w:val="auto"/>
                <w:szCs w:val="21"/>
                <w:highlight w:val="none"/>
              </w:rPr>
            </w:pPr>
          </w:p>
        </w:tc>
        <w:tc>
          <w:tcPr>
            <w:tcW w:w="1144" w:type="dxa"/>
            <w:vAlign w:val="center"/>
          </w:tcPr>
          <w:p w14:paraId="248A201B">
            <w:pPr>
              <w:widowControl/>
              <w:rPr>
                <w:rFonts w:ascii="宋体" w:hAnsi="宋体" w:cs="宋体"/>
                <w:color w:val="auto"/>
                <w:szCs w:val="21"/>
                <w:highlight w:val="none"/>
              </w:rPr>
            </w:pPr>
          </w:p>
        </w:tc>
        <w:tc>
          <w:tcPr>
            <w:tcW w:w="1392" w:type="dxa"/>
          </w:tcPr>
          <w:p w14:paraId="0D228E41">
            <w:pPr>
              <w:widowControl/>
              <w:rPr>
                <w:rFonts w:ascii="宋体" w:hAnsi="宋体" w:cs="宋体"/>
                <w:color w:val="auto"/>
                <w:szCs w:val="21"/>
                <w:highlight w:val="none"/>
              </w:rPr>
            </w:pPr>
          </w:p>
        </w:tc>
        <w:tc>
          <w:tcPr>
            <w:tcW w:w="959" w:type="dxa"/>
          </w:tcPr>
          <w:p w14:paraId="4EA61BE3">
            <w:pPr>
              <w:widowControl/>
              <w:rPr>
                <w:rFonts w:ascii="宋体" w:hAnsi="宋体" w:cs="宋体"/>
                <w:color w:val="auto"/>
                <w:szCs w:val="21"/>
                <w:highlight w:val="none"/>
              </w:rPr>
            </w:pPr>
          </w:p>
        </w:tc>
      </w:tr>
      <w:tr w14:paraId="469FF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555" w:type="dxa"/>
            <w:vAlign w:val="center"/>
          </w:tcPr>
          <w:p w14:paraId="1643C42F">
            <w:pPr>
              <w:widowControl/>
              <w:rPr>
                <w:rFonts w:ascii="宋体" w:hAnsi="宋体" w:cs="宋体"/>
                <w:color w:val="auto"/>
                <w:szCs w:val="21"/>
                <w:highlight w:val="none"/>
              </w:rPr>
            </w:pPr>
          </w:p>
        </w:tc>
        <w:tc>
          <w:tcPr>
            <w:tcW w:w="865" w:type="dxa"/>
            <w:vAlign w:val="center"/>
          </w:tcPr>
          <w:p w14:paraId="556876CA">
            <w:pPr>
              <w:widowControl/>
              <w:rPr>
                <w:rFonts w:ascii="宋体" w:hAnsi="宋体" w:cs="宋体"/>
                <w:color w:val="auto"/>
                <w:szCs w:val="21"/>
                <w:highlight w:val="none"/>
              </w:rPr>
            </w:pPr>
          </w:p>
        </w:tc>
        <w:tc>
          <w:tcPr>
            <w:tcW w:w="1054" w:type="dxa"/>
            <w:vAlign w:val="center"/>
          </w:tcPr>
          <w:p w14:paraId="7FD65CD7">
            <w:pPr>
              <w:widowControl/>
              <w:rPr>
                <w:rFonts w:ascii="宋体" w:hAnsi="宋体" w:cs="宋体"/>
                <w:color w:val="auto"/>
                <w:szCs w:val="21"/>
                <w:highlight w:val="none"/>
              </w:rPr>
            </w:pPr>
          </w:p>
        </w:tc>
        <w:tc>
          <w:tcPr>
            <w:tcW w:w="1740" w:type="dxa"/>
            <w:vAlign w:val="center"/>
          </w:tcPr>
          <w:p w14:paraId="10D664E7">
            <w:pPr>
              <w:widowControl/>
              <w:rPr>
                <w:rFonts w:ascii="宋体" w:hAnsi="宋体" w:cs="宋体"/>
                <w:color w:val="auto"/>
                <w:szCs w:val="21"/>
                <w:highlight w:val="none"/>
              </w:rPr>
            </w:pPr>
          </w:p>
        </w:tc>
        <w:tc>
          <w:tcPr>
            <w:tcW w:w="1507" w:type="dxa"/>
            <w:vAlign w:val="center"/>
          </w:tcPr>
          <w:p w14:paraId="6F2EF5E8">
            <w:pPr>
              <w:widowControl/>
              <w:rPr>
                <w:rFonts w:ascii="宋体" w:hAnsi="宋体" w:cs="宋体"/>
                <w:color w:val="auto"/>
                <w:szCs w:val="21"/>
                <w:highlight w:val="none"/>
              </w:rPr>
            </w:pPr>
          </w:p>
        </w:tc>
        <w:tc>
          <w:tcPr>
            <w:tcW w:w="1148" w:type="dxa"/>
            <w:vAlign w:val="center"/>
          </w:tcPr>
          <w:p w14:paraId="308B980C">
            <w:pPr>
              <w:widowControl/>
              <w:rPr>
                <w:rFonts w:ascii="宋体" w:hAnsi="宋体" w:cs="宋体"/>
                <w:color w:val="auto"/>
                <w:szCs w:val="21"/>
                <w:highlight w:val="none"/>
              </w:rPr>
            </w:pPr>
          </w:p>
        </w:tc>
        <w:tc>
          <w:tcPr>
            <w:tcW w:w="1144" w:type="dxa"/>
            <w:vAlign w:val="center"/>
          </w:tcPr>
          <w:p w14:paraId="5ABF7534">
            <w:pPr>
              <w:widowControl/>
              <w:rPr>
                <w:rFonts w:ascii="宋体" w:hAnsi="宋体" w:cs="宋体"/>
                <w:color w:val="auto"/>
                <w:szCs w:val="21"/>
                <w:highlight w:val="none"/>
              </w:rPr>
            </w:pPr>
          </w:p>
        </w:tc>
        <w:tc>
          <w:tcPr>
            <w:tcW w:w="1392" w:type="dxa"/>
          </w:tcPr>
          <w:p w14:paraId="17CAA22E">
            <w:pPr>
              <w:widowControl/>
              <w:rPr>
                <w:rFonts w:ascii="宋体" w:hAnsi="宋体" w:cs="宋体"/>
                <w:color w:val="auto"/>
                <w:szCs w:val="21"/>
                <w:highlight w:val="none"/>
              </w:rPr>
            </w:pPr>
          </w:p>
        </w:tc>
        <w:tc>
          <w:tcPr>
            <w:tcW w:w="959" w:type="dxa"/>
          </w:tcPr>
          <w:p w14:paraId="3BF66DDC">
            <w:pPr>
              <w:widowControl/>
              <w:rPr>
                <w:rFonts w:ascii="宋体" w:hAnsi="宋体" w:cs="宋体"/>
                <w:color w:val="auto"/>
                <w:szCs w:val="21"/>
                <w:highlight w:val="none"/>
              </w:rPr>
            </w:pPr>
          </w:p>
        </w:tc>
      </w:tr>
    </w:tbl>
    <w:p w14:paraId="6E1B69DB">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注：</w:t>
      </w:r>
    </w:p>
    <w:p w14:paraId="34975AF5">
      <w:pPr>
        <w:numPr>
          <w:ilvl w:val="0"/>
          <w:numId w:val="23"/>
        </w:numPr>
        <w:spacing w:line="360" w:lineRule="auto"/>
        <w:jc w:val="left"/>
        <w:rPr>
          <w:color w:val="auto"/>
          <w:szCs w:val="21"/>
          <w:highlight w:val="none"/>
        </w:rPr>
      </w:pPr>
      <w:r>
        <w:rPr>
          <w:rFonts w:hint="eastAsia"/>
          <w:color w:val="auto"/>
          <w:szCs w:val="21"/>
          <w:highlight w:val="none"/>
        </w:rPr>
        <w:t>投标文件与招标文件有差异之处，无论多么微小，均应按偏离表的要求汇总说明，在“偏离描述”中说明差异，并在“偏离情况”中标注出正偏离/负偏离/无偏离。如果投标文件与招标文件的差异之处没有填入“偏离表”中，不管投标人是否在投标文件的其他任何地方有其他描述，均不能免除投标人已经承诺响应招标文件要求的责任。</w:t>
      </w:r>
    </w:p>
    <w:p w14:paraId="083100DC">
      <w:pPr>
        <w:numPr>
          <w:ilvl w:val="0"/>
          <w:numId w:val="23"/>
        </w:numPr>
        <w:spacing w:line="360" w:lineRule="auto"/>
        <w:jc w:val="left"/>
        <w:rPr>
          <w:color w:val="auto"/>
          <w:szCs w:val="21"/>
          <w:highlight w:val="none"/>
        </w:rPr>
      </w:pPr>
      <w:r>
        <w:rPr>
          <w:rFonts w:hint="eastAsia" w:ascii="宋体" w:hAnsi="宋体" w:cs="宋体"/>
          <w:color w:val="auto"/>
          <w:szCs w:val="21"/>
          <w:highlight w:val="none"/>
        </w:rPr>
        <w:t>技术证明材料附后</w:t>
      </w:r>
      <w:r>
        <w:rPr>
          <w:rFonts w:hint="eastAsia" w:ascii="宋体" w:hAnsi="宋体" w:cs="宋体"/>
          <w:color w:val="auto"/>
          <w:szCs w:val="21"/>
          <w:highlight w:val="none"/>
          <w:lang w:eastAsia="zh-CN"/>
        </w:rPr>
        <w:t>。</w:t>
      </w:r>
    </w:p>
    <w:p w14:paraId="2FB0BD8A">
      <w:pPr>
        <w:numPr>
          <w:ilvl w:val="0"/>
          <w:numId w:val="23"/>
        </w:numPr>
        <w:spacing w:line="360" w:lineRule="auto"/>
        <w:jc w:val="left"/>
        <w:rPr>
          <w:rFonts w:ascii="宋体" w:hAnsi="宋体" w:cs="宋体"/>
          <w:color w:val="auto"/>
          <w:szCs w:val="21"/>
          <w:highlight w:val="none"/>
        </w:rPr>
      </w:pPr>
      <w:r>
        <w:rPr>
          <w:rFonts w:hint="eastAsia" w:ascii="宋体" w:hAnsi="宋体" w:cs="宋体"/>
          <w:color w:val="auto"/>
          <w:szCs w:val="21"/>
          <w:highlight w:val="none"/>
          <w:lang w:val="en-US" w:eastAsia="zh-CN"/>
        </w:rPr>
        <w:t>如同一产品有证明材料中名称与采购需求中名称不一致的，需在备注中说明</w:t>
      </w:r>
      <w:r>
        <w:rPr>
          <w:rFonts w:hint="eastAsia" w:ascii="宋体" w:hAnsi="宋体" w:cs="宋体"/>
          <w:color w:val="auto"/>
          <w:szCs w:val="21"/>
          <w:highlight w:val="none"/>
        </w:rPr>
        <w:t>。</w:t>
      </w:r>
    </w:p>
    <w:p w14:paraId="76191243">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（单位电子印章）</w:t>
      </w:r>
    </w:p>
    <w:p w14:paraId="27A11AB1">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（电子签章或签字）</w:t>
      </w:r>
    </w:p>
    <w:p w14:paraId="787209F0">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4433A1F9">
      <w:pPr>
        <w:pStyle w:val="4"/>
        <w:jc w:val="center"/>
        <w:rPr>
          <w:rFonts w:hAnsi="宋体" w:cs="宋体"/>
          <w:bCs/>
          <w:color w:val="auto"/>
          <w:sz w:val="21"/>
          <w:szCs w:val="21"/>
          <w:highlight w:val="none"/>
        </w:rPr>
      </w:pPr>
      <w:bookmarkStart w:id="311" w:name="_Toc1614"/>
      <w:bookmarkStart w:id="312" w:name="_Toc21789"/>
      <w:bookmarkStart w:id="313" w:name="_Toc30851"/>
      <w:bookmarkStart w:id="314" w:name="_Toc381021625"/>
      <w:bookmarkStart w:id="315" w:name="_Toc25331"/>
      <w:bookmarkStart w:id="316" w:name="_Toc5827"/>
      <w:bookmarkStart w:id="317" w:name="_Toc4387"/>
      <w:bookmarkStart w:id="318" w:name="_Toc29991"/>
      <w:r>
        <w:rPr>
          <w:rFonts w:hint="eastAsia" w:hAnsi="宋体" w:cs="宋体"/>
          <w:bCs/>
          <w:color w:val="auto"/>
          <w:sz w:val="21"/>
          <w:szCs w:val="21"/>
          <w:highlight w:val="none"/>
          <w:lang w:val="en-US" w:eastAsia="zh-CN"/>
        </w:rPr>
        <w:t>2</w:t>
      </w:r>
      <w:r>
        <w:rPr>
          <w:rFonts w:hint="eastAsia" w:hAnsi="宋体" w:cs="宋体"/>
          <w:bCs/>
          <w:color w:val="auto"/>
          <w:sz w:val="21"/>
          <w:szCs w:val="21"/>
          <w:highlight w:val="none"/>
        </w:rPr>
        <w:t>、商务响应偏离表</w:t>
      </w:r>
      <w:bookmarkEnd w:id="311"/>
      <w:bookmarkEnd w:id="312"/>
      <w:bookmarkEnd w:id="313"/>
      <w:bookmarkEnd w:id="314"/>
      <w:bookmarkEnd w:id="315"/>
      <w:bookmarkEnd w:id="316"/>
      <w:bookmarkEnd w:id="317"/>
      <w:bookmarkEnd w:id="318"/>
    </w:p>
    <w:tbl>
      <w:tblPr>
        <w:tblStyle w:val="38"/>
        <w:tblW w:w="83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30"/>
        <w:gridCol w:w="1590"/>
        <w:gridCol w:w="1470"/>
        <w:gridCol w:w="2485"/>
        <w:gridCol w:w="2110"/>
      </w:tblGrid>
      <w:tr w14:paraId="03192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4" w:hRule="atLeast"/>
          <w:jc w:val="center"/>
        </w:trPr>
        <w:tc>
          <w:tcPr>
            <w:tcW w:w="730" w:type="dxa"/>
            <w:vAlign w:val="center"/>
          </w:tcPr>
          <w:p w14:paraId="1FAED308">
            <w:pPr>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1590" w:type="dxa"/>
            <w:shd w:val="clear" w:color="auto" w:fill="auto"/>
            <w:vAlign w:val="center"/>
          </w:tcPr>
          <w:p w14:paraId="212BB673">
            <w:pPr>
              <w:spacing w:line="440" w:lineRule="exact"/>
              <w:jc w:val="center"/>
              <w:rPr>
                <w:rFonts w:hint="default" w:ascii="宋体" w:hAnsi="宋体" w:eastAsia="宋体" w:cs="宋体"/>
                <w:b/>
                <w:bCs/>
                <w:color w:val="auto"/>
                <w:kern w:val="2"/>
                <w:sz w:val="21"/>
                <w:szCs w:val="21"/>
                <w:highlight w:val="none"/>
                <w:lang w:val="en-US" w:eastAsia="zh-CN" w:bidi="ar-SA"/>
              </w:rPr>
            </w:pPr>
            <w:r>
              <w:rPr>
                <w:rFonts w:hint="eastAsia" w:ascii="宋体" w:hAnsi="宋体" w:cs="宋体"/>
                <w:b/>
                <w:bCs/>
                <w:color w:val="auto"/>
                <w:kern w:val="2"/>
                <w:sz w:val="21"/>
                <w:szCs w:val="21"/>
                <w:highlight w:val="none"/>
                <w:lang w:val="en-US" w:eastAsia="zh-CN" w:bidi="ar-SA"/>
              </w:rPr>
              <w:t>响应项</w:t>
            </w:r>
          </w:p>
        </w:tc>
        <w:tc>
          <w:tcPr>
            <w:tcW w:w="1470" w:type="dxa"/>
            <w:vAlign w:val="center"/>
          </w:tcPr>
          <w:p w14:paraId="36E57634">
            <w:pPr>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招标文件要求</w:t>
            </w:r>
          </w:p>
        </w:tc>
        <w:tc>
          <w:tcPr>
            <w:tcW w:w="2485" w:type="dxa"/>
            <w:vAlign w:val="center"/>
          </w:tcPr>
          <w:p w14:paraId="1A0A683F">
            <w:pPr>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投标文件</w:t>
            </w:r>
            <w:r>
              <w:rPr>
                <w:rFonts w:hint="eastAsia" w:ascii="宋体" w:hAnsi="宋体" w:cs="宋体"/>
                <w:b/>
                <w:bCs/>
                <w:color w:val="auto"/>
                <w:szCs w:val="21"/>
                <w:highlight w:val="none"/>
                <w:lang w:val="en-US" w:eastAsia="zh-CN"/>
              </w:rPr>
              <w:t>响应</w:t>
            </w:r>
            <w:r>
              <w:rPr>
                <w:rFonts w:hint="eastAsia" w:ascii="宋体" w:hAnsi="宋体" w:cs="宋体"/>
                <w:b/>
                <w:bCs/>
                <w:color w:val="auto"/>
                <w:szCs w:val="21"/>
                <w:highlight w:val="none"/>
              </w:rPr>
              <w:t>内容</w:t>
            </w:r>
          </w:p>
        </w:tc>
        <w:tc>
          <w:tcPr>
            <w:tcW w:w="2110" w:type="dxa"/>
            <w:vAlign w:val="center"/>
          </w:tcPr>
          <w:p w14:paraId="2F28ADCA">
            <w:pPr>
              <w:spacing w:line="440" w:lineRule="exact"/>
              <w:jc w:val="center"/>
              <w:rPr>
                <w:rFonts w:ascii="宋体" w:hAnsi="宋体" w:cs="宋体"/>
                <w:b/>
                <w:bCs/>
                <w:color w:val="auto"/>
                <w:szCs w:val="21"/>
                <w:highlight w:val="none"/>
              </w:rPr>
            </w:pPr>
            <w:r>
              <w:rPr>
                <w:rFonts w:hint="eastAsia" w:ascii="宋体" w:hAnsi="宋体" w:cs="宋体"/>
                <w:color w:val="auto"/>
                <w:szCs w:val="21"/>
                <w:highlight w:val="none"/>
              </w:rPr>
              <w:t>偏离情况（</w:t>
            </w:r>
            <w:r>
              <w:rPr>
                <w:rFonts w:hint="eastAsia" w:ascii="宋体" w:hAnsi="宋体" w:cs="宋体"/>
                <w:b/>
                <w:color w:val="auto"/>
                <w:szCs w:val="21"/>
                <w:highlight w:val="none"/>
              </w:rPr>
              <w:t>正偏离/负偏离/无偏离</w:t>
            </w:r>
            <w:r>
              <w:rPr>
                <w:rFonts w:hint="eastAsia" w:ascii="宋体" w:hAnsi="宋体" w:cs="宋体"/>
                <w:color w:val="auto"/>
                <w:szCs w:val="21"/>
                <w:highlight w:val="none"/>
              </w:rPr>
              <w:t>）</w:t>
            </w:r>
          </w:p>
        </w:tc>
      </w:tr>
      <w:tr w14:paraId="62E27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7" w:hRule="atLeast"/>
          <w:jc w:val="center"/>
        </w:trPr>
        <w:tc>
          <w:tcPr>
            <w:tcW w:w="730" w:type="dxa"/>
            <w:vAlign w:val="center"/>
          </w:tcPr>
          <w:p w14:paraId="0F268100">
            <w:pPr>
              <w:spacing w:line="440" w:lineRule="exact"/>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1590" w:type="dxa"/>
            <w:shd w:val="clear" w:color="auto" w:fill="auto"/>
            <w:vAlign w:val="center"/>
          </w:tcPr>
          <w:p w14:paraId="1937F1BF">
            <w:pPr>
              <w:pStyle w:val="163"/>
              <w:jc w:val="center"/>
              <w:rPr>
                <w:rFonts w:ascii="宋体" w:hAnsi="宋体" w:eastAsia="宋体" w:cs="宋体"/>
                <w:color w:val="auto"/>
                <w:kern w:val="2"/>
                <w:sz w:val="21"/>
                <w:szCs w:val="21"/>
                <w:highlight w:val="none"/>
                <w:lang w:val="en-US" w:eastAsia="zh-CN" w:bidi="ar-SA"/>
              </w:rPr>
            </w:pPr>
            <w:r>
              <w:rPr>
                <w:color w:val="auto"/>
                <w:spacing w:val="6"/>
                <w:sz w:val="21"/>
                <w:szCs w:val="21"/>
                <w:highlight w:val="none"/>
              </w:rPr>
              <w:t>投标内容</w:t>
            </w:r>
          </w:p>
        </w:tc>
        <w:tc>
          <w:tcPr>
            <w:tcW w:w="1470" w:type="dxa"/>
            <w:vAlign w:val="center"/>
          </w:tcPr>
          <w:p w14:paraId="0060EB63">
            <w:pPr>
              <w:pStyle w:val="163"/>
              <w:jc w:val="center"/>
              <w:rPr>
                <w:color w:val="auto"/>
                <w:sz w:val="21"/>
                <w:szCs w:val="21"/>
                <w:highlight w:val="none"/>
                <w:lang w:eastAsia="zh-CN"/>
              </w:rPr>
            </w:pPr>
          </w:p>
        </w:tc>
        <w:tc>
          <w:tcPr>
            <w:tcW w:w="2485" w:type="dxa"/>
            <w:vAlign w:val="bottom"/>
          </w:tcPr>
          <w:p w14:paraId="5874D3B0">
            <w:pPr>
              <w:spacing w:line="440" w:lineRule="exact"/>
              <w:rPr>
                <w:rFonts w:ascii="宋体" w:hAnsi="宋体" w:cs="宋体"/>
                <w:color w:val="auto"/>
                <w:szCs w:val="21"/>
                <w:highlight w:val="none"/>
              </w:rPr>
            </w:pPr>
          </w:p>
        </w:tc>
        <w:tc>
          <w:tcPr>
            <w:tcW w:w="2110" w:type="dxa"/>
            <w:vAlign w:val="bottom"/>
          </w:tcPr>
          <w:p w14:paraId="66043E75">
            <w:pPr>
              <w:spacing w:line="440" w:lineRule="exact"/>
              <w:rPr>
                <w:rFonts w:ascii="宋体" w:hAnsi="宋体" w:cs="宋体"/>
                <w:color w:val="auto"/>
                <w:szCs w:val="21"/>
                <w:highlight w:val="none"/>
              </w:rPr>
            </w:pPr>
          </w:p>
        </w:tc>
      </w:tr>
      <w:tr w14:paraId="724B1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7" w:hRule="atLeast"/>
          <w:jc w:val="center"/>
        </w:trPr>
        <w:tc>
          <w:tcPr>
            <w:tcW w:w="730" w:type="dxa"/>
            <w:vAlign w:val="center"/>
          </w:tcPr>
          <w:p w14:paraId="3F6503F0">
            <w:pPr>
              <w:spacing w:line="440" w:lineRule="exact"/>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w:t>
            </w:r>
          </w:p>
        </w:tc>
        <w:tc>
          <w:tcPr>
            <w:tcW w:w="1590" w:type="dxa"/>
            <w:shd w:val="clear" w:color="auto" w:fill="auto"/>
            <w:vAlign w:val="center"/>
          </w:tcPr>
          <w:p w14:paraId="211033CB">
            <w:pPr>
              <w:pStyle w:val="163"/>
              <w:jc w:val="center"/>
              <w:rPr>
                <w:rFonts w:ascii="宋体" w:hAnsi="宋体" w:eastAsia="宋体" w:cs="宋体"/>
                <w:color w:val="auto"/>
                <w:kern w:val="2"/>
                <w:sz w:val="21"/>
                <w:szCs w:val="21"/>
                <w:highlight w:val="none"/>
                <w:lang w:val="en-US" w:eastAsia="en-US" w:bidi="ar-SA"/>
              </w:rPr>
            </w:pPr>
            <w:r>
              <w:rPr>
                <w:color w:val="auto"/>
                <w:spacing w:val="5"/>
                <w:sz w:val="21"/>
                <w:szCs w:val="21"/>
                <w:highlight w:val="none"/>
              </w:rPr>
              <w:t>交货期</w:t>
            </w:r>
          </w:p>
        </w:tc>
        <w:tc>
          <w:tcPr>
            <w:tcW w:w="1470" w:type="dxa"/>
            <w:vAlign w:val="center"/>
          </w:tcPr>
          <w:p w14:paraId="24742466">
            <w:pPr>
              <w:pStyle w:val="163"/>
              <w:jc w:val="center"/>
              <w:rPr>
                <w:color w:val="auto"/>
                <w:sz w:val="21"/>
                <w:szCs w:val="21"/>
                <w:highlight w:val="none"/>
              </w:rPr>
            </w:pPr>
          </w:p>
        </w:tc>
        <w:tc>
          <w:tcPr>
            <w:tcW w:w="2485" w:type="dxa"/>
            <w:vAlign w:val="bottom"/>
          </w:tcPr>
          <w:p w14:paraId="335A5EF9">
            <w:pPr>
              <w:spacing w:line="440" w:lineRule="exact"/>
              <w:rPr>
                <w:rFonts w:ascii="宋体" w:hAnsi="宋体" w:cs="宋体"/>
                <w:color w:val="auto"/>
                <w:szCs w:val="21"/>
                <w:highlight w:val="none"/>
              </w:rPr>
            </w:pPr>
          </w:p>
        </w:tc>
        <w:tc>
          <w:tcPr>
            <w:tcW w:w="2110" w:type="dxa"/>
            <w:vAlign w:val="bottom"/>
          </w:tcPr>
          <w:p w14:paraId="6D86BB3B">
            <w:pPr>
              <w:spacing w:line="440" w:lineRule="exact"/>
              <w:rPr>
                <w:rFonts w:ascii="宋体" w:hAnsi="宋体" w:cs="宋体"/>
                <w:color w:val="auto"/>
                <w:szCs w:val="21"/>
                <w:highlight w:val="none"/>
              </w:rPr>
            </w:pPr>
          </w:p>
        </w:tc>
      </w:tr>
      <w:tr w14:paraId="43BE9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7" w:hRule="atLeast"/>
          <w:jc w:val="center"/>
        </w:trPr>
        <w:tc>
          <w:tcPr>
            <w:tcW w:w="730" w:type="dxa"/>
            <w:vAlign w:val="center"/>
          </w:tcPr>
          <w:p w14:paraId="6579CACC">
            <w:pPr>
              <w:spacing w:line="440" w:lineRule="exact"/>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w:t>
            </w:r>
          </w:p>
        </w:tc>
        <w:tc>
          <w:tcPr>
            <w:tcW w:w="1590" w:type="dxa"/>
            <w:shd w:val="clear" w:color="auto" w:fill="auto"/>
            <w:vAlign w:val="center"/>
          </w:tcPr>
          <w:p w14:paraId="2009B502">
            <w:pPr>
              <w:pStyle w:val="163"/>
              <w:jc w:val="center"/>
              <w:rPr>
                <w:rFonts w:ascii="宋体" w:hAnsi="宋体" w:eastAsia="宋体" w:cs="宋体"/>
                <w:color w:val="auto"/>
                <w:kern w:val="2"/>
                <w:sz w:val="21"/>
                <w:szCs w:val="21"/>
                <w:highlight w:val="none"/>
                <w:lang w:val="en-US" w:eastAsia="zh-CN" w:bidi="ar-SA"/>
              </w:rPr>
            </w:pPr>
            <w:r>
              <w:rPr>
                <w:rFonts w:hint="eastAsia"/>
                <w:color w:val="auto"/>
                <w:sz w:val="21"/>
                <w:szCs w:val="21"/>
                <w:highlight w:val="none"/>
                <w:lang w:eastAsia="zh-CN"/>
              </w:rPr>
              <w:t>交货地点</w:t>
            </w:r>
          </w:p>
        </w:tc>
        <w:tc>
          <w:tcPr>
            <w:tcW w:w="1470" w:type="dxa"/>
            <w:shd w:val="clear" w:color="auto" w:fill="auto"/>
            <w:vAlign w:val="center"/>
          </w:tcPr>
          <w:p w14:paraId="1C6C08F1">
            <w:pPr>
              <w:pStyle w:val="163"/>
              <w:jc w:val="center"/>
              <w:rPr>
                <w:rFonts w:ascii="宋体" w:hAnsi="宋体" w:eastAsia="宋体" w:cs="宋体"/>
                <w:color w:val="auto"/>
                <w:kern w:val="2"/>
                <w:sz w:val="21"/>
                <w:szCs w:val="21"/>
                <w:highlight w:val="none"/>
                <w:lang w:val="en-US" w:eastAsia="zh-CN" w:bidi="ar-SA"/>
              </w:rPr>
            </w:pPr>
          </w:p>
        </w:tc>
        <w:tc>
          <w:tcPr>
            <w:tcW w:w="2485" w:type="dxa"/>
            <w:vAlign w:val="bottom"/>
          </w:tcPr>
          <w:p w14:paraId="66B02F5A">
            <w:pPr>
              <w:spacing w:line="440" w:lineRule="exact"/>
              <w:rPr>
                <w:rFonts w:ascii="宋体" w:hAnsi="宋体" w:cs="宋体"/>
                <w:color w:val="auto"/>
                <w:szCs w:val="21"/>
                <w:highlight w:val="none"/>
              </w:rPr>
            </w:pPr>
          </w:p>
        </w:tc>
        <w:tc>
          <w:tcPr>
            <w:tcW w:w="2110" w:type="dxa"/>
            <w:vAlign w:val="bottom"/>
          </w:tcPr>
          <w:p w14:paraId="7CB939AB">
            <w:pPr>
              <w:spacing w:line="440" w:lineRule="exact"/>
              <w:rPr>
                <w:rFonts w:ascii="宋体" w:hAnsi="宋体" w:cs="宋体"/>
                <w:color w:val="auto"/>
                <w:szCs w:val="21"/>
                <w:highlight w:val="none"/>
              </w:rPr>
            </w:pPr>
          </w:p>
        </w:tc>
      </w:tr>
      <w:tr w14:paraId="60418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7" w:hRule="atLeast"/>
          <w:jc w:val="center"/>
        </w:trPr>
        <w:tc>
          <w:tcPr>
            <w:tcW w:w="730" w:type="dxa"/>
            <w:vAlign w:val="center"/>
          </w:tcPr>
          <w:p w14:paraId="63A37B61">
            <w:pPr>
              <w:spacing w:line="440" w:lineRule="exact"/>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w:t>
            </w:r>
          </w:p>
        </w:tc>
        <w:tc>
          <w:tcPr>
            <w:tcW w:w="1590" w:type="dxa"/>
            <w:shd w:val="clear" w:color="auto" w:fill="auto"/>
            <w:vAlign w:val="center"/>
          </w:tcPr>
          <w:p w14:paraId="71FACB43">
            <w:pPr>
              <w:pStyle w:val="163"/>
              <w:jc w:val="center"/>
              <w:rPr>
                <w:rFonts w:ascii="宋体" w:hAnsi="宋体" w:eastAsia="宋体" w:cs="宋体"/>
                <w:color w:val="auto"/>
                <w:kern w:val="2"/>
                <w:sz w:val="21"/>
                <w:szCs w:val="21"/>
                <w:highlight w:val="none"/>
                <w:lang w:val="en-US" w:eastAsia="zh-CN" w:bidi="ar-SA"/>
              </w:rPr>
            </w:pPr>
            <w:r>
              <w:rPr>
                <w:color w:val="auto"/>
                <w:spacing w:val="7"/>
                <w:sz w:val="21"/>
                <w:szCs w:val="21"/>
                <w:highlight w:val="none"/>
              </w:rPr>
              <w:t>质量要求</w:t>
            </w:r>
          </w:p>
        </w:tc>
        <w:tc>
          <w:tcPr>
            <w:tcW w:w="1470" w:type="dxa"/>
            <w:shd w:val="clear" w:color="auto" w:fill="auto"/>
            <w:vAlign w:val="center"/>
          </w:tcPr>
          <w:p w14:paraId="36520D4A">
            <w:pPr>
              <w:pStyle w:val="163"/>
              <w:jc w:val="center"/>
              <w:rPr>
                <w:rFonts w:ascii="宋体" w:hAnsi="宋体" w:eastAsia="宋体" w:cs="宋体"/>
                <w:color w:val="auto"/>
                <w:kern w:val="2"/>
                <w:sz w:val="21"/>
                <w:szCs w:val="21"/>
                <w:highlight w:val="none"/>
                <w:lang w:val="en-US" w:eastAsia="zh-CN" w:bidi="ar-SA"/>
              </w:rPr>
            </w:pPr>
          </w:p>
        </w:tc>
        <w:tc>
          <w:tcPr>
            <w:tcW w:w="2485" w:type="dxa"/>
            <w:vAlign w:val="bottom"/>
          </w:tcPr>
          <w:p w14:paraId="6852C80E">
            <w:pPr>
              <w:spacing w:line="440" w:lineRule="exact"/>
              <w:rPr>
                <w:rFonts w:ascii="宋体" w:hAnsi="宋体" w:cs="宋体"/>
                <w:color w:val="auto"/>
                <w:szCs w:val="21"/>
                <w:highlight w:val="none"/>
              </w:rPr>
            </w:pPr>
          </w:p>
        </w:tc>
        <w:tc>
          <w:tcPr>
            <w:tcW w:w="2110" w:type="dxa"/>
            <w:vAlign w:val="bottom"/>
          </w:tcPr>
          <w:p w14:paraId="5FCD8076">
            <w:pPr>
              <w:spacing w:line="440" w:lineRule="exact"/>
              <w:rPr>
                <w:rFonts w:ascii="宋体" w:hAnsi="宋体" w:cs="宋体"/>
                <w:color w:val="auto"/>
                <w:szCs w:val="21"/>
                <w:highlight w:val="none"/>
              </w:rPr>
            </w:pPr>
          </w:p>
        </w:tc>
      </w:tr>
      <w:tr w14:paraId="58029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7" w:hRule="atLeast"/>
          <w:jc w:val="center"/>
        </w:trPr>
        <w:tc>
          <w:tcPr>
            <w:tcW w:w="730" w:type="dxa"/>
            <w:vAlign w:val="center"/>
          </w:tcPr>
          <w:p w14:paraId="592B5868">
            <w:pPr>
              <w:spacing w:line="440" w:lineRule="exact"/>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w:t>
            </w:r>
          </w:p>
        </w:tc>
        <w:tc>
          <w:tcPr>
            <w:tcW w:w="1590" w:type="dxa"/>
            <w:shd w:val="clear" w:color="auto" w:fill="auto"/>
            <w:vAlign w:val="center"/>
          </w:tcPr>
          <w:p w14:paraId="141F3637">
            <w:pPr>
              <w:pStyle w:val="163"/>
              <w:jc w:val="center"/>
              <w:rPr>
                <w:rFonts w:ascii="宋体" w:hAnsi="宋体" w:eastAsia="宋体" w:cs="宋体"/>
                <w:color w:val="auto"/>
                <w:kern w:val="2"/>
                <w:sz w:val="21"/>
                <w:szCs w:val="21"/>
                <w:highlight w:val="none"/>
                <w:lang w:val="en-US" w:eastAsia="en-US" w:bidi="ar-SA"/>
              </w:rPr>
            </w:pPr>
            <w:r>
              <w:rPr>
                <w:color w:val="auto"/>
                <w:spacing w:val="7"/>
                <w:sz w:val="21"/>
                <w:szCs w:val="21"/>
                <w:highlight w:val="none"/>
              </w:rPr>
              <w:t>投标有效期</w:t>
            </w:r>
          </w:p>
        </w:tc>
        <w:tc>
          <w:tcPr>
            <w:tcW w:w="1470" w:type="dxa"/>
            <w:shd w:val="clear" w:color="auto" w:fill="auto"/>
            <w:vAlign w:val="center"/>
          </w:tcPr>
          <w:p w14:paraId="31AE7DE8">
            <w:pPr>
              <w:pStyle w:val="163"/>
              <w:jc w:val="center"/>
              <w:rPr>
                <w:rFonts w:ascii="宋体" w:hAnsi="宋体" w:eastAsia="宋体" w:cs="宋体"/>
                <w:color w:val="auto"/>
                <w:kern w:val="2"/>
                <w:sz w:val="21"/>
                <w:szCs w:val="21"/>
                <w:highlight w:val="none"/>
                <w:lang w:val="en-US" w:eastAsia="en-US" w:bidi="ar-SA"/>
              </w:rPr>
            </w:pPr>
          </w:p>
        </w:tc>
        <w:tc>
          <w:tcPr>
            <w:tcW w:w="2485" w:type="dxa"/>
            <w:vAlign w:val="bottom"/>
          </w:tcPr>
          <w:p w14:paraId="7858AEB4">
            <w:pPr>
              <w:spacing w:line="440" w:lineRule="exact"/>
              <w:rPr>
                <w:rFonts w:ascii="宋体" w:hAnsi="宋体" w:cs="宋体"/>
                <w:color w:val="auto"/>
                <w:szCs w:val="21"/>
                <w:highlight w:val="none"/>
              </w:rPr>
            </w:pPr>
          </w:p>
        </w:tc>
        <w:tc>
          <w:tcPr>
            <w:tcW w:w="2110" w:type="dxa"/>
            <w:vAlign w:val="bottom"/>
          </w:tcPr>
          <w:p w14:paraId="7D8CB13F">
            <w:pPr>
              <w:spacing w:line="440" w:lineRule="exact"/>
              <w:rPr>
                <w:rFonts w:ascii="宋体" w:hAnsi="宋体" w:cs="宋体"/>
                <w:color w:val="auto"/>
                <w:szCs w:val="21"/>
                <w:highlight w:val="none"/>
              </w:rPr>
            </w:pPr>
          </w:p>
        </w:tc>
      </w:tr>
      <w:tr w14:paraId="1CE68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7" w:hRule="atLeast"/>
          <w:jc w:val="center"/>
        </w:trPr>
        <w:tc>
          <w:tcPr>
            <w:tcW w:w="730" w:type="dxa"/>
            <w:vAlign w:val="center"/>
          </w:tcPr>
          <w:p w14:paraId="291928A4">
            <w:pPr>
              <w:spacing w:line="440" w:lineRule="exact"/>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w:t>
            </w:r>
          </w:p>
        </w:tc>
        <w:tc>
          <w:tcPr>
            <w:tcW w:w="1590" w:type="dxa"/>
            <w:vAlign w:val="center"/>
          </w:tcPr>
          <w:p w14:paraId="027DC000">
            <w:pPr>
              <w:spacing w:line="440" w:lineRule="exact"/>
              <w:jc w:val="center"/>
              <w:rPr>
                <w:rFonts w:hint="eastAsia" w:ascii="宋体" w:hAnsi="宋体" w:eastAsia="宋体" w:cs="宋体"/>
                <w:color w:val="auto"/>
                <w:szCs w:val="21"/>
                <w:highlight w:val="none"/>
                <w:lang w:eastAsia="zh-CN"/>
              </w:rPr>
            </w:pPr>
            <w:r>
              <w:rPr>
                <w:rFonts w:hint="eastAsia" w:ascii="宋体" w:hAnsi="宋体" w:cs="宋体"/>
                <w:b w:val="0"/>
                <w:bCs w:val="0"/>
                <w:color w:val="auto"/>
                <w:szCs w:val="21"/>
                <w:highlight w:val="none"/>
                <w:lang w:val="en-US" w:eastAsia="zh-CN"/>
              </w:rPr>
              <w:t>（</w:t>
            </w:r>
            <w:r>
              <w:rPr>
                <w:rFonts w:hint="eastAsia" w:ascii="宋体" w:hAnsi="宋体" w:cs="宋体"/>
                <w:b w:val="0"/>
                <w:bCs w:val="0"/>
                <w:color w:val="auto"/>
                <w:szCs w:val="21"/>
                <w:highlight w:val="none"/>
              </w:rPr>
              <w:t>商务</w:t>
            </w:r>
            <w:r>
              <w:rPr>
                <w:rFonts w:hint="eastAsia" w:ascii="宋体" w:hAnsi="宋体" w:cs="宋体"/>
                <w:b w:val="0"/>
                <w:bCs w:val="0"/>
                <w:color w:val="auto"/>
                <w:szCs w:val="21"/>
                <w:highlight w:val="none"/>
                <w:lang w:val="en-US" w:eastAsia="zh-CN"/>
              </w:rPr>
              <w:t>服务基本</w:t>
            </w:r>
            <w:r>
              <w:rPr>
                <w:rFonts w:hint="eastAsia" w:ascii="宋体" w:hAnsi="宋体" w:cs="宋体"/>
                <w:b w:val="0"/>
                <w:bCs w:val="0"/>
                <w:color w:val="auto"/>
                <w:szCs w:val="21"/>
                <w:highlight w:val="none"/>
              </w:rPr>
              <w:t>要求</w:t>
            </w:r>
            <w:r>
              <w:rPr>
                <w:rFonts w:hint="eastAsia" w:ascii="宋体" w:hAnsi="宋体" w:cs="宋体"/>
                <w:b w:val="0"/>
                <w:bCs w:val="0"/>
                <w:color w:val="auto"/>
                <w:szCs w:val="21"/>
                <w:highlight w:val="none"/>
                <w:lang w:eastAsia="zh-CN"/>
              </w:rPr>
              <w:t>）</w:t>
            </w:r>
          </w:p>
        </w:tc>
        <w:tc>
          <w:tcPr>
            <w:tcW w:w="1470" w:type="dxa"/>
            <w:vAlign w:val="center"/>
          </w:tcPr>
          <w:p w14:paraId="68922D03">
            <w:pPr>
              <w:pStyle w:val="163"/>
              <w:jc w:val="center"/>
              <w:rPr>
                <w:color w:val="auto"/>
                <w:sz w:val="21"/>
                <w:szCs w:val="21"/>
                <w:highlight w:val="none"/>
              </w:rPr>
            </w:pPr>
          </w:p>
        </w:tc>
        <w:tc>
          <w:tcPr>
            <w:tcW w:w="2485" w:type="dxa"/>
            <w:vAlign w:val="bottom"/>
          </w:tcPr>
          <w:p w14:paraId="292BA380">
            <w:pPr>
              <w:spacing w:line="440" w:lineRule="exact"/>
              <w:rPr>
                <w:rFonts w:ascii="宋体" w:hAnsi="宋体" w:cs="宋体"/>
                <w:color w:val="auto"/>
                <w:szCs w:val="21"/>
                <w:highlight w:val="none"/>
              </w:rPr>
            </w:pPr>
          </w:p>
        </w:tc>
        <w:tc>
          <w:tcPr>
            <w:tcW w:w="2110" w:type="dxa"/>
            <w:vAlign w:val="bottom"/>
          </w:tcPr>
          <w:p w14:paraId="3556B4D7">
            <w:pPr>
              <w:spacing w:line="440" w:lineRule="exact"/>
              <w:rPr>
                <w:rFonts w:ascii="宋体" w:hAnsi="宋体" w:cs="宋体"/>
                <w:color w:val="auto"/>
                <w:szCs w:val="21"/>
                <w:highlight w:val="none"/>
              </w:rPr>
            </w:pPr>
          </w:p>
        </w:tc>
      </w:tr>
      <w:tr w14:paraId="6A9EE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7" w:hRule="atLeast"/>
          <w:jc w:val="center"/>
        </w:trPr>
        <w:tc>
          <w:tcPr>
            <w:tcW w:w="730" w:type="dxa"/>
            <w:vAlign w:val="center"/>
          </w:tcPr>
          <w:p w14:paraId="04553113">
            <w:pPr>
              <w:spacing w:line="440" w:lineRule="exact"/>
              <w:jc w:val="center"/>
              <w:rPr>
                <w:rFonts w:hint="eastAsia" w:ascii="宋体" w:hAnsi="宋体" w:cs="宋体"/>
                <w:b w:val="0"/>
                <w:bCs w:val="0"/>
                <w:color w:val="auto"/>
                <w:szCs w:val="21"/>
                <w:highlight w:val="none"/>
                <w:lang w:val="en-US" w:eastAsia="zh-CN"/>
              </w:rPr>
            </w:pPr>
          </w:p>
        </w:tc>
        <w:tc>
          <w:tcPr>
            <w:tcW w:w="1590" w:type="dxa"/>
            <w:vAlign w:val="center"/>
          </w:tcPr>
          <w:p w14:paraId="599DFD1C">
            <w:pPr>
              <w:spacing w:line="440" w:lineRule="exact"/>
              <w:jc w:val="center"/>
              <w:rPr>
                <w:rFonts w:hint="eastAsia" w:ascii="宋体" w:hAnsi="宋体" w:cs="宋体"/>
                <w:b w:val="0"/>
                <w:bCs w:val="0"/>
                <w:color w:val="auto"/>
                <w:szCs w:val="21"/>
                <w:highlight w:val="none"/>
                <w:lang w:val="en-US" w:eastAsia="zh-CN"/>
              </w:rPr>
            </w:pPr>
          </w:p>
        </w:tc>
        <w:tc>
          <w:tcPr>
            <w:tcW w:w="1470" w:type="dxa"/>
            <w:vAlign w:val="center"/>
          </w:tcPr>
          <w:p w14:paraId="5E74AE75">
            <w:pPr>
              <w:pStyle w:val="163"/>
              <w:jc w:val="center"/>
              <w:rPr>
                <w:rFonts w:hint="eastAsia"/>
                <w:color w:val="auto"/>
                <w:sz w:val="21"/>
                <w:szCs w:val="21"/>
                <w:highlight w:val="none"/>
                <w:lang w:val="en-US" w:eastAsia="zh-CN"/>
              </w:rPr>
            </w:pPr>
          </w:p>
        </w:tc>
        <w:tc>
          <w:tcPr>
            <w:tcW w:w="2485" w:type="dxa"/>
            <w:vAlign w:val="bottom"/>
          </w:tcPr>
          <w:p w14:paraId="174A66F6">
            <w:pPr>
              <w:spacing w:line="440" w:lineRule="exact"/>
              <w:rPr>
                <w:rFonts w:ascii="宋体" w:hAnsi="宋体" w:cs="宋体"/>
                <w:color w:val="auto"/>
                <w:szCs w:val="21"/>
                <w:highlight w:val="none"/>
              </w:rPr>
            </w:pPr>
          </w:p>
        </w:tc>
        <w:tc>
          <w:tcPr>
            <w:tcW w:w="2110" w:type="dxa"/>
            <w:vAlign w:val="bottom"/>
          </w:tcPr>
          <w:p w14:paraId="1C1772D3">
            <w:pPr>
              <w:spacing w:line="440" w:lineRule="exact"/>
              <w:rPr>
                <w:rFonts w:ascii="宋体" w:hAnsi="宋体" w:cs="宋体"/>
                <w:color w:val="auto"/>
                <w:szCs w:val="21"/>
                <w:highlight w:val="none"/>
              </w:rPr>
            </w:pPr>
          </w:p>
        </w:tc>
      </w:tr>
      <w:tr w14:paraId="6C4C2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7" w:hRule="atLeast"/>
          <w:jc w:val="center"/>
        </w:trPr>
        <w:tc>
          <w:tcPr>
            <w:tcW w:w="730" w:type="dxa"/>
            <w:vAlign w:val="center"/>
          </w:tcPr>
          <w:p w14:paraId="076E7FFB">
            <w:pPr>
              <w:spacing w:line="440" w:lineRule="exact"/>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w:t>
            </w:r>
          </w:p>
        </w:tc>
        <w:tc>
          <w:tcPr>
            <w:tcW w:w="1590" w:type="dxa"/>
            <w:vAlign w:val="center"/>
          </w:tcPr>
          <w:p w14:paraId="1A7EF3CF">
            <w:pPr>
              <w:spacing w:line="440" w:lineRule="exact"/>
              <w:jc w:val="center"/>
              <w:rPr>
                <w:rFonts w:hint="eastAsia" w:ascii="宋体" w:hAnsi="宋体" w:cs="宋体"/>
                <w:color w:val="auto"/>
                <w:szCs w:val="21"/>
                <w:highlight w:val="none"/>
                <w:lang w:val="en-US" w:eastAsia="zh-CN"/>
              </w:rPr>
            </w:pPr>
            <w:r>
              <w:rPr>
                <w:rFonts w:hint="eastAsia" w:ascii="宋体" w:hAnsi="宋体" w:eastAsia="宋体" w:cs="宋体"/>
                <w:color w:val="auto"/>
                <w:kern w:val="2"/>
                <w:sz w:val="21"/>
                <w:szCs w:val="21"/>
                <w:highlight w:val="none"/>
                <w:lang w:val="en-US" w:eastAsia="zh-CN" w:bidi="ar-SA"/>
              </w:rPr>
              <w:t>......</w:t>
            </w:r>
          </w:p>
        </w:tc>
        <w:tc>
          <w:tcPr>
            <w:tcW w:w="1470" w:type="dxa"/>
            <w:vAlign w:val="center"/>
          </w:tcPr>
          <w:p w14:paraId="391F7EFB">
            <w:pPr>
              <w:pStyle w:val="163"/>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2485" w:type="dxa"/>
            <w:vAlign w:val="bottom"/>
          </w:tcPr>
          <w:p w14:paraId="33DCE4E4">
            <w:pPr>
              <w:spacing w:line="440" w:lineRule="exact"/>
              <w:rPr>
                <w:rFonts w:ascii="宋体" w:hAnsi="宋体" w:cs="宋体"/>
                <w:color w:val="auto"/>
                <w:szCs w:val="21"/>
                <w:highlight w:val="none"/>
              </w:rPr>
            </w:pPr>
          </w:p>
        </w:tc>
        <w:tc>
          <w:tcPr>
            <w:tcW w:w="2110" w:type="dxa"/>
            <w:vAlign w:val="bottom"/>
          </w:tcPr>
          <w:p w14:paraId="1E4F5BB1">
            <w:pPr>
              <w:spacing w:line="440" w:lineRule="exact"/>
              <w:rPr>
                <w:rFonts w:ascii="宋体" w:hAnsi="宋体" w:cs="宋体"/>
                <w:color w:val="auto"/>
                <w:szCs w:val="21"/>
                <w:highlight w:val="none"/>
              </w:rPr>
            </w:pPr>
          </w:p>
        </w:tc>
      </w:tr>
    </w:tbl>
    <w:p w14:paraId="384DFBA6">
      <w:pPr>
        <w:spacing w:line="360" w:lineRule="auto"/>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注：</w:t>
      </w:r>
    </w:p>
    <w:p w14:paraId="00535B85">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响应项</w:t>
      </w:r>
      <w:r>
        <w:rPr>
          <w:rFonts w:hint="eastAsia" w:ascii="宋体" w:hAnsi="宋体" w:cs="宋体"/>
          <w:color w:val="auto"/>
          <w:szCs w:val="21"/>
          <w:highlight w:val="none"/>
        </w:rPr>
        <w:t>必须按照招标文件中商务要求逐一填写，不得出现缺项。</w:t>
      </w:r>
    </w:p>
    <w:p w14:paraId="661C3FD6">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招标文件“</w:t>
      </w:r>
      <w:r>
        <w:rPr>
          <w:rFonts w:hint="eastAsia" w:ascii="宋体" w:hAnsi="宋体" w:cs="宋体"/>
          <w:b/>
          <w:bCs/>
          <w:color w:val="auto"/>
          <w:szCs w:val="21"/>
          <w:highlight w:val="none"/>
          <w:lang w:val="en-US" w:eastAsia="zh-CN"/>
        </w:rPr>
        <w:t xml:space="preserve">第五章 采购需求中 </w:t>
      </w:r>
      <w:r>
        <w:rPr>
          <w:rFonts w:hint="eastAsia" w:ascii="宋体" w:hAnsi="宋体" w:cs="宋体"/>
          <w:b/>
          <w:bCs/>
          <w:color w:val="auto"/>
          <w:szCs w:val="21"/>
          <w:highlight w:val="none"/>
        </w:rPr>
        <w:t>商务</w:t>
      </w:r>
      <w:r>
        <w:rPr>
          <w:rFonts w:hint="eastAsia" w:ascii="宋体" w:hAnsi="宋体" w:cs="宋体"/>
          <w:b/>
          <w:bCs/>
          <w:color w:val="auto"/>
          <w:szCs w:val="21"/>
          <w:highlight w:val="none"/>
          <w:lang w:val="en-US" w:eastAsia="zh-CN"/>
        </w:rPr>
        <w:t>服务基本</w:t>
      </w:r>
      <w:r>
        <w:rPr>
          <w:rFonts w:hint="eastAsia" w:ascii="宋体" w:hAnsi="宋体" w:cs="宋体"/>
          <w:b/>
          <w:bCs/>
          <w:color w:val="auto"/>
          <w:szCs w:val="21"/>
          <w:highlight w:val="none"/>
        </w:rPr>
        <w:t>要求</w:t>
      </w:r>
      <w:r>
        <w:rPr>
          <w:rFonts w:hint="eastAsia" w:ascii="宋体" w:hAnsi="宋体" w:cs="宋体"/>
          <w:b/>
          <w:bCs/>
          <w:color w:val="auto"/>
          <w:szCs w:val="21"/>
          <w:highlight w:val="none"/>
          <w:lang w:eastAsia="zh-CN"/>
        </w:rPr>
        <w:t>”</w:t>
      </w:r>
      <w:r>
        <w:rPr>
          <w:rFonts w:hint="eastAsia" w:ascii="宋体" w:hAnsi="宋体" w:cs="宋体"/>
          <w:color w:val="auto"/>
          <w:szCs w:val="21"/>
          <w:highlight w:val="none"/>
        </w:rPr>
        <w:t>为招标文件中的实质性要求，必须全部响应；</w:t>
      </w:r>
    </w:p>
    <w:p w14:paraId="26278A67">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3、商务条款证明材料或承诺函附后（</w:t>
      </w:r>
      <w:r>
        <w:rPr>
          <w:rFonts w:hint="eastAsia" w:ascii="宋体" w:hAnsi="宋体" w:cs="宋体"/>
          <w:color w:val="auto"/>
          <w:szCs w:val="21"/>
          <w:highlight w:val="none"/>
          <w:lang w:val="en-US" w:eastAsia="zh-CN"/>
        </w:rPr>
        <w:t>如有</w:t>
      </w:r>
      <w:r>
        <w:rPr>
          <w:rFonts w:hint="eastAsia" w:ascii="宋体" w:hAnsi="宋体" w:cs="宋体"/>
          <w:color w:val="auto"/>
          <w:szCs w:val="21"/>
          <w:highlight w:val="none"/>
        </w:rPr>
        <w:t>）。</w:t>
      </w:r>
    </w:p>
    <w:p w14:paraId="09DDACB2">
      <w:pPr>
        <w:spacing w:line="440" w:lineRule="exact"/>
        <w:rPr>
          <w:rFonts w:ascii="宋体" w:hAnsi="宋体" w:cs="宋体"/>
          <w:color w:val="auto"/>
          <w:szCs w:val="21"/>
          <w:highlight w:val="none"/>
        </w:rPr>
      </w:pPr>
    </w:p>
    <w:p w14:paraId="3500173B">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（单位电子印章）</w:t>
      </w:r>
    </w:p>
    <w:p w14:paraId="282174C7">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（电子签章或签字）</w:t>
      </w:r>
    </w:p>
    <w:p w14:paraId="257B0379">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731AC5FB">
      <w:pPr>
        <w:spacing w:line="520" w:lineRule="exact"/>
        <w:ind w:firstLine="420" w:firstLineChars="200"/>
        <w:rPr>
          <w:rFonts w:ascii="宋体" w:hAnsi="宋体" w:cs="宋体"/>
          <w:color w:val="auto"/>
          <w:szCs w:val="21"/>
          <w:highlight w:val="none"/>
        </w:rPr>
      </w:pPr>
    </w:p>
    <w:p w14:paraId="597B18CF">
      <w:pPr>
        <w:rPr>
          <w:color w:val="auto"/>
          <w:highlight w:val="none"/>
        </w:rPr>
      </w:pPr>
      <w:r>
        <w:rPr>
          <w:color w:val="auto"/>
          <w:highlight w:val="none"/>
        </w:rPr>
        <w:br w:type="page"/>
      </w:r>
    </w:p>
    <w:p w14:paraId="5610EF45">
      <w:pPr>
        <w:pStyle w:val="3"/>
        <w:rPr>
          <w:color w:val="auto"/>
          <w:sz w:val="32"/>
          <w:szCs w:val="21"/>
          <w:highlight w:val="none"/>
        </w:rPr>
      </w:pPr>
      <w:bookmarkStart w:id="319" w:name="_Toc34216021"/>
      <w:bookmarkStart w:id="320" w:name="_Toc1737"/>
      <w:bookmarkStart w:id="321" w:name="_Toc32152"/>
      <w:r>
        <w:rPr>
          <w:rFonts w:hint="eastAsia"/>
          <w:color w:val="auto"/>
          <w:sz w:val="32"/>
          <w:szCs w:val="21"/>
          <w:highlight w:val="none"/>
        </w:rPr>
        <w:t>六、资格审查资料</w:t>
      </w:r>
      <w:bookmarkEnd w:id="319"/>
      <w:bookmarkEnd w:id="320"/>
      <w:bookmarkEnd w:id="321"/>
    </w:p>
    <w:p w14:paraId="7947ED55">
      <w:pPr>
        <w:keepNext/>
        <w:keepLines/>
        <w:spacing w:line="360" w:lineRule="auto"/>
        <w:jc w:val="center"/>
        <w:outlineLvl w:val="2"/>
        <w:rPr>
          <w:rFonts w:ascii="宋体" w:hAnsi="宋体" w:cs="宋体"/>
          <w:b/>
          <w:color w:val="auto"/>
          <w:sz w:val="28"/>
          <w:szCs w:val="28"/>
          <w:highlight w:val="none"/>
        </w:rPr>
      </w:pPr>
      <w:bookmarkStart w:id="322" w:name="_Toc31363"/>
      <w:bookmarkStart w:id="323" w:name="_Toc1690531198"/>
      <w:bookmarkStart w:id="324" w:name="_Toc17983"/>
      <w:r>
        <w:rPr>
          <w:rFonts w:hint="eastAsia" w:ascii="宋体" w:hAnsi="宋体" w:cs="宋体"/>
          <w:b/>
          <w:color w:val="auto"/>
          <w:szCs w:val="21"/>
          <w:highlight w:val="none"/>
        </w:rPr>
        <w:t>1、投标人基本情况表</w:t>
      </w:r>
      <w:bookmarkEnd w:id="322"/>
      <w:bookmarkEnd w:id="323"/>
      <w:bookmarkEnd w:id="324"/>
    </w:p>
    <w:tbl>
      <w:tblPr>
        <w:tblStyle w:val="38"/>
        <w:tblW w:w="91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4"/>
        <w:gridCol w:w="1390"/>
        <w:gridCol w:w="2458"/>
        <w:gridCol w:w="1268"/>
        <w:gridCol w:w="1884"/>
      </w:tblGrid>
      <w:tr w14:paraId="4B1E4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144" w:type="dxa"/>
            <w:tcBorders>
              <w:top w:val="single" w:color="auto" w:sz="4" w:space="0"/>
              <w:left w:val="single" w:color="auto" w:sz="4" w:space="0"/>
              <w:bottom w:val="single" w:color="auto" w:sz="4" w:space="0"/>
              <w:right w:val="single" w:color="auto" w:sz="4" w:space="0"/>
            </w:tcBorders>
            <w:vAlign w:val="center"/>
          </w:tcPr>
          <w:p w14:paraId="488722D9">
            <w:pPr>
              <w:jc w:val="center"/>
              <w:rPr>
                <w:rFonts w:ascii="宋体" w:hAnsi="宋体" w:cs="宋体"/>
                <w:color w:val="auto"/>
                <w:szCs w:val="21"/>
                <w:highlight w:val="none"/>
              </w:rPr>
            </w:pPr>
            <w:r>
              <w:rPr>
                <w:rFonts w:hint="eastAsia" w:ascii="宋体" w:hAnsi="宋体" w:cs="宋体"/>
                <w:color w:val="auto"/>
                <w:szCs w:val="21"/>
                <w:highlight w:val="none"/>
              </w:rPr>
              <w:t>投标人名称</w:t>
            </w:r>
          </w:p>
        </w:tc>
        <w:tc>
          <w:tcPr>
            <w:tcW w:w="7000" w:type="dxa"/>
            <w:gridSpan w:val="4"/>
            <w:tcBorders>
              <w:top w:val="single" w:color="auto" w:sz="4" w:space="0"/>
              <w:left w:val="single" w:color="auto" w:sz="4" w:space="0"/>
              <w:bottom w:val="single" w:color="auto" w:sz="4" w:space="0"/>
              <w:right w:val="single" w:color="auto" w:sz="4" w:space="0"/>
            </w:tcBorders>
            <w:vAlign w:val="center"/>
          </w:tcPr>
          <w:p w14:paraId="17E73980">
            <w:pPr>
              <w:jc w:val="center"/>
              <w:rPr>
                <w:rFonts w:ascii="宋体" w:hAnsi="宋体" w:cs="宋体"/>
                <w:color w:val="auto"/>
                <w:szCs w:val="21"/>
                <w:highlight w:val="none"/>
              </w:rPr>
            </w:pPr>
          </w:p>
        </w:tc>
      </w:tr>
      <w:tr w14:paraId="4F039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144" w:type="dxa"/>
            <w:tcBorders>
              <w:top w:val="single" w:color="auto" w:sz="4" w:space="0"/>
              <w:left w:val="single" w:color="auto" w:sz="4" w:space="0"/>
              <w:bottom w:val="single" w:color="auto" w:sz="4" w:space="0"/>
              <w:right w:val="single" w:color="auto" w:sz="4" w:space="0"/>
            </w:tcBorders>
            <w:vAlign w:val="center"/>
          </w:tcPr>
          <w:p w14:paraId="3EA0FC2B">
            <w:pPr>
              <w:jc w:val="center"/>
              <w:rPr>
                <w:rFonts w:ascii="宋体" w:hAnsi="宋体" w:cs="宋体"/>
                <w:color w:val="auto"/>
                <w:szCs w:val="21"/>
                <w:highlight w:val="none"/>
              </w:rPr>
            </w:pPr>
            <w:r>
              <w:rPr>
                <w:rFonts w:hint="eastAsia" w:ascii="宋体" w:hAnsi="宋体" w:cs="宋体"/>
                <w:color w:val="auto"/>
                <w:szCs w:val="21"/>
                <w:highlight w:val="none"/>
              </w:rPr>
              <w:t>注册资金</w:t>
            </w:r>
          </w:p>
        </w:tc>
        <w:tc>
          <w:tcPr>
            <w:tcW w:w="3848" w:type="dxa"/>
            <w:gridSpan w:val="2"/>
            <w:tcBorders>
              <w:top w:val="single" w:color="auto" w:sz="4" w:space="0"/>
              <w:left w:val="single" w:color="auto" w:sz="4" w:space="0"/>
              <w:bottom w:val="single" w:color="auto" w:sz="4" w:space="0"/>
              <w:right w:val="single" w:color="auto" w:sz="4" w:space="0"/>
            </w:tcBorders>
            <w:vAlign w:val="center"/>
          </w:tcPr>
          <w:p w14:paraId="7910A0AD">
            <w:pPr>
              <w:jc w:val="center"/>
              <w:rPr>
                <w:rFonts w:ascii="宋体" w:hAnsi="宋体" w:cs="宋体"/>
                <w:color w:val="auto"/>
                <w:szCs w:val="21"/>
                <w:highlight w:val="none"/>
              </w:rPr>
            </w:pPr>
          </w:p>
        </w:tc>
        <w:tc>
          <w:tcPr>
            <w:tcW w:w="1268" w:type="dxa"/>
            <w:tcBorders>
              <w:top w:val="single" w:color="auto" w:sz="4" w:space="0"/>
              <w:left w:val="single" w:color="auto" w:sz="4" w:space="0"/>
              <w:bottom w:val="single" w:color="auto" w:sz="4" w:space="0"/>
              <w:right w:val="single" w:color="auto" w:sz="4" w:space="0"/>
            </w:tcBorders>
            <w:vAlign w:val="center"/>
          </w:tcPr>
          <w:p w14:paraId="0B859FCC">
            <w:pPr>
              <w:jc w:val="center"/>
              <w:rPr>
                <w:rFonts w:ascii="宋体" w:hAnsi="宋体" w:cs="宋体"/>
                <w:color w:val="auto"/>
                <w:szCs w:val="21"/>
                <w:highlight w:val="none"/>
              </w:rPr>
            </w:pPr>
            <w:r>
              <w:rPr>
                <w:rFonts w:hint="eastAsia" w:ascii="宋体" w:hAnsi="宋体" w:cs="宋体"/>
                <w:color w:val="auto"/>
                <w:szCs w:val="21"/>
                <w:highlight w:val="none"/>
              </w:rPr>
              <w:t>成立时间</w:t>
            </w:r>
          </w:p>
        </w:tc>
        <w:tc>
          <w:tcPr>
            <w:tcW w:w="1884" w:type="dxa"/>
            <w:tcBorders>
              <w:top w:val="single" w:color="auto" w:sz="4" w:space="0"/>
              <w:left w:val="single" w:color="auto" w:sz="4" w:space="0"/>
              <w:bottom w:val="single" w:color="auto" w:sz="4" w:space="0"/>
              <w:right w:val="single" w:color="auto" w:sz="4" w:space="0"/>
            </w:tcBorders>
            <w:vAlign w:val="center"/>
          </w:tcPr>
          <w:p w14:paraId="6C396739">
            <w:pPr>
              <w:jc w:val="center"/>
              <w:rPr>
                <w:rFonts w:ascii="宋体" w:hAnsi="宋体" w:cs="宋体"/>
                <w:color w:val="auto"/>
                <w:szCs w:val="21"/>
                <w:highlight w:val="none"/>
              </w:rPr>
            </w:pPr>
          </w:p>
        </w:tc>
      </w:tr>
      <w:tr w14:paraId="4002A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144" w:type="dxa"/>
            <w:tcBorders>
              <w:top w:val="single" w:color="auto" w:sz="4" w:space="0"/>
              <w:left w:val="single" w:color="auto" w:sz="4" w:space="0"/>
              <w:bottom w:val="single" w:color="auto" w:sz="4" w:space="0"/>
              <w:right w:val="single" w:color="auto" w:sz="4" w:space="0"/>
            </w:tcBorders>
            <w:vAlign w:val="center"/>
          </w:tcPr>
          <w:p w14:paraId="62C27B5B">
            <w:pPr>
              <w:jc w:val="center"/>
              <w:rPr>
                <w:rFonts w:ascii="宋体" w:hAnsi="宋体" w:cs="宋体"/>
                <w:color w:val="auto"/>
                <w:szCs w:val="21"/>
                <w:highlight w:val="none"/>
              </w:rPr>
            </w:pPr>
            <w:r>
              <w:rPr>
                <w:rFonts w:hint="eastAsia" w:ascii="宋体" w:hAnsi="宋体" w:cs="宋体"/>
                <w:color w:val="auto"/>
                <w:szCs w:val="21"/>
                <w:highlight w:val="none"/>
              </w:rPr>
              <w:t>注册地址</w:t>
            </w:r>
          </w:p>
        </w:tc>
        <w:tc>
          <w:tcPr>
            <w:tcW w:w="7000" w:type="dxa"/>
            <w:gridSpan w:val="4"/>
            <w:tcBorders>
              <w:top w:val="single" w:color="auto" w:sz="4" w:space="0"/>
              <w:left w:val="single" w:color="auto" w:sz="4" w:space="0"/>
              <w:bottom w:val="single" w:color="auto" w:sz="4" w:space="0"/>
              <w:right w:val="single" w:color="auto" w:sz="4" w:space="0"/>
            </w:tcBorders>
            <w:vAlign w:val="center"/>
          </w:tcPr>
          <w:p w14:paraId="4C23AAC2">
            <w:pPr>
              <w:jc w:val="center"/>
              <w:rPr>
                <w:rFonts w:ascii="宋体" w:hAnsi="宋体" w:cs="宋体"/>
                <w:color w:val="auto"/>
                <w:szCs w:val="21"/>
                <w:highlight w:val="none"/>
              </w:rPr>
            </w:pPr>
          </w:p>
        </w:tc>
      </w:tr>
      <w:tr w14:paraId="29801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144" w:type="dxa"/>
            <w:tcBorders>
              <w:top w:val="single" w:color="auto" w:sz="4" w:space="0"/>
              <w:left w:val="single" w:color="auto" w:sz="4" w:space="0"/>
              <w:bottom w:val="single" w:color="auto" w:sz="4" w:space="0"/>
              <w:right w:val="single" w:color="auto" w:sz="4" w:space="0"/>
            </w:tcBorders>
            <w:vAlign w:val="center"/>
          </w:tcPr>
          <w:p w14:paraId="05081A19">
            <w:pPr>
              <w:jc w:val="center"/>
              <w:rPr>
                <w:rFonts w:ascii="宋体" w:hAnsi="宋体" w:cs="宋体"/>
                <w:color w:val="auto"/>
                <w:szCs w:val="21"/>
                <w:highlight w:val="none"/>
              </w:rPr>
            </w:pPr>
            <w:r>
              <w:rPr>
                <w:rFonts w:hint="eastAsia" w:ascii="宋体" w:hAnsi="宋体" w:cs="宋体"/>
                <w:color w:val="auto"/>
                <w:szCs w:val="21"/>
                <w:highlight w:val="none"/>
              </w:rPr>
              <w:t>邮政编码</w:t>
            </w:r>
          </w:p>
        </w:tc>
        <w:tc>
          <w:tcPr>
            <w:tcW w:w="3848" w:type="dxa"/>
            <w:gridSpan w:val="2"/>
            <w:tcBorders>
              <w:top w:val="single" w:color="auto" w:sz="4" w:space="0"/>
              <w:left w:val="single" w:color="auto" w:sz="4" w:space="0"/>
              <w:bottom w:val="single" w:color="auto" w:sz="4" w:space="0"/>
              <w:right w:val="single" w:color="auto" w:sz="4" w:space="0"/>
            </w:tcBorders>
            <w:vAlign w:val="center"/>
          </w:tcPr>
          <w:p w14:paraId="46C404AF">
            <w:pPr>
              <w:jc w:val="center"/>
              <w:rPr>
                <w:rFonts w:ascii="宋体" w:hAnsi="宋体" w:cs="宋体"/>
                <w:color w:val="auto"/>
                <w:szCs w:val="21"/>
                <w:highlight w:val="none"/>
              </w:rPr>
            </w:pPr>
          </w:p>
        </w:tc>
        <w:tc>
          <w:tcPr>
            <w:tcW w:w="1268" w:type="dxa"/>
            <w:tcBorders>
              <w:top w:val="single" w:color="auto" w:sz="4" w:space="0"/>
              <w:left w:val="single" w:color="auto" w:sz="4" w:space="0"/>
              <w:bottom w:val="single" w:color="auto" w:sz="4" w:space="0"/>
              <w:right w:val="single" w:color="auto" w:sz="4" w:space="0"/>
            </w:tcBorders>
            <w:vAlign w:val="center"/>
          </w:tcPr>
          <w:p w14:paraId="47F3D9A0">
            <w:pPr>
              <w:jc w:val="center"/>
              <w:rPr>
                <w:rFonts w:ascii="宋体" w:hAnsi="宋体" w:cs="宋体"/>
                <w:color w:val="auto"/>
                <w:szCs w:val="21"/>
                <w:highlight w:val="none"/>
              </w:rPr>
            </w:pPr>
            <w:r>
              <w:rPr>
                <w:rFonts w:hint="eastAsia" w:ascii="宋体" w:hAnsi="宋体" w:cs="宋体"/>
                <w:color w:val="auto"/>
                <w:szCs w:val="21"/>
                <w:highlight w:val="none"/>
              </w:rPr>
              <w:t>员工总数</w:t>
            </w:r>
          </w:p>
        </w:tc>
        <w:tc>
          <w:tcPr>
            <w:tcW w:w="1884" w:type="dxa"/>
            <w:tcBorders>
              <w:top w:val="single" w:color="auto" w:sz="4" w:space="0"/>
              <w:left w:val="single" w:color="auto" w:sz="4" w:space="0"/>
              <w:bottom w:val="single" w:color="auto" w:sz="4" w:space="0"/>
              <w:right w:val="single" w:color="auto" w:sz="4" w:space="0"/>
            </w:tcBorders>
            <w:vAlign w:val="center"/>
          </w:tcPr>
          <w:p w14:paraId="1F422F2B">
            <w:pPr>
              <w:jc w:val="center"/>
              <w:rPr>
                <w:rFonts w:ascii="宋体" w:hAnsi="宋体" w:cs="宋体"/>
                <w:color w:val="auto"/>
                <w:szCs w:val="21"/>
                <w:highlight w:val="none"/>
              </w:rPr>
            </w:pPr>
          </w:p>
        </w:tc>
      </w:tr>
      <w:tr w14:paraId="51CEE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144" w:type="dxa"/>
            <w:vMerge w:val="restart"/>
            <w:tcBorders>
              <w:top w:val="single" w:color="auto" w:sz="4" w:space="0"/>
              <w:left w:val="single" w:color="auto" w:sz="4" w:space="0"/>
              <w:bottom w:val="single" w:color="auto" w:sz="4" w:space="0"/>
              <w:right w:val="single" w:color="auto" w:sz="4" w:space="0"/>
            </w:tcBorders>
            <w:vAlign w:val="center"/>
          </w:tcPr>
          <w:p w14:paraId="1AAC4424">
            <w:pPr>
              <w:jc w:val="center"/>
              <w:rPr>
                <w:rFonts w:ascii="宋体" w:hAnsi="宋体" w:cs="宋体"/>
                <w:color w:val="auto"/>
                <w:szCs w:val="21"/>
                <w:highlight w:val="none"/>
              </w:rPr>
            </w:pPr>
            <w:r>
              <w:rPr>
                <w:rFonts w:hint="eastAsia" w:ascii="宋体" w:hAnsi="宋体" w:cs="宋体"/>
                <w:color w:val="auto"/>
                <w:szCs w:val="21"/>
                <w:highlight w:val="none"/>
              </w:rPr>
              <w:t>联系方式</w:t>
            </w:r>
          </w:p>
        </w:tc>
        <w:tc>
          <w:tcPr>
            <w:tcW w:w="1390" w:type="dxa"/>
            <w:tcBorders>
              <w:top w:val="single" w:color="auto" w:sz="4" w:space="0"/>
              <w:left w:val="single" w:color="auto" w:sz="4" w:space="0"/>
              <w:bottom w:val="single" w:color="auto" w:sz="4" w:space="0"/>
              <w:right w:val="single" w:color="auto" w:sz="4" w:space="0"/>
            </w:tcBorders>
            <w:vAlign w:val="center"/>
          </w:tcPr>
          <w:p w14:paraId="54A81BBF">
            <w:pPr>
              <w:jc w:val="center"/>
              <w:rPr>
                <w:rFonts w:ascii="宋体" w:hAnsi="宋体" w:cs="宋体"/>
                <w:color w:val="auto"/>
                <w:szCs w:val="21"/>
                <w:highlight w:val="none"/>
              </w:rPr>
            </w:pPr>
            <w:r>
              <w:rPr>
                <w:rFonts w:hint="eastAsia" w:ascii="宋体" w:hAnsi="宋体" w:cs="宋体"/>
                <w:color w:val="auto"/>
                <w:szCs w:val="21"/>
                <w:highlight w:val="none"/>
              </w:rPr>
              <w:t>联系人</w:t>
            </w:r>
          </w:p>
        </w:tc>
        <w:tc>
          <w:tcPr>
            <w:tcW w:w="2458" w:type="dxa"/>
            <w:tcBorders>
              <w:top w:val="single" w:color="auto" w:sz="4" w:space="0"/>
              <w:left w:val="single" w:color="auto" w:sz="4" w:space="0"/>
              <w:bottom w:val="single" w:color="auto" w:sz="4" w:space="0"/>
              <w:right w:val="single" w:color="auto" w:sz="4" w:space="0"/>
            </w:tcBorders>
            <w:vAlign w:val="center"/>
          </w:tcPr>
          <w:p w14:paraId="15283582">
            <w:pPr>
              <w:jc w:val="center"/>
              <w:rPr>
                <w:rFonts w:ascii="宋体" w:hAnsi="宋体" w:cs="宋体"/>
                <w:color w:val="auto"/>
                <w:szCs w:val="21"/>
                <w:highlight w:val="none"/>
              </w:rPr>
            </w:pPr>
          </w:p>
        </w:tc>
        <w:tc>
          <w:tcPr>
            <w:tcW w:w="1268" w:type="dxa"/>
            <w:tcBorders>
              <w:top w:val="single" w:color="auto" w:sz="4" w:space="0"/>
              <w:left w:val="single" w:color="auto" w:sz="4" w:space="0"/>
              <w:bottom w:val="single" w:color="auto" w:sz="4" w:space="0"/>
              <w:right w:val="single" w:color="auto" w:sz="4" w:space="0"/>
            </w:tcBorders>
            <w:vAlign w:val="center"/>
          </w:tcPr>
          <w:p w14:paraId="47FA8671">
            <w:pPr>
              <w:jc w:val="center"/>
              <w:rPr>
                <w:rFonts w:ascii="宋体" w:hAnsi="宋体" w:cs="宋体"/>
                <w:color w:val="auto"/>
                <w:szCs w:val="21"/>
                <w:highlight w:val="none"/>
              </w:rPr>
            </w:pPr>
            <w:r>
              <w:rPr>
                <w:rFonts w:hint="eastAsia" w:ascii="宋体" w:hAnsi="宋体" w:cs="宋体"/>
                <w:color w:val="auto"/>
                <w:szCs w:val="21"/>
                <w:highlight w:val="none"/>
              </w:rPr>
              <w:t>电话</w:t>
            </w:r>
          </w:p>
        </w:tc>
        <w:tc>
          <w:tcPr>
            <w:tcW w:w="1884" w:type="dxa"/>
            <w:tcBorders>
              <w:top w:val="single" w:color="auto" w:sz="4" w:space="0"/>
              <w:left w:val="single" w:color="auto" w:sz="4" w:space="0"/>
              <w:bottom w:val="single" w:color="auto" w:sz="4" w:space="0"/>
              <w:right w:val="single" w:color="auto" w:sz="4" w:space="0"/>
            </w:tcBorders>
            <w:vAlign w:val="center"/>
          </w:tcPr>
          <w:p w14:paraId="7C62E562">
            <w:pPr>
              <w:jc w:val="center"/>
              <w:rPr>
                <w:rFonts w:ascii="宋体" w:hAnsi="宋体" w:cs="宋体"/>
                <w:color w:val="auto"/>
                <w:szCs w:val="21"/>
                <w:highlight w:val="none"/>
              </w:rPr>
            </w:pPr>
          </w:p>
        </w:tc>
      </w:tr>
      <w:tr w14:paraId="3D7E5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144" w:type="dxa"/>
            <w:vMerge w:val="continue"/>
            <w:tcBorders>
              <w:top w:val="single" w:color="auto" w:sz="4" w:space="0"/>
              <w:left w:val="single" w:color="auto" w:sz="4" w:space="0"/>
              <w:bottom w:val="single" w:color="auto" w:sz="4" w:space="0"/>
              <w:right w:val="single" w:color="auto" w:sz="4" w:space="0"/>
            </w:tcBorders>
            <w:vAlign w:val="center"/>
          </w:tcPr>
          <w:p w14:paraId="0EF77EFE">
            <w:pPr>
              <w:widowControl/>
              <w:jc w:val="left"/>
              <w:rPr>
                <w:rFonts w:ascii="宋体" w:hAnsi="宋体" w:cs="宋体"/>
                <w:color w:val="auto"/>
                <w:szCs w:val="21"/>
                <w:highlight w:val="none"/>
              </w:rPr>
            </w:pPr>
          </w:p>
        </w:tc>
        <w:tc>
          <w:tcPr>
            <w:tcW w:w="1390" w:type="dxa"/>
            <w:tcBorders>
              <w:top w:val="single" w:color="auto" w:sz="4" w:space="0"/>
              <w:left w:val="single" w:color="auto" w:sz="4" w:space="0"/>
              <w:bottom w:val="single" w:color="auto" w:sz="4" w:space="0"/>
              <w:right w:val="single" w:color="auto" w:sz="4" w:space="0"/>
            </w:tcBorders>
            <w:vAlign w:val="center"/>
          </w:tcPr>
          <w:p w14:paraId="0FD15C19">
            <w:pPr>
              <w:jc w:val="center"/>
              <w:rPr>
                <w:rFonts w:ascii="宋体" w:hAnsi="宋体" w:cs="宋体"/>
                <w:color w:val="auto"/>
                <w:szCs w:val="21"/>
                <w:highlight w:val="none"/>
              </w:rPr>
            </w:pPr>
            <w:r>
              <w:rPr>
                <w:rFonts w:hint="eastAsia" w:ascii="宋体" w:hAnsi="宋体" w:cs="宋体"/>
                <w:color w:val="auto"/>
                <w:szCs w:val="21"/>
                <w:highlight w:val="none"/>
              </w:rPr>
              <w:t>传真</w:t>
            </w:r>
          </w:p>
        </w:tc>
        <w:tc>
          <w:tcPr>
            <w:tcW w:w="2458" w:type="dxa"/>
            <w:tcBorders>
              <w:top w:val="single" w:color="auto" w:sz="4" w:space="0"/>
              <w:left w:val="single" w:color="auto" w:sz="4" w:space="0"/>
              <w:bottom w:val="single" w:color="auto" w:sz="4" w:space="0"/>
              <w:right w:val="single" w:color="auto" w:sz="4" w:space="0"/>
            </w:tcBorders>
            <w:vAlign w:val="center"/>
          </w:tcPr>
          <w:p w14:paraId="69FC855C">
            <w:pPr>
              <w:jc w:val="center"/>
              <w:rPr>
                <w:rFonts w:ascii="宋体" w:hAnsi="宋体" w:cs="宋体"/>
                <w:color w:val="auto"/>
                <w:szCs w:val="21"/>
                <w:highlight w:val="none"/>
              </w:rPr>
            </w:pPr>
          </w:p>
        </w:tc>
        <w:tc>
          <w:tcPr>
            <w:tcW w:w="1268" w:type="dxa"/>
            <w:tcBorders>
              <w:top w:val="single" w:color="auto" w:sz="4" w:space="0"/>
              <w:left w:val="single" w:color="auto" w:sz="4" w:space="0"/>
              <w:bottom w:val="single" w:color="auto" w:sz="4" w:space="0"/>
              <w:right w:val="single" w:color="auto" w:sz="4" w:space="0"/>
            </w:tcBorders>
            <w:vAlign w:val="center"/>
          </w:tcPr>
          <w:p w14:paraId="7730AD04">
            <w:pPr>
              <w:jc w:val="center"/>
              <w:rPr>
                <w:rFonts w:ascii="宋体" w:hAnsi="宋体" w:cs="宋体"/>
                <w:color w:val="auto"/>
                <w:szCs w:val="21"/>
                <w:highlight w:val="none"/>
              </w:rPr>
            </w:pPr>
            <w:r>
              <w:rPr>
                <w:rFonts w:hint="eastAsia" w:ascii="宋体" w:hAnsi="宋体" w:cs="宋体"/>
                <w:color w:val="auto"/>
                <w:szCs w:val="21"/>
                <w:highlight w:val="none"/>
              </w:rPr>
              <w:t>网址</w:t>
            </w:r>
          </w:p>
        </w:tc>
        <w:tc>
          <w:tcPr>
            <w:tcW w:w="1884" w:type="dxa"/>
            <w:tcBorders>
              <w:top w:val="single" w:color="auto" w:sz="4" w:space="0"/>
              <w:left w:val="single" w:color="auto" w:sz="4" w:space="0"/>
              <w:bottom w:val="single" w:color="auto" w:sz="4" w:space="0"/>
              <w:right w:val="single" w:color="auto" w:sz="4" w:space="0"/>
            </w:tcBorders>
            <w:vAlign w:val="center"/>
          </w:tcPr>
          <w:p w14:paraId="026EAF73">
            <w:pPr>
              <w:jc w:val="center"/>
              <w:rPr>
                <w:rFonts w:ascii="宋体" w:hAnsi="宋体" w:cs="宋体"/>
                <w:color w:val="auto"/>
                <w:szCs w:val="21"/>
                <w:highlight w:val="none"/>
              </w:rPr>
            </w:pPr>
          </w:p>
        </w:tc>
      </w:tr>
      <w:tr w14:paraId="432BF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144" w:type="dxa"/>
            <w:tcBorders>
              <w:top w:val="single" w:color="auto" w:sz="4" w:space="0"/>
              <w:left w:val="single" w:color="auto" w:sz="4" w:space="0"/>
              <w:bottom w:val="single" w:color="auto" w:sz="4" w:space="0"/>
              <w:right w:val="single" w:color="auto" w:sz="4" w:space="0"/>
            </w:tcBorders>
            <w:vAlign w:val="center"/>
          </w:tcPr>
          <w:p w14:paraId="5FDEA909">
            <w:pPr>
              <w:jc w:val="center"/>
              <w:rPr>
                <w:rFonts w:ascii="宋体" w:hAnsi="宋体" w:cs="宋体"/>
                <w:color w:val="auto"/>
                <w:szCs w:val="21"/>
                <w:highlight w:val="none"/>
              </w:rPr>
            </w:pPr>
            <w:r>
              <w:rPr>
                <w:rFonts w:hint="eastAsia" w:ascii="宋体" w:hAnsi="宋体" w:cs="宋体"/>
                <w:color w:val="auto"/>
                <w:szCs w:val="21"/>
                <w:highlight w:val="none"/>
              </w:rPr>
              <w:t>法定代表人</w:t>
            </w:r>
          </w:p>
        </w:tc>
        <w:tc>
          <w:tcPr>
            <w:tcW w:w="1390" w:type="dxa"/>
            <w:tcBorders>
              <w:top w:val="single" w:color="auto" w:sz="4" w:space="0"/>
              <w:left w:val="single" w:color="auto" w:sz="4" w:space="0"/>
              <w:bottom w:val="single" w:color="auto" w:sz="4" w:space="0"/>
              <w:right w:val="single" w:color="auto" w:sz="4" w:space="0"/>
            </w:tcBorders>
            <w:vAlign w:val="center"/>
          </w:tcPr>
          <w:p w14:paraId="43150AA9">
            <w:pPr>
              <w:jc w:val="center"/>
              <w:rPr>
                <w:rFonts w:ascii="宋体" w:hAnsi="宋体" w:cs="宋体"/>
                <w:color w:val="auto"/>
                <w:szCs w:val="21"/>
                <w:highlight w:val="none"/>
              </w:rPr>
            </w:pPr>
            <w:r>
              <w:rPr>
                <w:rFonts w:hint="eastAsia" w:ascii="宋体" w:hAnsi="宋体" w:cs="宋体"/>
                <w:color w:val="auto"/>
                <w:szCs w:val="21"/>
                <w:highlight w:val="none"/>
              </w:rPr>
              <w:t>姓名</w:t>
            </w:r>
          </w:p>
        </w:tc>
        <w:tc>
          <w:tcPr>
            <w:tcW w:w="2458" w:type="dxa"/>
            <w:tcBorders>
              <w:top w:val="single" w:color="auto" w:sz="4" w:space="0"/>
              <w:left w:val="single" w:color="auto" w:sz="4" w:space="0"/>
              <w:bottom w:val="single" w:color="auto" w:sz="4" w:space="0"/>
              <w:right w:val="single" w:color="auto" w:sz="4" w:space="0"/>
            </w:tcBorders>
            <w:vAlign w:val="center"/>
          </w:tcPr>
          <w:p w14:paraId="1E15B85F">
            <w:pPr>
              <w:jc w:val="center"/>
              <w:rPr>
                <w:rFonts w:ascii="宋体" w:hAnsi="宋体" w:cs="宋体"/>
                <w:color w:val="auto"/>
                <w:szCs w:val="21"/>
                <w:highlight w:val="none"/>
              </w:rPr>
            </w:pPr>
          </w:p>
        </w:tc>
        <w:tc>
          <w:tcPr>
            <w:tcW w:w="1268" w:type="dxa"/>
            <w:tcBorders>
              <w:top w:val="single" w:color="auto" w:sz="4" w:space="0"/>
              <w:left w:val="single" w:color="auto" w:sz="4" w:space="0"/>
              <w:bottom w:val="single" w:color="auto" w:sz="4" w:space="0"/>
              <w:right w:val="single" w:color="auto" w:sz="4" w:space="0"/>
            </w:tcBorders>
            <w:vAlign w:val="center"/>
          </w:tcPr>
          <w:p w14:paraId="42288F30">
            <w:pPr>
              <w:jc w:val="center"/>
              <w:rPr>
                <w:rFonts w:ascii="宋体" w:hAnsi="宋体" w:cs="宋体"/>
                <w:color w:val="auto"/>
                <w:szCs w:val="21"/>
                <w:highlight w:val="none"/>
              </w:rPr>
            </w:pPr>
            <w:r>
              <w:rPr>
                <w:rFonts w:hint="eastAsia" w:ascii="宋体" w:hAnsi="宋体" w:cs="宋体"/>
                <w:color w:val="auto"/>
                <w:szCs w:val="21"/>
                <w:highlight w:val="none"/>
              </w:rPr>
              <w:t>电话</w:t>
            </w:r>
          </w:p>
        </w:tc>
        <w:tc>
          <w:tcPr>
            <w:tcW w:w="1884" w:type="dxa"/>
            <w:tcBorders>
              <w:top w:val="single" w:color="auto" w:sz="4" w:space="0"/>
              <w:left w:val="single" w:color="auto" w:sz="4" w:space="0"/>
              <w:bottom w:val="single" w:color="auto" w:sz="4" w:space="0"/>
              <w:right w:val="single" w:color="auto" w:sz="4" w:space="0"/>
            </w:tcBorders>
            <w:vAlign w:val="center"/>
          </w:tcPr>
          <w:p w14:paraId="746EF071">
            <w:pPr>
              <w:jc w:val="center"/>
              <w:rPr>
                <w:rFonts w:ascii="宋体" w:hAnsi="宋体" w:cs="宋体"/>
                <w:color w:val="auto"/>
                <w:szCs w:val="21"/>
                <w:highlight w:val="none"/>
              </w:rPr>
            </w:pPr>
          </w:p>
        </w:tc>
      </w:tr>
      <w:tr w14:paraId="780BD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2144" w:type="dxa"/>
            <w:tcBorders>
              <w:top w:val="single" w:color="auto" w:sz="4" w:space="0"/>
              <w:left w:val="single" w:color="auto" w:sz="4" w:space="0"/>
              <w:bottom w:val="single" w:color="auto" w:sz="4" w:space="0"/>
              <w:right w:val="single" w:color="auto" w:sz="4" w:space="0"/>
            </w:tcBorders>
            <w:vAlign w:val="center"/>
          </w:tcPr>
          <w:p w14:paraId="428C2508">
            <w:pPr>
              <w:jc w:val="center"/>
              <w:rPr>
                <w:rFonts w:ascii="宋体" w:hAnsi="宋体" w:cs="宋体"/>
                <w:color w:val="auto"/>
                <w:szCs w:val="21"/>
                <w:highlight w:val="none"/>
              </w:rPr>
            </w:pPr>
            <w:r>
              <w:rPr>
                <w:rFonts w:hint="eastAsia" w:ascii="宋体" w:hAnsi="宋体" w:cs="宋体"/>
                <w:color w:val="auto"/>
                <w:szCs w:val="21"/>
                <w:highlight w:val="none"/>
              </w:rPr>
              <w:t>基本账户开户银行</w:t>
            </w:r>
          </w:p>
        </w:tc>
        <w:tc>
          <w:tcPr>
            <w:tcW w:w="7000" w:type="dxa"/>
            <w:gridSpan w:val="4"/>
            <w:tcBorders>
              <w:top w:val="single" w:color="auto" w:sz="4" w:space="0"/>
              <w:left w:val="single" w:color="auto" w:sz="4" w:space="0"/>
              <w:bottom w:val="single" w:color="auto" w:sz="4" w:space="0"/>
              <w:right w:val="single" w:color="auto" w:sz="4" w:space="0"/>
            </w:tcBorders>
            <w:vAlign w:val="center"/>
          </w:tcPr>
          <w:p w14:paraId="2F45EE5C">
            <w:pPr>
              <w:jc w:val="left"/>
              <w:rPr>
                <w:rFonts w:ascii="宋体" w:hAnsi="宋体" w:cs="宋体"/>
                <w:color w:val="auto"/>
                <w:szCs w:val="21"/>
                <w:highlight w:val="none"/>
              </w:rPr>
            </w:pPr>
          </w:p>
        </w:tc>
      </w:tr>
      <w:tr w14:paraId="2C06C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2144" w:type="dxa"/>
            <w:tcBorders>
              <w:top w:val="single" w:color="auto" w:sz="4" w:space="0"/>
              <w:left w:val="single" w:color="auto" w:sz="4" w:space="0"/>
              <w:bottom w:val="single" w:color="auto" w:sz="4" w:space="0"/>
              <w:right w:val="single" w:color="auto" w:sz="4" w:space="0"/>
            </w:tcBorders>
            <w:vAlign w:val="center"/>
          </w:tcPr>
          <w:p w14:paraId="6A3C904F">
            <w:pPr>
              <w:jc w:val="center"/>
              <w:rPr>
                <w:rFonts w:ascii="宋体" w:hAnsi="宋体" w:cs="宋体"/>
                <w:color w:val="auto"/>
                <w:szCs w:val="21"/>
                <w:highlight w:val="none"/>
              </w:rPr>
            </w:pPr>
            <w:r>
              <w:rPr>
                <w:rFonts w:hint="eastAsia" w:ascii="宋体" w:hAnsi="宋体" w:cs="宋体"/>
                <w:color w:val="auto"/>
                <w:szCs w:val="21"/>
                <w:highlight w:val="none"/>
              </w:rPr>
              <w:t>基本账户银行账号</w:t>
            </w:r>
          </w:p>
        </w:tc>
        <w:tc>
          <w:tcPr>
            <w:tcW w:w="7000" w:type="dxa"/>
            <w:gridSpan w:val="4"/>
            <w:tcBorders>
              <w:top w:val="single" w:color="auto" w:sz="4" w:space="0"/>
              <w:left w:val="single" w:color="auto" w:sz="4" w:space="0"/>
              <w:bottom w:val="single" w:color="auto" w:sz="4" w:space="0"/>
              <w:right w:val="single" w:color="auto" w:sz="4" w:space="0"/>
            </w:tcBorders>
            <w:vAlign w:val="center"/>
          </w:tcPr>
          <w:p w14:paraId="690E8A29">
            <w:pPr>
              <w:jc w:val="left"/>
              <w:rPr>
                <w:rFonts w:ascii="宋体" w:hAnsi="宋体" w:cs="宋体"/>
                <w:color w:val="auto"/>
                <w:szCs w:val="21"/>
                <w:highlight w:val="none"/>
              </w:rPr>
            </w:pPr>
          </w:p>
        </w:tc>
      </w:tr>
      <w:tr w14:paraId="0742A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7" w:hRule="atLeast"/>
          <w:jc w:val="center"/>
        </w:trPr>
        <w:tc>
          <w:tcPr>
            <w:tcW w:w="2144" w:type="dxa"/>
            <w:tcBorders>
              <w:top w:val="single" w:color="auto" w:sz="4" w:space="0"/>
              <w:left w:val="single" w:color="auto" w:sz="4" w:space="0"/>
              <w:bottom w:val="single" w:color="auto" w:sz="4" w:space="0"/>
              <w:right w:val="single" w:color="auto" w:sz="4" w:space="0"/>
            </w:tcBorders>
            <w:vAlign w:val="center"/>
          </w:tcPr>
          <w:p w14:paraId="2AA1D515">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投标人关联企业情况</w:t>
            </w:r>
          </w:p>
          <w:p w14:paraId="0E33A755">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（包括但不限于与投标人法定代表人（单位负责人）为同一人或者存在控股、管理关系的不同单位）</w:t>
            </w:r>
          </w:p>
        </w:tc>
        <w:tc>
          <w:tcPr>
            <w:tcW w:w="7000" w:type="dxa"/>
            <w:gridSpan w:val="4"/>
            <w:tcBorders>
              <w:top w:val="single" w:color="auto" w:sz="4" w:space="0"/>
              <w:left w:val="single" w:color="auto" w:sz="4" w:space="0"/>
              <w:bottom w:val="single" w:color="auto" w:sz="4" w:space="0"/>
              <w:right w:val="single" w:color="auto" w:sz="4" w:space="0"/>
            </w:tcBorders>
            <w:vAlign w:val="center"/>
          </w:tcPr>
          <w:p w14:paraId="15EDF9F8">
            <w:pPr>
              <w:jc w:val="left"/>
              <w:rPr>
                <w:rFonts w:ascii="宋体" w:hAnsi="宋体" w:cs="宋体"/>
                <w:color w:val="auto"/>
                <w:szCs w:val="21"/>
                <w:highlight w:val="none"/>
              </w:rPr>
            </w:pPr>
          </w:p>
        </w:tc>
      </w:tr>
      <w:tr w14:paraId="7177E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2144" w:type="dxa"/>
            <w:tcBorders>
              <w:top w:val="single" w:color="auto" w:sz="4" w:space="0"/>
              <w:left w:val="single" w:color="auto" w:sz="4" w:space="0"/>
              <w:bottom w:val="single" w:color="auto" w:sz="4" w:space="0"/>
              <w:right w:val="single" w:color="auto" w:sz="4" w:space="0"/>
            </w:tcBorders>
            <w:vAlign w:val="center"/>
          </w:tcPr>
          <w:p w14:paraId="37869859">
            <w:pPr>
              <w:jc w:val="center"/>
              <w:rPr>
                <w:rFonts w:ascii="宋体" w:hAnsi="宋体" w:cs="宋体"/>
                <w:color w:val="auto"/>
                <w:szCs w:val="21"/>
                <w:highlight w:val="none"/>
              </w:rPr>
            </w:pPr>
            <w:r>
              <w:rPr>
                <w:rFonts w:hint="eastAsia" w:ascii="宋体" w:hAnsi="宋体" w:cs="宋体"/>
                <w:color w:val="auto"/>
                <w:szCs w:val="21"/>
                <w:highlight w:val="none"/>
              </w:rPr>
              <w:t>备注</w:t>
            </w:r>
          </w:p>
        </w:tc>
        <w:tc>
          <w:tcPr>
            <w:tcW w:w="7000" w:type="dxa"/>
            <w:gridSpan w:val="4"/>
            <w:tcBorders>
              <w:top w:val="single" w:color="auto" w:sz="4" w:space="0"/>
              <w:left w:val="single" w:color="auto" w:sz="4" w:space="0"/>
              <w:bottom w:val="single" w:color="auto" w:sz="4" w:space="0"/>
              <w:right w:val="single" w:color="auto" w:sz="4" w:space="0"/>
            </w:tcBorders>
            <w:vAlign w:val="center"/>
          </w:tcPr>
          <w:p w14:paraId="114E5016">
            <w:pPr>
              <w:ind w:firstLine="420" w:firstLineChars="200"/>
              <w:jc w:val="left"/>
              <w:rPr>
                <w:rFonts w:ascii="宋体" w:hAnsi="宋体" w:cs="宋体"/>
                <w:color w:val="auto"/>
                <w:szCs w:val="21"/>
                <w:highlight w:val="none"/>
              </w:rPr>
            </w:pPr>
          </w:p>
        </w:tc>
      </w:tr>
    </w:tbl>
    <w:p w14:paraId="08F1F461">
      <w:pPr>
        <w:spacing w:line="360" w:lineRule="auto"/>
        <w:jc w:val="left"/>
        <w:rPr>
          <w:rFonts w:ascii="宋体" w:hAnsi="宋体" w:cs="宋体"/>
          <w:color w:val="auto"/>
          <w:szCs w:val="21"/>
          <w:highlight w:val="none"/>
        </w:rPr>
      </w:pPr>
    </w:p>
    <w:p w14:paraId="0FBA5A1A">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注：投标人应根据投标人须知前附表在本表后附营业执照</w:t>
      </w:r>
      <w:r>
        <w:rPr>
          <w:rFonts w:hint="eastAsia" w:ascii="宋体" w:hAnsi="宋体" w:cs="宋体"/>
          <w:color w:val="auto"/>
          <w:szCs w:val="21"/>
          <w:highlight w:val="none"/>
          <w:lang w:val="en-US" w:eastAsia="zh-CN"/>
        </w:rPr>
        <w:t>或其他组织证照</w:t>
      </w:r>
      <w:r>
        <w:rPr>
          <w:rFonts w:hint="eastAsia" w:ascii="宋体" w:hAnsi="宋体" w:cs="宋体"/>
          <w:color w:val="auto"/>
          <w:szCs w:val="21"/>
          <w:highlight w:val="none"/>
        </w:rPr>
        <w:t>；</w:t>
      </w:r>
    </w:p>
    <w:p w14:paraId="58FE38A3">
      <w:pPr>
        <w:pStyle w:val="36"/>
        <w:ind w:firstLine="210"/>
        <w:rPr>
          <w:color w:val="auto"/>
          <w:highlight w:val="none"/>
        </w:rPr>
      </w:pPr>
    </w:p>
    <w:p w14:paraId="4E961524">
      <w:pPr>
        <w:spacing w:line="360" w:lineRule="auto"/>
        <w:jc w:val="center"/>
        <w:rPr>
          <w:rFonts w:ascii="宋体" w:hAnsi="宋体" w:cs="宋体"/>
          <w:b/>
          <w:bCs/>
          <w:color w:val="auto"/>
          <w:szCs w:val="21"/>
          <w:highlight w:val="none"/>
        </w:rPr>
      </w:pPr>
    </w:p>
    <w:p w14:paraId="791BF2D0">
      <w:pPr>
        <w:pStyle w:val="161"/>
        <w:spacing w:line="440" w:lineRule="exact"/>
        <w:outlineLvl w:val="2"/>
        <w:rPr>
          <w:rStyle w:val="162"/>
          <w:rFonts w:asciiTheme="minorEastAsia" w:hAnsiTheme="minorEastAsia" w:cstheme="minorEastAsia"/>
          <w:b/>
          <w:color w:val="auto"/>
          <w:highlight w:val="none"/>
        </w:rPr>
      </w:pPr>
      <w:r>
        <w:rPr>
          <w:rFonts w:hint="eastAsia" w:ascii="宋体" w:hAnsi="宋体" w:cs="宋体"/>
          <w:bCs/>
          <w:color w:val="auto"/>
          <w:szCs w:val="21"/>
          <w:highlight w:val="none"/>
        </w:rPr>
        <w:br w:type="page"/>
      </w:r>
      <w:bookmarkStart w:id="325" w:name="_Toc31966"/>
      <w:bookmarkStart w:id="326" w:name="_Toc1549194976"/>
      <w:bookmarkStart w:id="327" w:name="_Toc24717"/>
      <w:r>
        <w:rPr>
          <w:rFonts w:hint="eastAsia" w:ascii="宋体" w:hAnsi="宋体" w:cs="宋体"/>
          <w:color w:val="auto"/>
          <w:sz w:val="28"/>
          <w:szCs w:val="28"/>
          <w:highlight w:val="none"/>
        </w:rPr>
        <w:t>2、</w:t>
      </w:r>
      <w:r>
        <w:rPr>
          <w:rStyle w:val="162"/>
          <w:rFonts w:hint="eastAsia" w:asciiTheme="minorEastAsia" w:hAnsiTheme="minorEastAsia" w:eastAsiaTheme="minorEastAsia" w:cstheme="minorEastAsia"/>
          <w:b/>
          <w:color w:val="auto"/>
          <w:highlight w:val="none"/>
        </w:rPr>
        <w:t>投标承诺函</w:t>
      </w:r>
      <w:bookmarkEnd w:id="325"/>
      <w:bookmarkEnd w:id="326"/>
      <w:bookmarkEnd w:id="327"/>
    </w:p>
    <w:p w14:paraId="663A2122">
      <w:pPr>
        <w:tabs>
          <w:tab w:val="left" w:pos="1680"/>
          <w:tab w:val="left" w:pos="3580"/>
          <w:tab w:val="left" w:pos="4100"/>
          <w:tab w:val="left" w:pos="8000"/>
        </w:tabs>
        <w:spacing w:line="440" w:lineRule="exact"/>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致</w:t>
      </w:r>
      <w:r>
        <w:rPr>
          <w:rStyle w:val="129"/>
          <w:rFonts w:hint="eastAsia" w:asciiTheme="minorEastAsia" w:hAnsiTheme="minorEastAsia" w:eastAsiaTheme="minorEastAsia" w:cstheme="minorEastAsia"/>
          <w:color w:val="auto"/>
          <w:kern w:val="0"/>
          <w:szCs w:val="21"/>
          <w:highlight w:val="none"/>
          <w:u w:val="single" w:color="000000"/>
          <w:lang w:eastAsia="zh-CN"/>
        </w:rPr>
        <w:t>河南省科学院材料基因工程研究所及中建山河建设管理集团有限公司</w:t>
      </w:r>
      <w:r>
        <w:rPr>
          <w:rStyle w:val="129"/>
          <w:rFonts w:hint="eastAsia" w:asciiTheme="minorEastAsia" w:hAnsiTheme="minorEastAsia" w:eastAsiaTheme="minorEastAsia" w:cstheme="minorEastAsia"/>
          <w:color w:val="auto"/>
          <w:kern w:val="0"/>
          <w:szCs w:val="21"/>
          <w:highlight w:val="none"/>
        </w:rPr>
        <w:t>（采购人及采购代理机构）：</w:t>
      </w:r>
    </w:p>
    <w:p w14:paraId="3466E257">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我公司作为本次采购项目的投标人，根据招标文件要求，现郑重承诺如下：</w:t>
      </w:r>
    </w:p>
    <w:p w14:paraId="31F062C6">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一、具备《中华人民共和国政府采购法》第二十二条和本项目规定的条件：</w:t>
      </w:r>
    </w:p>
    <w:p w14:paraId="265EEB58">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（一）具有独立承担民事责任的能力；</w:t>
      </w:r>
    </w:p>
    <w:p w14:paraId="5B149CD1">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（二）具有良好的商业信誉和健全的财务会计制度；</w:t>
      </w:r>
    </w:p>
    <w:p w14:paraId="417198DE">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（三）具有履行合同所必需的设备和专业技术能力；</w:t>
      </w:r>
    </w:p>
    <w:p w14:paraId="28BEE3B3">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（四）有依法缴纳税收和社会保障资金的良好记录；</w:t>
      </w:r>
    </w:p>
    <w:p w14:paraId="29E318F1">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（五）参加政府采购活动前三年内，在经营活动中没有重大违法记录；</w:t>
      </w:r>
    </w:p>
    <w:p w14:paraId="54E27DC3">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（六）法律、行政法规规定的其他条件；</w:t>
      </w:r>
    </w:p>
    <w:p w14:paraId="30B7508B">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（七）根据采购项目提出的特殊条件。</w:t>
      </w:r>
    </w:p>
    <w:p w14:paraId="29D40A25">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二、完全接受和满足本项目招标文件中规定的实质性要求，如对招标文件有异议，已经在投标截止时间届满前依法进行维权救济，不存在对招标文件有异议的同时又参加投标以求侥幸中标或者为实现其他非法目的的行为。</w:t>
      </w:r>
    </w:p>
    <w:p w14:paraId="36D43E9F">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三、参加本次招标采购活动，不存在与单位负责人为同一人或者存在直接控股、管理关系的其他投标人参与同一合同项下的政府采购活动的行为。</w:t>
      </w:r>
    </w:p>
    <w:p w14:paraId="0ED8F118">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四、参加本次招标采购活动，不存在和其他投标人在同一合同项下的采购项目中，同时委托同一个自然人、同一家庭的人员、同一单位的人员作为代理人的行为。</w:t>
      </w:r>
    </w:p>
    <w:p w14:paraId="1D9D4D16">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五、投标人参加本次政府采购活动要求在近三年内投标人和其法定代表人没有行贿犯罪行为。</w:t>
      </w:r>
    </w:p>
    <w:p w14:paraId="1A573866">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六、参加本次招标采购活动，不存在联合体投标。</w:t>
      </w:r>
    </w:p>
    <w:p w14:paraId="355F8CB4">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七、存在以下行为之一的愿意接受相关部门的处理：</w:t>
      </w:r>
    </w:p>
    <w:p w14:paraId="3E0B885B">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（一）投标有效期内撤销投标文件的；</w:t>
      </w:r>
    </w:p>
    <w:p w14:paraId="7A784F43">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（二）在采购人确定成交投标人以前放弃中标候选资格的；</w:t>
      </w:r>
    </w:p>
    <w:p w14:paraId="7C17592E">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（三）由于成交投标人的原因未能按照招标文件的规定与采购人签订合同；</w:t>
      </w:r>
    </w:p>
    <w:p w14:paraId="33E9FFDA">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（四）由于成交投标人的原因未能按照招标文件的规定交纳履约保证金；</w:t>
      </w:r>
    </w:p>
    <w:p w14:paraId="7E27EA70">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（五）在投标文件中提供虚假材料谋取中标；</w:t>
      </w:r>
    </w:p>
    <w:p w14:paraId="33D69462">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（六）与采购人、其他投标人或者采购代理机构恶意串通的；</w:t>
      </w:r>
    </w:p>
    <w:p w14:paraId="24EFB553">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（七）投标有效期内，投标人在政府采购活动中有违法、违规、违纪行为。</w:t>
      </w:r>
    </w:p>
    <w:p w14:paraId="7551D011">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由此产生的一切法律后果和责任由我公司承担。我公司声明放弃对此提出任何异议和追索的权利。</w:t>
      </w:r>
    </w:p>
    <w:p w14:paraId="43BB0358">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本公司对上述承诺的内容事项真实性负责。如经查实上述承诺的内容事项存在虚假，我公司愿意接受以提供虚假材料谋取中标追究法律责任。</w:t>
      </w:r>
    </w:p>
    <w:p w14:paraId="2E33F506">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p>
    <w:p w14:paraId="546BDB3A">
      <w:pPr>
        <w:spacing w:line="440" w:lineRule="exact"/>
        <w:ind w:firstLine="420" w:firstLineChars="200"/>
        <w:jc w:val="left"/>
        <w:rPr>
          <w:rStyle w:val="129"/>
          <w:rFonts w:asciiTheme="minorEastAsia" w:hAnsiTheme="minorEastAsia" w:eastAsiaTheme="minorEastAsia" w:cstheme="minorEastAsia"/>
          <w:color w:val="auto"/>
          <w:szCs w:val="21"/>
          <w:highlight w:val="none"/>
        </w:rPr>
      </w:pPr>
    </w:p>
    <w:p w14:paraId="48E44F7E">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（单位电子印章）</w:t>
      </w:r>
    </w:p>
    <w:p w14:paraId="3E5C4AD0">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（电子签章或签字）</w:t>
      </w:r>
    </w:p>
    <w:p w14:paraId="5BCC054C">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2C169AB5">
      <w:pPr>
        <w:spacing w:line="520" w:lineRule="exact"/>
        <w:ind w:firstLine="420" w:firstLineChars="200"/>
        <w:rPr>
          <w:rFonts w:ascii="宋体" w:hAnsi="宋体" w:cs="宋体"/>
          <w:color w:val="auto"/>
          <w:szCs w:val="21"/>
          <w:highlight w:val="none"/>
        </w:rPr>
      </w:pPr>
    </w:p>
    <w:p w14:paraId="21BA487C">
      <w:pPr>
        <w:rPr>
          <w:rFonts w:ascii="宋体" w:hAnsi="宋体" w:cs="宋体"/>
          <w:b/>
          <w:color w:val="auto"/>
          <w:sz w:val="28"/>
          <w:szCs w:val="28"/>
          <w:highlight w:val="none"/>
        </w:rPr>
      </w:pPr>
      <w:r>
        <w:rPr>
          <w:rFonts w:hint="eastAsia" w:ascii="宋体" w:hAnsi="宋体" w:cs="宋体"/>
          <w:b/>
          <w:color w:val="auto"/>
          <w:sz w:val="28"/>
          <w:szCs w:val="28"/>
          <w:highlight w:val="none"/>
        </w:rPr>
        <w:br w:type="page"/>
      </w:r>
    </w:p>
    <w:p w14:paraId="6CEE0724">
      <w:pPr>
        <w:spacing w:line="360" w:lineRule="auto"/>
        <w:jc w:val="center"/>
        <w:outlineLvl w:val="2"/>
        <w:rPr>
          <w:rFonts w:ascii="宋体" w:hAnsi="宋体" w:cs="宋体"/>
          <w:b/>
          <w:color w:val="auto"/>
          <w:sz w:val="28"/>
          <w:szCs w:val="28"/>
          <w:highlight w:val="none"/>
        </w:rPr>
      </w:pPr>
      <w:bookmarkStart w:id="328" w:name="_Toc25259"/>
      <w:bookmarkStart w:id="329" w:name="_Toc31121"/>
      <w:bookmarkStart w:id="330" w:name="_Toc1228225404"/>
      <w:r>
        <w:rPr>
          <w:rFonts w:hint="eastAsia" w:ascii="宋体" w:hAnsi="宋体" w:cs="宋体"/>
          <w:b/>
          <w:color w:val="auto"/>
          <w:sz w:val="28"/>
          <w:szCs w:val="28"/>
          <w:highlight w:val="none"/>
        </w:rPr>
        <w:t>3、资格证明材料</w:t>
      </w:r>
      <w:bookmarkEnd w:id="328"/>
      <w:bookmarkEnd w:id="329"/>
      <w:bookmarkEnd w:id="330"/>
    </w:p>
    <w:p w14:paraId="174EC90B">
      <w:pPr>
        <w:spacing w:line="360" w:lineRule="exact"/>
        <w:jc w:val="center"/>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按照</w:t>
      </w:r>
      <w:r>
        <w:rPr>
          <w:rFonts w:hint="eastAsia" w:ascii="宋体" w:hAnsi="宋体" w:cs="宋体"/>
          <w:color w:val="auto"/>
          <w:szCs w:val="21"/>
          <w:highlight w:val="none"/>
          <w:lang w:val="en-US" w:eastAsia="zh-CN"/>
        </w:rPr>
        <w:t>招标文件</w:t>
      </w:r>
      <w:r>
        <w:rPr>
          <w:rFonts w:hint="eastAsia" w:ascii="宋体" w:hAnsi="宋体" w:cs="宋体"/>
          <w:color w:val="auto"/>
          <w:szCs w:val="21"/>
          <w:highlight w:val="none"/>
        </w:rPr>
        <w:t>规定内容逐一提供</w:t>
      </w:r>
      <w:r>
        <w:rPr>
          <w:rFonts w:hint="eastAsia" w:ascii="宋体" w:hAnsi="宋体" w:cs="宋体"/>
          <w:color w:val="auto"/>
          <w:szCs w:val="21"/>
          <w:highlight w:val="none"/>
          <w:lang w:eastAsia="zh-CN"/>
        </w:rPr>
        <w:t>）</w:t>
      </w:r>
    </w:p>
    <w:p w14:paraId="2D334EBA">
      <w:pPr>
        <w:spacing w:line="440" w:lineRule="exact"/>
        <w:rPr>
          <w:rFonts w:ascii="宋体" w:hAnsi="宋体" w:cs="宋体"/>
          <w:color w:val="auto"/>
          <w:kern w:val="0"/>
          <w:sz w:val="28"/>
          <w:szCs w:val="28"/>
          <w:highlight w:val="none"/>
        </w:rPr>
      </w:pPr>
    </w:p>
    <w:p w14:paraId="6A86F2DB">
      <w:pPr>
        <w:rPr>
          <w:color w:val="auto"/>
          <w:highlight w:val="none"/>
        </w:rPr>
      </w:pPr>
      <w:bookmarkStart w:id="331" w:name="_Toc8951"/>
      <w:bookmarkStart w:id="332" w:name="_Toc6685"/>
      <w:bookmarkStart w:id="333" w:name="_Toc25851"/>
      <w:bookmarkStart w:id="334" w:name="_Toc30980"/>
      <w:r>
        <w:rPr>
          <w:rFonts w:hint="eastAsia"/>
          <w:color w:val="auto"/>
          <w:highlight w:val="none"/>
        </w:rPr>
        <w:br w:type="page"/>
      </w:r>
    </w:p>
    <w:p w14:paraId="76DC8E37">
      <w:pPr>
        <w:pStyle w:val="3"/>
        <w:rPr>
          <w:color w:val="auto"/>
          <w:highlight w:val="none"/>
        </w:rPr>
      </w:pPr>
      <w:bookmarkStart w:id="335" w:name="_Toc6713"/>
      <w:bookmarkStart w:id="336" w:name="_Toc14315"/>
      <w:bookmarkStart w:id="337" w:name="_Toc1171550064"/>
      <w:r>
        <w:rPr>
          <w:rFonts w:hint="eastAsia"/>
          <w:color w:val="auto"/>
          <w:highlight w:val="none"/>
        </w:rPr>
        <w:t>七、</w:t>
      </w:r>
      <w:bookmarkEnd w:id="331"/>
      <w:bookmarkEnd w:id="332"/>
      <w:bookmarkEnd w:id="333"/>
      <w:bookmarkEnd w:id="334"/>
      <w:bookmarkEnd w:id="335"/>
      <w:r>
        <w:rPr>
          <w:rFonts w:hint="eastAsia"/>
          <w:color w:val="auto"/>
          <w:highlight w:val="none"/>
        </w:rPr>
        <w:t>业绩</w:t>
      </w:r>
      <w:bookmarkEnd w:id="336"/>
      <w:bookmarkEnd w:id="337"/>
    </w:p>
    <w:tbl>
      <w:tblPr>
        <w:tblStyle w:val="38"/>
        <w:tblW w:w="8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000"/>
        <w:gridCol w:w="1340"/>
        <w:gridCol w:w="774"/>
        <w:gridCol w:w="819"/>
        <w:gridCol w:w="1311"/>
        <w:gridCol w:w="1021"/>
        <w:gridCol w:w="1021"/>
        <w:gridCol w:w="1033"/>
      </w:tblGrid>
      <w:tr w14:paraId="1A14E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655" w:type="dxa"/>
            <w:vAlign w:val="center"/>
          </w:tcPr>
          <w:p w14:paraId="04EDE7CF">
            <w:pPr>
              <w:spacing w:line="400" w:lineRule="exact"/>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1000" w:type="dxa"/>
            <w:vAlign w:val="center"/>
          </w:tcPr>
          <w:p w14:paraId="7A2A052C">
            <w:pPr>
              <w:spacing w:line="400" w:lineRule="exact"/>
              <w:jc w:val="center"/>
              <w:rPr>
                <w:rFonts w:ascii="宋体" w:hAnsi="宋体" w:cs="宋体"/>
                <w:b/>
                <w:color w:val="auto"/>
                <w:szCs w:val="21"/>
                <w:highlight w:val="none"/>
              </w:rPr>
            </w:pPr>
            <w:r>
              <w:rPr>
                <w:rFonts w:hint="eastAsia" w:ascii="宋体" w:hAnsi="宋体" w:cs="宋体"/>
                <w:b/>
                <w:color w:val="auto"/>
                <w:szCs w:val="21"/>
                <w:highlight w:val="none"/>
              </w:rPr>
              <w:t>合同签订日期</w:t>
            </w:r>
          </w:p>
        </w:tc>
        <w:tc>
          <w:tcPr>
            <w:tcW w:w="1340" w:type="dxa"/>
            <w:vAlign w:val="center"/>
          </w:tcPr>
          <w:p w14:paraId="6B0766A6">
            <w:pPr>
              <w:spacing w:line="400" w:lineRule="exact"/>
              <w:jc w:val="center"/>
              <w:rPr>
                <w:rFonts w:ascii="宋体" w:hAnsi="宋体" w:cs="宋体"/>
                <w:b/>
                <w:color w:val="auto"/>
                <w:szCs w:val="21"/>
                <w:highlight w:val="none"/>
              </w:rPr>
            </w:pPr>
            <w:r>
              <w:rPr>
                <w:rFonts w:hint="eastAsia" w:ascii="宋体" w:hAnsi="宋体" w:cs="宋体"/>
                <w:b/>
                <w:color w:val="auto"/>
                <w:szCs w:val="21"/>
                <w:highlight w:val="none"/>
              </w:rPr>
              <w:t>项目名称</w:t>
            </w:r>
          </w:p>
        </w:tc>
        <w:tc>
          <w:tcPr>
            <w:tcW w:w="774" w:type="dxa"/>
            <w:vAlign w:val="center"/>
          </w:tcPr>
          <w:p w14:paraId="4534888B">
            <w:pPr>
              <w:spacing w:line="400" w:lineRule="exact"/>
              <w:jc w:val="center"/>
              <w:rPr>
                <w:rFonts w:ascii="宋体" w:hAnsi="宋体" w:cs="宋体"/>
                <w:b/>
                <w:color w:val="auto"/>
                <w:szCs w:val="21"/>
                <w:highlight w:val="none"/>
              </w:rPr>
            </w:pPr>
            <w:r>
              <w:rPr>
                <w:rFonts w:hint="eastAsia" w:ascii="宋体" w:hAnsi="宋体" w:cs="宋体"/>
                <w:b/>
                <w:color w:val="auto"/>
                <w:szCs w:val="21"/>
                <w:highlight w:val="none"/>
              </w:rPr>
              <w:t>合同金额</w:t>
            </w:r>
          </w:p>
        </w:tc>
        <w:tc>
          <w:tcPr>
            <w:tcW w:w="819" w:type="dxa"/>
            <w:vAlign w:val="center"/>
          </w:tcPr>
          <w:p w14:paraId="6BA5B09D">
            <w:pPr>
              <w:spacing w:line="400" w:lineRule="exact"/>
              <w:jc w:val="center"/>
              <w:rPr>
                <w:rFonts w:ascii="宋体" w:hAnsi="宋体" w:cs="宋体"/>
                <w:b/>
                <w:color w:val="auto"/>
                <w:szCs w:val="21"/>
                <w:highlight w:val="none"/>
              </w:rPr>
            </w:pPr>
            <w:r>
              <w:rPr>
                <w:rFonts w:hint="eastAsia" w:ascii="宋体" w:hAnsi="宋体" w:cs="宋体"/>
                <w:b/>
                <w:color w:val="auto"/>
                <w:szCs w:val="21"/>
                <w:highlight w:val="none"/>
              </w:rPr>
              <w:t>品牌</w:t>
            </w:r>
          </w:p>
        </w:tc>
        <w:tc>
          <w:tcPr>
            <w:tcW w:w="1311" w:type="dxa"/>
            <w:vAlign w:val="center"/>
          </w:tcPr>
          <w:p w14:paraId="54BB21CD">
            <w:pPr>
              <w:spacing w:line="400" w:lineRule="exact"/>
              <w:jc w:val="center"/>
              <w:rPr>
                <w:rFonts w:ascii="宋体" w:hAnsi="宋体" w:cs="宋体"/>
                <w:b/>
                <w:color w:val="auto"/>
                <w:szCs w:val="21"/>
                <w:highlight w:val="none"/>
              </w:rPr>
            </w:pPr>
            <w:r>
              <w:rPr>
                <w:rFonts w:hint="eastAsia" w:ascii="宋体" w:hAnsi="宋体" w:cs="宋体"/>
                <w:b/>
                <w:color w:val="auto"/>
                <w:szCs w:val="21"/>
                <w:highlight w:val="none"/>
              </w:rPr>
              <w:t>规格型号</w:t>
            </w:r>
          </w:p>
        </w:tc>
        <w:tc>
          <w:tcPr>
            <w:tcW w:w="1021" w:type="dxa"/>
            <w:vAlign w:val="center"/>
          </w:tcPr>
          <w:p w14:paraId="5CE6E57D">
            <w:pPr>
              <w:spacing w:line="400" w:lineRule="exact"/>
              <w:jc w:val="center"/>
              <w:rPr>
                <w:rFonts w:ascii="宋体" w:hAnsi="宋体" w:cs="宋体"/>
                <w:b/>
                <w:color w:val="auto"/>
                <w:szCs w:val="21"/>
                <w:highlight w:val="none"/>
              </w:rPr>
            </w:pPr>
            <w:r>
              <w:rPr>
                <w:rFonts w:hint="eastAsia" w:ascii="宋体" w:hAnsi="宋体" w:cs="宋体"/>
                <w:b/>
                <w:color w:val="auto"/>
                <w:szCs w:val="21"/>
                <w:highlight w:val="none"/>
              </w:rPr>
              <w:t>制造商</w:t>
            </w:r>
          </w:p>
        </w:tc>
        <w:tc>
          <w:tcPr>
            <w:tcW w:w="1021" w:type="dxa"/>
            <w:vAlign w:val="center"/>
          </w:tcPr>
          <w:p w14:paraId="37814D62">
            <w:pPr>
              <w:spacing w:line="400" w:lineRule="exact"/>
              <w:jc w:val="center"/>
              <w:rPr>
                <w:rFonts w:ascii="宋体" w:hAnsi="宋体" w:cs="宋体"/>
                <w:b/>
                <w:color w:val="auto"/>
                <w:szCs w:val="21"/>
                <w:highlight w:val="none"/>
              </w:rPr>
            </w:pPr>
            <w:r>
              <w:rPr>
                <w:rFonts w:hint="eastAsia" w:ascii="宋体" w:hAnsi="宋体" w:cs="宋体"/>
                <w:b/>
                <w:color w:val="auto"/>
                <w:szCs w:val="21"/>
                <w:highlight w:val="none"/>
              </w:rPr>
              <w:t>客户名称</w:t>
            </w:r>
          </w:p>
        </w:tc>
        <w:tc>
          <w:tcPr>
            <w:tcW w:w="1033" w:type="dxa"/>
            <w:vAlign w:val="center"/>
          </w:tcPr>
          <w:p w14:paraId="0C2EC9F4">
            <w:pPr>
              <w:spacing w:line="400" w:lineRule="exact"/>
              <w:jc w:val="center"/>
              <w:rPr>
                <w:rFonts w:ascii="宋体" w:hAnsi="宋体" w:cs="宋体"/>
                <w:b/>
                <w:color w:val="auto"/>
                <w:szCs w:val="21"/>
                <w:highlight w:val="none"/>
              </w:rPr>
            </w:pPr>
            <w:r>
              <w:rPr>
                <w:rFonts w:hint="eastAsia" w:ascii="宋体" w:hAnsi="宋体" w:cs="宋体"/>
                <w:b/>
                <w:color w:val="auto"/>
                <w:szCs w:val="21"/>
                <w:highlight w:val="none"/>
              </w:rPr>
              <w:t>客户联系电话</w:t>
            </w:r>
          </w:p>
        </w:tc>
      </w:tr>
      <w:tr w14:paraId="63D24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655" w:type="dxa"/>
          </w:tcPr>
          <w:p w14:paraId="574FA9FA">
            <w:pPr>
              <w:widowControl/>
              <w:rPr>
                <w:rFonts w:ascii="宋体" w:hAnsi="宋体" w:cs="宋体"/>
                <w:color w:val="auto"/>
                <w:szCs w:val="21"/>
                <w:highlight w:val="none"/>
              </w:rPr>
            </w:pPr>
          </w:p>
        </w:tc>
        <w:tc>
          <w:tcPr>
            <w:tcW w:w="1000" w:type="dxa"/>
          </w:tcPr>
          <w:p w14:paraId="73E08623">
            <w:pPr>
              <w:widowControl/>
              <w:rPr>
                <w:rFonts w:ascii="宋体" w:hAnsi="宋体" w:cs="宋体"/>
                <w:color w:val="auto"/>
                <w:szCs w:val="21"/>
                <w:highlight w:val="none"/>
              </w:rPr>
            </w:pPr>
          </w:p>
        </w:tc>
        <w:tc>
          <w:tcPr>
            <w:tcW w:w="1340" w:type="dxa"/>
          </w:tcPr>
          <w:p w14:paraId="50AD44F6">
            <w:pPr>
              <w:widowControl/>
              <w:rPr>
                <w:rFonts w:ascii="宋体" w:hAnsi="宋体" w:cs="宋体"/>
                <w:color w:val="auto"/>
                <w:szCs w:val="21"/>
                <w:highlight w:val="none"/>
              </w:rPr>
            </w:pPr>
          </w:p>
        </w:tc>
        <w:tc>
          <w:tcPr>
            <w:tcW w:w="774" w:type="dxa"/>
          </w:tcPr>
          <w:p w14:paraId="310B0978">
            <w:pPr>
              <w:widowControl/>
              <w:rPr>
                <w:rFonts w:ascii="宋体" w:hAnsi="宋体" w:cs="宋体"/>
                <w:color w:val="auto"/>
                <w:szCs w:val="21"/>
                <w:highlight w:val="none"/>
              </w:rPr>
            </w:pPr>
          </w:p>
        </w:tc>
        <w:tc>
          <w:tcPr>
            <w:tcW w:w="819" w:type="dxa"/>
          </w:tcPr>
          <w:p w14:paraId="3B1CCE03">
            <w:pPr>
              <w:widowControl/>
              <w:rPr>
                <w:rFonts w:ascii="宋体" w:hAnsi="宋体" w:cs="宋体"/>
                <w:color w:val="auto"/>
                <w:szCs w:val="21"/>
                <w:highlight w:val="none"/>
              </w:rPr>
            </w:pPr>
          </w:p>
        </w:tc>
        <w:tc>
          <w:tcPr>
            <w:tcW w:w="1311" w:type="dxa"/>
          </w:tcPr>
          <w:p w14:paraId="500FA9F3">
            <w:pPr>
              <w:widowControl/>
              <w:rPr>
                <w:rFonts w:ascii="宋体" w:hAnsi="宋体" w:cs="宋体"/>
                <w:color w:val="auto"/>
                <w:szCs w:val="21"/>
                <w:highlight w:val="none"/>
              </w:rPr>
            </w:pPr>
          </w:p>
        </w:tc>
        <w:tc>
          <w:tcPr>
            <w:tcW w:w="1021" w:type="dxa"/>
          </w:tcPr>
          <w:p w14:paraId="7EED5F85">
            <w:pPr>
              <w:widowControl/>
              <w:rPr>
                <w:rFonts w:ascii="宋体" w:hAnsi="宋体" w:cs="宋体"/>
                <w:color w:val="auto"/>
                <w:szCs w:val="21"/>
                <w:highlight w:val="none"/>
              </w:rPr>
            </w:pPr>
          </w:p>
        </w:tc>
        <w:tc>
          <w:tcPr>
            <w:tcW w:w="1021" w:type="dxa"/>
          </w:tcPr>
          <w:p w14:paraId="5182A272">
            <w:pPr>
              <w:widowControl/>
              <w:rPr>
                <w:rFonts w:ascii="宋体" w:hAnsi="宋体" w:cs="宋体"/>
                <w:color w:val="auto"/>
                <w:szCs w:val="21"/>
                <w:highlight w:val="none"/>
              </w:rPr>
            </w:pPr>
          </w:p>
        </w:tc>
        <w:tc>
          <w:tcPr>
            <w:tcW w:w="1033" w:type="dxa"/>
          </w:tcPr>
          <w:p w14:paraId="70465B30">
            <w:pPr>
              <w:widowControl/>
              <w:rPr>
                <w:rFonts w:ascii="宋体" w:hAnsi="宋体" w:cs="宋体"/>
                <w:color w:val="auto"/>
                <w:szCs w:val="21"/>
                <w:highlight w:val="none"/>
              </w:rPr>
            </w:pPr>
          </w:p>
        </w:tc>
      </w:tr>
      <w:tr w14:paraId="36B16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655" w:type="dxa"/>
          </w:tcPr>
          <w:p w14:paraId="2D65C4D7">
            <w:pPr>
              <w:widowControl/>
              <w:rPr>
                <w:rFonts w:ascii="宋体" w:hAnsi="宋体" w:cs="宋体"/>
                <w:color w:val="auto"/>
                <w:szCs w:val="21"/>
                <w:highlight w:val="none"/>
              </w:rPr>
            </w:pPr>
          </w:p>
        </w:tc>
        <w:tc>
          <w:tcPr>
            <w:tcW w:w="1000" w:type="dxa"/>
          </w:tcPr>
          <w:p w14:paraId="4F638E7F">
            <w:pPr>
              <w:widowControl/>
              <w:rPr>
                <w:rFonts w:ascii="宋体" w:hAnsi="宋体" w:cs="宋体"/>
                <w:color w:val="auto"/>
                <w:szCs w:val="21"/>
                <w:highlight w:val="none"/>
              </w:rPr>
            </w:pPr>
          </w:p>
        </w:tc>
        <w:tc>
          <w:tcPr>
            <w:tcW w:w="1340" w:type="dxa"/>
          </w:tcPr>
          <w:p w14:paraId="19B775D0">
            <w:pPr>
              <w:widowControl/>
              <w:rPr>
                <w:rFonts w:ascii="宋体" w:hAnsi="宋体" w:cs="宋体"/>
                <w:color w:val="auto"/>
                <w:szCs w:val="21"/>
                <w:highlight w:val="none"/>
              </w:rPr>
            </w:pPr>
          </w:p>
        </w:tc>
        <w:tc>
          <w:tcPr>
            <w:tcW w:w="774" w:type="dxa"/>
          </w:tcPr>
          <w:p w14:paraId="7A18FF25">
            <w:pPr>
              <w:widowControl/>
              <w:rPr>
                <w:rFonts w:ascii="宋体" w:hAnsi="宋体" w:cs="宋体"/>
                <w:color w:val="auto"/>
                <w:szCs w:val="21"/>
                <w:highlight w:val="none"/>
              </w:rPr>
            </w:pPr>
          </w:p>
        </w:tc>
        <w:tc>
          <w:tcPr>
            <w:tcW w:w="819" w:type="dxa"/>
          </w:tcPr>
          <w:p w14:paraId="4E49BCF6">
            <w:pPr>
              <w:widowControl/>
              <w:rPr>
                <w:rFonts w:ascii="宋体" w:hAnsi="宋体" w:cs="宋体"/>
                <w:color w:val="auto"/>
                <w:szCs w:val="21"/>
                <w:highlight w:val="none"/>
              </w:rPr>
            </w:pPr>
          </w:p>
        </w:tc>
        <w:tc>
          <w:tcPr>
            <w:tcW w:w="1311" w:type="dxa"/>
          </w:tcPr>
          <w:p w14:paraId="2E75C1EF">
            <w:pPr>
              <w:widowControl/>
              <w:rPr>
                <w:rFonts w:ascii="宋体" w:hAnsi="宋体" w:cs="宋体"/>
                <w:color w:val="auto"/>
                <w:szCs w:val="21"/>
                <w:highlight w:val="none"/>
              </w:rPr>
            </w:pPr>
          </w:p>
        </w:tc>
        <w:tc>
          <w:tcPr>
            <w:tcW w:w="1021" w:type="dxa"/>
          </w:tcPr>
          <w:p w14:paraId="15FD597E">
            <w:pPr>
              <w:widowControl/>
              <w:rPr>
                <w:rFonts w:ascii="宋体" w:hAnsi="宋体" w:cs="宋体"/>
                <w:color w:val="auto"/>
                <w:szCs w:val="21"/>
                <w:highlight w:val="none"/>
              </w:rPr>
            </w:pPr>
          </w:p>
        </w:tc>
        <w:tc>
          <w:tcPr>
            <w:tcW w:w="1021" w:type="dxa"/>
          </w:tcPr>
          <w:p w14:paraId="408C5DAF">
            <w:pPr>
              <w:widowControl/>
              <w:rPr>
                <w:rFonts w:ascii="宋体" w:hAnsi="宋体" w:cs="宋体"/>
                <w:color w:val="auto"/>
                <w:szCs w:val="21"/>
                <w:highlight w:val="none"/>
              </w:rPr>
            </w:pPr>
          </w:p>
        </w:tc>
        <w:tc>
          <w:tcPr>
            <w:tcW w:w="1033" w:type="dxa"/>
          </w:tcPr>
          <w:p w14:paraId="28977FBF">
            <w:pPr>
              <w:widowControl/>
              <w:rPr>
                <w:rFonts w:ascii="宋体" w:hAnsi="宋体" w:cs="宋体"/>
                <w:color w:val="auto"/>
                <w:szCs w:val="21"/>
                <w:highlight w:val="none"/>
              </w:rPr>
            </w:pPr>
          </w:p>
        </w:tc>
      </w:tr>
      <w:tr w14:paraId="3BE51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655" w:type="dxa"/>
          </w:tcPr>
          <w:p w14:paraId="2E55E7E3">
            <w:pPr>
              <w:widowControl/>
              <w:rPr>
                <w:rFonts w:ascii="宋体" w:hAnsi="宋体" w:cs="宋体"/>
                <w:color w:val="auto"/>
                <w:szCs w:val="21"/>
                <w:highlight w:val="none"/>
              </w:rPr>
            </w:pPr>
          </w:p>
        </w:tc>
        <w:tc>
          <w:tcPr>
            <w:tcW w:w="1000" w:type="dxa"/>
          </w:tcPr>
          <w:p w14:paraId="62082AF2">
            <w:pPr>
              <w:widowControl/>
              <w:rPr>
                <w:rFonts w:ascii="宋体" w:hAnsi="宋体" w:cs="宋体"/>
                <w:color w:val="auto"/>
                <w:szCs w:val="21"/>
                <w:highlight w:val="none"/>
              </w:rPr>
            </w:pPr>
          </w:p>
        </w:tc>
        <w:tc>
          <w:tcPr>
            <w:tcW w:w="1340" w:type="dxa"/>
          </w:tcPr>
          <w:p w14:paraId="020B16A1">
            <w:pPr>
              <w:widowControl/>
              <w:rPr>
                <w:rFonts w:ascii="宋体" w:hAnsi="宋体" w:cs="宋体"/>
                <w:color w:val="auto"/>
                <w:szCs w:val="21"/>
                <w:highlight w:val="none"/>
              </w:rPr>
            </w:pPr>
          </w:p>
        </w:tc>
        <w:tc>
          <w:tcPr>
            <w:tcW w:w="774" w:type="dxa"/>
          </w:tcPr>
          <w:p w14:paraId="08E3AA91">
            <w:pPr>
              <w:widowControl/>
              <w:rPr>
                <w:rFonts w:ascii="宋体" w:hAnsi="宋体" w:cs="宋体"/>
                <w:color w:val="auto"/>
                <w:szCs w:val="21"/>
                <w:highlight w:val="none"/>
              </w:rPr>
            </w:pPr>
          </w:p>
        </w:tc>
        <w:tc>
          <w:tcPr>
            <w:tcW w:w="819" w:type="dxa"/>
          </w:tcPr>
          <w:p w14:paraId="0C0FB6B9">
            <w:pPr>
              <w:widowControl/>
              <w:rPr>
                <w:rFonts w:ascii="宋体" w:hAnsi="宋体" w:cs="宋体"/>
                <w:color w:val="auto"/>
                <w:szCs w:val="21"/>
                <w:highlight w:val="none"/>
              </w:rPr>
            </w:pPr>
          </w:p>
        </w:tc>
        <w:tc>
          <w:tcPr>
            <w:tcW w:w="1311" w:type="dxa"/>
          </w:tcPr>
          <w:p w14:paraId="01FFD29E">
            <w:pPr>
              <w:widowControl/>
              <w:rPr>
                <w:rFonts w:ascii="宋体" w:hAnsi="宋体" w:cs="宋体"/>
                <w:color w:val="auto"/>
                <w:szCs w:val="21"/>
                <w:highlight w:val="none"/>
              </w:rPr>
            </w:pPr>
          </w:p>
        </w:tc>
        <w:tc>
          <w:tcPr>
            <w:tcW w:w="1021" w:type="dxa"/>
          </w:tcPr>
          <w:p w14:paraId="0FFA09CF">
            <w:pPr>
              <w:widowControl/>
              <w:rPr>
                <w:rFonts w:ascii="宋体" w:hAnsi="宋体" w:cs="宋体"/>
                <w:color w:val="auto"/>
                <w:szCs w:val="21"/>
                <w:highlight w:val="none"/>
              </w:rPr>
            </w:pPr>
          </w:p>
        </w:tc>
        <w:tc>
          <w:tcPr>
            <w:tcW w:w="1021" w:type="dxa"/>
          </w:tcPr>
          <w:p w14:paraId="05C30B84">
            <w:pPr>
              <w:widowControl/>
              <w:rPr>
                <w:rFonts w:ascii="宋体" w:hAnsi="宋体" w:cs="宋体"/>
                <w:color w:val="auto"/>
                <w:szCs w:val="21"/>
                <w:highlight w:val="none"/>
              </w:rPr>
            </w:pPr>
          </w:p>
        </w:tc>
        <w:tc>
          <w:tcPr>
            <w:tcW w:w="1033" w:type="dxa"/>
          </w:tcPr>
          <w:p w14:paraId="56B42992">
            <w:pPr>
              <w:widowControl/>
              <w:rPr>
                <w:rFonts w:ascii="宋体" w:hAnsi="宋体" w:cs="宋体"/>
                <w:color w:val="auto"/>
                <w:szCs w:val="21"/>
                <w:highlight w:val="none"/>
              </w:rPr>
            </w:pPr>
          </w:p>
        </w:tc>
      </w:tr>
      <w:tr w14:paraId="521C8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655" w:type="dxa"/>
          </w:tcPr>
          <w:p w14:paraId="4890D168">
            <w:pPr>
              <w:widowControl/>
              <w:rPr>
                <w:rFonts w:ascii="宋体" w:hAnsi="宋体" w:cs="宋体"/>
                <w:color w:val="auto"/>
                <w:szCs w:val="21"/>
                <w:highlight w:val="none"/>
              </w:rPr>
            </w:pPr>
          </w:p>
        </w:tc>
        <w:tc>
          <w:tcPr>
            <w:tcW w:w="1000" w:type="dxa"/>
          </w:tcPr>
          <w:p w14:paraId="2D846FE1">
            <w:pPr>
              <w:widowControl/>
              <w:rPr>
                <w:rFonts w:ascii="宋体" w:hAnsi="宋体" w:cs="宋体"/>
                <w:color w:val="auto"/>
                <w:szCs w:val="21"/>
                <w:highlight w:val="none"/>
              </w:rPr>
            </w:pPr>
          </w:p>
        </w:tc>
        <w:tc>
          <w:tcPr>
            <w:tcW w:w="1340" w:type="dxa"/>
          </w:tcPr>
          <w:p w14:paraId="797D45E1">
            <w:pPr>
              <w:widowControl/>
              <w:rPr>
                <w:rFonts w:ascii="宋体" w:hAnsi="宋体" w:cs="宋体"/>
                <w:color w:val="auto"/>
                <w:szCs w:val="21"/>
                <w:highlight w:val="none"/>
              </w:rPr>
            </w:pPr>
          </w:p>
        </w:tc>
        <w:tc>
          <w:tcPr>
            <w:tcW w:w="774" w:type="dxa"/>
          </w:tcPr>
          <w:p w14:paraId="416262B7">
            <w:pPr>
              <w:widowControl/>
              <w:rPr>
                <w:rFonts w:ascii="宋体" w:hAnsi="宋体" w:cs="宋体"/>
                <w:color w:val="auto"/>
                <w:szCs w:val="21"/>
                <w:highlight w:val="none"/>
              </w:rPr>
            </w:pPr>
          </w:p>
        </w:tc>
        <w:tc>
          <w:tcPr>
            <w:tcW w:w="819" w:type="dxa"/>
          </w:tcPr>
          <w:p w14:paraId="6FC74C32">
            <w:pPr>
              <w:widowControl/>
              <w:rPr>
                <w:rFonts w:ascii="宋体" w:hAnsi="宋体" w:cs="宋体"/>
                <w:color w:val="auto"/>
                <w:szCs w:val="21"/>
                <w:highlight w:val="none"/>
              </w:rPr>
            </w:pPr>
          </w:p>
        </w:tc>
        <w:tc>
          <w:tcPr>
            <w:tcW w:w="1311" w:type="dxa"/>
          </w:tcPr>
          <w:p w14:paraId="59CF8816">
            <w:pPr>
              <w:widowControl/>
              <w:rPr>
                <w:rFonts w:ascii="宋体" w:hAnsi="宋体" w:cs="宋体"/>
                <w:color w:val="auto"/>
                <w:szCs w:val="21"/>
                <w:highlight w:val="none"/>
              </w:rPr>
            </w:pPr>
          </w:p>
        </w:tc>
        <w:tc>
          <w:tcPr>
            <w:tcW w:w="1021" w:type="dxa"/>
          </w:tcPr>
          <w:p w14:paraId="75CED928">
            <w:pPr>
              <w:widowControl/>
              <w:rPr>
                <w:rFonts w:ascii="宋体" w:hAnsi="宋体" w:cs="宋体"/>
                <w:color w:val="auto"/>
                <w:szCs w:val="21"/>
                <w:highlight w:val="none"/>
              </w:rPr>
            </w:pPr>
          </w:p>
        </w:tc>
        <w:tc>
          <w:tcPr>
            <w:tcW w:w="1021" w:type="dxa"/>
          </w:tcPr>
          <w:p w14:paraId="78032DE5">
            <w:pPr>
              <w:widowControl/>
              <w:rPr>
                <w:rFonts w:ascii="宋体" w:hAnsi="宋体" w:cs="宋体"/>
                <w:color w:val="auto"/>
                <w:szCs w:val="21"/>
                <w:highlight w:val="none"/>
              </w:rPr>
            </w:pPr>
          </w:p>
        </w:tc>
        <w:tc>
          <w:tcPr>
            <w:tcW w:w="1033" w:type="dxa"/>
          </w:tcPr>
          <w:p w14:paraId="3D843C1C">
            <w:pPr>
              <w:widowControl/>
              <w:rPr>
                <w:rFonts w:ascii="宋体" w:hAnsi="宋体" w:cs="宋体"/>
                <w:color w:val="auto"/>
                <w:szCs w:val="21"/>
                <w:highlight w:val="none"/>
              </w:rPr>
            </w:pPr>
          </w:p>
        </w:tc>
      </w:tr>
      <w:tr w14:paraId="2E8F1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655" w:type="dxa"/>
          </w:tcPr>
          <w:p w14:paraId="25E924E3">
            <w:pPr>
              <w:widowControl/>
              <w:rPr>
                <w:rFonts w:ascii="宋体" w:hAnsi="宋体" w:cs="宋体"/>
                <w:color w:val="auto"/>
                <w:szCs w:val="21"/>
                <w:highlight w:val="none"/>
              </w:rPr>
            </w:pPr>
          </w:p>
        </w:tc>
        <w:tc>
          <w:tcPr>
            <w:tcW w:w="1000" w:type="dxa"/>
          </w:tcPr>
          <w:p w14:paraId="0FAAC9A4">
            <w:pPr>
              <w:widowControl/>
              <w:rPr>
                <w:rFonts w:ascii="宋体" w:hAnsi="宋体" w:cs="宋体"/>
                <w:color w:val="auto"/>
                <w:szCs w:val="21"/>
                <w:highlight w:val="none"/>
              </w:rPr>
            </w:pPr>
          </w:p>
        </w:tc>
        <w:tc>
          <w:tcPr>
            <w:tcW w:w="1340" w:type="dxa"/>
          </w:tcPr>
          <w:p w14:paraId="5D8B4278">
            <w:pPr>
              <w:widowControl/>
              <w:rPr>
                <w:rFonts w:ascii="宋体" w:hAnsi="宋体" w:cs="宋体"/>
                <w:color w:val="auto"/>
                <w:szCs w:val="21"/>
                <w:highlight w:val="none"/>
              </w:rPr>
            </w:pPr>
          </w:p>
        </w:tc>
        <w:tc>
          <w:tcPr>
            <w:tcW w:w="774" w:type="dxa"/>
          </w:tcPr>
          <w:p w14:paraId="6F82E902">
            <w:pPr>
              <w:widowControl/>
              <w:rPr>
                <w:rFonts w:ascii="宋体" w:hAnsi="宋体" w:cs="宋体"/>
                <w:color w:val="auto"/>
                <w:szCs w:val="21"/>
                <w:highlight w:val="none"/>
              </w:rPr>
            </w:pPr>
          </w:p>
        </w:tc>
        <w:tc>
          <w:tcPr>
            <w:tcW w:w="819" w:type="dxa"/>
          </w:tcPr>
          <w:p w14:paraId="5EBE7366">
            <w:pPr>
              <w:widowControl/>
              <w:rPr>
                <w:rFonts w:ascii="宋体" w:hAnsi="宋体" w:cs="宋体"/>
                <w:color w:val="auto"/>
                <w:szCs w:val="21"/>
                <w:highlight w:val="none"/>
              </w:rPr>
            </w:pPr>
          </w:p>
        </w:tc>
        <w:tc>
          <w:tcPr>
            <w:tcW w:w="1311" w:type="dxa"/>
          </w:tcPr>
          <w:p w14:paraId="79AB00C5">
            <w:pPr>
              <w:widowControl/>
              <w:rPr>
                <w:rFonts w:ascii="宋体" w:hAnsi="宋体" w:cs="宋体"/>
                <w:color w:val="auto"/>
                <w:szCs w:val="21"/>
                <w:highlight w:val="none"/>
              </w:rPr>
            </w:pPr>
          </w:p>
        </w:tc>
        <w:tc>
          <w:tcPr>
            <w:tcW w:w="1021" w:type="dxa"/>
          </w:tcPr>
          <w:p w14:paraId="78347E21">
            <w:pPr>
              <w:widowControl/>
              <w:rPr>
                <w:rFonts w:ascii="宋体" w:hAnsi="宋体" w:cs="宋体"/>
                <w:color w:val="auto"/>
                <w:szCs w:val="21"/>
                <w:highlight w:val="none"/>
              </w:rPr>
            </w:pPr>
          </w:p>
        </w:tc>
        <w:tc>
          <w:tcPr>
            <w:tcW w:w="1021" w:type="dxa"/>
          </w:tcPr>
          <w:p w14:paraId="745B9C44">
            <w:pPr>
              <w:widowControl/>
              <w:rPr>
                <w:rFonts w:ascii="宋体" w:hAnsi="宋体" w:cs="宋体"/>
                <w:color w:val="auto"/>
                <w:szCs w:val="21"/>
                <w:highlight w:val="none"/>
              </w:rPr>
            </w:pPr>
          </w:p>
        </w:tc>
        <w:tc>
          <w:tcPr>
            <w:tcW w:w="1033" w:type="dxa"/>
          </w:tcPr>
          <w:p w14:paraId="312215E7">
            <w:pPr>
              <w:widowControl/>
              <w:rPr>
                <w:rFonts w:ascii="宋体" w:hAnsi="宋体" w:cs="宋体"/>
                <w:color w:val="auto"/>
                <w:szCs w:val="21"/>
                <w:highlight w:val="none"/>
              </w:rPr>
            </w:pPr>
          </w:p>
        </w:tc>
      </w:tr>
      <w:tr w14:paraId="418AF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655" w:type="dxa"/>
          </w:tcPr>
          <w:p w14:paraId="0CE2BE13">
            <w:pPr>
              <w:widowControl/>
              <w:rPr>
                <w:rFonts w:ascii="宋体" w:hAnsi="宋体" w:cs="宋体"/>
                <w:color w:val="auto"/>
                <w:szCs w:val="21"/>
                <w:highlight w:val="none"/>
              </w:rPr>
            </w:pPr>
          </w:p>
        </w:tc>
        <w:tc>
          <w:tcPr>
            <w:tcW w:w="1000" w:type="dxa"/>
          </w:tcPr>
          <w:p w14:paraId="1DBB4B51">
            <w:pPr>
              <w:widowControl/>
              <w:rPr>
                <w:rFonts w:ascii="宋体" w:hAnsi="宋体" w:cs="宋体"/>
                <w:color w:val="auto"/>
                <w:szCs w:val="21"/>
                <w:highlight w:val="none"/>
              </w:rPr>
            </w:pPr>
          </w:p>
        </w:tc>
        <w:tc>
          <w:tcPr>
            <w:tcW w:w="1340" w:type="dxa"/>
          </w:tcPr>
          <w:p w14:paraId="336A963C">
            <w:pPr>
              <w:widowControl/>
              <w:rPr>
                <w:rFonts w:ascii="宋体" w:hAnsi="宋体" w:cs="宋体"/>
                <w:color w:val="auto"/>
                <w:szCs w:val="21"/>
                <w:highlight w:val="none"/>
              </w:rPr>
            </w:pPr>
          </w:p>
        </w:tc>
        <w:tc>
          <w:tcPr>
            <w:tcW w:w="774" w:type="dxa"/>
          </w:tcPr>
          <w:p w14:paraId="166C6298">
            <w:pPr>
              <w:widowControl/>
              <w:rPr>
                <w:rFonts w:ascii="宋体" w:hAnsi="宋体" w:cs="宋体"/>
                <w:color w:val="auto"/>
                <w:szCs w:val="21"/>
                <w:highlight w:val="none"/>
              </w:rPr>
            </w:pPr>
          </w:p>
        </w:tc>
        <w:tc>
          <w:tcPr>
            <w:tcW w:w="819" w:type="dxa"/>
          </w:tcPr>
          <w:p w14:paraId="08CBE5A6">
            <w:pPr>
              <w:widowControl/>
              <w:rPr>
                <w:rFonts w:ascii="宋体" w:hAnsi="宋体" w:cs="宋体"/>
                <w:color w:val="auto"/>
                <w:szCs w:val="21"/>
                <w:highlight w:val="none"/>
              </w:rPr>
            </w:pPr>
          </w:p>
        </w:tc>
        <w:tc>
          <w:tcPr>
            <w:tcW w:w="1311" w:type="dxa"/>
          </w:tcPr>
          <w:p w14:paraId="41A1F1B3">
            <w:pPr>
              <w:widowControl/>
              <w:rPr>
                <w:rFonts w:ascii="宋体" w:hAnsi="宋体" w:cs="宋体"/>
                <w:color w:val="auto"/>
                <w:szCs w:val="21"/>
                <w:highlight w:val="none"/>
              </w:rPr>
            </w:pPr>
          </w:p>
        </w:tc>
        <w:tc>
          <w:tcPr>
            <w:tcW w:w="1021" w:type="dxa"/>
          </w:tcPr>
          <w:p w14:paraId="711C3F45">
            <w:pPr>
              <w:widowControl/>
              <w:rPr>
                <w:rFonts w:ascii="宋体" w:hAnsi="宋体" w:cs="宋体"/>
                <w:color w:val="auto"/>
                <w:szCs w:val="21"/>
                <w:highlight w:val="none"/>
              </w:rPr>
            </w:pPr>
          </w:p>
        </w:tc>
        <w:tc>
          <w:tcPr>
            <w:tcW w:w="1021" w:type="dxa"/>
          </w:tcPr>
          <w:p w14:paraId="4824C8CE">
            <w:pPr>
              <w:widowControl/>
              <w:rPr>
                <w:rFonts w:ascii="宋体" w:hAnsi="宋体" w:cs="宋体"/>
                <w:color w:val="auto"/>
                <w:szCs w:val="21"/>
                <w:highlight w:val="none"/>
              </w:rPr>
            </w:pPr>
          </w:p>
        </w:tc>
        <w:tc>
          <w:tcPr>
            <w:tcW w:w="1033" w:type="dxa"/>
          </w:tcPr>
          <w:p w14:paraId="6C06D240">
            <w:pPr>
              <w:widowControl/>
              <w:rPr>
                <w:rFonts w:ascii="宋体" w:hAnsi="宋体" w:cs="宋体"/>
                <w:color w:val="auto"/>
                <w:szCs w:val="21"/>
                <w:highlight w:val="none"/>
              </w:rPr>
            </w:pPr>
          </w:p>
        </w:tc>
      </w:tr>
      <w:tr w14:paraId="40280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655" w:type="dxa"/>
          </w:tcPr>
          <w:p w14:paraId="363BF868">
            <w:pPr>
              <w:widowControl/>
              <w:rPr>
                <w:rFonts w:ascii="宋体" w:hAnsi="宋体" w:cs="宋体"/>
                <w:color w:val="auto"/>
                <w:szCs w:val="21"/>
                <w:highlight w:val="none"/>
              </w:rPr>
            </w:pPr>
          </w:p>
        </w:tc>
        <w:tc>
          <w:tcPr>
            <w:tcW w:w="1000" w:type="dxa"/>
          </w:tcPr>
          <w:p w14:paraId="375342C2">
            <w:pPr>
              <w:widowControl/>
              <w:rPr>
                <w:rFonts w:ascii="宋体" w:hAnsi="宋体" w:cs="宋体"/>
                <w:color w:val="auto"/>
                <w:szCs w:val="21"/>
                <w:highlight w:val="none"/>
              </w:rPr>
            </w:pPr>
          </w:p>
        </w:tc>
        <w:tc>
          <w:tcPr>
            <w:tcW w:w="1340" w:type="dxa"/>
          </w:tcPr>
          <w:p w14:paraId="21C015B5">
            <w:pPr>
              <w:widowControl/>
              <w:rPr>
                <w:rFonts w:ascii="宋体" w:hAnsi="宋体" w:cs="宋体"/>
                <w:color w:val="auto"/>
                <w:szCs w:val="21"/>
                <w:highlight w:val="none"/>
              </w:rPr>
            </w:pPr>
          </w:p>
        </w:tc>
        <w:tc>
          <w:tcPr>
            <w:tcW w:w="774" w:type="dxa"/>
          </w:tcPr>
          <w:p w14:paraId="7A3A18F4">
            <w:pPr>
              <w:widowControl/>
              <w:rPr>
                <w:rFonts w:ascii="宋体" w:hAnsi="宋体" w:cs="宋体"/>
                <w:color w:val="auto"/>
                <w:szCs w:val="21"/>
                <w:highlight w:val="none"/>
              </w:rPr>
            </w:pPr>
          </w:p>
        </w:tc>
        <w:tc>
          <w:tcPr>
            <w:tcW w:w="819" w:type="dxa"/>
          </w:tcPr>
          <w:p w14:paraId="013124FC">
            <w:pPr>
              <w:widowControl/>
              <w:rPr>
                <w:rFonts w:ascii="宋体" w:hAnsi="宋体" w:cs="宋体"/>
                <w:color w:val="auto"/>
                <w:szCs w:val="21"/>
                <w:highlight w:val="none"/>
              </w:rPr>
            </w:pPr>
          </w:p>
        </w:tc>
        <w:tc>
          <w:tcPr>
            <w:tcW w:w="1311" w:type="dxa"/>
          </w:tcPr>
          <w:p w14:paraId="46778ED3">
            <w:pPr>
              <w:widowControl/>
              <w:rPr>
                <w:rFonts w:ascii="宋体" w:hAnsi="宋体" w:cs="宋体"/>
                <w:color w:val="auto"/>
                <w:szCs w:val="21"/>
                <w:highlight w:val="none"/>
              </w:rPr>
            </w:pPr>
          </w:p>
        </w:tc>
        <w:tc>
          <w:tcPr>
            <w:tcW w:w="1021" w:type="dxa"/>
          </w:tcPr>
          <w:p w14:paraId="02AC6465">
            <w:pPr>
              <w:widowControl/>
              <w:rPr>
                <w:rFonts w:ascii="宋体" w:hAnsi="宋体" w:cs="宋体"/>
                <w:color w:val="auto"/>
                <w:szCs w:val="21"/>
                <w:highlight w:val="none"/>
              </w:rPr>
            </w:pPr>
          </w:p>
        </w:tc>
        <w:tc>
          <w:tcPr>
            <w:tcW w:w="1021" w:type="dxa"/>
          </w:tcPr>
          <w:p w14:paraId="65C6B14B">
            <w:pPr>
              <w:widowControl/>
              <w:rPr>
                <w:rFonts w:ascii="宋体" w:hAnsi="宋体" w:cs="宋体"/>
                <w:color w:val="auto"/>
                <w:szCs w:val="21"/>
                <w:highlight w:val="none"/>
              </w:rPr>
            </w:pPr>
          </w:p>
        </w:tc>
        <w:tc>
          <w:tcPr>
            <w:tcW w:w="1033" w:type="dxa"/>
          </w:tcPr>
          <w:p w14:paraId="7BC608AA">
            <w:pPr>
              <w:widowControl/>
              <w:rPr>
                <w:rFonts w:ascii="宋体" w:hAnsi="宋体" w:cs="宋体"/>
                <w:color w:val="auto"/>
                <w:szCs w:val="21"/>
                <w:highlight w:val="none"/>
              </w:rPr>
            </w:pPr>
          </w:p>
        </w:tc>
      </w:tr>
      <w:tr w14:paraId="58098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655" w:type="dxa"/>
          </w:tcPr>
          <w:p w14:paraId="336D0532">
            <w:pPr>
              <w:widowControl/>
              <w:rPr>
                <w:rFonts w:ascii="宋体" w:hAnsi="宋体" w:cs="宋体"/>
                <w:color w:val="auto"/>
                <w:szCs w:val="21"/>
                <w:highlight w:val="none"/>
              </w:rPr>
            </w:pPr>
          </w:p>
        </w:tc>
        <w:tc>
          <w:tcPr>
            <w:tcW w:w="1000" w:type="dxa"/>
          </w:tcPr>
          <w:p w14:paraId="0BE2AACA">
            <w:pPr>
              <w:widowControl/>
              <w:rPr>
                <w:rFonts w:ascii="宋体" w:hAnsi="宋体" w:cs="宋体"/>
                <w:color w:val="auto"/>
                <w:szCs w:val="21"/>
                <w:highlight w:val="none"/>
              </w:rPr>
            </w:pPr>
          </w:p>
        </w:tc>
        <w:tc>
          <w:tcPr>
            <w:tcW w:w="1340" w:type="dxa"/>
          </w:tcPr>
          <w:p w14:paraId="3588926B">
            <w:pPr>
              <w:widowControl/>
              <w:rPr>
                <w:rFonts w:ascii="宋体" w:hAnsi="宋体" w:cs="宋体"/>
                <w:color w:val="auto"/>
                <w:szCs w:val="21"/>
                <w:highlight w:val="none"/>
              </w:rPr>
            </w:pPr>
          </w:p>
        </w:tc>
        <w:tc>
          <w:tcPr>
            <w:tcW w:w="774" w:type="dxa"/>
          </w:tcPr>
          <w:p w14:paraId="4AFE2E63">
            <w:pPr>
              <w:widowControl/>
              <w:rPr>
                <w:rFonts w:ascii="宋体" w:hAnsi="宋体" w:cs="宋体"/>
                <w:color w:val="auto"/>
                <w:szCs w:val="21"/>
                <w:highlight w:val="none"/>
              </w:rPr>
            </w:pPr>
          </w:p>
        </w:tc>
        <w:tc>
          <w:tcPr>
            <w:tcW w:w="819" w:type="dxa"/>
          </w:tcPr>
          <w:p w14:paraId="4CDBD256">
            <w:pPr>
              <w:widowControl/>
              <w:rPr>
                <w:rFonts w:ascii="宋体" w:hAnsi="宋体" w:cs="宋体"/>
                <w:color w:val="auto"/>
                <w:szCs w:val="21"/>
                <w:highlight w:val="none"/>
              </w:rPr>
            </w:pPr>
          </w:p>
        </w:tc>
        <w:tc>
          <w:tcPr>
            <w:tcW w:w="1311" w:type="dxa"/>
          </w:tcPr>
          <w:p w14:paraId="182EB06B">
            <w:pPr>
              <w:widowControl/>
              <w:rPr>
                <w:rFonts w:ascii="宋体" w:hAnsi="宋体" w:cs="宋体"/>
                <w:color w:val="auto"/>
                <w:szCs w:val="21"/>
                <w:highlight w:val="none"/>
              </w:rPr>
            </w:pPr>
          </w:p>
        </w:tc>
        <w:tc>
          <w:tcPr>
            <w:tcW w:w="1021" w:type="dxa"/>
          </w:tcPr>
          <w:p w14:paraId="31FA976E">
            <w:pPr>
              <w:widowControl/>
              <w:rPr>
                <w:rFonts w:ascii="宋体" w:hAnsi="宋体" w:cs="宋体"/>
                <w:color w:val="auto"/>
                <w:szCs w:val="21"/>
                <w:highlight w:val="none"/>
              </w:rPr>
            </w:pPr>
          </w:p>
        </w:tc>
        <w:tc>
          <w:tcPr>
            <w:tcW w:w="1021" w:type="dxa"/>
          </w:tcPr>
          <w:p w14:paraId="39962FB6">
            <w:pPr>
              <w:widowControl/>
              <w:rPr>
                <w:rFonts w:ascii="宋体" w:hAnsi="宋体" w:cs="宋体"/>
                <w:color w:val="auto"/>
                <w:szCs w:val="21"/>
                <w:highlight w:val="none"/>
              </w:rPr>
            </w:pPr>
          </w:p>
        </w:tc>
        <w:tc>
          <w:tcPr>
            <w:tcW w:w="1033" w:type="dxa"/>
          </w:tcPr>
          <w:p w14:paraId="454878E1">
            <w:pPr>
              <w:widowControl/>
              <w:rPr>
                <w:rFonts w:ascii="宋体" w:hAnsi="宋体" w:cs="宋体"/>
                <w:color w:val="auto"/>
                <w:szCs w:val="21"/>
                <w:highlight w:val="none"/>
              </w:rPr>
            </w:pPr>
          </w:p>
        </w:tc>
      </w:tr>
    </w:tbl>
    <w:p w14:paraId="7018ACFC">
      <w:pPr>
        <w:spacing w:line="380" w:lineRule="exact"/>
        <w:rPr>
          <w:rFonts w:ascii="宋体" w:hAnsi="宋体" w:cs="宋体"/>
          <w:b w:val="0"/>
          <w:bCs/>
          <w:color w:val="auto"/>
          <w:szCs w:val="21"/>
          <w:highlight w:val="none"/>
        </w:rPr>
      </w:pPr>
      <w:r>
        <w:rPr>
          <w:rFonts w:hint="eastAsia" w:ascii="宋体" w:hAnsi="宋体" w:cs="宋体"/>
          <w:b w:val="0"/>
          <w:bCs/>
          <w:color w:val="auto"/>
          <w:szCs w:val="21"/>
          <w:highlight w:val="none"/>
        </w:rPr>
        <w:t>注：投标人应在本表后附相关证明材料。</w:t>
      </w:r>
    </w:p>
    <w:p w14:paraId="56AFD461">
      <w:pPr>
        <w:spacing w:line="520" w:lineRule="exact"/>
        <w:ind w:firstLine="420" w:firstLineChars="200"/>
        <w:rPr>
          <w:rFonts w:ascii="宋体" w:hAnsi="宋体" w:cs="宋体"/>
          <w:color w:val="auto"/>
          <w:szCs w:val="21"/>
          <w:highlight w:val="none"/>
        </w:rPr>
      </w:pPr>
    </w:p>
    <w:p w14:paraId="7B499101">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（单位电子印章）</w:t>
      </w:r>
    </w:p>
    <w:p w14:paraId="6D1C357A">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（电子签章或签字）</w:t>
      </w:r>
    </w:p>
    <w:p w14:paraId="37869BFE">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0825E1B4">
      <w:pPr>
        <w:rPr>
          <w:rFonts w:ascii="宋体" w:hAnsi="宋体" w:cs="宋体"/>
          <w:color w:val="auto"/>
          <w:highlight w:val="none"/>
        </w:rPr>
      </w:pPr>
      <w:bookmarkStart w:id="338" w:name="_Toc26334"/>
      <w:r>
        <w:rPr>
          <w:rFonts w:hint="eastAsia" w:ascii="宋体" w:hAnsi="宋体" w:cs="宋体"/>
          <w:color w:val="auto"/>
          <w:highlight w:val="none"/>
        </w:rPr>
        <w:br w:type="page"/>
      </w:r>
    </w:p>
    <w:p w14:paraId="129810C0">
      <w:pPr>
        <w:pStyle w:val="3"/>
        <w:rPr>
          <w:rFonts w:hint="default" w:eastAsia="宋体"/>
          <w:color w:val="auto"/>
          <w:highlight w:val="none"/>
          <w:lang w:val="en-US" w:eastAsia="zh-CN"/>
        </w:rPr>
      </w:pPr>
      <w:bookmarkStart w:id="339" w:name="_Toc17517"/>
      <w:bookmarkStart w:id="340" w:name="_Toc2111849952"/>
      <w:r>
        <w:rPr>
          <w:rFonts w:hint="eastAsia"/>
          <w:color w:val="auto"/>
          <w:highlight w:val="none"/>
        </w:rPr>
        <w:t>八、</w:t>
      </w:r>
      <w:r>
        <w:rPr>
          <w:rFonts w:hint="eastAsia"/>
          <w:color w:val="auto"/>
          <w:highlight w:val="none"/>
          <w:lang w:val="en-US" w:eastAsia="zh-CN"/>
        </w:rPr>
        <w:t>商务部分其他资料</w:t>
      </w:r>
      <w:bookmarkEnd w:id="339"/>
      <w:bookmarkEnd w:id="340"/>
    </w:p>
    <w:p w14:paraId="24CF512B">
      <w:pPr>
        <w:pStyle w:val="36"/>
        <w:ind w:firstLine="0" w:firstLineChars="0"/>
        <w:jc w:val="center"/>
        <w:rPr>
          <w:rFonts w:hint="eastAsia"/>
          <w:color w:val="auto"/>
          <w:highlight w:val="none"/>
        </w:rPr>
      </w:pPr>
    </w:p>
    <w:p w14:paraId="3190D282">
      <w:pPr>
        <w:pStyle w:val="36"/>
        <w:ind w:firstLine="0" w:firstLineChars="0"/>
        <w:jc w:val="center"/>
        <w:rPr>
          <w:rFonts w:hint="eastAsia"/>
          <w:color w:val="auto"/>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按照</w:t>
      </w:r>
      <w:r>
        <w:rPr>
          <w:rFonts w:hint="eastAsia" w:ascii="宋体" w:hAnsi="宋体" w:cs="宋体"/>
          <w:color w:val="auto"/>
          <w:szCs w:val="21"/>
          <w:highlight w:val="none"/>
          <w:lang w:val="en-US" w:eastAsia="zh-CN"/>
        </w:rPr>
        <w:t>招标文件评分办法</w:t>
      </w:r>
      <w:r>
        <w:rPr>
          <w:rFonts w:hint="eastAsia" w:ascii="宋体" w:hAnsi="宋体" w:cs="宋体"/>
          <w:color w:val="auto"/>
          <w:szCs w:val="21"/>
          <w:highlight w:val="none"/>
        </w:rPr>
        <w:t>规定内容逐一提供</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格式自拟</w:t>
      </w:r>
      <w:r>
        <w:rPr>
          <w:rFonts w:hint="eastAsia" w:ascii="宋体" w:hAnsi="宋体" w:cs="宋体"/>
          <w:color w:val="auto"/>
          <w:szCs w:val="21"/>
          <w:highlight w:val="none"/>
          <w:lang w:eastAsia="zh-CN"/>
        </w:rPr>
        <w:t>）</w:t>
      </w:r>
    </w:p>
    <w:p w14:paraId="4D57C25F">
      <w:pPr>
        <w:rPr>
          <w:rFonts w:hint="eastAsia"/>
          <w:color w:val="auto"/>
          <w:highlight w:val="none"/>
          <w:lang w:val="en-US" w:eastAsia="zh-CN"/>
        </w:rPr>
      </w:pPr>
      <w:bookmarkStart w:id="341" w:name="_Toc252425648"/>
      <w:r>
        <w:rPr>
          <w:rFonts w:hint="eastAsia"/>
          <w:color w:val="auto"/>
          <w:highlight w:val="none"/>
          <w:lang w:val="en-US" w:eastAsia="zh-CN"/>
        </w:rPr>
        <w:br w:type="page"/>
      </w:r>
    </w:p>
    <w:p w14:paraId="531E3991">
      <w:pPr>
        <w:pStyle w:val="3"/>
        <w:rPr>
          <w:color w:val="auto"/>
          <w:highlight w:val="none"/>
        </w:rPr>
      </w:pPr>
      <w:bookmarkStart w:id="342" w:name="_Toc22955"/>
      <w:r>
        <w:rPr>
          <w:rFonts w:hint="eastAsia"/>
          <w:color w:val="auto"/>
          <w:highlight w:val="none"/>
          <w:lang w:val="en-US" w:eastAsia="zh-CN"/>
        </w:rPr>
        <w:t>九、技术</w:t>
      </w:r>
      <w:r>
        <w:rPr>
          <w:rFonts w:hint="eastAsia"/>
          <w:color w:val="auto"/>
          <w:highlight w:val="none"/>
        </w:rPr>
        <w:t>部分其他资料</w:t>
      </w:r>
      <w:bookmarkEnd w:id="338"/>
      <w:bookmarkEnd w:id="341"/>
      <w:bookmarkEnd w:id="342"/>
    </w:p>
    <w:p w14:paraId="4696E4B5">
      <w:pPr>
        <w:widowControl/>
        <w:jc w:val="left"/>
        <w:rPr>
          <w:rFonts w:eastAsia="仿宋"/>
          <w:color w:val="auto"/>
          <w:highlight w:val="none"/>
        </w:rPr>
      </w:pPr>
    </w:p>
    <w:p w14:paraId="4B8C7779">
      <w:pPr>
        <w:pStyle w:val="36"/>
        <w:ind w:firstLine="210"/>
        <w:rPr>
          <w:rFonts w:eastAsia="仿宋"/>
          <w:color w:val="auto"/>
          <w:highlight w:val="none"/>
        </w:rPr>
      </w:pPr>
    </w:p>
    <w:p w14:paraId="447E7289">
      <w:pPr>
        <w:pStyle w:val="36"/>
        <w:ind w:firstLine="210"/>
        <w:jc w:val="center"/>
        <w:rPr>
          <w:rFonts w:eastAsia="仿宋"/>
          <w:color w:val="auto"/>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按照</w:t>
      </w:r>
      <w:r>
        <w:rPr>
          <w:rFonts w:hint="eastAsia" w:ascii="宋体" w:hAnsi="宋体" w:cs="宋体"/>
          <w:color w:val="auto"/>
          <w:szCs w:val="21"/>
          <w:highlight w:val="none"/>
          <w:lang w:val="en-US" w:eastAsia="zh-CN"/>
        </w:rPr>
        <w:t>招标文件评分办法</w:t>
      </w:r>
      <w:r>
        <w:rPr>
          <w:rFonts w:hint="eastAsia" w:ascii="宋体" w:hAnsi="宋体" w:cs="宋体"/>
          <w:color w:val="auto"/>
          <w:szCs w:val="21"/>
          <w:highlight w:val="none"/>
        </w:rPr>
        <w:t>规定内容逐一提供</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格式自拟</w:t>
      </w:r>
      <w:r>
        <w:rPr>
          <w:rFonts w:hint="eastAsia" w:ascii="宋体" w:hAnsi="宋体" w:cs="宋体"/>
          <w:color w:val="auto"/>
          <w:szCs w:val="21"/>
          <w:highlight w:val="none"/>
          <w:lang w:eastAsia="zh-CN"/>
        </w:rPr>
        <w:t>）</w:t>
      </w:r>
    </w:p>
    <w:p w14:paraId="0E7C2C21">
      <w:pPr>
        <w:pStyle w:val="36"/>
        <w:ind w:firstLine="210"/>
        <w:rPr>
          <w:rFonts w:eastAsia="仿宋"/>
          <w:color w:val="auto"/>
          <w:highlight w:val="none"/>
        </w:rPr>
      </w:pPr>
    </w:p>
    <w:p w14:paraId="64307B70">
      <w:pPr>
        <w:pStyle w:val="36"/>
        <w:ind w:firstLine="210"/>
        <w:rPr>
          <w:rFonts w:eastAsia="仿宋"/>
          <w:color w:val="auto"/>
          <w:highlight w:val="none"/>
        </w:rPr>
      </w:pPr>
    </w:p>
    <w:p w14:paraId="44EF36D3">
      <w:pPr>
        <w:pStyle w:val="36"/>
        <w:ind w:firstLine="210"/>
        <w:rPr>
          <w:rFonts w:eastAsia="仿宋"/>
          <w:color w:val="auto"/>
          <w:highlight w:val="none"/>
        </w:rPr>
      </w:pPr>
    </w:p>
    <w:p w14:paraId="35316382">
      <w:pPr>
        <w:widowControl/>
        <w:jc w:val="left"/>
        <w:rPr>
          <w:rFonts w:ascii="宋体" w:hAnsi="宋体" w:cs="宋体"/>
          <w:b/>
          <w:color w:val="auto"/>
          <w:sz w:val="32"/>
          <w:szCs w:val="32"/>
          <w:highlight w:val="none"/>
        </w:rPr>
      </w:pPr>
      <w:r>
        <w:rPr>
          <w:rFonts w:hint="eastAsia" w:ascii="仿宋" w:hAnsi="仿宋" w:eastAsia="仿宋" w:cs="仿宋"/>
          <w:b/>
          <w:color w:val="auto"/>
          <w:sz w:val="32"/>
          <w:szCs w:val="32"/>
          <w:highlight w:val="none"/>
        </w:rPr>
        <w:br w:type="page"/>
      </w:r>
    </w:p>
    <w:p w14:paraId="58ABA4D2">
      <w:pPr>
        <w:pStyle w:val="3"/>
        <w:rPr>
          <w:color w:val="auto"/>
          <w:highlight w:val="none"/>
        </w:rPr>
      </w:pPr>
      <w:bookmarkStart w:id="343" w:name="_Toc2262"/>
      <w:bookmarkStart w:id="344" w:name="_Toc18444"/>
      <w:bookmarkStart w:id="345" w:name="_Toc1237663111"/>
      <w:bookmarkStart w:id="346" w:name="_Toc25110"/>
      <w:bookmarkStart w:id="347" w:name="_Toc106080549"/>
      <w:bookmarkStart w:id="348" w:name="_Toc129512125"/>
      <w:bookmarkStart w:id="349" w:name="_Toc94716518"/>
      <w:bookmarkStart w:id="350" w:name="_Toc184635145"/>
      <w:bookmarkStart w:id="351" w:name="_Toc106076893"/>
      <w:bookmarkStart w:id="352" w:name="_Toc106079261"/>
      <w:bookmarkStart w:id="353" w:name="_Toc105816675"/>
      <w:bookmarkStart w:id="354" w:name="_Toc106078819"/>
      <w:bookmarkStart w:id="355" w:name="_Toc105833183"/>
      <w:bookmarkStart w:id="356" w:name="_Toc106079108"/>
      <w:r>
        <w:rPr>
          <w:rFonts w:hint="eastAsia"/>
          <w:color w:val="auto"/>
          <w:highlight w:val="none"/>
          <w:lang w:val="en-US" w:eastAsia="zh-CN"/>
        </w:rPr>
        <w:t>十</w:t>
      </w:r>
      <w:r>
        <w:rPr>
          <w:rFonts w:hint="eastAsia"/>
          <w:color w:val="auto"/>
          <w:highlight w:val="none"/>
        </w:rPr>
        <w:t>、反商业贿赂承诺书</w:t>
      </w:r>
      <w:bookmarkEnd w:id="343"/>
      <w:bookmarkEnd w:id="344"/>
      <w:bookmarkEnd w:id="345"/>
      <w:bookmarkEnd w:id="346"/>
    </w:p>
    <w:p w14:paraId="6F1E5F27">
      <w:pPr>
        <w:pStyle w:val="72"/>
        <w:rPr>
          <w:color w:val="auto"/>
          <w:highlight w:val="none"/>
        </w:rPr>
      </w:pPr>
    </w:p>
    <w:p w14:paraId="310B1850">
      <w:pPr>
        <w:spacing w:line="360" w:lineRule="auto"/>
        <w:rPr>
          <w:rFonts w:ascii="宋体" w:hAnsi="宋体" w:cs="宋体"/>
          <w:color w:val="auto"/>
          <w:szCs w:val="21"/>
          <w:highlight w:val="none"/>
        </w:rPr>
      </w:pPr>
      <w:r>
        <w:rPr>
          <w:rFonts w:hint="eastAsia" w:ascii="宋体" w:hAnsi="宋体" w:cs="宋体"/>
          <w:color w:val="auto"/>
          <w:szCs w:val="21"/>
          <w:highlight w:val="none"/>
        </w:rPr>
        <w:t>我公司承诺：</w:t>
      </w:r>
    </w:p>
    <w:p w14:paraId="4A78EE6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w:t>
      </w:r>
      <w:r>
        <w:rPr>
          <w:rFonts w:hint="eastAsia" w:ascii="宋体" w:hAnsi="宋体" w:cs="宋体"/>
          <w:color w:val="auto"/>
          <w:szCs w:val="21"/>
          <w:highlight w:val="none"/>
          <w:u w:val="single"/>
          <w:lang w:eastAsia="zh-CN"/>
        </w:rPr>
        <w:t>河南省科学院材料基因工程研究所河南省科学院材料创新基地材料大数据与数字化设计平台（一期）建设项目</w:t>
      </w:r>
      <w:r>
        <w:rPr>
          <w:rFonts w:hint="eastAsia" w:ascii="宋体" w:hAnsi="宋体" w:cs="宋体"/>
          <w:color w:val="auto"/>
          <w:szCs w:val="21"/>
          <w:highlight w:val="none"/>
          <w:u w:val="single"/>
          <w:lang w:val="en-US" w:eastAsia="zh-CN"/>
        </w:rPr>
        <w:t xml:space="preserve">、包号、包名称     </w:t>
      </w:r>
      <w:r>
        <w:rPr>
          <w:rFonts w:hint="eastAsia" w:ascii="宋体" w:hAnsi="宋体" w:cs="宋体"/>
          <w:color w:val="auto"/>
          <w:szCs w:val="21"/>
          <w:highlight w:val="none"/>
        </w:rPr>
        <w:t>招标活动中，我公司保证做到：</w:t>
      </w:r>
    </w:p>
    <w:p w14:paraId="739392F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一、公平竞争参加本次招标活动。</w:t>
      </w:r>
    </w:p>
    <w:p w14:paraId="6AFB22D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二、杜绝任何形式的商业贿赂行为。不向国家工作人员、采购代理机构工作人员、评审专家及其亲属提供礼品礼金、有价证券、购物券、回扣、佣金、咨询费、劳务费、赞助费、宣传费、宴请；不为其报销各种消费凭证，不支付其旅游、娱乐等费用。</w:t>
      </w:r>
    </w:p>
    <w:p w14:paraId="1A2589F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三、若出现上述行为，我公司及参与招标的工作人员愿意接受按照国家法律法规等有关规定给予的处罚。</w:t>
      </w:r>
    </w:p>
    <w:p w14:paraId="71A8F34D">
      <w:pPr>
        <w:spacing w:line="600" w:lineRule="exact"/>
        <w:rPr>
          <w:rFonts w:ascii="宋体" w:hAnsi="宋体" w:cs="宋体"/>
          <w:color w:val="auto"/>
          <w:szCs w:val="21"/>
          <w:highlight w:val="none"/>
        </w:rPr>
      </w:pPr>
      <w:r>
        <w:rPr>
          <w:rFonts w:hint="eastAsia" w:ascii="宋体" w:hAnsi="宋体" w:cs="宋体"/>
          <w:color w:val="auto"/>
          <w:szCs w:val="21"/>
          <w:highlight w:val="none"/>
        </w:rPr>
        <w:t xml:space="preserve">                 </w:t>
      </w:r>
    </w:p>
    <w:p w14:paraId="7EB23622">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（单位电子印章）</w:t>
      </w:r>
    </w:p>
    <w:p w14:paraId="1437D71D">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（电子签章或签字）</w:t>
      </w:r>
    </w:p>
    <w:p w14:paraId="5AAD069F">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155340E4">
      <w:pPr>
        <w:spacing w:line="520" w:lineRule="exact"/>
        <w:ind w:firstLine="420" w:firstLineChars="200"/>
        <w:rPr>
          <w:rFonts w:ascii="宋体" w:hAnsi="宋体" w:cs="宋体"/>
          <w:color w:val="auto"/>
          <w:szCs w:val="21"/>
          <w:highlight w:val="none"/>
        </w:rPr>
      </w:pPr>
    </w:p>
    <w:p w14:paraId="6EAC5327">
      <w:pPr>
        <w:pStyle w:val="36"/>
        <w:ind w:firstLine="240"/>
        <w:rPr>
          <w:rFonts w:ascii="宋体" w:hAnsi="宋体" w:cs="宋体"/>
          <w:color w:val="auto"/>
          <w:sz w:val="24"/>
          <w:highlight w:val="none"/>
        </w:rPr>
      </w:pPr>
    </w:p>
    <w:p w14:paraId="37B50438">
      <w:pPr>
        <w:pStyle w:val="36"/>
        <w:ind w:firstLine="210"/>
        <w:rPr>
          <w:color w:val="auto"/>
          <w:highlight w:val="none"/>
        </w:rPr>
      </w:pPr>
      <w:bookmarkStart w:id="357" w:name="_Toc24339"/>
      <w:bookmarkStart w:id="358" w:name="_Toc23909"/>
    </w:p>
    <w:p w14:paraId="3043BE54">
      <w:pPr>
        <w:rPr>
          <w:color w:val="auto"/>
          <w:highlight w:val="none"/>
        </w:rPr>
      </w:pPr>
      <w:r>
        <w:rPr>
          <w:color w:val="auto"/>
          <w:highlight w:val="none"/>
        </w:rPr>
        <w:br w:type="page"/>
      </w:r>
    </w:p>
    <w:bookmarkEnd w:id="357"/>
    <w:bookmarkEnd w:id="358"/>
    <w:p w14:paraId="207C0394">
      <w:pPr>
        <w:pStyle w:val="3"/>
        <w:rPr>
          <w:color w:val="auto"/>
          <w:szCs w:val="32"/>
          <w:highlight w:val="none"/>
        </w:rPr>
      </w:pPr>
      <w:bookmarkStart w:id="359" w:name="_Toc10528"/>
      <w:bookmarkStart w:id="360" w:name="_Toc18194"/>
      <w:bookmarkStart w:id="361" w:name="_Toc15668"/>
      <w:bookmarkStart w:id="362" w:name="_Toc31865"/>
      <w:bookmarkStart w:id="363" w:name="_Toc877301735"/>
      <w:bookmarkStart w:id="364" w:name="_Toc500170705"/>
      <w:bookmarkStart w:id="365" w:name="_Toc497920544"/>
      <w:r>
        <w:rPr>
          <w:rFonts w:hint="eastAsia"/>
          <w:color w:val="auto"/>
          <w:szCs w:val="32"/>
          <w:highlight w:val="none"/>
        </w:rPr>
        <w:t>十</w:t>
      </w:r>
      <w:r>
        <w:rPr>
          <w:rFonts w:hint="eastAsia"/>
          <w:color w:val="auto"/>
          <w:szCs w:val="32"/>
          <w:highlight w:val="none"/>
          <w:lang w:val="en-US" w:eastAsia="zh-CN"/>
        </w:rPr>
        <w:t>一</w:t>
      </w:r>
      <w:r>
        <w:rPr>
          <w:rFonts w:hint="eastAsia"/>
          <w:color w:val="auto"/>
          <w:szCs w:val="32"/>
          <w:highlight w:val="none"/>
        </w:rPr>
        <w:t>、中小微企业、残疾人福利企业、监狱企业</w:t>
      </w:r>
      <w:bookmarkEnd w:id="359"/>
      <w:bookmarkEnd w:id="360"/>
      <w:bookmarkEnd w:id="361"/>
      <w:bookmarkEnd w:id="362"/>
      <w:bookmarkEnd w:id="363"/>
    </w:p>
    <w:bookmarkEnd w:id="364"/>
    <w:bookmarkEnd w:id="365"/>
    <w:p w14:paraId="50372E90">
      <w:pPr>
        <w:spacing w:line="360" w:lineRule="auto"/>
        <w:jc w:val="center"/>
        <w:rPr>
          <w:rFonts w:ascii="宋体" w:hAnsi="宋体" w:cs="宋体"/>
          <w:b/>
          <w:color w:val="auto"/>
          <w:szCs w:val="21"/>
          <w:highlight w:val="none"/>
        </w:rPr>
      </w:pPr>
      <w:bookmarkStart w:id="366" w:name="_Toc497920545"/>
      <w:bookmarkStart w:id="367" w:name="_Hlk492844196"/>
      <w:bookmarkStart w:id="368" w:name="_Toc500170706"/>
    </w:p>
    <w:p w14:paraId="1F596360">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（一）中小企业声明函（货物）</w:t>
      </w:r>
    </w:p>
    <w:p w14:paraId="19FCB5EA">
      <w:pPr>
        <w:pStyle w:val="33"/>
        <w:wordWrap w:val="0"/>
        <w:spacing w:beforeAutospacing="0" w:afterAutospacing="0"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本公司（联合体）郑重声明，</w:t>
      </w:r>
      <w:bookmarkStart w:id="369" w:name="_Hlk484015033"/>
      <w:r>
        <w:rPr>
          <w:rFonts w:hint="eastAsia" w:ascii="宋体" w:hAnsi="宋体" w:cs="宋体"/>
          <w:color w:val="auto"/>
          <w:kern w:val="2"/>
          <w:sz w:val="21"/>
          <w:szCs w:val="21"/>
          <w:highlight w:val="none"/>
        </w:rPr>
        <w:t>根据《政府采购促进中小企业发展管理办法》（财库[2020]46号）</w:t>
      </w:r>
      <w:bookmarkEnd w:id="369"/>
      <w:r>
        <w:rPr>
          <w:rFonts w:hint="eastAsia" w:ascii="宋体" w:hAnsi="宋体" w:cs="宋体"/>
          <w:color w:val="auto"/>
          <w:kern w:val="2"/>
          <w:sz w:val="21"/>
          <w:szCs w:val="21"/>
          <w:highlight w:val="none"/>
        </w:rPr>
        <w:t>的规定，本公司（联合体）参加</w:t>
      </w:r>
      <w:r>
        <w:rPr>
          <w:rFonts w:hint="eastAsia" w:ascii="宋体" w:hAnsi="宋体" w:cs="宋体"/>
          <w:color w:val="auto"/>
          <w:kern w:val="2"/>
          <w:sz w:val="21"/>
          <w:szCs w:val="21"/>
          <w:highlight w:val="none"/>
          <w:u w:val="single"/>
        </w:rPr>
        <w:t xml:space="preserve"> （单位名称）  </w:t>
      </w:r>
      <w:r>
        <w:rPr>
          <w:rFonts w:hint="eastAsia" w:ascii="宋体" w:hAnsi="宋体" w:cs="宋体"/>
          <w:color w:val="auto"/>
          <w:kern w:val="2"/>
          <w:sz w:val="21"/>
          <w:szCs w:val="21"/>
          <w:highlight w:val="none"/>
        </w:rPr>
        <w:t>的</w:t>
      </w:r>
      <w:r>
        <w:rPr>
          <w:rFonts w:hint="eastAsia" w:ascii="宋体" w:hAnsi="宋体" w:cs="宋体"/>
          <w:color w:val="auto"/>
          <w:kern w:val="2"/>
          <w:sz w:val="21"/>
          <w:szCs w:val="21"/>
          <w:highlight w:val="none"/>
          <w:u w:val="single"/>
        </w:rPr>
        <w:t>（项目名称</w:t>
      </w:r>
      <w:r>
        <w:rPr>
          <w:rFonts w:hint="eastAsia" w:ascii="宋体" w:hAnsi="宋体" w:cs="宋体"/>
          <w:color w:val="auto"/>
          <w:kern w:val="2"/>
          <w:sz w:val="21"/>
          <w:szCs w:val="21"/>
          <w:highlight w:val="none"/>
          <w:u w:val="single"/>
          <w:lang w:eastAsia="zh-CN"/>
        </w:rPr>
        <w:t>、包名称：</w:t>
      </w:r>
      <w:r>
        <w:rPr>
          <w:rFonts w:hint="eastAsia" w:ascii="宋体" w:hAnsi="宋体" w:cs="宋体"/>
          <w:color w:val="auto"/>
          <w:kern w:val="2"/>
          <w:sz w:val="21"/>
          <w:szCs w:val="21"/>
          <w:highlight w:val="none"/>
          <w:u w:val="single"/>
          <w:lang w:val="en-US" w:eastAsia="zh-CN"/>
        </w:rPr>
        <w:t xml:space="preserve">    </w:t>
      </w:r>
      <w:r>
        <w:rPr>
          <w:rFonts w:hint="eastAsia" w:ascii="宋体" w:hAnsi="宋体" w:cs="宋体"/>
          <w:color w:val="auto"/>
          <w:kern w:val="2"/>
          <w:sz w:val="21"/>
          <w:szCs w:val="21"/>
          <w:highlight w:val="none"/>
          <w:u w:val="single"/>
        </w:rPr>
        <w:t>）</w:t>
      </w:r>
      <w:r>
        <w:rPr>
          <w:rFonts w:hint="eastAsia" w:ascii="宋体" w:hAnsi="宋体" w:cs="宋体"/>
          <w:color w:val="auto"/>
          <w:kern w:val="2"/>
          <w:sz w:val="21"/>
          <w:szCs w:val="21"/>
          <w:highlight w:val="none"/>
        </w:rPr>
        <w:t>采购活动，提供的货物</w:t>
      </w:r>
      <w:r>
        <w:rPr>
          <w:rFonts w:hint="eastAsia" w:ascii="宋体" w:hAnsi="宋体" w:cs="宋体"/>
          <w:b/>
          <w:bCs/>
          <w:color w:val="auto"/>
          <w:kern w:val="2"/>
          <w:sz w:val="21"/>
          <w:szCs w:val="21"/>
          <w:highlight w:val="none"/>
        </w:rPr>
        <w:t>全部</w:t>
      </w:r>
      <w:r>
        <w:rPr>
          <w:rFonts w:hint="eastAsia" w:ascii="宋体" w:hAnsi="宋体" w:cs="宋体"/>
          <w:color w:val="auto"/>
          <w:kern w:val="2"/>
          <w:sz w:val="21"/>
          <w:szCs w:val="21"/>
          <w:highlight w:val="none"/>
        </w:rPr>
        <w:t>由符合政策要求的中小企业制造。相关企业（含联合体中的中小企业、签订分包意向协议的中小企业）的具体情况如下：</w:t>
      </w:r>
    </w:p>
    <w:p w14:paraId="6E5F7EFF">
      <w:pPr>
        <w:pStyle w:val="33"/>
        <w:wordWrap w:val="0"/>
        <w:spacing w:beforeAutospacing="0" w:afterAutospacing="0"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1.</w:t>
      </w:r>
      <w:r>
        <w:rPr>
          <w:rFonts w:hint="eastAsia" w:ascii="宋体" w:hAnsi="宋体" w:cs="宋体"/>
          <w:color w:val="auto"/>
          <w:kern w:val="2"/>
          <w:sz w:val="21"/>
          <w:szCs w:val="21"/>
          <w:highlight w:val="none"/>
          <w:u w:val="single"/>
        </w:rPr>
        <w:t>（标的名称）</w:t>
      </w:r>
      <w:r>
        <w:rPr>
          <w:rFonts w:hint="eastAsia" w:ascii="宋体" w:hAnsi="宋体" w:cs="宋体"/>
          <w:color w:val="auto"/>
          <w:kern w:val="2"/>
          <w:sz w:val="21"/>
          <w:szCs w:val="21"/>
          <w:highlight w:val="none"/>
        </w:rPr>
        <w:t>，属于</w:t>
      </w:r>
      <w:r>
        <w:rPr>
          <w:rFonts w:hint="eastAsia" w:ascii="宋体" w:hAnsi="宋体" w:cs="宋体"/>
          <w:color w:val="auto"/>
          <w:kern w:val="2"/>
          <w:sz w:val="21"/>
          <w:szCs w:val="21"/>
          <w:highlight w:val="none"/>
          <w:u w:val="single"/>
        </w:rPr>
        <w:t>（采购文件中明确的所属行业）行业</w:t>
      </w:r>
      <w:r>
        <w:rPr>
          <w:rFonts w:hint="eastAsia" w:ascii="宋体" w:hAnsi="宋体" w:cs="宋体"/>
          <w:color w:val="auto"/>
          <w:kern w:val="2"/>
          <w:sz w:val="21"/>
          <w:szCs w:val="21"/>
          <w:highlight w:val="none"/>
        </w:rPr>
        <w:t>；制造商为</w:t>
      </w:r>
      <w:r>
        <w:rPr>
          <w:rFonts w:hint="eastAsia" w:ascii="宋体" w:hAnsi="宋体" w:cs="宋体"/>
          <w:color w:val="auto"/>
          <w:kern w:val="2"/>
          <w:sz w:val="21"/>
          <w:szCs w:val="21"/>
          <w:highlight w:val="none"/>
          <w:u w:val="single"/>
        </w:rPr>
        <w:t>（投标人名称）</w:t>
      </w:r>
      <w:r>
        <w:rPr>
          <w:rFonts w:hint="eastAsia" w:ascii="宋体" w:hAnsi="宋体" w:cs="宋体"/>
          <w:color w:val="auto"/>
          <w:kern w:val="2"/>
          <w:sz w:val="21"/>
          <w:szCs w:val="21"/>
          <w:highlight w:val="none"/>
        </w:rPr>
        <w:t>，从业人员</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rPr>
        <w:t>人，营业收入为</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rPr>
        <w:t>万元，资产总额为</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rPr>
        <w:t>万元</w:t>
      </w:r>
      <w:r>
        <w:rPr>
          <w:rFonts w:hint="eastAsia" w:ascii="宋体" w:hAnsi="宋体" w:cs="宋体"/>
          <w:color w:val="auto"/>
          <w:kern w:val="2"/>
          <w:sz w:val="21"/>
          <w:szCs w:val="21"/>
          <w:highlight w:val="none"/>
          <w:vertAlign w:val="superscript"/>
        </w:rPr>
        <w:t>1</w:t>
      </w:r>
      <w:r>
        <w:rPr>
          <w:rFonts w:hint="eastAsia" w:ascii="宋体" w:hAnsi="宋体" w:cs="宋体"/>
          <w:color w:val="auto"/>
          <w:kern w:val="2"/>
          <w:sz w:val="21"/>
          <w:szCs w:val="21"/>
          <w:highlight w:val="none"/>
        </w:rPr>
        <w:t>，属于</w:t>
      </w:r>
      <w:r>
        <w:rPr>
          <w:rFonts w:hint="eastAsia" w:ascii="宋体" w:hAnsi="宋体" w:cs="宋体"/>
          <w:color w:val="auto"/>
          <w:kern w:val="2"/>
          <w:sz w:val="21"/>
          <w:szCs w:val="21"/>
          <w:highlight w:val="none"/>
          <w:u w:val="single"/>
        </w:rPr>
        <w:t xml:space="preserve">    （中型企业、小型企业、微型企业）</w:t>
      </w:r>
      <w:r>
        <w:rPr>
          <w:rFonts w:hint="eastAsia" w:ascii="宋体" w:hAnsi="宋体" w:cs="宋体"/>
          <w:color w:val="auto"/>
          <w:kern w:val="2"/>
          <w:sz w:val="21"/>
          <w:szCs w:val="21"/>
          <w:highlight w:val="none"/>
        </w:rPr>
        <w:t>；</w:t>
      </w:r>
    </w:p>
    <w:p w14:paraId="225FEB28">
      <w:pPr>
        <w:pStyle w:val="33"/>
        <w:wordWrap w:val="0"/>
        <w:spacing w:beforeAutospacing="0" w:afterAutospacing="0"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2.</w:t>
      </w:r>
      <w:r>
        <w:rPr>
          <w:rFonts w:hint="eastAsia" w:ascii="宋体" w:hAnsi="宋体" w:cs="宋体"/>
          <w:color w:val="auto"/>
          <w:kern w:val="2"/>
          <w:sz w:val="21"/>
          <w:szCs w:val="21"/>
          <w:highlight w:val="none"/>
          <w:u w:val="single"/>
        </w:rPr>
        <w:t>（标的名称）</w:t>
      </w:r>
      <w:r>
        <w:rPr>
          <w:rFonts w:hint="eastAsia" w:ascii="宋体" w:hAnsi="宋体" w:cs="宋体"/>
          <w:color w:val="auto"/>
          <w:kern w:val="2"/>
          <w:sz w:val="21"/>
          <w:szCs w:val="21"/>
          <w:highlight w:val="none"/>
        </w:rPr>
        <w:t>，属于</w:t>
      </w:r>
      <w:r>
        <w:rPr>
          <w:rFonts w:hint="eastAsia" w:ascii="宋体" w:hAnsi="宋体" w:cs="宋体"/>
          <w:color w:val="auto"/>
          <w:kern w:val="2"/>
          <w:sz w:val="21"/>
          <w:szCs w:val="21"/>
          <w:highlight w:val="none"/>
          <w:u w:val="single"/>
        </w:rPr>
        <w:t>（采购文件中明确的所属行业）行业</w:t>
      </w:r>
      <w:r>
        <w:rPr>
          <w:rFonts w:hint="eastAsia" w:ascii="宋体" w:hAnsi="宋体" w:cs="宋体"/>
          <w:color w:val="auto"/>
          <w:kern w:val="2"/>
          <w:sz w:val="21"/>
          <w:szCs w:val="21"/>
          <w:highlight w:val="none"/>
        </w:rPr>
        <w:t>；制造商为</w:t>
      </w:r>
      <w:r>
        <w:rPr>
          <w:rFonts w:hint="eastAsia" w:ascii="宋体" w:hAnsi="宋体" w:cs="宋体"/>
          <w:color w:val="auto"/>
          <w:kern w:val="2"/>
          <w:sz w:val="21"/>
          <w:szCs w:val="21"/>
          <w:highlight w:val="none"/>
          <w:u w:val="single"/>
        </w:rPr>
        <w:t>（投标人名称）</w:t>
      </w:r>
      <w:r>
        <w:rPr>
          <w:rFonts w:hint="eastAsia" w:ascii="宋体" w:hAnsi="宋体" w:cs="宋体"/>
          <w:color w:val="auto"/>
          <w:kern w:val="2"/>
          <w:sz w:val="21"/>
          <w:szCs w:val="21"/>
          <w:highlight w:val="none"/>
        </w:rPr>
        <w:t>，从业人员</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rPr>
        <w:t>人，营业收入为</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rPr>
        <w:t>万元，资产总额为</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rPr>
        <w:t>万元，属于</w:t>
      </w:r>
      <w:r>
        <w:rPr>
          <w:rFonts w:hint="eastAsia" w:ascii="宋体" w:hAnsi="宋体" w:cs="宋体"/>
          <w:color w:val="auto"/>
          <w:kern w:val="2"/>
          <w:sz w:val="21"/>
          <w:szCs w:val="21"/>
          <w:highlight w:val="none"/>
          <w:u w:val="single"/>
        </w:rPr>
        <w:t xml:space="preserve">    （中型企业、小型企业、微型企业）</w:t>
      </w:r>
      <w:r>
        <w:rPr>
          <w:rFonts w:hint="eastAsia" w:ascii="宋体" w:hAnsi="宋体" w:cs="宋体"/>
          <w:color w:val="auto"/>
          <w:kern w:val="2"/>
          <w:sz w:val="21"/>
          <w:szCs w:val="21"/>
          <w:highlight w:val="none"/>
        </w:rPr>
        <w:t>；</w:t>
      </w:r>
    </w:p>
    <w:p w14:paraId="00431625">
      <w:pPr>
        <w:pStyle w:val="33"/>
        <w:wordWrap w:val="0"/>
        <w:spacing w:beforeAutospacing="0" w:afterAutospacing="0"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以上企业，不属于大企业的分支机构，不存在控股股东为大企业的情形，也不存在与大型企业负责人为同一人的情形。</w:t>
      </w:r>
    </w:p>
    <w:p w14:paraId="5354FDD4">
      <w:pPr>
        <w:pStyle w:val="33"/>
        <w:wordWrap w:val="0"/>
        <w:spacing w:beforeAutospacing="0" w:afterAutospacing="0"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本企业对上述声明内容的真实性负责。如有虚假，将依法承担相应责任。</w:t>
      </w:r>
    </w:p>
    <w:p w14:paraId="0A5CC333">
      <w:pPr>
        <w:pStyle w:val="33"/>
        <w:wordWrap w:val="0"/>
        <w:spacing w:beforeAutospacing="0" w:afterAutospacing="0" w:line="360" w:lineRule="auto"/>
        <w:ind w:firstLine="420" w:firstLineChars="200"/>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 xml:space="preserve">                 投标人名称（盖章）：</w:t>
      </w:r>
    </w:p>
    <w:p w14:paraId="1E5A5551">
      <w:pPr>
        <w:pStyle w:val="33"/>
        <w:wordWrap w:val="0"/>
        <w:spacing w:beforeAutospacing="0" w:afterAutospacing="0" w:line="360" w:lineRule="auto"/>
        <w:ind w:firstLine="420" w:firstLineChars="200"/>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 xml:space="preserve">    日 期：</w:t>
      </w:r>
    </w:p>
    <w:bookmarkEnd w:id="366"/>
    <w:bookmarkEnd w:id="367"/>
    <w:bookmarkEnd w:id="368"/>
    <w:p w14:paraId="15119B82">
      <w:pPr>
        <w:spacing w:line="360" w:lineRule="auto"/>
        <w:rPr>
          <w:rFonts w:ascii="宋体" w:hAnsi="宋体" w:cs="宋体"/>
          <w:color w:val="auto"/>
          <w:szCs w:val="21"/>
          <w:highlight w:val="none"/>
        </w:rPr>
      </w:pPr>
      <w:r>
        <w:rPr>
          <w:rFonts w:hint="eastAsia" w:ascii="宋体" w:hAnsi="宋体" w:cs="宋体"/>
          <w:color w:val="auto"/>
          <w:szCs w:val="21"/>
          <w:highlight w:val="none"/>
          <w:lang w:val="en-US" w:eastAsia="zh-CN"/>
        </w:rPr>
        <w:t>说明</w:t>
      </w:r>
      <w:r>
        <w:rPr>
          <w:rFonts w:hint="eastAsia" w:ascii="宋体" w:hAnsi="宋体" w:cs="宋体"/>
          <w:color w:val="auto"/>
          <w:szCs w:val="21"/>
          <w:highlight w:val="none"/>
        </w:rPr>
        <w:t>：</w:t>
      </w:r>
    </w:p>
    <w:p w14:paraId="26ADA3A7">
      <w:pPr>
        <w:numPr>
          <w:ilvl w:val="0"/>
          <w:numId w:val="24"/>
        </w:numPr>
        <w:spacing w:line="360" w:lineRule="auto"/>
        <w:rPr>
          <w:rFonts w:ascii="宋体" w:hAnsi="宋体" w:cs="宋体"/>
          <w:color w:val="auto"/>
          <w:szCs w:val="21"/>
          <w:highlight w:val="none"/>
        </w:rPr>
      </w:pPr>
      <w:r>
        <w:rPr>
          <w:rFonts w:hint="eastAsia" w:ascii="宋体" w:hAnsi="宋体" w:cs="宋体"/>
          <w:color w:val="auto"/>
          <w:szCs w:val="21"/>
          <w:highlight w:val="none"/>
        </w:rPr>
        <w:t>从业人员、营业收入、资产总额填报上一年度数据，无上一年度数据的新企业可不填报。</w:t>
      </w:r>
    </w:p>
    <w:p w14:paraId="68B653D3">
      <w:pPr>
        <w:spacing w:line="360" w:lineRule="auto"/>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bCs/>
          <w:color w:val="auto"/>
          <w:szCs w:val="21"/>
          <w:highlight w:val="none"/>
        </w:rPr>
        <w:t>中标人如为小型和微型企业的，随中标结果公开中标人的《中小企业声明函》。</w:t>
      </w:r>
      <w:r>
        <w:rPr>
          <w:rFonts w:hint="eastAsia" w:ascii="宋体" w:hAnsi="宋体" w:cs="宋体"/>
          <w:color w:val="auto"/>
          <w:szCs w:val="21"/>
          <w:highlight w:val="none"/>
        </w:rPr>
        <w:t>投标人提供声明函内容不实的，属于提供虚假材料谋取中标。</w:t>
      </w:r>
    </w:p>
    <w:p w14:paraId="741909B1">
      <w:pPr>
        <w:pStyle w:val="88"/>
        <w:spacing w:line="360" w:lineRule="auto"/>
        <w:ind w:firstLine="0" w:firstLineChars="0"/>
        <w:rPr>
          <w:rFonts w:ascii="宋体" w:hAnsi="宋体" w:cs="宋体"/>
          <w:bCs/>
          <w:color w:val="auto"/>
          <w:szCs w:val="21"/>
          <w:highlight w:val="none"/>
        </w:rPr>
      </w:pPr>
      <w:r>
        <w:rPr>
          <w:rFonts w:hint="eastAsia" w:ascii="宋体" w:hAnsi="宋体" w:cs="宋体"/>
          <w:color w:val="auto"/>
          <w:szCs w:val="21"/>
          <w:highlight w:val="none"/>
        </w:rPr>
        <w:t>3、</w:t>
      </w:r>
      <w:r>
        <w:rPr>
          <w:rFonts w:hint="eastAsia" w:ascii="宋体" w:hAnsi="宋体" w:cs="宋体"/>
          <w:bCs/>
          <w:color w:val="auto"/>
          <w:szCs w:val="21"/>
          <w:highlight w:val="none"/>
        </w:rPr>
        <w:t>投标人提供的货物既有中小企业制造货物，也有大型企业制造货物的，不享受《政府采购促进中小企业发展管理办法》(财库[2020]46 号)规定的中小企业扶持政策。依据《政府采购促进中小企业发展管理办法》(财库[2020]46 号)规定享受扶持政策获得政府采购合同的，小微企业不得将合同分包给大中型企业，中型企业不得将合同分包给大型企业。</w:t>
      </w:r>
    </w:p>
    <w:p w14:paraId="47532D89">
      <w:pPr>
        <w:spacing w:line="360" w:lineRule="auto"/>
        <w:rPr>
          <w:rFonts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、根据《关于进一步加大政府采购支持中小企业力度的通知》（财库〔2022〕19号）规定，对符合本办法规定的小微企业报价给予10%的扣除，用扣除后的价格参与评审。</w:t>
      </w:r>
    </w:p>
    <w:p w14:paraId="65EEEAA7">
      <w:pPr>
        <w:spacing w:line="360" w:lineRule="auto"/>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5</w:t>
      </w:r>
      <w:r>
        <w:rPr>
          <w:rFonts w:hint="eastAsia" w:ascii="宋体" w:hAnsi="宋体" w:cs="宋体"/>
          <w:b/>
          <w:bCs/>
          <w:color w:val="auto"/>
          <w:szCs w:val="21"/>
          <w:highlight w:val="none"/>
        </w:rPr>
        <w:t>、提醒：如果投标人提供的货物不是</w:t>
      </w:r>
      <w:r>
        <w:rPr>
          <w:rFonts w:hint="eastAsia" w:ascii="宋体" w:hAnsi="宋体" w:cs="宋体"/>
          <w:b/>
          <w:bCs/>
          <w:color w:val="auto"/>
          <w:szCs w:val="21"/>
          <w:highlight w:val="none"/>
          <w:lang w:val="en-US" w:eastAsia="zh-CN"/>
        </w:rPr>
        <w:t>全部</w:t>
      </w:r>
      <w:r>
        <w:rPr>
          <w:rFonts w:hint="eastAsia" w:ascii="宋体" w:hAnsi="宋体" w:cs="宋体"/>
          <w:b/>
          <w:bCs/>
          <w:color w:val="auto"/>
          <w:szCs w:val="21"/>
          <w:highlight w:val="none"/>
        </w:rPr>
        <w:t>由中小企业制造的（即货物由中小企业生产且使用该中小企业商号或者注册商标），</w:t>
      </w:r>
      <w:r>
        <w:rPr>
          <w:rFonts w:hint="eastAsia" w:ascii="宋体" w:hAnsi="宋体" w:cs="宋体"/>
          <w:b/>
          <w:bCs/>
          <w:color w:val="auto"/>
          <w:szCs w:val="21"/>
          <w:highlight w:val="none"/>
          <w:lang w:val="en-US" w:eastAsia="zh-CN"/>
        </w:rPr>
        <w:t>则不</w:t>
      </w:r>
      <w:r>
        <w:rPr>
          <w:rFonts w:hint="eastAsia" w:ascii="宋体" w:hAnsi="宋体" w:cs="宋体"/>
          <w:b/>
          <w:bCs/>
          <w:color w:val="auto"/>
          <w:szCs w:val="21"/>
          <w:highlight w:val="none"/>
        </w:rPr>
        <w:t>享受扶持政策</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rPr>
        <w:t>不需要提供《中小企业声明函》。</w:t>
      </w:r>
      <w:r>
        <w:rPr>
          <w:rFonts w:hint="eastAsia" w:ascii="宋体" w:hAnsi="宋体" w:cs="宋体"/>
          <w:b/>
          <w:bCs/>
          <w:color w:val="auto"/>
          <w:szCs w:val="21"/>
          <w:highlight w:val="none"/>
          <w:lang w:val="en-US" w:eastAsia="zh-CN"/>
        </w:rPr>
        <w:t>因采购包段中所含采购标的数量过多，交易中心市场主体系统中《中小企业声明函》无法涵盖所有标的，以投标文件提供的《中小企业声明函》为准。</w:t>
      </w:r>
    </w:p>
    <w:p w14:paraId="01403BC5">
      <w:pPr>
        <w:spacing w:line="360" w:lineRule="auto"/>
        <w:rPr>
          <w:rFonts w:hint="eastAsia" w:ascii="宋体" w:hAnsi="宋体" w:cs="宋体"/>
          <w:color w:val="auto"/>
          <w:szCs w:val="21"/>
          <w:highlight w:val="none"/>
        </w:rPr>
      </w:pPr>
    </w:p>
    <w:p w14:paraId="335FFBC6">
      <w:pPr>
        <w:spacing w:line="360" w:lineRule="auto"/>
        <w:rPr>
          <w:rFonts w:hint="eastAsia" w:ascii="宋体" w:hAnsi="宋体" w:cs="宋体"/>
          <w:color w:val="auto"/>
          <w:szCs w:val="21"/>
          <w:highlight w:val="none"/>
        </w:rPr>
      </w:pPr>
    </w:p>
    <w:p w14:paraId="25528D15">
      <w:pPr>
        <w:spacing w:line="360" w:lineRule="auto"/>
        <w:rPr>
          <w:rFonts w:hint="eastAsia" w:ascii="宋体" w:hAnsi="宋体" w:cs="宋体"/>
          <w:color w:val="auto"/>
          <w:szCs w:val="21"/>
          <w:highlight w:val="none"/>
        </w:rPr>
      </w:pPr>
    </w:p>
    <w:p w14:paraId="51760EC7">
      <w:pPr>
        <w:spacing w:line="360" w:lineRule="auto"/>
        <w:rPr>
          <w:rFonts w:hint="default" w:ascii="宋体" w:hAnsi="宋体" w:cs="宋体"/>
          <w:b/>
          <w:bCs/>
          <w:i w:val="0"/>
          <w:iCs w:val="0"/>
          <w:color w:val="auto"/>
          <w:szCs w:val="21"/>
          <w:highlight w:val="none"/>
          <w:lang w:val="en-US" w:eastAsia="zh-CN"/>
        </w:rPr>
      </w:pPr>
      <w:r>
        <w:rPr>
          <w:rFonts w:hint="eastAsia" w:ascii="宋体" w:hAnsi="宋体" w:cs="宋体"/>
          <w:b/>
          <w:bCs/>
          <w:i w:val="0"/>
          <w:iCs w:val="0"/>
          <w:color w:val="auto"/>
          <w:szCs w:val="21"/>
          <w:highlight w:val="none"/>
          <w:lang w:val="en-US" w:eastAsia="zh-CN"/>
        </w:rPr>
        <w:t>示例：供参考，投标人根据所投内容实际情况填写</w:t>
      </w:r>
    </w:p>
    <w:p w14:paraId="0E2FD207">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（一）中小企业声明函（货物）</w:t>
      </w:r>
    </w:p>
    <w:p w14:paraId="1E613E88">
      <w:pPr>
        <w:pStyle w:val="33"/>
        <w:wordWrap w:val="0"/>
        <w:spacing w:beforeAutospacing="0" w:afterAutospacing="0"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本公司（联合体）郑重声明，根据《政府采购促进中小企业发展管理办法》（财库[2020]46号）的规定，本公司（联合体）参加</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u w:val="single"/>
          <w:lang w:val="en-US" w:eastAsia="zh-CN"/>
        </w:rPr>
        <w:t xml:space="preserve"> </w:t>
      </w:r>
      <w:r>
        <w:rPr>
          <w:rFonts w:hint="eastAsia" w:ascii="宋体" w:hAnsi="宋体" w:cs="宋体"/>
          <w:color w:val="auto"/>
          <w:kern w:val="2"/>
          <w:sz w:val="21"/>
          <w:szCs w:val="21"/>
          <w:highlight w:val="none"/>
          <w:u w:val="single"/>
        </w:rPr>
        <w:t xml:space="preserve">河南省科学院材料基因工程研究所  </w:t>
      </w:r>
      <w:r>
        <w:rPr>
          <w:rFonts w:hint="eastAsia" w:ascii="宋体" w:hAnsi="宋体" w:cs="宋体"/>
          <w:color w:val="auto"/>
          <w:kern w:val="2"/>
          <w:sz w:val="21"/>
          <w:szCs w:val="21"/>
          <w:highlight w:val="none"/>
        </w:rPr>
        <w:t>的</w:t>
      </w:r>
      <w:r>
        <w:rPr>
          <w:rFonts w:hint="eastAsia" w:ascii="宋体" w:hAnsi="宋体" w:cs="宋体"/>
          <w:color w:val="auto"/>
          <w:kern w:val="2"/>
          <w:sz w:val="21"/>
          <w:szCs w:val="21"/>
          <w:highlight w:val="none"/>
          <w:u w:val="single"/>
          <w:lang w:val="en-US" w:eastAsia="zh-CN"/>
        </w:rPr>
        <w:t xml:space="preserve"> </w:t>
      </w:r>
      <w:r>
        <w:rPr>
          <w:rFonts w:hint="eastAsia" w:ascii="宋体" w:hAnsi="宋体" w:cs="宋体"/>
          <w:color w:val="auto"/>
          <w:kern w:val="2"/>
          <w:sz w:val="21"/>
          <w:szCs w:val="21"/>
          <w:highlight w:val="none"/>
          <w:u w:val="single"/>
          <w:lang w:eastAsia="zh-CN"/>
        </w:rPr>
        <w:t>河南省科学院材料基因工程研究所河南省科学院材料创新基地材料大数据与数字化设计平台（一期）建设项目</w:t>
      </w:r>
      <w:r>
        <w:rPr>
          <w:rFonts w:hint="eastAsia" w:ascii="宋体" w:hAnsi="宋体" w:cs="宋体"/>
          <w:color w:val="auto"/>
          <w:kern w:val="2"/>
          <w:sz w:val="21"/>
          <w:szCs w:val="21"/>
          <w:highlight w:val="none"/>
          <w:u w:val="single"/>
          <w:lang w:val="en-US" w:eastAsia="zh-CN"/>
        </w:rPr>
        <w:t xml:space="preserve"> 包2：私有云平台、数据采集和终端 </w:t>
      </w:r>
      <w:r>
        <w:rPr>
          <w:rFonts w:hint="eastAsia" w:ascii="宋体" w:hAnsi="宋体" w:cs="宋体"/>
          <w:color w:val="auto"/>
          <w:kern w:val="2"/>
          <w:sz w:val="21"/>
          <w:szCs w:val="21"/>
          <w:highlight w:val="none"/>
        </w:rPr>
        <w:t>采购活动，提供的货物</w:t>
      </w:r>
      <w:r>
        <w:rPr>
          <w:rFonts w:hint="eastAsia" w:ascii="宋体" w:hAnsi="宋体" w:cs="宋体"/>
          <w:b/>
          <w:bCs/>
          <w:color w:val="auto"/>
          <w:kern w:val="2"/>
          <w:sz w:val="21"/>
          <w:szCs w:val="21"/>
          <w:highlight w:val="none"/>
        </w:rPr>
        <w:t>全部</w:t>
      </w:r>
      <w:r>
        <w:rPr>
          <w:rFonts w:hint="eastAsia" w:ascii="宋体" w:hAnsi="宋体" w:cs="宋体"/>
          <w:color w:val="auto"/>
          <w:kern w:val="2"/>
          <w:sz w:val="21"/>
          <w:szCs w:val="21"/>
          <w:highlight w:val="none"/>
        </w:rPr>
        <w:t>由符合政策要求的中小企业制造。相关企业（含联合体中的中小企业、签订分包意向协议的中小企业）的具体情况如下：</w:t>
      </w:r>
    </w:p>
    <w:p w14:paraId="0428B0C8">
      <w:pPr>
        <w:pStyle w:val="33"/>
        <w:wordWrap w:val="0"/>
        <w:spacing w:beforeAutospacing="0" w:afterAutospacing="0"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1.</w:t>
      </w:r>
      <w:r>
        <w:rPr>
          <w:rFonts w:hint="eastAsia" w:ascii="宋体" w:hAnsi="宋体" w:cs="宋体"/>
          <w:color w:val="auto"/>
          <w:kern w:val="2"/>
          <w:sz w:val="21"/>
          <w:szCs w:val="21"/>
          <w:highlight w:val="none"/>
          <w:u w:val="single"/>
        </w:rPr>
        <w:t>主机服务器</w:t>
      </w:r>
      <w:r>
        <w:rPr>
          <w:rFonts w:hint="eastAsia" w:ascii="宋体" w:hAnsi="宋体" w:cs="宋体"/>
          <w:color w:val="auto"/>
          <w:kern w:val="2"/>
          <w:sz w:val="21"/>
          <w:szCs w:val="21"/>
          <w:highlight w:val="none"/>
        </w:rPr>
        <w:t>，属于</w:t>
      </w:r>
      <w:r>
        <w:rPr>
          <w:rFonts w:hint="eastAsia" w:ascii="宋体" w:hAnsi="宋体" w:cs="宋体"/>
          <w:color w:val="auto"/>
          <w:kern w:val="2"/>
          <w:sz w:val="21"/>
          <w:szCs w:val="21"/>
          <w:highlight w:val="none"/>
          <w:u w:val="single"/>
          <w:lang w:val="en-US" w:eastAsia="zh-CN"/>
        </w:rPr>
        <w:t xml:space="preserve">工业 </w:t>
      </w:r>
      <w:r>
        <w:rPr>
          <w:rFonts w:hint="eastAsia" w:ascii="宋体" w:hAnsi="宋体" w:cs="宋体"/>
          <w:color w:val="auto"/>
          <w:kern w:val="2"/>
          <w:sz w:val="21"/>
          <w:szCs w:val="21"/>
          <w:highlight w:val="none"/>
          <w:u w:val="single"/>
        </w:rPr>
        <w:t>行业</w:t>
      </w:r>
      <w:r>
        <w:rPr>
          <w:rFonts w:hint="eastAsia" w:ascii="宋体" w:hAnsi="宋体" w:cs="宋体"/>
          <w:color w:val="auto"/>
          <w:kern w:val="2"/>
          <w:sz w:val="21"/>
          <w:szCs w:val="21"/>
          <w:highlight w:val="none"/>
        </w:rPr>
        <w:t>；制造商为</w:t>
      </w:r>
      <w:r>
        <w:rPr>
          <w:rFonts w:hint="eastAsia" w:ascii="宋体" w:hAnsi="宋体" w:cs="宋体"/>
          <w:color w:val="auto"/>
          <w:kern w:val="2"/>
          <w:sz w:val="21"/>
          <w:szCs w:val="21"/>
          <w:highlight w:val="none"/>
          <w:u w:val="single"/>
          <w:lang w:val="en-US" w:eastAsia="zh-CN"/>
        </w:rPr>
        <w:t>XX有限公司</w:t>
      </w:r>
      <w:r>
        <w:rPr>
          <w:rFonts w:hint="eastAsia" w:ascii="宋体" w:hAnsi="宋体" w:cs="宋体"/>
          <w:color w:val="auto"/>
          <w:kern w:val="2"/>
          <w:sz w:val="21"/>
          <w:szCs w:val="21"/>
          <w:highlight w:val="none"/>
        </w:rPr>
        <w:t>，从业人员</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u w:val="single"/>
          <w:lang w:val="en-US" w:eastAsia="zh-CN"/>
        </w:rPr>
        <w:t>XX</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rPr>
        <w:t>人，营业收入为</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u w:val="single"/>
          <w:lang w:val="en-US" w:eastAsia="zh-CN"/>
        </w:rPr>
        <w:t>XX</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rPr>
        <w:t>万元，资产总额为</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u w:val="single"/>
          <w:lang w:val="en-US" w:eastAsia="zh-CN"/>
        </w:rPr>
        <w:t>XX</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rPr>
        <w:t>万元</w:t>
      </w:r>
      <w:r>
        <w:rPr>
          <w:rFonts w:hint="eastAsia" w:ascii="宋体" w:hAnsi="宋体" w:cs="宋体"/>
          <w:color w:val="auto"/>
          <w:kern w:val="2"/>
          <w:sz w:val="21"/>
          <w:szCs w:val="21"/>
          <w:highlight w:val="none"/>
          <w:vertAlign w:val="superscript"/>
        </w:rPr>
        <w:t>1</w:t>
      </w:r>
      <w:r>
        <w:rPr>
          <w:rFonts w:hint="eastAsia" w:ascii="宋体" w:hAnsi="宋体" w:cs="宋体"/>
          <w:color w:val="auto"/>
          <w:kern w:val="2"/>
          <w:sz w:val="21"/>
          <w:szCs w:val="21"/>
          <w:highlight w:val="none"/>
        </w:rPr>
        <w:t>，属于</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u w:val="single"/>
          <w:lang w:val="en-US" w:eastAsia="zh-CN"/>
        </w:rPr>
        <w:t>XX</w:t>
      </w:r>
      <w:r>
        <w:rPr>
          <w:rFonts w:hint="eastAsia" w:ascii="宋体" w:hAnsi="宋体" w:cs="宋体"/>
          <w:color w:val="auto"/>
          <w:kern w:val="2"/>
          <w:sz w:val="21"/>
          <w:szCs w:val="21"/>
          <w:highlight w:val="none"/>
          <w:u w:val="single"/>
        </w:rPr>
        <w:t xml:space="preserve">  （中型企业、小型企业、微型企业）</w:t>
      </w:r>
      <w:r>
        <w:rPr>
          <w:rFonts w:hint="eastAsia" w:ascii="宋体" w:hAnsi="宋体" w:cs="宋体"/>
          <w:color w:val="auto"/>
          <w:kern w:val="2"/>
          <w:sz w:val="21"/>
          <w:szCs w:val="21"/>
          <w:highlight w:val="none"/>
        </w:rPr>
        <w:t>；</w:t>
      </w:r>
    </w:p>
    <w:p w14:paraId="0718E957">
      <w:pPr>
        <w:pStyle w:val="33"/>
        <w:wordWrap w:val="0"/>
        <w:spacing w:beforeAutospacing="0" w:afterAutospacing="0" w:line="360" w:lineRule="auto"/>
        <w:ind w:firstLine="420" w:firstLineChars="200"/>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2.</w:t>
      </w:r>
      <w:r>
        <w:rPr>
          <w:rFonts w:hint="eastAsia" w:ascii="宋体" w:hAnsi="宋体" w:cs="宋体"/>
          <w:color w:val="auto"/>
          <w:kern w:val="2"/>
          <w:sz w:val="21"/>
          <w:szCs w:val="21"/>
          <w:highlight w:val="none"/>
          <w:u w:val="single"/>
          <w:lang w:val="en-US" w:eastAsia="zh-CN"/>
        </w:rPr>
        <w:t xml:space="preserve">  存储节点  </w:t>
      </w:r>
      <w:r>
        <w:rPr>
          <w:rFonts w:hint="eastAsia" w:ascii="宋体" w:hAnsi="宋体" w:cs="宋体"/>
          <w:color w:val="auto"/>
          <w:kern w:val="2"/>
          <w:sz w:val="21"/>
          <w:szCs w:val="21"/>
          <w:highlight w:val="none"/>
        </w:rPr>
        <w:t>，属于</w:t>
      </w:r>
      <w:r>
        <w:rPr>
          <w:rFonts w:hint="eastAsia" w:ascii="宋体" w:hAnsi="宋体" w:cs="宋体"/>
          <w:color w:val="auto"/>
          <w:kern w:val="2"/>
          <w:sz w:val="21"/>
          <w:szCs w:val="21"/>
          <w:highlight w:val="none"/>
          <w:u w:val="single"/>
          <w:lang w:val="en-US" w:eastAsia="zh-CN"/>
        </w:rPr>
        <w:t xml:space="preserve">    </w:t>
      </w:r>
      <w:r>
        <w:rPr>
          <w:rFonts w:hint="eastAsia" w:ascii="宋体" w:hAnsi="宋体" w:cs="宋体"/>
          <w:color w:val="auto"/>
          <w:kern w:val="2"/>
          <w:sz w:val="21"/>
          <w:szCs w:val="21"/>
          <w:highlight w:val="none"/>
        </w:rPr>
        <w:t>；制造商为</w:t>
      </w:r>
      <w:r>
        <w:rPr>
          <w:rFonts w:hint="eastAsia" w:ascii="宋体" w:hAnsi="宋体" w:cs="宋体"/>
          <w:color w:val="auto"/>
          <w:kern w:val="2"/>
          <w:sz w:val="21"/>
          <w:szCs w:val="21"/>
          <w:highlight w:val="none"/>
          <w:u w:val="single"/>
          <w:lang w:val="en-US" w:eastAsia="zh-CN"/>
        </w:rPr>
        <w:t>XX有限公司</w:t>
      </w:r>
      <w:r>
        <w:rPr>
          <w:rFonts w:hint="eastAsia" w:ascii="宋体" w:hAnsi="宋体" w:cs="宋体"/>
          <w:color w:val="auto"/>
          <w:kern w:val="2"/>
          <w:sz w:val="21"/>
          <w:szCs w:val="21"/>
          <w:highlight w:val="none"/>
        </w:rPr>
        <w:t>，从业人员</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u w:val="single"/>
          <w:lang w:val="en-US" w:eastAsia="zh-CN"/>
        </w:rPr>
        <w:t>X</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u w:val="single"/>
          <w:lang w:val="en-US" w:eastAsia="zh-CN"/>
        </w:rPr>
        <w:t>X</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rPr>
        <w:t>人，营业收入为</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u w:val="single"/>
          <w:lang w:val="en-US" w:eastAsia="zh-CN"/>
        </w:rPr>
        <w:t>XX</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rPr>
        <w:t>万元，资产总额为</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u w:val="single"/>
          <w:lang w:val="en-US" w:eastAsia="zh-CN"/>
        </w:rPr>
        <w:t>XX</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rPr>
        <w:t>万元，属于</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u w:val="single"/>
          <w:lang w:val="en-US" w:eastAsia="zh-CN"/>
        </w:rPr>
        <w:t>XX</w:t>
      </w:r>
      <w:r>
        <w:rPr>
          <w:rFonts w:hint="eastAsia" w:ascii="宋体" w:hAnsi="宋体" w:cs="宋体"/>
          <w:color w:val="auto"/>
          <w:kern w:val="2"/>
          <w:sz w:val="21"/>
          <w:szCs w:val="21"/>
          <w:highlight w:val="none"/>
          <w:u w:val="single"/>
        </w:rPr>
        <w:t xml:space="preserve"> （中型企业、小型企业、微型企业）</w:t>
      </w:r>
      <w:r>
        <w:rPr>
          <w:rFonts w:hint="eastAsia" w:ascii="宋体" w:hAnsi="宋体" w:cs="宋体"/>
          <w:color w:val="auto"/>
          <w:kern w:val="2"/>
          <w:sz w:val="21"/>
          <w:szCs w:val="21"/>
          <w:highlight w:val="none"/>
        </w:rPr>
        <w:t>；</w:t>
      </w:r>
    </w:p>
    <w:p w14:paraId="3574B88E">
      <w:pPr>
        <w:pStyle w:val="33"/>
        <w:wordWrap w:val="0"/>
        <w:spacing w:beforeAutospacing="0" w:afterAutospacing="0" w:line="360" w:lineRule="auto"/>
        <w:ind w:firstLine="420" w:firstLineChars="200"/>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lang w:val="en-US" w:eastAsia="zh-CN"/>
        </w:rPr>
        <w:t>3.</w:t>
      </w:r>
      <w:r>
        <w:rPr>
          <w:rFonts w:hint="eastAsia" w:ascii="宋体" w:hAnsi="宋体" w:cs="宋体"/>
          <w:color w:val="auto"/>
          <w:kern w:val="2"/>
          <w:sz w:val="21"/>
          <w:szCs w:val="21"/>
          <w:highlight w:val="none"/>
          <w:u w:val="single"/>
          <w:lang w:val="en-US" w:eastAsia="zh-CN"/>
        </w:rPr>
        <w:t xml:space="preserve">       </w:t>
      </w:r>
      <w:r>
        <w:rPr>
          <w:rFonts w:hint="eastAsia" w:ascii="宋体" w:hAnsi="宋体" w:cs="宋体"/>
          <w:color w:val="auto"/>
          <w:kern w:val="2"/>
          <w:sz w:val="21"/>
          <w:szCs w:val="21"/>
          <w:highlight w:val="none"/>
        </w:rPr>
        <w:t>，属于</w:t>
      </w:r>
      <w:r>
        <w:rPr>
          <w:rFonts w:hint="eastAsia" w:ascii="宋体" w:hAnsi="宋体" w:cs="宋体"/>
          <w:color w:val="auto"/>
          <w:kern w:val="2"/>
          <w:sz w:val="21"/>
          <w:szCs w:val="21"/>
          <w:highlight w:val="none"/>
          <w:u w:val="single"/>
          <w:lang w:val="en-US" w:eastAsia="zh-CN"/>
        </w:rPr>
        <w:t xml:space="preserve">         </w:t>
      </w:r>
      <w:r>
        <w:rPr>
          <w:rFonts w:hint="eastAsia" w:ascii="宋体" w:hAnsi="宋体" w:cs="宋体"/>
          <w:color w:val="auto"/>
          <w:kern w:val="2"/>
          <w:sz w:val="21"/>
          <w:szCs w:val="21"/>
          <w:highlight w:val="none"/>
        </w:rPr>
        <w:t>；制造商为</w:t>
      </w:r>
      <w:r>
        <w:rPr>
          <w:rFonts w:hint="eastAsia" w:ascii="宋体" w:hAnsi="宋体" w:cs="宋体"/>
          <w:color w:val="auto"/>
          <w:kern w:val="2"/>
          <w:sz w:val="21"/>
          <w:szCs w:val="21"/>
          <w:highlight w:val="none"/>
          <w:u w:val="single"/>
          <w:lang w:val="en-US" w:eastAsia="zh-CN"/>
        </w:rPr>
        <w:t>XX有限公司</w:t>
      </w:r>
      <w:r>
        <w:rPr>
          <w:rFonts w:hint="eastAsia" w:ascii="宋体" w:hAnsi="宋体" w:cs="宋体"/>
          <w:color w:val="auto"/>
          <w:kern w:val="2"/>
          <w:sz w:val="21"/>
          <w:szCs w:val="21"/>
          <w:highlight w:val="none"/>
        </w:rPr>
        <w:t>，从业人员</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u w:val="single"/>
          <w:lang w:val="en-US" w:eastAsia="zh-CN"/>
        </w:rPr>
        <w:t>XX</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rPr>
        <w:t>人，营业收入为</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u w:val="single"/>
          <w:lang w:val="en-US" w:eastAsia="zh-CN"/>
        </w:rPr>
        <w:t>XX</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rPr>
        <w:t>万元，资产总额为</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u w:val="single"/>
          <w:lang w:val="en-US" w:eastAsia="zh-CN"/>
        </w:rPr>
        <w:t>XX</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rPr>
        <w:t>万元，属于</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u w:val="single"/>
          <w:lang w:val="en-US" w:eastAsia="zh-CN"/>
        </w:rPr>
        <w:t>XX</w:t>
      </w:r>
      <w:r>
        <w:rPr>
          <w:rFonts w:hint="eastAsia" w:ascii="宋体" w:hAnsi="宋体" w:cs="宋体"/>
          <w:color w:val="auto"/>
          <w:kern w:val="2"/>
          <w:sz w:val="21"/>
          <w:szCs w:val="21"/>
          <w:highlight w:val="none"/>
          <w:u w:val="single"/>
        </w:rPr>
        <w:t xml:space="preserve"> （中型企业、小型企业、微型企业）</w:t>
      </w:r>
      <w:r>
        <w:rPr>
          <w:rFonts w:hint="eastAsia" w:ascii="宋体" w:hAnsi="宋体" w:cs="宋体"/>
          <w:color w:val="auto"/>
          <w:kern w:val="2"/>
          <w:sz w:val="21"/>
          <w:szCs w:val="21"/>
          <w:highlight w:val="none"/>
        </w:rPr>
        <w:t>；</w:t>
      </w:r>
    </w:p>
    <w:p w14:paraId="1358DDD8">
      <w:pPr>
        <w:pStyle w:val="33"/>
        <w:wordWrap w:val="0"/>
        <w:spacing w:beforeAutospacing="0" w:afterAutospacing="0" w:line="360" w:lineRule="auto"/>
        <w:ind w:firstLine="420" w:firstLineChars="200"/>
        <w:rPr>
          <w:rFonts w:hint="eastAsia"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4.......</w:t>
      </w:r>
    </w:p>
    <w:p w14:paraId="1AB56118">
      <w:pPr>
        <w:pStyle w:val="33"/>
        <w:wordWrap w:val="0"/>
        <w:spacing w:beforeAutospacing="0" w:afterAutospacing="0" w:line="360" w:lineRule="auto"/>
        <w:ind w:firstLine="420" w:firstLineChars="200"/>
        <w:rPr>
          <w:rFonts w:hint="default"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5.......</w:t>
      </w:r>
    </w:p>
    <w:p w14:paraId="79615F2F">
      <w:pPr>
        <w:pStyle w:val="33"/>
        <w:wordWrap w:val="0"/>
        <w:spacing w:beforeAutospacing="0" w:afterAutospacing="0"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以上企业，不属于大企业的分支机构，不存在控股股东为大企业的情形，也不存在与大型企业负责人为同一人的情形。</w:t>
      </w:r>
    </w:p>
    <w:p w14:paraId="728F356B">
      <w:pPr>
        <w:pStyle w:val="33"/>
        <w:wordWrap w:val="0"/>
        <w:spacing w:beforeAutospacing="0" w:afterAutospacing="0"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本企业对上述声明内容的真实性负责。如有虚假，将依法承担相应责任。</w:t>
      </w:r>
    </w:p>
    <w:p w14:paraId="7738659B">
      <w:pPr>
        <w:pStyle w:val="33"/>
        <w:wordWrap w:val="0"/>
        <w:spacing w:beforeAutospacing="0" w:afterAutospacing="0" w:line="360" w:lineRule="auto"/>
        <w:ind w:firstLine="420" w:firstLineChars="200"/>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 xml:space="preserve">                 投标人名称（盖章）：</w:t>
      </w:r>
    </w:p>
    <w:p w14:paraId="397E85B6">
      <w:pPr>
        <w:pStyle w:val="33"/>
        <w:wordWrap w:val="0"/>
        <w:spacing w:beforeAutospacing="0" w:afterAutospacing="0" w:line="360" w:lineRule="auto"/>
        <w:ind w:firstLine="420" w:firstLineChars="200"/>
        <w:jc w:val="center"/>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 xml:space="preserve">    日 期：</w:t>
      </w:r>
    </w:p>
    <w:p w14:paraId="7447AE5E">
      <w:pPr>
        <w:pStyle w:val="33"/>
        <w:wordWrap w:val="0"/>
        <w:spacing w:beforeAutospacing="0" w:afterAutospacing="0" w:line="360" w:lineRule="auto"/>
        <w:ind w:firstLine="420" w:firstLineChars="200"/>
        <w:jc w:val="center"/>
        <w:rPr>
          <w:rFonts w:hint="eastAsia" w:ascii="宋体" w:hAnsi="宋体" w:cs="宋体"/>
          <w:color w:val="auto"/>
          <w:kern w:val="2"/>
          <w:sz w:val="21"/>
          <w:szCs w:val="21"/>
          <w:highlight w:val="none"/>
        </w:rPr>
      </w:pPr>
    </w:p>
    <w:p w14:paraId="4551A896">
      <w:pPr>
        <w:rPr>
          <w:b/>
          <w:color w:val="auto"/>
          <w:szCs w:val="21"/>
          <w:highlight w:val="none"/>
        </w:rPr>
      </w:pPr>
      <w:r>
        <w:rPr>
          <w:rFonts w:hint="eastAsia"/>
          <w:b/>
          <w:color w:val="auto"/>
          <w:szCs w:val="21"/>
          <w:highlight w:val="none"/>
        </w:rPr>
        <w:br w:type="page"/>
      </w:r>
    </w:p>
    <w:p w14:paraId="752C8C19">
      <w:pPr>
        <w:numPr>
          <w:ilvl w:val="0"/>
          <w:numId w:val="25"/>
        </w:numPr>
        <w:jc w:val="center"/>
        <w:rPr>
          <w:b/>
          <w:color w:val="auto"/>
          <w:szCs w:val="21"/>
          <w:highlight w:val="none"/>
        </w:rPr>
      </w:pPr>
      <w:r>
        <w:rPr>
          <w:rFonts w:hint="eastAsia"/>
          <w:b/>
          <w:color w:val="auto"/>
          <w:szCs w:val="21"/>
          <w:highlight w:val="none"/>
        </w:rPr>
        <w:t>残疾人福利企业</w:t>
      </w:r>
    </w:p>
    <w:p w14:paraId="6B29D197">
      <w:pPr>
        <w:pStyle w:val="36"/>
        <w:spacing w:line="360" w:lineRule="auto"/>
        <w:ind w:firstLine="0" w:firstLineChars="0"/>
        <w:jc w:val="center"/>
        <w:rPr>
          <w:rFonts w:ascii="宋体" w:hAnsi="宋体" w:cs="宋体"/>
          <w:b/>
          <w:color w:val="auto"/>
          <w:szCs w:val="21"/>
          <w:highlight w:val="none"/>
        </w:rPr>
      </w:pPr>
    </w:p>
    <w:p w14:paraId="78D0C2EE">
      <w:pPr>
        <w:pStyle w:val="36"/>
        <w:spacing w:line="360" w:lineRule="auto"/>
        <w:ind w:firstLine="0" w:firstLineChars="0"/>
        <w:jc w:val="center"/>
        <w:rPr>
          <w:rFonts w:ascii="宋体" w:hAnsi="宋体" w:cs="宋体"/>
          <w:b/>
          <w:color w:val="auto"/>
          <w:szCs w:val="21"/>
          <w:highlight w:val="none"/>
        </w:rPr>
      </w:pPr>
      <w:r>
        <w:rPr>
          <w:rFonts w:hint="eastAsia" w:ascii="宋体" w:hAnsi="宋体" w:cs="宋体"/>
          <w:b/>
          <w:color w:val="auto"/>
          <w:szCs w:val="21"/>
          <w:highlight w:val="none"/>
        </w:rPr>
        <w:t>残疾人福利企业声明函</w:t>
      </w:r>
    </w:p>
    <w:p w14:paraId="1C8062D8">
      <w:pPr>
        <w:spacing w:line="360" w:lineRule="auto"/>
        <w:ind w:firstLine="444" w:firstLineChars="200"/>
        <w:rPr>
          <w:rFonts w:ascii="宋体" w:hAnsi="宋体" w:cs="宋体"/>
          <w:color w:val="auto"/>
          <w:spacing w:val="6"/>
          <w:szCs w:val="21"/>
          <w:highlight w:val="none"/>
        </w:rPr>
      </w:pPr>
      <w:r>
        <w:rPr>
          <w:rFonts w:hint="eastAsia" w:ascii="宋体" w:hAnsi="宋体" w:cs="宋体"/>
          <w:color w:val="auto"/>
          <w:spacing w:val="6"/>
          <w:szCs w:val="21"/>
          <w:highlight w:val="none"/>
        </w:rPr>
        <w:t>本单位郑重声明，根据《财政部民政部中国残疾人联合会关于促进残疾人就业政府采购政策的通知》（财库</w:t>
      </w:r>
      <w:r>
        <w:rPr>
          <w:rFonts w:hint="eastAsia" w:ascii="宋体" w:hAnsi="宋体" w:cs="宋体"/>
          <w:color w:val="auto"/>
          <w:szCs w:val="21"/>
          <w:highlight w:val="none"/>
        </w:rPr>
        <w:t>〔2017〕141</w:t>
      </w:r>
      <w:r>
        <w:rPr>
          <w:rFonts w:hint="eastAsia" w:ascii="宋体" w:hAnsi="宋体" w:cs="宋体"/>
          <w:color w:val="auto"/>
          <w:spacing w:val="6"/>
          <w:szCs w:val="21"/>
          <w:highlight w:val="none"/>
        </w:rPr>
        <w:t>号）的规定，本单位为符合条件的残疾人福利性单位，且本单位参加</w:t>
      </w:r>
      <w:r>
        <w:rPr>
          <w:rFonts w:hint="eastAsia" w:ascii="宋体" w:hAnsi="宋体" w:cs="宋体"/>
          <w:color w:val="auto"/>
          <w:spacing w:val="6"/>
          <w:szCs w:val="21"/>
          <w:highlight w:val="none"/>
          <w:u w:val="single"/>
        </w:rPr>
        <w:t xml:space="preserve">       </w:t>
      </w:r>
      <w:r>
        <w:rPr>
          <w:rFonts w:hint="eastAsia" w:ascii="宋体" w:hAnsi="宋体" w:cs="宋体"/>
          <w:color w:val="auto"/>
          <w:spacing w:val="6"/>
          <w:szCs w:val="21"/>
          <w:highlight w:val="none"/>
        </w:rPr>
        <w:t>单位的</w:t>
      </w:r>
      <w:r>
        <w:rPr>
          <w:rFonts w:hint="eastAsia" w:ascii="宋体" w:hAnsi="宋体" w:cs="宋体"/>
          <w:color w:val="auto"/>
          <w:spacing w:val="6"/>
          <w:szCs w:val="21"/>
          <w:highlight w:val="none"/>
          <w:u w:val="single"/>
        </w:rPr>
        <w:t xml:space="preserve">      </w:t>
      </w:r>
      <w:r>
        <w:rPr>
          <w:rFonts w:hint="eastAsia" w:ascii="宋体" w:hAnsi="宋体" w:cs="宋体"/>
          <w:color w:val="auto"/>
          <w:spacing w:val="6"/>
          <w:szCs w:val="21"/>
          <w:highlight w:val="none"/>
        </w:rPr>
        <w:t>项目采购活动提供本单位制造的货物</w:t>
      </w:r>
      <w:r>
        <w:rPr>
          <w:rFonts w:hint="eastAsia" w:ascii="宋体" w:hAnsi="宋体" w:cs="宋体"/>
          <w:color w:val="auto"/>
          <w:spacing w:val="6"/>
          <w:szCs w:val="21"/>
          <w:highlight w:val="none"/>
          <w:u w:val="single"/>
        </w:rPr>
        <w:t>（由本单位承担工程/提供服务）</w:t>
      </w:r>
      <w:r>
        <w:rPr>
          <w:rFonts w:hint="eastAsia" w:ascii="宋体" w:hAnsi="宋体" w:cs="宋体"/>
          <w:color w:val="auto"/>
          <w:spacing w:val="6"/>
          <w:szCs w:val="21"/>
          <w:highlight w:val="none"/>
        </w:rPr>
        <w:t>，或者提供其他残疾人福利性单位制造的货物</w:t>
      </w:r>
      <w:r>
        <w:rPr>
          <w:rFonts w:hint="eastAsia" w:ascii="宋体" w:hAnsi="宋体" w:cs="宋体"/>
          <w:color w:val="auto"/>
          <w:spacing w:val="6"/>
          <w:szCs w:val="21"/>
          <w:highlight w:val="none"/>
          <w:u w:val="single"/>
        </w:rPr>
        <w:t>（不包括使用非残疾人福利性单位注册商标的货物）</w:t>
      </w:r>
      <w:r>
        <w:rPr>
          <w:rFonts w:hint="eastAsia" w:ascii="宋体" w:hAnsi="宋体" w:cs="宋体"/>
          <w:color w:val="auto"/>
          <w:spacing w:val="6"/>
          <w:szCs w:val="21"/>
          <w:highlight w:val="none"/>
        </w:rPr>
        <w:t>。</w:t>
      </w:r>
    </w:p>
    <w:p w14:paraId="2E6025BF">
      <w:pPr>
        <w:spacing w:line="360" w:lineRule="auto"/>
        <w:ind w:firstLine="444" w:firstLineChars="200"/>
        <w:rPr>
          <w:rFonts w:ascii="宋体" w:hAnsi="宋体" w:cs="宋体"/>
          <w:color w:val="auto"/>
          <w:spacing w:val="6"/>
          <w:szCs w:val="21"/>
          <w:highlight w:val="none"/>
        </w:rPr>
      </w:pPr>
      <w:r>
        <w:rPr>
          <w:rFonts w:hint="eastAsia" w:ascii="宋体" w:hAnsi="宋体" w:cs="宋体"/>
          <w:color w:val="auto"/>
          <w:spacing w:val="6"/>
          <w:szCs w:val="21"/>
          <w:highlight w:val="none"/>
        </w:rPr>
        <w:t>本单位对上述声明的真实性负责。如有虚假，将依法承担相应责任。</w:t>
      </w:r>
    </w:p>
    <w:p w14:paraId="06ED4E59">
      <w:pPr>
        <w:spacing w:line="360" w:lineRule="auto"/>
        <w:ind w:firstLine="444" w:firstLineChars="200"/>
        <w:rPr>
          <w:rFonts w:ascii="宋体" w:hAnsi="宋体" w:cs="宋体"/>
          <w:color w:val="auto"/>
          <w:spacing w:val="6"/>
          <w:szCs w:val="21"/>
          <w:highlight w:val="none"/>
        </w:rPr>
      </w:pPr>
    </w:p>
    <w:p w14:paraId="3830F9B4">
      <w:pPr>
        <w:tabs>
          <w:tab w:val="left" w:pos="4860"/>
        </w:tabs>
        <w:spacing w:line="360" w:lineRule="auto"/>
        <w:ind w:right="1560" w:firstLine="444" w:firstLineChars="200"/>
        <w:jc w:val="center"/>
        <w:rPr>
          <w:rFonts w:ascii="宋体" w:hAnsi="宋体" w:cs="宋体"/>
          <w:color w:val="auto"/>
          <w:spacing w:val="6"/>
          <w:szCs w:val="21"/>
          <w:highlight w:val="none"/>
        </w:rPr>
      </w:pPr>
      <w:r>
        <w:rPr>
          <w:rFonts w:hint="eastAsia" w:ascii="宋体" w:hAnsi="宋体" w:cs="宋体"/>
          <w:color w:val="auto"/>
          <w:spacing w:val="6"/>
          <w:szCs w:val="21"/>
          <w:highlight w:val="none"/>
        </w:rPr>
        <w:t xml:space="preserve">               单位名称（盖章）：</w:t>
      </w:r>
    </w:p>
    <w:p w14:paraId="7B1E730E">
      <w:pPr>
        <w:tabs>
          <w:tab w:val="left" w:pos="4860"/>
        </w:tabs>
        <w:spacing w:line="360" w:lineRule="auto"/>
        <w:ind w:right="1560" w:firstLine="444" w:firstLineChars="200"/>
        <w:jc w:val="center"/>
        <w:rPr>
          <w:rFonts w:ascii="宋体" w:hAnsi="宋体" w:cs="宋体"/>
          <w:color w:val="auto"/>
          <w:spacing w:val="6"/>
          <w:szCs w:val="21"/>
          <w:highlight w:val="none"/>
        </w:rPr>
      </w:pPr>
      <w:r>
        <w:rPr>
          <w:rFonts w:hint="eastAsia" w:ascii="宋体" w:hAnsi="宋体" w:cs="宋体"/>
          <w:color w:val="auto"/>
          <w:spacing w:val="6"/>
          <w:szCs w:val="21"/>
          <w:highlight w:val="none"/>
        </w:rPr>
        <w:t xml:space="preserve">       日  期：</w:t>
      </w:r>
    </w:p>
    <w:p w14:paraId="0A36D2CD">
      <w:pPr>
        <w:spacing w:line="360" w:lineRule="auto"/>
        <w:rPr>
          <w:rFonts w:hint="eastAsia" w:ascii="宋体" w:hAnsi="宋体" w:cs="宋体"/>
          <w:color w:val="auto"/>
          <w:szCs w:val="21"/>
          <w:highlight w:val="none"/>
        </w:rPr>
      </w:pPr>
    </w:p>
    <w:p w14:paraId="4DCF8302">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说明</w:t>
      </w:r>
      <w:r>
        <w:rPr>
          <w:rFonts w:hint="eastAsia" w:ascii="宋体" w:hAnsi="宋体" w:cs="宋体"/>
          <w:color w:val="auto"/>
          <w:szCs w:val="21"/>
          <w:highlight w:val="none"/>
        </w:rPr>
        <w:t>：</w:t>
      </w:r>
    </w:p>
    <w:p w14:paraId="56579582">
      <w:pPr>
        <w:spacing w:line="360" w:lineRule="auto"/>
        <w:rPr>
          <w:rFonts w:ascii="宋体" w:hAnsi="宋体" w:cs="宋体"/>
          <w:color w:val="auto"/>
          <w:szCs w:val="21"/>
          <w:highlight w:val="none"/>
        </w:rPr>
      </w:pPr>
      <w:r>
        <w:rPr>
          <w:rFonts w:hint="eastAsia" w:ascii="宋体" w:hAnsi="宋体" w:cs="宋体"/>
          <w:color w:val="auto"/>
          <w:szCs w:val="21"/>
          <w:highlight w:val="none"/>
        </w:rPr>
        <w:t>《财政部民政部中国残疾人联合会关于促进残疾人就业政府采购政策的通知》（财库（2017〔141〕号）的规定：</w:t>
      </w:r>
    </w:p>
    <w:p w14:paraId="5E6068C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 享受政府采购支持政策的残疾人福利性单位应当同时满足以下条件：</w:t>
      </w:r>
    </w:p>
    <w:p w14:paraId="0D9AD788">
      <w:pPr>
        <w:spacing w:line="360" w:lineRule="auto"/>
        <w:rPr>
          <w:rFonts w:ascii="宋体" w:hAnsi="宋体" w:cs="宋体"/>
          <w:color w:val="auto"/>
          <w:szCs w:val="21"/>
          <w:highlight w:val="none"/>
        </w:rPr>
      </w:pPr>
      <w:r>
        <w:rPr>
          <w:rFonts w:hint="eastAsia" w:ascii="宋体" w:hAnsi="宋体" w:cs="宋体"/>
          <w:color w:val="auto"/>
          <w:szCs w:val="21"/>
          <w:highlight w:val="none"/>
        </w:rPr>
        <w:t>（1）安置的残疾人占本单位在职职工人数的比例不低于25%（含25%），并且安置的残疾人人数不少于10人（含10人）；</w:t>
      </w:r>
    </w:p>
    <w:p w14:paraId="4163E3A1">
      <w:pPr>
        <w:spacing w:line="360" w:lineRule="auto"/>
        <w:rPr>
          <w:rFonts w:ascii="宋体" w:hAnsi="宋体" w:cs="宋体"/>
          <w:color w:val="auto"/>
          <w:szCs w:val="21"/>
          <w:highlight w:val="none"/>
        </w:rPr>
      </w:pPr>
      <w:r>
        <w:rPr>
          <w:rFonts w:hint="eastAsia" w:ascii="宋体" w:hAnsi="宋体" w:cs="宋体"/>
          <w:color w:val="auto"/>
          <w:szCs w:val="21"/>
          <w:highlight w:val="none"/>
        </w:rPr>
        <w:t>（2）依法与安置的每位残疾人签订了一年以上（含一年）的劳动合同或服务协议；</w:t>
      </w:r>
    </w:p>
    <w:p w14:paraId="34F48BDA">
      <w:pPr>
        <w:spacing w:line="360" w:lineRule="auto"/>
        <w:rPr>
          <w:rFonts w:ascii="宋体" w:hAnsi="宋体" w:cs="宋体"/>
          <w:color w:val="auto"/>
          <w:szCs w:val="21"/>
          <w:highlight w:val="none"/>
        </w:rPr>
      </w:pPr>
      <w:r>
        <w:rPr>
          <w:rFonts w:hint="eastAsia" w:ascii="宋体" w:hAnsi="宋体" w:cs="宋体"/>
          <w:color w:val="auto"/>
          <w:szCs w:val="21"/>
          <w:highlight w:val="none"/>
        </w:rPr>
        <w:t>（3）为安置的每位残疾人按月足额缴纳了基本养老保险、基本医疗保险、失业保险、工伤保险和生育保险等社会保险费；</w:t>
      </w:r>
    </w:p>
    <w:p w14:paraId="6AA547CB">
      <w:pPr>
        <w:spacing w:line="360" w:lineRule="auto"/>
        <w:rPr>
          <w:rFonts w:ascii="宋体" w:hAnsi="宋体" w:cs="宋体"/>
          <w:color w:val="auto"/>
          <w:szCs w:val="21"/>
          <w:highlight w:val="none"/>
        </w:rPr>
      </w:pPr>
      <w:r>
        <w:rPr>
          <w:rFonts w:hint="eastAsia" w:ascii="宋体" w:hAnsi="宋体" w:cs="宋体"/>
          <w:color w:val="auto"/>
          <w:szCs w:val="21"/>
          <w:highlight w:val="none"/>
        </w:rPr>
        <w:t>（4）通过银行等金融机构向安置的每位残疾人，按月支付了不低于单位所在区县适用的经省级人民政府批准的月最低工资标准的工资；</w:t>
      </w:r>
    </w:p>
    <w:p w14:paraId="31B0F00A">
      <w:pPr>
        <w:spacing w:line="360" w:lineRule="auto"/>
        <w:rPr>
          <w:rFonts w:ascii="宋体" w:hAnsi="宋体" w:cs="宋体"/>
          <w:color w:val="auto"/>
          <w:szCs w:val="21"/>
          <w:highlight w:val="none"/>
        </w:rPr>
      </w:pPr>
      <w:r>
        <w:rPr>
          <w:rFonts w:hint="eastAsia" w:ascii="宋体" w:hAnsi="宋体" w:cs="宋体"/>
          <w:color w:val="auto"/>
          <w:szCs w:val="21"/>
          <w:highlight w:val="none"/>
        </w:rPr>
        <w:t>（5）提供本单位制造的货物、承担的工程或者服务（以下简称产品），或者提供其他残疾人福利性单位制造的货物（不包括使用非残疾人福利性单位注册商标的货物）。</w:t>
      </w:r>
    </w:p>
    <w:p w14:paraId="28BDDDB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 中标人为残疾人福利性单位的，采购人或者其委托的采购代理机构应当随中标、成交结果同时公告其《残疾人福利性单位声明函》，接受社会监督。</w:t>
      </w:r>
    </w:p>
    <w:p w14:paraId="722D51C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3、残疾人福利性单位属于小型、微型企业的，不重复享受政策。</w:t>
      </w:r>
    </w:p>
    <w:p w14:paraId="0FAD7A0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4、残疾人福利性单位评审中享受10%的价格扣除。</w:t>
      </w:r>
    </w:p>
    <w:p w14:paraId="679871D0">
      <w:pPr>
        <w:spacing w:line="360" w:lineRule="auto"/>
        <w:ind w:firstLine="420" w:firstLineChars="200"/>
        <w:rPr>
          <w:rFonts w:ascii="宋体" w:hAnsi="宋体" w:cs="宋体"/>
          <w:color w:val="auto"/>
          <w:sz w:val="24"/>
          <w:highlight w:val="none"/>
        </w:rPr>
      </w:pPr>
      <w:r>
        <w:rPr>
          <w:rFonts w:hint="eastAsia" w:ascii="宋体" w:hAnsi="宋体" w:cs="宋体"/>
          <w:color w:val="auto"/>
          <w:szCs w:val="21"/>
          <w:highlight w:val="none"/>
        </w:rPr>
        <w:t>5、提醒：如果投标人不是残疾人福利性单位，则不需要提供《残疾人福利性单位声明函》。否则，因此导致虚假投标的后果由投标人自行承担。</w:t>
      </w:r>
    </w:p>
    <w:p w14:paraId="4344F525">
      <w:pPr>
        <w:rPr>
          <w:rFonts w:ascii="黑体" w:hAnsi="黑体" w:eastAsia="黑体"/>
          <w:color w:val="auto"/>
          <w:highlight w:val="none"/>
        </w:rPr>
      </w:pPr>
    </w:p>
    <w:p w14:paraId="5D6F7605">
      <w:pPr>
        <w:bidi w:val="0"/>
      </w:pPr>
    </w:p>
    <w:p w14:paraId="7ED3D3CE">
      <w:pPr>
        <w:rPr>
          <w:rFonts w:hint="eastAsia" w:hAnsi="宋体" w:cs="宋体"/>
          <w:b/>
          <w:bCs/>
          <w:color w:val="auto"/>
          <w:highlight w:val="none"/>
        </w:rPr>
      </w:pPr>
      <w:r>
        <w:rPr>
          <w:rFonts w:hint="eastAsia" w:hAnsi="宋体" w:cs="宋体"/>
          <w:b/>
          <w:bCs/>
          <w:color w:val="auto"/>
          <w:highlight w:val="none"/>
        </w:rPr>
        <w:br w:type="page"/>
      </w:r>
    </w:p>
    <w:p w14:paraId="61371F2E">
      <w:pPr>
        <w:spacing w:before="120" w:after="120"/>
        <w:jc w:val="center"/>
        <w:rPr>
          <w:rFonts w:hAnsi="宋体" w:cs="宋体"/>
          <w:b/>
          <w:bCs/>
          <w:color w:val="auto"/>
          <w:highlight w:val="none"/>
        </w:rPr>
      </w:pPr>
      <w:r>
        <w:rPr>
          <w:rFonts w:hint="eastAsia" w:hAnsi="宋体" w:cs="宋体"/>
          <w:b/>
          <w:bCs/>
          <w:color w:val="auto"/>
          <w:highlight w:val="none"/>
        </w:rPr>
        <w:t>（三）监狱企业证明文件</w:t>
      </w:r>
    </w:p>
    <w:p w14:paraId="5CEB4754">
      <w:pPr>
        <w:rPr>
          <w:color w:val="auto"/>
          <w:highlight w:val="none"/>
        </w:rPr>
      </w:pPr>
    </w:p>
    <w:p w14:paraId="3A46EA5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监狱企业参加政府采购活动时，应当提供由省级以上监狱管理局、戒毒管理局（含新疆生产建设兵团）出具的属于监狱企业的证明文件。</w:t>
      </w:r>
    </w:p>
    <w:p w14:paraId="7E6D938E">
      <w:pPr>
        <w:spacing w:line="360" w:lineRule="auto"/>
        <w:rPr>
          <w:rFonts w:ascii="宋体" w:hAnsi="宋体" w:cs="宋体"/>
          <w:color w:val="auto"/>
          <w:szCs w:val="21"/>
          <w:highlight w:val="none"/>
        </w:rPr>
      </w:pPr>
    </w:p>
    <w:p w14:paraId="218E1537">
      <w:pPr>
        <w:spacing w:line="360" w:lineRule="auto"/>
        <w:rPr>
          <w:rFonts w:ascii="宋体" w:hAnsi="宋体" w:cs="宋体"/>
          <w:color w:val="auto"/>
          <w:szCs w:val="21"/>
          <w:highlight w:val="none"/>
        </w:rPr>
      </w:pPr>
      <w:r>
        <w:rPr>
          <w:rFonts w:hint="eastAsia" w:ascii="宋体" w:hAnsi="宋体" w:cs="宋体"/>
          <w:color w:val="auto"/>
          <w:szCs w:val="21"/>
          <w:highlight w:val="none"/>
          <w:lang w:val="en-US" w:eastAsia="zh-CN"/>
        </w:rPr>
        <w:t>说明</w:t>
      </w:r>
      <w:r>
        <w:rPr>
          <w:rFonts w:hint="eastAsia" w:ascii="宋体" w:hAnsi="宋体" w:cs="宋体"/>
          <w:color w:val="auto"/>
          <w:szCs w:val="21"/>
          <w:highlight w:val="none"/>
        </w:rPr>
        <w:t xml:space="preserve">： </w:t>
      </w:r>
    </w:p>
    <w:p w14:paraId="6CC20FC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1、监狱企业属于小型、微型企业的，不重复享受政策。</w:t>
      </w:r>
    </w:p>
    <w:p w14:paraId="4ECA302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2、监狱企业评审中享受10%</w:t>
      </w:r>
      <w:r>
        <w:rPr>
          <w:rFonts w:hint="eastAsia"/>
          <w:color w:val="auto"/>
          <w:szCs w:val="21"/>
          <w:highlight w:val="none"/>
        </w:rPr>
        <w:t>的价格</w:t>
      </w:r>
      <w:r>
        <w:rPr>
          <w:rFonts w:hint="eastAsia" w:ascii="宋体" w:hAnsi="宋体" w:cs="宋体"/>
          <w:color w:val="auto"/>
          <w:szCs w:val="21"/>
          <w:highlight w:val="none"/>
        </w:rPr>
        <w:t>扣除。</w:t>
      </w:r>
    </w:p>
    <w:p w14:paraId="4EE4473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3、提醒：如果投标人不是监狱企业，则不需要提供监狱企业证明文件。否则，因此导致虚假投标的后果由投标人自行承担。</w:t>
      </w:r>
    </w:p>
    <w:p w14:paraId="62A74525">
      <w:pPr>
        <w:pStyle w:val="11"/>
        <w:spacing w:line="360" w:lineRule="auto"/>
        <w:rPr>
          <w:color w:val="auto"/>
          <w:sz w:val="24"/>
          <w:szCs w:val="24"/>
          <w:highlight w:val="none"/>
        </w:rPr>
      </w:pPr>
    </w:p>
    <w:p w14:paraId="03D52319">
      <w:pPr>
        <w:rPr>
          <w:b/>
          <w:color w:val="auto"/>
          <w:sz w:val="28"/>
          <w:szCs w:val="28"/>
          <w:highlight w:val="none"/>
        </w:rPr>
      </w:pPr>
      <w:bookmarkStart w:id="370" w:name="_Toc2876"/>
    </w:p>
    <w:p w14:paraId="45D2FC17">
      <w:pPr>
        <w:rPr>
          <w:b/>
          <w:color w:val="auto"/>
          <w:sz w:val="28"/>
          <w:szCs w:val="28"/>
          <w:highlight w:val="none"/>
        </w:rPr>
      </w:pPr>
      <w:r>
        <w:rPr>
          <w:rFonts w:hint="eastAsia"/>
          <w:b/>
          <w:color w:val="auto"/>
          <w:sz w:val="28"/>
          <w:szCs w:val="28"/>
          <w:highlight w:val="none"/>
        </w:rPr>
        <w:br w:type="page"/>
      </w:r>
    </w:p>
    <w:bookmarkEnd w:id="347"/>
    <w:bookmarkEnd w:id="348"/>
    <w:bookmarkEnd w:id="349"/>
    <w:bookmarkEnd w:id="350"/>
    <w:bookmarkEnd w:id="351"/>
    <w:bookmarkEnd w:id="352"/>
    <w:bookmarkEnd w:id="353"/>
    <w:bookmarkEnd w:id="354"/>
    <w:bookmarkEnd w:id="355"/>
    <w:bookmarkEnd w:id="356"/>
    <w:bookmarkEnd w:id="370"/>
    <w:p w14:paraId="74E17B2A">
      <w:pPr>
        <w:rPr>
          <w:color w:val="auto"/>
          <w:highlight w:val="none"/>
        </w:rPr>
      </w:pPr>
      <w:bookmarkStart w:id="371" w:name="_Toc26940"/>
    </w:p>
    <w:bookmarkEnd w:id="371"/>
    <w:p w14:paraId="26893BB3">
      <w:pPr>
        <w:jc w:val="center"/>
        <w:outlineLvl w:val="1"/>
        <w:rPr>
          <w:b/>
          <w:bCs/>
          <w:color w:val="auto"/>
          <w:sz w:val="30"/>
          <w:szCs w:val="30"/>
          <w:highlight w:val="none"/>
        </w:rPr>
      </w:pPr>
      <w:bookmarkStart w:id="372" w:name="_Toc11448"/>
      <w:bookmarkStart w:id="373" w:name="_Toc22869"/>
      <w:bookmarkStart w:id="374" w:name="_Toc187539843"/>
      <w:r>
        <w:rPr>
          <w:rFonts w:hint="eastAsia"/>
          <w:b/>
          <w:bCs/>
          <w:color w:val="auto"/>
          <w:sz w:val="30"/>
          <w:szCs w:val="30"/>
          <w:highlight w:val="none"/>
        </w:rPr>
        <w:t>十</w:t>
      </w:r>
      <w:r>
        <w:rPr>
          <w:rFonts w:hint="eastAsia"/>
          <w:b/>
          <w:bCs/>
          <w:color w:val="auto"/>
          <w:sz w:val="30"/>
          <w:szCs w:val="30"/>
          <w:highlight w:val="none"/>
          <w:lang w:val="en-US" w:eastAsia="zh-CN"/>
        </w:rPr>
        <w:t>二</w:t>
      </w:r>
      <w:r>
        <w:rPr>
          <w:rFonts w:hint="eastAsia"/>
          <w:b/>
          <w:bCs/>
          <w:color w:val="auto"/>
          <w:sz w:val="30"/>
          <w:szCs w:val="30"/>
          <w:highlight w:val="none"/>
        </w:rPr>
        <w:t>、投标人认为需要提供的其他资料</w:t>
      </w:r>
      <w:bookmarkEnd w:id="372"/>
      <w:bookmarkEnd w:id="373"/>
      <w:bookmarkEnd w:id="374"/>
    </w:p>
    <w:p w14:paraId="7D5792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b/>
          <w:bCs/>
          <w:lang w:val="en-US" w:eastAsia="zh-CN"/>
        </w:rPr>
      </w:pPr>
    </w:p>
    <w:p w14:paraId="251FB4D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2"/>
        <w:rPr>
          <w:rFonts w:hint="eastAsia" w:ascii="宋体" w:hAnsi="宋体" w:eastAsia="宋体" w:cs="宋体"/>
          <w:b/>
          <w:bCs/>
          <w:lang w:val="en-US" w:eastAsia="zh-CN"/>
        </w:rPr>
      </w:pPr>
      <w:bookmarkStart w:id="375" w:name="_Toc1623631152"/>
      <w:r>
        <w:rPr>
          <w:rFonts w:hint="eastAsia" w:ascii="宋体" w:hAnsi="宋体" w:cs="宋体"/>
          <w:b/>
          <w:bCs/>
          <w:lang w:val="en-US" w:eastAsia="zh-CN"/>
        </w:rPr>
        <w:t>1、</w:t>
      </w:r>
      <w:r>
        <w:rPr>
          <w:rFonts w:hint="eastAsia" w:ascii="宋体" w:hAnsi="宋体" w:eastAsia="宋体" w:cs="宋体"/>
          <w:b/>
          <w:bCs/>
          <w:lang w:val="en-US" w:eastAsia="zh-CN"/>
        </w:rPr>
        <w:t>强制采购通过相关认证的清单产品（如有）</w:t>
      </w:r>
      <w:bookmarkEnd w:id="375"/>
    </w:p>
    <w:tbl>
      <w:tblPr>
        <w:tblStyle w:val="164"/>
        <w:tblW w:w="78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5"/>
        <w:gridCol w:w="1768"/>
        <w:gridCol w:w="1304"/>
        <w:gridCol w:w="1304"/>
        <w:gridCol w:w="1306"/>
        <w:gridCol w:w="1313"/>
      </w:tblGrid>
      <w:tr w14:paraId="41131D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jc w:val="center"/>
        </w:trPr>
        <w:tc>
          <w:tcPr>
            <w:tcW w:w="7840" w:type="dxa"/>
            <w:gridSpan w:val="6"/>
            <w:vAlign w:val="top"/>
          </w:tcPr>
          <w:p w14:paraId="276149F1">
            <w:pPr>
              <w:pStyle w:val="163"/>
              <w:spacing w:before="36" w:line="240" w:lineRule="auto"/>
              <w:jc w:val="center"/>
              <w:rPr>
                <w:rFonts w:hint="eastAsia" w:ascii="宋体" w:hAnsi="宋体" w:eastAsia="宋体" w:cs="宋体"/>
              </w:rPr>
            </w:pPr>
            <w:r>
              <w:rPr>
                <w:rFonts w:hint="eastAsia" w:ascii="宋体" w:hAnsi="宋体" w:eastAsia="宋体" w:cs="宋体"/>
                <w:spacing w:val="-1"/>
              </w:rPr>
              <w:t>投标产品中强制采购通过节能认证的产品</w:t>
            </w:r>
          </w:p>
        </w:tc>
      </w:tr>
      <w:tr w14:paraId="3C7B4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845" w:type="dxa"/>
            <w:vAlign w:val="center"/>
          </w:tcPr>
          <w:p w14:paraId="0B793BFC">
            <w:pPr>
              <w:pStyle w:val="163"/>
              <w:keepNext w:val="0"/>
              <w:keepLines w:val="0"/>
              <w:pageBreakBefore w:val="0"/>
              <w:widowControl w:val="0"/>
              <w:kinsoku/>
              <w:wordWrap/>
              <w:overflowPunct/>
              <w:topLinePunct w:val="0"/>
              <w:autoSpaceDE/>
              <w:autoSpaceDN/>
              <w:bidi w:val="0"/>
              <w:adjustRightInd/>
              <w:snapToGrid/>
              <w:spacing w:before="30" w:line="240" w:lineRule="auto"/>
              <w:ind w:left="6" w:leftChars="0" w:firstLine="0" w:firstLineChars="0"/>
              <w:jc w:val="center"/>
              <w:textAlignment w:val="auto"/>
              <w:rPr>
                <w:rFonts w:hint="eastAsia" w:ascii="宋体" w:hAnsi="宋体" w:eastAsia="宋体" w:cs="宋体"/>
              </w:rPr>
            </w:pPr>
            <w:r>
              <w:rPr>
                <w:rFonts w:hint="eastAsia" w:ascii="宋体" w:hAnsi="宋体" w:eastAsia="宋体" w:cs="宋体"/>
                <w:spacing w:val="-2"/>
              </w:rPr>
              <w:t>序号</w:t>
            </w:r>
          </w:p>
        </w:tc>
        <w:tc>
          <w:tcPr>
            <w:tcW w:w="1768" w:type="dxa"/>
            <w:vAlign w:val="center"/>
          </w:tcPr>
          <w:p w14:paraId="06C4B516">
            <w:pPr>
              <w:pStyle w:val="163"/>
              <w:keepNext w:val="0"/>
              <w:keepLines w:val="0"/>
              <w:pageBreakBefore w:val="0"/>
              <w:widowControl w:val="0"/>
              <w:kinsoku/>
              <w:wordWrap/>
              <w:overflowPunct/>
              <w:topLinePunct w:val="0"/>
              <w:autoSpaceDE/>
              <w:autoSpaceDN/>
              <w:bidi w:val="0"/>
              <w:adjustRightInd/>
              <w:snapToGrid/>
              <w:spacing w:before="30" w:line="240" w:lineRule="auto"/>
              <w:jc w:val="center"/>
              <w:textAlignment w:val="auto"/>
              <w:rPr>
                <w:rFonts w:hint="eastAsia" w:ascii="宋体" w:hAnsi="宋体" w:eastAsia="宋体" w:cs="宋体"/>
              </w:rPr>
            </w:pPr>
            <w:r>
              <w:rPr>
                <w:rFonts w:hint="eastAsia" w:ascii="宋体" w:hAnsi="宋体" w:eastAsia="宋体" w:cs="宋体"/>
                <w:spacing w:val="-3"/>
              </w:rPr>
              <w:t>货物名称</w:t>
            </w:r>
          </w:p>
        </w:tc>
        <w:tc>
          <w:tcPr>
            <w:tcW w:w="1304" w:type="dxa"/>
            <w:vAlign w:val="center"/>
          </w:tcPr>
          <w:p w14:paraId="43D6F8CF">
            <w:pPr>
              <w:pStyle w:val="163"/>
              <w:keepNext w:val="0"/>
              <w:keepLines w:val="0"/>
              <w:pageBreakBefore w:val="0"/>
              <w:widowControl w:val="0"/>
              <w:kinsoku/>
              <w:wordWrap/>
              <w:overflowPunct/>
              <w:topLinePunct w:val="0"/>
              <w:autoSpaceDE/>
              <w:autoSpaceDN/>
              <w:bidi w:val="0"/>
              <w:adjustRightInd/>
              <w:snapToGrid/>
              <w:spacing w:before="29" w:line="240" w:lineRule="auto"/>
              <w:jc w:val="center"/>
              <w:textAlignment w:val="auto"/>
              <w:rPr>
                <w:rFonts w:hint="eastAsia" w:ascii="宋体" w:hAnsi="宋体" w:eastAsia="宋体" w:cs="宋体"/>
              </w:rPr>
            </w:pPr>
            <w:r>
              <w:rPr>
                <w:rFonts w:hint="eastAsia" w:ascii="宋体" w:hAnsi="宋体" w:eastAsia="宋体" w:cs="宋体"/>
                <w:spacing w:val="-2"/>
              </w:rPr>
              <w:t>规格型号</w:t>
            </w:r>
          </w:p>
        </w:tc>
        <w:tc>
          <w:tcPr>
            <w:tcW w:w="1304" w:type="dxa"/>
            <w:vAlign w:val="center"/>
          </w:tcPr>
          <w:p w14:paraId="2FFD69DB">
            <w:pPr>
              <w:pStyle w:val="163"/>
              <w:keepNext w:val="0"/>
              <w:keepLines w:val="0"/>
              <w:pageBreakBefore w:val="0"/>
              <w:widowControl w:val="0"/>
              <w:kinsoku/>
              <w:wordWrap/>
              <w:overflowPunct/>
              <w:topLinePunct w:val="0"/>
              <w:autoSpaceDE/>
              <w:autoSpaceDN/>
              <w:bidi w:val="0"/>
              <w:adjustRightInd/>
              <w:snapToGrid/>
              <w:spacing w:before="29" w:line="240" w:lineRule="auto"/>
              <w:jc w:val="center"/>
              <w:textAlignment w:val="auto"/>
              <w:rPr>
                <w:rFonts w:hint="eastAsia" w:ascii="宋体" w:hAnsi="宋体" w:eastAsia="宋体" w:cs="宋体"/>
              </w:rPr>
            </w:pPr>
            <w:r>
              <w:rPr>
                <w:rFonts w:hint="eastAsia" w:ascii="宋体" w:hAnsi="宋体" w:eastAsia="宋体" w:cs="宋体"/>
                <w:spacing w:val="-2"/>
              </w:rPr>
              <w:t>生产厂商</w:t>
            </w:r>
          </w:p>
        </w:tc>
        <w:tc>
          <w:tcPr>
            <w:tcW w:w="1306" w:type="dxa"/>
            <w:vAlign w:val="center"/>
          </w:tcPr>
          <w:p w14:paraId="61960306">
            <w:pPr>
              <w:pStyle w:val="163"/>
              <w:keepNext w:val="0"/>
              <w:keepLines w:val="0"/>
              <w:pageBreakBefore w:val="0"/>
              <w:widowControl w:val="0"/>
              <w:kinsoku/>
              <w:wordWrap/>
              <w:overflowPunct/>
              <w:topLinePunct w:val="0"/>
              <w:autoSpaceDE/>
              <w:autoSpaceDN/>
              <w:bidi w:val="0"/>
              <w:adjustRightInd/>
              <w:snapToGrid/>
              <w:spacing w:before="30" w:line="240" w:lineRule="auto"/>
              <w:jc w:val="center"/>
              <w:textAlignment w:val="auto"/>
              <w:rPr>
                <w:rFonts w:hint="eastAsia" w:ascii="宋体" w:hAnsi="宋体" w:eastAsia="宋体" w:cs="宋体"/>
              </w:rPr>
            </w:pPr>
            <w:r>
              <w:rPr>
                <w:rFonts w:hint="eastAsia" w:ascii="宋体" w:hAnsi="宋体" w:eastAsia="宋体" w:cs="宋体"/>
                <w:spacing w:val="-2"/>
              </w:rPr>
              <w:t>证书编号</w:t>
            </w:r>
          </w:p>
        </w:tc>
        <w:tc>
          <w:tcPr>
            <w:tcW w:w="1313" w:type="dxa"/>
            <w:vAlign w:val="center"/>
          </w:tcPr>
          <w:p w14:paraId="048B2324">
            <w:pPr>
              <w:pStyle w:val="163"/>
              <w:keepNext w:val="0"/>
              <w:keepLines w:val="0"/>
              <w:pageBreakBefore w:val="0"/>
              <w:widowControl w:val="0"/>
              <w:kinsoku/>
              <w:wordWrap/>
              <w:overflowPunct/>
              <w:topLinePunct w:val="0"/>
              <w:autoSpaceDE/>
              <w:autoSpaceDN/>
              <w:bidi w:val="0"/>
              <w:adjustRightInd/>
              <w:snapToGrid/>
              <w:spacing w:before="30" w:line="240" w:lineRule="auto"/>
              <w:jc w:val="center"/>
              <w:textAlignment w:val="auto"/>
              <w:rPr>
                <w:rFonts w:hint="eastAsia" w:ascii="宋体" w:hAnsi="宋体" w:eastAsia="宋体" w:cs="宋体"/>
              </w:rPr>
            </w:pPr>
            <w:r>
              <w:rPr>
                <w:rFonts w:hint="eastAsia" w:ascii="宋体" w:hAnsi="宋体" w:eastAsia="宋体" w:cs="宋体"/>
                <w:spacing w:val="-3"/>
              </w:rPr>
              <w:t>备注</w:t>
            </w:r>
          </w:p>
        </w:tc>
      </w:tr>
      <w:tr w14:paraId="7F8FD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845" w:type="dxa"/>
            <w:vAlign w:val="center"/>
          </w:tcPr>
          <w:p w14:paraId="3E5CFCA4">
            <w:pPr>
              <w:keepNext w:val="0"/>
              <w:keepLines w:val="0"/>
              <w:pageBreakBefore w:val="0"/>
              <w:widowControl w:val="0"/>
              <w:kinsoku/>
              <w:wordWrap/>
              <w:overflowPunct/>
              <w:topLinePunct w:val="0"/>
              <w:autoSpaceDE/>
              <w:autoSpaceDN/>
              <w:bidi w:val="0"/>
              <w:adjustRightInd/>
              <w:snapToGrid/>
              <w:spacing w:before="72" w:line="240" w:lineRule="auto"/>
              <w:ind w:left="6"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1768" w:type="dxa"/>
            <w:vAlign w:val="top"/>
          </w:tcPr>
          <w:p w14:paraId="0636D256">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4" w:type="dxa"/>
            <w:vAlign w:val="top"/>
          </w:tcPr>
          <w:p w14:paraId="4B7BFD7E">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4" w:type="dxa"/>
            <w:vAlign w:val="top"/>
          </w:tcPr>
          <w:p w14:paraId="7DE53804">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6" w:type="dxa"/>
            <w:vAlign w:val="top"/>
          </w:tcPr>
          <w:p w14:paraId="22239873">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13" w:type="dxa"/>
            <w:vAlign w:val="top"/>
          </w:tcPr>
          <w:p w14:paraId="4E7B3E90">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r>
      <w:tr w14:paraId="162BB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845" w:type="dxa"/>
            <w:vAlign w:val="center"/>
          </w:tcPr>
          <w:p w14:paraId="48E08A46">
            <w:pPr>
              <w:keepNext w:val="0"/>
              <w:keepLines w:val="0"/>
              <w:pageBreakBefore w:val="0"/>
              <w:widowControl w:val="0"/>
              <w:kinsoku/>
              <w:wordWrap/>
              <w:overflowPunct/>
              <w:topLinePunct w:val="0"/>
              <w:autoSpaceDE/>
              <w:autoSpaceDN/>
              <w:bidi w:val="0"/>
              <w:adjustRightInd/>
              <w:snapToGrid/>
              <w:spacing w:before="73" w:line="240" w:lineRule="auto"/>
              <w:ind w:left="6"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1768" w:type="dxa"/>
            <w:vAlign w:val="top"/>
          </w:tcPr>
          <w:p w14:paraId="4A680004">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4" w:type="dxa"/>
            <w:vAlign w:val="top"/>
          </w:tcPr>
          <w:p w14:paraId="05928615">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4" w:type="dxa"/>
            <w:vAlign w:val="top"/>
          </w:tcPr>
          <w:p w14:paraId="1FD84EB6">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6" w:type="dxa"/>
            <w:vAlign w:val="top"/>
          </w:tcPr>
          <w:p w14:paraId="449D82F4">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13" w:type="dxa"/>
            <w:vAlign w:val="top"/>
          </w:tcPr>
          <w:p w14:paraId="006F9786">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r>
      <w:tr w14:paraId="2858A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845" w:type="dxa"/>
            <w:vAlign w:val="center"/>
          </w:tcPr>
          <w:p w14:paraId="7C51B09E">
            <w:pPr>
              <w:keepNext w:val="0"/>
              <w:keepLines w:val="0"/>
              <w:pageBreakBefore w:val="0"/>
              <w:widowControl w:val="0"/>
              <w:kinsoku/>
              <w:wordWrap/>
              <w:overflowPunct/>
              <w:topLinePunct w:val="0"/>
              <w:autoSpaceDE/>
              <w:autoSpaceDN/>
              <w:bidi w:val="0"/>
              <w:adjustRightInd/>
              <w:snapToGrid/>
              <w:spacing w:before="74" w:line="240" w:lineRule="auto"/>
              <w:ind w:left="6"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1768" w:type="dxa"/>
            <w:vAlign w:val="top"/>
          </w:tcPr>
          <w:p w14:paraId="4DB933ED">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4" w:type="dxa"/>
            <w:vAlign w:val="top"/>
          </w:tcPr>
          <w:p w14:paraId="49857071">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4" w:type="dxa"/>
            <w:vAlign w:val="top"/>
          </w:tcPr>
          <w:p w14:paraId="660735FA">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6" w:type="dxa"/>
            <w:vAlign w:val="top"/>
          </w:tcPr>
          <w:p w14:paraId="523A86AF">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13" w:type="dxa"/>
            <w:vAlign w:val="top"/>
          </w:tcPr>
          <w:p w14:paraId="5CCE2EF9">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r>
      <w:tr w14:paraId="5CE89A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jc w:val="center"/>
        </w:trPr>
        <w:tc>
          <w:tcPr>
            <w:tcW w:w="845" w:type="dxa"/>
            <w:vAlign w:val="center"/>
          </w:tcPr>
          <w:p w14:paraId="09FA339F">
            <w:pPr>
              <w:pStyle w:val="163"/>
              <w:keepNext w:val="0"/>
              <w:keepLines w:val="0"/>
              <w:pageBreakBefore w:val="0"/>
              <w:widowControl w:val="0"/>
              <w:kinsoku/>
              <w:wordWrap/>
              <w:overflowPunct/>
              <w:topLinePunct w:val="0"/>
              <w:autoSpaceDE/>
              <w:autoSpaceDN/>
              <w:bidi w:val="0"/>
              <w:adjustRightInd/>
              <w:snapToGrid/>
              <w:spacing w:before="33" w:line="240" w:lineRule="auto"/>
              <w:ind w:left="6" w:leftChars="0" w:firstLine="0" w:firstLineChars="0"/>
              <w:jc w:val="center"/>
              <w:textAlignment w:val="auto"/>
              <w:rPr>
                <w:rFonts w:hint="eastAsia" w:ascii="宋体" w:hAnsi="宋体" w:eastAsia="宋体" w:cs="宋体"/>
              </w:rPr>
            </w:pPr>
            <w:r>
              <w:rPr>
                <w:rFonts w:hint="eastAsia" w:ascii="宋体" w:hAnsi="宋体" w:eastAsia="宋体" w:cs="宋体"/>
                <w:spacing w:val="-11"/>
              </w:rPr>
              <w:t>…</w:t>
            </w:r>
          </w:p>
        </w:tc>
        <w:tc>
          <w:tcPr>
            <w:tcW w:w="1768" w:type="dxa"/>
            <w:vAlign w:val="top"/>
          </w:tcPr>
          <w:p w14:paraId="73089A42">
            <w:pPr>
              <w:pStyle w:val="163"/>
              <w:keepNext w:val="0"/>
              <w:keepLines w:val="0"/>
              <w:pageBreakBefore w:val="0"/>
              <w:widowControl w:val="0"/>
              <w:kinsoku/>
              <w:wordWrap/>
              <w:overflowPunct/>
              <w:topLinePunct w:val="0"/>
              <w:autoSpaceDE/>
              <w:autoSpaceDN/>
              <w:bidi w:val="0"/>
              <w:adjustRightInd/>
              <w:snapToGrid/>
              <w:spacing w:before="33" w:line="240" w:lineRule="auto"/>
              <w:ind w:left="629" w:firstLine="0"/>
              <w:jc w:val="center"/>
              <w:textAlignment w:val="auto"/>
              <w:rPr>
                <w:rFonts w:hint="eastAsia" w:ascii="宋体" w:hAnsi="宋体" w:eastAsia="宋体" w:cs="宋体"/>
              </w:rPr>
            </w:pPr>
            <w:r>
              <w:rPr>
                <w:rFonts w:hint="eastAsia" w:ascii="宋体" w:hAnsi="宋体" w:eastAsia="宋体" w:cs="宋体"/>
                <w:spacing w:val="-7"/>
              </w:rPr>
              <w:t>…</w:t>
            </w:r>
          </w:p>
        </w:tc>
        <w:tc>
          <w:tcPr>
            <w:tcW w:w="1304" w:type="dxa"/>
            <w:vAlign w:val="top"/>
          </w:tcPr>
          <w:p w14:paraId="4C1BDF3C">
            <w:pPr>
              <w:pStyle w:val="163"/>
              <w:keepNext w:val="0"/>
              <w:keepLines w:val="0"/>
              <w:pageBreakBefore w:val="0"/>
              <w:widowControl w:val="0"/>
              <w:kinsoku/>
              <w:wordWrap/>
              <w:overflowPunct/>
              <w:topLinePunct w:val="0"/>
              <w:autoSpaceDE/>
              <w:autoSpaceDN/>
              <w:bidi w:val="0"/>
              <w:adjustRightInd/>
              <w:snapToGrid/>
              <w:spacing w:before="33" w:line="240" w:lineRule="auto"/>
              <w:ind w:left="655" w:firstLine="0"/>
              <w:jc w:val="center"/>
              <w:textAlignment w:val="auto"/>
              <w:rPr>
                <w:rFonts w:hint="eastAsia" w:ascii="宋体" w:hAnsi="宋体" w:eastAsia="宋体" w:cs="宋体"/>
              </w:rPr>
            </w:pPr>
            <w:r>
              <w:rPr>
                <w:rFonts w:hint="eastAsia" w:ascii="宋体" w:hAnsi="宋体" w:eastAsia="宋体" w:cs="宋体"/>
                <w:spacing w:val="-11"/>
              </w:rPr>
              <w:t>…</w:t>
            </w:r>
          </w:p>
        </w:tc>
        <w:tc>
          <w:tcPr>
            <w:tcW w:w="1304" w:type="dxa"/>
            <w:vAlign w:val="top"/>
          </w:tcPr>
          <w:p w14:paraId="222CDB9C">
            <w:pPr>
              <w:pStyle w:val="163"/>
              <w:keepNext w:val="0"/>
              <w:keepLines w:val="0"/>
              <w:pageBreakBefore w:val="0"/>
              <w:widowControl w:val="0"/>
              <w:kinsoku/>
              <w:wordWrap/>
              <w:overflowPunct/>
              <w:topLinePunct w:val="0"/>
              <w:autoSpaceDE/>
              <w:autoSpaceDN/>
              <w:bidi w:val="0"/>
              <w:adjustRightInd/>
              <w:snapToGrid/>
              <w:spacing w:before="33" w:line="240" w:lineRule="auto"/>
              <w:ind w:left="657" w:firstLine="0"/>
              <w:jc w:val="center"/>
              <w:textAlignment w:val="auto"/>
              <w:rPr>
                <w:rFonts w:hint="eastAsia" w:ascii="宋体" w:hAnsi="宋体" w:eastAsia="宋体" w:cs="宋体"/>
              </w:rPr>
            </w:pPr>
            <w:r>
              <w:rPr>
                <w:rFonts w:hint="eastAsia" w:ascii="宋体" w:hAnsi="宋体" w:eastAsia="宋体" w:cs="宋体"/>
                <w:spacing w:val="-11"/>
              </w:rPr>
              <w:t>…</w:t>
            </w:r>
          </w:p>
        </w:tc>
        <w:tc>
          <w:tcPr>
            <w:tcW w:w="1306" w:type="dxa"/>
            <w:vAlign w:val="top"/>
          </w:tcPr>
          <w:p w14:paraId="59ADE002">
            <w:pPr>
              <w:pStyle w:val="163"/>
              <w:keepNext w:val="0"/>
              <w:keepLines w:val="0"/>
              <w:pageBreakBefore w:val="0"/>
              <w:widowControl w:val="0"/>
              <w:kinsoku/>
              <w:wordWrap/>
              <w:overflowPunct/>
              <w:topLinePunct w:val="0"/>
              <w:autoSpaceDE/>
              <w:autoSpaceDN/>
              <w:bidi w:val="0"/>
              <w:adjustRightInd/>
              <w:snapToGrid/>
              <w:spacing w:before="33" w:line="240" w:lineRule="auto"/>
              <w:ind w:left="634" w:firstLine="0"/>
              <w:jc w:val="center"/>
              <w:textAlignment w:val="auto"/>
              <w:rPr>
                <w:rFonts w:hint="eastAsia" w:ascii="宋体" w:hAnsi="宋体" w:eastAsia="宋体" w:cs="宋体"/>
              </w:rPr>
            </w:pPr>
            <w:r>
              <w:rPr>
                <w:rFonts w:hint="eastAsia" w:ascii="宋体" w:hAnsi="宋体" w:eastAsia="宋体" w:cs="宋体"/>
                <w:spacing w:val="-7"/>
              </w:rPr>
              <w:t>…</w:t>
            </w:r>
          </w:p>
        </w:tc>
        <w:tc>
          <w:tcPr>
            <w:tcW w:w="1313" w:type="dxa"/>
            <w:vAlign w:val="top"/>
          </w:tcPr>
          <w:p w14:paraId="12711137">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r>
      <w:tr w14:paraId="6812EC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7840" w:type="dxa"/>
            <w:gridSpan w:val="6"/>
            <w:vAlign w:val="center"/>
          </w:tcPr>
          <w:p w14:paraId="43223DEE">
            <w:pPr>
              <w:pStyle w:val="163"/>
              <w:keepNext w:val="0"/>
              <w:keepLines w:val="0"/>
              <w:pageBreakBefore w:val="0"/>
              <w:widowControl w:val="0"/>
              <w:kinsoku/>
              <w:wordWrap/>
              <w:overflowPunct/>
              <w:topLinePunct w:val="0"/>
              <w:autoSpaceDE/>
              <w:autoSpaceDN/>
              <w:bidi w:val="0"/>
              <w:adjustRightInd/>
              <w:snapToGrid/>
              <w:spacing w:before="35" w:line="240" w:lineRule="auto"/>
              <w:ind w:left="6" w:leftChars="0" w:firstLine="0" w:firstLineChars="0"/>
              <w:jc w:val="center"/>
              <w:textAlignment w:val="auto"/>
              <w:rPr>
                <w:rFonts w:hint="eastAsia" w:ascii="宋体" w:hAnsi="宋体" w:eastAsia="宋体" w:cs="宋体"/>
              </w:rPr>
            </w:pPr>
            <w:r>
              <w:rPr>
                <w:rFonts w:hint="eastAsia" w:ascii="宋体" w:hAnsi="宋体" w:eastAsia="宋体" w:cs="宋体"/>
                <w:spacing w:val="-1"/>
              </w:rPr>
              <w:t>投标产品中</w:t>
            </w:r>
            <w:r>
              <w:rPr>
                <w:rFonts w:hint="eastAsia" w:ascii="宋体" w:hAnsi="宋体" w:eastAsia="宋体" w:cs="宋体"/>
                <w:color w:val="auto"/>
                <w:lang w:val="en-US" w:eastAsia="zh-CN"/>
              </w:rPr>
              <w:t>网络关键设备和网络安全专用产品</w:t>
            </w:r>
          </w:p>
        </w:tc>
      </w:tr>
      <w:tr w14:paraId="2868F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845" w:type="dxa"/>
            <w:vAlign w:val="center"/>
          </w:tcPr>
          <w:p w14:paraId="276DE425">
            <w:pPr>
              <w:pStyle w:val="163"/>
              <w:keepNext w:val="0"/>
              <w:keepLines w:val="0"/>
              <w:pageBreakBefore w:val="0"/>
              <w:widowControl w:val="0"/>
              <w:kinsoku/>
              <w:wordWrap/>
              <w:overflowPunct/>
              <w:topLinePunct w:val="0"/>
              <w:autoSpaceDE/>
              <w:autoSpaceDN/>
              <w:bidi w:val="0"/>
              <w:adjustRightInd/>
              <w:snapToGrid/>
              <w:spacing w:before="30" w:line="240" w:lineRule="auto"/>
              <w:ind w:left="6" w:leftChars="0" w:firstLine="0" w:firstLineChars="0"/>
              <w:jc w:val="center"/>
              <w:textAlignment w:val="auto"/>
              <w:rPr>
                <w:rFonts w:hint="eastAsia" w:ascii="宋体" w:hAnsi="宋体" w:eastAsia="宋体" w:cs="宋体"/>
              </w:rPr>
            </w:pPr>
            <w:r>
              <w:rPr>
                <w:rFonts w:hint="eastAsia" w:ascii="宋体" w:hAnsi="宋体" w:eastAsia="宋体" w:cs="宋体"/>
                <w:spacing w:val="-2"/>
              </w:rPr>
              <w:t>序号</w:t>
            </w:r>
          </w:p>
        </w:tc>
        <w:tc>
          <w:tcPr>
            <w:tcW w:w="1768" w:type="dxa"/>
            <w:vAlign w:val="center"/>
          </w:tcPr>
          <w:p w14:paraId="52BD7389">
            <w:pPr>
              <w:pStyle w:val="163"/>
              <w:keepNext w:val="0"/>
              <w:keepLines w:val="0"/>
              <w:pageBreakBefore w:val="0"/>
              <w:widowControl w:val="0"/>
              <w:kinsoku/>
              <w:wordWrap/>
              <w:overflowPunct/>
              <w:topLinePunct w:val="0"/>
              <w:autoSpaceDE/>
              <w:autoSpaceDN/>
              <w:bidi w:val="0"/>
              <w:adjustRightInd/>
              <w:snapToGrid/>
              <w:spacing w:before="30" w:line="240" w:lineRule="auto"/>
              <w:jc w:val="center"/>
              <w:textAlignment w:val="auto"/>
              <w:rPr>
                <w:rFonts w:hint="eastAsia" w:ascii="宋体" w:hAnsi="宋体" w:eastAsia="宋体" w:cs="宋体"/>
              </w:rPr>
            </w:pPr>
            <w:r>
              <w:rPr>
                <w:rFonts w:hint="eastAsia" w:ascii="宋体" w:hAnsi="宋体" w:eastAsia="宋体" w:cs="宋体"/>
                <w:spacing w:val="-3"/>
              </w:rPr>
              <w:t>货物名称</w:t>
            </w:r>
          </w:p>
        </w:tc>
        <w:tc>
          <w:tcPr>
            <w:tcW w:w="1304" w:type="dxa"/>
            <w:vAlign w:val="center"/>
          </w:tcPr>
          <w:p w14:paraId="72465A9F">
            <w:pPr>
              <w:pStyle w:val="163"/>
              <w:keepNext w:val="0"/>
              <w:keepLines w:val="0"/>
              <w:pageBreakBefore w:val="0"/>
              <w:widowControl w:val="0"/>
              <w:kinsoku/>
              <w:wordWrap/>
              <w:overflowPunct/>
              <w:topLinePunct w:val="0"/>
              <w:autoSpaceDE/>
              <w:autoSpaceDN/>
              <w:bidi w:val="0"/>
              <w:adjustRightInd/>
              <w:snapToGrid/>
              <w:spacing w:before="29" w:line="240" w:lineRule="auto"/>
              <w:jc w:val="center"/>
              <w:textAlignment w:val="auto"/>
              <w:rPr>
                <w:rFonts w:hint="eastAsia" w:ascii="宋体" w:hAnsi="宋体" w:eastAsia="宋体" w:cs="宋体"/>
              </w:rPr>
            </w:pPr>
            <w:r>
              <w:rPr>
                <w:rFonts w:hint="eastAsia" w:ascii="宋体" w:hAnsi="宋体" w:eastAsia="宋体" w:cs="宋体"/>
                <w:spacing w:val="-2"/>
              </w:rPr>
              <w:t>规格型号</w:t>
            </w:r>
          </w:p>
        </w:tc>
        <w:tc>
          <w:tcPr>
            <w:tcW w:w="1304" w:type="dxa"/>
            <w:vAlign w:val="center"/>
          </w:tcPr>
          <w:p w14:paraId="126963CF">
            <w:pPr>
              <w:pStyle w:val="163"/>
              <w:keepNext w:val="0"/>
              <w:keepLines w:val="0"/>
              <w:pageBreakBefore w:val="0"/>
              <w:widowControl w:val="0"/>
              <w:kinsoku/>
              <w:wordWrap/>
              <w:overflowPunct/>
              <w:topLinePunct w:val="0"/>
              <w:autoSpaceDE/>
              <w:autoSpaceDN/>
              <w:bidi w:val="0"/>
              <w:adjustRightInd/>
              <w:snapToGrid/>
              <w:spacing w:before="29" w:line="240" w:lineRule="auto"/>
              <w:jc w:val="center"/>
              <w:textAlignment w:val="auto"/>
              <w:rPr>
                <w:rFonts w:hint="eastAsia" w:ascii="宋体" w:hAnsi="宋体" w:eastAsia="宋体" w:cs="宋体"/>
              </w:rPr>
            </w:pPr>
            <w:r>
              <w:rPr>
                <w:rFonts w:hint="eastAsia" w:ascii="宋体" w:hAnsi="宋体" w:eastAsia="宋体" w:cs="宋体"/>
                <w:spacing w:val="-2"/>
              </w:rPr>
              <w:t>生产厂商</w:t>
            </w:r>
          </w:p>
        </w:tc>
        <w:tc>
          <w:tcPr>
            <w:tcW w:w="1306" w:type="dxa"/>
            <w:vAlign w:val="center"/>
          </w:tcPr>
          <w:p w14:paraId="5C346C8B">
            <w:pPr>
              <w:pStyle w:val="163"/>
              <w:keepNext w:val="0"/>
              <w:keepLines w:val="0"/>
              <w:pageBreakBefore w:val="0"/>
              <w:widowControl w:val="0"/>
              <w:kinsoku/>
              <w:wordWrap/>
              <w:overflowPunct/>
              <w:topLinePunct w:val="0"/>
              <w:autoSpaceDE/>
              <w:autoSpaceDN/>
              <w:bidi w:val="0"/>
              <w:adjustRightInd/>
              <w:snapToGrid/>
              <w:spacing w:before="30" w:line="240" w:lineRule="auto"/>
              <w:jc w:val="center"/>
              <w:textAlignment w:val="auto"/>
              <w:rPr>
                <w:rFonts w:hint="eastAsia" w:ascii="宋体" w:hAnsi="宋体" w:eastAsia="宋体" w:cs="宋体"/>
              </w:rPr>
            </w:pPr>
            <w:r>
              <w:rPr>
                <w:rFonts w:hint="eastAsia" w:ascii="宋体" w:hAnsi="宋体" w:eastAsia="宋体" w:cs="宋体"/>
                <w:spacing w:val="-2"/>
              </w:rPr>
              <w:t>证书编号</w:t>
            </w:r>
          </w:p>
        </w:tc>
        <w:tc>
          <w:tcPr>
            <w:tcW w:w="1313" w:type="dxa"/>
            <w:vAlign w:val="center"/>
          </w:tcPr>
          <w:p w14:paraId="636938A9">
            <w:pPr>
              <w:pStyle w:val="163"/>
              <w:keepNext w:val="0"/>
              <w:keepLines w:val="0"/>
              <w:pageBreakBefore w:val="0"/>
              <w:widowControl w:val="0"/>
              <w:kinsoku/>
              <w:wordWrap/>
              <w:overflowPunct/>
              <w:topLinePunct w:val="0"/>
              <w:autoSpaceDE/>
              <w:autoSpaceDN/>
              <w:bidi w:val="0"/>
              <w:adjustRightInd/>
              <w:snapToGrid/>
              <w:spacing w:before="30" w:line="240" w:lineRule="auto"/>
              <w:jc w:val="center"/>
              <w:textAlignment w:val="auto"/>
              <w:rPr>
                <w:rFonts w:hint="eastAsia" w:ascii="宋体" w:hAnsi="宋体" w:eastAsia="宋体" w:cs="宋体"/>
                <w:sz w:val="21"/>
              </w:rPr>
            </w:pPr>
            <w:r>
              <w:rPr>
                <w:rFonts w:hint="eastAsia" w:ascii="宋体" w:hAnsi="宋体" w:eastAsia="宋体" w:cs="宋体"/>
                <w:spacing w:val="-3"/>
              </w:rPr>
              <w:t>备注</w:t>
            </w:r>
          </w:p>
        </w:tc>
      </w:tr>
      <w:tr w14:paraId="6B4EE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845" w:type="dxa"/>
            <w:vAlign w:val="center"/>
          </w:tcPr>
          <w:p w14:paraId="73FF57E1">
            <w:pPr>
              <w:keepNext w:val="0"/>
              <w:keepLines w:val="0"/>
              <w:pageBreakBefore w:val="0"/>
              <w:widowControl w:val="0"/>
              <w:kinsoku/>
              <w:wordWrap/>
              <w:overflowPunct/>
              <w:topLinePunct w:val="0"/>
              <w:autoSpaceDE/>
              <w:autoSpaceDN/>
              <w:bidi w:val="0"/>
              <w:adjustRightInd/>
              <w:snapToGrid/>
              <w:spacing w:before="74" w:line="240" w:lineRule="auto"/>
              <w:ind w:left="6"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1768" w:type="dxa"/>
            <w:vAlign w:val="top"/>
          </w:tcPr>
          <w:p w14:paraId="58D85394">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4" w:type="dxa"/>
            <w:vAlign w:val="top"/>
          </w:tcPr>
          <w:p w14:paraId="4F587E63">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4" w:type="dxa"/>
            <w:vAlign w:val="top"/>
          </w:tcPr>
          <w:p w14:paraId="238F5338">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6" w:type="dxa"/>
            <w:vAlign w:val="top"/>
          </w:tcPr>
          <w:p w14:paraId="7E5002C1">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13" w:type="dxa"/>
            <w:vAlign w:val="top"/>
          </w:tcPr>
          <w:p w14:paraId="19F366AC">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r>
      <w:tr w14:paraId="11D86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845" w:type="dxa"/>
            <w:vAlign w:val="center"/>
          </w:tcPr>
          <w:p w14:paraId="4E0F9125">
            <w:pPr>
              <w:keepNext w:val="0"/>
              <w:keepLines w:val="0"/>
              <w:pageBreakBefore w:val="0"/>
              <w:widowControl w:val="0"/>
              <w:kinsoku/>
              <w:wordWrap/>
              <w:overflowPunct/>
              <w:topLinePunct w:val="0"/>
              <w:autoSpaceDE/>
              <w:autoSpaceDN/>
              <w:bidi w:val="0"/>
              <w:adjustRightInd/>
              <w:snapToGrid/>
              <w:spacing w:before="74" w:line="240" w:lineRule="auto"/>
              <w:ind w:left="6"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1768" w:type="dxa"/>
            <w:vAlign w:val="top"/>
          </w:tcPr>
          <w:p w14:paraId="29ADBF48">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4" w:type="dxa"/>
            <w:vAlign w:val="top"/>
          </w:tcPr>
          <w:p w14:paraId="3E36CE77">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4" w:type="dxa"/>
            <w:vAlign w:val="top"/>
          </w:tcPr>
          <w:p w14:paraId="447567AF">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6" w:type="dxa"/>
            <w:vAlign w:val="top"/>
          </w:tcPr>
          <w:p w14:paraId="7AFBAFFC">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13" w:type="dxa"/>
            <w:vAlign w:val="top"/>
          </w:tcPr>
          <w:p w14:paraId="3F404BA3">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r>
      <w:tr w14:paraId="6B0D54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jc w:val="center"/>
        </w:trPr>
        <w:tc>
          <w:tcPr>
            <w:tcW w:w="845" w:type="dxa"/>
            <w:vAlign w:val="center"/>
          </w:tcPr>
          <w:p w14:paraId="034193EE">
            <w:pPr>
              <w:keepNext w:val="0"/>
              <w:keepLines w:val="0"/>
              <w:pageBreakBefore w:val="0"/>
              <w:widowControl w:val="0"/>
              <w:kinsoku/>
              <w:wordWrap/>
              <w:overflowPunct/>
              <w:topLinePunct w:val="0"/>
              <w:autoSpaceDE/>
              <w:autoSpaceDN/>
              <w:bidi w:val="0"/>
              <w:adjustRightInd/>
              <w:snapToGrid/>
              <w:spacing w:before="74" w:line="240" w:lineRule="auto"/>
              <w:ind w:left="6"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1768" w:type="dxa"/>
            <w:vAlign w:val="top"/>
          </w:tcPr>
          <w:p w14:paraId="128945BB">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4" w:type="dxa"/>
            <w:vAlign w:val="top"/>
          </w:tcPr>
          <w:p w14:paraId="7A0003B1">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4" w:type="dxa"/>
            <w:vAlign w:val="top"/>
          </w:tcPr>
          <w:p w14:paraId="1D3BEA91">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6" w:type="dxa"/>
            <w:vAlign w:val="top"/>
          </w:tcPr>
          <w:p w14:paraId="3BC55FFB">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13" w:type="dxa"/>
            <w:vAlign w:val="top"/>
          </w:tcPr>
          <w:p w14:paraId="647AD8AC">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r>
      <w:tr w14:paraId="1E3D9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845" w:type="dxa"/>
            <w:vAlign w:val="center"/>
          </w:tcPr>
          <w:p w14:paraId="0B68B616">
            <w:pPr>
              <w:pStyle w:val="163"/>
              <w:keepNext w:val="0"/>
              <w:keepLines w:val="0"/>
              <w:pageBreakBefore w:val="0"/>
              <w:widowControl w:val="0"/>
              <w:kinsoku/>
              <w:wordWrap/>
              <w:overflowPunct/>
              <w:topLinePunct w:val="0"/>
              <w:autoSpaceDE/>
              <w:autoSpaceDN/>
              <w:bidi w:val="0"/>
              <w:adjustRightInd/>
              <w:snapToGrid/>
              <w:spacing w:before="33" w:line="240" w:lineRule="auto"/>
              <w:ind w:left="6" w:leftChars="0" w:firstLine="0" w:firstLineChars="0"/>
              <w:jc w:val="center"/>
              <w:textAlignment w:val="auto"/>
              <w:rPr>
                <w:rFonts w:hint="eastAsia" w:ascii="宋体" w:hAnsi="宋体" w:eastAsia="宋体" w:cs="宋体"/>
              </w:rPr>
            </w:pPr>
            <w:r>
              <w:rPr>
                <w:rFonts w:hint="eastAsia" w:ascii="宋体" w:hAnsi="宋体" w:eastAsia="宋体" w:cs="宋体"/>
                <w:spacing w:val="-11"/>
              </w:rPr>
              <w:t>…</w:t>
            </w:r>
          </w:p>
        </w:tc>
        <w:tc>
          <w:tcPr>
            <w:tcW w:w="1768" w:type="dxa"/>
            <w:vAlign w:val="top"/>
          </w:tcPr>
          <w:p w14:paraId="2A6A7501">
            <w:pPr>
              <w:pStyle w:val="163"/>
              <w:keepNext w:val="0"/>
              <w:keepLines w:val="0"/>
              <w:pageBreakBefore w:val="0"/>
              <w:widowControl w:val="0"/>
              <w:kinsoku/>
              <w:wordWrap/>
              <w:overflowPunct/>
              <w:topLinePunct w:val="0"/>
              <w:autoSpaceDE/>
              <w:autoSpaceDN/>
              <w:bidi w:val="0"/>
              <w:adjustRightInd/>
              <w:snapToGrid/>
              <w:spacing w:before="33" w:line="240" w:lineRule="auto"/>
              <w:ind w:left="629" w:leftChars="0" w:firstLine="0"/>
              <w:jc w:val="center"/>
              <w:textAlignment w:val="auto"/>
              <w:rPr>
                <w:rFonts w:hint="eastAsia" w:ascii="宋体" w:hAnsi="宋体" w:eastAsia="宋体" w:cs="宋体"/>
              </w:rPr>
            </w:pPr>
            <w:r>
              <w:rPr>
                <w:rFonts w:hint="eastAsia" w:ascii="宋体" w:hAnsi="宋体" w:eastAsia="宋体" w:cs="宋体"/>
                <w:spacing w:val="-7"/>
              </w:rPr>
              <w:t>…</w:t>
            </w:r>
          </w:p>
        </w:tc>
        <w:tc>
          <w:tcPr>
            <w:tcW w:w="1304" w:type="dxa"/>
            <w:vAlign w:val="top"/>
          </w:tcPr>
          <w:p w14:paraId="1004B350">
            <w:pPr>
              <w:pStyle w:val="163"/>
              <w:keepNext w:val="0"/>
              <w:keepLines w:val="0"/>
              <w:pageBreakBefore w:val="0"/>
              <w:widowControl w:val="0"/>
              <w:kinsoku/>
              <w:wordWrap/>
              <w:overflowPunct/>
              <w:topLinePunct w:val="0"/>
              <w:autoSpaceDE/>
              <w:autoSpaceDN/>
              <w:bidi w:val="0"/>
              <w:adjustRightInd/>
              <w:snapToGrid/>
              <w:spacing w:before="33" w:line="240" w:lineRule="auto"/>
              <w:ind w:left="655" w:leftChars="0" w:firstLine="0"/>
              <w:jc w:val="center"/>
              <w:textAlignment w:val="auto"/>
              <w:rPr>
                <w:rFonts w:hint="eastAsia" w:ascii="宋体" w:hAnsi="宋体" w:eastAsia="宋体" w:cs="宋体"/>
              </w:rPr>
            </w:pPr>
            <w:r>
              <w:rPr>
                <w:rFonts w:hint="eastAsia" w:ascii="宋体" w:hAnsi="宋体" w:eastAsia="宋体" w:cs="宋体"/>
                <w:spacing w:val="-11"/>
              </w:rPr>
              <w:t>…</w:t>
            </w:r>
          </w:p>
        </w:tc>
        <w:tc>
          <w:tcPr>
            <w:tcW w:w="1304" w:type="dxa"/>
            <w:vAlign w:val="top"/>
          </w:tcPr>
          <w:p w14:paraId="276C7C33">
            <w:pPr>
              <w:pStyle w:val="163"/>
              <w:keepNext w:val="0"/>
              <w:keepLines w:val="0"/>
              <w:pageBreakBefore w:val="0"/>
              <w:widowControl w:val="0"/>
              <w:kinsoku/>
              <w:wordWrap/>
              <w:overflowPunct/>
              <w:topLinePunct w:val="0"/>
              <w:autoSpaceDE/>
              <w:autoSpaceDN/>
              <w:bidi w:val="0"/>
              <w:adjustRightInd/>
              <w:snapToGrid/>
              <w:spacing w:before="33" w:line="240" w:lineRule="auto"/>
              <w:ind w:left="657" w:leftChars="0" w:firstLine="0"/>
              <w:jc w:val="center"/>
              <w:textAlignment w:val="auto"/>
              <w:rPr>
                <w:rFonts w:hint="eastAsia" w:ascii="宋体" w:hAnsi="宋体" w:eastAsia="宋体" w:cs="宋体"/>
              </w:rPr>
            </w:pPr>
            <w:r>
              <w:rPr>
                <w:rFonts w:hint="eastAsia" w:ascii="宋体" w:hAnsi="宋体" w:eastAsia="宋体" w:cs="宋体"/>
                <w:spacing w:val="-11"/>
              </w:rPr>
              <w:t>…</w:t>
            </w:r>
          </w:p>
        </w:tc>
        <w:tc>
          <w:tcPr>
            <w:tcW w:w="1306" w:type="dxa"/>
            <w:vAlign w:val="top"/>
          </w:tcPr>
          <w:p w14:paraId="1791029A">
            <w:pPr>
              <w:pStyle w:val="163"/>
              <w:keepNext w:val="0"/>
              <w:keepLines w:val="0"/>
              <w:pageBreakBefore w:val="0"/>
              <w:widowControl w:val="0"/>
              <w:kinsoku/>
              <w:wordWrap/>
              <w:overflowPunct/>
              <w:topLinePunct w:val="0"/>
              <w:autoSpaceDE/>
              <w:autoSpaceDN/>
              <w:bidi w:val="0"/>
              <w:adjustRightInd/>
              <w:snapToGrid/>
              <w:spacing w:before="33" w:line="240" w:lineRule="auto"/>
              <w:ind w:left="634" w:leftChars="0" w:firstLine="0"/>
              <w:jc w:val="center"/>
              <w:textAlignment w:val="auto"/>
              <w:rPr>
                <w:rFonts w:hint="eastAsia" w:ascii="宋体" w:hAnsi="宋体" w:eastAsia="宋体" w:cs="宋体"/>
              </w:rPr>
            </w:pPr>
            <w:r>
              <w:rPr>
                <w:rFonts w:hint="eastAsia" w:ascii="宋体" w:hAnsi="宋体" w:eastAsia="宋体" w:cs="宋体"/>
                <w:spacing w:val="-7"/>
              </w:rPr>
              <w:t>…</w:t>
            </w:r>
          </w:p>
        </w:tc>
        <w:tc>
          <w:tcPr>
            <w:tcW w:w="1313" w:type="dxa"/>
            <w:vAlign w:val="top"/>
          </w:tcPr>
          <w:p w14:paraId="60B01A67">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r>
      <w:tr w14:paraId="2D04BC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7840" w:type="dxa"/>
            <w:gridSpan w:val="6"/>
            <w:vAlign w:val="center"/>
          </w:tcPr>
          <w:p w14:paraId="46EAF445">
            <w:pPr>
              <w:pStyle w:val="163"/>
              <w:keepNext w:val="0"/>
              <w:keepLines w:val="0"/>
              <w:pageBreakBefore w:val="0"/>
              <w:widowControl w:val="0"/>
              <w:kinsoku/>
              <w:wordWrap/>
              <w:overflowPunct/>
              <w:topLinePunct w:val="0"/>
              <w:autoSpaceDE/>
              <w:autoSpaceDN/>
              <w:bidi w:val="0"/>
              <w:adjustRightInd/>
              <w:snapToGrid/>
              <w:spacing w:before="33" w:line="240" w:lineRule="auto"/>
              <w:ind w:left="6" w:leftChars="0" w:firstLine="0" w:firstLineChars="0"/>
              <w:jc w:val="center"/>
              <w:textAlignment w:val="auto"/>
              <w:rPr>
                <w:rFonts w:hint="eastAsia" w:ascii="宋体" w:hAnsi="宋体" w:eastAsia="宋体" w:cs="宋体"/>
              </w:rPr>
            </w:pPr>
            <w:r>
              <w:rPr>
                <w:rFonts w:hint="eastAsia" w:ascii="宋体" w:hAnsi="宋体" w:eastAsia="宋体" w:cs="宋体"/>
                <w:spacing w:val="-1"/>
              </w:rPr>
              <w:t>投标产品中</w:t>
            </w:r>
            <w:r>
              <w:rPr>
                <w:rFonts w:hint="eastAsia" w:cs="宋体"/>
                <w:spacing w:val="-1"/>
                <w:lang w:val="en-US" w:eastAsia="zh-CN"/>
              </w:rPr>
              <w:t>强制</w:t>
            </w:r>
            <w:r>
              <w:rPr>
                <w:rFonts w:hint="eastAsia" w:ascii="宋体" w:hAnsi="宋体" w:eastAsia="宋体" w:cs="宋体"/>
                <w:spacing w:val="-1"/>
              </w:rPr>
              <w:t>通过</w:t>
            </w:r>
            <w:r>
              <w:rPr>
                <w:rFonts w:hint="eastAsia" w:cs="宋体"/>
                <w:spacing w:val="-1"/>
                <w:lang w:val="en-US" w:eastAsia="zh-CN"/>
              </w:rPr>
              <w:t>CCC</w:t>
            </w:r>
            <w:r>
              <w:rPr>
                <w:rFonts w:hint="eastAsia" w:ascii="宋体" w:hAnsi="宋体" w:eastAsia="宋体" w:cs="宋体"/>
                <w:spacing w:val="-1"/>
              </w:rPr>
              <w:t>认证的产品</w:t>
            </w:r>
          </w:p>
        </w:tc>
      </w:tr>
      <w:tr w14:paraId="52E31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845" w:type="dxa"/>
            <w:vAlign w:val="center"/>
          </w:tcPr>
          <w:p w14:paraId="0BA7CB8B">
            <w:pPr>
              <w:pStyle w:val="163"/>
              <w:keepNext w:val="0"/>
              <w:keepLines w:val="0"/>
              <w:pageBreakBefore w:val="0"/>
              <w:widowControl w:val="0"/>
              <w:kinsoku/>
              <w:wordWrap/>
              <w:overflowPunct/>
              <w:topLinePunct w:val="0"/>
              <w:autoSpaceDE/>
              <w:autoSpaceDN/>
              <w:bidi w:val="0"/>
              <w:adjustRightInd/>
              <w:snapToGrid/>
              <w:spacing w:before="30" w:line="240" w:lineRule="auto"/>
              <w:ind w:left="6" w:leftChars="0" w:firstLine="0" w:firstLineChars="0"/>
              <w:jc w:val="center"/>
              <w:textAlignment w:val="auto"/>
              <w:rPr>
                <w:rFonts w:hint="eastAsia" w:ascii="宋体" w:hAnsi="宋体" w:eastAsia="宋体" w:cs="宋体"/>
              </w:rPr>
            </w:pPr>
            <w:r>
              <w:rPr>
                <w:rFonts w:hint="eastAsia" w:ascii="宋体" w:hAnsi="宋体" w:eastAsia="宋体" w:cs="宋体"/>
                <w:spacing w:val="-2"/>
              </w:rPr>
              <w:t>序号</w:t>
            </w:r>
          </w:p>
        </w:tc>
        <w:tc>
          <w:tcPr>
            <w:tcW w:w="1768" w:type="dxa"/>
            <w:vAlign w:val="center"/>
          </w:tcPr>
          <w:p w14:paraId="39D18F65">
            <w:pPr>
              <w:pStyle w:val="163"/>
              <w:keepNext w:val="0"/>
              <w:keepLines w:val="0"/>
              <w:pageBreakBefore w:val="0"/>
              <w:widowControl w:val="0"/>
              <w:kinsoku/>
              <w:wordWrap/>
              <w:overflowPunct/>
              <w:topLinePunct w:val="0"/>
              <w:autoSpaceDE/>
              <w:autoSpaceDN/>
              <w:bidi w:val="0"/>
              <w:adjustRightInd/>
              <w:snapToGrid/>
              <w:spacing w:before="30" w:line="240" w:lineRule="auto"/>
              <w:jc w:val="center"/>
              <w:textAlignment w:val="auto"/>
              <w:rPr>
                <w:rFonts w:hint="eastAsia" w:ascii="宋体" w:hAnsi="宋体" w:eastAsia="宋体" w:cs="宋体"/>
              </w:rPr>
            </w:pPr>
            <w:r>
              <w:rPr>
                <w:rFonts w:hint="eastAsia" w:ascii="宋体" w:hAnsi="宋体" w:eastAsia="宋体" w:cs="宋体"/>
                <w:spacing w:val="-3"/>
              </w:rPr>
              <w:t>货物名称</w:t>
            </w:r>
          </w:p>
        </w:tc>
        <w:tc>
          <w:tcPr>
            <w:tcW w:w="1304" w:type="dxa"/>
            <w:vAlign w:val="center"/>
          </w:tcPr>
          <w:p w14:paraId="04452DD1">
            <w:pPr>
              <w:pStyle w:val="163"/>
              <w:keepNext w:val="0"/>
              <w:keepLines w:val="0"/>
              <w:pageBreakBefore w:val="0"/>
              <w:widowControl w:val="0"/>
              <w:kinsoku/>
              <w:wordWrap/>
              <w:overflowPunct/>
              <w:topLinePunct w:val="0"/>
              <w:autoSpaceDE/>
              <w:autoSpaceDN/>
              <w:bidi w:val="0"/>
              <w:adjustRightInd/>
              <w:snapToGrid/>
              <w:spacing w:before="29" w:line="240" w:lineRule="auto"/>
              <w:jc w:val="center"/>
              <w:textAlignment w:val="auto"/>
              <w:rPr>
                <w:rFonts w:hint="eastAsia" w:ascii="宋体" w:hAnsi="宋体" w:eastAsia="宋体" w:cs="宋体"/>
              </w:rPr>
            </w:pPr>
            <w:r>
              <w:rPr>
                <w:rFonts w:hint="eastAsia" w:ascii="宋体" w:hAnsi="宋体" w:eastAsia="宋体" w:cs="宋体"/>
                <w:spacing w:val="-2"/>
              </w:rPr>
              <w:t>规格型号</w:t>
            </w:r>
          </w:p>
        </w:tc>
        <w:tc>
          <w:tcPr>
            <w:tcW w:w="1304" w:type="dxa"/>
            <w:vAlign w:val="center"/>
          </w:tcPr>
          <w:p w14:paraId="116A4F15">
            <w:pPr>
              <w:pStyle w:val="163"/>
              <w:keepNext w:val="0"/>
              <w:keepLines w:val="0"/>
              <w:pageBreakBefore w:val="0"/>
              <w:widowControl w:val="0"/>
              <w:kinsoku/>
              <w:wordWrap/>
              <w:overflowPunct/>
              <w:topLinePunct w:val="0"/>
              <w:autoSpaceDE/>
              <w:autoSpaceDN/>
              <w:bidi w:val="0"/>
              <w:adjustRightInd/>
              <w:snapToGrid/>
              <w:spacing w:before="29" w:line="240" w:lineRule="auto"/>
              <w:jc w:val="center"/>
              <w:textAlignment w:val="auto"/>
              <w:rPr>
                <w:rFonts w:hint="eastAsia" w:ascii="宋体" w:hAnsi="宋体" w:eastAsia="宋体" w:cs="宋体"/>
              </w:rPr>
            </w:pPr>
            <w:r>
              <w:rPr>
                <w:rFonts w:hint="eastAsia" w:ascii="宋体" w:hAnsi="宋体" w:eastAsia="宋体" w:cs="宋体"/>
                <w:spacing w:val="-2"/>
              </w:rPr>
              <w:t>生产厂商</w:t>
            </w:r>
          </w:p>
        </w:tc>
        <w:tc>
          <w:tcPr>
            <w:tcW w:w="1306" w:type="dxa"/>
            <w:vAlign w:val="center"/>
          </w:tcPr>
          <w:p w14:paraId="58DAAFB4">
            <w:pPr>
              <w:pStyle w:val="163"/>
              <w:keepNext w:val="0"/>
              <w:keepLines w:val="0"/>
              <w:pageBreakBefore w:val="0"/>
              <w:widowControl w:val="0"/>
              <w:kinsoku/>
              <w:wordWrap/>
              <w:overflowPunct/>
              <w:topLinePunct w:val="0"/>
              <w:autoSpaceDE/>
              <w:autoSpaceDN/>
              <w:bidi w:val="0"/>
              <w:adjustRightInd/>
              <w:snapToGrid/>
              <w:spacing w:before="30" w:line="240" w:lineRule="auto"/>
              <w:jc w:val="center"/>
              <w:textAlignment w:val="auto"/>
              <w:rPr>
                <w:rFonts w:hint="eastAsia" w:ascii="宋体" w:hAnsi="宋体" w:eastAsia="宋体" w:cs="宋体"/>
              </w:rPr>
            </w:pPr>
            <w:r>
              <w:rPr>
                <w:rFonts w:hint="eastAsia" w:ascii="宋体" w:hAnsi="宋体" w:eastAsia="宋体" w:cs="宋体"/>
                <w:spacing w:val="-2"/>
              </w:rPr>
              <w:t>证书编号</w:t>
            </w:r>
          </w:p>
        </w:tc>
        <w:tc>
          <w:tcPr>
            <w:tcW w:w="1313" w:type="dxa"/>
            <w:vAlign w:val="center"/>
          </w:tcPr>
          <w:p w14:paraId="5C2F0125">
            <w:pPr>
              <w:pStyle w:val="163"/>
              <w:keepNext w:val="0"/>
              <w:keepLines w:val="0"/>
              <w:pageBreakBefore w:val="0"/>
              <w:widowControl w:val="0"/>
              <w:kinsoku/>
              <w:wordWrap/>
              <w:overflowPunct/>
              <w:topLinePunct w:val="0"/>
              <w:autoSpaceDE/>
              <w:autoSpaceDN/>
              <w:bidi w:val="0"/>
              <w:adjustRightInd/>
              <w:snapToGrid/>
              <w:spacing w:before="30" w:line="240" w:lineRule="auto"/>
              <w:jc w:val="center"/>
              <w:textAlignment w:val="auto"/>
              <w:rPr>
                <w:rFonts w:hint="eastAsia" w:ascii="宋体" w:hAnsi="宋体" w:eastAsia="宋体" w:cs="宋体"/>
                <w:sz w:val="21"/>
              </w:rPr>
            </w:pPr>
            <w:r>
              <w:rPr>
                <w:rFonts w:hint="eastAsia" w:ascii="宋体" w:hAnsi="宋体" w:eastAsia="宋体" w:cs="宋体"/>
                <w:spacing w:val="-3"/>
              </w:rPr>
              <w:t>备注</w:t>
            </w:r>
          </w:p>
        </w:tc>
      </w:tr>
      <w:tr w14:paraId="4F57F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845" w:type="dxa"/>
            <w:vAlign w:val="center"/>
          </w:tcPr>
          <w:p w14:paraId="17813B22">
            <w:pPr>
              <w:keepNext w:val="0"/>
              <w:keepLines w:val="0"/>
              <w:pageBreakBefore w:val="0"/>
              <w:widowControl w:val="0"/>
              <w:kinsoku/>
              <w:wordWrap/>
              <w:overflowPunct/>
              <w:topLinePunct w:val="0"/>
              <w:autoSpaceDE/>
              <w:autoSpaceDN/>
              <w:bidi w:val="0"/>
              <w:adjustRightInd/>
              <w:snapToGrid/>
              <w:spacing w:before="74" w:line="240" w:lineRule="auto"/>
              <w:ind w:left="6"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1768" w:type="dxa"/>
            <w:vAlign w:val="top"/>
          </w:tcPr>
          <w:p w14:paraId="68360BCE">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4" w:type="dxa"/>
            <w:vAlign w:val="top"/>
          </w:tcPr>
          <w:p w14:paraId="40077D13">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4" w:type="dxa"/>
            <w:vAlign w:val="top"/>
          </w:tcPr>
          <w:p w14:paraId="4650171C">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6" w:type="dxa"/>
            <w:vAlign w:val="top"/>
          </w:tcPr>
          <w:p w14:paraId="15B2A433">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13" w:type="dxa"/>
            <w:vAlign w:val="top"/>
          </w:tcPr>
          <w:p w14:paraId="792396FB">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r>
      <w:tr w14:paraId="30AB42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845" w:type="dxa"/>
            <w:vAlign w:val="center"/>
          </w:tcPr>
          <w:p w14:paraId="44FD1BFC">
            <w:pPr>
              <w:keepNext w:val="0"/>
              <w:keepLines w:val="0"/>
              <w:pageBreakBefore w:val="0"/>
              <w:widowControl w:val="0"/>
              <w:kinsoku/>
              <w:wordWrap/>
              <w:overflowPunct/>
              <w:topLinePunct w:val="0"/>
              <w:autoSpaceDE/>
              <w:autoSpaceDN/>
              <w:bidi w:val="0"/>
              <w:adjustRightInd/>
              <w:snapToGrid/>
              <w:spacing w:before="74" w:line="240" w:lineRule="auto"/>
              <w:ind w:left="6"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1768" w:type="dxa"/>
            <w:vAlign w:val="top"/>
          </w:tcPr>
          <w:p w14:paraId="63055B77">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4" w:type="dxa"/>
            <w:vAlign w:val="top"/>
          </w:tcPr>
          <w:p w14:paraId="77578FDB">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4" w:type="dxa"/>
            <w:vAlign w:val="top"/>
          </w:tcPr>
          <w:p w14:paraId="0CA936FD">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6" w:type="dxa"/>
            <w:vAlign w:val="top"/>
          </w:tcPr>
          <w:p w14:paraId="7D9855D0">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13" w:type="dxa"/>
            <w:vAlign w:val="top"/>
          </w:tcPr>
          <w:p w14:paraId="48CAD2F7">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r>
      <w:tr w14:paraId="1C681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jc w:val="center"/>
        </w:trPr>
        <w:tc>
          <w:tcPr>
            <w:tcW w:w="845" w:type="dxa"/>
            <w:vAlign w:val="center"/>
          </w:tcPr>
          <w:p w14:paraId="52D78B76">
            <w:pPr>
              <w:keepNext w:val="0"/>
              <w:keepLines w:val="0"/>
              <w:pageBreakBefore w:val="0"/>
              <w:widowControl w:val="0"/>
              <w:kinsoku/>
              <w:wordWrap/>
              <w:overflowPunct/>
              <w:topLinePunct w:val="0"/>
              <w:autoSpaceDE/>
              <w:autoSpaceDN/>
              <w:bidi w:val="0"/>
              <w:adjustRightInd/>
              <w:snapToGrid/>
              <w:spacing w:before="74" w:line="240" w:lineRule="auto"/>
              <w:ind w:left="6"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1768" w:type="dxa"/>
            <w:vAlign w:val="top"/>
          </w:tcPr>
          <w:p w14:paraId="680E7B0A">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4" w:type="dxa"/>
            <w:vAlign w:val="top"/>
          </w:tcPr>
          <w:p w14:paraId="45D4471C">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4" w:type="dxa"/>
            <w:vAlign w:val="top"/>
          </w:tcPr>
          <w:p w14:paraId="57392592">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6" w:type="dxa"/>
            <w:vAlign w:val="top"/>
          </w:tcPr>
          <w:p w14:paraId="4447EE90">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13" w:type="dxa"/>
            <w:vAlign w:val="top"/>
          </w:tcPr>
          <w:p w14:paraId="63ED20BA">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r>
      <w:tr w14:paraId="74803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845" w:type="dxa"/>
            <w:vAlign w:val="center"/>
          </w:tcPr>
          <w:p w14:paraId="33311C07">
            <w:pPr>
              <w:pStyle w:val="163"/>
              <w:keepNext w:val="0"/>
              <w:keepLines w:val="0"/>
              <w:pageBreakBefore w:val="0"/>
              <w:widowControl w:val="0"/>
              <w:kinsoku/>
              <w:wordWrap/>
              <w:overflowPunct/>
              <w:topLinePunct w:val="0"/>
              <w:autoSpaceDE/>
              <w:autoSpaceDN/>
              <w:bidi w:val="0"/>
              <w:adjustRightInd/>
              <w:snapToGrid/>
              <w:spacing w:before="33" w:line="240" w:lineRule="auto"/>
              <w:ind w:left="6" w:leftChars="0" w:firstLine="0" w:firstLineChars="0"/>
              <w:jc w:val="center"/>
              <w:textAlignment w:val="auto"/>
              <w:rPr>
                <w:rFonts w:hint="eastAsia" w:ascii="宋体" w:hAnsi="宋体" w:eastAsia="宋体" w:cs="宋体"/>
              </w:rPr>
            </w:pPr>
            <w:r>
              <w:rPr>
                <w:rFonts w:hint="eastAsia" w:ascii="宋体" w:hAnsi="宋体" w:eastAsia="宋体" w:cs="宋体"/>
                <w:spacing w:val="-11"/>
              </w:rPr>
              <w:t>…</w:t>
            </w:r>
          </w:p>
        </w:tc>
        <w:tc>
          <w:tcPr>
            <w:tcW w:w="1768" w:type="dxa"/>
            <w:vAlign w:val="top"/>
          </w:tcPr>
          <w:p w14:paraId="6F349D5D">
            <w:pPr>
              <w:pStyle w:val="163"/>
              <w:keepNext w:val="0"/>
              <w:keepLines w:val="0"/>
              <w:pageBreakBefore w:val="0"/>
              <w:widowControl w:val="0"/>
              <w:kinsoku/>
              <w:wordWrap/>
              <w:overflowPunct/>
              <w:topLinePunct w:val="0"/>
              <w:autoSpaceDE/>
              <w:autoSpaceDN/>
              <w:bidi w:val="0"/>
              <w:adjustRightInd/>
              <w:snapToGrid/>
              <w:spacing w:before="33" w:line="240" w:lineRule="auto"/>
              <w:ind w:left="629" w:leftChars="0" w:firstLine="0"/>
              <w:jc w:val="center"/>
              <w:textAlignment w:val="auto"/>
              <w:rPr>
                <w:rFonts w:hint="eastAsia" w:ascii="宋体" w:hAnsi="宋体" w:eastAsia="宋体" w:cs="宋体"/>
              </w:rPr>
            </w:pPr>
            <w:r>
              <w:rPr>
                <w:rFonts w:hint="eastAsia" w:ascii="宋体" w:hAnsi="宋体" w:eastAsia="宋体" w:cs="宋体"/>
                <w:spacing w:val="-7"/>
              </w:rPr>
              <w:t>…</w:t>
            </w:r>
          </w:p>
        </w:tc>
        <w:tc>
          <w:tcPr>
            <w:tcW w:w="1304" w:type="dxa"/>
            <w:vAlign w:val="top"/>
          </w:tcPr>
          <w:p w14:paraId="49DC9BB6">
            <w:pPr>
              <w:pStyle w:val="163"/>
              <w:keepNext w:val="0"/>
              <w:keepLines w:val="0"/>
              <w:pageBreakBefore w:val="0"/>
              <w:widowControl w:val="0"/>
              <w:kinsoku/>
              <w:wordWrap/>
              <w:overflowPunct/>
              <w:topLinePunct w:val="0"/>
              <w:autoSpaceDE/>
              <w:autoSpaceDN/>
              <w:bidi w:val="0"/>
              <w:adjustRightInd/>
              <w:snapToGrid/>
              <w:spacing w:before="33" w:line="240" w:lineRule="auto"/>
              <w:ind w:left="655" w:leftChars="0" w:firstLine="0"/>
              <w:jc w:val="center"/>
              <w:textAlignment w:val="auto"/>
              <w:rPr>
                <w:rFonts w:hint="eastAsia" w:ascii="宋体" w:hAnsi="宋体" w:eastAsia="宋体" w:cs="宋体"/>
              </w:rPr>
            </w:pPr>
            <w:r>
              <w:rPr>
                <w:rFonts w:hint="eastAsia" w:ascii="宋体" w:hAnsi="宋体" w:eastAsia="宋体" w:cs="宋体"/>
                <w:spacing w:val="-11"/>
              </w:rPr>
              <w:t>…</w:t>
            </w:r>
          </w:p>
        </w:tc>
        <w:tc>
          <w:tcPr>
            <w:tcW w:w="1304" w:type="dxa"/>
            <w:vAlign w:val="top"/>
          </w:tcPr>
          <w:p w14:paraId="3767447C">
            <w:pPr>
              <w:pStyle w:val="163"/>
              <w:keepNext w:val="0"/>
              <w:keepLines w:val="0"/>
              <w:pageBreakBefore w:val="0"/>
              <w:widowControl w:val="0"/>
              <w:kinsoku/>
              <w:wordWrap/>
              <w:overflowPunct/>
              <w:topLinePunct w:val="0"/>
              <w:autoSpaceDE/>
              <w:autoSpaceDN/>
              <w:bidi w:val="0"/>
              <w:adjustRightInd/>
              <w:snapToGrid/>
              <w:spacing w:before="33" w:line="240" w:lineRule="auto"/>
              <w:ind w:left="657" w:leftChars="0" w:firstLine="0"/>
              <w:jc w:val="center"/>
              <w:textAlignment w:val="auto"/>
              <w:rPr>
                <w:rFonts w:hint="eastAsia" w:ascii="宋体" w:hAnsi="宋体" w:eastAsia="宋体" w:cs="宋体"/>
              </w:rPr>
            </w:pPr>
            <w:r>
              <w:rPr>
                <w:rFonts w:hint="eastAsia" w:ascii="宋体" w:hAnsi="宋体" w:eastAsia="宋体" w:cs="宋体"/>
                <w:spacing w:val="-11"/>
              </w:rPr>
              <w:t>…</w:t>
            </w:r>
          </w:p>
        </w:tc>
        <w:tc>
          <w:tcPr>
            <w:tcW w:w="1306" w:type="dxa"/>
            <w:vAlign w:val="top"/>
          </w:tcPr>
          <w:p w14:paraId="56A644AD">
            <w:pPr>
              <w:pStyle w:val="163"/>
              <w:keepNext w:val="0"/>
              <w:keepLines w:val="0"/>
              <w:pageBreakBefore w:val="0"/>
              <w:widowControl w:val="0"/>
              <w:kinsoku/>
              <w:wordWrap/>
              <w:overflowPunct/>
              <w:topLinePunct w:val="0"/>
              <w:autoSpaceDE/>
              <w:autoSpaceDN/>
              <w:bidi w:val="0"/>
              <w:adjustRightInd/>
              <w:snapToGrid/>
              <w:spacing w:before="33" w:line="240" w:lineRule="auto"/>
              <w:ind w:left="634" w:leftChars="0" w:firstLine="0"/>
              <w:jc w:val="center"/>
              <w:textAlignment w:val="auto"/>
              <w:rPr>
                <w:rFonts w:hint="eastAsia" w:ascii="宋体" w:hAnsi="宋体" w:eastAsia="宋体" w:cs="宋体"/>
              </w:rPr>
            </w:pPr>
            <w:r>
              <w:rPr>
                <w:rFonts w:hint="eastAsia" w:ascii="宋体" w:hAnsi="宋体" w:eastAsia="宋体" w:cs="宋体"/>
                <w:spacing w:val="-7"/>
              </w:rPr>
              <w:t>…</w:t>
            </w:r>
          </w:p>
        </w:tc>
        <w:tc>
          <w:tcPr>
            <w:tcW w:w="1313" w:type="dxa"/>
            <w:vAlign w:val="top"/>
          </w:tcPr>
          <w:p w14:paraId="071EE235">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r>
    </w:tbl>
    <w:p w14:paraId="26186F00">
      <w:pPr>
        <w:keepNext w:val="0"/>
        <w:keepLines w:val="0"/>
        <w:pageBreakBefore w:val="0"/>
        <w:widowControl w:val="0"/>
        <w:kinsoku/>
        <w:wordWrap/>
        <w:overflowPunct/>
        <w:topLinePunct w:val="0"/>
        <w:autoSpaceDE/>
        <w:autoSpaceDN/>
        <w:bidi w:val="0"/>
        <w:adjustRightInd/>
        <w:snapToGrid/>
        <w:spacing w:line="380" w:lineRule="exact"/>
        <w:ind w:left="40"/>
        <w:textAlignment w:val="auto"/>
        <w:rPr>
          <w:rFonts w:ascii="宋体" w:hAnsi="宋体" w:eastAsia="宋体" w:cs="宋体"/>
          <w:spacing w:val="-14"/>
          <w:sz w:val="22"/>
          <w:szCs w:val="22"/>
        </w:rPr>
      </w:pPr>
    </w:p>
    <w:p w14:paraId="01C6338D">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（单位电子印章）</w:t>
      </w:r>
    </w:p>
    <w:p w14:paraId="571FC06D">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（电子签章或签字）</w:t>
      </w:r>
    </w:p>
    <w:p w14:paraId="1BBFA55A">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55C2964C">
      <w:pPr>
        <w:keepNext w:val="0"/>
        <w:keepLines w:val="0"/>
        <w:pageBreakBefore w:val="0"/>
        <w:widowControl w:val="0"/>
        <w:kinsoku/>
        <w:wordWrap/>
        <w:overflowPunct/>
        <w:topLinePunct w:val="0"/>
        <w:autoSpaceDE/>
        <w:autoSpaceDN/>
        <w:bidi w:val="0"/>
        <w:adjustRightInd/>
        <w:snapToGrid/>
        <w:spacing w:line="380" w:lineRule="exact"/>
        <w:ind w:left="40"/>
        <w:textAlignment w:val="auto"/>
        <w:rPr>
          <w:rFonts w:ascii="宋体" w:hAnsi="宋体" w:eastAsia="宋体" w:cs="宋体"/>
          <w:spacing w:val="-14"/>
          <w:sz w:val="22"/>
          <w:szCs w:val="22"/>
        </w:rPr>
      </w:pPr>
    </w:p>
    <w:p w14:paraId="326DE691">
      <w:pPr>
        <w:keepNext w:val="0"/>
        <w:keepLines w:val="0"/>
        <w:pageBreakBefore w:val="0"/>
        <w:widowControl w:val="0"/>
        <w:kinsoku/>
        <w:wordWrap/>
        <w:overflowPunct/>
        <w:topLinePunct w:val="0"/>
        <w:autoSpaceDE/>
        <w:autoSpaceDN/>
        <w:bidi w:val="0"/>
        <w:adjustRightInd/>
        <w:snapToGrid/>
        <w:spacing w:line="380" w:lineRule="exact"/>
        <w:ind w:left="40"/>
        <w:textAlignment w:val="auto"/>
        <w:rPr>
          <w:rFonts w:ascii="宋体" w:hAnsi="宋体" w:eastAsia="宋体" w:cs="宋体"/>
          <w:sz w:val="22"/>
          <w:szCs w:val="22"/>
        </w:rPr>
      </w:pPr>
      <w:r>
        <w:rPr>
          <w:rFonts w:ascii="宋体" w:hAnsi="宋体" w:eastAsia="宋体" w:cs="宋体"/>
          <w:spacing w:val="-14"/>
          <w:sz w:val="22"/>
          <w:szCs w:val="22"/>
        </w:rPr>
        <w:t>说明：</w:t>
      </w:r>
    </w:p>
    <w:p w14:paraId="16C05CFC">
      <w:pPr>
        <w:keepNext w:val="0"/>
        <w:keepLines w:val="0"/>
        <w:pageBreakBefore w:val="0"/>
        <w:widowControl w:val="0"/>
        <w:numPr>
          <w:ilvl w:val="0"/>
          <w:numId w:val="26"/>
        </w:numPr>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如</w:t>
      </w:r>
      <w:r>
        <w:rPr>
          <w:rFonts w:hint="eastAsia" w:ascii="宋体" w:hAnsi="宋体" w:cs="宋体"/>
          <w:lang w:val="en-US" w:eastAsia="zh-CN"/>
        </w:rPr>
        <w:t>投标产品</w:t>
      </w:r>
      <w:r>
        <w:rPr>
          <w:rFonts w:hint="eastAsia" w:ascii="宋体" w:hAnsi="宋体" w:eastAsia="宋体" w:cs="宋体"/>
          <w:lang w:val="en-US" w:eastAsia="zh-CN"/>
        </w:rPr>
        <w:t>产品为《关于印发节能产品政府采购品目清单的通知》财库〔2019〕19号</w:t>
      </w:r>
      <w:r>
        <w:rPr>
          <w:rFonts w:hint="eastAsia" w:ascii="宋体" w:hAnsi="宋体" w:cs="宋体"/>
          <w:lang w:val="en-US" w:eastAsia="zh-CN"/>
        </w:rPr>
        <w:t>（见附件）</w:t>
      </w:r>
      <w:r>
        <w:rPr>
          <w:rFonts w:hint="eastAsia" w:ascii="宋体" w:hAnsi="宋体" w:eastAsia="宋体" w:cs="宋体"/>
          <w:lang w:val="en-US" w:eastAsia="zh-CN"/>
        </w:rPr>
        <w:t>“节能产品政府采购品目清单”中政府强制采购节能产品的（标记“★”产品），投标人应提供有效期内的节能认证证书（认证机构：应符合《市场监管总局关于发布参与实施政府采购节能产品、环境标志产品认证机构名录的公告》[2019年第16号]的“参与实施政府采购节能产品认证机构名录”），</w:t>
      </w:r>
      <w:r>
        <w:rPr>
          <w:rFonts w:hint="eastAsia" w:ascii="宋体" w:hAnsi="宋体" w:cs="宋体"/>
          <w:b/>
          <w:bCs/>
          <w:color w:val="auto"/>
          <w:lang w:val="en-US" w:eastAsia="zh-CN"/>
        </w:rPr>
        <w:t>提供认证证书复印件，</w:t>
      </w:r>
      <w:r>
        <w:rPr>
          <w:rFonts w:hint="eastAsia" w:ascii="宋体" w:hAnsi="宋体" w:eastAsia="宋体" w:cs="宋体"/>
          <w:b/>
          <w:bCs/>
          <w:lang w:val="en-US" w:eastAsia="zh-CN"/>
        </w:rPr>
        <w:t>否则其投标将被认定为投标无效</w:t>
      </w:r>
      <w:r>
        <w:rPr>
          <w:rFonts w:hint="eastAsia" w:ascii="宋体" w:hAnsi="宋体" w:eastAsia="宋体" w:cs="宋体"/>
          <w:lang w:val="en-US" w:eastAsia="zh-CN"/>
        </w:rPr>
        <w:t>。</w:t>
      </w:r>
    </w:p>
    <w:p w14:paraId="74EA23A6">
      <w:pPr>
        <w:keepNext w:val="0"/>
        <w:keepLines w:val="0"/>
        <w:pageBreakBefore w:val="0"/>
        <w:widowControl w:val="0"/>
        <w:numPr>
          <w:ilvl w:val="0"/>
          <w:numId w:val="26"/>
        </w:numPr>
        <w:kinsoku/>
        <w:wordWrap/>
        <w:overflowPunct/>
        <w:topLinePunct w:val="0"/>
        <w:autoSpaceDE/>
        <w:autoSpaceDN/>
        <w:bidi w:val="0"/>
        <w:adjustRightInd/>
        <w:snapToGrid/>
        <w:spacing w:line="380" w:lineRule="exact"/>
        <w:ind w:firstLine="420" w:firstLineChars="200"/>
        <w:textAlignment w:val="auto"/>
        <w:rPr>
          <w:rFonts w:hint="eastAsia" w:ascii="宋体" w:hAnsi="宋体" w:cs="宋体"/>
          <w:b/>
          <w:bCs/>
          <w:lang w:val="en-US" w:eastAsia="zh-CN"/>
        </w:rPr>
      </w:pPr>
      <w:r>
        <w:rPr>
          <w:rFonts w:hint="eastAsia" w:ascii="宋体" w:hAnsi="宋体" w:eastAsia="宋体" w:cs="宋体"/>
          <w:color w:val="auto"/>
          <w:lang w:val="en-US" w:eastAsia="zh-CN"/>
        </w:rPr>
        <w:t>如</w:t>
      </w:r>
      <w:r>
        <w:rPr>
          <w:rFonts w:hint="eastAsia" w:ascii="宋体" w:hAnsi="宋体" w:cs="宋体"/>
          <w:color w:val="auto"/>
          <w:lang w:val="en-US" w:eastAsia="zh-CN"/>
        </w:rPr>
        <w:t>投标</w:t>
      </w:r>
      <w:r>
        <w:rPr>
          <w:rFonts w:hint="eastAsia" w:ascii="宋体" w:hAnsi="宋体" w:eastAsia="宋体" w:cs="宋体"/>
          <w:color w:val="auto"/>
          <w:lang w:val="en-US" w:eastAsia="zh-CN"/>
        </w:rPr>
        <w:t>产品列入《网络关键设备和网络安全专用产品目录》的网络安全专用产品</w:t>
      </w:r>
      <w:r>
        <w:rPr>
          <w:rFonts w:hint="eastAsia" w:ascii="宋体" w:hAnsi="宋体" w:cs="宋体"/>
          <w:color w:val="auto"/>
          <w:lang w:val="en-US" w:eastAsia="zh-CN"/>
        </w:rPr>
        <w:t>，</w:t>
      </w:r>
      <w:r>
        <w:rPr>
          <w:rFonts w:hint="eastAsia" w:ascii="宋体" w:hAnsi="宋体" w:eastAsia="宋体" w:cs="宋体"/>
          <w:color w:val="auto"/>
          <w:lang w:val="en-US" w:eastAsia="zh-CN"/>
        </w:rPr>
        <w:t>根据</w:t>
      </w:r>
      <w:r>
        <w:rPr>
          <w:rFonts w:hint="eastAsia" w:ascii="宋体" w:hAnsi="宋体" w:cs="宋体"/>
          <w:color w:val="auto"/>
          <w:szCs w:val="21"/>
          <w:highlight w:val="none"/>
        </w:rPr>
        <w:t>关于调整网络安全专用产品安全管理有关事项的公告</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2023年第1号</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和关于调整《网络关键设备和网络安全专用产品目录》的公告（2023年第2号）</w:t>
      </w:r>
      <w:r>
        <w:rPr>
          <w:rFonts w:hint="eastAsia" w:ascii="宋体" w:hAnsi="宋体" w:eastAsia="宋体" w:cs="宋体"/>
          <w:color w:val="auto"/>
          <w:lang w:val="en-US" w:eastAsia="zh-CN"/>
        </w:rPr>
        <w:t>的规定，投标人所投产品应当按照《信息安全技术网络安全专用产品安全技术要求》等相关国家标准的强制性要求，由具备资格的机构安全认证合格或者安全检测符合要求后，方可销售或者提供</w:t>
      </w:r>
      <w:r>
        <w:rPr>
          <w:rFonts w:hint="eastAsia" w:ascii="宋体" w:hAnsi="宋体" w:cs="宋体"/>
          <w:color w:val="auto"/>
          <w:lang w:val="en-US" w:eastAsia="zh-CN"/>
        </w:rPr>
        <w:t>。</w:t>
      </w:r>
      <w:r>
        <w:rPr>
          <w:rFonts w:hint="eastAsia" w:ascii="宋体" w:hAnsi="宋体" w:cs="宋体"/>
          <w:b/>
          <w:bCs/>
          <w:color w:val="auto"/>
          <w:lang w:val="en-US" w:eastAsia="zh-CN"/>
        </w:rPr>
        <w:t>提供由具备资格的机构安全认证合格或者安全检测符合要求的证明材料，</w:t>
      </w:r>
      <w:r>
        <w:rPr>
          <w:rFonts w:hint="eastAsia" w:ascii="宋体" w:hAnsi="宋体" w:eastAsia="宋体" w:cs="宋体"/>
          <w:b/>
          <w:bCs/>
          <w:color w:val="auto"/>
          <w:lang w:val="en-US" w:eastAsia="zh-CN"/>
        </w:rPr>
        <w:t>否则其投标将被认定为投标无效</w:t>
      </w:r>
      <w:r>
        <w:rPr>
          <w:rFonts w:hint="eastAsia" w:ascii="宋体" w:hAnsi="宋体" w:cs="宋体"/>
          <w:color w:val="auto"/>
          <w:lang w:val="en-US" w:eastAsia="zh-CN"/>
        </w:rPr>
        <w:t>。</w:t>
      </w:r>
    </w:p>
    <w:p w14:paraId="7271ACB2">
      <w:pPr>
        <w:keepNext w:val="0"/>
        <w:keepLines w:val="0"/>
        <w:pageBreakBefore w:val="0"/>
        <w:widowControl w:val="0"/>
        <w:numPr>
          <w:ilvl w:val="0"/>
          <w:numId w:val="26"/>
        </w:numPr>
        <w:kinsoku/>
        <w:wordWrap/>
        <w:overflowPunct/>
        <w:topLinePunct w:val="0"/>
        <w:autoSpaceDE/>
        <w:autoSpaceDN/>
        <w:bidi w:val="0"/>
        <w:adjustRightInd/>
        <w:snapToGrid/>
        <w:spacing w:line="380" w:lineRule="exact"/>
        <w:ind w:firstLine="420" w:firstLineChars="200"/>
        <w:textAlignment w:val="auto"/>
        <w:rPr>
          <w:rFonts w:hint="eastAsia" w:ascii="宋体" w:hAnsi="宋体" w:cs="宋体"/>
          <w:b/>
          <w:bCs/>
          <w:lang w:val="en-US" w:eastAsia="zh-CN"/>
        </w:rPr>
      </w:pPr>
      <w:r>
        <w:rPr>
          <w:rFonts w:hint="eastAsia" w:ascii="宋体" w:hAnsi="宋体"/>
          <w:color w:val="auto"/>
          <w:highlight w:val="none"/>
        </w:rPr>
        <w:t>投标产品</w:t>
      </w:r>
      <w:r>
        <w:rPr>
          <w:rFonts w:hint="eastAsia" w:ascii="宋体" w:hAnsi="宋体"/>
          <w:color w:val="auto"/>
          <w:highlight w:val="none"/>
          <w:lang w:val="en-US" w:eastAsia="zh-CN"/>
        </w:rPr>
        <w:t>已</w:t>
      </w:r>
      <w:r>
        <w:rPr>
          <w:rFonts w:hint="eastAsia" w:ascii="宋体" w:hAnsi="宋体"/>
          <w:color w:val="auto"/>
          <w:highlight w:val="none"/>
        </w:rPr>
        <w:t>列入强制性产品认证目录的</w:t>
      </w:r>
      <w:r>
        <w:rPr>
          <w:rFonts w:hint="eastAsia" w:ascii="宋体" w:hAnsi="宋体"/>
          <w:color w:val="auto"/>
          <w:highlight w:val="none"/>
          <w:lang w:eastAsia="zh-CN"/>
        </w:rPr>
        <w:t>，</w:t>
      </w:r>
      <w:r>
        <w:rPr>
          <w:rFonts w:hint="eastAsia" w:ascii="宋体" w:hAnsi="宋体"/>
          <w:color w:val="auto"/>
          <w:highlight w:val="none"/>
        </w:rPr>
        <w:t>必须经过经国家认监委指定的认证机构认证</w:t>
      </w:r>
      <w:r>
        <w:rPr>
          <w:rFonts w:hint="eastAsia" w:ascii="宋体" w:hAnsi="宋体"/>
          <w:color w:val="auto"/>
          <w:highlight w:val="none"/>
          <w:lang w:eastAsia="zh-CN"/>
        </w:rPr>
        <w:t>。</w:t>
      </w:r>
      <w:r>
        <w:rPr>
          <w:rFonts w:hint="eastAsia" w:ascii="宋体" w:hAnsi="宋体" w:cs="宋体"/>
          <w:b/>
          <w:bCs/>
          <w:color w:val="auto"/>
          <w:lang w:val="en-US" w:eastAsia="zh-CN"/>
        </w:rPr>
        <w:t>提供认证证书复印件，</w:t>
      </w:r>
      <w:r>
        <w:rPr>
          <w:rFonts w:hint="eastAsia" w:ascii="宋体" w:hAnsi="宋体" w:cs="宋体"/>
          <w:b/>
          <w:bCs/>
          <w:lang w:val="en-US" w:eastAsia="zh-CN"/>
        </w:rPr>
        <w:t>否则其投标将被认定为投标无效。</w:t>
      </w:r>
    </w:p>
    <w:p w14:paraId="37AC65E2">
      <w:pPr>
        <w:rPr>
          <w:rFonts w:hint="eastAsia" w:ascii="宋体" w:hAnsi="宋体" w:cs="宋体"/>
          <w:lang w:val="en-US" w:eastAsia="zh-CN"/>
        </w:rPr>
      </w:pPr>
      <w:r>
        <w:rPr>
          <w:rFonts w:hint="eastAsia" w:ascii="宋体" w:hAnsi="宋体" w:cs="宋体"/>
          <w:lang w:val="en-US" w:eastAsia="zh-CN"/>
        </w:rPr>
        <w:br w:type="page"/>
      </w:r>
    </w:p>
    <w:p w14:paraId="5E5DDE8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2"/>
        <w:rPr>
          <w:rFonts w:hint="eastAsia" w:ascii="宋体" w:hAnsi="宋体" w:cs="宋体"/>
          <w:lang w:val="en-US" w:eastAsia="zh-CN"/>
        </w:rPr>
      </w:pPr>
      <w:bookmarkStart w:id="376" w:name="_Toc294069235"/>
      <w:r>
        <w:rPr>
          <w:rFonts w:hint="eastAsia" w:ascii="宋体" w:hAnsi="宋体" w:cs="宋体"/>
          <w:b/>
          <w:bCs/>
          <w:lang w:val="en-US" w:eastAsia="zh-CN"/>
        </w:rPr>
        <w:t>2、政府采购优先采购的清单产品（如有）</w:t>
      </w:r>
      <w:bookmarkEnd w:id="376"/>
    </w:p>
    <w:p w14:paraId="66D68B1B">
      <w:pPr>
        <w:spacing w:before="62"/>
      </w:pPr>
    </w:p>
    <w:tbl>
      <w:tblPr>
        <w:tblStyle w:val="164"/>
        <w:tblW w:w="792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21"/>
        <w:gridCol w:w="1318"/>
        <w:gridCol w:w="1317"/>
        <w:gridCol w:w="1317"/>
        <w:gridCol w:w="1319"/>
        <w:gridCol w:w="1328"/>
      </w:tblGrid>
      <w:tr w14:paraId="04681D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jc w:val="center"/>
        </w:trPr>
        <w:tc>
          <w:tcPr>
            <w:tcW w:w="7920" w:type="dxa"/>
            <w:gridSpan w:val="6"/>
            <w:vAlign w:val="top"/>
          </w:tcPr>
          <w:p w14:paraId="720F5F61">
            <w:pPr>
              <w:pStyle w:val="163"/>
              <w:spacing w:before="33" w:line="240" w:lineRule="auto"/>
              <w:jc w:val="center"/>
              <w:rPr>
                <w:rFonts w:hint="eastAsia" w:ascii="宋体" w:hAnsi="宋体" w:eastAsia="宋体" w:cs="宋体"/>
              </w:rPr>
            </w:pPr>
            <w:r>
              <w:rPr>
                <w:rFonts w:hint="eastAsia" w:ascii="宋体" w:hAnsi="宋体" w:eastAsia="宋体" w:cs="宋体"/>
                <w:spacing w:val="-1"/>
              </w:rPr>
              <w:t>投标产品中通过节能认证的产品</w:t>
            </w:r>
          </w:p>
        </w:tc>
      </w:tr>
      <w:tr w14:paraId="00EFF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jc w:val="center"/>
        </w:trPr>
        <w:tc>
          <w:tcPr>
            <w:tcW w:w="1321" w:type="dxa"/>
            <w:vAlign w:val="top"/>
          </w:tcPr>
          <w:p w14:paraId="33E0B35A">
            <w:pPr>
              <w:pStyle w:val="163"/>
              <w:spacing w:before="32" w:line="240" w:lineRule="auto"/>
              <w:ind w:left="566"/>
              <w:rPr>
                <w:rFonts w:hint="eastAsia" w:ascii="宋体" w:hAnsi="宋体" w:eastAsia="宋体" w:cs="宋体"/>
              </w:rPr>
            </w:pPr>
            <w:r>
              <w:rPr>
                <w:rFonts w:hint="eastAsia" w:ascii="宋体" w:hAnsi="宋体" w:eastAsia="宋体" w:cs="宋体"/>
                <w:spacing w:val="-2"/>
              </w:rPr>
              <w:t>序号</w:t>
            </w:r>
          </w:p>
        </w:tc>
        <w:tc>
          <w:tcPr>
            <w:tcW w:w="1318" w:type="dxa"/>
            <w:vAlign w:val="top"/>
          </w:tcPr>
          <w:p w14:paraId="30558BFD">
            <w:pPr>
              <w:pStyle w:val="163"/>
              <w:spacing w:before="32" w:line="240" w:lineRule="auto"/>
              <w:ind w:left="359"/>
              <w:rPr>
                <w:rFonts w:hint="eastAsia" w:ascii="宋体" w:hAnsi="宋体" w:eastAsia="宋体" w:cs="宋体"/>
              </w:rPr>
            </w:pPr>
            <w:r>
              <w:rPr>
                <w:rFonts w:hint="eastAsia" w:ascii="宋体" w:hAnsi="宋体" w:eastAsia="宋体" w:cs="宋体"/>
                <w:spacing w:val="-3"/>
              </w:rPr>
              <w:t>货物名称</w:t>
            </w:r>
          </w:p>
        </w:tc>
        <w:tc>
          <w:tcPr>
            <w:tcW w:w="1317" w:type="dxa"/>
            <w:vAlign w:val="top"/>
          </w:tcPr>
          <w:p w14:paraId="5FC12485">
            <w:pPr>
              <w:pStyle w:val="163"/>
              <w:spacing w:before="31" w:line="240" w:lineRule="auto"/>
              <w:ind w:left="355"/>
              <w:rPr>
                <w:rFonts w:hint="eastAsia" w:ascii="宋体" w:hAnsi="宋体" w:eastAsia="宋体" w:cs="宋体"/>
              </w:rPr>
            </w:pPr>
            <w:r>
              <w:rPr>
                <w:rFonts w:hint="eastAsia" w:ascii="宋体" w:hAnsi="宋体" w:eastAsia="宋体" w:cs="宋体"/>
                <w:spacing w:val="-2"/>
              </w:rPr>
              <w:t>规格型号</w:t>
            </w:r>
          </w:p>
        </w:tc>
        <w:tc>
          <w:tcPr>
            <w:tcW w:w="1317" w:type="dxa"/>
            <w:vAlign w:val="top"/>
          </w:tcPr>
          <w:p w14:paraId="44CCF2F9">
            <w:pPr>
              <w:pStyle w:val="163"/>
              <w:spacing w:before="31" w:line="240" w:lineRule="auto"/>
              <w:ind w:left="357"/>
              <w:rPr>
                <w:rFonts w:hint="eastAsia" w:ascii="宋体" w:hAnsi="宋体" w:eastAsia="宋体" w:cs="宋体"/>
              </w:rPr>
            </w:pPr>
            <w:r>
              <w:rPr>
                <w:rFonts w:hint="eastAsia" w:ascii="宋体" w:hAnsi="宋体" w:eastAsia="宋体" w:cs="宋体"/>
                <w:spacing w:val="-2"/>
              </w:rPr>
              <w:t>生产厂商</w:t>
            </w:r>
          </w:p>
        </w:tc>
        <w:tc>
          <w:tcPr>
            <w:tcW w:w="1319" w:type="dxa"/>
            <w:vAlign w:val="top"/>
          </w:tcPr>
          <w:p w14:paraId="443AD9C9">
            <w:pPr>
              <w:pStyle w:val="163"/>
              <w:spacing w:before="32" w:line="240" w:lineRule="auto"/>
              <w:ind w:left="357"/>
              <w:rPr>
                <w:rFonts w:hint="eastAsia" w:ascii="宋体" w:hAnsi="宋体" w:eastAsia="宋体" w:cs="宋体"/>
              </w:rPr>
            </w:pPr>
            <w:r>
              <w:rPr>
                <w:rFonts w:hint="eastAsia" w:ascii="宋体" w:hAnsi="宋体" w:eastAsia="宋体" w:cs="宋体"/>
                <w:spacing w:val="-2"/>
              </w:rPr>
              <w:t>证书编号</w:t>
            </w:r>
          </w:p>
        </w:tc>
        <w:tc>
          <w:tcPr>
            <w:tcW w:w="1328" w:type="dxa"/>
            <w:vAlign w:val="top"/>
          </w:tcPr>
          <w:p w14:paraId="0EFDD381">
            <w:pPr>
              <w:pStyle w:val="163"/>
              <w:spacing w:before="32" w:line="240" w:lineRule="auto"/>
              <w:ind w:left="571"/>
              <w:rPr>
                <w:rFonts w:hint="eastAsia" w:ascii="宋体" w:hAnsi="宋体" w:eastAsia="宋体" w:cs="宋体"/>
              </w:rPr>
            </w:pPr>
            <w:r>
              <w:rPr>
                <w:rFonts w:hint="eastAsia" w:ascii="宋体" w:hAnsi="宋体" w:eastAsia="宋体" w:cs="宋体"/>
                <w:spacing w:val="-3"/>
              </w:rPr>
              <w:t>备注</w:t>
            </w:r>
          </w:p>
        </w:tc>
      </w:tr>
      <w:tr w14:paraId="287D3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jc w:val="center"/>
        </w:trPr>
        <w:tc>
          <w:tcPr>
            <w:tcW w:w="1321" w:type="dxa"/>
            <w:vAlign w:val="top"/>
          </w:tcPr>
          <w:p w14:paraId="672F23A7">
            <w:pPr>
              <w:spacing w:before="72" w:line="240" w:lineRule="auto"/>
              <w:ind w:left="742"/>
              <w:rPr>
                <w:rFonts w:hint="eastAsia" w:ascii="宋体" w:hAnsi="宋体" w:eastAsia="宋体" w:cs="宋体"/>
                <w:sz w:val="21"/>
                <w:szCs w:val="21"/>
              </w:rPr>
            </w:pPr>
            <w:r>
              <w:rPr>
                <w:rFonts w:hint="eastAsia" w:ascii="宋体" w:hAnsi="宋体" w:eastAsia="宋体" w:cs="宋体"/>
                <w:sz w:val="21"/>
                <w:szCs w:val="21"/>
              </w:rPr>
              <w:t>1</w:t>
            </w:r>
          </w:p>
        </w:tc>
        <w:tc>
          <w:tcPr>
            <w:tcW w:w="1318" w:type="dxa"/>
            <w:vAlign w:val="top"/>
          </w:tcPr>
          <w:p w14:paraId="37A56929">
            <w:pPr>
              <w:spacing w:line="240" w:lineRule="auto"/>
              <w:rPr>
                <w:rFonts w:hint="eastAsia" w:ascii="宋体" w:hAnsi="宋体" w:eastAsia="宋体" w:cs="宋体"/>
                <w:sz w:val="21"/>
              </w:rPr>
            </w:pPr>
          </w:p>
        </w:tc>
        <w:tc>
          <w:tcPr>
            <w:tcW w:w="1317" w:type="dxa"/>
            <w:vAlign w:val="top"/>
          </w:tcPr>
          <w:p w14:paraId="1F3BABDD">
            <w:pPr>
              <w:spacing w:line="240" w:lineRule="auto"/>
              <w:rPr>
                <w:rFonts w:hint="eastAsia" w:ascii="宋体" w:hAnsi="宋体" w:eastAsia="宋体" w:cs="宋体"/>
                <w:sz w:val="21"/>
              </w:rPr>
            </w:pPr>
          </w:p>
        </w:tc>
        <w:tc>
          <w:tcPr>
            <w:tcW w:w="1317" w:type="dxa"/>
            <w:vAlign w:val="top"/>
          </w:tcPr>
          <w:p w14:paraId="3FECCC6F">
            <w:pPr>
              <w:spacing w:line="240" w:lineRule="auto"/>
              <w:rPr>
                <w:rFonts w:hint="eastAsia" w:ascii="宋体" w:hAnsi="宋体" w:eastAsia="宋体" w:cs="宋体"/>
                <w:sz w:val="21"/>
              </w:rPr>
            </w:pPr>
          </w:p>
        </w:tc>
        <w:tc>
          <w:tcPr>
            <w:tcW w:w="1319" w:type="dxa"/>
            <w:vAlign w:val="top"/>
          </w:tcPr>
          <w:p w14:paraId="31EC1490">
            <w:pPr>
              <w:spacing w:line="240" w:lineRule="auto"/>
              <w:rPr>
                <w:rFonts w:hint="eastAsia" w:ascii="宋体" w:hAnsi="宋体" w:eastAsia="宋体" w:cs="宋体"/>
                <w:sz w:val="21"/>
              </w:rPr>
            </w:pPr>
          </w:p>
        </w:tc>
        <w:tc>
          <w:tcPr>
            <w:tcW w:w="1328" w:type="dxa"/>
            <w:vAlign w:val="top"/>
          </w:tcPr>
          <w:p w14:paraId="7DC8BA54">
            <w:pPr>
              <w:spacing w:line="240" w:lineRule="auto"/>
              <w:rPr>
                <w:rFonts w:hint="eastAsia" w:ascii="宋体" w:hAnsi="宋体" w:eastAsia="宋体" w:cs="宋体"/>
                <w:sz w:val="21"/>
              </w:rPr>
            </w:pPr>
          </w:p>
        </w:tc>
      </w:tr>
      <w:tr w14:paraId="587D2D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jc w:val="center"/>
        </w:trPr>
        <w:tc>
          <w:tcPr>
            <w:tcW w:w="1321" w:type="dxa"/>
            <w:vAlign w:val="top"/>
          </w:tcPr>
          <w:p w14:paraId="3954914C">
            <w:pPr>
              <w:spacing w:before="73" w:line="240" w:lineRule="auto"/>
              <w:ind w:left="721"/>
              <w:rPr>
                <w:rFonts w:hint="eastAsia" w:ascii="宋体" w:hAnsi="宋体" w:eastAsia="宋体" w:cs="宋体"/>
                <w:sz w:val="21"/>
                <w:szCs w:val="21"/>
              </w:rPr>
            </w:pPr>
            <w:r>
              <w:rPr>
                <w:rFonts w:hint="eastAsia" w:ascii="宋体" w:hAnsi="宋体" w:eastAsia="宋体" w:cs="宋体"/>
                <w:sz w:val="21"/>
                <w:szCs w:val="21"/>
              </w:rPr>
              <w:t>2</w:t>
            </w:r>
          </w:p>
        </w:tc>
        <w:tc>
          <w:tcPr>
            <w:tcW w:w="1318" w:type="dxa"/>
            <w:vAlign w:val="top"/>
          </w:tcPr>
          <w:p w14:paraId="02C177AB">
            <w:pPr>
              <w:spacing w:line="240" w:lineRule="auto"/>
              <w:rPr>
                <w:rFonts w:hint="eastAsia" w:ascii="宋体" w:hAnsi="宋体" w:eastAsia="宋体" w:cs="宋体"/>
                <w:sz w:val="21"/>
              </w:rPr>
            </w:pPr>
          </w:p>
        </w:tc>
        <w:tc>
          <w:tcPr>
            <w:tcW w:w="1317" w:type="dxa"/>
            <w:vAlign w:val="top"/>
          </w:tcPr>
          <w:p w14:paraId="7FCB3384">
            <w:pPr>
              <w:spacing w:line="240" w:lineRule="auto"/>
              <w:rPr>
                <w:rFonts w:hint="eastAsia" w:ascii="宋体" w:hAnsi="宋体" w:eastAsia="宋体" w:cs="宋体"/>
                <w:sz w:val="21"/>
              </w:rPr>
            </w:pPr>
          </w:p>
        </w:tc>
        <w:tc>
          <w:tcPr>
            <w:tcW w:w="1317" w:type="dxa"/>
            <w:vAlign w:val="top"/>
          </w:tcPr>
          <w:p w14:paraId="592E8799">
            <w:pPr>
              <w:spacing w:line="240" w:lineRule="auto"/>
              <w:rPr>
                <w:rFonts w:hint="eastAsia" w:ascii="宋体" w:hAnsi="宋体" w:eastAsia="宋体" w:cs="宋体"/>
                <w:sz w:val="21"/>
              </w:rPr>
            </w:pPr>
          </w:p>
        </w:tc>
        <w:tc>
          <w:tcPr>
            <w:tcW w:w="1319" w:type="dxa"/>
            <w:vAlign w:val="top"/>
          </w:tcPr>
          <w:p w14:paraId="2F66D38F">
            <w:pPr>
              <w:spacing w:line="240" w:lineRule="auto"/>
              <w:rPr>
                <w:rFonts w:hint="eastAsia" w:ascii="宋体" w:hAnsi="宋体" w:eastAsia="宋体" w:cs="宋体"/>
                <w:sz w:val="21"/>
              </w:rPr>
            </w:pPr>
          </w:p>
        </w:tc>
        <w:tc>
          <w:tcPr>
            <w:tcW w:w="1328" w:type="dxa"/>
            <w:vAlign w:val="top"/>
          </w:tcPr>
          <w:p w14:paraId="7B734057">
            <w:pPr>
              <w:spacing w:line="240" w:lineRule="auto"/>
              <w:rPr>
                <w:rFonts w:hint="eastAsia" w:ascii="宋体" w:hAnsi="宋体" w:eastAsia="宋体" w:cs="宋体"/>
                <w:sz w:val="21"/>
              </w:rPr>
            </w:pPr>
          </w:p>
        </w:tc>
      </w:tr>
      <w:tr w14:paraId="431A0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jc w:val="center"/>
        </w:trPr>
        <w:tc>
          <w:tcPr>
            <w:tcW w:w="1321" w:type="dxa"/>
            <w:vAlign w:val="top"/>
          </w:tcPr>
          <w:p w14:paraId="41C8130E">
            <w:pPr>
              <w:spacing w:before="72" w:line="240" w:lineRule="auto"/>
              <w:ind w:left="725"/>
              <w:rPr>
                <w:rFonts w:hint="eastAsia" w:ascii="宋体" w:hAnsi="宋体" w:eastAsia="宋体" w:cs="宋体"/>
                <w:sz w:val="21"/>
                <w:szCs w:val="21"/>
              </w:rPr>
            </w:pPr>
            <w:r>
              <w:rPr>
                <w:rFonts w:hint="eastAsia" w:ascii="宋体" w:hAnsi="宋体" w:eastAsia="宋体" w:cs="宋体"/>
                <w:sz w:val="21"/>
                <w:szCs w:val="21"/>
              </w:rPr>
              <w:t>3</w:t>
            </w:r>
          </w:p>
        </w:tc>
        <w:tc>
          <w:tcPr>
            <w:tcW w:w="1318" w:type="dxa"/>
            <w:vAlign w:val="top"/>
          </w:tcPr>
          <w:p w14:paraId="36C668AE">
            <w:pPr>
              <w:spacing w:line="240" w:lineRule="auto"/>
              <w:rPr>
                <w:rFonts w:hint="eastAsia" w:ascii="宋体" w:hAnsi="宋体" w:eastAsia="宋体" w:cs="宋体"/>
                <w:sz w:val="21"/>
              </w:rPr>
            </w:pPr>
          </w:p>
        </w:tc>
        <w:tc>
          <w:tcPr>
            <w:tcW w:w="1317" w:type="dxa"/>
            <w:vAlign w:val="top"/>
          </w:tcPr>
          <w:p w14:paraId="6AB88DCE">
            <w:pPr>
              <w:spacing w:line="240" w:lineRule="auto"/>
              <w:rPr>
                <w:rFonts w:hint="eastAsia" w:ascii="宋体" w:hAnsi="宋体" w:eastAsia="宋体" w:cs="宋体"/>
                <w:sz w:val="21"/>
              </w:rPr>
            </w:pPr>
          </w:p>
        </w:tc>
        <w:tc>
          <w:tcPr>
            <w:tcW w:w="1317" w:type="dxa"/>
            <w:vAlign w:val="top"/>
          </w:tcPr>
          <w:p w14:paraId="763F14BD">
            <w:pPr>
              <w:spacing w:line="240" w:lineRule="auto"/>
              <w:rPr>
                <w:rFonts w:hint="eastAsia" w:ascii="宋体" w:hAnsi="宋体" w:eastAsia="宋体" w:cs="宋体"/>
                <w:sz w:val="21"/>
              </w:rPr>
            </w:pPr>
          </w:p>
        </w:tc>
        <w:tc>
          <w:tcPr>
            <w:tcW w:w="1319" w:type="dxa"/>
            <w:vAlign w:val="top"/>
          </w:tcPr>
          <w:p w14:paraId="4CB8649D">
            <w:pPr>
              <w:spacing w:line="240" w:lineRule="auto"/>
              <w:rPr>
                <w:rFonts w:hint="eastAsia" w:ascii="宋体" w:hAnsi="宋体" w:eastAsia="宋体" w:cs="宋体"/>
                <w:sz w:val="21"/>
              </w:rPr>
            </w:pPr>
          </w:p>
        </w:tc>
        <w:tc>
          <w:tcPr>
            <w:tcW w:w="1328" w:type="dxa"/>
            <w:vAlign w:val="top"/>
          </w:tcPr>
          <w:p w14:paraId="314B3CF2">
            <w:pPr>
              <w:spacing w:line="240" w:lineRule="auto"/>
              <w:rPr>
                <w:rFonts w:hint="eastAsia" w:ascii="宋体" w:hAnsi="宋体" w:eastAsia="宋体" w:cs="宋体"/>
                <w:sz w:val="21"/>
              </w:rPr>
            </w:pPr>
          </w:p>
        </w:tc>
      </w:tr>
      <w:tr w14:paraId="773B2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1321" w:type="dxa"/>
            <w:vAlign w:val="top"/>
          </w:tcPr>
          <w:p w14:paraId="65313A4E">
            <w:pPr>
              <w:pStyle w:val="163"/>
              <w:spacing w:before="33" w:line="240" w:lineRule="auto"/>
              <w:ind w:left="659" w:leftChars="0"/>
              <w:rPr>
                <w:rFonts w:hint="eastAsia" w:ascii="宋体" w:hAnsi="宋体" w:eastAsia="宋体" w:cs="宋体"/>
              </w:rPr>
            </w:pPr>
            <w:r>
              <w:rPr>
                <w:rFonts w:hint="eastAsia" w:ascii="宋体" w:hAnsi="宋体" w:eastAsia="宋体" w:cs="宋体"/>
                <w:spacing w:val="-11"/>
              </w:rPr>
              <w:t>…</w:t>
            </w:r>
          </w:p>
        </w:tc>
        <w:tc>
          <w:tcPr>
            <w:tcW w:w="1318" w:type="dxa"/>
            <w:vAlign w:val="top"/>
          </w:tcPr>
          <w:p w14:paraId="360A6128">
            <w:pPr>
              <w:pStyle w:val="163"/>
              <w:spacing w:before="33" w:line="240" w:lineRule="auto"/>
              <w:ind w:left="629" w:leftChars="0"/>
              <w:rPr>
                <w:rFonts w:hint="eastAsia" w:ascii="宋体" w:hAnsi="宋体" w:eastAsia="宋体" w:cs="宋体"/>
              </w:rPr>
            </w:pPr>
            <w:r>
              <w:rPr>
                <w:rFonts w:hint="eastAsia" w:ascii="宋体" w:hAnsi="宋体" w:eastAsia="宋体" w:cs="宋体"/>
                <w:spacing w:val="-7"/>
              </w:rPr>
              <w:t>…</w:t>
            </w:r>
          </w:p>
        </w:tc>
        <w:tc>
          <w:tcPr>
            <w:tcW w:w="1317" w:type="dxa"/>
            <w:vAlign w:val="top"/>
          </w:tcPr>
          <w:p w14:paraId="07EB26F4">
            <w:pPr>
              <w:pStyle w:val="163"/>
              <w:spacing w:before="33" w:line="240" w:lineRule="auto"/>
              <w:ind w:left="655" w:leftChars="0"/>
              <w:rPr>
                <w:rFonts w:hint="eastAsia" w:ascii="宋体" w:hAnsi="宋体" w:eastAsia="宋体" w:cs="宋体"/>
              </w:rPr>
            </w:pPr>
            <w:r>
              <w:rPr>
                <w:rFonts w:hint="eastAsia" w:ascii="宋体" w:hAnsi="宋体" w:eastAsia="宋体" w:cs="宋体"/>
                <w:spacing w:val="-11"/>
              </w:rPr>
              <w:t>…</w:t>
            </w:r>
          </w:p>
        </w:tc>
        <w:tc>
          <w:tcPr>
            <w:tcW w:w="1317" w:type="dxa"/>
            <w:vAlign w:val="top"/>
          </w:tcPr>
          <w:p w14:paraId="17009EAF">
            <w:pPr>
              <w:pStyle w:val="163"/>
              <w:spacing w:before="33" w:line="240" w:lineRule="auto"/>
              <w:ind w:left="657" w:leftChars="0"/>
              <w:rPr>
                <w:rFonts w:hint="eastAsia" w:ascii="宋体" w:hAnsi="宋体" w:eastAsia="宋体" w:cs="宋体"/>
              </w:rPr>
            </w:pPr>
            <w:r>
              <w:rPr>
                <w:rFonts w:hint="eastAsia" w:ascii="宋体" w:hAnsi="宋体" w:eastAsia="宋体" w:cs="宋体"/>
                <w:spacing w:val="-11"/>
              </w:rPr>
              <w:t>…</w:t>
            </w:r>
          </w:p>
        </w:tc>
        <w:tc>
          <w:tcPr>
            <w:tcW w:w="1319" w:type="dxa"/>
            <w:vAlign w:val="top"/>
          </w:tcPr>
          <w:p w14:paraId="0FCD9ED9">
            <w:pPr>
              <w:pStyle w:val="163"/>
              <w:spacing w:before="33" w:line="240" w:lineRule="auto"/>
              <w:ind w:left="634" w:leftChars="0"/>
              <w:rPr>
                <w:rFonts w:hint="eastAsia" w:ascii="宋体" w:hAnsi="宋体" w:eastAsia="宋体" w:cs="宋体"/>
              </w:rPr>
            </w:pPr>
            <w:r>
              <w:rPr>
                <w:rFonts w:hint="eastAsia" w:ascii="宋体" w:hAnsi="宋体" w:eastAsia="宋体" w:cs="宋体"/>
                <w:spacing w:val="-7"/>
              </w:rPr>
              <w:t>…</w:t>
            </w:r>
          </w:p>
        </w:tc>
        <w:tc>
          <w:tcPr>
            <w:tcW w:w="1328" w:type="dxa"/>
            <w:vAlign w:val="top"/>
          </w:tcPr>
          <w:p w14:paraId="7DCB5CE2">
            <w:pPr>
              <w:spacing w:line="240" w:lineRule="auto"/>
              <w:rPr>
                <w:rFonts w:hint="eastAsia" w:ascii="宋体" w:hAnsi="宋体" w:eastAsia="宋体" w:cs="宋体"/>
                <w:sz w:val="21"/>
              </w:rPr>
            </w:pPr>
          </w:p>
        </w:tc>
      </w:tr>
      <w:tr w14:paraId="16C0B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jc w:val="center"/>
        </w:trPr>
        <w:tc>
          <w:tcPr>
            <w:tcW w:w="7920" w:type="dxa"/>
            <w:gridSpan w:val="6"/>
            <w:vAlign w:val="top"/>
          </w:tcPr>
          <w:p w14:paraId="4B8E8BAC">
            <w:pPr>
              <w:pStyle w:val="163"/>
              <w:spacing w:before="34" w:line="240" w:lineRule="auto"/>
              <w:jc w:val="center"/>
              <w:rPr>
                <w:rFonts w:hint="eastAsia" w:ascii="宋体" w:hAnsi="宋体" w:eastAsia="宋体" w:cs="宋体"/>
              </w:rPr>
            </w:pPr>
            <w:r>
              <w:rPr>
                <w:rFonts w:hint="eastAsia" w:ascii="宋体" w:hAnsi="宋体" w:eastAsia="宋体" w:cs="宋体"/>
                <w:spacing w:val="-1"/>
              </w:rPr>
              <w:t>投标产品中通过环境标志认证的产品</w:t>
            </w:r>
          </w:p>
        </w:tc>
      </w:tr>
      <w:tr w14:paraId="0C3EA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jc w:val="center"/>
        </w:trPr>
        <w:tc>
          <w:tcPr>
            <w:tcW w:w="1321" w:type="dxa"/>
            <w:vAlign w:val="top"/>
          </w:tcPr>
          <w:p w14:paraId="69BCA401">
            <w:pPr>
              <w:pStyle w:val="163"/>
              <w:spacing w:before="35" w:line="240" w:lineRule="auto"/>
              <w:ind w:left="566"/>
              <w:rPr>
                <w:rFonts w:hint="eastAsia" w:ascii="宋体" w:hAnsi="宋体" w:eastAsia="宋体" w:cs="宋体"/>
              </w:rPr>
            </w:pPr>
            <w:r>
              <w:rPr>
                <w:rFonts w:hint="eastAsia" w:ascii="宋体" w:hAnsi="宋体" w:eastAsia="宋体" w:cs="宋体"/>
                <w:spacing w:val="-2"/>
              </w:rPr>
              <w:t>序号</w:t>
            </w:r>
          </w:p>
        </w:tc>
        <w:tc>
          <w:tcPr>
            <w:tcW w:w="1318" w:type="dxa"/>
            <w:vAlign w:val="top"/>
          </w:tcPr>
          <w:p w14:paraId="4DDB3526">
            <w:pPr>
              <w:pStyle w:val="163"/>
              <w:spacing w:before="35" w:line="240" w:lineRule="auto"/>
              <w:ind w:left="359"/>
              <w:rPr>
                <w:rFonts w:hint="eastAsia" w:ascii="宋体" w:hAnsi="宋体" w:eastAsia="宋体" w:cs="宋体"/>
              </w:rPr>
            </w:pPr>
            <w:r>
              <w:rPr>
                <w:rFonts w:hint="eastAsia" w:ascii="宋体" w:hAnsi="宋体" w:eastAsia="宋体" w:cs="宋体"/>
                <w:spacing w:val="-3"/>
              </w:rPr>
              <w:t>货物名称</w:t>
            </w:r>
          </w:p>
        </w:tc>
        <w:tc>
          <w:tcPr>
            <w:tcW w:w="1317" w:type="dxa"/>
            <w:vAlign w:val="top"/>
          </w:tcPr>
          <w:p w14:paraId="166C8122">
            <w:pPr>
              <w:pStyle w:val="163"/>
              <w:spacing w:before="35" w:line="240" w:lineRule="auto"/>
              <w:ind w:left="355"/>
              <w:rPr>
                <w:rFonts w:hint="eastAsia" w:ascii="宋体" w:hAnsi="宋体" w:eastAsia="宋体" w:cs="宋体"/>
              </w:rPr>
            </w:pPr>
            <w:r>
              <w:rPr>
                <w:rFonts w:hint="eastAsia" w:ascii="宋体" w:hAnsi="宋体" w:eastAsia="宋体" w:cs="宋体"/>
                <w:spacing w:val="-2"/>
              </w:rPr>
              <w:t>规格型号</w:t>
            </w:r>
          </w:p>
        </w:tc>
        <w:tc>
          <w:tcPr>
            <w:tcW w:w="1317" w:type="dxa"/>
            <w:vAlign w:val="top"/>
          </w:tcPr>
          <w:p w14:paraId="2C7715E2">
            <w:pPr>
              <w:pStyle w:val="163"/>
              <w:spacing w:before="35" w:line="240" w:lineRule="auto"/>
              <w:ind w:left="357"/>
              <w:rPr>
                <w:rFonts w:hint="eastAsia" w:ascii="宋体" w:hAnsi="宋体" w:eastAsia="宋体" w:cs="宋体"/>
              </w:rPr>
            </w:pPr>
            <w:r>
              <w:rPr>
                <w:rFonts w:hint="eastAsia" w:ascii="宋体" w:hAnsi="宋体" w:eastAsia="宋体" w:cs="宋体"/>
                <w:spacing w:val="-2"/>
              </w:rPr>
              <w:t>生产厂商</w:t>
            </w:r>
          </w:p>
        </w:tc>
        <w:tc>
          <w:tcPr>
            <w:tcW w:w="1319" w:type="dxa"/>
            <w:vAlign w:val="top"/>
          </w:tcPr>
          <w:p w14:paraId="510E240C">
            <w:pPr>
              <w:pStyle w:val="163"/>
              <w:spacing w:before="35" w:line="240" w:lineRule="auto"/>
              <w:ind w:left="357"/>
              <w:rPr>
                <w:rFonts w:hint="eastAsia" w:ascii="宋体" w:hAnsi="宋体" w:eastAsia="宋体" w:cs="宋体"/>
              </w:rPr>
            </w:pPr>
            <w:r>
              <w:rPr>
                <w:rFonts w:hint="eastAsia" w:ascii="宋体" w:hAnsi="宋体" w:eastAsia="宋体" w:cs="宋体"/>
                <w:spacing w:val="-2"/>
              </w:rPr>
              <w:t>证书编号</w:t>
            </w:r>
          </w:p>
        </w:tc>
        <w:tc>
          <w:tcPr>
            <w:tcW w:w="1328" w:type="dxa"/>
            <w:vAlign w:val="top"/>
          </w:tcPr>
          <w:p w14:paraId="20AC2FFB">
            <w:pPr>
              <w:spacing w:line="240" w:lineRule="auto"/>
              <w:rPr>
                <w:rFonts w:hint="eastAsia" w:ascii="宋体" w:hAnsi="宋体" w:eastAsia="宋体" w:cs="宋体"/>
                <w:sz w:val="21"/>
              </w:rPr>
            </w:pPr>
          </w:p>
        </w:tc>
      </w:tr>
      <w:tr w14:paraId="459A52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jc w:val="center"/>
        </w:trPr>
        <w:tc>
          <w:tcPr>
            <w:tcW w:w="1321" w:type="dxa"/>
            <w:vAlign w:val="top"/>
          </w:tcPr>
          <w:p w14:paraId="3A8ADDAF">
            <w:pPr>
              <w:spacing w:before="76" w:line="240" w:lineRule="auto"/>
              <w:ind w:left="742"/>
              <w:rPr>
                <w:rFonts w:hint="eastAsia" w:ascii="宋体" w:hAnsi="宋体" w:eastAsia="宋体" w:cs="宋体"/>
                <w:sz w:val="21"/>
                <w:szCs w:val="21"/>
              </w:rPr>
            </w:pPr>
            <w:r>
              <w:rPr>
                <w:rFonts w:hint="eastAsia" w:ascii="宋体" w:hAnsi="宋体" w:eastAsia="宋体" w:cs="宋体"/>
                <w:sz w:val="21"/>
                <w:szCs w:val="21"/>
              </w:rPr>
              <w:t>1</w:t>
            </w:r>
          </w:p>
        </w:tc>
        <w:tc>
          <w:tcPr>
            <w:tcW w:w="1318" w:type="dxa"/>
            <w:vAlign w:val="top"/>
          </w:tcPr>
          <w:p w14:paraId="2CE4AF3E">
            <w:pPr>
              <w:spacing w:line="240" w:lineRule="auto"/>
              <w:rPr>
                <w:rFonts w:hint="eastAsia" w:ascii="宋体" w:hAnsi="宋体" w:eastAsia="宋体" w:cs="宋体"/>
                <w:sz w:val="21"/>
              </w:rPr>
            </w:pPr>
          </w:p>
        </w:tc>
        <w:tc>
          <w:tcPr>
            <w:tcW w:w="1317" w:type="dxa"/>
            <w:vAlign w:val="top"/>
          </w:tcPr>
          <w:p w14:paraId="49117944">
            <w:pPr>
              <w:spacing w:line="240" w:lineRule="auto"/>
              <w:rPr>
                <w:rFonts w:hint="eastAsia" w:ascii="宋体" w:hAnsi="宋体" w:eastAsia="宋体" w:cs="宋体"/>
                <w:sz w:val="21"/>
              </w:rPr>
            </w:pPr>
          </w:p>
        </w:tc>
        <w:tc>
          <w:tcPr>
            <w:tcW w:w="1317" w:type="dxa"/>
            <w:vAlign w:val="top"/>
          </w:tcPr>
          <w:p w14:paraId="1612D341">
            <w:pPr>
              <w:spacing w:line="240" w:lineRule="auto"/>
              <w:rPr>
                <w:rFonts w:hint="eastAsia" w:ascii="宋体" w:hAnsi="宋体" w:eastAsia="宋体" w:cs="宋体"/>
                <w:sz w:val="21"/>
              </w:rPr>
            </w:pPr>
          </w:p>
        </w:tc>
        <w:tc>
          <w:tcPr>
            <w:tcW w:w="1319" w:type="dxa"/>
            <w:vAlign w:val="top"/>
          </w:tcPr>
          <w:p w14:paraId="7AA084A9">
            <w:pPr>
              <w:spacing w:line="240" w:lineRule="auto"/>
              <w:rPr>
                <w:rFonts w:hint="eastAsia" w:ascii="宋体" w:hAnsi="宋体" w:eastAsia="宋体" w:cs="宋体"/>
                <w:sz w:val="21"/>
              </w:rPr>
            </w:pPr>
          </w:p>
        </w:tc>
        <w:tc>
          <w:tcPr>
            <w:tcW w:w="1328" w:type="dxa"/>
            <w:vAlign w:val="top"/>
          </w:tcPr>
          <w:p w14:paraId="7789CF00">
            <w:pPr>
              <w:spacing w:line="240" w:lineRule="auto"/>
              <w:rPr>
                <w:rFonts w:hint="eastAsia" w:ascii="宋体" w:hAnsi="宋体" w:eastAsia="宋体" w:cs="宋体"/>
                <w:sz w:val="21"/>
              </w:rPr>
            </w:pPr>
          </w:p>
        </w:tc>
      </w:tr>
      <w:tr w14:paraId="7C20F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jc w:val="center"/>
        </w:trPr>
        <w:tc>
          <w:tcPr>
            <w:tcW w:w="1321" w:type="dxa"/>
            <w:vAlign w:val="top"/>
          </w:tcPr>
          <w:p w14:paraId="7A57F722">
            <w:pPr>
              <w:spacing w:before="76" w:line="240" w:lineRule="auto"/>
              <w:ind w:left="721"/>
              <w:rPr>
                <w:rFonts w:hint="eastAsia" w:ascii="宋体" w:hAnsi="宋体" w:eastAsia="宋体" w:cs="宋体"/>
                <w:sz w:val="21"/>
                <w:szCs w:val="21"/>
              </w:rPr>
            </w:pPr>
            <w:r>
              <w:rPr>
                <w:rFonts w:hint="eastAsia" w:ascii="宋体" w:hAnsi="宋体" w:eastAsia="宋体" w:cs="宋体"/>
                <w:sz w:val="21"/>
                <w:szCs w:val="21"/>
              </w:rPr>
              <w:t>2</w:t>
            </w:r>
          </w:p>
        </w:tc>
        <w:tc>
          <w:tcPr>
            <w:tcW w:w="1318" w:type="dxa"/>
            <w:vAlign w:val="top"/>
          </w:tcPr>
          <w:p w14:paraId="10D69ED1">
            <w:pPr>
              <w:spacing w:line="240" w:lineRule="auto"/>
              <w:rPr>
                <w:rFonts w:hint="eastAsia" w:ascii="宋体" w:hAnsi="宋体" w:eastAsia="宋体" w:cs="宋体"/>
                <w:sz w:val="21"/>
              </w:rPr>
            </w:pPr>
          </w:p>
        </w:tc>
        <w:tc>
          <w:tcPr>
            <w:tcW w:w="1317" w:type="dxa"/>
            <w:vAlign w:val="top"/>
          </w:tcPr>
          <w:p w14:paraId="29F434AB">
            <w:pPr>
              <w:spacing w:line="240" w:lineRule="auto"/>
              <w:rPr>
                <w:rFonts w:hint="eastAsia" w:ascii="宋体" w:hAnsi="宋体" w:eastAsia="宋体" w:cs="宋体"/>
                <w:sz w:val="21"/>
              </w:rPr>
            </w:pPr>
          </w:p>
        </w:tc>
        <w:tc>
          <w:tcPr>
            <w:tcW w:w="1317" w:type="dxa"/>
            <w:vAlign w:val="top"/>
          </w:tcPr>
          <w:p w14:paraId="407E4816">
            <w:pPr>
              <w:spacing w:line="240" w:lineRule="auto"/>
              <w:rPr>
                <w:rFonts w:hint="eastAsia" w:ascii="宋体" w:hAnsi="宋体" w:eastAsia="宋体" w:cs="宋体"/>
                <w:sz w:val="21"/>
              </w:rPr>
            </w:pPr>
          </w:p>
        </w:tc>
        <w:tc>
          <w:tcPr>
            <w:tcW w:w="1319" w:type="dxa"/>
            <w:vAlign w:val="top"/>
          </w:tcPr>
          <w:p w14:paraId="7863F280">
            <w:pPr>
              <w:spacing w:line="240" w:lineRule="auto"/>
              <w:rPr>
                <w:rFonts w:hint="eastAsia" w:ascii="宋体" w:hAnsi="宋体" w:eastAsia="宋体" w:cs="宋体"/>
                <w:sz w:val="21"/>
              </w:rPr>
            </w:pPr>
          </w:p>
        </w:tc>
        <w:tc>
          <w:tcPr>
            <w:tcW w:w="1328" w:type="dxa"/>
            <w:vAlign w:val="top"/>
          </w:tcPr>
          <w:p w14:paraId="34121B6B">
            <w:pPr>
              <w:spacing w:line="240" w:lineRule="auto"/>
              <w:rPr>
                <w:rFonts w:hint="eastAsia" w:ascii="宋体" w:hAnsi="宋体" w:eastAsia="宋体" w:cs="宋体"/>
                <w:sz w:val="21"/>
              </w:rPr>
            </w:pPr>
          </w:p>
        </w:tc>
      </w:tr>
      <w:tr w14:paraId="77E0F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1321" w:type="dxa"/>
            <w:vAlign w:val="top"/>
          </w:tcPr>
          <w:p w14:paraId="44B3B827">
            <w:pPr>
              <w:spacing w:before="74" w:line="240" w:lineRule="auto"/>
              <w:ind w:left="725"/>
              <w:rPr>
                <w:rFonts w:hint="eastAsia" w:ascii="宋体" w:hAnsi="宋体" w:eastAsia="宋体" w:cs="宋体"/>
                <w:sz w:val="21"/>
                <w:szCs w:val="21"/>
              </w:rPr>
            </w:pPr>
            <w:r>
              <w:rPr>
                <w:rFonts w:hint="eastAsia" w:ascii="宋体" w:hAnsi="宋体" w:eastAsia="宋体" w:cs="宋体"/>
                <w:sz w:val="21"/>
                <w:szCs w:val="21"/>
              </w:rPr>
              <w:t>3</w:t>
            </w:r>
          </w:p>
        </w:tc>
        <w:tc>
          <w:tcPr>
            <w:tcW w:w="1318" w:type="dxa"/>
            <w:vAlign w:val="top"/>
          </w:tcPr>
          <w:p w14:paraId="1BB5ACB3">
            <w:pPr>
              <w:spacing w:line="240" w:lineRule="auto"/>
              <w:rPr>
                <w:rFonts w:hint="eastAsia" w:ascii="宋体" w:hAnsi="宋体" w:eastAsia="宋体" w:cs="宋体"/>
                <w:sz w:val="21"/>
              </w:rPr>
            </w:pPr>
          </w:p>
        </w:tc>
        <w:tc>
          <w:tcPr>
            <w:tcW w:w="1317" w:type="dxa"/>
            <w:vAlign w:val="top"/>
          </w:tcPr>
          <w:p w14:paraId="099B31C9">
            <w:pPr>
              <w:spacing w:line="240" w:lineRule="auto"/>
              <w:rPr>
                <w:rFonts w:hint="eastAsia" w:ascii="宋体" w:hAnsi="宋体" w:eastAsia="宋体" w:cs="宋体"/>
                <w:sz w:val="21"/>
              </w:rPr>
            </w:pPr>
          </w:p>
        </w:tc>
        <w:tc>
          <w:tcPr>
            <w:tcW w:w="1317" w:type="dxa"/>
            <w:vAlign w:val="top"/>
          </w:tcPr>
          <w:p w14:paraId="5A087D43">
            <w:pPr>
              <w:spacing w:line="240" w:lineRule="auto"/>
              <w:rPr>
                <w:rFonts w:hint="eastAsia" w:ascii="宋体" w:hAnsi="宋体" w:eastAsia="宋体" w:cs="宋体"/>
                <w:sz w:val="21"/>
              </w:rPr>
            </w:pPr>
          </w:p>
        </w:tc>
        <w:tc>
          <w:tcPr>
            <w:tcW w:w="1319" w:type="dxa"/>
            <w:vAlign w:val="top"/>
          </w:tcPr>
          <w:p w14:paraId="1692C952">
            <w:pPr>
              <w:spacing w:line="240" w:lineRule="auto"/>
              <w:rPr>
                <w:rFonts w:hint="eastAsia" w:ascii="宋体" w:hAnsi="宋体" w:eastAsia="宋体" w:cs="宋体"/>
                <w:sz w:val="21"/>
              </w:rPr>
            </w:pPr>
          </w:p>
        </w:tc>
        <w:tc>
          <w:tcPr>
            <w:tcW w:w="1328" w:type="dxa"/>
            <w:vAlign w:val="top"/>
          </w:tcPr>
          <w:p w14:paraId="39B60803">
            <w:pPr>
              <w:spacing w:line="240" w:lineRule="auto"/>
              <w:rPr>
                <w:rFonts w:hint="eastAsia" w:ascii="宋体" w:hAnsi="宋体" w:eastAsia="宋体" w:cs="宋体"/>
                <w:sz w:val="21"/>
              </w:rPr>
            </w:pPr>
          </w:p>
        </w:tc>
      </w:tr>
      <w:tr w14:paraId="30A1F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jc w:val="center"/>
        </w:trPr>
        <w:tc>
          <w:tcPr>
            <w:tcW w:w="1321" w:type="dxa"/>
            <w:vAlign w:val="top"/>
          </w:tcPr>
          <w:p w14:paraId="76609C0C">
            <w:pPr>
              <w:pStyle w:val="163"/>
              <w:spacing w:before="33" w:line="240" w:lineRule="auto"/>
              <w:ind w:left="659" w:leftChars="0"/>
              <w:rPr>
                <w:rFonts w:hint="eastAsia" w:ascii="宋体" w:hAnsi="宋体" w:eastAsia="宋体" w:cs="宋体"/>
              </w:rPr>
            </w:pPr>
            <w:r>
              <w:rPr>
                <w:rFonts w:hint="eastAsia" w:ascii="宋体" w:hAnsi="宋体" w:eastAsia="宋体" w:cs="宋体"/>
                <w:spacing w:val="-11"/>
              </w:rPr>
              <w:t>…</w:t>
            </w:r>
          </w:p>
        </w:tc>
        <w:tc>
          <w:tcPr>
            <w:tcW w:w="1318" w:type="dxa"/>
            <w:vAlign w:val="top"/>
          </w:tcPr>
          <w:p w14:paraId="767EFA8A">
            <w:pPr>
              <w:pStyle w:val="163"/>
              <w:spacing w:before="33" w:line="240" w:lineRule="auto"/>
              <w:ind w:left="629" w:leftChars="0"/>
              <w:rPr>
                <w:rFonts w:hint="eastAsia" w:ascii="宋体" w:hAnsi="宋体" w:eastAsia="宋体" w:cs="宋体"/>
              </w:rPr>
            </w:pPr>
            <w:r>
              <w:rPr>
                <w:rFonts w:hint="eastAsia" w:ascii="宋体" w:hAnsi="宋体" w:eastAsia="宋体" w:cs="宋体"/>
                <w:spacing w:val="-7"/>
              </w:rPr>
              <w:t>…</w:t>
            </w:r>
          </w:p>
        </w:tc>
        <w:tc>
          <w:tcPr>
            <w:tcW w:w="1317" w:type="dxa"/>
            <w:vAlign w:val="top"/>
          </w:tcPr>
          <w:p w14:paraId="7142BDE8">
            <w:pPr>
              <w:pStyle w:val="163"/>
              <w:spacing w:before="33" w:line="240" w:lineRule="auto"/>
              <w:ind w:left="655" w:leftChars="0"/>
              <w:rPr>
                <w:rFonts w:hint="eastAsia" w:ascii="宋体" w:hAnsi="宋体" w:eastAsia="宋体" w:cs="宋体"/>
              </w:rPr>
            </w:pPr>
            <w:r>
              <w:rPr>
                <w:rFonts w:hint="eastAsia" w:ascii="宋体" w:hAnsi="宋体" w:eastAsia="宋体" w:cs="宋体"/>
                <w:spacing w:val="-11"/>
              </w:rPr>
              <w:t>…</w:t>
            </w:r>
          </w:p>
        </w:tc>
        <w:tc>
          <w:tcPr>
            <w:tcW w:w="1317" w:type="dxa"/>
            <w:vAlign w:val="top"/>
          </w:tcPr>
          <w:p w14:paraId="2B86E08F">
            <w:pPr>
              <w:pStyle w:val="163"/>
              <w:spacing w:before="33" w:line="240" w:lineRule="auto"/>
              <w:ind w:left="657" w:leftChars="0"/>
              <w:rPr>
                <w:rFonts w:hint="eastAsia" w:ascii="宋体" w:hAnsi="宋体" w:eastAsia="宋体" w:cs="宋体"/>
              </w:rPr>
            </w:pPr>
            <w:r>
              <w:rPr>
                <w:rFonts w:hint="eastAsia" w:ascii="宋体" w:hAnsi="宋体" w:eastAsia="宋体" w:cs="宋体"/>
                <w:spacing w:val="-11"/>
              </w:rPr>
              <w:t>…</w:t>
            </w:r>
          </w:p>
        </w:tc>
        <w:tc>
          <w:tcPr>
            <w:tcW w:w="1319" w:type="dxa"/>
            <w:vAlign w:val="top"/>
          </w:tcPr>
          <w:p w14:paraId="2AE00E2E">
            <w:pPr>
              <w:pStyle w:val="163"/>
              <w:spacing w:before="33" w:line="240" w:lineRule="auto"/>
              <w:ind w:left="634" w:leftChars="0"/>
              <w:rPr>
                <w:rFonts w:hint="eastAsia" w:ascii="宋体" w:hAnsi="宋体" w:eastAsia="宋体" w:cs="宋体"/>
              </w:rPr>
            </w:pPr>
            <w:r>
              <w:rPr>
                <w:rFonts w:hint="eastAsia" w:ascii="宋体" w:hAnsi="宋体" w:eastAsia="宋体" w:cs="宋体"/>
                <w:spacing w:val="-7"/>
              </w:rPr>
              <w:t>…</w:t>
            </w:r>
          </w:p>
        </w:tc>
        <w:tc>
          <w:tcPr>
            <w:tcW w:w="1328" w:type="dxa"/>
            <w:vAlign w:val="top"/>
          </w:tcPr>
          <w:p w14:paraId="7F757FCA">
            <w:pPr>
              <w:spacing w:line="240" w:lineRule="auto"/>
              <w:rPr>
                <w:rFonts w:hint="eastAsia" w:ascii="宋体" w:hAnsi="宋体" w:eastAsia="宋体" w:cs="宋体"/>
                <w:sz w:val="21"/>
              </w:rPr>
            </w:pPr>
          </w:p>
        </w:tc>
      </w:tr>
    </w:tbl>
    <w:p w14:paraId="5CF22C27">
      <w:pPr>
        <w:spacing w:before="177" w:line="220" w:lineRule="auto"/>
        <w:ind w:left="40"/>
        <w:rPr>
          <w:rFonts w:ascii="宋体" w:hAnsi="宋体" w:eastAsia="宋体" w:cs="宋体"/>
          <w:spacing w:val="-14"/>
          <w:sz w:val="22"/>
          <w:szCs w:val="22"/>
        </w:rPr>
      </w:pPr>
    </w:p>
    <w:p w14:paraId="346127CC">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（单位电子印章）</w:t>
      </w:r>
    </w:p>
    <w:p w14:paraId="6F2E794C">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（电子签章或签字）</w:t>
      </w:r>
    </w:p>
    <w:p w14:paraId="53A1BDF4">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7B14F641">
      <w:pPr>
        <w:spacing w:before="177" w:line="220" w:lineRule="auto"/>
        <w:ind w:left="40"/>
        <w:rPr>
          <w:rFonts w:ascii="宋体" w:hAnsi="宋体" w:eastAsia="宋体" w:cs="宋体"/>
          <w:spacing w:val="-14"/>
          <w:sz w:val="22"/>
          <w:szCs w:val="22"/>
        </w:rPr>
      </w:pPr>
    </w:p>
    <w:p w14:paraId="5AE978D9">
      <w:pPr>
        <w:spacing w:before="177" w:line="220" w:lineRule="auto"/>
        <w:ind w:left="40"/>
        <w:rPr>
          <w:rFonts w:ascii="宋体" w:hAnsi="宋体" w:eastAsia="宋体" w:cs="宋体"/>
          <w:spacing w:val="-14"/>
          <w:sz w:val="22"/>
          <w:szCs w:val="22"/>
        </w:rPr>
      </w:pPr>
    </w:p>
    <w:p w14:paraId="5A411749">
      <w:pPr>
        <w:spacing w:before="177" w:line="220" w:lineRule="auto"/>
        <w:ind w:left="40"/>
        <w:rPr>
          <w:rFonts w:ascii="宋体" w:hAnsi="宋体" w:eastAsia="宋体" w:cs="宋体"/>
          <w:sz w:val="21"/>
          <w:szCs w:val="21"/>
        </w:rPr>
      </w:pPr>
      <w:r>
        <w:rPr>
          <w:rFonts w:ascii="宋体" w:hAnsi="宋体" w:eastAsia="宋体" w:cs="宋体"/>
          <w:spacing w:val="-14"/>
          <w:sz w:val="21"/>
          <w:szCs w:val="21"/>
        </w:rPr>
        <w:t>说明：</w:t>
      </w:r>
    </w:p>
    <w:p w14:paraId="0BE6FFCF">
      <w:pPr>
        <w:spacing w:before="198" w:line="371" w:lineRule="auto"/>
        <w:ind w:left="56" w:right="453" w:firstLine="436"/>
        <w:rPr>
          <w:rFonts w:ascii="宋体" w:hAnsi="宋体" w:eastAsia="宋体" w:cs="宋体"/>
          <w:sz w:val="21"/>
          <w:szCs w:val="21"/>
        </w:rPr>
      </w:pPr>
      <w:r>
        <w:rPr>
          <w:rFonts w:ascii="宋体" w:hAnsi="宋体" w:eastAsia="宋体" w:cs="宋体"/>
          <w:spacing w:val="-1"/>
          <w:sz w:val="21"/>
          <w:szCs w:val="21"/>
        </w:rPr>
        <w:t>1.对于投标产品属于“节能清单”中非标记“★”产品并经“机构名录”中的认证机构</w:t>
      </w:r>
      <w:r>
        <w:rPr>
          <w:rFonts w:ascii="宋体" w:hAnsi="宋体" w:eastAsia="宋体" w:cs="宋体"/>
          <w:spacing w:val="-3"/>
          <w:sz w:val="21"/>
          <w:szCs w:val="21"/>
        </w:rPr>
        <w:t>出具相应的产品认证证书的给于优先采购体现。</w:t>
      </w:r>
    </w:p>
    <w:p w14:paraId="024A7806">
      <w:pPr>
        <w:spacing w:before="36" w:line="376" w:lineRule="auto"/>
        <w:ind w:left="38" w:right="446" w:firstLine="440"/>
        <w:rPr>
          <w:rFonts w:ascii="宋体" w:hAnsi="宋体" w:eastAsia="宋体" w:cs="宋体"/>
          <w:sz w:val="21"/>
          <w:szCs w:val="21"/>
        </w:rPr>
      </w:pPr>
      <w:r>
        <w:rPr>
          <w:rFonts w:ascii="宋体" w:hAnsi="宋体" w:eastAsia="宋体" w:cs="宋体"/>
          <w:sz w:val="21"/>
          <w:szCs w:val="21"/>
        </w:rPr>
        <w:t>2.采购人采购产品属于节能产品或环境标志产品品目清单范围内，且投</w:t>
      </w:r>
      <w:r>
        <w:rPr>
          <w:rFonts w:ascii="宋体" w:hAnsi="宋体" w:eastAsia="宋体" w:cs="宋体"/>
          <w:spacing w:val="-1"/>
          <w:sz w:val="21"/>
          <w:szCs w:val="21"/>
        </w:rPr>
        <w:t>标人所投产品具</w:t>
      </w:r>
      <w:r>
        <w:rPr>
          <w:rFonts w:ascii="宋体" w:hAnsi="宋体" w:eastAsia="宋体" w:cs="宋体"/>
          <w:sz w:val="21"/>
          <w:szCs w:val="21"/>
        </w:rPr>
        <w:t>有有效期内的环境标志产品认证证书，在评标时予以优先采购，具体优惠措施</w:t>
      </w:r>
      <w:r>
        <w:rPr>
          <w:rFonts w:ascii="宋体" w:hAnsi="宋体" w:eastAsia="宋体" w:cs="宋体"/>
          <w:spacing w:val="-1"/>
          <w:sz w:val="21"/>
          <w:szCs w:val="21"/>
        </w:rPr>
        <w:t>为：</w:t>
      </w:r>
      <w:r>
        <w:rPr>
          <w:rFonts w:hint="eastAsia" w:ascii="宋体" w:hAnsi="宋体" w:eastAsia="宋体" w:cs="宋体"/>
          <w:spacing w:val="-1"/>
          <w:sz w:val="21"/>
          <w:szCs w:val="21"/>
        </w:rPr>
        <w:t>具体措施详见“第</w:t>
      </w:r>
      <w:r>
        <w:rPr>
          <w:rFonts w:hint="eastAsia" w:ascii="宋体" w:hAnsi="宋体" w:cs="宋体"/>
          <w:spacing w:val="-1"/>
          <w:sz w:val="21"/>
          <w:szCs w:val="21"/>
          <w:lang w:eastAsia="zh-CN"/>
        </w:rPr>
        <w:t>三</w:t>
      </w:r>
      <w:r>
        <w:rPr>
          <w:rFonts w:hint="eastAsia" w:ascii="宋体" w:hAnsi="宋体" w:eastAsia="宋体" w:cs="宋体"/>
          <w:spacing w:val="-1"/>
          <w:sz w:val="21"/>
          <w:szCs w:val="21"/>
        </w:rPr>
        <w:t>章 评</w:t>
      </w:r>
      <w:r>
        <w:rPr>
          <w:rFonts w:hint="eastAsia" w:ascii="宋体" w:hAnsi="宋体" w:cs="宋体"/>
          <w:spacing w:val="-1"/>
          <w:sz w:val="21"/>
          <w:szCs w:val="21"/>
          <w:lang w:eastAsia="zh-CN"/>
        </w:rPr>
        <w:t>分</w:t>
      </w:r>
      <w:r>
        <w:rPr>
          <w:rFonts w:hint="eastAsia" w:ascii="宋体" w:hAnsi="宋体" w:eastAsia="宋体" w:cs="宋体"/>
          <w:spacing w:val="-1"/>
          <w:sz w:val="21"/>
          <w:szCs w:val="21"/>
        </w:rPr>
        <w:t>办法</w:t>
      </w:r>
      <w:r>
        <w:rPr>
          <w:rFonts w:hint="eastAsia" w:ascii="宋体" w:hAnsi="宋体" w:cs="宋体"/>
          <w:spacing w:val="-1"/>
          <w:sz w:val="21"/>
          <w:szCs w:val="21"/>
          <w:lang w:eastAsia="zh-CN"/>
        </w:rPr>
        <w:t>及标准</w:t>
      </w:r>
      <w:r>
        <w:rPr>
          <w:rFonts w:hint="eastAsia" w:ascii="宋体" w:hAnsi="宋体" w:eastAsia="宋体" w:cs="宋体"/>
          <w:spacing w:val="-1"/>
          <w:sz w:val="21"/>
          <w:szCs w:val="21"/>
        </w:rPr>
        <w:t>”商务部分</w:t>
      </w:r>
      <w:r>
        <w:rPr>
          <w:rFonts w:hint="eastAsia" w:ascii="宋体" w:hAnsi="宋体" w:cs="宋体"/>
          <w:spacing w:val="-1"/>
          <w:sz w:val="21"/>
          <w:szCs w:val="21"/>
          <w:lang w:eastAsia="zh-CN"/>
        </w:rPr>
        <w:t>“</w:t>
      </w:r>
      <w:r>
        <w:rPr>
          <w:rFonts w:hint="eastAsia" w:ascii="宋体" w:hAnsi="宋体" w:eastAsia="宋体" w:cs="宋体"/>
          <w:spacing w:val="-1"/>
          <w:sz w:val="21"/>
          <w:szCs w:val="21"/>
        </w:rPr>
        <w:t>节能清单产品</w:t>
      </w:r>
      <w:r>
        <w:rPr>
          <w:rFonts w:hint="eastAsia" w:ascii="宋体" w:hAnsi="宋体" w:cs="宋体"/>
          <w:spacing w:val="-1"/>
          <w:sz w:val="21"/>
          <w:szCs w:val="21"/>
          <w:lang w:eastAsia="zh-CN"/>
        </w:rPr>
        <w:t>”及“</w:t>
      </w:r>
      <w:r>
        <w:rPr>
          <w:rFonts w:hint="eastAsia" w:ascii="宋体" w:hAnsi="宋体" w:eastAsia="宋体" w:cs="宋体"/>
          <w:spacing w:val="-1"/>
          <w:sz w:val="21"/>
          <w:szCs w:val="21"/>
        </w:rPr>
        <w:t>环保清单产品</w:t>
      </w:r>
      <w:r>
        <w:rPr>
          <w:rFonts w:hint="eastAsia" w:ascii="宋体" w:hAnsi="宋体" w:cs="宋体"/>
          <w:spacing w:val="-1"/>
          <w:sz w:val="21"/>
          <w:szCs w:val="21"/>
          <w:lang w:eastAsia="zh-CN"/>
        </w:rPr>
        <w:t>”</w:t>
      </w:r>
      <w:r>
        <w:rPr>
          <w:rFonts w:hint="eastAsia" w:ascii="宋体" w:hAnsi="宋体" w:eastAsia="宋体" w:cs="宋体"/>
          <w:spacing w:val="-1"/>
          <w:sz w:val="21"/>
          <w:szCs w:val="21"/>
        </w:rPr>
        <w:t>评分因素。</w:t>
      </w:r>
    </w:p>
    <w:p w14:paraId="2CA40B45">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spacing w:val="-1"/>
          <w:sz w:val="22"/>
          <w:szCs w:val="22"/>
          <w:lang w:val="en-US" w:eastAsia="zh-CN"/>
        </w:rPr>
      </w:pPr>
    </w:p>
    <w:sectPr>
      <w:pgSz w:w="11922" w:h="16838"/>
      <w:pgMar w:top="1417" w:right="1417" w:bottom="1417" w:left="1417" w:header="624" w:footer="624" w:gutter="283"/>
      <w:pgBorders>
        <w:top w:val="none" w:sz="0" w:space="0"/>
        <w:left w:val="none" w:sz="0" w:space="0"/>
        <w:bottom w:val="none" w:sz="0" w:space="0"/>
        <w:right w:val="none" w:sz="0" w:space="0"/>
      </w:pgBorders>
      <w:pgNumType w:fmt="decimal"/>
      <w:cols w:space="0" w:num="1"/>
      <w:titlePg/>
      <w:rtlGutter w:val="0"/>
      <w:docGrid w:linePitch="30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9B0A8EB-EF76-45F7-9655-6E3E58CE8C2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1C193C86-9FFD-437E-9687-2FBCD40FB55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onsolas">
    <w:panose1 w:val="020B0609020204030204"/>
    <w:charset w:val="00"/>
    <w:family w:val="modern"/>
    <w:pitch w:val="default"/>
    <w:sig w:usb0="E10002FF" w:usb1="4000FCFF" w:usb2="00000009" w:usb3="00000000" w:csb0="6000019F" w:csb1="DFD70000"/>
  </w:font>
  <w:font w:name="华文楷体">
    <w:panose1 w:val="02010600040101010101"/>
    <w:charset w:val="86"/>
    <w:family w:val="auto"/>
    <w:pitch w:val="default"/>
    <w:sig w:usb0="00000287" w:usb1="080F0000" w:usb2="00000000" w:usb3="00000000" w:csb0="0004009F" w:csb1="DFD70000"/>
    <w:embedRegular r:id="rId3" w:fontKey="{226052AA-CF63-4857-98C6-9A02A310362E}"/>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仿宋_GB2312">
    <w:altName w:val="仿宋"/>
    <w:panose1 w:val="02010609030101010101"/>
    <w:charset w:val="86"/>
    <w:family w:val="roma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4" w:fontKey="{3E40F7AA-DE49-4DCA-A1CD-47B30C2B66F9}"/>
  </w:font>
  <w:font w:name="Tahoma">
    <w:panose1 w:val="020B0604030504040204"/>
    <w:charset w:val="00"/>
    <w:family w:val="swiss"/>
    <w:pitch w:val="default"/>
    <w:sig w:usb0="E1002EFF" w:usb1="C000605B" w:usb2="00000029" w:usb3="00000000" w:csb0="200101FF" w:csb1="20280000"/>
  </w:font>
  <w:font w:name="Noto Sans CJK JP Regular">
    <w:altName w:val="Segoe Print"/>
    <w:panose1 w:val="00000000000000000000"/>
    <w:charset w:val="00"/>
    <w:family w:val="auto"/>
    <w:pitch w:val="default"/>
    <w:sig w:usb0="00000000" w:usb1="00000000" w:usb2="00000000" w:usb3="00000000" w:csb0="00000000" w:csb1="00000000"/>
  </w:font>
  <w:font w:name="新宋体">
    <w:panose1 w:val="02010609030101010101"/>
    <w:charset w:val="86"/>
    <w:family w:val="modern"/>
    <w:pitch w:val="default"/>
    <w:sig w:usb0="00000003" w:usb1="288F0000" w:usb2="00000006" w:usb3="00000000" w:csb0="00040001" w:csb1="00000000"/>
    <w:embedRegular r:id="rId5" w:fontKey="{63919F30-3CDF-4B57-A0A6-64D50BA7BD20}"/>
  </w:font>
  <w:font w:name="华文中宋">
    <w:panose1 w:val="02010600040101010101"/>
    <w:charset w:val="86"/>
    <w:family w:val="auto"/>
    <w:pitch w:val="default"/>
    <w:sig w:usb0="00000287" w:usb1="080F0000" w:usb2="00000000" w:usb3="00000000" w:csb0="0004009F" w:csb1="DFD70000"/>
    <w:embedRegular r:id="rId6" w:fontKey="{09E093B0-65F8-475F-B723-05CEEC301B4F}"/>
  </w:font>
  <w:font w:name="Segoe UI Symbol">
    <w:panose1 w:val="020B0502040204020203"/>
    <w:charset w:val="00"/>
    <w:family w:val="swiss"/>
    <w:pitch w:val="default"/>
    <w:sig w:usb0="8000006F" w:usb1="1200FBEF" w:usb2="0064C000" w:usb3="00000002" w:csb0="00000001" w:csb1="40000000"/>
    <w:embedRegular r:id="rId7" w:fontKey="{1771F1CC-953D-4A64-A031-A61167B1DA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BF320">
    <w:pPr>
      <w:pStyle w:val="2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D9C27">
    <w:pPr>
      <w:pStyle w:val="2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51D314">
                          <w:pPr>
                            <w:pStyle w:val="2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551D314">
                    <w:pPr>
                      <w:pStyle w:val="2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55621">
    <w:pPr>
      <w:pStyle w:val="22"/>
      <w:tabs>
        <w:tab w:val="clear" w:pos="4153"/>
      </w:tabs>
      <w:jc w:val="center"/>
    </w:pPr>
    <w:r>
      <w:rPr>
        <w:sz w:val="18"/>
      </w:rPr>
      <mc:AlternateContent>
        <mc:Choice Requires="wps">
          <w:drawing>
            <wp:anchor distT="0" distB="0" distL="114300" distR="114300" simplePos="0" relativeHeight="251664384" behindDoc="0" locked="0" layoutInCell="1" allowOverlap="1">
              <wp:simplePos x="0" y="0"/>
              <wp:positionH relativeFrom="margin">
                <wp:posOffset>2311400</wp:posOffset>
              </wp:positionH>
              <wp:positionV relativeFrom="paragraph">
                <wp:posOffset>-29845</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EF8B4F">
                          <w:pPr>
                            <w:pStyle w:val="2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82pt;margin-top:-2.35pt;height:144pt;width:144pt;mso-position-horizontal-relative:margin;mso-wrap-style:none;z-index:251664384;mso-width-relative:page;mso-height-relative:page;" filled="f" stroked="f" coordsize="21600,21600" o:gfxdata="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a/7ftgAAAAKAQAADwAAAAAAAAABACAAAAAiAAAAZHJzL2Rvd25yZXYueG1s&#10;UEsBAhQAFAAAAAgAh07iQDCJEl4xAgAAYQQAAA4AAAAAAAAAAQAgAAAAJwEAAGRycy9lMm9Eb2Mu&#10;eG1sUEsFBgAAAAAGAAYAWQEAAMoFAAAAAA==&#10;">
              <v:fill on="f" focussize="0,0"/>
              <v:stroke on="f" weight="0.5pt"/>
              <v:imagedata o:title=""/>
              <o:lock v:ext="edit" aspectratio="f"/>
              <v:textbox inset="0mm,0mm,0mm,0mm" style="mso-fit-shape-to-text:t;">
                <w:txbxContent>
                  <w:p w14:paraId="23EF8B4F">
                    <w:pPr>
                      <w:pStyle w:val="2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E22FF">
    <w:pPr>
      <w:pStyle w:val="2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039C9D">
                          <w:pPr>
                            <w:pStyle w:val="2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0E039C9D">
                    <w:pPr>
                      <w:pStyle w:val="2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24C12">
    <w:pPr>
      <w:pStyle w:val="22"/>
      <w:jc w:val="center"/>
    </w:pPr>
    <w:r>
      <w:rPr>
        <w:sz w:val="18"/>
      </w:rPr>
      <mc:AlternateContent>
        <mc:Choice Requires="wps">
          <w:drawing>
            <wp:anchor distT="0" distB="0" distL="114300" distR="114300" simplePos="0" relativeHeight="251665408" behindDoc="0" locked="0" layoutInCell="1" allowOverlap="1">
              <wp:simplePos x="0" y="0"/>
              <wp:positionH relativeFrom="margin">
                <wp:posOffset>2216150</wp:posOffset>
              </wp:positionH>
              <wp:positionV relativeFrom="paragraph">
                <wp:posOffset>-20320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D91C80">
                          <w:pPr>
                            <w:pStyle w:val="22"/>
                            <w:jc w:val="both"/>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74.5pt;margin-top:-1.6pt;height:144pt;width:144pt;mso-position-horizontal-relative:margin;mso-wrap-style:none;z-index:251665408;mso-width-relative:page;mso-height-relative:page;" filled="f" stroked="f" coordsize="21600,21600" o:gfxdata="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epasdgAAAAKAQAADwAAAAAAAAABACAAAAAiAAAAZHJzL2Rvd25yZXYueG1s&#10;UEsBAhQAFAAAAAgAh07iQKmor5UxAgAAYwQAAA4AAAAAAAAAAQAgAAAAJwEAAGRycy9lMm9Eb2Mu&#10;eG1sUEsFBgAAAAAGAAYAWQEAAMoFAAAAAA==&#10;">
              <v:fill on="f" focussize="0,0"/>
              <v:stroke on="f" weight="0.5pt"/>
              <v:imagedata o:title=""/>
              <o:lock v:ext="edit" aspectratio="f"/>
              <v:textbox inset="0mm,0mm,0mm,0mm" style="mso-fit-shape-to-text:t;">
                <w:txbxContent>
                  <w:p w14:paraId="7CD91C80">
                    <w:pPr>
                      <w:pStyle w:val="22"/>
                      <w:jc w:val="both"/>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DA715">
    <w:pPr>
      <w:pStyle w:val="2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524CB3">
                          <w:pPr>
                            <w:pStyle w:val="2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A524CB3">
                    <w:pPr>
                      <w:pStyle w:val="2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9E972">
    <w:pPr>
      <w:pStyle w:val="2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A72805">
                          <w:pPr>
                            <w:pStyle w:val="2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0A72805">
                    <w:pPr>
                      <w:pStyle w:val="2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0742D">
    <w:pPr>
      <w:pStyle w:val="12"/>
      <w:pBdr>
        <w:bottom w:val="thinThickSmallGap" w:color="800000" w:sz="12" w:space="0"/>
      </w:pBdr>
      <w:spacing w:line="50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98AB1">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46C63">
    <w:pPr>
      <w:pStyle w:val="12"/>
      <w:pBdr>
        <w:bottom w:val="none" w:color="auto" w:sz="0" w:space="0"/>
      </w:pBdr>
      <w:spacing w:line="500" w:lineRule="exact"/>
      <w:rPr>
        <w:rFonts w:ascii="新宋体" w:hAnsi="新宋体"/>
        <w:color w:val="C0C0C0"/>
        <w:w w:val="130"/>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71ABA">
    <w:pPr>
      <w:pStyle w:val="12"/>
      <w:pBdr>
        <w:bottom w:val="thinThickSmallGap" w:color="800000" w:sz="12" w:space="0"/>
      </w:pBdr>
      <w:spacing w:line="500" w:lineRule="exact"/>
    </w:pPr>
    <w:r>
      <w:rPr>
        <w:rFonts w:hint="eastAsia" w:cs="宋体"/>
        <w:sz w:val="16"/>
        <w:szCs w:val="16"/>
        <w:lang w:eastAsia="zh-CN"/>
      </w:rPr>
      <w:t>河南省科学院材料基因工程研究所河南省科学院材料创新基地材料大数据与数字化设计平台（一期）建设项目包</w:t>
    </w:r>
    <w:r>
      <w:rPr>
        <w:rFonts w:hint="eastAsia" w:cs="宋体"/>
        <w:sz w:val="16"/>
        <w:szCs w:val="16"/>
        <w:lang w:val="en-US" w:eastAsia="zh-CN"/>
      </w:rPr>
      <w:t>2三次</w:t>
    </w:r>
    <w:r>
      <w:rPr>
        <w:rFonts w:hint="eastAsia" w:cs="宋体"/>
        <w:sz w:val="16"/>
        <w:szCs w:val="16"/>
      </w:rPr>
      <w:t>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9D0FE">
    <w:pPr>
      <w:pStyle w:val="12"/>
      <w:pBdr>
        <w:bottom w:val="thinThickSmallGap" w:color="800000" w:sz="12" w:space="0"/>
      </w:pBdr>
      <w:spacing w:line="500" w:lineRule="exact"/>
      <w:rPr>
        <w:rFonts w:ascii="新宋体" w:hAnsi="新宋体"/>
        <w:color w:val="C0C0C0"/>
        <w:w w:val="130"/>
        <w:sz w:val="16"/>
        <w:szCs w:val="16"/>
      </w:rPr>
    </w:pPr>
    <w:r>
      <w:rPr>
        <w:rFonts w:hint="eastAsia" w:cs="宋体"/>
        <w:sz w:val="16"/>
        <w:szCs w:val="16"/>
        <w:lang w:eastAsia="zh-CN"/>
      </w:rPr>
      <w:t>河南省科学院材料基因工程研究所河南省科学院材料创新基地材料大数据与数字化设计平台（一期）建设项目包</w:t>
    </w:r>
    <w:r>
      <w:rPr>
        <w:rFonts w:hint="eastAsia" w:cs="宋体"/>
        <w:sz w:val="16"/>
        <w:szCs w:val="16"/>
        <w:lang w:val="en-US" w:eastAsia="zh-CN"/>
      </w:rPr>
      <w:t>2三次</w:t>
    </w:r>
    <w:r>
      <w:rPr>
        <w:rFonts w:hint="eastAsia" w:cs="宋体"/>
        <w:sz w:val="16"/>
        <w:szCs w:val="16"/>
      </w:rPr>
      <w:t>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2C65E">
    <w:pPr>
      <w:pStyle w:val="12"/>
      <w:pBdr>
        <w:bottom w:val="thinThickSmallGap" w:color="800000" w:sz="12" w:space="0"/>
      </w:pBdr>
      <w:spacing w:line="500" w:lineRule="exact"/>
    </w:pPr>
    <w:r>
      <w:rPr>
        <w:rFonts w:hint="eastAsia" w:cs="宋体"/>
        <w:sz w:val="16"/>
        <w:szCs w:val="16"/>
        <w:lang w:eastAsia="zh-CN"/>
      </w:rPr>
      <w:t>河南省科学院材料基因工程研究所河南省科学院材料创新基地材料大数据与数字化设计平台（一期）建设项目包</w:t>
    </w:r>
    <w:r>
      <w:rPr>
        <w:rFonts w:hint="eastAsia" w:cs="宋体"/>
        <w:sz w:val="16"/>
        <w:szCs w:val="16"/>
        <w:lang w:val="en-US" w:eastAsia="zh-CN"/>
      </w:rPr>
      <w:t>2三次</w:t>
    </w:r>
    <w:r>
      <w:rPr>
        <w:rFonts w:hint="eastAsia" w:cs="宋体"/>
        <w:sz w:val="16"/>
        <w:szCs w:val="16"/>
      </w:rPr>
      <w:t>招标文件</w:t>
    </w:r>
  </w:p>
  <w:p w14:paraId="6D21F2EC">
    <w:pPr>
      <w:pStyle w:val="24"/>
      <w:pBdr>
        <w:bottom w:val="none" w:color="auto" w:sz="0" w:space="1"/>
      </w:pBdr>
      <w:rPr>
        <w:rFonts w:hint="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D872E6"/>
    <w:multiLevelType w:val="singleLevel"/>
    <w:tmpl w:val="8ED872E6"/>
    <w:lvl w:ilvl="0" w:tentative="0">
      <w:start w:val="1"/>
      <w:numFmt w:val="decimal"/>
      <w:suff w:val="nothing"/>
      <w:lvlText w:val="%1、"/>
      <w:lvlJc w:val="left"/>
    </w:lvl>
  </w:abstractNum>
  <w:abstractNum w:abstractNumId="1">
    <w:nsid w:val="9FE6DE5B"/>
    <w:multiLevelType w:val="multilevel"/>
    <w:tmpl w:val="9FE6DE5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A30921F7"/>
    <w:multiLevelType w:val="singleLevel"/>
    <w:tmpl w:val="A30921F7"/>
    <w:lvl w:ilvl="0" w:tentative="0">
      <w:start w:val="1"/>
      <w:numFmt w:val="decimal"/>
      <w:lvlText w:val="%1."/>
      <w:lvlJc w:val="left"/>
      <w:pPr>
        <w:ind w:left="425" w:hanging="425"/>
      </w:pPr>
      <w:rPr>
        <w:rFonts w:hint="default"/>
      </w:rPr>
    </w:lvl>
  </w:abstractNum>
  <w:abstractNum w:abstractNumId="3">
    <w:nsid w:val="A8889EFC"/>
    <w:multiLevelType w:val="singleLevel"/>
    <w:tmpl w:val="A8889EFC"/>
    <w:lvl w:ilvl="0" w:tentative="0">
      <w:start w:val="2"/>
      <w:numFmt w:val="chineseCounting"/>
      <w:suff w:val="nothing"/>
      <w:lvlText w:val="（%1）"/>
      <w:lvlJc w:val="left"/>
      <w:rPr>
        <w:rFonts w:hint="eastAsia"/>
      </w:rPr>
    </w:lvl>
  </w:abstractNum>
  <w:abstractNum w:abstractNumId="4">
    <w:nsid w:val="AD3BA99F"/>
    <w:multiLevelType w:val="singleLevel"/>
    <w:tmpl w:val="AD3BA99F"/>
    <w:lvl w:ilvl="0" w:tentative="0">
      <w:start w:val="3"/>
      <w:numFmt w:val="chineseCounting"/>
      <w:suff w:val="space"/>
      <w:lvlText w:val="第%1节"/>
      <w:lvlJc w:val="left"/>
      <w:rPr>
        <w:rFonts w:hint="eastAsia"/>
      </w:rPr>
    </w:lvl>
  </w:abstractNum>
  <w:abstractNum w:abstractNumId="5">
    <w:nsid w:val="C7D7288F"/>
    <w:multiLevelType w:val="singleLevel"/>
    <w:tmpl w:val="C7D7288F"/>
    <w:lvl w:ilvl="0" w:tentative="0">
      <w:start w:val="1"/>
      <w:numFmt w:val="decimal"/>
      <w:lvlText w:val="%1."/>
      <w:lvlJc w:val="left"/>
      <w:pPr>
        <w:tabs>
          <w:tab w:val="left" w:pos="312"/>
        </w:tabs>
      </w:pPr>
    </w:lvl>
  </w:abstractNum>
  <w:abstractNum w:abstractNumId="6">
    <w:nsid w:val="CFE7C3F8"/>
    <w:multiLevelType w:val="singleLevel"/>
    <w:tmpl w:val="CFE7C3F8"/>
    <w:lvl w:ilvl="0" w:tentative="0">
      <w:start w:val="1"/>
      <w:numFmt w:val="decimal"/>
      <w:suff w:val="nothing"/>
      <w:lvlText w:val="（%1）"/>
      <w:lvlJc w:val="left"/>
    </w:lvl>
  </w:abstractNum>
  <w:abstractNum w:abstractNumId="7">
    <w:nsid w:val="D4BFB0A3"/>
    <w:multiLevelType w:val="multilevel"/>
    <w:tmpl w:val="D4BFB0A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DDECD3BC"/>
    <w:multiLevelType w:val="singleLevel"/>
    <w:tmpl w:val="DDECD3BC"/>
    <w:lvl w:ilvl="0" w:tentative="0">
      <w:start w:val="6"/>
      <w:numFmt w:val="decimal"/>
      <w:suff w:val="space"/>
      <w:lvlText w:val="%1."/>
      <w:lvlJc w:val="left"/>
    </w:lvl>
  </w:abstractNum>
  <w:abstractNum w:abstractNumId="9">
    <w:nsid w:val="DE759F4B"/>
    <w:multiLevelType w:val="singleLevel"/>
    <w:tmpl w:val="DE759F4B"/>
    <w:lvl w:ilvl="0" w:tentative="0">
      <w:start w:val="2"/>
      <w:numFmt w:val="decimal"/>
      <w:suff w:val="space"/>
      <w:lvlText w:val="%1."/>
      <w:lvlJc w:val="left"/>
    </w:lvl>
  </w:abstractNum>
  <w:abstractNum w:abstractNumId="10">
    <w:nsid w:val="E209D442"/>
    <w:multiLevelType w:val="singleLevel"/>
    <w:tmpl w:val="E209D442"/>
    <w:lvl w:ilvl="0" w:tentative="0">
      <w:start w:val="1"/>
      <w:numFmt w:val="chineseCounting"/>
      <w:suff w:val="nothing"/>
      <w:lvlText w:val="%1、"/>
      <w:lvlJc w:val="left"/>
      <w:pPr>
        <w:ind w:left="0" w:firstLine="420"/>
      </w:pPr>
      <w:rPr>
        <w:rFonts w:hint="eastAsia"/>
      </w:rPr>
    </w:lvl>
  </w:abstractNum>
  <w:abstractNum w:abstractNumId="11">
    <w:nsid w:val="ECCD0613"/>
    <w:multiLevelType w:val="singleLevel"/>
    <w:tmpl w:val="ECCD0613"/>
    <w:lvl w:ilvl="0" w:tentative="0">
      <w:start w:val="1"/>
      <w:numFmt w:val="decimal"/>
      <w:suff w:val="nothing"/>
      <w:lvlText w:val="%1、"/>
      <w:lvlJc w:val="left"/>
    </w:lvl>
  </w:abstractNum>
  <w:abstractNum w:abstractNumId="12">
    <w:nsid w:val="F93CA531"/>
    <w:multiLevelType w:val="singleLevel"/>
    <w:tmpl w:val="F93CA531"/>
    <w:lvl w:ilvl="0" w:tentative="0">
      <w:start w:val="2"/>
      <w:numFmt w:val="chineseCounting"/>
      <w:suff w:val="nothing"/>
      <w:lvlText w:val="（%1）"/>
      <w:lvlJc w:val="left"/>
      <w:rPr>
        <w:rFonts w:hint="eastAsia"/>
      </w:rPr>
    </w:lvl>
  </w:abstractNum>
  <w:abstractNum w:abstractNumId="13">
    <w:nsid w:val="FF9F6F70"/>
    <w:multiLevelType w:val="singleLevel"/>
    <w:tmpl w:val="FF9F6F70"/>
    <w:lvl w:ilvl="0" w:tentative="0">
      <w:start w:val="1"/>
      <w:numFmt w:val="decimal"/>
      <w:lvlText w:val="%1."/>
      <w:lvlJc w:val="left"/>
      <w:pPr>
        <w:tabs>
          <w:tab w:val="left" w:pos="312"/>
        </w:tabs>
      </w:pPr>
    </w:lvl>
  </w:abstractNum>
  <w:abstractNum w:abstractNumId="14">
    <w:nsid w:val="FFEFC674"/>
    <w:multiLevelType w:val="singleLevel"/>
    <w:tmpl w:val="FFEFC674"/>
    <w:lvl w:ilvl="0" w:tentative="0">
      <w:start w:val="1"/>
      <w:numFmt w:val="decimal"/>
      <w:suff w:val="nothing"/>
      <w:lvlText w:val="（%1）"/>
      <w:lvlJc w:val="left"/>
    </w:lvl>
  </w:abstractNum>
  <w:abstractNum w:abstractNumId="15">
    <w:nsid w:val="FFFFFFFB"/>
    <w:multiLevelType w:val="multilevel"/>
    <w:tmpl w:val="FFFFFFFB"/>
    <w:lvl w:ilvl="0" w:tentative="0">
      <w:start w:val="1"/>
      <w:numFmt w:val="chineseCountingThousand"/>
      <w:pStyle w:val="2"/>
      <w:lvlText w:val="%1."/>
      <w:legacy w:legacy="1" w:legacySpace="113" w:legacyIndent="425"/>
      <w:lvlJc w:val="left"/>
      <w:pPr>
        <w:ind w:left="425" w:hanging="425"/>
      </w:pPr>
      <w:rPr>
        <w:rFonts w:cs="Times New Roman"/>
      </w:rPr>
    </w:lvl>
    <w:lvl w:ilvl="1" w:tentative="0">
      <w:start w:val="1"/>
      <w:numFmt w:val="decimal"/>
      <w:lvlText w:val="%2."/>
      <w:legacy w:legacy="1" w:legacySpace="0" w:legacyIndent="425"/>
      <w:lvlJc w:val="left"/>
      <w:pPr>
        <w:ind w:left="851" w:hanging="425"/>
      </w:pPr>
      <w:rPr>
        <w:rFonts w:cs="Times New Roman"/>
      </w:rPr>
    </w:lvl>
    <w:lvl w:ilvl="2" w:tentative="0">
      <w:start w:val="1"/>
      <w:numFmt w:val="none"/>
      <w:pStyle w:val="4"/>
      <w:suff w:val="nothing"/>
      <w:lvlText w:val=""/>
      <w:lvlJc w:val="left"/>
      <w:pPr>
        <w:ind w:left="851" w:hanging="425"/>
      </w:pPr>
      <w:rPr>
        <w:rFonts w:cs="Times New Roman"/>
      </w:rPr>
    </w:lvl>
    <w:lvl w:ilvl="3" w:tentative="0">
      <w:start w:val="1"/>
      <w:numFmt w:val="lowerLetter"/>
      <w:pStyle w:val="5"/>
      <w:lvlText w:val="%4)"/>
      <w:legacy w:legacy="1" w:legacySpace="0" w:legacyIndent="425"/>
      <w:lvlJc w:val="left"/>
      <w:pPr>
        <w:ind w:left="1700" w:hanging="425"/>
      </w:pPr>
      <w:rPr>
        <w:rFonts w:cs="Times New Roman"/>
      </w:rPr>
    </w:lvl>
    <w:lvl w:ilvl="4" w:tentative="0">
      <w:start w:val="1"/>
      <w:numFmt w:val="decimal"/>
      <w:pStyle w:val="6"/>
      <w:lvlText w:val="(%5)"/>
      <w:legacy w:legacy="1" w:legacySpace="0" w:legacyIndent="425"/>
      <w:lvlJc w:val="left"/>
      <w:pPr>
        <w:ind w:left="2125" w:hanging="425"/>
      </w:pPr>
      <w:rPr>
        <w:rFonts w:cs="Times New Roman"/>
      </w:rPr>
    </w:lvl>
    <w:lvl w:ilvl="5" w:tentative="0">
      <w:start w:val="1"/>
      <w:numFmt w:val="lowerLetter"/>
      <w:pStyle w:val="7"/>
      <w:lvlText w:val="(%6)"/>
      <w:legacy w:legacy="1" w:legacySpace="0" w:legacyIndent="425"/>
      <w:lvlJc w:val="left"/>
      <w:pPr>
        <w:ind w:left="2550" w:hanging="425"/>
      </w:pPr>
      <w:rPr>
        <w:rFonts w:cs="Times New Roman"/>
      </w:rPr>
    </w:lvl>
    <w:lvl w:ilvl="6" w:tentative="0">
      <w:start w:val="1"/>
      <w:numFmt w:val="lowerRoman"/>
      <w:pStyle w:val="8"/>
      <w:lvlText w:val="(%7)"/>
      <w:legacy w:legacy="1" w:legacySpace="0" w:legacyIndent="425"/>
      <w:lvlJc w:val="left"/>
      <w:pPr>
        <w:ind w:left="2975" w:hanging="425"/>
      </w:pPr>
      <w:rPr>
        <w:rFonts w:cs="Times New Roman"/>
      </w:rPr>
    </w:lvl>
    <w:lvl w:ilvl="7" w:tentative="0">
      <w:start w:val="1"/>
      <w:numFmt w:val="lowerLetter"/>
      <w:pStyle w:val="9"/>
      <w:lvlText w:val="(%8)"/>
      <w:legacy w:legacy="1" w:legacySpace="0" w:legacyIndent="425"/>
      <w:lvlJc w:val="left"/>
      <w:pPr>
        <w:ind w:left="3400" w:hanging="425"/>
      </w:pPr>
      <w:rPr>
        <w:rFonts w:cs="Times New Roman"/>
      </w:rPr>
    </w:lvl>
    <w:lvl w:ilvl="8" w:tentative="0">
      <w:start w:val="1"/>
      <w:numFmt w:val="lowerRoman"/>
      <w:pStyle w:val="10"/>
      <w:lvlText w:val="(%9)"/>
      <w:legacy w:legacy="1" w:legacySpace="0" w:legacyIndent="425"/>
      <w:lvlJc w:val="left"/>
      <w:pPr>
        <w:ind w:left="3825" w:hanging="425"/>
      </w:pPr>
      <w:rPr>
        <w:rFonts w:cs="Times New Roman"/>
      </w:rPr>
    </w:lvl>
  </w:abstractNum>
  <w:abstractNum w:abstractNumId="16">
    <w:nsid w:val="1B6771E7"/>
    <w:multiLevelType w:val="singleLevel"/>
    <w:tmpl w:val="1B6771E7"/>
    <w:lvl w:ilvl="0" w:tentative="0">
      <w:start w:val="1"/>
      <w:numFmt w:val="decimal"/>
      <w:lvlText w:val="%1."/>
      <w:lvlJc w:val="left"/>
      <w:pPr>
        <w:tabs>
          <w:tab w:val="left" w:pos="312"/>
        </w:tabs>
      </w:pPr>
    </w:lvl>
  </w:abstractNum>
  <w:abstractNum w:abstractNumId="17">
    <w:nsid w:val="1D59F89A"/>
    <w:multiLevelType w:val="singleLevel"/>
    <w:tmpl w:val="1D59F89A"/>
    <w:lvl w:ilvl="0" w:tentative="0">
      <w:start w:val="1"/>
      <w:numFmt w:val="decimal"/>
      <w:lvlText w:val="%1."/>
      <w:lvlJc w:val="left"/>
      <w:pPr>
        <w:tabs>
          <w:tab w:val="left" w:pos="312"/>
        </w:tabs>
      </w:pPr>
    </w:lvl>
  </w:abstractNum>
  <w:abstractNum w:abstractNumId="18">
    <w:nsid w:val="33DD3C57"/>
    <w:multiLevelType w:val="singleLevel"/>
    <w:tmpl w:val="33DD3C57"/>
    <w:lvl w:ilvl="0" w:tentative="0">
      <w:start w:val="7"/>
      <w:numFmt w:val="decimal"/>
      <w:suff w:val="nothing"/>
      <w:lvlText w:val="（%1）"/>
      <w:lvlJc w:val="left"/>
    </w:lvl>
  </w:abstractNum>
  <w:abstractNum w:abstractNumId="19">
    <w:nsid w:val="3C22C461"/>
    <w:multiLevelType w:val="multilevel"/>
    <w:tmpl w:val="3C22C46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49EB3EA6"/>
    <w:multiLevelType w:val="singleLevel"/>
    <w:tmpl w:val="49EB3EA6"/>
    <w:lvl w:ilvl="0" w:tentative="0">
      <w:start w:val="1"/>
      <w:numFmt w:val="decimal"/>
      <w:lvlText w:val="%1."/>
      <w:lvlJc w:val="left"/>
      <w:pPr>
        <w:ind w:left="425" w:hanging="425"/>
      </w:pPr>
      <w:rPr>
        <w:rFonts w:hint="default"/>
      </w:rPr>
    </w:lvl>
  </w:abstractNum>
  <w:abstractNum w:abstractNumId="21">
    <w:nsid w:val="4A4BAD4C"/>
    <w:multiLevelType w:val="singleLevel"/>
    <w:tmpl w:val="4A4BAD4C"/>
    <w:lvl w:ilvl="0" w:tentative="0">
      <w:start w:val="1"/>
      <w:numFmt w:val="decimal"/>
      <w:lvlText w:val="%1."/>
      <w:lvlJc w:val="left"/>
      <w:pPr>
        <w:tabs>
          <w:tab w:val="left" w:pos="312"/>
        </w:tabs>
      </w:pPr>
    </w:lvl>
  </w:abstractNum>
  <w:abstractNum w:abstractNumId="22">
    <w:nsid w:val="4F3FF634"/>
    <w:multiLevelType w:val="singleLevel"/>
    <w:tmpl w:val="4F3FF634"/>
    <w:lvl w:ilvl="0" w:tentative="0">
      <w:start w:val="2"/>
      <w:numFmt w:val="decimal"/>
      <w:lvlText w:val="%1."/>
      <w:lvlJc w:val="left"/>
      <w:pPr>
        <w:tabs>
          <w:tab w:val="left" w:pos="312"/>
        </w:tabs>
      </w:pPr>
    </w:lvl>
  </w:abstractNum>
  <w:abstractNum w:abstractNumId="23">
    <w:nsid w:val="61BE4523"/>
    <w:multiLevelType w:val="singleLevel"/>
    <w:tmpl w:val="61BE4523"/>
    <w:lvl w:ilvl="0" w:tentative="0">
      <w:start w:val="3"/>
      <w:numFmt w:val="chineseCounting"/>
      <w:suff w:val="space"/>
      <w:lvlText w:val="第%1章"/>
      <w:lvlJc w:val="left"/>
      <w:rPr>
        <w:rFonts w:hint="eastAsia"/>
      </w:rPr>
    </w:lvl>
  </w:abstractNum>
  <w:abstractNum w:abstractNumId="24">
    <w:nsid w:val="6EE40928"/>
    <w:multiLevelType w:val="singleLevel"/>
    <w:tmpl w:val="6EE40928"/>
    <w:lvl w:ilvl="0" w:tentative="0">
      <w:start w:val="19"/>
      <w:numFmt w:val="decimal"/>
      <w:suff w:val="space"/>
      <w:lvlText w:val="%1."/>
      <w:lvlJc w:val="left"/>
    </w:lvl>
  </w:abstractNum>
  <w:abstractNum w:abstractNumId="25">
    <w:nsid w:val="7A0F6431"/>
    <w:multiLevelType w:val="singleLevel"/>
    <w:tmpl w:val="7A0F6431"/>
    <w:lvl w:ilvl="0" w:tentative="0">
      <w:start w:val="1"/>
      <w:numFmt w:val="decimal"/>
      <w:suff w:val="space"/>
      <w:lvlText w:val="%1."/>
      <w:lvlJc w:val="left"/>
    </w:lvl>
  </w:abstractNum>
  <w:num w:numId="1">
    <w:abstractNumId w:val="15"/>
  </w:num>
  <w:num w:numId="2">
    <w:abstractNumId w:val="21"/>
  </w:num>
  <w:num w:numId="3">
    <w:abstractNumId w:val="22"/>
  </w:num>
  <w:num w:numId="4">
    <w:abstractNumId w:val="23"/>
  </w:num>
  <w:num w:numId="5">
    <w:abstractNumId w:val="2"/>
  </w:num>
  <w:num w:numId="6">
    <w:abstractNumId w:val="20"/>
  </w:num>
  <w:num w:numId="7">
    <w:abstractNumId w:val="25"/>
  </w:num>
  <w:num w:numId="8">
    <w:abstractNumId w:val="6"/>
  </w:num>
  <w:num w:numId="9">
    <w:abstractNumId w:val="18"/>
  </w:num>
  <w:num w:numId="10">
    <w:abstractNumId w:val="14"/>
  </w:num>
  <w:num w:numId="11">
    <w:abstractNumId w:val="9"/>
  </w:num>
  <w:num w:numId="12">
    <w:abstractNumId w:val="8"/>
  </w:num>
  <w:num w:numId="13">
    <w:abstractNumId w:val="24"/>
  </w:num>
  <w:num w:numId="14">
    <w:abstractNumId w:val="4"/>
  </w:num>
  <w:num w:numId="15">
    <w:abstractNumId w:val="5"/>
  </w:num>
  <w:num w:numId="16">
    <w:abstractNumId w:val="10"/>
  </w:num>
  <w:num w:numId="17">
    <w:abstractNumId w:val="7"/>
  </w:num>
  <w:num w:numId="18">
    <w:abstractNumId w:val="19"/>
  </w:num>
  <w:num w:numId="19">
    <w:abstractNumId w:val="1"/>
  </w:num>
  <w:num w:numId="20">
    <w:abstractNumId w:val="12"/>
  </w:num>
  <w:num w:numId="21">
    <w:abstractNumId w:val="17"/>
  </w:num>
  <w:num w:numId="22">
    <w:abstractNumId w:val="16"/>
  </w:num>
  <w:num w:numId="23">
    <w:abstractNumId w:val="11"/>
  </w:num>
  <w:num w:numId="24">
    <w:abstractNumId w:val="0"/>
  </w:num>
  <w:num w:numId="25">
    <w:abstractNumId w:val="3"/>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hideSpellingErrors/>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IzY2Q5MzE0NTQ4MDNjZDllMjRmOThhMDVkMjMyZmEifQ=="/>
  </w:docVars>
  <w:rsids>
    <w:rsidRoot w:val="00A633CF"/>
    <w:rsid w:val="000110EC"/>
    <w:rsid w:val="0005617D"/>
    <w:rsid w:val="000A47AD"/>
    <w:rsid w:val="000A4D37"/>
    <w:rsid w:val="000E3725"/>
    <w:rsid w:val="0013496C"/>
    <w:rsid w:val="0014001B"/>
    <w:rsid w:val="001521E2"/>
    <w:rsid w:val="001539B0"/>
    <w:rsid w:val="001B3916"/>
    <w:rsid w:val="00201689"/>
    <w:rsid w:val="00223F74"/>
    <w:rsid w:val="002559E5"/>
    <w:rsid w:val="002A30A2"/>
    <w:rsid w:val="002B1F5B"/>
    <w:rsid w:val="002C7610"/>
    <w:rsid w:val="002F611A"/>
    <w:rsid w:val="003040DD"/>
    <w:rsid w:val="00320650"/>
    <w:rsid w:val="00357868"/>
    <w:rsid w:val="00366F1F"/>
    <w:rsid w:val="00377E95"/>
    <w:rsid w:val="00392853"/>
    <w:rsid w:val="0039781F"/>
    <w:rsid w:val="003E16F9"/>
    <w:rsid w:val="003E508B"/>
    <w:rsid w:val="004173E3"/>
    <w:rsid w:val="004600B8"/>
    <w:rsid w:val="004E0DFB"/>
    <w:rsid w:val="005634CB"/>
    <w:rsid w:val="00564FFD"/>
    <w:rsid w:val="006078F7"/>
    <w:rsid w:val="00614BAE"/>
    <w:rsid w:val="00621011"/>
    <w:rsid w:val="006266AF"/>
    <w:rsid w:val="00631ED5"/>
    <w:rsid w:val="00647498"/>
    <w:rsid w:val="0066514F"/>
    <w:rsid w:val="006757F0"/>
    <w:rsid w:val="00680E68"/>
    <w:rsid w:val="006901BD"/>
    <w:rsid w:val="006C3353"/>
    <w:rsid w:val="00734F51"/>
    <w:rsid w:val="00744B09"/>
    <w:rsid w:val="007554C9"/>
    <w:rsid w:val="00771D0C"/>
    <w:rsid w:val="007A5CF7"/>
    <w:rsid w:val="00863B59"/>
    <w:rsid w:val="008A75B0"/>
    <w:rsid w:val="008D3405"/>
    <w:rsid w:val="00922254"/>
    <w:rsid w:val="009D064E"/>
    <w:rsid w:val="009D4DD5"/>
    <w:rsid w:val="009E779F"/>
    <w:rsid w:val="009F65E7"/>
    <w:rsid w:val="00A27975"/>
    <w:rsid w:val="00A35D5E"/>
    <w:rsid w:val="00A5130E"/>
    <w:rsid w:val="00A553AF"/>
    <w:rsid w:val="00A633CF"/>
    <w:rsid w:val="00A64B3E"/>
    <w:rsid w:val="00A73910"/>
    <w:rsid w:val="00A73A94"/>
    <w:rsid w:val="00A95C5D"/>
    <w:rsid w:val="00AA4573"/>
    <w:rsid w:val="00AB00C8"/>
    <w:rsid w:val="00AC5356"/>
    <w:rsid w:val="00AD228F"/>
    <w:rsid w:val="00B0721F"/>
    <w:rsid w:val="00B478ED"/>
    <w:rsid w:val="00B66B73"/>
    <w:rsid w:val="00BE6513"/>
    <w:rsid w:val="00BF0948"/>
    <w:rsid w:val="00BF0E19"/>
    <w:rsid w:val="00C528CE"/>
    <w:rsid w:val="00C621A8"/>
    <w:rsid w:val="00C90411"/>
    <w:rsid w:val="00C91302"/>
    <w:rsid w:val="00CA7EEA"/>
    <w:rsid w:val="00CD143B"/>
    <w:rsid w:val="00D04489"/>
    <w:rsid w:val="00D43F45"/>
    <w:rsid w:val="00D77693"/>
    <w:rsid w:val="00DC0447"/>
    <w:rsid w:val="00DD54DE"/>
    <w:rsid w:val="00DF19DB"/>
    <w:rsid w:val="00DF51CA"/>
    <w:rsid w:val="00E77597"/>
    <w:rsid w:val="00EC16B2"/>
    <w:rsid w:val="00ED17F0"/>
    <w:rsid w:val="00F116F8"/>
    <w:rsid w:val="00F52A8D"/>
    <w:rsid w:val="00F619A2"/>
    <w:rsid w:val="00F74110"/>
    <w:rsid w:val="00F920A6"/>
    <w:rsid w:val="010468FB"/>
    <w:rsid w:val="010F1DA1"/>
    <w:rsid w:val="011253ED"/>
    <w:rsid w:val="01235B0A"/>
    <w:rsid w:val="013B48B1"/>
    <w:rsid w:val="01401F5A"/>
    <w:rsid w:val="014C6B51"/>
    <w:rsid w:val="014F4893"/>
    <w:rsid w:val="015123B9"/>
    <w:rsid w:val="01620E31"/>
    <w:rsid w:val="01A12E93"/>
    <w:rsid w:val="01B3619C"/>
    <w:rsid w:val="01B96661"/>
    <w:rsid w:val="01C63133"/>
    <w:rsid w:val="01CA3F1A"/>
    <w:rsid w:val="01CC1A40"/>
    <w:rsid w:val="01E12691"/>
    <w:rsid w:val="01F312EA"/>
    <w:rsid w:val="023D293E"/>
    <w:rsid w:val="02425A7E"/>
    <w:rsid w:val="024831C2"/>
    <w:rsid w:val="02533F0F"/>
    <w:rsid w:val="025C1016"/>
    <w:rsid w:val="027F235A"/>
    <w:rsid w:val="02896512"/>
    <w:rsid w:val="029D217C"/>
    <w:rsid w:val="02A975E9"/>
    <w:rsid w:val="02E90A19"/>
    <w:rsid w:val="03201783"/>
    <w:rsid w:val="0320446A"/>
    <w:rsid w:val="0323483B"/>
    <w:rsid w:val="03241D96"/>
    <w:rsid w:val="033D72BC"/>
    <w:rsid w:val="037B196F"/>
    <w:rsid w:val="039667A9"/>
    <w:rsid w:val="039D04A3"/>
    <w:rsid w:val="03C82140"/>
    <w:rsid w:val="04194CE4"/>
    <w:rsid w:val="041B1889"/>
    <w:rsid w:val="04277401"/>
    <w:rsid w:val="04357D70"/>
    <w:rsid w:val="043E429C"/>
    <w:rsid w:val="04625914"/>
    <w:rsid w:val="04635C6F"/>
    <w:rsid w:val="048C038D"/>
    <w:rsid w:val="04954A53"/>
    <w:rsid w:val="049D2F22"/>
    <w:rsid w:val="04A25DB0"/>
    <w:rsid w:val="04B0389B"/>
    <w:rsid w:val="04B75381"/>
    <w:rsid w:val="04BC3FEE"/>
    <w:rsid w:val="04BC5360"/>
    <w:rsid w:val="04D01847"/>
    <w:rsid w:val="04D9665A"/>
    <w:rsid w:val="04DF5F2E"/>
    <w:rsid w:val="050B0AD1"/>
    <w:rsid w:val="053979D4"/>
    <w:rsid w:val="054166BC"/>
    <w:rsid w:val="054F58B7"/>
    <w:rsid w:val="05534B36"/>
    <w:rsid w:val="0568160E"/>
    <w:rsid w:val="056B57EE"/>
    <w:rsid w:val="056B77C2"/>
    <w:rsid w:val="05926AFC"/>
    <w:rsid w:val="05995C27"/>
    <w:rsid w:val="059C5BCD"/>
    <w:rsid w:val="059F550F"/>
    <w:rsid w:val="05BB24F7"/>
    <w:rsid w:val="061249F3"/>
    <w:rsid w:val="0623356C"/>
    <w:rsid w:val="06345CDA"/>
    <w:rsid w:val="06450847"/>
    <w:rsid w:val="06526B6D"/>
    <w:rsid w:val="065A1D10"/>
    <w:rsid w:val="065F53CD"/>
    <w:rsid w:val="066C559F"/>
    <w:rsid w:val="06A50AB1"/>
    <w:rsid w:val="06E65352"/>
    <w:rsid w:val="06EB6E0C"/>
    <w:rsid w:val="06F061D0"/>
    <w:rsid w:val="071149CE"/>
    <w:rsid w:val="0717375D"/>
    <w:rsid w:val="072C44ED"/>
    <w:rsid w:val="07320597"/>
    <w:rsid w:val="073C0ED4"/>
    <w:rsid w:val="07416A2C"/>
    <w:rsid w:val="075C28A3"/>
    <w:rsid w:val="07834FAC"/>
    <w:rsid w:val="07A663A6"/>
    <w:rsid w:val="07BF5211"/>
    <w:rsid w:val="07D909C7"/>
    <w:rsid w:val="07D93108"/>
    <w:rsid w:val="07DE427B"/>
    <w:rsid w:val="07E53700"/>
    <w:rsid w:val="07F13FAE"/>
    <w:rsid w:val="07F341CA"/>
    <w:rsid w:val="07F95559"/>
    <w:rsid w:val="0813172F"/>
    <w:rsid w:val="082500FC"/>
    <w:rsid w:val="08287FD9"/>
    <w:rsid w:val="0831084F"/>
    <w:rsid w:val="08320A23"/>
    <w:rsid w:val="08431076"/>
    <w:rsid w:val="084B239C"/>
    <w:rsid w:val="08507CAF"/>
    <w:rsid w:val="0858402D"/>
    <w:rsid w:val="08766BA9"/>
    <w:rsid w:val="087A30DD"/>
    <w:rsid w:val="087D5842"/>
    <w:rsid w:val="08A92ADB"/>
    <w:rsid w:val="08BE77B5"/>
    <w:rsid w:val="08C16F79"/>
    <w:rsid w:val="08D01723"/>
    <w:rsid w:val="08D35DAA"/>
    <w:rsid w:val="08D77648"/>
    <w:rsid w:val="08D86F1C"/>
    <w:rsid w:val="08DA08BA"/>
    <w:rsid w:val="08DB219A"/>
    <w:rsid w:val="08F36A04"/>
    <w:rsid w:val="091A7535"/>
    <w:rsid w:val="09202B8C"/>
    <w:rsid w:val="092263E9"/>
    <w:rsid w:val="0926237D"/>
    <w:rsid w:val="09287EA3"/>
    <w:rsid w:val="09324036"/>
    <w:rsid w:val="0946032A"/>
    <w:rsid w:val="09475E50"/>
    <w:rsid w:val="09524F20"/>
    <w:rsid w:val="096864F2"/>
    <w:rsid w:val="096D7AD9"/>
    <w:rsid w:val="096F4441"/>
    <w:rsid w:val="0972111F"/>
    <w:rsid w:val="09734AA1"/>
    <w:rsid w:val="09A33F5B"/>
    <w:rsid w:val="09B4048F"/>
    <w:rsid w:val="09D45DF8"/>
    <w:rsid w:val="09E15147"/>
    <w:rsid w:val="0A0A57FB"/>
    <w:rsid w:val="0A0B50CF"/>
    <w:rsid w:val="0A12645E"/>
    <w:rsid w:val="0A3B59B5"/>
    <w:rsid w:val="0A430D0D"/>
    <w:rsid w:val="0A472688"/>
    <w:rsid w:val="0A7100A0"/>
    <w:rsid w:val="0A7B4003"/>
    <w:rsid w:val="0ACF434F"/>
    <w:rsid w:val="0AD61B81"/>
    <w:rsid w:val="0ADC0886"/>
    <w:rsid w:val="0AE468D6"/>
    <w:rsid w:val="0AE71698"/>
    <w:rsid w:val="0AE9430C"/>
    <w:rsid w:val="0AFA5870"/>
    <w:rsid w:val="0B00275A"/>
    <w:rsid w:val="0B0F38F8"/>
    <w:rsid w:val="0B1C1D90"/>
    <w:rsid w:val="0B2A4EC5"/>
    <w:rsid w:val="0B3222C4"/>
    <w:rsid w:val="0B354AFA"/>
    <w:rsid w:val="0B753148"/>
    <w:rsid w:val="0B7D76AD"/>
    <w:rsid w:val="0B7E024F"/>
    <w:rsid w:val="0B9510F4"/>
    <w:rsid w:val="0B974E6D"/>
    <w:rsid w:val="0B9A722C"/>
    <w:rsid w:val="0BA457DB"/>
    <w:rsid w:val="0BAD2117"/>
    <w:rsid w:val="0BAD28E2"/>
    <w:rsid w:val="0BCA3494"/>
    <w:rsid w:val="0BD936D7"/>
    <w:rsid w:val="0BE715C2"/>
    <w:rsid w:val="0BF056CB"/>
    <w:rsid w:val="0BF51D33"/>
    <w:rsid w:val="0C0D15D3"/>
    <w:rsid w:val="0C25691C"/>
    <w:rsid w:val="0C267E1D"/>
    <w:rsid w:val="0C525237"/>
    <w:rsid w:val="0C547201"/>
    <w:rsid w:val="0C7B653C"/>
    <w:rsid w:val="0C8573BB"/>
    <w:rsid w:val="0C8A2C23"/>
    <w:rsid w:val="0C913FB2"/>
    <w:rsid w:val="0C9E7A71"/>
    <w:rsid w:val="0CBB026A"/>
    <w:rsid w:val="0CBD0903"/>
    <w:rsid w:val="0CBE53E2"/>
    <w:rsid w:val="0CD0741C"/>
    <w:rsid w:val="0D0522AA"/>
    <w:rsid w:val="0D1C7510"/>
    <w:rsid w:val="0D2114F4"/>
    <w:rsid w:val="0D330BC5"/>
    <w:rsid w:val="0D441024"/>
    <w:rsid w:val="0D58687D"/>
    <w:rsid w:val="0D613EA2"/>
    <w:rsid w:val="0D7B09F1"/>
    <w:rsid w:val="0D805053"/>
    <w:rsid w:val="0D933D59"/>
    <w:rsid w:val="0D9B08B8"/>
    <w:rsid w:val="0DD405FA"/>
    <w:rsid w:val="0E176739"/>
    <w:rsid w:val="0E1C3D4F"/>
    <w:rsid w:val="0E3177FA"/>
    <w:rsid w:val="0E743502"/>
    <w:rsid w:val="0E9164DF"/>
    <w:rsid w:val="0E922FED"/>
    <w:rsid w:val="0EA93835"/>
    <w:rsid w:val="0EC86A0D"/>
    <w:rsid w:val="0ED939EE"/>
    <w:rsid w:val="0EDD2542"/>
    <w:rsid w:val="0F0F11BE"/>
    <w:rsid w:val="0F1130C0"/>
    <w:rsid w:val="0F2C6F70"/>
    <w:rsid w:val="0F452E31"/>
    <w:rsid w:val="0F73513F"/>
    <w:rsid w:val="0F7554C5"/>
    <w:rsid w:val="0F890F70"/>
    <w:rsid w:val="0F9022FF"/>
    <w:rsid w:val="0FC63F72"/>
    <w:rsid w:val="0FC65D20"/>
    <w:rsid w:val="0FE151E5"/>
    <w:rsid w:val="0FE86907"/>
    <w:rsid w:val="0FEC465E"/>
    <w:rsid w:val="0FF83FE9"/>
    <w:rsid w:val="0FF860F6"/>
    <w:rsid w:val="0FFC1742"/>
    <w:rsid w:val="100D7B8C"/>
    <w:rsid w:val="1017020D"/>
    <w:rsid w:val="101953C4"/>
    <w:rsid w:val="103C68E7"/>
    <w:rsid w:val="10645539"/>
    <w:rsid w:val="106638CC"/>
    <w:rsid w:val="106816EF"/>
    <w:rsid w:val="106835DE"/>
    <w:rsid w:val="106B4B1A"/>
    <w:rsid w:val="106F63B8"/>
    <w:rsid w:val="107B4D5D"/>
    <w:rsid w:val="107C6D27"/>
    <w:rsid w:val="10881228"/>
    <w:rsid w:val="108A4FA0"/>
    <w:rsid w:val="108D5ABF"/>
    <w:rsid w:val="109531FC"/>
    <w:rsid w:val="10BB0D34"/>
    <w:rsid w:val="10BE4C49"/>
    <w:rsid w:val="10CD1330"/>
    <w:rsid w:val="10D34B99"/>
    <w:rsid w:val="10DB3A4D"/>
    <w:rsid w:val="10E32D0D"/>
    <w:rsid w:val="10E4150A"/>
    <w:rsid w:val="1112388E"/>
    <w:rsid w:val="112F7E8F"/>
    <w:rsid w:val="1134315E"/>
    <w:rsid w:val="11382DD4"/>
    <w:rsid w:val="113D0264"/>
    <w:rsid w:val="11802A9D"/>
    <w:rsid w:val="11847C41"/>
    <w:rsid w:val="118706F3"/>
    <w:rsid w:val="1189484A"/>
    <w:rsid w:val="11A93B4C"/>
    <w:rsid w:val="11AB1672"/>
    <w:rsid w:val="11D706B9"/>
    <w:rsid w:val="11EF7427"/>
    <w:rsid w:val="11F64A0A"/>
    <w:rsid w:val="11F823DD"/>
    <w:rsid w:val="11F8740F"/>
    <w:rsid w:val="121D1E44"/>
    <w:rsid w:val="122B6444"/>
    <w:rsid w:val="122E5E1C"/>
    <w:rsid w:val="122F67F7"/>
    <w:rsid w:val="12372F05"/>
    <w:rsid w:val="12490E8B"/>
    <w:rsid w:val="12511B36"/>
    <w:rsid w:val="126F08F1"/>
    <w:rsid w:val="127F5D48"/>
    <w:rsid w:val="129245E0"/>
    <w:rsid w:val="12B409FA"/>
    <w:rsid w:val="12BA2945"/>
    <w:rsid w:val="12BB27C8"/>
    <w:rsid w:val="12C0274B"/>
    <w:rsid w:val="12DE7825"/>
    <w:rsid w:val="12E070F9"/>
    <w:rsid w:val="12F02051"/>
    <w:rsid w:val="12F42BA4"/>
    <w:rsid w:val="12F62DC0"/>
    <w:rsid w:val="12FE1373"/>
    <w:rsid w:val="130A724C"/>
    <w:rsid w:val="131B2827"/>
    <w:rsid w:val="1324605E"/>
    <w:rsid w:val="1338461B"/>
    <w:rsid w:val="1340228E"/>
    <w:rsid w:val="135F7871"/>
    <w:rsid w:val="13742C42"/>
    <w:rsid w:val="13765CAF"/>
    <w:rsid w:val="137C5A85"/>
    <w:rsid w:val="13985C26"/>
    <w:rsid w:val="139B5716"/>
    <w:rsid w:val="13A46379"/>
    <w:rsid w:val="13B87084"/>
    <w:rsid w:val="13C54541"/>
    <w:rsid w:val="13C5585C"/>
    <w:rsid w:val="13C65F7C"/>
    <w:rsid w:val="13CE5AEB"/>
    <w:rsid w:val="13E744B7"/>
    <w:rsid w:val="14155180"/>
    <w:rsid w:val="142B0848"/>
    <w:rsid w:val="14305E5E"/>
    <w:rsid w:val="14333BA0"/>
    <w:rsid w:val="148D505F"/>
    <w:rsid w:val="149E54BE"/>
    <w:rsid w:val="14A779A2"/>
    <w:rsid w:val="14B44CE1"/>
    <w:rsid w:val="14B85614"/>
    <w:rsid w:val="14BA5D6D"/>
    <w:rsid w:val="14CC2FE4"/>
    <w:rsid w:val="14F5074A"/>
    <w:rsid w:val="14FA5606"/>
    <w:rsid w:val="14FE41AE"/>
    <w:rsid w:val="150C0679"/>
    <w:rsid w:val="152D3042"/>
    <w:rsid w:val="153176B5"/>
    <w:rsid w:val="155F3BEE"/>
    <w:rsid w:val="155F49F6"/>
    <w:rsid w:val="157B14CD"/>
    <w:rsid w:val="158A3C94"/>
    <w:rsid w:val="15A24B3A"/>
    <w:rsid w:val="15A57AFA"/>
    <w:rsid w:val="15B16692"/>
    <w:rsid w:val="15B4486D"/>
    <w:rsid w:val="15E1607E"/>
    <w:rsid w:val="15EC04AB"/>
    <w:rsid w:val="15FF01DE"/>
    <w:rsid w:val="166B13D0"/>
    <w:rsid w:val="16806AF2"/>
    <w:rsid w:val="16900E36"/>
    <w:rsid w:val="16976811"/>
    <w:rsid w:val="16AC5F27"/>
    <w:rsid w:val="16BA4105"/>
    <w:rsid w:val="16BE3BF5"/>
    <w:rsid w:val="16E178E4"/>
    <w:rsid w:val="16F2389F"/>
    <w:rsid w:val="16FC296F"/>
    <w:rsid w:val="170B180B"/>
    <w:rsid w:val="17273D33"/>
    <w:rsid w:val="173E4D36"/>
    <w:rsid w:val="174A03C5"/>
    <w:rsid w:val="17567B57"/>
    <w:rsid w:val="175B5C19"/>
    <w:rsid w:val="17852965"/>
    <w:rsid w:val="179B5CE4"/>
    <w:rsid w:val="179D6387"/>
    <w:rsid w:val="17A76437"/>
    <w:rsid w:val="17BB10F0"/>
    <w:rsid w:val="17C2573F"/>
    <w:rsid w:val="17CC0594"/>
    <w:rsid w:val="17D7406B"/>
    <w:rsid w:val="17D80CE7"/>
    <w:rsid w:val="17DF775F"/>
    <w:rsid w:val="17E057D7"/>
    <w:rsid w:val="17ED620D"/>
    <w:rsid w:val="17FF44C5"/>
    <w:rsid w:val="180E295A"/>
    <w:rsid w:val="1821268E"/>
    <w:rsid w:val="18285F1D"/>
    <w:rsid w:val="182D4AF6"/>
    <w:rsid w:val="183028D1"/>
    <w:rsid w:val="184E61EE"/>
    <w:rsid w:val="185365BF"/>
    <w:rsid w:val="185709D3"/>
    <w:rsid w:val="186E164B"/>
    <w:rsid w:val="18700F1F"/>
    <w:rsid w:val="1876005D"/>
    <w:rsid w:val="187F73B4"/>
    <w:rsid w:val="18916735"/>
    <w:rsid w:val="18AD0DAE"/>
    <w:rsid w:val="18BC31EC"/>
    <w:rsid w:val="18D47F0F"/>
    <w:rsid w:val="18DD7653"/>
    <w:rsid w:val="190873AA"/>
    <w:rsid w:val="192266C1"/>
    <w:rsid w:val="19256F64"/>
    <w:rsid w:val="192B218B"/>
    <w:rsid w:val="192D5062"/>
    <w:rsid w:val="193E2DCB"/>
    <w:rsid w:val="19506345"/>
    <w:rsid w:val="1950650E"/>
    <w:rsid w:val="19550115"/>
    <w:rsid w:val="19581F4D"/>
    <w:rsid w:val="196565AA"/>
    <w:rsid w:val="1969465F"/>
    <w:rsid w:val="196A6A3A"/>
    <w:rsid w:val="1981715C"/>
    <w:rsid w:val="1986413D"/>
    <w:rsid w:val="19BB08C0"/>
    <w:rsid w:val="19BF7372"/>
    <w:rsid w:val="19C80BAA"/>
    <w:rsid w:val="19D47410"/>
    <w:rsid w:val="19EF056A"/>
    <w:rsid w:val="1A0F5932"/>
    <w:rsid w:val="1A200723"/>
    <w:rsid w:val="1A27558E"/>
    <w:rsid w:val="1A4C1518"/>
    <w:rsid w:val="1A5031DF"/>
    <w:rsid w:val="1A6C5716"/>
    <w:rsid w:val="1A805517"/>
    <w:rsid w:val="1A83797A"/>
    <w:rsid w:val="1AA2382E"/>
    <w:rsid w:val="1AD00E1F"/>
    <w:rsid w:val="1AF57E02"/>
    <w:rsid w:val="1AFA5418"/>
    <w:rsid w:val="1B09565B"/>
    <w:rsid w:val="1B0B106C"/>
    <w:rsid w:val="1B1A295C"/>
    <w:rsid w:val="1B210BF7"/>
    <w:rsid w:val="1B3C333B"/>
    <w:rsid w:val="1B3F2E2B"/>
    <w:rsid w:val="1B4072CF"/>
    <w:rsid w:val="1B6034CD"/>
    <w:rsid w:val="1B72336C"/>
    <w:rsid w:val="1B7868A5"/>
    <w:rsid w:val="1B7B1634"/>
    <w:rsid w:val="1B7D188D"/>
    <w:rsid w:val="1B8E37DE"/>
    <w:rsid w:val="1B8F3DB2"/>
    <w:rsid w:val="1B9A4616"/>
    <w:rsid w:val="1BA333BA"/>
    <w:rsid w:val="1BBB0703"/>
    <w:rsid w:val="1BC25F36"/>
    <w:rsid w:val="1BCA4DEA"/>
    <w:rsid w:val="1BCA6B98"/>
    <w:rsid w:val="1BCC1CEF"/>
    <w:rsid w:val="1BEB27DD"/>
    <w:rsid w:val="1BFB4FA4"/>
    <w:rsid w:val="1C2657A6"/>
    <w:rsid w:val="1C3D55BC"/>
    <w:rsid w:val="1C420E24"/>
    <w:rsid w:val="1C545BA3"/>
    <w:rsid w:val="1C56042C"/>
    <w:rsid w:val="1C662D65"/>
    <w:rsid w:val="1C760ACE"/>
    <w:rsid w:val="1C9B0535"/>
    <w:rsid w:val="1C9D34A0"/>
    <w:rsid w:val="1CB64253"/>
    <w:rsid w:val="1CC73859"/>
    <w:rsid w:val="1CDA105D"/>
    <w:rsid w:val="1CE8653B"/>
    <w:rsid w:val="1CF66731"/>
    <w:rsid w:val="1CFA37F3"/>
    <w:rsid w:val="1D570900"/>
    <w:rsid w:val="1D5D7162"/>
    <w:rsid w:val="1D7F08B9"/>
    <w:rsid w:val="1D9246A9"/>
    <w:rsid w:val="1DC256AB"/>
    <w:rsid w:val="1DD109F2"/>
    <w:rsid w:val="1DD666D0"/>
    <w:rsid w:val="1DE32193"/>
    <w:rsid w:val="1DF826DE"/>
    <w:rsid w:val="1E0C16EA"/>
    <w:rsid w:val="1E0C592E"/>
    <w:rsid w:val="1E0D7210"/>
    <w:rsid w:val="1E131CF1"/>
    <w:rsid w:val="1E1710F9"/>
    <w:rsid w:val="1E2619CF"/>
    <w:rsid w:val="1E2C6297"/>
    <w:rsid w:val="1E2D0D47"/>
    <w:rsid w:val="1E480248"/>
    <w:rsid w:val="1E5F5CBE"/>
    <w:rsid w:val="1E767CD6"/>
    <w:rsid w:val="1E911BEF"/>
    <w:rsid w:val="1E985E45"/>
    <w:rsid w:val="1EEC146E"/>
    <w:rsid w:val="1EEF1347"/>
    <w:rsid w:val="1F0829B6"/>
    <w:rsid w:val="1F503858"/>
    <w:rsid w:val="1F550E6F"/>
    <w:rsid w:val="1F552C1D"/>
    <w:rsid w:val="1F7A08D5"/>
    <w:rsid w:val="1F843502"/>
    <w:rsid w:val="1F8A25A5"/>
    <w:rsid w:val="1F9728E9"/>
    <w:rsid w:val="1FB45B95"/>
    <w:rsid w:val="1FB5049D"/>
    <w:rsid w:val="1FBF1254"/>
    <w:rsid w:val="1FCD658F"/>
    <w:rsid w:val="1FCF6E73"/>
    <w:rsid w:val="1FD57E31"/>
    <w:rsid w:val="1FE12A79"/>
    <w:rsid w:val="20032679"/>
    <w:rsid w:val="204001F8"/>
    <w:rsid w:val="204F1D62"/>
    <w:rsid w:val="20517888"/>
    <w:rsid w:val="206A7CD8"/>
    <w:rsid w:val="2072149F"/>
    <w:rsid w:val="207F10D5"/>
    <w:rsid w:val="20931C4F"/>
    <w:rsid w:val="209602CA"/>
    <w:rsid w:val="209B2E36"/>
    <w:rsid w:val="209D060D"/>
    <w:rsid w:val="20A7394C"/>
    <w:rsid w:val="20AF0BE5"/>
    <w:rsid w:val="20D34741"/>
    <w:rsid w:val="212952B5"/>
    <w:rsid w:val="2136082C"/>
    <w:rsid w:val="21414218"/>
    <w:rsid w:val="21466CC1"/>
    <w:rsid w:val="21505D92"/>
    <w:rsid w:val="21537630"/>
    <w:rsid w:val="2155436D"/>
    <w:rsid w:val="215A09BE"/>
    <w:rsid w:val="2169159B"/>
    <w:rsid w:val="21696E53"/>
    <w:rsid w:val="217355DC"/>
    <w:rsid w:val="217C2840"/>
    <w:rsid w:val="219B7726"/>
    <w:rsid w:val="21B856E5"/>
    <w:rsid w:val="21C806DA"/>
    <w:rsid w:val="21CA26AF"/>
    <w:rsid w:val="21DF2D22"/>
    <w:rsid w:val="220B1CB9"/>
    <w:rsid w:val="22145011"/>
    <w:rsid w:val="2217240B"/>
    <w:rsid w:val="22172BBE"/>
    <w:rsid w:val="22280ABD"/>
    <w:rsid w:val="22482F0D"/>
    <w:rsid w:val="225B49EE"/>
    <w:rsid w:val="22743D02"/>
    <w:rsid w:val="228C4BA7"/>
    <w:rsid w:val="22914F59"/>
    <w:rsid w:val="229671BB"/>
    <w:rsid w:val="229E2F22"/>
    <w:rsid w:val="229F3129"/>
    <w:rsid w:val="22A2261D"/>
    <w:rsid w:val="22AA3280"/>
    <w:rsid w:val="22AC349C"/>
    <w:rsid w:val="22BB36DF"/>
    <w:rsid w:val="22BE4F7D"/>
    <w:rsid w:val="22D7642A"/>
    <w:rsid w:val="22E72B8D"/>
    <w:rsid w:val="22E9024C"/>
    <w:rsid w:val="23024E6A"/>
    <w:rsid w:val="2308260C"/>
    <w:rsid w:val="231B15DB"/>
    <w:rsid w:val="232E3EB1"/>
    <w:rsid w:val="233F0975"/>
    <w:rsid w:val="234A05BF"/>
    <w:rsid w:val="235B7B07"/>
    <w:rsid w:val="237F2508"/>
    <w:rsid w:val="237F295E"/>
    <w:rsid w:val="23854C9A"/>
    <w:rsid w:val="238B3987"/>
    <w:rsid w:val="238E0FA9"/>
    <w:rsid w:val="23A45DB3"/>
    <w:rsid w:val="23AE0F81"/>
    <w:rsid w:val="23B2207B"/>
    <w:rsid w:val="23D44047"/>
    <w:rsid w:val="23F549CE"/>
    <w:rsid w:val="23F724F4"/>
    <w:rsid w:val="23FD19CC"/>
    <w:rsid w:val="24052587"/>
    <w:rsid w:val="242407F4"/>
    <w:rsid w:val="243674C1"/>
    <w:rsid w:val="24386CF5"/>
    <w:rsid w:val="24602141"/>
    <w:rsid w:val="24724271"/>
    <w:rsid w:val="24975A86"/>
    <w:rsid w:val="24A01889"/>
    <w:rsid w:val="24A47DD7"/>
    <w:rsid w:val="24A81A41"/>
    <w:rsid w:val="24B80EEA"/>
    <w:rsid w:val="24D43B95"/>
    <w:rsid w:val="24D5337D"/>
    <w:rsid w:val="2524556B"/>
    <w:rsid w:val="25311A36"/>
    <w:rsid w:val="254E0526"/>
    <w:rsid w:val="254F4399"/>
    <w:rsid w:val="25513E86"/>
    <w:rsid w:val="257B7624"/>
    <w:rsid w:val="25867FD4"/>
    <w:rsid w:val="25916979"/>
    <w:rsid w:val="25AE6883"/>
    <w:rsid w:val="25C60ECD"/>
    <w:rsid w:val="25C82446"/>
    <w:rsid w:val="25E116AE"/>
    <w:rsid w:val="25E62821"/>
    <w:rsid w:val="25E70CC0"/>
    <w:rsid w:val="25F72072"/>
    <w:rsid w:val="260333D3"/>
    <w:rsid w:val="26071543"/>
    <w:rsid w:val="260809E9"/>
    <w:rsid w:val="262275D1"/>
    <w:rsid w:val="265C0D35"/>
    <w:rsid w:val="26630315"/>
    <w:rsid w:val="26AB75C6"/>
    <w:rsid w:val="26BD0DE6"/>
    <w:rsid w:val="26E43385"/>
    <w:rsid w:val="26F947D6"/>
    <w:rsid w:val="2707582D"/>
    <w:rsid w:val="270F3FF9"/>
    <w:rsid w:val="272A2532"/>
    <w:rsid w:val="27313F6F"/>
    <w:rsid w:val="274517C9"/>
    <w:rsid w:val="275F53B8"/>
    <w:rsid w:val="276E2ACE"/>
    <w:rsid w:val="27706A3C"/>
    <w:rsid w:val="277D4548"/>
    <w:rsid w:val="27952750"/>
    <w:rsid w:val="279904E5"/>
    <w:rsid w:val="279A7D67"/>
    <w:rsid w:val="27A720F5"/>
    <w:rsid w:val="27B801ED"/>
    <w:rsid w:val="27CB43C4"/>
    <w:rsid w:val="27D701CB"/>
    <w:rsid w:val="27DD5EA5"/>
    <w:rsid w:val="27DE34D8"/>
    <w:rsid w:val="27DF3EE1"/>
    <w:rsid w:val="280276BA"/>
    <w:rsid w:val="28033B5E"/>
    <w:rsid w:val="280E26E9"/>
    <w:rsid w:val="28180D1B"/>
    <w:rsid w:val="284740A9"/>
    <w:rsid w:val="284E5580"/>
    <w:rsid w:val="286839C1"/>
    <w:rsid w:val="286D7229"/>
    <w:rsid w:val="286E6AFD"/>
    <w:rsid w:val="28773C04"/>
    <w:rsid w:val="287871B2"/>
    <w:rsid w:val="289F3D45"/>
    <w:rsid w:val="28B22E8E"/>
    <w:rsid w:val="28D76D98"/>
    <w:rsid w:val="28DC7F0B"/>
    <w:rsid w:val="28E079FB"/>
    <w:rsid w:val="28FC627B"/>
    <w:rsid w:val="290D515A"/>
    <w:rsid w:val="292813A2"/>
    <w:rsid w:val="292D6432"/>
    <w:rsid w:val="294F4B81"/>
    <w:rsid w:val="2952661D"/>
    <w:rsid w:val="29613037"/>
    <w:rsid w:val="29852F00"/>
    <w:rsid w:val="29891E41"/>
    <w:rsid w:val="29982084"/>
    <w:rsid w:val="29C42E79"/>
    <w:rsid w:val="29D07A70"/>
    <w:rsid w:val="29D452B5"/>
    <w:rsid w:val="29E470E5"/>
    <w:rsid w:val="2A10072A"/>
    <w:rsid w:val="2A3170A8"/>
    <w:rsid w:val="2A374298"/>
    <w:rsid w:val="2A430C0E"/>
    <w:rsid w:val="2A6D3510"/>
    <w:rsid w:val="2A816FBC"/>
    <w:rsid w:val="2A9F4D85"/>
    <w:rsid w:val="2A9F7442"/>
    <w:rsid w:val="2AA35184"/>
    <w:rsid w:val="2AA50EFC"/>
    <w:rsid w:val="2ACA6858"/>
    <w:rsid w:val="2ADE440E"/>
    <w:rsid w:val="2AEC6B2B"/>
    <w:rsid w:val="2AF21AFD"/>
    <w:rsid w:val="2B0D0850"/>
    <w:rsid w:val="2B1B2F6C"/>
    <w:rsid w:val="2B25203D"/>
    <w:rsid w:val="2B5B3046"/>
    <w:rsid w:val="2B6366C1"/>
    <w:rsid w:val="2B64724D"/>
    <w:rsid w:val="2B6B12F3"/>
    <w:rsid w:val="2B70250D"/>
    <w:rsid w:val="2B786611"/>
    <w:rsid w:val="2B981195"/>
    <w:rsid w:val="2BA91573"/>
    <w:rsid w:val="2BBD471E"/>
    <w:rsid w:val="2BC21C36"/>
    <w:rsid w:val="2BDA2E28"/>
    <w:rsid w:val="2BDD6474"/>
    <w:rsid w:val="2C0C0B07"/>
    <w:rsid w:val="2C276ED8"/>
    <w:rsid w:val="2C306C29"/>
    <w:rsid w:val="2C4D04F5"/>
    <w:rsid w:val="2C4E7372"/>
    <w:rsid w:val="2C500BEB"/>
    <w:rsid w:val="2C5A783C"/>
    <w:rsid w:val="2C83526D"/>
    <w:rsid w:val="2C9D6BAD"/>
    <w:rsid w:val="2CB2345D"/>
    <w:rsid w:val="2CBC7C58"/>
    <w:rsid w:val="2CF57F58"/>
    <w:rsid w:val="2CF744CF"/>
    <w:rsid w:val="2D0D2D89"/>
    <w:rsid w:val="2D0D7BE4"/>
    <w:rsid w:val="2D0F670E"/>
    <w:rsid w:val="2D1E73A5"/>
    <w:rsid w:val="2D235645"/>
    <w:rsid w:val="2D433A9A"/>
    <w:rsid w:val="2D5B7F98"/>
    <w:rsid w:val="2DA866CD"/>
    <w:rsid w:val="2DB31B82"/>
    <w:rsid w:val="2DC759FB"/>
    <w:rsid w:val="2DF16206"/>
    <w:rsid w:val="2DF41BCB"/>
    <w:rsid w:val="2E0940D7"/>
    <w:rsid w:val="2E102161"/>
    <w:rsid w:val="2E24038A"/>
    <w:rsid w:val="2E276A03"/>
    <w:rsid w:val="2E2C36E3"/>
    <w:rsid w:val="2E310CF9"/>
    <w:rsid w:val="2E3F51C4"/>
    <w:rsid w:val="2E475117"/>
    <w:rsid w:val="2E491D76"/>
    <w:rsid w:val="2E5642BC"/>
    <w:rsid w:val="2E57625B"/>
    <w:rsid w:val="2E5944BD"/>
    <w:rsid w:val="2E647527"/>
    <w:rsid w:val="2E6E5AA9"/>
    <w:rsid w:val="2E7D5CEC"/>
    <w:rsid w:val="2E814156"/>
    <w:rsid w:val="2E8974F1"/>
    <w:rsid w:val="2E8E1CA7"/>
    <w:rsid w:val="2E960B5C"/>
    <w:rsid w:val="2E982B26"/>
    <w:rsid w:val="2EA96AE1"/>
    <w:rsid w:val="2EAF223A"/>
    <w:rsid w:val="2EBB5F58"/>
    <w:rsid w:val="2EE316FD"/>
    <w:rsid w:val="2EFF4953"/>
    <w:rsid w:val="2EFF6701"/>
    <w:rsid w:val="2F026F07"/>
    <w:rsid w:val="2F0B779C"/>
    <w:rsid w:val="2F2A257E"/>
    <w:rsid w:val="2F402F7B"/>
    <w:rsid w:val="2F5C3B54"/>
    <w:rsid w:val="2F5C7FF7"/>
    <w:rsid w:val="2F6D4B31"/>
    <w:rsid w:val="2F7B222C"/>
    <w:rsid w:val="2F926710"/>
    <w:rsid w:val="2F947791"/>
    <w:rsid w:val="2F967065"/>
    <w:rsid w:val="2F967754"/>
    <w:rsid w:val="2F995402"/>
    <w:rsid w:val="2F9D3D0C"/>
    <w:rsid w:val="2FC34896"/>
    <w:rsid w:val="2FD61B58"/>
    <w:rsid w:val="2FF52573"/>
    <w:rsid w:val="2FF62B88"/>
    <w:rsid w:val="300A34A7"/>
    <w:rsid w:val="30180C08"/>
    <w:rsid w:val="302C5C1C"/>
    <w:rsid w:val="305B3E0B"/>
    <w:rsid w:val="30744ECD"/>
    <w:rsid w:val="307B5F05"/>
    <w:rsid w:val="30A25EDE"/>
    <w:rsid w:val="30A95E8F"/>
    <w:rsid w:val="30BF439A"/>
    <w:rsid w:val="30C45E54"/>
    <w:rsid w:val="30D030C8"/>
    <w:rsid w:val="30DE1FC6"/>
    <w:rsid w:val="30EB33E1"/>
    <w:rsid w:val="30F32296"/>
    <w:rsid w:val="30F834DA"/>
    <w:rsid w:val="31085D41"/>
    <w:rsid w:val="312D796D"/>
    <w:rsid w:val="31374878"/>
    <w:rsid w:val="3139239E"/>
    <w:rsid w:val="31437726"/>
    <w:rsid w:val="31497C61"/>
    <w:rsid w:val="314B20D2"/>
    <w:rsid w:val="316B2774"/>
    <w:rsid w:val="317409D9"/>
    <w:rsid w:val="31921AAF"/>
    <w:rsid w:val="31A517E2"/>
    <w:rsid w:val="31C3435E"/>
    <w:rsid w:val="31C854D0"/>
    <w:rsid w:val="31D64091"/>
    <w:rsid w:val="31EA5447"/>
    <w:rsid w:val="31F42769"/>
    <w:rsid w:val="31F664E1"/>
    <w:rsid w:val="31FD17DE"/>
    <w:rsid w:val="3208253A"/>
    <w:rsid w:val="3212499D"/>
    <w:rsid w:val="32144BB9"/>
    <w:rsid w:val="321626E0"/>
    <w:rsid w:val="32230959"/>
    <w:rsid w:val="32267AFD"/>
    <w:rsid w:val="32342B66"/>
    <w:rsid w:val="323B3EF4"/>
    <w:rsid w:val="324C2E51"/>
    <w:rsid w:val="325D6FE1"/>
    <w:rsid w:val="3271107D"/>
    <w:rsid w:val="329D070B"/>
    <w:rsid w:val="32D103B5"/>
    <w:rsid w:val="32DF6F75"/>
    <w:rsid w:val="33044C5B"/>
    <w:rsid w:val="330907C6"/>
    <w:rsid w:val="330F10BA"/>
    <w:rsid w:val="331050B3"/>
    <w:rsid w:val="33410355"/>
    <w:rsid w:val="3355672F"/>
    <w:rsid w:val="335C2374"/>
    <w:rsid w:val="336A2CE3"/>
    <w:rsid w:val="336E4BD9"/>
    <w:rsid w:val="336F02F9"/>
    <w:rsid w:val="33897E1B"/>
    <w:rsid w:val="338A5133"/>
    <w:rsid w:val="338F44F8"/>
    <w:rsid w:val="33A87367"/>
    <w:rsid w:val="33AD2BD0"/>
    <w:rsid w:val="33B0446E"/>
    <w:rsid w:val="33D64169"/>
    <w:rsid w:val="33DF783C"/>
    <w:rsid w:val="33F508A6"/>
    <w:rsid w:val="33F86C05"/>
    <w:rsid w:val="33FE7360"/>
    <w:rsid w:val="342750AF"/>
    <w:rsid w:val="342D5F64"/>
    <w:rsid w:val="3439114E"/>
    <w:rsid w:val="343B642D"/>
    <w:rsid w:val="345614B9"/>
    <w:rsid w:val="34640730"/>
    <w:rsid w:val="346A0AC1"/>
    <w:rsid w:val="34897199"/>
    <w:rsid w:val="34A843EE"/>
    <w:rsid w:val="34DF325D"/>
    <w:rsid w:val="351C2665"/>
    <w:rsid w:val="352167CF"/>
    <w:rsid w:val="352B46F4"/>
    <w:rsid w:val="353A0493"/>
    <w:rsid w:val="35414B88"/>
    <w:rsid w:val="355143BC"/>
    <w:rsid w:val="35827EC8"/>
    <w:rsid w:val="359B692C"/>
    <w:rsid w:val="35AA187C"/>
    <w:rsid w:val="35C828C9"/>
    <w:rsid w:val="35DE50FA"/>
    <w:rsid w:val="35E34207"/>
    <w:rsid w:val="35FF348B"/>
    <w:rsid w:val="3612564F"/>
    <w:rsid w:val="361C403D"/>
    <w:rsid w:val="3623361D"/>
    <w:rsid w:val="363657F1"/>
    <w:rsid w:val="36394BEF"/>
    <w:rsid w:val="36463C3A"/>
    <w:rsid w:val="364C10C0"/>
    <w:rsid w:val="365B57C9"/>
    <w:rsid w:val="366A2FFA"/>
    <w:rsid w:val="3689036D"/>
    <w:rsid w:val="368D5533"/>
    <w:rsid w:val="36903146"/>
    <w:rsid w:val="36941E25"/>
    <w:rsid w:val="36C35A24"/>
    <w:rsid w:val="36D16BD5"/>
    <w:rsid w:val="36D641EB"/>
    <w:rsid w:val="36DB7A54"/>
    <w:rsid w:val="36E46A23"/>
    <w:rsid w:val="36F32FEF"/>
    <w:rsid w:val="371A057C"/>
    <w:rsid w:val="371D3646"/>
    <w:rsid w:val="372D74CC"/>
    <w:rsid w:val="37461371"/>
    <w:rsid w:val="375872F6"/>
    <w:rsid w:val="375C1CE0"/>
    <w:rsid w:val="37645C9B"/>
    <w:rsid w:val="377C4D93"/>
    <w:rsid w:val="37873738"/>
    <w:rsid w:val="378E4AC6"/>
    <w:rsid w:val="379874C1"/>
    <w:rsid w:val="37A866A3"/>
    <w:rsid w:val="37B81B43"/>
    <w:rsid w:val="37C812AE"/>
    <w:rsid w:val="37DA41AF"/>
    <w:rsid w:val="38190834"/>
    <w:rsid w:val="38383CCB"/>
    <w:rsid w:val="38517A5C"/>
    <w:rsid w:val="38591578"/>
    <w:rsid w:val="386A6622"/>
    <w:rsid w:val="387F1216"/>
    <w:rsid w:val="3890366F"/>
    <w:rsid w:val="38A722E3"/>
    <w:rsid w:val="38AA421E"/>
    <w:rsid w:val="38C5276A"/>
    <w:rsid w:val="38C74B99"/>
    <w:rsid w:val="38CA7D80"/>
    <w:rsid w:val="38E54BBA"/>
    <w:rsid w:val="38F66DC7"/>
    <w:rsid w:val="38FA1BB8"/>
    <w:rsid w:val="39070FD4"/>
    <w:rsid w:val="39082BCA"/>
    <w:rsid w:val="39472B23"/>
    <w:rsid w:val="395539E3"/>
    <w:rsid w:val="397F3D71"/>
    <w:rsid w:val="398B5761"/>
    <w:rsid w:val="39B45F1E"/>
    <w:rsid w:val="39C92027"/>
    <w:rsid w:val="39CB45DC"/>
    <w:rsid w:val="39D005FC"/>
    <w:rsid w:val="39ED1F78"/>
    <w:rsid w:val="3A0A5499"/>
    <w:rsid w:val="3A0D38CD"/>
    <w:rsid w:val="3A125E82"/>
    <w:rsid w:val="3A1846D0"/>
    <w:rsid w:val="3A2A1651"/>
    <w:rsid w:val="3A5C0EAC"/>
    <w:rsid w:val="3A611FFE"/>
    <w:rsid w:val="3A82388C"/>
    <w:rsid w:val="3A9B19D4"/>
    <w:rsid w:val="3AC0143A"/>
    <w:rsid w:val="3ACF5B21"/>
    <w:rsid w:val="3AD46C94"/>
    <w:rsid w:val="3AE758D2"/>
    <w:rsid w:val="3AE83A19"/>
    <w:rsid w:val="3B1D0F8F"/>
    <w:rsid w:val="3B457B92"/>
    <w:rsid w:val="3B476F2C"/>
    <w:rsid w:val="3B551E0E"/>
    <w:rsid w:val="3B7B7286"/>
    <w:rsid w:val="3B8C62A3"/>
    <w:rsid w:val="3B8E32E7"/>
    <w:rsid w:val="3B9A612F"/>
    <w:rsid w:val="3B9B0ACE"/>
    <w:rsid w:val="3BBA40DC"/>
    <w:rsid w:val="3BC8614D"/>
    <w:rsid w:val="3BF0614F"/>
    <w:rsid w:val="3BF13876"/>
    <w:rsid w:val="3BFB376B"/>
    <w:rsid w:val="3C03026C"/>
    <w:rsid w:val="3C0F6B8E"/>
    <w:rsid w:val="3C1E0B0E"/>
    <w:rsid w:val="3C21415B"/>
    <w:rsid w:val="3C6109FB"/>
    <w:rsid w:val="3C8A1D00"/>
    <w:rsid w:val="3CA628B2"/>
    <w:rsid w:val="3CA93776"/>
    <w:rsid w:val="3CC27893"/>
    <w:rsid w:val="3CCB40C7"/>
    <w:rsid w:val="3CEA2DC1"/>
    <w:rsid w:val="3D224E5C"/>
    <w:rsid w:val="3D23371B"/>
    <w:rsid w:val="3D3D4FD0"/>
    <w:rsid w:val="3D4225DB"/>
    <w:rsid w:val="3D4D2D2E"/>
    <w:rsid w:val="3D9B7F3D"/>
    <w:rsid w:val="3DAE1A1E"/>
    <w:rsid w:val="3DB42DAD"/>
    <w:rsid w:val="3DBA55FA"/>
    <w:rsid w:val="3DF00289"/>
    <w:rsid w:val="3E18158D"/>
    <w:rsid w:val="3E210442"/>
    <w:rsid w:val="3E214783"/>
    <w:rsid w:val="3E29379B"/>
    <w:rsid w:val="3E494005"/>
    <w:rsid w:val="3E506F79"/>
    <w:rsid w:val="3E946E66"/>
    <w:rsid w:val="3E9C2984"/>
    <w:rsid w:val="3EA01CAF"/>
    <w:rsid w:val="3EA67062"/>
    <w:rsid w:val="3EB176AB"/>
    <w:rsid w:val="3EDC25BB"/>
    <w:rsid w:val="3EE945C3"/>
    <w:rsid w:val="3EEE3C93"/>
    <w:rsid w:val="3EEF6A08"/>
    <w:rsid w:val="3EF038F1"/>
    <w:rsid w:val="3EFE0783"/>
    <w:rsid w:val="3F0006E1"/>
    <w:rsid w:val="3F0F2990"/>
    <w:rsid w:val="3F1955BD"/>
    <w:rsid w:val="3F2A1578"/>
    <w:rsid w:val="3F423B10"/>
    <w:rsid w:val="3F433DE5"/>
    <w:rsid w:val="3F52306E"/>
    <w:rsid w:val="3F710F55"/>
    <w:rsid w:val="3F76656C"/>
    <w:rsid w:val="3F8E1B07"/>
    <w:rsid w:val="3F9F1F66"/>
    <w:rsid w:val="3FA0183A"/>
    <w:rsid w:val="3FA3598F"/>
    <w:rsid w:val="3FAE03FB"/>
    <w:rsid w:val="3FBB6F9C"/>
    <w:rsid w:val="3FBC4A1D"/>
    <w:rsid w:val="3FC87681"/>
    <w:rsid w:val="3FF962EE"/>
    <w:rsid w:val="401F4E55"/>
    <w:rsid w:val="4044147E"/>
    <w:rsid w:val="404E74E8"/>
    <w:rsid w:val="405A5E8D"/>
    <w:rsid w:val="405F5252"/>
    <w:rsid w:val="40681C47"/>
    <w:rsid w:val="40780661"/>
    <w:rsid w:val="407E66C5"/>
    <w:rsid w:val="408F64C6"/>
    <w:rsid w:val="40C31C84"/>
    <w:rsid w:val="40CE5B0D"/>
    <w:rsid w:val="40D043A1"/>
    <w:rsid w:val="40DC3159"/>
    <w:rsid w:val="40E012FC"/>
    <w:rsid w:val="40E12719"/>
    <w:rsid w:val="40F2256A"/>
    <w:rsid w:val="40F41E3E"/>
    <w:rsid w:val="41004C87"/>
    <w:rsid w:val="41166E71"/>
    <w:rsid w:val="411A4C6D"/>
    <w:rsid w:val="411C3143"/>
    <w:rsid w:val="41395AA3"/>
    <w:rsid w:val="413A14CE"/>
    <w:rsid w:val="4162324B"/>
    <w:rsid w:val="41636FC4"/>
    <w:rsid w:val="418D3517"/>
    <w:rsid w:val="41A003C1"/>
    <w:rsid w:val="41C21F3C"/>
    <w:rsid w:val="41DB1250"/>
    <w:rsid w:val="41DD24AB"/>
    <w:rsid w:val="41ED47FB"/>
    <w:rsid w:val="420F4A55"/>
    <w:rsid w:val="42176A11"/>
    <w:rsid w:val="42186000"/>
    <w:rsid w:val="42187667"/>
    <w:rsid w:val="422B5D33"/>
    <w:rsid w:val="42576B28"/>
    <w:rsid w:val="426D58FF"/>
    <w:rsid w:val="42711413"/>
    <w:rsid w:val="42713B25"/>
    <w:rsid w:val="42935A90"/>
    <w:rsid w:val="429A331F"/>
    <w:rsid w:val="429F402B"/>
    <w:rsid w:val="42B314E1"/>
    <w:rsid w:val="42ED123B"/>
    <w:rsid w:val="42F44DF3"/>
    <w:rsid w:val="42F75C15"/>
    <w:rsid w:val="430B2FDB"/>
    <w:rsid w:val="43140575"/>
    <w:rsid w:val="432033BE"/>
    <w:rsid w:val="43222685"/>
    <w:rsid w:val="434F77FF"/>
    <w:rsid w:val="435A6F40"/>
    <w:rsid w:val="435D4F14"/>
    <w:rsid w:val="43690B0F"/>
    <w:rsid w:val="4387343D"/>
    <w:rsid w:val="43921EAF"/>
    <w:rsid w:val="439E2535"/>
    <w:rsid w:val="43D46490"/>
    <w:rsid w:val="441E11AB"/>
    <w:rsid w:val="44246EDE"/>
    <w:rsid w:val="4427719E"/>
    <w:rsid w:val="442E38B9"/>
    <w:rsid w:val="442F13DF"/>
    <w:rsid w:val="443C4567"/>
    <w:rsid w:val="4458094A"/>
    <w:rsid w:val="445A0329"/>
    <w:rsid w:val="446D66E7"/>
    <w:rsid w:val="4473751E"/>
    <w:rsid w:val="4496320C"/>
    <w:rsid w:val="4497571C"/>
    <w:rsid w:val="44AA4BA9"/>
    <w:rsid w:val="44C164DB"/>
    <w:rsid w:val="44C625FA"/>
    <w:rsid w:val="44CB1108"/>
    <w:rsid w:val="44CB735A"/>
    <w:rsid w:val="44D167CA"/>
    <w:rsid w:val="44D31E62"/>
    <w:rsid w:val="450D1720"/>
    <w:rsid w:val="4517110E"/>
    <w:rsid w:val="453F5652"/>
    <w:rsid w:val="4579257A"/>
    <w:rsid w:val="45C36283"/>
    <w:rsid w:val="45CA5863"/>
    <w:rsid w:val="45D73ADC"/>
    <w:rsid w:val="4609638B"/>
    <w:rsid w:val="46252A99"/>
    <w:rsid w:val="463B22BD"/>
    <w:rsid w:val="465A4BC4"/>
    <w:rsid w:val="46623CEE"/>
    <w:rsid w:val="46766CA4"/>
    <w:rsid w:val="467700D1"/>
    <w:rsid w:val="467D4684"/>
    <w:rsid w:val="46821C9A"/>
    <w:rsid w:val="46840346"/>
    <w:rsid w:val="468E063F"/>
    <w:rsid w:val="469D0882"/>
    <w:rsid w:val="46DD6BF3"/>
    <w:rsid w:val="46E75FA1"/>
    <w:rsid w:val="46E91D19"/>
    <w:rsid w:val="46ED1809"/>
    <w:rsid w:val="470E1780"/>
    <w:rsid w:val="47170634"/>
    <w:rsid w:val="472559F5"/>
    <w:rsid w:val="47297D13"/>
    <w:rsid w:val="472E3BD0"/>
    <w:rsid w:val="47975C19"/>
    <w:rsid w:val="47A331BA"/>
    <w:rsid w:val="47AF2F63"/>
    <w:rsid w:val="47B2035D"/>
    <w:rsid w:val="47B642F1"/>
    <w:rsid w:val="47C02A7A"/>
    <w:rsid w:val="47C22C96"/>
    <w:rsid w:val="47C87B80"/>
    <w:rsid w:val="47CA7D9C"/>
    <w:rsid w:val="47F0285D"/>
    <w:rsid w:val="47F56622"/>
    <w:rsid w:val="47F941DE"/>
    <w:rsid w:val="480D4C76"/>
    <w:rsid w:val="48290C99"/>
    <w:rsid w:val="48621D83"/>
    <w:rsid w:val="48CE11C6"/>
    <w:rsid w:val="48D01ACB"/>
    <w:rsid w:val="48D82045"/>
    <w:rsid w:val="48F14E41"/>
    <w:rsid w:val="48F84495"/>
    <w:rsid w:val="49046F2E"/>
    <w:rsid w:val="493A685C"/>
    <w:rsid w:val="49467FBD"/>
    <w:rsid w:val="4961203A"/>
    <w:rsid w:val="496979C2"/>
    <w:rsid w:val="497B0929"/>
    <w:rsid w:val="49951AC7"/>
    <w:rsid w:val="49A1586A"/>
    <w:rsid w:val="49A34401"/>
    <w:rsid w:val="49AA1C33"/>
    <w:rsid w:val="49AF4F85"/>
    <w:rsid w:val="49BE748D"/>
    <w:rsid w:val="49CF3448"/>
    <w:rsid w:val="49EB1918"/>
    <w:rsid w:val="49F11610"/>
    <w:rsid w:val="4A011472"/>
    <w:rsid w:val="4A11593B"/>
    <w:rsid w:val="4A280DAA"/>
    <w:rsid w:val="4A332606"/>
    <w:rsid w:val="4A3414FD"/>
    <w:rsid w:val="4A407EA2"/>
    <w:rsid w:val="4A5D0A54"/>
    <w:rsid w:val="4A625CCF"/>
    <w:rsid w:val="4A64447A"/>
    <w:rsid w:val="4A674A28"/>
    <w:rsid w:val="4A6F2535"/>
    <w:rsid w:val="4A783AE0"/>
    <w:rsid w:val="4A9621B8"/>
    <w:rsid w:val="4ACC5BD9"/>
    <w:rsid w:val="4AD34597"/>
    <w:rsid w:val="4AE03767"/>
    <w:rsid w:val="4AF415EB"/>
    <w:rsid w:val="4AFC5379"/>
    <w:rsid w:val="4AFD2237"/>
    <w:rsid w:val="4B052E99"/>
    <w:rsid w:val="4B074E64"/>
    <w:rsid w:val="4B203D52"/>
    <w:rsid w:val="4B330864"/>
    <w:rsid w:val="4B3774F7"/>
    <w:rsid w:val="4B5A1437"/>
    <w:rsid w:val="4B7324F9"/>
    <w:rsid w:val="4B7A73E4"/>
    <w:rsid w:val="4B985ABC"/>
    <w:rsid w:val="4BA12BC2"/>
    <w:rsid w:val="4BD362C5"/>
    <w:rsid w:val="4BF01A78"/>
    <w:rsid w:val="4BFE0443"/>
    <w:rsid w:val="4C190454"/>
    <w:rsid w:val="4C300A0A"/>
    <w:rsid w:val="4C3B3017"/>
    <w:rsid w:val="4C3E5C30"/>
    <w:rsid w:val="4C5B3A85"/>
    <w:rsid w:val="4C6859DD"/>
    <w:rsid w:val="4C697AF3"/>
    <w:rsid w:val="4C76511D"/>
    <w:rsid w:val="4C7D0AB1"/>
    <w:rsid w:val="4C7E73A7"/>
    <w:rsid w:val="4C885B30"/>
    <w:rsid w:val="4CB715E9"/>
    <w:rsid w:val="4CC27166"/>
    <w:rsid w:val="4CCC7294"/>
    <w:rsid w:val="4CDF1419"/>
    <w:rsid w:val="4CE47978"/>
    <w:rsid w:val="4CF23279"/>
    <w:rsid w:val="4D041D6E"/>
    <w:rsid w:val="4D16138E"/>
    <w:rsid w:val="4D1B14CB"/>
    <w:rsid w:val="4D467EC5"/>
    <w:rsid w:val="4D4E28D6"/>
    <w:rsid w:val="4D5D10BD"/>
    <w:rsid w:val="4D665E71"/>
    <w:rsid w:val="4D6E4D8F"/>
    <w:rsid w:val="4D6F6D4A"/>
    <w:rsid w:val="4DB72B71"/>
    <w:rsid w:val="4DBA6108"/>
    <w:rsid w:val="4DD00022"/>
    <w:rsid w:val="4DD252B5"/>
    <w:rsid w:val="4DDA23BB"/>
    <w:rsid w:val="4DDA799C"/>
    <w:rsid w:val="4DEB7471"/>
    <w:rsid w:val="4DF27705"/>
    <w:rsid w:val="4E1314C9"/>
    <w:rsid w:val="4E1458CD"/>
    <w:rsid w:val="4E1F4272"/>
    <w:rsid w:val="4E233D62"/>
    <w:rsid w:val="4E235B10"/>
    <w:rsid w:val="4E2F473E"/>
    <w:rsid w:val="4E460F15"/>
    <w:rsid w:val="4E475EAE"/>
    <w:rsid w:val="4E50267E"/>
    <w:rsid w:val="4EB26B12"/>
    <w:rsid w:val="4EC55B2F"/>
    <w:rsid w:val="4EC72940"/>
    <w:rsid w:val="4ECC7F56"/>
    <w:rsid w:val="4ED6632E"/>
    <w:rsid w:val="4ED96B17"/>
    <w:rsid w:val="4EDB7799"/>
    <w:rsid w:val="4EE932AC"/>
    <w:rsid w:val="4F11005F"/>
    <w:rsid w:val="4F165675"/>
    <w:rsid w:val="4F253B0A"/>
    <w:rsid w:val="4F2550BE"/>
    <w:rsid w:val="4F2C37F4"/>
    <w:rsid w:val="4F2C6C47"/>
    <w:rsid w:val="4F3B623D"/>
    <w:rsid w:val="4F3E4570"/>
    <w:rsid w:val="4F41000A"/>
    <w:rsid w:val="4F42646A"/>
    <w:rsid w:val="4F4D2B37"/>
    <w:rsid w:val="4F551F67"/>
    <w:rsid w:val="4F5B752C"/>
    <w:rsid w:val="4F6B59C1"/>
    <w:rsid w:val="4F957301"/>
    <w:rsid w:val="4FA4194D"/>
    <w:rsid w:val="4FA827DD"/>
    <w:rsid w:val="4FB76E58"/>
    <w:rsid w:val="4FC82E13"/>
    <w:rsid w:val="4FDC241B"/>
    <w:rsid w:val="4FE237A9"/>
    <w:rsid w:val="4FE45773"/>
    <w:rsid w:val="4FE45791"/>
    <w:rsid w:val="4FE614EB"/>
    <w:rsid w:val="4FF77255"/>
    <w:rsid w:val="500D0826"/>
    <w:rsid w:val="50150273"/>
    <w:rsid w:val="502D711A"/>
    <w:rsid w:val="50306C0B"/>
    <w:rsid w:val="50310F75"/>
    <w:rsid w:val="50395ABF"/>
    <w:rsid w:val="503D1E33"/>
    <w:rsid w:val="504601DC"/>
    <w:rsid w:val="507C3BFE"/>
    <w:rsid w:val="507C59AC"/>
    <w:rsid w:val="509C7DFC"/>
    <w:rsid w:val="50AB2BA1"/>
    <w:rsid w:val="50AF158D"/>
    <w:rsid w:val="50B031B2"/>
    <w:rsid w:val="50B553B6"/>
    <w:rsid w:val="50B96C00"/>
    <w:rsid w:val="50D6330E"/>
    <w:rsid w:val="50EE68AA"/>
    <w:rsid w:val="51022355"/>
    <w:rsid w:val="510936E3"/>
    <w:rsid w:val="510F05CE"/>
    <w:rsid w:val="510F6820"/>
    <w:rsid w:val="51137A93"/>
    <w:rsid w:val="51165C3E"/>
    <w:rsid w:val="511F6336"/>
    <w:rsid w:val="512B1036"/>
    <w:rsid w:val="513E4F39"/>
    <w:rsid w:val="51416E8D"/>
    <w:rsid w:val="515B3052"/>
    <w:rsid w:val="516C3454"/>
    <w:rsid w:val="51752B27"/>
    <w:rsid w:val="519333E2"/>
    <w:rsid w:val="51986815"/>
    <w:rsid w:val="51A039EA"/>
    <w:rsid w:val="51E21858"/>
    <w:rsid w:val="51E36659"/>
    <w:rsid w:val="51E43809"/>
    <w:rsid w:val="51F351AA"/>
    <w:rsid w:val="51F872B4"/>
    <w:rsid w:val="52075749"/>
    <w:rsid w:val="52100AA2"/>
    <w:rsid w:val="52187956"/>
    <w:rsid w:val="52574038"/>
    <w:rsid w:val="525A142D"/>
    <w:rsid w:val="525B76A6"/>
    <w:rsid w:val="526B3F2A"/>
    <w:rsid w:val="527903F5"/>
    <w:rsid w:val="527E6CE5"/>
    <w:rsid w:val="527F1783"/>
    <w:rsid w:val="528374C6"/>
    <w:rsid w:val="52A01E26"/>
    <w:rsid w:val="52A66D10"/>
    <w:rsid w:val="52DB04A9"/>
    <w:rsid w:val="52DB2E5E"/>
    <w:rsid w:val="52E15F9A"/>
    <w:rsid w:val="52E5023B"/>
    <w:rsid w:val="52EA2791"/>
    <w:rsid w:val="52EA30A1"/>
    <w:rsid w:val="531719BC"/>
    <w:rsid w:val="53177C0E"/>
    <w:rsid w:val="5322325A"/>
    <w:rsid w:val="532365B3"/>
    <w:rsid w:val="532F7053"/>
    <w:rsid w:val="53316F22"/>
    <w:rsid w:val="533B4936"/>
    <w:rsid w:val="533E0261"/>
    <w:rsid w:val="53444904"/>
    <w:rsid w:val="53476745"/>
    <w:rsid w:val="535A6478"/>
    <w:rsid w:val="53852DC9"/>
    <w:rsid w:val="53911D9C"/>
    <w:rsid w:val="539622A1"/>
    <w:rsid w:val="53A96D2C"/>
    <w:rsid w:val="53D77AC9"/>
    <w:rsid w:val="53E47AF0"/>
    <w:rsid w:val="53E70726"/>
    <w:rsid w:val="540510C8"/>
    <w:rsid w:val="541D2DAE"/>
    <w:rsid w:val="543B7649"/>
    <w:rsid w:val="544F3B03"/>
    <w:rsid w:val="54501629"/>
    <w:rsid w:val="545D390A"/>
    <w:rsid w:val="549040A5"/>
    <w:rsid w:val="54B05021"/>
    <w:rsid w:val="54B90F7D"/>
    <w:rsid w:val="54E40012"/>
    <w:rsid w:val="54ED6E78"/>
    <w:rsid w:val="54F55D2D"/>
    <w:rsid w:val="55132239"/>
    <w:rsid w:val="551F0D2D"/>
    <w:rsid w:val="55361CDD"/>
    <w:rsid w:val="554B6FBF"/>
    <w:rsid w:val="555143A4"/>
    <w:rsid w:val="55801A9A"/>
    <w:rsid w:val="558308C7"/>
    <w:rsid w:val="55833339"/>
    <w:rsid w:val="55C749D0"/>
    <w:rsid w:val="55C951EF"/>
    <w:rsid w:val="55D51AF6"/>
    <w:rsid w:val="55DB4F23"/>
    <w:rsid w:val="55DD3509"/>
    <w:rsid w:val="55F26B16"/>
    <w:rsid w:val="55F45FE4"/>
    <w:rsid w:val="561A5A4B"/>
    <w:rsid w:val="56727785"/>
    <w:rsid w:val="56737851"/>
    <w:rsid w:val="56831616"/>
    <w:rsid w:val="56845F1F"/>
    <w:rsid w:val="5696257D"/>
    <w:rsid w:val="569D042A"/>
    <w:rsid w:val="56D4614A"/>
    <w:rsid w:val="56E07A2A"/>
    <w:rsid w:val="56F30A1D"/>
    <w:rsid w:val="56F97D56"/>
    <w:rsid w:val="570C57CE"/>
    <w:rsid w:val="571E5A0F"/>
    <w:rsid w:val="57266671"/>
    <w:rsid w:val="573214BA"/>
    <w:rsid w:val="57571CBA"/>
    <w:rsid w:val="575F1C07"/>
    <w:rsid w:val="57776ECD"/>
    <w:rsid w:val="579F39E7"/>
    <w:rsid w:val="57A858DC"/>
    <w:rsid w:val="57B004F9"/>
    <w:rsid w:val="57B21C5E"/>
    <w:rsid w:val="57B7551B"/>
    <w:rsid w:val="57C543B4"/>
    <w:rsid w:val="57CA0779"/>
    <w:rsid w:val="57EC1669"/>
    <w:rsid w:val="58242BB1"/>
    <w:rsid w:val="584B392F"/>
    <w:rsid w:val="584D65AC"/>
    <w:rsid w:val="586133E2"/>
    <w:rsid w:val="586C08D7"/>
    <w:rsid w:val="58893338"/>
    <w:rsid w:val="58A837E2"/>
    <w:rsid w:val="58B57CAD"/>
    <w:rsid w:val="58B71C77"/>
    <w:rsid w:val="58CD3249"/>
    <w:rsid w:val="58D02427"/>
    <w:rsid w:val="58E14F46"/>
    <w:rsid w:val="58EB1921"/>
    <w:rsid w:val="58EF4A10"/>
    <w:rsid w:val="58F928DB"/>
    <w:rsid w:val="590957CC"/>
    <w:rsid w:val="59162E41"/>
    <w:rsid w:val="591F15CA"/>
    <w:rsid w:val="59232E69"/>
    <w:rsid w:val="594124F9"/>
    <w:rsid w:val="59417793"/>
    <w:rsid w:val="595C281E"/>
    <w:rsid w:val="5978263A"/>
    <w:rsid w:val="597D4C6F"/>
    <w:rsid w:val="598D29D8"/>
    <w:rsid w:val="59AD4C2F"/>
    <w:rsid w:val="59B81CC8"/>
    <w:rsid w:val="59C06909"/>
    <w:rsid w:val="59FE7432"/>
    <w:rsid w:val="5A120EFA"/>
    <w:rsid w:val="5A19426B"/>
    <w:rsid w:val="5A1B7FE4"/>
    <w:rsid w:val="5A21783D"/>
    <w:rsid w:val="5A3B41BB"/>
    <w:rsid w:val="5A47702B"/>
    <w:rsid w:val="5A4A4609"/>
    <w:rsid w:val="5A666D5E"/>
    <w:rsid w:val="5A680816"/>
    <w:rsid w:val="5A734735"/>
    <w:rsid w:val="5A835EE9"/>
    <w:rsid w:val="5A8E2EAB"/>
    <w:rsid w:val="5AA81FF6"/>
    <w:rsid w:val="5AA91A93"/>
    <w:rsid w:val="5AEB1E12"/>
    <w:rsid w:val="5AF96577"/>
    <w:rsid w:val="5B135AB2"/>
    <w:rsid w:val="5B1E2B6F"/>
    <w:rsid w:val="5B286E5C"/>
    <w:rsid w:val="5B593118"/>
    <w:rsid w:val="5B5A55A8"/>
    <w:rsid w:val="5B693952"/>
    <w:rsid w:val="5B751A8B"/>
    <w:rsid w:val="5B7B51DE"/>
    <w:rsid w:val="5B874DB5"/>
    <w:rsid w:val="5B9E711E"/>
    <w:rsid w:val="5BBF3F00"/>
    <w:rsid w:val="5BED775E"/>
    <w:rsid w:val="5BFC7921"/>
    <w:rsid w:val="5C337866"/>
    <w:rsid w:val="5C3A6E47"/>
    <w:rsid w:val="5C3B2BBF"/>
    <w:rsid w:val="5C45759A"/>
    <w:rsid w:val="5C4C26D6"/>
    <w:rsid w:val="5C52370C"/>
    <w:rsid w:val="5C5F065B"/>
    <w:rsid w:val="5C7C7972"/>
    <w:rsid w:val="5C844A63"/>
    <w:rsid w:val="5C901847"/>
    <w:rsid w:val="5C974299"/>
    <w:rsid w:val="5CA73DB1"/>
    <w:rsid w:val="5CB25BCE"/>
    <w:rsid w:val="5CCA72CA"/>
    <w:rsid w:val="5CD524AD"/>
    <w:rsid w:val="5CD556C8"/>
    <w:rsid w:val="5D052C7B"/>
    <w:rsid w:val="5D2370AB"/>
    <w:rsid w:val="5D24642F"/>
    <w:rsid w:val="5D267DAB"/>
    <w:rsid w:val="5D3F42A1"/>
    <w:rsid w:val="5D5616B4"/>
    <w:rsid w:val="5D6323CD"/>
    <w:rsid w:val="5D641CA2"/>
    <w:rsid w:val="5D6D6DA8"/>
    <w:rsid w:val="5D7E2D63"/>
    <w:rsid w:val="5D83037A"/>
    <w:rsid w:val="5D850596"/>
    <w:rsid w:val="5DBE7604"/>
    <w:rsid w:val="5DC0749A"/>
    <w:rsid w:val="5DCE1FA7"/>
    <w:rsid w:val="5DCE5755"/>
    <w:rsid w:val="5DE569D7"/>
    <w:rsid w:val="5E0E1185"/>
    <w:rsid w:val="5E2A6A47"/>
    <w:rsid w:val="5E3B0C54"/>
    <w:rsid w:val="5E4473E0"/>
    <w:rsid w:val="5E55795B"/>
    <w:rsid w:val="5E5B12F6"/>
    <w:rsid w:val="5E7D301B"/>
    <w:rsid w:val="5E8249F3"/>
    <w:rsid w:val="5E8E347A"/>
    <w:rsid w:val="5E8E6FD6"/>
    <w:rsid w:val="5EA93E10"/>
    <w:rsid w:val="5EDB5F93"/>
    <w:rsid w:val="5EE65064"/>
    <w:rsid w:val="5F033926"/>
    <w:rsid w:val="5F047DE2"/>
    <w:rsid w:val="5F1D65AC"/>
    <w:rsid w:val="5F2B6F1B"/>
    <w:rsid w:val="5F3E157F"/>
    <w:rsid w:val="5F4B4EC7"/>
    <w:rsid w:val="5F50254E"/>
    <w:rsid w:val="5F697A43"/>
    <w:rsid w:val="5F824661"/>
    <w:rsid w:val="5F943345"/>
    <w:rsid w:val="5FA41BF6"/>
    <w:rsid w:val="5FB46F10"/>
    <w:rsid w:val="5FBB029F"/>
    <w:rsid w:val="5FE20012"/>
    <w:rsid w:val="5FF4730D"/>
    <w:rsid w:val="60086104"/>
    <w:rsid w:val="60107EBF"/>
    <w:rsid w:val="60366195"/>
    <w:rsid w:val="60471B32"/>
    <w:rsid w:val="607D37A6"/>
    <w:rsid w:val="607F065F"/>
    <w:rsid w:val="608A068D"/>
    <w:rsid w:val="60B1344C"/>
    <w:rsid w:val="60C20EC3"/>
    <w:rsid w:val="60D61269"/>
    <w:rsid w:val="60DB227B"/>
    <w:rsid w:val="60FF41BB"/>
    <w:rsid w:val="61023CAB"/>
    <w:rsid w:val="611A41FB"/>
    <w:rsid w:val="613D4CE3"/>
    <w:rsid w:val="61686BC3"/>
    <w:rsid w:val="619F774C"/>
    <w:rsid w:val="61AB32F4"/>
    <w:rsid w:val="61C3343B"/>
    <w:rsid w:val="61F656FB"/>
    <w:rsid w:val="62022F83"/>
    <w:rsid w:val="62110288"/>
    <w:rsid w:val="62150D2E"/>
    <w:rsid w:val="62203DD2"/>
    <w:rsid w:val="62397BA1"/>
    <w:rsid w:val="623C4F9B"/>
    <w:rsid w:val="62481C53"/>
    <w:rsid w:val="629152E7"/>
    <w:rsid w:val="629D3C8C"/>
    <w:rsid w:val="62A50D92"/>
    <w:rsid w:val="62AE40EB"/>
    <w:rsid w:val="62BE3C02"/>
    <w:rsid w:val="62EA0E9B"/>
    <w:rsid w:val="62EF200D"/>
    <w:rsid w:val="62F67840"/>
    <w:rsid w:val="631D301E"/>
    <w:rsid w:val="631F16B1"/>
    <w:rsid w:val="634405AB"/>
    <w:rsid w:val="63556F97"/>
    <w:rsid w:val="63660521"/>
    <w:rsid w:val="63676048"/>
    <w:rsid w:val="63A66B70"/>
    <w:rsid w:val="63A70597"/>
    <w:rsid w:val="63C74D38"/>
    <w:rsid w:val="63CD67F3"/>
    <w:rsid w:val="63DC6F09"/>
    <w:rsid w:val="63F8360A"/>
    <w:rsid w:val="640D1A65"/>
    <w:rsid w:val="641E2BAA"/>
    <w:rsid w:val="64483E45"/>
    <w:rsid w:val="64596999"/>
    <w:rsid w:val="64664551"/>
    <w:rsid w:val="646A5DEF"/>
    <w:rsid w:val="64781B84"/>
    <w:rsid w:val="64872E45"/>
    <w:rsid w:val="648B0FD2"/>
    <w:rsid w:val="649B069F"/>
    <w:rsid w:val="64A554AA"/>
    <w:rsid w:val="64C80D68"/>
    <w:rsid w:val="650C7AFB"/>
    <w:rsid w:val="65167D25"/>
    <w:rsid w:val="657C0F27"/>
    <w:rsid w:val="658B0713"/>
    <w:rsid w:val="658B3776"/>
    <w:rsid w:val="659571A1"/>
    <w:rsid w:val="65973490"/>
    <w:rsid w:val="65D22252"/>
    <w:rsid w:val="65DF6369"/>
    <w:rsid w:val="65E47E23"/>
    <w:rsid w:val="65ED4F2A"/>
    <w:rsid w:val="65F17205"/>
    <w:rsid w:val="65F362B8"/>
    <w:rsid w:val="661D5DA5"/>
    <w:rsid w:val="66271A47"/>
    <w:rsid w:val="66287D10"/>
    <w:rsid w:val="662E5970"/>
    <w:rsid w:val="6650413E"/>
    <w:rsid w:val="66522FDF"/>
    <w:rsid w:val="665F56FC"/>
    <w:rsid w:val="66613222"/>
    <w:rsid w:val="666845B1"/>
    <w:rsid w:val="66AF7CB4"/>
    <w:rsid w:val="66C33EDD"/>
    <w:rsid w:val="66C9311D"/>
    <w:rsid w:val="66DE3736"/>
    <w:rsid w:val="66EA1469"/>
    <w:rsid w:val="66F65041"/>
    <w:rsid w:val="670C13E0"/>
    <w:rsid w:val="671604B0"/>
    <w:rsid w:val="67242BCD"/>
    <w:rsid w:val="67334BBF"/>
    <w:rsid w:val="673A486F"/>
    <w:rsid w:val="67441712"/>
    <w:rsid w:val="67662C1A"/>
    <w:rsid w:val="6780592A"/>
    <w:rsid w:val="678A3C88"/>
    <w:rsid w:val="67950F68"/>
    <w:rsid w:val="67A07D7A"/>
    <w:rsid w:val="67B101D9"/>
    <w:rsid w:val="67B42E10"/>
    <w:rsid w:val="67DD2D7C"/>
    <w:rsid w:val="67EB7A29"/>
    <w:rsid w:val="68076267"/>
    <w:rsid w:val="681542C4"/>
    <w:rsid w:val="68307350"/>
    <w:rsid w:val="68315CCC"/>
    <w:rsid w:val="683D381B"/>
    <w:rsid w:val="683F3A37"/>
    <w:rsid w:val="68462062"/>
    <w:rsid w:val="684F6460"/>
    <w:rsid w:val="686314D3"/>
    <w:rsid w:val="687847F5"/>
    <w:rsid w:val="68802085"/>
    <w:rsid w:val="688A4CB2"/>
    <w:rsid w:val="68975621"/>
    <w:rsid w:val="68AB4D39"/>
    <w:rsid w:val="68B05B70"/>
    <w:rsid w:val="68B30AF3"/>
    <w:rsid w:val="68CF4DBB"/>
    <w:rsid w:val="68E048D2"/>
    <w:rsid w:val="68EC771B"/>
    <w:rsid w:val="68EE18AA"/>
    <w:rsid w:val="68F90F97"/>
    <w:rsid w:val="69132EFA"/>
    <w:rsid w:val="691F339B"/>
    <w:rsid w:val="69417FC4"/>
    <w:rsid w:val="69496146"/>
    <w:rsid w:val="696C43B8"/>
    <w:rsid w:val="696F3EA8"/>
    <w:rsid w:val="699F29DF"/>
    <w:rsid w:val="69A022B3"/>
    <w:rsid w:val="69A47FF6"/>
    <w:rsid w:val="69D501AF"/>
    <w:rsid w:val="69D7738B"/>
    <w:rsid w:val="69DA0037"/>
    <w:rsid w:val="69DA38BA"/>
    <w:rsid w:val="69DA3A17"/>
    <w:rsid w:val="69DC26B1"/>
    <w:rsid w:val="6A103542"/>
    <w:rsid w:val="6A1E33B7"/>
    <w:rsid w:val="6A2353BE"/>
    <w:rsid w:val="6A397647"/>
    <w:rsid w:val="6A4E5EC5"/>
    <w:rsid w:val="6A7344C2"/>
    <w:rsid w:val="6A7A6FA8"/>
    <w:rsid w:val="6A7BFFE4"/>
    <w:rsid w:val="6A861866"/>
    <w:rsid w:val="6ADC37BF"/>
    <w:rsid w:val="6AEA1A38"/>
    <w:rsid w:val="6AEA7C8A"/>
    <w:rsid w:val="6AF74155"/>
    <w:rsid w:val="6B0625EA"/>
    <w:rsid w:val="6B194614"/>
    <w:rsid w:val="6B1F2492"/>
    <w:rsid w:val="6B250CC2"/>
    <w:rsid w:val="6B3138F7"/>
    <w:rsid w:val="6B321631"/>
    <w:rsid w:val="6B405AFC"/>
    <w:rsid w:val="6B50559A"/>
    <w:rsid w:val="6B5B0B88"/>
    <w:rsid w:val="6B5F1CFB"/>
    <w:rsid w:val="6B6317EA"/>
    <w:rsid w:val="6B8A4FC9"/>
    <w:rsid w:val="6B8F2403"/>
    <w:rsid w:val="6B946502"/>
    <w:rsid w:val="6B9B0F84"/>
    <w:rsid w:val="6BCC3834"/>
    <w:rsid w:val="6BDB3A77"/>
    <w:rsid w:val="6BE75F78"/>
    <w:rsid w:val="6BEA3CBA"/>
    <w:rsid w:val="6BEC17E0"/>
    <w:rsid w:val="6BF16DF6"/>
    <w:rsid w:val="6BF95CAB"/>
    <w:rsid w:val="6C0C3C30"/>
    <w:rsid w:val="6C1D3517"/>
    <w:rsid w:val="6C357C24"/>
    <w:rsid w:val="6C4433CA"/>
    <w:rsid w:val="6C481841"/>
    <w:rsid w:val="6C494E84"/>
    <w:rsid w:val="6C692E30"/>
    <w:rsid w:val="6C757A27"/>
    <w:rsid w:val="6C941525"/>
    <w:rsid w:val="6C9707CF"/>
    <w:rsid w:val="6C97799E"/>
    <w:rsid w:val="6C9F262D"/>
    <w:rsid w:val="6CA939B9"/>
    <w:rsid w:val="6CBC7404"/>
    <w:rsid w:val="6CD81D64"/>
    <w:rsid w:val="6CDE3A47"/>
    <w:rsid w:val="6CE01AA5"/>
    <w:rsid w:val="6CE70C31"/>
    <w:rsid w:val="6CF90658"/>
    <w:rsid w:val="6D0668D1"/>
    <w:rsid w:val="6D0D6267"/>
    <w:rsid w:val="6D6431D6"/>
    <w:rsid w:val="6D6D6950"/>
    <w:rsid w:val="6DC65406"/>
    <w:rsid w:val="6DD70AFF"/>
    <w:rsid w:val="6E04380A"/>
    <w:rsid w:val="6E2E4E0D"/>
    <w:rsid w:val="6E45376A"/>
    <w:rsid w:val="6E6C09B6"/>
    <w:rsid w:val="6E7E5910"/>
    <w:rsid w:val="6E8403F6"/>
    <w:rsid w:val="6EB84B6B"/>
    <w:rsid w:val="6EBC36EB"/>
    <w:rsid w:val="6EC25267"/>
    <w:rsid w:val="6ED76777"/>
    <w:rsid w:val="6EF523D4"/>
    <w:rsid w:val="6F0741F3"/>
    <w:rsid w:val="6F11762D"/>
    <w:rsid w:val="6F3C663E"/>
    <w:rsid w:val="6F4436E1"/>
    <w:rsid w:val="6F5002D8"/>
    <w:rsid w:val="6F565330"/>
    <w:rsid w:val="6F5C4ECE"/>
    <w:rsid w:val="6F5E2169"/>
    <w:rsid w:val="6F7B5355"/>
    <w:rsid w:val="6F946D6A"/>
    <w:rsid w:val="6F974FB6"/>
    <w:rsid w:val="6FB54509"/>
    <w:rsid w:val="6FD25527"/>
    <w:rsid w:val="6FDC257D"/>
    <w:rsid w:val="6FED3D79"/>
    <w:rsid w:val="6FFB46E7"/>
    <w:rsid w:val="700417EE"/>
    <w:rsid w:val="70083D43"/>
    <w:rsid w:val="7016507D"/>
    <w:rsid w:val="708D34F0"/>
    <w:rsid w:val="70903082"/>
    <w:rsid w:val="70AC7E34"/>
    <w:rsid w:val="70AE6490"/>
    <w:rsid w:val="70D0347E"/>
    <w:rsid w:val="70D07578"/>
    <w:rsid w:val="70D31883"/>
    <w:rsid w:val="70E7351F"/>
    <w:rsid w:val="710B6BAC"/>
    <w:rsid w:val="71151CC4"/>
    <w:rsid w:val="71214055"/>
    <w:rsid w:val="71347EB1"/>
    <w:rsid w:val="71467BE4"/>
    <w:rsid w:val="71695D1D"/>
    <w:rsid w:val="716A38D3"/>
    <w:rsid w:val="717604C9"/>
    <w:rsid w:val="718208BF"/>
    <w:rsid w:val="718D7C27"/>
    <w:rsid w:val="71A24560"/>
    <w:rsid w:val="71BF76BF"/>
    <w:rsid w:val="71D47071"/>
    <w:rsid w:val="71D543D4"/>
    <w:rsid w:val="71D97200"/>
    <w:rsid w:val="71DB40C5"/>
    <w:rsid w:val="71F92933"/>
    <w:rsid w:val="71F92EA9"/>
    <w:rsid w:val="71FF5C56"/>
    <w:rsid w:val="72037883"/>
    <w:rsid w:val="72083B6E"/>
    <w:rsid w:val="721E646B"/>
    <w:rsid w:val="72213D09"/>
    <w:rsid w:val="72395894"/>
    <w:rsid w:val="723C307A"/>
    <w:rsid w:val="723C7677"/>
    <w:rsid w:val="72532AAB"/>
    <w:rsid w:val="72616D5F"/>
    <w:rsid w:val="72771BDA"/>
    <w:rsid w:val="72791CF0"/>
    <w:rsid w:val="728C069E"/>
    <w:rsid w:val="72D05AEC"/>
    <w:rsid w:val="72D231ED"/>
    <w:rsid w:val="72D7408E"/>
    <w:rsid w:val="72D944CE"/>
    <w:rsid w:val="72DE474E"/>
    <w:rsid w:val="72E15E16"/>
    <w:rsid w:val="72E31ADA"/>
    <w:rsid w:val="72EB27F1"/>
    <w:rsid w:val="730B69EF"/>
    <w:rsid w:val="731F693F"/>
    <w:rsid w:val="73375A36"/>
    <w:rsid w:val="73552361"/>
    <w:rsid w:val="73B928EF"/>
    <w:rsid w:val="73C973F1"/>
    <w:rsid w:val="73DC65DE"/>
    <w:rsid w:val="73F00142"/>
    <w:rsid w:val="74220495"/>
    <w:rsid w:val="74273CFD"/>
    <w:rsid w:val="74312486"/>
    <w:rsid w:val="74324450"/>
    <w:rsid w:val="743A09F5"/>
    <w:rsid w:val="743C0E2B"/>
    <w:rsid w:val="745368A0"/>
    <w:rsid w:val="746E1D09"/>
    <w:rsid w:val="74716D26"/>
    <w:rsid w:val="748C4322"/>
    <w:rsid w:val="748D0B8F"/>
    <w:rsid w:val="7491561A"/>
    <w:rsid w:val="74BD4A2C"/>
    <w:rsid w:val="74BF79A8"/>
    <w:rsid w:val="74C27582"/>
    <w:rsid w:val="74D8338F"/>
    <w:rsid w:val="74E12CBB"/>
    <w:rsid w:val="7507768A"/>
    <w:rsid w:val="751E2DB2"/>
    <w:rsid w:val="7521699E"/>
    <w:rsid w:val="753609E7"/>
    <w:rsid w:val="753753AB"/>
    <w:rsid w:val="753A7A60"/>
    <w:rsid w:val="753F36F1"/>
    <w:rsid w:val="75410DEE"/>
    <w:rsid w:val="754937FF"/>
    <w:rsid w:val="754E350B"/>
    <w:rsid w:val="75633769"/>
    <w:rsid w:val="75755C03"/>
    <w:rsid w:val="757A7E5C"/>
    <w:rsid w:val="75835598"/>
    <w:rsid w:val="75994786"/>
    <w:rsid w:val="75A650F5"/>
    <w:rsid w:val="75BA57C4"/>
    <w:rsid w:val="75BA6C76"/>
    <w:rsid w:val="75BE41ED"/>
    <w:rsid w:val="75C537CD"/>
    <w:rsid w:val="75CE45CC"/>
    <w:rsid w:val="75D221BE"/>
    <w:rsid w:val="760D6F22"/>
    <w:rsid w:val="762B73A9"/>
    <w:rsid w:val="76377AFB"/>
    <w:rsid w:val="76524935"/>
    <w:rsid w:val="765B5EE0"/>
    <w:rsid w:val="765B7C8E"/>
    <w:rsid w:val="766C59F7"/>
    <w:rsid w:val="769A6A08"/>
    <w:rsid w:val="76B63116"/>
    <w:rsid w:val="770B16B4"/>
    <w:rsid w:val="7722255A"/>
    <w:rsid w:val="77242776"/>
    <w:rsid w:val="772B7660"/>
    <w:rsid w:val="773600ED"/>
    <w:rsid w:val="77460CC4"/>
    <w:rsid w:val="775C1F10"/>
    <w:rsid w:val="77642B72"/>
    <w:rsid w:val="776A4461"/>
    <w:rsid w:val="777036C6"/>
    <w:rsid w:val="77730127"/>
    <w:rsid w:val="77731007"/>
    <w:rsid w:val="777C7EBC"/>
    <w:rsid w:val="777E374F"/>
    <w:rsid w:val="77847AC3"/>
    <w:rsid w:val="77A931E4"/>
    <w:rsid w:val="77BD36DA"/>
    <w:rsid w:val="77D45F4A"/>
    <w:rsid w:val="77EB2E35"/>
    <w:rsid w:val="77F44883"/>
    <w:rsid w:val="781445D4"/>
    <w:rsid w:val="78160075"/>
    <w:rsid w:val="781D2778"/>
    <w:rsid w:val="78342545"/>
    <w:rsid w:val="78452AE4"/>
    <w:rsid w:val="784D3606"/>
    <w:rsid w:val="784F0609"/>
    <w:rsid w:val="786D3CA8"/>
    <w:rsid w:val="78753333"/>
    <w:rsid w:val="78765870"/>
    <w:rsid w:val="78787717"/>
    <w:rsid w:val="78AF2513"/>
    <w:rsid w:val="78B32769"/>
    <w:rsid w:val="78B362FF"/>
    <w:rsid w:val="78BB0EB8"/>
    <w:rsid w:val="78CD7367"/>
    <w:rsid w:val="78D41626"/>
    <w:rsid w:val="78D97FEB"/>
    <w:rsid w:val="78E26444"/>
    <w:rsid w:val="792425B9"/>
    <w:rsid w:val="792702FB"/>
    <w:rsid w:val="792E7DE9"/>
    <w:rsid w:val="794F7227"/>
    <w:rsid w:val="7984574E"/>
    <w:rsid w:val="79A34CD6"/>
    <w:rsid w:val="79AA6DD2"/>
    <w:rsid w:val="79AC4C41"/>
    <w:rsid w:val="79BA2F1D"/>
    <w:rsid w:val="79BA6E69"/>
    <w:rsid w:val="79D044EF"/>
    <w:rsid w:val="79DA35C0"/>
    <w:rsid w:val="79F92D8F"/>
    <w:rsid w:val="7A041D0B"/>
    <w:rsid w:val="7A083C89"/>
    <w:rsid w:val="7A122D59"/>
    <w:rsid w:val="7A3819F4"/>
    <w:rsid w:val="7A3902E6"/>
    <w:rsid w:val="7A3C2DEE"/>
    <w:rsid w:val="7A5C5D83"/>
    <w:rsid w:val="7A666C01"/>
    <w:rsid w:val="7A877EFA"/>
    <w:rsid w:val="7A901B73"/>
    <w:rsid w:val="7AC027B5"/>
    <w:rsid w:val="7ACC3210"/>
    <w:rsid w:val="7AE85868"/>
    <w:rsid w:val="7AF1471D"/>
    <w:rsid w:val="7B276391"/>
    <w:rsid w:val="7B346CFF"/>
    <w:rsid w:val="7B354F51"/>
    <w:rsid w:val="7B4231CA"/>
    <w:rsid w:val="7B5F392D"/>
    <w:rsid w:val="7B8732D3"/>
    <w:rsid w:val="7B8A3624"/>
    <w:rsid w:val="7B8C6350"/>
    <w:rsid w:val="7BB331C4"/>
    <w:rsid w:val="7BB340C8"/>
    <w:rsid w:val="7BC97448"/>
    <w:rsid w:val="7BCB5C34"/>
    <w:rsid w:val="7C013085"/>
    <w:rsid w:val="7C0755E3"/>
    <w:rsid w:val="7C0E12FE"/>
    <w:rsid w:val="7C1014C2"/>
    <w:rsid w:val="7C1A601F"/>
    <w:rsid w:val="7C490589"/>
    <w:rsid w:val="7C5E2286"/>
    <w:rsid w:val="7C6B04FF"/>
    <w:rsid w:val="7C6D3765"/>
    <w:rsid w:val="7C7E1DBC"/>
    <w:rsid w:val="7C7E7CDC"/>
    <w:rsid w:val="7CA66056"/>
    <w:rsid w:val="7CAA1027"/>
    <w:rsid w:val="7CB400F8"/>
    <w:rsid w:val="7CB77BE8"/>
    <w:rsid w:val="7CC06A9D"/>
    <w:rsid w:val="7CD70323"/>
    <w:rsid w:val="7CF66E16"/>
    <w:rsid w:val="7D047248"/>
    <w:rsid w:val="7D0E5A5A"/>
    <w:rsid w:val="7D1B0177"/>
    <w:rsid w:val="7D1E3461"/>
    <w:rsid w:val="7D3E7A94"/>
    <w:rsid w:val="7D6D3609"/>
    <w:rsid w:val="7D8555F0"/>
    <w:rsid w:val="7D8775BA"/>
    <w:rsid w:val="7D8E26E1"/>
    <w:rsid w:val="7DA41F1A"/>
    <w:rsid w:val="7DB14637"/>
    <w:rsid w:val="7DB54CF6"/>
    <w:rsid w:val="7DDB3462"/>
    <w:rsid w:val="7DDD367E"/>
    <w:rsid w:val="7DF95728"/>
    <w:rsid w:val="7E0B3D48"/>
    <w:rsid w:val="7E152E18"/>
    <w:rsid w:val="7E3248B2"/>
    <w:rsid w:val="7E366F03"/>
    <w:rsid w:val="7E7A711F"/>
    <w:rsid w:val="7E865AC4"/>
    <w:rsid w:val="7E883D02"/>
    <w:rsid w:val="7E91163C"/>
    <w:rsid w:val="7E963060"/>
    <w:rsid w:val="7EA83D71"/>
    <w:rsid w:val="7EAA3560"/>
    <w:rsid w:val="7ECC2A13"/>
    <w:rsid w:val="7ED92098"/>
    <w:rsid w:val="7EE26C6D"/>
    <w:rsid w:val="7EE37C3B"/>
    <w:rsid w:val="7EE4674F"/>
    <w:rsid w:val="7EEC6E5C"/>
    <w:rsid w:val="7EEF6D5A"/>
    <w:rsid w:val="7EF237DA"/>
    <w:rsid w:val="7EFC7B34"/>
    <w:rsid w:val="7F010C19"/>
    <w:rsid w:val="7F043C8F"/>
    <w:rsid w:val="7F0C014F"/>
    <w:rsid w:val="7F102CFA"/>
    <w:rsid w:val="7F453289"/>
    <w:rsid w:val="7F5C5B95"/>
    <w:rsid w:val="7F5E259D"/>
    <w:rsid w:val="7F78365F"/>
    <w:rsid w:val="7F792F33"/>
    <w:rsid w:val="7F7D6EC7"/>
    <w:rsid w:val="7F9B559F"/>
    <w:rsid w:val="7FBC4447"/>
    <w:rsid w:val="7FF54CAF"/>
    <w:rsid w:val="7FFF78DC"/>
    <w:rsid w:val="BBAA3338"/>
    <w:rsid w:val="EEEF10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uiPriority="39" w:name="toc 4" w:locked="1"/>
    <w:lsdException w:uiPriority="39" w:name="toc 5" w:locked="1"/>
    <w:lsdException w:uiPriority="39" w:name="toc 6" w:locked="1"/>
    <w:lsdException w:uiPriority="39" w:name="toc 7" w:locked="1"/>
    <w:lsdException w:uiPriority="39" w:name="toc 8" w:locked="1"/>
    <w:lsdException w:qFormat="1" w:unhideWhenUsed="0" w:uiPriority="0" w:semiHidden="0" w:name="toc 9" w:locked="1"/>
    <w:lsdException w:qFormat="1" w:unhideWhenUsed="0" w:uiPriority="99" w:semiHidden="0" w:name="Normal Indent"/>
    <w:lsdException w:uiPriority="99" w:name="footnote text" w:locked="1"/>
    <w:lsdException w:qFormat="1" w:uiPriority="99" w:name="annotation text" w:locked="1"/>
    <w:lsdException w:qFormat="1" w:unhideWhenUsed="0" w:uiPriority="0"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qFormat="1" w:uiPriority="99" w:semiHidden="0" w:name="envelope return" w:locked="1"/>
    <w:lsdException w:uiPriority="99" w:name="footnote reference" w:locked="1"/>
    <w:lsdException w:qFormat="1"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qFormat="1" w:unhideWhenUsed="0" w:uiPriority="99" w:semiHidden="0" w:name="List 4"/>
    <w:lsdException w:qFormat="1" w:unhideWhenUsed="0" w:uiPriority="99" w:semiHidden="0"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qFormat="1"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qFormat="1" w:uiPriority="99" w:semiHidden="0" w:name="Body Text First Indent" w:locked="1"/>
    <w:lsdException w:qFormat="1" w:unhideWhenUsed="0" w:uiPriority="0" w:semiHidden="0" w:name="Body Text First Indent 2" w:locked="1"/>
    <w:lsdException w:uiPriority="99" w:name="Note Heading" w:locked="1"/>
    <w:lsdException w:qFormat="1" w:unhideWhenUsed="0" w:uiPriority="99" w:semiHidden="0" w:name="Body Text 2"/>
    <w:lsdException w:uiPriority="99" w:name="Body Text 3" w:locked="1"/>
    <w:lsdException w:qFormat="1" w:unhideWhenUsed="0" w:uiPriority="99" w:semiHidden="0" w:name="Body Text Indent 2"/>
    <w:lsdException w:qFormat="1" w:unhideWhenUsed="0" w:uiPriority="99" w:semiHidden="0" w:name="Body Text Indent 3"/>
    <w:lsdException w:uiPriority="99" w:name="Block Text" w:locked="1"/>
    <w:lsdException w:qFormat="1" w:unhideWhenUsed="0" w:uiPriority="99" w:semiHidden="0" w:name="Hyperlink"/>
    <w:lsdException w:qFormat="1" w:uiPriority="99" w:semiHidden="0" w:name="FollowedHyperlink" w:locked="1"/>
    <w:lsdException w:qFormat="1" w:unhideWhenUsed="0" w:uiPriority="99" w:semiHidden="0" w:name="Strong"/>
    <w:lsdException w:qFormat="1" w:unhideWhenUsed="0" w:uiPriority="20" w:semiHidden="0" w:name="Emphasis" w:locked="1"/>
    <w:lsdException w:qFormat="1" w:unhideWhenUsed="0" w:uiPriority="99" w:name="Document Map"/>
    <w:lsdException w:qFormat="1" w:unhideWhenUsed="0" w:uiPriority="0" w:semiHidden="0" w:name="Plain Text"/>
    <w:lsdException w:uiPriority="99" w:name="E-mail Signature" w:locked="1"/>
    <w:lsdException w:qFormat="1" w:uiPriority="99" w:semiHidden="0" w:name="Normal (Web)" w:locked="1"/>
    <w:lsdException w:qFormat="1" w:uiPriority="99" w:name="HTML Acronym" w:locked="1"/>
    <w:lsdException w:uiPriority="99" w:name="HTML Address" w:locked="1"/>
    <w:lsdException w:qFormat="1" w:uiPriority="99" w:name="HTML Cite" w:locked="1"/>
    <w:lsdException w:qFormat="1" w:uiPriority="99" w:name="HTML Code" w:locked="1"/>
    <w:lsdException w:qFormat="1" w:uiPriority="99" w:name="HTML Definition" w:locked="1"/>
    <w:lsdException w:qFormat="1" w:uiPriority="99" w:name="HTML Keyboard" w:locked="1"/>
    <w:lsdException w:uiPriority="99" w:name="HTML Preformatted" w:locked="1"/>
    <w:lsdException w:qFormat="1" w:uiPriority="99" w:name="HTML Sample" w:locked="1"/>
    <w:lsdException w:qFormat="1" w:uiPriority="99" w:name="HTML Typewriter" w:locked="1"/>
    <w:lsdException w:qFormat="1" w:uiPriority="99" w:name="HTML Variable" w:locked="1"/>
    <w:lsdException w:qFormat="1" w:uiPriority="99" w:name="Normal Table"/>
    <w:lsdException w:qFormat="1" w:uiPriority="99" w:name="annotation subject" w:locked="1"/>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95"/>
    <w:autoRedefine/>
    <w:qFormat/>
    <w:uiPriority w:val="99"/>
    <w:pPr>
      <w:keepNext/>
      <w:keepLines/>
      <w:numPr>
        <w:ilvl w:val="0"/>
        <w:numId w:val="1"/>
      </w:numPr>
      <w:adjustRightInd w:val="0"/>
      <w:spacing w:before="160" w:after="160" w:line="160" w:lineRule="atLeast"/>
      <w:textAlignment w:val="baseline"/>
      <w:outlineLvl w:val="0"/>
    </w:pPr>
    <w:rPr>
      <w:rFonts w:ascii="黑体" w:eastAsia="黑体"/>
      <w:kern w:val="44"/>
      <w:sz w:val="32"/>
      <w:szCs w:val="20"/>
    </w:rPr>
  </w:style>
  <w:style w:type="paragraph" w:styleId="3">
    <w:name w:val="heading 2"/>
    <w:basedOn w:val="1"/>
    <w:next w:val="1"/>
    <w:link w:val="162"/>
    <w:qFormat/>
    <w:uiPriority w:val="99"/>
    <w:pPr>
      <w:keepNext/>
      <w:keepLines/>
      <w:adjustRightInd w:val="0"/>
      <w:spacing w:before="120" w:after="120" w:line="160" w:lineRule="atLeast"/>
      <w:jc w:val="center"/>
      <w:textAlignment w:val="baseline"/>
      <w:outlineLvl w:val="1"/>
    </w:pPr>
    <w:rPr>
      <w:rFonts w:ascii="宋体" w:hAnsi="宋体" w:cs="宋体"/>
      <w:b/>
      <w:kern w:val="0"/>
      <w:sz w:val="30"/>
      <w:szCs w:val="20"/>
    </w:rPr>
  </w:style>
  <w:style w:type="paragraph" w:styleId="4">
    <w:name w:val="heading 3"/>
    <w:basedOn w:val="1"/>
    <w:next w:val="1"/>
    <w:link w:val="61"/>
    <w:autoRedefine/>
    <w:qFormat/>
    <w:uiPriority w:val="99"/>
    <w:pPr>
      <w:keepNext/>
      <w:keepLines/>
      <w:numPr>
        <w:ilvl w:val="2"/>
        <w:numId w:val="1"/>
      </w:numPr>
      <w:adjustRightInd w:val="0"/>
      <w:spacing w:before="160" w:after="160" w:line="160" w:lineRule="atLeast"/>
      <w:ind w:left="0"/>
      <w:textAlignment w:val="baseline"/>
      <w:outlineLvl w:val="2"/>
    </w:pPr>
    <w:rPr>
      <w:rFonts w:ascii="宋体"/>
      <w:b/>
      <w:kern w:val="0"/>
      <w:sz w:val="28"/>
      <w:szCs w:val="20"/>
    </w:rPr>
  </w:style>
  <w:style w:type="paragraph" w:styleId="5">
    <w:name w:val="heading 4"/>
    <w:basedOn w:val="1"/>
    <w:next w:val="1"/>
    <w:link w:val="60"/>
    <w:autoRedefine/>
    <w:qFormat/>
    <w:uiPriority w:val="99"/>
    <w:pPr>
      <w:keepNext/>
      <w:keepLines/>
      <w:numPr>
        <w:ilvl w:val="3"/>
        <w:numId w:val="1"/>
      </w:numPr>
      <w:adjustRightInd w:val="0"/>
      <w:spacing w:before="280" w:after="290" w:line="376" w:lineRule="atLeast"/>
      <w:textAlignment w:val="baseline"/>
      <w:outlineLvl w:val="3"/>
    </w:pPr>
    <w:rPr>
      <w:rFonts w:ascii="Arial" w:hAnsi="Arial" w:eastAsia="黑体"/>
      <w:b/>
      <w:kern w:val="0"/>
      <w:sz w:val="28"/>
      <w:szCs w:val="20"/>
    </w:rPr>
  </w:style>
  <w:style w:type="paragraph" w:styleId="6">
    <w:name w:val="heading 5"/>
    <w:basedOn w:val="1"/>
    <w:next w:val="1"/>
    <w:link w:val="97"/>
    <w:autoRedefine/>
    <w:qFormat/>
    <w:uiPriority w:val="99"/>
    <w:pPr>
      <w:keepNext/>
      <w:keepLines/>
      <w:numPr>
        <w:ilvl w:val="4"/>
        <w:numId w:val="1"/>
      </w:numPr>
      <w:adjustRightInd w:val="0"/>
      <w:spacing w:before="280" w:after="290" w:line="376" w:lineRule="atLeast"/>
      <w:textAlignment w:val="baseline"/>
      <w:outlineLvl w:val="4"/>
    </w:pPr>
    <w:rPr>
      <w:b/>
      <w:kern w:val="0"/>
      <w:sz w:val="28"/>
      <w:szCs w:val="20"/>
    </w:rPr>
  </w:style>
  <w:style w:type="paragraph" w:styleId="7">
    <w:name w:val="heading 6"/>
    <w:basedOn w:val="1"/>
    <w:next w:val="1"/>
    <w:link w:val="98"/>
    <w:autoRedefine/>
    <w:qFormat/>
    <w:uiPriority w:val="99"/>
    <w:pPr>
      <w:keepNext/>
      <w:keepLines/>
      <w:numPr>
        <w:ilvl w:val="5"/>
        <w:numId w:val="1"/>
      </w:numPr>
      <w:adjustRightInd w:val="0"/>
      <w:spacing w:before="240" w:after="64" w:line="320" w:lineRule="atLeast"/>
      <w:textAlignment w:val="baseline"/>
      <w:outlineLvl w:val="5"/>
    </w:pPr>
    <w:rPr>
      <w:rFonts w:ascii="Arial" w:hAnsi="Arial" w:eastAsia="黑体"/>
      <w:b/>
      <w:kern w:val="0"/>
      <w:sz w:val="24"/>
      <w:szCs w:val="20"/>
    </w:rPr>
  </w:style>
  <w:style w:type="paragraph" w:styleId="8">
    <w:name w:val="heading 7"/>
    <w:basedOn w:val="1"/>
    <w:next w:val="1"/>
    <w:link w:val="99"/>
    <w:autoRedefine/>
    <w:qFormat/>
    <w:uiPriority w:val="99"/>
    <w:pPr>
      <w:keepNext/>
      <w:keepLines/>
      <w:numPr>
        <w:ilvl w:val="6"/>
        <w:numId w:val="1"/>
      </w:numPr>
      <w:adjustRightInd w:val="0"/>
      <w:spacing w:before="240" w:after="64" w:line="320" w:lineRule="atLeast"/>
      <w:textAlignment w:val="baseline"/>
      <w:outlineLvl w:val="6"/>
    </w:pPr>
    <w:rPr>
      <w:b/>
      <w:kern w:val="0"/>
      <w:sz w:val="24"/>
      <w:szCs w:val="20"/>
    </w:rPr>
  </w:style>
  <w:style w:type="paragraph" w:styleId="9">
    <w:name w:val="heading 8"/>
    <w:basedOn w:val="1"/>
    <w:next w:val="1"/>
    <w:link w:val="100"/>
    <w:autoRedefine/>
    <w:qFormat/>
    <w:uiPriority w:val="99"/>
    <w:pPr>
      <w:keepNext/>
      <w:keepLines/>
      <w:numPr>
        <w:ilvl w:val="7"/>
        <w:numId w:val="1"/>
      </w:numPr>
      <w:adjustRightInd w:val="0"/>
      <w:spacing w:before="240" w:after="64" w:line="320" w:lineRule="atLeast"/>
      <w:textAlignment w:val="baseline"/>
      <w:outlineLvl w:val="7"/>
    </w:pPr>
    <w:rPr>
      <w:rFonts w:ascii="Arial" w:hAnsi="Arial" w:eastAsia="黑体"/>
      <w:kern w:val="0"/>
      <w:sz w:val="24"/>
      <w:szCs w:val="20"/>
    </w:rPr>
  </w:style>
  <w:style w:type="paragraph" w:styleId="10">
    <w:name w:val="heading 9"/>
    <w:basedOn w:val="1"/>
    <w:next w:val="1"/>
    <w:link w:val="101"/>
    <w:autoRedefine/>
    <w:qFormat/>
    <w:uiPriority w:val="99"/>
    <w:pPr>
      <w:keepNext/>
      <w:keepLines/>
      <w:numPr>
        <w:ilvl w:val="8"/>
        <w:numId w:val="1"/>
      </w:numPr>
      <w:adjustRightInd w:val="0"/>
      <w:spacing w:before="240" w:after="64" w:line="320" w:lineRule="atLeast"/>
      <w:textAlignment w:val="baseline"/>
      <w:outlineLvl w:val="8"/>
    </w:pPr>
    <w:rPr>
      <w:rFonts w:ascii="Arial" w:hAnsi="Arial" w:eastAsia="黑体"/>
      <w:kern w:val="0"/>
      <w:szCs w:val="20"/>
    </w:rPr>
  </w:style>
  <w:style w:type="character" w:default="1" w:styleId="40">
    <w:name w:val="Default Paragraph Font"/>
    <w:autoRedefine/>
    <w:semiHidden/>
    <w:unhideWhenUsed/>
    <w:qFormat/>
    <w:uiPriority w:val="1"/>
  </w:style>
  <w:style w:type="table" w:default="1" w:styleId="38">
    <w:name w:val="Normal Table"/>
    <w:autoRedefine/>
    <w:semiHidden/>
    <w:unhideWhenUsed/>
    <w:qFormat/>
    <w:uiPriority w:val="99"/>
    <w:tblPr>
      <w:tblCellMar>
        <w:top w:w="0" w:type="dxa"/>
        <w:left w:w="108" w:type="dxa"/>
        <w:bottom w:w="0" w:type="dxa"/>
        <w:right w:w="108" w:type="dxa"/>
      </w:tblCellMar>
    </w:tblPr>
  </w:style>
  <w:style w:type="paragraph" w:styleId="11">
    <w:name w:val="Normal Indent"/>
    <w:basedOn w:val="1"/>
    <w:next w:val="12"/>
    <w:autoRedefine/>
    <w:qFormat/>
    <w:uiPriority w:val="99"/>
    <w:pPr>
      <w:ind w:firstLine="420"/>
    </w:pPr>
    <w:rPr>
      <w:szCs w:val="20"/>
    </w:rPr>
  </w:style>
  <w:style w:type="paragraph" w:styleId="12">
    <w:name w:val="Body Text 2"/>
    <w:basedOn w:val="1"/>
    <w:link w:val="112"/>
    <w:autoRedefine/>
    <w:qFormat/>
    <w:uiPriority w:val="99"/>
    <w:pPr>
      <w:autoSpaceDE w:val="0"/>
      <w:autoSpaceDN w:val="0"/>
      <w:adjustRightInd w:val="0"/>
      <w:spacing w:line="480" w:lineRule="exact"/>
      <w:jc w:val="left"/>
    </w:pPr>
    <w:rPr>
      <w:rFonts w:ascii="宋体" w:hAnsi="宋体"/>
      <w:color w:val="000000"/>
      <w:kern w:val="0"/>
      <w:sz w:val="24"/>
    </w:rPr>
  </w:style>
  <w:style w:type="paragraph" w:styleId="13">
    <w:name w:val="Document Map"/>
    <w:basedOn w:val="1"/>
    <w:link w:val="102"/>
    <w:autoRedefine/>
    <w:semiHidden/>
    <w:qFormat/>
    <w:uiPriority w:val="99"/>
    <w:pPr>
      <w:shd w:val="clear" w:color="auto" w:fill="000080"/>
    </w:pPr>
  </w:style>
  <w:style w:type="paragraph" w:styleId="14">
    <w:name w:val="annotation text"/>
    <w:basedOn w:val="1"/>
    <w:link w:val="142"/>
    <w:autoRedefine/>
    <w:semiHidden/>
    <w:unhideWhenUsed/>
    <w:qFormat/>
    <w:locked/>
    <w:uiPriority w:val="99"/>
    <w:pPr>
      <w:jc w:val="left"/>
    </w:pPr>
  </w:style>
  <w:style w:type="paragraph" w:styleId="15">
    <w:name w:val="Body Text"/>
    <w:basedOn w:val="1"/>
    <w:next w:val="1"/>
    <w:link w:val="103"/>
    <w:autoRedefine/>
    <w:qFormat/>
    <w:uiPriority w:val="99"/>
    <w:pPr>
      <w:spacing w:line="480" w:lineRule="exact"/>
    </w:pPr>
    <w:rPr>
      <w:rFonts w:ascii="宋体" w:hAnsi="宋体"/>
      <w:sz w:val="24"/>
    </w:rPr>
  </w:style>
  <w:style w:type="paragraph" w:styleId="16">
    <w:name w:val="Body Text Indent"/>
    <w:basedOn w:val="1"/>
    <w:link w:val="104"/>
    <w:autoRedefine/>
    <w:qFormat/>
    <w:uiPriority w:val="99"/>
    <w:pPr>
      <w:tabs>
        <w:tab w:val="left" w:pos="945"/>
        <w:tab w:val="left" w:pos="1155"/>
      </w:tabs>
      <w:ind w:firstLine="435"/>
    </w:pPr>
    <w:rPr>
      <w:rFonts w:ascii="宋体"/>
      <w:sz w:val="24"/>
      <w:szCs w:val="20"/>
    </w:rPr>
  </w:style>
  <w:style w:type="paragraph" w:styleId="17">
    <w:name w:val="toc 3"/>
    <w:basedOn w:val="1"/>
    <w:next w:val="1"/>
    <w:autoRedefine/>
    <w:qFormat/>
    <w:uiPriority w:val="39"/>
    <w:pPr>
      <w:ind w:left="840" w:leftChars="400"/>
    </w:pPr>
  </w:style>
  <w:style w:type="paragraph" w:styleId="18">
    <w:name w:val="Plain Text"/>
    <w:basedOn w:val="1"/>
    <w:link w:val="105"/>
    <w:autoRedefine/>
    <w:qFormat/>
    <w:uiPriority w:val="0"/>
    <w:rPr>
      <w:rFonts w:ascii="宋体" w:hAnsi="Courier New"/>
      <w:szCs w:val="20"/>
    </w:rPr>
  </w:style>
  <w:style w:type="paragraph" w:styleId="19">
    <w:name w:val="Date"/>
    <w:basedOn w:val="1"/>
    <w:next w:val="1"/>
    <w:link w:val="106"/>
    <w:autoRedefine/>
    <w:qFormat/>
    <w:uiPriority w:val="99"/>
    <w:rPr>
      <w:rFonts w:ascii="宋体"/>
      <w:sz w:val="32"/>
      <w:szCs w:val="20"/>
    </w:rPr>
  </w:style>
  <w:style w:type="paragraph" w:styleId="20">
    <w:name w:val="Body Text Indent 2"/>
    <w:basedOn w:val="1"/>
    <w:link w:val="107"/>
    <w:autoRedefine/>
    <w:qFormat/>
    <w:uiPriority w:val="99"/>
    <w:pPr>
      <w:ind w:firstLine="630"/>
    </w:pPr>
    <w:rPr>
      <w:rFonts w:ascii="宋体"/>
      <w:sz w:val="32"/>
      <w:szCs w:val="20"/>
    </w:rPr>
  </w:style>
  <w:style w:type="paragraph" w:styleId="21">
    <w:name w:val="Balloon Text"/>
    <w:basedOn w:val="1"/>
    <w:link w:val="108"/>
    <w:autoRedefine/>
    <w:semiHidden/>
    <w:qFormat/>
    <w:uiPriority w:val="99"/>
    <w:rPr>
      <w:sz w:val="18"/>
      <w:szCs w:val="18"/>
    </w:rPr>
  </w:style>
  <w:style w:type="paragraph" w:styleId="22">
    <w:name w:val="footer"/>
    <w:basedOn w:val="1"/>
    <w:link w:val="109"/>
    <w:autoRedefine/>
    <w:qFormat/>
    <w:uiPriority w:val="99"/>
    <w:pPr>
      <w:tabs>
        <w:tab w:val="center" w:pos="4153"/>
        <w:tab w:val="right" w:pos="8306"/>
      </w:tabs>
      <w:snapToGrid w:val="0"/>
      <w:jc w:val="left"/>
    </w:pPr>
    <w:rPr>
      <w:sz w:val="18"/>
      <w:szCs w:val="20"/>
    </w:rPr>
  </w:style>
  <w:style w:type="paragraph" w:styleId="23">
    <w:name w:val="envelope return"/>
    <w:basedOn w:val="1"/>
    <w:autoRedefine/>
    <w:unhideWhenUsed/>
    <w:qFormat/>
    <w:locked/>
    <w:uiPriority w:val="99"/>
    <w:pPr>
      <w:snapToGrid w:val="0"/>
    </w:pPr>
    <w:rPr>
      <w:rFonts w:ascii="Arial" w:hAnsi="Arial"/>
    </w:rPr>
  </w:style>
  <w:style w:type="paragraph" w:styleId="24">
    <w:name w:val="header"/>
    <w:basedOn w:val="1"/>
    <w:link w:val="110"/>
    <w:autoRedefine/>
    <w:qFormat/>
    <w:uiPriority w:val="0"/>
    <w:pPr>
      <w:pBdr>
        <w:bottom w:val="single" w:color="auto" w:sz="6" w:space="1"/>
      </w:pBdr>
      <w:tabs>
        <w:tab w:val="center" w:pos="4153"/>
        <w:tab w:val="right" w:pos="8306"/>
      </w:tabs>
      <w:snapToGrid w:val="0"/>
      <w:jc w:val="center"/>
    </w:pPr>
    <w:rPr>
      <w:sz w:val="18"/>
      <w:szCs w:val="20"/>
    </w:rPr>
  </w:style>
  <w:style w:type="paragraph" w:styleId="25">
    <w:name w:val="toc 1"/>
    <w:basedOn w:val="1"/>
    <w:next w:val="1"/>
    <w:autoRedefine/>
    <w:qFormat/>
    <w:uiPriority w:val="39"/>
    <w:pPr>
      <w:spacing w:line="360" w:lineRule="auto"/>
    </w:pPr>
    <w:rPr>
      <w:sz w:val="24"/>
    </w:rPr>
  </w:style>
  <w:style w:type="paragraph" w:styleId="26">
    <w:name w:val="Subtitle"/>
    <w:basedOn w:val="1"/>
    <w:next w:val="1"/>
    <w:autoRedefine/>
    <w:qFormat/>
    <w:locked/>
    <w:uiPriority w:val="11"/>
    <w:pPr>
      <w:spacing w:before="240" w:after="60" w:line="312" w:lineRule="auto"/>
      <w:jc w:val="center"/>
      <w:outlineLvl w:val="1"/>
    </w:pPr>
    <w:rPr>
      <w:rFonts w:asciiTheme="majorHAnsi" w:hAnsiTheme="majorHAnsi" w:cstheme="majorBidi"/>
      <w:b/>
      <w:bCs/>
      <w:kern w:val="28"/>
      <w:sz w:val="32"/>
      <w:szCs w:val="32"/>
    </w:rPr>
  </w:style>
  <w:style w:type="paragraph" w:styleId="27">
    <w:name w:val="List 5"/>
    <w:basedOn w:val="1"/>
    <w:autoRedefine/>
    <w:qFormat/>
    <w:locked/>
    <w:uiPriority w:val="99"/>
    <w:pPr>
      <w:ind w:left="2100" w:hanging="420"/>
    </w:pPr>
    <w:rPr>
      <w:rFonts w:eastAsia="楷体_GB2312"/>
      <w:sz w:val="32"/>
      <w:szCs w:val="20"/>
    </w:rPr>
  </w:style>
  <w:style w:type="paragraph" w:styleId="28">
    <w:name w:val="Body Text Indent 3"/>
    <w:basedOn w:val="1"/>
    <w:link w:val="111"/>
    <w:autoRedefine/>
    <w:qFormat/>
    <w:uiPriority w:val="99"/>
    <w:pPr>
      <w:spacing w:line="400" w:lineRule="exact"/>
      <w:ind w:firstLine="480" w:firstLineChars="200"/>
    </w:pPr>
    <w:rPr>
      <w:rFonts w:ascii="宋体" w:hAnsi="宋体"/>
      <w:color w:val="FF0000"/>
      <w:sz w:val="24"/>
    </w:rPr>
  </w:style>
  <w:style w:type="paragraph" w:styleId="29">
    <w:name w:val="toc 2"/>
    <w:basedOn w:val="1"/>
    <w:next w:val="1"/>
    <w:autoRedefine/>
    <w:qFormat/>
    <w:uiPriority w:val="39"/>
    <w:pPr>
      <w:spacing w:line="360" w:lineRule="auto"/>
      <w:ind w:left="200" w:leftChars="200"/>
    </w:pPr>
  </w:style>
  <w:style w:type="paragraph" w:styleId="30">
    <w:name w:val="toc 9"/>
    <w:next w:val="1"/>
    <w:autoRedefine/>
    <w:qFormat/>
    <w:locked/>
    <w:uiPriority w:val="0"/>
    <w:pPr>
      <w:wordWrap w:val="0"/>
      <w:ind w:left="2975"/>
      <w:jc w:val="both"/>
    </w:pPr>
    <w:rPr>
      <w:rFonts w:ascii="Calibri" w:hAnsi="Calibri" w:eastAsia="宋体" w:cs="Times New Roman"/>
      <w:sz w:val="21"/>
      <w:lang w:val="en-US" w:eastAsia="zh-CN" w:bidi="ar-SA"/>
    </w:rPr>
  </w:style>
  <w:style w:type="paragraph" w:styleId="31">
    <w:name w:val="List 4"/>
    <w:basedOn w:val="1"/>
    <w:autoRedefine/>
    <w:qFormat/>
    <w:uiPriority w:val="99"/>
    <w:pPr>
      <w:ind w:left="1680" w:hanging="420"/>
    </w:pPr>
    <w:rPr>
      <w:rFonts w:eastAsia="楷体_GB2312"/>
      <w:sz w:val="32"/>
      <w:szCs w:val="20"/>
    </w:rPr>
  </w:style>
  <w:style w:type="paragraph" w:styleId="32">
    <w:name w:val="Message Header"/>
    <w:basedOn w:val="1"/>
    <w:autoRedefine/>
    <w:semiHidden/>
    <w:unhideWhenUsed/>
    <w:qFormat/>
    <w:locked/>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Theme="majorHAnsi" w:hAnsiTheme="majorHAnsi" w:eastAsiaTheme="majorEastAsia" w:cstheme="majorBidi"/>
      <w:sz w:val="24"/>
    </w:rPr>
  </w:style>
  <w:style w:type="paragraph" w:styleId="33">
    <w:name w:val="Normal (Web)"/>
    <w:basedOn w:val="1"/>
    <w:autoRedefine/>
    <w:unhideWhenUsed/>
    <w:qFormat/>
    <w:locked/>
    <w:uiPriority w:val="99"/>
    <w:pPr>
      <w:spacing w:beforeAutospacing="1" w:afterAutospacing="1"/>
      <w:jc w:val="left"/>
    </w:pPr>
    <w:rPr>
      <w:kern w:val="0"/>
      <w:sz w:val="24"/>
    </w:rPr>
  </w:style>
  <w:style w:type="paragraph" w:styleId="34">
    <w:name w:val="Title"/>
    <w:basedOn w:val="1"/>
    <w:next w:val="1"/>
    <w:autoRedefine/>
    <w:qFormat/>
    <w:locked/>
    <w:uiPriority w:val="10"/>
    <w:pPr>
      <w:spacing w:before="240" w:after="60"/>
      <w:jc w:val="center"/>
      <w:outlineLvl w:val="0"/>
    </w:pPr>
    <w:rPr>
      <w:rFonts w:asciiTheme="majorHAnsi" w:hAnsiTheme="majorHAnsi" w:cstheme="majorBidi"/>
      <w:b/>
      <w:bCs/>
      <w:sz w:val="32"/>
      <w:szCs w:val="32"/>
    </w:rPr>
  </w:style>
  <w:style w:type="paragraph" w:styleId="35">
    <w:name w:val="annotation subject"/>
    <w:basedOn w:val="14"/>
    <w:next w:val="14"/>
    <w:link w:val="143"/>
    <w:autoRedefine/>
    <w:semiHidden/>
    <w:unhideWhenUsed/>
    <w:qFormat/>
    <w:locked/>
    <w:uiPriority w:val="99"/>
    <w:rPr>
      <w:b/>
      <w:bCs/>
    </w:rPr>
  </w:style>
  <w:style w:type="paragraph" w:styleId="36">
    <w:name w:val="Body Text First Indent"/>
    <w:basedOn w:val="15"/>
    <w:link w:val="115"/>
    <w:autoRedefine/>
    <w:unhideWhenUsed/>
    <w:qFormat/>
    <w:locked/>
    <w:uiPriority w:val="99"/>
    <w:pPr>
      <w:spacing w:after="120" w:line="240" w:lineRule="auto"/>
      <w:ind w:firstLine="420" w:firstLineChars="100"/>
    </w:pPr>
    <w:rPr>
      <w:rFonts w:ascii="Times New Roman" w:hAnsi="Times New Roman"/>
      <w:sz w:val="21"/>
    </w:rPr>
  </w:style>
  <w:style w:type="paragraph" w:styleId="37">
    <w:name w:val="Body Text First Indent 2"/>
    <w:basedOn w:val="16"/>
    <w:next w:val="11"/>
    <w:link w:val="148"/>
    <w:autoRedefine/>
    <w:qFormat/>
    <w:locked/>
    <w:uiPriority w:val="0"/>
    <w:pPr>
      <w:ind w:firstLine="420" w:firstLineChars="200"/>
    </w:pPr>
    <w:rPr>
      <w:rFonts w:eastAsia="楷体_GB2312"/>
      <w:b/>
      <w:kern w:val="44"/>
      <w:sz w:val="44"/>
    </w:rPr>
  </w:style>
  <w:style w:type="table" w:styleId="39">
    <w:name w:val="Table Grid"/>
    <w:basedOn w:val="38"/>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basedOn w:val="40"/>
    <w:autoRedefine/>
    <w:qFormat/>
    <w:uiPriority w:val="99"/>
    <w:rPr>
      <w:rFonts w:cs="Times New Roman"/>
      <w:b/>
    </w:rPr>
  </w:style>
  <w:style w:type="character" w:styleId="42">
    <w:name w:val="page number"/>
    <w:autoRedefine/>
    <w:qFormat/>
    <w:uiPriority w:val="99"/>
    <w:rPr>
      <w:rFonts w:cs="Times New Roman"/>
    </w:rPr>
  </w:style>
  <w:style w:type="character" w:styleId="43">
    <w:name w:val="FollowedHyperlink"/>
    <w:autoRedefine/>
    <w:unhideWhenUsed/>
    <w:qFormat/>
    <w:locked/>
    <w:uiPriority w:val="99"/>
    <w:rPr>
      <w:color w:val="333333"/>
      <w:u w:val="none"/>
    </w:rPr>
  </w:style>
  <w:style w:type="character" w:styleId="44">
    <w:name w:val="Emphasis"/>
    <w:basedOn w:val="40"/>
    <w:autoRedefine/>
    <w:qFormat/>
    <w:locked/>
    <w:uiPriority w:val="20"/>
  </w:style>
  <w:style w:type="character" w:styleId="45">
    <w:name w:val="HTML Definition"/>
    <w:autoRedefine/>
    <w:semiHidden/>
    <w:unhideWhenUsed/>
    <w:qFormat/>
    <w:locked/>
    <w:uiPriority w:val="99"/>
    <w:rPr>
      <w:i/>
      <w:shd w:val="clear" w:color="auto" w:fill="D9534F"/>
    </w:rPr>
  </w:style>
  <w:style w:type="character" w:styleId="46">
    <w:name w:val="HTML Typewriter"/>
    <w:autoRedefine/>
    <w:semiHidden/>
    <w:unhideWhenUsed/>
    <w:qFormat/>
    <w:locked/>
    <w:uiPriority w:val="99"/>
    <w:rPr>
      <w:rFonts w:ascii="monospace" w:hAnsi="monospace" w:eastAsia="monospace" w:cs="monospace"/>
      <w:sz w:val="20"/>
    </w:rPr>
  </w:style>
  <w:style w:type="character" w:styleId="47">
    <w:name w:val="HTML Acronym"/>
    <w:basedOn w:val="40"/>
    <w:autoRedefine/>
    <w:semiHidden/>
    <w:unhideWhenUsed/>
    <w:qFormat/>
    <w:locked/>
    <w:uiPriority w:val="99"/>
  </w:style>
  <w:style w:type="character" w:styleId="48">
    <w:name w:val="HTML Variable"/>
    <w:basedOn w:val="40"/>
    <w:autoRedefine/>
    <w:semiHidden/>
    <w:unhideWhenUsed/>
    <w:qFormat/>
    <w:locked/>
    <w:uiPriority w:val="99"/>
  </w:style>
  <w:style w:type="character" w:styleId="49">
    <w:name w:val="Hyperlink"/>
    <w:autoRedefine/>
    <w:qFormat/>
    <w:uiPriority w:val="99"/>
    <w:rPr>
      <w:rFonts w:cs="Times New Roman"/>
      <w:color w:val="0000FF"/>
      <w:u w:val="single"/>
    </w:rPr>
  </w:style>
  <w:style w:type="character" w:styleId="50">
    <w:name w:val="HTML Code"/>
    <w:autoRedefine/>
    <w:semiHidden/>
    <w:unhideWhenUsed/>
    <w:qFormat/>
    <w:locked/>
    <w:uiPriority w:val="99"/>
    <w:rPr>
      <w:rFonts w:hint="default" w:ascii="Consolas" w:hAnsi="Consolas" w:eastAsia="Consolas" w:cs="Consolas"/>
      <w:color w:val="C7254E"/>
      <w:sz w:val="21"/>
      <w:szCs w:val="21"/>
      <w:shd w:val="clear" w:color="auto" w:fill="F9F2F4"/>
    </w:rPr>
  </w:style>
  <w:style w:type="character" w:styleId="51">
    <w:name w:val="annotation reference"/>
    <w:basedOn w:val="40"/>
    <w:autoRedefine/>
    <w:semiHidden/>
    <w:unhideWhenUsed/>
    <w:qFormat/>
    <w:locked/>
    <w:uiPriority w:val="99"/>
    <w:rPr>
      <w:sz w:val="21"/>
      <w:szCs w:val="21"/>
    </w:rPr>
  </w:style>
  <w:style w:type="character" w:styleId="52">
    <w:name w:val="HTML Cite"/>
    <w:basedOn w:val="40"/>
    <w:autoRedefine/>
    <w:semiHidden/>
    <w:unhideWhenUsed/>
    <w:qFormat/>
    <w:locked/>
    <w:uiPriority w:val="99"/>
  </w:style>
  <w:style w:type="character" w:styleId="53">
    <w:name w:val="HTML Keyboard"/>
    <w:autoRedefine/>
    <w:semiHidden/>
    <w:unhideWhenUsed/>
    <w:qFormat/>
    <w:locked/>
    <w:uiPriority w:val="99"/>
    <w:rPr>
      <w:rFonts w:ascii="Consolas" w:hAnsi="Consolas" w:eastAsia="Consolas" w:cs="Consolas"/>
      <w:color w:val="FFFFFF"/>
      <w:sz w:val="21"/>
      <w:szCs w:val="21"/>
      <w:shd w:val="clear" w:color="auto" w:fill="333333"/>
    </w:rPr>
  </w:style>
  <w:style w:type="character" w:styleId="54">
    <w:name w:val="HTML Sample"/>
    <w:autoRedefine/>
    <w:semiHidden/>
    <w:unhideWhenUsed/>
    <w:qFormat/>
    <w:locked/>
    <w:uiPriority w:val="99"/>
    <w:rPr>
      <w:rFonts w:hint="default" w:ascii="Consolas" w:hAnsi="Consolas" w:eastAsia="Consolas" w:cs="Consolas"/>
      <w:sz w:val="21"/>
      <w:szCs w:val="21"/>
    </w:rPr>
  </w:style>
  <w:style w:type="paragraph" w:customStyle="1" w:styleId="55">
    <w:name w:val="列出段落1"/>
    <w:basedOn w:val="1"/>
    <w:autoRedefine/>
    <w:unhideWhenUsed/>
    <w:qFormat/>
    <w:uiPriority w:val="99"/>
    <w:pPr>
      <w:ind w:firstLine="420" w:firstLineChars="200"/>
    </w:pPr>
  </w:style>
  <w:style w:type="paragraph" w:customStyle="1" w:styleId="56">
    <w:name w:val="Body Text First Indent1"/>
    <w:basedOn w:val="15"/>
    <w:next w:val="57"/>
    <w:autoRedefine/>
    <w:qFormat/>
    <w:uiPriority w:val="0"/>
    <w:pPr>
      <w:ind w:firstLine="420" w:firstLineChars="100"/>
    </w:pPr>
  </w:style>
  <w:style w:type="paragraph" w:customStyle="1" w:styleId="57">
    <w:name w:val="正文首行缩进 21"/>
    <w:basedOn w:val="58"/>
    <w:autoRedefine/>
    <w:qFormat/>
    <w:uiPriority w:val="0"/>
    <w:pPr>
      <w:ind w:firstLine="420" w:firstLineChars="200"/>
    </w:pPr>
  </w:style>
  <w:style w:type="paragraph" w:customStyle="1" w:styleId="58">
    <w:name w:val="正文文本缩进1"/>
    <w:basedOn w:val="1"/>
    <w:autoRedefine/>
    <w:qFormat/>
    <w:uiPriority w:val="0"/>
    <w:pPr>
      <w:spacing w:line="360" w:lineRule="auto"/>
      <w:ind w:firstLine="482" w:firstLineChars="100"/>
      <w:jc w:val="center"/>
    </w:pPr>
    <w:rPr>
      <w:rFonts w:ascii="黑体" w:eastAsia="黑体"/>
      <w:b/>
      <w:sz w:val="48"/>
      <w:szCs w:val="28"/>
    </w:rPr>
  </w:style>
  <w:style w:type="paragraph" w:customStyle="1" w:styleId="59">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60">
    <w:name w:val="标题 4 字符"/>
    <w:link w:val="5"/>
    <w:autoRedefine/>
    <w:semiHidden/>
    <w:qFormat/>
    <w:locked/>
    <w:uiPriority w:val="99"/>
    <w:rPr>
      <w:rFonts w:ascii="Cambria" w:hAnsi="Cambria" w:eastAsia="宋体" w:cs="Times New Roman"/>
      <w:b/>
      <w:bCs/>
      <w:sz w:val="28"/>
      <w:szCs w:val="28"/>
    </w:rPr>
  </w:style>
  <w:style w:type="character" w:customStyle="1" w:styleId="61">
    <w:name w:val="标题 3 字符"/>
    <w:link w:val="4"/>
    <w:autoRedefine/>
    <w:qFormat/>
    <w:locked/>
    <w:uiPriority w:val="99"/>
    <w:rPr>
      <w:rFonts w:ascii="宋体" w:eastAsia="宋体"/>
      <w:b/>
      <w:sz w:val="28"/>
    </w:rPr>
  </w:style>
  <w:style w:type="paragraph" w:customStyle="1" w:styleId="62">
    <w:name w:val="正文1"/>
    <w:basedOn w:val="1"/>
    <w:next w:val="63"/>
    <w:autoRedefine/>
    <w:qFormat/>
    <w:uiPriority w:val="0"/>
    <w:pPr>
      <w:spacing w:line="380" w:lineRule="exact"/>
      <w:jc w:val="center"/>
    </w:pPr>
    <w:rPr>
      <w:rFonts w:ascii="黑体" w:eastAsia="黑体"/>
    </w:rPr>
  </w:style>
  <w:style w:type="paragraph" w:customStyle="1" w:styleId="63">
    <w:name w:val="表格"/>
    <w:basedOn w:val="1"/>
    <w:next w:val="64"/>
    <w:autoRedefine/>
    <w:qFormat/>
    <w:uiPriority w:val="0"/>
    <w:pPr>
      <w:jc w:val="center"/>
    </w:pPr>
    <w:rPr>
      <w:rFonts w:ascii="华文细黑"/>
    </w:rPr>
  </w:style>
  <w:style w:type="paragraph" w:customStyle="1" w:styleId="64">
    <w:name w:val="空半行"/>
    <w:basedOn w:val="1"/>
    <w:next w:val="65"/>
    <w:autoRedefine/>
    <w:qFormat/>
    <w:uiPriority w:val="0"/>
    <w:pPr>
      <w:spacing w:line="120" w:lineRule="exact"/>
    </w:pPr>
    <w:rPr>
      <w:rFonts w:eastAsia="仿宋_GB2312"/>
      <w:color w:val="FFFFFF"/>
      <w:sz w:val="30"/>
    </w:rPr>
  </w:style>
  <w:style w:type="paragraph" w:customStyle="1" w:styleId="65">
    <w:name w:val="样式"/>
    <w:next w:val="66"/>
    <w:autoRedefine/>
    <w:qFormat/>
    <w:uiPriority w:val="0"/>
    <w:pPr>
      <w:widowControl w:val="0"/>
      <w:jc w:val="both"/>
    </w:pPr>
    <w:rPr>
      <w:rFonts w:ascii="Calibri" w:hAnsi="Calibri" w:eastAsia="宋体" w:cs="Times New Roman"/>
      <w:sz w:val="21"/>
      <w:lang w:val="en-US" w:eastAsia="zh-CN" w:bidi="ar-SA"/>
    </w:rPr>
  </w:style>
  <w:style w:type="paragraph" w:customStyle="1" w:styleId="66">
    <w:name w:val="xl81"/>
    <w:basedOn w:val="1"/>
    <w:next w:val="30"/>
    <w:autoRedefine/>
    <w:qFormat/>
    <w:uiPriority w:val="0"/>
    <w:pPr>
      <w:widowControl/>
      <w:shd w:val="clear" w:color="FFFFFF" w:fill="FFFFFF"/>
      <w:spacing w:before="280" w:after="280"/>
      <w:jc w:val="center"/>
    </w:pPr>
    <w:rPr>
      <w:rFonts w:ascii="宋体"/>
      <w:b/>
      <w:sz w:val="24"/>
    </w:rPr>
  </w:style>
  <w:style w:type="paragraph" w:customStyle="1" w:styleId="67">
    <w:name w:val="Default"/>
    <w:basedOn w:val="34"/>
    <w:next w:val="1"/>
    <w:link w:val="114"/>
    <w:autoRedefine/>
    <w:qFormat/>
    <w:uiPriority w:val="0"/>
    <w:pPr>
      <w:autoSpaceDE w:val="0"/>
      <w:autoSpaceDN w:val="0"/>
      <w:adjustRightInd w:val="0"/>
    </w:pPr>
    <w:rPr>
      <w:rFonts w:ascii="宋体" w:hAnsi="Times New Roman" w:cs="宋体"/>
      <w:color w:val="000000"/>
      <w:sz w:val="24"/>
      <w:szCs w:val="24"/>
    </w:rPr>
  </w:style>
  <w:style w:type="paragraph" w:customStyle="1" w:styleId="68">
    <w:name w:val="大标题"/>
    <w:basedOn w:val="1"/>
    <w:next w:val="37"/>
    <w:autoRedefine/>
    <w:qFormat/>
    <w:uiPriority w:val="0"/>
    <w:pPr>
      <w:jc w:val="center"/>
    </w:pPr>
    <w:rPr>
      <w:rFonts w:ascii="Arial" w:hAnsi="Arial"/>
      <w:b/>
      <w:sz w:val="28"/>
    </w:rPr>
  </w:style>
  <w:style w:type="paragraph" w:customStyle="1" w:styleId="69">
    <w:name w:val="样式 正文首行缩进 2 + Arial"/>
    <w:basedOn w:val="1"/>
    <w:next w:val="1"/>
    <w:autoRedefine/>
    <w:qFormat/>
    <w:uiPriority w:val="0"/>
    <w:pPr>
      <w:spacing w:after="120" w:line="320" w:lineRule="atLeast"/>
      <w:ind w:firstLine="200" w:firstLineChars="200"/>
    </w:pPr>
    <w:rPr>
      <w:rFonts w:ascii="Arial" w:hAnsi="Arial"/>
      <w:kern w:val="0"/>
    </w:rPr>
  </w:style>
  <w:style w:type="paragraph" w:customStyle="1" w:styleId="70">
    <w:name w:val="文档正文"/>
    <w:basedOn w:val="1"/>
    <w:autoRedefine/>
    <w:qFormat/>
    <w:uiPriority w:val="0"/>
    <w:pPr>
      <w:adjustRightInd w:val="0"/>
      <w:spacing w:line="480" w:lineRule="atLeast"/>
      <w:ind w:firstLine="567"/>
      <w:textAlignment w:val="baseline"/>
    </w:pPr>
    <w:rPr>
      <w:rFonts w:ascii="仿宋_GB2312" w:eastAsia="仿宋_GB2312"/>
      <w:kern w:val="0"/>
      <w:sz w:val="28"/>
      <w:szCs w:val="20"/>
    </w:rPr>
  </w:style>
  <w:style w:type="paragraph" w:customStyle="1" w:styleId="71">
    <w:name w:val="_Style 2"/>
    <w:basedOn w:val="1"/>
    <w:next w:val="1"/>
    <w:autoRedefine/>
    <w:qFormat/>
    <w:uiPriority w:val="0"/>
    <w:pPr>
      <w:ind w:firstLine="420" w:firstLineChars="200"/>
    </w:pPr>
  </w:style>
  <w:style w:type="paragraph" w:customStyle="1" w:styleId="72">
    <w:name w:val="无间隔1"/>
    <w:basedOn w:val="73"/>
    <w:autoRedefine/>
    <w:qFormat/>
    <w:uiPriority w:val="99"/>
    <w:pPr>
      <w:spacing w:line="400" w:lineRule="exact"/>
    </w:pPr>
    <w:rPr>
      <w:sz w:val="24"/>
    </w:rPr>
  </w:style>
  <w:style w:type="paragraph" w:customStyle="1" w:styleId="73">
    <w:name w:val="正文_0"/>
    <w:next w:val="7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4">
    <w:name w:val="1.1.1.1"/>
    <w:basedOn w:val="1"/>
    <w:autoRedefine/>
    <w:qFormat/>
    <w:uiPriority w:val="99"/>
    <w:pPr>
      <w:tabs>
        <w:tab w:val="left" w:pos="26875"/>
      </w:tabs>
      <w:autoSpaceDE w:val="0"/>
      <w:autoSpaceDN w:val="0"/>
      <w:adjustRightInd w:val="0"/>
      <w:spacing w:before="60" w:after="60" w:line="360" w:lineRule="atLeast"/>
      <w:ind w:left="1134" w:hanging="1134"/>
    </w:pPr>
    <w:rPr>
      <w:rFonts w:ascii="宋体"/>
      <w:kern w:val="0"/>
      <w:sz w:val="24"/>
      <w:szCs w:val="20"/>
    </w:rPr>
  </w:style>
  <w:style w:type="paragraph" w:customStyle="1" w:styleId="75">
    <w:name w:val="Char Char Char Char"/>
    <w:basedOn w:val="1"/>
    <w:autoRedefine/>
    <w:qFormat/>
    <w:uiPriority w:val="99"/>
    <w:rPr>
      <w:rFonts w:ascii="Tahoma" w:hAnsi="Tahoma"/>
      <w:sz w:val="24"/>
      <w:szCs w:val="20"/>
    </w:rPr>
  </w:style>
  <w:style w:type="paragraph" w:customStyle="1" w:styleId="76">
    <w:name w:val="item1.1"/>
    <w:basedOn w:val="1"/>
    <w:autoRedefine/>
    <w:qFormat/>
    <w:uiPriority w:val="99"/>
    <w:pPr>
      <w:adjustRightInd w:val="0"/>
      <w:spacing w:line="480" w:lineRule="exact"/>
      <w:textAlignment w:val="baseline"/>
    </w:pPr>
    <w:rPr>
      <w:rFonts w:ascii="宋体"/>
      <w:sz w:val="28"/>
    </w:rPr>
  </w:style>
  <w:style w:type="paragraph" w:customStyle="1" w:styleId="77">
    <w:name w:val="Char Char1 Char"/>
    <w:basedOn w:val="1"/>
    <w:autoRedefine/>
    <w:qFormat/>
    <w:uiPriority w:val="99"/>
    <w:rPr>
      <w:rFonts w:ascii="Tahoma" w:hAnsi="Tahoma"/>
      <w:sz w:val="24"/>
      <w:szCs w:val="20"/>
    </w:rPr>
  </w:style>
  <w:style w:type="paragraph" w:customStyle="1" w:styleId="78">
    <w:name w:val="样式 标题 2 + Times New Roman 四号 非加粗 段前: 5 磅 段后: 0 磅 行距: 固定值 20..."/>
    <w:basedOn w:val="3"/>
    <w:autoRedefine/>
    <w:qFormat/>
    <w:uiPriority w:val="99"/>
    <w:pPr>
      <w:adjustRightInd/>
      <w:spacing w:before="100" w:after="0" w:line="400" w:lineRule="exact"/>
      <w:textAlignment w:val="auto"/>
    </w:pPr>
    <w:rPr>
      <w:rFonts w:ascii="Times New Roman" w:hAnsi="Times New Roman"/>
      <w:kern w:val="2"/>
    </w:rPr>
  </w:style>
  <w:style w:type="paragraph" w:customStyle="1" w:styleId="79">
    <w:name w:val="Char"/>
    <w:basedOn w:val="1"/>
    <w:autoRedefine/>
    <w:semiHidden/>
    <w:qFormat/>
    <w:uiPriority w:val="99"/>
    <w:pPr>
      <w:widowControl/>
      <w:spacing w:after="160" w:line="240" w:lineRule="exact"/>
      <w:jc w:val="left"/>
    </w:pPr>
    <w:rPr>
      <w:rFonts w:ascii="Arial" w:hAnsi="Arial"/>
      <w:kern w:val="0"/>
      <w:sz w:val="22"/>
      <w:szCs w:val="22"/>
      <w:lang w:eastAsia="en-US"/>
    </w:rPr>
  </w:style>
  <w:style w:type="paragraph" w:customStyle="1" w:styleId="80">
    <w:name w:val="1.1.1.1A-1"/>
    <w:basedOn w:val="81"/>
    <w:autoRedefine/>
    <w:qFormat/>
    <w:uiPriority w:val="99"/>
    <w:pPr>
      <w:tabs>
        <w:tab w:val="left" w:pos="1843"/>
        <w:tab w:val="left" w:pos="1985"/>
      </w:tabs>
      <w:ind w:left="1985" w:hanging="425"/>
    </w:pPr>
  </w:style>
  <w:style w:type="paragraph" w:customStyle="1" w:styleId="81">
    <w:name w:val="1.1.1.1A"/>
    <w:basedOn w:val="74"/>
    <w:autoRedefine/>
    <w:qFormat/>
    <w:uiPriority w:val="99"/>
    <w:pPr>
      <w:tabs>
        <w:tab w:val="left" w:pos="1843"/>
        <w:tab w:val="clear" w:pos="26875"/>
      </w:tabs>
      <w:ind w:left="1560" w:hanging="426"/>
    </w:pPr>
  </w:style>
  <w:style w:type="paragraph" w:customStyle="1" w:styleId="82">
    <w:name w:val="标书正文"/>
    <w:basedOn w:val="1"/>
    <w:autoRedefine/>
    <w:qFormat/>
    <w:uiPriority w:val="99"/>
    <w:pPr>
      <w:tabs>
        <w:tab w:val="left" w:pos="600"/>
      </w:tabs>
      <w:snapToGrid w:val="0"/>
      <w:spacing w:line="480" w:lineRule="atLeast"/>
      <w:ind w:firstLine="480" w:firstLineChars="200"/>
    </w:pPr>
    <w:rPr>
      <w:color w:val="000000"/>
      <w:sz w:val="24"/>
    </w:rPr>
  </w:style>
  <w:style w:type="paragraph" w:customStyle="1" w:styleId="83">
    <w:name w:val="Char1"/>
    <w:basedOn w:val="1"/>
    <w:autoRedefine/>
    <w:qFormat/>
    <w:uiPriority w:val="99"/>
    <w:rPr>
      <w:rFonts w:ascii="Tahoma" w:hAnsi="Tahoma"/>
      <w:sz w:val="24"/>
      <w:szCs w:val="20"/>
    </w:rPr>
  </w:style>
  <w:style w:type="paragraph" w:customStyle="1" w:styleId="84">
    <w:name w:val="样式3"/>
    <w:basedOn w:val="18"/>
    <w:autoRedefine/>
    <w:qFormat/>
    <w:uiPriority w:val="99"/>
    <w:pPr>
      <w:adjustRightInd w:val="0"/>
      <w:spacing w:line="240" w:lineRule="atLeast"/>
      <w:textAlignment w:val="baseline"/>
      <w:outlineLvl w:val="0"/>
    </w:pPr>
    <w:rPr>
      <w:sz w:val="28"/>
    </w:rPr>
  </w:style>
  <w:style w:type="paragraph" w:customStyle="1" w:styleId="85">
    <w:name w:val="默认段落字体 Para Char Char Char Char"/>
    <w:basedOn w:val="1"/>
    <w:autoRedefine/>
    <w:qFormat/>
    <w:uiPriority w:val="99"/>
    <w:pPr>
      <w:snapToGrid w:val="0"/>
      <w:spacing w:line="360" w:lineRule="auto"/>
      <w:ind w:firstLine="200" w:firstLineChars="200"/>
    </w:pPr>
  </w:style>
  <w:style w:type="paragraph" w:customStyle="1" w:styleId="86">
    <w:name w:val="cntrt"/>
    <w:basedOn w:val="1"/>
    <w:autoRedefine/>
    <w:qFormat/>
    <w:uiPriority w:val="99"/>
    <w:pPr>
      <w:widowControl/>
      <w:jc w:val="left"/>
    </w:pPr>
    <w:rPr>
      <w:rFonts w:ascii="Arial" w:hAnsi="Arial" w:cs="Arial"/>
      <w:kern w:val="0"/>
      <w:sz w:val="20"/>
      <w:szCs w:val="20"/>
    </w:rPr>
  </w:style>
  <w:style w:type="paragraph" w:customStyle="1" w:styleId="87">
    <w:name w:val="p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8">
    <w:name w:val="列表段落1"/>
    <w:basedOn w:val="1"/>
    <w:autoRedefine/>
    <w:unhideWhenUsed/>
    <w:qFormat/>
    <w:uiPriority w:val="34"/>
    <w:pPr>
      <w:ind w:firstLine="420" w:firstLineChars="200"/>
    </w:pPr>
  </w:style>
  <w:style w:type="paragraph" w:customStyle="1" w:styleId="89">
    <w:name w:val="列出段落2"/>
    <w:basedOn w:val="1"/>
    <w:autoRedefine/>
    <w:qFormat/>
    <w:uiPriority w:val="0"/>
    <w:pPr>
      <w:ind w:firstLine="420" w:firstLineChars="200"/>
    </w:pPr>
    <w:rPr>
      <w:rFonts w:ascii="Calibri" w:hAnsi="Calibri"/>
    </w:rPr>
  </w:style>
  <w:style w:type="paragraph" w:customStyle="1" w:styleId="90">
    <w:name w:val="正文_13_0"/>
    <w:basedOn w:val="1"/>
    <w:autoRedefine/>
    <w:qFormat/>
    <w:uiPriority w:val="0"/>
    <w:rPr>
      <w:szCs w:val="21"/>
    </w:rPr>
  </w:style>
  <w:style w:type="paragraph" w:customStyle="1" w:styleId="91">
    <w:name w:val="正文 A"/>
    <w:autoRedefine/>
    <w:qFormat/>
    <w:uiPriority w:val="0"/>
    <w:rPr>
      <w:rFonts w:ascii="宋体" w:hAnsi="宋体" w:eastAsia="宋体" w:cs="宋体"/>
      <w:color w:val="000000"/>
      <w:sz w:val="24"/>
      <w:szCs w:val="24"/>
      <w:u w:color="000000"/>
      <w:lang w:val="en-US" w:eastAsia="zh-CN" w:bidi="ar-SA"/>
    </w:rPr>
  </w:style>
  <w:style w:type="paragraph" w:customStyle="1" w:styleId="92">
    <w:name w:val="shsj2em"/>
    <w:basedOn w:val="1"/>
    <w:autoRedefine/>
    <w:qFormat/>
    <w:uiPriority w:val="0"/>
    <w:pPr>
      <w:ind w:firstLine="420"/>
      <w:jc w:val="left"/>
    </w:pPr>
    <w:rPr>
      <w:kern w:val="0"/>
    </w:rPr>
  </w:style>
  <w:style w:type="paragraph" w:customStyle="1" w:styleId="93">
    <w:name w:val="列出段落3"/>
    <w:basedOn w:val="1"/>
    <w:autoRedefine/>
    <w:qFormat/>
    <w:uiPriority w:val="0"/>
    <w:pPr>
      <w:widowControl/>
      <w:ind w:left="720"/>
      <w:contextualSpacing/>
      <w:jc w:val="left"/>
    </w:pPr>
    <w:rPr>
      <w:rFonts w:ascii="Calibri" w:hAnsi="Calibri"/>
      <w:sz w:val="24"/>
      <w:lang w:eastAsia="en-US"/>
    </w:rPr>
  </w:style>
  <w:style w:type="paragraph" w:customStyle="1" w:styleId="94">
    <w:name w:val="无间隔2"/>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95">
    <w:name w:val="标题 1 字符"/>
    <w:link w:val="2"/>
    <w:autoRedefine/>
    <w:qFormat/>
    <w:locked/>
    <w:uiPriority w:val="99"/>
    <w:rPr>
      <w:rFonts w:ascii="黑体" w:eastAsia="黑体"/>
      <w:kern w:val="44"/>
      <w:sz w:val="32"/>
    </w:rPr>
  </w:style>
  <w:style w:type="character" w:customStyle="1" w:styleId="96">
    <w:name w:val="标题 2 字符"/>
    <w:autoRedefine/>
    <w:qFormat/>
    <w:locked/>
    <w:uiPriority w:val="99"/>
    <w:rPr>
      <w:rFonts w:ascii="宋体" w:hAnsi="宋体" w:cs="宋体"/>
      <w:b/>
      <w:sz w:val="30"/>
    </w:rPr>
  </w:style>
  <w:style w:type="character" w:customStyle="1" w:styleId="97">
    <w:name w:val="标题 5 字符"/>
    <w:link w:val="6"/>
    <w:autoRedefine/>
    <w:semiHidden/>
    <w:qFormat/>
    <w:locked/>
    <w:uiPriority w:val="99"/>
    <w:rPr>
      <w:rFonts w:cs="Times New Roman"/>
      <w:b/>
      <w:bCs/>
      <w:sz w:val="28"/>
      <w:szCs w:val="28"/>
    </w:rPr>
  </w:style>
  <w:style w:type="character" w:customStyle="1" w:styleId="98">
    <w:name w:val="标题 6 字符"/>
    <w:link w:val="7"/>
    <w:autoRedefine/>
    <w:semiHidden/>
    <w:qFormat/>
    <w:locked/>
    <w:uiPriority w:val="99"/>
    <w:rPr>
      <w:rFonts w:ascii="Cambria" w:hAnsi="Cambria" w:eastAsia="宋体" w:cs="Times New Roman"/>
      <w:b/>
      <w:bCs/>
      <w:sz w:val="24"/>
      <w:szCs w:val="24"/>
    </w:rPr>
  </w:style>
  <w:style w:type="character" w:customStyle="1" w:styleId="99">
    <w:name w:val="标题 7 字符"/>
    <w:link w:val="8"/>
    <w:autoRedefine/>
    <w:semiHidden/>
    <w:qFormat/>
    <w:locked/>
    <w:uiPriority w:val="99"/>
    <w:rPr>
      <w:rFonts w:cs="Times New Roman"/>
      <w:b/>
      <w:bCs/>
      <w:sz w:val="24"/>
      <w:szCs w:val="24"/>
    </w:rPr>
  </w:style>
  <w:style w:type="character" w:customStyle="1" w:styleId="100">
    <w:name w:val="标题 8 字符"/>
    <w:link w:val="9"/>
    <w:autoRedefine/>
    <w:semiHidden/>
    <w:qFormat/>
    <w:locked/>
    <w:uiPriority w:val="99"/>
    <w:rPr>
      <w:rFonts w:ascii="Cambria" w:hAnsi="Cambria" w:eastAsia="宋体" w:cs="Times New Roman"/>
      <w:sz w:val="24"/>
      <w:szCs w:val="24"/>
    </w:rPr>
  </w:style>
  <w:style w:type="character" w:customStyle="1" w:styleId="101">
    <w:name w:val="标题 9 字符"/>
    <w:link w:val="10"/>
    <w:autoRedefine/>
    <w:semiHidden/>
    <w:qFormat/>
    <w:locked/>
    <w:uiPriority w:val="99"/>
    <w:rPr>
      <w:rFonts w:ascii="Cambria" w:hAnsi="Cambria" w:eastAsia="宋体" w:cs="Times New Roman"/>
      <w:sz w:val="21"/>
      <w:szCs w:val="21"/>
    </w:rPr>
  </w:style>
  <w:style w:type="character" w:customStyle="1" w:styleId="102">
    <w:name w:val="文档结构图 字符"/>
    <w:link w:val="13"/>
    <w:autoRedefine/>
    <w:semiHidden/>
    <w:qFormat/>
    <w:locked/>
    <w:uiPriority w:val="99"/>
    <w:rPr>
      <w:rFonts w:cs="Times New Roman"/>
      <w:sz w:val="2"/>
    </w:rPr>
  </w:style>
  <w:style w:type="character" w:customStyle="1" w:styleId="103">
    <w:name w:val="正文文本 字符"/>
    <w:link w:val="15"/>
    <w:autoRedefine/>
    <w:semiHidden/>
    <w:qFormat/>
    <w:locked/>
    <w:uiPriority w:val="99"/>
    <w:rPr>
      <w:rFonts w:cs="Times New Roman"/>
      <w:sz w:val="24"/>
      <w:szCs w:val="24"/>
    </w:rPr>
  </w:style>
  <w:style w:type="character" w:customStyle="1" w:styleId="104">
    <w:name w:val="正文文本缩进 字符"/>
    <w:link w:val="16"/>
    <w:autoRedefine/>
    <w:semiHidden/>
    <w:qFormat/>
    <w:locked/>
    <w:uiPriority w:val="99"/>
    <w:rPr>
      <w:rFonts w:cs="Times New Roman"/>
      <w:sz w:val="24"/>
      <w:szCs w:val="24"/>
    </w:rPr>
  </w:style>
  <w:style w:type="character" w:customStyle="1" w:styleId="105">
    <w:name w:val="纯文本 字符"/>
    <w:link w:val="18"/>
    <w:autoRedefine/>
    <w:qFormat/>
    <w:locked/>
    <w:uiPriority w:val="0"/>
    <w:rPr>
      <w:rFonts w:ascii="宋体" w:hAnsi="Courier New" w:cs="Courier New"/>
      <w:sz w:val="21"/>
      <w:szCs w:val="21"/>
    </w:rPr>
  </w:style>
  <w:style w:type="character" w:customStyle="1" w:styleId="106">
    <w:name w:val="日期 字符"/>
    <w:link w:val="19"/>
    <w:autoRedefine/>
    <w:semiHidden/>
    <w:qFormat/>
    <w:locked/>
    <w:uiPriority w:val="99"/>
    <w:rPr>
      <w:rFonts w:cs="Times New Roman"/>
      <w:sz w:val="24"/>
      <w:szCs w:val="24"/>
    </w:rPr>
  </w:style>
  <w:style w:type="character" w:customStyle="1" w:styleId="107">
    <w:name w:val="正文文本缩进 2 字符"/>
    <w:link w:val="20"/>
    <w:autoRedefine/>
    <w:semiHidden/>
    <w:qFormat/>
    <w:locked/>
    <w:uiPriority w:val="99"/>
    <w:rPr>
      <w:rFonts w:cs="Times New Roman"/>
      <w:sz w:val="24"/>
      <w:szCs w:val="24"/>
    </w:rPr>
  </w:style>
  <w:style w:type="character" w:customStyle="1" w:styleId="108">
    <w:name w:val="批注框文本 字符"/>
    <w:link w:val="21"/>
    <w:autoRedefine/>
    <w:semiHidden/>
    <w:qFormat/>
    <w:locked/>
    <w:uiPriority w:val="99"/>
    <w:rPr>
      <w:rFonts w:cs="Times New Roman"/>
      <w:sz w:val="2"/>
    </w:rPr>
  </w:style>
  <w:style w:type="character" w:customStyle="1" w:styleId="109">
    <w:name w:val="页脚 字符"/>
    <w:link w:val="22"/>
    <w:autoRedefine/>
    <w:qFormat/>
    <w:locked/>
    <w:uiPriority w:val="99"/>
    <w:rPr>
      <w:rFonts w:eastAsia="宋体" w:cs="Times New Roman"/>
      <w:kern w:val="2"/>
      <w:sz w:val="18"/>
      <w:lang w:val="en-US" w:eastAsia="zh-CN"/>
    </w:rPr>
  </w:style>
  <w:style w:type="character" w:customStyle="1" w:styleId="110">
    <w:name w:val="页眉 字符"/>
    <w:link w:val="24"/>
    <w:autoRedefine/>
    <w:qFormat/>
    <w:locked/>
    <w:uiPriority w:val="99"/>
    <w:rPr>
      <w:rFonts w:cs="Times New Roman"/>
      <w:kern w:val="2"/>
      <w:sz w:val="18"/>
    </w:rPr>
  </w:style>
  <w:style w:type="character" w:customStyle="1" w:styleId="111">
    <w:name w:val="正文文本缩进 3 字符"/>
    <w:link w:val="28"/>
    <w:autoRedefine/>
    <w:semiHidden/>
    <w:qFormat/>
    <w:locked/>
    <w:uiPriority w:val="99"/>
    <w:rPr>
      <w:rFonts w:cs="Times New Roman"/>
      <w:sz w:val="16"/>
      <w:szCs w:val="16"/>
    </w:rPr>
  </w:style>
  <w:style w:type="character" w:customStyle="1" w:styleId="112">
    <w:name w:val="正文文本 2 字符"/>
    <w:link w:val="12"/>
    <w:autoRedefine/>
    <w:semiHidden/>
    <w:qFormat/>
    <w:locked/>
    <w:uiPriority w:val="99"/>
    <w:rPr>
      <w:rFonts w:cs="Times New Roman"/>
      <w:sz w:val="24"/>
      <w:szCs w:val="24"/>
    </w:rPr>
  </w:style>
  <w:style w:type="character" w:customStyle="1" w:styleId="113">
    <w:name w:val="样式 标书正文 + 下划线 Char"/>
    <w:autoRedefine/>
    <w:qFormat/>
    <w:uiPriority w:val="99"/>
    <w:rPr>
      <w:rFonts w:eastAsia="楷体_GB2312"/>
      <w:kern w:val="2"/>
      <w:sz w:val="28"/>
      <w:u w:val="single"/>
      <w:lang w:val="en-US" w:eastAsia="zh-CN"/>
    </w:rPr>
  </w:style>
  <w:style w:type="character" w:customStyle="1" w:styleId="114">
    <w:name w:val="Default Char Char"/>
    <w:link w:val="67"/>
    <w:autoRedefine/>
    <w:qFormat/>
    <w:locked/>
    <w:uiPriority w:val="99"/>
    <w:rPr>
      <w:rFonts w:ascii="宋体" w:cs="宋体"/>
      <w:color w:val="000000"/>
      <w:sz w:val="24"/>
      <w:szCs w:val="24"/>
      <w:lang w:val="en-US" w:eastAsia="zh-CN" w:bidi="ar-SA"/>
    </w:rPr>
  </w:style>
  <w:style w:type="character" w:customStyle="1" w:styleId="115">
    <w:name w:val="正文文本首行缩进 字符"/>
    <w:link w:val="36"/>
    <w:autoRedefine/>
    <w:qFormat/>
    <w:uiPriority w:val="99"/>
    <w:rPr>
      <w:rFonts w:cs="Times New Roman"/>
      <w:kern w:val="2"/>
      <w:sz w:val="21"/>
      <w:szCs w:val="24"/>
    </w:rPr>
  </w:style>
  <w:style w:type="character" w:customStyle="1" w:styleId="116">
    <w:name w:val="t-exception-class-name"/>
    <w:autoRedefine/>
    <w:qFormat/>
    <w:uiPriority w:val="0"/>
    <w:rPr>
      <w:b/>
      <w:color w:val="0000FF"/>
      <w:sz w:val="24"/>
      <w:szCs w:val="24"/>
      <w:shd w:val="clear" w:color="auto" w:fill="E1E1E1"/>
    </w:rPr>
  </w:style>
  <w:style w:type="character" w:customStyle="1" w:styleId="117">
    <w:name w:val="t-exception-stack-controls"/>
    <w:basedOn w:val="40"/>
    <w:autoRedefine/>
    <w:qFormat/>
    <w:uiPriority w:val="0"/>
  </w:style>
  <w:style w:type="character" w:customStyle="1" w:styleId="118">
    <w:name w:val="t-tree-icon"/>
    <w:basedOn w:val="40"/>
    <w:autoRedefine/>
    <w:qFormat/>
    <w:uiPriority w:val="0"/>
  </w:style>
  <w:style w:type="character" w:customStyle="1" w:styleId="119">
    <w:name w:val="t-render-object-error"/>
    <w:autoRedefine/>
    <w:qFormat/>
    <w:uiPriority w:val="0"/>
    <w:rPr>
      <w:b/>
      <w:i/>
      <w:color w:val="FF0000"/>
    </w:rPr>
  </w:style>
  <w:style w:type="character" w:customStyle="1" w:styleId="120">
    <w:name w:val="current"/>
    <w:autoRedefine/>
    <w:qFormat/>
    <w:uiPriority w:val="0"/>
    <w:rPr>
      <w:color w:val="FFFFFF"/>
      <w:sz w:val="27"/>
      <w:szCs w:val="27"/>
      <w:u w:val="none"/>
      <w:bdr w:val="single" w:color="C0C0C0" w:sz="6" w:space="0"/>
      <w:shd w:val="clear" w:color="auto" w:fill="809FFF"/>
    </w:rPr>
  </w:style>
  <w:style w:type="character" w:customStyle="1" w:styleId="121">
    <w:name w:val="t-tree-expanded"/>
    <w:basedOn w:val="40"/>
    <w:autoRedefine/>
    <w:qFormat/>
    <w:uiPriority w:val="0"/>
  </w:style>
  <w:style w:type="character" w:customStyle="1" w:styleId="122">
    <w:name w:val="t-ajax-wait"/>
    <w:basedOn w:val="40"/>
    <w:autoRedefine/>
    <w:qFormat/>
    <w:uiPriority w:val="0"/>
  </w:style>
  <w:style w:type="character" w:customStyle="1" w:styleId="123">
    <w:name w:val="hover13"/>
    <w:autoRedefine/>
    <w:qFormat/>
    <w:uiPriority w:val="0"/>
    <w:rPr>
      <w:color w:val="FFFFFF"/>
      <w:shd w:val="clear" w:color="auto" w:fill="00C1B3"/>
    </w:rPr>
  </w:style>
  <w:style w:type="character" w:customStyle="1" w:styleId="124">
    <w:name w:val="hover14"/>
    <w:autoRedefine/>
    <w:qFormat/>
    <w:uiPriority w:val="0"/>
    <w:rPr>
      <w:color w:val="FFFFFF"/>
      <w:shd w:val="clear" w:color="auto" w:fill="00C1B3"/>
    </w:rPr>
  </w:style>
  <w:style w:type="character" w:customStyle="1" w:styleId="125">
    <w:name w:val="hover15"/>
    <w:autoRedefine/>
    <w:qFormat/>
    <w:uiPriority w:val="0"/>
    <w:rPr>
      <w:sz w:val="21"/>
      <w:szCs w:val="21"/>
    </w:rPr>
  </w:style>
  <w:style w:type="character" w:customStyle="1" w:styleId="126">
    <w:name w:val="hover12"/>
    <w:autoRedefine/>
    <w:qFormat/>
    <w:uiPriority w:val="0"/>
    <w:rPr>
      <w:color w:val="FFFFFF"/>
      <w:shd w:val="clear" w:color="auto" w:fill="00C1B3"/>
    </w:rPr>
  </w:style>
  <w:style w:type="character" w:customStyle="1" w:styleId="127">
    <w:name w:val="font11"/>
    <w:basedOn w:val="40"/>
    <w:autoRedefine/>
    <w:qFormat/>
    <w:uiPriority w:val="0"/>
    <w:rPr>
      <w:rFonts w:hint="eastAsia" w:ascii="宋体" w:hAnsi="宋体" w:eastAsia="宋体" w:cs="宋体"/>
      <w:color w:val="FF0000"/>
      <w:sz w:val="24"/>
      <w:szCs w:val="24"/>
      <w:u w:val="none"/>
    </w:rPr>
  </w:style>
  <w:style w:type="character" w:customStyle="1" w:styleId="128">
    <w:name w:val="font01"/>
    <w:autoRedefine/>
    <w:qFormat/>
    <w:uiPriority w:val="0"/>
    <w:rPr>
      <w:rFonts w:hint="eastAsia" w:ascii="宋体" w:hAnsi="宋体" w:eastAsia="宋体" w:cs="宋体"/>
      <w:color w:val="000000"/>
      <w:sz w:val="24"/>
      <w:szCs w:val="24"/>
      <w:u w:val="none"/>
    </w:rPr>
  </w:style>
  <w:style w:type="character" w:customStyle="1" w:styleId="129">
    <w:name w:val="NormalCharacter"/>
    <w:autoRedefine/>
    <w:qFormat/>
    <w:uiPriority w:val="0"/>
    <w:rPr>
      <w:rFonts w:ascii="Times New Roman" w:hAnsi="Times New Roman" w:eastAsia="宋体"/>
    </w:rPr>
  </w:style>
  <w:style w:type="character" w:customStyle="1" w:styleId="130">
    <w:name w:val="first-child"/>
    <w:autoRedefine/>
    <w:qFormat/>
    <w:uiPriority w:val="0"/>
    <w:rPr>
      <w:color w:val="1F3149"/>
      <w:sz w:val="24"/>
      <w:szCs w:val="24"/>
    </w:rPr>
  </w:style>
  <w:style w:type="character" w:customStyle="1" w:styleId="131">
    <w:name w:val="first-child1"/>
    <w:autoRedefine/>
    <w:qFormat/>
    <w:uiPriority w:val="0"/>
    <w:rPr>
      <w:color w:val="1F3149"/>
      <w:sz w:val="24"/>
      <w:szCs w:val="24"/>
    </w:rPr>
  </w:style>
  <w:style w:type="character" w:customStyle="1" w:styleId="132">
    <w:name w:val="icon_ds"/>
    <w:autoRedefine/>
    <w:qFormat/>
    <w:uiPriority w:val="0"/>
    <w:rPr>
      <w:sz w:val="21"/>
      <w:szCs w:val="21"/>
    </w:rPr>
  </w:style>
  <w:style w:type="character" w:customStyle="1" w:styleId="133">
    <w:name w:val="icon_ds1"/>
    <w:basedOn w:val="40"/>
    <w:autoRedefine/>
    <w:qFormat/>
    <w:uiPriority w:val="0"/>
  </w:style>
  <w:style w:type="character" w:customStyle="1" w:styleId="134">
    <w:name w:val="icon_gys"/>
    <w:autoRedefine/>
    <w:qFormat/>
    <w:uiPriority w:val="0"/>
    <w:rPr>
      <w:sz w:val="21"/>
      <w:szCs w:val="21"/>
    </w:rPr>
  </w:style>
  <w:style w:type="character" w:customStyle="1" w:styleId="135">
    <w:name w:val="xiadan"/>
    <w:autoRedefine/>
    <w:qFormat/>
    <w:uiPriority w:val="0"/>
    <w:rPr>
      <w:shd w:val="clear" w:color="auto" w:fill="E4393C"/>
    </w:rPr>
  </w:style>
  <w:style w:type="character" w:customStyle="1" w:styleId="136">
    <w:name w:val="fr"/>
    <w:basedOn w:val="40"/>
    <w:autoRedefine/>
    <w:qFormat/>
    <w:uiPriority w:val="0"/>
  </w:style>
  <w:style w:type="character" w:customStyle="1" w:styleId="137">
    <w:name w:val="textstyle3"/>
    <w:basedOn w:val="40"/>
    <w:autoRedefine/>
    <w:qFormat/>
    <w:uiPriority w:val="0"/>
  </w:style>
  <w:style w:type="character" w:customStyle="1" w:styleId="138">
    <w:name w:val="hover16"/>
    <w:basedOn w:val="40"/>
    <w:autoRedefine/>
    <w:qFormat/>
    <w:uiPriority w:val="0"/>
  </w:style>
  <w:style w:type="character" w:customStyle="1" w:styleId="139">
    <w:name w:val="hover"/>
    <w:autoRedefine/>
    <w:qFormat/>
    <w:uiPriority w:val="0"/>
    <w:rPr>
      <w:color w:val="333333"/>
      <w:u w:val="none"/>
    </w:rPr>
  </w:style>
  <w:style w:type="character" w:customStyle="1" w:styleId="140">
    <w:name w:val="first-child2"/>
    <w:autoRedefine/>
    <w:qFormat/>
    <w:uiPriority w:val="0"/>
    <w:rPr>
      <w:color w:val="1F3149"/>
      <w:sz w:val="24"/>
      <w:szCs w:val="24"/>
    </w:rPr>
  </w:style>
  <w:style w:type="character" w:customStyle="1" w:styleId="141">
    <w:name w:val="hover17"/>
    <w:basedOn w:val="40"/>
    <w:autoRedefine/>
    <w:qFormat/>
    <w:uiPriority w:val="0"/>
  </w:style>
  <w:style w:type="character" w:customStyle="1" w:styleId="142">
    <w:name w:val="批注文字 字符"/>
    <w:link w:val="14"/>
    <w:autoRedefine/>
    <w:semiHidden/>
    <w:qFormat/>
    <w:uiPriority w:val="99"/>
    <w:rPr>
      <w:kern w:val="2"/>
      <w:sz w:val="21"/>
      <w:szCs w:val="24"/>
    </w:rPr>
  </w:style>
  <w:style w:type="character" w:customStyle="1" w:styleId="143">
    <w:name w:val="批注主题 字符"/>
    <w:link w:val="35"/>
    <w:autoRedefine/>
    <w:qFormat/>
    <w:uiPriority w:val="0"/>
    <w:rPr>
      <w:kern w:val="2"/>
      <w:sz w:val="21"/>
      <w:szCs w:val="24"/>
    </w:rPr>
  </w:style>
  <w:style w:type="character" w:customStyle="1" w:styleId="144">
    <w:name w:val="hover1"/>
    <w:autoRedefine/>
    <w:qFormat/>
    <w:uiPriority w:val="0"/>
    <w:rPr>
      <w:color w:val="2590EB"/>
    </w:rPr>
  </w:style>
  <w:style w:type="character" w:customStyle="1" w:styleId="145">
    <w:name w:val="hover2"/>
    <w:autoRedefine/>
    <w:qFormat/>
    <w:uiPriority w:val="0"/>
    <w:rPr>
      <w:color w:val="2590EB"/>
    </w:rPr>
  </w:style>
  <w:style w:type="character" w:customStyle="1" w:styleId="146">
    <w:name w:val="hover3"/>
    <w:autoRedefine/>
    <w:qFormat/>
    <w:uiPriority w:val="0"/>
    <w:rPr>
      <w:color w:val="2590EB"/>
      <w:shd w:val="clear" w:color="auto" w:fill="E9F4FD"/>
    </w:rPr>
  </w:style>
  <w:style w:type="paragraph" w:customStyle="1" w:styleId="147">
    <w:name w:val="Table Paragraph"/>
    <w:basedOn w:val="1"/>
    <w:autoRedefine/>
    <w:qFormat/>
    <w:uiPriority w:val="1"/>
    <w:pPr>
      <w:autoSpaceDE w:val="0"/>
      <w:autoSpaceDN w:val="0"/>
      <w:jc w:val="left"/>
    </w:pPr>
    <w:rPr>
      <w:rFonts w:ascii="Noto Sans CJK JP Regular" w:hAnsi="Noto Sans CJK JP Regular" w:eastAsia="Noto Sans CJK JP Regular"/>
      <w:kern w:val="0"/>
      <w:sz w:val="22"/>
    </w:rPr>
  </w:style>
  <w:style w:type="character" w:customStyle="1" w:styleId="148">
    <w:name w:val="正文文本首行缩进 2 字符"/>
    <w:link w:val="37"/>
    <w:autoRedefine/>
    <w:qFormat/>
    <w:uiPriority w:val="0"/>
    <w:rPr>
      <w:rFonts w:ascii="宋体" w:eastAsia="楷体_GB2312"/>
      <w:b/>
      <w:kern w:val="44"/>
      <w:sz w:val="44"/>
    </w:rPr>
  </w:style>
  <w:style w:type="paragraph" w:customStyle="1" w:styleId="149">
    <w:name w:val="Title2"/>
    <w:basedOn w:val="34"/>
    <w:autoRedefine/>
    <w:qFormat/>
    <w:uiPriority w:val="0"/>
  </w:style>
  <w:style w:type="paragraph" w:customStyle="1" w:styleId="150">
    <w:name w:val="正文_1"/>
    <w:next w:val="32"/>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151">
    <w:name w:val="hover4"/>
    <w:basedOn w:val="40"/>
    <w:autoRedefine/>
    <w:qFormat/>
    <w:uiPriority w:val="0"/>
    <w:rPr>
      <w:color w:val="2590EB"/>
      <w:shd w:val="clear" w:color="auto" w:fill="E9F4FD"/>
    </w:rPr>
  </w:style>
  <w:style w:type="paragraph" w:styleId="152">
    <w:name w:val="List Paragraph"/>
    <w:basedOn w:val="1"/>
    <w:autoRedefine/>
    <w:qFormat/>
    <w:uiPriority w:val="34"/>
    <w:pPr>
      <w:ind w:firstLine="420" w:firstLineChars="200"/>
    </w:pPr>
  </w:style>
  <w:style w:type="character" w:customStyle="1" w:styleId="153">
    <w:name w:val="mini-outputtext1"/>
    <w:basedOn w:val="40"/>
    <w:autoRedefine/>
    <w:qFormat/>
    <w:uiPriority w:val="0"/>
  </w:style>
  <w:style w:type="paragraph" w:customStyle="1" w:styleId="154">
    <w:name w:val="样式 标题 3 + (中文) 黑体 小四 非加粗 段前: 7.8 磅 段后: 0 磅 行距: 固定值 20 磅"/>
    <w:basedOn w:val="4"/>
    <w:autoRedefine/>
    <w:qFormat/>
    <w:uiPriority w:val="0"/>
    <w:pPr>
      <w:spacing w:line="400" w:lineRule="exact"/>
    </w:pPr>
    <w:rPr>
      <w:rFonts w:eastAsia="黑体" w:cs="宋体"/>
      <w:b w:val="0"/>
      <w:sz w:val="24"/>
    </w:rPr>
  </w:style>
  <w:style w:type="paragraph" w:customStyle="1" w:styleId="155">
    <w:name w:val="Char Char10 Char Char Char Char"/>
    <w:basedOn w:val="1"/>
    <w:next w:val="156"/>
    <w:autoRedefine/>
    <w:qFormat/>
    <w:uiPriority w:val="0"/>
    <w:rPr>
      <w:rFonts w:ascii="Calibri" w:hAnsi="Calibri"/>
      <w:kern w:val="0"/>
    </w:rPr>
  </w:style>
  <w:style w:type="paragraph" w:customStyle="1" w:styleId="156">
    <w:name w:val="xl87"/>
    <w:basedOn w:val="1"/>
    <w:next w:val="157"/>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0000"/>
      <w:kern w:val="0"/>
      <w:sz w:val="20"/>
      <w:szCs w:val="20"/>
    </w:rPr>
  </w:style>
  <w:style w:type="paragraph" w:customStyle="1" w:styleId="157">
    <w:name w:val="xl72"/>
    <w:basedOn w:val="1"/>
    <w:next w:val="19"/>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58">
    <w:name w:val="标书正文居左"/>
    <w:next w:val="159"/>
    <w:autoRedefine/>
    <w:qFormat/>
    <w:uiPriority w:val="0"/>
    <w:pPr>
      <w:widowControl w:val="0"/>
      <w:spacing w:before="50" w:line="480" w:lineRule="exact"/>
      <w:jc w:val="both"/>
    </w:pPr>
    <w:rPr>
      <w:rFonts w:ascii="Times New Roman" w:hAnsi="Times New Roman" w:eastAsia="黑体" w:cs="Times New Roman"/>
      <w:b/>
      <w:sz w:val="28"/>
      <w:lang w:val="en-US" w:eastAsia="zh-CN" w:bidi="ar-SA"/>
    </w:rPr>
  </w:style>
  <w:style w:type="paragraph" w:customStyle="1" w:styleId="159">
    <w:name w:val="xl63"/>
    <w:basedOn w:val="1"/>
    <w:next w:val="160"/>
    <w:autoRedefine/>
    <w:qFormat/>
    <w:uiPriority w:val="0"/>
    <w:pPr>
      <w:widowControl/>
      <w:shd w:val="clear" w:color="000000" w:fill="FFFFFF"/>
      <w:spacing w:before="280" w:after="280"/>
      <w:jc w:val="center"/>
    </w:pPr>
    <w:rPr>
      <w:rFonts w:ascii="宋体"/>
      <w:color w:val="000000"/>
      <w:sz w:val="24"/>
    </w:rPr>
  </w:style>
  <w:style w:type="paragraph" w:customStyle="1" w:styleId="160">
    <w:name w:val="xl64"/>
    <w:basedOn w:val="1"/>
    <w:next w:val="1"/>
    <w:autoRedefine/>
    <w:qFormat/>
    <w:uiPriority w:val="0"/>
    <w:pPr>
      <w:widowControl/>
      <w:shd w:val="clear" w:color="000000" w:fill="FFFFFF"/>
      <w:spacing w:before="280" w:after="280"/>
    </w:pPr>
    <w:rPr>
      <w:rFonts w:ascii="宋体"/>
      <w:color w:val="000000"/>
      <w:sz w:val="24"/>
    </w:rPr>
  </w:style>
  <w:style w:type="paragraph" w:customStyle="1" w:styleId="161">
    <w:name w:val="Heading2"/>
    <w:basedOn w:val="1"/>
    <w:next w:val="1"/>
    <w:autoRedefine/>
    <w:qFormat/>
    <w:uiPriority w:val="0"/>
    <w:pPr>
      <w:keepNext/>
      <w:keepLines/>
      <w:jc w:val="center"/>
    </w:pPr>
    <w:rPr>
      <w:rFonts w:ascii="Arial" w:hAnsi="Arial"/>
      <w:b/>
      <w:sz w:val="32"/>
    </w:rPr>
  </w:style>
  <w:style w:type="character" w:customStyle="1" w:styleId="162">
    <w:name w:val="标题 2 字符1"/>
    <w:link w:val="3"/>
    <w:autoRedefine/>
    <w:qFormat/>
    <w:uiPriority w:val="0"/>
    <w:rPr>
      <w:rFonts w:ascii="Arial" w:hAnsi="Arial" w:eastAsia="宋体"/>
      <w:b/>
      <w:sz w:val="32"/>
    </w:rPr>
  </w:style>
  <w:style w:type="paragraph" w:customStyle="1" w:styleId="163">
    <w:name w:val="Table Text"/>
    <w:basedOn w:val="1"/>
    <w:autoRedefine/>
    <w:semiHidden/>
    <w:qFormat/>
    <w:uiPriority w:val="0"/>
    <w:rPr>
      <w:rFonts w:ascii="宋体" w:hAnsi="宋体" w:cs="宋体"/>
      <w:sz w:val="20"/>
      <w:szCs w:val="20"/>
      <w:lang w:eastAsia="en-US"/>
    </w:rPr>
  </w:style>
  <w:style w:type="table" w:customStyle="1" w:styleId="164">
    <w:name w:val="Table Normal"/>
    <w:autoRedefine/>
    <w:semiHidden/>
    <w:unhideWhenUsed/>
    <w:qFormat/>
    <w:uiPriority w:val="0"/>
    <w:tblPr>
      <w:tblCellMar>
        <w:top w:w="0" w:type="dxa"/>
        <w:left w:w="0" w:type="dxa"/>
        <w:bottom w:w="0" w:type="dxa"/>
        <w:right w:w="0" w:type="dxa"/>
      </w:tblCellMar>
    </w:tblPr>
  </w:style>
  <w:style w:type="paragraph" w:customStyle="1" w:styleId="165">
    <w:name w:val="样式 首行缩进:  2 字符"/>
    <w:basedOn w:val="1"/>
    <w:autoRedefine/>
    <w:qFormat/>
    <w:uiPriority w:val="0"/>
    <w:pPr>
      <w:spacing w:line="400" w:lineRule="exact"/>
      <w:ind w:firstLine="200" w:firstLineChars="200"/>
    </w:pPr>
    <w:rPr>
      <w:rFonts w:cs="宋体"/>
      <w:sz w:val="24"/>
    </w:rPr>
  </w:style>
  <w:style w:type="paragraph" w:customStyle="1" w:styleId="166">
    <w:name w:val="正文缩进1"/>
    <w:basedOn w:val="1"/>
    <w:autoRedefine/>
    <w:qFormat/>
    <w:uiPriority w:val="99"/>
    <w:pPr>
      <w:widowControl/>
      <w:ind w:left="425"/>
      <w:jc w:val="left"/>
    </w:pPr>
    <w:rPr>
      <w:rFonts w:ascii="Calibri" w:hAnsi="Calibri"/>
      <w:lang w:eastAsia="en-US"/>
    </w:rPr>
  </w:style>
  <w:style w:type="paragraph" w:customStyle="1" w:styleId="167">
    <w:name w:val="Char Char Char Char Char Char Char"/>
    <w:basedOn w:val="1"/>
    <w:autoRedefine/>
    <w:qFormat/>
    <w:uiPriority w:val="0"/>
    <w:rPr>
      <w:rFonts w:ascii="Calibri" w:hAnsi="Calibri"/>
    </w:rPr>
  </w:style>
  <w:style w:type="paragraph" w:customStyle="1" w:styleId="168">
    <w:name w:val="Revision"/>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169">
    <w:name w:val="BodyText"/>
    <w:autoRedefine/>
    <w:qFormat/>
    <w:uiPriority w:val="0"/>
    <w:pPr>
      <w:spacing w:after="120" w:line="240" w:lineRule="auto"/>
      <w:jc w:val="both"/>
      <w:textAlignment w:val="baseline"/>
    </w:pPr>
    <w:rPr>
      <w:rFonts w:ascii="Times New Roman" w:hAnsi="Calibri" w:eastAsia="宋体" w:cs="Times New Roman"/>
      <w:kern w:val="2"/>
      <w:sz w:val="21"/>
      <w:szCs w:val="24"/>
      <w:lang w:val="en-US" w:eastAsia="zh-CN" w:bidi="ar-SA"/>
      <w14:ligatures w14:val="none"/>
    </w:rPr>
  </w:style>
  <w:style w:type="paragraph" w:customStyle="1" w:styleId="170">
    <w:name w:val="UserStyle_194"/>
    <w:qFormat/>
    <w:uiPriority w:val="0"/>
    <w:pPr>
      <w:textAlignment w:val="baseline"/>
    </w:pPr>
    <w:rPr>
      <w:rFonts w:ascii="Times New Roman" w:hAnsi="Times New Roman" w:eastAsia="宋体" w:cs="Times New Roman"/>
      <w:color w:val="000000"/>
      <w:sz w:val="24"/>
      <w:szCs w:val="24"/>
      <w:lang w:val="en-US" w:eastAsia="zh-CN" w:bidi="ar-SA"/>
    </w:rPr>
  </w:style>
  <w:style w:type="character" w:customStyle="1" w:styleId="171">
    <w:name w:val="font21"/>
    <w:basedOn w:val="40"/>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4.jpeg"/><Relationship Id="rId3" Type="http://schemas.openxmlformats.org/officeDocument/2006/relationships/header" Target="header1.xml"/><Relationship Id="rId29" Type="http://schemas.openxmlformats.org/officeDocument/2006/relationships/image" Target="media/image13.jpeg"/><Relationship Id="rId28" Type="http://schemas.openxmlformats.org/officeDocument/2006/relationships/image" Target="media/image12.jpeg"/><Relationship Id="rId27" Type="http://schemas.openxmlformats.org/officeDocument/2006/relationships/image" Target="media/image11.jpeg"/><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Company>
  <Pages>103</Pages>
  <Words>10852</Words>
  <Characters>11919</Characters>
  <Lines>420</Lines>
  <Paragraphs>118</Paragraphs>
  <TotalTime>108</TotalTime>
  <ScaleCrop>false</ScaleCrop>
  <LinksUpToDate>false</LinksUpToDate>
  <CharactersWithSpaces>12050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2024-06-01T08:47:00Z</dcterms:created>
  <dc:creator>20100314/sun</dc:creator>
  <cp:lastModifiedBy>代理公司</cp:lastModifiedBy>
  <cp:lastPrinted>2024-10-29T10:18:00Z</cp:lastPrinted>
  <dcterms:modified xsi:type="dcterms:W3CDTF">2025-04-09T09:17:21Z</dcterms:modified>
  <dc:title>信息广场电梯</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5E07536C37EF4990892AF33CF1F7994D_13</vt:lpwstr>
  </property>
  <property fmtid="{D5CDD505-2E9C-101B-9397-08002B2CF9AE}" pid="4" name="KSOTemplateDocerSaveRecord">
    <vt:lpwstr>eyJoZGlkIjoiOWYzM2E4Y2U1ZWM4ZTQzM2NmZDhiMmI3OTEzMDM4OTgiLCJ1c2VySWQiOiIxNjE2MjM4MjM0In0=</vt:lpwstr>
  </property>
</Properties>
</file>