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E8C8">
      <w:pPr>
        <w:tabs>
          <w:tab w:val="left" w:pos="0"/>
        </w:tabs>
        <w:spacing w:line="480" w:lineRule="auto"/>
        <w:rPr>
          <w:rFonts w:hint="eastAsia" w:ascii="宋体" w:hAnsi="宋体" w:eastAsia="宋体" w:cs="宋体"/>
          <w:color w:val="auto"/>
          <w:sz w:val="28"/>
          <w:highlight w:val="none"/>
        </w:rPr>
      </w:pPr>
      <w:bookmarkStart w:id="0" w:name="_Toc246996898"/>
      <w:bookmarkStart w:id="1" w:name="_Toc247085669"/>
      <w:bookmarkStart w:id="2" w:name="_Toc296602400"/>
      <w:r>
        <w:rPr>
          <w:rFonts w:hint="eastAsia" w:ascii="宋体" w:hAnsi="宋体" w:eastAsia="宋体" w:cs="宋体"/>
          <w:b/>
          <w:bCs/>
          <w:color w:val="auto"/>
          <w:sz w:val="48"/>
          <w:szCs w:val="48"/>
          <w:highlight w:val="none"/>
        </w:rPr>
        <w:drawing>
          <wp:inline distT="0" distB="0" distL="114300" distR="114300">
            <wp:extent cx="1602740" cy="1444625"/>
            <wp:effectExtent l="0" t="0" r="10160" b="3175"/>
            <wp:docPr id="1" name="图片 1" descr="大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成标志"/>
                    <pic:cNvPicPr>
                      <a:picLocks noChangeAspect="1"/>
                    </pic:cNvPicPr>
                  </pic:nvPicPr>
                  <pic:blipFill>
                    <a:blip r:embed="rId18" cstate="print"/>
                    <a:stretch>
                      <a:fillRect/>
                    </a:stretch>
                  </pic:blipFill>
                  <pic:spPr>
                    <a:xfrm>
                      <a:off x="0" y="0"/>
                      <a:ext cx="1602740" cy="1444625"/>
                    </a:xfrm>
                    <a:prstGeom prst="rect">
                      <a:avLst/>
                    </a:prstGeom>
                    <a:noFill/>
                    <a:ln>
                      <a:noFill/>
                    </a:ln>
                  </pic:spPr>
                </pic:pic>
              </a:graphicData>
            </a:graphic>
          </wp:inline>
        </w:drawing>
      </w:r>
    </w:p>
    <w:p w14:paraId="1B612CEE">
      <w:pPr>
        <w:tabs>
          <w:tab w:val="left" w:pos="630"/>
        </w:tabs>
        <w:spacing w:line="400" w:lineRule="exact"/>
        <w:rPr>
          <w:rFonts w:hint="eastAsia" w:ascii="宋体" w:hAnsi="宋体" w:eastAsia="宋体" w:cs="宋体"/>
          <w:color w:val="auto"/>
          <w:sz w:val="24"/>
          <w:highlight w:val="none"/>
        </w:rPr>
      </w:pPr>
    </w:p>
    <w:p w14:paraId="7A056BFE">
      <w:pPr>
        <w:tabs>
          <w:tab w:val="left" w:pos="7775"/>
        </w:tabs>
        <w:spacing w:line="480" w:lineRule="auto"/>
        <w:rPr>
          <w:rFonts w:hint="eastAsia" w:ascii="宋体" w:hAnsi="宋体" w:eastAsia="宋体" w:cs="宋体"/>
          <w:b/>
          <w:color w:val="auto"/>
          <w:spacing w:val="20"/>
          <w:sz w:val="72"/>
          <w:szCs w:val="72"/>
          <w:highlight w:val="none"/>
        </w:rPr>
      </w:pPr>
      <w:r>
        <w:rPr>
          <w:rFonts w:hint="eastAsia" w:ascii="宋体" w:hAnsi="宋体" w:eastAsia="宋体" w:cs="宋体"/>
          <w:b/>
          <w:color w:val="auto"/>
          <w:sz w:val="40"/>
          <w:szCs w:val="40"/>
          <w:highlight w:val="none"/>
        </w:rPr>
        <w:tab/>
      </w:r>
    </w:p>
    <w:p w14:paraId="3D0CDEB1">
      <w:pPr>
        <w:spacing w:line="480" w:lineRule="auto"/>
        <w:jc w:val="center"/>
        <w:rPr>
          <w:rFonts w:hint="eastAsia" w:ascii="宋体" w:hAnsi="宋体" w:eastAsia="宋体" w:cs="宋体"/>
          <w:b/>
          <w:color w:val="auto"/>
          <w:sz w:val="84"/>
          <w:szCs w:val="84"/>
          <w:highlight w:val="none"/>
        </w:rPr>
      </w:pPr>
    </w:p>
    <w:p w14:paraId="31C80A0A">
      <w:pPr>
        <w:spacing w:line="48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14:paraId="6235DE06">
      <w:pPr>
        <w:spacing w:line="360" w:lineRule="auto"/>
        <w:ind w:firstLine="422" w:firstLineChars="150"/>
        <w:jc w:val="center"/>
        <w:rPr>
          <w:rFonts w:hint="eastAsia" w:ascii="宋体" w:hAnsi="宋体" w:eastAsia="宋体" w:cs="宋体"/>
          <w:b/>
          <w:color w:val="auto"/>
          <w:sz w:val="28"/>
          <w:szCs w:val="28"/>
          <w:highlight w:val="none"/>
        </w:rPr>
      </w:pPr>
    </w:p>
    <w:p w14:paraId="47937574">
      <w:pPr>
        <w:spacing w:line="360" w:lineRule="auto"/>
        <w:ind w:firstLine="843" w:firstLineChars="300"/>
        <w:rPr>
          <w:rFonts w:hint="eastAsia" w:ascii="宋体" w:hAnsi="宋体" w:eastAsia="宋体" w:cs="宋体"/>
          <w:b/>
          <w:bCs/>
          <w:color w:val="auto"/>
          <w:sz w:val="28"/>
          <w:szCs w:val="28"/>
          <w:highlight w:val="none"/>
        </w:rPr>
      </w:pPr>
    </w:p>
    <w:p w14:paraId="2F24AF0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项目名称：河南测绘职业学院空调线路改造项目</w:t>
      </w:r>
    </w:p>
    <w:p w14:paraId="4E458D47">
      <w:pPr>
        <w:spacing w:line="360" w:lineRule="auto"/>
        <w:ind w:firstLine="1968" w:firstLineChars="7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采购编号：豫财磋商采购-2025-892</w:t>
      </w:r>
    </w:p>
    <w:p w14:paraId="5D49AB8B">
      <w:pPr>
        <w:spacing w:line="360" w:lineRule="auto"/>
        <w:ind w:left="2296" w:leftChars="233" w:hanging="1807" w:hangingChars="500"/>
        <w:rPr>
          <w:rFonts w:hint="eastAsia" w:ascii="宋体" w:hAnsi="宋体" w:eastAsia="宋体" w:cs="宋体"/>
          <w:b/>
          <w:bCs/>
          <w:color w:val="auto"/>
          <w:sz w:val="36"/>
          <w:szCs w:val="36"/>
          <w:highlight w:val="none"/>
          <w:lang w:val="zh-CN"/>
        </w:rPr>
      </w:pPr>
    </w:p>
    <w:p w14:paraId="6E46C9A9">
      <w:pPr>
        <w:spacing w:line="360" w:lineRule="auto"/>
        <w:ind w:left="1894" w:leftChars="233" w:hanging="1405" w:hangingChars="500"/>
        <w:rPr>
          <w:rFonts w:hint="eastAsia" w:ascii="宋体" w:hAnsi="宋体" w:eastAsia="宋体" w:cs="宋体"/>
          <w:b/>
          <w:bCs/>
          <w:color w:val="auto"/>
          <w:sz w:val="28"/>
          <w:szCs w:val="28"/>
          <w:highlight w:val="none"/>
          <w:lang w:val="zh-CN"/>
        </w:rPr>
      </w:pPr>
    </w:p>
    <w:p w14:paraId="2CB35441">
      <w:pPr>
        <w:spacing w:line="360" w:lineRule="auto"/>
        <w:ind w:left="1894" w:leftChars="233" w:hanging="1405" w:hangingChars="500"/>
        <w:rPr>
          <w:rFonts w:hint="eastAsia" w:ascii="宋体" w:hAnsi="宋体" w:eastAsia="宋体" w:cs="宋体"/>
          <w:b/>
          <w:bCs/>
          <w:color w:val="auto"/>
          <w:sz w:val="28"/>
          <w:szCs w:val="28"/>
          <w:highlight w:val="none"/>
          <w:lang w:val="zh-CN"/>
        </w:rPr>
      </w:pPr>
    </w:p>
    <w:p w14:paraId="76B3FED4">
      <w:pPr>
        <w:pStyle w:val="24"/>
        <w:ind w:firstLine="210"/>
        <w:rPr>
          <w:rFonts w:hint="eastAsia" w:ascii="宋体" w:hAnsi="宋体" w:eastAsia="宋体" w:cs="宋体"/>
          <w:color w:val="auto"/>
          <w:highlight w:val="none"/>
          <w:lang w:val="zh-CN"/>
        </w:rPr>
      </w:pPr>
    </w:p>
    <w:p w14:paraId="7243F436">
      <w:pPr>
        <w:spacing w:line="360" w:lineRule="auto"/>
        <w:ind w:left="1894" w:leftChars="233" w:hanging="1405" w:hangingChars="500"/>
        <w:rPr>
          <w:rFonts w:hint="eastAsia" w:ascii="宋体" w:hAnsi="宋体" w:eastAsia="宋体" w:cs="宋体"/>
          <w:b/>
          <w:bCs/>
          <w:color w:val="auto"/>
          <w:sz w:val="28"/>
          <w:szCs w:val="28"/>
          <w:highlight w:val="none"/>
          <w:lang w:val="zh-CN"/>
        </w:rPr>
      </w:pPr>
    </w:p>
    <w:p w14:paraId="33FCBCB8">
      <w:pPr>
        <w:spacing w:line="360" w:lineRule="auto"/>
        <w:ind w:firstLine="2811" w:firstLineChars="10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   购  人：河南测绘职业学院</w:t>
      </w:r>
    </w:p>
    <w:p w14:paraId="01E0B77D">
      <w:pPr>
        <w:spacing w:line="360" w:lineRule="auto"/>
        <w:ind w:firstLine="2811" w:firstLineChars="10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 购 代 理：大成工程咨询有限公司</w:t>
      </w:r>
    </w:p>
    <w:p w14:paraId="24EBE551">
      <w:pPr>
        <w:spacing w:line="360" w:lineRule="auto"/>
        <w:ind w:firstLine="2811" w:firstLineChars="10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期：二〇二</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月</w:t>
      </w:r>
    </w:p>
    <w:p w14:paraId="55AFC43F">
      <w:pPr>
        <w:pStyle w:val="20"/>
        <w:tabs>
          <w:tab w:val="right" w:leader="dot" w:pos="8296"/>
        </w:tabs>
        <w:spacing w:line="360" w:lineRule="auto"/>
        <w:ind w:left="0"/>
        <w:jc w:val="center"/>
        <w:rPr>
          <w:rFonts w:hint="eastAsia" w:ascii="宋体" w:hAnsi="宋体" w:eastAsia="宋体" w:cs="宋体"/>
          <w:b/>
          <w:bCs/>
          <w:color w:val="auto"/>
          <w:sz w:val="28"/>
          <w:szCs w:val="28"/>
          <w:highlight w:val="none"/>
        </w:rPr>
        <w:sectPr>
          <w:headerReference r:id="rId5" w:type="first"/>
          <w:headerReference r:id="rId3" w:type="default"/>
          <w:headerReference r:id="rId4" w:type="even"/>
          <w:footerReference r:id="rId6" w:type="even"/>
          <w:pgSz w:w="11906" w:h="16838"/>
          <w:pgMar w:top="1440" w:right="1080" w:bottom="1440" w:left="1080" w:header="1077" w:footer="1077" w:gutter="0"/>
          <w:cols w:space="425" w:num="1"/>
          <w:titlePg/>
          <w:docGrid w:type="lines" w:linePitch="312" w:charSpace="0"/>
        </w:sectPr>
      </w:pPr>
      <w:bookmarkStart w:id="3" w:name="_Toc24544"/>
      <w:bookmarkStart w:id="4" w:name="_Toc6695"/>
    </w:p>
    <w:bookmarkEnd w:id="0"/>
    <w:bookmarkEnd w:id="1"/>
    <w:bookmarkEnd w:id="2"/>
    <w:bookmarkEnd w:id="3"/>
    <w:bookmarkEnd w:id="4"/>
    <w:sdt>
      <w:sdtPr>
        <w:rPr>
          <w:rFonts w:hint="eastAsia" w:ascii="宋体" w:hAnsi="宋体" w:eastAsia="宋体" w:cs="宋体"/>
          <w:b/>
          <w:bCs/>
          <w:color w:val="auto"/>
          <w:sz w:val="32"/>
          <w:szCs w:val="32"/>
          <w:highlight w:val="none"/>
        </w:rPr>
        <w:id w:val="147456834"/>
        <w:docPartObj>
          <w:docPartGallery w:val="Table of Contents"/>
          <w:docPartUnique/>
        </w:docPartObj>
      </w:sdtPr>
      <w:sdtEndPr>
        <w:rPr>
          <w:rFonts w:hint="eastAsia" w:ascii="宋体" w:hAnsi="宋体" w:eastAsia="宋体" w:cs="宋体"/>
          <w:b/>
          <w:bCs/>
          <w:color w:val="auto"/>
          <w:sz w:val="32"/>
          <w:szCs w:val="32"/>
          <w:highlight w:val="none"/>
        </w:rPr>
      </w:sdtEndPr>
      <w:sdtContent>
        <w:p w14:paraId="2751A2C7">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目  录</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p>
        <w:p w14:paraId="01DE80F7">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"_Toc3485"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0640F2">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"_Toc18110"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响应人须知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6D1E">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"_Toc5371"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磋商办法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C4E346">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4FEA4A">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"_Toc5941"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rPr>
            <w:t>第五章 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DC0E73">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"_Toc14126"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rPr>
            <w:t>第六章</w:t>
          </w:r>
          <w:r>
            <w:rPr>
              <w:rFonts w:hint="eastAsia" w:ascii="宋体" w:hAnsi="宋体" w:eastAsia="宋体" w:cs="宋体"/>
              <w:color w:val="auto"/>
              <w:kern w:val="44"/>
              <w:sz w:val="24"/>
              <w:szCs w:val="24"/>
              <w:highlight w:val="none"/>
              <w:lang w:val="en-US" w:eastAsia="zh-CN"/>
            </w:rPr>
            <w:t xml:space="preserve"> </w:t>
          </w:r>
          <w:r>
            <w:rPr>
              <w:rFonts w:hint="eastAsia" w:ascii="宋体" w:hAnsi="宋体" w:eastAsia="宋体" w:cs="宋体"/>
              <w:color w:val="auto"/>
              <w:kern w:val="44"/>
              <w:sz w:val="24"/>
              <w:szCs w:val="24"/>
              <w:highlight w:val="none"/>
            </w:rPr>
            <w:t>图纸（如有）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23051B">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"_Toc27743"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24"/>
              <w:szCs w:val="24"/>
              <w:highlight w:val="none"/>
            </w:rPr>
            <w:t>第七章 技术标准和要求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87A08B">
          <w:pPr>
            <w:pStyle w:val="18"/>
            <w:tabs>
              <w:tab w:val="right" w:leader="dot" w:pos="974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第八章 响应性文件格式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26D621">
          <w:pPr>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0D4CFFE6">
      <w:pPr>
        <w:pStyle w:val="18"/>
        <w:tabs>
          <w:tab w:val="right" w:leader="dot" w:pos="9412"/>
        </w:tabs>
        <w:spacing w:line="360" w:lineRule="auto"/>
        <w:jc w:val="center"/>
        <w:outlineLvl w:val="0"/>
        <w:rPr>
          <w:rFonts w:hint="eastAsia" w:ascii="宋体" w:hAnsi="宋体" w:eastAsia="宋体" w:cs="宋体"/>
          <w:color w:val="auto"/>
          <w:sz w:val="36"/>
          <w:szCs w:val="36"/>
          <w:highlight w:val="none"/>
        </w:rPr>
        <w:sectPr>
          <w:footerReference r:id="rId8" w:type="first"/>
          <w:footerReference r:id="rId7" w:type="default"/>
          <w:pgSz w:w="11906" w:h="16838"/>
          <w:pgMar w:top="1440" w:right="1080" w:bottom="1440" w:left="1080" w:header="1077" w:footer="992" w:gutter="0"/>
          <w:pgNumType w:start="1"/>
          <w:cols w:space="425" w:num="1"/>
          <w:titlePg/>
          <w:docGrid w:type="lines" w:linePitch="312" w:charSpace="0"/>
        </w:sectPr>
      </w:pPr>
    </w:p>
    <w:p w14:paraId="0E671108">
      <w:pPr>
        <w:pStyle w:val="18"/>
        <w:tabs>
          <w:tab w:val="right" w:leader="dot" w:pos="9412"/>
        </w:tabs>
        <w:spacing w:line="360" w:lineRule="auto"/>
        <w:jc w:val="center"/>
        <w:outlineLvl w:val="0"/>
        <w:rPr>
          <w:rFonts w:hint="eastAsia" w:ascii="宋体" w:hAnsi="宋体" w:eastAsia="宋体" w:cs="宋体"/>
          <w:color w:val="auto"/>
          <w:sz w:val="36"/>
          <w:szCs w:val="36"/>
          <w:highlight w:val="none"/>
        </w:rPr>
      </w:pPr>
      <w:bookmarkStart w:id="5" w:name="_Toc2804"/>
      <w:bookmarkStart w:id="6" w:name="_Toc3485"/>
      <w:r>
        <w:rPr>
          <w:rFonts w:hint="eastAsia" w:ascii="宋体" w:hAnsi="宋体" w:eastAsia="宋体" w:cs="宋体"/>
          <w:color w:val="auto"/>
          <w:sz w:val="36"/>
          <w:szCs w:val="36"/>
          <w:highlight w:val="none"/>
        </w:rPr>
        <w:t>第一章 竞争性磋商</w:t>
      </w:r>
      <w:bookmarkEnd w:id="5"/>
      <w:r>
        <w:rPr>
          <w:rFonts w:hint="eastAsia" w:ascii="宋体" w:hAnsi="宋体" w:eastAsia="宋体" w:cs="宋体"/>
          <w:color w:val="auto"/>
          <w:sz w:val="36"/>
          <w:szCs w:val="36"/>
          <w:highlight w:val="none"/>
        </w:rPr>
        <w:t>公告</w:t>
      </w:r>
      <w:bookmarkEnd w:id="6"/>
    </w:p>
    <w:p w14:paraId="7632CB4A">
      <w:pPr>
        <w:widowControl/>
        <w:spacing w:line="360" w:lineRule="auto"/>
        <w:jc w:val="center"/>
        <w:rPr>
          <w:rFonts w:hint="eastAsia" w:ascii="宋体" w:hAnsi="宋体" w:eastAsia="宋体" w:cs="宋体"/>
          <w:b/>
          <w:bCs/>
          <w:iCs/>
          <w:color w:val="auto"/>
          <w:sz w:val="28"/>
          <w:szCs w:val="28"/>
          <w:highlight w:val="none"/>
          <w:lang w:bidi="en-US"/>
        </w:rPr>
      </w:pPr>
      <w:r>
        <w:rPr>
          <w:rFonts w:hint="eastAsia" w:ascii="宋体" w:hAnsi="宋体" w:eastAsia="宋体" w:cs="宋体"/>
          <w:b/>
          <w:bCs/>
          <w:iCs/>
          <w:color w:val="auto"/>
          <w:sz w:val="28"/>
          <w:szCs w:val="28"/>
          <w:highlight w:val="none"/>
          <w:lang w:bidi="en-US"/>
        </w:rPr>
        <w:t>河南测绘职业学院空调线路改造项目</w:t>
      </w:r>
    </w:p>
    <w:p w14:paraId="092198F8">
      <w:pPr>
        <w:widowControl/>
        <w:spacing w:line="360" w:lineRule="auto"/>
        <w:jc w:val="center"/>
        <w:rPr>
          <w:rFonts w:hint="eastAsia" w:ascii="宋体" w:hAnsi="宋体" w:eastAsia="宋体" w:cs="宋体"/>
          <w:b/>
          <w:bCs/>
          <w:color w:val="auto"/>
          <w:szCs w:val="21"/>
          <w:highlight w:val="yellow"/>
          <w:lang w:val="en-US" w:eastAsia="zh-CN"/>
        </w:rPr>
      </w:pPr>
      <w:r>
        <w:rPr>
          <w:rFonts w:hint="eastAsia" w:ascii="宋体" w:hAnsi="宋体" w:eastAsia="宋体" w:cs="宋体"/>
          <w:b/>
          <w:bCs/>
          <w:iCs/>
          <w:color w:val="auto"/>
          <w:sz w:val="28"/>
          <w:szCs w:val="28"/>
          <w:highlight w:val="none"/>
          <w:lang w:bidi="en-US"/>
        </w:rPr>
        <w:t>竞争性磋商公告</w:t>
      </w:r>
      <w:bookmarkStart w:id="7" w:name="_Toc7000"/>
      <w:bookmarkStart w:id="8" w:name="_Toc28429"/>
    </w:p>
    <w:p w14:paraId="3728764E">
      <w:pPr>
        <w:spacing w:line="360" w:lineRule="auto"/>
        <w:outlineLvl w:val="0"/>
        <w:rPr>
          <w:rFonts w:hint="eastAsia" w:ascii="宋体" w:hAnsi="宋体" w:eastAsia="宋体" w:cs="宋体"/>
          <w:b w:val="0"/>
          <w:bCs w:val="0"/>
          <w:szCs w:val="21"/>
          <w:highlight w:val="none"/>
        </w:rPr>
      </w:pPr>
      <w:r>
        <w:rPr>
          <w:rFonts w:hint="eastAsia" w:ascii="宋体" w:hAnsi="宋体" w:eastAsia="宋体" w:cs="宋体"/>
          <w:b w:val="0"/>
          <w:bCs w:val="0"/>
          <w:highlight w:val="none"/>
        </w:rPr>
        <w:t>项目概况</w:t>
      </w:r>
    </w:p>
    <w:p w14:paraId="56037177">
      <w:pPr>
        <w:spacing w:line="360" w:lineRule="auto"/>
        <w:ind w:firstLine="420" w:firstLineChars="200"/>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val="0"/>
          <w:bCs/>
          <w:szCs w:val="21"/>
          <w:highlight w:val="none"/>
        </w:rPr>
        <w:t>河南测绘职业学院空调线路改造项目的潜在</w:t>
      </w:r>
      <w:r>
        <w:rPr>
          <w:rFonts w:hint="eastAsia" w:ascii="宋体" w:hAnsi="宋体" w:eastAsia="宋体" w:cs="宋体"/>
          <w:b w:val="0"/>
          <w:bCs/>
          <w:szCs w:val="21"/>
          <w:highlight w:val="none"/>
          <w:lang w:eastAsia="zh-CN"/>
        </w:rPr>
        <w:t>供应商</w:t>
      </w:r>
      <w:r>
        <w:rPr>
          <w:rFonts w:hint="eastAsia" w:ascii="宋体" w:hAnsi="宋体" w:eastAsia="宋体" w:cs="宋体"/>
          <w:b w:val="0"/>
          <w:bCs/>
          <w:szCs w:val="21"/>
          <w:highlight w:val="none"/>
        </w:rPr>
        <w:t>应在河南省公共资源交易中心电子交易平台获取招标文件，并于2025年</w:t>
      </w:r>
      <w:r>
        <w:rPr>
          <w:rFonts w:hint="eastAsia" w:ascii="宋体" w:hAnsi="宋体" w:cs="宋体"/>
          <w:b w:val="0"/>
          <w:bCs/>
          <w:szCs w:val="21"/>
          <w:highlight w:val="none"/>
          <w:lang w:val="en-US" w:eastAsia="zh-CN"/>
        </w:rPr>
        <w:t>8</w:t>
      </w:r>
      <w:r>
        <w:rPr>
          <w:rFonts w:hint="eastAsia" w:ascii="宋体" w:hAnsi="宋体" w:eastAsia="宋体" w:cs="宋体"/>
          <w:b w:val="0"/>
          <w:bCs/>
          <w:szCs w:val="21"/>
          <w:highlight w:val="none"/>
        </w:rPr>
        <w:t>月</w:t>
      </w:r>
      <w:r>
        <w:rPr>
          <w:rFonts w:hint="eastAsia" w:ascii="宋体" w:hAnsi="宋体" w:cs="宋体"/>
          <w:b w:val="0"/>
          <w:bCs/>
          <w:szCs w:val="21"/>
          <w:highlight w:val="none"/>
          <w:lang w:val="en-US" w:eastAsia="zh-CN"/>
        </w:rPr>
        <w:t>28</w:t>
      </w:r>
      <w:r>
        <w:rPr>
          <w:rFonts w:hint="eastAsia" w:ascii="宋体" w:hAnsi="宋体" w:eastAsia="宋体" w:cs="宋体"/>
          <w:b w:val="0"/>
          <w:bCs/>
          <w:szCs w:val="21"/>
          <w:highlight w:val="none"/>
          <w:lang w:val="en-US" w:eastAsia="zh-CN"/>
        </w:rPr>
        <w:t xml:space="preserve"> </w:t>
      </w:r>
      <w:r>
        <w:rPr>
          <w:rFonts w:hint="eastAsia" w:ascii="宋体" w:hAnsi="宋体" w:eastAsia="宋体" w:cs="宋体"/>
          <w:b w:val="0"/>
          <w:bCs/>
          <w:szCs w:val="21"/>
          <w:highlight w:val="none"/>
        </w:rPr>
        <w:t>日09时00分（北京时间）前递交响应文件。</w:t>
      </w:r>
    </w:p>
    <w:p w14:paraId="21CF50E5">
      <w:pPr>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项目概况与磋商范围：</w:t>
      </w:r>
      <w:bookmarkEnd w:id="7"/>
      <w:bookmarkEnd w:id="8"/>
    </w:p>
    <w:p w14:paraId="295F1E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1.项目编号：豫财磋商采购-2025-892</w:t>
      </w:r>
    </w:p>
    <w:p w14:paraId="4129E4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2.项目名称：河南测绘职业学院空调线路改造项目</w:t>
      </w:r>
    </w:p>
    <w:p w14:paraId="7F2E7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341136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4.采购预算：1985000元</w:t>
      </w:r>
    </w:p>
    <w:p w14:paraId="1355B6E7">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最高限价：1985000</w:t>
      </w:r>
      <w:r>
        <w:rPr>
          <w:rFonts w:hint="eastAsia" w:ascii="宋体" w:hAnsi="宋体" w:eastAsia="宋体" w:cs="宋体"/>
          <w:color w:val="auto"/>
          <w:highlight w:val="none"/>
        </w:rPr>
        <w:t>元</w:t>
      </w:r>
    </w:p>
    <w:tbl>
      <w:tblPr>
        <w:tblStyle w:val="27"/>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4"/>
        <w:gridCol w:w="3626"/>
        <w:gridCol w:w="1385"/>
        <w:gridCol w:w="1905"/>
      </w:tblGrid>
      <w:tr w14:paraId="12D3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4" w:type="dxa"/>
            <w:vAlign w:val="center"/>
          </w:tcPr>
          <w:p w14:paraId="5A56708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04" w:type="dxa"/>
            <w:vAlign w:val="center"/>
          </w:tcPr>
          <w:p w14:paraId="4127656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包号</w:t>
            </w:r>
          </w:p>
        </w:tc>
        <w:tc>
          <w:tcPr>
            <w:tcW w:w="3626" w:type="dxa"/>
            <w:vAlign w:val="center"/>
          </w:tcPr>
          <w:p w14:paraId="1F6AC88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包名称</w:t>
            </w:r>
          </w:p>
        </w:tc>
        <w:tc>
          <w:tcPr>
            <w:tcW w:w="1385" w:type="dxa"/>
            <w:vAlign w:val="center"/>
          </w:tcPr>
          <w:p w14:paraId="5E9C039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包预算（元）</w:t>
            </w:r>
          </w:p>
        </w:tc>
        <w:tc>
          <w:tcPr>
            <w:tcW w:w="1905" w:type="dxa"/>
            <w:vAlign w:val="center"/>
          </w:tcPr>
          <w:p w14:paraId="224381B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包最高限价（元）</w:t>
            </w:r>
          </w:p>
        </w:tc>
      </w:tr>
      <w:tr w14:paraId="347C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4" w:type="dxa"/>
            <w:vAlign w:val="center"/>
          </w:tcPr>
          <w:p w14:paraId="4A763B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04" w:type="dxa"/>
            <w:vAlign w:val="center"/>
          </w:tcPr>
          <w:p w14:paraId="34D29D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豫政采(2)20251421-1</w:t>
            </w:r>
          </w:p>
        </w:tc>
        <w:tc>
          <w:tcPr>
            <w:tcW w:w="3626" w:type="dxa"/>
            <w:vAlign w:val="center"/>
          </w:tcPr>
          <w:p w14:paraId="0EF281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河南测绘职业学院空调线路改造项目</w:t>
            </w:r>
          </w:p>
        </w:tc>
        <w:tc>
          <w:tcPr>
            <w:tcW w:w="1385" w:type="dxa"/>
            <w:vAlign w:val="center"/>
          </w:tcPr>
          <w:p w14:paraId="086EAC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1985000</w:t>
            </w:r>
          </w:p>
        </w:tc>
        <w:tc>
          <w:tcPr>
            <w:tcW w:w="1905" w:type="dxa"/>
            <w:vAlign w:val="center"/>
          </w:tcPr>
          <w:p w14:paraId="18CE11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1985000</w:t>
            </w:r>
          </w:p>
        </w:tc>
      </w:tr>
    </w:tbl>
    <w:p w14:paraId="2C07BF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5.采购需求（包括但不限于标的的名称、数量、简要技术需求或服务要求等）</w:t>
      </w:r>
    </w:p>
    <w:p w14:paraId="40567F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5.1项目概况：河南测绘职业学院</w:t>
      </w:r>
      <w:r>
        <w:rPr>
          <w:rFonts w:hint="eastAsia" w:ascii="宋体" w:hAnsi="宋体" w:eastAsia="宋体" w:cs="宋体"/>
          <w:color w:val="auto"/>
          <w:szCs w:val="21"/>
          <w:highlight w:val="none"/>
          <w:lang w:val="en-US" w:eastAsia="zh-CN"/>
        </w:rPr>
        <w:t>拟对箱变</w:t>
      </w:r>
      <w:r>
        <w:rPr>
          <w:rFonts w:hint="eastAsia" w:ascii="宋体" w:hAnsi="宋体" w:eastAsia="宋体" w:cs="宋体"/>
          <w:color w:val="auto"/>
          <w:szCs w:val="21"/>
          <w:highlight w:val="none"/>
        </w:rPr>
        <w:t>、电缆线、低高压配电柜、开关、漏电保护等</w:t>
      </w:r>
      <w:r>
        <w:rPr>
          <w:rFonts w:hint="eastAsia" w:ascii="宋体" w:hAnsi="宋体" w:eastAsia="宋体" w:cs="宋体"/>
          <w:color w:val="auto"/>
          <w:szCs w:val="21"/>
          <w:highlight w:val="none"/>
          <w:lang w:val="en-US" w:eastAsia="zh-CN"/>
        </w:rPr>
        <w:t>方面进行</w:t>
      </w:r>
      <w:r>
        <w:rPr>
          <w:rFonts w:hint="eastAsia" w:ascii="宋体" w:hAnsi="宋体" w:eastAsia="宋体" w:cs="宋体"/>
          <w:color w:val="auto"/>
          <w:szCs w:val="21"/>
          <w:highlight w:val="none"/>
        </w:rPr>
        <w:t>维修改造。解决</w:t>
      </w:r>
      <w:r>
        <w:rPr>
          <w:rFonts w:hint="eastAsia" w:ascii="宋体" w:hAnsi="宋体" w:eastAsia="宋体" w:cs="宋体"/>
          <w:color w:val="auto"/>
          <w:szCs w:val="21"/>
          <w:highlight w:val="none"/>
          <w:lang w:eastAsia="zh-CN"/>
        </w:rPr>
        <w:t>教学楼</w:t>
      </w:r>
      <w:r>
        <w:rPr>
          <w:rFonts w:hint="eastAsia" w:ascii="宋体" w:hAnsi="宋体" w:eastAsia="宋体" w:cs="宋体"/>
          <w:color w:val="auto"/>
          <w:szCs w:val="21"/>
          <w:highlight w:val="none"/>
        </w:rPr>
        <w:t>用电负荷较大，配电柜开关老化导致失火的安全隐患；</w:t>
      </w:r>
    </w:p>
    <w:p w14:paraId="515FA1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5.2项目地点：河南测绘职业学院；</w:t>
      </w:r>
    </w:p>
    <w:p w14:paraId="5CC423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范围：包含所有工程量清单中的施工内容等；</w:t>
      </w:r>
    </w:p>
    <w:p w14:paraId="6B8A9B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5.4质量标准：合格；</w:t>
      </w:r>
    </w:p>
    <w:p w14:paraId="3F826A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5.5工期：</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日历天（实际开工时间以采购人发出的开工令为准）；</w:t>
      </w:r>
    </w:p>
    <w:p w14:paraId="09443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同工期</w:t>
      </w:r>
      <w:r>
        <w:rPr>
          <w:rFonts w:hint="eastAsia" w:ascii="宋体" w:hAnsi="宋体" w:eastAsia="宋体" w:cs="宋体"/>
          <w:color w:val="auto"/>
          <w:szCs w:val="21"/>
          <w:highlight w:val="none"/>
        </w:rPr>
        <w:t>；</w:t>
      </w:r>
    </w:p>
    <w:p w14:paraId="196A79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7.本项目是否接受联合体投标：否；</w:t>
      </w:r>
    </w:p>
    <w:p w14:paraId="24C1A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8.是否接受进口产品：否；</w:t>
      </w:r>
    </w:p>
    <w:p w14:paraId="339F53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9.是否只面对中小型企业采购：否。</w:t>
      </w:r>
    </w:p>
    <w:p w14:paraId="0254B7D1">
      <w:pPr>
        <w:spacing w:line="360" w:lineRule="auto"/>
        <w:outlineLvl w:val="9"/>
        <w:rPr>
          <w:rFonts w:hint="eastAsia" w:ascii="宋体" w:hAnsi="宋体" w:eastAsia="宋体" w:cs="宋体"/>
          <w:b/>
          <w:bCs/>
          <w:color w:val="auto"/>
          <w:szCs w:val="21"/>
          <w:highlight w:val="none"/>
        </w:rPr>
      </w:pPr>
      <w:bookmarkStart w:id="9" w:name="_Toc30604"/>
      <w:bookmarkStart w:id="10" w:name="_Toc10621"/>
      <w:r>
        <w:rPr>
          <w:rFonts w:hint="eastAsia" w:ascii="宋体" w:hAnsi="宋体" w:eastAsia="宋体" w:cs="宋体"/>
          <w:b/>
          <w:bCs/>
          <w:color w:val="auto"/>
          <w:szCs w:val="21"/>
          <w:highlight w:val="none"/>
        </w:rPr>
        <w:t>二、申请人资格要求：</w:t>
      </w:r>
      <w:bookmarkEnd w:id="9"/>
      <w:bookmarkEnd w:id="10"/>
    </w:p>
    <w:p w14:paraId="071C88DF">
      <w:pPr>
        <w:spacing w:line="360" w:lineRule="auto"/>
        <w:ind w:firstLine="420" w:firstLineChars="200"/>
        <w:jc w:val="left"/>
        <w:outlineLvl w:val="9"/>
        <w:rPr>
          <w:rFonts w:hint="eastAsia" w:ascii="宋体" w:hAnsi="宋体" w:eastAsia="宋体" w:cs="宋体"/>
          <w:color w:val="auto"/>
          <w:highlight w:val="none"/>
        </w:rPr>
      </w:pPr>
      <w:bookmarkStart w:id="11" w:name="_Toc17243"/>
      <w:bookmarkStart w:id="12" w:name="_Toc30141"/>
      <w:bookmarkStart w:id="13" w:name="_Toc4912"/>
      <w:bookmarkStart w:id="14" w:name="_Toc32728"/>
      <w:bookmarkStart w:id="15" w:name="_Toc18621"/>
      <w:r>
        <w:rPr>
          <w:rFonts w:hint="eastAsia" w:ascii="宋体" w:hAnsi="宋体" w:eastAsia="宋体" w:cs="宋体"/>
          <w:color w:val="auto"/>
          <w:highlight w:val="none"/>
        </w:rPr>
        <w:t>1、满足《中华人民共和国政府采购法》第二十二条规定；</w:t>
      </w:r>
      <w:bookmarkEnd w:id="11"/>
      <w:bookmarkEnd w:id="12"/>
      <w:bookmarkEnd w:id="13"/>
      <w:bookmarkEnd w:id="14"/>
      <w:bookmarkEnd w:id="15"/>
    </w:p>
    <w:p w14:paraId="35FF5B23">
      <w:pPr>
        <w:spacing w:line="360" w:lineRule="auto"/>
        <w:ind w:firstLine="420" w:firstLineChars="200"/>
        <w:jc w:val="left"/>
        <w:outlineLvl w:val="9"/>
        <w:rPr>
          <w:rFonts w:hint="eastAsia" w:ascii="宋体" w:hAnsi="宋体" w:eastAsia="宋体" w:cs="宋体"/>
          <w:color w:val="auto"/>
          <w:highlight w:val="none"/>
        </w:rPr>
      </w:pPr>
      <w:bookmarkStart w:id="16" w:name="_Toc32439"/>
      <w:bookmarkStart w:id="17" w:name="_Toc11262"/>
      <w:bookmarkStart w:id="18" w:name="_Toc1766"/>
      <w:bookmarkStart w:id="19" w:name="_Toc28784"/>
      <w:bookmarkStart w:id="20" w:name="_Toc9360"/>
      <w:r>
        <w:rPr>
          <w:rFonts w:hint="eastAsia" w:ascii="宋体" w:hAnsi="宋体" w:eastAsia="宋体" w:cs="宋体"/>
          <w:color w:val="auto"/>
          <w:highlight w:val="none"/>
        </w:rPr>
        <w:t>2、落实政府采购政策满足的资格要求：</w:t>
      </w:r>
      <w:bookmarkEnd w:id="16"/>
      <w:bookmarkEnd w:id="17"/>
      <w:bookmarkEnd w:id="18"/>
      <w:bookmarkEnd w:id="19"/>
      <w:bookmarkEnd w:id="20"/>
      <w:r>
        <w:rPr>
          <w:rFonts w:hint="eastAsia" w:ascii="宋体" w:hAnsi="宋体" w:eastAsia="宋体" w:cs="宋体"/>
          <w:color w:val="auto"/>
          <w:highlight w:val="none"/>
        </w:rPr>
        <w:t>无</w:t>
      </w:r>
    </w:p>
    <w:p w14:paraId="727274F4">
      <w:pPr>
        <w:spacing w:line="360" w:lineRule="auto"/>
        <w:ind w:firstLine="420" w:firstLineChars="200"/>
        <w:jc w:val="left"/>
        <w:outlineLvl w:val="9"/>
        <w:rPr>
          <w:rFonts w:hint="eastAsia" w:ascii="宋体" w:hAnsi="宋体" w:eastAsia="宋体" w:cs="宋体"/>
          <w:color w:val="auto"/>
          <w:highlight w:val="none"/>
        </w:rPr>
      </w:pPr>
      <w:bookmarkStart w:id="21" w:name="_Toc14826"/>
      <w:bookmarkStart w:id="22" w:name="_Toc13502"/>
      <w:bookmarkStart w:id="23" w:name="_Toc25428"/>
      <w:bookmarkStart w:id="24" w:name="_Toc21832"/>
      <w:bookmarkStart w:id="25" w:name="_Toc22130"/>
      <w:r>
        <w:rPr>
          <w:rFonts w:hint="eastAsia" w:ascii="宋体" w:hAnsi="宋体" w:eastAsia="宋体" w:cs="宋体"/>
          <w:color w:val="auto"/>
          <w:highlight w:val="none"/>
        </w:rPr>
        <w:t>3、本项目的特定资格要求</w:t>
      </w:r>
      <w:bookmarkEnd w:id="21"/>
      <w:bookmarkEnd w:id="22"/>
      <w:bookmarkEnd w:id="23"/>
      <w:bookmarkEnd w:id="24"/>
      <w:bookmarkEnd w:id="25"/>
    </w:p>
    <w:p w14:paraId="07B615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供应商具有行政主管部门颁发的电力工程施工总承包叁级（含）以上资质或者具有电力监管机构核发的《承装（修、试）电力设施许可证》（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级）（含）以上资质，并具有有效的安全生产许可证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供应商拟派项目经理须具有本企业注册机电工程专业贰级及以上注册建造师资格及有效的安全生产考核合格证书，且未担任其他在建项目的项目经理</w:t>
      </w:r>
      <w:r>
        <w:rPr>
          <w:rFonts w:hint="eastAsia" w:ascii="宋体" w:hAnsi="宋体" w:eastAsia="宋体" w:cs="宋体"/>
          <w:color w:val="auto"/>
          <w:highlight w:val="none"/>
          <w:lang w:val="en-US" w:eastAsia="zh-CN"/>
        </w:rPr>
        <w:t>；</w:t>
      </w:r>
    </w:p>
    <w:p w14:paraId="6F6287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3.3信誉要求：</w:t>
      </w:r>
      <w:r>
        <w:rPr>
          <w:rFonts w:hint="eastAsia" w:ascii="宋体" w:hAnsi="宋体" w:eastAsia="宋体" w:cs="宋体"/>
          <w:color w:val="auto"/>
          <w:highlight w:val="none"/>
          <w:lang w:val="en-US" w:eastAsia="zh-CN"/>
        </w:rPr>
        <w:t>供应商须根据《关于在政府采购活动中查询及使用信用记录有关问题的通知》（财库［2016］125号）的规定，对列入失信被执行人、重大税收违法失信主体、政府采购严重违法失信行为记录名单的供应商，拒绝参与本项目政府采购活动；采购人、采购代理机构将通过“信用中国”网站（www.creditchina.gov.cn）、中国政府采购网（www.ccgp.gov.cn）渠道查询供应商信用记录，信用信息查询的时间为递交响应性文件或响应文件时，被列入失信被执行人、重大税收违法失信主体、政府采购严重违法失信行为记录名单的单位将被拒绝参与本项目投标；信用信息查询记录和证据将同采购文件等资料一同归档保存</w:t>
      </w:r>
      <w:r>
        <w:rPr>
          <w:rFonts w:hint="eastAsia" w:ascii="宋体" w:hAnsi="宋体" w:eastAsia="宋体" w:cs="宋体"/>
          <w:color w:val="auto"/>
          <w:highlight w:val="none"/>
        </w:rPr>
        <w:t>；</w:t>
      </w:r>
    </w:p>
    <w:p w14:paraId="31EA35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3.4</w:t>
      </w:r>
      <w:r>
        <w:rPr>
          <w:rFonts w:hint="eastAsia" w:ascii="宋体" w:hAnsi="宋体" w:eastAsia="宋体" w:cs="宋体"/>
          <w:color w:val="auto"/>
          <w:highlight w:val="none"/>
          <w:lang w:val="en-US" w:eastAsia="zh-CN"/>
        </w:rPr>
        <w:t>单位负责人为同一人或者存在控股、管理关系的不同单位（提供“国家企业信用信息公示系统”截图，截图须显示股东或主要负责人信息）</w:t>
      </w:r>
      <w:r>
        <w:rPr>
          <w:rFonts w:hint="eastAsia" w:ascii="宋体" w:hAnsi="宋体" w:eastAsia="宋体" w:cs="宋体"/>
          <w:color w:val="auto"/>
          <w:highlight w:val="none"/>
        </w:rPr>
        <w:t>；</w:t>
      </w:r>
    </w:p>
    <w:p w14:paraId="010124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3.5本次竞争性磋商不允许联合投标。</w:t>
      </w:r>
    </w:p>
    <w:p w14:paraId="23E930EE">
      <w:pPr>
        <w:spacing w:line="360" w:lineRule="auto"/>
        <w:outlineLvl w:val="9"/>
        <w:rPr>
          <w:rFonts w:hint="eastAsia" w:ascii="宋体" w:hAnsi="宋体" w:eastAsia="宋体" w:cs="宋体"/>
          <w:b/>
          <w:bCs/>
          <w:color w:val="auto"/>
          <w:szCs w:val="21"/>
          <w:highlight w:val="none"/>
        </w:rPr>
      </w:pPr>
      <w:bookmarkStart w:id="26" w:name="_Toc4274"/>
      <w:bookmarkStart w:id="27" w:name="_Toc10780"/>
      <w:r>
        <w:rPr>
          <w:rFonts w:hint="eastAsia" w:ascii="宋体" w:hAnsi="宋体" w:eastAsia="宋体" w:cs="宋体"/>
          <w:b/>
          <w:bCs/>
          <w:color w:val="auto"/>
          <w:szCs w:val="21"/>
          <w:highlight w:val="none"/>
        </w:rPr>
        <w:t>三、获取采购文件</w:t>
      </w:r>
      <w:bookmarkEnd w:id="26"/>
      <w:bookmarkEnd w:id="27"/>
    </w:p>
    <w:p w14:paraId="4406EE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日，每天上午00:00至12:00，下午12:00至23:59（北京时间，法定节假日除外）</w:t>
      </w:r>
    </w:p>
    <w:p w14:paraId="590254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2.地点：河南省公共资源交易中心（http://www.hnggzy.net）</w:t>
      </w:r>
    </w:p>
    <w:p w14:paraId="4978D6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式：登录“河南省公共资源交易中心(http://www.hnggzy.net)”门户网站，凭领取的企业身份认证锁（CA密钥）免费下载文件。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14:paraId="3BCB08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4.售价：0元</w:t>
      </w:r>
    </w:p>
    <w:p w14:paraId="770D5D6F">
      <w:pPr>
        <w:spacing w:line="360" w:lineRule="auto"/>
        <w:outlineLvl w:val="9"/>
        <w:rPr>
          <w:rFonts w:hint="eastAsia" w:ascii="宋体" w:hAnsi="宋体" w:eastAsia="宋体" w:cs="宋体"/>
          <w:b/>
          <w:bCs/>
          <w:color w:val="auto"/>
          <w:szCs w:val="21"/>
          <w:highlight w:val="none"/>
        </w:rPr>
      </w:pPr>
      <w:bookmarkStart w:id="28" w:name="_Toc22834"/>
      <w:bookmarkStart w:id="29" w:name="_Toc19864"/>
      <w:r>
        <w:rPr>
          <w:rFonts w:hint="eastAsia" w:ascii="宋体" w:hAnsi="宋体" w:eastAsia="宋体" w:cs="宋体"/>
          <w:b/>
          <w:bCs/>
          <w:color w:val="auto"/>
          <w:szCs w:val="21"/>
          <w:highlight w:val="none"/>
        </w:rPr>
        <w:t>四、响应文件提交</w:t>
      </w:r>
      <w:bookmarkEnd w:id="28"/>
      <w:bookmarkEnd w:id="29"/>
    </w:p>
    <w:p w14:paraId="56C65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1.截止时间：</w:t>
      </w:r>
      <w:r>
        <w:rPr>
          <w:rFonts w:hint="eastAsia" w:ascii="宋体" w:hAnsi="宋体" w:eastAsia="宋体" w:cs="宋体"/>
          <w:b w:val="0"/>
          <w:bCs/>
          <w:szCs w:val="21"/>
          <w:highlight w:val="none"/>
        </w:rPr>
        <w:t>2025年</w:t>
      </w:r>
      <w:r>
        <w:rPr>
          <w:rFonts w:hint="eastAsia" w:ascii="宋体" w:hAnsi="宋体" w:cs="宋体"/>
          <w:b w:val="0"/>
          <w:bCs/>
          <w:szCs w:val="21"/>
          <w:highlight w:val="none"/>
          <w:lang w:val="en-US" w:eastAsia="zh-CN"/>
        </w:rPr>
        <w:t>8</w:t>
      </w:r>
      <w:r>
        <w:rPr>
          <w:rFonts w:hint="eastAsia" w:ascii="宋体" w:hAnsi="宋体" w:eastAsia="宋体" w:cs="宋体"/>
          <w:b w:val="0"/>
          <w:bCs/>
          <w:szCs w:val="21"/>
          <w:highlight w:val="none"/>
        </w:rPr>
        <w:t>月</w:t>
      </w:r>
      <w:r>
        <w:rPr>
          <w:rFonts w:hint="eastAsia" w:ascii="宋体" w:hAnsi="宋体" w:cs="宋体"/>
          <w:b w:val="0"/>
          <w:bCs/>
          <w:szCs w:val="21"/>
          <w:highlight w:val="none"/>
          <w:lang w:val="en-US" w:eastAsia="zh-CN"/>
        </w:rPr>
        <w:t>28</w:t>
      </w:r>
      <w:r>
        <w:rPr>
          <w:rFonts w:hint="eastAsia" w:ascii="宋体" w:hAnsi="宋体" w:eastAsia="宋体" w:cs="宋体"/>
          <w:b w:val="0"/>
          <w:bCs/>
          <w:szCs w:val="21"/>
          <w:highlight w:val="none"/>
          <w:lang w:val="en-US" w:eastAsia="zh-CN"/>
        </w:rPr>
        <w:t xml:space="preserve"> </w:t>
      </w:r>
      <w:r>
        <w:rPr>
          <w:rFonts w:hint="eastAsia" w:ascii="宋体" w:hAnsi="宋体" w:eastAsia="宋体" w:cs="宋体"/>
          <w:b w:val="0"/>
          <w:bCs/>
          <w:szCs w:val="21"/>
          <w:highlight w:val="none"/>
        </w:rPr>
        <w:t>日09时00分（北京时间）</w:t>
      </w:r>
      <w:r>
        <w:rPr>
          <w:rFonts w:hint="eastAsia" w:ascii="宋体" w:hAnsi="宋体" w:eastAsia="宋体" w:cs="宋体"/>
          <w:color w:val="auto"/>
          <w:szCs w:val="21"/>
          <w:highlight w:val="none"/>
        </w:rPr>
        <w:t>；</w:t>
      </w:r>
    </w:p>
    <w:p w14:paraId="11019AD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2.地点：河南省公共资源交易中心远程开标室(二)-3</w:t>
      </w:r>
    </w:p>
    <w:p w14:paraId="059EF48B">
      <w:pPr>
        <w:spacing w:line="360" w:lineRule="auto"/>
        <w:outlineLvl w:val="9"/>
        <w:rPr>
          <w:rFonts w:hint="eastAsia" w:ascii="宋体" w:hAnsi="宋体" w:eastAsia="宋体" w:cs="宋体"/>
          <w:b/>
          <w:bCs/>
          <w:color w:val="auto"/>
          <w:szCs w:val="21"/>
          <w:highlight w:val="none"/>
        </w:rPr>
      </w:pPr>
      <w:bookmarkStart w:id="30" w:name="_Toc14030"/>
      <w:bookmarkStart w:id="31" w:name="_Toc2307"/>
      <w:r>
        <w:rPr>
          <w:rFonts w:hint="eastAsia" w:ascii="宋体" w:hAnsi="宋体" w:eastAsia="宋体" w:cs="宋体"/>
          <w:b/>
          <w:bCs/>
          <w:color w:val="auto"/>
          <w:szCs w:val="21"/>
          <w:highlight w:val="none"/>
        </w:rPr>
        <w:t>五、响应文件开启</w:t>
      </w:r>
      <w:bookmarkEnd w:id="30"/>
      <w:bookmarkEnd w:id="31"/>
    </w:p>
    <w:p w14:paraId="3E182D52">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1.时间：</w:t>
      </w:r>
      <w:r>
        <w:rPr>
          <w:rFonts w:hint="eastAsia" w:ascii="宋体" w:hAnsi="宋体" w:eastAsia="宋体" w:cs="宋体"/>
          <w:b w:val="0"/>
          <w:bCs/>
          <w:szCs w:val="21"/>
          <w:highlight w:val="none"/>
        </w:rPr>
        <w:t>2025年</w:t>
      </w:r>
      <w:r>
        <w:rPr>
          <w:rFonts w:hint="eastAsia" w:ascii="宋体" w:hAnsi="宋体" w:cs="宋体"/>
          <w:b w:val="0"/>
          <w:bCs/>
          <w:szCs w:val="21"/>
          <w:highlight w:val="none"/>
          <w:lang w:val="en-US" w:eastAsia="zh-CN"/>
        </w:rPr>
        <w:t>8</w:t>
      </w:r>
      <w:r>
        <w:rPr>
          <w:rFonts w:hint="eastAsia" w:ascii="宋体" w:hAnsi="宋体" w:eastAsia="宋体" w:cs="宋体"/>
          <w:b w:val="0"/>
          <w:bCs/>
          <w:szCs w:val="21"/>
          <w:highlight w:val="none"/>
        </w:rPr>
        <w:t>月</w:t>
      </w:r>
      <w:r>
        <w:rPr>
          <w:rFonts w:hint="eastAsia" w:ascii="宋体" w:hAnsi="宋体" w:cs="宋体"/>
          <w:b w:val="0"/>
          <w:bCs/>
          <w:szCs w:val="21"/>
          <w:highlight w:val="none"/>
          <w:lang w:val="en-US" w:eastAsia="zh-CN"/>
        </w:rPr>
        <w:t>28</w:t>
      </w:r>
      <w:r>
        <w:rPr>
          <w:rFonts w:hint="eastAsia" w:ascii="宋体" w:hAnsi="宋体" w:eastAsia="宋体" w:cs="宋体"/>
          <w:b w:val="0"/>
          <w:bCs/>
          <w:szCs w:val="21"/>
          <w:highlight w:val="none"/>
          <w:lang w:val="en-US" w:eastAsia="zh-CN"/>
        </w:rPr>
        <w:t xml:space="preserve"> </w:t>
      </w:r>
      <w:r>
        <w:rPr>
          <w:rFonts w:hint="eastAsia" w:ascii="宋体" w:hAnsi="宋体" w:eastAsia="宋体" w:cs="宋体"/>
          <w:b w:val="0"/>
          <w:bCs/>
          <w:szCs w:val="21"/>
          <w:highlight w:val="none"/>
        </w:rPr>
        <w:t>日09时00分（北京时间）</w:t>
      </w:r>
      <w:r>
        <w:rPr>
          <w:rFonts w:hint="eastAsia" w:ascii="宋体" w:hAnsi="宋体" w:eastAsia="宋体" w:cs="宋体"/>
          <w:color w:val="auto"/>
          <w:szCs w:val="21"/>
          <w:highlight w:val="none"/>
        </w:rPr>
        <w:t>；</w:t>
      </w:r>
    </w:p>
    <w:p w14:paraId="408F7ECD">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2.地点：</w:t>
      </w:r>
      <w:r>
        <w:rPr>
          <w:rFonts w:hint="eastAsia" w:ascii="宋体" w:hAnsi="宋体" w:eastAsia="宋体" w:cs="宋体"/>
          <w:color w:val="auto"/>
          <w:szCs w:val="21"/>
          <w:highlight w:val="none"/>
        </w:rPr>
        <w:t>河南省公共资源交易中心远程开标室(二)-3</w:t>
      </w:r>
    </w:p>
    <w:p w14:paraId="5C005A69">
      <w:pPr>
        <w:spacing w:line="360" w:lineRule="auto"/>
        <w:outlineLvl w:val="9"/>
        <w:rPr>
          <w:rFonts w:hint="eastAsia" w:ascii="宋体" w:hAnsi="宋体" w:eastAsia="宋体" w:cs="宋体"/>
          <w:b/>
          <w:bCs/>
          <w:color w:val="auto"/>
          <w:szCs w:val="21"/>
          <w:highlight w:val="none"/>
        </w:rPr>
      </w:pPr>
      <w:bookmarkStart w:id="32" w:name="_Toc25437"/>
      <w:bookmarkStart w:id="33" w:name="_Toc24529"/>
      <w:r>
        <w:rPr>
          <w:rFonts w:hint="eastAsia" w:ascii="宋体" w:hAnsi="宋体" w:eastAsia="宋体" w:cs="宋体"/>
          <w:b/>
          <w:bCs/>
          <w:color w:val="auto"/>
          <w:szCs w:val="21"/>
          <w:highlight w:val="none"/>
        </w:rPr>
        <w:t>六、发布公告的媒介及招标公告期限</w:t>
      </w:r>
      <w:bookmarkEnd w:id="32"/>
      <w:bookmarkEnd w:id="33"/>
    </w:p>
    <w:p w14:paraId="1499431E">
      <w:pPr>
        <w:pStyle w:val="1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本竞争性磋商公告在《河南省政府采购网》、</w:t>
      </w:r>
      <w:r>
        <w:rPr>
          <w:rFonts w:hint="eastAsia" w:ascii="宋体" w:hAnsi="宋体" w:eastAsia="宋体" w:cs="宋体"/>
          <w:color w:val="auto"/>
          <w:szCs w:val="21"/>
          <w:highlight w:val="none"/>
          <w:lang w:val="zh-CN"/>
        </w:rPr>
        <w:t>《河南省公共资源交易中心网》</w:t>
      </w:r>
      <w:bookmarkStart w:id="1231" w:name="_GoBack"/>
      <w:bookmarkEnd w:id="1231"/>
      <w:r>
        <w:rPr>
          <w:rFonts w:hint="eastAsia" w:ascii="宋体" w:hAnsi="宋体" w:eastAsia="宋体" w:cs="宋体"/>
          <w:color w:val="auto"/>
          <w:szCs w:val="21"/>
          <w:highlight w:val="none"/>
        </w:rPr>
        <w:t>上同时发布,磋商公告期限为三个工作日。</w:t>
      </w:r>
    </w:p>
    <w:p w14:paraId="56B088A0">
      <w:pPr>
        <w:spacing w:line="360" w:lineRule="auto"/>
        <w:outlineLvl w:val="9"/>
        <w:rPr>
          <w:rFonts w:hint="eastAsia" w:ascii="宋体" w:hAnsi="宋体" w:eastAsia="宋体" w:cs="宋体"/>
          <w:b/>
          <w:bCs/>
          <w:color w:val="auto"/>
          <w:szCs w:val="21"/>
          <w:highlight w:val="none"/>
        </w:rPr>
      </w:pPr>
      <w:bookmarkStart w:id="34" w:name="_Toc17836"/>
      <w:bookmarkStart w:id="35" w:name="_Toc22517"/>
      <w:r>
        <w:rPr>
          <w:rFonts w:hint="eastAsia" w:ascii="宋体" w:hAnsi="宋体" w:eastAsia="宋体" w:cs="宋体"/>
          <w:b/>
          <w:bCs/>
          <w:color w:val="auto"/>
          <w:szCs w:val="21"/>
          <w:highlight w:val="none"/>
        </w:rPr>
        <w:t>七、其他补充事宜</w:t>
      </w:r>
      <w:bookmarkEnd w:id="34"/>
      <w:bookmarkEnd w:id="35"/>
      <w:r>
        <w:rPr>
          <w:rFonts w:hint="eastAsia" w:ascii="宋体" w:hAnsi="宋体" w:eastAsia="宋体" w:cs="宋体"/>
          <w:b/>
          <w:bCs/>
          <w:color w:val="auto"/>
          <w:szCs w:val="21"/>
          <w:highlight w:val="none"/>
        </w:rPr>
        <w:t>：无。</w:t>
      </w:r>
    </w:p>
    <w:p w14:paraId="4D763AD7">
      <w:pPr>
        <w:spacing w:line="360" w:lineRule="auto"/>
        <w:outlineLvl w:val="9"/>
        <w:rPr>
          <w:rFonts w:hint="eastAsia" w:ascii="宋体" w:hAnsi="宋体" w:eastAsia="宋体" w:cs="宋体"/>
          <w:b/>
          <w:bCs/>
          <w:color w:val="auto"/>
          <w:szCs w:val="21"/>
          <w:highlight w:val="none"/>
        </w:rPr>
      </w:pPr>
      <w:bookmarkStart w:id="36" w:name="_Toc11252"/>
      <w:bookmarkStart w:id="37" w:name="_Toc17691"/>
      <w:r>
        <w:rPr>
          <w:rFonts w:hint="eastAsia" w:ascii="宋体" w:hAnsi="宋体" w:eastAsia="宋体" w:cs="宋体"/>
          <w:b/>
          <w:bCs/>
          <w:color w:val="auto"/>
          <w:szCs w:val="21"/>
          <w:highlight w:val="none"/>
        </w:rPr>
        <w:t>八、凡对本次招标提出询问，请按照以下方式联系</w:t>
      </w:r>
      <w:bookmarkEnd w:id="36"/>
      <w:bookmarkEnd w:id="37"/>
    </w:p>
    <w:p w14:paraId="455E0BD5">
      <w:pPr>
        <w:spacing w:line="360" w:lineRule="auto"/>
        <w:ind w:firstLine="420" w:firstLineChars="200"/>
        <w:jc w:val="left"/>
        <w:rPr>
          <w:rFonts w:hint="eastAsia" w:ascii="宋体" w:hAnsi="宋体" w:eastAsia="宋体" w:cs="宋体"/>
          <w:highlight w:val="none"/>
        </w:rPr>
      </w:pPr>
      <w:bookmarkStart w:id="38" w:name="_Toc144974495"/>
      <w:bookmarkStart w:id="39" w:name="_Toc152042303"/>
      <w:bookmarkStart w:id="40" w:name="_Toc179632544"/>
      <w:bookmarkStart w:id="41" w:name="_Toc246996173"/>
      <w:bookmarkStart w:id="42" w:name="_Toc247085687"/>
      <w:bookmarkStart w:id="43" w:name="_Toc246996916"/>
      <w:bookmarkStart w:id="44" w:name="_Toc152045527"/>
      <w:r>
        <w:rPr>
          <w:rFonts w:hint="eastAsia" w:ascii="宋体" w:hAnsi="宋体" w:eastAsia="宋体" w:cs="宋体"/>
          <w:highlight w:val="none"/>
        </w:rPr>
        <w:t>1.采购人信息</w:t>
      </w:r>
    </w:p>
    <w:p w14:paraId="157FBE7A">
      <w:pPr>
        <w:spacing w:line="360" w:lineRule="auto"/>
        <w:ind w:firstLine="630" w:firstLineChars="300"/>
        <w:jc w:val="left"/>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sz w:val="21"/>
          <w:szCs w:val="21"/>
        </w:rPr>
        <w:t>河南测绘职业学院</w:t>
      </w:r>
    </w:p>
    <w:p w14:paraId="7672315C">
      <w:pPr>
        <w:spacing w:line="360" w:lineRule="auto"/>
        <w:ind w:firstLine="630" w:firstLineChars="300"/>
        <w:jc w:val="left"/>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sz w:val="21"/>
          <w:szCs w:val="21"/>
        </w:rPr>
        <w:t>郑州市郑东新区工贸路康庄路交叉口</w:t>
      </w:r>
    </w:p>
    <w:p w14:paraId="42DA6270">
      <w:pPr>
        <w:spacing w:line="360" w:lineRule="auto"/>
        <w:ind w:firstLine="630" w:firstLineChars="300"/>
        <w:jc w:val="left"/>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李</w:t>
      </w:r>
      <w:r>
        <w:rPr>
          <w:rFonts w:hint="eastAsia" w:ascii="宋体" w:hAnsi="宋体" w:eastAsia="宋体" w:cs="宋体"/>
          <w:highlight w:val="none"/>
        </w:rPr>
        <w:t>老师</w:t>
      </w:r>
    </w:p>
    <w:p w14:paraId="1FE62648">
      <w:pPr>
        <w:spacing w:line="360" w:lineRule="auto"/>
        <w:ind w:firstLine="630" w:firstLineChars="300"/>
        <w:jc w:val="left"/>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sz w:val="21"/>
          <w:szCs w:val="21"/>
        </w:rPr>
        <w:t>0371-56008851</w:t>
      </w:r>
    </w:p>
    <w:p w14:paraId="51BA6B93">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2.采购代理机构信息</w:t>
      </w:r>
    </w:p>
    <w:p w14:paraId="755DAAC1">
      <w:pPr>
        <w:spacing w:line="360" w:lineRule="auto"/>
        <w:ind w:firstLine="630" w:firstLineChars="300"/>
        <w:jc w:val="left"/>
        <w:rPr>
          <w:rFonts w:hint="eastAsia" w:ascii="宋体" w:hAnsi="宋体" w:eastAsia="宋体" w:cs="宋体"/>
          <w:highlight w:val="none"/>
          <w:lang w:val="en-US"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大成工程咨询有限公司</w:t>
      </w:r>
    </w:p>
    <w:p w14:paraId="27E59B24">
      <w:pPr>
        <w:spacing w:line="360" w:lineRule="auto"/>
        <w:ind w:firstLine="630" w:firstLineChars="300"/>
        <w:jc w:val="left"/>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lang w:val="en-US" w:eastAsia="zh-CN"/>
        </w:rPr>
        <w:t>郑州市经三路15号广汇国贸A区1202室（经三路与纬五路交叉口）</w:t>
      </w:r>
    </w:p>
    <w:p w14:paraId="5638A4F8">
      <w:pPr>
        <w:spacing w:line="360" w:lineRule="auto"/>
        <w:ind w:firstLine="630" w:firstLineChars="300"/>
        <w:jc w:val="left"/>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杨永丽、田兴、胡龙波、郭振</w:t>
      </w:r>
    </w:p>
    <w:p w14:paraId="2AD4D8A7">
      <w:pPr>
        <w:spacing w:line="360" w:lineRule="auto"/>
        <w:ind w:firstLine="630" w:firstLineChars="300"/>
        <w:jc w:val="left"/>
        <w:rPr>
          <w:rFonts w:hint="eastAsia" w:ascii="宋体" w:hAnsi="宋体" w:eastAsia="宋体" w:cs="宋体"/>
          <w:highlight w:val="none"/>
          <w:lang w:val="en-US"/>
        </w:rPr>
      </w:pPr>
      <w:r>
        <w:rPr>
          <w:rFonts w:hint="eastAsia" w:ascii="宋体" w:hAnsi="宋体" w:eastAsia="宋体" w:cs="宋体"/>
          <w:highlight w:val="none"/>
        </w:rPr>
        <w:t>联系方式：</w:t>
      </w:r>
      <w:r>
        <w:rPr>
          <w:rFonts w:hint="eastAsia" w:ascii="宋体" w:hAnsi="宋体" w:eastAsia="宋体" w:cs="宋体"/>
          <w:highlight w:val="none"/>
          <w:lang w:val="en-US" w:eastAsia="zh-CN"/>
        </w:rPr>
        <w:t>0371-65585915</w:t>
      </w:r>
    </w:p>
    <w:p w14:paraId="4098B002">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3.项目联系方式</w:t>
      </w:r>
    </w:p>
    <w:p w14:paraId="78CA5685">
      <w:pPr>
        <w:spacing w:line="360" w:lineRule="auto"/>
        <w:ind w:firstLine="630" w:firstLineChars="300"/>
        <w:jc w:val="left"/>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杨永丽、田兴、胡龙波、郭振</w:t>
      </w:r>
    </w:p>
    <w:p w14:paraId="38451E31">
      <w:pPr>
        <w:spacing w:line="360" w:lineRule="auto"/>
        <w:ind w:firstLine="630" w:firstLineChars="300"/>
        <w:jc w:val="left"/>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0371-65585915</w:t>
      </w:r>
    </w:p>
    <w:p w14:paraId="36C5F128">
      <w:pPr>
        <w:pStyle w:val="18"/>
        <w:tabs>
          <w:tab w:val="right" w:leader="dot" w:pos="9412"/>
        </w:tabs>
        <w:spacing w:line="360" w:lineRule="auto"/>
        <w:jc w:val="center"/>
        <w:outlineLvl w:val="0"/>
        <w:rPr>
          <w:rFonts w:hint="eastAsia" w:ascii="宋体" w:hAnsi="宋体" w:eastAsia="宋体" w:cs="宋体"/>
          <w:color w:val="auto"/>
          <w:sz w:val="36"/>
          <w:szCs w:val="36"/>
          <w:highlight w:val="none"/>
        </w:rPr>
        <w:sectPr>
          <w:headerReference r:id="rId9" w:type="default"/>
          <w:footerReference r:id="rId10" w:type="default"/>
          <w:pgSz w:w="11906" w:h="16838"/>
          <w:pgMar w:top="1440" w:right="1800" w:bottom="1440" w:left="1800" w:header="851" w:footer="992" w:gutter="0"/>
          <w:pgNumType w:fmt="decimal" w:start="1"/>
          <w:cols w:space="720" w:num="1"/>
          <w:docGrid w:type="lines" w:linePitch="312" w:charSpace="0"/>
        </w:sectPr>
      </w:pPr>
    </w:p>
    <w:p w14:paraId="44EF8637">
      <w:pPr>
        <w:pStyle w:val="18"/>
        <w:tabs>
          <w:tab w:val="right" w:leader="dot" w:pos="9412"/>
        </w:tabs>
        <w:spacing w:line="360" w:lineRule="auto"/>
        <w:jc w:val="center"/>
        <w:outlineLvl w:val="0"/>
        <w:rPr>
          <w:rFonts w:hint="eastAsia" w:ascii="宋体" w:hAnsi="宋体" w:eastAsia="宋体" w:cs="宋体"/>
          <w:color w:val="auto"/>
          <w:sz w:val="36"/>
          <w:szCs w:val="36"/>
          <w:highlight w:val="none"/>
        </w:rPr>
      </w:pPr>
      <w:bookmarkStart w:id="45" w:name="_Toc18110"/>
      <w:r>
        <w:rPr>
          <w:rFonts w:hint="eastAsia" w:ascii="宋体" w:hAnsi="宋体" w:eastAsia="宋体" w:cs="宋体"/>
          <w:color w:val="auto"/>
          <w:sz w:val="36"/>
          <w:szCs w:val="36"/>
          <w:highlight w:val="none"/>
        </w:rPr>
        <w:t>第二章 响应人须知</w:t>
      </w:r>
      <w:bookmarkEnd w:id="38"/>
      <w:bookmarkEnd w:id="39"/>
      <w:bookmarkEnd w:id="40"/>
      <w:bookmarkEnd w:id="41"/>
      <w:bookmarkEnd w:id="42"/>
      <w:bookmarkEnd w:id="43"/>
      <w:bookmarkEnd w:id="44"/>
      <w:bookmarkEnd w:id="45"/>
    </w:p>
    <w:p w14:paraId="33FCC645">
      <w:pPr>
        <w:pStyle w:val="3"/>
        <w:spacing w:line="360" w:lineRule="auto"/>
        <w:jc w:val="center"/>
        <w:rPr>
          <w:rFonts w:hint="eastAsia" w:ascii="宋体" w:hAnsi="宋体" w:eastAsia="宋体" w:cs="宋体"/>
          <w:color w:val="auto"/>
          <w:sz w:val="24"/>
          <w:szCs w:val="24"/>
          <w:highlight w:val="none"/>
        </w:rPr>
      </w:pPr>
      <w:bookmarkStart w:id="46" w:name="_Toc152045528"/>
      <w:bookmarkStart w:id="47" w:name="_Toc15262"/>
      <w:bookmarkStart w:id="48" w:name="_Toc28454"/>
      <w:bookmarkStart w:id="49" w:name="_Toc21361"/>
      <w:bookmarkStart w:id="50" w:name="_Toc179632545"/>
      <w:bookmarkStart w:id="51" w:name="_Toc152042304"/>
      <w:bookmarkStart w:id="52" w:name="_Toc21937"/>
      <w:bookmarkStart w:id="53" w:name="_Toc23538"/>
      <w:bookmarkStart w:id="54" w:name="_Toc247085688"/>
      <w:bookmarkStart w:id="55" w:name="_Toc12226"/>
      <w:bookmarkStart w:id="56" w:name="_Toc246996917"/>
      <w:bookmarkStart w:id="57" w:name="_Toc31905"/>
      <w:bookmarkStart w:id="58" w:name="_Toc144974496"/>
      <w:bookmarkStart w:id="59" w:name="_Toc246996174"/>
      <w:r>
        <w:rPr>
          <w:rFonts w:hint="eastAsia" w:ascii="宋体" w:hAnsi="宋体" w:eastAsia="宋体" w:cs="宋体"/>
          <w:color w:val="auto"/>
          <w:sz w:val="24"/>
          <w:szCs w:val="24"/>
          <w:highlight w:val="none"/>
        </w:rPr>
        <w:t>一、响应人须知前附表</w:t>
      </w:r>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26"/>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4"/>
        <w:gridCol w:w="1904"/>
        <w:gridCol w:w="5601"/>
      </w:tblGrid>
      <w:tr w14:paraId="404E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34F1A3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18" w:type="dxa"/>
            <w:gridSpan w:val="2"/>
            <w:vAlign w:val="center"/>
          </w:tcPr>
          <w:p w14:paraId="0CAC64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601" w:type="dxa"/>
            <w:vAlign w:val="center"/>
          </w:tcPr>
          <w:p w14:paraId="4C8909EC">
            <w:pPr>
              <w:spacing w:line="36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7ACC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C38FE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18" w:type="dxa"/>
            <w:gridSpan w:val="2"/>
            <w:vAlign w:val="center"/>
          </w:tcPr>
          <w:p w14:paraId="517A95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601" w:type="dxa"/>
            <w:vAlign w:val="center"/>
          </w:tcPr>
          <w:p w14:paraId="1E8CD773">
            <w:pPr>
              <w:spacing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名称：河南测绘职业学院</w:t>
            </w:r>
          </w:p>
          <w:p w14:paraId="1291920E">
            <w:pPr>
              <w:spacing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地址：郑州市郑东新区工贸路康庄路交叉口</w:t>
            </w:r>
          </w:p>
          <w:p w14:paraId="357C8CB7">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李</w:t>
            </w:r>
            <w:r>
              <w:rPr>
                <w:rFonts w:hint="eastAsia" w:ascii="宋体" w:hAnsi="宋体" w:eastAsia="宋体" w:cs="宋体"/>
                <w:color w:val="auto"/>
                <w:highlight w:val="none"/>
              </w:rPr>
              <w:t>老师</w:t>
            </w:r>
          </w:p>
          <w:p w14:paraId="430A885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highlight w:val="none"/>
              </w:rPr>
              <w:t>联系方式：0371-56008851</w:t>
            </w:r>
          </w:p>
        </w:tc>
      </w:tr>
      <w:tr w14:paraId="26FA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24656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1918" w:type="dxa"/>
            <w:gridSpan w:val="2"/>
            <w:vAlign w:val="center"/>
          </w:tcPr>
          <w:p w14:paraId="7F6AC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601" w:type="dxa"/>
            <w:vAlign w:val="center"/>
          </w:tcPr>
          <w:p w14:paraId="3F9AB216">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采购代理机构：大成工程咨询有限公司</w:t>
            </w:r>
          </w:p>
          <w:p w14:paraId="2CAECD6F">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地址：郑州市经三路15号广汇国贸A区1202室</w:t>
            </w:r>
          </w:p>
          <w:p w14:paraId="0DA5F57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联系人：杨永丽、</w:t>
            </w:r>
            <w:r>
              <w:rPr>
                <w:rFonts w:hint="eastAsia" w:ascii="宋体" w:hAnsi="宋体" w:eastAsia="宋体" w:cs="宋体"/>
                <w:color w:val="auto"/>
                <w:szCs w:val="21"/>
                <w:highlight w:val="none"/>
                <w:lang w:val="en-US" w:eastAsia="zh-CN"/>
              </w:rPr>
              <w:t>田兴、胡龙波、</w:t>
            </w:r>
            <w:r>
              <w:rPr>
                <w:rFonts w:hint="eastAsia" w:ascii="宋体" w:hAnsi="宋体" w:eastAsia="宋体" w:cs="宋体"/>
                <w:color w:val="auto"/>
                <w:szCs w:val="21"/>
                <w:highlight w:val="none"/>
              </w:rPr>
              <w:t>郭振</w:t>
            </w:r>
          </w:p>
          <w:p w14:paraId="7EE55D1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电话：0371-655859</w:t>
            </w:r>
            <w:r>
              <w:rPr>
                <w:rFonts w:hint="eastAsia" w:ascii="宋体" w:hAnsi="宋体" w:eastAsia="宋体" w:cs="宋体"/>
                <w:color w:val="auto"/>
                <w:szCs w:val="21"/>
                <w:highlight w:val="none"/>
                <w:lang w:val="en-US" w:eastAsia="zh-CN"/>
              </w:rPr>
              <w:t>15</w:t>
            </w:r>
          </w:p>
        </w:tc>
      </w:tr>
      <w:tr w14:paraId="1BFA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9AFC2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918" w:type="dxa"/>
            <w:gridSpan w:val="2"/>
            <w:vAlign w:val="center"/>
          </w:tcPr>
          <w:p w14:paraId="66D06C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01" w:type="dxa"/>
            <w:vAlign w:val="center"/>
          </w:tcPr>
          <w:p w14:paraId="64D35F40">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河南测绘职业学院空调线路改造项目</w:t>
            </w:r>
          </w:p>
        </w:tc>
      </w:tr>
      <w:tr w14:paraId="5662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4544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1918" w:type="dxa"/>
            <w:gridSpan w:val="2"/>
            <w:vAlign w:val="center"/>
          </w:tcPr>
          <w:p w14:paraId="10E658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工程地点</w:t>
            </w:r>
          </w:p>
        </w:tc>
        <w:tc>
          <w:tcPr>
            <w:tcW w:w="5601" w:type="dxa"/>
            <w:vAlign w:val="center"/>
          </w:tcPr>
          <w:p w14:paraId="6FEC46B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河南测绘职业学院</w:t>
            </w:r>
          </w:p>
        </w:tc>
      </w:tr>
      <w:tr w14:paraId="093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431DF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1918" w:type="dxa"/>
            <w:gridSpan w:val="2"/>
            <w:vAlign w:val="center"/>
          </w:tcPr>
          <w:p w14:paraId="2861D6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5601" w:type="dxa"/>
            <w:vAlign w:val="center"/>
          </w:tcPr>
          <w:p w14:paraId="4C69932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财政资金</w:t>
            </w:r>
          </w:p>
        </w:tc>
      </w:tr>
      <w:tr w14:paraId="76EC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48CDC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18" w:type="dxa"/>
            <w:gridSpan w:val="2"/>
            <w:vAlign w:val="center"/>
          </w:tcPr>
          <w:p w14:paraId="0AFA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601" w:type="dxa"/>
            <w:vAlign w:val="center"/>
          </w:tcPr>
          <w:p w14:paraId="38CEF726">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528B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0EEDE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918" w:type="dxa"/>
            <w:gridSpan w:val="2"/>
            <w:vAlign w:val="center"/>
          </w:tcPr>
          <w:p w14:paraId="46E0B3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响应范围</w:t>
            </w:r>
          </w:p>
        </w:tc>
        <w:tc>
          <w:tcPr>
            <w:tcW w:w="5601" w:type="dxa"/>
            <w:vAlign w:val="center"/>
          </w:tcPr>
          <w:p w14:paraId="355D2CC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本项目包含所有工程量清单中的施工内容等</w:t>
            </w:r>
          </w:p>
        </w:tc>
      </w:tr>
      <w:tr w14:paraId="6389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5ED8A6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1918" w:type="dxa"/>
            <w:gridSpan w:val="2"/>
            <w:vAlign w:val="center"/>
          </w:tcPr>
          <w:p w14:paraId="387C8F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5601" w:type="dxa"/>
            <w:vAlign w:val="center"/>
          </w:tcPr>
          <w:p w14:paraId="1DA1CED9">
            <w:pPr>
              <w:spacing w:line="360" w:lineRule="auto"/>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日历天（实际开工时间以采购人发出的开工令为准）</w:t>
            </w:r>
          </w:p>
        </w:tc>
      </w:tr>
      <w:tr w14:paraId="56BD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FD951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1918" w:type="dxa"/>
            <w:gridSpan w:val="2"/>
            <w:vAlign w:val="center"/>
          </w:tcPr>
          <w:p w14:paraId="6F1D3A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601" w:type="dxa"/>
            <w:vAlign w:val="center"/>
          </w:tcPr>
          <w:p w14:paraId="4F49A14D">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r>
      <w:tr w14:paraId="3250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958FEE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1.3.4</w:t>
            </w:r>
          </w:p>
        </w:tc>
        <w:tc>
          <w:tcPr>
            <w:tcW w:w="1918" w:type="dxa"/>
            <w:gridSpan w:val="2"/>
            <w:vAlign w:val="center"/>
          </w:tcPr>
          <w:p w14:paraId="16CDBE30">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5601" w:type="dxa"/>
            <w:vAlign w:val="center"/>
          </w:tcPr>
          <w:p w14:paraId="7C803251">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以合同为准</w:t>
            </w:r>
          </w:p>
        </w:tc>
      </w:tr>
      <w:tr w14:paraId="723B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00D1B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1918" w:type="dxa"/>
            <w:gridSpan w:val="2"/>
            <w:vAlign w:val="center"/>
          </w:tcPr>
          <w:p w14:paraId="31E6F2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响应人资质条件、能力和信誉</w:t>
            </w:r>
          </w:p>
        </w:tc>
        <w:tc>
          <w:tcPr>
            <w:tcW w:w="5601" w:type="dxa"/>
            <w:vAlign w:val="center"/>
          </w:tcPr>
          <w:p w14:paraId="762BA2EF">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74BAFB4F">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（1）具有独立承担民事责任的能力（具有有效的营业执照）；</w:t>
            </w:r>
          </w:p>
          <w:p w14:paraId="6833D5E1">
            <w:pPr>
              <w:spacing w:line="360" w:lineRule="auto"/>
              <w:jc w:val="left"/>
              <w:outlineLvl w:val="1"/>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（2）具有良好的商业信誉和健全的财务会计制度（提交202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年度经会计师事务所或第三方审计机构审计后的财务报告</w:t>
            </w:r>
            <w:r>
              <w:rPr>
                <w:rFonts w:hint="eastAsia" w:ascii="宋体" w:hAnsi="宋体" w:eastAsia="宋体" w:cs="宋体"/>
                <w:color w:val="auto"/>
                <w:highlight w:val="none"/>
                <w:lang w:eastAsia="zh-CN"/>
              </w:rPr>
              <w:t>；成立不</w:t>
            </w:r>
            <w:r>
              <w:rPr>
                <w:rFonts w:hint="eastAsia" w:ascii="宋体" w:hAnsi="宋体" w:eastAsia="宋体" w:cs="宋体"/>
                <w:color w:val="auto"/>
                <w:highlight w:val="none"/>
              </w:rPr>
              <w:t>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年的企业，须出具银行资信证明）；</w:t>
            </w:r>
          </w:p>
          <w:p w14:paraId="28476252">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（3）具有履行合同所必需的设备和专业技术能力（提供承诺函）；</w:t>
            </w:r>
          </w:p>
          <w:p w14:paraId="103812F3">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（4）有依法缴纳税收和社会保障资金的良好记录（提交202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年以来任意一个月缴纳税收和社会保险的证明材料）；</w:t>
            </w:r>
          </w:p>
          <w:p w14:paraId="4879F5EA">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（5）参加政府采购活动前三年内，在经营活动中没有重大违法记录（提供承诺函）；</w:t>
            </w:r>
          </w:p>
          <w:p w14:paraId="01844D38">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2、落实政府采购政策满足的资格要求：无</w:t>
            </w:r>
          </w:p>
          <w:p w14:paraId="78730BA0">
            <w:pPr>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0181DE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供应商具有行政主管部门颁发的电力工程施工总承包叁级（含）以上资质或者具有电力监管机构核发的《承装（修、试）电力设施许可证》（</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级）（含）以上资质，并具有有效的安全生产许可证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供应商拟派项目经理须具有本企业注册机电工程专业贰级及以上注册建造师资格及有效的安全生产考核合格证书，且未担任其他在建项目的项目经理</w:t>
            </w:r>
            <w:r>
              <w:rPr>
                <w:rFonts w:hint="eastAsia" w:ascii="宋体" w:hAnsi="宋体" w:eastAsia="宋体" w:cs="宋体"/>
                <w:color w:val="auto"/>
                <w:highlight w:val="none"/>
                <w:lang w:val="en-US" w:eastAsia="zh-CN"/>
              </w:rPr>
              <w:t>；</w:t>
            </w:r>
          </w:p>
          <w:p w14:paraId="6DA241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3.3信誉要求：</w:t>
            </w:r>
            <w:r>
              <w:rPr>
                <w:rFonts w:hint="eastAsia" w:ascii="宋体" w:hAnsi="宋体" w:eastAsia="宋体" w:cs="宋体"/>
                <w:color w:val="auto"/>
                <w:highlight w:val="none"/>
                <w:lang w:val="en-US" w:eastAsia="zh-CN"/>
              </w:rPr>
              <w:t>供应商须根据《关于在政府采购活动中查询及使用信用记录有关问题的通知》（财库［2016］125号）的规定，对列入失信被执行人、重大税收违法失信主体、政府采购严重违法失信行为记录名单的供应商，拒绝参与本项目政府采购活动；采购人、采购代理机构将通过“信用中国”网站（www.creditchina.gov.cn）、中国政府采购网（www.ccgp.gov.cn）渠道查询供应商信用记录，信用信息查询的时间为递交响应性文件或响应文件时，被列入失信被执行人、重大税收违法失信主体、政府采购严重违法失信行为记录名单的单位将被拒绝参与本项目投标；信用信息查询记录和证据将同采购文件等资料一同归档保存</w:t>
            </w:r>
            <w:r>
              <w:rPr>
                <w:rFonts w:hint="eastAsia" w:ascii="宋体" w:hAnsi="宋体" w:eastAsia="宋体" w:cs="宋体"/>
                <w:color w:val="auto"/>
                <w:highlight w:val="none"/>
              </w:rPr>
              <w:t>；</w:t>
            </w:r>
          </w:p>
          <w:p w14:paraId="54B719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1"/>
              <w:rPr>
                <w:rFonts w:hint="eastAsia" w:ascii="宋体" w:hAnsi="宋体" w:eastAsia="宋体" w:cs="宋体"/>
                <w:color w:val="auto"/>
                <w:highlight w:val="none"/>
              </w:rPr>
            </w:pPr>
            <w:r>
              <w:rPr>
                <w:rFonts w:hint="eastAsia" w:ascii="宋体" w:hAnsi="宋体" w:eastAsia="宋体" w:cs="宋体"/>
                <w:color w:val="auto"/>
                <w:highlight w:val="none"/>
              </w:rPr>
              <w:t>3.4</w:t>
            </w:r>
            <w:r>
              <w:rPr>
                <w:rFonts w:hint="eastAsia" w:ascii="宋体" w:hAnsi="宋体" w:eastAsia="宋体" w:cs="宋体"/>
                <w:color w:val="auto"/>
                <w:highlight w:val="none"/>
                <w:lang w:val="en-US" w:eastAsia="zh-CN"/>
              </w:rPr>
              <w:t>单位负责人为同一人或者存在控股、管理关系的不同单位（提供“国家企业信用信息公示系统”截图，截图须显示股东或主要负责人信息）</w:t>
            </w:r>
            <w:r>
              <w:rPr>
                <w:rFonts w:hint="eastAsia" w:ascii="宋体" w:hAnsi="宋体" w:eastAsia="宋体" w:cs="宋体"/>
                <w:color w:val="auto"/>
                <w:highlight w:val="none"/>
              </w:rPr>
              <w:t>；</w:t>
            </w:r>
          </w:p>
          <w:p w14:paraId="50CA09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3.5本次竞争性磋商不允许联合投标</w:t>
            </w:r>
          </w:p>
        </w:tc>
      </w:tr>
      <w:tr w14:paraId="3C55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44D7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1918" w:type="dxa"/>
            <w:gridSpan w:val="2"/>
            <w:vAlign w:val="center"/>
          </w:tcPr>
          <w:p w14:paraId="0B93AF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是否接受联合体参加磋商</w:t>
            </w:r>
          </w:p>
        </w:tc>
        <w:tc>
          <w:tcPr>
            <w:tcW w:w="5601" w:type="dxa"/>
            <w:vAlign w:val="center"/>
          </w:tcPr>
          <w:p w14:paraId="3BD02CDA">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4479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34026D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918" w:type="dxa"/>
            <w:gridSpan w:val="2"/>
            <w:vAlign w:val="center"/>
          </w:tcPr>
          <w:p w14:paraId="5C2D8D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601" w:type="dxa"/>
            <w:vAlign w:val="center"/>
          </w:tcPr>
          <w:p w14:paraId="5A9FEDF9">
            <w:pPr>
              <w:pStyle w:val="9"/>
              <w:topLinePunct/>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5E98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C8D3B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1918" w:type="dxa"/>
            <w:gridSpan w:val="2"/>
            <w:vAlign w:val="center"/>
          </w:tcPr>
          <w:p w14:paraId="512F45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5601" w:type="dxa"/>
            <w:vAlign w:val="center"/>
          </w:tcPr>
          <w:p w14:paraId="1D83A686">
            <w:pPr>
              <w:pStyle w:val="9"/>
              <w:topLinePunct/>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015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AE776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1918" w:type="dxa"/>
            <w:gridSpan w:val="2"/>
            <w:vAlign w:val="center"/>
          </w:tcPr>
          <w:p w14:paraId="6CAA3E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响应人提出异议的截止时间</w:t>
            </w:r>
          </w:p>
        </w:tc>
        <w:tc>
          <w:tcPr>
            <w:tcW w:w="5601" w:type="dxa"/>
            <w:vAlign w:val="center"/>
          </w:tcPr>
          <w:p w14:paraId="5A3DCE03">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递交响应文件截止之日7天前，将需要答疑的问题在河南省公共资源交易中心交易平台上进行提问，要求采购人对磋商文件予以澄清</w:t>
            </w:r>
          </w:p>
        </w:tc>
      </w:tr>
      <w:tr w14:paraId="02C8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742C6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1918" w:type="dxa"/>
            <w:gridSpan w:val="2"/>
            <w:vAlign w:val="center"/>
          </w:tcPr>
          <w:p w14:paraId="77CA52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采购人书面澄清的时间</w:t>
            </w:r>
          </w:p>
        </w:tc>
        <w:tc>
          <w:tcPr>
            <w:tcW w:w="5601" w:type="dxa"/>
            <w:vAlign w:val="center"/>
          </w:tcPr>
          <w:p w14:paraId="27D07295">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递交响应文件截止之日5天前，采购人可以对已发出的磋商文件进行必要的澄清或者修改，澄清或者修改的内容作为磋商文件的组成部分。澄清或者修改的内容可能影响响应文件编制的，采购人在提交首次响应文件截止时间至少5日前，以书面形式通知所有获取磋商文件的供应商；不足5日的，顺延提交首次响应文件截止时间。</w:t>
            </w:r>
          </w:p>
        </w:tc>
      </w:tr>
      <w:tr w14:paraId="468A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2477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18" w:type="dxa"/>
            <w:gridSpan w:val="2"/>
            <w:vAlign w:val="center"/>
          </w:tcPr>
          <w:p w14:paraId="69A4E4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构成磋商文件的其他材料</w:t>
            </w:r>
          </w:p>
        </w:tc>
        <w:tc>
          <w:tcPr>
            <w:tcW w:w="5601" w:type="dxa"/>
            <w:vAlign w:val="center"/>
          </w:tcPr>
          <w:p w14:paraId="75CCA2B4">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rPr>
              <w:t>以及采购人在磋商活动期间发出的有编号的补遗书和其它有效正式函件</w:t>
            </w:r>
          </w:p>
        </w:tc>
      </w:tr>
      <w:tr w14:paraId="7DB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536088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918" w:type="dxa"/>
            <w:gridSpan w:val="2"/>
            <w:vAlign w:val="center"/>
          </w:tcPr>
          <w:p w14:paraId="39622F2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投标截止时间</w:t>
            </w:r>
          </w:p>
        </w:tc>
        <w:tc>
          <w:tcPr>
            <w:tcW w:w="5601" w:type="dxa"/>
            <w:vAlign w:val="center"/>
          </w:tcPr>
          <w:p w14:paraId="06B8E1E3">
            <w:pPr>
              <w:spacing w:line="360"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 xml:space="preserve">28 </w:t>
            </w:r>
            <w:r>
              <w:rPr>
                <w:rFonts w:hint="eastAsia" w:ascii="宋体" w:hAnsi="宋体" w:eastAsia="宋体" w:cs="宋体"/>
                <w:b/>
                <w:bCs/>
                <w:color w:val="auto"/>
                <w:szCs w:val="21"/>
                <w:highlight w:val="none"/>
              </w:rPr>
              <w:t>日09时00分（北京时间）</w:t>
            </w:r>
          </w:p>
        </w:tc>
      </w:tr>
      <w:tr w14:paraId="208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0CF59C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918" w:type="dxa"/>
            <w:gridSpan w:val="2"/>
            <w:vAlign w:val="center"/>
          </w:tcPr>
          <w:p w14:paraId="7DB2C7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响应人确认收到磋商文件澄清的时间</w:t>
            </w:r>
          </w:p>
        </w:tc>
        <w:tc>
          <w:tcPr>
            <w:tcW w:w="5601" w:type="dxa"/>
            <w:vAlign w:val="center"/>
          </w:tcPr>
          <w:p w14:paraId="4EA1641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收到澄清后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小时内（以发出时间为准）</w:t>
            </w:r>
          </w:p>
        </w:tc>
      </w:tr>
      <w:tr w14:paraId="5419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B60C0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1918" w:type="dxa"/>
            <w:gridSpan w:val="2"/>
            <w:vAlign w:val="center"/>
          </w:tcPr>
          <w:p w14:paraId="19CACD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采购人修改磋商文件的截止时间</w:t>
            </w:r>
          </w:p>
        </w:tc>
        <w:tc>
          <w:tcPr>
            <w:tcW w:w="5601" w:type="dxa"/>
            <w:vAlign w:val="center"/>
          </w:tcPr>
          <w:p w14:paraId="14351957">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递交响应文件截止之日5天前</w:t>
            </w:r>
          </w:p>
        </w:tc>
      </w:tr>
      <w:tr w14:paraId="443E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1A812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1918" w:type="dxa"/>
            <w:gridSpan w:val="2"/>
            <w:vAlign w:val="center"/>
          </w:tcPr>
          <w:p w14:paraId="27E3E9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响应人确认收到磋商文件修改的时间</w:t>
            </w:r>
          </w:p>
        </w:tc>
        <w:tc>
          <w:tcPr>
            <w:tcW w:w="5601" w:type="dxa"/>
            <w:vAlign w:val="center"/>
          </w:tcPr>
          <w:p w14:paraId="6D6E870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收到修改后</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小时内（以发出时间为准）</w:t>
            </w:r>
          </w:p>
        </w:tc>
      </w:tr>
      <w:tr w14:paraId="30DD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05831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1918" w:type="dxa"/>
            <w:gridSpan w:val="2"/>
            <w:vAlign w:val="center"/>
          </w:tcPr>
          <w:p w14:paraId="725DA1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构成响应性文件的其他材料</w:t>
            </w:r>
          </w:p>
        </w:tc>
        <w:tc>
          <w:tcPr>
            <w:tcW w:w="5601" w:type="dxa"/>
            <w:vAlign w:val="center"/>
          </w:tcPr>
          <w:p w14:paraId="0D19C669">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按磋商文件的要求</w:t>
            </w:r>
          </w:p>
        </w:tc>
      </w:tr>
      <w:tr w14:paraId="4361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377A2D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1918" w:type="dxa"/>
            <w:gridSpan w:val="2"/>
            <w:vAlign w:val="center"/>
          </w:tcPr>
          <w:p w14:paraId="652294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最高限价</w:t>
            </w:r>
          </w:p>
        </w:tc>
        <w:tc>
          <w:tcPr>
            <w:tcW w:w="5601" w:type="dxa"/>
            <w:vAlign w:val="center"/>
          </w:tcPr>
          <w:p w14:paraId="7AAC69BB">
            <w:pPr>
              <w:spacing w:line="36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金额:</w:t>
            </w:r>
            <w:r>
              <w:rPr>
                <w:rFonts w:hint="eastAsia" w:ascii="宋体" w:hAnsi="宋体" w:eastAsia="宋体" w:cs="宋体"/>
                <w:b/>
                <w:color w:val="auto"/>
                <w:szCs w:val="21"/>
                <w:highlight w:val="none"/>
                <w:u w:val="single"/>
              </w:rPr>
              <w:t>1985000元</w:t>
            </w:r>
            <w:r>
              <w:rPr>
                <w:rFonts w:hint="eastAsia" w:ascii="宋体" w:hAnsi="宋体" w:eastAsia="宋体" w:cs="宋体"/>
                <w:b/>
                <w:color w:val="auto"/>
                <w:szCs w:val="21"/>
                <w:highlight w:val="none"/>
              </w:rPr>
              <w:t>；响应人报价超过</w:t>
            </w:r>
            <w:r>
              <w:rPr>
                <w:rFonts w:hint="eastAsia" w:ascii="宋体" w:hAnsi="宋体" w:eastAsia="宋体" w:cs="宋体"/>
                <w:b/>
                <w:color w:val="auto"/>
                <w:szCs w:val="21"/>
                <w:highlight w:val="none"/>
                <w:lang w:val="en-US" w:eastAsia="zh-CN"/>
              </w:rPr>
              <w:t>最高限价</w:t>
            </w:r>
            <w:r>
              <w:rPr>
                <w:rFonts w:hint="eastAsia" w:ascii="宋体" w:hAnsi="宋体" w:eastAsia="宋体" w:cs="宋体"/>
                <w:b/>
                <w:color w:val="auto"/>
                <w:szCs w:val="21"/>
                <w:highlight w:val="none"/>
              </w:rPr>
              <w:t>作无效标处理。</w:t>
            </w:r>
          </w:p>
        </w:tc>
      </w:tr>
      <w:tr w14:paraId="3475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01D02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918" w:type="dxa"/>
            <w:gridSpan w:val="2"/>
            <w:vAlign w:val="center"/>
          </w:tcPr>
          <w:p w14:paraId="73EFB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5601" w:type="dxa"/>
            <w:vAlign w:val="center"/>
          </w:tcPr>
          <w:p w14:paraId="4F601792">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60天（磋商截止之日起）</w:t>
            </w:r>
          </w:p>
        </w:tc>
      </w:tr>
      <w:tr w14:paraId="6C0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D420E7B">
            <w:pPr>
              <w:widowControl/>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3.4</w:t>
            </w:r>
          </w:p>
        </w:tc>
        <w:tc>
          <w:tcPr>
            <w:tcW w:w="1918" w:type="dxa"/>
            <w:gridSpan w:val="2"/>
            <w:vAlign w:val="center"/>
          </w:tcPr>
          <w:p w14:paraId="3A322FE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5601" w:type="dxa"/>
            <w:vAlign w:val="center"/>
          </w:tcPr>
          <w:p w14:paraId="32651CCB">
            <w:pPr>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3C3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008E61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3.6.1</w:t>
            </w:r>
          </w:p>
        </w:tc>
        <w:tc>
          <w:tcPr>
            <w:tcW w:w="1918" w:type="dxa"/>
            <w:gridSpan w:val="2"/>
            <w:vAlign w:val="center"/>
          </w:tcPr>
          <w:p w14:paraId="70701CB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响应文件编制</w:t>
            </w:r>
          </w:p>
        </w:tc>
        <w:tc>
          <w:tcPr>
            <w:tcW w:w="5601" w:type="dxa"/>
          </w:tcPr>
          <w:p w14:paraId="180B0F00">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本项目采用“远程不见面”开标方式，远程开标大厅网址为www.hnggzyjy.cn，供应商无需到河南省公共资源交易中心现场参加开标会议。供应商应当在投标截止时间前，登录远程开标大厅，在线准时参加开标活动并进行文件解密及二次报价等。</w:t>
            </w:r>
          </w:p>
          <w:p w14:paraId="7B4B24D3">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2.不见面服务的具体事宜请查阅河南省公共资源交易中心网站“办事指南”专区的《河南省公共资源交易平台不见面服务系统使用指南》。</w:t>
            </w:r>
          </w:p>
          <w:p w14:paraId="0CD0AAD7">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3.响应文件中上传的资料扫描件必须完整、清晰、易辨，如因证件上传问题导致未能给予认定的，供应商自行承担责任。</w:t>
            </w:r>
          </w:p>
        </w:tc>
      </w:tr>
      <w:tr w14:paraId="02DD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AB367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w:t>
            </w:r>
          </w:p>
        </w:tc>
        <w:tc>
          <w:tcPr>
            <w:tcW w:w="1918" w:type="dxa"/>
            <w:gridSpan w:val="2"/>
            <w:vAlign w:val="center"/>
          </w:tcPr>
          <w:p w14:paraId="6F974C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5601" w:type="dxa"/>
            <w:vAlign w:val="center"/>
          </w:tcPr>
          <w:p w14:paraId="1A526C0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1.按响应文件格式执行。</w:t>
            </w:r>
          </w:p>
          <w:p w14:paraId="670666C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2.电子投标文件签章要求</w:t>
            </w:r>
          </w:p>
          <w:p w14:paraId="7BA11F1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（1）所有要求供应商加盖公章的地方都应用供应商单位的CA印章。</w:t>
            </w:r>
          </w:p>
          <w:p w14:paraId="6F33279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（2）所有要求法定代表人签字的地方都应用法定代表人的CA印章需要盖章的则投标文件需上传有盖章的扫描件。若有委托代理人的，且委托代理人没有CA锁，则投标文件需按照磋商文件的要求上传扫描件。</w:t>
            </w:r>
          </w:p>
          <w:p w14:paraId="1882FBD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用电子版工程量清单报价的清单封面须加盖供应商公章、法定代表人或其授权人的印章或签字、注册在本单位的造价人员执业资格专用章或签字。如本单位无造价人员，应委托中介机构编制工程量清单报价并加盖其注册造价人员执业资格专用章及签字和公章，响应性文件需要附响应人与造价机构签订的委托协议书。授权人、造价人员或委托的造价中介机构等若未办理CA锁，则需上传手动签字的扫描件。</w:t>
            </w:r>
          </w:p>
          <w:p w14:paraId="74051AAF">
            <w:pPr>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备注：已标价工程量清单签字盖章的造价人员（本造价人员为造价工程师）应附在全国建筑市场监管公共服务平台查询的网页截图及网址链接，未附则视为无效标。</w:t>
            </w:r>
          </w:p>
        </w:tc>
      </w:tr>
      <w:tr w14:paraId="64F0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AFA3B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w:t>
            </w:r>
          </w:p>
        </w:tc>
        <w:tc>
          <w:tcPr>
            <w:tcW w:w="1918" w:type="dxa"/>
            <w:gridSpan w:val="2"/>
            <w:vAlign w:val="center"/>
          </w:tcPr>
          <w:p w14:paraId="3CBBFD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响应性文件份数</w:t>
            </w:r>
          </w:p>
        </w:tc>
        <w:tc>
          <w:tcPr>
            <w:tcW w:w="5601" w:type="dxa"/>
            <w:vAlign w:val="center"/>
          </w:tcPr>
          <w:p w14:paraId="12FB8F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网上响应文件按河南省公共资源交易中心规定和有关法律法规编制上传。加密的电子响应文件壹份（*.hntf格式，在会员系统指定位置上传）；</w:t>
            </w:r>
          </w:p>
          <w:p w14:paraId="57BF67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以网上电子响应文件为准。若有需要，供应商中标后应按采购人要求提供纸质响应文件。</w:t>
            </w:r>
          </w:p>
        </w:tc>
      </w:tr>
      <w:tr w14:paraId="0F42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4055E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4.2</w:t>
            </w:r>
          </w:p>
        </w:tc>
        <w:tc>
          <w:tcPr>
            <w:tcW w:w="1918" w:type="dxa"/>
            <w:gridSpan w:val="2"/>
            <w:vAlign w:val="center"/>
          </w:tcPr>
          <w:p w14:paraId="0CFFEA6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响应文件的递交</w:t>
            </w:r>
          </w:p>
        </w:tc>
        <w:tc>
          <w:tcPr>
            <w:tcW w:w="5601" w:type="dxa"/>
          </w:tcPr>
          <w:p w14:paraId="50CFFB88">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1.加密的电子响应文件（*.hntf格式）,应在响应文件截止时间前通过“河南省公共资源交易中心（www.hnggzy.</w:t>
            </w:r>
            <w:r>
              <w:rPr>
                <w:rFonts w:hint="eastAsia" w:ascii="宋体" w:hAnsi="宋体" w:eastAsia="宋体" w:cs="宋体"/>
                <w:color w:val="auto"/>
                <w:szCs w:val="21"/>
                <w:highlight w:val="none"/>
              </w:rPr>
              <w:t>net</w:t>
            </w:r>
            <w:r>
              <w:rPr>
                <w:rFonts w:hint="eastAsia" w:ascii="宋体" w:hAnsi="宋体" w:eastAsia="宋体" w:cs="宋体"/>
                <w:color w:val="auto"/>
                <w:kern w:val="0"/>
                <w:szCs w:val="21"/>
                <w:highlight w:val="none"/>
              </w:rPr>
              <w:t>）”电子交易平台内上传；在投标截止时间前上传至河南省公共资源交易中心系统。</w:t>
            </w:r>
          </w:p>
          <w:p w14:paraId="55F17E40">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本项目采用“远程不见面”开标方式，远程开标大厅网址为www.hnggzyjy.cn，供应商无需到河南省公共资源交易中心现场参加开标会议。供应商应当在投标截止时间前，登录远程开标大厅，在线准时参加开标活动并进行文件解密及二次报价等。</w:t>
            </w:r>
          </w:p>
          <w:p w14:paraId="2C854208">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3.不见面服务的具体事宜请查阅河南省公共资源交易中心网站“办事指南”专区的《河南省公共资源交易平台不见面服务系统使用指南》</w:t>
            </w:r>
          </w:p>
        </w:tc>
      </w:tr>
      <w:tr w14:paraId="7C19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56A2C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1918" w:type="dxa"/>
            <w:gridSpan w:val="2"/>
            <w:vAlign w:val="center"/>
          </w:tcPr>
          <w:p w14:paraId="254C04A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是否退还响应性文件</w:t>
            </w:r>
          </w:p>
        </w:tc>
        <w:tc>
          <w:tcPr>
            <w:tcW w:w="5601" w:type="dxa"/>
            <w:vAlign w:val="center"/>
          </w:tcPr>
          <w:p w14:paraId="705B5D59">
            <w:pPr>
              <w:pStyle w:val="9"/>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7CE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49" w:type="dxa"/>
            <w:vAlign w:val="center"/>
          </w:tcPr>
          <w:p w14:paraId="6660B0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18" w:type="dxa"/>
            <w:gridSpan w:val="2"/>
            <w:vAlign w:val="center"/>
          </w:tcPr>
          <w:p w14:paraId="264E6A2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磋商时间和地点</w:t>
            </w:r>
          </w:p>
        </w:tc>
        <w:tc>
          <w:tcPr>
            <w:tcW w:w="5601" w:type="dxa"/>
          </w:tcPr>
          <w:p w14:paraId="59BBF652">
            <w:pPr>
              <w:widowControl/>
              <w:spacing w:line="360" w:lineRule="auto"/>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时间：</w:t>
            </w:r>
            <w:r>
              <w:rPr>
                <w:rFonts w:hint="eastAsia" w:ascii="宋体" w:hAnsi="宋体" w:eastAsia="宋体" w:cs="宋体"/>
                <w:b/>
                <w:bCs/>
                <w:color w:val="auto"/>
                <w:kern w:val="0"/>
                <w:szCs w:val="21"/>
                <w:highlight w:val="none"/>
              </w:rPr>
              <w:t>2025年</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月</w:t>
            </w:r>
            <w:r>
              <w:rPr>
                <w:rFonts w:hint="eastAsia" w:ascii="宋体" w:hAnsi="宋体" w:eastAsia="宋体" w:cs="宋体"/>
                <w:b/>
                <w:bCs/>
                <w:color w:val="auto"/>
                <w:kern w:val="0"/>
                <w:szCs w:val="21"/>
                <w:highlight w:val="none"/>
                <w:lang w:val="en-US" w:eastAsia="zh-CN"/>
              </w:rPr>
              <w:t xml:space="preserve">28 </w:t>
            </w:r>
            <w:r>
              <w:rPr>
                <w:rFonts w:hint="eastAsia" w:ascii="宋体" w:hAnsi="宋体" w:eastAsia="宋体" w:cs="宋体"/>
                <w:b/>
                <w:bCs/>
                <w:color w:val="auto"/>
                <w:kern w:val="0"/>
                <w:szCs w:val="21"/>
                <w:highlight w:val="none"/>
              </w:rPr>
              <w:t>日09时00分（北京时间）；</w:t>
            </w:r>
          </w:p>
          <w:p w14:paraId="6AEF3546">
            <w:pPr>
              <w:widowControl/>
              <w:spacing w:line="360" w:lineRule="auto"/>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地点：</w:t>
            </w:r>
            <w:r>
              <w:rPr>
                <w:rFonts w:hint="eastAsia" w:ascii="宋体" w:hAnsi="宋体" w:eastAsia="宋体" w:cs="宋体"/>
                <w:b/>
                <w:bCs/>
                <w:color w:val="auto"/>
                <w:kern w:val="0"/>
                <w:szCs w:val="21"/>
                <w:highlight w:val="none"/>
              </w:rPr>
              <w:t>河南省公共资源交易中心远程开标室(二)-3</w:t>
            </w:r>
          </w:p>
          <w:p w14:paraId="33BDEA35">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供应商无需到现场</w:t>
            </w:r>
            <w:r>
              <w:rPr>
                <w:rFonts w:hint="eastAsia" w:ascii="宋体" w:hAnsi="宋体" w:eastAsia="宋体" w:cs="宋体"/>
                <w:color w:val="auto"/>
                <w:kern w:val="0"/>
                <w:szCs w:val="21"/>
                <w:highlight w:val="none"/>
              </w:rPr>
              <w:t>，到响应文件开启时间，供应商凭CA数字证书，进入河南省公共资源交易中心系统平台，按提示进行响应文件的解密（详细流程见河南省公共资源交易中心网站-公共服务-办事指南-河南省公共资源交易平台不见面服务系统使用指南）</w:t>
            </w:r>
          </w:p>
        </w:tc>
      </w:tr>
      <w:tr w14:paraId="69F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35CC6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18" w:type="dxa"/>
            <w:gridSpan w:val="2"/>
            <w:vAlign w:val="center"/>
          </w:tcPr>
          <w:p w14:paraId="4932C93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磋商程序</w:t>
            </w:r>
          </w:p>
        </w:tc>
        <w:tc>
          <w:tcPr>
            <w:tcW w:w="5601" w:type="dxa"/>
          </w:tcPr>
          <w:p w14:paraId="3C5EC88E">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1.代理机构将在“响应文件须知前附表”规定的磋商活动开始时间和开标室组织磋商。本项目采用“远程不见面”开标方式,远程开标大厅的网址（www.hnggzyjy.cn），供应商无需到省交易中心现场参加开标会议。</w:t>
            </w:r>
          </w:p>
          <w:p w14:paraId="1B40CD8C">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前，代理机构将会同相关人员进行验标（检查网上招标系统正常与否），确认无误后开标。开标时，请各供应商在竞争性磋商文件确定的磋商活动开始时间前，登录远程开标大厅网址（www.hnggzyjy.cn），在线准时参加开标活动并在规定时间内进行响应文件解密、答疑澄清（如有）、二次报价（如有）等活动，在规定时间内响应文件未解密的供应商，视为放弃投标，项目负责人在监督员监督下解密所有响应文件。</w:t>
            </w:r>
          </w:p>
          <w:p w14:paraId="201A4529">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3.如供应商在规定时间内响应文件未解密或在规定时间内一直解密失败导致解密不成功的，视为放弃响应。</w:t>
            </w:r>
          </w:p>
          <w:p w14:paraId="2ADBEC72">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4.由磋商小组对供应商递交的响应文件进行资格性审查和符合性审查，并确定磋商对象。</w:t>
            </w:r>
          </w:p>
          <w:p w14:paraId="520A8DE1">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5.磋商小组所有成员将按河南省公共资源交易中心系统上传的竞争性磋商响应文件的逆顺序集中与单一供应商分别进行磋商，并给予所有参加磋商的供应商平等的磋商机会。</w:t>
            </w:r>
          </w:p>
          <w:p w14:paraId="79F1E0FA">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6.按照竞争性磋商文件中商务部分的内容，对照供应商提交的响应文件逐一进行比较各项指标和要求。</w:t>
            </w:r>
          </w:p>
          <w:p w14:paraId="4F50DAC5">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7.按照竞争性磋商文件中技术部分的内容，对照供应商提交的响应文件逐一进行比较各项指标和要求。</w:t>
            </w:r>
          </w:p>
          <w:p w14:paraId="6BE58C75">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磋商过程中，磋商的任何一方不得透露与磋商有关的其他供应商的技术资料、价格和其他信息。磋商结束后，磋商小组可以要求所有参加磋商的供应商在规定时间内进行最后报价（各供应商应对其磋商代表进行相应授权，并做好在当天规定时间内完成有关澄清、磋商和最后报价的准备工作）</w:t>
            </w:r>
          </w:p>
          <w:p w14:paraId="604A5CFD">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9.在磋商过程中，磋商小组可以根据磋商文件和磋商情况实质性变动采购需求中的技术要求以及合同草案条款，但不得变动磋商文件中的其他内容。实质性变动的内容，须经采购人代表确认。</w:t>
            </w:r>
          </w:p>
          <w:p w14:paraId="1FDE32C0">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10.对磋商文件作出的实质性变动是磋商文件的有效组成部分，磋商小组应当及时以文字形式同时通知所有参加磋商的供应商。</w:t>
            </w:r>
          </w:p>
          <w:p w14:paraId="2A4DA540">
            <w:pPr>
              <w:widowControl/>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11.在磋商小组逐一与通过资格性审查和符合性审查的供应商磋商结束后，通知其提交最后报价，并由磋商小组重新计算报价得分并汇总综合评分。</w:t>
            </w:r>
          </w:p>
          <w:p w14:paraId="7FC956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12.推荐成交候选供应商。</w:t>
            </w:r>
          </w:p>
        </w:tc>
      </w:tr>
      <w:tr w14:paraId="75E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B1131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1918" w:type="dxa"/>
            <w:gridSpan w:val="2"/>
            <w:vAlign w:val="center"/>
          </w:tcPr>
          <w:p w14:paraId="0D999E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磋商小组的组建</w:t>
            </w:r>
          </w:p>
        </w:tc>
        <w:tc>
          <w:tcPr>
            <w:tcW w:w="5601" w:type="dxa"/>
            <w:vAlign w:val="center"/>
          </w:tcPr>
          <w:p w14:paraId="594FB8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磋商小组构成：</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人；</w:t>
            </w:r>
          </w:p>
          <w:p w14:paraId="625F1C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磋商专家确定方式：经济、技术专家应在磋商前从河南省政府采购评标专家库中随机抽取确定</w:t>
            </w:r>
          </w:p>
        </w:tc>
      </w:tr>
      <w:tr w14:paraId="6178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68263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918" w:type="dxa"/>
            <w:gridSpan w:val="2"/>
            <w:vAlign w:val="center"/>
          </w:tcPr>
          <w:p w14:paraId="1D5FB7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是否授权磋商小组确定成交供应商</w:t>
            </w:r>
          </w:p>
        </w:tc>
        <w:tc>
          <w:tcPr>
            <w:tcW w:w="5601" w:type="dxa"/>
            <w:vAlign w:val="center"/>
          </w:tcPr>
          <w:p w14:paraId="7C1234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是</w:t>
            </w:r>
            <w:r>
              <w:rPr>
                <w:rFonts w:hint="eastAsia" w:ascii="宋体" w:hAnsi="宋体" w:eastAsia="宋体" w:cs="宋体"/>
                <w:color w:val="auto"/>
                <w:szCs w:val="21"/>
                <w:highlight w:val="none"/>
              </w:rPr>
              <w:t>，推荐的成交候选人数：3</w:t>
            </w:r>
          </w:p>
        </w:tc>
      </w:tr>
      <w:tr w14:paraId="0E38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719EF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918" w:type="dxa"/>
            <w:gridSpan w:val="2"/>
            <w:vAlign w:val="center"/>
          </w:tcPr>
          <w:p w14:paraId="39049D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成交结果公告媒介</w:t>
            </w:r>
          </w:p>
        </w:tc>
        <w:tc>
          <w:tcPr>
            <w:tcW w:w="5601" w:type="dxa"/>
            <w:vAlign w:val="center"/>
          </w:tcPr>
          <w:p w14:paraId="0117EF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同</w:t>
            </w:r>
            <w:r>
              <w:rPr>
                <w:rFonts w:hint="eastAsia" w:ascii="宋体" w:hAnsi="宋体" w:eastAsia="宋体" w:cs="宋体"/>
                <w:color w:val="auto"/>
                <w:szCs w:val="21"/>
                <w:highlight w:val="none"/>
              </w:rPr>
              <w:t>竞争性磋商公告发布媒体，成交公告期限为1个工作日</w:t>
            </w:r>
          </w:p>
        </w:tc>
      </w:tr>
      <w:tr w14:paraId="6BEA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8" w:type="dxa"/>
            <w:gridSpan w:val="4"/>
            <w:vAlign w:val="center"/>
          </w:tcPr>
          <w:p w14:paraId="39862F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5EF0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gridSpan w:val="2"/>
            <w:vAlign w:val="center"/>
          </w:tcPr>
          <w:p w14:paraId="2BD038A2">
            <w:pPr>
              <w:spacing w:line="360" w:lineRule="auto"/>
              <w:jc w:val="center"/>
              <w:rPr>
                <w:rFonts w:hint="eastAsia" w:ascii="宋体" w:hAnsi="宋体" w:eastAsia="宋体" w:cs="宋体"/>
                <w:b/>
                <w:color w:val="auto"/>
                <w:szCs w:val="21"/>
                <w:highlight w:val="none"/>
              </w:rPr>
            </w:pPr>
          </w:p>
        </w:tc>
        <w:tc>
          <w:tcPr>
            <w:tcW w:w="7505" w:type="dxa"/>
            <w:gridSpan w:val="2"/>
            <w:vAlign w:val="center"/>
          </w:tcPr>
          <w:p w14:paraId="6E1962CF">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本项目采购代理服务费由成交人支付，以成交金额为计算基数，根据《国家发展改革委关于进一步放开建设项目专业服务价格的通知》（发改价格[2015]299号）和《河南省招标代理服务收费指导意见》（豫招协[2023]002号）的规定按</w:t>
            </w:r>
            <w:r>
              <w:rPr>
                <w:rFonts w:hint="eastAsia" w:ascii="宋体" w:hAnsi="宋体" w:eastAsia="宋体" w:cs="宋体"/>
                <w:color w:val="auto"/>
                <w:szCs w:val="21"/>
                <w:highlight w:val="none"/>
                <w:u w:val="single"/>
              </w:rPr>
              <w:t>工程类</w:t>
            </w:r>
            <w:r>
              <w:rPr>
                <w:rFonts w:hint="eastAsia" w:ascii="宋体" w:hAnsi="宋体" w:eastAsia="宋体" w:cs="宋体"/>
                <w:color w:val="auto"/>
                <w:szCs w:val="21"/>
                <w:highlight w:val="none"/>
              </w:rPr>
              <w:t>计算，此费用由供应商综合考虑到总价中，不</w:t>
            </w:r>
            <w:r>
              <w:rPr>
                <w:rFonts w:hint="eastAsia" w:ascii="宋体" w:hAnsi="宋体" w:eastAsia="宋体" w:cs="宋体"/>
                <w:color w:val="auto"/>
                <w:szCs w:val="21"/>
                <w:highlight w:val="none"/>
                <w:lang w:val="en-US" w:eastAsia="zh-CN"/>
              </w:rPr>
              <w:t>再</w:t>
            </w:r>
            <w:r>
              <w:rPr>
                <w:rFonts w:hint="eastAsia" w:ascii="宋体" w:hAnsi="宋体" w:eastAsia="宋体" w:cs="宋体"/>
                <w:color w:val="auto"/>
                <w:szCs w:val="21"/>
                <w:highlight w:val="none"/>
              </w:rPr>
              <w:t>单独报价</w:t>
            </w:r>
            <w:r>
              <w:rPr>
                <w:rFonts w:hint="eastAsia" w:ascii="宋体" w:hAnsi="宋体" w:eastAsia="宋体" w:cs="宋体"/>
                <w:color w:val="auto"/>
                <w:szCs w:val="21"/>
                <w:highlight w:val="none"/>
                <w:lang w:eastAsia="zh-CN"/>
              </w:rPr>
              <w:t>。</w:t>
            </w:r>
          </w:p>
        </w:tc>
      </w:tr>
      <w:tr w14:paraId="1666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gridSpan w:val="2"/>
            <w:vAlign w:val="center"/>
          </w:tcPr>
          <w:p w14:paraId="4EAD34E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7505" w:type="dxa"/>
            <w:gridSpan w:val="2"/>
            <w:vAlign w:val="center"/>
          </w:tcPr>
          <w:p w14:paraId="65D42397">
            <w:pPr>
              <w:spacing w:line="360" w:lineRule="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Cs w:val="21"/>
                <w:highlight w:val="none"/>
              </w:rPr>
              <w:t>履约保证金：</w:t>
            </w:r>
            <w:r>
              <w:rPr>
                <w:rFonts w:hint="eastAsia" w:ascii="宋体" w:hAnsi="宋体" w:eastAsia="宋体" w:cs="宋体"/>
                <w:b w:val="0"/>
                <w:bCs w:val="0"/>
                <w:color w:val="auto"/>
                <w:szCs w:val="21"/>
                <w:highlight w:val="none"/>
                <w:lang w:val="en-US" w:eastAsia="zh-CN"/>
              </w:rPr>
              <w:t>以合同为准</w:t>
            </w:r>
          </w:p>
        </w:tc>
      </w:tr>
      <w:tr w14:paraId="62B0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gridSpan w:val="2"/>
            <w:vAlign w:val="center"/>
          </w:tcPr>
          <w:p w14:paraId="6AD4FC97">
            <w:pPr>
              <w:spacing w:line="360" w:lineRule="auto"/>
              <w:ind w:firstLine="210" w:firstLineChars="100"/>
              <w:rPr>
                <w:rFonts w:hint="eastAsia" w:ascii="宋体" w:hAnsi="宋体" w:eastAsia="宋体" w:cs="宋体"/>
                <w:color w:val="auto"/>
                <w:szCs w:val="21"/>
                <w:highlight w:val="none"/>
              </w:rPr>
            </w:pPr>
          </w:p>
        </w:tc>
        <w:tc>
          <w:tcPr>
            <w:tcW w:w="7505" w:type="dxa"/>
            <w:gridSpan w:val="2"/>
            <w:vAlign w:val="center"/>
          </w:tcPr>
          <w:p w14:paraId="07EB232C">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报价方式：</w:t>
            </w:r>
            <w:r>
              <w:rPr>
                <w:rFonts w:hint="eastAsia" w:ascii="宋体" w:hAnsi="宋体" w:eastAsia="宋体" w:cs="宋体"/>
                <w:color w:val="auto"/>
                <w:szCs w:val="21"/>
                <w:highlight w:val="none"/>
              </w:rPr>
              <w:t>供应商所报总价应包括其履行本项目合同（如果成交）所需的所有费用，供应商自行承担所有与参加报价及磋商有关活动的全部费用。</w:t>
            </w:r>
          </w:p>
        </w:tc>
      </w:tr>
      <w:tr w14:paraId="0E68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gridSpan w:val="2"/>
          </w:tcPr>
          <w:p w14:paraId="3AA446F4">
            <w:pPr>
              <w:spacing w:line="360" w:lineRule="auto"/>
              <w:ind w:firstLine="210" w:firstLineChars="100"/>
              <w:rPr>
                <w:rFonts w:hint="eastAsia" w:ascii="宋体" w:hAnsi="宋体" w:eastAsia="宋体" w:cs="宋体"/>
                <w:color w:val="auto"/>
                <w:szCs w:val="21"/>
                <w:highlight w:val="none"/>
              </w:rPr>
            </w:pPr>
          </w:p>
        </w:tc>
        <w:tc>
          <w:tcPr>
            <w:tcW w:w="7505" w:type="dxa"/>
            <w:gridSpan w:val="2"/>
          </w:tcPr>
          <w:p w14:paraId="4B42E405">
            <w:pPr>
              <w:pStyle w:val="9"/>
              <w:topLinePunct/>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政府采购相关政策</w:t>
            </w:r>
          </w:p>
          <w:p w14:paraId="60326470">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A:根据财政部、工信部关于印发《政府采购促进中小企业发展管理办法》的通知（财库〔2020〕46号）文件及财政部关于进一步加大政府采购支持中小企业力度的通知财库〔2022〕19号规定：</w:t>
            </w:r>
          </w:p>
          <w:p w14:paraId="0844079D">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对于经主管预算单位统筹后未预留份额专门面向中小企业采购的采购项目，以及预留份额项目中的非预留部分采购包，应当对符合本办法规定的小微企业报价给予3%—5%的扣除，用扣除后的价格参加评审，本项目的扣除比例为3%；中小企业参加政府采购活动，应当出具财库[2020]46号规定的《中小企业声明函》，否则不得享受相关中小企业扶持政策。</w:t>
            </w:r>
          </w:p>
          <w:p w14:paraId="34E4CD3B">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关于监狱企业：视同小微企业。须提供由省级以上监狱管理局、戒毒管理局（含新疆生产建设兵团）出具的属于监狱企业的证明文件，否则不考虑价格扣除。</w:t>
            </w:r>
          </w:p>
          <w:p w14:paraId="48A216F1">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关于残疾人福利性单位：视同小微企业。须提供完整的“残疾人福利性单位声明函”，否则在价格评审时不予考虑价格扣除。残疾人福利性单位属于小型、微型企业的，不重复享受政策。</w:t>
            </w:r>
          </w:p>
          <w:p w14:paraId="0D56F279">
            <w:pPr>
              <w:spacing w:line="360" w:lineRule="auto"/>
              <w:ind w:firstLine="103" w:firstLineChars="50"/>
              <w:rPr>
                <w:rFonts w:hint="eastAsia" w:ascii="宋体" w:hAnsi="宋体" w:eastAsia="宋体" w:cs="宋体"/>
                <w:color w:val="auto"/>
                <w:spacing w:val="-2"/>
                <w:szCs w:val="21"/>
                <w:highlight w:val="none"/>
                <w:lang w:val="zh-CN"/>
              </w:rPr>
            </w:pPr>
            <w:r>
              <w:rPr>
                <w:rFonts w:hint="eastAsia" w:ascii="宋体" w:hAnsi="宋体" w:eastAsia="宋体" w:cs="宋体"/>
                <w:color w:val="auto"/>
                <w:spacing w:val="-2"/>
                <w:szCs w:val="21"/>
                <w:highlight w:val="none"/>
              </w:rPr>
              <w:t>B:</w:t>
            </w:r>
            <w:r>
              <w:rPr>
                <w:rFonts w:hint="eastAsia" w:ascii="宋体" w:hAnsi="宋体" w:eastAsia="宋体" w:cs="宋体"/>
                <w:color w:val="auto"/>
                <w:spacing w:val="-2"/>
                <w:szCs w:val="21"/>
                <w:highlight w:val="none"/>
                <w:lang w:val="zh-CN"/>
              </w:rPr>
              <w:t>政府强制或优先采购节能、环保产品：</w:t>
            </w:r>
          </w:p>
          <w:p w14:paraId="5BA0B40B">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zh-CN"/>
              </w:rPr>
              <w:t>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根据政府采购政策，本项目如涉及到自主创新首购产品，应当采购由财政部会同科技部等部门制定的《政府采购自主创新产品目录》内的产品。</w:t>
            </w:r>
          </w:p>
          <w:p w14:paraId="3F27EAA7">
            <w:pPr>
              <w:spacing w:line="360" w:lineRule="auto"/>
              <w:ind w:firstLine="103" w:firstLineChars="5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C:享受扶持政策获得政府采购合同的要求：</w:t>
            </w:r>
          </w:p>
          <w:p w14:paraId="7961EEA4">
            <w:pPr>
              <w:spacing w:line="36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依据《政府采购促进中小企业发展管理办法》规定享受扶持政策获得政府采购合同的，小微企业不得将合同分包给大中型企业，中型企业不得将合同分包给大型企业。根据政府采购政策，本项目如涉及到计算机办公设备产品，供应商所投产品必须是预装正版操作系统软件的计算机产品。</w:t>
            </w:r>
          </w:p>
          <w:p w14:paraId="3D0D11F3">
            <w:pPr>
              <w:spacing w:line="36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D：供应商在中标后可以持政府采购合同向融资机构申请贷款，供应商可在河南省政府采购网“河南省政府采购合同融资平台”获取融资渠道和方式。</w:t>
            </w:r>
          </w:p>
          <w:p w14:paraId="3976613B">
            <w:pPr>
              <w:spacing w:line="36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E：其它未尽事宜，按国家有关法律、法规执行。</w:t>
            </w:r>
          </w:p>
          <w:p w14:paraId="0D7CF8FE">
            <w:pPr>
              <w:spacing w:line="360" w:lineRule="auto"/>
              <w:rPr>
                <w:rFonts w:hint="eastAsia" w:ascii="宋体" w:hAnsi="宋体" w:eastAsia="宋体" w:cs="宋体"/>
                <w:color w:val="auto"/>
                <w:spacing w:val="-2"/>
                <w:szCs w:val="21"/>
                <w:highlight w:val="none"/>
              </w:rPr>
            </w:pPr>
            <w:r>
              <w:rPr>
                <w:rFonts w:hint="eastAsia" w:ascii="宋体" w:hAnsi="宋体" w:eastAsia="宋体" w:cs="宋体"/>
                <w:b/>
                <w:bCs/>
                <w:color w:val="auto"/>
                <w:spacing w:val="-2"/>
                <w:szCs w:val="21"/>
                <w:highlight w:val="none"/>
              </w:rPr>
              <w:t xml:space="preserve">注：本项目对应的中小企业划分标准所属行业：建筑业。 </w:t>
            </w:r>
          </w:p>
        </w:tc>
      </w:tr>
    </w:tbl>
    <w:p w14:paraId="1E4364F1">
      <w:pPr>
        <w:pStyle w:val="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30"/>
          <w:szCs w:val="30"/>
          <w:highlight w:val="none"/>
        </w:rPr>
        <w:br w:type="page"/>
      </w:r>
      <w:bookmarkStart w:id="60" w:name="_Toc30514"/>
      <w:bookmarkStart w:id="61" w:name="_Toc5146"/>
      <w:bookmarkStart w:id="62" w:name="_Toc3996"/>
      <w:bookmarkStart w:id="63" w:name="_Toc8546"/>
      <w:bookmarkStart w:id="64" w:name="_Toc11472"/>
      <w:bookmarkStart w:id="65" w:name="_Toc23516"/>
      <w:r>
        <w:rPr>
          <w:rFonts w:hint="eastAsia" w:ascii="宋体" w:hAnsi="宋体" w:eastAsia="宋体" w:cs="宋体"/>
          <w:color w:val="auto"/>
          <w:sz w:val="21"/>
          <w:szCs w:val="21"/>
          <w:highlight w:val="none"/>
        </w:rPr>
        <w:t>1.总则</w:t>
      </w:r>
      <w:bookmarkEnd w:id="60"/>
      <w:bookmarkEnd w:id="61"/>
      <w:bookmarkEnd w:id="62"/>
      <w:bookmarkEnd w:id="63"/>
      <w:bookmarkEnd w:id="64"/>
      <w:bookmarkEnd w:id="65"/>
    </w:p>
    <w:p w14:paraId="1A843AAF">
      <w:pPr>
        <w:spacing w:line="360" w:lineRule="auto"/>
        <w:rPr>
          <w:rFonts w:hint="eastAsia" w:ascii="宋体" w:hAnsi="宋体" w:eastAsia="宋体" w:cs="宋体"/>
          <w:b/>
          <w:color w:val="auto"/>
          <w:szCs w:val="21"/>
          <w:highlight w:val="none"/>
        </w:rPr>
      </w:pPr>
      <w:bookmarkStart w:id="66" w:name="_Toc179632547"/>
      <w:bookmarkStart w:id="67" w:name="_Toc246996919"/>
      <w:bookmarkStart w:id="68" w:name="_Toc246996176"/>
      <w:bookmarkStart w:id="69" w:name="_Toc247085690"/>
      <w:bookmarkStart w:id="70" w:name="_Toc152045530"/>
      <w:bookmarkStart w:id="71" w:name="_Toc144974498"/>
      <w:bookmarkStart w:id="72" w:name="_Toc296602421"/>
      <w:bookmarkStart w:id="73" w:name="_Toc152042306"/>
      <w:r>
        <w:rPr>
          <w:rFonts w:hint="eastAsia" w:ascii="宋体" w:hAnsi="宋体" w:eastAsia="宋体" w:cs="宋体"/>
          <w:b/>
          <w:color w:val="auto"/>
          <w:szCs w:val="21"/>
          <w:highlight w:val="none"/>
        </w:rPr>
        <w:t>1.1项目概况</w:t>
      </w:r>
      <w:bookmarkEnd w:id="66"/>
      <w:bookmarkEnd w:id="67"/>
      <w:bookmarkEnd w:id="68"/>
      <w:bookmarkEnd w:id="69"/>
      <w:bookmarkEnd w:id="70"/>
      <w:bookmarkEnd w:id="71"/>
      <w:bookmarkEnd w:id="72"/>
      <w:bookmarkEnd w:id="73"/>
    </w:p>
    <w:p w14:paraId="5DCC0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1.1.1根据《中华人民共和国政府采购法》、《政府采购竞争性磋商采购方式管理暂行办法》有关法律、法规和规章的规定，本项目已具备磋商条件，现对本项目进行竞争性磋商采购。</w:t>
      </w:r>
    </w:p>
    <w:p w14:paraId="77A254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1.1.2本项目采购人：见响应人须知前附表。</w:t>
      </w:r>
    </w:p>
    <w:p w14:paraId="299AF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1.1.3本项目采购代理机构：见响应人须知前附表。</w:t>
      </w:r>
    </w:p>
    <w:p w14:paraId="390F7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1.1.4本项目名称：见响应人须知前附表。</w:t>
      </w:r>
    </w:p>
    <w:p w14:paraId="2219C8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1.1.5本项目工程地点：见响应人须知前附表。</w:t>
      </w:r>
    </w:p>
    <w:p w14:paraId="5226AC75">
      <w:pPr>
        <w:spacing w:line="360" w:lineRule="auto"/>
        <w:rPr>
          <w:rFonts w:hint="eastAsia" w:ascii="宋体" w:hAnsi="宋体" w:eastAsia="宋体" w:cs="宋体"/>
          <w:b/>
          <w:color w:val="auto"/>
          <w:szCs w:val="21"/>
          <w:highlight w:val="none"/>
        </w:rPr>
      </w:pPr>
      <w:bookmarkStart w:id="74" w:name="_Toc247085691"/>
      <w:bookmarkStart w:id="75" w:name="_Toc179632548"/>
      <w:bookmarkStart w:id="76" w:name="_Toc152042307"/>
      <w:bookmarkStart w:id="77" w:name="_Toc246996177"/>
      <w:bookmarkStart w:id="78" w:name="_Toc246996920"/>
      <w:bookmarkStart w:id="79" w:name="_Toc144974499"/>
      <w:bookmarkStart w:id="80" w:name="_Toc296602422"/>
      <w:bookmarkStart w:id="81" w:name="_Toc152045531"/>
      <w:r>
        <w:rPr>
          <w:rFonts w:hint="eastAsia" w:ascii="宋体" w:hAnsi="宋体" w:eastAsia="宋体" w:cs="宋体"/>
          <w:b/>
          <w:color w:val="auto"/>
          <w:szCs w:val="21"/>
          <w:highlight w:val="none"/>
        </w:rPr>
        <w:t>1.2资金来源和落实情况</w:t>
      </w:r>
      <w:bookmarkEnd w:id="74"/>
      <w:bookmarkEnd w:id="75"/>
      <w:bookmarkEnd w:id="76"/>
      <w:bookmarkEnd w:id="77"/>
      <w:bookmarkEnd w:id="78"/>
      <w:bookmarkEnd w:id="79"/>
      <w:bookmarkEnd w:id="80"/>
      <w:bookmarkEnd w:id="81"/>
    </w:p>
    <w:p w14:paraId="30B2E6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1.2.1本项目的资金来源及出资比例：见响应人须知前附表。</w:t>
      </w:r>
    </w:p>
    <w:p w14:paraId="5A5338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1.2.2本项目的资金落实情况：见响应人须知前附表。</w:t>
      </w:r>
    </w:p>
    <w:p w14:paraId="45B5A965">
      <w:pPr>
        <w:spacing w:line="360" w:lineRule="auto"/>
        <w:rPr>
          <w:rFonts w:hint="eastAsia" w:ascii="宋体" w:hAnsi="宋体" w:eastAsia="宋体" w:cs="宋体"/>
          <w:b/>
          <w:color w:val="auto"/>
          <w:szCs w:val="21"/>
          <w:highlight w:val="none"/>
          <w:lang w:val="en-US" w:eastAsia="zh-CN"/>
        </w:rPr>
      </w:pPr>
      <w:bookmarkStart w:id="82" w:name="_Toc247085692"/>
      <w:bookmarkStart w:id="83" w:name="_Toc144974500"/>
      <w:bookmarkStart w:id="84" w:name="_Toc246996178"/>
      <w:bookmarkStart w:id="85" w:name="_Toc246996921"/>
      <w:bookmarkStart w:id="86" w:name="_Toc152042308"/>
      <w:bookmarkStart w:id="87" w:name="_Toc179632549"/>
      <w:bookmarkStart w:id="88" w:name="_Toc296602423"/>
      <w:bookmarkStart w:id="89" w:name="_Toc152045532"/>
      <w:r>
        <w:rPr>
          <w:rFonts w:hint="eastAsia" w:ascii="宋体" w:hAnsi="宋体" w:eastAsia="宋体" w:cs="宋体"/>
          <w:b/>
          <w:color w:val="auto"/>
          <w:szCs w:val="21"/>
          <w:highlight w:val="none"/>
        </w:rPr>
        <w:t>1.3响应范围、工期、</w:t>
      </w:r>
      <w:bookmarkEnd w:id="82"/>
      <w:bookmarkEnd w:id="83"/>
      <w:bookmarkEnd w:id="84"/>
      <w:bookmarkEnd w:id="85"/>
      <w:bookmarkEnd w:id="86"/>
      <w:bookmarkEnd w:id="87"/>
      <w:bookmarkEnd w:id="88"/>
      <w:bookmarkEnd w:id="89"/>
      <w:r>
        <w:rPr>
          <w:rFonts w:hint="eastAsia" w:ascii="宋体" w:hAnsi="宋体" w:eastAsia="宋体" w:cs="宋体"/>
          <w:b/>
          <w:color w:val="auto"/>
          <w:szCs w:val="21"/>
          <w:highlight w:val="none"/>
        </w:rPr>
        <w:t>质量标准</w:t>
      </w:r>
    </w:p>
    <w:p w14:paraId="65305A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1.3.1本次响应范围：见响应人须知前附表。</w:t>
      </w:r>
    </w:p>
    <w:p w14:paraId="0B11FB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1.3.2本项目的工期：见响应人须知前附表。</w:t>
      </w:r>
    </w:p>
    <w:p w14:paraId="4BFC7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1.3.3本项目的质量标准：见响应人须知前附表。</w:t>
      </w:r>
    </w:p>
    <w:p w14:paraId="074440C9">
      <w:pPr>
        <w:spacing w:line="360" w:lineRule="auto"/>
        <w:rPr>
          <w:rFonts w:hint="eastAsia" w:ascii="宋体" w:hAnsi="宋体" w:eastAsia="宋体" w:cs="宋体"/>
          <w:b/>
          <w:color w:val="auto"/>
          <w:szCs w:val="21"/>
          <w:highlight w:val="none"/>
        </w:rPr>
      </w:pPr>
      <w:bookmarkStart w:id="90" w:name="_Toc296602424"/>
      <w:bookmarkStart w:id="91" w:name="_Toc246996922"/>
      <w:bookmarkStart w:id="92" w:name="_Toc144974502"/>
      <w:bookmarkStart w:id="93" w:name="_Toc179632551"/>
      <w:bookmarkStart w:id="94" w:name="_Toc246996179"/>
      <w:bookmarkStart w:id="95" w:name="_Toc152042310"/>
      <w:bookmarkStart w:id="96" w:name="_Toc247085693"/>
      <w:bookmarkStart w:id="97" w:name="_Toc152045534"/>
      <w:r>
        <w:rPr>
          <w:rFonts w:hint="eastAsia" w:ascii="宋体" w:hAnsi="宋体" w:eastAsia="宋体" w:cs="宋体"/>
          <w:b/>
          <w:color w:val="auto"/>
          <w:szCs w:val="21"/>
          <w:highlight w:val="none"/>
        </w:rPr>
        <w:t>1.4响应人资格要求</w:t>
      </w:r>
      <w:bookmarkEnd w:id="90"/>
      <w:bookmarkEnd w:id="91"/>
      <w:bookmarkEnd w:id="92"/>
      <w:bookmarkEnd w:id="93"/>
      <w:bookmarkEnd w:id="94"/>
      <w:bookmarkEnd w:id="95"/>
      <w:bookmarkEnd w:id="96"/>
      <w:bookmarkEnd w:id="97"/>
    </w:p>
    <w:p w14:paraId="60761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1.4.1响应人应具备承担本项目施工的资质条件、能力和信誉。</w:t>
      </w:r>
    </w:p>
    <w:p w14:paraId="2CFE00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见磋商公告中“</w:t>
      </w:r>
      <w:r>
        <w:rPr>
          <w:rFonts w:hint="eastAsia" w:ascii="宋体" w:hAnsi="宋体" w:eastAsia="宋体" w:cs="宋体"/>
          <w:b/>
          <w:color w:val="auto"/>
          <w:szCs w:val="21"/>
          <w:highlight w:val="none"/>
        </w:rPr>
        <w:t>响应人资格要求</w:t>
      </w:r>
      <w:r>
        <w:rPr>
          <w:rFonts w:hint="eastAsia" w:ascii="宋体" w:hAnsi="宋体" w:eastAsia="宋体" w:cs="宋体"/>
          <w:color w:val="auto"/>
          <w:szCs w:val="21"/>
          <w:highlight w:val="none"/>
        </w:rPr>
        <w:t>”要求；</w:t>
      </w:r>
    </w:p>
    <w:p w14:paraId="275F00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1.4.2本项目不接受联合体投标。</w:t>
      </w:r>
    </w:p>
    <w:p w14:paraId="02A845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1.4.3响应人不得存在下列情形之一：</w:t>
      </w:r>
    </w:p>
    <w:p w14:paraId="0C8138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（1）为采购人不具有独立法人资格的附属机构（单位）；</w:t>
      </w:r>
    </w:p>
    <w:p w14:paraId="545B6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（2）为本项目前期准备提供设计或咨询服务的；</w:t>
      </w:r>
    </w:p>
    <w:p w14:paraId="518D61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（3）为本项目的监理人；</w:t>
      </w:r>
    </w:p>
    <w:p w14:paraId="37EE3C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（4）为本项目的代建人；</w:t>
      </w:r>
    </w:p>
    <w:p w14:paraId="4981E6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（5）为本项目提供磋商代理服务的；</w:t>
      </w:r>
    </w:p>
    <w:p w14:paraId="176492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（6）与本项目的监理人或代建人或采购代理机构同为一个法定代表人的；</w:t>
      </w:r>
    </w:p>
    <w:p w14:paraId="08435E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（7）与本项目的监理人或代建人或采购代理机构相互控股或参股的；</w:t>
      </w:r>
    </w:p>
    <w:p w14:paraId="1B887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（8）与本项目的监理人或代建人或采购代理机构相互任职或工作的；</w:t>
      </w:r>
    </w:p>
    <w:p w14:paraId="5CC0DB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（9）被责令停业的；</w:t>
      </w:r>
    </w:p>
    <w:p w14:paraId="6DAA67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（10）被暂停或取消投标资格的；</w:t>
      </w:r>
    </w:p>
    <w:p w14:paraId="3D44FE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（11）财产被接管或冻结的；</w:t>
      </w:r>
    </w:p>
    <w:p w14:paraId="1AE02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（12）在最近三年内有骗取成交或严重违约或重大工程质量问题的。</w:t>
      </w:r>
    </w:p>
    <w:p w14:paraId="2396E4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（13）被工商行政管理部门列入经营异常名录的（以信用中国查询为准）；</w:t>
      </w:r>
    </w:p>
    <w:p w14:paraId="6EC628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（14）被人民法院公布的失信被执行人（以信用中国查询为准）；</w:t>
      </w:r>
    </w:p>
    <w:p w14:paraId="430AB1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（15）有行贿犯罪记录（以中国裁判文书网查询为准）；</w:t>
      </w:r>
    </w:p>
    <w:p w14:paraId="0C4745CD">
      <w:pPr>
        <w:spacing w:line="360" w:lineRule="auto"/>
        <w:ind w:firstLine="420" w:firstLineChars="200"/>
        <w:rPr>
          <w:rFonts w:hint="eastAsia" w:ascii="宋体" w:hAnsi="宋体" w:eastAsia="宋体" w:cs="宋体"/>
          <w:color w:val="auto"/>
          <w:szCs w:val="21"/>
          <w:highlight w:val="none"/>
        </w:rPr>
      </w:pPr>
      <w:bookmarkStart w:id="98" w:name="_Toc246996923"/>
      <w:bookmarkStart w:id="99" w:name="_Toc179632552"/>
      <w:bookmarkStart w:id="100" w:name="_Toc246996180"/>
      <w:bookmarkStart w:id="101" w:name="_Toc152042311"/>
      <w:bookmarkStart w:id="102" w:name="_Toc247085694"/>
      <w:bookmarkStart w:id="103" w:name="_Toc152045535"/>
      <w:bookmarkStart w:id="104" w:name="_Toc296602425"/>
      <w:bookmarkStart w:id="105" w:name="_Toc144974503"/>
      <w:r>
        <w:rPr>
          <w:rFonts w:hint="eastAsia" w:ascii="宋体" w:hAnsi="宋体" w:eastAsia="宋体" w:cs="宋体"/>
          <w:color w:val="auto"/>
          <w:szCs w:val="21"/>
          <w:highlight w:val="none"/>
        </w:rPr>
        <w:t>1.4.4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存在下列情形之一的，其投标(响应）文件无效：</w:t>
      </w:r>
    </w:p>
    <w:p w14:paraId="254D90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（1）不同供应商的电子投标（响应）文件上传计算机的网卡MAC地址、CPU序列号和硬盘序列号等硬件信息相同的；</w:t>
      </w:r>
    </w:p>
    <w:p w14:paraId="2BBEC5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（2）不同供应商的投标（响应）文件由同一电子设备编制、打印加密或者上传；</w:t>
      </w:r>
    </w:p>
    <w:p w14:paraId="50A87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（3）不同供应商的投标(响应）文件由同一电子设备打印、复印；</w:t>
      </w:r>
    </w:p>
    <w:p w14:paraId="6B2F2A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（4）不同供应商的投标（响应）文件由同一人送达或者分发，或者不同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联系人为同一人或不同联系人的联系电话一致的；</w:t>
      </w:r>
    </w:p>
    <w:p w14:paraId="0B7DB5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（5）不同供应商的投标（响应)文件的内容存在两处以上细节错误一致；</w:t>
      </w:r>
    </w:p>
    <w:p w14:paraId="70ACDE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（6）不同供应商的法定代表人、委托代理人、项目经理、项目负责人等由同一个单位缴纳社会保险或者领取报酬的；</w:t>
      </w:r>
    </w:p>
    <w:p w14:paraId="32D2D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（7）不同供应商投标（响应）文件中法定代表人或者负责人签字出自同一人之手；</w:t>
      </w:r>
    </w:p>
    <w:p w14:paraId="5D409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（8）其它涉嫌串通的情形。</w:t>
      </w:r>
    </w:p>
    <w:p w14:paraId="12306D6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1.5费用承担</w:t>
      </w:r>
      <w:bookmarkEnd w:id="98"/>
      <w:bookmarkEnd w:id="99"/>
      <w:bookmarkEnd w:id="100"/>
      <w:bookmarkEnd w:id="101"/>
      <w:bookmarkEnd w:id="102"/>
      <w:bookmarkEnd w:id="103"/>
      <w:bookmarkEnd w:id="104"/>
      <w:bookmarkEnd w:id="105"/>
    </w:p>
    <w:p w14:paraId="66E264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应承担其磋商响应文件编制与递交所涉及的一切费用，在任何情况下采购人和采购代理机构对上述费用均不承担任何责任。根据采购代理合同约定，采购代理服务费由成交供应商支付，支付标准见供应商须知前附表，供应商在磋商报价时需综合考虑。</w:t>
      </w:r>
    </w:p>
    <w:p w14:paraId="16412E5E">
      <w:pPr>
        <w:spacing w:line="360" w:lineRule="auto"/>
        <w:rPr>
          <w:rFonts w:hint="eastAsia" w:ascii="宋体" w:hAnsi="宋体" w:eastAsia="宋体" w:cs="宋体"/>
          <w:b/>
          <w:color w:val="auto"/>
          <w:szCs w:val="21"/>
          <w:highlight w:val="none"/>
        </w:rPr>
      </w:pPr>
      <w:bookmarkStart w:id="106" w:name="_Toc246996181"/>
      <w:bookmarkStart w:id="107" w:name="_Toc152045536"/>
      <w:bookmarkStart w:id="108" w:name="_Toc247085695"/>
      <w:bookmarkStart w:id="109" w:name="_Toc179632553"/>
      <w:bookmarkStart w:id="110" w:name="_Toc296602426"/>
      <w:bookmarkStart w:id="111" w:name="_Toc144974504"/>
      <w:bookmarkStart w:id="112" w:name="_Toc152042312"/>
      <w:bookmarkStart w:id="113" w:name="_Toc246996924"/>
      <w:r>
        <w:rPr>
          <w:rFonts w:hint="eastAsia" w:ascii="宋体" w:hAnsi="宋体" w:eastAsia="宋体" w:cs="宋体"/>
          <w:b/>
          <w:color w:val="auto"/>
          <w:szCs w:val="21"/>
          <w:highlight w:val="none"/>
        </w:rPr>
        <w:t>1.6保密</w:t>
      </w:r>
      <w:bookmarkEnd w:id="106"/>
      <w:bookmarkEnd w:id="107"/>
      <w:bookmarkEnd w:id="108"/>
      <w:bookmarkEnd w:id="109"/>
      <w:bookmarkEnd w:id="110"/>
      <w:bookmarkEnd w:id="111"/>
      <w:bookmarkEnd w:id="112"/>
      <w:bookmarkEnd w:id="113"/>
    </w:p>
    <w:p w14:paraId="5D9C7A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参与磋商活动的各方应对磋商文件和响应性文件中的商业和技术等秘密保密，违者应对由此造成的后果承担法律责任。</w:t>
      </w:r>
    </w:p>
    <w:p w14:paraId="5709F81B">
      <w:pPr>
        <w:spacing w:line="360" w:lineRule="auto"/>
        <w:rPr>
          <w:rFonts w:hint="eastAsia" w:ascii="宋体" w:hAnsi="宋体" w:eastAsia="宋体" w:cs="宋体"/>
          <w:b/>
          <w:color w:val="auto"/>
          <w:szCs w:val="21"/>
          <w:highlight w:val="none"/>
        </w:rPr>
      </w:pPr>
      <w:bookmarkStart w:id="114" w:name="_Toc144974505"/>
      <w:bookmarkStart w:id="115" w:name="_Toc152042313"/>
      <w:bookmarkStart w:id="116" w:name="_Toc179632554"/>
      <w:bookmarkStart w:id="117" w:name="_Toc296602427"/>
      <w:bookmarkStart w:id="118" w:name="_Toc246996925"/>
      <w:bookmarkStart w:id="119" w:name="_Toc247085696"/>
      <w:bookmarkStart w:id="120" w:name="_Toc152045537"/>
      <w:bookmarkStart w:id="121" w:name="_Toc246996182"/>
      <w:r>
        <w:rPr>
          <w:rFonts w:hint="eastAsia" w:ascii="宋体" w:hAnsi="宋体" w:eastAsia="宋体" w:cs="宋体"/>
          <w:b/>
          <w:color w:val="auto"/>
          <w:szCs w:val="21"/>
          <w:highlight w:val="none"/>
        </w:rPr>
        <w:t>1.7语言</w:t>
      </w:r>
      <w:bookmarkEnd w:id="114"/>
      <w:r>
        <w:rPr>
          <w:rFonts w:hint="eastAsia" w:ascii="宋体" w:hAnsi="宋体" w:eastAsia="宋体" w:cs="宋体"/>
          <w:b/>
          <w:color w:val="auto"/>
          <w:szCs w:val="21"/>
          <w:highlight w:val="none"/>
        </w:rPr>
        <w:t>文字</w:t>
      </w:r>
      <w:bookmarkEnd w:id="115"/>
      <w:bookmarkEnd w:id="116"/>
      <w:bookmarkEnd w:id="117"/>
      <w:bookmarkEnd w:id="118"/>
      <w:bookmarkEnd w:id="119"/>
      <w:bookmarkEnd w:id="120"/>
      <w:bookmarkEnd w:id="121"/>
    </w:p>
    <w:p w14:paraId="3480195F">
      <w:pPr>
        <w:spacing w:line="360" w:lineRule="auto"/>
        <w:ind w:firstLine="420" w:firstLineChars="200"/>
        <w:rPr>
          <w:rFonts w:hint="eastAsia" w:ascii="宋体" w:hAnsi="宋体" w:eastAsia="宋体" w:cs="宋体"/>
          <w:color w:val="auto"/>
          <w:szCs w:val="21"/>
          <w:highlight w:val="none"/>
        </w:rPr>
      </w:pPr>
      <w:bookmarkStart w:id="122" w:name="_Toc152042314"/>
      <w:bookmarkStart w:id="123" w:name="_Toc246996926"/>
      <w:bookmarkStart w:id="124" w:name="_Toc152045538"/>
      <w:bookmarkStart w:id="125" w:name="_Toc179632555"/>
      <w:bookmarkStart w:id="126" w:name="_Toc144974506"/>
      <w:bookmarkStart w:id="127" w:name="_Toc247085697"/>
      <w:bookmarkStart w:id="128" w:name="_Toc246996183"/>
      <w:r>
        <w:rPr>
          <w:rFonts w:hint="eastAsia" w:ascii="宋体" w:hAnsi="宋体" w:eastAsia="宋体" w:cs="宋体"/>
          <w:color w:val="auto"/>
          <w:szCs w:val="21"/>
          <w:highlight w:val="none"/>
        </w:rPr>
        <w:t>磋商、响应性文件使用的语言文字为中文。专用术语使用外文的，应附有中文注释。</w:t>
      </w:r>
    </w:p>
    <w:p w14:paraId="315A2B21">
      <w:pPr>
        <w:spacing w:line="360" w:lineRule="auto"/>
        <w:rPr>
          <w:rFonts w:hint="eastAsia" w:ascii="宋体" w:hAnsi="宋体" w:eastAsia="宋体" w:cs="宋体"/>
          <w:b/>
          <w:color w:val="auto"/>
          <w:szCs w:val="21"/>
          <w:highlight w:val="none"/>
        </w:rPr>
      </w:pPr>
      <w:bookmarkStart w:id="129" w:name="_Toc296602428"/>
      <w:r>
        <w:rPr>
          <w:rFonts w:hint="eastAsia" w:ascii="宋体" w:hAnsi="宋体" w:eastAsia="宋体" w:cs="宋体"/>
          <w:b/>
          <w:color w:val="auto"/>
          <w:szCs w:val="21"/>
          <w:highlight w:val="none"/>
        </w:rPr>
        <w:t>1.8计量单位</w:t>
      </w:r>
      <w:bookmarkEnd w:id="122"/>
      <w:bookmarkEnd w:id="123"/>
      <w:bookmarkEnd w:id="124"/>
      <w:bookmarkEnd w:id="125"/>
      <w:bookmarkEnd w:id="126"/>
      <w:bookmarkEnd w:id="127"/>
      <w:bookmarkEnd w:id="128"/>
      <w:bookmarkEnd w:id="129"/>
    </w:p>
    <w:p w14:paraId="6B354D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76F4CADD">
      <w:pPr>
        <w:spacing w:line="360" w:lineRule="auto"/>
        <w:rPr>
          <w:rFonts w:hint="eastAsia" w:ascii="宋体" w:hAnsi="宋体" w:eastAsia="宋体" w:cs="宋体"/>
          <w:b/>
          <w:color w:val="auto"/>
          <w:szCs w:val="21"/>
          <w:highlight w:val="none"/>
        </w:rPr>
      </w:pPr>
      <w:bookmarkStart w:id="130" w:name="_Toc247513962"/>
      <w:bookmarkStart w:id="131" w:name="_Toc144974507"/>
      <w:bookmarkStart w:id="132" w:name="_Toc247592876"/>
      <w:bookmarkStart w:id="133" w:name="_Toc296602429"/>
      <w:bookmarkStart w:id="134" w:name="_Toc247527563"/>
      <w:bookmarkStart w:id="135" w:name="_Toc152042315"/>
      <w:bookmarkStart w:id="136" w:name="_Toc152045539"/>
      <w:r>
        <w:rPr>
          <w:rFonts w:hint="eastAsia" w:ascii="宋体" w:hAnsi="宋体" w:eastAsia="宋体" w:cs="宋体"/>
          <w:b/>
          <w:color w:val="auto"/>
          <w:szCs w:val="21"/>
          <w:highlight w:val="none"/>
        </w:rPr>
        <w:t>1.9踏勘现场</w:t>
      </w:r>
      <w:bookmarkEnd w:id="130"/>
      <w:bookmarkEnd w:id="131"/>
      <w:bookmarkEnd w:id="132"/>
      <w:bookmarkEnd w:id="133"/>
      <w:bookmarkEnd w:id="134"/>
      <w:bookmarkEnd w:id="135"/>
      <w:bookmarkEnd w:id="136"/>
    </w:p>
    <w:p w14:paraId="281773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本次磋商不统一踏勘现场，供应商领取磋商文件后需自行踏勘现场，自行负责在踏勘现场中所发生的人员伤亡和财产损失，自行踏勘现场以获得编制磋商响应文件和报价所需资料，如因不了解现场条件而产生的磋商响应文件编制及报价偏差由供应商自行承担。</w:t>
      </w:r>
    </w:p>
    <w:p w14:paraId="26C622E3">
      <w:pPr>
        <w:spacing w:line="360" w:lineRule="auto"/>
        <w:rPr>
          <w:rFonts w:hint="eastAsia" w:ascii="宋体" w:hAnsi="宋体" w:eastAsia="宋体" w:cs="宋体"/>
          <w:b/>
          <w:color w:val="auto"/>
          <w:szCs w:val="21"/>
          <w:highlight w:val="none"/>
        </w:rPr>
      </w:pPr>
      <w:bookmarkStart w:id="137" w:name="_Toc144974508"/>
      <w:bookmarkStart w:id="138" w:name="_Toc247513963"/>
      <w:bookmarkStart w:id="139" w:name="_Toc152042316"/>
      <w:bookmarkStart w:id="140" w:name="_Toc247592877"/>
      <w:bookmarkStart w:id="141" w:name="_Toc296602430"/>
      <w:bookmarkStart w:id="142" w:name="_Toc247527564"/>
      <w:bookmarkStart w:id="143" w:name="_Toc152045540"/>
      <w:r>
        <w:rPr>
          <w:rFonts w:hint="eastAsia" w:ascii="宋体" w:hAnsi="宋体" w:eastAsia="宋体" w:cs="宋体"/>
          <w:b/>
          <w:color w:val="auto"/>
          <w:szCs w:val="21"/>
          <w:highlight w:val="none"/>
        </w:rPr>
        <w:t>1.10磋商预备会</w:t>
      </w:r>
      <w:bookmarkEnd w:id="137"/>
      <w:bookmarkEnd w:id="138"/>
      <w:bookmarkEnd w:id="139"/>
      <w:bookmarkEnd w:id="140"/>
      <w:bookmarkEnd w:id="141"/>
      <w:bookmarkEnd w:id="142"/>
      <w:bookmarkEnd w:id="143"/>
    </w:p>
    <w:p w14:paraId="1A351A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1.10.1响应人须知前附表规定召开投标预备会的，采购人按响应人须知前附表规定的时间和地点召开投标预备会，澄清响应人提出的问题。</w:t>
      </w:r>
    </w:p>
    <w:p w14:paraId="023D2D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1.10.2响应人应在响应人须知前附表规定的时间前，以书面形式将提出的问题送达采购人，以便采购人在会议期间澄清。</w:t>
      </w:r>
    </w:p>
    <w:p w14:paraId="00157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1.10.3投标预备会后，采购人在响应人须知前附表规定的时间内，将对响应人所提问题的澄清，以书面形式通知所有购买磋商文件的响应人。该澄清内容为磋商文件的组成部分。</w:t>
      </w:r>
    </w:p>
    <w:p w14:paraId="52F4A3D1">
      <w:pPr>
        <w:pStyle w:val="3"/>
        <w:spacing w:line="360" w:lineRule="auto"/>
        <w:rPr>
          <w:rFonts w:hint="eastAsia" w:ascii="宋体" w:hAnsi="宋体" w:eastAsia="宋体" w:cs="宋体"/>
          <w:color w:val="auto"/>
          <w:sz w:val="21"/>
          <w:szCs w:val="21"/>
          <w:highlight w:val="none"/>
        </w:rPr>
      </w:pPr>
      <w:bookmarkStart w:id="144" w:name="_Toc11738"/>
      <w:bookmarkStart w:id="145" w:name="_Toc5208"/>
      <w:bookmarkStart w:id="146" w:name="_Toc30379"/>
      <w:bookmarkStart w:id="147" w:name="_Toc29240"/>
      <w:r>
        <w:rPr>
          <w:rFonts w:hint="eastAsia" w:ascii="宋体" w:hAnsi="宋体" w:eastAsia="宋体" w:cs="宋体"/>
          <w:color w:val="auto"/>
          <w:sz w:val="21"/>
          <w:szCs w:val="21"/>
          <w:highlight w:val="none"/>
        </w:rPr>
        <w:t>2.</w:t>
      </w:r>
      <w:bookmarkStart w:id="148" w:name="_Toc152042319"/>
      <w:bookmarkStart w:id="149" w:name="_Toc246996931"/>
      <w:bookmarkStart w:id="150" w:name="_Toc179632561"/>
      <w:bookmarkStart w:id="151" w:name="_Toc152045543"/>
      <w:bookmarkStart w:id="152" w:name="_Toc246996188"/>
      <w:bookmarkStart w:id="153" w:name="_Toc247085702"/>
      <w:bookmarkStart w:id="154" w:name="_Toc144974511"/>
      <w:bookmarkStart w:id="155" w:name="_Toc296602433"/>
      <w:r>
        <w:rPr>
          <w:rFonts w:hint="eastAsia" w:ascii="宋体" w:hAnsi="宋体" w:eastAsia="宋体" w:cs="宋体"/>
          <w:color w:val="auto"/>
          <w:sz w:val="21"/>
          <w:szCs w:val="21"/>
          <w:highlight w:val="none"/>
        </w:rPr>
        <w:t>磋商文件</w:t>
      </w:r>
      <w:bookmarkEnd w:id="144"/>
      <w:bookmarkEnd w:id="145"/>
      <w:bookmarkEnd w:id="146"/>
      <w:bookmarkEnd w:id="147"/>
    </w:p>
    <w:p w14:paraId="0E3D6469">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2.1磋商文件的组成</w:t>
      </w:r>
      <w:bookmarkEnd w:id="148"/>
      <w:bookmarkEnd w:id="149"/>
      <w:bookmarkEnd w:id="150"/>
      <w:bookmarkEnd w:id="151"/>
      <w:bookmarkEnd w:id="152"/>
      <w:bookmarkEnd w:id="153"/>
      <w:bookmarkEnd w:id="154"/>
      <w:bookmarkEnd w:id="155"/>
    </w:p>
    <w:p w14:paraId="6441D0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2.1.1本磋商文件包括：</w:t>
      </w:r>
    </w:p>
    <w:p w14:paraId="4BF185C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（1）磋商公告；</w:t>
      </w:r>
    </w:p>
    <w:p w14:paraId="0BA6EA9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（2）响应人须知；</w:t>
      </w:r>
    </w:p>
    <w:p w14:paraId="1D821931">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（3）磋商办法；</w:t>
      </w:r>
    </w:p>
    <w:p w14:paraId="230D361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14:paraId="4CE08FD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（5）工程量清单；</w:t>
      </w:r>
    </w:p>
    <w:p w14:paraId="5DFAADC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（6）图纸（如有）</w:t>
      </w:r>
    </w:p>
    <w:p w14:paraId="74EA7FF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（7）技术标准及要求</w:t>
      </w:r>
    </w:p>
    <w:p w14:paraId="633D0A0A">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（8）响应性文件格式；</w:t>
      </w:r>
    </w:p>
    <w:p w14:paraId="03D40B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2.1.2根据本章第1.10款、第2.2款和第2.3款对磋商文件所作的澄清、修改，构成磋商文件的组成部分。</w:t>
      </w:r>
    </w:p>
    <w:p w14:paraId="78D820A2">
      <w:pPr>
        <w:spacing w:line="360" w:lineRule="auto"/>
        <w:rPr>
          <w:rFonts w:hint="eastAsia" w:ascii="宋体" w:hAnsi="宋体" w:eastAsia="宋体" w:cs="宋体"/>
          <w:b/>
          <w:color w:val="auto"/>
          <w:szCs w:val="21"/>
          <w:highlight w:val="none"/>
        </w:rPr>
      </w:pPr>
      <w:bookmarkStart w:id="156" w:name="_Toc247085703"/>
      <w:bookmarkStart w:id="157" w:name="_Toc152042320"/>
      <w:bookmarkStart w:id="158" w:name="_Toc179632562"/>
      <w:bookmarkStart w:id="159" w:name="_Toc246996932"/>
      <w:bookmarkStart w:id="160" w:name="_Toc246996189"/>
      <w:bookmarkStart w:id="161" w:name="_Toc144974512"/>
      <w:bookmarkStart w:id="162" w:name="_Toc152045544"/>
      <w:bookmarkStart w:id="163" w:name="_Toc296602434"/>
      <w:r>
        <w:rPr>
          <w:rFonts w:hint="eastAsia" w:ascii="宋体" w:hAnsi="宋体" w:eastAsia="宋体" w:cs="宋体"/>
          <w:b/>
          <w:color w:val="auto"/>
          <w:szCs w:val="21"/>
          <w:highlight w:val="none"/>
        </w:rPr>
        <w:t>2.2磋商文件的澄清</w:t>
      </w:r>
      <w:bookmarkEnd w:id="156"/>
      <w:bookmarkEnd w:id="157"/>
      <w:bookmarkEnd w:id="158"/>
      <w:bookmarkEnd w:id="159"/>
      <w:bookmarkEnd w:id="160"/>
      <w:bookmarkEnd w:id="161"/>
      <w:bookmarkEnd w:id="162"/>
      <w:bookmarkEnd w:id="163"/>
    </w:p>
    <w:p w14:paraId="1668D0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供应商应仔细阅读和检查招标文件的全部内容。如发现缺页或附件不全，应及时向采购人提出，以便补齐。如有疑问，应在供应商须知前附表规定的时间前在河南省公共资源交易中心交易平台上进行提问，要求采购人对磋商文件予以澄清，否则由此引起的任何后果均由供应商自己承担，采购人与采购采购代理机构均不承担任何责任。</w:t>
      </w:r>
    </w:p>
    <w:p w14:paraId="4E195C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磋商文件的澄清或答疑将在供应商须知前附表规定的时间前在交易平台上发给所领取磋商文件的供应商，但不指明澄清或答疑问题的来源。如果澄清发出的时间距响应文件递交截止时间不足的，相应延长响应文件递交截止时间。</w:t>
      </w:r>
    </w:p>
    <w:p w14:paraId="3DFB9F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通过河南省公共资源交易平台发出的澄清、补充等文件视所有领取磋商文件的供应商均确认收到。（供应商在递交响应文件截止时间前须有专人关注该交易系统关于本项目的一切信息，否则由此引起的任何后果均由供应商自己承担，采购人与采购采购代理机构均不承担任何责任）</w:t>
      </w:r>
    </w:p>
    <w:p w14:paraId="792502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2.2.4因交易中心平台在开标前具有保密性，供应商在磋商文件递交截止时间前须自行查看项目进展、通知及回复，因供应商未及时查看而造成的后果自负。</w:t>
      </w:r>
    </w:p>
    <w:p w14:paraId="1BD407CD">
      <w:pPr>
        <w:spacing w:line="360" w:lineRule="auto"/>
        <w:rPr>
          <w:rFonts w:hint="eastAsia" w:ascii="宋体" w:hAnsi="宋体" w:eastAsia="宋体" w:cs="宋体"/>
          <w:b/>
          <w:color w:val="auto"/>
          <w:szCs w:val="21"/>
          <w:highlight w:val="none"/>
        </w:rPr>
      </w:pPr>
      <w:bookmarkStart w:id="164" w:name="_Toc246996933"/>
      <w:bookmarkStart w:id="165" w:name="_Toc152042321"/>
      <w:bookmarkStart w:id="166" w:name="_Toc144974513"/>
      <w:bookmarkStart w:id="167" w:name="_Toc152045545"/>
      <w:bookmarkStart w:id="168" w:name="_Toc179632563"/>
      <w:bookmarkStart w:id="169" w:name="_Toc246996190"/>
      <w:bookmarkStart w:id="170" w:name="_Toc296602435"/>
      <w:bookmarkStart w:id="171" w:name="_Toc247085704"/>
      <w:r>
        <w:rPr>
          <w:rFonts w:hint="eastAsia" w:ascii="宋体" w:hAnsi="宋体" w:eastAsia="宋体" w:cs="宋体"/>
          <w:b/>
          <w:color w:val="auto"/>
          <w:szCs w:val="21"/>
          <w:highlight w:val="none"/>
        </w:rPr>
        <w:t>2.3磋商文件的修改</w:t>
      </w:r>
      <w:bookmarkEnd w:id="164"/>
      <w:bookmarkEnd w:id="165"/>
      <w:bookmarkEnd w:id="166"/>
      <w:bookmarkEnd w:id="167"/>
      <w:bookmarkEnd w:id="168"/>
      <w:bookmarkEnd w:id="169"/>
      <w:bookmarkEnd w:id="170"/>
      <w:bookmarkEnd w:id="171"/>
    </w:p>
    <w:p w14:paraId="303BFF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在响应文件递交截止时间5日前，采购人可以修改磋商文件。如有修改，应在河南省公共资源交易网（www.hnggzy.net）系统内部将以“答疑文件”告知供应商，对于各项目中已经成功下载磋商文件的项目供应商，同时以短信推送的形式群发消息通知。</w:t>
      </w:r>
    </w:p>
    <w:p w14:paraId="08D68A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2.3.2当磋商文件补充（答疑）文件内容相矛盾时，以最后发出的文件为准。</w:t>
      </w:r>
    </w:p>
    <w:p w14:paraId="29897B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2.3.3招标过程中产生的修改文件或补充文件与原磋商文件一样均具有同等的法律效力。</w:t>
      </w:r>
    </w:p>
    <w:p w14:paraId="1A557EAE">
      <w:pPr>
        <w:pStyle w:val="3"/>
        <w:spacing w:line="360" w:lineRule="auto"/>
        <w:rPr>
          <w:rFonts w:hint="eastAsia" w:ascii="宋体" w:hAnsi="宋体" w:eastAsia="宋体" w:cs="宋体"/>
          <w:color w:val="auto"/>
          <w:sz w:val="21"/>
          <w:szCs w:val="21"/>
          <w:highlight w:val="none"/>
        </w:rPr>
      </w:pPr>
      <w:bookmarkStart w:id="172" w:name="_Toc28441"/>
      <w:bookmarkStart w:id="173" w:name="_Toc179632564"/>
      <w:bookmarkStart w:id="174" w:name="_Toc246996191"/>
      <w:bookmarkStart w:id="175" w:name="_Toc152042322"/>
      <w:bookmarkStart w:id="176" w:name="_Toc24245"/>
      <w:bookmarkStart w:id="177" w:name="_Toc246996934"/>
      <w:bookmarkStart w:id="178" w:name="_Toc152045546"/>
      <w:bookmarkStart w:id="179" w:name="_Toc6201"/>
      <w:bookmarkStart w:id="180" w:name="_Toc15424"/>
      <w:bookmarkStart w:id="181" w:name="_Toc1272"/>
      <w:bookmarkStart w:id="182" w:name="_Toc247085705"/>
      <w:bookmarkStart w:id="183" w:name="_Toc144974514"/>
      <w:bookmarkStart w:id="184" w:name="_Toc26334"/>
      <w:bookmarkStart w:id="185" w:name="_Toc2908"/>
      <w:r>
        <w:rPr>
          <w:rFonts w:hint="eastAsia" w:ascii="宋体" w:hAnsi="宋体" w:eastAsia="宋体" w:cs="宋体"/>
          <w:color w:val="auto"/>
          <w:sz w:val="21"/>
          <w:szCs w:val="21"/>
          <w:highlight w:val="none"/>
        </w:rPr>
        <w:t>3.响应性文件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CE9A45D">
      <w:pPr>
        <w:spacing w:line="360" w:lineRule="auto"/>
        <w:rPr>
          <w:rFonts w:hint="eastAsia" w:ascii="宋体" w:hAnsi="宋体" w:eastAsia="宋体" w:cs="宋体"/>
          <w:b/>
          <w:color w:val="auto"/>
          <w:szCs w:val="21"/>
          <w:highlight w:val="none"/>
        </w:rPr>
      </w:pPr>
      <w:bookmarkStart w:id="186" w:name="_Toc296602437"/>
      <w:bookmarkStart w:id="187" w:name="_Toc247085706"/>
      <w:bookmarkStart w:id="188" w:name="_Toc246996192"/>
      <w:bookmarkStart w:id="189" w:name="_Toc246996935"/>
      <w:bookmarkStart w:id="190" w:name="_Toc152045547"/>
      <w:bookmarkStart w:id="191" w:name="_Toc152042323"/>
      <w:bookmarkStart w:id="192" w:name="_Toc144974515"/>
      <w:bookmarkStart w:id="193" w:name="_Toc179632565"/>
      <w:r>
        <w:rPr>
          <w:rFonts w:hint="eastAsia" w:ascii="宋体" w:hAnsi="宋体" w:eastAsia="宋体" w:cs="宋体"/>
          <w:b/>
          <w:color w:val="auto"/>
          <w:szCs w:val="21"/>
          <w:highlight w:val="none"/>
        </w:rPr>
        <w:t>3.1响应性文件的组成</w:t>
      </w:r>
      <w:bookmarkEnd w:id="186"/>
      <w:bookmarkEnd w:id="187"/>
      <w:bookmarkEnd w:id="188"/>
      <w:bookmarkEnd w:id="189"/>
      <w:bookmarkEnd w:id="190"/>
      <w:bookmarkEnd w:id="191"/>
      <w:bookmarkEnd w:id="192"/>
      <w:bookmarkEnd w:id="193"/>
      <w:r>
        <w:rPr>
          <w:rFonts w:hint="eastAsia" w:ascii="宋体" w:hAnsi="宋体" w:eastAsia="宋体" w:cs="宋体"/>
          <w:b/>
          <w:color w:val="auto"/>
          <w:szCs w:val="21"/>
          <w:highlight w:val="none"/>
        </w:rPr>
        <w:t>：以磋商文件格式为准</w:t>
      </w:r>
    </w:p>
    <w:p w14:paraId="0A5364B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3.2磋商报价</w:t>
      </w:r>
    </w:p>
    <w:p w14:paraId="3C4CA8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3.2.1响应人应按第五章“工程量清单”的要求填写相应表格。</w:t>
      </w:r>
    </w:p>
    <w:p w14:paraId="63E97B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3.2.2响应人在投标截止时间前修改投标函中的磋商报价总额，应同时修改“已标价工程量清单”中的相应报价，磋商报价总额为各分项金额之和。此修改须符合本章第4.3款的有关要求。</w:t>
      </w:r>
      <w:bookmarkStart w:id="194" w:name="_Toc152042325"/>
      <w:bookmarkStart w:id="195" w:name="_Toc144974517"/>
      <w:bookmarkStart w:id="196" w:name="_Toc152045549"/>
      <w:bookmarkStart w:id="197" w:name="_Toc179632567"/>
    </w:p>
    <w:p w14:paraId="0F24D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3.2.3采购人设有最高限价的，响应人的磋商报价不得超过最高限价，最高限价在响应人须知前附表中载明。</w:t>
      </w:r>
    </w:p>
    <w:p w14:paraId="12BF0A61">
      <w:pPr>
        <w:spacing w:line="360" w:lineRule="auto"/>
        <w:rPr>
          <w:rFonts w:hint="eastAsia" w:ascii="宋体" w:hAnsi="宋体" w:eastAsia="宋体" w:cs="宋体"/>
          <w:b/>
          <w:color w:val="auto"/>
          <w:szCs w:val="21"/>
          <w:highlight w:val="none"/>
        </w:rPr>
      </w:pPr>
      <w:bookmarkStart w:id="198" w:name="_Toc246996194"/>
      <w:bookmarkStart w:id="199" w:name="_Toc296602439"/>
      <w:bookmarkStart w:id="200" w:name="_Toc247085708"/>
      <w:bookmarkStart w:id="201" w:name="_Toc246996937"/>
      <w:r>
        <w:rPr>
          <w:rFonts w:hint="eastAsia" w:ascii="宋体" w:hAnsi="宋体" w:eastAsia="宋体" w:cs="宋体"/>
          <w:b/>
          <w:color w:val="auto"/>
          <w:szCs w:val="21"/>
          <w:highlight w:val="none"/>
        </w:rPr>
        <w:t>3.3磋商有效期</w:t>
      </w:r>
      <w:bookmarkEnd w:id="194"/>
      <w:bookmarkEnd w:id="195"/>
      <w:bookmarkEnd w:id="196"/>
      <w:bookmarkEnd w:id="197"/>
      <w:bookmarkEnd w:id="198"/>
      <w:bookmarkEnd w:id="199"/>
      <w:bookmarkEnd w:id="200"/>
      <w:bookmarkEnd w:id="201"/>
    </w:p>
    <w:p w14:paraId="45FDF6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3.3.1磋商有效期为60天。</w:t>
      </w:r>
    </w:p>
    <w:p w14:paraId="3ADC7B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3.3.2在磋商有效期内，响应人撤销或修改其响应性文件的，应承担磋商文件和法律规定的责任。</w:t>
      </w:r>
    </w:p>
    <w:p w14:paraId="377C67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3.3.3出现特殊情况需要延长磋商有效期的，采购人以书面形式通知所有响应人延长磋商有效期。</w:t>
      </w:r>
    </w:p>
    <w:p w14:paraId="3A90ECD8">
      <w:pPr>
        <w:spacing w:line="360" w:lineRule="auto"/>
        <w:rPr>
          <w:rFonts w:hint="eastAsia" w:ascii="宋体" w:hAnsi="宋体" w:eastAsia="宋体" w:cs="宋体"/>
          <w:b/>
          <w:color w:val="auto"/>
          <w:szCs w:val="21"/>
          <w:highlight w:val="none"/>
        </w:rPr>
      </w:pPr>
      <w:bookmarkStart w:id="202" w:name="_Toc144974518"/>
      <w:bookmarkStart w:id="203" w:name="_Toc152045550"/>
      <w:bookmarkStart w:id="204" w:name="_Toc247085709"/>
      <w:bookmarkStart w:id="205" w:name="_Toc246996195"/>
      <w:bookmarkStart w:id="206" w:name="_Toc179632568"/>
      <w:bookmarkStart w:id="207" w:name="_Toc246996938"/>
      <w:bookmarkStart w:id="208" w:name="_Toc296602440"/>
      <w:bookmarkStart w:id="209" w:name="_Toc152042326"/>
      <w:r>
        <w:rPr>
          <w:rFonts w:hint="eastAsia" w:ascii="宋体" w:hAnsi="宋体" w:eastAsia="宋体" w:cs="宋体"/>
          <w:b/>
          <w:color w:val="auto"/>
          <w:szCs w:val="21"/>
          <w:highlight w:val="none"/>
        </w:rPr>
        <w:t>3.4磋商保证金</w:t>
      </w:r>
      <w:bookmarkEnd w:id="202"/>
      <w:bookmarkEnd w:id="203"/>
      <w:bookmarkEnd w:id="204"/>
      <w:bookmarkEnd w:id="205"/>
      <w:bookmarkEnd w:id="206"/>
      <w:bookmarkEnd w:id="207"/>
      <w:bookmarkEnd w:id="208"/>
      <w:bookmarkEnd w:id="209"/>
      <w:r>
        <w:rPr>
          <w:rFonts w:hint="eastAsia" w:ascii="宋体" w:hAnsi="宋体" w:eastAsia="宋体" w:cs="宋体"/>
          <w:b/>
          <w:color w:val="auto"/>
          <w:szCs w:val="21"/>
          <w:highlight w:val="none"/>
        </w:rPr>
        <w:t>（不要求）</w:t>
      </w:r>
    </w:p>
    <w:p w14:paraId="64DAECF6">
      <w:pPr>
        <w:spacing w:line="360" w:lineRule="auto"/>
        <w:rPr>
          <w:rFonts w:hint="eastAsia" w:ascii="宋体" w:hAnsi="宋体" w:eastAsia="宋体" w:cs="宋体"/>
          <w:b/>
          <w:color w:val="auto"/>
          <w:szCs w:val="21"/>
          <w:highlight w:val="none"/>
        </w:rPr>
      </w:pPr>
      <w:bookmarkStart w:id="210" w:name="_Toc152042328"/>
      <w:bookmarkStart w:id="211" w:name="_Toc246996939"/>
      <w:bookmarkStart w:id="212" w:name="_Toc247085710"/>
      <w:bookmarkStart w:id="213" w:name="_Toc179632570"/>
      <w:bookmarkStart w:id="214" w:name="_Toc152045552"/>
      <w:bookmarkStart w:id="215" w:name="_Toc246996196"/>
      <w:bookmarkStart w:id="216" w:name="_Toc296602441"/>
      <w:bookmarkStart w:id="217" w:name="_Toc144974520"/>
      <w:r>
        <w:rPr>
          <w:rFonts w:hint="eastAsia" w:ascii="宋体" w:hAnsi="宋体" w:eastAsia="宋体" w:cs="宋体"/>
          <w:b/>
          <w:color w:val="auto"/>
          <w:szCs w:val="21"/>
          <w:highlight w:val="none"/>
        </w:rPr>
        <w:t>3.5资格审查资料</w:t>
      </w:r>
      <w:bookmarkEnd w:id="210"/>
      <w:bookmarkEnd w:id="211"/>
      <w:bookmarkEnd w:id="212"/>
      <w:bookmarkEnd w:id="213"/>
      <w:bookmarkEnd w:id="214"/>
      <w:bookmarkEnd w:id="215"/>
      <w:bookmarkEnd w:id="216"/>
      <w:bookmarkEnd w:id="217"/>
    </w:p>
    <w:p w14:paraId="3DC19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见“响应人资格要求”。</w:t>
      </w:r>
    </w:p>
    <w:p w14:paraId="4719289E">
      <w:pPr>
        <w:spacing w:line="360" w:lineRule="auto"/>
        <w:rPr>
          <w:rFonts w:hint="eastAsia" w:ascii="宋体" w:hAnsi="宋体" w:eastAsia="宋体" w:cs="宋体"/>
          <w:b/>
          <w:color w:val="auto"/>
          <w:szCs w:val="21"/>
          <w:highlight w:val="none"/>
        </w:rPr>
      </w:pPr>
      <w:bookmarkStart w:id="218" w:name="_Toc296602442"/>
      <w:bookmarkStart w:id="219" w:name="_Toc246996197"/>
      <w:bookmarkStart w:id="220" w:name="_Toc246996940"/>
      <w:bookmarkStart w:id="221" w:name="_Toc247085711"/>
      <w:bookmarkStart w:id="222" w:name="_Toc152045553"/>
      <w:bookmarkStart w:id="223" w:name="_Toc152042329"/>
      <w:bookmarkStart w:id="224" w:name="_Toc179632571"/>
      <w:bookmarkStart w:id="225" w:name="_Toc144974521"/>
      <w:r>
        <w:rPr>
          <w:rFonts w:hint="eastAsia" w:ascii="宋体" w:hAnsi="宋体" w:eastAsia="宋体" w:cs="宋体"/>
          <w:b/>
          <w:color w:val="auto"/>
          <w:szCs w:val="21"/>
          <w:highlight w:val="none"/>
        </w:rPr>
        <w:t>3.6响应性文件的编制</w:t>
      </w:r>
      <w:bookmarkEnd w:id="218"/>
    </w:p>
    <w:p w14:paraId="2B3805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供应商应按本竞争性磋商文件规定的格式和顺序编制响应文件。如有必要，可以增加附页，作为响应文件的组成部分。其中，磋商函附录在满足磋商文件实质性要求的基础上，可以提出比磋商文件要求更有利于采购人的承诺。除了响应文件封面以外，每个页面都要在明显位置编制页码，按流水顺序填写，字迹须清晰可认，响应文件的目录须编序（此条不作为否定磋商投标因素）。响应文件内容不完整、编排混乱导致被误读、漏读或者查找不到相关内容的，由供应商自行负责。</w:t>
      </w:r>
    </w:p>
    <w:p w14:paraId="1F2F1A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3.6.2响应文件应当对磋商文件有关采购内容、合同履行期限、磋商有效期、质量要求、响应范围等实质性内容作出响应。</w:t>
      </w:r>
    </w:p>
    <w:p w14:paraId="6D0689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3.6.3签字盖章要求</w:t>
      </w:r>
    </w:p>
    <w:p w14:paraId="2ECE8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（1）所有要求供应商加盖公章的地方都应用供应商单位的CA印章。</w:t>
      </w:r>
    </w:p>
    <w:p w14:paraId="43CA6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（2）所有要求法定代表人签字的地方都应用法定代表人的CA印章。若有委托代理人，且委托代理人没有CA印章的，则响应文件需上传有手写签名的扫描件。</w:t>
      </w:r>
    </w:p>
    <w:p w14:paraId="46CAF9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3.6.4响应文件份数</w:t>
      </w:r>
    </w:p>
    <w:p w14:paraId="73DDA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加密的电子响应文件壹份（*.hntf格式，在会员系统指定位置上传）</w:t>
      </w:r>
    </w:p>
    <w:p w14:paraId="19E4B9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本项目采用“远程不见面”开标方式，远程开标大厅网址为www.hnggzyjy.cn，供应商无需到河南省公共资源交易中心现场参加开标会议。供应商应当在投标截止时间前，登录远程开标大厅，在线准时参加开标活动并进行文件解密及二次报价等。</w:t>
      </w:r>
    </w:p>
    <w:p w14:paraId="76BA46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3.6.6不见面服务的具体事宜请查阅河南省公共资源交易中心网站“办事指南”专区的《河南省公共资源交易平台不见面服务系统使用指南》。</w:t>
      </w:r>
    </w:p>
    <w:p w14:paraId="631E05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（供应商）编制投标（响应）文件时，涉及营业执照、资质、业绩、获奖、人员、财务、社保、纳税、各类证书等内容，应在市场主体信息库中已登记的信息中选取，并附进响应文件中。</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（供应商）应及时对市场主体信息库的相关内容进行补充、更新。</w:t>
      </w:r>
    </w:p>
    <w:p w14:paraId="11B7F4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3.6.8只有“施工单位”和“供应商”身份类型能从主体信息库中获取资料。若无这两个身份，请尽快添加，并录入信息（需审核通过）和扫描件，制作投标/响应文件时从两个身份获取信息库资料。</w:t>
      </w:r>
    </w:p>
    <w:p w14:paraId="5925ABA2">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3.6.9主体信息库中上传的资料扫描件必须完整、清晰、易辨，如因证件上传问题导致未能给予认定的，供应商自行承担责任。</w:t>
      </w:r>
      <w:bookmarkEnd w:id="219"/>
      <w:bookmarkEnd w:id="220"/>
      <w:bookmarkEnd w:id="221"/>
      <w:bookmarkEnd w:id="222"/>
      <w:bookmarkEnd w:id="223"/>
      <w:bookmarkEnd w:id="224"/>
      <w:bookmarkEnd w:id="225"/>
      <w:bookmarkStart w:id="226" w:name="_Toc246996199"/>
      <w:bookmarkStart w:id="227" w:name="_Toc152045555"/>
      <w:bookmarkStart w:id="228" w:name="_Toc144974523"/>
      <w:bookmarkStart w:id="229" w:name="_Toc247085713"/>
      <w:bookmarkStart w:id="230" w:name="_Toc179632573"/>
      <w:bookmarkStart w:id="231" w:name="_Toc246996942"/>
      <w:bookmarkStart w:id="232" w:name="_Toc152042331"/>
    </w:p>
    <w:p w14:paraId="153653A0">
      <w:pPr>
        <w:pStyle w:val="3"/>
        <w:spacing w:line="360" w:lineRule="auto"/>
        <w:rPr>
          <w:rFonts w:hint="eastAsia" w:ascii="宋体" w:hAnsi="宋体" w:eastAsia="宋体" w:cs="宋体"/>
          <w:color w:val="auto"/>
          <w:sz w:val="21"/>
          <w:szCs w:val="21"/>
          <w:highlight w:val="none"/>
        </w:rPr>
      </w:pPr>
      <w:bookmarkStart w:id="233" w:name="_Toc20222"/>
      <w:bookmarkStart w:id="234" w:name="_Toc29291"/>
      <w:bookmarkStart w:id="235" w:name="_Toc584"/>
      <w:bookmarkStart w:id="236" w:name="_Toc27978"/>
      <w:bookmarkStart w:id="237" w:name="_Toc3087"/>
      <w:bookmarkStart w:id="238" w:name="_Toc5902"/>
      <w:bookmarkStart w:id="239" w:name="_Toc5792"/>
      <w:r>
        <w:rPr>
          <w:rFonts w:hint="eastAsia" w:ascii="宋体" w:hAnsi="宋体" w:eastAsia="宋体" w:cs="宋体"/>
          <w:color w:val="auto"/>
          <w:sz w:val="21"/>
          <w:szCs w:val="21"/>
          <w:highlight w:val="none"/>
        </w:rPr>
        <w:t>4.投标</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032D892">
      <w:pPr>
        <w:spacing w:line="360" w:lineRule="auto"/>
        <w:rPr>
          <w:rFonts w:hint="eastAsia" w:ascii="宋体" w:hAnsi="宋体" w:eastAsia="宋体" w:cs="宋体"/>
          <w:b/>
          <w:color w:val="auto"/>
          <w:szCs w:val="21"/>
          <w:highlight w:val="none"/>
        </w:rPr>
      </w:pPr>
      <w:bookmarkStart w:id="240" w:name="_Toc246996943"/>
      <w:bookmarkStart w:id="241" w:name="_Toc246996200"/>
      <w:bookmarkStart w:id="242" w:name="_Toc296602444"/>
      <w:bookmarkStart w:id="243" w:name="_Toc152045556"/>
      <w:bookmarkStart w:id="244" w:name="_Toc152042332"/>
      <w:bookmarkStart w:id="245" w:name="_Toc247085714"/>
      <w:bookmarkStart w:id="246" w:name="_Toc179632574"/>
      <w:bookmarkStart w:id="247" w:name="_Toc144974524"/>
      <w:r>
        <w:rPr>
          <w:rFonts w:hint="eastAsia" w:ascii="宋体" w:hAnsi="宋体" w:eastAsia="宋体" w:cs="宋体"/>
          <w:b/>
          <w:color w:val="auto"/>
          <w:szCs w:val="21"/>
          <w:highlight w:val="none"/>
        </w:rPr>
        <w:t>4.1响应性文件的密封和标记</w:t>
      </w:r>
      <w:bookmarkEnd w:id="240"/>
      <w:bookmarkEnd w:id="241"/>
      <w:bookmarkEnd w:id="242"/>
      <w:bookmarkEnd w:id="243"/>
      <w:bookmarkEnd w:id="244"/>
      <w:bookmarkEnd w:id="245"/>
      <w:bookmarkEnd w:id="246"/>
      <w:bookmarkEnd w:id="247"/>
    </w:p>
    <w:p w14:paraId="19AB42C4">
      <w:pPr>
        <w:spacing w:line="360" w:lineRule="auto"/>
        <w:ind w:firstLine="420" w:firstLineChars="200"/>
        <w:rPr>
          <w:rFonts w:hint="eastAsia" w:ascii="宋体" w:hAnsi="宋体" w:eastAsia="宋体" w:cs="宋体"/>
          <w:color w:val="auto"/>
          <w:szCs w:val="21"/>
          <w:highlight w:val="none"/>
        </w:rPr>
      </w:pPr>
      <w:bookmarkStart w:id="248" w:name="_Toc247085715"/>
      <w:bookmarkStart w:id="249" w:name="_Toc246996201"/>
      <w:bookmarkStart w:id="250" w:name="_Toc246996944"/>
      <w:bookmarkStart w:id="251" w:name="_Toc152045557"/>
      <w:bookmarkStart w:id="252" w:name="_Toc152042333"/>
      <w:bookmarkStart w:id="253" w:name="_Toc179632575"/>
      <w:bookmarkStart w:id="254" w:name="_Toc144974525"/>
      <w:r>
        <w:rPr>
          <w:rFonts w:hint="eastAsia" w:ascii="宋体" w:hAnsi="宋体" w:eastAsia="宋体" w:cs="宋体"/>
          <w:color w:val="auto"/>
          <w:szCs w:val="21"/>
          <w:highlight w:val="none"/>
        </w:rPr>
        <w:t>4.1.1本项目采用“远程不见面”开标方式，加密的电子响应文件（*.hntf格式）,应在响应文件截止时间前通过“河南省公共资源交易中心（www.hnggzy.net）”电子交易平台内上传；在磋商截止时间前上传至河南省公共资源交易中心系统。供应商无需递交U盘电子版资料。</w:t>
      </w:r>
    </w:p>
    <w:p w14:paraId="5A2D17FE">
      <w:pPr>
        <w:pStyle w:val="44"/>
        <w:spacing w:line="360" w:lineRule="auto"/>
        <w:rPr>
          <w:rFonts w:hint="eastAsia" w:ascii="宋体" w:hAnsi="宋体" w:eastAsia="宋体" w:cs="宋体"/>
          <w:b/>
          <w:color w:val="auto"/>
          <w:sz w:val="21"/>
          <w:szCs w:val="21"/>
          <w:highlight w:val="none"/>
        </w:rPr>
      </w:pPr>
      <w:bookmarkStart w:id="255" w:name="_Toc296602445"/>
      <w:r>
        <w:rPr>
          <w:rFonts w:hint="eastAsia" w:ascii="宋体" w:hAnsi="宋体" w:eastAsia="宋体" w:cs="宋体"/>
          <w:b/>
          <w:color w:val="auto"/>
          <w:sz w:val="21"/>
          <w:szCs w:val="21"/>
          <w:highlight w:val="none"/>
        </w:rPr>
        <w:t>4.2响应性文件的递交</w:t>
      </w:r>
      <w:bookmarkEnd w:id="248"/>
      <w:bookmarkEnd w:id="249"/>
      <w:bookmarkEnd w:id="250"/>
      <w:bookmarkEnd w:id="251"/>
      <w:bookmarkEnd w:id="252"/>
      <w:bookmarkEnd w:id="253"/>
      <w:bookmarkEnd w:id="254"/>
      <w:bookmarkEnd w:id="255"/>
    </w:p>
    <w:p w14:paraId="0EFE4D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4.2.1加密的电子响应文件（*.hntf格式）,应在响应文件截止时间前通过“河南省公共资源交易中心（www.hnggzy.net）”电子交易平台内上传；在投标截止时间前上传至河南省公共资源交易中心系统。</w:t>
      </w:r>
    </w:p>
    <w:p w14:paraId="4CEA6C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本项目采用“远程不见面”开标方式，远程开标大厅网址为www.hnggzyjy.cn，供应商无需到河南省公共资源交易中心现场参加开标会议。供应商应当在投标截止时间前，登录远程开标大厅，在线准时参加开标活动并进行文件解密及二次报价等。</w:t>
      </w:r>
    </w:p>
    <w:p w14:paraId="5863B9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4.2.3不见面服务的具体事宜请查阅河南省公共资源交易中心网站“办事指南”专区的《河南省公共资源交易平台不见面服务系统使用指南》。</w:t>
      </w:r>
    </w:p>
    <w:p w14:paraId="04D4B37A">
      <w:pPr>
        <w:spacing w:line="360" w:lineRule="auto"/>
        <w:rPr>
          <w:rFonts w:hint="eastAsia" w:ascii="宋体" w:hAnsi="宋体" w:eastAsia="宋体" w:cs="宋体"/>
          <w:b/>
          <w:color w:val="auto"/>
          <w:szCs w:val="21"/>
          <w:highlight w:val="none"/>
        </w:rPr>
      </w:pPr>
      <w:bookmarkStart w:id="256" w:name="_Toc179632576"/>
      <w:bookmarkStart w:id="257" w:name="_Toc144974526"/>
      <w:bookmarkStart w:id="258" w:name="_Toc246996202"/>
      <w:bookmarkStart w:id="259" w:name="_Toc247085716"/>
      <w:bookmarkStart w:id="260" w:name="_Toc152045558"/>
      <w:bookmarkStart w:id="261" w:name="_Toc296602446"/>
      <w:bookmarkStart w:id="262" w:name="_Toc152042334"/>
      <w:bookmarkStart w:id="263" w:name="_Toc246996945"/>
      <w:r>
        <w:rPr>
          <w:rFonts w:hint="eastAsia" w:ascii="宋体" w:hAnsi="宋体" w:eastAsia="宋体" w:cs="宋体"/>
          <w:b/>
          <w:color w:val="auto"/>
          <w:szCs w:val="21"/>
          <w:highlight w:val="none"/>
        </w:rPr>
        <w:t>4.3响应性文件的修改与撤回</w:t>
      </w:r>
      <w:bookmarkEnd w:id="256"/>
      <w:bookmarkEnd w:id="257"/>
      <w:bookmarkEnd w:id="258"/>
      <w:bookmarkEnd w:id="259"/>
      <w:bookmarkEnd w:id="260"/>
      <w:bookmarkEnd w:id="261"/>
      <w:bookmarkEnd w:id="262"/>
      <w:bookmarkEnd w:id="263"/>
    </w:p>
    <w:p w14:paraId="6EF5F0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4.3.1在本章第2.2.2项规定的投标截止时间前，供应商在河南省公共资源交易中心系统内撤回已上传的投标文件。</w:t>
      </w:r>
    </w:p>
    <w:p w14:paraId="6C29FC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4.3.2供应商有下列情形之一的，采购人将拒绝接受其响应文件：</w:t>
      </w:r>
    </w:p>
    <w:p w14:paraId="21CAE9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（1）在竞争性磋商文件规定的递交竞争性磋商文件截止时间之后递交竞争性磋商文件的。</w:t>
      </w:r>
    </w:p>
    <w:p w14:paraId="005C19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（2）响应文件未按竞争性磋商文件规定上传解密、密封的。</w:t>
      </w:r>
    </w:p>
    <w:p w14:paraId="684751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（3）未按规定方式取得竞争性磋商文件参加磋商的。</w:t>
      </w:r>
    </w:p>
    <w:p w14:paraId="13069207">
      <w:pPr>
        <w:pStyle w:val="3"/>
        <w:spacing w:line="360" w:lineRule="auto"/>
        <w:rPr>
          <w:rFonts w:hint="eastAsia" w:ascii="宋体" w:hAnsi="宋体" w:eastAsia="宋体" w:cs="宋体"/>
          <w:color w:val="auto"/>
          <w:sz w:val="21"/>
          <w:szCs w:val="21"/>
          <w:highlight w:val="none"/>
        </w:rPr>
      </w:pPr>
      <w:bookmarkStart w:id="264" w:name="_Toc28866"/>
      <w:bookmarkStart w:id="265" w:name="_Toc29675"/>
      <w:bookmarkStart w:id="266" w:name="_Toc25592"/>
      <w:bookmarkStart w:id="267" w:name="_Toc8793"/>
      <w:r>
        <w:rPr>
          <w:rFonts w:hint="eastAsia" w:ascii="宋体" w:hAnsi="宋体" w:eastAsia="宋体" w:cs="宋体"/>
          <w:color w:val="auto"/>
          <w:sz w:val="21"/>
          <w:szCs w:val="21"/>
          <w:highlight w:val="none"/>
        </w:rPr>
        <w:t>5.磋商</w:t>
      </w:r>
      <w:bookmarkEnd w:id="264"/>
      <w:bookmarkEnd w:id="265"/>
      <w:bookmarkEnd w:id="266"/>
      <w:bookmarkEnd w:id="267"/>
    </w:p>
    <w:p w14:paraId="7E1CC7FE">
      <w:pPr>
        <w:spacing w:line="360" w:lineRule="auto"/>
        <w:rPr>
          <w:rFonts w:hint="eastAsia" w:ascii="宋体" w:hAnsi="宋体" w:eastAsia="宋体" w:cs="宋体"/>
          <w:b/>
          <w:color w:val="auto"/>
          <w:szCs w:val="21"/>
          <w:highlight w:val="none"/>
        </w:rPr>
      </w:pPr>
      <w:bookmarkStart w:id="268" w:name="_Toc296602448"/>
      <w:bookmarkStart w:id="269" w:name="_Toc152042336"/>
      <w:bookmarkStart w:id="270" w:name="_Toc247085718"/>
      <w:bookmarkStart w:id="271" w:name="_Toc144974528"/>
      <w:bookmarkStart w:id="272" w:name="_Toc246996947"/>
      <w:bookmarkStart w:id="273" w:name="_Toc179632578"/>
      <w:bookmarkStart w:id="274" w:name="_Toc246996204"/>
      <w:bookmarkStart w:id="275" w:name="_Toc152045560"/>
      <w:r>
        <w:rPr>
          <w:rFonts w:hint="eastAsia" w:ascii="宋体" w:hAnsi="宋体" w:eastAsia="宋体" w:cs="宋体"/>
          <w:b/>
          <w:color w:val="auto"/>
          <w:szCs w:val="21"/>
          <w:highlight w:val="none"/>
        </w:rPr>
        <w:t>5.1磋商时间和地点</w:t>
      </w:r>
      <w:bookmarkEnd w:id="268"/>
      <w:bookmarkEnd w:id="269"/>
      <w:bookmarkEnd w:id="270"/>
      <w:bookmarkEnd w:id="271"/>
      <w:bookmarkEnd w:id="272"/>
      <w:bookmarkEnd w:id="273"/>
      <w:bookmarkEnd w:id="274"/>
      <w:bookmarkEnd w:id="275"/>
    </w:p>
    <w:p w14:paraId="3131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采购人在本章第2.2.2项规定的投标截止时间（磋商时间）和响应人须知前附表规定的地点公开磋商，并邀请所有响应人的法定代表人或其委托代理人准时参加。</w:t>
      </w:r>
    </w:p>
    <w:p w14:paraId="4CE2B0D3">
      <w:pPr>
        <w:spacing w:line="360" w:lineRule="auto"/>
        <w:rPr>
          <w:rFonts w:hint="eastAsia" w:ascii="宋体" w:hAnsi="宋体" w:eastAsia="宋体" w:cs="宋体"/>
          <w:b/>
          <w:color w:val="auto"/>
          <w:szCs w:val="21"/>
          <w:highlight w:val="none"/>
        </w:rPr>
      </w:pPr>
      <w:bookmarkStart w:id="276" w:name="_Toc152045561"/>
      <w:bookmarkStart w:id="277" w:name="_Toc152042337"/>
      <w:bookmarkStart w:id="278" w:name="_Toc144974529"/>
      <w:bookmarkStart w:id="279" w:name="_Toc246996205"/>
      <w:bookmarkStart w:id="280" w:name="_Toc296602449"/>
      <w:bookmarkStart w:id="281" w:name="_Toc247085719"/>
      <w:bookmarkStart w:id="282" w:name="_Toc246996948"/>
      <w:bookmarkStart w:id="283" w:name="_Toc179632579"/>
      <w:r>
        <w:rPr>
          <w:rFonts w:hint="eastAsia" w:ascii="宋体" w:hAnsi="宋体" w:eastAsia="宋体" w:cs="宋体"/>
          <w:b/>
          <w:color w:val="auto"/>
          <w:szCs w:val="21"/>
          <w:highlight w:val="none"/>
        </w:rPr>
        <w:t>5.2磋商程序</w:t>
      </w:r>
      <w:bookmarkEnd w:id="276"/>
      <w:bookmarkEnd w:id="277"/>
      <w:bookmarkEnd w:id="278"/>
      <w:bookmarkEnd w:id="279"/>
      <w:bookmarkEnd w:id="280"/>
      <w:bookmarkEnd w:id="281"/>
      <w:bookmarkEnd w:id="282"/>
      <w:bookmarkEnd w:id="283"/>
    </w:p>
    <w:p w14:paraId="2FA680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主持人按下列程序进行磋商：</w:t>
      </w:r>
    </w:p>
    <w:p w14:paraId="218CF2B6">
      <w:pPr>
        <w:spacing w:line="360" w:lineRule="auto"/>
        <w:ind w:firstLine="420" w:firstLineChars="200"/>
        <w:rPr>
          <w:rFonts w:hint="eastAsia" w:ascii="宋体" w:hAnsi="宋体" w:eastAsia="宋体" w:cs="宋体"/>
          <w:bCs/>
          <w:color w:val="auto"/>
          <w:szCs w:val="21"/>
          <w:highlight w:val="none"/>
        </w:rPr>
      </w:pPr>
      <w:bookmarkStart w:id="284" w:name="_Toc296602450"/>
      <w:r>
        <w:rPr>
          <w:rFonts w:hint="eastAsia" w:ascii="宋体" w:hAnsi="宋体" w:eastAsia="宋体" w:cs="宋体"/>
          <w:bCs/>
          <w:color w:val="auto"/>
          <w:szCs w:val="21"/>
          <w:highlight w:val="none"/>
        </w:rPr>
        <w:t>（1）公布供应商名单；</w:t>
      </w:r>
    </w:p>
    <w:p w14:paraId="3747E95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（2）供应商解密及采购人解密；</w:t>
      </w:r>
    </w:p>
    <w:p w14:paraId="5CD065E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（3）磋商（采购人将对磋商过程进行记录，以存档备查）。</w:t>
      </w:r>
    </w:p>
    <w:p w14:paraId="41E350C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5.3磋商异议</w:t>
      </w:r>
      <w:bookmarkEnd w:id="284"/>
    </w:p>
    <w:p w14:paraId="489F8D2F">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响应人对磋商有异议的，应当在磋商现场提出，采购人当场作出答复，并制作记录。</w:t>
      </w:r>
    </w:p>
    <w:p w14:paraId="2BF80D35">
      <w:pPr>
        <w:pStyle w:val="3"/>
        <w:spacing w:line="360" w:lineRule="auto"/>
        <w:rPr>
          <w:rFonts w:hint="eastAsia" w:ascii="宋体" w:hAnsi="宋体" w:eastAsia="宋体" w:cs="宋体"/>
          <w:color w:val="auto"/>
          <w:sz w:val="21"/>
          <w:szCs w:val="21"/>
          <w:highlight w:val="none"/>
        </w:rPr>
      </w:pPr>
      <w:bookmarkStart w:id="285" w:name="_Toc3315"/>
      <w:bookmarkStart w:id="286" w:name="_Toc23081"/>
      <w:bookmarkStart w:id="287" w:name="_Toc27861"/>
      <w:bookmarkStart w:id="288" w:name="_Toc14362"/>
      <w:r>
        <w:rPr>
          <w:rFonts w:hint="eastAsia" w:ascii="宋体" w:hAnsi="宋体" w:eastAsia="宋体" w:cs="宋体"/>
          <w:color w:val="auto"/>
          <w:sz w:val="21"/>
          <w:szCs w:val="21"/>
          <w:highlight w:val="none"/>
        </w:rPr>
        <w:t>6.磋商</w:t>
      </w:r>
      <w:bookmarkEnd w:id="285"/>
      <w:bookmarkEnd w:id="286"/>
      <w:bookmarkEnd w:id="287"/>
      <w:bookmarkEnd w:id="288"/>
    </w:p>
    <w:p w14:paraId="661F688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6.1磋商小组</w:t>
      </w:r>
    </w:p>
    <w:p w14:paraId="5DF9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磋商由采购人依法组建的磋商小组负责。磋商小组由采购人或其委托的采购代理机构熟悉相关业务的代表，以及有关技术、经济等方面的专家组成。磋商小组成员人数以及技术、经济等方面专家的确定方式见响应人须知前附表。</w:t>
      </w:r>
    </w:p>
    <w:p w14:paraId="49C8C3F4">
      <w:pPr>
        <w:spacing w:line="360" w:lineRule="auto"/>
        <w:ind w:firstLine="420" w:firstLineChars="200"/>
        <w:rPr>
          <w:rFonts w:hint="eastAsia" w:ascii="宋体" w:hAnsi="宋体" w:eastAsia="宋体" w:cs="宋体"/>
          <w:color w:val="auto"/>
          <w:szCs w:val="21"/>
          <w:highlight w:val="none"/>
        </w:rPr>
      </w:pPr>
      <w:bookmarkStart w:id="289" w:name="_Toc152045564"/>
      <w:bookmarkStart w:id="290" w:name="_Toc247085722"/>
      <w:bookmarkStart w:id="291" w:name="_Toc144974532"/>
      <w:bookmarkStart w:id="292" w:name="_Toc296602453"/>
      <w:bookmarkStart w:id="293" w:name="_Toc246996951"/>
      <w:bookmarkStart w:id="294" w:name="_Toc179632582"/>
      <w:bookmarkStart w:id="295" w:name="_Toc246996208"/>
      <w:bookmarkStart w:id="296" w:name="_Toc152042340"/>
      <w:r>
        <w:rPr>
          <w:rFonts w:hint="eastAsia" w:ascii="宋体" w:hAnsi="宋体" w:eastAsia="宋体" w:cs="宋体"/>
          <w:color w:val="auto"/>
          <w:szCs w:val="21"/>
          <w:highlight w:val="none"/>
        </w:rPr>
        <w:t>6.1.2磋商小组成员及其成员不得有下列行为：</w:t>
      </w:r>
    </w:p>
    <w:p w14:paraId="361245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（一）确定参与评标至评标结束前私自接触</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14:paraId="75FF36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接受供应商人提出的与响应文件不一致的澄清或者说明（对于响应文件中含义不明确、同类问题表述不一致或者有明显文字和计算错误的内容，磋商小组以书面形式要求供应商作出必要的澄清、说明或者补正的除外）；</w:t>
      </w:r>
    </w:p>
    <w:p w14:paraId="5ADAB1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（三）违反评标纪律发表倾向性意见或者征询采购人的倾向性意见；</w:t>
      </w:r>
    </w:p>
    <w:p w14:paraId="12DE35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（四）对需要专业判断的主观评审因素协商评分；</w:t>
      </w:r>
    </w:p>
    <w:p w14:paraId="71C697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（五）在评标过程中擅离职守，影响评标程序正常进行的；</w:t>
      </w:r>
    </w:p>
    <w:p w14:paraId="6AAB9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（六）记录、复制或者带走任何评标资料；</w:t>
      </w:r>
    </w:p>
    <w:p w14:paraId="539AC5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（七）其他不遵守评标纪律的行为。</w:t>
      </w:r>
    </w:p>
    <w:p w14:paraId="73A7D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磋商小组成员有前款第一至五项行为之一的，其评审意见无效，并不得获取评审劳务报酬和报销异地评审差旅费。</w:t>
      </w:r>
    </w:p>
    <w:p w14:paraId="09D73D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6.1.3在政府采购活动中，采购人员及相关人员与供应商有下列利害关系之一的，应当回避：</w:t>
      </w:r>
    </w:p>
    <w:p w14:paraId="21697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（一）参加采购活动前3年内与供应商存在劳动关系；</w:t>
      </w:r>
    </w:p>
    <w:p w14:paraId="66B46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（二）参加采购活动前3年内担任供应商的董事、监事；</w:t>
      </w:r>
    </w:p>
    <w:p w14:paraId="31AE49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（三）参加采购活动前3年内是供应商的控股股东或者实际控制人；</w:t>
      </w:r>
    </w:p>
    <w:p w14:paraId="06404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（四）与供应商的法定代表人或者负责人有夫妻、直系血亲、三代以内旁系血亲或者近姻亲关系；</w:t>
      </w:r>
    </w:p>
    <w:p w14:paraId="6A4DD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（五）与供应商有其他可能影响政府采购活动公平、公正进行的关系。</w:t>
      </w:r>
    </w:p>
    <w:p w14:paraId="4636A9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0CBFD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6.2磋商原则</w:t>
      </w:r>
      <w:bookmarkEnd w:id="289"/>
      <w:bookmarkEnd w:id="290"/>
      <w:bookmarkEnd w:id="291"/>
      <w:bookmarkEnd w:id="292"/>
      <w:bookmarkEnd w:id="293"/>
      <w:bookmarkEnd w:id="294"/>
      <w:bookmarkEnd w:id="295"/>
      <w:bookmarkEnd w:id="296"/>
    </w:p>
    <w:p w14:paraId="162847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磋商活动遵循公平、公正、科学和择优的原则。</w:t>
      </w:r>
    </w:p>
    <w:p w14:paraId="223EE89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6.3磋商评审</w:t>
      </w:r>
    </w:p>
    <w:p w14:paraId="626E4DAF">
      <w:pPr>
        <w:spacing w:line="360" w:lineRule="auto"/>
        <w:ind w:firstLine="420" w:firstLineChars="200"/>
        <w:rPr>
          <w:rFonts w:hint="eastAsia" w:ascii="宋体" w:hAnsi="宋体" w:eastAsia="宋体" w:cs="宋体"/>
          <w:color w:val="auto"/>
          <w:highlight w:val="none"/>
        </w:rPr>
      </w:pPr>
      <w:bookmarkStart w:id="297" w:name="_Toc14621"/>
      <w:bookmarkStart w:id="298" w:name="_Toc247085724"/>
      <w:bookmarkStart w:id="299" w:name="_Toc179632584"/>
      <w:bookmarkStart w:id="300" w:name="_Toc152045566"/>
      <w:bookmarkStart w:id="301" w:name="_Toc246996953"/>
      <w:bookmarkStart w:id="302" w:name="_Toc16906"/>
      <w:bookmarkStart w:id="303" w:name="_Toc27871"/>
      <w:bookmarkStart w:id="304" w:name="_Toc152042342"/>
      <w:bookmarkStart w:id="305" w:name="_Toc246996210"/>
      <w:bookmarkStart w:id="306" w:name="_Toc144974534"/>
      <w:r>
        <w:rPr>
          <w:rFonts w:hint="eastAsia" w:ascii="宋体" w:hAnsi="宋体" w:eastAsia="宋体" w:cs="宋体"/>
          <w:color w:val="auto"/>
          <w:szCs w:val="21"/>
          <w:highlight w:val="none"/>
        </w:rPr>
        <w:t>6.3.1磋商小组成员应当根据竞争性磋商文件第三章规定的评审程序、评审方法和评审标准进行独立评审。未</w:t>
      </w:r>
      <w:r>
        <w:rPr>
          <w:rFonts w:hint="eastAsia" w:ascii="宋体" w:hAnsi="宋体" w:eastAsia="宋体" w:cs="宋体"/>
          <w:color w:val="auto"/>
          <w:highlight w:val="none"/>
        </w:rPr>
        <w:t>实质性响应磋商文件的响应文件按无效响应处理，磋商小组应当告知提交响应文件的供应商。</w:t>
      </w:r>
    </w:p>
    <w:p w14:paraId="3CA728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竞争性磋商文件内容违反国家有关强制性规定的，磋商小组应当停止评审并向采购人或者采购代理机构</w:t>
      </w:r>
      <w:r>
        <w:rPr>
          <w:rFonts w:hint="eastAsia" w:ascii="宋体" w:hAnsi="宋体" w:eastAsia="宋体" w:cs="宋体"/>
          <w:color w:val="auto"/>
          <w:szCs w:val="21"/>
          <w:highlight w:val="none"/>
        </w:rPr>
        <w:t>说明情况。</w:t>
      </w:r>
    </w:p>
    <w:p w14:paraId="73C71F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6.3.3评审报告</w:t>
      </w:r>
    </w:p>
    <w:p w14:paraId="391C4136">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磋商小组应当根据评审记录和评审结果编写评审报告，其主要内容包括：</w:t>
      </w:r>
    </w:p>
    <w:p w14:paraId="0BFE7595">
      <w:pPr>
        <w:numPr>
          <w:ilvl w:val="0"/>
          <w:numId w:val="2"/>
        </w:numPr>
        <w:wordWrap w:val="0"/>
        <w:topLinePunct/>
        <w:snapToGrid w:val="0"/>
        <w:spacing w:line="360" w:lineRule="auto"/>
        <w:ind w:left="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供应商参加采购活动的具体方式和相关情况；</w:t>
      </w:r>
    </w:p>
    <w:p w14:paraId="3BF19B1D">
      <w:pPr>
        <w:numPr>
          <w:ilvl w:val="0"/>
          <w:numId w:val="2"/>
        </w:numPr>
        <w:wordWrap w:val="0"/>
        <w:topLinePunct/>
        <w:snapToGrid w:val="0"/>
        <w:spacing w:line="360" w:lineRule="auto"/>
        <w:ind w:left="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响应文件开启日期和地点；</w:t>
      </w:r>
    </w:p>
    <w:p w14:paraId="3ED8740A">
      <w:pPr>
        <w:numPr>
          <w:ilvl w:val="0"/>
          <w:numId w:val="2"/>
        </w:numPr>
        <w:wordWrap w:val="0"/>
        <w:topLinePunct/>
        <w:snapToGrid w:val="0"/>
        <w:spacing w:line="360" w:lineRule="auto"/>
        <w:ind w:left="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获取竞争性磋商文件的供应商名单和磋商小组成员名单；</w:t>
      </w:r>
    </w:p>
    <w:p w14:paraId="10E86892">
      <w:pPr>
        <w:numPr>
          <w:ilvl w:val="0"/>
          <w:numId w:val="2"/>
        </w:numPr>
        <w:wordWrap w:val="0"/>
        <w:topLinePunct/>
        <w:snapToGrid w:val="0"/>
        <w:spacing w:line="360" w:lineRule="auto"/>
        <w:ind w:left="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评审情况记录和说明，包括对供应商的资格审查情况、供应商响应文件评审情况、磋商情况、报价情况等；</w:t>
      </w:r>
    </w:p>
    <w:p w14:paraId="3F0060B6">
      <w:pPr>
        <w:numPr>
          <w:ilvl w:val="0"/>
          <w:numId w:val="2"/>
        </w:numPr>
        <w:wordWrap w:val="0"/>
        <w:topLinePunct/>
        <w:snapToGrid w:val="0"/>
        <w:spacing w:line="360" w:lineRule="auto"/>
        <w:ind w:left="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提出的成交候选人的排序名单及理由。</w:t>
      </w:r>
    </w:p>
    <w:p w14:paraId="0C8AFE63">
      <w:pPr>
        <w:snapToGrid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4DCE6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评审完成后，磋商小组应当向采购人提交书面评审报告和成交候选人名单。磋商小组推荐成交候选人的人数见供应商须知前附表。</w:t>
      </w:r>
    </w:p>
    <w:p w14:paraId="02F3B5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6.3.4详细磋商</w:t>
      </w:r>
    </w:p>
    <w:p w14:paraId="5A880F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磋商小组将允许供应商修改其磋商响应文件中不构成重大偏离的微小的、非正规的、不一致的或不规则的地方，但这些修改不能影响任何供应商的名次相应排列。为有助于对磋商响应文件的审查、评价和比较，磋商小组可分别要求供应商对磋商响应文件中含义不清的内容进行澄清。有关澄清的要求和答复均须以线上形式，但磋商的实质性内容不得更改。</w:t>
      </w:r>
    </w:p>
    <w:p w14:paraId="30B92D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（2）若磋商内容有实质性变动的，磋商小组应当以书面形式通知所有参加磋商的供应商。</w:t>
      </w:r>
    </w:p>
    <w:p w14:paraId="4B2570CA">
      <w:pPr>
        <w:widowControl/>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（3）磋商结束后，磋商小组将要求所有符合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需求的供应商在规定的时间内同时进行报价（二次报价），特殊情况下,经磋商小组根据磋商现场情况，可以要求供应商适当进行多轮报价。【</w:t>
      </w:r>
      <w:r>
        <w:rPr>
          <w:rFonts w:hint="eastAsia" w:ascii="宋体" w:hAnsi="宋体" w:eastAsia="宋体" w:cs="宋体"/>
          <w:b/>
          <w:bCs/>
          <w:color w:val="auto"/>
          <w:kern w:val="0"/>
          <w:szCs w:val="21"/>
          <w:highlight w:val="none"/>
        </w:rPr>
        <w:t>注：1、最终报价不得超出采购人预算价；2、磋商小组认为供应商的报价明显低于其他通过符合性审查供应商的报价，有可能影响项目服务或者不能诚信履约的，可以要求其在评审及磋商现场合理的时间内提供书面说明，必要时提交相关证明材料；供应商不能证明其报价合理性的，磋商小组应当将其作为无效竞争性磋商报价处理；3、在规定时间内未进行第二轮报价报价的供应商，其响应文件做无效标处理】。</w:t>
      </w:r>
    </w:p>
    <w:p w14:paraId="7664CC3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（4）供应商通过资格及符合性评审后，方可进行第二次报价，第一次报价为磋商响应文件中的报价，第二次报价为最终报价，按第二次报价计算供应商的报价得分。</w:t>
      </w:r>
    </w:p>
    <w:p w14:paraId="13FB948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（5）磋商小组按照磋商文件采用综合评分法对通过初步评审的有效供应商的响应文件进行综合评分，按综合得分由高到低的顺序推荐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名成交</w:t>
      </w:r>
      <w:r>
        <w:rPr>
          <w:rFonts w:hint="eastAsia" w:ascii="宋体" w:hAnsi="宋体" w:eastAsia="宋体" w:cs="宋体"/>
          <w:color w:val="auto"/>
          <w:kern w:val="0"/>
          <w:szCs w:val="21"/>
          <w:highlight w:val="none"/>
          <w:lang w:val="en-US" w:eastAsia="zh-CN"/>
        </w:rPr>
        <w:t>候选</w:t>
      </w:r>
      <w:r>
        <w:rPr>
          <w:rFonts w:hint="eastAsia" w:ascii="宋体" w:hAnsi="宋体" w:eastAsia="宋体" w:cs="宋体"/>
          <w:color w:val="auto"/>
          <w:kern w:val="0"/>
          <w:szCs w:val="21"/>
          <w:highlight w:val="none"/>
        </w:rPr>
        <w:t>供应商，由磋商小组在磋商报告上签字。</w:t>
      </w:r>
    </w:p>
    <w:p w14:paraId="357ECA27">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6.3.3磋商结束后，采购人从磋商小组提出的成交供应商根据中标原则确定成交供应商。</w:t>
      </w:r>
    </w:p>
    <w:p w14:paraId="5C1E0758">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6.4磋商过程的保密性</w:t>
      </w:r>
    </w:p>
    <w:p w14:paraId="070C984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6.4.1磋商期间，直到授予成交供应商合同止，凡是与磋商响应文件审查、澄清、评价、比较以及推荐成交供应商等方面的情况，均不得向供应商或其他无关的人员透露。</w:t>
      </w:r>
    </w:p>
    <w:p w14:paraId="0939D4ED">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6.4.2在磋商过程中，供应商如向磋商小组成员施加任何影响，都将会导致其磋商被拒绝，招标监管部门将记录其不良行为。</w:t>
      </w:r>
    </w:p>
    <w:p w14:paraId="0AAA3D60">
      <w:pPr>
        <w:pStyle w:val="3"/>
        <w:spacing w:line="360" w:lineRule="auto"/>
        <w:rPr>
          <w:rFonts w:hint="eastAsia" w:ascii="宋体" w:hAnsi="宋体" w:eastAsia="宋体" w:cs="宋体"/>
          <w:color w:val="auto"/>
          <w:sz w:val="21"/>
          <w:szCs w:val="21"/>
          <w:highlight w:val="none"/>
        </w:rPr>
      </w:pPr>
      <w:bookmarkStart w:id="307" w:name="_Toc24285"/>
      <w:bookmarkStart w:id="308" w:name="_Toc26824"/>
      <w:bookmarkStart w:id="309" w:name="_Toc24033"/>
      <w:bookmarkStart w:id="310" w:name="_Toc943"/>
      <w:r>
        <w:rPr>
          <w:rFonts w:hint="eastAsia" w:ascii="宋体" w:hAnsi="宋体" w:eastAsia="宋体" w:cs="宋体"/>
          <w:color w:val="auto"/>
          <w:sz w:val="21"/>
          <w:szCs w:val="21"/>
          <w:highlight w:val="none"/>
        </w:rPr>
        <w:t>7.合同授予</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00144F8">
      <w:pPr>
        <w:spacing w:line="360" w:lineRule="auto"/>
        <w:rPr>
          <w:rFonts w:hint="eastAsia" w:ascii="宋体" w:hAnsi="宋体" w:eastAsia="宋体" w:cs="宋体"/>
          <w:b/>
          <w:color w:val="auto"/>
          <w:szCs w:val="21"/>
          <w:highlight w:val="none"/>
        </w:rPr>
      </w:pPr>
      <w:bookmarkStart w:id="311" w:name="_Toc246996954"/>
      <w:bookmarkStart w:id="312" w:name="_Toc247085725"/>
      <w:bookmarkStart w:id="313" w:name="_Toc246996211"/>
      <w:bookmarkStart w:id="314" w:name="_Toc152042343"/>
      <w:bookmarkStart w:id="315" w:name="_Toc296602456"/>
      <w:bookmarkStart w:id="316" w:name="_Toc152045567"/>
      <w:bookmarkStart w:id="317" w:name="_Toc179632585"/>
      <w:bookmarkStart w:id="318" w:name="_Toc144974535"/>
      <w:r>
        <w:rPr>
          <w:rFonts w:hint="eastAsia" w:ascii="宋体" w:hAnsi="宋体" w:eastAsia="宋体" w:cs="宋体"/>
          <w:b/>
          <w:color w:val="auto"/>
          <w:szCs w:val="21"/>
          <w:highlight w:val="none"/>
        </w:rPr>
        <w:t>7.1定标方式</w:t>
      </w:r>
      <w:bookmarkEnd w:id="311"/>
      <w:bookmarkEnd w:id="312"/>
      <w:bookmarkEnd w:id="313"/>
      <w:bookmarkEnd w:id="314"/>
      <w:bookmarkEnd w:id="315"/>
      <w:bookmarkEnd w:id="316"/>
      <w:bookmarkEnd w:id="317"/>
      <w:bookmarkEnd w:id="318"/>
    </w:p>
    <w:p w14:paraId="0BBFC7A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供应商须知前附表规定磋商小组直接确定成交供应商外，采购人依据磋商小组推荐的成交候选供应商确定成交供应商，磋商小组推荐成交候选供应商的人数见供应商须知前附表。采购人将依序确定排名第一的供应商为成交供应商，若第一成交候选供应商放弃成交、因不可抗力不能履行合同、不按照磋商文件要求提交履约保证金，或者被查实存在影响成交结果的违法行为等情形，不符合成交条件的，采购人可以按照磋商小组提出的成交候选供应商名单排序依次确定其他成交候选供应商为成交供应商，也可以重新磋商</w:t>
      </w:r>
      <w:r>
        <w:rPr>
          <w:rFonts w:hint="eastAsia" w:ascii="宋体" w:hAnsi="宋体" w:eastAsia="宋体" w:cs="宋体"/>
          <w:color w:val="auto"/>
          <w:szCs w:val="21"/>
          <w:highlight w:val="none"/>
        </w:rPr>
        <w:t>。</w:t>
      </w:r>
    </w:p>
    <w:p w14:paraId="575BC256">
      <w:pPr>
        <w:spacing w:line="360" w:lineRule="auto"/>
        <w:rPr>
          <w:rFonts w:hint="eastAsia" w:ascii="宋体" w:hAnsi="宋体" w:eastAsia="宋体" w:cs="宋体"/>
          <w:b/>
          <w:color w:val="auto"/>
          <w:szCs w:val="21"/>
          <w:highlight w:val="none"/>
        </w:rPr>
      </w:pPr>
      <w:bookmarkStart w:id="319" w:name="_Toc296602457"/>
      <w:r>
        <w:rPr>
          <w:rFonts w:hint="eastAsia" w:ascii="宋体" w:hAnsi="宋体" w:eastAsia="宋体" w:cs="宋体"/>
          <w:b/>
          <w:color w:val="auto"/>
          <w:szCs w:val="21"/>
          <w:highlight w:val="none"/>
        </w:rPr>
        <w:t>7.2成交结果公示</w:t>
      </w:r>
      <w:bookmarkEnd w:id="319"/>
    </w:p>
    <w:p w14:paraId="763B47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采购人在响应人须知前附表规定的媒介公示成交人。</w:t>
      </w:r>
    </w:p>
    <w:p w14:paraId="5B3555D9">
      <w:pPr>
        <w:spacing w:line="360" w:lineRule="auto"/>
        <w:rPr>
          <w:rFonts w:hint="eastAsia" w:ascii="宋体" w:hAnsi="宋体" w:eastAsia="宋体" w:cs="宋体"/>
          <w:b/>
          <w:color w:val="auto"/>
          <w:szCs w:val="21"/>
          <w:highlight w:val="none"/>
        </w:rPr>
      </w:pPr>
      <w:bookmarkStart w:id="320" w:name="_Toc247085726"/>
      <w:bookmarkStart w:id="321" w:name="_Toc152042344"/>
      <w:bookmarkStart w:id="322" w:name="_Toc144974536"/>
      <w:bookmarkStart w:id="323" w:name="_Toc246996212"/>
      <w:bookmarkStart w:id="324" w:name="_Toc246996955"/>
      <w:bookmarkStart w:id="325" w:name="_Toc179632586"/>
      <w:bookmarkStart w:id="326" w:name="_Toc152045568"/>
      <w:bookmarkStart w:id="327" w:name="_Toc296602458"/>
      <w:r>
        <w:rPr>
          <w:rFonts w:hint="eastAsia" w:ascii="宋体" w:hAnsi="宋体" w:eastAsia="宋体" w:cs="宋体"/>
          <w:b/>
          <w:color w:val="auto"/>
          <w:szCs w:val="21"/>
          <w:highlight w:val="none"/>
        </w:rPr>
        <w:t>7.3成交通知</w:t>
      </w:r>
      <w:bookmarkEnd w:id="320"/>
      <w:bookmarkEnd w:id="321"/>
      <w:bookmarkEnd w:id="322"/>
      <w:bookmarkEnd w:id="323"/>
      <w:bookmarkEnd w:id="324"/>
      <w:bookmarkEnd w:id="325"/>
      <w:bookmarkEnd w:id="326"/>
      <w:bookmarkEnd w:id="327"/>
    </w:p>
    <w:p w14:paraId="282B4D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在本章第3.3款规定的磋商有效期内，采购人以书面形式向成交供应商发出成交通知书，同时将成交结果通知未成交的响应人。</w:t>
      </w:r>
    </w:p>
    <w:p w14:paraId="2047635D">
      <w:pPr>
        <w:spacing w:line="360" w:lineRule="auto"/>
        <w:rPr>
          <w:rFonts w:hint="eastAsia" w:ascii="宋体" w:hAnsi="宋体" w:eastAsia="宋体" w:cs="宋体"/>
          <w:b/>
          <w:color w:val="auto"/>
          <w:szCs w:val="21"/>
          <w:highlight w:val="none"/>
        </w:rPr>
      </w:pPr>
      <w:bookmarkStart w:id="328" w:name="_Toc296602459"/>
      <w:bookmarkStart w:id="329" w:name="_Toc246996956"/>
      <w:bookmarkStart w:id="330" w:name="_Toc152042345"/>
      <w:bookmarkStart w:id="331" w:name="_Toc179632587"/>
      <w:bookmarkStart w:id="332" w:name="_Toc246996213"/>
      <w:bookmarkStart w:id="333" w:name="_Toc144974537"/>
      <w:bookmarkStart w:id="334" w:name="_Toc152045569"/>
      <w:bookmarkStart w:id="335" w:name="_Toc247085727"/>
      <w:r>
        <w:rPr>
          <w:rFonts w:hint="eastAsia" w:ascii="宋体" w:hAnsi="宋体" w:eastAsia="宋体" w:cs="宋体"/>
          <w:b/>
          <w:color w:val="auto"/>
          <w:szCs w:val="21"/>
          <w:highlight w:val="none"/>
        </w:rPr>
        <w:t>7.4履约担保</w:t>
      </w:r>
      <w:bookmarkEnd w:id="328"/>
      <w:bookmarkEnd w:id="329"/>
      <w:bookmarkEnd w:id="330"/>
      <w:bookmarkEnd w:id="331"/>
      <w:bookmarkEnd w:id="332"/>
      <w:bookmarkEnd w:id="333"/>
      <w:bookmarkEnd w:id="334"/>
      <w:bookmarkEnd w:id="335"/>
    </w:p>
    <w:p w14:paraId="6DBBA2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在签订合同前，成交供应商应按响应人须知前附表规定的担保形式和磋商文件第四章“合同条款及格式”规定的或者事先经过采购人书面认可的履约担保格式向采购人提交履约担保。联合体成交的，其履约保证金以联合体各方或者联合体中牵头人的名义提交。经采购人同意，成交供应商也可以自愿采用其他履约保证金的提供方式</w:t>
      </w:r>
    </w:p>
    <w:p w14:paraId="52617F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7.4.2成交供应商不能按本章第7.4.1项要求提交履约担保的，视为放弃成交，给采购人造成的损失的，成交供应商还应当予以赔偿。</w:t>
      </w:r>
    </w:p>
    <w:p w14:paraId="015C4A05">
      <w:pPr>
        <w:spacing w:line="360" w:lineRule="auto"/>
        <w:rPr>
          <w:rFonts w:hint="eastAsia" w:ascii="宋体" w:hAnsi="宋体" w:eastAsia="宋体" w:cs="宋体"/>
          <w:b/>
          <w:color w:val="auto"/>
          <w:szCs w:val="21"/>
          <w:highlight w:val="none"/>
        </w:rPr>
      </w:pPr>
      <w:bookmarkStart w:id="336" w:name="_Toc144974538"/>
      <w:bookmarkStart w:id="337" w:name="_Toc179632588"/>
      <w:bookmarkStart w:id="338" w:name="_Toc246996957"/>
      <w:bookmarkStart w:id="339" w:name="_Toc152045570"/>
      <w:bookmarkStart w:id="340" w:name="_Toc152042346"/>
      <w:bookmarkStart w:id="341" w:name="_Toc247085728"/>
      <w:bookmarkStart w:id="342" w:name="_Toc246996214"/>
      <w:bookmarkStart w:id="343" w:name="_Toc296602460"/>
      <w:r>
        <w:rPr>
          <w:rFonts w:hint="eastAsia" w:ascii="宋体" w:hAnsi="宋体" w:eastAsia="宋体" w:cs="宋体"/>
          <w:b/>
          <w:color w:val="auto"/>
          <w:szCs w:val="21"/>
          <w:highlight w:val="none"/>
        </w:rPr>
        <w:t>7.5签订合同</w:t>
      </w:r>
      <w:bookmarkEnd w:id="336"/>
      <w:bookmarkEnd w:id="337"/>
      <w:bookmarkEnd w:id="338"/>
      <w:bookmarkEnd w:id="339"/>
      <w:bookmarkEnd w:id="340"/>
      <w:bookmarkEnd w:id="341"/>
      <w:bookmarkEnd w:id="342"/>
      <w:bookmarkEnd w:id="343"/>
    </w:p>
    <w:p w14:paraId="4C904E06">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采购人、成交供应商在成交通知书发出之日起2个工作日内，按照本项目磋商文件、施工说明及改造方案、技术要求、磋商文件中合同文本约定的专用条款内容以及成交供应商的响应性文件、已标价工程量清单及在磋商过程中对磋商响应文件作出的澄清、解释和服务承诺等签订工程施工合同，采购人和成交人不得再行订立背离合同实质性内容的其他协议。</w:t>
      </w:r>
    </w:p>
    <w:p w14:paraId="570E1C76">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7.5.2成交人如不按本磋商须知第7.5.1款的规定与采购人订立合同，则采购人将废除授标，给采购人造成的损失超过磋商担保数额的，还应当对超出部分予以赔偿，同时依法承担相应的法律责任。</w:t>
      </w:r>
    </w:p>
    <w:p w14:paraId="5366CFD4">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7.5.3成交人应当按照合同约定履行义务，完成成交项目施工，不得将成交项目施工转包给他人。</w:t>
      </w:r>
    </w:p>
    <w:p w14:paraId="2A3FE69D">
      <w:pPr>
        <w:pStyle w:val="3"/>
        <w:spacing w:line="360" w:lineRule="auto"/>
        <w:rPr>
          <w:rFonts w:hint="eastAsia" w:ascii="宋体" w:hAnsi="宋体" w:eastAsia="宋体" w:cs="宋体"/>
          <w:color w:val="auto"/>
          <w:sz w:val="21"/>
          <w:szCs w:val="21"/>
          <w:highlight w:val="none"/>
        </w:rPr>
      </w:pPr>
      <w:bookmarkStart w:id="344" w:name="_Toc910"/>
      <w:bookmarkStart w:id="345" w:name="_Toc17980"/>
      <w:bookmarkStart w:id="346" w:name="_Toc11283"/>
      <w:bookmarkStart w:id="347" w:name="_Toc15908"/>
      <w:bookmarkStart w:id="348" w:name="_Toc9638"/>
      <w:bookmarkStart w:id="349" w:name="_Toc32505"/>
      <w:bookmarkStart w:id="350" w:name="_Toc10327"/>
      <w:bookmarkStart w:id="351" w:name="_Toc14259"/>
      <w:r>
        <w:rPr>
          <w:rFonts w:hint="eastAsia" w:ascii="宋体" w:hAnsi="宋体" w:eastAsia="宋体" w:cs="宋体"/>
          <w:color w:val="auto"/>
          <w:sz w:val="21"/>
          <w:szCs w:val="21"/>
          <w:highlight w:val="none"/>
        </w:rPr>
        <w:t>8.重新采购</w:t>
      </w:r>
      <w:bookmarkEnd w:id="344"/>
      <w:bookmarkEnd w:id="345"/>
      <w:bookmarkEnd w:id="346"/>
    </w:p>
    <w:p w14:paraId="707ECC68">
      <w:pPr>
        <w:pStyle w:val="3"/>
        <w:spacing w:line="360" w:lineRule="auto"/>
        <w:ind w:firstLine="211" w:firstLineChars="100"/>
        <w:rPr>
          <w:rFonts w:hint="eastAsia" w:ascii="宋体" w:hAnsi="宋体" w:eastAsia="宋体" w:cs="宋体"/>
          <w:color w:val="auto"/>
          <w:sz w:val="21"/>
          <w:szCs w:val="21"/>
          <w:highlight w:val="none"/>
        </w:rPr>
      </w:pPr>
      <w:bookmarkStart w:id="352" w:name="_Toc26525"/>
      <w:bookmarkStart w:id="353" w:name="_Toc28065"/>
      <w:r>
        <w:rPr>
          <w:rFonts w:hint="eastAsia" w:ascii="宋体" w:hAnsi="宋体" w:eastAsia="宋体" w:cs="宋体"/>
          <w:color w:val="auto"/>
          <w:sz w:val="21"/>
          <w:szCs w:val="21"/>
          <w:highlight w:val="none"/>
        </w:rPr>
        <w:t>8.1重新采购</w:t>
      </w:r>
      <w:bookmarkEnd w:id="352"/>
      <w:bookmarkEnd w:id="353"/>
    </w:p>
    <w:p w14:paraId="4B749489">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有下列情形之一的，采购人或者采购代理机构应当终止竞争性磋商采购活动，发布项目终止公告并说明原因，重新开展采购活动：</w:t>
      </w:r>
    </w:p>
    <w:p w14:paraId="52733531">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28CC8872">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499B499E">
      <w:pPr>
        <w:spacing w:line="360" w:lineRule="auto"/>
        <w:ind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符合《政府采购竞争性磋商采购方式管理暂行办法》第三条（四）市场竞争不充分的科研项目以及需要扶持的科技成果转化项目和《财政部关于政府采购竞争性磋商采购方式管理暂行办法有关问题的补充通知》财库〔2015〕124号规定的情形外，在采购过程中符合要求的供应商或者提交最后报价的供应商少于3家的。</w:t>
      </w:r>
    </w:p>
    <w:p w14:paraId="656401D2">
      <w:pPr>
        <w:pStyle w:val="3"/>
        <w:spacing w:line="360" w:lineRule="auto"/>
        <w:rPr>
          <w:rFonts w:hint="eastAsia" w:ascii="宋体" w:hAnsi="宋体" w:eastAsia="宋体" w:cs="宋体"/>
          <w:color w:val="auto"/>
          <w:sz w:val="21"/>
          <w:szCs w:val="21"/>
          <w:highlight w:val="none"/>
        </w:rPr>
      </w:pPr>
      <w:bookmarkStart w:id="354" w:name="_Toc20525"/>
      <w:bookmarkStart w:id="355" w:name="_Toc9300"/>
      <w:r>
        <w:rPr>
          <w:rFonts w:hint="eastAsia" w:ascii="宋体" w:hAnsi="宋体" w:eastAsia="宋体" w:cs="宋体"/>
          <w:color w:val="auto"/>
          <w:sz w:val="21"/>
          <w:szCs w:val="21"/>
          <w:highlight w:val="none"/>
        </w:rPr>
        <w:t>9.纪律和监督</w:t>
      </w:r>
      <w:bookmarkEnd w:id="347"/>
      <w:bookmarkEnd w:id="348"/>
      <w:bookmarkEnd w:id="349"/>
      <w:bookmarkEnd w:id="350"/>
      <w:bookmarkEnd w:id="351"/>
      <w:bookmarkEnd w:id="354"/>
      <w:bookmarkEnd w:id="355"/>
    </w:p>
    <w:p w14:paraId="48A6C3CF">
      <w:pPr>
        <w:spacing w:line="360" w:lineRule="auto"/>
        <w:rPr>
          <w:rFonts w:hint="eastAsia" w:ascii="宋体" w:hAnsi="宋体" w:eastAsia="宋体" w:cs="宋体"/>
          <w:b/>
          <w:color w:val="auto"/>
          <w:szCs w:val="21"/>
          <w:highlight w:val="none"/>
        </w:rPr>
      </w:pPr>
      <w:bookmarkStart w:id="356" w:name="_Toc144974543"/>
      <w:bookmarkStart w:id="357" w:name="_Toc152042351"/>
      <w:bookmarkStart w:id="358" w:name="_Toc246996219"/>
      <w:bookmarkStart w:id="359" w:name="_Toc296590983"/>
      <w:bookmarkStart w:id="360" w:name="_Toc179632593"/>
      <w:bookmarkStart w:id="361" w:name="_Toc152045575"/>
      <w:bookmarkStart w:id="362" w:name="_Toc247085733"/>
      <w:bookmarkStart w:id="363" w:name="_Toc296602462"/>
      <w:bookmarkStart w:id="364" w:name="_Toc246996962"/>
      <w:r>
        <w:rPr>
          <w:rFonts w:hint="eastAsia" w:ascii="宋体" w:hAnsi="宋体" w:eastAsia="宋体" w:cs="宋体"/>
          <w:b/>
          <w:color w:val="auto"/>
          <w:szCs w:val="21"/>
          <w:highlight w:val="none"/>
        </w:rPr>
        <w:t>9.1对采购人的纪律要求</w:t>
      </w:r>
      <w:bookmarkEnd w:id="356"/>
      <w:bookmarkEnd w:id="357"/>
      <w:bookmarkEnd w:id="358"/>
      <w:bookmarkEnd w:id="359"/>
      <w:bookmarkEnd w:id="360"/>
      <w:bookmarkEnd w:id="361"/>
      <w:bookmarkEnd w:id="362"/>
      <w:bookmarkEnd w:id="363"/>
      <w:bookmarkEnd w:id="364"/>
    </w:p>
    <w:p w14:paraId="40B2B2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采购人不得泄漏磋商活动中应当保密的情况和资料，不得与响应人串通损害国家利益、社会公共利益或者他人合法权益。</w:t>
      </w:r>
    </w:p>
    <w:p w14:paraId="2288949C">
      <w:pPr>
        <w:spacing w:line="360" w:lineRule="auto"/>
        <w:rPr>
          <w:rFonts w:hint="eastAsia" w:ascii="宋体" w:hAnsi="宋体" w:eastAsia="宋体" w:cs="宋体"/>
          <w:b/>
          <w:color w:val="auto"/>
          <w:szCs w:val="21"/>
          <w:highlight w:val="none"/>
        </w:rPr>
      </w:pPr>
      <w:bookmarkStart w:id="365" w:name="_Toc246996963"/>
      <w:bookmarkStart w:id="366" w:name="_Toc247085734"/>
      <w:bookmarkStart w:id="367" w:name="_Toc296602463"/>
      <w:bookmarkStart w:id="368" w:name="_Toc144974544"/>
      <w:bookmarkStart w:id="369" w:name="_Toc179632594"/>
      <w:bookmarkStart w:id="370" w:name="_Toc246996220"/>
      <w:bookmarkStart w:id="371" w:name="_Toc152045576"/>
      <w:bookmarkStart w:id="372" w:name="_Toc152042352"/>
      <w:r>
        <w:rPr>
          <w:rFonts w:hint="eastAsia" w:ascii="宋体" w:hAnsi="宋体" w:eastAsia="宋体" w:cs="宋体"/>
          <w:b/>
          <w:color w:val="auto"/>
          <w:szCs w:val="21"/>
          <w:highlight w:val="none"/>
        </w:rPr>
        <w:t>9.2对响应人的纪律要求</w:t>
      </w:r>
      <w:bookmarkEnd w:id="365"/>
      <w:bookmarkEnd w:id="366"/>
      <w:bookmarkEnd w:id="367"/>
      <w:bookmarkEnd w:id="368"/>
      <w:bookmarkEnd w:id="369"/>
      <w:bookmarkEnd w:id="370"/>
      <w:bookmarkEnd w:id="371"/>
      <w:bookmarkEnd w:id="372"/>
    </w:p>
    <w:p w14:paraId="6CB9E7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响应人不得相互串通投标或者与采购人串通投标，不得向采购人或者磋商小组成员行贿谋取成交，不得以他人名义投标或者以其他方式弄虚作假骗取成交；响应人不得以任何方式干扰、影响磋商工作。</w:t>
      </w:r>
    </w:p>
    <w:p w14:paraId="32E7C17C">
      <w:pPr>
        <w:spacing w:line="360" w:lineRule="auto"/>
        <w:rPr>
          <w:rFonts w:hint="eastAsia" w:ascii="宋体" w:hAnsi="宋体" w:eastAsia="宋体" w:cs="宋体"/>
          <w:b/>
          <w:color w:val="auto"/>
          <w:szCs w:val="21"/>
          <w:highlight w:val="none"/>
        </w:rPr>
      </w:pPr>
      <w:bookmarkStart w:id="373" w:name="_Toc179632595"/>
      <w:bookmarkStart w:id="374" w:name="_Toc152042353"/>
      <w:bookmarkStart w:id="375" w:name="_Toc144974545"/>
      <w:bookmarkStart w:id="376" w:name="_Toc296602464"/>
      <w:bookmarkStart w:id="377" w:name="_Toc152045577"/>
      <w:bookmarkStart w:id="378" w:name="_Toc246996964"/>
      <w:bookmarkStart w:id="379" w:name="_Toc246996221"/>
      <w:bookmarkStart w:id="380" w:name="_Toc247085735"/>
      <w:r>
        <w:rPr>
          <w:rFonts w:hint="eastAsia" w:ascii="宋体" w:hAnsi="宋体" w:eastAsia="宋体" w:cs="宋体"/>
          <w:b/>
          <w:color w:val="auto"/>
          <w:szCs w:val="21"/>
          <w:highlight w:val="none"/>
        </w:rPr>
        <w:t>9.3对磋商小组成员的纪律要求</w:t>
      </w:r>
      <w:bookmarkEnd w:id="373"/>
      <w:bookmarkEnd w:id="374"/>
      <w:bookmarkEnd w:id="375"/>
      <w:bookmarkEnd w:id="376"/>
      <w:bookmarkEnd w:id="377"/>
      <w:bookmarkEnd w:id="378"/>
      <w:bookmarkEnd w:id="379"/>
      <w:bookmarkEnd w:id="380"/>
    </w:p>
    <w:p w14:paraId="7FF674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不得收受他人的财物或者其他好处，不得向他人透漏对响应性文件的评审和比较、成交候选人的推荐情况以及磋商有关的其他情况。在磋商活动中，磋商小组成员应当客观、公正地履行职责，遵守职业道德，不得擅离职守，影响磋商程序正常进行，不得使用第三章“磋商办法”没有规定的评审因素和标准进行磋商。</w:t>
      </w:r>
    </w:p>
    <w:p w14:paraId="2CEBFCF8">
      <w:pPr>
        <w:spacing w:line="360" w:lineRule="auto"/>
        <w:rPr>
          <w:rFonts w:hint="eastAsia" w:ascii="宋体" w:hAnsi="宋体" w:eastAsia="宋体" w:cs="宋体"/>
          <w:b/>
          <w:color w:val="auto"/>
          <w:szCs w:val="21"/>
          <w:highlight w:val="none"/>
        </w:rPr>
      </w:pPr>
      <w:bookmarkStart w:id="381" w:name="_Toc296602465"/>
      <w:bookmarkStart w:id="382" w:name="_Toc246996222"/>
      <w:bookmarkStart w:id="383" w:name="_Toc247085736"/>
      <w:bookmarkStart w:id="384" w:name="_Toc246996965"/>
      <w:bookmarkStart w:id="385" w:name="_Toc152045578"/>
      <w:bookmarkStart w:id="386" w:name="_Toc152042354"/>
      <w:bookmarkStart w:id="387" w:name="_Toc179632596"/>
      <w:bookmarkStart w:id="388" w:name="_Toc144974546"/>
      <w:r>
        <w:rPr>
          <w:rFonts w:hint="eastAsia" w:ascii="宋体" w:hAnsi="宋体" w:eastAsia="宋体" w:cs="宋体"/>
          <w:b/>
          <w:color w:val="auto"/>
          <w:szCs w:val="21"/>
          <w:highlight w:val="none"/>
        </w:rPr>
        <w:t>9.4对与磋商活动有关的工作人员的纪律要求</w:t>
      </w:r>
      <w:bookmarkEnd w:id="381"/>
      <w:bookmarkEnd w:id="382"/>
      <w:bookmarkEnd w:id="383"/>
      <w:bookmarkEnd w:id="384"/>
      <w:bookmarkEnd w:id="385"/>
      <w:bookmarkEnd w:id="386"/>
      <w:bookmarkEnd w:id="387"/>
    </w:p>
    <w:p w14:paraId="745492ED">
      <w:pPr>
        <w:spacing w:line="360" w:lineRule="auto"/>
        <w:ind w:firstLine="420" w:firstLineChars="200"/>
        <w:rPr>
          <w:rFonts w:hint="eastAsia" w:ascii="宋体" w:hAnsi="宋体" w:eastAsia="宋体" w:cs="宋体"/>
          <w:color w:val="auto"/>
          <w:szCs w:val="21"/>
          <w:highlight w:val="none"/>
        </w:rPr>
      </w:pPr>
      <w:bookmarkStart w:id="389" w:name="_Toc152042355"/>
      <w:r>
        <w:rPr>
          <w:rFonts w:hint="eastAsia" w:ascii="宋体" w:hAnsi="宋体" w:eastAsia="宋体" w:cs="宋体"/>
          <w:color w:val="auto"/>
          <w:szCs w:val="21"/>
          <w:highlight w:val="none"/>
        </w:rPr>
        <w:t>与磋商活动有关的工作人员不得收受他人的财物或者其他好处，不得向他人透漏对响应性文件的评审和比较、成交候选人的推荐情况以及磋商有关的其他情况。在磋商活动中，与磋商活动有关的工作人员不得擅离职守，影响磋商程序正常进行。</w:t>
      </w:r>
      <w:bookmarkEnd w:id="389"/>
    </w:p>
    <w:p w14:paraId="6B959052">
      <w:pPr>
        <w:spacing w:line="360" w:lineRule="auto"/>
        <w:rPr>
          <w:rFonts w:hint="eastAsia" w:ascii="宋体" w:hAnsi="宋体" w:eastAsia="宋体" w:cs="宋体"/>
          <w:b/>
          <w:color w:val="auto"/>
          <w:szCs w:val="21"/>
          <w:highlight w:val="none"/>
        </w:rPr>
      </w:pPr>
      <w:bookmarkStart w:id="390" w:name="_Toc179632597"/>
      <w:bookmarkStart w:id="391" w:name="_Toc152045579"/>
      <w:bookmarkStart w:id="392" w:name="_Toc246996223"/>
      <w:bookmarkStart w:id="393" w:name="_Toc247085737"/>
      <w:bookmarkStart w:id="394" w:name="_Toc152042356"/>
      <w:bookmarkStart w:id="395" w:name="_Toc296602466"/>
      <w:bookmarkStart w:id="396" w:name="_Toc246996966"/>
      <w:r>
        <w:rPr>
          <w:rFonts w:hint="eastAsia" w:ascii="宋体" w:hAnsi="宋体" w:eastAsia="宋体" w:cs="宋体"/>
          <w:b/>
          <w:color w:val="auto"/>
          <w:szCs w:val="21"/>
          <w:highlight w:val="none"/>
        </w:rPr>
        <w:t>9.5投诉</w:t>
      </w:r>
      <w:bookmarkEnd w:id="388"/>
      <w:bookmarkEnd w:id="390"/>
      <w:bookmarkEnd w:id="391"/>
      <w:bookmarkEnd w:id="392"/>
      <w:bookmarkEnd w:id="393"/>
      <w:bookmarkEnd w:id="394"/>
      <w:bookmarkEnd w:id="395"/>
      <w:bookmarkEnd w:id="396"/>
    </w:p>
    <w:p w14:paraId="63CE8E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响应人和其他利害关系人认为本次磋商活动违反法律、法规和规章规定的，有权向有关行政监督部门投诉。</w:t>
      </w:r>
      <w:bookmarkStart w:id="397" w:name="_Toc246996967"/>
      <w:bookmarkStart w:id="398" w:name="_Toc29926"/>
      <w:bookmarkStart w:id="399" w:name="_Toc246996224"/>
      <w:bookmarkStart w:id="400" w:name="_Toc152042357"/>
      <w:bookmarkStart w:id="401" w:name="_Toc179632598"/>
      <w:bookmarkStart w:id="402" w:name="_Toc247085738"/>
      <w:bookmarkStart w:id="403" w:name="_Toc152045580"/>
      <w:bookmarkStart w:id="404" w:name="_Toc14653"/>
      <w:bookmarkStart w:id="405" w:name="_Toc144974547"/>
      <w:bookmarkStart w:id="406" w:name="_Toc18893"/>
    </w:p>
    <w:p w14:paraId="06360B3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10.需要补充的其他内容</w:t>
      </w:r>
      <w:bookmarkEnd w:id="397"/>
      <w:bookmarkEnd w:id="398"/>
      <w:bookmarkEnd w:id="399"/>
      <w:bookmarkEnd w:id="400"/>
      <w:bookmarkEnd w:id="401"/>
      <w:bookmarkEnd w:id="402"/>
      <w:bookmarkEnd w:id="403"/>
      <w:bookmarkEnd w:id="404"/>
      <w:bookmarkEnd w:id="405"/>
      <w:bookmarkEnd w:id="406"/>
    </w:p>
    <w:p w14:paraId="625854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需要补充的其他内容：见响应人须知前附表。</w:t>
      </w:r>
    </w:p>
    <w:p w14:paraId="668848CB">
      <w:pPr>
        <w:spacing w:line="360" w:lineRule="auto"/>
        <w:outlineLvl w:val="9"/>
        <w:rPr>
          <w:rFonts w:hint="eastAsia" w:ascii="宋体" w:hAnsi="宋体" w:eastAsia="宋体" w:cs="宋体"/>
          <w:b/>
          <w:bCs/>
          <w:color w:val="auto"/>
          <w:sz w:val="22"/>
          <w:szCs w:val="28"/>
          <w:highlight w:val="none"/>
          <w:lang w:eastAsia="zh-CN"/>
        </w:rPr>
      </w:pPr>
      <w:bookmarkStart w:id="407" w:name="_Toc152042375"/>
      <w:bookmarkStart w:id="408" w:name="_Toc246996241"/>
      <w:bookmarkStart w:id="409" w:name="_Toc179632616"/>
      <w:bookmarkStart w:id="410" w:name="_Toc144974565"/>
      <w:bookmarkStart w:id="411" w:name="_Toc246996984"/>
      <w:bookmarkStart w:id="412" w:name="_Toc247085756"/>
      <w:bookmarkStart w:id="413" w:name="_Toc152045598"/>
      <w:r>
        <w:rPr>
          <w:rFonts w:hint="eastAsia" w:ascii="宋体" w:hAnsi="宋体" w:eastAsia="宋体" w:cs="宋体"/>
          <w:b/>
          <w:bCs/>
          <w:color w:val="auto"/>
          <w:sz w:val="22"/>
          <w:szCs w:val="28"/>
          <w:highlight w:val="none"/>
        </w:rPr>
        <w:t>特别提醒</w:t>
      </w:r>
      <w:r>
        <w:rPr>
          <w:rFonts w:hint="eastAsia" w:ascii="宋体" w:hAnsi="宋体" w:eastAsia="宋体" w:cs="宋体"/>
          <w:b/>
          <w:bCs/>
          <w:color w:val="auto"/>
          <w:sz w:val="22"/>
          <w:szCs w:val="28"/>
          <w:highlight w:val="none"/>
          <w:lang w:eastAsia="zh-CN"/>
        </w:rPr>
        <w:t>：</w:t>
      </w:r>
    </w:p>
    <w:p w14:paraId="514EE1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36"/>
          <w:szCs w:val="36"/>
          <w:highlight w:val="none"/>
        </w:rPr>
      </w:pPr>
      <w:r>
        <w:rPr>
          <w:rFonts w:hint="eastAsia" w:ascii="宋体" w:hAnsi="宋体" w:eastAsia="宋体" w:cs="宋体"/>
          <w:color w:val="auto"/>
          <w:sz w:val="21"/>
          <w:szCs w:val="21"/>
          <w:highlight w:val="none"/>
        </w:rPr>
        <w:t>二次报价为远程报价，开标结束后各供应商需安排专人负责关注电脑等候二次报价通知，以避免接收系统通知信息滞后影响二次报价。供应商应在规定的时间内进行最后报（原则上不超过30分钟，具体以系统显示时间为准），竞争性磋商报价以供应商的最后报价为准。如供应商的第二次报价高于采购控制价或供应商未在规定时间内二次报价的，视为</w:t>
      </w:r>
      <w:r>
        <w:rPr>
          <w:rFonts w:hint="eastAsia" w:ascii="宋体" w:hAnsi="宋体" w:eastAsia="宋体" w:cs="宋体"/>
          <w:color w:val="auto"/>
          <w:sz w:val="21"/>
          <w:szCs w:val="21"/>
          <w:highlight w:val="none"/>
          <w:lang w:val="en-US" w:eastAsia="zh-CN"/>
        </w:rPr>
        <w:t>放</w:t>
      </w:r>
      <w:r>
        <w:rPr>
          <w:rFonts w:hint="eastAsia" w:ascii="宋体" w:hAnsi="宋体" w:eastAsia="宋体" w:cs="宋体"/>
          <w:color w:val="auto"/>
          <w:sz w:val="21"/>
          <w:szCs w:val="21"/>
          <w:highlight w:val="none"/>
        </w:rPr>
        <w:t>弃投标，其递交的响应文件按照无效响应处理。</w:t>
      </w:r>
      <w:r>
        <w:rPr>
          <w:rFonts w:hint="eastAsia" w:ascii="宋体" w:hAnsi="宋体" w:eastAsia="宋体" w:cs="宋体"/>
          <w:color w:val="auto"/>
          <w:sz w:val="36"/>
          <w:szCs w:val="36"/>
          <w:highlight w:val="none"/>
        </w:rPr>
        <w:br w:type="page"/>
      </w:r>
    </w:p>
    <w:p w14:paraId="498A08FC">
      <w:pPr>
        <w:rPr>
          <w:rFonts w:hint="eastAsia" w:ascii="宋体" w:hAnsi="宋体" w:eastAsia="宋体" w:cs="宋体"/>
          <w:color w:val="auto"/>
          <w:szCs w:val="21"/>
          <w:highlight w:val="none"/>
        </w:rPr>
      </w:pPr>
    </w:p>
    <w:p w14:paraId="43FE4BB4">
      <w:pPr>
        <w:pStyle w:val="2"/>
        <w:spacing w:line="360" w:lineRule="auto"/>
        <w:jc w:val="center"/>
        <w:rPr>
          <w:rFonts w:hint="eastAsia" w:ascii="宋体" w:hAnsi="宋体" w:eastAsia="宋体" w:cs="宋体"/>
          <w:color w:val="auto"/>
          <w:sz w:val="21"/>
          <w:szCs w:val="21"/>
          <w:highlight w:val="none"/>
        </w:rPr>
      </w:pPr>
      <w:bookmarkStart w:id="414" w:name="_Toc5371"/>
      <w:bookmarkStart w:id="415" w:name="_Toc28959"/>
      <w:bookmarkStart w:id="416" w:name="_Toc28623"/>
      <w:r>
        <w:rPr>
          <w:rFonts w:hint="eastAsia" w:ascii="宋体" w:hAnsi="宋体" w:eastAsia="宋体" w:cs="宋体"/>
          <w:color w:val="auto"/>
          <w:sz w:val="36"/>
          <w:szCs w:val="36"/>
          <w:highlight w:val="none"/>
        </w:rPr>
        <w:t>第三章  磋商办法</w:t>
      </w:r>
      <w:bookmarkEnd w:id="407"/>
      <w:bookmarkEnd w:id="408"/>
      <w:bookmarkEnd w:id="409"/>
      <w:bookmarkEnd w:id="410"/>
      <w:bookmarkEnd w:id="411"/>
      <w:bookmarkEnd w:id="412"/>
      <w:bookmarkEnd w:id="413"/>
      <w:bookmarkEnd w:id="414"/>
      <w:bookmarkEnd w:id="415"/>
      <w:bookmarkEnd w:id="416"/>
    </w:p>
    <w:tbl>
      <w:tblPr>
        <w:tblStyle w:val="26"/>
        <w:tblpPr w:leftFromText="180" w:rightFromText="180" w:vertAnchor="text" w:horzAnchor="page" w:tblpX="1154" w:tblpY="467"/>
        <w:tblOverlap w:val="never"/>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9"/>
        <w:gridCol w:w="1022"/>
        <w:gridCol w:w="1998"/>
        <w:gridCol w:w="5085"/>
      </w:tblGrid>
      <w:tr w14:paraId="42A9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Align w:val="center"/>
          </w:tcPr>
          <w:p w14:paraId="0DAB1F1F">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条款号</w:t>
            </w:r>
          </w:p>
        </w:tc>
        <w:tc>
          <w:tcPr>
            <w:tcW w:w="3020" w:type="dxa"/>
            <w:gridSpan w:val="2"/>
            <w:vAlign w:val="center"/>
          </w:tcPr>
          <w:p w14:paraId="78D59CDC">
            <w:pPr>
              <w:pStyle w:val="46"/>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评审因素</w:t>
            </w:r>
          </w:p>
        </w:tc>
        <w:tc>
          <w:tcPr>
            <w:tcW w:w="5085" w:type="dxa"/>
            <w:vAlign w:val="center"/>
          </w:tcPr>
          <w:p w14:paraId="35EF9165">
            <w:pPr>
              <w:pStyle w:val="46"/>
              <w:spacing w:line="360" w:lineRule="auto"/>
              <w:ind w:firstLine="1687" w:firstLineChars="8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1B50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restart"/>
          </w:tcPr>
          <w:p w14:paraId="7E478133">
            <w:pPr>
              <w:pStyle w:val="46"/>
              <w:spacing w:line="360" w:lineRule="auto"/>
              <w:jc w:val="center"/>
              <w:rPr>
                <w:rFonts w:hint="eastAsia" w:ascii="宋体" w:hAnsi="宋体" w:eastAsia="宋体" w:cs="宋体"/>
                <w:b/>
                <w:bCs/>
                <w:color w:val="auto"/>
                <w:szCs w:val="21"/>
                <w:highlight w:val="none"/>
              </w:rPr>
            </w:pPr>
          </w:p>
          <w:p w14:paraId="1834876D">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022" w:type="dxa"/>
            <w:vMerge w:val="restart"/>
            <w:vAlign w:val="center"/>
          </w:tcPr>
          <w:p w14:paraId="323C2ADA">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符合性评审标准</w:t>
            </w:r>
          </w:p>
        </w:tc>
        <w:tc>
          <w:tcPr>
            <w:tcW w:w="1998" w:type="dxa"/>
            <w:vAlign w:val="center"/>
          </w:tcPr>
          <w:p w14:paraId="4944C742">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5085" w:type="dxa"/>
            <w:vAlign w:val="center"/>
          </w:tcPr>
          <w:p w14:paraId="6E9D158D">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与营业执照、资质证书一致</w:t>
            </w:r>
          </w:p>
        </w:tc>
      </w:tr>
      <w:tr w14:paraId="7021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02541763">
            <w:pPr>
              <w:spacing w:line="360" w:lineRule="auto"/>
              <w:jc w:val="center"/>
              <w:rPr>
                <w:rFonts w:hint="eastAsia" w:ascii="宋体" w:hAnsi="宋体" w:eastAsia="宋体" w:cs="宋体"/>
                <w:color w:val="auto"/>
                <w:szCs w:val="21"/>
                <w:highlight w:val="none"/>
              </w:rPr>
            </w:pPr>
          </w:p>
        </w:tc>
        <w:tc>
          <w:tcPr>
            <w:tcW w:w="1022" w:type="dxa"/>
            <w:vMerge w:val="continue"/>
          </w:tcPr>
          <w:p w14:paraId="6F11F226">
            <w:pPr>
              <w:spacing w:line="360" w:lineRule="auto"/>
              <w:jc w:val="center"/>
              <w:rPr>
                <w:rFonts w:hint="eastAsia" w:ascii="宋体" w:hAnsi="宋体" w:eastAsia="宋体" w:cs="宋体"/>
                <w:color w:val="auto"/>
                <w:szCs w:val="21"/>
                <w:highlight w:val="none"/>
              </w:rPr>
            </w:pPr>
          </w:p>
        </w:tc>
        <w:tc>
          <w:tcPr>
            <w:tcW w:w="1998" w:type="dxa"/>
            <w:vAlign w:val="center"/>
          </w:tcPr>
          <w:p w14:paraId="1E839D10">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签字盖章</w:t>
            </w:r>
          </w:p>
        </w:tc>
        <w:tc>
          <w:tcPr>
            <w:tcW w:w="5085" w:type="dxa"/>
            <w:vAlign w:val="center"/>
          </w:tcPr>
          <w:p w14:paraId="3A2D1F97">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符合磋商文件要求</w:t>
            </w:r>
          </w:p>
        </w:tc>
      </w:tr>
      <w:tr w14:paraId="02EA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5AE436E9">
            <w:pPr>
              <w:spacing w:line="360" w:lineRule="auto"/>
              <w:jc w:val="center"/>
              <w:rPr>
                <w:rFonts w:hint="eastAsia" w:ascii="宋体" w:hAnsi="宋体" w:eastAsia="宋体" w:cs="宋体"/>
                <w:color w:val="auto"/>
                <w:szCs w:val="21"/>
                <w:highlight w:val="none"/>
              </w:rPr>
            </w:pPr>
          </w:p>
        </w:tc>
        <w:tc>
          <w:tcPr>
            <w:tcW w:w="1022" w:type="dxa"/>
            <w:vMerge w:val="continue"/>
          </w:tcPr>
          <w:p w14:paraId="001B6FD3">
            <w:pPr>
              <w:spacing w:line="360" w:lineRule="auto"/>
              <w:jc w:val="center"/>
              <w:rPr>
                <w:rFonts w:hint="eastAsia" w:ascii="宋体" w:hAnsi="宋体" w:eastAsia="宋体" w:cs="宋体"/>
                <w:color w:val="auto"/>
                <w:szCs w:val="21"/>
                <w:highlight w:val="none"/>
              </w:rPr>
            </w:pPr>
          </w:p>
        </w:tc>
        <w:tc>
          <w:tcPr>
            <w:tcW w:w="1998" w:type="dxa"/>
            <w:vAlign w:val="center"/>
          </w:tcPr>
          <w:p w14:paraId="379DA9B3">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5085" w:type="dxa"/>
            <w:vAlign w:val="center"/>
          </w:tcPr>
          <w:p w14:paraId="36840CC6">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响应报价只能有一个有效报价且不超过最高限价</w:t>
            </w:r>
          </w:p>
        </w:tc>
      </w:tr>
      <w:tr w14:paraId="14CA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restart"/>
            <w:vAlign w:val="center"/>
          </w:tcPr>
          <w:p w14:paraId="06CD40C9">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022" w:type="dxa"/>
            <w:vMerge w:val="restart"/>
            <w:vAlign w:val="center"/>
          </w:tcPr>
          <w:p w14:paraId="0B3B2229">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769A3FC5">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1998" w:type="dxa"/>
            <w:vAlign w:val="center"/>
          </w:tcPr>
          <w:p w14:paraId="168D650E">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5085" w:type="dxa"/>
          </w:tcPr>
          <w:p w14:paraId="496A79AA">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具备有效的营业执照副本（如为事业单位，提供法人证书副本）</w:t>
            </w:r>
          </w:p>
        </w:tc>
      </w:tr>
      <w:tr w14:paraId="58D7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vAlign w:val="center"/>
          </w:tcPr>
          <w:p w14:paraId="3146F0A0">
            <w:pPr>
              <w:pStyle w:val="46"/>
              <w:spacing w:line="360" w:lineRule="auto"/>
              <w:jc w:val="center"/>
              <w:rPr>
                <w:rFonts w:hint="eastAsia" w:ascii="宋体" w:hAnsi="宋体" w:eastAsia="宋体" w:cs="宋体"/>
                <w:color w:val="auto"/>
                <w:szCs w:val="21"/>
                <w:highlight w:val="none"/>
              </w:rPr>
            </w:pPr>
          </w:p>
        </w:tc>
        <w:tc>
          <w:tcPr>
            <w:tcW w:w="1022" w:type="dxa"/>
            <w:vMerge w:val="continue"/>
            <w:vAlign w:val="center"/>
          </w:tcPr>
          <w:p w14:paraId="0989E4DF">
            <w:pPr>
              <w:pStyle w:val="46"/>
              <w:spacing w:line="360" w:lineRule="auto"/>
              <w:jc w:val="center"/>
              <w:rPr>
                <w:rFonts w:hint="eastAsia" w:ascii="宋体" w:hAnsi="宋体" w:eastAsia="宋体" w:cs="宋体"/>
                <w:color w:val="auto"/>
                <w:szCs w:val="21"/>
                <w:highlight w:val="none"/>
              </w:rPr>
            </w:pPr>
          </w:p>
        </w:tc>
        <w:tc>
          <w:tcPr>
            <w:tcW w:w="1998" w:type="dxa"/>
            <w:vAlign w:val="center"/>
          </w:tcPr>
          <w:p w14:paraId="0A1E0213">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5085" w:type="dxa"/>
            <w:vAlign w:val="center"/>
          </w:tcPr>
          <w:p w14:paraId="3C425C2F">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符合第二章“供应商须知前附表”第1.4.1项规定</w:t>
            </w:r>
          </w:p>
        </w:tc>
      </w:tr>
      <w:tr w14:paraId="2C76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vAlign w:val="center"/>
          </w:tcPr>
          <w:p w14:paraId="553CCA37">
            <w:pPr>
              <w:pStyle w:val="46"/>
              <w:spacing w:line="360" w:lineRule="auto"/>
              <w:jc w:val="center"/>
              <w:rPr>
                <w:rFonts w:hint="eastAsia" w:ascii="宋体" w:hAnsi="宋体" w:eastAsia="宋体" w:cs="宋体"/>
                <w:color w:val="auto"/>
                <w:szCs w:val="21"/>
                <w:highlight w:val="none"/>
              </w:rPr>
            </w:pPr>
          </w:p>
        </w:tc>
        <w:tc>
          <w:tcPr>
            <w:tcW w:w="1022" w:type="dxa"/>
            <w:vMerge w:val="continue"/>
            <w:vAlign w:val="center"/>
          </w:tcPr>
          <w:p w14:paraId="18268E81">
            <w:pPr>
              <w:pStyle w:val="46"/>
              <w:spacing w:line="360" w:lineRule="auto"/>
              <w:jc w:val="center"/>
              <w:rPr>
                <w:rFonts w:hint="eastAsia" w:ascii="宋体" w:hAnsi="宋体" w:eastAsia="宋体" w:cs="宋体"/>
                <w:color w:val="auto"/>
                <w:szCs w:val="21"/>
                <w:highlight w:val="none"/>
              </w:rPr>
            </w:pPr>
          </w:p>
        </w:tc>
        <w:tc>
          <w:tcPr>
            <w:tcW w:w="1998" w:type="dxa"/>
            <w:vAlign w:val="center"/>
          </w:tcPr>
          <w:p w14:paraId="1A359B45">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项目经理要求</w:t>
            </w:r>
          </w:p>
        </w:tc>
        <w:tc>
          <w:tcPr>
            <w:tcW w:w="5085" w:type="dxa"/>
            <w:vAlign w:val="center"/>
          </w:tcPr>
          <w:p w14:paraId="15926695">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符合第二章“供应商须知前附表”第1.4.1项规定</w:t>
            </w:r>
          </w:p>
        </w:tc>
      </w:tr>
      <w:tr w14:paraId="2130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vAlign w:val="center"/>
          </w:tcPr>
          <w:p w14:paraId="4B6972FC">
            <w:pPr>
              <w:pStyle w:val="46"/>
              <w:spacing w:line="360" w:lineRule="auto"/>
              <w:jc w:val="center"/>
              <w:rPr>
                <w:rFonts w:hint="eastAsia" w:ascii="宋体" w:hAnsi="宋体" w:eastAsia="宋体" w:cs="宋体"/>
                <w:color w:val="auto"/>
                <w:szCs w:val="21"/>
                <w:highlight w:val="none"/>
              </w:rPr>
            </w:pPr>
          </w:p>
        </w:tc>
        <w:tc>
          <w:tcPr>
            <w:tcW w:w="1022" w:type="dxa"/>
            <w:vMerge w:val="continue"/>
            <w:vAlign w:val="center"/>
          </w:tcPr>
          <w:p w14:paraId="276D1699">
            <w:pPr>
              <w:pStyle w:val="46"/>
              <w:spacing w:line="360" w:lineRule="auto"/>
              <w:jc w:val="center"/>
              <w:rPr>
                <w:rFonts w:hint="eastAsia" w:ascii="宋体" w:hAnsi="宋体" w:eastAsia="宋体" w:cs="宋体"/>
                <w:color w:val="auto"/>
                <w:szCs w:val="21"/>
                <w:highlight w:val="none"/>
              </w:rPr>
            </w:pPr>
          </w:p>
        </w:tc>
        <w:tc>
          <w:tcPr>
            <w:tcW w:w="1998" w:type="dxa"/>
            <w:vAlign w:val="center"/>
          </w:tcPr>
          <w:p w14:paraId="1F08B863">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信誉要求</w:t>
            </w:r>
          </w:p>
        </w:tc>
        <w:tc>
          <w:tcPr>
            <w:tcW w:w="5085" w:type="dxa"/>
            <w:vAlign w:val="center"/>
          </w:tcPr>
          <w:p w14:paraId="2C966869">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符合第二章“供应商须知前附表”第1.4.1项规定</w:t>
            </w:r>
          </w:p>
        </w:tc>
      </w:tr>
      <w:tr w14:paraId="17ED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55BAF36D">
            <w:pPr>
              <w:spacing w:line="360" w:lineRule="auto"/>
              <w:jc w:val="center"/>
              <w:rPr>
                <w:rFonts w:hint="eastAsia" w:ascii="宋体" w:hAnsi="宋体" w:eastAsia="宋体" w:cs="宋体"/>
                <w:color w:val="auto"/>
                <w:szCs w:val="21"/>
                <w:highlight w:val="none"/>
              </w:rPr>
            </w:pPr>
          </w:p>
        </w:tc>
        <w:tc>
          <w:tcPr>
            <w:tcW w:w="1022" w:type="dxa"/>
            <w:vMerge w:val="continue"/>
          </w:tcPr>
          <w:p w14:paraId="00198DAB">
            <w:pPr>
              <w:spacing w:line="360" w:lineRule="auto"/>
              <w:jc w:val="center"/>
              <w:rPr>
                <w:rFonts w:hint="eastAsia" w:ascii="宋体" w:hAnsi="宋体" w:eastAsia="宋体" w:cs="宋体"/>
                <w:color w:val="auto"/>
                <w:szCs w:val="21"/>
                <w:highlight w:val="none"/>
              </w:rPr>
            </w:pPr>
          </w:p>
        </w:tc>
        <w:tc>
          <w:tcPr>
            <w:tcW w:w="1998" w:type="dxa"/>
            <w:vAlign w:val="center"/>
          </w:tcPr>
          <w:p w14:paraId="6F5C9044">
            <w:pPr>
              <w:pStyle w:val="24"/>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《中华人民共和国政府采购法》的二十二条的规定的条件</w:t>
            </w:r>
          </w:p>
        </w:tc>
        <w:tc>
          <w:tcPr>
            <w:tcW w:w="5085" w:type="dxa"/>
            <w:vAlign w:val="center"/>
          </w:tcPr>
          <w:p w14:paraId="4D1774EB">
            <w:pPr>
              <w:pStyle w:val="24"/>
              <w:spacing w:line="360" w:lineRule="auto"/>
              <w:ind w:firstLine="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符合第二章“供应商须知前附表”第1.4.1项规定</w:t>
            </w:r>
          </w:p>
        </w:tc>
      </w:tr>
      <w:tr w14:paraId="7BF7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0297E4DD">
            <w:pPr>
              <w:spacing w:line="360" w:lineRule="auto"/>
              <w:jc w:val="center"/>
              <w:rPr>
                <w:rFonts w:hint="eastAsia" w:ascii="宋体" w:hAnsi="宋体" w:eastAsia="宋体" w:cs="宋体"/>
                <w:color w:val="auto"/>
                <w:szCs w:val="21"/>
                <w:highlight w:val="none"/>
              </w:rPr>
            </w:pPr>
          </w:p>
        </w:tc>
        <w:tc>
          <w:tcPr>
            <w:tcW w:w="1022" w:type="dxa"/>
            <w:vMerge w:val="continue"/>
          </w:tcPr>
          <w:p w14:paraId="183391AF">
            <w:pPr>
              <w:spacing w:line="360" w:lineRule="auto"/>
              <w:jc w:val="center"/>
              <w:rPr>
                <w:rFonts w:hint="eastAsia" w:ascii="宋体" w:hAnsi="宋体" w:eastAsia="宋体" w:cs="宋体"/>
                <w:color w:val="auto"/>
                <w:szCs w:val="21"/>
                <w:highlight w:val="none"/>
              </w:rPr>
            </w:pPr>
          </w:p>
        </w:tc>
        <w:tc>
          <w:tcPr>
            <w:tcW w:w="1998" w:type="dxa"/>
            <w:vAlign w:val="center"/>
          </w:tcPr>
          <w:p w14:paraId="0D689E2D">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085" w:type="dxa"/>
            <w:vAlign w:val="center"/>
          </w:tcPr>
          <w:p w14:paraId="0188E64A">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符合第二章“供应商须知前附表”第1.4.1项规定</w:t>
            </w:r>
          </w:p>
        </w:tc>
      </w:tr>
      <w:tr w14:paraId="7CD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restart"/>
            <w:vAlign w:val="center"/>
          </w:tcPr>
          <w:p w14:paraId="5A1F9D71">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022" w:type="dxa"/>
            <w:vMerge w:val="restart"/>
            <w:vAlign w:val="center"/>
          </w:tcPr>
          <w:p w14:paraId="09E7CD66">
            <w:pPr>
              <w:pStyle w:val="46"/>
              <w:spacing w:line="360" w:lineRule="auto"/>
              <w:jc w:val="center"/>
              <w:rPr>
                <w:rFonts w:hint="eastAsia" w:ascii="宋体" w:hAnsi="宋体" w:eastAsia="宋体" w:cs="宋体"/>
                <w:b/>
                <w:bCs/>
                <w:color w:val="auto"/>
                <w:szCs w:val="21"/>
                <w:highlight w:val="none"/>
              </w:rPr>
            </w:pPr>
          </w:p>
          <w:p w14:paraId="1CBF7143">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1998" w:type="dxa"/>
            <w:vAlign w:val="center"/>
          </w:tcPr>
          <w:p w14:paraId="7768DB72">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响应范围</w:t>
            </w:r>
          </w:p>
        </w:tc>
        <w:tc>
          <w:tcPr>
            <w:tcW w:w="5085" w:type="dxa"/>
            <w:vAlign w:val="center"/>
          </w:tcPr>
          <w:p w14:paraId="0CB7A8E4">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符合第二章“供应商须知前附表”第1.3.1项规定</w:t>
            </w:r>
          </w:p>
        </w:tc>
      </w:tr>
      <w:tr w14:paraId="7BCF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5C1D06B2">
            <w:pPr>
              <w:spacing w:line="360" w:lineRule="auto"/>
              <w:rPr>
                <w:rFonts w:hint="eastAsia" w:ascii="宋体" w:hAnsi="宋体" w:eastAsia="宋体" w:cs="宋体"/>
                <w:color w:val="auto"/>
                <w:szCs w:val="21"/>
                <w:highlight w:val="none"/>
              </w:rPr>
            </w:pPr>
          </w:p>
        </w:tc>
        <w:tc>
          <w:tcPr>
            <w:tcW w:w="1022" w:type="dxa"/>
            <w:vMerge w:val="continue"/>
          </w:tcPr>
          <w:p w14:paraId="6096BE64">
            <w:pPr>
              <w:spacing w:line="360" w:lineRule="auto"/>
              <w:rPr>
                <w:rFonts w:hint="eastAsia" w:ascii="宋体" w:hAnsi="宋体" w:eastAsia="宋体" w:cs="宋体"/>
                <w:color w:val="auto"/>
                <w:szCs w:val="21"/>
                <w:highlight w:val="none"/>
              </w:rPr>
            </w:pPr>
          </w:p>
        </w:tc>
        <w:tc>
          <w:tcPr>
            <w:tcW w:w="1998" w:type="dxa"/>
            <w:vAlign w:val="center"/>
          </w:tcPr>
          <w:p w14:paraId="1212F978">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085" w:type="dxa"/>
            <w:vAlign w:val="center"/>
          </w:tcPr>
          <w:p w14:paraId="7CF91CB9">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符合第二章“供应商须知前附表”第1.3.2项规定</w:t>
            </w:r>
          </w:p>
        </w:tc>
      </w:tr>
      <w:tr w14:paraId="3671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718C9FB8">
            <w:pPr>
              <w:spacing w:line="360" w:lineRule="auto"/>
              <w:rPr>
                <w:rFonts w:hint="eastAsia" w:ascii="宋体" w:hAnsi="宋体" w:eastAsia="宋体" w:cs="宋体"/>
                <w:color w:val="auto"/>
                <w:szCs w:val="21"/>
                <w:highlight w:val="none"/>
              </w:rPr>
            </w:pPr>
          </w:p>
        </w:tc>
        <w:tc>
          <w:tcPr>
            <w:tcW w:w="1022" w:type="dxa"/>
            <w:vMerge w:val="continue"/>
          </w:tcPr>
          <w:p w14:paraId="3AD84C28">
            <w:pPr>
              <w:spacing w:line="360" w:lineRule="auto"/>
              <w:rPr>
                <w:rFonts w:hint="eastAsia" w:ascii="宋体" w:hAnsi="宋体" w:eastAsia="宋体" w:cs="宋体"/>
                <w:color w:val="auto"/>
                <w:szCs w:val="21"/>
                <w:highlight w:val="none"/>
              </w:rPr>
            </w:pPr>
          </w:p>
        </w:tc>
        <w:tc>
          <w:tcPr>
            <w:tcW w:w="1998" w:type="dxa"/>
            <w:vAlign w:val="center"/>
          </w:tcPr>
          <w:p w14:paraId="16EE6D2E">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085" w:type="dxa"/>
            <w:vAlign w:val="center"/>
          </w:tcPr>
          <w:p w14:paraId="53DF3E99">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符合第二章“供应商须知前附表”第1.3.3项规定</w:t>
            </w:r>
          </w:p>
        </w:tc>
      </w:tr>
      <w:tr w14:paraId="120D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7B5A6A11">
            <w:pPr>
              <w:spacing w:line="360" w:lineRule="auto"/>
              <w:rPr>
                <w:rFonts w:hint="eastAsia" w:ascii="宋体" w:hAnsi="宋体" w:eastAsia="宋体" w:cs="宋体"/>
                <w:color w:val="auto"/>
                <w:szCs w:val="21"/>
                <w:highlight w:val="none"/>
              </w:rPr>
            </w:pPr>
          </w:p>
        </w:tc>
        <w:tc>
          <w:tcPr>
            <w:tcW w:w="1022" w:type="dxa"/>
            <w:vMerge w:val="continue"/>
          </w:tcPr>
          <w:p w14:paraId="70E2C5D5">
            <w:pPr>
              <w:spacing w:line="360" w:lineRule="auto"/>
              <w:rPr>
                <w:rFonts w:hint="eastAsia" w:ascii="宋体" w:hAnsi="宋体" w:eastAsia="宋体" w:cs="宋体"/>
                <w:color w:val="auto"/>
                <w:szCs w:val="21"/>
                <w:highlight w:val="none"/>
              </w:rPr>
            </w:pPr>
          </w:p>
        </w:tc>
        <w:tc>
          <w:tcPr>
            <w:tcW w:w="1998" w:type="dxa"/>
            <w:vAlign w:val="center"/>
          </w:tcPr>
          <w:p w14:paraId="46CC5D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5085" w:type="dxa"/>
            <w:vAlign w:val="center"/>
          </w:tcPr>
          <w:p w14:paraId="293C86D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符合第四章“合同条款及格式”中的要求和条件</w:t>
            </w:r>
          </w:p>
        </w:tc>
      </w:tr>
      <w:tr w14:paraId="74C9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3BEFC35C">
            <w:pPr>
              <w:spacing w:line="360" w:lineRule="auto"/>
              <w:rPr>
                <w:rFonts w:hint="eastAsia" w:ascii="宋体" w:hAnsi="宋体" w:eastAsia="宋体" w:cs="宋体"/>
                <w:color w:val="auto"/>
                <w:szCs w:val="21"/>
                <w:highlight w:val="none"/>
              </w:rPr>
            </w:pPr>
          </w:p>
        </w:tc>
        <w:tc>
          <w:tcPr>
            <w:tcW w:w="1022" w:type="dxa"/>
            <w:vMerge w:val="continue"/>
          </w:tcPr>
          <w:p w14:paraId="782681D3">
            <w:pPr>
              <w:spacing w:line="360" w:lineRule="auto"/>
              <w:rPr>
                <w:rFonts w:hint="eastAsia" w:ascii="宋体" w:hAnsi="宋体" w:eastAsia="宋体" w:cs="宋体"/>
                <w:color w:val="auto"/>
                <w:szCs w:val="21"/>
                <w:highlight w:val="none"/>
              </w:rPr>
            </w:pPr>
          </w:p>
        </w:tc>
        <w:tc>
          <w:tcPr>
            <w:tcW w:w="1998" w:type="dxa"/>
            <w:vAlign w:val="center"/>
          </w:tcPr>
          <w:p w14:paraId="784F80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已标价工程量清单</w:t>
            </w:r>
          </w:p>
        </w:tc>
        <w:tc>
          <w:tcPr>
            <w:tcW w:w="5085" w:type="dxa"/>
            <w:vAlign w:val="center"/>
          </w:tcPr>
          <w:p w14:paraId="1D12C98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符合磋商文件第五章“工程量清单”给出的范围及数量</w:t>
            </w:r>
          </w:p>
        </w:tc>
      </w:tr>
      <w:tr w14:paraId="68B4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708D566D">
            <w:pPr>
              <w:spacing w:line="360" w:lineRule="auto"/>
              <w:rPr>
                <w:rFonts w:hint="eastAsia" w:ascii="宋体" w:hAnsi="宋体" w:eastAsia="宋体" w:cs="宋体"/>
                <w:color w:val="auto"/>
                <w:szCs w:val="21"/>
                <w:highlight w:val="none"/>
              </w:rPr>
            </w:pPr>
          </w:p>
        </w:tc>
        <w:tc>
          <w:tcPr>
            <w:tcW w:w="1022" w:type="dxa"/>
            <w:vMerge w:val="continue"/>
          </w:tcPr>
          <w:p w14:paraId="793978D3">
            <w:pPr>
              <w:spacing w:line="360" w:lineRule="auto"/>
              <w:rPr>
                <w:rFonts w:hint="eastAsia" w:ascii="宋体" w:hAnsi="宋体" w:eastAsia="宋体" w:cs="宋体"/>
                <w:color w:val="auto"/>
                <w:szCs w:val="21"/>
                <w:highlight w:val="none"/>
              </w:rPr>
            </w:pPr>
          </w:p>
        </w:tc>
        <w:tc>
          <w:tcPr>
            <w:tcW w:w="1998" w:type="dxa"/>
            <w:vAlign w:val="center"/>
          </w:tcPr>
          <w:p w14:paraId="2CDD1F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tc>
        <w:tc>
          <w:tcPr>
            <w:tcW w:w="5085" w:type="dxa"/>
            <w:vAlign w:val="center"/>
          </w:tcPr>
          <w:p w14:paraId="3A18E92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符合磋商文件第七章“技术标准和要求”规定</w:t>
            </w:r>
          </w:p>
        </w:tc>
      </w:tr>
      <w:tr w14:paraId="78BB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 w:type="dxa"/>
            <w:vMerge w:val="continue"/>
          </w:tcPr>
          <w:p w14:paraId="7A515150">
            <w:pPr>
              <w:spacing w:line="360" w:lineRule="auto"/>
              <w:rPr>
                <w:rFonts w:hint="eastAsia" w:ascii="宋体" w:hAnsi="宋体" w:eastAsia="宋体" w:cs="宋体"/>
                <w:color w:val="auto"/>
                <w:szCs w:val="21"/>
                <w:highlight w:val="none"/>
              </w:rPr>
            </w:pPr>
          </w:p>
        </w:tc>
        <w:tc>
          <w:tcPr>
            <w:tcW w:w="1022" w:type="dxa"/>
            <w:vMerge w:val="continue"/>
          </w:tcPr>
          <w:p w14:paraId="1CA9670C">
            <w:pPr>
              <w:spacing w:line="360" w:lineRule="auto"/>
              <w:rPr>
                <w:rFonts w:hint="eastAsia" w:ascii="宋体" w:hAnsi="宋体" w:eastAsia="宋体" w:cs="宋体"/>
                <w:color w:val="auto"/>
                <w:szCs w:val="21"/>
                <w:highlight w:val="none"/>
              </w:rPr>
            </w:pPr>
          </w:p>
        </w:tc>
        <w:tc>
          <w:tcPr>
            <w:tcW w:w="1998" w:type="dxa"/>
            <w:vAlign w:val="center"/>
          </w:tcPr>
          <w:p w14:paraId="29E2E9F0">
            <w:pPr>
              <w:pStyle w:val="46"/>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5085" w:type="dxa"/>
            <w:vAlign w:val="center"/>
          </w:tcPr>
          <w:p w14:paraId="013566F8">
            <w:pPr>
              <w:pStyle w:val="46"/>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符合第二章“供应商须知前附表”第3.3.1项规定</w:t>
            </w:r>
          </w:p>
        </w:tc>
      </w:tr>
    </w:tbl>
    <w:p w14:paraId="5DE13F59">
      <w:pPr>
        <w:spacing w:line="360" w:lineRule="auto"/>
        <w:jc w:val="center"/>
        <w:rPr>
          <w:rFonts w:hint="eastAsia" w:ascii="宋体" w:hAnsi="宋体" w:eastAsia="宋体" w:cs="宋体"/>
          <w:b/>
          <w:color w:val="auto"/>
          <w:szCs w:val="21"/>
          <w:highlight w:val="none"/>
        </w:rPr>
      </w:pPr>
    </w:p>
    <w:p w14:paraId="78319F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评标办法前附表</w:t>
      </w:r>
    </w:p>
    <w:tbl>
      <w:tblPr>
        <w:tblStyle w:val="26"/>
        <w:tblW w:w="5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50"/>
        <w:gridCol w:w="1496"/>
        <w:gridCol w:w="5779"/>
      </w:tblGrid>
      <w:tr w14:paraId="334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noWrap w:val="0"/>
            <w:vAlign w:val="center"/>
          </w:tcPr>
          <w:p w14:paraId="66C2CD7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3900" w:type="pct"/>
            <w:gridSpan w:val="2"/>
            <w:noWrap w:val="0"/>
            <w:vAlign w:val="center"/>
          </w:tcPr>
          <w:p w14:paraId="1DBB52C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13C7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noWrap w:val="0"/>
            <w:vAlign w:val="center"/>
          </w:tcPr>
          <w:p w14:paraId="1CC94F6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763BA44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3900" w:type="pct"/>
            <w:gridSpan w:val="2"/>
            <w:noWrap w:val="0"/>
            <w:vAlign w:val="top"/>
          </w:tcPr>
          <w:p w14:paraId="05CA0B9C">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p w14:paraId="0EB4A2CE">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商务部分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p w14:paraId="0460DB33">
            <w:pPr>
              <w:spacing w:line="360" w:lineRule="auto"/>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w:t>
            </w:r>
          </w:p>
        </w:tc>
      </w:tr>
      <w:tr w14:paraId="7B4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noWrap w:val="0"/>
            <w:vAlign w:val="center"/>
          </w:tcPr>
          <w:p w14:paraId="1F0229C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投标报价评分标准</w:t>
            </w:r>
          </w:p>
          <w:p w14:paraId="5991F1B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3900" w:type="pct"/>
            <w:gridSpan w:val="2"/>
            <w:noWrap w:val="0"/>
            <w:vAlign w:val="center"/>
          </w:tcPr>
          <w:p w14:paraId="4D5CDE0A">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以满足磋商文件要求且最后磋商价格最低的供应商的价格做为磋商基准价，其价格分为30分。其他供应商的得分统一按照下列公式计算：投标报价得分=（磋商基准价/磋商价格）×30</w:t>
            </w:r>
          </w:p>
          <w:p w14:paraId="6F8E61EC">
            <w:pPr>
              <w:pStyle w:val="9"/>
              <w:topLinePunct/>
              <w:spacing w:line="360" w:lineRule="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符合政府采购相关政策的供应商其报价均以扣除优惠比率后的价格作为报价参与评审，优惠比例见响应人须知前附表。</w:t>
            </w:r>
          </w:p>
        </w:tc>
      </w:tr>
      <w:tr w14:paraId="6E9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restart"/>
            <w:noWrap w:val="0"/>
            <w:vAlign w:val="center"/>
          </w:tcPr>
          <w:p w14:paraId="314C6D2B">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商务部分</w:t>
            </w:r>
          </w:p>
          <w:p w14:paraId="34074F2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802" w:type="pct"/>
            <w:noWrap w:val="0"/>
            <w:vAlign w:val="center"/>
          </w:tcPr>
          <w:p w14:paraId="083AE82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人员管理</w:t>
            </w:r>
          </w:p>
          <w:p w14:paraId="0B1E9028">
            <w:pPr>
              <w:spacing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3098" w:type="pct"/>
            <w:noWrap w:val="0"/>
            <w:vAlign w:val="center"/>
          </w:tcPr>
          <w:p w14:paraId="0EDA92A5">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拟派的项目人员中有政府部门颁发的电工相关证书 （特种作业操作证、职业资格证书、建筑施工特种操作资格证等）的每有一人得1分，最多得4 分。响应文件中需附人员证书及供应商为其缴纳的近三个月（2025 年4月-2025年6月）任意一个月的个人社保查询单扫描件并加盖公章，否则不得分。</w:t>
            </w:r>
          </w:p>
        </w:tc>
      </w:tr>
      <w:tr w14:paraId="2DD7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6FE6BBF3">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373958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p w14:paraId="70271D36">
            <w:pPr>
              <w:spacing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098" w:type="pct"/>
            <w:noWrap w:val="0"/>
            <w:vAlign w:val="center"/>
          </w:tcPr>
          <w:p w14:paraId="6B5F36A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年1月1日（以合同签订时间为准）以来</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类似项目业绩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7FC1340">
            <w:pPr>
              <w:spacing w:line="36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（以合同签订时间为准,须同时提供合同、中标通知书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验收报告扫描件或复印件）</w:t>
            </w:r>
          </w:p>
        </w:tc>
      </w:tr>
      <w:tr w14:paraId="64FA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jc w:val="center"/>
        </w:trPr>
        <w:tc>
          <w:tcPr>
            <w:tcW w:w="1099" w:type="pct"/>
            <w:vMerge w:val="continue"/>
            <w:noWrap w:val="0"/>
            <w:vAlign w:val="center"/>
          </w:tcPr>
          <w:p w14:paraId="6D82C966">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45E8E3F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w:t>
            </w:r>
          </w:p>
          <w:p w14:paraId="4B3EA6E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098" w:type="pct"/>
            <w:noWrap w:val="0"/>
            <w:vAlign w:val="center"/>
          </w:tcPr>
          <w:p w14:paraId="6E5C9A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（1）施工期间：加强安全防护措施，保证安全文明施工，不发生各种安全事故，承担安全文明施工费用，且保证措施合理可行(</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3DD6AB5F">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①施工期间服务承诺内容完善，得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3B566144">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②施工期间服务承诺内容较完善，得1分</w:t>
            </w:r>
          </w:p>
          <w:p w14:paraId="0CD976B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（2）根据不拖欠农民工工资的具体承诺、相应措施和便于落实的程度进行打分（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A9E6F79">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①不拖欠农民工工资承诺内容完善，得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4AC11141">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②不拖欠农民工工资承诺内容较完善，得1分</w:t>
            </w:r>
          </w:p>
          <w:p w14:paraId="1B05F02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（3）工程质量保修期内、外的优惠及服务承诺(2分)</w:t>
            </w:r>
          </w:p>
          <w:p w14:paraId="37F26769">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①保修期内、外的优惠服务承诺内容完善，得2分</w:t>
            </w:r>
          </w:p>
          <w:p w14:paraId="5E9EB352">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②保修期内、外的优惠服务承诺内容较完善，得1分</w:t>
            </w:r>
          </w:p>
          <w:p w14:paraId="2E2880E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（4）其他实质性免费服务承诺2分。(2分)</w:t>
            </w:r>
          </w:p>
          <w:p w14:paraId="10B5D13E">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①服务承诺内容完善，得2分</w:t>
            </w:r>
          </w:p>
          <w:p w14:paraId="43364E4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②服务承诺内容较完善，得1分</w:t>
            </w:r>
          </w:p>
        </w:tc>
      </w:tr>
      <w:tr w14:paraId="0ABF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restart"/>
            <w:noWrap w:val="0"/>
            <w:vAlign w:val="center"/>
          </w:tcPr>
          <w:p w14:paraId="5A194B75">
            <w:pPr>
              <w:spacing w:line="360" w:lineRule="auto"/>
              <w:jc w:val="center"/>
              <w:rPr>
                <w:rFonts w:hint="eastAsia" w:ascii="宋体" w:hAnsi="宋体" w:eastAsia="宋体" w:cs="宋体"/>
                <w:sz w:val="21"/>
                <w:szCs w:val="21"/>
                <w:highlight w:val="none"/>
                <w:lang w:val="en-US" w:eastAsia="zh-CN"/>
              </w:rPr>
            </w:pPr>
            <w:bookmarkStart w:id="417" w:name="_Toc152042387"/>
            <w:bookmarkStart w:id="418" w:name="_Toc144974577"/>
            <w:bookmarkStart w:id="419" w:name="_Toc247085767"/>
            <w:bookmarkStart w:id="420" w:name="_Toc246996252"/>
            <w:bookmarkStart w:id="421" w:name="_Toc179632627"/>
            <w:bookmarkStart w:id="422" w:name="_Toc152045609"/>
            <w:bookmarkStart w:id="423" w:name="_Toc246996995"/>
            <w:r>
              <w:rPr>
                <w:rFonts w:hint="eastAsia" w:ascii="宋体" w:hAnsi="宋体" w:eastAsia="宋体" w:cs="宋体"/>
                <w:sz w:val="21"/>
                <w:szCs w:val="21"/>
                <w:highlight w:val="none"/>
                <w:lang w:val="en-US" w:eastAsia="zh-CN"/>
              </w:rPr>
              <w:t>技术部分</w:t>
            </w:r>
          </w:p>
          <w:p w14:paraId="266F55D7">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w:t>
            </w:r>
          </w:p>
        </w:tc>
        <w:tc>
          <w:tcPr>
            <w:tcW w:w="802" w:type="pct"/>
            <w:noWrap w:val="0"/>
            <w:vAlign w:val="center"/>
          </w:tcPr>
          <w:p w14:paraId="54A1FD51">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施工方案与技术措施（7分）</w:t>
            </w:r>
          </w:p>
        </w:tc>
        <w:tc>
          <w:tcPr>
            <w:tcW w:w="3098" w:type="pct"/>
            <w:noWrap w:val="0"/>
            <w:vAlign w:val="center"/>
          </w:tcPr>
          <w:p w14:paraId="434E829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磋商小组根据供应商提供的主要施工方案与技术措施进行综合打分： </w:t>
            </w:r>
          </w:p>
          <w:p w14:paraId="32973F2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（1）主要施工方案与技术措施（包含但不限于工程特点、施工重点及难点等）总体安排合理，合理运用先进的施工工艺；对施工难点有科学合理的建议，符合本项目实际需求的得7分； </w:t>
            </w:r>
          </w:p>
          <w:p w14:paraId="06934B7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（2）主要施工方案与技术措施（包含工程特点、施工重点及难点）基本安排合理，施工工艺合理，对施工难点有基本合理的建议，基本符合本项目实际需求的得5分； </w:t>
            </w:r>
          </w:p>
          <w:p w14:paraId="1F0D5F1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（3）有主要施工方案与技术措施、施工工艺，对施工难点有建议，存在少数不合理但基本符合本项目实际需求的得3分。</w:t>
            </w:r>
          </w:p>
        </w:tc>
      </w:tr>
      <w:tr w14:paraId="3519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5AD91817">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1A08A27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质量管理体系与措施（7分）</w:t>
            </w:r>
          </w:p>
        </w:tc>
        <w:tc>
          <w:tcPr>
            <w:tcW w:w="3098" w:type="pct"/>
            <w:noWrap w:val="0"/>
            <w:vAlign w:val="center"/>
          </w:tcPr>
          <w:p w14:paraId="619B00D1">
            <w:pPr>
              <w:spacing w:line="360" w:lineRule="auto"/>
              <w:rPr>
                <w:rFonts w:hint="eastAsia" w:ascii="宋体" w:hAnsi="宋体" w:eastAsia="宋体" w:cs="宋体"/>
                <w:sz w:val="21"/>
                <w:szCs w:val="21"/>
              </w:rPr>
            </w:pPr>
            <w:r>
              <w:rPr>
                <w:rFonts w:hint="eastAsia" w:ascii="宋体" w:hAnsi="宋体" w:eastAsia="宋体" w:cs="宋体"/>
                <w:sz w:val="21"/>
                <w:szCs w:val="21"/>
              </w:rPr>
              <w:t>磋商小组根据供应商提供的质量管理体系与措施进行综合打分：</w:t>
            </w:r>
          </w:p>
          <w:p w14:paraId="70A45D0F">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有健全的质量管理体系、符合本项目的施工技术标准、施工质量检验制度科学合理；施工措施符合国家及我省现行工程建设标准，质量保证措施内容完整、经济安全合理可行、满足本项目需求的得</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53EC312F">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有基本健全的质量管理体系、基本符合本项目的施工技术标准、施工质量检验制度基本合理；质量保证措施内容基本完整、基本满足本项目需求的得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4A4BF6DF">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有质量管理体系与措施，但内容不全面有漏洞或可行差或不符合本项目实际的得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val="en-US" w:eastAsia="zh-CN"/>
              </w:rPr>
              <w:t>。</w:t>
            </w:r>
          </w:p>
        </w:tc>
      </w:tr>
      <w:tr w14:paraId="701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70429F5A">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6A4D9B8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工期保证措施</w:t>
            </w:r>
          </w:p>
          <w:p w14:paraId="681B9A0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098" w:type="pct"/>
            <w:noWrap w:val="0"/>
            <w:vAlign w:val="center"/>
          </w:tcPr>
          <w:p w14:paraId="01CCA108">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磋商小组根据供应商提供的工期保证措施进行综合打分：</w:t>
            </w:r>
          </w:p>
          <w:p w14:paraId="0E4DCC3A">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）工期保证措施合理且有针对性，提供有具体的违约责任承诺的得</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p w14:paraId="419BF8C5">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）工期保证措施基本合理，提供有违约责任承诺的得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22E708AD">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）有工期保证措施，但内容不全面有漏洞或可行差或不符合本项目实际的得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r>
              <w:rPr>
                <w:rFonts w:hint="eastAsia" w:ascii="宋体" w:hAnsi="宋体" w:eastAsia="宋体" w:cs="宋体"/>
                <w:sz w:val="21"/>
                <w:szCs w:val="21"/>
                <w:lang w:val="en-US" w:eastAsia="zh-CN"/>
              </w:rPr>
              <w:t>。</w:t>
            </w:r>
          </w:p>
        </w:tc>
      </w:tr>
      <w:tr w14:paraId="753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73DE598E">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49AE781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文明施工、环境保护管理体系及施工现场扬尘治理措施 </w:t>
            </w:r>
          </w:p>
          <w:p w14:paraId="4D57790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098" w:type="pct"/>
            <w:noWrap w:val="0"/>
            <w:vAlign w:val="center"/>
          </w:tcPr>
          <w:p w14:paraId="7BBF6660">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磋商小组根据供应商提供的文明施工、环境保护管理体系及施工现场扬尘治理措施进行综合打分：</w:t>
            </w:r>
          </w:p>
          <w:p w14:paraId="528F8A61">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）文明施工、环境保护管理体系及施工现场扬尘治理措施合理、科学、可操作性强的得</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p w14:paraId="01058C3F">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）文明施工、环境保护管理体系及施工现场扬尘治理措施较合理、较科学、可操作性较强的得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4ECE5547">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）文明施工、环境保护管理体系及施工现场扬尘治理措施合理性差、可操作性不强的得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p>
        </w:tc>
      </w:tr>
      <w:tr w14:paraId="0CBD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71F014B1">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5D5C42D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安全管理体系与措施（6分）</w:t>
            </w:r>
          </w:p>
        </w:tc>
        <w:tc>
          <w:tcPr>
            <w:tcW w:w="3098" w:type="pct"/>
            <w:noWrap w:val="0"/>
            <w:vAlign w:val="center"/>
          </w:tcPr>
          <w:p w14:paraId="0BC3D6C9">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磋商小组根据供应商提供的安全管理体系与措施进行综合打分：</w:t>
            </w:r>
          </w:p>
          <w:p w14:paraId="0FB18B88">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）施工安全生产保障体系健全，安全管理制度完善，安全管理目标明确且符合本项目实际；安全技术方案和措施符合本工程特点，现场重大危险源辨识全面，且提出的安全管理措施合理、可行的得</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p w14:paraId="29909353">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）施工安全生产保障体系、安全管理制度基本合理，安全管理目标基本明确；安全技术方案和措施基本符合本工程特点，现场重大危险源辨识基本全面的得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29A8D335">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）有安全管理体系与措施得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r>
              <w:rPr>
                <w:rFonts w:hint="eastAsia" w:ascii="宋体" w:hAnsi="宋体" w:eastAsia="宋体" w:cs="宋体"/>
                <w:sz w:val="21"/>
                <w:szCs w:val="21"/>
                <w:lang w:val="en-US" w:eastAsia="zh-CN"/>
              </w:rPr>
              <w:t>。</w:t>
            </w:r>
          </w:p>
        </w:tc>
      </w:tr>
      <w:tr w14:paraId="039A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094D6E94">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5E2E313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资源配备计划 </w:t>
            </w:r>
          </w:p>
          <w:p w14:paraId="1DFF2BC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098" w:type="pct"/>
            <w:noWrap w:val="0"/>
            <w:vAlign w:val="center"/>
          </w:tcPr>
          <w:p w14:paraId="6AB96A1A">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磋商小组根据供应商提供的拟投入资源配备计划进行综合打分：</w:t>
            </w:r>
          </w:p>
          <w:p w14:paraId="668EE82F">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机械：投入计划与进度计划呼应，采用先进机械设备且配置合理、先进，满足安全技术规范和施工进度需要；安装设备满足施工要求；劳动力：投入计划与进度计划呼应，较好满足施工需要,调配投入计划合理、准确；主要物资计划：主要物资投入计划与进度计划呼应，较好满足施工需要，调配投入计划合理、准确的得</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分；</w:t>
            </w:r>
          </w:p>
          <w:p w14:paraId="3361F052">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机械：投入计划与进度计划呼应，机械设备配置基本合理，满足安全技术规范和施工进度需要；劳动力：投入计划与进度计划呼应，基本满足施工需要，调配投入计划基本合理；主要物资计划：主要物资投入计划与进度计划呼应，基本满足施工需要，调配投入计划基本合理的得</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分；</w:t>
            </w:r>
          </w:p>
          <w:p w14:paraId="4309B9D3">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）仅提供拟投入资源配备计划的得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w:t>
            </w:r>
            <w:r>
              <w:rPr>
                <w:rFonts w:hint="eastAsia" w:ascii="宋体" w:hAnsi="宋体" w:eastAsia="宋体" w:cs="宋体"/>
                <w:sz w:val="21"/>
                <w:szCs w:val="21"/>
                <w:lang w:val="en-US" w:eastAsia="zh-CN"/>
              </w:rPr>
              <w:t>。</w:t>
            </w:r>
          </w:p>
        </w:tc>
      </w:tr>
      <w:tr w14:paraId="5143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5F14C6D8">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5EB1C6A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风险管理措施</w:t>
            </w:r>
          </w:p>
          <w:p w14:paraId="577D668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098" w:type="pct"/>
            <w:noWrap w:val="0"/>
            <w:vAlign w:val="center"/>
          </w:tcPr>
          <w:p w14:paraId="4762583F">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磋商小组根据供应商提供的风险管理措施进行综合打分： </w:t>
            </w:r>
          </w:p>
          <w:p w14:paraId="5DA0B1D5">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（1）供应商提供的风险防控管理措施齐全，风险预控符合规范要求，风险控制要点定位准确，各阶段风险控制及应急措施得力的得6 分； </w:t>
            </w:r>
          </w:p>
          <w:p w14:paraId="3C28BB49">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（2）供应商提供的风险防控管理措施基本齐全，风险预控基本符合规范要求，风险控制要点定位基本准确，提供有各阶段风险控制及应急措施的得4 分； </w:t>
            </w:r>
          </w:p>
          <w:p w14:paraId="18539629">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lang w:val="en-US" w:eastAsia="zh-CN" w:bidi="ar"/>
              </w:rPr>
              <w:t>（3）供应商提供有风险管理措施得2分。</w:t>
            </w:r>
          </w:p>
        </w:tc>
      </w:tr>
      <w:tr w14:paraId="023D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99" w:type="pct"/>
            <w:vMerge w:val="continue"/>
            <w:noWrap w:val="0"/>
            <w:vAlign w:val="center"/>
          </w:tcPr>
          <w:p w14:paraId="15D9A30D">
            <w:pPr>
              <w:spacing w:line="360" w:lineRule="auto"/>
              <w:jc w:val="center"/>
              <w:rPr>
                <w:rFonts w:hint="eastAsia" w:ascii="宋体" w:hAnsi="宋体" w:eastAsia="宋体" w:cs="宋体"/>
                <w:sz w:val="21"/>
                <w:szCs w:val="21"/>
                <w:highlight w:val="none"/>
                <w:lang w:val="en-US" w:eastAsia="zh-CN"/>
              </w:rPr>
            </w:pPr>
          </w:p>
        </w:tc>
        <w:tc>
          <w:tcPr>
            <w:tcW w:w="802" w:type="pct"/>
            <w:noWrap w:val="0"/>
            <w:vAlign w:val="center"/>
          </w:tcPr>
          <w:p w14:paraId="782254E5">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技术创新的应用实施措施 </w:t>
            </w:r>
          </w:p>
          <w:p w14:paraId="1AB882D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098" w:type="pct"/>
            <w:noWrap w:val="0"/>
            <w:vAlign w:val="center"/>
          </w:tcPr>
          <w:p w14:paraId="4BF0F44A">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磋商小组根据供应商提供的技术创新的应用实施措施进行综合打分： </w:t>
            </w:r>
          </w:p>
          <w:p w14:paraId="002F71DD">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（1）节能减排、绿色施工、工艺创新等技术创新的应用实施措施符合工程情况，具有针对性、可行性、经济适用性的得 6 分。 </w:t>
            </w:r>
          </w:p>
          <w:p w14:paraId="58B2EA5C">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（2）节能减排、绿色施工、工艺创新等技术创新的应用实施措施基本符合工程情况具有针对性的得 4 分。 </w:t>
            </w:r>
          </w:p>
          <w:p w14:paraId="5E46D8D1">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lang w:val="en-US" w:eastAsia="zh-CN" w:bidi="ar"/>
              </w:rPr>
              <w:t>（3）仅提供措施的得2分。</w:t>
            </w:r>
          </w:p>
        </w:tc>
      </w:tr>
    </w:tbl>
    <w:p w14:paraId="7BA8E844">
      <w:pPr>
        <w:outlineLvl w:val="9"/>
        <w:rPr>
          <w:rFonts w:hint="eastAsia" w:ascii="宋体" w:hAnsi="宋体" w:eastAsia="宋体" w:cs="宋体"/>
          <w:b/>
          <w:bCs/>
          <w:color w:val="auto"/>
          <w:highlight w:val="none"/>
        </w:rPr>
      </w:pPr>
    </w:p>
    <w:p w14:paraId="377F6293">
      <w:pPr>
        <w:pStyle w:val="2"/>
        <w:jc w:val="center"/>
        <w:rPr>
          <w:rFonts w:hint="eastAsia" w:ascii="宋体" w:hAnsi="宋体" w:eastAsia="宋体" w:cs="宋体"/>
          <w:color w:val="auto"/>
          <w:sz w:val="36"/>
          <w:szCs w:val="36"/>
          <w:highlight w:val="none"/>
        </w:rPr>
        <w:sectPr>
          <w:footerReference r:id="rId11" w:type="default"/>
          <w:footerReference r:id="rId12" w:type="even"/>
          <w:pgSz w:w="11906" w:h="16838"/>
          <w:pgMar w:top="1440" w:right="1800" w:bottom="1440" w:left="1800" w:header="720" w:footer="998" w:gutter="0"/>
          <w:pgNumType w:fmt="decimal"/>
          <w:cols w:space="720" w:num="1"/>
          <w:titlePg/>
          <w:docGrid w:linePitch="326" w:charSpace="0"/>
        </w:sectPr>
      </w:pPr>
      <w:bookmarkStart w:id="424" w:name="_Toc984"/>
      <w:bookmarkStart w:id="425" w:name="_Toc9353"/>
      <w:bookmarkStart w:id="426" w:name="_Toc22486"/>
    </w:p>
    <w:p w14:paraId="18F7EA8C">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合同条款及格式</w:t>
      </w:r>
      <w:bookmarkEnd w:id="417"/>
      <w:bookmarkEnd w:id="418"/>
      <w:bookmarkEnd w:id="419"/>
      <w:bookmarkEnd w:id="420"/>
      <w:bookmarkEnd w:id="421"/>
      <w:bookmarkEnd w:id="422"/>
      <w:bookmarkEnd w:id="423"/>
      <w:bookmarkEnd w:id="424"/>
      <w:bookmarkEnd w:id="425"/>
      <w:bookmarkEnd w:id="426"/>
    </w:p>
    <w:p w14:paraId="2464F553">
      <w:pPr>
        <w:pStyle w:val="25"/>
        <w:ind w:left="0" w:leftChars="0"/>
        <w:rPr>
          <w:rFonts w:hint="eastAsia" w:ascii="宋体" w:hAnsi="宋体" w:eastAsia="宋体" w:cs="宋体"/>
          <w:color w:val="auto"/>
          <w:szCs w:val="21"/>
          <w:highlight w:val="none"/>
        </w:rPr>
      </w:pPr>
      <w:bookmarkStart w:id="427" w:name="_Toc152042575"/>
      <w:bookmarkStart w:id="428" w:name="_Toc144974855"/>
      <w:bookmarkStart w:id="429" w:name="_Toc179632806"/>
      <w:bookmarkStart w:id="430" w:name="_Toc247085872"/>
      <w:bookmarkStart w:id="431" w:name="_Toc152045786"/>
      <w:bookmarkStart w:id="432" w:name="_Toc246997097"/>
      <w:bookmarkStart w:id="433" w:name="_Toc246996354"/>
    </w:p>
    <w:p w14:paraId="66F4146D">
      <w:pPr>
        <w:jc w:val="both"/>
        <w:rPr>
          <w:rFonts w:hint="eastAsia" w:ascii="宋体" w:hAnsi="宋体" w:eastAsia="宋体" w:cs="宋体"/>
          <w:bCs/>
          <w:color w:val="000000"/>
          <w:sz w:val="32"/>
          <w:szCs w:val="32"/>
          <w:lang w:eastAsia="zh-CN"/>
        </w:rPr>
      </w:pPr>
      <w:r>
        <w:rPr>
          <w:rFonts w:hint="eastAsia" w:ascii="宋体" w:hAnsi="宋体" w:eastAsia="宋体" w:cs="宋体"/>
          <w:bCs/>
          <w:color w:val="000000"/>
          <w:sz w:val="32"/>
          <w:szCs w:val="32"/>
        </w:rPr>
        <w:t>（GF—201</w:t>
      </w:r>
      <w:r>
        <w:rPr>
          <w:rFonts w:hint="eastAsia" w:ascii="宋体" w:hAnsi="宋体" w:eastAsia="宋体" w:cs="宋体"/>
          <w:bCs/>
          <w:color w:val="000000"/>
          <w:sz w:val="32"/>
          <w:szCs w:val="32"/>
          <w:lang w:val="en-US" w:eastAsia="zh-CN"/>
        </w:rPr>
        <w:t>7</w:t>
      </w:r>
      <w:r>
        <w:rPr>
          <w:rFonts w:hint="eastAsia" w:ascii="宋体" w:hAnsi="宋体" w:eastAsia="宋体" w:cs="宋体"/>
          <w:bCs/>
          <w:color w:val="000000"/>
          <w:sz w:val="32"/>
          <w:szCs w:val="32"/>
        </w:rPr>
        <w:t>—</w:t>
      </w:r>
      <w:r>
        <w:rPr>
          <w:rFonts w:hint="eastAsia" w:ascii="宋体" w:hAnsi="宋体" w:eastAsia="宋体" w:cs="宋体"/>
          <w:bCs/>
          <w:color w:val="000000"/>
          <w:sz w:val="32"/>
          <w:szCs w:val="32"/>
          <w:lang w:val="en-US" w:eastAsia="zh-CN"/>
        </w:rPr>
        <w:t>0201</w:t>
      </w:r>
      <w:r>
        <w:rPr>
          <w:rFonts w:hint="eastAsia" w:ascii="宋体" w:hAnsi="宋体" w:eastAsia="宋体" w:cs="宋体"/>
          <w:bCs/>
          <w:color w:val="000000"/>
          <w:sz w:val="32"/>
          <w:szCs w:val="32"/>
        </w:rPr>
        <w:t>）</w:t>
      </w:r>
      <w:r>
        <w:rPr>
          <w:rFonts w:hint="eastAsia" w:ascii="宋体" w:hAnsi="宋体" w:eastAsia="宋体" w:cs="宋体"/>
          <w:bCs/>
          <w:color w:val="000000"/>
          <w:sz w:val="32"/>
          <w:szCs w:val="32"/>
          <w:lang w:val="en-US" w:eastAsia="zh-CN"/>
        </w:rPr>
        <w:t xml:space="preserve">  </w:t>
      </w:r>
      <w:r>
        <w:rPr>
          <w:rFonts w:hint="eastAsia" w:ascii="宋体" w:hAnsi="宋体" w:eastAsia="宋体" w:cs="宋体"/>
          <w:bCs/>
          <w:color w:val="000000"/>
          <w:sz w:val="32"/>
          <w:szCs w:val="32"/>
          <w:lang w:eastAsia="zh-CN"/>
        </w:rPr>
        <w:t>（</w:t>
      </w:r>
      <w:r>
        <w:rPr>
          <w:rFonts w:hint="eastAsia" w:ascii="宋体" w:hAnsi="宋体" w:eastAsia="宋体" w:cs="宋体"/>
          <w:bCs/>
          <w:color w:val="000000"/>
          <w:sz w:val="32"/>
          <w:szCs w:val="32"/>
          <w:lang w:val="en-US" w:eastAsia="zh-CN"/>
        </w:rPr>
        <w:t>仅供参考</w:t>
      </w:r>
      <w:r>
        <w:rPr>
          <w:rFonts w:hint="eastAsia" w:ascii="宋体" w:hAnsi="宋体" w:eastAsia="宋体" w:cs="宋体"/>
          <w:bCs/>
          <w:color w:val="000000"/>
          <w:sz w:val="32"/>
          <w:szCs w:val="32"/>
          <w:lang w:eastAsia="zh-CN"/>
        </w:rPr>
        <w:t>）</w:t>
      </w:r>
    </w:p>
    <w:p w14:paraId="16C309C6">
      <w:pPr>
        <w:jc w:val="center"/>
        <w:rPr>
          <w:rFonts w:hint="eastAsia" w:ascii="宋体" w:hAnsi="宋体" w:eastAsia="宋体" w:cs="宋体"/>
          <w:b/>
          <w:color w:val="000000"/>
          <w:sz w:val="52"/>
          <w:szCs w:val="52"/>
        </w:rPr>
      </w:pPr>
    </w:p>
    <w:p w14:paraId="7FFB0B31">
      <w:pPr>
        <w:jc w:val="center"/>
        <w:rPr>
          <w:rFonts w:hint="eastAsia" w:ascii="宋体" w:hAnsi="宋体" w:eastAsia="宋体" w:cs="宋体"/>
          <w:b/>
          <w:color w:val="000000"/>
          <w:sz w:val="52"/>
          <w:szCs w:val="52"/>
        </w:rPr>
      </w:pPr>
    </w:p>
    <w:p w14:paraId="6B2A63E5">
      <w:pPr>
        <w:jc w:val="center"/>
        <w:rPr>
          <w:rFonts w:hint="eastAsia" w:ascii="宋体" w:hAnsi="宋体" w:eastAsia="宋体" w:cs="宋体"/>
          <w:b/>
          <w:color w:val="000000"/>
          <w:sz w:val="52"/>
          <w:szCs w:val="52"/>
        </w:rPr>
      </w:pPr>
    </w:p>
    <w:p w14:paraId="5A6AE2DE">
      <w:pPr>
        <w:jc w:val="center"/>
        <w:rPr>
          <w:rFonts w:hint="eastAsia" w:ascii="宋体" w:hAnsi="宋体" w:eastAsia="宋体" w:cs="宋体"/>
          <w:b/>
          <w:color w:val="000000"/>
          <w:sz w:val="52"/>
          <w:szCs w:val="52"/>
        </w:rPr>
      </w:pPr>
    </w:p>
    <w:p w14:paraId="4D4312FD">
      <w:pPr>
        <w:jc w:val="center"/>
        <w:rPr>
          <w:rFonts w:hint="eastAsia" w:ascii="宋体" w:hAnsi="宋体" w:eastAsia="宋体" w:cs="宋体"/>
          <w:b/>
          <w:color w:val="000000"/>
          <w:sz w:val="52"/>
          <w:szCs w:val="52"/>
        </w:rPr>
      </w:pPr>
      <w:r>
        <w:rPr>
          <w:rFonts w:hint="eastAsia" w:ascii="宋体" w:hAnsi="宋体" w:eastAsia="宋体" w:cs="宋体"/>
          <w:b/>
          <w:color w:val="000000"/>
          <w:sz w:val="72"/>
          <w:szCs w:val="52"/>
        </w:rPr>
        <w:t>建设工程施工合同</w:t>
      </w:r>
      <w:r>
        <w:rPr>
          <w:rFonts w:hint="eastAsia" w:ascii="宋体" w:hAnsi="宋体" w:eastAsia="宋体" w:cs="宋体"/>
          <w:b/>
          <w:color w:val="000000"/>
          <w:sz w:val="52"/>
          <w:szCs w:val="52"/>
        </w:rPr>
        <w:br w:type="textWrapping"/>
      </w:r>
      <w:r>
        <w:rPr>
          <w:rFonts w:hint="eastAsia" w:ascii="宋体" w:hAnsi="宋体" w:eastAsia="宋体" w:cs="宋体"/>
          <w:b/>
          <w:color w:val="000000"/>
          <w:sz w:val="52"/>
          <w:szCs w:val="52"/>
        </w:rPr>
        <w:t>（示范文本）</w:t>
      </w:r>
    </w:p>
    <w:p w14:paraId="52CB4745">
      <w:pPr>
        <w:jc w:val="center"/>
        <w:rPr>
          <w:rFonts w:hint="eastAsia" w:ascii="宋体" w:hAnsi="宋体" w:eastAsia="宋体" w:cs="宋体"/>
          <w:b/>
          <w:color w:val="000000"/>
          <w:sz w:val="52"/>
          <w:szCs w:val="52"/>
        </w:rPr>
      </w:pPr>
    </w:p>
    <w:p w14:paraId="523969EA">
      <w:pPr>
        <w:jc w:val="center"/>
        <w:rPr>
          <w:rFonts w:hint="eastAsia" w:ascii="宋体" w:hAnsi="宋体" w:eastAsia="宋体" w:cs="宋体"/>
          <w:b/>
          <w:color w:val="000000"/>
          <w:sz w:val="72"/>
          <w:szCs w:val="72"/>
        </w:rPr>
      </w:pPr>
    </w:p>
    <w:p w14:paraId="0DAC91E5">
      <w:pPr>
        <w:rPr>
          <w:rFonts w:hint="eastAsia" w:ascii="宋体" w:hAnsi="宋体" w:eastAsia="宋体" w:cs="宋体"/>
          <w:b/>
          <w:color w:val="000000"/>
          <w:sz w:val="28"/>
          <w:szCs w:val="28"/>
        </w:rPr>
      </w:pPr>
    </w:p>
    <w:p w14:paraId="2CCF3769">
      <w:pPr>
        <w:rPr>
          <w:rFonts w:hint="eastAsia" w:ascii="宋体" w:hAnsi="宋体" w:eastAsia="宋体" w:cs="宋体"/>
          <w:b/>
          <w:color w:val="000000"/>
          <w:sz w:val="28"/>
          <w:szCs w:val="28"/>
        </w:rPr>
      </w:pPr>
    </w:p>
    <w:p w14:paraId="0F868A9C">
      <w:pPr>
        <w:rPr>
          <w:rFonts w:hint="eastAsia" w:ascii="宋体" w:hAnsi="宋体" w:eastAsia="宋体" w:cs="宋体"/>
          <w:b/>
          <w:color w:val="000000"/>
          <w:sz w:val="28"/>
          <w:szCs w:val="28"/>
        </w:rPr>
      </w:pPr>
    </w:p>
    <w:p w14:paraId="42C256D9">
      <w:pPr>
        <w:rPr>
          <w:rFonts w:hint="eastAsia" w:ascii="宋体" w:hAnsi="宋体" w:eastAsia="宋体" w:cs="宋体"/>
          <w:b/>
          <w:color w:val="000000"/>
          <w:sz w:val="28"/>
          <w:szCs w:val="28"/>
        </w:rPr>
      </w:pPr>
    </w:p>
    <w:p w14:paraId="158C61DD">
      <w:pPr>
        <w:ind w:right="2719" w:rightChars="1295"/>
        <w:jc w:val="distribute"/>
        <w:rPr>
          <w:rFonts w:hint="eastAsia" w:ascii="宋体" w:hAnsi="宋体" w:eastAsia="宋体" w:cs="宋体"/>
          <w:b/>
          <w:color w:val="000000"/>
          <w:sz w:val="32"/>
          <w:szCs w:val="28"/>
        </w:rPr>
      </w:pPr>
      <w:r>
        <w:rPr>
          <w:rFonts w:hint="eastAsia" w:ascii="宋体" w:hAnsi="宋体" w:eastAsia="宋体" w:cs="宋体"/>
          <w:b/>
          <w:color w:val="000000"/>
          <w:sz w:val="32"/>
          <w:szCs w:val="28"/>
          <w:lang w:val="en-US" w:eastAsia="zh-CN"/>
        </w:rPr>
        <w:t xml:space="preserve">                    </w:t>
      </w:r>
      <w:r>
        <w:rPr>
          <w:rFonts w:hint="eastAsia" w:ascii="宋体" w:hAnsi="宋体" w:eastAsia="宋体" w:cs="宋体"/>
          <w:b/>
          <w:color w:val="000000"/>
          <w:sz w:val="32"/>
          <w:szCs w:val="28"/>
        </w:rPr>
        <w:t>住房城乡建设部</w:t>
      </w:r>
    </w:p>
    <w:p w14:paraId="5682D627">
      <w:pPr>
        <w:ind w:right="2719" w:rightChars="1295" w:firstLine="2750" w:firstLineChars="856"/>
        <w:jc w:val="distribute"/>
        <w:rPr>
          <w:rFonts w:hint="eastAsia" w:ascii="宋体" w:hAnsi="宋体" w:eastAsia="宋体" w:cs="宋体"/>
          <w:b/>
          <w:color w:val="000000"/>
          <w:sz w:val="32"/>
          <w:szCs w:val="28"/>
        </w:rPr>
      </w:pPr>
      <w:r>
        <w:rPr>
          <w:rFonts w:hint="eastAsia" w:ascii="宋体" w:hAnsi="宋体" w:eastAsia="宋体" w:cs="宋体"/>
          <w:b/>
          <w:color w:val="000000"/>
          <w:sz w:val="32"/>
          <w:szCs w:val="28"/>
        </w:rPr>
        <w:t>国家工商行政管理总局</w:t>
      </w:r>
    </w:p>
    <w:p w14:paraId="61F18D88">
      <w:pPr>
        <w:rPr>
          <w:rFonts w:hint="eastAsia" w:ascii="宋体" w:hAnsi="宋体" w:eastAsia="宋体" w:cs="宋体"/>
          <w:b/>
          <w:color w:val="000000"/>
        </w:rPr>
      </w:pPr>
    </w:p>
    <w:p w14:paraId="5C34381A">
      <w:pPr>
        <w:pStyle w:val="4"/>
        <w:jc w:val="center"/>
        <w:rPr>
          <w:rFonts w:hint="eastAsia" w:ascii="宋体" w:hAnsi="宋体" w:eastAsia="宋体" w:cs="宋体"/>
          <w:b w:val="0"/>
          <w:color w:val="000000"/>
          <w:sz w:val="44"/>
          <w:szCs w:val="44"/>
        </w:rPr>
      </w:pPr>
      <w:r>
        <w:rPr>
          <w:rFonts w:hint="eastAsia" w:ascii="宋体" w:hAnsi="宋体" w:eastAsia="宋体" w:cs="宋体"/>
          <w:b w:val="0"/>
          <w:color w:val="000000"/>
        </w:rPr>
        <w:br w:type="page"/>
      </w:r>
      <w:bookmarkStart w:id="434" w:name="_Toc296503025"/>
      <w:bookmarkStart w:id="435" w:name="_Toc296890982"/>
      <w:bookmarkStart w:id="436" w:name="_Toc351203480"/>
      <w:r>
        <w:rPr>
          <w:rFonts w:hint="eastAsia" w:ascii="宋体" w:hAnsi="宋体" w:eastAsia="宋体" w:cs="宋体"/>
          <w:sz w:val="44"/>
          <w:szCs w:val="44"/>
        </w:rPr>
        <w:t>第一部分 合同协议书</w:t>
      </w:r>
      <w:bookmarkEnd w:id="434"/>
      <w:bookmarkEnd w:id="435"/>
      <w:bookmarkEnd w:id="436"/>
    </w:p>
    <w:p w14:paraId="7273963C">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                       </w:t>
      </w:r>
    </w:p>
    <w:p w14:paraId="00C5FD14">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        </w:t>
      </w:r>
    </w:p>
    <w:p w14:paraId="3F48D69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》、《中华人民共和国建筑法》及有关法律规定，遵循平等、自愿、公平和诚实信用的原则，双方就</w:t>
      </w:r>
    </w:p>
    <w:p w14:paraId="27CF6B6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14:paraId="18C7AD93">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37" w:name="_Toc351203481"/>
      <w:r>
        <w:rPr>
          <w:rFonts w:hint="eastAsia" w:ascii="宋体" w:hAnsi="宋体" w:eastAsia="宋体" w:cs="宋体"/>
          <w:b w:val="0"/>
          <w:color w:val="000000"/>
          <w:sz w:val="21"/>
          <w:szCs w:val="21"/>
        </w:rPr>
        <w:t>一、工程概况</w:t>
      </w:r>
      <w:bookmarkEnd w:id="437"/>
    </w:p>
    <w:p w14:paraId="5583C59D">
      <w:pPr>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3F700746">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046261FC">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6E34C8EE">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2F78B337">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7C8BFDAA">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14:paraId="08B94BFB">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6.工程承包范围：</w:t>
      </w:r>
    </w:p>
    <w:p w14:paraId="740D7DF3">
      <w:pPr>
        <w:spacing w:line="360" w:lineRule="auto"/>
        <w:ind w:firstLine="405" w:firstLineChars="193"/>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p>
    <w:p w14:paraId="4A1120D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2CD254D2">
      <w:pPr>
        <w:pStyle w:val="5"/>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438" w:name="_Toc351203482"/>
      <w:r>
        <w:rPr>
          <w:rFonts w:hint="eastAsia" w:ascii="宋体" w:hAnsi="宋体" w:eastAsia="宋体" w:cs="宋体"/>
          <w:b w:val="0"/>
          <w:color w:val="000000"/>
          <w:sz w:val="21"/>
          <w:szCs w:val="21"/>
        </w:rPr>
        <w:t>二、合同工期</w:t>
      </w:r>
      <w:bookmarkEnd w:id="438"/>
    </w:p>
    <w:p w14:paraId="342D3E52">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038039EF">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20281BF2">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7140DF09">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439" w:name="_Toc351203483"/>
      <w:r>
        <w:rPr>
          <w:rFonts w:hint="eastAsia" w:ascii="宋体" w:hAnsi="宋体" w:eastAsia="宋体" w:cs="宋体"/>
          <w:b w:val="0"/>
          <w:color w:val="000000"/>
          <w:sz w:val="21"/>
          <w:szCs w:val="21"/>
        </w:rPr>
        <w:t>三、质量标准</w:t>
      </w:r>
      <w:bookmarkEnd w:id="439"/>
    </w:p>
    <w:p w14:paraId="7FF68AB3">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标准。</w:t>
      </w:r>
    </w:p>
    <w:p w14:paraId="79566EE2">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40" w:name="_Toc351203484"/>
      <w:r>
        <w:rPr>
          <w:rFonts w:hint="eastAsia" w:ascii="宋体" w:hAnsi="宋体" w:eastAsia="宋体" w:cs="宋体"/>
          <w:b w:val="0"/>
          <w:color w:val="000000"/>
          <w:sz w:val="21"/>
          <w:szCs w:val="21"/>
        </w:rPr>
        <w:t>四、签约合同价与合同价格形式</w:t>
      </w:r>
      <w:bookmarkEnd w:id="440"/>
      <w:r>
        <w:rPr>
          <w:rFonts w:hint="eastAsia" w:ascii="宋体" w:hAnsi="宋体" w:eastAsia="宋体" w:cs="宋体"/>
          <w:b w:val="0"/>
          <w:color w:val="000000"/>
          <w:sz w:val="21"/>
          <w:szCs w:val="21"/>
        </w:rPr>
        <w:tab/>
      </w:r>
    </w:p>
    <w:p w14:paraId="4BA91B3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14:paraId="6D798EAA">
      <w:pPr>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4DD4881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3392646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6DF23C76">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8CF0A5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5891EE6E">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7A8A658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52A98378">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31CB03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1D900C95">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DF7451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14447B8">
      <w:pPr>
        <w:pStyle w:val="5"/>
        <w:spacing w:before="120" w:after="120" w:line="360" w:lineRule="auto"/>
        <w:rPr>
          <w:rFonts w:hint="eastAsia"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41" w:name="_Toc351203485"/>
      <w:r>
        <w:rPr>
          <w:rFonts w:hint="eastAsia" w:ascii="宋体" w:hAnsi="宋体" w:eastAsia="宋体" w:cs="宋体"/>
          <w:b w:val="0"/>
          <w:color w:val="000000"/>
          <w:sz w:val="21"/>
          <w:szCs w:val="21"/>
        </w:rPr>
        <w:t>五、</w:t>
      </w:r>
      <w:bookmarkEnd w:id="441"/>
      <w:r>
        <w:rPr>
          <w:rFonts w:hint="eastAsia" w:ascii="宋体" w:hAnsi="宋体" w:eastAsia="宋体" w:cs="宋体"/>
          <w:b w:val="0"/>
          <w:color w:val="000000"/>
          <w:sz w:val="21"/>
          <w:szCs w:val="21"/>
        </w:rPr>
        <w:t>项目经理</w:t>
      </w:r>
    </w:p>
    <w:p w14:paraId="7B6ADF8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F23DB09">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42" w:name="_Toc351203486"/>
      <w:r>
        <w:rPr>
          <w:rFonts w:hint="eastAsia" w:ascii="宋体" w:hAnsi="宋体" w:eastAsia="宋体" w:cs="宋体"/>
          <w:b w:val="0"/>
          <w:color w:val="000000"/>
          <w:sz w:val="21"/>
          <w:szCs w:val="21"/>
        </w:rPr>
        <w:t>六、合同文件构成</w:t>
      </w:r>
      <w:bookmarkEnd w:id="442"/>
    </w:p>
    <w:p w14:paraId="7FBB8352">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70DD3D87">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14:paraId="340837EC">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14:paraId="1D2A4011">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1DD2554D">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2AE7DF24">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4FD069EB">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14:paraId="4547702D">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14:paraId="6CFD9EAF">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14:paraId="303342BA">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5EC339F7">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4BAFD59">
      <w:pPr>
        <w:pStyle w:val="5"/>
        <w:spacing w:before="120" w:after="120"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w:t>
      </w:r>
      <w:bookmarkStart w:id="443" w:name="_Toc351203487"/>
      <w:r>
        <w:rPr>
          <w:rFonts w:hint="eastAsia" w:ascii="宋体" w:hAnsi="宋体" w:eastAsia="宋体" w:cs="宋体"/>
          <w:b w:val="0"/>
          <w:color w:val="000000"/>
          <w:sz w:val="21"/>
          <w:szCs w:val="21"/>
        </w:rPr>
        <w:t>七、承诺</w:t>
      </w:r>
      <w:bookmarkEnd w:id="443"/>
    </w:p>
    <w:p w14:paraId="18BED4A4">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14:paraId="03AC78C8">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14:paraId="2A07D943">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14:paraId="3B6C3FAC">
      <w:pPr>
        <w:spacing w:line="360" w:lineRule="auto"/>
        <w:rPr>
          <w:rFonts w:hint="eastAsia" w:ascii="宋体" w:hAnsi="宋体" w:eastAsia="宋体" w:cs="宋体"/>
          <w:bCs/>
          <w:color w:val="000000"/>
          <w:sz w:val="21"/>
          <w:szCs w:val="21"/>
        </w:rPr>
      </w:pPr>
      <w:bookmarkStart w:id="444" w:name="_Toc351203488"/>
      <w:r>
        <w:rPr>
          <w:rFonts w:hint="eastAsia" w:ascii="宋体" w:hAnsi="宋体" w:eastAsia="宋体" w:cs="宋体"/>
          <w:b/>
          <w:color w:val="000000"/>
          <w:sz w:val="21"/>
          <w:szCs w:val="21"/>
        </w:rPr>
        <w:t xml:space="preserve">    八、词语含义</w:t>
      </w:r>
      <w:bookmarkEnd w:id="444"/>
    </w:p>
    <w:p w14:paraId="545B9B19">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14:paraId="5FF7E2E4">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45" w:name="_Toc351203489"/>
      <w:r>
        <w:rPr>
          <w:rFonts w:hint="eastAsia" w:ascii="宋体" w:hAnsi="宋体" w:eastAsia="宋体" w:cs="宋体"/>
          <w:b w:val="0"/>
          <w:color w:val="000000"/>
          <w:sz w:val="21"/>
          <w:szCs w:val="21"/>
        </w:rPr>
        <w:t>九、签订时间</w:t>
      </w:r>
      <w:bookmarkEnd w:id="445"/>
    </w:p>
    <w:p w14:paraId="543E4F73">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132697BB">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446" w:name="_Toc351203490"/>
      <w:r>
        <w:rPr>
          <w:rFonts w:hint="eastAsia" w:ascii="宋体" w:hAnsi="宋体" w:eastAsia="宋体" w:cs="宋体"/>
          <w:b w:val="0"/>
          <w:color w:val="000000"/>
          <w:sz w:val="21"/>
          <w:szCs w:val="21"/>
        </w:rPr>
        <w:t>十、签订地点</w:t>
      </w:r>
      <w:bookmarkEnd w:id="446"/>
    </w:p>
    <w:p w14:paraId="3EE1F12E">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695CB497">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447" w:name="_Toc351203491"/>
      <w:r>
        <w:rPr>
          <w:rFonts w:hint="eastAsia" w:ascii="宋体" w:hAnsi="宋体" w:eastAsia="宋体" w:cs="宋体"/>
          <w:b w:val="0"/>
          <w:color w:val="000000"/>
          <w:sz w:val="21"/>
          <w:szCs w:val="21"/>
        </w:rPr>
        <w:t>十一、补充协议</w:t>
      </w:r>
      <w:bookmarkEnd w:id="447"/>
    </w:p>
    <w:p w14:paraId="39445834">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7CD6006B">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448" w:name="_Toc351203492"/>
      <w:r>
        <w:rPr>
          <w:rFonts w:hint="eastAsia" w:ascii="宋体" w:hAnsi="宋体" w:eastAsia="宋体" w:cs="宋体"/>
          <w:b w:val="0"/>
          <w:color w:val="000000"/>
          <w:sz w:val="21"/>
          <w:szCs w:val="21"/>
        </w:rPr>
        <w:t>十二、合同生效</w:t>
      </w:r>
      <w:bookmarkEnd w:id="448"/>
    </w:p>
    <w:p w14:paraId="663B6186">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14:paraId="7F733FF3">
      <w:pPr>
        <w:pStyle w:val="5"/>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449" w:name="_Toc351203493"/>
      <w:r>
        <w:rPr>
          <w:rFonts w:hint="eastAsia" w:ascii="宋体" w:hAnsi="宋体" w:eastAsia="宋体" w:cs="宋体"/>
          <w:b w:val="0"/>
          <w:color w:val="000000"/>
          <w:sz w:val="21"/>
          <w:szCs w:val="21"/>
        </w:rPr>
        <w:t>十三、合同份数</w:t>
      </w:r>
      <w:bookmarkEnd w:id="449"/>
    </w:p>
    <w:p w14:paraId="481E5DBF">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14:paraId="5392040E">
      <w:pPr>
        <w:spacing w:line="360" w:lineRule="auto"/>
        <w:rPr>
          <w:rFonts w:hint="eastAsia" w:ascii="宋体" w:hAnsi="宋体" w:eastAsia="宋体" w:cs="宋体"/>
          <w:bCs/>
          <w:color w:val="000000"/>
          <w:sz w:val="21"/>
          <w:szCs w:val="21"/>
        </w:rPr>
      </w:pPr>
    </w:p>
    <w:p w14:paraId="13969FC6">
      <w:pPr>
        <w:spacing w:line="360" w:lineRule="auto"/>
        <w:rPr>
          <w:rFonts w:hint="eastAsia" w:ascii="宋体" w:hAnsi="宋体" w:eastAsia="宋体" w:cs="宋体"/>
          <w:bCs/>
          <w:color w:val="000000"/>
          <w:sz w:val="21"/>
          <w:szCs w:val="21"/>
        </w:rPr>
      </w:pPr>
    </w:p>
    <w:p w14:paraId="00C22F90">
      <w:pPr>
        <w:spacing w:line="360" w:lineRule="auto"/>
        <w:rPr>
          <w:rFonts w:hint="eastAsia" w:ascii="宋体" w:hAnsi="宋体" w:eastAsia="宋体" w:cs="宋体"/>
          <w:bCs/>
          <w:color w:val="000000"/>
          <w:sz w:val="21"/>
          <w:szCs w:val="21"/>
        </w:rPr>
      </w:pPr>
    </w:p>
    <w:p w14:paraId="19352553">
      <w:pPr>
        <w:spacing w:line="360" w:lineRule="auto"/>
        <w:rPr>
          <w:rFonts w:hint="eastAsia" w:ascii="宋体" w:hAnsi="宋体" w:eastAsia="宋体" w:cs="宋体"/>
          <w:bCs/>
          <w:color w:val="000000"/>
          <w:sz w:val="21"/>
          <w:szCs w:val="21"/>
        </w:rPr>
      </w:pPr>
    </w:p>
    <w:p w14:paraId="6A34C5DD">
      <w:pPr>
        <w:spacing w:line="360" w:lineRule="auto"/>
        <w:rPr>
          <w:rFonts w:hint="eastAsia" w:ascii="宋体" w:hAnsi="宋体" w:eastAsia="宋体" w:cs="宋体"/>
          <w:bCs/>
          <w:color w:val="000000"/>
          <w:sz w:val="21"/>
          <w:szCs w:val="21"/>
        </w:rPr>
      </w:pPr>
    </w:p>
    <w:p w14:paraId="6D42BAC7">
      <w:pPr>
        <w:spacing w:line="360" w:lineRule="auto"/>
        <w:rPr>
          <w:rFonts w:hint="eastAsia" w:ascii="宋体" w:hAnsi="宋体" w:eastAsia="宋体" w:cs="宋体"/>
          <w:bCs/>
          <w:color w:val="000000"/>
          <w:sz w:val="21"/>
          <w:szCs w:val="21"/>
        </w:rPr>
      </w:pPr>
    </w:p>
    <w:p w14:paraId="34AA4F72">
      <w:pPr>
        <w:spacing w:line="360" w:lineRule="auto"/>
        <w:rPr>
          <w:rFonts w:hint="eastAsia" w:ascii="宋体" w:hAnsi="宋体" w:eastAsia="宋体" w:cs="宋体"/>
          <w:bCs/>
          <w:color w:val="000000"/>
          <w:sz w:val="21"/>
          <w:szCs w:val="21"/>
        </w:rPr>
      </w:pPr>
    </w:p>
    <w:p w14:paraId="797E68F6">
      <w:pPr>
        <w:spacing w:line="360" w:lineRule="auto"/>
        <w:rPr>
          <w:rFonts w:hint="eastAsia" w:ascii="宋体" w:hAnsi="宋体" w:eastAsia="宋体" w:cs="宋体"/>
          <w:color w:val="000000"/>
          <w:sz w:val="21"/>
          <w:szCs w:val="21"/>
        </w:rPr>
      </w:pPr>
    </w:p>
    <w:p w14:paraId="7C3D7A3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发包人：  (公章)             承包人：  (公章)</w:t>
      </w:r>
    </w:p>
    <w:p w14:paraId="5B160D93">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14:paraId="5F3D3DD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14:paraId="00D180A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14:paraId="69BFE0A2">
      <w:pPr>
        <w:spacing w:line="360" w:lineRule="auto"/>
        <w:rPr>
          <w:rFonts w:hint="eastAsia" w:ascii="宋体" w:hAnsi="宋体" w:eastAsia="宋体" w:cs="宋体"/>
          <w:color w:val="000000"/>
          <w:sz w:val="21"/>
          <w:szCs w:val="21"/>
          <w:u w:val="single"/>
        </w:rPr>
      </w:pPr>
    </w:p>
    <w:p w14:paraId="441D0E3A">
      <w:pPr>
        <w:tabs>
          <w:tab w:val="left" w:pos="4410"/>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14:paraId="0A10583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14:paraId="5625446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14:paraId="54C0A2F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14:paraId="0491163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14:paraId="1EC5ABE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14:paraId="321DDC1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4438C9F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p>
    <w:p w14:paraId="7B1309E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14:paraId="7F44BA7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49FF7A50">
      <w:pPr>
        <w:pStyle w:val="4"/>
        <w:jc w:val="center"/>
        <w:rPr>
          <w:rFonts w:hint="eastAsia" w:ascii="宋体" w:hAnsi="宋体" w:eastAsia="宋体" w:cs="宋体"/>
          <w:sz w:val="44"/>
          <w:szCs w:val="44"/>
        </w:rPr>
      </w:pPr>
      <w:r>
        <w:rPr>
          <w:rFonts w:hint="eastAsia" w:ascii="宋体" w:hAnsi="宋体" w:eastAsia="宋体" w:cs="宋体"/>
        </w:rPr>
        <w:br w:type="page"/>
      </w:r>
      <w:bookmarkStart w:id="450" w:name="_Toc351203494"/>
      <w:r>
        <w:rPr>
          <w:rFonts w:hint="eastAsia" w:ascii="宋体" w:hAnsi="宋体" w:eastAsia="宋体" w:cs="宋体"/>
          <w:sz w:val="44"/>
          <w:szCs w:val="44"/>
        </w:rPr>
        <w:t>第二部分 通用合同条款</w:t>
      </w:r>
      <w:bookmarkEnd w:id="450"/>
      <w:bookmarkStart w:id="451" w:name="_Toc337558727"/>
    </w:p>
    <w:bookmarkEnd w:id="451"/>
    <w:p w14:paraId="59C72E61">
      <w:pPr>
        <w:pStyle w:val="4"/>
        <w:jc w:val="center"/>
        <w:rPr>
          <w:rFonts w:hint="eastAsia" w:ascii="宋体" w:hAnsi="宋体" w:eastAsia="宋体" w:cs="宋体"/>
          <w:sz w:val="44"/>
          <w:szCs w:val="44"/>
        </w:rPr>
      </w:pPr>
      <w:bookmarkStart w:id="452" w:name="_Toc351203632"/>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略</w:t>
      </w:r>
      <w:r>
        <w:rPr>
          <w:rFonts w:hint="eastAsia" w:ascii="宋体" w:hAnsi="宋体" w:eastAsia="宋体" w:cs="宋体"/>
          <w:b w:val="0"/>
          <w:bCs w:val="0"/>
          <w:sz w:val="21"/>
          <w:szCs w:val="21"/>
          <w:lang w:eastAsia="zh-CN"/>
        </w:rPr>
        <w:t>）</w:t>
      </w:r>
      <w:r>
        <w:rPr>
          <w:rFonts w:hint="eastAsia" w:ascii="宋体" w:hAnsi="宋体" w:eastAsia="宋体" w:cs="宋体"/>
          <w:sz w:val="44"/>
          <w:szCs w:val="44"/>
        </w:rPr>
        <w:br w:type="page"/>
      </w:r>
      <w:r>
        <w:rPr>
          <w:rFonts w:hint="eastAsia" w:ascii="宋体" w:hAnsi="宋体" w:eastAsia="宋体" w:cs="宋体"/>
          <w:sz w:val="44"/>
          <w:szCs w:val="44"/>
        </w:rPr>
        <w:t>第三部分 专用合同条款</w:t>
      </w:r>
      <w:bookmarkEnd w:id="452"/>
    </w:p>
    <w:p w14:paraId="710A3DE1">
      <w:pPr>
        <w:pStyle w:val="5"/>
        <w:spacing w:before="120" w:after="120" w:line="360" w:lineRule="auto"/>
        <w:rPr>
          <w:rFonts w:hint="eastAsia" w:ascii="宋体" w:hAnsi="宋体" w:eastAsia="宋体" w:cs="宋体"/>
          <w:b w:val="0"/>
          <w:color w:val="000000"/>
          <w:sz w:val="21"/>
          <w:szCs w:val="21"/>
        </w:rPr>
      </w:pPr>
      <w:bookmarkStart w:id="453" w:name="_Toc351203633"/>
      <w:r>
        <w:rPr>
          <w:rFonts w:hint="eastAsia" w:ascii="宋体" w:hAnsi="宋体" w:eastAsia="宋体" w:cs="宋体"/>
          <w:b w:val="0"/>
          <w:color w:val="000000"/>
          <w:sz w:val="21"/>
          <w:szCs w:val="21"/>
        </w:rPr>
        <w:t>1</w:t>
      </w:r>
      <w:bookmarkStart w:id="454" w:name="_Toc296891196"/>
      <w:bookmarkStart w:id="455" w:name="_Toc296890984"/>
      <w:bookmarkStart w:id="456" w:name="_Toc297120456"/>
      <w:bookmarkStart w:id="457" w:name="_Toc296346657"/>
      <w:bookmarkStart w:id="458" w:name="_Toc292559361"/>
      <w:bookmarkStart w:id="459" w:name="_Toc296944495"/>
      <w:bookmarkStart w:id="460" w:name="_Toc296503156"/>
      <w:bookmarkStart w:id="461" w:name="_Toc297048342"/>
      <w:bookmarkStart w:id="462" w:name="_Toc296347155"/>
      <w:bookmarkStart w:id="463" w:name="_Toc292559866"/>
      <w:r>
        <w:rPr>
          <w:rFonts w:hint="eastAsia" w:ascii="宋体" w:hAnsi="宋体" w:eastAsia="宋体" w:cs="宋体"/>
          <w:b w:val="0"/>
          <w:color w:val="000000"/>
          <w:sz w:val="21"/>
          <w:szCs w:val="21"/>
        </w:rPr>
        <w:t>. 一般约定</w:t>
      </w:r>
      <w:bookmarkEnd w:id="453"/>
    </w:p>
    <w:bookmarkEnd w:id="454"/>
    <w:bookmarkEnd w:id="455"/>
    <w:bookmarkEnd w:id="456"/>
    <w:bookmarkEnd w:id="457"/>
    <w:bookmarkEnd w:id="458"/>
    <w:bookmarkEnd w:id="459"/>
    <w:bookmarkEnd w:id="460"/>
    <w:bookmarkEnd w:id="461"/>
    <w:bookmarkEnd w:id="462"/>
    <w:bookmarkEnd w:id="463"/>
    <w:p w14:paraId="39F6346A">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1.1 词语定义</w:t>
      </w:r>
    </w:p>
    <w:p w14:paraId="6094C86A">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1.1.1合同</w:t>
      </w:r>
    </w:p>
    <w:p w14:paraId="3C5EC073">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1.1.1.10其他合同文件包括：</w:t>
      </w:r>
      <w:r>
        <w:rPr>
          <w:rFonts w:hint="eastAsia" w:ascii="宋体" w:hAnsi="宋体" w:eastAsia="宋体" w:cs="宋体"/>
          <w:color w:val="000000"/>
          <w:sz w:val="21"/>
          <w:szCs w:val="21"/>
          <w:u w:val="single"/>
        </w:rPr>
        <w:t xml:space="preserve">                      </w:t>
      </w:r>
    </w:p>
    <w:p w14:paraId="7FE97D4C">
      <w:pPr>
        <w:spacing w:line="360" w:lineRule="auto"/>
        <w:ind w:left="1650" w:hanging="1155" w:hangingChars="550"/>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p>
    <w:p w14:paraId="584E47B3">
      <w:pPr>
        <w:spacing w:line="360" w:lineRule="auto"/>
        <w:ind w:left="1650" w:hanging="1155" w:hangingChars="550"/>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27D884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 合同当事人及其他相关方</w:t>
      </w:r>
    </w:p>
    <w:p w14:paraId="443B466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1.1.2.4监理人：</w:t>
      </w:r>
    </w:p>
    <w:p w14:paraId="648BBA7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4C0E629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0DF6DCF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74368E1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606006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5BF96E0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1.1.2.5 设计人：</w:t>
      </w:r>
    </w:p>
    <w:p w14:paraId="3CA535C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3500158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资质类别和等级：</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30E52F1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7D3C16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43A3AC8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94CF6A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 工程和设备</w:t>
      </w:r>
    </w:p>
    <w:p w14:paraId="64BF39A4">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 xml:space="preserve">           </w:t>
      </w:r>
    </w:p>
    <w:p w14:paraId="7397013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2F3E2585">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 xml:space="preserve">                        </w:t>
      </w:r>
      <w:r>
        <w:rPr>
          <w:rFonts w:hint="eastAsia" w:ascii="宋体" w:hAnsi="宋体" w:eastAsia="宋体" w:cs="宋体"/>
          <w:color w:val="000000"/>
          <w:kern w:val="0"/>
          <w:sz w:val="21"/>
          <w:szCs w:val="21"/>
        </w:rPr>
        <w:t>。</w:t>
      </w:r>
    </w:p>
    <w:p w14:paraId="6059C7D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1.1.3.10 临时占地包括：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kern w:val="0"/>
          <w:sz w:val="21"/>
          <w:szCs w:val="21"/>
        </w:rPr>
        <w:t>。</w:t>
      </w:r>
    </w:p>
    <w:p w14:paraId="21DAD609">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1.3法律 </w:t>
      </w:r>
    </w:p>
    <w:p w14:paraId="7EEB4DB1">
      <w:pPr>
        <w:autoSpaceDE w:val="0"/>
        <w:autoSpaceDN w:val="0"/>
        <w:adjustRightInd w:val="0"/>
        <w:spacing w:line="360" w:lineRule="auto"/>
        <w:ind w:left="596" w:leftChars="284"/>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适用于合同的其他规范性文件：</w:t>
      </w:r>
      <w:r>
        <w:rPr>
          <w:rFonts w:hint="eastAsia" w:ascii="宋体" w:hAnsi="宋体" w:eastAsia="宋体" w:cs="宋体"/>
          <w:color w:val="000000"/>
          <w:sz w:val="21"/>
          <w:szCs w:val="21"/>
          <w:u w:val="single"/>
        </w:rPr>
        <w:t xml:space="preserve">     </w:t>
      </w:r>
    </w:p>
    <w:p w14:paraId="674D8BBA">
      <w:pPr>
        <w:autoSpaceDE w:val="0"/>
        <w:autoSpaceDN w:val="0"/>
        <w:adjustRightInd w:val="0"/>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DFBE6F3">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 标准和规范</w:t>
      </w:r>
    </w:p>
    <w:p w14:paraId="04E776B7">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1.4.1适用于工程的标准规范包括：</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 xml:space="preserve"> </w:t>
      </w:r>
    </w:p>
    <w:p w14:paraId="298C96E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0B47AE71">
      <w:pPr>
        <w:spacing w:line="360" w:lineRule="auto"/>
        <w:ind w:firstLine="420" w:firstLineChars="200"/>
        <w:outlineLvl w:val="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1.4.2 发包人提供国外标准、规范的名称：</w:t>
      </w:r>
      <w:r>
        <w:rPr>
          <w:rFonts w:hint="eastAsia" w:ascii="宋体" w:hAnsi="宋体" w:eastAsia="宋体" w:cs="宋体"/>
          <w:color w:val="000000"/>
          <w:kern w:val="0"/>
          <w:sz w:val="21"/>
          <w:szCs w:val="21"/>
          <w:u w:val="single"/>
        </w:rPr>
        <w:t xml:space="preserve">                 </w:t>
      </w:r>
    </w:p>
    <w:p w14:paraId="3B61F739">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554AD00A">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发包人提供国外标准、规范的份数：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E518F0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发包人提供国外标准、规范的名称：</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4E1F2EE">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1.4.3发包人对工程的技术标准和功能要求的特殊要求：</w:t>
      </w:r>
    </w:p>
    <w:p w14:paraId="5A4A140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14:paraId="012D111F">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1.5 合同文件的优先顺序</w:t>
      </w:r>
    </w:p>
    <w:p w14:paraId="60872D3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合同文件组成及优先顺序为：</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                                              </w:t>
      </w:r>
      <w:r>
        <w:rPr>
          <w:rFonts w:hint="eastAsia" w:ascii="宋体" w:hAnsi="宋体" w:eastAsia="宋体" w:cs="宋体"/>
          <w:color w:val="000000"/>
          <w:sz w:val="21"/>
          <w:szCs w:val="21"/>
        </w:rPr>
        <w:t>。</w:t>
      </w:r>
    </w:p>
    <w:p w14:paraId="1E0C447F">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1.6 图纸和承包人文件</w:t>
      </w:r>
      <w:r>
        <w:rPr>
          <w:rFonts w:hint="eastAsia" w:ascii="宋体" w:hAnsi="宋体" w:eastAsia="宋体" w:cs="宋体"/>
          <w:color w:val="000000"/>
          <w:sz w:val="21"/>
          <w:szCs w:val="21"/>
        </w:rPr>
        <w:tab/>
      </w:r>
    </w:p>
    <w:p w14:paraId="544A8CD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图纸的提供</w:t>
      </w:r>
    </w:p>
    <w:p w14:paraId="2678BF2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发包人向承包人提供图纸的期限：</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5D47F76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发包人向承包人提供图纸的数量：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E09E4D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发包人向承包人提供图纸的内容：</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348DC38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1.6.4 承包人文件</w:t>
      </w:r>
    </w:p>
    <w:p w14:paraId="3E4D71B4">
      <w:pPr>
        <w:spacing w:line="360" w:lineRule="auto"/>
        <w:ind w:left="596" w:leftChars="284"/>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需要由承包人提供的文件，包括：</w:t>
      </w:r>
      <w:r>
        <w:rPr>
          <w:rFonts w:hint="eastAsia" w:ascii="宋体" w:hAnsi="宋体" w:eastAsia="宋体" w:cs="宋体"/>
          <w:color w:val="000000"/>
          <w:sz w:val="21"/>
          <w:szCs w:val="21"/>
          <w:u w:val="single"/>
        </w:rPr>
        <w:t>          </w:t>
      </w:r>
    </w:p>
    <w:p w14:paraId="1B60C571">
      <w:pPr>
        <w:spacing w:line="360" w:lineRule="auto"/>
        <w:ind w:left="596" w:leftChars="284"/>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0D0E8C8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承包人提供的文件的期限为：</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3A9410A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承包人提供的文件的数量为：</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0E4379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承包人提供的文件的形式为：</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6D54F69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发包人审批承包人文件的期限：</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34D51A8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1.6.5 现场图纸准备</w:t>
      </w:r>
    </w:p>
    <w:p w14:paraId="3224094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关于现场图纸准备的约定：</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530DFAF9">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1.7 联络</w:t>
      </w:r>
    </w:p>
    <w:p w14:paraId="43839579">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1.7.1发包人和承包人应当在</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天内将与合同有关的通知、批准、证明、证书、指示、指令、要求、请求、同意、意见、确定和决定等书面函件送达对方当事人。</w:t>
      </w:r>
    </w:p>
    <w:p w14:paraId="1C9315AD">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0977BF31">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发包人指定的接收人为：</w:t>
      </w:r>
      <w:r>
        <w:rPr>
          <w:rFonts w:hint="eastAsia" w:ascii="宋体" w:hAnsi="宋体" w:eastAsia="宋体" w:cs="宋体"/>
          <w:color w:val="000000"/>
          <w:sz w:val="21"/>
          <w:szCs w:val="21"/>
          <w:u w:val="single"/>
        </w:rPr>
        <w:t>               </w:t>
      </w:r>
      <w:r>
        <w:rPr>
          <w:rFonts w:hint="eastAsia" w:ascii="宋体" w:hAnsi="宋体" w:eastAsia="宋体" w:cs="宋体"/>
          <w:color w:val="000000"/>
          <w:kern w:val="0"/>
          <w:sz w:val="21"/>
          <w:szCs w:val="21"/>
        </w:rPr>
        <w:t>。</w:t>
      </w:r>
    </w:p>
    <w:p w14:paraId="72E5D742">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承包人接收文件的地点：</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14:paraId="1AD73950">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承包人指定的接收人为：</w:t>
      </w:r>
      <w:r>
        <w:rPr>
          <w:rFonts w:hint="eastAsia" w:ascii="宋体" w:hAnsi="宋体" w:eastAsia="宋体" w:cs="宋体"/>
          <w:color w:val="000000"/>
          <w:sz w:val="21"/>
          <w:szCs w:val="21"/>
          <w:u w:val="single"/>
        </w:rPr>
        <w:t>             </w:t>
      </w:r>
      <w:r>
        <w:rPr>
          <w:rFonts w:hint="eastAsia" w:ascii="宋体" w:hAnsi="宋体" w:eastAsia="宋体" w:cs="宋体"/>
          <w:color w:val="000000"/>
          <w:kern w:val="0"/>
          <w:sz w:val="21"/>
          <w:szCs w:val="21"/>
        </w:rPr>
        <w:t>。</w:t>
      </w:r>
    </w:p>
    <w:p w14:paraId="52AD7EA4">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监理人接收文件的地点：</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39EBE9DD">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监理人指定的接收人为：</w:t>
      </w:r>
      <w:r>
        <w:rPr>
          <w:rFonts w:hint="eastAsia" w:ascii="宋体" w:hAnsi="宋体" w:eastAsia="宋体" w:cs="宋体"/>
          <w:color w:val="000000"/>
          <w:sz w:val="21"/>
          <w:szCs w:val="21"/>
          <w:u w:val="single"/>
        </w:rPr>
        <w:t>            </w:t>
      </w:r>
      <w:r>
        <w:rPr>
          <w:rFonts w:hint="eastAsia" w:ascii="宋体" w:hAnsi="宋体" w:eastAsia="宋体" w:cs="宋体"/>
          <w:color w:val="000000"/>
          <w:kern w:val="0"/>
          <w:sz w:val="21"/>
          <w:szCs w:val="21"/>
        </w:rPr>
        <w:t>。</w:t>
      </w:r>
    </w:p>
    <w:p w14:paraId="7A659546">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1.10 交通运输</w:t>
      </w:r>
    </w:p>
    <w:p w14:paraId="12EAF706">
      <w:pPr>
        <w:spacing w:line="360" w:lineRule="auto"/>
        <w:ind w:firstLine="420" w:firstLineChars="200"/>
        <w:outlineLvl w:val="0"/>
        <w:rPr>
          <w:rFonts w:hint="eastAsia" w:ascii="宋体" w:hAnsi="宋体" w:eastAsia="宋体" w:cs="宋体"/>
          <w:sz w:val="21"/>
          <w:szCs w:val="21"/>
        </w:rPr>
      </w:pPr>
      <w:r>
        <w:rPr>
          <w:rFonts w:hint="eastAsia" w:ascii="宋体" w:hAnsi="宋体" w:eastAsia="宋体" w:cs="宋体"/>
          <w:sz w:val="21"/>
          <w:szCs w:val="21"/>
        </w:rPr>
        <w:t>1</w:t>
      </w:r>
      <w:bookmarkStart w:id="464" w:name="_Toc304295521"/>
      <w:bookmarkStart w:id="465" w:name="_Toc312677986"/>
      <w:bookmarkStart w:id="466" w:name="_Toc303539100"/>
      <w:bookmarkStart w:id="467" w:name="_Toc300934943"/>
      <w:bookmarkStart w:id="468" w:name="_Toc318581155"/>
      <w:r>
        <w:rPr>
          <w:rFonts w:hint="eastAsia" w:ascii="宋体" w:hAnsi="宋体" w:eastAsia="宋体" w:cs="宋体"/>
          <w:sz w:val="21"/>
          <w:szCs w:val="21"/>
        </w:rPr>
        <w:t>.10.1 出入现场的权利</w:t>
      </w:r>
    </w:p>
    <w:p w14:paraId="13C06B7D">
      <w:pPr>
        <w:spacing w:line="360" w:lineRule="auto"/>
        <w:ind w:left="596" w:leftChars="284"/>
        <w:rPr>
          <w:rFonts w:hint="eastAsia" w:ascii="宋体" w:hAnsi="宋体" w:eastAsia="宋体" w:cs="宋体"/>
          <w:color w:val="000000"/>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color w:val="000000"/>
          <w:sz w:val="21"/>
          <w:szCs w:val="21"/>
          <w:u w:val="single"/>
        </w:rPr>
        <w:t>  </w:t>
      </w:r>
    </w:p>
    <w:p w14:paraId="0006159F">
      <w:pPr>
        <w:spacing w:line="360" w:lineRule="auto"/>
        <w:rPr>
          <w:rFonts w:hint="eastAsia" w:ascii="宋体" w:hAnsi="宋体" w:eastAsia="宋体" w:cs="宋体"/>
          <w:sz w:val="21"/>
          <w:szCs w:val="21"/>
        </w:rPr>
      </w:pPr>
      <w:r>
        <w:rPr>
          <w:rFonts w:hint="eastAsia" w:ascii="宋体" w:hAnsi="宋体" w:eastAsia="宋体" w:cs="宋体"/>
          <w:color w:val="000000"/>
          <w:sz w:val="21"/>
          <w:szCs w:val="21"/>
          <w:u w:val="single"/>
        </w:rPr>
        <w:t>                             </w:t>
      </w:r>
      <w:r>
        <w:rPr>
          <w:rFonts w:hint="eastAsia" w:ascii="宋体" w:hAnsi="宋体" w:eastAsia="宋体" w:cs="宋体"/>
          <w:sz w:val="21"/>
          <w:szCs w:val="21"/>
        </w:rPr>
        <w:t>。</w:t>
      </w:r>
    </w:p>
    <w:bookmarkEnd w:id="464"/>
    <w:bookmarkEnd w:id="465"/>
    <w:bookmarkEnd w:id="466"/>
    <w:bookmarkEnd w:id="467"/>
    <w:bookmarkEnd w:id="468"/>
    <w:p w14:paraId="3DF0F261">
      <w:pPr>
        <w:spacing w:line="360" w:lineRule="auto"/>
        <w:ind w:firstLine="420" w:firstLineChars="200"/>
        <w:jc w:val="left"/>
        <w:outlineLvl w:val="0"/>
        <w:rPr>
          <w:rFonts w:hint="eastAsia" w:ascii="宋体" w:hAnsi="宋体" w:eastAsia="宋体" w:cs="宋体"/>
          <w:sz w:val="21"/>
          <w:szCs w:val="21"/>
        </w:rPr>
      </w:pPr>
      <w:r>
        <w:rPr>
          <w:rFonts w:hint="eastAsia" w:ascii="宋体" w:hAnsi="宋体" w:eastAsia="宋体" w:cs="宋体"/>
          <w:sz w:val="21"/>
          <w:szCs w:val="21"/>
        </w:rPr>
        <w:t>1</w:t>
      </w:r>
      <w:bookmarkStart w:id="469" w:name="_Toc303539101"/>
      <w:bookmarkStart w:id="470" w:name="_Toc300934944"/>
      <w:bookmarkStart w:id="471" w:name="_Toc312677987"/>
      <w:bookmarkStart w:id="472" w:name="_Toc318581156"/>
      <w:bookmarkStart w:id="473" w:name="_Toc304295522"/>
      <w:r>
        <w:rPr>
          <w:rFonts w:hint="eastAsia" w:ascii="宋体" w:hAnsi="宋体" w:eastAsia="宋体" w:cs="宋体"/>
          <w:sz w:val="21"/>
          <w:szCs w:val="21"/>
        </w:rPr>
        <w:t>.10.3 场内交通</w:t>
      </w:r>
    </w:p>
    <w:p w14:paraId="5F0225D1">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关于场外交通和场内交通的边界的约定：</w:t>
      </w:r>
      <w:r>
        <w:rPr>
          <w:rFonts w:hint="eastAsia" w:ascii="宋体" w:hAnsi="宋体" w:eastAsia="宋体" w:cs="宋体"/>
          <w:color w:val="000000"/>
          <w:sz w:val="21"/>
          <w:szCs w:val="21"/>
          <w:u w:val="single"/>
        </w:rPr>
        <w:t>                                                           </w:t>
      </w:r>
      <w:r>
        <w:rPr>
          <w:rFonts w:hint="eastAsia" w:ascii="宋体" w:hAnsi="宋体" w:eastAsia="宋体" w:cs="宋体"/>
          <w:sz w:val="21"/>
          <w:szCs w:val="21"/>
        </w:rPr>
        <w:t>。</w:t>
      </w:r>
    </w:p>
    <w:p w14:paraId="62A0D83E">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color w:val="000000"/>
          <w:sz w:val="21"/>
          <w:szCs w:val="21"/>
          <w:u w:val="single"/>
        </w:rPr>
        <w:t>                                        </w:t>
      </w:r>
      <w:r>
        <w:rPr>
          <w:rFonts w:hint="eastAsia" w:ascii="宋体" w:hAnsi="宋体" w:eastAsia="宋体" w:cs="宋体"/>
          <w:sz w:val="21"/>
          <w:szCs w:val="21"/>
        </w:rPr>
        <w:t>。</w:t>
      </w:r>
      <w:bookmarkEnd w:id="469"/>
      <w:bookmarkEnd w:id="470"/>
      <w:bookmarkEnd w:id="471"/>
      <w:bookmarkEnd w:id="472"/>
      <w:bookmarkEnd w:id="473"/>
      <w:r>
        <w:rPr>
          <w:rFonts w:hint="eastAsia" w:ascii="宋体" w:hAnsi="宋体" w:eastAsia="宋体" w:cs="宋体"/>
          <w:sz w:val="21"/>
          <w:szCs w:val="21"/>
        </w:rPr>
        <w:t xml:space="preserve">  </w:t>
      </w:r>
      <w:bookmarkStart w:id="474" w:name="_Toc318581157"/>
    </w:p>
    <w:p w14:paraId="357E121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1.10.4超大件和超重件的运输</w:t>
      </w:r>
    </w:p>
    <w:p w14:paraId="17AD253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p>
    <w:bookmarkEnd w:id="474"/>
    <w:p w14:paraId="21E99D47">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1.11 知识产权</w:t>
      </w:r>
    </w:p>
    <w:p w14:paraId="0FA2D7F3">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1"/>
          <w:szCs w:val="21"/>
          <w:u w:val="single"/>
        </w:rPr>
        <w:t>                     </w:t>
      </w:r>
    </w:p>
    <w:p w14:paraId="5AA00F5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14:paraId="6EB79CFD">
      <w:pPr>
        <w:spacing w:line="360" w:lineRule="auto"/>
        <w:ind w:left="596" w:leftChars="284"/>
        <w:rPr>
          <w:rFonts w:hint="eastAsia" w:ascii="宋体" w:hAnsi="宋体" w:eastAsia="宋体" w:cs="宋体"/>
          <w:color w:val="000000"/>
          <w:sz w:val="21"/>
          <w:szCs w:val="21"/>
        </w:rPr>
      </w:pPr>
      <w:r>
        <w:rPr>
          <w:rFonts w:hint="eastAsia" w:ascii="宋体" w:hAnsi="宋体" w:eastAsia="宋体" w:cs="宋体"/>
          <w:color w:val="000000"/>
          <w:sz w:val="21"/>
          <w:szCs w:val="21"/>
        </w:rPr>
        <w:t>关于发包人提供的上述文件的使用限制的要求：</w:t>
      </w:r>
      <w:r>
        <w:rPr>
          <w:rFonts w:hint="eastAsia" w:ascii="宋体" w:hAnsi="宋体" w:eastAsia="宋体" w:cs="宋体"/>
          <w:color w:val="000000"/>
          <w:sz w:val="21"/>
          <w:szCs w:val="21"/>
          <w:u w:val="single"/>
        </w:rPr>
        <w:t xml:space="preserve">             </w:t>
      </w:r>
    </w:p>
    <w:p w14:paraId="0335103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AD3C4C2">
      <w:pPr>
        <w:spacing w:line="360" w:lineRule="auto"/>
        <w:ind w:left="596" w:leftChars="284"/>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1.11.2 关于承包人为实施工程所编制文件的著作权的归属：</w:t>
      </w:r>
      <w:r>
        <w:rPr>
          <w:rFonts w:hint="eastAsia" w:ascii="宋体" w:hAnsi="宋体" w:eastAsia="宋体" w:cs="宋体"/>
          <w:color w:val="000000"/>
          <w:sz w:val="21"/>
          <w:szCs w:val="21"/>
          <w:u w:val="single"/>
        </w:rPr>
        <w:t xml:space="preserve">    </w:t>
      </w:r>
    </w:p>
    <w:p w14:paraId="73F01E5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657E2D43">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关于承包人提供的上述文件的使用限制的要求：</w:t>
      </w:r>
      <w:r>
        <w:rPr>
          <w:rFonts w:hint="eastAsia" w:ascii="宋体" w:hAnsi="宋体" w:eastAsia="宋体" w:cs="宋体"/>
          <w:color w:val="000000"/>
          <w:sz w:val="21"/>
          <w:szCs w:val="21"/>
          <w:u w:val="single"/>
        </w:rPr>
        <w:t>   </w:t>
      </w:r>
    </w:p>
    <w:p w14:paraId="44C99F1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14:paraId="7381E34B">
      <w:pPr>
        <w:spacing w:line="360" w:lineRule="auto"/>
        <w:ind w:firstLine="420" w:firstLineChars="200"/>
        <w:outlineLvl w:val="0"/>
        <w:rPr>
          <w:rFonts w:hint="eastAsia" w:ascii="宋体" w:hAnsi="宋体" w:eastAsia="宋体" w:cs="宋体"/>
          <w:color w:val="000000"/>
          <w:kern w:val="0"/>
          <w:sz w:val="21"/>
          <w:szCs w:val="21"/>
        </w:rPr>
      </w:pPr>
      <w:r>
        <w:rPr>
          <w:rFonts w:hint="eastAsia" w:ascii="宋体" w:hAnsi="宋体" w:eastAsia="宋体" w:cs="宋体"/>
          <w:color w:val="000000"/>
          <w:sz w:val="21"/>
          <w:szCs w:val="21"/>
        </w:rPr>
        <w:t>1.11.4 承包人在施工过程中所采用的专利、专有技术、技术秘密的使用费的承担方式：</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12AFD8A3">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1.13工程量清单错误的修正</w:t>
      </w:r>
    </w:p>
    <w:p w14:paraId="011DF3A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出现工程量清单错误时，是否调整合同价格：</w:t>
      </w: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0335D046">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允许调整合同价格的工程量偏差范围：</w:t>
      </w:r>
      <w:r>
        <w:rPr>
          <w:rFonts w:hint="eastAsia" w:ascii="宋体" w:hAnsi="宋体" w:eastAsia="宋体" w:cs="宋体"/>
          <w:color w:val="000000"/>
          <w:sz w:val="21"/>
          <w:szCs w:val="21"/>
          <w:u w:val="single"/>
        </w:rPr>
        <w:t xml:space="preserve">                  </w:t>
      </w:r>
    </w:p>
    <w:p w14:paraId="03123EA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kern w:val="0"/>
          <w:sz w:val="21"/>
          <w:szCs w:val="21"/>
        </w:rPr>
        <w:t>。</w:t>
      </w:r>
    </w:p>
    <w:p w14:paraId="45111A10">
      <w:pPr>
        <w:pStyle w:val="5"/>
        <w:spacing w:before="120" w:after="120" w:line="360" w:lineRule="auto"/>
        <w:rPr>
          <w:rFonts w:hint="eastAsia" w:ascii="宋体" w:hAnsi="宋体" w:eastAsia="宋体" w:cs="宋体"/>
          <w:b w:val="0"/>
          <w:color w:val="000000"/>
          <w:sz w:val="21"/>
          <w:szCs w:val="21"/>
        </w:rPr>
      </w:pPr>
      <w:bookmarkStart w:id="475" w:name="_Toc351203634"/>
      <w:r>
        <w:rPr>
          <w:rFonts w:hint="eastAsia" w:ascii="宋体" w:hAnsi="宋体" w:eastAsia="宋体" w:cs="宋体"/>
          <w:b w:val="0"/>
          <w:color w:val="000000"/>
          <w:sz w:val="21"/>
          <w:szCs w:val="21"/>
        </w:rPr>
        <w:t>2</w:t>
      </w:r>
      <w:bookmarkStart w:id="476" w:name="_Toc296346658"/>
      <w:bookmarkStart w:id="477" w:name="_Toc296347156"/>
      <w:bookmarkStart w:id="478" w:name="_Toc296503157"/>
      <w:bookmarkStart w:id="479" w:name="_Toc292559362"/>
      <w:bookmarkStart w:id="480" w:name="_Toc296891197"/>
      <w:bookmarkStart w:id="481" w:name="_Toc296944496"/>
      <w:bookmarkStart w:id="482" w:name="_Toc292559867"/>
      <w:bookmarkStart w:id="483" w:name="_Toc297120457"/>
      <w:bookmarkStart w:id="484" w:name="_Toc296890985"/>
      <w:bookmarkStart w:id="485" w:name="_Toc297048343"/>
      <w:r>
        <w:rPr>
          <w:rFonts w:hint="eastAsia" w:ascii="宋体" w:hAnsi="宋体" w:eastAsia="宋体" w:cs="宋体"/>
          <w:b w:val="0"/>
          <w:color w:val="000000"/>
          <w:sz w:val="21"/>
          <w:szCs w:val="21"/>
        </w:rPr>
        <w:t>. 发包人</w:t>
      </w:r>
      <w:bookmarkEnd w:id="475"/>
    </w:p>
    <w:bookmarkEnd w:id="476"/>
    <w:bookmarkEnd w:id="477"/>
    <w:bookmarkEnd w:id="478"/>
    <w:bookmarkEnd w:id="479"/>
    <w:bookmarkEnd w:id="480"/>
    <w:bookmarkEnd w:id="481"/>
    <w:bookmarkEnd w:id="482"/>
    <w:bookmarkEnd w:id="483"/>
    <w:bookmarkEnd w:id="484"/>
    <w:bookmarkEnd w:id="485"/>
    <w:p w14:paraId="0D8F8CBE">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2.2 发包人代表</w:t>
      </w:r>
    </w:p>
    <w:p w14:paraId="52C0429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发包人代表：</w:t>
      </w:r>
    </w:p>
    <w:p w14:paraId="18249D6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1253123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70DB85B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36606DF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3BA00EC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199E941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7058A9AD">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发包人对发包人代表的授权范围如下：</w:t>
      </w:r>
      <w:r>
        <w:rPr>
          <w:rFonts w:hint="eastAsia" w:ascii="宋体" w:hAnsi="宋体" w:eastAsia="宋体" w:cs="宋体"/>
          <w:color w:val="000000"/>
          <w:sz w:val="21"/>
          <w:szCs w:val="21"/>
          <w:u w:val="single"/>
        </w:rPr>
        <w:t>     </w:t>
      </w:r>
    </w:p>
    <w:p w14:paraId="4D31ED6D">
      <w:pPr>
        <w:spacing w:line="360" w:lineRule="auto"/>
        <w:rPr>
          <w:rFonts w:hint="eastAsia" w:ascii="宋体" w:hAnsi="宋体" w:eastAsia="宋体" w:cs="宋体"/>
          <w:b/>
          <w:color w:val="000000"/>
          <w:sz w:val="21"/>
          <w:szCs w:val="21"/>
        </w:rPr>
      </w:pP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5C62D1CE">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2.4 施工现场、施工条件和基础资料的提供</w:t>
      </w:r>
    </w:p>
    <w:p w14:paraId="6C1C5F6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2.4.1 提供施工现场</w:t>
      </w:r>
    </w:p>
    <w:p w14:paraId="3BE13FF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关于发包人移交施工现场的期限要求：</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14:paraId="6271455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2.4.2 提供施工条件</w:t>
      </w:r>
    </w:p>
    <w:p w14:paraId="14DF7D11">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关于发包人应负责提供施工所需要的条件，包括：</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2B503B65">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2.5 资金来源证明及支付担保</w:t>
      </w:r>
    </w:p>
    <w:p w14:paraId="2D40E39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发包人提供资金来源证明的期限要求：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2133A2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发包人是否提供支付担保：</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2DF314DA">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发包人提供支付担保的形式：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73D9C8BF">
      <w:pPr>
        <w:pStyle w:val="5"/>
        <w:spacing w:before="120" w:after="120" w:line="360" w:lineRule="auto"/>
        <w:rPr>
          <w:rFonts w:hint="eastAsia" w:ascii="宋体" w:hAnsi="宋体" w:eastAsia="宋体" w:cs="宋体"/>
          <w:b w:val="0"/>
          <w:color w:val="000000"/>
          <w:sz w:val="21"/>
          <w:szCs w:val="21"/>
        </w:rPr>
      </w:pPr>
      <w:bookmarkStart w:id="486" w:name="_Toc351203635"/>
      <w:r>
        <w:rPr>
          <w:rFonts w:hint="eastAsia" w:ascii="宋体" w:hAnsi="宋体" w:eastAsia="宋体" w:cs="宋体"/>
          <w:b w:val="0"/>
          <w:color w:val="000000"/>
          <w:sz w:val="21"/>
          <w:szCs w:val="21"/>
        </w:rPr>
        <w:t>3</w:t>
      </w:r>
      <w:bookmarkStart w:id="487" w:name="_Toc292559868"/>
      <w:bookmarkStart w:id="488" w:name="_Toc296503158"/>
      <w:bookmarkStart w:id="489" w:name="_Toc297120458"/>
      <w:bookmarkStart w:id="490" w:name="_Toc296944497"/>
      <w:bookmarkStart w:id="491" w:name="_Toc296891198"/>
      <w:bookmarkStart w:id="492" w:name="_Toc296890986"/>
      <w:bookmarkStart w:id="493" w:name="_Toc292559363"/>
      <w:bookmarkStart w:id="494" w:name="_Toc297048344"/>
      <w:bookmarkStart w:id="495" w:name="_Toc296347157"/>
      <w:bookmarkStart w:id="496" w:name="_Toc296346659"/>
      <w:r>
        <w:rPr>
          <w:rFonts w:hint="eastAsia" w:ascii="宋体" w:hAnsi="宋体" w:eastAsia="宋体" w:cs="宋体"/>
          <w:b w:val="0"/>
          <w:color w:val="000000"/>
          <w:sz w:val="21"/>
          <w:szCs w:val="21"/>
        </w:rPr>
        <w:t>. 承包人</w:t>
      </w:r>
      <w:bookmarkEnd w:id="486"/>
    </w:p>
    <w:bookmarkEnd w:id="487"/>
    <w:bookmarkEnd w:id="488"/>
    <w:bookmarkEnd w:id="489"/>
    <w:bookmarkEnd w:id="490"/>
    <w:bookmarkEnd w:id="491"/>
    <w:bookmarkEnd w:id="492"/>
    <w:bookmarkEnd w:id="493"/>
    <w:bookmarkEnd w:id="494"/>
    <w:bookmarkEnd w:id="495"/>
    <w:bookmarkEnd w:id="496"/>
    <w:p w14:paraId="015D09FE">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 承包人的一般义务</w:t>
      </w:r>
    </w:p>
    <w:p w14:paraId="375F84F2">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（9）</w:t>
      </w:r>
      <w:r>
        <w:rPr>
          <w:rFonts w:hint="eastAsia" w:ascii="宋体" w:hAnsi="宋体" w:eastAsia="宋体" w:cs="宋体"/>
          <w:color w:val="000000"/>
          <w:sz w:val="21"/>
          <w:szCs w:val="21"/>
        </w:rPr>
        <w:t>承包人提交的竣工资料的内容：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5E3E536">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211806B">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承包人需要提交的竣工资料套数：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4D7DC2A">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承包人提交的竣工资料的费用承担：</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F375211">
      <w:pPr>
        <w:spacing w:line="360" w:lineRule="auto"/>
        <w:ind w:left="638" w:leftChars="304"/>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承包人提交的竣工资料移交时间：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B05626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承包人提交的竣工资料形式要求：</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8CCEC3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（10）承包人应履行的其他义务：</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7333215A">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 项目经理</w:t>
      </w:r>
    </w:p>
    <w:p w14:paraId="0082B4D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3.2.1 </w:t>
      </w:r>
      <w:r>
        <w:rPr>
          <w:rFonts w:hint="eastAsia" w:ascii="宋体" w:hAnsi="宋体" w:eastAsia="宋体" w:cs="宋体"/>
          <w:color w:val="000000"/>
          <w:sz w:val="21"/>
          <w:szCs w:val="21"/>
        </w:rPr>
        <w:t>项目经理：</w:t>
      </w:r>
    </w:p>
    <w:p w14:paraId="3EC88E9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330FF0C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身份证号：</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12E24A1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建造师执业资格等级：</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2F98BF7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建造师注册证书号：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5CA0D1C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建造师执业印章号：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C0AAA1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安全生产考核合格证书号：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119F4EE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49A4A49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58C2B0B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0B6F820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承包人对项目经理的授权范围如下：</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40752F27">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关于项目经理每月在施工现场的时间要求：</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4C028E9">
      <w:pPr>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 xml:space="preserve">                                                                                     </w:t>
      </w:r>
      <w:r>
        <w:rPr>
          <w:rFonts w:hint="eastAsia" w:ascii="宋体" w:hAnsi="宋体" w:eastAsia="宋体" w:cs="宋体"/>
          <w:color w:val="000000"/>
          <w:sz w:val="21"/>
          <w:szCs w:val="21"/>
        </w:rPr>
        <w:t>。</w:t>
      </w:r>
    </w:p>
    <w:p w14:paraId="34A872BE">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项目经理未经批准，擅自离开施工现场的违约责任：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                                   </w:t>
      </w:r>
      <w:r>
        <w:rPr>
          <w:rFonts w:hint="eastAsia" w:ascii="宋体" w:hAnsi="宋体" w:eastAsia="宋体" w:cs="宋体"/>
          <w:color w:val="000000"/>
          <w:sz w:val="21"/>
          <w:szCs w:val="21"/>
        </w:rPr>
        <w:t>。</w:t>
      </w:r>
    </w:p>
    <w:p w14:paraId="4589BAA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3.2.3 承包人擅自更换项目经理的违约责任：</w:t>
      </w:r>
      <w:r>
        <w:rPr>
          <w:rFonts w:hint="eastAsia" w:ascii="宋体" w:hAnsi="宋体" w:eastAsia="宋体" w:cs="宋体"/>
          <w:color w:val="000000"/>
          <w:sz w:val="21"/>
          <w:szCs w:val="21"/>
          <w:u w:val="single"/>
        </w:rPr>
        <w:t xml:space="preserve">              </w:t>
      </w:r>
    </w:p>
    <w:p w14:paraId="3A4AFD7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                                    </w:t>
      </w:r>
      <w:r>
        <w:rPr>
          <w:rFonts w:hint="eastAsia" w:ascii="宋体" w:hAnsi="宋体" w:eastAsia="宋体" w:cs="宋体"/>
          <w:color w:val="000000"/>
          <w:sz w:val="21"/>
          <w:szCs w:val="21"/>
        </w:rPr>
        <w:t>。</w:t>
      </w:r>
    </w:p>
    <w:p w14:paraId="3B85D367">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3.2.4 承包人无正当理由拒绝更换项目经理的违约责任：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03A25D5A">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 承包人人员</w:t>
      </w:r>
    </w:p>
    <w:p w14:paraId="5F05508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3.3.1 承包人提交项目管理机构及施工现场管理人员安排报告的期限：</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w:t>
      </w:r>
    </w:p>
    <w:p w14:paraId="2D28238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3.3.3 承包人无正当理由拒绝撤换主要施工管理人员的违约责任：</w:t>
      </w:r>
      <w:r>
        <w:rPr>
          <w:rFonts w:hint="eastAsia" w:ascii="宋体" w:hAnsi="宋体" w:eastAsia="宋体" w:cs="宋体"/>
          <w:color w:val="000000"/>
          <w:sz w:val="21"/>
          <w:szCs w:val="21"/>
          <w:u w:val="single"/>
        </w:rPr>
        <w:t xml:space="preserve">                                              </w:t>
      </w:r>
      <w:r>
        <w:rPr>
          <w:rFonts w:hint="eastAsia" w:ascii="宋体" w:hAnsi="宋体" w:eastAsia="宋体" w:cs="宋体"/>
          <w:color w:val="000000"/>
          <w:sz w:val="21"/>
          <w:szCs w:val="21"/>
        </w:rPr>
        <w:t>。</w:t>
      </w:r>
    </w:p>
    <w:p w14:paraId="18F6BC7B">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3.3.4 承包人主要施工管理人员离开施工现场的批准要求：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DBF008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3.3.5承包人擅自更换主要施工管理人员的违约责任：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E171C1">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承包人主要施工管理人员擅自离开施工现场的违约责任：</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C765767">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bookmarkStart w:id="497" w:name="_Toc297123492"/>
      <w:bookmarkStart w:id="498" w:name="_Toc300934945"/>
      <w:bookmarkStart w:id="499" w:name="_Toc292559364"/>
      <w:bookmarkStart w:id="500" w:name="_Toc296890987"/>
      <w:bookmarkStart w:id="501" w:name="_Toc297120459"/>
      <w:bookmarkStart w:id="502" w:name="_Toc296503159"/>
      <w:bookmarkStart w:id="503" w:name="_Toc312677988"/>
      <w:bookmarkStart w:id="504" w:name="_Toc297048345"/>
      <w:bookmarkStart w:id="505" w:name="_Toc303539102"/>
      <w:bookmarkStart w:id="506" w:name="_Toc304295523"/>
      <w:bookmarkStart w:id="507" w:name="_Toc296346660"/>
      <w:bookmarkStart w:id="508" w:name="_Toc292559869"/>
      <w:bookmarkStart w:id="509" w:name="_Toc296347158"/>
      <w:bookmarkStart w:id="510" w:name="_Toc296891199"/>
      <w:bookmarkStart w:id="511" w:name="_Toc296944498"/>
      <w:bookmarkStart w:id="512" w:name="_Toc297216151"/>
      <w:r>
        <w:rPr>
          <w:rFonts w:hint="eastAsia" w:ascii="宋体" w:hAnsi="宋体" w:eastAsia="宋体" w:cs="宋体"/>
          <w:color w:val="000000"/>
          <w:sz w:val="21"/>
          <w:szCs w:val="21"/>
        </w:rPr>
        <w:t>.5 分包</w:t>
      </w:r>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5F77111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bookmarkStart w:id="513" w:name="_Toc296347159"/>
      <w:bookmarkStart w:id="514" w:name="_Toc304295524"/>
      <w:bookmarkStart w:id="515" w:name="_Toc292559870"/>
      <w:bookmarkStart w:id="516" w:name="_Toc296503160"/>
      <w:bookmarkStart w:id="517" w:name="_Toc297048346"/>
      <w:bookmarkStart w:id="518" w:name="_Toc296346661"/>
      <w:bookmarkStart w:id="519" w:name="_Toc292559365"/>
      <w:bookmarkStart w:id="520" w:name="_Toc296944499"/>
      <w:bookmarkStart w:id="521" w:name="_Toc297120460"/>
      <w:bookmarkStart w:id="522" w:name="_Toc300934946"/>
      <w:bookmarkStart w:id="523" w:name="_Toc296891200"/>
      <w:bookmarkStart w:id="524" w:name="_Toc303539103"/>
      <w:bookmarkStart w:id="525" w:name="_Toc297216152"/>
      <w:bookmarkStart w:id="526" w:name="_Toc297123493"/>
      <w:bookmarkStart w:id="527" w:name="_Toc296890988"/>
      <w:bookmarkStart w:id="528" w:name="_Toc312677989"/>
      <w:bookmarkStart w:id="529" w:name="_Toc318581158"/>
      <w:r>
        <w:rPr>
          <w:rFonts w:hint="eastAsia" w:ascii="宋体" w:hAnsi="宋体" w:eastAsia="宋体" w:cs="宋体"/>
          <w:sz w:val="21"/>
          <w:szCs w:val="21"/>
        </w:rPr>
        <w:t>.5.1 分包的一般约定</w:t>
      </w:r>
    </w:p>
    <w:p w14:paraId="06799C4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CB40C30">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sz w:val="21"/>
          <w:szCs w:val="21"/>
        </w:rPr>
        <w:t>主体结构、关键性工作的范围：</w:t>
      </w:r>
      <w:r>
        <w:rPr>
          <w:rFonts w:hint="eastAsia" w:ascii="宋体" w:hAnsi="宋体" w:eastAsia="宋体" w:cs="宋体"/>
          <w:color w:val="000000"/>
          <w:sz w:val="21"/>
          <w:szCs w:val="21"/>
          <w:u w:val="single"/>
        </w:rPr>
        <w:t xml:space="preserve">                      </w:t>
      </w:r>
    </w:p>
    <w:p w14:paraId="0F465B98">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Start w:id="530" w:name="_Toc296346662"/>
      <w:bookmarkStart w:id="531" w:name="_Toc297120461"/>
      <w:bookmarkStart w:id="532" w:name="_Toc297048347"/>
      <w:bookmarkStart w:id="533" w:name="_Toc304295525"/>
      <w:bookmarkStart w:id="534" w:name="_Toc296891201"/>
      <w:bookmarkStart w:id="535" w:name="_Toc296347160"/>
      <w:bookmarkStart w:id="536" w:name="_Toc297123494"/>
      <w:bookmarkStart w:id="537" w:name="_Toc296890989"/>
      <w:bookmarkStart w:id="538" w:name="_Toc300934947"/>
      <w:bookmarkStart w:id="539" w:name="_Toc297216153"/>
      <w:bookmarkStart w:id="540" w:name="_Toc303539104"/>
      <w:bookmarkStart w:id="541" w:name="_Toc296503161"/>
      <w:bookmarkStart w:id="542" w:name="_Toc296944500"/>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13D28EB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w:t>
      </w:r>
      <w:bookmarkStart w:id="543" w:name="_Toc312677990"/>
      <w:bookmarkStart w:id="544" w:name="_Toc318581159"/>
      <w:r>
        <w:rPr>
          <w:rFonts w:hint="eastAsia" w:ascii="宋体" w:hAnsi="宋体" w:eastAsia="宋体" w:cs="宋体"/>
          <w:sz w:val="21"/>
          <w:szCs w:val="21"/>
        </w:rPr>
        <w:t>.5.2分包的确定</w:t>
      </w:r>
    </w:p>
    <w:p w14:paraId="2C8C5C3B">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777FFC3">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其他关于分包的约定：</w:t>
      </w:r>
      <w:r>
        <w:rPr>
          <w:rFonts w:hint="eastAsia" w:ascii="宋体" w:hAnsi="宋体" w:eastAsia="宋体" w:cs="宋体"/>
          <w:color w:val="000000"/>
          <w:sz w:val="21"/>
          <w:szCs w:val="21"/>
          <w:u w:val="single"/>
        </w:rPr>
        <w:t xml:space="preserve">                                  </w:t>
      </w:r>
    </w:p>
    <w:p w14:paraId="08DB5246">
      <w:pPr>
        <w:spacing w:line="360" w:lineRule="auto"/>
        <w:rPr>
          <w:rFonts w:hint="eastAsia" w:ascii="宋体" w:hAnsi="宋体" w:eastAsia="宋体" w:cs="宋体"/>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576F5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14:paraId="1AE88E2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543"/>
    <w:bookmarkEnd w:id="544"/>
    <w:p w14:paraId="61497B28">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3.6 工程照管与成品、半成品保护</w:t>
      </w:r>
    </w:p>
    <w:p w14:paraId="50F6FF85">
      <w:pPr>
        <w:spacing w:before="120" w:after="120" w:line="36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承包人负责照管工程及工程相关的材料、工程设备的起始时间：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11C0514">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3.7 履约担保</w:t>
      </w:r>
    </w:p>
    <w:p w14:paraId="1C72D81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承包人是否提供履约担保：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2B4D678">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承包人提供履约担保的形式、金额及期限的：</w:t>
      </w:r>
      <w:r>
        <w:rPr>
          <w:rFonts w:hint="eastAsia" w:ascii="宋体" w:hAnsi="宋体" w:eastAsia="宋体" w:cs="宋体"/>
          <w:color w:val="000000"/>
          <w:sz w:val="21"/>
          <w:szCs w:val="21"/>
          <w:u w:val="single"/>
        </w:rPr>
        <w:t xml:space="preserve">              </w:t>
      </w:r>
    </w:p>
    <w:p w14:paraId="7B53280A">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270D8F3">
      <w:pPr>
        <w:pStyle w:val="5"/>
        <w:spacing w:before="120" w:after="120" w:line="360" w:lineRule="auto"/>
        <w:rPr>
          <w:rFonts w:hint="eastAsia" w:ascii="宋体" w:hAnsi="宋体" w:eastAsia="宋体" w:cs="宋体"/>
          <w:b w:val="0"/>
          <w:color w:val="000000"/>
          <w:sz w:val="21"/>
          <w:szCs w:val="21"/>
        </w:rPr>
      </w:pPr>
      <w:bookmarkStart w:id="545" w:name="_Toc351203636"/>
      <w:r>
        <w:rPr>
          <w:rFonts w:hint="eastAsia" w:ascii="宋体" w:hAnsi="宋体" w:eastAsia="宋体" w:cs="宋体"/>
          <w:b w:val="0"/>
          <w:color w:val="000000"/>
          <w:sz w:val="21"/>
          <w:szCs w:val="21"/>
        </w:rPr>
        <w:t>4</w:t>
      </w:r>
      <w:bookmarkStart w:id="546" w:name="_Toc297048348"/>
      <w:bookmarkStart w:id="547" w:name="_Toc292559366"/>
      <w:bookmarkStart w:id="548" w:name="_Toc296347161"/>
      <w:bookmarkStart w:id="549" w:name="_Toc296891202"/>
      <w:bookmarkStart w:id="550" w:name="_Toc296346663"/>
      <w:bookmarkStart w:id="551" w:name="_Toc292559871"/>
      <w:bookmarkStart w:id="552" w:name="_Toc267251413"/>
      <w:bookmarkStart w:id="553" w:name="_Toc296890990"/>
      <w:bookmarkStart w:id="554" w:name="_Toc297120462"/>
      <w:bookmarkStart w:id="555" w:name="_Toc296503162"/>
      <w:bookmarkStart w:id="556" w:name="_Toc296944501"/>
      <w:r>
        <w:rPr>
          <w:rFonts w:hint="eastAsia" w:ascii="宋体" w:hAnsi="宋体" w:eastAsia="宋体" w:cs="宋体"/>
          <w:b w:val="0"/>
          <w:color w:val="000000"/>
          <w:sz w:val="21"/>
          <w:szCs w:val="21"/>
        </w:rPr>
        <w:t>. 监</w:t>
      </w:r>
      <w:bookmarkEnd w:id="546"/>
      <w:bookmarkEnd w:id="547"/>
      <w:bookmarkEnd w:id="548"/>
      <w:bookmarkEnd w:id="549"/>
      <w:bookmarkEnd w:id="550"/>
      <w:bookmarkEnd w:id="551"/>
      <w:bookmarkEnd w:id="552"/>
      <w:bookmarkEnd w:id="553"/>
      <w:bookmarkEnd w:id="554"/>
      <w:bookmarkEnd w:id="555"/>
      <w:bookmarkEnd w:id="556"/>
      <w:r>
        <w:rPr>
          <w:rFonts w:hint="eastAsia" w:ascii="宋体" w:hAnsi="宋体" w:eastAsia="宋体" w:cs="宋体"/>
          <w:b w:val="0"/>
          <w:color w:val="000000"/>
          <w:sz w:val="21"/>
          <w:szCs w:val="21"/>
        </w:rPr>
        <w:t>理人</w:t>
      </w:r>
      <w:bookmarkEnd w:id="545"/>
    </w:p>
    <w:p w14:paraId="2568FDEF">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4.1监理人的一般规定</w:t>
      </w:r>
    </w:p>
    <w:p w14:paraId="11F1B7A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542F5F3">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关于监理人的监理权限：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AB09349">
      <w:pPr>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关于监理人在施工现场的办公场所、生活场所的提供和费用承担的约定：</w:t>
      </w:r>
      <w:r>
        <w:rPr>
          <w:rFonts w:hint="eastAsia" w:ascii="宋体" w:hAnsi="宋体" w:eastAsia="宋体" w:cs="宋体"/>
          <w:color w:val="000000"/>
          <w:sz w:val="21"/>
          <w:szCs w:val="21"/>
          <w:u w:val="single"/>
        </w:rPr>
        <w:t xml:space="preserve">                                                </w:t>
      </w:r>
    </w:p>
    <w:p w14:paraId="12DE202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FE2017E">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监理人员</w:t>
      </w:r>
    </w:p>
    <w:p w14:paraId="65BF357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总监理工程师：</w:t>
      </w:r>
    </w:p>
    <w:p w14:paraId="3B55482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姓    名：</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4721DA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职    务：</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62979C5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监理工程师执业资格证书号：</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2815306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1CFF3CC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4C553E3D">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通信地址：</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3C25C8C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关于监理人的其他约定：</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58224791">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4.4 商定或确定</w:t>
      </w:r>
    </w:p>
    <w:p w14:paraId="5A6F0EAC">
      <w:pPr>
        <w:spacing w:line="360" w:lineRule="auto"/>
        <w:ind w:firstLine="420" w:firstLineChars="200"/>
        <w:rPr>
          <w:rFonts w:hint="eastAsia" w:ascii="宋体" w:hAnsi="宋体" w:eastAsia="宋体" w:cs="宋体"/>
          <w:color w:val="000000"/>
          <w:sz w:val="21"/>
          <w:szCs w:val="21"/>
        </w:rPr>
      </w:pPr>
      <w:bookmarkStart w:id="557" w:name="_Toc267251418"/>
      <w:r>
        <w:rPr>
          <w:rFonts w:hint="eastAsia" w:ascii="宋体" w:hAnsi="宋体" w:eastAsia="宋体" w:cs="宋体"/>
          <w:color w:val="000000"/>
          <w:sz w:val="21"/>
          <w:szCs w:val="21"/>
        </w:rPr>
        <w:t>在发包人和承包人不能通过协商达成一致意见时，发包人授权监理人对以下事项进行确定：</w:t>
      </w:r>
    </w:p>
    <w:p w14:paraId="30A17B60">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9902F15">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DE1A240">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7C924E">
      <w:pPr>
        <w:pStyle w:val="5"/>
        <w:spacing w:before="120" w:after="120" w:line="360" w:lineRule="auto"/>
        <w:rPr>
          <w:rFonts w:hint="eastAsia" w:ascii="宋体" w:hAnsi="宋体" w:eastAsia="宋体" w:cs="宋体"/>
          <w:b w:val="0"/>
          <w:color w:val="000000"/>
          <w:sz w:val="21"/>
          <w:szCs w:val="21"/>
        </w:rPr>
      </w:pPr>
      <w:bookmarkStart w:id="558" w:name="_Toc351203637"/>
      <w:r>
        <w:rPr>
          <w:rFonts w:hint="eastAsia" w:ascii="宋体" w:hAnsi="宋体" w:eastAsia="宋体" w:cs="宋体"/>
          <w:b w:val="0"/>
          <w:color w:val="000000"/>
          <w:sz w:val="21"/>
          <w:szCs w:val="21"/>
        </w:rPr>
        <w:t>5</w:t>
      </w:r>
      <w:bookmarkEnd w:id="557"/>
      <w:bookmarkStart w:id="559" w:name="_Toc292559367"/>
      <w:bookmarkStart w:id="560" w:name="_Toc296891203"/>
      <w:bookmarkStart w:id="561" w:name="_Toc296503163"/>
      <w:bookmarkStart w:id="562" w:name="_Toc296347162"/>
      <w:bookmarkStart w:id="563" w:name="_Toc297048349"/>
      <w:bookmarkStart w:id="564" w:name="_Toc297120463"/>
      <w:bookmarkStart w:id="565" w:name="_Toc296890991"/>
      <w:bookmarkStart w:id="566" w:name="_Toc292559872"/>
      <w:bookmarkStart w:id="567" w:name="_Toc296944502"/>
      <w:bookmarkStart w:id="568" w:name="_Toc296346664"/>
      <w:r>
        <w:rPr>
          <w:rFonts w:hint="eastAsia" w:ascii="宋体" w:hAnsi="宋体" w:eastAsia="宋体" w:cs="宋体"/>
          <w:b w:val="0"/>
          <w:color w:val="000000"/>
          <w:sz w:val="21"/>
          <w:szCs w:val="21"/>
        </w:rPr>
        <w:t>. 工程质量</w:t>
      </w:r>
      <w:bookmarkEnd w:id="558"/>
    </w:p>
    <w:p w14:paraId="38C7C18E">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5.1 质量要求</w:t>
      </w:r>
    </w:p>
    <w:p w14:paraId="4C2EC4B3">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bookmarkStart w:id="569" w:name="_Toc297123496"/>
      <w:bookmarkStart w:id="570" w:name="_Toc297216155"/>
      <w:bookmarkStart w:id="571" w:name="_Toc304295527"/>
      <w:bookmarkStart w:id="572" w:name="_Toc300934949"/>
      <w:bookmarkStart w:id="573" w:name="_Toc318581164"/>
      <w:bookmarkStart w:id="574" w:name="_Toc312677997"/>
      <w:bookmarkStart w:id="575" w:name="_Toc303539106"/>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w:t>
      </w:r>
    </w:p>
    <w:p w14:paraId="2C5CAF8B">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B1B5B3">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w:t>
      </w:r>
    </w:p>
    <w:p w14:paraId="5721626D">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1297EBF">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5.3 隐蔽工程检查</w:t>
      </w:r>
    </w:p>
    <w:p w14:paraId="271F1A38">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 xml:space="preserve">    </w:t>
      </w:r>
    </w:p>
    <w:p w14:paraId="369C21BD">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E92206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2E99B6A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6A934807">
      <w:pPr>
        <w:pStyle w:val="5"/>
        <w:spacing w:before="120" w:after="120" w:line="360" w:lineRule="auto"/>
        <w:rPr>
          <w:rFonts w:hint="eastAsia" w:ascii="宋体" w:hAnsi="宋体" w:eastAsia="宋体" w:cs="宋体"/>
          <w:b w:val="0"/>
          <w:color w:val="000000"/>
          <w:sz w:val="21"/>
          <w:szCs w:val="21"/>
        </w:rPr>
      </w:pPr>
      <w:bookmarkStart w:id="576" w:name="_Toc351203638"/>
      <w:r>
        <w:rPr>
          <w:rFonts w:hint="eastAsia" w:ascii="宋体" w:hAnsi="宋体" w:eastAsia="宋体" w:cs="宋体"/>
          <w:b w:val="0"/>
          <w:color w:val="000000"/>
          <w:sz w:val="21"/>
          <w:szCs w:val="21"/>
        </w:rPr>
        <w:t>6. 安全文明施工与环境保护</w:t>
      </w:r>
      <w:bookmarkEnd w:id="576"/>
    </w:p>
    <w:p w14:paraId="1760A871">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6.1安全文明施工</w:t>
      </w:r>
    </w:p>
    <w:p w14:paraId="33E1ECA3">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6.1.1</w:t>
      </w:r>
      <w:r>
        <w:rPr>
          <w:rFonts w:hint="eastAsia" w:ascii="宋体" w:hAnsi="宋体" w:eastAsia="宋体" w:cs="宋体"/>
          <w:color w:val="000000"/>
          <w:sz w:val="21"/>
          <w:szCs w:val="21"/>
        </w:rPr>
        <w:t xml:space="preserve"> 项目安全生产的达标目标及相应事项的约定：</w:t>
      </w:r>
      <w:r>
        <w:rPr>
          <w:rFonts w:hint="eastAsia" w:ascii="宋体" w:hAnsi="宋体" w:eastAsia="宋体" w:cs="宋体"/>
          <w:sz w:val="21"/>
          <w:szCs w:val="21"/>
          <w:u w:val="single"/>
        </w:rPr>
        <w:t xml:space="preserve">         </w:t>
      </w:r>
    </w:p>
    <w:p w14:paraId="19617207">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13B76E4">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w:t>
      </w:r>
    </w:p>
    <w:p w14:paraId="57CCAF48">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44A14F">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br w:type="textWrapping"/>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061EBF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14:paraId="5DAEFA61">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 xml:space="preserve">                          </w:t>
      </w:r>
    </w:p>
    <w:p w14:paraId="24C826B2">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2E4715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     </w:t>
      </w:r>
    </w:p>
    <w:p w14:paraId="1DD28659">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569"/>
    <w:bookmarkEnd w:id="570"/>
    <w:bookmarkEnd w:id="571"/>
    <w:bookmarkEnd w:id="572"/>
    <w:bookmarkEnd w:id="573"/>
    <w:bookmarkEnd w:id="574"/>
    <w:bookmarkEnd w:id="575"/>
    <w:p w14:paraId="1D6C7DA1">
      <w:pPr>
        <w:pStyle w:val="5"/>
        <w:spacing w:before="120" w:after="120" w:line="360" w:lineRule="auto"/>
        <w:rPr>
          <w:rFonts w:hint="eastAsia" w:ascii="宋体" w:hAnsi="宋体" w:eastAsia="宋体" w:cs="宋体"/>
          <w:b w:val="0"/>
          <w:color w:val="000000"/>
          <w:sz w:val="21"/>
          <w:szCs w:val="21"/>
        </w:rPr>
      </w:pPr>
      <w:bookmarkStart w:id="577" w:name="_Toc351203639"/>
      <w:r>
        <w:rPr>
          <w:rFonts w:hint="eastAsia" w:ascii="宋体" w:hAnsi="宋体" w:eastAsia="宋体" w:cs="宋体"/>
          <w:b w:val="0"/>
          <w:color w:val="000000"/>
          <w:sz w:val="21"/>
          <w:szCs w:val="21"/>
        </w:rPr>
        <w:t>7. 工期和进度</w:t>
      </w:r>
      <w:bookmarkEnd w:id="577"/>
    </w:p>
    <w:p w14:paraId="297061AA">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 施工组织设计</w:t>
      </w:r>
    </w:p>
    <w:p w14:paraId="723D76C5">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 xml:space="preserve">7.1.1 </w:t>
      </w:r>
      <w:r>
        <w:rPr>
          <w:rFonts w:hint="eastAsia" w:ascii="宋体" w:hAnsi="宋体" w:eastAsia="宋体" w:cs="宋体"/>
          <w:color w:val="000000"/>
          <w:sz w:val="21"/>
          <w:szCs w:val="21"/>
        </w:rPr>
        <w:t>合</w:t>
      </w:r>
      <w:r>
        <w:rPr>
          <w:rFonts w:hint="eastAsia" w:ascii="宋体" w:hAnsi="宋体" w:eastAsia="宋体" w:cs="宋体"/>
          <w:color w:val="000000"/>
          <w:kern w:val="0"/>
          <w:sz w:val="21"/>
          <w:szCs w:val="21"/>
        </w:rPr>
        <w:t>同当事人约定的施工组织设计应包括的其他内容：</w:t>
      </w:r>
      <w:r>
        <w:rPr>
          <w:rFonts w:hint="eastAsia" w:ascii="宋体" w:hAnsi="宋体" w:eastAsia="宋体" w:cs="宋体"/>
          <w:sz w:val="21"/>
          <w:szCs w:val="21"/>
          <w:u w:val="single"/>
        </w:rPr>
        <w:t xml:space="preserve">   </w:t>
      </w:r>
    </w:p>
    <w:p w14:paraId="7CAF0E23">
      <w:pPr>
        <w:autoSpaceDE w:val="0"/>
        <w:autoSpaceDN w:val="0"/>
        <w:adjustRightInd w:val="0"/>
        <w:spacing w:line="360" w:lineRule="auto"/>
        <w:jc w:val="left"/>
        <w:rPr>
          <w:rFonts w:hint="eastAsia" w:ascii="宋体" w:hAnsi="宋体" w:eastAsia="宋体" w:cs="宋体"/>
          <w:color w:val="000000"/>
          <w:kern w:val="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BCDBFAE">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14:paraId="69F1AD2C">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承包人提交详细施工组织设计的期限的约定：</w:t>
      </w:r>
      <w:r>
        <w:rPr>
          <w:rFonts w:hint="eastAsia" w:ascii="宋体" w:hAnsi="宋体" w:eastAsia="宋体" w:cs="宋体"/>
          <w:sz w:val="21"/>
          <w:szCs w:val="21"/>
          <w:u w:val="single"/>
        </w:rPr>
        <w:t xml:space="preserve">              </w:t>
      </w:r>
    </w:p>
    <w:p w14:paraId="2730AD69">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F1F70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发包人和监理人在收到详细的施工组织设计后确认或提出修改意见的期限：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4FE9092">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578" w:name="_Toc312677479"/>
      <w:bookmarkStart w:id="579" w:name="_Toc297216173"/>
      <w:bookmarkStart w:id="580" w:name="_Toc300934966"/>
      <w:bookmarkStart w:id="581" w:name="_Toc297123514"/>
      <w:bookmarkStart w:id="582" w:name="_Toc312678005"/>
      <w:bookmarkStart w:id="583" w:name="_Toc304295541"/>
      <w:bookmarkStart w:id="584" w:name="_Toc303539123"/>
      <w:r>
        <w:rPr>
          <w:rFonts w:hint="eastAsia" w:ascii="宋体" w:hAnsi="宋体" w:eastAsia="宋体" w:cs="宋体"/>
          <w:color w:val="000000"/>
          <w:sz w:val="21"/>
          <w:szCs w:val="21"/>
        </w:rPr>
        <w:t>.2 施工进度计划</w:t>
      </w:r>
    </w:p>
    <w:p w14:paraId="70347FF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7.2.2 施工进度计划的修订</w:t>
      </w:r>
    </w:p>
    <w:p w14:paraId="555C133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发包人和监理人在收到修订的施工进度计划后确认或提出修改意见的期限：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D26E7FF">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 开工</w:t>
      </w:r>
    </w:p>
    <w:p w14:paraId="18B0FD6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7.3.1 开工准备</w:t>
      </w:r>
    </w:p>
    <w:p w14:paraId="526A2997">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关于承包人提交</w:t>
      </w:r>
      <w:r>
        <w:rPr>
          <w:rFonts w:hint="eastAsia" w:ascii="宋体" w:hAnsi="宋体" w:eastAsia="宋体" w:cs="宋体"/>
          <w:color w:val="000000"/>
          <w:kern w:val="0"/>
          <w:sz w:val="21"/>
          <w:szCs w:val="21"/>
        </w:rPr>
        <w:t>工程开工报审表的期限：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9F5FFFB">
      <w:pPr>
        <w:spacing w:line="360" w:lineRule="auto"/>
        <w:ind w:firstLine="645"/>
        <w:jc w:val="left"/>
        <w:rPr>
          <w:rFonts w:hint="eastAsia" w:ascii="宋体" w:hAnsi="宋体" w:eastAsia="宋体" w:cs="宋体"/>
          <w:sz w:val="21"/>
          <w:szCs w:val="21"/>
          <w:u w:val="single"/>
        </w:rPr>
      </w:pPr>
      <w:r>
        <w:rPr>
          <w:rFonts w:hint="eastAsia" w:ascii="宋体" w:hAnsi="宋体" w:eastAsia="宋体" w:cs="宋体"/>
          <w:color w:val="000000"/>
          <w:sz w:val="21"/>
          <w:szCs w:val="21"/>
        </w:rPr>
        <w:t>关于发包人应完成的其他开工准备工作及期限：</w:t>
      </w:r>
      <w:r>
        <w:rPr>
          <w:rFonts w:hint="eastAsia" w:ascii="宋体" w:hAnsi="宋体" w:eastAsia="宋体" w:cs="宋体"/>
          <w:sz w:val="21"/>
          <w:szCs w:val="21"/>
          <w:u w:val="single"/>
        </w:rPr>
        <w:t xml:space="preserve">             </w:t>
      </w:r>
    </w:p>
    <w:p w14:paraId="68E91EF2">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138508F">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sz w:val="21"/>
          <w:szCs w:val="21"/>
        </w:rPr>
        <w:t>关于承包人应完成的其他开工准备工作及期限：</w:t>
      </w:r>
      <w:r>
        <w:rPr>
          <w:rFonts w:hint="eastAsia" w:ascii="宋体" w:hAnsi="宋体" w:eastAsia="宋体" w:cs="宋体"/>
          <w:sz w:val="21"/>
          <w:szCs w:val="21"/>
          <w:u w:val="single"/>
        </w:rPr>
        <w:t xml:space="preserve">            </w:t>
      </w:r>
    </w:p>
    <w:p w14:paraId="525C08E0">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C5F65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7.3.2开工通知</w:t>
      </w:r>
    </w:p>
    <w:p w14:paraId="5ABEEA5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因发包人原因造成监理人未能在计划开工日期之日起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天内发出开工通知的，承包人有权提出价格调整要求，或者解除合同。</w:t>
      </w:r>
    </w:p>
    <w:bookmarkEnd w:id="578"/>
    <w:bookmarkEnd w:id="579"/>
    <w:bookmarkEnd w:id="580"/>
    <w:bookmarkEnd w:id="581"/>
    <w:bookmarkEnd w:id="582"/>
    <w:bookmarkEnd w:id="583"/>
    <w:bookmarkEnd w:id="584"/>
    <w:p w14:paraId="51E2B77C">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7.4 测量放线</w:t>
      </w:r>
    </w:p>
    <w:p w14:paraId="407B185E">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A0A2711">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585" w:name="_Toc303539125"/>
      <w:bookmarkStart w:id="586" w:name="_Toc297123516"/>
      <w:bookmarkStart w:id="587" w:name="_Toc300934968"/>
      <w:bookmarkStart w:id="588" w:name="_Toc304295546"/>
      <w:bookmarkStart w:id="589" w:name="_Toc312678010"/>
      <w:bookmarkStart w:id="590" w:name="_Toc312677484"/>
      <w:bookmarkStart w:id="591" w:name="_Toc297216175"/>
      <w:r>
        <w:rPr>
          <w:rFonts w:hint="eastAsia" w:ascii="宋体" w:hAnsi="宋体" w:eastAsia="宋体" w:cs="宋体"/>
          <w:color w:val="000000"/>
          <w:sz w:val="21"/>
          <w:szCs w:val="21"/>
        </w:rPr>
        <w:t>.5 工期延误</w:t>
      </w:r>
    </w:p>
    <w:bookmarkEnd w:id="585"/>
    <w:bookmarkEnd w:id="586"/>
    <w:bookmarkEnd w:id="587"/>
    <w:bookmarkEnd w:id="588"/>
    <w:bookmarkEnd w:id="589"/>
    <w:bookmarkEnd w:id="590"/>
    <w:bookmarkEnd w:id="591"/>
    <w:p w14:paraId="0DBD2E6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5760AFC6">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p>
    <w:p w14:paraId="7E857F7D">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583B99E">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w:t>
      </w:r>
      <w:bookmarkStart w:id="592" w:name="_Toc312678012"/>
      <w:bookmarkStart w:id="593" w:name="_Toc318581169"/>
      <w:bookmarkStart w:id="594" w:name="_Toc312677486"/>
      <w:bookmarkStart w:id="595" w:name="_Toc300934970"/>
      <w:bookmarkStart w:id="596" w:name="_Toc297123518"/>
      <w:bookmarkStart w:id="597" w:name="_Toc297216177"/>
      <w:bookmarkStart w:id="598" w:name="_Toc303539127"/>
      <w:bookmarkStart w:id="599" w:name="_Toc304295548"/>
      <w:r>
        <w:rPr>
          <w:rFonts w:hint="eastAsia" w:ascii="宋体" w:hAnsi="宋体" w:eastAsia="宋体" w:cs="宋体"/>
          <w:sz w:val="21"/>
          <w:szCs w:val="21"/>
        </w:rPr>
        <w:t>.5.2 因承包人原因导致工期延误</w:t>
      </w:r>
    </w:p>
    <w:bookmarkEnd w:id="592"/>
    <w:bookmarkEnd w:id="593"/>
    <w:bookmarkEnd w:id="594"/>
    <w:p w14:paraId="5AD823FC">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w:t>
      </w:r>
      <w:bookmarkStart w:id="600" w:name="_Toc312678013"/>
      <w:bookmarkStart w:id="601" w:name="_Toc312677487"/>
      <w:bookmarkStart w:id="602" w:name="_Toc318581170"/>
      <w:r>
        <w:rPr>
          <w:rFonts w:hint="eastAsia" w:ascii="宋体" w:hAnsi="宋体" w:eastAsia="宋体" w:cs="宋体"/>
          <w:sz w:val="21"/>
          <w:szCs w:val="21"/>
        </w:rPr>
        <w:t>承包人原因造成工期延误，逾期竣工违约金的计算方法为：</w:t>
      </w:r>
    </w:p>
    <w:p w14:paraId="59CBEE07">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595"/>
      <w:bookmarkEnd w:id="596"/>
      <w:bookmarkEnd w:id="597"/>
      <w:bookmarkEnd w:id="598"/>
      <w:bookmarkEnd w:id="599"/>
      <w:bookmarkEnd w:id="600"/>
      <w:bookmarkEnd w:id="601"/>
    </w:p>
    <w:bookmarkEnd w:id="602"/>
    <w:p w14:paraId="3DE7336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603" w:name="_Toc318581171"/>
      <w:bookmarkStart w:id="604"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 xml:space="preserve">       </w:t>
      </w:r>
    </w:p>
    <w:p w14:paraId="0DD39584">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603"/>
    <w:bookmarkEnd w:id="604"/>
    <w:p w14:paraId="757DCA5F">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605" w:name="_Toc304295549"/>
      <w:bookmarkStart w:id="606" w:name="_Toc303539128"/>
      <w:bookmarkStart w:id="607" w:name="_Toc300934971"/>
      <w:bookmarkStart w:id="608" w:name="_Toc297123519"/>
      <w:bookmarkStart w:id="609" w:name="_Toc312678015"/>
      <w:bookmarkStart w:id="610" w:name="_Toc297216178"/>
      <w:r>
        <w:rPr>
          <w:rFonts w:hint="eastAsia" w:ascii="宋体" w:hAnsi="宋体" w:eastAsia="宋体" w:cs="宋体"/>
          <w:color w:val="000000"/>
          <w:sz w:val="21"/>
          <w:szCs w:val="21"/>
        </w:rPr>
        <w:t>.6 不</w:t>
      </w:r>
      <w:bookmarkEnd w:id="605"/>
      <w:bookmarkEnd w:id="606"/>
      <w:bookmarkEnd w:id="607"/>
      <w:bookmarkEnd w:id="608"/>
      <w:bookmarkEnd w:id="609"/>
      <w:bookmarkEnd w:id="610"/>
      <w:r>
        <w:rPr>
          <w:rFonts w:hint="eastAsia" w:ascii="宋体" w:hAnsi="宋体" w:eastAsia="宋体" w:cs="宋体"/>
          <w:color w:val="000000"/>
          <w:sz w:val="21"/>
          <w:szCs w:val="21"/>
        </w:rPr>
        <w:t>利物质条件</w:t>
      </w:r>
    </w:p>
    <w:p w14:paraId="633A842F">
      <w:pPr>
        <w:spacing w:line="360" w:lineRule="auto"/>
        <w:ind w:firstLine="420" w:firstLineChars="200"/>
        <w:jc w:val="left"/>
        <w:rPr>
          <w:rFonts w:hint="eastAsia" w:ascii="宋体" w:hAnsi="宋体" w:eastAsia="宋体" w:cs="宋体"/>
          <w:sz w:val="21"/>
          <w:szCs w:val="21"/>
          <w:u w:val="single"/>
        </w:rPr>
      </w:pPr>
      <w:bookmarkStart w:id="611" w:name="_Toc304295550"/>
      <w:bookmarkStart w:id="612" w:name="_Toc297216179"/>
      <w:bookmarkStart w:id="613" w:name="_Toc318581172"/>
      <w:bookmarkStart w:id="614" w:name="_Toc297123520"/>
      <w:bookmarkStart w:id="615" w:name="_Toc300934972"/>
      <w:bookmarkStart w:id="616" w:name="_Toc312678016"/>
      <w:bookmarkStart w:id="617" w:name="_Toc303539129"/>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w:t>
      </w:r>
    </w:p>
    <w:p w14:paraId="549685F3">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611"/>
    <w:bookmarkEnd w:id="612"/>
    <w:bookmarkEnd w:id="613"/>
    <w:bookmarkEnd w:id="614"/>
    <w:bookmarkEnd w:id="615"/>
    <w:bookmarkEnd w:id="616"/>
    <w:bookmarkEnd w:id="617"/>
    <w:p w14:paraId="7DDD46E6">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bookmarkStart w:id="618" w:name="_Toc300934973"/>
      <w:bookmarkStart w:id="619" w:name="_Toc304295551"/>
      <w:bookmarkStart w:id="620" w:name="_Toc297123521"/>
      <w:bookmarkStart w:id="621" w:name="_Toc312678017"/>
      <w:bookmarkStart w:id="622" w:name="_Toc297216180"/>
      <w:bookmarkStart w:id="623" w:name="_Toc303539130"/>
      <w:r>
        <w:rPr>
          <w:rFonts w:hint="eastAsia" w:ascii="宋体" w:hAnsi="宋体" w:eastAsia="宋体" w:cs="宋体"/>
          <w:color w:val="000000"/>
          <w:sz w:val="21"/>
          <w:szCs w:val="21"/>
        </w:rPr>
        <w:t>.7异常恶劣的气候条件</w:t>
      </w:r>
    </w:p>
    <w:bookmarkEnd w:id="618"/>
    <w:bookmarkEnd w:id="619"/>
    <w:bookmarkEnd w:id="620"/>
    <w:bookmarkEnd w:id="621"/>
    <w:bookmarkEnd w:id="622"/>
    <w:bookmarkEnd w:id="623"/>
    <w:p w14:paraId="0DABC3A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244A081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9511A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92AE85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4DC30D5">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7.9 提前竣工的奖励</w:t>
      </w:r>
    </w:p>
    <w:p w14:paraId="2EEA44C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BA9EBE">
      <w:pPr>
        <w:pStyle w:val="5"/>
        <w:spacing w:before="120" w:after="120" w:line="360" w:lineRule="auto"/>
        <w:rPr>
          <w:rFonts w:hint="eastAsia" w:ascii="宋体" w:hAnsi="宋体" w:eastAsia="宋体" w:cs="宋体"/>
          <w:b w:val="0"/>
          <w:color w:val="000000"/>
          <w:sz w:val="21"/>
          <w:szCs w:val="21"/>
        </w:rPr>
      </w:pPr>
      <w:bookmarkStart w:id="624" w:name="_Toc351203640"/>
      <w:r>
        <w:rPr>
          <w:rFonts w:hint="eastAsia" w:ascii="宋体" w:hAnsi="宋体" w:eastAsia="宋体" w:cs="宋体"/>
          <w:b w:val="0"/>
          <w:color w:val="000000"/>
          <w:sz w:val="21"/>
          <w:szCs w:val="21"/>
        </w:rPr>
        <w:t>8. 材料与设备</w:t>
      </w:r>
      <w:bookmarkEnd w:id="624"/>
    </w:p>
    <w:bookmarkEnd w:id="559"/>
    <w:bookmarkEnd w:id="560"/>
    <w:bookmarkEnd w:id="561"/>
    <w:bookmarkEnd w:id="562"/>
    <w:bookmarkEnd w:id="563"/>
    <w:bookmarkEnd w:id="564"/>
    <w:bookmarkEnd w:id="565"/>
    <w:bookmarkEnd w:id="566"/>
    <w:bookmarkEnd w:id="567"/>
    <w:bookmarkEnd w:id="568"/>
    <w:p w14:paraId="4D9EA52B">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w:t>
      </w:r>
      <w:bookmarkStart w:id="625" w:name="_Toc292559372"/>
      <w:bookmarkStart w:id="626" w:name="_Toc292559877"/>
      <w:bookmarkStart w:id="627" w:name="_Toc297048353"/>
      <w:bookmarkStart w:id="628" w:name="_Toc296347166"/>
      <w:bookmarkStart w:id="629" w:name="_Toc280868654"/>
      <w:bookmarkStart w:id="630" w:name="_Toc304295556"/>
      <w:bookmarkStart w:id="631" w:name="_Toc297120467"/>
      <w:bookmarkStart w:id="632" w:name="_Toc297216186"/>
      <w:bookmarkStart w:id="633" w:name="_Toc296346668"/>
      <w:bookmarkStart w:id="634" w:name="_Toc297123527"/>
      <w:bookmarkStart w:id="635" w:name="_Toc312678019"/>
      <w:bookmarkStart w:id="636" w:name="_Toc300934979"/>
      <w:bookmarkStart w:id="637" w:name="_Toc296503167"/>
      <w:bookmarkStart w:id="638" w:name="_Toc296944506"/>
      <w:bookmarkStart w:id="639" w:name="_Toc303539136"/>
      <w:bookmarkStart w:id="640" w:name="_Toc296890995"/>
      <w:bookmarkStart w:id="641" w:name="_Toc296891207"/>
      <w:bookmarkStart w:id="642" w:name="_Toc312677493"/>
      <w:bookmarkStart w:id="643" w:name="_Toc280868656"/>
      <w:bookmarkStart w:id="644" w:name="_Toc267251424"/>
      <w:bookmarkStart w:id="645" w:name="_Toc280868655"/>
      <w:r>
        <w:rPr>
          <w:rFonts w:hint="eastAsia" w:ascii="宋体" w:hAnsi="宋体" w:eastAsia="宋体" w:cs="宋体"/>
          <w:color w:val="000000"/>
          <w:sz w:val="21"/>
          <w:szCs w:val="21"/>
        </w:rPr>
        <w:t>.4材料与工程设备的保管与使用</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7870A043">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w:t>
      </w:r>
      <w:bookmarkStart w:id="646" w:name="_Toc292559373"/>
      <w:bookmarkStart w:id="647" w:name="_Toc292559878"/>
      <w:bookmarkStart w:id="648" w:name="_Toc300934980"/>
      <w:bookmarkStart w:id="649" w:name="_Toc296503168"/>
      <w:bookmarkStart w:id="650" w:name="_Toc303539137"/>
      <w:bookmarkStart w:id="651" w:name="_Toc318581173"/>
      <w:bookmarkStart w:id="652" w:name="_Toc296347167"/>
      <w:bookmarkStart w:id="653" w:name="_Toc296890996"/>
      <w:bookmarkStart w:id="654" w:name="_Toc312678020"/>
      <w:bookmarkStart w:id="655" w:name="_Toc296346669"/>
      <w:bookmarkStart w:id="656" w:name="_Toc297048354"/>
      <w:bookmarkStart w:id="657" w:name="_Toc296891208"/>
      <w:bookmarkStart w:id="658" w:name="_Toc297120468"/>
      <w:bookmarkStart w:id="659" w:name="_Toc297216187"/>
      <w:bookmarkStart w:id="660" w:name="_Toc296944507"/>
      <w:bookmarkStart w:id="661" w:name="_Toc312677494"/>
      <w:bookmarkStart w:id="662" w:name="_Toc297123528"/>
      <w:bookmarkStart w:id="663" w:name="_Toc304295557"/>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 xml:space="preserve">            </w:t>
      </w:r>
    </w:p>
    <w:p w14:paraId="04F26F65">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bookmarkEnd w:id="646"/>
      <w:bookmarkEnd w:id="647"/>
    </w:p>
    <w:p w14:paraId="3547907A">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8.6 样品</w:t>
      </w:r>
    </w:p>
    <w:p w14:paraId="4B09B157">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样品的报送与封存</w:t>
      </w:r>
    </w:p>
    <w:p w14:paraId="580EF038">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w:t>
      </w:r>
    </w:p>
    <w:p w14:paraId="0027F913">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FB10BD0">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8.8 施工设备和临时设施</w:t>
      </w:r>
    </w:p>
    <w:p w14:paraId="4387A28B">
      <w:pPr>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6728B1B1">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w:t>
      </w:r>
    </w:p>
    <w:p w14:paraId="677266DC">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611151C9">
      <w:pPr>
        <w:pStyle w:val="5"/>
        <w:spacing w:before="120" w:after="120" w:line="360" w:lineRule="auto"/>
        <w:rPr>
          <w:rFonts w:hint="eastAsia" w:ascii="宋体" w:hAnsi="宋体" w:eastAsia="宋体" w:cs="宋体"/>
          <w:b w:val="0"/>
          <w:color w:val="000000"/>
          <w:sz w:val="21"/>
          <w:szCs w:val="21"/>
        </w:rPr>
      </w:pPr>
      <w:bookmarkStart w:id="664" w:name="_Toc351203641"/>
      <w:r>
        <w:rPr>
          <w:rFonts w:hint="eastAsia" w:ascii="宋体" w:hAnsi="宋体" w:eastAsia="宋体" w:cs="宋体"/>
          <w:b w:val="0"/>
          <w:color w:val="000000"/>
          <w:sz w:val="21"/>
          <w:szCs w:val="21"/>
        </w:rPr>
        <w:t>9</w:t>
      </w:r>
      <w:bookmarkEnd w:id="643"/>
      <w:bookmarkEnd w:id="644"/>
      <w:bookmarkEnd w:id="645"/>
      <w:bookmarkStart w:id="665" w:name="_Toc303539139"/>
      <w:bookmarkStart w:id="666" w:name="_Toc297123533"/>
      <w:bookmarkStart w:id="667" w:name="_Toc312677495"/>
      <w:bookmarkStart w:id="668" w:name="_Toc297216192"/>
      <w:bookmarkStart w:id="669" w:name="_Toc304295559"/>
      <w:bookmarkStart w:id="670" w:name="_Toc300934982"/>
      <w:bookmarkStart w:id="671" w:name="_Toc312678021"/>
      <w:bookmarkStart w:id="672" w:name="_Toc297120473"/>
      <w:bookmarkStart w:id="673" w:name="_Toc292559378"/>
      <w:bookmarkStart w:id="674" w:name="_Toc267251428"/>
      <w:bookmarkStart w:id="675" w:name="_Toc292559883"/>
      <w:bookmarkStart w:id="676" w:name="_Toc267251427"/>
      <w:bookmarkStart w:id="677" w:name="_Toc296891213"/>
      <w:bookmarkStart w:id="678" w:name="_Toc297048359"/>
      <w:bookmarkStart w:id="679" w:name="_Toc296346674"/>
      <w:bookmarkStart w:id="680" w:name="_Toc296944512"/>
      <w:bookmarkStart w:id="681" w:name="_Toc296347172"/>
      <w:bookmarkStart w:id="682" w:name="_Toc296891001"/>
      <w:bookmarkStart w:id="683" w:name="_Toc296503173"/>
      <w:r>
        <w:rPr>
          <w:rFonts w:hint="eastAsia" w:ascii="宋体" w:hAnsi="宋体" w:eastAsia="宋体" w:cs="宋体"/>
          <w:b w:val="0"/>
          <w:color w:val="000000"/>
          <w:sz w:val="21"/>
          <w:szCs w:val="21"/>
        </w:rPr>
        <w:t>. 试验与检验</w:t>
      </w:r>
      <w:bookmarkEnd w:id="664"/>
    </w:p>
    <w:bookmarkEnd w:id="665"/>
    <w:bookmarkEnd w:id="666"/>
    <w:bookmarkEnd w:id="667"/>
    <w:bookmarkEnd w:id="668"/>
    <w:bookmarkEnd w:id="669"/>
    <w:bookmarkEnd w:id="670"/>
    <w:bookmarkEnd w:id="671"/>
    <w:p w14:paraId="46D0FCE1">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bookmarkStart w:id="684" w:name="_Toc303539140"/>
      <w:bookmarkStart w:id="685" w:name="_Toc297216193"/>
      <w:bookmarkStart w:id="686" w:name="_Toc300934983"/>
      <w:bookmarkStart w:id="687" w:name="_Toc297123534"/>
      <w:bookmarkStart w:id="688" w:name="_Toc312678022"/>
      <w:bookmarkStart w:id="689" w:name="_Toc312677496"/>
      <w:bookmarkStart w:id="690" w:name="_Toc304295560"/>
      <w:r>
        <w:rPr>
          <w:rFonts w:hint="eastAsia" w:ascii="宋体" w:hAnsi="宋体" w:eastAsia="宋体" w:cs="宋体"/>
          <w:color w:val="000000"/>
          <w:sz w:val="21"/>
          <w:szCs w:val="21"/>
        </w:rPr>
        <w:t>.1试验设备与试验人员</w:t>
      </w:r>
    </w:p>
    <w:bookmarkEnd w:id="684"/>
    <w:bookmarkEnd w:id="685"/>
    <w:bookmarkEnd w:id="686"/>
    <w:bookmarkEnd w:id="687"/>
    <w:bookmarkEnd w:id="688"/>
    <w:bookmarkEnd w:id="689"/>
    <w:bookmarkEnd w:id="690"/>
    <w:p w14:paraId="20A2743F">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w:t>
      </w:r>
      <w:bookmarkStart w:id="691" w:name="_Toc312678023"/>
      <w:bookmarkStart w:id="692" w:name="_Toc297216194"/>
      <w:bookmarkStart w:id="693" w:name="_Toc304295561"/>
      <w:bookmarkStart w:id="694" w:name="_Toc297123535"/>
      <w:bookmarkStart w:id="695" w:name="_Toc300934984"/>
      <w:bookmarkStart w:id="696" w:name="_Toc303539141"/>
      <w:bookmarkStart w:id="697" w:name="_Toc312677497"/>
      <w:bookmarkStart w:id="698" w:name="_Toc318581174"/>
      <w:r>
        <w:rPr>
          <w:rFonts w:hint="eastAsia" w:ascii="宋体" w:hAnsi="宋体" w:eastAsia="宋体" w:cs="宋体"/>
          <w:sz w:val="21"/>
          <w:szCs w:val="21"/>
        </w:rPr>
        <w:t>.1.2 试验设备</w:t>
      </w:r>
    </w:p>
    <w:p w14:paraId="1B8324C4">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bookmarkEnd w:id="691"/>
      <w:bookmarkEnd w:id="692"/>
      <w:bookmarkEnd w:id="693"/>
      <w:bookmarkEnd w:id="694"/>
      <w:bookmarkEnd w:id="695"/>
      <w:bookmarkEnd w:id="696"/>
      <w:bookmarkEnd w:id="697"/>
      <w:bookmarkStart w:id="699" w:name="_Toc312678024"/>
      <w:bookmarkStart w:id="700" w:name="_Toc303539142"/>
      <w:bookmarkStart w:id="701" w:name="_Toc297216195"/>
      <w:bookmarkStart w:id="702" w:name="_Toc304295562"/>
      <w:bookmarkStart w:id="703" w:name="_Toc297123536"/>
      <w:bookmarkStart w:id="704" w:name="_Toc300934985"/>
      <w:bookmarkStart w:id="705" w:name="_Toc312677498"/>
      <w:r>
        <w:rPr>
          <w:rFonts w:hint="eastAsia" w:ascii="宋体" w:hAnsi="宋体" w:eastAsia="宋体" w:cs="宋体"/>
          <w:sz w:val="21"/>
          <w:szCs w:val="21"/>
          <w:u w:val="single"/>
        </w:rPr>
        <w:t xml:space="preserve">                           </w:t>
      </w:r>
    </w:p>
    <w:p w14:paraId="60F20CD0">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A55604D">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w:t>
      </w:r>
    </w:p>
    <w:p w14:paraId="23C4FE11">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0E25E97">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w:t>
      </w:r>
    </w:p>
    <w:p w14:paraId="683FC95D">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7AD6973">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9.4 现场工艺试验 </w:t>
      </w:r>
    </w:p>
    <w:p w14:paraId="0EF8FAE3">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w:t>
      </w:r>
    </w:p>
    <w:p w14:paraId="48B3C2A3">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698"/>
    <w:bookmarkEnd w:id="699"/>
    <w:bookmarkEnd w:id="700"/>
    <w:bookmarkEnd w:id="701"/>
    <w:bookmarkEnd w:id="702"/>
    <w:bookmarkEnd w:id="703"/>
    <w:bookmarkEnd w:id="704"/>
    <w:bookmarkEnd w:id="705"/>
    <w:p w14:paraId="71C13FC5">
      <w:pPr>
        <w:pStyle w:val="5"/>
        <w:spacing w:before="120" w:after="120" w:line="360" w:lineRule="auto"/>
        <w:rPr>
          <w:rFonts w:hint="eastAsia" w:ascii="宋体" w:hAnsi="宋体" w:eastAsia="宋体" w:cs="宋体"/>
          <w:b w:val="0"/>
          <w:color w:val="000000"/>
          <w:sz w:val="21"/>
          <w:szCs w:val="21"/>
        </w:rPr>
      </w:pPr>
      <w:bookmarkStart w:id="706" w:name="_Toc351203642"/>
      <w:r>
        <w:rPr>
          <w:rFonts w:hint="eastAsia" w:ascii="宋体" w:hAnsi="宋体" w:eastAsia="宋体" w:cs="宋体"/>
          <w:b w:val="0"/>
          <w:color w:val="000000"/>
          <w:sz w:val="21"/>
          <w:szCs w:val="21"/>
        </w:rPr>
        <w:t>1</w:t>
      </w:r>
      <w:bookmarkEnd w:id="672"/>
      <w:bookmarkEnd w:id="673"/>
      <w:bookmarkEnd w:id="674"/>
      <w:bookmarkEnd w:id="675"/>
      <w:bookmarkEnd w:id="676"/>
      <w:bookmarkEnd w:id="677"/>
      <w:bookmarkEnd w:id="678"/>
      <w:bookmarkEnd w:id="679"/>
      <w:bookmarkEnd w:id="680"/>
      <w:bookmarkEnd w:id="681"/>
      <w:bookmarkEnd w:id="682"/>
      <w:bookmarkEnd w:id="683"/>
      <w:bookmarkStart w:id="707" w:name="_Toc303539146"/>
      <w:bookmarkStart w:id="708" w:name="_Toc297216199"/>
      <w:bookmarkStart w:id="709" w:name="_Toc292559903"/>
      <w:bookmarkStart w:id="710" w:name="_Toc292559398"/>
      <w:bookmarkStart w:id="711" w:name="_Toc296891233"/>
      <w:bookmarkStart w:id="712" w:name="_Toc304295566"/>
      <w:bookmarkStart w:id="713" w:name="_Toc296503193"/>
      <w:bookmarkStart w:id="714" w:name="_Toc297048379"/>
      <w:bookmarkStart w:id="715" w:name="_Toc296347192"/>
      <w:bookmarkStart w:id="716" w:name="_Toc297123540"/>
      <w:bookmarkStart w:id="717" w:name="_Toc296346694"/>
      <w:bookmarkStart w:id="718" w:name="_Toc296944532"/>
      <w:bookmarkStart w:id="719" w:name="_Toc297120493"/>
      <w:bookmarkStart w:id="720" w:name="_Toc300934989"/>
      <w:bookmarkStart w:id="721" w:name="_Toc296891021"/>
      <w:bookmarkStart w:id="722" w:name="_Toc312678025"/>
      <w:bookmarkStart w:id="723" w:name="_Toc312677499"/>
      <w:bookmarkStart w:id="724" w:name="_Toc267251437"/>
      <w:bookmarkStart w:id="725" w:name="_Toc267251439"/>
      <w:bookmarkStart w:id="726" w:name="_Toc267251441"/>
      <w:bookmarkStart w:id="727" w:name="_Toc267251433"/>
      <w:bookmarkStart w:id="728" w:name="_Toc267251440"/>
      <w:bookmarkStart w:id="729" w:name="_Toc267251435"/>
      <w:bookmarkStart w:id="730" w:name="_Toc267251442"/>
      <w:r>
        <w:rPr>
          <w:rFonts w:hint="eastAsia" w:ascii="宋体" w:hAnsi="宋体" w:eastAsia="宋体" w:cs="宋体"/>
          <w:b w:val="0"/>
          <w:color w:val="000000"/>
          <w:sz w:val="21"/>
          <w:szCs w:val="21"/>
        </w:rPr>
        <w:t>0. 变更</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2F925D28">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bookmarkStart w:id="731" w:name="_Toc296891022"/>
      <w:bookmarkStart w:id="732" w:name="_Toc312677500"/>
      <w:bookmarkStart w:id="733" w:name="_Toc300934990"/>
      <w:bookmarkStart w:id="734" w:name="_Toc296944533"/>
      <w:bookmarkStart w:id="735" w:name="_Toc297123541"/>
      <w:bookmarkStart w:id="736" w:name="_Toc296346695"/>
      <w:bookmarkStart w:id="737" w:name="_Toc296347193"/>
      <w:bookmarkStart w:id="738" w:name="_Toc292559399"/>
      <w:bookmarkStart w:id="739" w:name="_Toc304295567"/>
      <w:bookmarkStart w:id="740" w:name="_Toc297120494"/>
      <w:bookmarkStart w:id="741" w:name="_Toc297048380"/>
      <w:bookmarkStart w:id="742" w:name="_Toc303539147"/>
      <w:bookmarkStart w:id="743" w:name="_Toc296503194"/>
      <w:bookmarkStart w:id="744" w:name="_Toc296891234"/>
      <w:bookmarkStart w:id="745" w:name="_Toc297216200"/>
      <w:bookmarkStart w:id="746" w:name="_Toc292559904"/>
      <w:bookmarkStart w:id="747" w:name="_Toc312678026"/>
      <w:r>
        <w:rPr>
          <w:rFonts w:hint="eastAsia" w:ascii="宋体" w:hAnsi="宋体" w:eastAsia="宋体" w:cs="宋体"/>
          <w:color w:val="000000"/>
          <w:sz w:val="21"/>
          <w:szCs w:val="21"/>
        </w:rPr>
        <w:t>0.1变更的范围</w:t>
      </w:r>
    </w:p>
    <w:p w14:paraId="73BA5013">
      <w:pPr>
        <w:spacing w:line="360" w:lineRule="auto"/>
        <w:ind w:firstLine="6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关于变更的范围的约定：</w:t>
      </w:r>
      <w:r>
        <w:rPr>
          <w:rFonts w:hint="eastAsia" w:ascii="宋体" w:hAnsi="宋体" w:eastAsia="宋体" w:cs="宋体"/>
          <w:color w:val="000000"/>
          <w:sz w:val="21"/>
          <w:szCs w:val="21"/>
          <w:u w:val="single"/>
        </w:rPr>
        <w:t xml:space="preserve">                                </w:t>
      </w:r>
    </w:p>
    <w:p w14:paraId="1937E241">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858F9A3">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10.4 变更估价</w:t>
      </w:r>
    </w:p>
    <w:p w14:paraId="601A014C">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14:paraId="40B35880">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关于变更估价的约定: </w:t>
      </w:r>
      <w:r>
        <w:rPr>
          <w:rFonts w:hint="eastAsia" w:ascii="宋体" w:hAnsi="宋体" w:eastAsia="宋体" w:cs="宋体"/>
          <w:color w:val="000000"/>
          <w:sz w:val="21"/>
          <w:szCs w:val="21"/>
          <w:u w:val="single"/>
        </w:rPr>
        <w:t xml:space="preserve">                                   </w:t>
      </w:r>
    </w:p>
    <w:p w14:paraId="35124D1D">
      <w:pPr>
        <w:spacing w:line="360" w:lineRule="auto"/>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CEE0874">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48" w:name="_Toc296503197"/>
      <w:bookmarkStart w:id="749" w:name="_Toc296891025"/>
      <w:bookmarkStart w:id="750" w:name="_Toc303539150"/>
      <w:bookmarkStart w:id="751" w:name="_Toc296944536"/>
      <w:bookmarkStart w:id="752" w:name="_Toc297123544"/>
      <w:bookmarkStart w:id="753" w:name="_Toc297216203"/>
      <w:bookmarkStart w:id="754" w:name="_Toc300934993"/>
      <w:bookmarkStart w:id="755" w:name="_Toc297048383"/>
      <w:bookmarkStart w:id="756" w:name="_Toc296346698"/>
      <w:bookmarkStart w:id="757" w:name="_Toc296891237"/>
      <w:bookmarkStart w:id="758" w:name="_Toc292559402"/>
      <w:bookmarkStart w:id="759" w:name="_Toc296347196"/>
      <w:bookmarkStart w:id="760" w:name="_Toc297120497"/>
      <w:bookmarkStart w:id="761" w:name="_Toc292559907"/>
      <w:bookmarkStart w:id="762" w:name="_Toc312678029"/>
      <w:bookmarkStart w:id="763" w:name="_Toc304295570"/>
      <w:bookmarkStart w:id="764" w:name="_Toc312677503"/>
      <w:r>
        <w:rPr>
          <w:rFonts w:hint="eastAsia" w:ascii="宋体" w:hAnsi="宋体" w:eastAsia="宋体" w:cs="宋体"/>
          <w:color w:val="000000"/>
          <w:sz w:val="21"/>
          <w:szCs w:val="21"/>
        </w:rPr>
        <w:t>0.5承</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Start w:id="765" w:name="_Toc297120503"/>
      <w:bookmarkStart w:id="766" w:name="_Toc292559408"/>
      <w:bookmarkStart w:id="767" w:name="_Toc297048389"/>
      <w:bookmarkStart w:id="768" w:name="_Toc296944542"/>
      <w:bookmarkStart w:id="769" w:name="_Toc292559913"/>
      <w:bookmarkStart w:id="770" w:name="_Toc297123545"/>
      <w:bookmarkStart w:id="771" w:name="_Toc296891243"/>
      <w:bookmarkStart w:id="772" w:name="_Toc296347202"/>
      <w:bookmarkStart w:id="773" w:name="_Toc296891031"/>
      <w:bookmarkStart w:id="774" w:name="_Toc297216204"/>
      <w:bookmarkStart w:id="775" w:name="_Toc303539151"/>
      <w:bookmarkStart w:id="776" w:name="_Toc296346704"/>
      <w:bookmarkStart w:id="777" w:name="_Toc296503203"/>
      <w:bookmarkStart w:id="778" w:name="_Toc300934994"/>
      <w:r>
        <w:rPr>
          <w:rFonts w:hint="eastAsia" w:ascii="宋体" w:hAnsi="宋体" w:eastAsia="宋体" w:cs="宋体"/>
          <w:color w:val="000000"/>
          <w:sz w:val="21"/>
          <w:szCs w:val="21"/>
        </w:rPr>
        <w:t>包人的合理化建议</w:t>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6CB57F3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0B6F2E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0E2F03F">
      <w:pPr>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w:t>
      </w:r>
      <w:bookmarkStart w:id="779" w:name="_Toc318581175"/>
      <w:bookmarkStart w:id="780" w:name="_Toc296891032"/>
      <w:bookmarkStart w:id="781" w:name="_Toc292559914"/>
      <w:bookmarkStart w:id="782" w:name="_Toc297216205"/>
      <w:bookmarkStart w:id="783" w:name="_Toc292559409"/>
      <w:bookmarkStart w:id="784" w:name="_Toc296347203"/>
      <w:bookmarkStart w:id="785" w:name="_Toc300934995"/>
      <w:bookmarkStart w:id="786" w:name="_Toc296346705"/>
      <w:bookmarkStart w:id="787" w:name="_Toc312678030"/>
      <w:bookmarkStart w:id="788" w:name="_Toc312677504"/>
      <w:bookmarkStart w:id="789" w:name="_Toc304295571"/>
      <w:bookmarkStart w:id="790" w:name="_Toc297123546"/>
      <w:bookmarkStart w:id="791" w:name="_Toc296944543"/>
      <w:bookmarkStart w:id="792" w:name="_Toc297120504"/>
      <w:bookmarkStart w:id="793" w:name="_Toc297048390"/>
      <w:bookmarkStart w:id="794" w:name="_Toc296503204"/>
      <w:bookmarkStart w:id="795" w:name="_Toc296891244"/>
      <w:bookmarkStart w:id="796" w:name="_Toc303539152"/>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w:t>
      </w:r>
    </w:p>
    <w:p w14:paraId="1B915C24">
      <w:pPr>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14:paraId="5C17DB29">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w:t>
      </w:r>
      <w:bookmarkStart w:id="797" w:name="_Toc297048385"/>
      <w:bookmarkStart w:id="798" w:name="_Toc296503199"/>
      <w:bookmarkStart w:id="799" w:name="_Toc297216207"/>
      <w:bookmarkStart w:id="800" w:name="_Toc292559909"/>
      <w:bookmarkStart w:id="801" w:name="_Toc304295574"/>
      <w:bookmarkStart w:id="802" w:name="_Toc297120499"/>
      <w:bookmarkStart w:id="803" w:name="_Toc296891027"/>
      <w:bookmarkStart w:id="804" w:name="_Toc312677507"/>
      <w:bookmarkStart w:id="805" w:name="_Toc300934997"/>
      <w:bookmarkStart w:id="806" w:name="_Toc296347198"/>
      <w:bookmarkStart w:id="807" w:name="_Toc296891239"/>
      <w:bookmarkStart w:id="808" w:name="_Toc303539154"/>
      <w:bookmarkStart w:id="809" w:name="_Toc296346700"/>
      <w:bookmarkStart w:id="810" w:name="_Toc297123548"/>
      <w:bookmarkStart w:id="811" w:name="_Toc312678033"/>
      <w:bookmarkStart w:id="812" w:name="_Toc292559404"/>
      <w:bookmarkStart w:id="813" w:name="_Toc296944538"/>
      <w:r>
        <w:rPr>
          <w:rFonts w:hint="eastAsia" w:ascii="宋体" w:hAnsi="宋体" w:eastAsia="宋体" w:cs="宋体"/>
          <w:color w:val="000000"/>
          <w:sz w:val="21"/>
          <w:szCs w:val="21"/>
        </w:rPr>
        <w:t>0.7 暂估价</w:t>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00890C88">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暂</w:t>
      </w:r>
      <w:bookmarkStart w:id="814" w:name="_Toc318581176"/>
      <w:bookmarkStart w:id="815" w:name="_Toc312678034"/>
      <w:bookmarkStart w:id="816" w:name="_Toc312677508"/>
      <w:r>
        <w:rPr>
          <w:rFonts w:hint="eastAsia" w:ascii="宋体" w:hAnsi="宋体" w:eastAsia="宋体" w:cs="宋体"/>
          <w:kern w:val="0"/>
          <w:sz w:val="21"/>
          <w:szCs w:val="21"/>
        </w:rPr>
        <w:t>估价材料和工程设备的明细详见附件11：《</w:t>
      </w:r>
      <w:r>
        <w:rPr>
          <w:rFonts w:hint="eastAsia" w:ascii="宋体" w:hAnsi="宋体" w:eastAsia="宋体" w:cs="宋体"/>
          <w:color w:val="000000"/>
          <w:sz w:val="21"/>
          <w:szCs w:val="21"/>
        </w:rPr>
        <w:t>暂估价一览表》</w:t>
      </w:r>
      <w:r>
        <w:rPr>
          <w:rFonts w:hint="eastAsia" w:ascii="宋体" w:hAnsi="宋体" w:eastAsia="宋体" w:cs="宋体"/>
          <w:kern w:val="0"/>
          <w:sz w:val="21"/>
          <w:szCs w:val="21"/>
        </w:rPr>
        <w:t>。</w:t>
      </w:r>
    </w:p>
    <w:bookmarkEnd w:id="814"/>
    <w:bookmarkEnd w:id="815"/>
    <w:bookmarkEnd w:id="816"/>
    <w:p w14:paraId="566B6D42">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817" w:name="_Toc318581177"/>
      <w:bookmarkStart w:id="818" w:name="_Toc312678035"/>
      <w:bookmarkStart w:id="819" w:name="_Toc312677509"/>
      <w:r>
        <w:rPr>
          <w:rFonts w:hint="eastAsia" w:ascii="宋体" w:hAnsi="宋体" w:eastAsia="宋体" w:cs="宋体"/>
          <w:sz w:val="21"/>
          <w:szCs w:val="21"/>
        </w:rPr>
        <w:t>0.7.1 依法必须招标的暂估价项目</w:t>
      </w:r>
    </w:p>
    <w:bookmarkEnd w:id="817"/>
    <w:bookmarkEnd w:id="818"/>
    <w:bookmarkEnd w:id="819"/>
    <w:p w14:paraId="56E342A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种方式确定。</w:t>
      </w:r>
    </w:p>
    <w:p w14:paraId="53D54B5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5E0A039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种方式确定。</w:t>
      </w:r>
    </w:p>
    <w:p w14:paraId="02CCCE1E">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14:paraId="6ED9237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承包人直接实施的暂估价项目的约定：</w:t>
      </w:r>
      <w:r>
        <w:rPr>
          <w:rFonts w:hint="eastAsia" w:ascii="宋体" w:hAnsi="宋体" w:eastAsia="宋体" w:cs="宋体"/>
          <w:sz w:val="21"/>
          <w:szCs w:val="21"/>
          <w:u w:val="single"/>
        </w:rPr>
        <w:t xml:space="preserve">                     </w:t>
      </w:r>
    </w:p>
    <w:p w14:paraId="38C3DE50">
      <w:pPr>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85E04D1">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10.8 暂列金额</w:t>
      </w:r>
    </w:p>
    <w:p w14:paraId="23D072BB">
      <w:pPr>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color w:val="000000"/>
          <w:kern w:val="0"/>
          <w:sz w:val="21"/>
          <w:szCs w:val="21"/>
        </w:rPr>
        <w:t>合同当事人关于暂列金额使用的约定：</w:t>
      </w:r>
      <w:r>
        <w:rPr>
          <w:rFonts w:hint="eastAsia" w:ascii="宋体" w:hAnsi="宋体" w:eastAsia="宋体" w:cs="宋体"/>
          <w:sz w:val="21"/>
          <w:szCs w:val="21"/>
          <w:u w:val="single"/>
        </w:rPr>
        <w:t xml:space="preserve">                     </w:t>
      </w:r>
    </w:p>
    <w:p w14:paraId="6E63E168">
      <w:pPr>
        <w:autoSpaceDE w:val="0"/>
        <w:autoSpaceDN w:val="0"/>
        <w:adjustRightInd w:val="0"/>
        <w:spacing w:line="360" w:lineRule="auto"/>
        <w:jc w:val="left"/>
        <w:rPr>
          <w:rFonts w:hint="eastAsia" w:ascii="宋体" w:hAnsi="宋体" w:eastAsia="宋体" w:cs="宋体"/>
          <w:color w:val="000000"/>
          <w:kern w:val="0"/>
          <w:sz w:val="21"/>
          <w:szCs w:val="21"/>
        </w:rPr>
      </w:pP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rPr>
        <w:t>。</w:t>
      </w:r>
    </w:p>
    <w:p w14:paraId="6677A006">
      <w:pPr>
        <w:pStyle w:val="5"/>
        <w:spacing w:before="120" w:after="120" w:line="360" w:lineRule="auto"/>
        <w:rPr>
          <w:rFonts w:hint="eastAsia" w:ascii="宋体" w:hAnsi="宋体" w:eastAsia="宋体" w:cs="宋体"/>
          <w:b w:val="0"/>
          <w:color w:val="000000"/>
          <w:sz w:val="21"/>
          <w:szCs w:val="21"/>
        </w:rPr>
      </w:pPr>
      <w:bookmarkStart w:id="820" w:name="_Toc351203643"/>
      <w:r>
        <w:rPr>
          <w:rFonts w:hint="eastAsia" w:ascii="宋体" w:hAnsi="宋体" w:eastAsia="宋体" w:cs="宋体"/>
          <w:b w:val="0"/>
          <w:color w:val="000000"/>
          <w:sz w:val="21"/>
          <w:szCs w:val="21"/>
        </w:rPr>
        <w:t>11. 价格调整</w:t>
      </w:r>
      <w:bookmarkEnd w:id="820"/>
    </w:p>
    <w:p w14:paraId="739FC1B5">
      <w:pPr>
        <w:spacing w:after="120" w:line="360" w:lineRule="auto"/>
        <w:ind w:firstLine="420" w:firstLineChars="200"/>
        <w:rPr>
          <w:rFonts w:hint="eastAsia" w:ascii="宋体" w:hAnsi="宋体" w:eastAsia="宋体" w:cs="宋体"/>
          <w:color w:val="000000"/>
          <w:sz w:val="21"/>
          <w:szCs w:val="21"/>
        </w:rPr>
      </w:pPr>
      <w:bookmarkStart w:id="821" w:name="_Toc303539157"/>
      <w:bookmarkStart w:id="822" w:name="_Toc292559406"/>
      <w:bookmarkStart w:id="823" w:name="_Toc297216209"/>
      <w:bookmarkStart w:id="824" w:name="_Toc312678039"/>
      <w:bookmarkStart w:id="825" w:name="_Toc292559911"/>
      <w:bookmarkStart w:id="826" w:name="_Toc296891029"/>
      <w:bookmarkStart w:id="827" w:name="_Toc296891241"/>
      <w:bookmarkStart w:id="828" w:name="_Toc297120501"/>
      <w:bookmarkStart w:id="829" w:name="_Toc297123550"/>
      <w:bookmarkStart w:id="830" w:name="_Toc300935000"/>
      <w:bookmarkStart w:id="831" w:name="_Toc296944540"/>
      <w:bookmarkStart w:id="832" w:name="_Toc296346702"/>
      <w:bookmarkStart w:id="833" w:name="_Toc304295577"/>
      <w:bookmarkStart w:id="834" w:name="_Toc296347200"/>
      <w:bookmarkStart w:id="835" w:name="_Toc296503201"/>
      <w:bookmarkStart w:id="836" w:name="_Toc297048387"/>
      <w:r>
        <w:rPr>
          <w:rFonts w:hint="eastAsia" w:ascii="宋体" w:hAnsi="宋体" w:eastAsia="宋体" w:cs="宋体"/>
          <w:color w:val="000000"/>
          <w:sz w:val="21"/>
          <w:szCs w:val="21"/>
        </w:rPr>
        <w:t>11.1 市场价格波动引起的调整</w:t>
      </w:r>
    </w:p>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14:paraId="7ADED594">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D3F1F2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rPr>
        <w:t>种方式对合同价格进行调整：</w:t>
      </w:r>
    </w:p>
    <w:p w14:paraId="3C8361A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14:paraId="09B24881">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关于各可调因子、定值和变值权重，以及基本价格指数及其来源的约定：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6FBAFC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14:paraId="33A2AA3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（2）关于基准价格的约定：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6B4962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%时，或材料单价跌幅以已标价工程量清单或预算书中载明材料单价为基础超过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6AE446E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%时，材料单价涨幅以已标价工程量清单或预算书中载明材料单价为基础超过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250C0896">
      <w:pPr>
        <w:spacing w:line="360" w:lineRule="auto"/>
        <w:ind w:firstLine="645"/>
        <w:jc w:val="left"/>
        <w:rPr>
          <w:rFonts w:hint="eastAsia" w:ascii="宋体" w:hAnsi="宋体" w:eastAsia="宋体" w:cs="宋体"/>
          <w:color w:val="000000"/>
          <w:sz w:val="21"/>
          <w:szCs w:val="21"/>
        </w:rPr>
      </w:pPr>
      <w:r>
        <w:rPr>
          <w:rFonts w:hint="eastAsia" w:ascii="宋体" w:hAnsi="宋体" w:eastAsia="宋体" w:cs="宋体"/>
          <w:color w:val="000000"/>
          <w:sz w:val="2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%时，其超过部分据实调整。</w:t>
      </w:r>
    </w:p>
    <w:p w14:paraId="7751056D">
      <w:pPr>
        <w:spacing w:line="360" w:lineRule="auto"/>
        <w:ind w:firstLine="645"/>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第3种方式：其他价格调整方式：</w:t>
      </w:r>
      <w:r>
        <w:rPr>
          <w:rFonts w:hint="eastAsia" w:ascii="宋体" w:hAnsi="宋体" w:eastAsia="宋体" w:cs="宋体"/>
          <w:color w:val="000000"/>
          <w:sz w:val="21"/>
          <w:szCs w:val="21"/>
          <w:u w:val="single"/>
        </w:rPr>
        <w:t xml:space="preserve">                        </w:t>
      </w:r>
    </w:p>
    <w:p w14:paraId="2BE2476E">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24"/>
    <w:bookmarkEnd w:id="725"/>
    <w:bookmarkEnd w:id="726"/>
    <w:bookmarkEnd w:id="727"/>
    <w:bookmarkEnd w:id="728"/>
    <w:bookmarkEnd w:id="729"/>
    <w:p w14:paraId="16F74AD6">
      <w:pPr>
        <w:pStyle w:val="5"/>
        <w:spacing w:before="120" w:after="120" w:line="360" w:lineRule="auto"/>
        <w:rPr>
          <w:rFonts w:hint="eastAsia" w:ascii="宋体" w:hAnsi="宋体" w:eastAsia="宋体" w:cs="宋体"/>
          <w:b w:val="0"/>
          <w:color w:val="000000"/>
          <w:sz w:val="21"/>
          <w:szCs w:val="21"/>
        </w:rPr>
      </w:pPr>
      <w:bookmarkStart w:id="837" w:name="_Toc292559915"/>
      <w:bookmarkStart w:id="838" w:name="_Toc296503205"/>
      <w:bookmarkStart w:id="839" w:name="_Toc296347204"/>
      <w:bookmarkStart w:id="840" w:name="_Toc297120505"/>
      <w:bookmarkStart w:id="841" w:name="_Toc296346706"/>
      <w:bookmarkStart w:id="842" w:name="_Toc292559410"/>
      <w:bookmarkStart w:id="843" w:name="_Toc296944544"/>
      <w:bookmarkStart w:id="844" w:name="_Toc297048391"/>
      <w:bookmarkStart w:id="845" w:name="_Toc296891245"/>
      <w:bookmarkStart w:id="846" w:name="_Toc296891033"/>
      <w:bookmarkStart w:id="847" w:name="_Toc351203644"/>
      <w:bookmarkStart w:id="848" w:name="_Toc300935002"/>
      <w:bookmarkStart w:id="849" w:name="_Toc297123552"/>
      <w:bookmarkStart w:id="850" w:name="_Toc312678040"/>
      <w:bookmarkStart w:id="851" w:name="_Toc297216211"/>
      <w:bookmarkStart w:id="852" w:name="_Toc304295579"/>
      <w:bookmarkStart w:id="853" w:name="_Toc303539159"/>
      <w:r>
        <w:rPr>
          <w:rFonts w:hint="eastAsia" w:ascii="宋体" w:hAnsi="宋体" w:eastAsia="宋体" w:cs="宋体"/>
          <w:b w:val="0"/>
          <w:color w:val="000000"/>
          <w:sz w:val="21"/>
          <w:szCs w:val="21"/>
        </w:rPr>
        <w:t xml:space="preserve">12. </w:t>
      </w:r>
      <w:bookmarkEnd w:id="837"/>
      <w:bookmarkEnd w:id="838"/>
      <w:bookmarkEnd w:id="839"/>
      <w:bookmarkEnd w:id="840"/>
      <w:bookmarkEnd w:id="841"/>
      <w:bookmarkEnd w:id="842"/>
      <w:bookmarkEnd w:id="843"/>
      <w:bookmarkEnd w:id="844"/>
      <w:bookmarkEnd w:id="845"/>
      <w:bookmarkEnd w:id="846"/>
      <w:r>
        <w:rPr>
          <w:rFonts w:hint="eastAsia" w:ascii="宋体" w:hAnsi="宋体" w:eastAsia="宋体" w:cs="宋体"/>
          <w:b w:val="0"/>
          <w:color w:val="000000"/>
          <w:sz w:val="21"/>
          <w:szCs w:val="21"/>
        </w:rPr>
        <w:t>合同价格、计量与支付</w:t>
      </w:r>
      <w:bookmarkEnd w:id="847"/>
    </w:p>
    <w:bookmarkEnd w:id="848"/>
    <w:bookmarkEnd w:id="849"/>
    <w:bookmarkEnd w:id="850"/>
    <w:bookmarkEnd w:id="851"/>
    <w:bookmarkEnd w:id="852"/>
    <w:bookmarkEnd w:id="853"/>
    <w:p w14:paraId="48F5A876">
      <w:pPr>
        <w:spacing w:after="120" w:line="360" w:lineRule="auto"/>
        <w:ind w:firstLine="420" w:firstLineChars="200"/>
        <w:rPr>
          <w:rFonts w:hint="eastAsia" w:ascii="宋体" w:hAnsi="宋体" w:eastAsia="宋体" w:cs="宋体"/>
          <w:color w:val="000000"/>
          <w:sz w:val="21"/>
          <w:szCs w:val="21"/>
        </w:rPr>
      </w:pPr>
      <w:bookmarkStart w:id="854" w:name="_Toc267251461"/>
      <w:bookmarkStart w:id="855" w:name="_Toc292559916"/>
      <w:bookmarkStart w:id="856" w:name="_Toc292559411"/>
      <w:bookmarkStart w:id="857" w:name="_Toc296346707"/>
      <w:bookmarkStart w:id="858" w:name="_Toc297120506"/>
      <w:bookmarkStart w:id="859" w:name="_Toc296944545"/>
      <w:bookmarkStart w:id="860" w:name="_Toc296891034"/>
      <w:bookmarkStart w:id="861" w:name="_Toc296347205"/>
      <w:bookmarkStart w:id="862" w:name="_Toc296891246"/>
      <w:bookmarkStart w:id="863" w:name="_Toc297048392"/>
      <w:bookmarkStart w:id="864" w:name="_Toc296503206"/>
      <w:bookmarkStart w:id="865" w:name="_Toc303539160"/>
      <w:bookmarkStart w:id="866" w:name="_Toc297216212"/>
      <w:bookmarkStart w:id="867" w:name="_Toc300935003"/>
      <w:bookmarkStart w:id="868" w:name="_Toc312678041"/>
      <w:bookmarkStart w:id="869" w:name="_Toc297123553"/>
      <w:bookmarkStart w:id="870" w:name="_Toc304295580"/>
      <w:r>
        <w:rPr>
          <w:rFonts w:hint="eastAsia" w:ascii="宋体" w:hAnsi="宋体" w:eastAsia="宋体" w:cs="宋体"/>
          <w:color w:val="000000"/>
          <w:sz w:val="21"/>
          <w:szCs w:val="21"/>
        </w:rPr>
        <w:t>12.1 合</w:t>
      </w:r>
      <w:bookmarkEnd w:id="854"/>
      <w:bookmarkEnd w:id="855"/>
      <w:bookmarkEnd w:id="856"/>
      <w:r>
        <w:rPr>
          <w:rFonts w:hint="eastAsia" w:ascii="宋体" w:hAnsi="宋体" w:eastAsia="宋体" w:cs="宋体"/>
          <w:color w:val="000000"/>
          <w:sz w:val="21"/>
          <w:szCs w:val="21"/>
        </w:rPr>
        <w:t>同价</w:t>
      </w:r>
      <w:bookmarkEnd w:id="857"/>
      <w:bookmarkEnd w:id="858"/>
      <w:bookmarkEnd w:id="859"/>
      <w:bookmarkEnd w:id="860"/>
      <w:bookmarkEnd w:id="861"/>
      <w:bookmarkEnd w:id="862"/>
      <w:bookmarkEnd w:id="863"/>
      <w:bookmarkEnd w:id="864"/>
      <w:r>
        <w:rPr>
          <w:rFonts w:hint="eastAsia" w:ascii="宋体" w:hAnsi="宋体" w:eastAsia="宋体" w:cs="宋体"/>
          <w:color w:val="000000"/>
          <w:sz w:val="21"/>
          <w:szCs w:val="21"/>
        </w:rPr>
        <w:t>格形式</w:t>
      </w:r>
    </w:p>
    <w:bookmarkEnd w:id="865"/>
    <w:bookmarkEnd w:id="866"/>
    <w:bookmarkEnd w:id="867"/>
    <w:bookmarkEnd w:id="868"/>
    <w:bookmarkEnd w:id="869"/>
    <w:bookmarkEnd w:id="870"/>
    <w:p w14:paraId="3804138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w:t>
      </w:r>
    </w:p>
    <w:p w14:paraId="7D7E3FFA">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综合单价包含的风险范围：</w:t>
      </w:r>
      <w:r>
        <w:rPr>
          <w:rFonts w:hint="eastAsia" w:ascii="宋体" w:hAnsi="宋体" w:eastAsia="宋体" w:cs="宋体"/>
          <w:color w:val="000000"/>
          <w:sz w:val="21"/>
          <w:szCs w:val="21"/>
          <w:u w:val="single"/>
        </w:rPr>
        <w:t xml:space="preserve">                               </w:t>
      </w:r>
    </w:p>
    <w:p w14:paraId="41B20895">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1A27D71">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p>
    <w:p w14:paraId="7730F092">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306EC7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72123B8">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22873B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w:t>
      </w:r>
    </w:p>
    <w:p w14:paraId="29E1558E">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总价包含的风险范围：</w:t>
      </w:r>
      <w:r>
        <w:rPr>
          <w:rFonts w:hint="eastAsia" w:ascii="宋体" w:hAnsi="宋体" w:eastAsia="宋体" w:cs="宋体"/>
          <w:color w:val="000000"/>
          <w:sz w:val="21"/>
          <w:szCs w:val="21"/>
          <w:u w:val="single"/>
        </w:rPr>
        <w:t xml:space="preserve">                                   </w:t>
      </w:r>
    </w:p>
    <w:p w14:paraId="2DA27AA4">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016D50">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风险费用的计算方法：</w:t>
      </w:r>
      <w:r>
        <w:rPr>
          <w:rFonts w:hint="eastAsia" w:ascii="宋体" w:hAnsi="宋体" w:eastAsia="宋体" w:cs="宋体"/>
          <w:color w:val="000000"/>
          <w:sz w:val="21"/>
          <w:szCs w:val="21"/>
          <w:u w:val="single"/>
        </w:rPr>
        <w:t xml:space="preserve">                                   </w:t>
      </w:r>
    </w:p>
    <w:p w14:paraId="2851EF1D">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A028BC3">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风险范围以外合同价格的调整方法：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2803EFF4">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428F228">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3、其他价格方式：</w:t>
      </w:r>
      <w:r>
        <w:rPr>
          <w:rFonts w:hint="eastAsia" w:ascii="宋体" w:hAnsi="宋体" w:eastAsia="宋体" w:cs="宋体"/>
          <w:color w:val="000000"/>
          <w:sz w:val="21"/>
          <w:szCs w:val="21"/>
          <w:u w:val="single"/>
        </w:rPr>
        <w:t xml:space="preserve">                                     </w:t>
      </w:r>
    </w:p>
    <w:p w14:paraId="2DC83365">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299FE13">
      <w:pPr>
        <w:spacing w:after="120" w:line="360" w:lineRule="auto"/>
        <w:ind w:firstLine="420" w:firstLineChars="200"/>
        <w:rPr>
          <w:rFonts w:hint="eastAsia" w:ascii="宋体" w:hAnsi="宋体" w:eastAsia="宋体" w:cs="宋体"/>
          <w:color w:val="000000"/>
          <w:sz w:val="21"/>
          <w:szCs w:val="21"/>
        </w:rPr>
      </w:pPr>
      <w:bookmarkStart w:id="871" w:name="_Toc303539161"/>
      <w:bookmarkStart w:id="872" w:name="_Toc304295581"/>
      <w:bookmarkStart w:id="873" w:name="_Toc300935004"/>
      <w:bookmarkStart w:id="874" w:name="_Toc312678042"/>
      <w:bookmarkStart w:id="875" w:name="_Toc297123554"/>
      <w:bookmarkStart w:id="876" w:name="_Toc297216213"/>
      <w:bookmarkStart w:id="877" w:name="_Toc296944546"/>
      <w:bookmarkStart w:id="878" w:name="_Toc297048393"/>
      <w:bookmarkStart w:id="879" w:name="_Toc296346708"/>
      <w:bookmarkStart w:id="880" w:name="_Toc296503207"/>
      <w:bookmarkStart w:id="881" w:name="_Toc292559917"/>
      <w:bookmarkStart w:id="882" w:name="_Toc296891247"/>
      <w:bookmarkStart w:id="883" w:name="_Toc292559412"/>
      <w:bookmarkStart w:id="884" w:name="_Toc296347206"/>
      <w:bookmarkStart w:id="885" w:name="_Toc297120507"/>
      <w:bookmarkStart w:id="886" w:name="_Toc296891035"/>
      <w:r>
        <w:rPr>
          <w:rFonts w:hint="eastAsia" w:ascii="宋体" w:hAnsi="宋体" w:eastAsia="宋体" w:cs="宋体"/>
          <w:color w:val="000000"/>
          <w:sz w:val="21"/>
          <w:szCs w:val="21"/>
        </w:rPr>
        <w:t>12.2 预付款</w:t>
      </w:r>
    </w:p>
    <w:bookmarkEnd w:id="871"/>
    <w:bookmarkEnd w:id="872"/>
    <w:bookmarkEnd w:id="873"/>
    <w:bookmarkEnd w:id="874"/>
    <w:bookmarkEnd w:id="875"/>
    <w:bookmarkEnd w:id="876"/>
    <w:p w14:paraId="7CD0007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12.2.1 预付款的支付</w:t>
      </w:r>
    </w:p>
    <w:p w14:paraId="5D684C07">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预付款支付比例或金额：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7DD4DF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预付款支付期限：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14247E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预付款扣回的方式：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F7D3C3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14:paraId="7DBD6CC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承包人提交预付款担保的期限：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E94BCB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预付款担保的形式为：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877"/>
    <w:bookmarkEnd w:id="878"/>
    <w:bookmarkEnd w:id="879"/>
    <w:bookmarkEnd w:id="880"/>
    <w:bookmarkEnd w:id="881"/>
    <w:bookmarkEnd w:id="882"/>
    <w:bookmarkEnd w:id="883"/>
    <w:bookmarkEnd w:id="884"/>
    <w:bookmarkEnd w:id="885"/>
    <w:bookmarkEnd w:id="886"/>
    <w:p w14:paraId="5E010F77">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计量</w:t>
      </w:r>
    </w:p>
    <w:p w14:paraId="12E4206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12.3.1 计量原则</w:t>
      </w:r>
    </w:p>
    <w:p w14:paraId="6DC4070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工程量计算规则：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4C25E1B">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12.3.2 计量周期</w:t>
      </w:r>
    </w:p>
    <w:p w14:paraId="0C2A02B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关于计量周期的约定：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2B815D">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12.3.3 单价合同的计量</w:t>
      </w:r>
    </w:p>
    <w:p w14:paraId="3B235DF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关于单价合同计量的约定：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C5C2033">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12.3.4 总价合同的计量</w:t>
      </w:r>
    </w:p>
    <w:p w14:paraId="6E6772E4">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关于总价合同计量的约定：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E452737">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12.3.5总价合同采用支付分解表计量支付的，是否适用第</w:t>
      </w:r>
      <w:r>
        <w:rPr>
          <w:rFonts w:hint="eastAsia" w:ascii="宋体" w:hAnsi="宋体" w:eastAsia="宋体" w:cs="宋体"/>
          <w:color w:val="000000"/>
          <w:kern w:val="0"/>
          <w:sz w:val="21"/>
          <w:szCs w:val="21"/>
        </w:rPr>
        <w:t xml:space="preserve">12.3.4 </w:t>
      </w:r>
      <w:r>
        <w:rPr>
          <w:rFonts w:hint="eastAsia" w:ascii="宋体" w:hAnsi="宋体" w:eastAsia="宋体" w:cs="宋体"/>
          <w:color w:val="000000"/>
          <w:sz w:val="21"/>
          <w:szCs w:val="21"/>
        </w:rPr>
        <w:t>项</w:t>
      </w:r>
      <w:r>
        <w:rPr>
          <w:rFonts w:hint="eastAsia" w:ascii="宋体" w:hAnsi="宋体" w:eastAsia="宋体" w:cs="宋体"/>
          <w:color w:val="000000"/>
          <w:kern w:val="0"/>
          <w:sz w:val="21"/>
          <w:szCs w:val="21"/>
        </w:rPr>
        <w:t>〔总价合同的计量〕</w:t>
      </w:r>
      <w:r>
        <w:rPr>
          <w:rFonts w:hint="eastAsia" w:ascii="宋体" w:hAnsi="宋体" w:eastAsia="宋体" w:cs="宋体"/>
          <w:color w:val="000000"/>
          <w:sz w:val="21"/>
          <w:szCs w:val="21"/>
        </w:rPr>
        <w:t>约定进行计量：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BBC01C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12.3.6 其他价格形式合同的计量</w:t>
      </w:r>
    </w:p>
    <w:p w14:paraId="01E8EC92">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其他价格形式的计量方式和程序：</w:t>
      </w:r>
      <w:r>
        <w:rPr>
          <w:rFonts w:hint="eastAsia" w:ascii="宋体" w:hAnsi="宋体" w:eastAsia="宋体" w:cs="宋体"/>
          <w:color w:val="000000"/>
          <w:sz w:val="21"/>
          <w:szCs w:val="21"/>
          <w:u w:val="single"/>
        </w:rPr>
        <w:t xml:space="preserve">                         </w:t>
      </w:r>
    </w:p>
    <w:p w14:paraId="0F05C6F6">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9569AC">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12.4 工程进度款支付</w:t>
      </w:r>
    </w:p>
    <w:p w14:paraId="02BAD101">
      <w:pPr>
        <w:spacing w:line="360" w:lineRule="auto"/>
        <w:ind w:firstLine="420" w:firstLineChars="200"/>
        <w:jc w:val="left"/>
        <w:rPr>
          <w:rFonts w:hint="eastAsia" w:ascii="宋体" w:hAnsi="宋体" w:eastAsia="宋体" w:cs="宋体"/>
          <w:color w:val="000000"/>
          <w:sz w:val="21"/>
          <w:szCs w:val="21"/>
        </w:rPr>
      </w:pPr>
      <w:bookmarkStart w:id="887" w:name="_Toc300935006"/>
      <w:bookmarkStart w:id="888" w:name="_Toc297216215"/>
      <w:bookmarkStart w:id="889" w:name="_Toc292559921"/>
      <w:bookmarkStart w:id="890" w:name="_Toc296347210"/>
      <w:bookmarkStart w:id="891" w:name="_Toc297048397"/>
      <w:bookmarkStart w:id="892" w:name="_Toc296944550"/>
      <w:bookmarkStart w:id="893" w:name="_Toc296346712"/>
      <w:bookmarkStart w:id="894" w:name="_Toc297120511"/>
      <w:bookmarkStart w:id="895" w:name="_Toc296891039"/>
      <w:bookmarkStart w:id="896" w:name="_Toc297123556"/>
      <w:bookmarkStart w:id="897" w:name="_Toc296503211"/>
      <w:bookmarkStart w:id="898" w:name="_Toc303539163"/>
      <w:bookmarkStart w:id="899" w:name="_Toc296891251"/>
      <w:bookmarkStart w:id="900" w:name="_Toc292559416"/>
      <w:r>
        <w:rPr>
          <w:rFonts w:hint="eastAsia" w:ascii="宋体" w:hAnsi="宋体" w:eastAsia="宋体" w:cs="宋体"/>
          <w:color w:val="000000"/>
          <w:sz w:val="21"/>
          <w:szCs w:val="21"/>
        </w:rPr>
        <w:t>12.4.1 付款周期</w:t>
      </w:r>
    </w:p>
    <w:p w14:paraId="0A13D4E4">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关于付款周期的约定：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9139C2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12.4.2 进度付款申请单的编制</w:t>
      </w:r>
    </w:p>
    <w:p w14:paraId="4C3816F6">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关于进度付款申请单编制的约定：</w:t>
      </w:r>
      <w:r>
        <w:rPr>
          <w:rFonts w:hint="eastAsia" w:ascii="宋体" w:hAnsi="宋体" w:eastAsia="宋体" w:cs="宋体"/>
          <w:color w:val="000000"/>
          <w:sz w:val="21"/>
          <w:szCs w:val="21"/>
          <w:u w:val="single"/>
        </w:rPr>
        <w:t xml:space="preserve">                       </w:t>
      </w:r>
    </w:p>
    <w:p w14:paraId="7A2BC4E1">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798F18B">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宋体" w:hAnsi="宋体" w:eastAsia="宋体" w:cs="宋体"/>
          <w:color w:val="000000"/>
          <w:sz w:val="21"/>
          <w:szCs w:val="21"/>
        </w:rPr>
        <w:t>2.4.3 进度付款申请单的提交</w:t>
      </w:r>
    </w:p>
    <w:p w14:paraId="0D6AF88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（1）单价合同进度付款申请单提交的约定：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00F788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（2）总价合同进度付款申请单提交的约定：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B21956B">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（3）其他价格形式合同进度付款申请单提交的约定：</w:t>
      </w:r>
      <w:r>
        <w:rPr>
          <w:rFonts w:hint="eastAsia" w:ascii="宋体" w:hAnsi="宋体" w:eastAsia="宋体" w:cs="宋体"/>
          <w:color w:val="000000"/>
          <w:sz w:val="21"/>
          <w:szCs w:val="21"/>
          <w:u w:val="single"/>
        </w:rPr>
        <w:t xml:space="preserve">       </w:t>
      </w:r>
    </w:p>
    <w:p w14:paraId="5B4CF4D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A1EC874">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12.4.4 进度款审核和支付</w:t>
      </w:r>
    </w:p>
    <w:p w14:paraId="641C5695">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（1）监理人审查并报送发包人的期限：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6C8EDBF">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发包人完成审批并签发进度款支付证书的期限：</w:t>
      </w:r>
      <w:r>
        <w:rPr>
          <w:rFonts w:hint="eastAsia" w:ascii="宋体" w:hAnsi="宋体" w:eastAsia="宋体" w:cs="宋体"/>
          <w:color w:val="000000"/>
          <w:sz w:val="21"/>
          <w:szCs w:val="21"/>
          <w:u w:val="single"/>
        </w:rPr>
        <w:t xml:space="preserve">           </w:t>
      </w:r>
    </w:p>
    <w:p w14:paraId="7FAC5505">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9CDE89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（2）发包人支付进度款的期限：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D09D378">
      <w:pPr>
        <w:spacing w:line="360" w:lineRule="auto"/>
        <w:ind w:firstLine="525" w:firstLineChars="25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发包人逾期支付进度款的违约金的计算方式：</w:t>
      </w:r>
      <w:r>
        <w:rPr>
          <w:rFonts w:hint="eastAsia" w:ascii="宋体" w:hAnsi="宋体" w:eastAsia="宋体" w:cs="宋体"/>
          <w:color w:val="000000"/>
          <w:sz w:val="21"/>
          <w:szCs w:val="21"/>
          <w:u w:val="single"/>
        </w:rPr>
        <w:t xml:space="preserve">            </w:t>
      </w:r>
    </w:p>
    <w:p w14:paraId="1986882E">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7B3A2CE">
      <w:pPr>
        <w:spacing w:line="360" w:lineRule="auto"/>
        <w:ind w:firstLine="525" w:firstLineChars="250"/>
        <w:jc w:val="left"/>
        <w:rPr>
          <w:rFonts w:hint="eastAsia" w:ascii="宋体" w:hAnsi="宋体" w:eastAsia="宋体" w:cs="宋体"/>
          <w:color w:val="000000"/>
          <w:sz w:val="21"/>
          <w:szCs w:val="21"/>
        </w:rPr>
      </w:pPr>
      <w:r>
        <w:rPr>
          <w:rFonts w:hint="eastAsia" w:ascii="宋体" w:hAnsi="宋体" w:eastAsia="宋体" w:cs="宋体"/>
          <w:color w:val="000000"/>
          <w:sz w:val="21"/>
          <w:szCs w:val="21"/>
        </w:rPr>
        <w:t>12.4.6 支付分解表的编制</w:t>
      </w:r>
    </w:p>
    <w:p w14:paraId="16638776">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2、总价合同支付分解表的编制与审批：</w:t>
      </w:r>
      <w:r>
        <w:rPr>
          <w:rFonts w:hint="eastAsia" w:ascii="宋体" w:hAnsi="宋体" w:eastAsia="宋体" w:cs="宋体"/>
          <w:color w:val="000000"/>
          <w:sz w:val="21"/>
          <w:szCs w:val="21"/>
          <w:u w:val="single"/>
        </w:rPr>
        <w:t xml:space="preserve">                  </w:t>
      </w:r>
    </w:p>
    <w:p w14:paraId="394D31AA">
      <w:pPr>
        <w:spacing w:line="360" w:lineRule="auto"/>
        <w:ind w:left="6000" w:hanging="4200" w:hangingChars="20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D956EAB">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3、单价合同的总价项目支付分解表的编制与审批：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A237622">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730"/>
    <w:p w14:paraId="397D33D1">
      <w:pPr>
        <w:pStyle w:val="5"/>
        <w:spacing w:before="120" w:after="120" w:line="360" w:lineRule="auto"/>
        <w:rPr>
          <w:rFonts w:hint="eastAsia" w:ascii="宋体" w:hAnsi="宋体" w:eastAsia="宋体" w:cs="宋体"/>
          <w:b w:val="0"/>
          <w:color w:val="000000"/>
          <w:sz w:val="21"/>
          <w:szCs w:val="21"/>
        </w:rPr>
      </w:pPr>
      <w:bookmarkStart w:id="901" w:name="_Toc351203645"/>
      <w:bookmarkStart w:id="902" w:name="_Toc300935015"/>
      <w:bookmarkStart w:id="903" w:name="_Toc303539172"/>
      <w:bookmarkStart w:id="904" w:name="_Toc304295593"/>
      <w:bookmarkStart w:id="905" w:name="_Toc297123564"/>
      <w:bookmarkStart w:id="906" w:name="_Toc296891259"/>
      <w:bookmarkStart w:id="907" w:name="_Toc292559424"/>
      <w:bookmarkStart w:id="908" w:name="_Toc297120519"/>
      <w:bookmarkStart w:id="909" w:name="_Toc312678053"/>
      <w:bookmarkStart w:id="910" w:name="_Toc297048405"/>
      <w:bookmarkStart w:id="911" w:name="_Toc296944558"/>
      <w:bookmarkStart w:id="912" w:name="_Toc297216223"/>
      <w:bookmarkStart w:id="913" w:name="_Toc292559929"/>
      <w:bookmarkStart w:id="914" w:name="_Toc296346720"/>
      <w:bookmarkStart w:id="915" w:name="_Toc296503219"/>
      <w:bookmarkStart w:id="916" w:name="_Toc296347218"/>
      <w:bookmarkStart w:id="917" w:name="_Toc296891047"/>
      <w:r>
        <w:rPr>
          <w:rFonts w:hint="eastAsia" w:ascii="宋体" w:hAnsi="宋体" w:eastAsia="宋体" w:cs="宋体"/>
          <w:b w:val="0"/>
          <w:color w:val="000000"/>
          <w:sz w:val="21"/>
          <w:szCs w:val="21"/>
        </w:rPr>
        <w:t>13. 验收和工程试车</w:t>
      </w:r>
      <w:bookmarkEnd w:id="901"/>
    </w:p>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69C59958">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13.1 分部分项工程验收</w:t>
      </w:r>
    </w:p>
    <w:p w14:paraId="5F71058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w:t>
      </w:r>
      <w:r>
        <w:rPr>
          <w:rFonts w:hint="eastAsia" w:ascii="宋体" w:hAnsi="宋体" w:eastAsia="宋体" w:cs="宋体"/>
          <w:sz w:val="21"/>
          <w:szCs w:val="21"/>
        </w:rPr>
        <w:t>小时提交书面延期要求。</w:t>
      </w:r>
    </w:p>
    <w:p w14:paraId="59255E2E">
      <w:pPr>
        <w:spacing w:line="360" w:lineRule="auto"/>
        <w:ind w:firstLine="420" w:firstLineChars="200"/>
        <w:jc w:val="left"/>
        <w:rPr>
          <w:rFonts w:hint="eastAsia" w:ascii="宋体" w:hAnsi="宋体" w:eastAsia="宋体" w:cs="宋体"/>
          <w:b/>
          <w:color w:val="000000"/>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小时。</w:t>
      </w:r>
    </w:p>
    <w:p w14:paraId="476DDCD9">
      <w:pPr>
        <w:spacing w:after="120" w:line="360" w:lineRule="auto"/>
        <w:ind w:firstLine="420" w:firstLineChars="200"/>
        <w:rPr>
          <w:rFonts w:hint="eastAsia" w:ascii="宋体" w:hAnsi="宋体" w:eastAsia="宋体" w:cs="宋体"/>
          <w:color w:val="000000"/>
          <w:sz w:val="21"/>
          <w:szCs w:val="21"/>
        </w:rPr>
      </w:pPr>
      <w:bookmarkStart w:id="918" w:name="_Toc297123565"/>
      <w:bookmarkStart w:id="919" w:name="_Toc312678056"/>
      <w:bookmarkStart w:id="920" w:name="_Toc296891263"/>
      <w:bookmarkStart w:id="921" w:name="_Toc300935016"/>
      <w:bookmarkStart w:id="922" w:name="_Toc296944562"/>
      <w:bookmarkStart w:id="923" w:name="_Toc292559428"/>
      <w:bookmarkStart w:id="924" w:name="_Toc297120523"/>
      <w:bookmarkStart w:id="925" w:name="_Toc296891051"/>
      <w:bookmarkStart w:id="926" w:name="_Toc297048409"/>
      <w:bookmarkStart w:id="927" w:name="_Toc296347222"/>
      <w:bookmarkStart w:id="928" w:name="_Toc297216224"/>
      <w:bookmarkStart w:id="929" w:name="_Toc292559933"/>
      <w:bookmarkStart w:id="930" w:name="_Toc303539173"/>
      <w:bookmarkStart w:id="931" w:name="_Toc304295596"/>
      <w:bookmarkStart w:id="932" w:name="_Toc296503223"/>
      <w:bookmarkStart w:id="933" w:name="_Toc296346724"/>
      <w:bookmarkStart w:id="934" w:name="_Toc267251474"/>
      <w:bookmarkStart w:id="935" w:name="_Toc267251472"/>
      <w:bookmarkStart w:id="936" w:name="_Toc267251475"/>
      <w:bookmarkStart w:id="937" w:name="_Toc267251471"/>
      <w:bookmarkStart w:id="938" w:name="_Toc267251473"/>
      <w:bookmarkStart w:id="939" w:name="_Toc267251476"/>
      <w:bookmarkStart w:id="940" w:name="_Toc267251470"/>
      <w:r>
        <w:rPr>
          <w:rFonts w:hint="eastAsia" w:ascii="宋体" w:hAnsi="宋体" w:eastAsia="宋体" w:cs="宋体"/>
          <w:color w:val="000000"/>
          <w:sz w:val="21"/>
          <w:szCs w:val="21"/>
        </w:rPr>
        <w:t>13.2 竣工验收</w:t>
      </w:r>
    </w:p>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14:paraId="2F22C568">
      <w:pPr>
        <w:spacing w:line="360" w:lineRule="auto"/>
        <w:ind w:firstLine="420" w:firstLineChars="200"/>
        <w:jc w:val="left"/>
        <w:rPr>
          <w:rFonts w:hint="eastAsia" w:ascii="宋体" w:hAnsi="宋体" w:eastAsia="宋体" w:cs="宋体"/>
          <w:color w:val="000000"/>
          <w:sz w:val="21"/>
          <w:szCs w:val="21"/>
        </w:rPr>
      </w:pPr>
      <w:bookmarkStart w:id="941" w:name="_Toc280868704"/>
      <w:bookmarkStart w:id="942" w:name="_Toc280868705"/>
      <w:bookmarkStart w:id="943" w:name="_Toc280868706"/>
      <w:bookmarkStart w:id="944" w:name="_Toc280868707"/>
      <w:bookmarkStart w:id="945" w:name="_Toc280868708"/>
      <w:bookmarkStart w:id="946" w:name="_Toc280868709"/>
      <w:r>
        <w:rPr>
          <w:rFonts w:hint="eastAsia" w:ascii="宋体" w:hAnsi="宋体" w:eastAsia="宋体" w:cs="宋体"/>
          <w:color w:val="000000"/>
          <w:sz w:val="21"/>
          <w:szCs w:val="21"/>
        </w:rPr>
        <w:t>13.2.2竣工验收程序</w:t>
      </w:r>
    </w:p>
    <w:bookmarkEnd w:id="941"/>
    <w:p w14:paraId="02E0DDE5">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关于竣工验收程序的约定：</w:t>
      </w:r>
      <w:r>
        <w:rPr>
          <w:rFonts w:hint="eastAsia" w:ascii="宋体" w:hAnsi="宋体" w:eastAsia="宋体" w:cs="宋体"/>
          <w:color w:val="000000"/>
          <w:sz w:val="21"/>
          <w:szCs w:val="21"/>
          <w:u w:val="single"/>
        </w:rPr>
        <w:t xml:space="preserve">                              </w:t>
      </w:r>
    </w:p>
    <w:p w14:paraId="34B1BE8C">
      <w:pPr>
        <w:spacing w:line="360" w:lineRule="auto"/>
        <w:ind w:left="6000" w:hanging="4200" w:hangingChars="20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3C9E6B4">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发包人不按照本项约定组织竣工验收、颁发工程接收证书的违约金的计算方法：</w:t>
      </w:r>
      <w:r>
        <w:rPr>
          <w:rFonts w:hint="eastAsia" w:ascii="宋体" w:hAnsi="宋体" w:eastAsia="宋体" w:cs="宋体"/>
          <w:color w:val="000000"/>
          <w:sz w:val="21"/>
          <w:szCs w:val="21"/>
          <w:u w:val="single"/>
        </w:rPr>
        <w:t xml:space="preserve">                                         </w:t>
      </w:r>
    </w:p>
    <w:p w14:paraId="54026552">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942"/>
    <w:p w14:paraId="21FADB2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13.2.5移交、接收全部与部分工程</w:t>
      </w:r>
    </w:p>
    <w:bookmarkEnd w:id="943"/>
    <w:p w14:paraId="5BE67764">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承包人向发包人移交工程的期限：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34F25DC">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发包人未按本合同约定接收全部或部分工程的，违约金的计算方法为：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944"/>
    <w:p w14:paraId="1E72E827">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承包人未按时移交工程的，违约金的计算方法为：</w:t>
      </w:r>
      <w:r>
        <w:rPr>
          <w:rFonts w:hint="eastAsia" w:ascii="宋体" w:hAnsi="宋体" w:eastAsia="宋体" w:cs="宋体"/>
          <w:color w:val="000000"/>
          <w:sz w:val="21"/>
          <w:szCs w:val="21"/>
          <w:u w:val="single"/>
        </w:rPr>
        <w:t xml:space="preserve">          </w:t>
      </w:r>
    </w:p>
    <w:p w14:paraId="466CB5C5">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07999DF">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13.3 工程试车</w:t>
      </w:r>
    </w:p>
    <w:bookmarkEnd w:id="945"/>
    <w:p w14:paraId="67A3EFB3">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14:paraId="3407D03D">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工程试车内容：</w:t>
      </w:r>
      <w:r>
        <w:rPr>
          <w:rFonts w:hint="eastAsia" w:ascii="宋体" w:hAnsi="宋体" w:eastAsia="宋体" w:cs="宋体"/>
          <w:color w:val="000000"/>
          <w:sz w:val="21"/>
          <w:szCs w:val="21"/>
          <w:u w:val="single"/>
        </w:rPr>
        <w:t xml:space="preserve">                                        </w:t>
      </w:r>
    </w:p>
    <w:p w14:paraId="0B0446A9">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448EBE">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（1）单机无负荷试车费用由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146AB4BE">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（2）无负荷联动试车费用由</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承担。</w:t>
      </w:r>
    </w:p>
    <w:p w14:paraId="1923A6BA">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14:paraId="25E89284">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关于投料试车相关事项的约定：</w:t>
      </w:r>
      <w:r>
        <w:rPr>
          <w:rFonts w:hint="eastAsia" w:ascii="宋体" w:hAnsi="宋体" w:eastAsia="宋体" w:cs="宋体"/>
          <w:color w:val="000000"/>
          <w:sz w:val="21"/>
          <w:szCs w:val="21"/>
          <w:u w:val="single"/>
        </w:rPr>
        <w:t xml:space="preserve">                           </w:t>
      </w:r>
    </w:p>
    <w:p w14:paraId="347E9EDF">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4E402B8">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13.6 竣工退场</w:t>
      </w:r>
    </w:p>
    <w:p w14:paraId="5015EEC1">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13.6.1 竣工退场</w:t>
      </w:r>
    </w:p>
    <w:p w14:paraId="4E934697">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承包人完成竣工退场的期限：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0"/>
          <w:sz w:val="21"/>
          <w:szCs w:val="21"/>
        </w:rPr>
        <w:t>。</w:t>
      </w:r>
    </w:p>
    <w:p w14:paraId="5B552EBC">
      <w:pPr>
        <w:pStyle w:val="5"/>
        <w:spacing w:before="120" w:after="120" w:line="360" w:lineRule="auto"/>
        <w:rPr>
          <w:rFonts w:hint="eastAsia" w:ascii="宋体" w:hAnsi="宋体" w:eastAsia="宋体" w:cs="宋体"/>
          <w:b w:val="0"/>
          <w:color w:val="000000"/>
          <w:sz w:val="21"/>
          <w:szCs w:val="21"/>
        </w:rPr>
      </w:pPr>
      <w:bookmarkStart w:id="947" w:name="_Toc351203646"/>
      <w:r>
        <w:rPr>
          <w:rFonts w:hint="eastAsia" w:ascii="宋体" w:hAnsi="宋体" w:eastAsia="宋体" w:cs="宋体"/>
          <w:b w:val="0"/>
          <w:color w:val="000000"/>
          <w:sz w:val="21"/>
          <w:szCs w:val="21"/>
        </w:rPr>
        <w:t>14. 竣工结算</w:t>
      </w:r>
      <w:bookmarkEnd w:id="947"/>
    </w:p>
    <w:p w14:paraId="27571ACF">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14.1 竣工结算申请</w:t>
      </w:r>
    </w:p>
    <w:p w14:paraId="0336C51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0BE8D25">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竣工结算申请单应包括的内容：</w:t>
      </w:r>
      <w:r>
        <w:rPr>
          <w:rFonts w:hint="eastAsia" w:ascii="宋体" w:hAnsi="宋体" w:eastAsia="宋体" w:cs="宋体"/>
          <w:color w:val="000000"/>
          <w:sz w:val="21"/>
          <w:szCs w:val="21"/>
          <w:u w:val="single"/>
        </w:rPr>
        <w:t xml:space="preserve">                        </w:t>
      </w:r>
    </w:p>
    <w:p w14:paraId="5CB1AF3E">
      <w:pPr>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89E41BA">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14.2 竣工结算审核</w:t>
      </w:r>
    </w:p>
    <w:p w14:paraId="38C2C9A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0BAE75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发包人完成竣工付款的期限：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55D6B23">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关于竣工付款证书异议部分复核的方式和程序：</w:t>
      </w:r>
      <w:r>
        <w:rPr>
          <w:rFonts w:hint="eastAsia" w:ascii="宋体" w:hAnsi="宋体" w:eastAsia="宋体" w:cs="宋体"/>
          <w:color w:val="000000"/>
          <w:sz w:val="21"/>
          <w:szCs w:val="21"/>
          <w:u w:val="single"/>
        </w:rPr>
        <w:t xml:space="preserve">          </w:t>
      </w:r>
    </w:p>
    <w:p w14:paraId="375316B7">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6ECCDA">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14.4 最终结清</w:t>
      </w:r>
    </w:p>
    <w:p w14:paraId="75C3F81C">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14:paraId="2A75F21A">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承包人提交最终结清申请单的份数：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D44C06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rPr>
        <w:t>承包人提交最终结算申请单的期限：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2F02BF2E">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14.4.2 最终结清证书和支付</w:t>
      </w:r>
    </w:p>
    <w:p w14:paraId="7FDFB06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6E0A2E2">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934"/>
    <w:bookmarkEnd w:id="935"/>
    <w:bookmarkEnd w:id="936"/>
    <w:bookmarkEnd w:id="937"/>
    <w:bookmarkEnd w:id="938"/>
    <w:bookmarkEnd w:id="939"/>
    <w:bookmarkEnd w:id="940"/>
    <w:bookmarkEnd w:id="946"/>
    <w:p w14:paraId="370918E3">
      <w:pPr>
        <w:pStyle w:val="5"/>
        <w:spacing w:before="120" w:after="120" w:line="360" w:lineRule="auto"/>
        <w:rPr>
          <w:rFonts w:hint="eastAsia" w:ascii="宋体" w:hAnsi="宋体" w:eastAsia="宋体" w:cs="宋体"/>
          <w:b w:val="0"/>
          <w:color w:val="000000"/>
          <w:sz w:val="21"/>
          <w:szCs w:val="21"/>
        </w:rPr>
      </w:pPr>
      <w:bookmarkStart w:id="948" w:name="_Toc351203647"/>
      <w:bookmarkStart w:id="949" w:name="_Toc267251483"/>
      <w:bookmarkStart w:id="950" w:name="_Toc267251484"/>
      <w:bookmarkStart w:id="951" w:name="_Toc267251482"/>
      <w:bookmarkStart w:id="952" w:name="_Toc267251485"/>
      <w:bookmarkStart w:id="953" w:name="_Toc267251486"/>
      <w:bookmarkStart w:id="954" w:name="_Toc267251488"/>
      <w:bookmarkStart w:id="955" w:name="_Toc267251490"/>
      <w:bookmarkStart w:id="956" w:name="_Toc267251489"/>
      <w:bookmarkStart w:id="957" w:name="_Toc267251498"/>
      <w:bookmarkStart w:id="958" w:name="_Toc267251491"/>
      <w:bookmarkStart w:id="959" w:name="_Toc267251496"/>
      <w:bookmarkStart w:id="960" w:name="_Toc267251503"/>
      <w:bookmarkStart w:id="961" w:name="_Toc267251492"/>
      <w:bookmarkStart w:id="962" w:name="_Toc267251502"/>
      <w:bookmarkStart w:id="963" w:name="_Toc267251495"/>
      <w:bookmarkStart w:id="964" w:name="_Toc267251493"/>
      <w:bookmarkStart w:id="965" w:name="_Toc267251494"/>
      <w:bookmarkStart w:id="966" w:name="_Toc267251501"/>
      <w:bookmarkStart w:id="967" w:name="_Toc267251497"/>
      <w:bookmarkStart w:id="968" w:name="_Toc267251499"/>
      <w:bookmarkStart w:id="969" w:name="_Toc267251504"/>
      <w:bookmarkStart w:id="970" w:name="_Toc267251506"/>
      <w:bookmarkStart w:id="971" w:name="_Toc267251507"/>
      <w:bookmarkStart w:id="972" w:name="_Toc267251508"/>
      <w:bookmarkStart w:id="973" w:name="_Toc267251509"/>
      <w:bookmarkStart w:id="974" w:name="_Toc267251515"/>
      <w:bookmarkStart w:id="975" w:name="_Toc267251511"/>
      <w:bookmarkStart w:id="976" w:name="_Toc267251513"/>
      <w:bookmarkStart w:id="977" w:name="_Toc267251510"/>
      <w:bookmarkStart w:id="978" w:name="_Toc267251514"/>
      <w:r>
        <w:rPr>
          <w:rFonts w:hint="eastAsia" w:ascii="宋体" w:hAnsi="宋体" w:eastAsia="宋体" w:cs="宋体"/>
          <w:b w:val="0"/>
          <w:color w:val="000000"/>
          <w:sz w:val="21"/>
          <w:szCs w:val="21"/>
        </w:rPr>
        <w:t>15. 缺陷责任期与保修</w:t>
      </w:r>
      <w:bookmarkEnd w:id="948"/>
    </w:p>
    <w:p w14:paraId="1B6718CA">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15.2缺陷责任期</w:t>
      </w:r>
      <w:bookmarkEnd w:id="949"/>
    </w:p>
    <w:p w14:paraId="65DDC1EF">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缺陷责任期的具体期限：</w:t>
      </w:r>
      <w:r>
        <w:rPr>
          <w:rFonts w:hint="eastAsia" w:ascii="宋体" w:hAnsi="宋体" w:eastAsia="宋体" w:cs="宋体"/>
          <w:color w:val="000000"/>
          <w:sz w:val="21"/>
          <w:szCs w:val="21"/>
          <w:u w:val="single"/>
        </w:rPr>
        <w:t xml:space="preserve">                                </w:t>
      </w:r>
    </w:p>
    <w:p w14:paraId="6C07BE20">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0B78850">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15.3 质量保证金</w:t>
      </w:r>
    </w:p>
    <w:p w14:paraId="669EBDA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关于是否扣留质量保证金的约定：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。在工程项目竣工前，承包人按专用合同条款第3.7条提供履约担保的，发包人不得同时预留工程质量保证金。</w:t>
      </w:r>
    </w:p>
    <w:p w14:paraId="7CF3E438">
      <w:pPr>
        <w:spacing w:line="360" w:lineRule="auto"/>
        <w:ind w:firstLine="420" w:firstLineChars="200"/>
        <w:jc w:val="left"/>
        <w:rPr>
          <w:rFonts w:hint="eastAsia" w:ascii="宋体" w:hAnsi="宋体" w:eastAsia="宋体" w:cs="宋体"/>
          <w:color w:val="000000"/>
          <w:sz w:val="21"/>
          <w:szCs w:val="21"/>
        </w:rPr>
      </w:pPr>
    </w:p>
    <w:p w14:paraId="33369091">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15.3.1 承包人提供质量保证金的方式</w:t>
      </w:r>
    </w:p>
    <w:p w14:paraId="650BAD4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质量保证金采用以下第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10465AE6">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（1）质量保证金保函，保证金额为：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p>
    <w:p w14:paraId="4D062412">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%的工程款；</w:t>
      </w:r>
    </w:p>
    <w:p w14:paraId="664F7E33">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045E0FF">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15.3.2 质量保证金的扣留 </w:t>
      </w:r>
    </w:p>
    <w:p w14:paraId="6BE6F09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质量保证金的扣留采取以下第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w:t>
      </w:r>
    </w:p>
    <w:p w14:paraId="17B36B15">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14:paraId="184CA519">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（2）工程竣工结算时一次性扣留质量保证金；</w:t>
      </w:r>
    </w:p>
    <w:p w14:paraId="2935A86B">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（3）其他扣留方式: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E86D1C5">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关于质量保证金的补充约定：</w:t>
      </w:r>
      <w:r>
        <w:rPr>
          <w:rFonts w:hint="eastAsia" w:ascii="宋体" w:hAnsi="宋体" w:eastAsia="宋体" w:cs="宋体"/>
          <w:color w:val="000000"/>
          <w:kern w:val="0"/>
          <w:sz w:val="21"/>
          <w:szCs w:val="21"/>
          <w:u w:val="single"/>
        </w:rPr>
        <w:t xml:space="preserve">                            </w:t>
      </w:r>
    </w:p>
    <w:p w14:paraId="6444F247">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950"/>
    <w:bookmarkEnd w:id="951"/>
    <w:p w14:paraId="606BC455">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15.4保修</w:t>
      </w:r>
    </w:p>
    <w:bookmarkEnd w:id="952"/>
    <w:p w14:paraId="2A230ECC">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15.4.1 保修责任</w:t>
      </w:r>
    </w:p>
    <w:p w14:paraId="7602F97D">
      <w:pPr>
        <w:spacing w:line="360" w:lineRule="auto"/>
        <w:ind w:firstLine="409" w:firstLineChars="195"/>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工程保修期为：</w:t>
      </w:r>
      <w:r>
        <w:rPr>
          <w:rFonts w:hint="eastAsia" w:ascii="宋体" w:hAnsi="宋体" w:eastAsia="宋体" w:cs="宋体"/>
          <w:color w:val="000000"/>
          <w:kern w:val="0"/>
          <w:sz w:val="21"/>
          <w:szCs w:val="21"/>
          <w:u w:val="single"/>
        </w:rPr>
        <w:t xml:space="preserve">                                        </w:t>
      </w:r>
    </w:p>
    <w:p w14:paraId="26F79BD9">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F151F78">
      <w:pPr>
        <w:spacing w:line="360" w:lineRule="auto"/>
        <w:ind w:firstLine="409" w:firstLineChars="195"/>
        <w:jc w:val="left"/>
        <w:rPr>
          <w:rFonts w:hint="eastAsia" w:ascii="宋体" w:hAnsi="宋体" w:eastAsia="宋体" w:cs="宋体"/>
          <w:color w:val="000000"/>
          <w:sz w:val="21"/>
          <w:szCs w:val="21"/>
        </w:rPr>
      </w:pPr>
      <w:r>
        <w:rPr>
          <w:rFonts w:hint="eastAsia" w:ascii="宋体" w:hAnsi="宋体" w:eastAsia="宋体" w:cs="宋体"/>
          <w:color w:val="000000"/>
          <w:sz w:val="21"/>
          <w:szCs w:val="21"/>
        </w:rPr>
        <w:t>15.4.3 修复通知</w:t>
      </w:r>
    </w:p>
    <w:p w14:paraId="782F7126">
      <w:pPr>
        <w:spacing w:line="360" w:lineRule="auto"/>
        <w:ind w:firstLine="409" w:firstLineChars="195"/>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承包人收到保修通知并到达工程现场的合理时间：</w:t>
      </w:r>
      <w:r>
        <w:rPr>
          <w:rFonts w:hint="eastAsia" w:ascii="宋体" w:hAnsi="宋体" w:eastAsia="宋体" w:cs="宋体"/>
          <w:color w:val="000000"/>
          <w:kern w:val="0"/>
          <w:sz w:val="21"/>
          <w:szCs w:val="21"/>
          <w:u w:val="single"/>
        </w:rPr>
        <w:t xml:space="preserve">          </w:t>
      </w:r>
    </w:p>
    <w:p w14:paraId="2CF8CEAD">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bookmarkEnd w:id="953"/>
    <w:bookmarkEnd w:id="954"/>
    <w:bookmarkEnd w:id="955"/>
    <w:bookmarkEnd w:id="956"/>
    <w:p w14:paraId="32F33CE3">
      <w:pPr>
        <w:pStyle w:val="5"/>
        <w:spacing w:before="120" w:after="120" w:line="360" w:lineRule="auto"/>
        <w:rPr>
          <w:rFonts w:hint="eastAsia" w:ascii="宋体" w:hAnsi="宋体" w:eastAsia="宋体" w:cs="宋体"/>
          <w:b w:val="0"/>
          <w:color w:val="000000"/>
          <w:sz w:val="21"/>
          <w:szCs w:val="21"/>
        </w:rPr>
      </w:pPr>
      <w:bookmarkStart w:id="979" w:name="_Toc351203648"/>
      <w:bookmarkStart w:id="980" w:name="_Toc280868717"/>
      <w:bookmarkStart w:id="981" w:name="_Toc280868718"/>
      <w:r>
        <w:rPr>
          <w:rFonts w:hint="eastAsia" w:ascii="宋体" w:hAnsi="宋体" w:eastAsia="宋体" w:cs="宋体"/>
          <w:b w:val="0"/>
          <w:color w:val="000000"/>
          <w:sz w:val="21"/>
          <w:szCs w:val="21"/>
        </w:rPr>
        <w:t>16. 违约</w:t>
      </w:r>
      <w:bookmarkEnd w:id="979"/>
    </w:p>
    <w:p w14:paraId="734E0891">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16.1 发包人违约</w:t>
      </w:r>
    </w:p>
    <w:p w14:paraId="63369B4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16.1.1发包人违约的情形</w:t>
      </w:r>
    </w:p>
    <w:p w14:paraId="3AE6BC3F">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发包人违约的其他情形：</w:t>
      </w:r>
      <w:r>
        <w:rPr>
          <w:rFonts w:hint="eastAsia" w:ascii="宋体" w:hAnsi="宋体" w:eastAsia="宋体" w:cs="宋体"/>
          <w:color w:val="000000"/>
          <w:kern w:val="0"/>
          <w:sz w:val="21"/>
          <w:szCs w:val="21"/>
          <w:u w:val="single"/>
        </w:rPr>
        <w:t xml:space="preserve">                                </w:t>
      </w:r>
    </w:p>
    <w:p w14:paraId="51D4C2A3">
      <w:pPr>
        <w:spacing w:line="360" w:lineRule="auto"/>
        <w:ind w:left="1500" w:hanging="1050" w:hangingChars="5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E9E48FD">
      <w:pPr>
        <w:spacing w:line="360" w:lineRule="auto"/>
        <w:ind w:left="1500" w:hanging="1050" w:hangingChars="5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16.1.2 发包人违约的责任</w:t>
      </w:r>
    </w:p>
    <w:p w14:paraId="1CE619C2">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发包人违约责任的承担方式和计算方法：</w:t>
      </w:r>
    </w:p>
    <w:p w14:paraId="2FBAF22F">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（1）因发包人原因未能在计划开工日期前7天内下达开工通知的违约责任：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D4B52F3">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03BBFA2">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（3）发包人违反第10.1款〔变更的范围〕第（2）项约定，自行实施被取消的工作或转由他人实施的违约责任：</w:t>
      </w:r>
      <w:r>
        <w:rPr>
          <w:rFonts w:hint="eastAsia" w:ascii="宋体" w:hAnsi="宋体" w:eastAsia="宋体" w:cs="宋体"/>
          <w:color w:val="000000"/>
          <w:kern w:val="0"/>
          <w:sz w:val="21"/>
          <w:szCs w:val="21"/>
          <w:u w:val="single"/>
        </w:rPr>
        <w:t xml:space="preserve">              </w:t>
      </w:r>
    </w:p>
    <w:p w14:paraId="76E60F67">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AE10430">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75CCB031">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（5）因发包人违反合同约定造成暂停施工的违约责任：</w:t>
      </w:r>
      <w:r>
        <w:rPr>
          <w:rFonts w:hint="eastAsia" w:ascii="宋体" w:hAnsi="宋体" w:eastAsia="宋体" w:cs="宋体"/>
          <w:color w:val="000000"/>
          <w:kern w:val="0"/>
          <w:sz w:val="21"/>
          <w:szCs w:val="21"/>
          <w:u w:val="single"/>
        </w:rPr>
        <w:t xml:space="preserve">     </w:t>
      </w:r>
    </w:p>
    <w:p w14:paraId="555B392B">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DDBB2AD">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（6）发包人无正当理由没有在约定期限内发出复工指示，导致承包人无法复工的违约责任：</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1928FAF">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（7）其他：</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FBDE04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16.1.3 因发包人违约解除合同</w:t>
      </w:r>
    </w:p>
    <w:p w14:paraId="2C8BC51F">
      <w:pPr>
        <w:autoSpaceDE w:val="0"/>
        <w:autoSpaceDN w:val="0"/>
        <w:adjustRightInd w:val="0"/>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承包人按16.1.1项〔发包人违约的情形〕约定暂停施工满</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天后发包人仍不纠正其违约行为并致使合同目的不能实现的，承包人有权解除合同。</w:t>
      </w:r>
    </w:p>
    <w:p w14:paraId="5335CA01">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16.2 承包人违约</w:t>
      </w:r>
    </w:p>
    <w:p w14:paraId="374978B2">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14:paraId="016B11AC">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承包人违约的其他情形：</w:t>
      </w:r>
      <w:r>
        <w:rPr>
          <w:rFonts w:hint="eastAsia" w:ascii="宋体" w:hAnsi="宋体" w:eastAsia="宋体" w:cs="宋体"/>
          <w:color w:val="000000"/>
          <w:kern w:val="0"/>
          <w:sz w:val="21"/>
          <w:szCs w:val="21"/>
          <w:u w:val="single"/>
        </w:rPr>
        <w:t xml:space="preserve">                                </w:t>
      </w:r>
    </w:p>
    <w:p w14:paraId="5A46E5F4">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3E8A465">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16.2.2承包人违约的责任</w:t>
      </w:r>
    </w:p>
    <w:p w14:paraId="225E8A26">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承包人违约责任的承担方式和计算方法：</w:t>
      </w:r>
      <w:r>
        <w:rPr>
          <w:rFonts w:hint="eastAsia" w:ascii="宋体" w:hAnsi="宋体" w:eastAsia="宋体" w:cs="宋体"/>
          <w:color w:val="000000"/>
          <w:kern w:val="0"/>
          <w:sz w:val="21"/>
          <w:szCs w:val="21"/>
          <w:u w:val="single"/>
        </w:rPr>
        <w:t xml:space="preserve">                  </w:t>
      </w:r>
    </w:p>
    <w:p w14:paraId="4EB85B0A">
      <w:pPr>
        <w:spacing w:line="360" w:lineRule="auto"/>
        <w:ind w:left="1500" w:hanging="1050" w:hangingChars="50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 xml:space="preserve">    </w:t>
      </w:r>
    </w:p>
    <w:p w14:paraId="2147F487">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16.2.3 因承包人违约解除合同</w:t>
      </w:r>
    </w:p>
    <w:p w14:paraId="525DE652">
      <w:pPr>
        <w:spacing w:before="120" w:after="120" w:line="36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关于承包人违约解除合同的特别约定：</w:t>
      </w:r>
      <w:r>
        <w:rPr>
          <w:rFonts w:hint="eastAsia" w:ascii="宋体" w:hAnsi="宋体" w:eastAsia="宋体" w:cs="宋体"/>
          <w:color w:val="000000"/>
          <w:kern w:val="0"/>
          <w:sz w:val="21"/>
          <w:szCs w:val="21"/>
          <w:u w:val="single"/>
        </w:rPr>
        <w:t xml:space="preserve">                    </w:t>
      </w:r>
    </w:p>
    <w:p w14:paraId="4640E904">
      <w:pPr>
        <w:spacing w:before="120" w:after="120"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68B7105D">
      <w:pPr>
        <w:spacing w:before="120" w:after="120"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29E49708">
      <w:pPr>
        <w:pStyle w:val="5"/>
        <w:spacing w:before="120" w:after="120" w:line="360" w:lineRule="auto"/>
        <w:rPr>
          <w:rFonts w:hint="eastAsia" w:ascii="宋体" w:hAnsi="宋体" w:eastAsia="宋体" w:cs="宋体"/>
          <w:b w:val="0"/>
          <w:color w:val="000000"/>
          <w:sz w:val="21"/>
          <w:szCs w:val="21"/>
        </w:rPr>
      </w:pPr>
      <w:bookmarkStart w:id="982" w:name="_Toc351203649"/>
      <w:r>
        <w:rPr>
          <w:rFonts w:hint="eastAsia" w:ascii="宋体" w:hAnsi="宋体" w:eastAsia="宋体" w:cs="宋体"/>
          <w:b w:val="0"/>
          <w:color w:val="000000"/>
          <w:sz w:val="21"/>
          <w:szCs w:val="21"/>
        </w:rPr>
        <w:t>17. 不可抗力</w:t>
      </w:r>
      <w:bookmarkEnd w:id="982"/>
      <w:r>
        <w:rPr>
          <w:rFonts w:hint="eastAsia" w:ascii="宋体" w:hAnsi="宋体" w:eastAsia="宋体" w:cs="宋体"/>
          <w:b w:val="0"/>
          <w:color w:val="000000"/>
          <w:sz w:val="21"/>
          <w:szCs w:val="21"/>
        </w:rPr>
        <w:t xml:space="preserve"> </w:t>
      </w:r>
      <w:bookmarkEnd w:id="980"/>
    </w:p>
    <w:p w14:paraId="4542B037">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不可抗力的确认</w:t>
      </w:r>
    </w:p>
    <w:p w14:paraId="321B08F6">
      <w:pPr>
        <w:spacing w:line="360" w:lineRule="auto"/>
        <w:ind w:firstLine="420" w:firstLineChars="200"/>
        <w:jc w:val="left"/>
        <w:rPr>
          <w:rFonts w:hint="eastAsia" w:ascii="宋体" w:hAnsi="宋体" w:eastAsia="宋体" w:cs="宋体"/>
          <w:color w:val="000000"/>
          <w:kern w:val="0"/>
          <w:sz w:val="21"/>
          <w:szCs w:val="21"/>
          <w:u w:val="single"/>
        </w:rPr>
      </w:pPr>
      <w:r>
        <w:rPr>
          <w:rFonts w:hint="eastAsia" w:ascii="宋体" w:hAnsi="宋体" w:eastAsia="宋体" w:cs="宋体"/>
          <w:color w:val="000000"/>
          <w:sz w:val="21"/>
          <w:szCs w:val="21"/>
        </w:rPr>
        <w:t xml:space="preserve">除通用合同条款约定的不可抗力事件之外，视为不可抗力的其他情形：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1BC0291B">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17.4 因不可抗力解除合同</w:t>
      </w:r>
    </w:p>
    <w:p w14:paraId="60BC5DA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合同解除后，发包人应在商定或确定发包人应支付款项后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天内完成款项的支付。</w:t>
      </w:r>
    </w:p>
    <w:p w14:paraId="382962BE">
      <w:pPr>
        <w:pStyle w:val="5"/>
        <w:spacing w:before="120" w:after="120" w:line="360" w:lineRule="auto"/>
        <w:rPr>
          <w:rFonts w:hint="eastAsia" w:ascii="宋体" w:hAnsi="宋体" w:eastAsia="宋体" w:cs="宋体"/>
          <w:b w:val="0"/>
          <w:color w:val="000000"/>
          <w:sz w:val="21"/>
          <w:szCs w:val="21"/>
        </w:rPr>
      </w:pPr>
      <w:bookmarkStart w:id="983" w:name="_Toc351203650"/>
      <w:r>
        <w:rPr>
          <w:rFonts w:hint="eastAsia" w:ascii="宋体" w:hAnsi="宋体" w:eastAsia="宋体" w:cs="宋体"/>
          <w:b w:val="0"/>
          <w:color w:val="000000"/>
          <w:sz w:val="21"/>
          <w:szCs w:val="21"/>
        </w:rPr>
        <w:t>18. 保险</w:t>
      </w:r>
      <w:bookmarkEnd w:id="983"/>
    </w:p>
    <w:bookmarkEnd w:id="981"/>
    <w:p w14:paraId="6542F212">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工程保险</w:t>
      </w:r>
    </w:p>
    <w:p w14:paraId="672BDE1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关于工程保险的特别约定：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41245DB8">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18.3 其他保险</w:t>
      </w:r>
    </w:p>
    <w:p w14:paraId="682D7232">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关于其他保险的约定：</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w:t>
      </w:r>
    </w:p>
    <w:p w14:paraId="3120D34E">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承包人是否应为其施工设备等办理财产保险：</w:t>
      </w:r>
      <w:r>
        <w:rPr>
          <w:rFonts w:hint="eastAsia" w:ascii="宋体" w:hAnsi="宋体" w:eastAsia="宋体" w:cs="宋体"/>
          <w:color w:val="000000"/>
          <w:sz w:val="21"/>
          <w:szCs w:val="21"/>
          <w:u w:val="single"/>
        </w:rPr>
        <w:t xml:space="preserve">              </w:t>
      </w:r>
    </w:p>
    <w:p w14:paraId="71707EC3">
      <w:pPr>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63345F3">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18.7 通知义务</w:t>
      </w:r>
    </w:p>
    <w:p w14:paraId="385E5D13">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kern w:val="0"/>
          <w:sz w:val="21"/>
          <w:szCs w:val="21"/>
        </w:rPr>
        <w:t>关于变更保险合同时的通知义务的约定：</w:t>
      </w:r>
      <w:r>
        <w:rPr>
          <w:rFonts w:hint="eastAsia" w:ascii="宋体" w:hAnsi="宋体" w:eastAsia="宋体" w:cs="宋体"/>
          <w:color w:val="000000"/>
          <w:sz w:val="21"/>
          <w:szCs w:val="21"/>
          <w:u w:val="single"/>
        </w:rPr>
        <w:t xml:space="preserve">                  </w:t>
      </w:r>
    </w:p>
    <w:p w14:paraId="26F5D084">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bookmarkEnd w:id="957"/>
    <w:bookmarkEnd w:id="958"/>
    <w:bookmarkEnd w:id="959"/>
    <w:bookmarkEnd w:id="960"/>
    <w:bookmarkEnd w:id="961"/>
    <w:bookmarkEnd w:id="962"/>
    <w:bookmarkEnd w:id="963"/>
    <w:bookmarkEnd w:id="964"/>
    <w:bookmarkEnd w:id="965"/>
    <w:bookmarkEnd w:id="966"/>
    <w:bookmarkEnd w:id="967"/>
    <w:bookmarkEnd w:id="968"/>
    <w:p w14:paraId="62B6E752">
      <w:pPr>
        <w:pStyle w:val="5"/>
        <w:spacing w:before="120" w:after="120" w:line="360" w:lineRule="auto"/>
        <w:rPr>
          <w:rFonts w:hint="eastAsia" w:ascii="宋体" w:hAnsi="宋体" w:eastAsia="宋体" w:cs="宋体"/>
          <w:b w:val="0"/>
          <w:color w:val="000000"/>
          <w:sz w:val="21"/>
          <w:szCs w:val="21"/>
        </w:rPr>
      </w:pPr>
      <w:bookmarkStart w:id="984" w:name="_Toc351203651"/>
      <w:r>
        <w:rPr>
          <w:rFonts w:hint="eastAsia" w:ascii="宋体" w:hAnsi="宋体" w:eastAsia="宋体" w:cs="宋体"/>
          <w:b w:val="0"/>
          <w:color w:val="000000"/>
          <w:sz w:val="21"/>
          <w:szCs w:val="21"/>
        </w:rPr>
        <w:t>20. 争议解决</w:t>
      </w:r>
      <w:bookmarkEnd w:id="984"/>
    </w:p>
    <w:bookmarkEnd w:id="969"/>
    <w:bookmarkEnd w:id="970"/>
    <w:p w14:paraId="41BA336B">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20.3 争</w:t>
      </w:r>
      <w:bookmarkEnd w:id="971"/>
      <w:r>
        <w:rPr>
          <w:rFonts w:hint="eastAsia" w:ascii="宋体" w:hAnsi="宋体" w:eastAsia="宋体" w:cs="宋体"/>
          <w:color w:val="000000"/>
          <w:sz w:val="21"/>
          <w:szCs w:val="21"/>
        </w:rPr>
        <w:t>议评审</w:t>
      </w:r>
    </w:p>
    <w:p w14:paraId="0A65CFBE">
      <w:pPr>
        <w:spacing w:line="360" w:lineRule="auto"/>
        <w:ind w:left="149" w:leftChars="71" w:firstLine="315" w:firstLineChars="15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合同当事人是否同意将工程争议提交争议评审小组决定：</w:t>
      </w:r>
      <w:r>
        <w:rPr>
          <w:rFonts w:hint="eastAsia" w:ascii="宋体" w:hAnsi="宋体" w:eastAsia="宋体" w:cs="宋体"/>
          <w:color w:val="000000"/>
          <w:sz w:val="21"/>
          <w:szCs w:val="21"/>
          <w:u w:val="single"/>
        </w:rPr>
        <w:t xml:space="preserve">    </w:t>
      </w:r>
    </w:p>
    <w:p w14:paraId="141F25DD">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DA26416">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20.3.1 争议评审小组的确定</w:t>
      </w:r>
    </w:p>
    <w:p w14:paraId="4174AF0E">
      <w:pPr>
        <w:spacing w:line="360" w:lineRule="auto"/>
        <w:ind w:firstLine="420" w:firstLineChars="20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争议评审小组成员的确定：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CBCC17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选定争议评审员的期限：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E9ADEC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争议评审小组成员的报酬承担方式：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1D5FAF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其他事项的约定：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88168C9">
      <w:pPr>
        <w:autoSpaceDE w:val="0"/>
        <w:autoSpaceDN w:val="0"/>
        <w:adjustRightInd w:val="0"/>
        <w:spacing w:line="360" w:lineRule="auto"/>
        <w:ind w:firstLine="420" w:firstLineChars="200"/>
        <w:jc w:val="left"/>
        <w:outlineLvl w:val="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20.3.2 争议评审小组的决定</w:t>
      </w:r>
    </w:p>
    <w:p w14:paraId="7DCE1BB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合同当事人关于本项的约定：</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C97406A">
      <w:pPr>
        <w:spacing w:after="120"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20.4仲裁或诉讼</w:t>
      </w:r>
      <w:bookmarkEnd w:id="972"/>
    </w:p>
    <w:p w14:paraId="76822285">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因合同及合同有关事项发生的争议，按下列第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650AF217">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3CB844AB">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bookmarkEnd w:id="973"/>
      <w:bookmarkEnd w:id="974"/>
      <w:bookmarkEnd w:id="975"/>
      <w:bookmarkEnd w:id="976"/>
      <w:bookmarkEnd w:id="977"/>
      <w:bookmarkEnd w:id="978"/>
    </w:p>
    <w:p w14:paraId="16B73A39">
      <w:pPr>
        <w:spacing w:line="360" w:lineRule="auto"/>
        <w:jc w:val="left"/>
        <w:rPr>
          <w:rFonts w:hint="eastAsia" w:ascii="宋体" w:hAnsi="宋体" w:eastAsia="宋体" w:cs="宋体"/>
          <w:b/>
          <w:color w:val="000000"/>
          <w:sz w:val="21"/>
          <w:szCs w:val="21"/>
        </w:rPr>
      </w:pPr>
      <w:r>
        <w:rPr>
          <w:rFonts w:hint="eastAsia" w:ascii="宋体" w:hAnsi="宋体" w:eastAsia="宋体" w:cs="宋体"/>
          <w:color w:val="000000"/>
          <w:sz w:val="30"/>
          <w:szCs w:val="32"/>
        </w:rPr>
        <w:br w:type="page"/>
      </w:r>
      <w:bookmarkStart w:id="985" w:name="_Toc351203652"/>
      <w:r>
        <w:rPr>
          <w:rFonts w:hint="eastAsia" w:ascii="宋体" w:hAnsi="宋体" w:eastAsia="宋体" w:cs="宋体"/>
          <w:b/>
          <w:color w:val="000000"/>
          <w:sz w:val="21"/>
          <w:szCs w:val="21"/>
        </w:rPr>
        <w:t>附件</w:t>
      </w:r>
      <w:bookmarkEnd w:id="985"/>
    </w:p>
    <w:p w14:paraId="0009AFB8">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协议书附件：</w:t>
      </w:r>
    </w:p>
    <w:p w14:paraId="47141389">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附件1：承包人承揽工程项目一览表</w:t>
      </w:r>
    </w:p>
    <w:p w14:paraId="7E238301">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专用合同条款附件：</w:t>
      </w:r>
    </w:p>
    <w:p w14:paraId="061AF7D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附件2：发包人供应材料设备一览表</w:t>
      </w:r>
    </w:p>
    <w:p w14:paraId="2F336F7D">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附件3：工程质量保修书</w:t>
      </w:r>
    </w:p>
    <w:p w14:paraId="1799D5D0">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附件4：主要建设工程文件目录</w:t>
      </w:r>
    </w:p>
    <w:p w14:paraId="0CF60A74">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附件5：承包人用于本工程施工的机械设备表</w:t>
      </w:r>
    </w:p>
    <w:p w14:paraId="243B925A">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附件6：承包人主要施工管理人员表</w:t>
      </w:r>
    </w:p>
    <w:p w14:paraId="7A355F6D">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附件7：分包人主要施工管理人员表</w:t>
      </w:r>
    </w:p>
    <w:p w14:paraId="36D43C40">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附件8：履约担保格式</w:t>
      </w:r>
    </w:p>
    <w:p w14:paraId="5697338A">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附件9：预付款担保格式</w:t>
      </w:r>
    </w:p>
    <w:p w14:paraId="3C9516E2">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附件10：支付担保格式</w:t>
      </w:r>
    </w:p>
    <w:p w14:paraId="1C2793F9">
      <w:pPr>
        <w:spacing w:line="360" w:lineRule="auto"/>
        <w:jc w:val="left"/>
        <w:rPr>
          <w:rFonts w:hint="eastAsia" w:ascii="宋体" w:hAnsi="宋体" w:eastAsia="宋体" w:cs="宋体"/>
          <w:color w:val="000000"/>
          <w:sz w:val="21"/>
          <w:szCs w:val="21"/>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color w:val="000000"/>
          <w:sz w:val="21"/>
          <w:szCs w:val="21"/>
        </w:rPr>
        <w:t>附件11：暂估价一览表</w:t>
      </w:r>
    </w:p>
    <w:p w14:paraId="33227643">
      <w:pPr>
        <w:spacing w:before="156" w:beforeLines="50" w:after="156" w:afterLines="50"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w:t>
      </w:r>
    </w:p>
    <w:p w14:paraId="5726CE9B">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承包人承揽工程项目一览表</w:t>
      </w:r>
    </w:p>
    <w:tbl>
      <w:tblPr>
        <w:tblStyle w:val="2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1014F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D510F21">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单位工程名称</w:t>
            </w:r>
          </w:p>
        </w:tc>
        <w:tc>
          <w:tcPr>
            <w:tcW w:w="1843" w:type="dxa"/>
            <w:tcBorders>
              <w:top w:val="single" w:color="auto" w:sz="12" w:space="0"/>
              <w:bottom w:val="double" w:color="auto" w:sz="6" w:space="0"/>
            </w:tcBorders>
            <w:noWrap w:val="0"/>
            <w:vAlign w:val="center"/>
          </w:tcPr>
          <w:p w14:paraId="2D55A17E">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建设规模</w:t>
            </w:r>
          </w:p>
        </w:tc>
        <w:tc>
          <w:tcPr>
            <w:tcW w:w="1417" w:type="dxa"/>
            <w:tcBorders>
              <w:top w:val="single" w:color="auto" w:sz="12" w:space="0"/>
              <w:bottom w:val="double" w:color="auto" w:sz="6" w:space="0"/>
            </w:tcBorders>
            <w:noWrap w:val="0"/>
            <w:vAlign w:val="center"/>
          </w:tcPr>
          <w:p w14:paraId="7CF41D22">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建筑面积(平方米)</w:t>
            </w:r>
          </w:p>
        </w:tc>
        <w:tc>
          <w:tcPr>
            <w:tcW w:w="2410" w:type="dxa"/>
            <w:tcBorders>
              <w:top w:val="single" w:color="auto" w:sz="12" w:space="0"/>
              <w:bottom w:val="double" w:color="auto" w:sz="6" w:space="0"/>
            </w:tcBorders>
            <w:noWrap w:val="0"/>
            <w:vAlign w:val="center"/>
          </w:tcPr>
          <w:p w14:paraId="170CCD5B">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结构形式</w:t>
            </w:r>
          </w:p>
        </w:tc>
        <w:tc>
          <w:tcPr>
            <w:tcW w:w="850" w:type="dxa"/>
            <w:tcBorders>
              <w:top w:val="single" w:color="auto" w:sz="12" w:space="0"/>
              <w:bottom w:val="double" w:color="auto" w:sz="6" w:space="0"/>
            </w:tcBorders>
            <w:noWrap w:val="0"/>
            <w:vAlign w:val="center"/>
          </w:tcPr>
          <w:p w14:paraId="75E63FB0">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层数</w:t>
            </w:r>
          </w:p>
        </w:tc>
        <w:tc>
          <w:tcPr>
            <w:tcW w:w="1560" w:type="dxa"/>
            <w:tcBorders>
              <w:top w:val="single" w:color="auto" w:sz="12" w:space="0"/>
              <w:bottom w:val="double" w:color="auto" w:sz="6" w:space="0"/>
            </w:tcBorders>
            <w:noWrap w:val="0"/>
            <w:vAlign w:val="center"/>
          </w:tcPr>
          <w:p w14:paraId="2887C80C">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2126" w:type="dxa"/>
            <w:tcBorders>
              <w:top w:val="single" w:color="auto" w:sz="12" w:space="0"/>
              <w:bottom w:val="double" w:color="auto" w:sz="6" w:space="0"/>
            </w:tcBorders>
            <w:noWrap w:val="0"/>
            <w:vAlign w:val="center"/>
          </w:tcPr>
          <w:p w14:paraId="0B6593A0">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设备安装内容</w:t>
            </w:r>
          </w:p>
        </w:tc>
        <w:tc>
          <w:tcPr>
            <w:tcW w:w="1417" w:type="dxa"/>
            <w:tcBorders>
              <w:top w:val="single" w:color="auto" w:sz="12" w:space="0"/>
              <w:bottom w:val="double" w:color="auto" w:sz="6" w:space="0"/>
            </w:tcBorders>
            <w:noWrap w:val="0"/>
            <w:vAlign w:val="center"/>
          </w:tcPr>
          <w:p w14:paraId="1EE5166F">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合同价格（元）</w:t>
            </w:r>
          </w:p>
        </w:tc>
        <w:tc>
          <w:tcPr>
            <w:tcW w:w="851" w:type="dxa"/>
            <w:tcBorders>
              <w:top w:val="single" w:color="auto" w:sz="12" w:space="0"/>
              <w:bottom w:val="double" w:color="auto" w:sz="6" w:space="0"/>
            </w:tcBorders>
            <w:noWrap w:val="0"/>
            <w:vAlign w:val="center"/>
          </w:tcPr>
          <w:p w14:paraId="773D01F8">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开工日期</w:t>
            </w:r>
          </w:p>
        </w:tc>
        <w:tc>
          <w:tcPr>
            <w:tcW w:w="850" w:type="dxa"/>
            <w:tcBorders>
              <w:top w:val="single" w:color="auto" w:sz="12" w:space="0"/>
              <w:bottom w:val="double" w:color="auto" w:sz="6" w:space="0"/>
            </w:tcBorders>
            <w:noWrap w:val="0"/>
            <w:vAlign w:val="center"/>
          </w:tcPr>
          <w:p w14:paraId="53907C3A">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竣工日期</w:t>
            </w:r>
          </w:p>
        </w:tc>
      </w:tr>
      <w:tr w14:paraId="6336B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9CBD6E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double" w:color="auto" w:sz="6" w:space="0"/>
              <w:bottom w:val="single" w:color="auto" w:sz="6" w:space="0"/>
            </w:tcBorders>
            <w:noWrap w:val="0"/>
            <w:vAlign w:val="center"/>
          </w:tcPr>
          <w:p w14:paraId="4B893B7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1ECDB1C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double" w:color="auto" w:sz="6" w:space="0"/>
              <w:bottom w:val="single" w:color="auto" w:sz="6" w:space="0"/>
            </w:tcBorders>
            <w:noWrap w:val="0"/>
            <w:vAlign w:val="center"/>
          </w:tcPr>
          <w:p w14:paraId="7CA95E64">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50129A7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double" w:color="auto" w:sz="6" w:space="0"/>
              <w:bottom w:val="single" w:color="auto" w:sz="6" w:space="0"/>
            </w:tcBorders>
            <w:noWrap w:val="0"/>
            <w:vAlign w:val="center"/>
          </w:tcPr>
          <w:p w14:paraId="43DA5DD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double" w:color="auto" w:sz="6" w:space="0"/>
              <w:bottom w:val="single" w:color="auto" w:sz="6" w:space="0"/>
            </w:tcBorders>
            <w:noWrap w:val="0"/>
            <w:vAlign w:val="center"/>
          </w:tcPr>
          <w:p w14:paraId="72E1D46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7E09F8A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6524DA1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53DA2F0E">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669E2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28532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7A8E123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22EF7F3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2B0E894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70DC5780">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61742DD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23B2AFA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16392FE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22D01C2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536A42C1">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17B54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3D7F3A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51177F70">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4290DB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1B33016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4F2AC05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04E5AD9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706C859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2CB4AD4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3591C86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590D2670">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0A7AA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4C3F9E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14:paraId="2E6E615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78E728F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14:paraId="7048924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4D5991F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14:paraId="6A49BAE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14:paraId="26D1E7A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3E08B64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3C63547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1BCFE665">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7C8B9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CDEBAC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0D70F05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387FF57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4F892C1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4A5EC85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6BA2A77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5AE4964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6EC5C35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74DF52F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119B267B">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00820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A2284A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14:paraId="6DA6320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1C54094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14:paraId="6BA4BB2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668C042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14:paraId="63BEAF8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14:paraId="36D22EB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33633F3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2C8275F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13512273">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26AFA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6C80FE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150F26F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0834CCE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2A09CD4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22E3039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69EBFAB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69EFD0B0">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046470F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37F4332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63618CCE">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33117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CFDA0B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606FEF0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41BDFF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0CE738A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8B29CC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1F8EA984">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1B3F45D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25F5D94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727858A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53242954">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63B06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753195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14:paraId="14AAC1D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564FF2C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14:paraId="2213EAE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73716C6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14:paraId="39DEF9A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14:paraId="6B27053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18F7B27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540120C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6FDCAFDF">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35A74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44E807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53D6268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5DC7C30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485BEC9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7721666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41784C3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4BCE4C2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0519EB7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4ACED7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1E41DE49">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6BA29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A8C18F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843" w:type="dxa"/>
            <w:noWrap w:val="0"/>
            <w:vAlign w:val="center"/>
          </w:tcPr>
          <w:p w14:paraId="66FBE6A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347B035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410" w:type="dxa"/>
            <w:noWrap w:val="0"/>
            <w:vAlign w:val="center"/>
          </w:tcPr>
          <w:p w14:paraId="435BD71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00014A9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560" w:type="dxa"/>
            <w:noWrap w:val="0"/>
            <w:vAlign w:val="center"/>
          </w:tcPr>
          <w:p w14:paraId="481AA2F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2126" w:type="dxa"/>
            <w:noWrap w:val="0"/>
            <w:vAlign w:val="center"/>
          </w:tcPr>
          <w:p w14:paraId="538BDBE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7" w:type="dxa"/>
            <w:noWrap w:val="0"/>
            <w:vAlign w:val="center"/>
          </w:tcPr>
          <w:p w14:paraId="3D528D9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34F9654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2478961B">
            <w:pPr>
              <w:pStyle w:val="10"/>
              <w:keepNext/>
              <w:spacing w:after="0" w:line="440" w:lineRule="exact"/>
              <w:ind w:left="63" w:right="63"/>
              <w:rPr>
                <w:rFonts w:hint="eastAsia" w:ascii="宋体" w:hAnsi="宋体" w:eastAsia="宋体" w:cs="宋体"/>
                <w:color w:val="000000"/>
                <w:kern w:val="2"/>
                <w:sz w:val="21"/>
                <w:szCs w:val="21"/>
                <w:lang w:val="en-US" w:eastAsia="zh-CN"/>
              </w:rPr>
            </w:pPr>
          </w:p>
        </w:tc>
      </w:tr>
    </w:tbl>
    <w:p w14:paraId="2FC92F0C">
      <w:pPr>
        <w:spacing w:line="440" w:lineRule="exact"/>
        <w:rPr>
          <w:rFonts w:hint="eastAsia" w:ascii="宋体" w:hAnsi="宋体" w:eastAsia="宋体" w:cs="宋体"/>
          <w:b/>
          <w:color w:val="000000"/>
          <w:sz w:val="30"/>
          <w:szCs w:val="30"/>
        </w:rPr>
        <w:sectPr>
          <w:pgSz w:w="16838" w:h="11906" w:orient="landscape"/>
          <w:pgMar w:top="1554" w:right="1418" w:bottom="1531" w:left="1418" w:header="851" w:footer="992" w:gutter="0"/>
          <w:pgNumType w:fmt="decimal"/>
          <w:cols w:space="720" w:num="1"/>
          <w:titlePg/>
          <w:docGrid w:type="linesAndChars" w:linePitch="312" w:charSpace="0"/>
        </w:sectPr>
      </w:pPr>
    </w:p>
    <w:p w14:paraId="1EEB040D">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986" w:name="_Toc296891053"/>
      <w:bookmarkStart w:id="987" w:name="_Toc296891265"/>
      <w:bookmarkStart w:id="988" w:name="_Toc296944564"/>
      <w:bookmarkStart w:id="989" w:name="_Toc267261692"/>
      <w:bookmarkStart w:id="990" w:name="_Toc296346726"/>
      <w:bookmarkStart w:id="991" w:name="_Toc296347224"/>
      <w:bookmarkStart w:id="992" w:name="_Toc296503225"/>
      <w:r>
        <w:rPr>
          <w:rFonts w:hint="eastAsia" w:ascii="宋体" w:hAnsi="宋体" w:eastAsia="宋体" w:cs="宋体"/>
          <w:color w:val="000000"/>
          <w:sz w:val="21"/>
          <w:szCs w:val="21"/>
        </w:rPr>
        <w:t>件2：</w:t>
      </w:r>
    </w:p>
    <w:bookmarkEnd w:id="986"/>
    <w:bookmarkEnd w:id="987"/>
    <w:bookmarkEnd w:id="988"/>
    <w:bookmarkEnd w:id="989"/>
    <w:bookmarkEnd w:id="990"/>
    <w:bookmarkEnd w:id="991"/>
    <w:bookmarkEnd w:id="992"/>
    <w:p w14:paraId="1BD09023">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发包人供应材料设备一览表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3F9D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1634FCB0">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276" w:type="dxa"/>
            <w:tcBorders>
              <w:top w:val="single" w:color="auto" w:sz="12" w:space="0"/>
              <w:bottom w:val="double" w:color="auto" w:sz="6" w:space="0"/>
            </w:tcBorders>
            <w:noWrap w:val="0"/>
            <w:vAlign w:val="center"/>
          </w:tcPr>
          <w:p w14:paraId="3A4440C6">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 xml:space="preserve">  材料、</w:t>
            </w:r>
          </w:p>
          <w:p w14:paraId="30BF713A">
            <w:pPr>
              <w:pStyle w:val="10"/>
              <w:keepNext/>
              <w:spacing w:after="0" w:line="440" w:lineRule="exact"/>
              <w:ind w:left="0" w:leftChars="0" w:right="63"/>
              <w:jc w:val="both"/>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设备品种</w:t>
            </w:r>
          </w:p>
        </w:tc>
        <w:tc>
          <w:tcPr>
            <w:tcW w:w="1418" w:type="dxa"/>
            <w:tcBorders>
              <w:top w:val="single" w:color="auto" w:sz="12" w:space="0"/>
              <w:bottom w:val="double" w:color="auto" w:sz="6" w:space="0"/>
            </w:tcBorders>
            <w:noWrap w:val="0"/>
            <w:vAlign w:val="center"/>
          </w:tcPr>
          <w:p w14:paraId="22D7CEAF">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940" w:type="dxa"/>
            <w:tcBorders>
              <w:top w:val="single" w:color="auto" w:sz="12" w:space="0"/>
              <w:bottom w:val="double" w:color="auto" w:sz="6" w:space="0"/>
            </w:tcBorders>
            <w:noWrap w:val="0"/>
            <w:vAlign w:val="center"/>
          </w:tcPr>
          <w:p w14:paraId="59AD310F">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851" w:type="dxa"/>
            <w:tcBorders>
              <w:top w:val="single" w:color="auto" w:sz="12" w:space="0"/>
              <w:bottom w:val="double" w:color="auto" w:sz="6" w:space="0"/>
            </w:tcBorders>
            <w:noWrap w:val="0"/>
            <w:vAlign w:val="center"/>
          </w:tcPr>
          <w:p w14:paraId="23D7460D">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044" w:type="dxa"/>
            <w:tcBorders>
              <w:top w:val="single" w:color="auto" w:sz="12" w:space="0"/>
              <w:bottom w:val="double" w:color="auto" w:sz="6" w:space="0"/>
            </w:tcBorders>
            <w:noWrap w:val="0"/>
            <w:vAlign w:val="center"/>
          </w:tcPr>
          <w:p w14:paraId="07506053">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992" w:type="dxa"/>
            <w:tcBorders>
              <w:top w:val="single" w:color="auto" w:sz="12" w:space="0"/>
              <w:bottom w:val="double" w:color="auto" w:sz="6" w:space="0"/>
            </w:tcBorders>
            <w:noWrap w:val="0"/>
            <w:vAlign w:val="center"/>
          </w:tcPr>
          <w:p w14:paraId="00BC28E5">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质量等级</w:t>
            </w:r>
          </w:p>
        </w:tc>
        <w:tc>
          <w:tcPr>
            <w:tcW w:w="851" w:type="dxa"/>
            <w:tcBorders>
              <w:top w:val="single" w:color="auto" w:sz="12" w:space="0"/>
              <w:bottom w:val="double" w:color="auto" w:sz="6" w:space="0"/>
            </w:tcBorders>
            <w:noWrap w:val="0"/>
            <w:vAlign w:val="center"/>
          </w:tcPr>
          <w:p w14:paraId="19697FFE">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供应时间</w:t>
            </w:r>
          </w:p>
        </w:tc>
        <w:tc>
          <w:tcPr>
            <w:tcW w:w="1487" w:type="dxa"/>
            <w:tcBorders>
              <w:top w:val="single" w:color="auto" w:sz="12" w:space="0"/>
              <w:bottom w:val="double" w:color="auto" w:sz="6" w:space="0"/>
            </w:tcBorders>
            <w:noWrap w:val="0"/>
            <w:vAlign w:val="center"/>
          </w:tcPr>
          <w:p w14:paraId="3AA23839">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送达地点</w:t>
            </w:r>
          </w:p>
        </w:tc>
        <w:tc>
          <w:tcPr>
            <w:tcW w:w="992" w:type="dxa"/>
            <w:tcBorders>
              <w:top w:val="single" w:color="auto" w:sz="12" w:space="0"/>
              <w:bottom w:val="double" w:color="auto" w:sz="6" w:space="0"/>
            </w:tcBorders>
            <w:noWrap w:val="0"/>
            <w:vAlign w:val="center"/>
          </w:tcPr>
          <w:p w14:paraId="733730A7">
            <w:pPr>
              <w:pStyle w:val="10"/>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3742F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6D47A89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2EC0251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51C6D16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tcBorders>
              <w:top w:val="double" w:color="auto" w:sz="6" w:space="0"/>
              <w:bottom w:val="single" w:color="auto" w:sz="6" w:space="0"/>
            </w:tcBorders>
            <w:noWrap w:val="0"/>
            <w:vAlign w:val="center"/>
          </w:tcPr>
          <w:p w14:paraId="2F00D7B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05E4EEA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tcBorders>
              <w:top w:val="double" w:color="auto" w:sz="6" w:space="0"/>
              <w:bottom w:val="single" w:color="auto" w:sz="6" w:space="0"/>
            </w:tcBorders>
            <w:noWrap w:val="0"/>
            <w:vAlign w:val="center"/>
          </w:tcPr>
          <w:p w14:paraId="163D4A8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473A079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0B09ED7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tcBorders>
              <w:top w:val="double" w:color="auto" w:sz="6" w:space="0"/>
              <w:bottom w:val="single" w:color="auto" w:sz="6" w:space="0"/>
            </w:tcBorders>
            <w:noWrap w:val="0"/>
            <w:vAlign w:val="center"/>
          </w:tcPr>
          <w:p w14:paraId="447B3AF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519F507C">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5B6D9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tcBorders>
              <w:top w:val="nil"/>
            </w:tcBorders>
            <w:noWrap w:val="0"/>
            <w:vAlign w:val="center"/>
          </w:tcPr>
          <w:p w14:paraId="3CCFF71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75C03924">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5ABC5C5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tcBorders>
              <w:top w:val="nil"/>
            </w:tcBorders>
            <w:noWrap w:val="0"/>
            <w:vAlign w:val="center"/>
          </w:tcPr>
          <w:p w14:paraId="1B10615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3A211E0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tcBorders>
              <w:top w:val="nil"/>
            </w:tcBorders>
            <w:noWrap w:val="0"/>
            <w:vAlign w:val="center"/>
          </w:tcPr>
          <w:p w14:paraId="672F256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5746963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50FD264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tcBorders>
              <w:top w:val="nil"/>
            </w:tcBorders>
            <w:noWrap w:val="0"/>
            <w:vAlign w:val="center"/>
          </w:tcPr>
          <w:p w14:paraId="5688FBB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4061BA94">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39214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EFECBA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5D266A5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2D9FA80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608CA78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575C7A2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1134E40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3DCFE32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7EDFF0A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62BFEBD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145482BA">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70352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D6F6D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05695BB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5D52298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6C248660">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65CD6CA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2AECF4E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422ED12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27146C5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567CA2F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7182BBCD">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4C404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F18CA0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60CACE5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1CC51D8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1C5EEA3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0081A91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3623469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5455EC5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54635AD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5ABBF76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69FBAABC">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0C97D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F52A7F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2111750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398C555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0891D49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4B420C5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57D77CE1">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1821228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5FDBFDDC">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6B3DEBA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480EBA61">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06C0E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A89410D">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5515521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349EDEE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13AAA2F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2861032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2C2676B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10583DD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5CFB2B0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0C58AF9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291F929F">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2D93F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63973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7DC695D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344DB445">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66A6D13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4362D81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023B291A">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3EB59072">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67F422DE">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6A7C786F">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4BAC0C1E">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20DC7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0745CC">
            <w:pPr>
              <w:jc w:val="center"/>
              <w:rPr>
                <w:rFonts w:hint="eastAsia" w:ascii="宋体" w:hAnsi="宋体" w:eastAsia="宋体" w:cs="宋体"/>
                <w:color w:val="000000"/>
                <w:sz w:val="21"/>
                <w:szCs w:val="21"/>
              </w:rPr>
            </w:pPr>
          </w:p>
        </w:tc>
        <w:tc>
          <w:tcPr>
            <w:tcW w:w="1276" w:type="dxa"/>
            <w:noWrap w:val="0"/>
            <w:vAlign w:val="center"/>
          </w:tcPr>
          <w:p w14:paraId="28E2754F">
            <w:pPr>
              <w:jc w:val="center"/>
              <w:rPr>
                <w:rFonts w:hint="eastAsia" w:ascii="宋体" w:hAnsi="宋体" w:eastAsia="宋体" w:cs="宋体"/>
                <w:color w:val="000000"/>
                <w:sz w:val="21"/>
                <w:szCs w:val="21"/>
              </w:rPr>
            </w:pPr>
          </w:p>
        </w:tc>
        <w:tc>
          <w:tcPr>
            <w:tcW w:w="1418" w:type="dxa"/>
            <w:noWrap w:val="0"/>
            <w:vAlign w:val="center"/>
          </w:tcPr>
          <w:p w14:paraId="69C8A574">
            <w:pPr>
              <w:jc w:val="center"/>
              <w:rPr>
                <w:rFonts w:hint="eastAsia" w:ascii="宋体" w:hAnsi="宋体" w:eastAsia="宋体" w:cs="宋体"/>
                <w:color w:val="000000"/>
                <w:sz w:val="21"/>
                <w:szCs w:val="21"/>
              </w:rPr>
            </w:pPr>
          </w:p>
        </w:tc>
        <w:tc>
          <w:tcPr>
            <w:tcW w:w="940" w:type="dxa"/>
            <w:noWrap w:val="0"/>
            <w:vAlign w:val="center"/>
          </w:tcPr>
          <w:p w14:paraId="5B62036E">
            <w:pPr>
              <w:jc w:val="center"/>
              <w:rPr>
                <w:rFonts w:hint="eastAsia" w:ascii="宋体" w:hAnsi="宋体" w:eastAsia="宋体" w:cs="宋体"/>
                <w:color w:val="000000"/>
                <w:sz w:val="21"/>
                <w:szCs w:val="21"/>
              </w:rPr>
            </w:pPr>
          </w:p>
        </w:tc>
        <w:tc>
          <w:tcPr>
            <w:tcW w:w="851" w:type="dxa"/>
            <w:noWrap w:val="0"/>
            <w:vAlign w:val="center"/>
          </w:tcPr>
          <w:p w14:paraId="761D8599">
            <w:pPr>
              <w:jc w:val="center"/>
              <w:rPr>
                <w:rFonts w:hint="eastAsia" w:ascii="宋体" w:hAnsi="宋体" w:eastAsia="宋体" w:cs="宋体"/>
                <w:color w:val="000000"/>
                <w:sz w:val="21"/>
                <w:szCs w:val="21"/>
              </w:rPr>
            </w:pPr>
          </w:p>
        </w:tc>
        <w:tc>
          <w:tcPr>
            <w:tcW w:w="1044" w:type="dxa"/>
            <w:noWrap w:val="0"/>
            <w:vAlign w:val="center"/>
          </w:tcPr>
          <w:p w14:paraId="52BA7A80">
            <w:pPr>
              <w:jc w:val="center"/>
              <w:rPr>
                <w:rFonts w:hint="eastAsia" w:ascii="宋体" w:hAnsi="宋体" w:eastAsia="宋体" w:cs="宋体"/>
                <w:color w:val="000000"/>
                <w:sz w:val="21"/>
                <w:szCs w:val="21"/>
              </w:rPr>
            </w:pPr>
          </w:p>
        </w:tc>
        <w:tc>
          <w:tcPr>
            <w:tcW w:w="992" w:type="dxa"/>
            <w:noWrap w:val="0"/>
            <w:vAlign w:val="center"/>
          </w:tcPr>
          <w:p w14:paraId="6FA0D49F">
            <w:pPr>
              <w:jc w:val="center"/>
              <w:rPr>
                <w:rFonts w:hint="eastAsia" w:ascii="宋体" w:hAnsi="宋体" w:eastAsia="宋体" w:cs="宋体"/>
                <w:color w:val="000000"/>
                <w:sz w:val="21"/>
                <w:szCs w:val="21"/>
              </w:rPr>
            </w:pPr>
          </w:p>
        </w:tc>
        <w:tc>
          <w:tcPr>
            <w:tcW w:w="851" w:type="dxa"/>
            <w:noWrap w:val="0"/>
            <w:vAlign w:val="center"/>
          </w:tcPr>
          <w:p w14:paraId="31256488">
            <w:pPr>
              <w:jc w:val="center"/>
              <w:rPr>
                <w:rFonts w:hint="eastAsia" w:ascii="宋体" w:hAnsi="宋体" w:eastAsia="宋体" w:cs="宋体"/>
                <w:color w:val="000000"/>
                <w:sz w:val="21"/>
                <w:szCs w:val="21"/>
              </w:rPr>
            </w:pPr>
          </w:p>
        </w:tc>
        <w:tc>
          <w:tcPr>
            <w:tcW w:w="1487" w:type="dxa"/>
            <w:noWrap w:val="0"/>
            <w:vAlign w:val="center"/>
          </w:tcPr>
          <w:p w14:paraId="53F1D658">
            <w:pPr>
              <w:jc w:val="center"/>
              <w:rPr>
                <w:rFonts w:hint="eastAsia" w:ascii="宋体" w:hAnsi="宋体" w:eastAsia="宋体" w:cs="宋体"/>
                <w:color w:val="000000"/>
                <w:sz w:val="21"/>
                <w:szCs w:val="21"/>
              </w:rPr>
            </w:pPr>
          </w:p>
        </w:tc>
        <w:tc>
          <w:tcPr>
            <w:tcW w:w="992" w:type="dxa"/>
            <w:noWrap w:val="0"/>
            <w:vAlign w:val="center"/>
          </w:tcPr>
          <w:p w14:paraId="6A916B52">
            <w:pPr>
              <w:jc w:val="center"/>
              <w:rPr>
                <w:rFonts w:hint="eastAsia" w:ascii="宋体" w:hAnsi="宋体" w:eastAsia="宋体" w:cs="宋体"/>
                <w:color w:val="000000"/>
                <w:sz w:val="21"/>
                <w:szCs w:val="21"/>
              </w:rPr>
            </w:pPr>
          </w:p>
        </w:tc>
      </w:tr>
      <w:tr w14:paraId="682BB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1E807CD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0C65145B">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55C14A08">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40" w:type="dxa"/>
            <w:noWrap w:val="0"/>
            <w:vAlign w:val="center"/>
          </w:tcPr>
          <w:p w14:paraId="2A93EEA6">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6461DB6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044" w:type="dxa"/>
            <w:noWrap w:val="0"/>
            <w:vAlign w:val="center"/>
          </w:tcPr>
          <w:p w14:paraId="020BB5C7">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0336DD00">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851" w:type="dxa"/>
            <w:noWrap w:val="0"/>
            <w:vAlign w:val="center"/>
          </w:tcPr>
          <w:p w14:paraId="18B94DB9">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1487" w:type="dxa"/>
            <w:noWrap w:val="0"/>
            <w:vAlign w:val="center"/>
          </w:tcPr>
          <w:p w14:paraId="06571DE3">
            <w:pPr>
              <w:pStyle w:val="10"/>
              <w:keepNext/>
              <w:spacing w:after="0" w:line="440" w:lineRule="exact"/>
              <w:ind w:left="63" w:right="63"/>
              <w:rPr>
                <w:rFonts w:hint="eastAsia" w:ascii="宋体" w:hAnsi="宋体" w:eastAsia="宋体" w:cs="宋体"/>
                <w:color w:val="000000"/>
                <w:kern w:val="2"/>
                <w:sz w:val="21"/>
                <w:szCs w:val="21"/>
                <w:lang w:val="en-US" w:eastAsia="zh-CN"/>
              </w:rPr>
            </w:pPr>
          </w:p>
        </w:tc>
        <w:tc>
          <w:tcPr>
            <w:tcW w:w="992" w:type="dxa"/>
            <w:noWrap w:val="0"/>
            <w:vAlign w:val="center"/>
          </w:tcPr>
          <w:p w14:paraId="1E9A1C88">
            <w:pPr>
              <w:pStyle w:val="10"/>
              <w:keepNext/>
              <w:spacing w:after="0" w:line="440" w:lineRule="exact"/>
              <w:ind w:left="63" w:right="63"/>
              <w:rPr>
                <w:rFonts w:hint="eastAsia" w:ascii="宋体" w:hAnsi="宋体" w:eastAsia="宋体" w:cs="宋体"/>
                <w:color w:val="000000"/>
                <w:kern w:val="2"/>
                <w:sz w:val="21"/>
                <w:szCs w:val="21"/>
                <w:lang w:val="en-US" w:eastAsia="zh-CN"/>
              </w:rPr>
            </w:pPr>
          </w:p>
        </w:tc>
      </w:tr>
      <w:tr w14:paraId="236A7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E2DCF2">
            <w:pPr>
              <w:jc w:val="center"/>
              <w:rPr>
                <w:rFonts w:hint="eastAsia" w:ascii="宋体" w:hAnsi="宋体" w:eastAsia="宋体" w:cs="宋体"/>
                <w:color w:val="000000"/>
                <w:sz w:val="21"/>
                <w:szCs w:val="21"/>
              </w:rPr>
            </w:pPr>
          </w:p>
        </w:tc>
        <w:tc>
          <w:tcPr>
            <w:tcW w:w="1276" w:type="dxa"/>
            <w:noWrap w:val="0"/>
            <w:vAlign w:val="center"/>
          </w:tcPr>
          <w:p w14:paraId="1EDFAFB1">
            <w:pPr>
              <w:jc w:val="center"/>
              <w:rPr>
                <w:rFonts w:hint="eastAsia" w:ascii="宋体" w:hAnsi="宋体" w:eastAsia="宋体" w:cs="宋体"/>
                <w:color w:val="000000"/>
                <w:sz w:val="21"/>
                <w:szCs w:val="21"/>
              </w:rPr>
            </w:pPr>
          </w:p>
        </w:tc>
        <w:tc>
          <w:tcPr>
            <w:tcW w:w="1418" w:type="dxa"/>
            <w:noWrap w:val="0"/>
            <w:vAlign w:val="center"/>
          </w:tcPr>
          <w:p w14:paraId="1BB3F4AB">
            <w:pPr>
              <w:jc w:val="center"/>
              <w:rPr>
                <w:rFonts w:hint="eastAsia" w:ascii="宋体" w:hAnsi="宋体" w:eastAsia="宋体" w:cs="宋体"/>
                <w:color w:val="000000"/>
                <w:sz w:val="21"/>
                <w:szCs w:val="21"/>
              </w:rPr>
            </w:pPr>
          </w:p>
        </w:tc>
        <w:tc>
          <w:tcPr>
            <w:tcW w:w="940" w:type="dxa"/>
            <w:noWrap w:val="0"/>
            <w:vAlign w:val="center"/>
          </w:tcPr>
          <w:p w14:paraId="0108A6DC">
            <w:pPr>
              <w:jc w:val="center"/>
              <w:rPr>
                <w:rFonts w:hint="eastAsia" w:ascii="宋体" w:hAnsi="宋体" w:eastAsia="宋体" w:cs="宋体"/>
                <w:color w:val="000000"/>
                <w:sz w:val="21"/>
                <w:szCs w:val="21"/>
              </w:rPr>
            </w:pPr>
          </w:p>
        </w:tc>
        <w:tc>
          <w:tcPr>
            <w:tcW w:w="851" w:type="dxa"/>
            <w:noWrap w:val="0"/>
            <w:vAlign w:val="center"/>
          </w:tcPr>
          <w:p w14:paraId="2FBC0DB2">
            <w:pPr>
              <w:jc w:val="center"/>
              <w:rPr>
                <w:rFonts w:hint="eastAsia" w:ascii="宋体" w:hAnsi="宋体" w:eastAsia="宋体" w:cs="宋体"/>
                <w:color w:val="000000"/>
                <w:sz w:val="21"/>
                <w:szCs w:val="21"/>
              </w:rPr>
            </w:pPr>
          </w:p>
        </w:tc>
        <w:tc>
          <w:tcPr>
            <w:tcW w:w="1044" w:type="dxa"/>
            <w:noWrap w:val="0"/>
            <w:vAlign w:val="center"/>
          </w:tcPr>
          <w:p w14:paraId="4BBCB18B">
            <w:pPr>
              <w:jc w:val="center"/>
              <w:rPr>
                <w:rFonts w:hint="eastAsia" w:ascii="宋体" w:hAnsi="宋体" w:eastAsia="宋体" w:cs="宋体"/>
                <w:color w:val="000000"/>
                <w:sz w:val="21"/>
                <w:szCs w:val="21"/>
              </w:rPr>
            </w:pPr>
          </w:p>
        </w:tc>
        <w:tc>
          <w:tcPr>
            <w:tcW w:w="992" w:type="dxa"/>
            <w:noWrap w:val="0"/>
            <w:vAlign w:val="center"/>
          </w:tcPr>
          <w:p w14:paraId="5126B0A5">
            <w:pPr>
              <w:jc w:val="center"/>
              <w:rPr>
                <w:rFonts w:hint="eastAsia" w:ascii="宋体" w:hAnsi="宋体" w:eastAsia="宋体" w:cs="宋体"/>
                <w:color w:val="000000"/>
                <w:sz w:val="21"/>
                <w:szCs w:val="21"/>
              </w:rPr>
            </w:pPr>
          </w:p>
        </w:tc>
        <w:tc>
          <w:tcPr>
            <w:tcW w:w="851" w:type="dxa"/>
            <w:noWrap w:val="0"/>
            <w:vAlign w:val="center"/>
          </w:tcPr>
          <w:p w14:paraId="1BA211BA">
            <w:pPr>
              <w:jc w:val="center"/>
              <w:rPr>
                <w:rFonts w:hint="eastAsia" w:ascii="宋体" w:hAnsi="宋体" w:eastAsia="宋体" w:cs="宋体"/>
                <w:color w:val="000000"/>
                <w:sz w:val="21"/>
                <w:szCs w:val="21"/>
              </w:rPr>
            </w:pPr>
          </w:p>
        </w:tc>
        <w:tc>
          <w:tcPr>
            <w:tcW w:w="1487" w:type="dxa"/>
            <w:noWrap w:val="0"/>
            <w:vAlign w:val="center"/>
          </w:tcPr>
          <w:p w14:paraId="27100A5D">
            <w:pPr>
              <w:jc w:val="center"/>
              <w:rPr>
                <w:rFonts w:hint="eastAsia" w:ascii="宋体" w:hAnsi="宋体" w:eastAsia="宋体" w:cs="宋体"/>
                <w:color w:val="000000"/>
                <w:sz w:val="21"/>
                <w:szCs w:val="21"/>
              </w:rPr>
            </w:pPr>
          </w:p>
        </w:tc>
        <w:tc>
          <w:tcPr>
            <w:tcW w:w="992" w:type="dxa"/>
            <w:noWrap w:val="0"/>
            <w:vAlign w:val="center"/>
          </w:tcPr>
          <w:p w14:paraId="4C705107">
            <w:pPr>
              <w:jc w:val="center"/>
              <w:rPr>
                <w:rFonts w:hint="eastAsia" w:ascii="宋体" w:hAnsi="宋体" w:eastAsia="宋体" w:cs="宋体"/>
                <w:color w:val="000000"/>
                <w:sz w:val="21"/>
                <w:szCs w:val="21"/>
              </w:rPr>
            </w:pPr>
          </w:p>
        </w:tc>
      </w:tr>
      <w:tr w14:paraId="08576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4FE34E8">
            <w:pPr>
              <w:jc w:val="center"/>
              <w:rPr>
                <w:rFonts w:hint="eastAsia" w:ascii="宋体" w:hAnsi="宋体" w:eastAsia="宋体" w:cs="宋体"/>
                <w:color w:val="000000"/>
                <w:sz w:val="21"/>
                <w:szCs w:val="21"/>
              </w:rPr>
            </w:pPr>
          </w:p>
        </w:tc>
        <w:tc>
          <w:tcPr>
            <w:tcW w:w="1276" w:type="dxa"/>
            <w:noWrap w:val="0"/>
            <w:vAlign w:val="center"/>
          </w:tcPr>
          <w:p w14:paraId="6E62F3D9">
            <w:pPr>
              <w:jc w:val="center"/>
              <w:rPr>
                <w:rFonts w:hint="eastAsia" w:ascii="宋体" w:hAnsi="宋体" w:eastAsia="宋体" w:cs="宋体"/>
                <w:color w:val="000000"/>
                <w:sz w:val="21"/>
                <w:szCs w:val="21"/>
              </w:rPr>
            </w:pPr>
          </w:p>
        </w:tc>
        <w:tc>
          <w:tcPr>
            <w:tcW w:w="1418" w:type="dxa"/>
            <w:noWrap w:val="0"/>
            <w:vAlign w:val="center"/>
          </w:tcPr>
          <w:p w14:paraId="27B821E9">
            <w:pPr>
              <w:jc w:val="center"/>
              <w:rPr>
                <w:rFonts w:hint="eastAsia" w:ascii="宋体" w:hAnsi="宋体" w:eastAsia="宋体" w:cs="宋体"/>
                <w:color w:val="000000"/>
                <w:sz w:val="21"/>
                <w:szCs w:val="21"/>
              </w:rPr>
            </w:pPr>
          </w:p>
        </w:tc>
        <w:tc>
          <w:tcPr>
            <w:tcW w:w="940" w:type="dxa"/>
            <w:noWrap w:val="0"/>
            <w:vAlign w:val="center"/>
          </w:tcPr>
          <w:p w14:paraId="3A044A2B">
            <w:pPr>
              <w:jc w:val="center"/>
              <w:rPr>
                <w:rFonts w:hint="eastAsia" w:ascii="宋体" w:hAnsi="宋体" w:eastAsia="宋体" w:cs="宋体"/>
                <w:color w:val="000000"/>
                <w:sz w:val="21"/>
                <w:szCs w:val="21"/>
              </w:rPr>
            </w:pPr>
          </w:p>
        </w:tc>
        <w:tc>
          <w:tcPr>
            <w:tcW w:w="851" w:type="dxa"/>
            <w:noWrap w:val="0"/>
            <w:vAlign w:val="center"/>
          </w:tcPr>
          <w:p w14:paraId="1C4FBF1B">
            <w:pPr>
              <w:jc w:val="center"/>
              <w:rPr>
                <w:rFonts w:hint="eastAsia" w:ascii="宋体" w:hAnsi="宋体" w:eastAsia="宋体" w:cs="宋体"/>
                <w:color w:val="000000"/>
                <w:sz w:val="21"/>
                <w:szCs w:val="21"/>
              </w:rPr>
            </w:pPr>
          </w:p>
        </w:tc>
        <w:tc>
          <w:tcPr>
            <w:tcW w:w="1044" w:type="dxa"/>
            <w:noWrap w:val="0"/>
            <w:vAlign w:val="center"/>
          </w:tcPr>
          <w:p w14:paraId="61A07A00">
            <w:pPr>
              <w:jc w:val="center"/>
              <w:rPr>
                <w:rFonts w:hint="eastAsia" w:ascii="宋体" w:hAnsi="宋体" w:eastAsia="宋体" w:cs="宋体"/>
                <w:color w:val="000000"/>
                <w:sz w:val="21"/>
                <w:szCs w:val="21"/>
              </w:rPr>
            </w:pPr>
          </w:p>
        </w:tc>
        <w:tc>
          <w:tcPr>
            <w:tcW w:w="992" w:type="dxa"/>
            <w:noWrap w:val="0"/>
            <w:vAlign w:val="center"/>
          </w:tcPr>
          <w:p w14:paraId="0FD107F4">
            <w:pPr>
              <w:jc w:val="center"/>
              <w:rPr>
                <w:rFonts w:hint="eastAsia" w:ascii="宋体" w:hAnsi="宋体" w:eastAsia="宋体" w:cs="宋体"/>
                <w:color w:val="000000"/>
                <w:sz w:val="21"/>
                <w:szCs w:val="21"/>
              </w:rPr>
            </w:pPr>
          </w:p>
        </w:tc>
        <w:tc>
          <w:tcPr>
            <w:tcW w:w="851" w:type="dxa"/>
            <w:noWrap w:val="0"/>
            <w:vAlign w:val="center"/>
          </w:tcPr>
          <w:p w14:paraId="62201033">
            <w:pPr>
              <w:jc w:val="center"/>
              <w:rPr>
                <w:rFonts w:hint="eastAsia" w:ascii="宋体" w:hAnsi="宋体" w:eastAsia="宋体" w:cs="宋体"/>
                <w:color w:val="000000"/>
                <w:sz w:val="21"/>
                <w:szCs w:val="21"/>
              </w:rPr>
            </w:pPr>
          </w:p>
        </w:tc>
        <w:tc>
          <w:tcPr>
            <w:tcW w:w="1487" w:type="dxa"/>
            <w:noWrap w:val="0"/>
            <w:vAlign w:val="center"/>
          </w:tcPr>
          <w:p w14:paraId="6336CE49">
            <w:pPr>
              <w:jc w:val="center"/>
              <w:rPr>
                <w:rFonts w:hint="eastAsia" w:ascii="宋体" w:hAnsi="宋体" w:eastAsia="宋体" w:cs="宋体"/>
                <w:color w:val="000000"/>
                <w:sz w:val="21"/>
                <w:szCs w:val="21"/>
              </w:rPr>
            </w:pPr>
          </w:p>
        </w:tc>
        <w:tc>
          <w:tcPr>
            <w:tcW w:w="992" w:type="dxa"/>
            <w:noWrap w:val="0"/>
            <w:vAlign w:val="center"/>
          </w:tcPr>
          <w:p w14:paraId="2014B74D">
            <w:pPr>
              <w:jc w:val="center"/>
              <w:rPr>
                <w:rFonts w:hint="eastAsia" w:ascii="宋体" w:hAnsi="宋体" w:eastAsia="宋体" w:cs="宋体"/>
                <w:color w:val="000000"/>
                <w:sz w:val="21"/>
                <w:szCs w:val="21"/>
              </w:rPr>
            </w:pPr>
          </w:p>
        </w:tc>
      </w:tr>
      <w:tr w14:paraId="458C2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3CB6AC29">
            <w:pPr>
              <w:jc w:val="center"/>
              <w:rPr>
                <w:rFonts w:hint="eastAsia" w:ascii="宋体" w:hAnsi="宋体" w:eastAsia="宋体" w:cs="宋体"/>
                <w:color w:val="000000"/>
                <w:sz w:val="21"/>
                <w:szCs w:val="21"/>
              </w:rPr>
            </w:pPr>
          </w:p>
        </w:tc>
        <w:tc>
          <w:tcPr>
            <w:tcW w:w="1276" w:type="dxa"/>
            <w:noWrap w:val="0"/>
            <w:vAlign w:val="center"/>
          </w:tcPr>
          <w:p w14:paraId="49AB6772">
            <w:pPr>
              <w:jc w:val="center"/>
              <w:rPr>
                <w:rFonts w:hint="eastAsia" w:ascii="宋体" w:hAnsi="宋体" w:eastAsia="宋体" w:cs="宋体"/>
                <w:color w:val="000000"/>
                <w:sz w:val="21"/>
                <w:szCs w:val="21"/>
              </w:rPr>
            </w:pPr>
          </w:p>
        </w:tc>
        <w:tc>
          <w:tcPr>
            <w:tcW w:w="1418" w:type="dxa"/>
            <w:noWrap w:val="0"/>
            <w:vAlign w:val="center"/>
          </w:tcPr>
          <w:p w14:paraId="77BD11EB">
            <w:pPr>
              <w:jc w:val="center"/>
              <w:rPr>
                <w:rFonts w:hint="eastAsia" w:ascii="宋体" w:hAnsi="宋体" w:eastAsia="宋体" w:cs="宋体"/>
                <w:color w:val="000000"/>
                <w:sz w:val="21"/>
                <w:szCs w:val="21"/>
              </w:rPr>
            </w:pPr>
          </w:p>
        </w:tc>
        <w:tc>
          <w:tcPr>
            <w:tcW w:w="940" w:type="dxa"/>
            <w:noWrap w:val="0"/>
            <w:vAlign w:val="center"/>
          </w:tcPr>
          <w:p w14:paraId="3A490C22">
            <w:pPr>
              <w:jc w:val="center"/>
              <w:rPr>
                <w:rFonts w:hint="eastAsia" w:ascii="宋体" w:hAnsi="宋体" w:eastAsia="宋体" w:cs="宋体"/>
                <w:color w:val="000000"/>
                <w:sz w:val="21"/>
                <w:szCs w:val="21"/>
              </w:rPr>
            </w:pPr>
          </w:p>
        </w:tc>
        <w:tc>
          <w:tcPr>
            <w:tcW w:w="851" w:type="dxa"/>
            <w:noWrap w:val="0"/>
            <w:vAlign w:val="center"/>
          </w:tcPr>
          <w:p w14:paraId="4A56E841">
            <w:pPr>
              <w:jc w:val="center"/>
              <w:rPr>
                <w:rFonts w:hint="eastAsia" w:ascii="宋体" w:hAnsi="宋体" w:eastAsia="宋体" w:cs="宋体"/>
                <w:color w:val="000000"/>
                <w:sz w:val="21"/>
                <w:szCs w:val="21"/>
              </w:rPr>
            </w:pPr>
          </w:p>
        </w:tc>
        <w:tc>
          <w:tcPr>
            <w:tcW w:w="1044" w:type="dxa"/>
            <w:noWrap w:val="0"/>
            <w:vAlign w:val="center"/>
          </w:tcPr>
          <w:p w14:paraId="7A503C05">
            <w:pPr>
              <w:jc w:val="center"/>
              <w:rPr>
                <w:rFonts w:hint="eastAsia" w:ascii="宋体" w:hAnsi="宋体" w:eastAsia="宋体" w:cs="宋体"/>
                <w:color w:val="000000"/>
                <w:sz w:val="21"/>
                <w:szCs w:val="21"/>
              </w:rPr>
            </w:pPr>
          </w:p>
        </w:tc>
        <w:tc>
          <w:tcPr>
            <w:tcW w:w="992" w:type="dxa"/>
            <w:noWrap w:val="0"/>
            <w:vAlign w:val="center"/>
          </w:tcPr>
          <w:p w14:paraId="2092F7CE">
            <w:pPr>
              <w:jc w:val="center"/>
              <w:rPr>
                <w:rFonts w:hint="eastAsia" w:ascii="宋体" w:hAnsi="宋体" w:eastAsia="宋体" w:cs="宋体"/>
                <w:color w:val="000000"/>
                <w:sz w:val="21"/>
                <w:szCs w:val="21"/>
              </w:rPr>
            </w:pPr>
          </w:p>
        </w:tc>
        <w:tc>
          <w:tcPr>
            <w:tcW w:w="851" w:type="dxa"/>
            <w:noWrap w:val="0"/>
            <w:vAlign w:val="center"/>
          </w:tcPr>
          <w:p w14:paraId="6D4E414C">
            <w:pPr>
              <w:jc w:val="center"/>
              <w:rPr>
                <w:rFonts w:hint="eastAsia" w:ascii="宋体" w:hAnsi="宋体" w:eastAsia="宋体" w:cs="宋体"/>
                <w:color w:val="000000"/>
                <w:sz w:val="21"/>
                <w:szCs w:val="21"/>
              </w:rPr>
            </w:pPr>
          </w:p>
        </w:tc>
        <w:tc>
          <w:tcPr>
            <w:tcW w:w="1487" w:type="dxa"/>
            <w:noWrap w:val="0"/>
            <w:vAlign w:val="center"/>
          </w:tcPr>
          <w:p w14:paraId="52DDB877">
            <w:pPr>
              <w:jc w:val="center"/>
              <w:rPr>
                <w:rFonts w:hint="eastAsia" w:ascii="宋体" w:hAnsi="宋体" w:eastAsia="宋体" w:cs="宋体"/>
                <w:color w:val="000000"/>
                <w:sz w:val="21"/>
                <w:szCs w:val="21"/>
              </w:rPr>
            </w:pPr>
          </w:p>
        </w:tc>
        <w:tc>
          <w:tcPr>
            <w:tcW w:w="992" w:type="dxa"/>
            <w:noWrap w:val="0"/>
            <w:vAlign w:val="center"/>
          </w:tcPr>
          <w:p w14:paraId="2B486B21">
            <w:pPr>
              <w:jc w:val="center"/>
              <w:rPr>
                <w:rFonts w:hint="eastAsia" w:ascii="宋体" w:hAnsi="宋体" w:eastAsia="宋体" w:cs="宋体"/>
                <w:color w:val="000000"/>
                <w:sz w:val="21"/>
                <w:szCs w:val="21"/>
              </w:rPr>
            </w:pPr>
          </w:p>
        </w:tc>
      </w:tr>
      <w:tr w14:paraId="3D1D8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123CBE9D">
            <w:pPr>
              <w:jc w:val="center"/>
              <w:rPr>
                <w:rFonts w:hint="eastAsia" w:ascii="宋体" w:hAnsi="宋体" w:eastAsia="宋体" w:cs="宋体"/>
                <w:color w:val="000000"/>
                <w:sz w:val="21"/>
                <w:szCs w:val="21"/>
              </w:rPr>
            </w:pPr>
          </w:p>
        </w:tc>
        <w:tc>
          <w:tcPr>
            <w:tcW w:w="1276" w:type="dxa"/>
            <w:noWrap w:val="0"/>
            <w:vAlign w:val="center"/>
          </w:tcPr>
          <w:p w14:paraId="07FDD6F0">
            <w:pPr>
              <w:jc w:val="center"/>
              <w:rPr>
                <w:rFonts w:hint="eastAsia" w:ascii="宋体" w:hAnsi="宋体" w:eastAsia="宋体" w:cs="宋体"/>
                <w:color w:val="000000"/>
                <w:sz w:val="21"/>
                <w:szCs w:val="21"/>
              </w:rPr>
            </w:pPr>
          </w:p>
        </w:tc>
        <w:tc>
          <w:tcPr>
            <w:tcW w:w="1418" w:type="dxa"/>
            <w:noWrap w:val="0"/>
            <w:vAlign w:val="center"/>
          </w:tcPr>
          <w:p w14:paraId="56CAD488">
            <w:pPr>
              <w:jc w:val="center"/>
              <w:rPr>
                <w:rFonts w:hint="eastAsia" w:ascii="宋体" w:hAnsi="宋体" w:eastAsia="宋体" w:cs="宋体"/>
                <w:color w:val="000000"/>
                <w:sz w:val="21"/>
                <w:szCs w:val="21"/>
              </w:rPr>
            </w:pPr>
          </w:p>
        </w:tc>
        <w:tc>
          <w:tcPr>
            <w:tcW w:w="940" w:type="dxa"/>
            <w:noWrap w:val="0"/>
            <w:vAlign w:val="center"/>
          </w:tcPr>
          <w:p w14:paraId="02A7B686">
            <w:pPr>
              <w:jc w:val="center"/>
              <w:rPr>
                <w:rFonts w:hint="eastAsia" w:ascii="宋体" w:hAnsi="宋体" w:eastAsia="宋体" w:cs="宋体"/>
                <w:color w:val="000000"/>
                <w:sz w:val="21"/>
                <w:szCs w:val="21"/>
              </w:rPr>
            </w:pPr>
          </w:p>
        </w:tc>
        <w:tc>
          <w:tcPr>
            <w:tcW w:w="851" w:type="dxa"/>
            <w:noWrap w:val="0"/>
            <w:vAlign w:val="center"/>
          </w:tcPr>
          <w:p w14:paraId="673E99D0">
            <w:pPr>
              <w:jc w:val="center"/>
              <w:rPr>
                <w:rFonts w:hint="eastAsia" w:ascii="宋体" w:hAnsi="宋体" w:eastAsia="宋体" w:cs="宋体"/>
                <w:color w:val="000000"/>
                <w:sz w:val="21"/>
                <w:szCs w:val="21"/>
              </w:rPr>
            </w:pPr>
          </w:p>
        </w:tc>
        <w:tc>
          <w:tcPr>
            <w:tcW w:w="1044" w:type="dxa"/>
            <w:noWrap w:val="0"/>
            <w:vAlign w:val="center"/>
          </w:tcPr>
          <w:p w14:paraId="1E732A9B">
            <w:pPr>
              <w:jc w:val="center"/>
              <w:rPr>
                <w:rFonts w:hint="eastAsia" w:ascii="宋体" w:hAnsi="宋体" w:eastAsia="宋体" w:cs="宋体"/>
                <w:color w:val="000000"/>
                <w:sz w:val="21"/>
                <w:szCs w:val="21"/>
              </w:rPr>
            </w:pPr>
          </w:p>
        </w:tc>
        <w:tc>
          <w:tcPr>
            <w:tcW w:w="992" w:type="dxa"/>
            <w:noWrap w:val="0"/>
            <w:vAlign w:val="center"/>
          </w:tcPr>
          <w:p w14:paraId="6F47B40B">
            <w:pPr>
              <w:jc w:val="center"/>
              <w:rPr>
                <w:rFonts w:hint="eastAsia" w:ascii="宋体" w:hAnsi="宋体" w:eastAsia="宋体" w:cs="宋体"/>
                <w:color w:val="000000"/>
                <w:sz w:val="21"/>
                <w:szCs w:val="21"/>
              </w:rPr>
            </w:pPr>
          </w:p>
        </w:tc>
        <w:tc>
          <w:tcPr>
            <w:tcW w:w="851" w:type="dxa"/>
            <w:noWrap w:val="0"/>
            <w:vAlign w:val="center"/>
          </w:tcPr>
          <w:p w14:paraId="53B15700">
            <w:pPr>
              <w:jc w:val="center"/>
              <w:rPr>
                <w:rFonts w:hint="eastAsia" w:ascii="宋体" w:hAnsi="宋体" w:eastAsia="宋体" w:cs="宋体"/>
                <w:color w:val="000000"/>
                <w:sz w:val="21"/>
                <w:szCs w:val="21"/>
              </w:rPr>
            </w:pPr>
          </w:p>
        </w:tc>
        <w:tc>
          <w:tcPr>
            <w:tcW w:w="1487" w:type="dxa"/>
            <w:noWrap w:val="0"/>
            <w:vAlign w:val="center"/>
          </w:tcPr>
          <w:p w14:paraId="3C4AB22D">
            <w:pPr>
              <w:jc w:val="center"/>
              <w:rPr>
                <w:rFonts w:hint="eastAsia" w:ascii="宋体" w:hAnsi="宋体" w:eastAsia="宋体" w:cs="宋体"/>
                <w:color w:val="000000"/>
                <w:sz w:val="21"/>
                <w:szCs w:val="21"/>
              </w:rPr>
            </w:pPr>
          </w:p>
        </w:tc>
        <w:tc>
          <w:tcPr>
            <w:tcW w:w="992" w:type="dxa"/>
            <w:noWrap w:val="0"/>
            <w:vAlign w:val="center"/>
          </w:tcPr>
          <w:p w14:paraId="661AAB3B">
            <w:pPr>
              <w:jc w:val="center"/>
              <w:rPr>
                <w:rFonts w:hint="eastAsia" w:ascii="宋体" w:hAnsi="宋体" w:eastAsia="宋体" w:cs="宋体"/>
                <w:color w:val="000000"/>
                <w:sz w:val="21"/>
                <w:szCs w:val="21"/>
              </w:rPr>
            </w:pPr>
          </w:p>
        </w:tc>
      </w:tr>
      <w:tr w14:paraId="270D6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9C15B6">
            <w:pPr>
              <w:jc w:val="center"/>
              <w:rPr>
                <w:rFonts w:hint="eastAsia" w:ascii="宋体" w:hAnsi="宋体" w:eastAsia="宋体" w:cs="宋体"/>
                <w:color w:val="000000"/>
                <w:sz w:val="21"/>
                <w:szCs w:val="21"/>
              </w:rPr>
            </w:pPr>
          </w:p>
        </w:tc>
        <w:tc>
          <w:tcPr>
            <w:tcW w:w="1276" w:type="dxa"/>
            <w:noWrap w:val="0"/>
            <w:vAlign w:val="center"/>
          </w:tcPr>
          <w:p w14:paraId="17BFCBD1">
            <w:pPr>
              <w:jc w:val="center"/>
              <w:rPr>
                <w:rFonts w:hint="eastAsia" w:ascii="宋体" w:hAnsi="宋体" w:eastAsia="宋体" w:cs="宋体"/>
                <w:color w:val="000000"/>
                <w:sz w:val="21"/>
                <w:szCs w:val="21"/>
              </w:rPr>
            </w:pPr>
          </w:p>
        </w:tc>
        <w:tc>
          <w:tcPr>
            <w:tcW w:w="1418" w:type="dxa"/>
            <w:noWrap w:val="0"/>
            <w:vAlign w:val="center"/>
          </w:tcPr>
          <w:p w14:paraId="061F8F82">
            <w:pPr>
              <w:jc w:val="center"/>
              <w:rPr>
                <w:rFonts w:hint="eastAsia" w:ascii="宋体" w:hAnsi="宋体" w:eastAsia="宋体" w:cs="宋体"/>
                <w:color w:val="000000"/>
                <w:sz w:val="21"/>
                <w:szCs w:val="21"/>
              </w:rPr>
            </w:pPr>
          </w:p>
        </w:tc>
        <w:tc>
          <w:tcPr>
            <w:tcW w:w="940" w:type="dxa"/>
            <w:noWrap w:val="0"/>
            <w:vAlign w:val="center"/>
          </w:tcPr>
          <w:p w14:paraId="5FB8FA6E">
            <w:pPr>
              <w:jc w:val="center"/>
              <w:rPr>
                <w:rFonts w:hint="eastAsia" w:ascii="宋体" w:hAnsi="宋体" w:eastAsia="宋体" w:cs="宋体"/>
                <w:color w:val="000000"/>
                <w:sz w:val="21"/>
                <w:szCs w:val="21"/>
              </w:rPr>
            </w:pPr>
          </w:p>
        </w:tc>
        <w:tc>
          <w:tcPr>
            <w:tcW w:w="851" w:type="dxa"/>
            <w:noWrap w:val="0"/>
            <w:vAlign w:val="center"/>
          </w:tcPr>
          <w:p w14:paraId="50F317E4">
            <w:pPr>
              <w:jc w:val="center"/>
              <w:rPr>
                <w:rFonts w:hint="eastAsia" w:ascii="宋体" w:hAnsi="宋体" w:eastAsia="宋体" w:cs="宋体"/>
                <w:color w:val="000000"/>
                <w:sz w:val="21"/>
                <w:szCs w:val="21"/>
              </w:rPr>
            </w:pPr>
          </w:p>
        </w:tc>
        <w:tc>
          <w:tcPr>
            <w:tcW w:w="1044" w:type="dxa"/>
            <w:noWrap w:val="0"/>
            <w:vAlign w:val="center"/>
          </w:tcPr>
          <w:p w14:paraId="3F68BE59">
            <w:pPr>
              <w:jc w:val="center"/>
              <w:rPr>
                <w:rFonts w:hint="eastAsia" w:ascii="宋体" w:hAnsi="宋体" w:eastAsia="宋体" w:cs="宋体"/>
                <w:color w:val="000000"/>
                <w:sz w:val="21"/>
                <w:szCs w:val="21"/>
              </w:rPr>
            </w:pPr>
          </w:p>
        </w:tc>
        <w:tc>
          <w:tcPr>
            <w:tcW w:w="992" w:type="dxa"/>
            <w:noWrap w:val="0"/>
            <w:vAlign w:val="center"/>
          </w:tcPr>
          <w:p w14:paraId="02DF8760">
            <w:pPr>
              <w:jc w:val="center"/>
              <w:rPr>
                <w:rFonts w:hint="eastAsia" w:ascii="宋体" w:hAnsi="宋体" w:eastAsia="宋体" w:cs="宋体"/>
                <w:color w:val="000000"/>
                <w:sz w:val="21"/>
                <w:szCs w:val="21"/>
              </w:rPr>
            </w:pPr>
          </w:p>
        </w:tc>
        <w:tc>
          <w:tcPr>
            <w:tcW w:w="851" w:type="dxa"/>
            <w:noWrap w:val="0"/>
            <w:vAlign w:val="center"/>
          </w:tcPr>
          <w:p w14:paraId="0E32DF2B">
            <w:pPr>
              <w:jc w:val="center"/>
              <w:rPr>
                <w:rFonts w:hint="eastAsia" w:ascii="宋体" w:hAnsi="宋体" w:eastAsia="宋体" w:cs="宋体"/>
                <w:color w:val="000000"/>
                <w:sz w:val="21"/>
                <w:szCs w:val="21"/>
              </w:rPr>
            </w:pPr>
          </w:p>
        </w:tc>
        <w:tc>
          <w:tcPr>
            <w:tcW w:w="1487" w:type="dxa"/>
            <w:noWrap w:val="0"/>
            <w:vAlign w:val="center"/>
          </w:tcPr>
          <w:p w14:paraId="228AAC3A">
            <w:pPr>
              <w:jc w:val="center"/>
              <w:rPr>
                <w:rFonts w:hint="eastAsia" w:ascii="宋体" w:hAnsi="宋体" w:eastAsia="宋体" w:cs="宋体"/>
                <w:color w:val="000000"/>
                <w:sz w:val="21"/>
                <w:szCs w:val="21"/>
              </w:rPr>
            </w:pPr>
          </w:p>
        </w:tc>
        <w:tc>
          <w:tcPr>
            <w:tcW w:w="992" w:type="dxa"/>
            <w:noWrap w:val="0"/>
            <w:vAlign w:val="center"/>
          </w:tcPr>
          <w:p w14:paraId="4805B565">
            <w:pPr>
              <w:jc w:val="center"/>
              <w:rPr>
                <w:rFonts w:hint="eastAsia" w:ascii="宋体" w:hAnsi="宋体" w:eastAsia="宋体" w:cs="宋体"/>
                <w:color w:val="000000"/>
                <w:sz w:val="21"/>
                <w:szCs w:val="21"/>
              </w:rPr>
            </w:pPr>
          </w:p>
        </w:tc>
      </w:tr>
      <w:tr w14:paraId="386E1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61A3D8EB">
            <w:pPr>
              <w:jc w:val="center"/>
              <w:rPr>
                <w:rFonts w:hint="eastAsia" w:ascii="宋体" w:hAnsi="宋体" w:eastAsia="宋体" w:cs="宋体"/>
                <w:color w:val="000000"/>
                <w:sz w:val="21"/>
                <w:szCs w:val="21"/>
              </w:rPr>
            </w:pPr>
          </w:p>
        </w:tc>
        <w:tc>
          <w:tcPr>
            <w:tcW w:w="1276" w:type="dxa"/>
            <w:noWrap w:val="0"/>
            <w:vAlign w:val="center"/>
          </w:tcPr>
          <w:p w14:paraId="33934502">
            <w:pPr>
              <w:jc w:val="center"/>
              <w:rPr>
                <w:rFonts w:hint="eastAsia" w:ascii="宋体" w:hAnsi="宋体" w:eastAsia="宋体" w:cs="宋体"/>
                <w:color w:val="000000"/>
                <w:sz w:val="21"/>
                <w:szCs w:val="21"/>
              </w:rPr>
            </w:pPr>
          </w:p>
        </w:tc>
        <w:tc>
          <w:tcPr>
            <w:tcW w:w="1418" w:type="dxa"/>
            <w:noWrap w:val="0"/>
            <w:vAlign w:val="center"/>
          </w:tcPr>
          <w:p w14:paraId="4C50DB98">
            <w:pPr>
              <w:jc w:val="center"/>
              <w:rPr>
                <w:rFonts w:hint="eastAsia" w:ascii="宋体" w:hAnsi="宋体" w:eastAsia="宋体" w:cs="宋体"/>
                <w:color w:val="000000"/>
                <w:sz w:val="21"/>
                <w:szCs w:val="21"/>
              </w:rPr>
            </w:pPr>
          </w:p>
        </w:tc>
        <w:tc>
          <w:tcPr>
            <w:tcW w:w="940" w:type="dxa"/>
            <w:noWrap w:val="0"/>
            <w:vAlign w:val="center"/>
          </w:tcPr>
          <w:p w14:paraId="3E411353">
            <w:pPr>
              <w:jc w:val="center"/>
              <w:rPr>
                <w:rFonts w:hint="eastAsia" w:ascii="宋体" w:hAnsi="宋体" w:eastAsia="宋体" w:cs="宋体"/>
                <w:color w:val="000000"/>
                <w:sz w:val="21"/>
                <w:szCs w:val="21"/>
              </w:rPr>
            </w:pPr>
          </w:p>
        </w:tc>
        <w:tc>
          <w:tcPr>
            <w:tcW w:w="851" w:type="dxa"/>
            <w:noWrap w:val="0"/>
            <w:vAlign w:val="center"/>
          </w:tcPr>
          <w:p w14:paraId="50970243">
            <w:pPr>
              <w:jc w:val="center"/>
              <w:rPr>
                <w:rFonts w:hint="eastAsia" w:ascii="宋体" w:hAnsi="宋体" w:eastAsia="宋体" w:cs="宋体"/>
                <w:color w:val="000000"/>
                <w:sz w:val="21"/>
                <w:szCs w:val="21"/>
              </w:rPr>
            </w:pPr>
          </w:p>
        </w:tc>
        <w:tc>
          <w:tcPr>
            <w:tcW w:w="1044" w:type="dxa"/>
            <w:noWrap w:val="0"/>
            <w:vAlign w:val="center"/>
          </w:tcPr>
          <w:p w14:paraId="2F57F3AE">
            <w:pPr>
              <w:jc w:val="center"/>
              <w:rPr>
                <w:rFonts w:hint="eastAsia" w:ascii="宋体" w:hAnsi="宋体" w:eastAsia="宋体" w:cs="宋体"/>
                <w:color w:val="000000"/>
                <w:sz w:val="21"/>
                <w:szCs w:val="21"/>
              </w:rPr>
            </w:pPr>
          </w:p>
        </w:tc>
        <w:tc>
          <w:tcPr>
            <w:tcW w:w="992" w:type="dxa"/>
            <w:noWrap w:val="0"/>
            <w:vAlign w:val="center"/>
          </w:tcPr>
          <w:p w14:paraId="5BE201A0">
            <w:pPr>
              <w:jc w:val="center"/>
              <w:rPr>
                <w:rFonts w:hint="eastAsia" w:ascii="宋体" w:hAnsi="宋体" w:eastAsia="宋体" w:cs="宋体"/>
                <w:color w:val="000000"/>
                <w:sz w:val="21"/>
                <w:szCs w:val="21"/>
              </w:rPr>
            </w:pPr>
          </w:p>
        </w:tc>
        <w:tc>
          <w:tcPr>
            <w:tcW w:w="851" w:type="dxa"/>
            <w:noWrap w:val="0"/>
            <w:vAlign w:val="center"/>
          </w:tcPr>
          <w:p w14:paraId="6CBABED3">
            <w:pPr>
              <w:jc w:val="center"/>
              <w:rPr>
                <w:rFonts w:hint="eastAsia" w:ascii="宋体" w:hAnsi="宋体" w:eastAsia="宋体" w:cs="宋体"/>
                <w:color w:val="000000"/>
                <w:sz w:val="21"/>
                <w:szCs w:val="21"/>
              </w:rPr>
            </w:pPr>
          </w:p>
        </w:tc>
        <w:tc>
          <w:tcPr>
            <w:tcW w:w="1487" w:type="dxa"/>
            <w:noWrap w:val="0"/>
            <w:vAlign w:val="center"/>
          </w:tcPr>
          <w:p w14:paraId="646640B5">
            <w:pPr>
              <w:jc w:val="center"/>
              <w:rPr>
                <w:rFonts w:hint="eastAsia" w:ascii="宋体" w:hAnsi="宋体" w:eastAsia="宋体" w:cs="宋体"/>
                <w:color w:val="000000"/>
                <w:sz w:val="21"/>
                <w:szCs w:val="21"/>
              </w:rPr>
            </w:pPr>
          </w:p>
        </w:tc>
        <w:tc>
          <w:tcPr>
            <w:tcW w:w="992" w:type="dxa"/>
            <w:noWrap w:val="0"/>
            <w:vAlign w:val="center"/>
          </w:tcPr>
          <w:p w14:paraId="16D03C97">
            <w:pPr>
              <w:jc w:val="center"/>
              <w:rPr>
                <w:rFonts w:hint="eastAsia" w:ascii="宋体" w:hAnsi="宋体" w:eastAsia="宋体" w:cs="宋体"/>
                <w:color w:val="000000"/>
                <w:sz w:val="21"/>
                <w:szCs w:val="21"/>
              </w:rPr>
            </w:pPr>
          </w:p>
        </w:tc>
      </w:tr>
      <w:tr w14:paraId="5E0F7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noWrap w:val="0"/>
            <w:vAlign w:val="center"/>
          </w:tcPr>
          <w:p w14:paraId="5745DA0C">
            <w:pPr>
              <w:jc w:val="center"/>
              <w:rPr>
                <w:rFonts w:hint="eastAsia" w:ascii="宋体" w:hAnsi="宋体" w:eastAsia="宋体" w:cs="宋体"/>
                <w:color w:val="000000"/>
                <w:sz w:val="21"/>
                <w:szCs w:val="21"/>
              </w:rPr>
            </w:pPr>
          </w:p>
        </w:tc>
        <w:tc>
          <w:tcPr>
            <w:tcW w:w="1276" w:type="dxa"/>
            <w:noWrap w:val="0"/>
            <w:vAlign w:val="center"/>
          </w:tcPr>
          <w:p w14:paraId="3A435490">
            <w:pPr>
              <w:jc w:val="center"/>
              <w:rPr>
                <w:rFonts w:hint="eastAsia" w:ascii="宋体" w:hAnsi="宋体" w:eastAsia="宋体" w:cs="宋体"/>
                <w:color w:val="000000"/>
                <w:sz w:val="21"/>
                <w:szCs w:val="21"/>
              </w:rPr>
            </w:pPr>
          </w:p>
        </w:tc>
        <w:tc>
          <w:tcPr>
            <w:tcW w:w="1418" w:type="dxa"/>
            <w:noWrap w:val="0"/>
            <w:vAlign w:val="center"/>
          </w:tcPr>
          <w:p w14:paraId="20837C98">
            <w:pPr>
              <w:jc w:val="center"/>
              <w:rPr>
                <w:rFonts w:hint="eastAsia" w:ascii="宋体" w:hAnsi="宋体" w:eastAsia="宋体" w:cs="宋体"/>
                <w:color w:val="000000"/>
                <w:sz w:val="21"/>
                <w:szCs w:val="21"/>
              </w:rPr>
            </w:pPr>
          </w:p>
        </w:tc>
        <w:tc>
          <w:tcPr>
            <w:tcW w:w="940" w:type="dxa"/>
            <w:noWrap w:val="0"/>
            <w:vAlign w:val="center"/>
          </w:tcPr>
          <w:p w14:paraId="1A8DA222">
            <w:pPr>
              <w:jc w:val="center"/>
              <w:rPr>
                <w:rFonts w:hint="eastAsia" w:ascii="宋体" w:hAnsi="宋体" w:eastAsia="宋体" w:cs="宋体"/>
                <w:color w:val="000000"/>
                <w:sz w:val="21"/>
                <w:szCs w:val="21"/>
              </w:rPr>
            </w:pPr>
          </w:p>
        </w:tc>
        <w:tc>
          <w:tcPr>
            <w:tcW w:w="851" w:type="dxa"/>
            <w:noWrap w:val="0"/>
            <w:vAlign w:val="center"/>
          </w:tcPr>
          <w:p w14:paraId="2EF6DA92">
            <w:pPr>
              <w:jc w:val="center"/>
              <w:rPr>
                <w:rFonts w:hint="eastAsia" w:ascii="宋体" w:hAnsi="宋体" w:eastAsia="宋体" w:cs="宋体"/>
                <w:color w:val="000000"/>
                <w:sz w:val="21"/>
                <w:szCs w:val="21"/>
              </w:rPr>
            </w:pPr>
          </w:p>
        </w:tc>
        <w:tc>
          <w:tcPr>
            <w:tcW w:w="1044" w:type="dxa"/>
            <w:noWrap w:val="0"/>
            <w:vAlign w:val="center"/>
          </w:tcPr>
          <w:p w14:paraId="3230CA74">
            <w:pPr>
              <w:jc w:val="center"/>
              <w:rPr>
                <w:rFonts w:hint="eastAsia" w:ascii="宋体" w:hAnsi="宋体" w:eastAsia="宋体" w:cs="宋体"/>
                <w:color w:val="000000"/>
                <w:sz w:val="21"/>
                <w:szCs w:val="21"/>
              </w:rPr>
            </w:pPr>
          </w:p>
        </w:tc>
        <w:tc>
          <w:tcPr>
            <w:tcW w:w="992" w:type="dxa"/>
            <w:noWrap w:val="0"/>
            <w:vAlign w:val="center"/>
          </w:tcPr>
          <w:p w14:paraId="4A6806A7">
            <w:pPr>
              <w:jc w:val="center"/>
              <w:rPr>
                <w:rFonts w:hint="eastAsia" w:ascii="宋体" w:hAnsi="宋体" w:eastAsia="宋体" w:cs="宋体"/>
                <w:color w:val="000000"/>
                <w:sz w:val="21"/>
                <w:szCs w:val="21"/>
              </w:rPr>
            </w:pPr>
          </w:p>
        </w:tc>
        <w:tc>
          <w:tcPr>
            <w:tcW w:w="851" w:type="dxa"/>
            <w:noWrap w:val="0"/>
            <w:vAlign w:val="center"/>
          </w:tcPr>
          <w:p w14:paraId="09C22E0F">
            <w:pPr>
              <w:jc w:val="center"/>
              <w:rPr>
                <w:rFonts w:hint="eastAsia" w:ascii="宋体" w:hAnsi="宋体" w:eastAsia="宋体" w:cs="宋体"/>
                <w:color w:val="000000"/>
                <w:sz w:val="21"/>
                <w:szCs w:val="21"/>
              </w:rPr>
            </w:pPr>
          </w:p>
        </w:tc>
        <w:tc>
          <w:tcPr>
            <w:tcW w:w="1487" w:type="dxa"/>
            <w:noWrap w:val="0"/>
            <w:vAlign w:val="center"/>
          </w:tcPr>
          <w:p w14:paraId="59A3F953">
            <w:pPr>
              <w:jc w:val="center"/>
              <w:rPr>
                <w:rFonts w:hint="eastAsia" w:ascii="宋体" w:hAnsi="宋体" w:eastAsia="宋体" w:cs="宋体"/>
                <w:color w:val="000000"/>
                <w:sz w:val="21"/>
                <w:szCs w:val="21"/>
              </w:rPr>
            </w:pPr>
          </w:p>
        </w:tc>
        <w:tc>
          <w:tcPr>
            <w:tcW w:w="992" w:type="dxa"/>
            <w:noWrap w:val="0"/>
            <w:vAlign w:val="center"/>
          </w:tcPr>
          <w:p w14:paraId="5E3083E6">
            <w:pPr>
              <w:jc w:val="center"/>
              <w:rPr>
                <w:rFonts w:hint="eastAsia" w:ascii="宋体" w:hAnsi="宋体" w:eastAsia="宋体" w:cs="宋体"/>
                <w:color w:val="000000"/>
                <w:sz w:val="21"/>
                <w:szCs w:val="21"/>
              </w:rPr>
            </w:pPr>
          </w:p>
        </w:tc>
      </w:tr>
      <w:tr w14:paraId="25714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5F42FEC">
            <w:pPr>
              <w:jc w:val="center"/>
              <w:rPr>
                <w:rFonts w:hint="eastAsia" w:ascii="宋体" w:hAnsi="宋体" w:eastAsia="宋体" w:cs="宋体"/>
                <w:color w:val="000000"/>
                <w:sz w:val="21"/>
                <w:szCs w:val="21"/>
              </w:rPr>
            </w:pPr>
          </w:p>
        </w:tc>
        <w:tc>
          <w:tcPr>
            <w:tcW w:w="1276" w:type="dxa"/>
            <w:noWrap w:val="0"/>
            <w:vAlign w:val="center"/>
          </w:tcPr>
          <w:p w14:paraId="750CBEA2">
            <w:pPr>
              <w:jc w:val="center"/>
              <w:rPr>
                <w:rFonts w:hint="eastAsia" w:ascii="宋体" w:hAnsi="宋体" w:eastAsia="宋体" w:cs="宋体"/>
                <w:color w:val="000000"/>
                <w:sz w:val="21"/>
                <w:szCs w:val="21"/>
              </w:rPr>
            </w:pPr>
          </w:p>
        </w:tc>
        <w:tc>
          <w:tcPr>
            <w:tcW w:w="1418" w:type="dxa"/>
            <w:noWrap w:val="0"/>
            <w:vAlign w:val="center"/>
          </w:tcPr>
          <w:p w14:paraId="3FFCF26C">
            <w:pPr>
              <w:jc w:val="center"/>
              <w:rPr>
                <w:rFonts w:hint="eastAsia" w:ascii="宋体" w:hAnsi="宋体" w:eastAsia="宋体" w:cs="宋体"/>
                <w:color w:val="000000"/>
                <w:sz w:val="21"/>
                <w:szCs w:val="21"/>
              </w:rPr>
            </w:pPr>
          </w:p>
        </w:tc>
        <w:tc>
          <w:tcPr>
            <w:tcW w:w="940" w:type="dxa"/>
            <w:noWrap w:val="0"/>
            <w:vAlign w:val="center"/>
          </w:tcPr>
          <w:p w14:paraId="46924668">
            <w:pPr>
              <w:jc w:val="center"/>
              <w:rPr>
                <w:rFonts w:hint="eastAsia" w:ascii="宋体" w:hAnsi="宋体" w:eastAsia="宋体" w:cs="宋体"/>
                <w:color w:val="000000"/>
                <w:sz w:val="21"/>
                <w:szCs w:val="21"/>
              </w:rPr>
            </w:pPr>
          </w:p>
        </w:tc>
        <w:tc>
          <w:tcPr>
            <w:tcW w:w="851" w:type="dxa"/>
            <w:noWrap w:val="0"/>
            <w:vAlign w:val="center"/>
          </w:tcPr>
          <w:p w14:paraId="2E6EE6C0">
            <w:pPr>
              <w:jc w:val="center"/>
              <w:rPr>
                <w:rFonts w:hint="eastAsia" w:ascii="宋体" w:hAnsi="宋体" w:eastAsia="宋体" w:cs="宋体"/>
                <w:color w:val="000000"/>
                <w:sz w:val="21"/>
                <w:szCs w:val="21"/>
              </w:rPr>
            </w:pPr>
          </w:p>
        </w:tc>
        <w:tc>
          <w:tcPr>
            <w:tcW w:w="1044" w:type="dxa"/>
            <w:noWrap w:val="0"/>
            <w:vAlign w:val="center"/>
          </w:tcPr>
          <w:p w14:paraId="3A2A9DE6">
            <w:pPr>
              <w:jc w:val="center"/>
              <w:rPr>
                <w:rFonts w:hint="eastAsia" w:ascii="宋体" w:hAnsi="宋体" w:eastAsia="宋体" w:cs="宋体"/>
                <w:color w:val="000000"/>
                <w:sz w:val="21"/>
                <w:szCs w:val="21"/>
              </w:rPr>
            </w:pPr>
          </w:p>
        </w:tc>
        <w:tc>
          <w:tcPr>
            <w:tcW w:w="992" w:type="dxa"/>
            <w:noWrap w:val="0"/>
            <w:vAlign w:val="center"/>
          </w:tcPr>
          <w:p w14:paraId="4420EAA0">
            <w:pPr>
              <w:jc w:val="center"/>
              <w:rPr>
                <w:rFonts w:hint="eastAsia" w:ascii="宋体" w:hAnsi="宋体" w:eastAsia="宋体" w:cs="宋体"/>
                <w:color w:val="000000"/>
                <w:sz w:val="21"/>
                <w:szCs w:val="21"/>
              </w:rPr>
            </w:pPr>
          </w:p>
        </w:tc>
        <w:tc>
          <w:tcPr>
            <w:tcW w:w="851" w:type="dxa"/>
            <w:noWrap w:val="0"/>
            <w:vAlign w:val="center"/>
          </w:tcPr>
          <w:p w14:paraId="3E89968F">
            <w:pPr>
              <w:jc w:val="center"/>
              <w:rPr>
                <w:rFonts w:hint="eastAsia" w:ascii="宋体" w:hAnsi="宋体" w:eastAsia="宋体" w:cs="宋体"/>
                <w:color w:val="000000"/>
                <w:sz w:val="21"/>
                <w:szCs w:val="21"/>
              </w:rPr>
            </w:pPr>
          </w:p>
        </w:tc>
        <w:tc>
          <w:tcPr>
            <w:tcW w:w="1487" w:type="dxa"/>
            <w:noWrap w:val="0"/>
            <w:vAlign w:val="center"/>
          </w:tcPr>
          <w:p w14:paraId="619FBF1D">
            <w:pPr>
              <w:jc w:val="center"/>
              <w:rPr>
                <w:rFonts w:hint="eastAsia" w:ascii="宋体" w:hAnsi="宋体" w:eastAsia="宋体" w:cs="宋体"/>
                <w:color w:val="000000"/>
                <w:sz w:val="21"/>
                <w:szCs w:val="21"/>
              </w:rPr>
            </w:pPr>
          </w:p>
        </w:tc>
        <w:tc>
          <w:tcPr>
            <w:tcW w:w="992" w:type="dxa"/>
            <w:noWrap w:val="0"/>
            <w:vAlign w:val="center"/>
          </w:tcPr>
          <w:p w14:paraId="1485E2AD">
            <w:pPr>
              <w:jc w:val="center"/>
              <w:rPr>
                <w:rFonts w:hint="eastAsia" w:ascii="宋体" w:hAnsi="宋体" w:eastAsia="宋体" w:cs="宋体"/>
                <w:color w:val="000000"/>
                <w:sz w:val="21"/>
                <w:szCs w:val="21"/>
              </w:rPr>
            </w:pPr>
          </w:p>
        </w:tc>
      </w:tr>
    </w:tbl>
    <w:p w14:paraId="5EFB40A5">
      <w:pPr>
        <w:spacing w:line="440" w:lineRule="exact"/>
        <w:rPr>
          <w:rFonts w:hint="eastAsia" w:ascii="宋体" w:hAnsi="宋体" w:eastAsia="宋体" w:cs="宋体"/>
          <w:color w:val="000000"/>
          <w:sz w:val="21"/>
          <w:szCs w:val="21"/>
        </w:rPr>
      </w:pPr>
    </w:p>
    <w:p w14:paraId="749FB169">
      <w:pPr>
        <w:spacing w:line="440" w:lineRule="exact"/>
        <w:rPr>
          <w:rFonts w:hint="eastAsia" w:ascii="宋体" w:hAnsi="宋体" w:eastAsia="宋体" w:cs="宋体"/>
          <w:color w:val="000000"/>
          <w:sz w:val="21"/>
          <w:szCs w:val="21"/>
        </w:rPr>
      </w:pP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br w:type="textWrapping"/>
      </w:r>
      <w:r>
        <w:rPr>
          <w:rFonts w:hint="eastAsia" w:ascii="宋体" w:hAnsi="宋体" w:eastAsia="宋体" w:cs="宋体"/>
          <w:color w:val="000000"/>
          <w:sz w:val="21"/>
          <w:szCs w:val="21"/>
        </w:rPr>
        <w:t>附</w:t>
      </w:r>
      <w:bookmarkStart w:id="993" w:name="_Toc296891054"/>
      <w:bookmarkStart w:id="994" w:name="_Toc296944565"/>
      <w:bookmarkStart w:id="995" w:name="_Toc296347225"/>
      <w:bookmarkStart w:id="996" w:name="_Toc296503226"/>
      <w:bookmarkStart w:id="997" w:name="_Toc296891266"/>
      <w:bookmarkStart w:id="998" w:name="_Toc267261693"/>
      <w:bookmarkStart w:id="999" w:name="_Toc296346727"/>
      <w:r>
        <w:rPr>
          <w:rFonts w:hint="eastAsia" w:ascii="宋体" w:hAnsi="宋体" w:eastAsia="宋体" w:cs="宋体"/>
          <w:color w:val="000000"/>
          <w:sz w:val="21"/>
          <w:szCs w:val="21"/>
        </w:rPr>
        <w:t>件3：</w:t>
      </w:r>
      <w:bookmarkEnd w:id="993"/>
      <w:bookmarkEnd w:id="994"/>
      <w:bookmarkEnd w:id="995"/>
      <w:bookmarkEnd w:id="996"/>
      <w:bookmarkEnd w:id="997"/>
      <w:bookmarkEnd w:id="998"/>
      <w:bookmarkEnd w:id="999"/>
      <w:r>
        <w:rPr>
          <w:rFonts w:hint="eastAsia" w:ascii="宋体" w:hAnsi="宋体" w:eastAsia="宋体" w:cs="宋体"/>
          <w:color w:val="000000"/>
          <w:sz w:val="21"/>
          <w:szCs w:val="21"/>
        </w:rPr>
        <w:t xml:space="preserve">    </w:t>
      </w:r>
    </w:p>
    <w:p w14:paraId="0A731F1D">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w:t>
      </w:r>
    </w:p>
    <w:p w14:paraId="59F039ED">
      <w:pPr>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740F5DA">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承包人（全称）：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32D26CE2">
      <w:pPr>
        <w:spacing w:line="440" w:lineRule="exact"/>
        <w:rPr>
          <w:rFonts w:hint="eastAsia" w:ascii="宋体" w:hAnsi="宋体" w:eastAsia="宋体" w:cs="宋体"/>
          <w:color w:val="000000"/>
          <w:sz w:val="21"/>
          <w:szCs w:val="21"/>
        </w:rPr>
      </w:pPr>
    </w:p>
    <w:p w14:paraId="653901E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发包人和承包人根据《中华人民共和国建筑法》和《建设工程质量管理条例》，经协商一致就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（工程全称）签订工程质量保修书。</w:t>
      </w:r>
    </w:p>
    <w:p w14:paraId="29BCA574">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30"/>
          <w:szCs w:val="30"/>
        </w:rPr>
        <w:t>　</w:t>
      </w:r>
      <w:r>
        <w:rPr>
          <w:rFonts w:hint="eastAsia" w:ascii="宋体" w:hAnsi="宋体" w:eastAsia="宋体" w:cs="宋体"/>
          <w:color w:val="000000"/>
          <w:sz w:val="21"/>
          <w:szCs w:val="21"/>
        </w:rPr>
        <w:t>　一、工程质量保修范围和内容</w:t>
      </w:r>
    </w:p>
    <w:p w14:paraId="389DD78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承包人在质量保修期内，按照有关法律规定和合同约定，承担工程质量保修责任。</w:t>
      </w:r>
    </w:p>
    <w:p w14:paraId="06018D8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2F3BE35">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DDC3BFA">
      <w:pPr>
        <w:spacing w:line="360" w:lineRule="auto"/>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t>　　</w:t>
      </w:r>
      <w:r>
        <w:rPr>
          <w:rFonts w:hint="eastAsia" w:ascii="宋体" w:hAnsi="宋体" w:eastAsia="宋体" w:cs="宋体"/>
          <w:color w:val="000000"/>
          <w:sz w:val="21"/>
          <w:szCs w:val="21"/>
        </w:rPr>
        <w:t>二、质量保修期</w:t>
      </w:r>
    </w:p>
    <w:p w14:paraId="02A1E53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根据《建设工程质量管理条例》及有关规定，工程的质量保修期如下：</w:t>
      </w:r>
    </w:p>
    <w:p w14:paraId="540D85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sz w:val="21"/>
          <w:szCs w:val="21"/>
        </w:rPr>
        <w:t>地基基础工程和主体结构工程为设计文件规定的工程合理使用年限；</w:t>
      </w:r>
    </w:p>
    <w:p w14:paraId="2864A86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屋面防水工程、有防水要求的卫生间、房间和外墙面的防渗     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45CDA7A8">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装修工程为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6C6F2FB5">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电气管线、给排水管道、设备安装工程为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4983FB46">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sz w:val="21"/>
          <w:szCs w:val="21"/>
        </w:rPr>
        <w:t>．</w:t>
      </w:r>
      <w:r>
        <w:rPr>
          <w:rFonts w:hint="eastAsia" w:ascii="宋体" w:hAnsi="宋体" w:eastAsia="宋体" w:cs="宋体"/>
          <w:color w:val="000000"/>
          <w:sz w:val="21"/>
          <w:szCs w:val="21"/>
        </w:rPr>
        <w:t>供热与供冷系统为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个采暖期、供冷期；</w:t>
      </w:r>
    </w:p>
    <w:p w14:paraId="5459D27A">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sz w:val="21"/>
          <w:szCs w:val="21"/>
        </w:rPr>
        <w:t>．</w:t>
      </w:r>
      <w:r>
        <w:rPr>
          <w:rFonts w:hint="eastAsia" w:ascii="宋体" w:hAnsi="宋体" w:eastAsia="宋体" w:cs="宋体"/>
          <w:color w:val="000000"/>
          <w:sz w:val="21"/>
          <w:szCs w:val="21"/>
        </w:rPr>
        <w:t>住宅小区内的给排水设施、道路等配套工程为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p>
    <w:p w14:paraId="69643C70">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sz w:val="21"/>
          <w:szCs w:val="21"/>
        </w:rPr>
        <w:t>．</w:t>
      </w:r>
      <w:r>
        <w:rPr>
          <w:rFonts w:hint="eastAsia" w:ascii="宋体" w:hAnsi="宋体" w:eastAsia="宋体" w:cs="宋体"/>
          <w:color w:val="000000"/>
          <w:sz w:val="21"/>
          <w:szCs w:val="21"/>
        </w:rPr>
        <w:t>其他项目保修期限约定如下：</w:t>
      </w:r>
    </w:p>
    <w:p w14:paraId="452EB2B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8F3226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质量保修期自工程竣工验收合格之日起计算。</w:t>
      </w:r>
    </w:p>
    <w:p w14:paraId="57817BB2">
      <w:pPr>
        <w:spacing w:line="360" w:lineRule="auto"/>
        <w:ind w:firstLine="420" w:firstLineChars="200"/>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三、缺陷责任期</w:t>
      </w:r>
    </w:p>
    <w:p w14:paraId="50BB98BE">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工程缺陷责任期为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个月，缺陷责任期自工程通过竣工验收之日起计算。单位工程先于全部工程进行验收，单位工程缺陷责任期自单位工程验收合格之日起算。</w:t>
      </w:r>
    </w:p>
    <w:p w14:paraId="7A05E403">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缺陷责任期终止后，发包人应退还剩余的质量保证金。</w:t>
      </w:r>
    </w:p>
    <w:p w14:paraId="6D3BFDA6">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四、质量保修责任</w:t>
      </w:r>
    </w:p>
    <w:p w14:paraId="4BFBCD55">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w:t>
      </w:r>
      <w:r>
        <w:rPr>
          <w:rFonts w:hint="eastAsia" w:ascii="宋体" w:hAnsi="宋体" w:eastAsia="宋体" w:cs="宋体"/>
          <w:color w:val="000000"/>
          <w:sz w:val="21"/>
          <w:szCs w:val="21"/>
        </w:rPr>
        <w:t>属于保修范围、内容的项目，承包人应当在接到保修通知之日起7天内派人保修。承包人不在约定期限内派人保修的，发包人可以委托他人修理。</w:t>
      </w:r>
    </w:p>
    <w:p w14:paraId="153A70F6">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发生紧急事故需抢修的，承包人在接到事故通知后，应当立即到达事故现场抢修。</w:t>
      </w:r>
    </w:p>
    <w:p w14:paraId="6EB30EAC">
      <w:pPr>
        <w:spacing w:line="360" w:lineRule="auto"/>
        <w:ind w:left="105" w:leftChars="50" w:firstLine="430" w:firstLineChars="205"/>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C952D30">
      <w:pPr>
        <w:spacing w:line="360" w:lineRule="auto"/>
        <w:ind w:left="420" w:leftChars="200" w:firstLine="105" w:firstLineChars="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质量保修完成后，由发包人组织验收。</w:t>
      </w:r>
    </w:p>
    <w:p w14:paraId="3A2963C4">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　　五、保修费用</w:t>
      </w:r>
    </w:p>
    <w:p w14:paraId="2702189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保修费用由造成质量缺陷的责任方承担。</w:t>
      </w:r>
    </w:p>
    <w:p w14:paraId="49FB71BA">
      <w:pPr>
        <w:spacing w:line="360" w:lineRule="auto"/>
        <w:ind w:firstLine="600"/>
        <w:jc w:val="left"/>
        <w:outlineLvl w:val="0"/>
        <w:rPr>
          <w:rFonts w:hint="eastAsia" w:ascii="宋体" w:hAnsi="宋体" w:eastAsia="宋体" w:cs="宋体"/>
          <w:color w:val="000000"/>
          <w:sz w:val="21"/>
          <w:szCs w:val="21"/>
          <w:u w:val="single"/>
        </w:rPr>
      </w:pPr>
      <w:r>
        <w:rPr>
          <w:rFonts w:hint="eastAsia" w:ascii="宋体" w:hAnsi="宋体" w:eastAsia="宋体" w:cs="宋体"/>
          <w:b/>
          <w:color w:val="000000"/>
          <w:sz w:val="21"/>
          <w:szCs w:val="21"/>
        </w:rPr>
        <w:t>六</w:t>
      </w:r>
      <w:r>
        <w:rPr>
          <w:rFonts w:hint="eastAsia" w:ascii="宋体" w:hAnsi="宋体" w:eastAsia="宋体" w:cs="宋体"/>
          <w:color w:val="000000"/>
          <w:sz w:val="21"/>
          <w:szCs w:val="21"/>
        </w:rPr>
        <w:t>、双方约定的其他工程质量保修事项：</w:t>
      </w:r>
      <w:r>
        <w:rPr>
          <w:rFonts w:hint="eastAsia" w:ascii="宋体" w:hAnsi="宋体" w:eastAsia="宋体" w:cs="宋体"/>
          <w:color w:val="000000"/>
          <w:sz w:val="21"/>
          <w:szCs w:val="21"/>
          <w:u w:val="single"/>
        </w:rPr>
        <w:t xml:space="preserve">                  </w:t>
      </w:r>
    </w:p>
    <w:p w14:paraId="1EEDCEA7">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787E7074">
      <w:pPr>
        <w:spacing w:line="360" w:lineRule="auto"/>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工程质量保修书由发包人、承包人在工程竣工验收前共同签署，作为施工合同附件，其有效期限至保修期满。</w:t>
      </w:r>
    </w:p>
    <w:p w14:paraId="366B3D59">
      <w:pPr>
        <w:spacing w:line="360" w:lineRule="auto"/>
        <w:ind w:firstLine="420"/>
        <w:rPr>
          <w:rFonts w:hint="eastAsia" w:ascii="宋体" w:hAnsi="宋体" w:eastAsia="宋体" w:cs="宋体"/>
          <w:color w:val="000000"/>
          <w:sz w:val="21"/>
          <w:szCs w:val="21"/>
        </w:rPr>
      </w:pPr>
    </w:p>
    <w:p w14:paraId="17A3582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承包人(公章)：</w:t>
      </w:r>
      <w:r>
        <w:rPr>
          <w:rFonts w:hint="eastAsia" w:ascii="宋体" w:hAnsi="宋体" w:eastAsia="宋体" w:cs="宋体"/>
          <w:color w:val="000000"/>
          <w:sz w:val="21"/>
          <w:szCs w:val="21"/>
          <w:u w:val="single"/>
        </w:rPr>
        <w:t xml:space="preserve">           </w:t>
      </w:r>
    </w:p>
    <w:p w14:paraId="38708E1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w:t>
      </w:r>
    </w:p>
    <w:p w14:paraId="5A38B78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法定代表人(签字)：</w:t>
      </w:r>
      <w:r>
        <w:rPr>
          <w:rFonts w:hint="eastAsia" w:ascii="宋体" w:hAnsi="宋体" w:eastAsia="宋体" w:cs="宋体"/>
          <w:color w:val="000000"/>
          <w:sz w:val="21"/>
          <w:szCs w:val="21"/>
          <w:u w:val="single"/>
        </w:rPr>
        <w:t xml:space="preserve">       </w:t>
      </w:r>
    </w:p>
    <w:p w14:paraId="620616E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委托代理人(签字)：</w:t>
      </w:r>
      <w:r>
        <w:rPr>
          <w:rFonts w:hint="eastAsia" w:ascii="宋体" w:hAnsi="宋体" w:eastAsia="宋体" w:cs="宋体"/>
          <w:color w:val="000000"/>
          <w:sz w:val="21"/>
          <w:szCs w:val="21"/>
          <w:u w:val="single"/>
        </w:rPr>
        <w:t xml:space="preserve">       </w:t>
      </w:r>
    </w:p>
    <w:p w14:paraId="4EA6EDC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14:paraId="4DD56C8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0C5FA03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14:paraId="7D68B1E4">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65886E8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14:paraId="46EA0A83">
      <w:pPr>
        <w:spacing w:line="36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color w:val="000000"/>
          <w:sz w:val="21"/>
          <w:szCs w:val="21"/>
        </w:rPr>
        <w:t>附件4：</w:t>
      </w:r>
    </w:p>
    <w:p w14:paraId="1F7D26A5">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主要建设工程文件目录</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B4E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CF4CD50">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文件名称</w:t>
            </w:r>
          </w:p>
        </w:tc>
        <w:tc>
          <w:tcPr>
            <w:tcW w:w="1276" w:type="dxa"/>
            <w:tcBorders>
              <w:top w:val="single" w:color="auto" w:sz="12" w:space="0"/>
              <w:bottom w:val="double" w:color="auto" w:sz="6" w:space="0"/>
            </w:tcBorders>
            <w:noWrap w:val="0"/>
            <w:vAlign w:val="center"/>
          </w:tcPr>
          <w:p w14:paraId="2F9ECAA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套数</w:t>
            </w:r>
          </w:p>
        </w:tc>
        <w:tc>
          <w:tcPr>
            <w:tcW w:w="1450" w:type="dxa"/>
            <w:tcBorders>
              <w:top w:val="single" w:color="auto" w:sz="12" w:space="0"/>
              <w:bottom w:val="double" w:color="auto" w:sz="6" w:space="0"/>
            </w:tcBorders>
            <w:noWrap w:val="0"/>
            <w:vAlign w:val="center"/>
          </w:tcPr>
          <w:p w14:paraId="215BA596">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费用（元）</w:t>
            </w:r>
          </w:p>
        </w:tc>
        <w:tc>
          <w:tcPr>
            <w:tcW w:w="1243" w:type="dxa"/>
            <w:tcBorders>
              <w:top w:val="single" w:color="auto" w:sz="12" w:space="0"/>
              <w:bottom w:val="double" w:color="auto" w:sz="6" w:space="0"/>
            </w:tcBorders>
            <w:noWrap w:val="0"/>
            <w:vAlign w:val="center"/>
          </w:tcPr>
          <w:p w14:paraId="269816A5">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w:t>
            </w:r>
          </w:p>
        </w:tc>
        <w:tc>
          <w:tcPr>
            <w:tcW w:w="1450" w:type="dxa"/>
            <w:tcBorders>
              <w:top w:val="single" w:color="auto" w:sz="12" w:space="0"/>
              <w:bottom w:val="double" w:color="auto" w:sz="6" w:space="0"/>
            </w:tcBorders>
            <w:noWrap w:val="0"/>
            <w:vAlign w:val="top"/>
          </w:tcPr>
          <w:p w14:paraId="76F2A46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移交时间</w:t>
            </w:r>
          </w:p>
        </w:tc>
        <w:tc>
          <w:tcPr>
            <w:tcW w:w="1667" w:type="dxa"/>
            <w:tcBorders>
              <w:top w:val="single" w:color="auto" w:sz="12" w:space="0"/>
              <w:bottom w:val="double" w:color="auto" w:sz="6" w:space="0"/>
            </w:tcBorders>
            <w:noWrap w:val="0"/>
            <w:vAlign w:val="top"/>
          </w:tcPr>
          <w:p w14:paraId="63D3AC4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责任人</w:t>
            </w:r>
          </w:p>
        </w:tc>
      </w:tr>
      <w:tr w14:paraId="26C28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652436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06E9AEB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1DDA8F6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tcBorders>
              <w:top w:val="double" w:color="auto" w:sz="6" w:space="0"/>
              <w:bottom w:val="single" w:color="auto" w:sz="6" w:space="0"/>
            </w:tcBorders>
            <w:noWrap w:val="0"/>
            <w:vAlign w:val="center"/>
          </w:tcPr>
          <w:p w14:paraId="7F99964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1A4C5D1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tcBorders>
              <w:top w:val="double" w:color="auto" w:sz="6" w:space="0"/>
              <w:bottom w:val="single" w:color="auto" w:sz="6" w:space="0"/>
            </w:tcBorders>
            <w:noWrap w:val="0"/>
            <w:vAlign w:val="center"/>
          </w:tcPr>
          <w:p w14:paraId="7EF10C40">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22A4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3EB5D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38FA915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49CE1A2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tcBorders>
              <w:top w:val="nil"/>
            </w:tcBorders>
            <w:noWrap w:val="0"/>
            <w:vAlign w:val="center"/>
          </w:tcPr>
          <w:p w14:paraId="2913CC0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7C9F3DD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tcBorders>
              <w:top w:val="nil"/>
            </w:tcBorders>
            <w:noWrap w:val="0"/>
            <w:vAlign w:val="center"/>
          </w:tcPr>
          <w:p w14:paraId="12080882">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2541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FDAE6E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1260330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16254D8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7D61FBB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5482C50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072F6D72">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5ACE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1F2D5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736615D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3DCD07A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4E3AEE5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0CA5C71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020E7143">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DDBF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989D4E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3F0362C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4A79A2B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0552A4F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6F5C9FD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41B5DEE3">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A3D1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81E06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20C28EE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2F0F1A4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5056B07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4FF0A8A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2DF13A66">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7493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80AC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4BBBAA1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604628D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2FD966A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66E8C71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050C15BE">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EA92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AA23A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1AD68F8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6E23DAD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24D6588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3E3550D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1C1E61D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074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68C753D">
            <w:pPr>
              <w:spacing w:line="360" w:lineRule="auto"/>
              <w:rPr>
                <w:rFonts w:hint="eastAsia" w:ascii="宋体" w:hAnsi="宋体" w:eastAsia="宋体" w:cs="宋体"/>
                <w:color w:val="000000"/>
                <w:sz w:val="21"/>
                <w:szCs w:val="21"/>
              </w:rPr>
            </w:pPr>
          </w:p>
        </w:tc>
        <w:tc>
          <w:tcPr>
            <w:tcW w:w="1276" w:type="dxa"/>
            <w:noWrap w:val="0"/>
            <w:vAlign w:val="top"/>
          </w:tcPr>
          <w:p w14:paraId="1C2F7CCF">
            <w:pPr>
              <w:spacing w:line="360" w:lineRule="auto"/>
              <w:rPr>
                <w:rFonts w:hint="eastAsia" w:ascii="宋体" w:hAnsi="宋体" w:eastAsia="宋体" w:cs="宋体"/>
                <w:color w:val="000000"/>
                <w:sz w:val="21"/>
                <w:szCs w:val="21"/>
              </w:rPr>
            </w:pPr>
          </w:p>
        </w:tc>
        <w:tc>
          <w:tcPr>
            <w:tcW w:w="1450" w:type="dxa"/>
            <w:noWrap w:val="0"/>
            <w:vAlign w:val="top"/>
          </w:tcPr>
          <w:p w14:paraId="7257D393">
            <w:pPr>
              <w:spacing w:line="360" w:lineRule="auto"/>
              <w:rPr>
                <w:rFonts w:hint="eastAsia" w:ascii="宋体" w:hAnsi="宋体" w:eastAsia="宋体" w:cs="宋体"/>
                <w:color w:val="000000"/>
                <w:sz w:val="21"/>
                <w:szCs w:val="21"/>
              </w:rPr>
            </w:pPr>
          </w:p>
        </w:tc>
        <w:tc>
          <w:tcPr>
            <w:tcW w:w="1243" w:type="dxa"/>
            <w:noWrap w:val="0"/>
            <w:vAlign w:val="top"/>
          </w:tcPr>
          <w:p w14:paraId="51F874CA">
            <w:pPr>
              <w:spacing w:line="360" w:lineRule="auto"/>
              <w:rPr>
                <w:rFonts w:hint="eastAsia" w:ascii="宋体" w:hAnsi="宋体" w:eastAsia="宋体" w:cs="宋体"/>
                <w:color w:val="000000"/>
                <w:sz w:val="21"/>
                <w:szCs w:val="21"/>
              </w:rPr>
            </w:pPr>
          </w:p>
        </w:tc>
        <w:tc>
          <w:tcPr>
            <w:tcW w:w="1450" w:type="dxa"/>
            <w:noWrap w:val="0"/>
            <w:vAlign w:val="top"/>
          </w:tcPr>
          <w:p w14:paraId="5C72EA73">
            <w:pPr>
              <w:spacing w:line="360" w:lineRule="auto"/>
              <w:rPr>
                <w:rFonts w:hint="eastAsia" w:ascii="宋体" w:hAnsi="宋体" w:eastAsia="宋体" w:cs="宋体"/>
                <w:color w:val="000000"/>
                <w:sz w:val="21"/>
                <w:szCs w:val="21"/>
              </w:rPr>
            </w:pPr>
          </w:p>
        </w:tc>
        <w:tc>
          <w:tcPr>
            <w:tcW w:w="1667" w:type="dxa"/>
            <w:noWrap w:val="0"/>
            <w:vAlign w:val="top"/>
          </w:tcPr>
          <w:p w14:paraId="24630B00">
            <w:pPr>
              <w:spacing w:line="360" w:lineRule="auto"/>
              <w:rPr>
                <w:rFonts w:hint="eastAsia" w:ascii="宋体" w:hAnsi="宋体" w:eastAsia="宋体" w:cs="宋体"/>
                <w:color w:val="000000"/>
                <w:sz w:val="21"/>
                <w:szCs w:val="21"/>
              </w:rPr>
            </w:pPr>
          </w:p>
        </w:tc>
      </w:tr>
      <w:tr w14:paraId="07930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4A93A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76" w:type="dxa"/>
            <w:noWrap w:val="0"/>
            <w:vAlign w:val="center"/>
          </w:tcPr>
          <w:p w14:paraId="05C8CA8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404B700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243" w:type="dxa"/>
            <w:noWrap w:val="0"/>
            <w:vAlign w:val="center"/>
          </w:tcPr>
          <w:p w14:paraId="280DA4B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50" w:type="dxa"/>
            <w:noWrap w:val="0"/>
            <w:vAlign w:val="center"/>
          </w:tcPr>
          <w:p w14:paraId="737F8C5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667" w:type="dxa"/>
            <w:noWrap w:val="0"/>
            <w:vAlign w:val="center"/>
          </w:tcPr>
          <w:p w14:paraId="564AC783">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BBD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F412A13">
            <w:pPr>
              <w:spacing w:line="360" w:lineRule="auto"/>
              <w:rPr>
                <w:rFonts w:hint="eastAsia" w:ascii="宋体" w:hAnsi="宋体" w:eastAsia="宋体" w:cs="宋体"/>
                <w:color w:val="000000"/>
                <w:sz w:val="21"/>
                <w:szCs w:val="21"/>
              </w:rPr>
            </w:pPr>
          </w:p>
        </w:tc>
        <w:tc>
          <w:tcPr>
            <w:tcW w:w="1276" w:type="dxa"/>
            <w:noWrap w:val="0"/>
            <w:vAlign w:val="top"/>
          </w:tcPr>
          <w:p w14:paraId="54A68601">
            <w:pPr>
              <w:spacing w:line="360" w:lineRule="auto"/>
              <w:rPr>
                <w:rFonts w:hint="eastAsia" w:ascii="宋体" w:hAnsi="宋体" w:eastAsia="宋体" w:cs="宋体"/>
                <w:color w:val="000000"/>
                <w:sz w:val="21"/>
                <w:szCs w:val="21"/>
              </w:rPr>
            </w:pPr>
          </w:p>
        </w:tc>
        <w:tc>
          <w:tcPr>
            <w:tcW w:w="1450" w:type="dxa"/>
            <w:noWrap w:val="0"/>
            <w:vAlign w:val="top"/>
          </w:tcPr>
          <w:p w14:paraId="349144DA">
            <w:pPr>
              <w:spacing w:line="360" w:lineRule="auto"/>
              <w:rPr>
                <w:rFonts w:hint="eastAsia" w:ascii="宋体" w:hAnsi="宋体" w:eastAsia="宋体" w:cs="宋体"/>
                <w:color w:val="000000"/>
                <w:sz w:val="21"/>
                <w:szCs w:val="21"/>
              </w:rPr>
            </w:pPr>
          </w:p>
        </w:tc>
        <w:tc>
          <w:tcPr>
            <w:tcW w:w="1243" w:type="dxa"/>
            <w:noWrap w:val="0"/>
            <w:vAlign w:val="top"/>
          </w:tcPr>
          <w:p w14:paraId="2EEBB77A">
            <w:pPr>
              <w:spacing w:line="360" w:lineRule="auto"/>
              <w:rPr>
                <w:rFonts w:hint="eastAsia" w:ascii="宋体" w:hAnsi="宋体" w:eastAsia="宋体" w:cs="宋体"/>
                <w:color w:val="000000"/>
                <w:sz w:val="21"/>
                <w:szCs w:val="21"/>
              </w:rPr>
            </w:pPr>
          </w:p>
        </w:tc>
        <w:tc>
          <w:tcPr>
            <w:tcW w:w="1450" w:type="dxa"/>
            <w:noWrap w:val="0"/>
            <w:vAlign w:val="top"/>
          </w:tcPr>
          <w:p w14:paraId="7C1DFB6C">
            <w:pPr>
              <w:spacing w:line="360" w:lineRule="auto"/>
              <w:rPr>
                <w:rFonts w:hint="eastAsia" w:ascii="宋体" w:hAnsi="宋体" w:eastAsia="宋体" w:cs="宋体"/>
                <w:color w:val="000000"/>
                <w:sz w:val="21"/>
                <w:szCs w:val="21"/>
              </w:rPr>
            </w:pPr>
          </w:p>
        </w:tc>
        <w:tc>
          <w:tcPr>
            <w:tcW w:w="1667" w:type="dxa"/>
            <w:noWrap w:val="0"/>
            <w:vAlign w:val="top"/>
          </w:tcPr>
          <w:p w14:paraId="39011E3F">
            <w:pPr>
              <w:spacing w:line="360" w:lineRule="auto"/>
              <w:rPr>
                <w:rFonts w:hint="eastAsia" w:ascii="宋体" w:hAnsi="宋体" w:eastAsia="宋体" w:cs="宋体"/>
                <w:color w:val="000000"/>
                <w:sz w:val="21"/>
                <w:szCs w:val="21"/>
              </w:rPr>
            </w:pPr>
          </w:p>
        </w:tc>
      </w:tr>
      <w:tr w14:paraId="7266B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4F55C4">
            <w:pPr>
              <w:spacing w:line="360" w:lineRule="auto"/>
              <w:rPr>
                <w:rFonts w:hint="eastAsia" w:ascii="宋体" w:hAnsi="宋体" w:eastAsia="宋体" w:cs="宋体"/>
                <w:color w:val="000000"/>
                <w:sz w:val="21"/>
                <w:szCs w:val="21"/>
              </w:rPr>
            </w:pPr>
          </w:p>
        </w:tc>
        <w:tc>
          <w:tcPr>
            <w:tcW w:w="1276" w:type="dxa"/>
            <w:noWrap w:val="0"/>
            <w:vAlign w:val="top"/>
          </w:tcPr>
          <w:p w14:paraId="2859D4CC">
            <w:pPr>
              <w:spacing w:line="360" w:lineRule="auto"/>
              <w:rPr>
                <w:rFonts w:hint="eastAsia" w:ascii="宋体" w:hAnsi="宋体" w:eastAsia="宋体" w:cs="宋体"/>
                <w:color w:val="000000"/>
                <w:sz w:val="21"/>
                <w:szCs w:val="21"/>
              </w:rPr>
            </w:pPr>
          </w:p>
        </w:tc>
        <w:tc>
          <w:tcPr>
            <w:tcW w:w="1450" w:type="dxa"/>
            <w:noWrap w:val="0"/>
            <w:vAlign w:val="top"/>
          </w:tcPr>
          <w:p w14:paraId="2A5D6F40">
            <w:pPr>
              <w:spacing w:line="360" w:lineRule="auto"/>
              <w:rPr>
                <w:rFonts w:hint="eastAsia" w:ascii="宋体" w:hAnsi="宋体" w:eastAsia="宋体" w:cs="宋体"/>
                <w:color w:val="000000"/>
                <w:sz w:val="21"/>
                <w:szCs w:val="21"/>
              </w:rPr>
            </w:pPr>
          </w:p>
        </w:tc>
        <w:tc>
          <w:tcPr>
            <w:tcW w:w="1243" w:type="dxa"/>
            <w:noWrap w:val="0"/>
            <w:vAlign w:val="top"/>
          </w:tcPr>
          <w:p w14:paraId="3131CD6C">
            <w:pPr>
              <w:spacing w:line="360" w:lineRule="auto"/>
              <w:rPr>
                <w:rFonts w:hint="eastAsia" w:ascii="宋体" w:hAnsi="宋体" w:eastAsia="宋体" w:cs="宋体"/>
                <w:color w:val="000000"/>
                <w:sz w:val="21"/>
                <w:szCs w:val="21"/>
              </w:rPr>
            </w:pPr>
          </w:p>
        </w:tc>
        <w:tc>
          <w:tcPr>
            <w:tcW w:w="1450" w:type="dxa"/>
            <w:noWrap w:val="0"/>
            <w:vAlign w:val="top"/>
          </w:tcPr>
          <w:p w14:paraId="4CC850FB">
            <w:pPr>
              <w:spacing w:line="360" w:lineRule="auto"/>
              <w:rPr>
                <w:rFonts w:hint="eastAsia" w:ascii="宋体" w:hAnsi="宋体" w:eastAsia="宋体" w:cs="宋体"/>
                <w:color w:val="000000"/>
                <w:sz w:val="21"/>
                <w:szCs w:val="21"/>
              </w:rPr>
            </w:pPr>
          </w:p>
        </w:tc>
        <w:tc>
          <w:tcPr>
            <w:tcW w:w="1667" w:type="dxa"/>
            <w:noWrap w:val="0"/>
            <w:vAlign w:val="top"/>
          </w:tcPr>
          <w:p w14:paraId="7107E068">
            <w:pPr>
              <w:spacing w:line="360" w:lineRule="auto"/>
              <w:rPr>
                <w:rFonts w:hint="eastAsia" w:ascii="宋体" w:hAnsi="宋体" w:eastAsia="宋体" w:cs="宋体"/>
                <w:color w:val="000000"/>
                <w:sz w:val="21"/>
                <w:szCs w:val="21"/>
              </w:rPr>
            </w:pPr>
          </w:p>
        </w:tc>
      </w:tr>
      <w:tr w14:paraId="5B039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B25BA2">
            <w:pPr>
              <w:spacing w:line="360" w:lineRule="auto"/>
              <w:rPr>
                <w:rFonts w:hint="eastAsia" w:ascii="宋体" w:hAnsi="宋体" w:eastAsia="宋体" w:cs="宋体"/>
                <w:color w:val="000000"/>
                <w:sz w:val="21"/>
                <w:szCs w:val="21"/>
              </w:rPr>
            </w:pPr>
          </w:p>
        </w:tc>
        <w:tc>
          <w:tcPr>
            <w:tcW w:w="1276" w:type="dxa"/>
            <w:noWrap w:val="0"/>
            <w:vAlign w:val="top"/>
          </w:tcPr>
          <w:p w14:paraId="3730C9A3">
            <w:pPr>
              <w:spacing w:line="360" w:lineRule="auto"/>
              <w:rPr>
                <w:rFonts w:hint="eastAsia" w:ascii="宋体" w:hAnsi="宋体" w:eastAsia="宋体" w:cs="宋体"/>
                <w:color w:val="000000"/>
                <w:sz w:val="21"/>
                <w:szCs w:val="21"/>
              </w:rPr>
            </w:pPr>
          </w:p>
        </w:tc>
        <w:tc>
          <w:tcPr>
            <w:tcW w:w="1450" w:type="dxa"/>
            <w:noWrap w:val="0"/>
            <w:vAlign w:val="top"/>
          </w:tcPr>
          <w:p w14:paraId="39F00954">
            <w:pPr>
              <w:spacing w:line="360" w:lineRule="auto"/>
              <w:rPr>
                <w:rFonts w:hint="eastAsia" w:ascii="宋体" w:hAnsi="宋体" w:eastAsia="宋体" w:cs="宋体"/>
                <w:color w:val="000000"/>
                <w:sz w:val="21"/>
                <w:szCs w:val="21"/>
              </w:rPr>
            </w:pPr>
          </w:p>
        </w:tc>
        <w:tc>
          <w:tcPr>
            <w:tcW w:w="1243" w:type="dxa"/>
            <w:noWrap w:val="0"/>
            <w:vAlign w:val="top"/>
          </w:tcPr>
          <w:p w14:paraId="4454F038">
            <w:pPr>
              <w:spacing w:line="360" w:lineRule="auto"/>
              <w:rPr>
                <w:rFonts w:hint="eastAsia" w:ascii="宋体" w:hAnsi="宋体" w:eastAsia="宋体" w:cs="宋体"/>
                <w:color w:val="000000"/>
                <w:sz w:val="21"/>
                <w:szCs w:val="21"/>
              </w:rPr>
            </w:pPr>
          </w:p>
        </w:tc>
        <w:tc>
          <w:tcPr>
            <w:tcW w:w="1450" w:type="dxa"/>
            <w:noWrap w:val="0"/>
            <w:vAlign w:val="top"/>
          </w:tcPr>
          <w:p w14:paraId="5D718062">
            <w:pPr>
              <w:spacing w:line="360" w:lineRule="auto"/>
              <w:rPr>
                <w:rFonts w:hint="eastAsia" w:ascii="宋体" w:hAnsi="宋体" w:eastAsia="宋体" w:cs="宋体"/>
                <w:color w:val="000000"/>
                <w:sz w:val="21"/>
                <w:szCs w:val="21"/>
              </w:rPr>
            </w:pPr>
          </w:p>
        </w:tc>
        <w:tc>
          <w:tcPr>
            <w:tcW w:w="1667" w:type="dxa"/>
            <w:noWrap w:val="0"/>
            <w:vAlign w:val="top"/>
          </w:tcPr>
          <w:p w14:paraId="7A7CCB01">
            <w:pPr>
              <w:spacing w:line="360" w:lineRule="auto"/>
              <w:rPr>
                <w:rFonts w:hint="eastAsia" w:ascii="宋体" w:hAnsi="宋体" w:eastAsia="宋体" w:cs="宋体"/>
                <w:color w:val="000000"/>
                <w:sz w:val="21"/>
                <w:szCs w:val="21"/>
              </w:rPr>
            </w:pPr>
          </w:p>
        </w:tc>
      </w:tr>
      <w:tr w14:paraId="68052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6FB477">
            <w:pPr>
              <w:spacing w:line="360" w:lineRule="auto"/>
              <w:rPr>
                <w:rFonts w:hint="eastAsia" w:ascii="宋体" w:hAnsi="宋体" w:eastAsia="宋体" w:cs="宋体"/>
                <w:color w:val="000000"/>
                <w:sz w:val="21"/>
                <w:szCs w:val="21"/>
              </w:rPr>
            </w:pPr>
          </w:p>
        </w:tc>
        <w:tc>
          <w:tcPr>
            <w:tcW w:w="1276" w:type="dxa"/>
            <w:noWrap w:val="0"/>
            <w:vAlign w:val="top"/>
          </w:tcPr>
          <w:p w14:paraId="65A3EC1D">
            <w:pPr>
              <w:spacing w:line="360" w:lineRule="auto"/>
              <w:rPr>
                <w:rFonts w:hint="eastAsia" w:ascii="宋体" w:hAnsi="宋体" w:eastAsia="宋体" w:cs="宋体"/>
                <w:color w:val="000000"/>
                <w:sz w:val="21"/>
                <w:szCs w:val="21"/>
              </w:rPr>
            </w:pPr>
          </w:p>
        </w:tc>
        <w:tc>
          <w:tcPr>
            <w:tcW w:w="1450" w:type="dxa"/>
            <w:noWrap w:val="0"/>
            <w:vAlign w:val="top"/>
          </w:tcPr>
          <w:p w14:paraId="13F19204">
            <w:pPr>
              <w:spacing w:line="360" w:lineRule="auto"/>
              <w:rPr>
                <w:rFonts w:hint="eastAsia" w:ascii="宋体" w:hAnsi="宋体" w:eastAsia="宋体" w:cs="宋体"/>
                <w:color w:val="000000"/>
                <w:sz w:val="21"/>
                <w:szCs w:val="21"/>
              </w:rPr>
            </w:pPr>
          </w:p>
        </w:tc>
        <w:tc>
          <w:tcPr>
            <w:tcW w:w="1243" w:type="dxa"/>
            <w:noWrap w:val="0"/>
            <w:vAlign w:val="top"/>
          </w:tcPr>
          <w:p w14:paraId="23B8B2E0">
            <w:pPr>
              <w:spacing w:line="360" w:lineRule="auto"/>
              <w:rPr>
                <w:rFonts w:hint="eastAsia" w:ascii="宋体" w:hAnsi="宋体" w:eastAsia="宋体" w:cs="宋体"/>
                <w:color w:val="000000"/>
                <w:sz w:val="21"/>
                <w:szCs w:val="21"/>
              </w:rPr>
            </w:pPr>
          </w:p>
        </w:tc>
        <w:tc>
          <w:tcPr>
            <w:tcW w:w="1450" w:type="dxa"/>
            <w:noWrap w:val="0"/>
            <w:vAlign w:val="top"/>
          </w:tcPr>
          <w:p w14:paraId="4680B7CB">
            <w:pPr>
              <w:spacing w:line="360" w:lineRule="auto"/>
              <w:rPr>
                <w:rFonts w:hint="eastAsia" w:ascii="宋体" w:hAnsi="宋体" w:eastAsia="宋体" w:cs="宋体"/>
                <w:color w:val="000000"/>
                <w:sz w:val="21"/>
                <w:szCs w:val="21"/>
              </w:rPr>
            </w:pPr>
          </w:p>
        </w:tc>
        <w:tc>
          <w:tcPr>
            <w:tcW w:w="1667" w:type="dxa"/>
            <w:noWrap w:val="0"/>
            <w:vAlign w:val="top"/>
          </w:tcPr>
          <w:p w14:paraId="1DBFC7EF">
            <w:pPr>
              <w:spacing w:line="360" w:lineRule="auto"/>
              <w:rPr>
                <w:rFonts w:hint="eastAsia" w:ascii="宋体" w:hAnsi="宋体" w:eastAsia="宋体" w:cs="宋体"/>
                <w:color w:val="000000"/>
                <w:sz w:val="21"/>
                <w:szCs w:val="21"/>
              </w:rPr>
            </w:pPr>
          </w:p>
        </w:tc>
      </w:tr>
      <w:tr w14:paraId="7A813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2A90D">
            <w:pPr>
              <w:spacing w:line="360" w:lineRule="auto"/>
              <w:rPr>
                <w:rFonts w:hint="eastAsia" w:ascii="宋体" w:hAnsi="宋体" w:eastAsia="宋体" w:cs="宋体"/>
                <w:color w:val="000000"/>
                <w:sz w:val="21"/>
                <w:szCs w:val="21"/>
              </w:rPr>
            </w:pPr>
          </w:p>
        </w:tc>
        <w:tc>
          <w:tcPr>
            <w:tcW w:w="1276" w:type="dxa"/>
            <w:noWrap w:val="0"/>
            <w:vAlign w:val="top"/>
          </w:tcPr>
          <w:p w14:paraId="4ACEDC3C">
            <w:pPr>
              <w:spacing w:line="360" w:lineRule="auto"/>
              <w:rPr>
                <w:rFonts w:hint="eastAsia" w:ascii="宋体" w:hAnsi="宋体" w:eastAsia="宋体" w:cs="宋体"/>
                <w:color w:val="000000"/>
                <w:sz w:val="21"/>
                <w:szCs w:val="21"/>
              </w:rPr>
            </w:pPr>
          </w:p>
        </w:tc>
        <w:tc>
          <w:tcPr>
            <w:tcW w:w="1450" w:type="dxa"/>
            <w:noWrap w:val="0"/>
            <w:vAlign w:val="top"/>
          </w:tcPr>
          <w:p w14:paraId="6502308C">
            <w:pPr>
              <w:spacing w:line="360" w:lineRule="auto"/>
              <w:rPr>
                <w:rFonts w:hint="eastAsia" w:ascii="宋体" w:hAnsi="宋体" w:eastAsia="宋体" w:cs="宋体"/>
                <w:color w:val="000000"/>
                <w:sz w:val="21"/>
                <w:szCs w:val="21"/>
              </w:rPr>
            </w:pPr>
          </w:p>
        </w:tc>
        <w:tc>
          <w:tcPr>
            <w:tcW w:w="1243" w:type="dxa"/>
            <w:noWrap w:val="0"/>
            <w:vAlign w:val="top"/>
          </w:tcPr>
          <w:p w14:paraId="59F00E42">
            <w:pPr>
              <w:spacing w:line="360" w:lineRule="auto"/>
              <w:rPr>
                <w:rFonts w:hint="eastAsia" w:ascii="宋体" w:hAnsi="宋体" w:eastAsia="宋体" w:cs="宋体"/>
                <w:color w:val="000000"/>
                <w:sz w:val="21"/>
                <w:szCs w:val="21"/>
              </w:rPr>
            </w:pPr>
          </w:p>
        </w:tc>
        <w:tc>
          <w:tcPr>
            <w:tcW w:w="1450" w:type="dxa"/>
            <w:noWrap w:val="0"/>
            <w:vAlign w:val="top"/>
          </w:tcPr>
          <w:p w14:paraId="2FCB41FD">
            <w:pPr>
              <w:spacing w:line="360" w:lineRule="auto"/>
              <w:rPr>
                <w:rFonts w:hint="eastAsia" w:ascii="宋体" w:hAnsi="宋体" w:eastAsia="宋体" w:cs="宋体"/>
                <w:color w:val="000000"/>
                <w:sz w:val="21"/>
                <w:szCs w:val="21"/>
              </w:rPr>
            </w:pPr>
          </w:p>
        </w:tc>
        <w:tc>
          <w:tcPr>
            <w:tcW w:w="1667" w:type="dxa"/>
            <w:noWrap w:val="0"/>
            <w:vAlign w:val="top"/>
          </w:tcPr>
          <w:p w14:paraId="4F3F453D">
            <w:pPr>
              <w:spacing w:line="360" w:lineRule="auto"/>
              <w:rPr>
                <w:rFonts w:hint="eastAsia" w:ascii="宋体" w:hAnsi="宋体" w:eastAsia="宋体" w:cs="宋体"/>
                <w:color w:val="000000"/>
                <w:sz w:val="21"/>
                <w:szCs w:val="21"/>
              </w:rPr>
            </w:pPr>
          </w:p>
        </w:tc>
      </w:tr>
      <w:tr w14:paraId="3B7DF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F73B602">
            <w:pPr>
              <w:spacing w:line="360" w:lineRule="auto"/>
              <w:rPr>
                <w:rFonts w:hint="eastAsia" w:ascii="宋体" w:hAnsi="宋体" w:eastAsia="宋体" w:cs="宋体"/>
                <w:color w:val="000000"/>
                <w:sz w:val="21"/>
                <w:szCs w:val="21"/>
              </w:rPr>
            </w:pPr>
          </w:p>
        </w:tc>
        <w:tc>
          <w:tcPr>
            <w:tcW w:w="1276" w:type="dxa"/>
            <w:noWrap w:val="0"/>
            <w:vAlign w:val="top"/>
          </w:tcPr>
          <w:p w14:paraId="398EB80B">
            <w:pPr>
              <w:spacing w:line="360" w:lineRule="auto"/>
              <w:rPr>
                <w:rFonts w:hint="eastAsia" w:ascii="宋体" w:hAnsi="宋体" w:eastAsia="宋体" w:cs="宋体"/>
                <w:color w:val="000000"/>
                <w:sz w:val="21"/>
                <w:szCs w:val="21"/>
              </w:rPr>
            </w:pPr>
          </w:p>
        </w:tc>
        <w:tc>
          <w:tcPr>
            <w:tcW w:w="1450" w:type="dxa"/>
            <w:noWrap w:val="0"/>
            <w:vAlign w:val="top"/>
          </w:tcPr>
          <w:p w14:paraId="5B79E628">
            <w:pPr>
              <w:spacing w:line="360" w:lineRule="auto"/>
              <w:rPr>
                <w:rFonts w:hint="eastAsia" w:ascii="宋体" w:hAnsi="宋体" w:eastAsia="宋体" w:cs="宋体"/>
                <w:color w:val="000000"/>
                <w:sz w:val="21"/>
                <w:szCs w:val="21"/>
              </w:rPr>
            </w:pPr>
          </w:p>
        </w:tc>
        <w:tc>
          <w:tcPr>
            <w:tcW w:w="1243" w:type="dxa"/>
            <w:noWrap w:val="0"/>
            <w:vAlign w:val="top"/>
          </w:tcPr>
          <w:p w14:paraId="6FEB887A">
            <w:pPr>
              <w:spacing w:line="360" w:lineRule="auto"/>
              <w:rPr>
                <w:rFonts w:hint="eastAsia" w:ascii="宋体" w:hAnsi="宋体" w:eastAsia="宋体" w:cs="宋体"/>
                <w:color w:val="000000"/>
                <w:sz w:val="21"/>
                <w:szCs w:val="21"/>
              </w:rPr>
            </w:pPr>
          </w:p>
        </w:tc>
        <w:tc>
          <w:tcPr>
            <w:tcW w:w="1450" w:type="dxa"/>
            <w:noWrap w:val="0"/>
            <w:vAlign w:val="top"/>
          </w:tcPr>
          <w:p w14:paraId="2E901FA2">
            <w:pPr>
              <w:spacing w:line="360" w:lineRule="auto"/>
              <w:rPr>
                <w:rFonts w:hint="eastAsia" w:ascii="宋体" w:hAnsi="宋体" w:eastAsia="宋体" w:cs="宋体"/>
                <w:color w:val="000000"/>
                <w:sz w:val="21"/>
                <w:szCs w:val="21"/>
              </w:rPr>
            </w:pPr>
          </w:p>
        </w:tc>
        <w:tc>
          <w:tcPr>
            <w:tcW w:w="1667" w:type="dxa"/>
            <w:noWrap w:val="0"/>
            <w:vAlign w:val="top"/>
          </w:tcPr>
          <w:p w14:paraId="56A44994">
            <w:pPr>
              <w:spacing w:line="360" w:lineRule="auto"/>
              <w:rPr>
                <w:rFonts w:hint="eastAsia" w:ascii="宋体" w:hAnsi="宋体" w:eastAsia="宋体" w:cs="宋体"/>
                <w:color w:val="000000"/>
                <w:sz w:val="21"/>
                <w:szCs w:val="21"/>
              </w:rPr>
            </w:pPr>
          </w:p>
        </w:tc>
      </w:tr>
      <w:tr w14:paraId="3D3DB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D45A7B">
            <w:pPr>
              <w:spacing w:line="360" w:lineRule="auto"/>
              <w:rPr>
                <w:rFonts w:hint="eastAsia" w:ascii="宋体" w:hAnsi="宋体" w:eastAsia="宋体" w:cs="宋体"/>
                <w:color w:val="000000"/>
                <w:sz w:val="21"/>
                <w:szCs w:val="21"/>
              </w:rPr>
            </w:pPr>
          </w:p>
        </w:tc>
        <w:tc>
          <w:tcPr>
            <w:tcW w:w="1276" w:type="dxa"/>
            <w:noWrap w:val="0"/>
            <w:vAlign w:val="top"/>
          </w:tcPr>
          <w:p w14:paraId="2ED41412">
            <w:pPr>
              <w:spacing w:line="360" w:lineRule="auto"/>
              <w:rPr>
                <w:rFonts w:hint="eastAsia" w:ascii="宋体" w:hAnsi="宋体" w:eastAsia="宋体" w:cs="宋体"/>
                <w:color w:val="000000"/>
                <w:sz w:val="21"/>
                <w:szCs w:val="21"/>
              </w:rPr>
            </w:pPr>
          </w:p>
        </w:tc>
        <w:tc>
          <w:tcPr>
            <w:tcW w:w="1450" w:type="dxa"/>
            <w:noWrap w:val="0"/>
            <w:vAlign w:val="top"/>
          </w:tcPr>
          <w:p w14:paraId="3FB75714">
            <w:pPr>
              <w:spacing w:line="360" w:lineRule="auto"/>
              <w:rPr>
                <w:rFonts w:hint="eastAsia" w:ascii="宋体" w:hAnsi="宋体" w:eastAsia="宋体" w:cs="宋体"/>
                <w:color w:val="000000"/>
                <w:sz w:val="21"/>
                <w:szCs w:val="21"/>
              </w:rPr>
            </w:pPr>
          </w:p>
        </w:tc>
        <w:tc>
          <w:tcPr>
            <w:tcW w:w="1243" w:type="dxa"/>
            <w:noWrap w:val="0"/>
            <w:vAlign w:val="top"/>
          </w:tcPr>
          <w:p w14:paraId="415913E7">
            <w:pPr>
              <w:spacing w:line="360" w:lineRule="auto"/>
              <w:rPr>
                <w:rFonts w:hint="eastAsia" w:ascii="宋体" w:hAnsi="宋体" w:eastAsia="宋体" w:cs="宋体"/>
                <w:color w:val="000000"/>
                <w:sz w:val="21"/>
                <w:szCs w:val="21"/>
              </w:rPr>
            </w:pPr>
          </w:p>
        </w:tc>
        <w:tc>
          <w:tcPr>
            <w:tcW w:w="1450" w:type="dxa"/>
            <w:noWrap w:val="0"/>
            <w:vAlign w:val="top"/>
          </w:tcPr>
          <w:p w14:paraId="22AEE2FC">
            <w:pPr>
              <w:spacing w:line="360" w:lineRule="auto"/>
              <w:rPr>
                <w:rFonts w:hint="eastAsia" w:ascii="宋体" w:hAnsi="宋体" w:eastAsia="宋体" w:cs="宋体"/>
                <w:color w:val="000000"/>
                <w:sz w:val="21"/>
                <w:szCs w:val="21"/>
              </w:rPr>
            </w:pPr>
          </w:p>
        </w:tc>
        <w:tc>
          <w:tcPr>
            <w:tcW w:w="1667" w:type="dxa"/>
            <w:noWrap w:val="0"/>
            <w:vAlign w:val="top"/>
          </w:tcPr>
          <w:p w14:paraId="0DE2AAD6">
            <w:pPr>
              <w:spacing w:line="360" w:lineRule="auto"/>
              <w:rPr>
                <w:rFonts w:hint="eastAsia" w:ascii="宋体" w:hAnsi="宋体" w:eastAsia="宋体" w:cs="宋体"/>
                <w:color w:val="000000"/>
                <w:sz w:val="21"/>
                <w:szCs w:val="21"/>
              </w:rPr>
            </w:pPr>
          </w:p>
        </w:tc>
      </w:tr>
      <w:tr w14:paraId="7EF3E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DDB5489">
            <w:pPr>
              <w:spacing w:line="360" w:lineRule="auto"/>
              <w:rPr>
                <w:rFonts w:hint="eastAsia" w:ascii="宋体" w:hAnsi="宋体" w:eastAsia="宋体" w:cs="宋体"/>
                <w:color w:val="000000"/>
                <w:sz w:val="21"/>
                <w:szCs w:val="21"/>
              </w:rPr>
            </w:pPr>
          </w:p>
        </w:tc>
        <w:tc>
          <w:tcPr>
            <w:tcW w:w="1276" w:type="dxa"/>
            <w:noWrap w:val="0"/>
            <w:vAlign w:val="top"/>
          </w:tcPr>
          <w:p w14:paraId="2572A494">
            <w:pPr>
              <w:spacing w:line="360" w:lineRule="auto"/>
              <w:rPr>
                <w:rFonts w:hint="eastAsia" w:ascii="宋体" w:hAnsi="宋体" w:eastAsia="宋体" w:cs="宋体"/>
                <w:color w:val="000000"/>
                <w:sz w:val="21"/>
                <w:szCs w:val="21"/>
              </w:rPr>
            </w:pPr>
          </w:p>
        </w:tc>
        <w:tc>
          <w:tcPr>
            <w:tcW w:w="1450" w:type="dxa"/>
            <w:noWrap w:val="0"/>
            <w:vAlign w:val="top"/>
          </w:tcPr>
          <w:p w14:paraId="409ED00D">
            <w:pPr>
              <w:spacing w:line="360" w:lineRule="auto"/>
              <w:rPr>
                <w:rFonts w:hint="eastAsia" w:ascii="宋体" w:hAnsi="宋体" w:eastAsia="宋体" w:cs="宋体"/>
                <w:color w:val="000000"/>
                <w:sz w:val="21"/>
                <w:szCs w:val="21"/>
              </w:rPr>
            </w:pPr>
          </w:p>
        </w:tc>
        <w:tc>
          <w:tcPr>
            <w:tcW w:w="1243" w:type="dxa"/>
            <w:noWrap w:val="0"/>
            <w:vAlign w:val="top"/>
          </w:tcPr>
          <w:p w14:paraId="4E9D0F00">
            <w:pPr>
              <w:spacing w:line="360" w:lineRule="auto"/>
              <w:rPr>
                <w:rFonts w:hint="eastAsia" w:ascii="宋体" w:hAnsi="宋体" w:eastAsia="宋体" w:cs="宋体"/>
                <w:color w:val="000000"/>
                <w:sz w:val="21"/>
                <w:szCs w:val="21"/>
              </w:rPr>
            </w:pPr>
          </w:p>
        </w:tc>
        <w:tc>
          <w:tcPr>
            <w:tcW w:w="1450" w:type="dxa"/>
            <w:noWrap w:val="0"/>
            <w:vAlign w:val="top"/>
          </w:tcPr>
          <w:p w14:paraId="1CD4C0BF">
            <w:pPr>
              <w:spacing w:line="360" w:lineRule="auto"/>
              <w:rPr>
                <w:rFonts w:hint="eastAsia" w:ascii="宋体" w:hAnsi="宋体" w:eastAsia="宋体" w:cs="宋体"/>
                <w:color w:val="000000"/>
                <w:sz w:val="21"/>
                <w:szCs w:val="21"/>
              </w:rPr>
            </w:pPr>
          </w:p>
        </w:tc>
        <w:tc>
          <w:tcPr>
            <w:tcW w:w="1667" w:type="dxa"/>
            <w:noWrap w:val="0"/>
            <w:vAlign w:val="top"/>
          </w:tcPr>
          <w:p w14:paraId="7BDF6345">
            <w:pPr>
              <w:spacing w:line="360" w:lineRule="auto"/>
              <w:rPr>
                <w:rFonts w:hint="eastAsia" w:ascii="宋体" w:hAnsi="宋体" w:eastAsia="宋体" w:cs="宋体"/>
                <w:color w:val="000000"/>
                <w:sz w:val="21"/>
                <w:szCs w:val="21"/>
              </w:rPr>
            </w:pPr>
          </w:p>
        </w:tc>
      </w:tr>
      <w:tr w14:paraId="5B8FA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DA0FDF">
            <w:pPr>
              <w:spacing w:line="360" w:lineRule="auto"/>
              <w:rPr>
                <w:rFonts w:hint="eastAsia" w:ascii="宋体" w:hAnsi="宋体" w:eastAsia="宋体" w:cs="宋体"/>
                <w:color w:val="000000"/>
                <w:sz w:val="21"/>
                <w:szCs w:val="21"/>
              </w:rPr>
            </w:pPr>
          </w:p>
        </w:tc>
        <w:tc>
          <w:tcPr>
            <w:tcW w:w="1276" w:type="dxa"/>
            <w:noWrap w:val="0"/>
            <w:vAlign w:val="top"/>
          </w:tcPr>
          <w:p w14:paraId="3ADE6FCD">
            <w:pPr>
              <w:spacing w:line="360" w:lineRule="auto"/>
              <w:rPr>
                <w:rFonts w:hint="eastAsia" w:ascii="宋体" w:hAnsi="宋体" w:eastAsia="宋体" w:cs="宋体"/>
                <w:color w:val="000000"/>
                <w:sz w:val="21"/>
                <w:szCs w:val="21"/>
              </w:rPr>
            </w:pPr>
          </w:p>
        </w:tc>
        <w:tc>
          <w:tcPr>
            <w:tcW w:w="1450" w:type="dxa"/>
            <w:noWrap w:val="0"/>
            <w:vAlign w:val="top"/>
          </w:tcPr>
          <w:p w14:paraId="43B88B33">
            <w:pPr>
              <w:spacing w:line="360" w:lineRule="auto"/>
              <w:rPr>
                <w:rFonts w:hint="eastAsia" w:ascii="宋体" w:hAnsi="宋体" w:eastAsia="宋体" w:cs="宋体"/>
                <w:color w:val="000000"/>
                <w:sz w:val="21"/>
                <w:szCs w:val="21"/>
              </w:rPr>
            </w:pPr>
          </w:p>
        </w:tc>
        <w:tc>
          <w:tcPr>
            <w:tcW w:w="1243" w:type="dxa"/>
            <w:noWrap w:val="0"/>
            <w:vAlign w:val="top"/>
          </w:tcPr>
          <w:p w14:paraId="49FD52C7">
            <w:pPr>
              <w:spacing w:line="360" w:lineRule="auto"/>
              <w:rPr>
                <w:rFonts w:hint="eastAsia" w:ascii="宋体" w:hAnsi="宋体" w:eastAsia="宋体" w:cs="宋体"/>
                <w:color w:val="000000"/>
                <w:sz w:val="21"/>
                <w:szCs w:val="21"/>
              </w:rPr>
            </w:pPr>
          </w:p>
        </w:tc>
        <w:tc>
          <w:tcPr>
            <w:tcW w:w="1450" w:type="dxa"/>
            <w:noWrap w:val="0"/>
            <w:vAlign w:val="top"/>
          </w:tcPr>
          <w:p w14:paraId="158A3417">
            <w:pPr>
              <w:spacing w:line="360" w:lineRule="auto"/>
              <w:rPr>
                <w:rFonts w:hint="eastAsia" w:ascii="宋体" w:hAnsi="宋体" w:eastAsia="宋体" w:cs="宋体"/>
                <w:color w:val="000000"/>
                <w:sz w:val="21"/>
                <w:szCs w:val="21"/>
              </w:rPr>
            </w:pPr>
          </w:p>
        </w:tc>
        <w:tc>
          <w:tcPr>
            <w:tcW w:w="1667" w:type="dxa"/>
            <w:noWrap w:val="0"/>
            <w:vAlign w:val="top"/>
          </w:tcPr>
          <w:p w14:paraId="39B0DFBD">
            <w:pPr>
              <w:spacing w:line="360" w:lineRule="auto"/>
              <w:rPr>
                <w:rFonts w:hint="eastAsia" w:ascii="宋体" w:hAnsi="宋体" w:eastAsia="宋体" w:cs="宋体"/>
                <w:color w:val="000000"/>
                <w:sz w:val="21"/>
                <w:szCs w:val="21"/>
              </w:rPr>
            </w:pPr>
          </w:p>
        </w:tc>
      </w:tr>
    </w:tbl>
    <w:p w14:paraId="361A3471">
      <w:pPr>
        <w:spacing w:line="360" w:lineRule="auto"/>
        <w:rPr>
          <w:rFonts w:hint="eastAsia" w:ascii="宋体" w:hAnsi="宋体" w:eastAsia="宋体" w:cs="宋体"/>
          <w:color w:val="000000"/>
          <w:sz w:val="21"/>
          <w:szCs w:val="21"/>
        </w:rPr>
      </w:pPr>
    </w:p>
    <w:p w14:paraId="333DBA5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附</w:t>
      </w:r>
      <w:bookmarkStart w:id="1000" w:name="_Toc296346728"/>
      <w:bookmarkStart w:id="1001" w:name="_Toc296891267"/>
      <w:bookmarkStart w:id="1002" w:name="_Toc296944566"/>
      <w:bookmarkStart w:id="1003" w:name="_Toc296347226"/>
      <w:bookmarkStart w:id="1004" w:name="_Toc296891055"/>
      <w:bookmarkStart w:id="1005" w:name="_Toc267261698"/>
      <w:bookmarkStart w:id="1006" w:name="_Toc296503227"/>
      <w:r>
        <w:rPr>
          <w:rFonts w:hint="eastAsia" w:ascii="宋体" w:hAnsi="宋体" w:eastAsia="宋体" w:cs="宋体"/>
          <w:color w:val="000000"/>
          <w:sz w:val="21"/>
          <w:szCs w:val="21"/>
        </w:rPr>
        <w:t>件5：</w:t>
      </w:r>
    </w:p>
    <w:bookmarkEnd w:id="1000"/>
    <w:bookmarkEnd w:id="1001"/>
    <w:bookmarkEnd w:id="1002"/>
    <w:bookmarkEnd w:id="1003"/>
    <w:bookmarkEnd w:id="1004"/>
    <w:bookmarkEnd w:id="1005"/>
    <w:bookmarkEnd w:id="1006"/>
    <w:p w14:paraId="5B54DFAA">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承包人用于本工程施工的机械设备表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7A69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5C3F3EE">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418" w:type="dxa"/>
            <w:tcBorders>
              <w:top w:val="single" w:color="auto" w:sz="12" w:space="0"/>
              <w:bottom w:val="double" w:color="auto" w:sz="6" w:space="0"/>
            </w:tcBorders>
            <w:noWrap w:val="0"/>
            <w:vAlign w:val="center"/>
          </w:tcPr>
          <w:p w14:paraId="618C7A58">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机械或设备名称</w:t>
            </w:r>
          </w:p>
        </w:tc>
        <w:tc>
          <w:tcPr>
            <w:tcW w:w="850" w:type="dxa"/>
            <w:tcBorders>
              <w:top w:val="single" w:color="auto" w:sz="12" w:space="0"/>
              <w:bottom w:val="double" w:color="auto" w:sz="6" w:space="0"/>
            </w:tcBorders>
            <w:noWrap w:val="0"/>
            <w:vAlign w:val="center"/>
          </w:tcPr>
          <w:p w14:paraId="1D12C591">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1058" w:type="dxa"/>
            <w:tcBorders>
              <w:top w:val="single" w:color="auto" w:sz="12" w:space="0"/>
              <w:bottom w:val="double" w:color="auto" w:sz="6" w:space="0"/>
            </w:tcBorders>
            <w:noWrap w:val="0"/>
            <w:vAlign w:val="center"/>
          </w:tcPr>
          <w:p w14:paraId="4E991679">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880" w:type="dxa"/>
            <w:tcBorders>
              <w:top w:val="single" w:color="auto" w:sz="12" w:space="0"/>
              <w:bottom w:val="double" w:color="auto" w:sz="6" w:space="0"/>
            </w:tcBorders>
            <w:noWrap w:val="0"/>
            <w:vAlign w:val="center"/>
          </w:tcPr>
          <w:p w14:paraId="4F4ED044">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产地</w:t>
            </w:r>
          </w:p>
        </w:tc>
        <w:tc>
          <w:tcPr>
            <w:tcW w:w="1020" w:type="dxa"/>
            <w:tcBorders>
              <w:top w:val="single" w:color="auto" w:sz="12" w:space="0"/>
              <w:bottom w:val="double" w:color="auto" w:sz="6" w:space="0"/>
            </w:tcBorders>
            <w:noWrap w:val="0"/>
            <w:vAlign w:val="center"/>
          </w:tcPr>
          <w:p w14:paraId="5DF7BF05">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制造年份</w:t>
            </w:r>
          </w:p>
        </w:tc>
        <w:tc>
          <w:tcPr>
            <w:tcW w:w="1480" w:type="dxa"/>
            <w:tcBorders>
              <w:top w:val="single" w:color="auto" w:sz="12" w:space="0"/>
              <w:bottom w:val="double" w:color="auto" w:sz="6" w:space="0"/>
            </w:tcBorders>
            <w:noWrap w:val="0"/>
            <w:vAlign w:val="center"/>
          </w:tcPr>
          <w:p w14:paraId="1AC294C8">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额定功率(kW)</w:t>
            </w:r>
          </w:p>
        </w:tc>
        <w:tc>
          <w:tcPr>
            <w:tcW w:w="1020" w:type="dxa"/>
            <w:tcBorders>
              <w:top w:val="single" w:color="auto" w:sz="12" w:space="0"/>
              <w:bottom w:val="double" w:color="auto" w:sz="6" w:space="0"/>
            </w:tcBorders>
            <w:noWrap w:val="0"/>
            <w:vAlign w:val="center"/>
          </w:tcPr>
          <w:p w14:paraId="61A01D46">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921" w:type="dxa"/>
            <w:tcBorders>
              <w:top w:val="single" w:color="auto" w:sz="12" w:space="0"/>
              <w:bottom w:val="double" w:color="auto" w:sz="6" w:space="0"/>
            </w:tcBorders>
            <w:noWrap w:val="0"/>
            <w:vAlign w:val="center"/>
          </w:tcPr>
          <w:p w14:paraId="03C0A59C">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474C0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779C03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4D0D7D2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2A87140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tcBorders>
              <w:top w:val="double" w:color="auto" w:sz="6" w:space="0"/>
              <w:bottom w:val="single" w:color="auto" w:sz="6" w:space="0"/>
            </w:tcBorders>
            <w:noWrap w:val="0"/>
            <w:vAlign w:val="center"/>
          </w:tcPr>
          <w:p w14:paraId="77273DF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tcBorders>
              <w:top w:val="double" w:color="auto" w:sz="6" w:space="0"/>
              <w:bottom w:val="single" w:color="auto" w:sz="6" w:space="0"/>
            </w:tcBorders>
            <w:noWrap w:val="0"/>
            <w:vAlign w:val="center"/>
          </w:tcPr>
          <w:p w14:paraId="11EEBC2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1A068E2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tcBorders>
              <w:top w:val="double" w:color="auto" w:sz="6" w:space="0"/>
              <w:bottom w:val="single" w:color="auto" w:sz="6" w:space="0"/>
            </w:tcBorders>
            <w:noWrap w:val="0"/>
            <w:vAlign w:val="center"/>
          </w:tcPr>
          <w:p w14:paraId="27DE933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7DA2726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tcBorders>
              <w:top w:val="double" w:color="auto" w:sz="6" w:space="0"/>
              <w:bottom w:val="single" w:color="auto" w:sz="6" w:space="0"/>
            </w:tcBorders>
            <w:noWrap w:val="0"/>
            <w:vAlign w:val="center"/>
          </w:tcPr>
          <w:p w14:paraId="7C635AA2">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4A7F3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60C055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4B3DACE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2F9FCC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tcBorders>
              <w:top w:val="nil"/>
            </w:tcBorders>
            <w:noWrap w:val="0"/>
            <w:vAlign w:val="center"/>
          </w:tcPr>
          <w:p w14:paraId="50DE4AD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tcBorders>
              <w:top w:val="nil"/>
            </w:tcBorders>
            <w:noWrap w:val="0"/>
            <w:vAlign w:val="center"/>
          </w:tcPr>
          <w:p w14:paraId="2207D12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63BDC91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tcBorders>
              <w:top w:val="nil"/>
            </w:tcBorders>
            <w:noWrap w:val="0"/>
            <w:vAlign w:val="center"/>
          </w:tcPr>
          <w:p w14:paraId="43FD353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74B20E0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tcBorders>
              <w:top w:val="nil"/>
            </w:tcBorders>
            <w:noWrap w:val="0"/>
            <w:vAlign w:val="center"/>
          </w:tcPr>
          <w:p w14:paraId="703F7EE8">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98B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91C0C3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4C747B5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78C1C81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7CE6150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0BABF29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2175168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3782B78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6A8BF46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4172F549">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2E5F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EEB91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070A2D6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3AAF01E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5EE098B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7775359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2608762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271F57D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66B26ED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1F73B72F">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8D2F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4342C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29786C8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076EB49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0FDAA2A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4FAE48F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7A96B66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6E8467E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36EC7D0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1140FDEB">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430C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014835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4AD06B9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0ADB29E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6D32351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7502FD1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2BD1B2E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3C78674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5F8CB95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555CC172">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058A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475FA2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5EFD60E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34BBCD6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0FA4D2B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5BFE76A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031C909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19A89A9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4B271CE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4A444B81">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DE65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A5350B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21B267B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189DA26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184DD08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54C3109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6E75110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2CE6A8D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065F5D6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2DF7A8E7">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08A6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23E3237">
            <w:pPr>
              <w:spacing w:line="360" w:lineRule="auto"/>
              <w:rPr>
                <w:rFonts w:hint="eastAsia" w:ascii="宋体" w:hAnsi="宋体" w:eastAsia="宋体" w:cs="宋体"/>
                <w:color w:val="000000"/>
                <w:sz w:val="21"/>
                <w:szCs w:val="21"/>
              </w:rPr>
            </w:pPr>
          </w:p>
        </w:tc>
        <w:tc>
          <w:tcPr>
            <w:tcW w:w="1418" w:type="dxa"/>
            <w:noWrap w:val="0"/>
            <w:vAlign w:val="top"/>
          </w:tcPr>
          <w:p w14:paraId="7BAB60B9">
            <w:pPr>
              <w:spacing w:line="360" w:lineRule="auto"/>
              <w:rPr>
                <w:rFonts w:hint="eastAsia" w:ascii="宋体" w:hAnsi="宋体" w:eastAsia="宋体" w:cs="宋体"/>
                <w:color w:val="000000"/>
                <w:sz w:val="21"/>
                <w:szCs w:val="21"/>
              </w:rPr>
            </w:pPr>
          </w:p>
        </w:tc>
        <w:tc>
          <w:tcPr>
            <w:tcW w:w="850" w:type="dxa"/>
            <w:noWrap w:val="0"/>
            <w:vAlign w:val="top"/>
          </w:tcPr>
          <w:p w14:paraId="2469BD7D">
            <w:pPr>
              <w:spacing w:line="360" w:lineRule="auto"/>
              <w:rPr>
                <w:rFonts w:hint="eastAsia" w:ascii="宋体" w:hAnsi="宋体" w:eastAsia="宋体" w:cs="宋体"/>
                <w:color w:val="000000"/>
                <w:sz w:val="21"/>
                <w:szCs w:val="21"/>
              </w:rPr>
            </w:pPr>
          </w:p>
        </w:tc>
        <w:tc>
          <w:tcPr>
            <w:tcW w:w="1058" w:type="dxa"/>
            <w:noWrap w:val="0"/>
            <w:vAlign w:val="top"/>
          </w:tcPr>
          <w:p w14:paraId="6AFC9777">
            <w:pPr>
              <w:spacing w:line="360" w:lineRule="auto"/>
              <w:rPr>
                <w:rFonts w:hint="eastAsia" w:ascii="宋体" w:hAnsi="宋体" w:eastAsia="宋体" w:cs="宋体"/>
                <w:color w:val="000000"/>
                <w:sz w:val="21"/>
                <w:szCs w:val="21"/>
              </w:rPr>
            </w:pPr>
          </w:p>
        </w:tc>
        <w:tc>
          <w:tcPr>
            <w:tcW w:w="880" w:type="dxa"/>
            <w:noWrap w:val="0"/>
            <w:vAlign w:val="top"/>
          </w:tcPr>
          <w:p w14:paraId="40E1E1A5">
            <w:pPr>
              <w:spacing w:line="360" w:lineRule="auto"/>
              <w:rPr>
                <w:rFonts w:hint="eastAsia" w:ascii="宋体" w:hAnsi="宋体" w:eastAsia="宋体" w:cs="宋体"/>
                <w:color w:val="000000"/>
                <w:sz w:val="21"/>
                <w:szCs w:val="21"/>
              </w:rPr>
            </w:pPr>
          </w:p>
        </w:tc>
        <w:tc>
          <w:tcPr>
            <w:tcW w:w="1020" w:type="dxa"/>
            <w:noWrap w:val="0"/>
            <w:vAlign w:val="top"/>
          </w:tcPr>
          <w:p w14:paraId="3AB0CA72">
            <w:pPr>
              <w:spacing w:line="360" w:lineRule="auto"/>
              <w:rPr>
                <w:rFonts w:hint="eastAsia" w:ascii="宋体" w:hAnsi="宋体" w:eastAsia="宋体" w:cs="宋体"/>
                <w:color w:val="000000"/>
                <w:sz w:val="21"/>
                <w:szCs w:val="21"/>
              </w:rPr>
            </w:pPr>
          </w:p>
        </w:tc>
        <w:tc>
          <w:tcPr>
            <w:tcW w:w="1480" w:type="dxa"/>
            <w:noWrap w:val="0"/>
            <w:vAlign w:val="top"/>
          </w:tcPr>
          <w:p w14:paraId="5F706159">
            <w:pPr>
              <w:spacing w:line="360" w:lineRule="auto"/>
              <w:rPr>
                <w:rFonts w:hint="eastAsia" w:ascii="宋体" w:hAnsi="宋体" w:eastAsia="宋体" w:cs="宋体"/>
                <w:color w:val="000000"/>
                <w:sz w:val="21"/>
                <w:szCs w:val="21"/>
              </w:rPr>
            </w:pPr>
          </w:p>
        </w:tc>
        <w:tc>
          <w:tcPr>
            <w:tcW w:w="1020" w:type="dxa"/>
            <w:noWrap w:val="0"/>
            <w:vAlign w:val="top"/>
          </w:tcPr>
          <w:p w14:paraId="5917340B">
            <w:pPr>
              <w:spacing w:line="360" w:lineRule="auto"/>
              <w:rPr>
                <w:rFonts w:hint="eastAsia" w:ascii="宋体" w:hAnsi="宋体" w:eastAsia="宋体" w:cs="宋体"/>
                <w:color w:val="000000"/>
                <w:sz w:val="21"/>
                <w:szCs w:val="21"/>
              </w:rPr>
            </w:pPr>
          </w:p>
        </w:tc>
        <w:tc>
          <w:tcPr>
            <w:tcW w:w="921" w:type="dxa"/>
            <w:noWrap w:val="0"/>
            <w:vAlign w:val="top"/>
          </w:tcPr>
          <w:p w14:paraId="32EA66C1">
            <w:pPr>
              <w:spacing w:line="360" w:lineRule="auto"/>
              <w:rPr>
                <w:rFonts w:hint="eastAsia" w:ascii="宋体" w:hAnsi="宋体" w:eastAsia="宋体" w:cs="宋体"/>
                <w:color w:val="000000"/>
                <w:sz w:val="21"/>
                <w:szCs w:val="21"/>
              </w:rPr>
            </w:pPr>
          </w:p>
        </w:tc>
      </w:tr>
      <w:tr w14:paraId="4B859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14:paraId="1C17A63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62AFE17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50" w:type="dxa"/>
            <w:noWrap w:val="0"/>
            <w:vAlign w:val="center"/>
          </w:tcPr>
          <w:p w14:paraId="0D9BF67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58" w:type="dxa"/>
            <w:noWrap w:val="0"/>
            <w:vAlign w:val="center"/>
          </w:tcPr>
          <w:p w14:paraId="5AB33BD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880" w:type="dxa"/>
            <w:noWrap w:val="0"/>
            <w:vAlign w:val="center"/>
          </w:tcPr>
          <w:p w14:paraId="79C0A99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7AE3B25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80" w:type="dxa"/>
            <w:noWrap w:val="0"/>
            <w:vAlign w:val="center"/>
          </w:tcPr>
          <w:p w14:paraId="739C504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020" w:type="dxa"/>
            <w:noWrap w:val="0"/>
            <w:vAlign w:val="center"/>
          </w:tcPr>
          <w:p w14:paraId="3B00745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921" w:type="dxa"/>
            <w:noWrap w:val="0"/>
            <w:vAlign w:val="center"/>
          </w:tcPr>
          <w:p w14:paraId="51B4842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A1A4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D560DE">
            <w:pPr>
              <w:spacing w:line="360" w:lineRule="auto"/>
              <w:rPr>
                <w:rFonts w:hint="eastAsia" w:ascii="宋体" w:hAnsi="宋体" w:eastAsia="宋体" w:cs="宋体"/>
                <w:color w:val="000000"/>
                <w:sz w:val="21"/>
                <w:szCs w:val="21"/>
              </w:rPr>
            </w:pPr>
          </w:p>
        </w:tc>
        <w:tc>
          <w:tcPr>
            <w:tcW w:w="1418" w:type="dxa"/>
            <w:noWrap w:val="0"/>
            <w:vAlign w:val="top"/>
          </w:tcPr>
          <w:p w14:paraId="2D5AB0C4">
            <w:pPr>
              <w:spacing w:line="360" w:lineRule="auto"/>
              <w:rPr>
                <w:rFonts w:hint="eastAsia" w:ascii="宋体" w:hAnsi="宋体" w:eastAsia="宋体" w:cs="宋体"/>
                <w:color w:val="000000"/>
                <w:sz w:val="21"/>
                <w:szCs w:val="21"/>
              </w:rPr>
            </w:pPr>
          </w:p>
        </w:tc>
        <w:tc>
          <w:tcPr>
            <w:tcW w:w="850" w:type="dxa"/>
            <w:noWrap w:val="0"/>
            <w:vAlign w:val="top"/>
          </w:tcPr>
          <w:p w14:paraId="7CA82021">
            <w:pPr>
              <w:spacing w:line="360" w:lineRule="auto"/>
              <w:rPr>
                <w:rFonts w:hint="eastAsia" w:ascii="宋体" w:hAnsi="宋体" w:eastAsia="宋体" w:cs="宋体"/>
                <w:color w:val="000000"/>
                <w:sz w:val="21"/>
                <w:szCs w:val="21"/>
              </w:rPr>
            </w:pPr>
          </w:p>
        </w:tc>
        <w:tc>
          <w:tcPr>
            <w:tcW w:w="1058" w:type="dxa"/>
            <w:noWrap w:val="0"/>
            <w:vAlign w:val="top"/>
          </w:tcPr>
          <w:p w14:paraId="36F0C067">
            <w:pPr>
              <w:spacing w:line="360" w:lineRule="auto"/>
              <w:rPr>
                <w:rFonts w:hint="eastAsia" w:ascii="宋体" w:hAnsi="宋体" w:eastAsia="宋体" w:cs="宋体"/>
                <w:color w:val="000000"/>
                <w:sz w:val="21"/>
                <w:szCs w:val="21"/>
              </w:rPr>
            </w:pPr>
          </w:p>
        </w:tc>
        <w:tc>
          <w:tcPr>
            <w:tcW w:w="880" w:type="dxa"/>
            <w:noWrap w:val="0"/>
            <w:vAlign w:val="top"/>
          </w:tcPr>
          <w:p w14:paraId="12F4E599">
            <w:pPr>
              <w:spacing w:line="360" w:lineRule="auto"/>
              <w:rPr>
                <w:rFonts w:hint="eastAsia" w:ascii="宋体" w:hAnsi="宋体" w:eastAsia="宋体" w:cs="宋体"/>
                <w:color w:val="000000"/>
                <w:sz w:val="21"/>
                <w:szCs w:val="21"/>
              </w:rPr>
            </w:pPr>
          </w:p>
        </w:tc>
        <w:tc>
          <w:tcPr>
            <w:tcW w:w="1020" w:type="dxa"/>
            <w:noWrap w:val="0"/>
            <w:vAlign w:val="top"/>
          </w:tcPr>
          <w:p w14:paraId="4E2EC0AC">
            <w:pPr>
              <w:spacing w:line="360" w:lineRule="auto"/>
              <w:rPr>
                <w:rFonts w:hint="eastAsia" w:ascii="宋体" w:hAnsi="宋体" w:eastAsia="宋体" w:cs="宋体"/>
                <w:color w:val="000000"/>
                <w:sz w:val="21"/>
                <w:szCs w:val="21"/>
              </w:rPr>
            </w:pPr>
          </w:p>
        </w:tc>
        <w:tc>
          <w:tcPr>
            <w:tcW w:w="1480" w:type="dxa"/>
            <w:noWrap w:val="0"/>
            <w:vAlign w:val="top"/>
          </w:tcPr>
          <w:p w14:paraId="29C2F9D6">
            <w:pPr>
              <w:spacing w:line="360" w:lineRule="auto"/>
              <w:rPr>
                <w:rFonts w:hint="eastAsia" w:ascii="宋体" w:hAnsi="宋体" w:eastAsia="宋体" w:cs="宋体"/>
                <w:color w:val="000000"/>
                <w:sz w:val="21"/>
                <w:szCs w:val="21"/>
              </w:rPr>
            </w:pPr>
          </w:p>
        </w:tc>
        <w:tc>
          <w:tcPr>
            <w:tcW w:w="1020" w:type="dxa"/>
            <w:noWrap w:val="0"/>
            <w:vAlign w:val="top"/>
          </w:tcPr>
          <w:p w14:paraId="296EE695">
            <w:pPr>
              <w:spacing w:line="360" w:lineRule="auto"/>
              <w:rPr>
                <w:rFonts w:hint="eastAsia" w:ascii="宋体" w:hAnsi="宋体" w:eastAsia="宋体" w:cs="宋体"/>
                <w:color w:val="000000"/>
                <w:sz w:val="21"/>
                <w:szCs w:val="21"/>
              </w:rPr>
            </w:pPr>
          </w:p>
        </w:tc>
        <w:tc>
          <w:tcPr>
            <w:tcW w:w="921" w:type="dxa"/>
            <w:noWrap w:val="0"/>
            <w:vAlign w:val="top"/>
          </w:tcPr>
          <w:p w14:paraId="792EE0A4">
            <w:pPr>
              <w:spacing w:line="360" w:lineRule="auto"/>
              <w:rPr>
                <w:rFonts w:hint="eastAsia" w:ascii="宋体" w:hAnsi="宋体" w:eastAsia="宋体" w:cs="宋体"/>
                <w:color w:val="000000"/>
                <w:sz w:val="21"/>
                <w:szCs w:val="21"/>
              </w:rPr>
            </w:pPr>
          </w:p>
        </w:tc>
      </w:tr>
      <w:tr w14:paraId="1DF11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14:paraId="353AE5C1">
            <w:pPr>
              <w:spacing w:line="360" w:lineRule="auto"/>
              <w:rPr>
                <w:rFonts w:hint="eastAsia" w:ascii="宋体" w:hAnsi="宋体" w:eastAsia="宋体" w:cs="宋体"/>
                <w:color w:val="000000"/>
                <w:sz w:val="21"/>
                <w:szCs w:val="21"/>
              </w:rPr>
            </w:pPr>
          </w:p>
        </w:tc>
        <w:tc>
          <w:tcPr>
            <w:tcW w:w="1418" w:type="dxa"/>
            <w:noWrap w:val="0"/>
            <w:vAlign w:val="top"/>
          </w:tcPr>
          <w:p w14:paraId="349199AA">
            <w:pPr>
              <w:spacing w:line="360" w:lineRule="auto"/>
              <w:rPr>
                <w:rFonts w:hint="eastAsia" w:ascii="宋体" w:hAnsi="宋体" w:eastAsia="宋体" w:cs="宋体"/>
                <w:color w:val="000000"/>
                <w:sz w:val="21"/>
                <w:szCs w:val="21"/>
              </w:rPr>
            </w:pPr>
          </w:p>
        </w:tc>
        <w:tc>
          <w:tcPr>
            <w:tcW w:w="850" w:type="dxa"/>
            <w:noWrap w:val="0"/>
            <w:vAlign w:val="top"/>
          </w:tcPr>
          <w:p w14:paraId="16BAF037">
            <w:pPr>
              <w:spacing w:line="360" w:lineRule="auto"/>
              <w:rPr>
                <w:rFonts w:hint="eastAsia" w:ascii="宋体" w:hAnsi="宋体" w:eastAsia="宋体" w:cs="宋体"/>
                <w:color w:val="000000"/>
                <w:sz w:val="21"/>
                <w:szCs w:val="21"/>
              </w:rPr>
            </w:pPr>
          </w:p>
        </w:tc>
        <w:tc>
          <w:tcPr>
            <w:tcW w:w="1058" w:type="dxa"/>
            <w:noWrap w:val="0"/>
            <w:vAlign w:val="top"/>
          </w:tcPr>
          <w:p w14:paraId="41576549">
            <w:pPr>
              <w:spacing w:line="360" w:lineRule="auto"/>
              <w:rPr>
                <w:rFonts w:hint="eastAsia" w:ascii="宋体" w:hAnsi="宋体" w:eastAsia="宋体" w:cs="宋体"/>
                <w:color w:val="000000"/>
                <w:sz w:val="21"/>
                <w:szCs w:val="21"/>
              </w:rPr>
            </w:pPr>
          </w:p>
        </w:tc>
        <w:tc>
          <w:tcPr>
            <w:tcW w:w="880" w:type="dxa"/>
            <w:noWrap w:val="0"/>
            <w:vAlign w:val="top"/>
          </w:tcPr>
          <w:p w14:paraId="6E65ADBC">
            <w:pPr>
              <w:spacing w:line="360" w:lineRule="auto"/>
              <w:rPr>
                <w:rFonts w:hint="eastAsia" w:ascii="宋体" w:hAnsi="宋体" w:eastAsia="宋体" w:cs="宋体"/>
                <w:color w:val="000000"/>
                <w:sz w:val="21"/>
                <w:szCs w:val="21"/>
              </w:rPr>
            </w:pPr>
          </w:p>
        </w:tc>
        <w:tc>
          <w:tcPr>
            <w:tcW w:w="1020" w:type="dxa"/>
            <w:noWrap w:val="0"/>
            <w:vAlign w:val="top"/>
          </w:tcPr>
          <w:p w14:paraId="70234821">
            <w:pPr>
              <w:spacing w:line="360" w:lineRule="auto"/>
              <w:rPr>
                <w:rFonts w:hint="eastAsia" w:ascii="宋体" w:hAnsi="宋体" w:eastAsia="宋体" w:cs="宋体"/>
                <w:color w:val="000000"/>
                <w:sz w:val="21"/>
                <w:szCs w:val="21"/>
              </w:rPr>
            </w:pPr>
          </w:p>
        </w:tc>
        <w:tc>
          <w:tcPr>
            <w:tcW w:w="1480" w:type="dxa"/>
            <w:noWrap w:val="0"/>
            <w:vAlign w:val="top"/>
          </w:tcPr>
          <w:p w14:paraId="3834961A">
            <w:pPr>
              <w:spacing w:line="360" w:lineRule="auto"/>
              <w:rPr>
                <w:rFonts w:hint="eastAsia" w:ascii="宋体" w:hAnsi="宋体" w:eastAsia="宋体" w:cs="宋体"/>
                <w:color w:val="000000"/>
                <w:sz w:val="21"/>
                <w:szCs w:val="21"/>
              </w:rPr>
            </w:pPr>
          </w:p>
        </w:tc>
        <w:tc>
          <w:tcPr>
            <w:tcW w:w="1020" w:type="dxa"/>
            <w:noWrap w:val="0"/>
            <w:vAlign w:val="top"/>
          </w:tcPr>
          <w:p w14:paraId="1E888B50">
            <w:pPr>
              <w:spacing w:line="360" w:lineRule="auto"/>
              <w:rPr>
                <w:rFonts w:hint="eastAsia" w:ascii="宋体" w:hAnsi="宋体" w:eastAsia="宋体" w:cs="宋体"/>
                <w:color w:val="000000"/>
                <w:sz w:val="21"/>
                <w:szCs w:val="21"/>
              </w:rPr>
            </w:pPr>
          </w:p>
        </w:tc>
        <w:tc>
          <w:tcPr>
            <w:tcW w:w="921" w:type="dxa"/>
            <w:noWrap w:val="0"/>
            <w:vAlign w:val="top"/>
          </w:tcPr>
          <w:p w14:paraId="0C82B9B2">
            <w:pPr>
              <w:spacing w:line="360" w:lineRule="auto"/>
              <w:rPr>
                <w:rFonts w:hint="eastAsia" w:ascii="宋体" w:hAnsi="宋体" w:eastAsia="宋体" w:cs="宋体"/>
                <w:color w:val="000000"/>
                <w:sz w:val="21"/>
                <w:szCs w:val="21"/>
              </w:rPr>
            </w:pPr>
          </w:p>
        </w:tc>
      </w:tr>
      <w:tr w14:paraId="7DF04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936E508">
            <w:pPr>
              <w:spacing w:line="360" w:lineRule="auto"/>
              <w:rPr>
                <w:rFonts w:hint="eastAsia" w:ascii="宋体" w:hAnsi="宋体" w:eastAsia="宋体" w:cs="宋体"/>
                <w:color w:val="000000"/>
                <w:sz w:val="21"/>
                <w:szCs w:val="21"/>
              </w:rPr>
            </w:pPr>
          </w:p>
        </w:tc>
        <w:tc>
          <w:tcPr>
            <w:tcW w:w="1418" w:type="dxa"/>
            <w:noWrap w:val="0"/>
            <w:vAlign w:val="top"/>
          </w:tcPr>
          <w:p w14:paraId="18BEB184">
            <w:pPr>
              <w:spacing w:line="360" w:lineRule="auto"/>
              <w:rPr>
                <w:rFonts w:hint="eastAsia" w:ascii="宋体" w:hAnsi="宋体" w:eastAsia="宋体" w:cs="宋体"/>
                <w:color w:val="000000"/>
                <w:sz w:val="21"/>
                <w:szCs w:val="21"/>
              </w:rPr>
            </w:pPr>
          </w:p>
        </w:tc>
        <w:tc>
          <w:tcPr>
            <w:tcW w:w="850" w:type="dxa"/>
            <w:noWrap w:val="0"/>
            <w:vAlign w:val="top"/>
          </w:tcPr>
          <w:p w14:paraId="7E863B02">
            <w:pPr>
              <w:spacing w:line="360" w:lineRule="auto"/>
              <w:rPr>
                <w:rFonts w:hint="eastAsia" w:ascii="宋体" w:hAnsi="宋体" w:eastAsia="宋体" w:cs="宋体"/>
                <w:color w:val="000000"/>
                <w:sz w:val="21"/>
                <w:szCs w:val="21"/>
              </w:rPr>
            </w:pPr>
          </w:p>
        </w:tc>
        <w:tc>
          <w:tcPr>
            <w:tcW w:w="1058" w:type="dxa"/>
            <w:noWrap w:val="0"/>
            <w:vAlign w:val="top"/>
          </w:tcPr>
          <w:p w14:paraId="3A9EFDC4">
            <w:pPr>
              <w:spacing w:line="360" w:lineRule="auto"/>
              <w:rPr>
                <w:rFonts w:hint="eastAsia" w:ascii="宋体" w:hAnsi="宋体" w:eastAsia="宋体" w:cs="宋体"/>
                <w:color w:val="000000"/>
                <w:sz w:val="21"/>
                <w:szCs w:val="21"/>
              </w:rPr>
            </w:pPr>
          </w:p>
        </w:tc>
        <w:tc>
          <w:tcPr>
            <w:tcW w:w="880" w:type="dxa"/>
            <w:noWrap w:val="0"/>
            <w:vAlign w:val="top"/>
          </w:tcPr>
          <w:p w14:paraId="2D882206">
            <w:pPr>
              <w:spacing w:line="360" w:lineRule="auto"/>
              <w:rPr>
                <w:rFonts w:hint="eastAsia" w:ascii="宋体" w:hAnsi="宋体" w:eastAsia="宋体" w:cs="宋体"/>
                <w:color w:val="000000"/>
                <w:sz w:val="21"/>
                <w:szCs w:val="21"/>
              </w:rPr>
            </w:pPr>
          </w:p>
        </w:tc>
        <w:tc>
          <w:tcPr>
            <w:tcW w:w="1020" w:type="dxa"/>
            <w:noWrap w:val="0"/>
            <w:vAlign w:val="top"/>
          </w:tcPr>
          <w:p w14:paraId="470CC0D7">
            <w:pPr>
              <w:spacing w:line="360" w:lineRule="auto"/>
              <w:rPr>
                <w:rFonts w:hint="eastAsia" w:ascii="宋体" w:hAnsi="宋体" w:eastAsia="宋体" w:cs="宋体"/>
                <w:color w:val="000000"/>
                <w:sz w:val="21"/>
                <w:szCs w:val="21"/>
              </w:rPr>
            </w:pPr>
          </w:p>
        </w:tc>
        <w:tc>
          <w:tcPr>
            <w:tcW w:w="1480" w:type="dxa"/>
            <w:noWrap w:val="0"/>
            <w:vAlign w:val="top"/>
          </w:tcPr>
          <w:p w14:paraId="5C61E737">
            <w:pPr>
              <w:spacing w:line="360" w:lineRule="auto"/>
              <w:rPr>
                <w:rFonts w:hint="eastAsia" w:ascii="宋体" w:hAnsi="宋体" w:eastAsia="宋体" w:cs="宋体"/>
                <w:color w:val="000000"/>
                <w:sz w:val="21"/>
                <w:szCs w:val="21"/>
              </w:rPr>
            </w:pPr>
          </w:p>
        </w:tc>
        <w:tc>
          <w:tcPr>
            <w:tcW w:w="1020" w:type="dxa"/>
            <w:noWrap w:val="0"/>
            <w:vAlign w:val="top"/>
          </w:tcPr>
          <w:p w14:paraId="537A59E5">
            <w:pPr>
              <w:spacing w:line="360" w:lineRule="auto"/>
              <w:rPr>
                <w:rFonts w:hint="eastAsia" w:ascii="宋体" w:hAnsi="宋体" w:eastAsia="宋体" w:cs="宋体"/>
                <w:color w:val="000000"/>
                <w:sz w:val="21"/>
                <w:szCs w:val="21"/>
              </w:rPr>
            </w:pPr>
          </w:p>
        </w:tc>
        <w:tc>
          <w:tcPr>
            <w:tcW w:w="921" w:type="dxa"/>
            <w:noWrap w:val="0"/>
            <w:vAlign w:val="top"/>
          </w:tcPr>
          <w:p w14:paraId="012D3CDF">
            <w:pPr>
              <w:spacing w:line="360" w:lineRule="auto"/>
              <w:rPr>
                <w:rFonts w:hint="eastAsia" w:ascii="宋体" w:hAnsi="宋体" w:eastAsia="宋体" w:cs="宋体"/>
                <w:color w:val="000000"/>
                <w:sz w:val="21"/>
                <w:szCs w:val="21"/>
              </w:rPr>
            </w:pPr>
          </w:p>
        </w:tc>
      </w:tr>
      <w:tr w14:paraId="283CA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868B8AA">
            <w:pPr>
              <w:spacing w:line="360" w:lineRule="auto"/>
              <w:rPr>
                <w:rFonts w:hint="eastAsia" w:ascii="宋体" w:hAnsi="宋体" w:eastAsia="宋体" w:cs="宋体"/>
                <w:color w:val="000000"/>
                <w:sz w:val="21"/>
                <w:szCs w:val="21"/>
              </w:rPr>
            </w:pPr>
          </w:p>
        </w:tc>
        <w:tc>
          <w:tcPr>
            <w:tcW w:w="1418" w:type="dxa"/>
            <w:noWrap w:val="0"/>
            <w:vAlign w:val="top"/>
          </w:tcPr>
          <w:p w14:paraId="67967F82">
            <w:pPr>
              <w:spacing w:line="360" w:lineRule="auto"/>
              <w:rPr>
                <w:rFonts w:hint="eastAsia" w:ascii="宋体" w:hAnsi="宋体" w:eastAsia="宋体" w:cs="宋体"/>
                <w:color w:val="000000"/>
                <w:sz w:val="21"/>
                <w:szCs w:val="21"/>
              </w:rPr>
            </w:pPr>
          </w:p>
        </w:tc>
        <w:tc>
          <w:tcPr>
            <w:tcW w:w="850" w:type="dxa"/>
            <w:noWrap w:val="0"/>
            <w:vAlign w:val="top"/>
          </w:tcPr>
          <w:p w14:paraId="05E55C11">
            <w:pPr>
              <w:spacing w:line="360" w:lineRule="auto"/>
              <w:rPr>
                <w:rFonts w:hint="eastAsia" w:ascii="宋体" w:hAnsi="宋体" w:eastAsia="宋体" w:cs="宋体"/>
                <w:color w:val="000000"/>
                <w:sz w:val="21"/>
                <w:szCs w:val="21"/>
              </w:rPr>
            </w:pPr>
          </w:p>
        </w:tc>
        <w:tc>
          <w:tcPr>
            <w:tcW w:w="1058" w:type="dxa"/>
            <w:noWrap w:val="0"/>
            <w:vAlign w:val="top"/>
          </w:tcPr>
          <w:p w14:paraId="1A60C6E7">
            <w:pPr>
              <w:spacing w:line="360" w:lineRule="auto"/>
              <w:rPr>
                <w:rFonts w:hint="eastAsia" w:ascii="宋体" w:hAnsi="宋体" w:eastAsia="宋体" w:cs="宋体"/>
                <w:color w:val="000000"/>
                <w:sz w:val="21"/>
                <w:szCs w:val="21"/>
              </w:rPr>
            </w:pPr>
          </w:p>
        </w:tc>
        <w:tc>
          <w:tcPr>
            <w:tcW w:w="880" w:type="dxa"/>
            <w:noWrap w:val="0"/>
            <w:vAlign w:val="top"/>
          </w:tcPr>
          <w:p w14:paraId="56012FE7">
            <w:pPr>
              <w:spacing w:line="360" w:lineRule="auto"/>
              <w:rPr>
                <w:rFonts w:hint="eastAsia" w:ascii="宋体" w:hAnsi="宋体" w:eastAsia="宋体" w:cs="宋体"/>
                <w:color w:val="000000"/>
                <w:sz w:val="21"/>
                <w:szCs w:val="21"/>
              </w:rPr>
            </w:pPr>
          </w:p>
        </w:tc>
        <w:tc>
          <w:tcPr>
            <w:tcW w:w="1020" w:type="dxa"/>
            <w:noWrap w:val="0"/>
            <w:vAlign w:val="top"/>
          </w:tcPr>
          <w:p w14:paraId="028B4594">
            <w:pPr>
              <w:spacing w:line="360" w:lineRule="auto"/>
              <w:rPr>
                <w:rFonts w:hint="eastAsia" w:ascii="宋体" w:hAnsi="宋体" w:eastAsia="宋体" w:cs="宋体"/>
                <w:color w:val="000000"/>
                <w:sz w:val="21"/>
                <w:szCs w:val="21"/>
              </w:rPr>
            </w:pPr>
          </w:p>
        </w:tc>
        <w:tc>
          <w:tcPr>
            <w:tcW w:w="1480" w:type="dxa"/>
            <w:noWrap w:val="0"/>
            <w:vAlign w:val="top"/>
          </w:tcPr>
          <w:p w14:paraId="2A0B3649">
            <w:pPr>
              <w:spacing w:line="360" w:lineRule="auto"/>
              <w:rPr>
                <w:rFonts w:hint="eastAsia" w:ascii="宋体" w:hAnsi="宋体" w:eastAsia="宋体" w:cs="宋体"/>
                <w:color w:val="000000"/>
                <w:sz w:val="21"/>
                <w:szCs w:val="21"/>
              </w:rPr>
            </w:pPr>
          </w:p>
        </w:tc>
        <w:tc>
          <w:tcPr>
            <w:tcW w:w="1020" w:type="dxa"/>
            <w:noWrap w:val="0"/>
            <w:vAlign w:val="top"/>
          </w:tcPr>
          <w:p w14:paraId="5222E313">
            <w:pPr>
              <w:spacing w:line="360" w:lineRule="auto"/>
              <w:rPr>
                <w:rFonts w:hint="eastAsia" w:ascii="宋体" w:hAnsi="宋体" w:eastAsia="宋体" w:cs="宋体"/>
                <w:color w:val="000000"/>
                <w:sz w:val="21"/>
                <w:szCs w:val="21"/>
              </w:rPr>
            </w:pPr>
          </w:p>
        </w:tc>
        <w:tc>
          <w:tcPr>
            <w:tcW w:w="921" w:type="dxa"/>
            <w:noWrap w:val="0"/>
            <w:vAlign w:val="top"/>
          </w:tcPr>
          <w:p w14:paraId="42CBEB7A">
            <w:pPr>
              <w:spacing w:line="360" w:lineRule="auto"/>
              <w:rPr>
                <w:rFonts w:hint="eastAsia" w:ascii="宋体" w:hAnsi="宋体" w:eastAsia="宋体" w:cs="宋体"/>
                <w:color w:val="000000"/>
                <w:sz w:val="21"/>
                <w:szCs w:val="21"/>
              </w:rPr>
            </w:pPr>
          </w:p>
        </w:tc>
      </w:tr>
      <w:tr w14:paraId="1F647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053D06C">
            <w:pPr>
              <w:spacing w:line="360" w:lineRule="auto"/>
              <w:rPr>
                <w:rFonts w:hint="eastAsia" w:ascii="宋体" w:hAnsi="宋体" w:eastAsia="宋体" w:cs="宋体"/>
                <w:color w:val="000000"/>
                <w:sz w:val="21"/>
                <w:szCs w:val="21"/>
              </w:rPr>
            </w:pPr>
          </w:p>
        </w:tc>
        <w:tc>
          <w:tcPr>
            <w:tcW w:w="1418" w:type="dxa"/>
            <w:noWrap w:val="0"/>
            <w:vAlign w:val="top"/>
          </w:tcPr>
          <w:p w14:paraId="14B674C6">
            <w:pPr>
              <w:spacing w:line="360" w:lineRule="auto"/>
              <w:rPr>
                <w:rFonts w:hint="eastAsia" w:ascii="宋体" w:hAnsi="宋体" w:eastAsia="宋体" w:cs="宋体"/>
                <w:color w:val="000000"/>
                <w:sz w:val="21"/>
                <w:szCs w:val="21"/>
              </w:rPr>
            </w:pPr>
          </w:p>
        </w:tc>
        <w:tc>
          <w:tcPr>
            <w:tcW w:w="850" w:type="dxa"/>
            <w:noWrap w:val="0"/>
            <w:vAlign w:val="top"/>
          </w:tcPr>
          <w:p w14:paraId="6F41657C">
            <w:pPr>
              <w:spacing w:line="360" w:lineRule="auto"/>
              <w:rPr>
                <w:rFonts w:hint="eastAsia" w:ascii="宋体" w:hAnsi="宋体" w:eastAsia="宋体" w:cs="宋体"/>
                <w:color w:val="000000"/>
                <w:sz w:val="21"/>
                <w:szCs w:val="21"/>
              </w:rPr>
            </w:pPr>
          </w:p>
        </w:tc>
        <w:tc>
          <w:tcPr>
            <w:tcW w:w="1058" w:type="dxa"/>
            <w:noWrap w:val="0"/>
            <w:vAlign w:val="top"/>
          </w:tcPr>
          <w:p w14:paraId="0B51BFCB">
            <w:pPr>
              <w:spacing w:line="360" w:lineRule="auto"/>
              <w:rPr>
                <w:rFonts w:hint="eastAsia" w:ascii="宋体" w:hAnsi="宋体" w:eastAsia="宋体" w:cs="宋体"/>
                <w:color w:val="000000"/>
                <w:sz w:val="21"/>
                <w:szCs w:val="21"/>
              </w:rPr>
            </w:pPr>
          </w:p>
        </w:tc>
        <w:tc>
          <w:tcPr>
            <w:tcW w:w="880" w:type="dxa"/>
            <w:noWrap w:val="0"/>
            <w:vAlign w:val="top"/>
          </w:tcPr>
          <w:p w14:paraId="4859C470">
            <w:pPr>
              <w:spacing w:line="360" w:lineRule="auto"/>
              <w:rPr>
                <w:rFonts w:hint="eastAsia" w:ascii="宋体" w:hAnsi="宋体" w:eastAsia="宋体" w:cs="宋体"/>
                <w:color w:val="000000"/>
                <w:sz w:val="21"/>
                <w:szCs w:val="21"/>
              </w:rPr>
            </w:pPr>
          </w:p>
        </w:tc>
        <w:tc>
          <w:tcPr>
            <w:tcW w:w="1020" w:type="dxa"/>
            <w:noWrap w:val="0"/>
            <w:vAlign w:val="top"/>
          </w:tcPr>
          <w:p w14:paraId="00BAF9FC">
            <w:pPr>
              <w:spacing w:line="360" w:lineRule="auto"/>
              <w:rPr>
                <w:rFonts w:hint="eastAsia" w:ascii="宋体" w:hAnsi="宋体" w:eastAsia="宋体" w:cs="宋体"/>
                <w:color w:val="000000"/>
                <w:sz w:val="21"/>
                <w:szCs w:val="21"/>
              </w:rPr>
            </w:pPr>
          </w:p>
        </w:tc>
        <w:tc>
          <w:tcPr>
            <w:tcW w:w="1480" w:type="dxa"/>
            <w:noWrap w:val="0"/>
            <w:vAlign w:val="top"/>
          </w:tcPr>
          <w:p w14:paraId="0A6B3069">
            <w:pPr>
              <w:spacing w:line="360" w:lineRule="auto"/>
              <w:rPr>
                <w:rFonts w:hint="eastAsia" w:ascii="宋体" w:hAnsi="宋体" w:eastAsia="宋体" w:cs="宋体"/>
                <w:color w:val="000000"/>
                <w:sz w:val="21"/>
                <w:szCs w:val="21"/>
              </w:rPr>
            </w:pPr>
          </w:p>
        </w:tc>
        <w:tc>
          <w:tcPr>
            <w:tcW w:w="1020" w:type="dxa"/>
            <w:noWrap w:val="0"/>
            <w:vAlign w:val="top"/>
          </w:tcPr>
          <w:p w14:paraId="01ECF6A5">
            <w:pPr>
              <w:spacing w:line="360" w:lineRule="auto"/>
              <w:rPr>
                <w:rFonts w:hint="eastAsia" w:ascii="宋体" w:hAnsi="宋体" w:eastAsia="宋体" w:cs="宋体"/>
                <w:color w:val="000000"/>
                <w:sz w:val="21"/>
                <w:szCs w:val="21"/>
              </w:rPr>
            </w:pPr>
          </w:p>
        </w:tc>
        <w:tc>
          <w:tcPr>
            <w:tcW w:w="921" w:type="dxa"/>
            <w:noWrap w:val="0"/>
            <w:vAlign w:val="top"/>
          </w:tcPr>
          <w:p w14:paraId="7CF97D8E">
            <w:pPr>
              <w:spacing w:line="360" w:lineRule="auto"/>
              <w:rPr>
                <w:rFonts w:hint="eastAsia" w:ascii="宋体" w:hAnsi="宋体" w:eastAsia="宋体" w:cs="宋体"/>
                <w:color w:val="000000"/>
                <w:sz w:val="21"/>
                <w:szCs w:val="21"/>
              </w:rPr>
            </w:pPr>
          </w:p>
        </w:tc>
      </w:tr>
      <w:tr w14:paraId="00366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57D76BA">
            <w:pPr>
              <w:spacing w:line="360" w:lineRule="auto"/>
              <w:rPr>
                <w:rFonts w:hint="eastAsia" w:ascii="宋体" w:hAnsi="宋体" w:eastAsia="宋体" w:cs="宋体"/>
                <w:color w:val="000000"/>
                <w:sz w:val="21"/>
                <w:szCs w:val="21"/>
              </w:rPr>
            </w:pPr>
          </w:p>
        </w:tc>
        <w:tc>
          <w:tcPr>
            <w:tcW w:w="1418" w:type="dxa"/>
            <w:noWrap w:val="0"/>
            <w:vAlign w:val="top"/>
          </w:tcPr>
          <w:p w14:paraId="06A25745">
            <w:pPr>
              <w:spacing w:line="360" w:lineRule="auto"/>
              <w:rPr>
                <w:rFonts w:hint="eastAsia" w:ascii="宋体" w:hAnsi="宋体" w:eastAsia="宋体" w:cs="宋体"/>
                <w:color w:val="000000"/>
                <w:sz w:val="21"/>
                <w:szCs w:val="21"/>
              </w:rPr>
            </w:pPr>
          </w:p>
        </w:tc>
        <w:tc>
          <w:tcPr>
            <w:tcW w:w="850" w:type="dxa"/>
            <w:noWrap w:val="0"/>
            <w:vAlign w:val="top"/>
          </w:tcPr>
          <w:p w14:paraId="29C1D050">
            <w:pPr>
              <w:spacing w:line="360" w:lineRule="auto"/>
              <w:rPr>
                <w:rFonts w:hint="eastAsia" w:ascii="宋体" w:hAnsi="宋体" w:eastAsia="宋体" w:cs="宋体"/>
                <w:color w:val="000000"/>
                <w:sz w:val="21"/>
                <w:szCs w:val="21"/>
              </w:rPr>
            </w:pPr>
          </w:p>
        </w:tc>
        <w:tc>
          <w:tcPr>
            <w:tcW w:w="1058" w:type="dxa"/>
            <w:noWrap w:val="0"/>
            <w:vAlign w:val="top"/>
          </w:tcPr>
          <w:p w14:paraId="61A78A82">
            <w:pPr>
              <w:spacing w:line="360" w:lineRule="auto"/>
              <w:rPr>
                <w:rFonts w:hint="eastAsia" w:ascii="宋体" w:hAnsi="宋体" w:eastAsia="宋体" w:cs="宋体"/>
                <w:color w:val="000000"/>
                <w:sz w:val="21"/>
                <w:szCs w:val="21"/>
              </w:rPr>
            </w:pPr>
          </w:p>
        </w:tc>
        <w:tc>
          <w:tcPr>
            <w:tcW w:w="880" w:type="dxa"/>
            <w:noWrap w:val="0"/>
            <w:vAlign w:val="top"/>
          </w:tcPr>
          <w:p w14:paraId="5AE015F1">
            <w:pPr>
              <w:spacing w:line="360" w:lineRule="auto"/>
              <w:rPr>
                <w:rFonts w:hint="eastAsia" w:ascii="宋体" w:hAnsi="宋体" w:eastAsia="宋体" w:cs="宋体"/>
                <w:color w:val="000000"/>
                <w:sz w:val="21"/>
                <w:szCs w:val="21"/>
              </w:rPr>
            </w:pPr>
          </w:p>
        </w:tc>
        <w:tc>
          <w:tcPr>
            <w:tcW w:w="1020" w:type="dxa"/>
            <w:noWrap w:val="0"/>
            <w:vAlign w:val="top"/>
          </w:tcPr>
          <w:p w14:paraId="1DF91F2C">
            <w:pPr>
              <w:spacing w:line="360" w:lineRule="auto"/>
              <w:rPr>
                <w:rFonts w:hint="eastAsia" w:ascii="宋体" w:hAnsi="宋体" w:eastAsia="宋体" w:cs="宋体"/>
                <w:color w:val="000000"/>
                <w:sz w:val="21"/>
                <w:szCs w:val="21"/>
              </w:rPr>
            </w:pPr>
          </w:p>
        </w:tc>
        <w:tc>
          <w:tcPr>
            <w:tcW w:w="1480" w:type="dxa"/>
            <w:noWrap w:val="0"/>
            <w:vAlign w:val="top"/>
          </w:tcPr>
          <w:p w14:paraId="3472F245">
            <w:pPr>
              <w:spacing w:line="360" w:lineRule="auto"/>
              <w:rPr>
                <w:rFonts w:hint="eastAsia" w:ascii="宋体" w:hAnsi="宋体" w:eastAsia="宋体" w:cs="宋体"/>
                <w:color w:val="000000"/>
                <w:sz w:val="21"/>
                <w:szCs w:val="21"/>
              </w:rPr>
            </w:pPr>
          </w:p>
        </w:tc>
        <w:tc>
          <w:tcPr>
            <w:tcW w:w="1020" w:type="dxa"/>
            <w:noWrap w:val="0"/>
            <w:vAlign w:val="top"/>
          </w:tcPr>
          <w:p w14:paraId="077318C3">
            <w:pPr>
              <w:spacing w:line="360" w:lineRule="auto"/>
              <w:rPr>
                <w:rFonts w:hint="eastAsia" w:ascii="宋体" w:hAnsi="宋体" w:eastAsia="宋体" w:cs="宋体"/>
                <w:color w:val="000000"/>
                <w:sz w:val="21"/>
                <w:szCs w:val="21"/>
              </w:rPr>
            </w:pPr>
          </w:p>
        </w:tc>
        <w:tc>
          <w:tcPr>
            <w:tcW w:w="921" w:type="dxa"/>
            <w:noWrap w:val="0"/>
            <w:vAlign w:val="top"/>
          </w:tcPr>
          <w:p w14:paraId="10ECDC4C">
            <w:pPr>
              <w:spacing w:line="360" w:lineRule="auto"/>
              <w:rPr>
                <w:rFonts w:hint="eastAsia" w:ascii="宋体" w:hAnsi="宋体" w:eastAsia="宋体" w:cs="宋体"/>
                <w:color w:val="000000"/>
                <w:sz w:val="21"/>
                <w:szCs w:val="21"/>
              </w:rPr>
            </w:pPr>
          </w:p>
        </w:tc>
      </w:tr>
      <w:tr w14:paraId="30FC5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AF45B92">
            <w:pPr>
              <w:spacing w:line="360" w:lineRule="auto"/>
              <w:rPr>
                <w:rFonts w:hint="eastAsia" w:ascii="宋体" w:hAnsi="宋体" w:eastAsia="宋体" w:cs="宋体"/>
                <w:color w:val="000000"/>
                <w:sz w:val="21"/>
                <w:szCs w:val="21"/>
              </w:rPr>
            </w:pPr>
          </w:p>
        </w:tc>
        <w:tc>
          <w:tcPr>
            <w:tcW w:w="1418" w:type="dxa"/>
            <w:noWrap w:val="0"/>
            <w:vAlign w:val="top"/>
          </w:tcPr>
          <w:p w14:paraId="6343D754">
            <w:pPr>
              <w:spacing w:line="360" w:lineRule="auto"/>
              <w:rPr>
                <w:rFonts w:hint="eastAsia" w:ascii="宋体" w:hAnsi="宋体" w:eastAsia="宋体" w:cs="宋体"/>
                <w:color w:val="000000"/>
                <w:sz w:val="21"/>
                <w:szCs w:val="21"/>
              </w:rPr>
            </w:pPr>
          </w:p>
        </w:tc>
        <w:tc>
          <w:tcPr>
            <w:tcW w:w="850" w:type="dxa"/>
            <w:noWrap w:val="0"/>
            <w:vAlign w:val="top"/>
          </w:tcPr>
          <w:p w14:paraId="47BDA2F5">
            <w:pPr>
              <w:spacing w:line="360" w:lineRule="auto"/>
              <w:rPr>
                <w:rFonts w:hint="eastAsia" w:ascii="宋体" w:hAnsi="宋体" w:eastAsia="宋体" w:cs="宋体"/>
                <w:color w:val="000000"/>
                <w:sz w:val="21"/>
                <w:szCs w:val="21"/>
              </w:rPr>
            </w:pPr>
          </w:p>
        </w:tc>
        <w:tc>
          <w:tcPr>
            <w:tcW w:w="1058" w:type="dxa"/>
            <w:noWrap w:val="0"/>
            <w:vAlign w:val="top"/>
          </w:tcPr>
          <w:p w14:paraId="4724EA9F">
            <w:pPr>
              <w:spacing w:line="360" w:lineRule="auto"/>
              <w:rPr>
                <w:rFonts w:hint="eastAsia" w:ascii="宋体" w:hAnsi="宋体" w:eastAsia="宋体" w:cs="宋体"/>
                <w:color w:val="000000"/>
                <w:sz w:val="21"/>
                <w:szCs w:val="21"/>
              </w:rPr>
            </w:pPr>
          </w:p>
        </w:tc>
        <w:tc>
          <w:tcPr>
            <w:tcW w:w="880" w:type="dxa"/>
            <w:noWrap w:val="0"/>
            <w:vAlign w:val="top"/>
          </w:tcPr>
          <w:p w14:paraId="321A1ED9">
            <w:pPr>
              <w:spacing w:line="360" w:lineRule="auto"/>
              <w:rPr>
                <w:rFonts w:hint="eastAsia" w:ascii="宋体" w:hAnsi="宋体" w:eastAsia="宋体" w:cs="宋体"/>
                <w:color w:val="000000"/>
                <w:sz w:val="21"/>
                <w:szCs w:val="21"/>
              </w:rPr>
            </w:pPr>
          </w:p>
        </w:tc>
        <w:tc>
          <w:tcPr>
            <w:tcW w:w="1020" w:type="dxa"/>
            <w:noWrap w:val="0"/>
            <w:vAlign w:val="top"/>
          </w:tcPr>
          <w:p w14:paraId="066E8902">
            <w:pPr>
              <w:spacing w:line="360" w:lineRule="auto"/>
              <w:rPr>
                <w:rFonts w:hint="eastAsia" w:ascii="宋体" w:hAnsi="宋体" w:eastAsia="宋体" w:cs="宋体"/>
                <w:color w:val="000000"/>
                <w:sz w:val="21"/>
                <w:szCs w:val="21"/>
              </w:rPr>
            </w:pPr>
          </w:p>
        </w:tc>
        <w:tc>
          <w:tcPr>
            <w:tcW w:w="1480" w:type="dxa"/>
            <w:noWrap w:val="0"/>
            <w:vAlign w:val="top"/>
          </w:tcPr>
          <w:p w14:paraId="19A8BAA4">
            <w:pPr>
              <w:spacing w:line="360" w:lineRule="auto"/>
              <w:rPr>
                <w:rFonts w:hint="eastAsia" w:ascii="宋体" w:hAnsi="宋体" w:eastAsia="宋体" w:cs="宋体"/>
                <w:color w:val="000000"/>
                <w:sz w:val="21"/>
                <w:szCs w:val="21"/>
              </w:rPr>
            </w:pPr>
          </w:p>
        </w:tc>
        <w:tc>
          <w:tcPr>
            <w:tcW w:w="1020" w:type="dxa"/>
            <w:noWrap w:val="0"/>
            <w:vAlign w:val="top"/>
          </w:tcPr>
          <w:p w14:paraId="011CF27A">
            <w:pPr>
              <w:spacing w:line="360" w:lineRule="auto"/>
              <w:rPr>
                <w:rFonts w:hint="eastAsia" w:ascii="宋体" w:hAnsi="宋体" w:eastAsia="宋体" w:cs="宋体"/>
                <w:color w:val="000000"/>
                <w:sz w:val="21"/>
                <w:szCs w:val="21"/>
              </w:rPr>
            </w:pPr>
          </w:p>
        </w:tc>
        <w:tc>
          <w:tcPr>
            <w:tcW w:w="921" w:type="dxa"/>
            <w:noWrap w:val="0"/>
            <w:vAlign w:val="top"/>
          </w:tcPr>
          <w:p w14:paraId="006C1A46">
            <w:pPr>
              <w:spacing w:line="360" w:lineRule="auto"/>
              <w:rPr>
                <w:rFonts w:hint="eastAsia" w:ascii="宋体" w:hAnsi="宋体" w:eastAsia="宋体" w:cs="宋体"/>
                <w:color w:val="000000"/>
                <w:sz w:val="21"/>
                <w:szCs w:val="21"/>
              </w:rPr>
            </w:pPr>
          </w:p>
        </w:tc>
      </w:tr>
      <w:tr w14:paraId="2F164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285FEDE">
            <w:pPr>
              <w:spacing w:line="360" w:lineRule="auto"/>
              <w:rPr>
                <w:rFonts w:hint="eastAsia" w:ascii="宋体" w:hAnsi="宋体" w:eastAsia="宋体" w:cs="宋体"/>
                <w:color w:val="000000"/>
                <w:sz w:val="21"/>
                <w:szCs w:val="21"/>
              </w:rPr>
            </w:pPr>
          </w:p>
        </w:tc>
        <w:tc>
          <w:tcPr>
            <w:tcW w:w="1418" w:type="dxa"/>
            <w:noWrap w:val="0"/>
            <w:vAlign w:val="top"/>
          </w:tcPr>
          <w:p w14:paraId="3ED4D43A">
            <w:pPr>
              <w:spacing w:line="360" w:lineRule="auto"/>
              <w:rPr>
                <w:rFonts w:hint="eastAsia" w:ascii="宋体" w:hAnsi="宋体" w:eastAsia="宋体" w:cs="宋体"/>
                <w:color w:val="000000"/>
                <w:sz w:val="21"/>
                <w:szCs w:val="21"/>
              </w:rPr>
            </w:pPr>
          </w:p>
        </w:tc>
        <w:tc>
          <w:tcPr>
            <w:tcW w:w="850" w:type="dxa"/>
            <w:noWrap w:val="0"/>
            <w:vAlign w:val="top"/>
          </w:tcPr>
          <w:p w14:paraId="25EA9210">
            <w:pPr>
              <w:spacing w:line="360" w:lineRule="auto"/>
              <w:rPr>
                <w:rFonts w:hint="eastAsia" w:ascii="宋体" w:hAnsi="宋体" w:eastAsia="宋体" w:cs="宋体"/>
                <w:color w:val="000000"/>
                <w:sz w:val="21"/>
                <w:szCs w:val="21"/>
              </w:rPr>
            </w:pPr>
          </w:p>
        </w:tc>
        <w:tc>
          <w:tcPr>
            <w:tcW w:w="1058" w:type="dxa"/>
            <w:noWrap w:val="0"/>
            <w:vAlign w:val="top"/>
          </w:tcPr>
          <w:p w14:paraId="258EA031">
            <w:pPr>
              <w:spacing w:line="360" w:lineRule="auto"/>
              <w:rPr>
                <w:rFonts w:hint="eastAsia" w:ascii="宋体" w:hAnsi="宋体" w:eastAsia="宋体" w:cs="宋体"/>
                <w:color w:val="000000"/>
                <w:sz w:val="21"/>
                <w:szCs w:val="21"/>
              </w:rPr>
            </w:pPr>
          </w:p>
        </w:tc>
        <w:tc>
          <w:tcPr>
            <w:tcW w:w="880" w:type="dxa"/>
            <w:noWrap w:val="0"/>
            <w:vAlign w:val="top"/>
          </w:tcPr>
          <w:p w14:paraId="73D754AC">
            <w:pPr>
              <w:spacing w:line="360" w:lineRule="auto"/>
              <w:rPr>
                <w:rFonts w:hint="eastAsia" w:ascii="宋体" w:hAnsi="宋体" w:eastAsia="宋体" w:cs="宋体"/>
                <w:color w:val="000000"/>
                <w:sz w:val="21"/>
                <w:szCs w:val="21"/>
              </w:rPr>
            </w:pPr>
          </w:p>
        </w:tc>
        <w:tc>
          <w:tcPr>
            <w:tcW w:w="1020" w:type="dxa"/>
            <w:noWrap w:val="0"/>
            <w:vAlign w:val="top"/>
          </w:tcPr>
          <w:p w14:paraId="75263525">
            <w:pPr>
              <w:spacing w:line="360" w:lineRule="auto"/>
              <w:rPr>
                <w:rFonts w:hint="eastAsia" w:ascii="宋体" w:hAnsi="宋体" w:eastAsia="宋体" w:cs="宋体"/>
                <w:color w:val="000000"/>
                <w:sz w:val="21"/>
                <w:szCs w:val="21"/>
              </w:rPr>
            </w:pPr>
          </w:p>
        </w:tc>
        <w:tc>
          <w:tcPr>
            <w:tcW w:w="1480" w:type="dxa"/>
            <w:noWrap w:val="0"/>
            <w:vAlign w:val="top"/>
          </w:tcPr>
          <w:p w14:paraId="15191BAE">
            <w:pPr>
              <w:spacing w:line="360" w:lineRule="auto"/>
              <w:rPr>
                <w:rFonts w:hint="eastAsia" w:ascii="宋体" w:hAnsi="宋体" w:eastAsia="宋体" w:cs="宋体"/>
                <w:color w:val="000000"/>
                <w:sz w:val="21"/>
                <w:szCs w:val="21"/>
              </w:rPr>
            </w:pPr>
          </w:p>
        </w:tc>
        <w:tc>
          <w:tcPr>
            <w:tcW w:w="1020" w:type="dxa"/>
            <w:noWrap w:val="0"/>
            <w:vAlign w:val="top"/>
          </w:tcPr>
          <w:p w14:paraId="64D491DA">
            <w:pPr>
              <w:spacing w:line="360" w:lineRule="auto"/>
              <w:rPr>
                <w:rFonts w:hint="eastAsia" w:ascii="宋体" w:hAnsi="宋体" w:eastAsia="宋体" w:cs="宋体"/>
                <w:color w:val="000000"/>
                <w:sz w:val="21"/>
                <w:szCs w:val="21"/>
              </w:rPr>
            </w:pPr>
          </w:p>
        </w:tc>
        <w:tc>
          <w:tcPr>
            <w:tcW w:w="921" w:type="dxa"/>
            <w:noWrap w:val="0"/>
            <w:vAlign w:val="top"/>
          </w:tcPr>
          <w:p w14:paraId="3577CBA3">
            <w:pPr>
              <w:spacing w:line="360" w:lineRule="auto"/>
              <w:rPr>
                <w:rFonts w:hint="eastAsia" w:ascii="宋体" w:hAnsi="宋体" w:eastAsia="宋体" w:cs="宋体"/>
                <w:color w:val="000000"/>
                <w:sz w:val="21"/>
                <w:szCs w:val="21"/>
              </w:rPr>
            </w:pPr>
          </w:p>
        </w:tc>
      </w:tr>
      <w:tr w14:paraId="2DA43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966E528">
            <w:pPr>
              <w:spacing w:line="360" w:lineRule="auto"/>
              <w:rPr>
                <w:rFonts w:hint="eastAsia" w:ascii="宋体" w:hAnsi="宋体" w:eastAsia="宋体" w:cs="宋体"/>
                <w:color w:val="000000"/>
                <w:sz w:val="21"/>
                <w:szCs w:val="21"/>
              </w:rPr>
            </w:pPr>
          </w:p>
        </w:tc>
        <w:tc>
          <w:tcPr>
            <w:tcW w:w="1418" w:type="dxa"/>
            <w:noWrap w:val="0"/>
            <w:vAlign w:val="top"/>
          </w:tcPr>
          <w:p w14:paraId="51C6FCFC">
            <w:pPr>
              <w:spacing w:line="360" w:lineRule="auto"/>
              <w:rPr>
                <w:rFonts w:hint="eastAsia" w:ascii="宋体" w:hAnsi="宋体" w:eastAsia="宋体" w:cs="宋体"/>
                <w:color w:val="000000"/>
                <w:sz w:val="21"/>
                <w:szCs w:val="21"/>
              </w:rPr>
            </w:pPr>
          </w:p>
        </w:tc>
        <w:tc>
          <w:tcPr>
            <w:tcW w:w="850" w:type="dxa"/>
            <w:noWrap w:val="0"/>
            <w:vAlign w:val="top"/>
          </w:tcPr>
          <w:p w14:paraId="27EA17F4">
            <w:pPr>
              <w:spacing w:line="360" w:lineRule="auto"/>
              <w:rPr>
                <w:rFonts w:hint="eastAsia" w:ascii="宋体" w:hAnsi="宋体" w:eastAsia="宋体" w:cs="宋体"/>
                <w:color w:val="000000"/>
                <w:sz w:val="21"/>
                <w:szCs w:val="21"/>
              </w:rPr>
            </w:pPr>
          </w:p>
        </w:tc>
        <w:tc>
          <w:tcPr>
            <w:tcW w:w="1058" w:type="dxa"/>
            <w:noWrap w:val="0"/>
            <w:vAlign w:val="top"/>
          </w:tcPr>
          <w:p w14:paraId="13C6C65A">
            <w:pPr>
              <w:spacing w:line="360" w:lineRule="auto"/>
              <w:rPr>
                <w:rFonts w:hint="eastAsia" w:ascii="宋体" w:hAnsi="宋体" w:eastAsia="宋体" w:cs="宋体"/>
                <w:color w:val="000000"/>
                <w:sz w:val="21"/>
                <w:szCs w:val="21"/>
              </w:rPr>
            </w:pPr>
          </w:p>
        </w:tc>
        <w:tc>
          <w:tcPr>
            <w:tcW w:w="880" w:type="dxa"/>
            <w:noWrap w:val="0"/>
            <w:vAlign w:val="top"/>
          </w:tcPr>
          <w:p w14:paraId="466D5399">
            <w:pPr>
              <w:spacing w:line="360" w:lineRule="auto"/>
              <w:rPr>
                <w:rFonts w:hint="eastAsia" w:ascii="宋体" w:hAnsi="宋体" w:eastAsia="宋体" w:cs="宋体"/>
                <w:color w:val="000000"/>
                <w:sz w:val="21"/>
                <w:szCs w:val="21"/>
              </w:rPr>
            </w:pPr>
          </w:p>
        </w:tc>
        <w:tc>
          <w:tcPr>
            <w:tcW w:w="1020" w:type="dxa"/>
            <w:noWrap w:val="0"/>
            <w:vAlign w:val="top"/>
          </w:tcPr>
          <w:p w14:paraId="77F44D29">
            <w:pPr>
              <w:spacing w:line="360" w:lineRule="auto"/>
              <w:rPr>
                <w:rFonts w:hint="eastAsia" w:ascii="宋体" w:hAnsi="宋体" w:eastAsia="宋体" w:cs="宋体"/>
                <w:color w:val="000000"/>
                <w:sz w:val="21"/>
                <w:szCs w:val="21"/>
              </w:rPr>
            </w:pPr>
          </w:p>
        </w:tc>
        <w:tc>
          <w:tcPr>
            <w:tcW w:w="1480" w:type="dxa"/>
            <w:noWrap w:val="0"/>
            <w:vAlign w:val="top"/>
          </w:tcPr>
          <w:p w14:paraId="45318417">
            <w:pPr>
              <w:spacing w:line="360" w:lineRule="auto"/>
              <w:rPr>
                <w:rFonts w:hint="eastAsia" w:ascii="宋体" w:hAnsi="宋体" w:eastAsia="宋体" w:cs="宋体"/>
                <w:color w:val="000000"/>
                <w:sz w:val="21"/>
                <w:szCs w:val="21"/>
              </w:rPr>
            </w:pPr>
          </w:p>
        </w:tc>
        <w:tc>
          <w:tcPr>
            <w:tcW w:w="1020" w:type="dxa"/>
            <w:noWrap w:val="0"/>
            <w:vAlign w:val="top"/>
          </w:tcPr>
          <w:p w14:paraId="315C23AA">
            <w:pPr>
              <w:spacing w:line="360" w:lineRule="auto"/>
              <w:rPr>
                <w:rFonts w:hint="eastAsia" w:ascii="宋体" w:hAnsi="宋体" w:eastAsia="宋体" w:cs="宋体"/>
                <w:color w:val="000000"/>
                <w:sz w:val="21"/>
                <w:szCs w:val="21"/>
              </w:rPr>
            </w:pPr>
          </w:p>
        </w:tc>
        <w:tc>
          <w:tcPr>
            <w:tcW w:w="921" w:type="dxa"/>
            <w:noWrap w:val="0"/>
            <w:vAlign w:val="top"/>
          </w:tcPr>
          <w:p w14:paraId="033D8335">
            <w:pPr>
              <w:spacing w:line="360" w:lineRule="auto"/>
              <w:rPr>
                <w:rFonts w:hint="eastAsia" w:ascii="宋体" w:hAnsi="宋体" w:eastAsia="宋体" w:cs="宋体"/>
                <w:color w:val="000000"/>
                <w:sz w:val="21"/>
                <w:szCs w:val="21"/>
              </w:rPr>
            </w:pPr>
          </w:p>
        </w:tc>
      </w:tr>
    </w:tbl>
    <w:p w14:paraId="3398292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附</w:t>
      </w:r>
      <w:bookmarkStart w:id="1007" w:name="_Toc296347227"/>
      <w:bookmarkStart w:id="1008" w:name="_Toc296891056"/>
      <w:bookmarkStart w:id="1009" w:name="_Toc296891268"/>
      <w:bookmarkStart w:id="1010" w:name="_Toc296944567"/>
      <w:bookmarkStart w:id="1011" w:name="_Toc267261699"/>
      <w:bookmarkStart w:id="1012" w:name="_Toc296503228"/>
      <w:bookmarkStart w:id="1013" w:name="_Toc296346729"/>
      <w:r>
        <w:rPr>
          <w:rFonts w:hint="eastAsia" w:ascii="宋体" w:hAnsi="宋体" w:eastAsia="宋体" w:cs="宋体"/>
          <w:color w:val="000000"/>
          <w:sz w:val="21"/>
          <w:szCs w:val="21"/>
        </w:rPr>
        <w:t>件6：</w:t>
      </w:r>
    </w:p>
    <w:bookmarkEnd w:id="1007"/>
    <w:bookmarkEnd w:id="1008"/>
    <w:bookmarkEnd w:id="1009"/>
    <w:bookmarkEnd w:id="1010"/>
    <w:bookmarkEnd w:id="1011"/>
    <w:bookmarkEnd w:id="1012"/>
    <w:bookmarkEnd w:id="1013"/>
    <w:p w14:paraId="4A64C343">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BFBC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1D1EBA8">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2F281C2A">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5581B5F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2D7E7210">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6F5E658C">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631D8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4C17137">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0CF94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B456A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53C653F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4ABB534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34E274E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186329D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EED4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3BCAB5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6B5D900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D5F5C2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5863F08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27409978">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EE9B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08D1AF7">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3FC6573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AB70B3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CD5C38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7D975F5A">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6A7B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8288F2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0CB9580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675F82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11FAF7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496398C">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1FBE6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14232AF">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61AE1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66F80D">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37D9645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ECB9E5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A6062B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7D31D387">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B928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7AB68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1533B5E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594427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5931317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6F0ADBF1">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A5B6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56F515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7BF65F1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CDC989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696F63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78AF270C">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E915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D1E0708">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500D8EC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8EF417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65E8DE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CAD4BD0">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9147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3970CB">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695186B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09495E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773F30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12670C30">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35DE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286F7B2">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1524B0E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951E89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725247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24CCACD8">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1AC34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3A0246">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3C9A962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CA5E3A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50C6AFB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D418CCE">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D1D8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092DC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34F8349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55FA216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90A7BB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EF776B0">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45B7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8DC2751">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108B5BD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4CE765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D9A4A3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3931E3D2">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198B3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8F8AE2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1E41DAE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148FA2A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3AEE5CC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30E770BD">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284D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456490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3039B7F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120F1C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7F5494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2769FD1D">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655C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E2C9F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124E22C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8192F2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54448E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7671386">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E888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55D23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5FB9D63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F561E3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E357B9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FBEF28C">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6D99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AA36D0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22E50E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5E52622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0BA96C8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40128AD7">
            <w:pPr>
              <w:pStyle w:val="10"/>
              <w:keepNext/>
              <w:spacing w:after="0" w:line="360" w:lineRule="auto"/>
              <w:ind w:left="63" w:right="63"/>
              <w:rPr>
                <w:rFonts w:hint="eastAsia" w:ascii="宋体" w:hAnsi="宋体" w:eastAsia="宋体" w:cs="宋体"/>
                <w:color w:val="000000"/>
                <w:kern w:val="2"/>
                <w:sz w:val="21"/>
                <w:szCs w:val="21"/>
                <w:lang w:val="en-US" w:eastAsia="zh-CN"/>
              </w:rPr>
            </w:pPr>
          </w:p>
        </w:tc>
      </w:tr>
    </w:tbl>
    <w:p w14:paraId="0E32BC8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附</w:t>
      </w:r>
      <w:bookmarkStart w:id="1014" w:name="_Toc296891269"/>
      <w:bookmarkStart w:id="1015" w:name="_Toc296503229"/>
      <w:bookmarkStart w:id="1016" w:name="_Toc296891057"/>
      <w:bookmarkStart w:id="1017" w:name="_Toc296347228"/>
      <w:bookmarkStart w:id="1018" w:name="_Toc296346730"/>
      <w:bookmarkStart w:id="1019" w:name="_Toc296944568"/>
      <w:r>
        <w:rPr>
          <w:rFonts w:hint="eastAsia" w:ascii="宋体" w:hAnsi="宋体" w:eastAsia="宋体" w:cs="宋体"/>
          <w:color w:val="000000"/>
          <w:sz w:val="21"/>
          <w:szCs w:val="21"/>
        </w:rPr>
        <w:t>件7：</w:t>
      </w:r>
    </w:p>
    <w:bookmarkEnd w:id="1014"/>
    <w:bookmarkEnd w:id="1015"/>
    <w:bookmarkEnd w:id="1016"/>
    <w:bookmarkEnd w:id="1017"/>
    <w:bookmarkEnd w:id="1018"/>
    <w:bookmarkEnd w:id="1019"/>
    <w:p w14:paraId="483DE7C8">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分包人主要施工管理人员表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07B4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CE9ABD0">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6E1AC84C">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747D8C5E">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5C04060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3269C449">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729F4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589807B1">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67150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E4DE505">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4AB2E7F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476EFAE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03F3AC4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71E39A8A">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5446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B0EBB4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79D13EF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B34489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A60B42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E3E1106">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2911B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C39A3B0">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23B5B76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C2ED8D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20E31E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34C8B0D">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0DC6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EEF2D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6C95F45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33A657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029F11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5403364">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79F56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0AB3FBA">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6C929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48D85E">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7BAEC12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7885CC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B2359A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2069A2A9">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58498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E80392">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7A48950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0F1E077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085E4FC0">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001C7B97">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D8C8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5AC46D">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2FD1821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A0A85D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7FE5C8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6E7D99F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4977F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E5C76F">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2AA6DEB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CC97CA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F237BA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6C7D8E3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13B10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E3FDE3">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59EC297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1C9AB5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4B28E85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6A54595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6C44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9EE99B">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38C677F1">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31E3600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7AD9495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4AE8E0F">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BA7B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159D8C">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4695392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164638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0ACEBD22">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58CDFE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6B41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139524">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1432626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5237FD3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FEE8F7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1A07AA69">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22C65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9EA9C2D">
            <w:pPr>
              <w:pStyle w:val="10"/>
              <w:keepNext/>
              <w:spacing w:after="0" w:line="360" w:lineRule="auto"/>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05FC994E">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1248968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0C09766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57D8DA6B">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2ADD2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D7CEE6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7068F167">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2A07FB9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07B3426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55198B65">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6DF84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DAA1E0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5345EE7C">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249D4B3">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599180B">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7BA6542A">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4089C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5C0B2A9">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6675102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2E43D99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09CF403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43C533E4">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057CE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5664FD4">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noWrap w:val="0"/>
            <w:vAlign w:val="center"/>
          </w:tcPr>
          <w:p w14:paraId="016D425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CB41035">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noWrap w:val="0"/>
            <w:vAlign w:val="center"/>
          </w:tcPr>
          <w:p w14:paraId="6AFEF99D">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noWrap w:val="0"/>
            <w:vAlign w:val="center"/>
          </w:tcPr>
          <w:p w14:paraId="0DCF51A9">
            <w:pPr>
              <w:pStyle w:val="10"/>
              <w:keepNext/>
              <w:spacing w:after="0" w:line="360" w:lineRule="auto"/>
              <w:ind w:left="63" w:right="63"/>
              <w:rPr>
                <w:rFonts w:hint="eastAsia" w:ascii="宋体" w:hAnsi="宋体" w:eastAsia="宋体" w:cs="宋体"/>
                <w:color w:val="000000"/>
                <w:kern w:val="2"/>
                <w:sz w:val="21"/>
                <w:szCs w:val="21"/>
                <w:lang w:val="en-US" w:eastAsia="zh-CN"/>
              </w:rPr>
            </w:pPr>
          </w:p>
        </w:tc>
      </w:tr>
      <w:tr w14:paraId="31696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FE8E626">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5A9DA68">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4E06A96A">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6291728F">
            <w:pPr>
              <w:pStyle w:val="10"/>
              <w:keepNext/>
              <w:spacing w:after="0" w:line="360" w:lineRule="auto"/>
              <w:ind w:left="63" w:right="63"/>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44F67339">
            <w:pPr>
              <w:pStyle w:val="10"/>
              <w:keepNext/>
              <w:spacing w:after="0" w:line="360" w:lineRule="auto"/>
              <w:ind w:left="63" w:right="63"/>
              <w:rPr>
                <w:rFonts w:hint="eastAsia" w:ascii="宋体" w:hAnsi="宋体" w:eastAsia="宋体" w:cs="宋体"/>
                <w:color w:val="000000"/>
                <w:kern w:val="2"/>
                <w:sz w:val="21"/>
                <w:szCs w:val="21"/>
                <w:lang w:val="en-US" w:eastAsia="zh-CN"/>
              </w:rPr>
            </w:pPr>
          </w:p>
        </w:tc>
      </w:tr>
    </w:tbl>
    <w:p w14:paraId="5785E09E">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bookmarkStart w:id="1020" w:name="_Toc267261701"/>
      <w:r>
        <w:rPr>
          <w:rFonts w:hint="eastAsia" w:ascii="宋体" w:hAnsi="宋体" w:eastAsia="宋体" w:cs="宋体"/>
          <w:color w:val="000000"/>
          <w:sz w:val="21"/>
          <w:szCs w:val="21"/>
        </w:rPr>
        <w:t>附</w:t>
      </w:r>
      <w:bookmarkStart w:id="1021" w:name="_Toc296503231"/>
      <w:bookmarkStart w:id="1022" w:name="_Toc296891059"/>
      <w:bookmarkStart w:id="1023" w:name="_Toc296347230"/>
      <w:bookmarkStart w:id="1024" w:name="_Toc296944570"/>
      <w:bookmarkStart w:id="1025" w:name="_Toc296346732"/>
      <w:bookmarkStart w:id="1026" w:name="_Toc296891271"/>
      <w:r>
        <w:rPr>
          <w:rFonts w:hint="eastAsia" w:ascii="宋体" w:hAnsi="宋体" w:eastAsia="宋体" w:cs="宋体"/>
          <w:color w:val="000000"/>
          <w:sz w:val="21"/>
          <w:szCs w:val="21"/>
        </w:rPr>
        <w:t>件8：</w:t>
      </w:r>
    </w:p>
    <w:bookmarkEnd w:id="1020"/>
    <w:bookmarkEnd w:id="1021"/>
    <w:bookmarkEnd w:id="1022"/>
    <w:bookmarkEnd w:id="1023"/>
    <w:bookmarkEnd w:id="1024"/>
    <w:bookmarkEnd w:id="1025"/>
    <w:bookmarkEnd w:id="1026"/>
    <w:p w14:paraId="2947C723">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履约担保</w:t>
      </w:r>
    </w:p>
    <w:p w14:paraId="74A5968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（发包人名称）：</w:t>
      </w:r>
    </w:p>
    <w:p w14:paraId="410F7444">
      <w:pPr>
        <w:spacing w:line="360" w:lineRule="auto"/>
        <w:rPr>
          <w:rFonts w:hint="eastAsia" w:ascii="宋体" w:hAnsi="宋体" w:eastAsia="宋体" w:cs="宋体"/>
          <w:color w:val="000000"/>
          <w:sz w:val="21"/>
          <w:szCs w:val="21"/>
        </w:rPr>
      </w:pPr>
    </w:p>
    <w:p w14:paraId="57CF362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（发包人名称，以下简称“发包人”）与</w:t>
      </w:r>
    </w:p>
    <w:p w14:paraId="01220BF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（工程名称）施工及有关事项协商一致共同签订《建设工程施工合同》。我方愿意无条件地、不可撤销地就承包人履行与你方签订的合同，向你方提供连带责任担保。 </w:t>
      </w:r>
    </w:p>
    <w:p w14:paraId="741D1D7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2725DD0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担保有效期自你方与承包人签订的合同生效之日起至你方签发或应签发工程接收证书之日止。</w:t>
      </w:r>
    </w:p>
    <w:p w14:paraId="23D2CA3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在本担保有效期内，因承包人违反合同约定的义务给你方造成经济损失时，我方在收到你方以书面形式提出的在担保金额内的赔偿要求后，在7天内无条件支付。</w:t>
      </w:r>
    </w:p>
    <w:p w14:paraId="4105C95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你方和承包人按合同约定变更合同时，我方承担本担保规定的义务不变。</w:t>
      </w:r>
    </w:p>
    <w:p w14:paraId="468100B6">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690AE53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本保函自我方法定代表人（或其授权代理人）签字并加盖公章之日起生效。</w:t>
      </w:r>
    </w:p>
    <w:p w14:paraId="7D9C40AC">
      <w:pPr>
        <w:spacing w:line="360" w:lineRule="auto"/>
        <w:rPr>
          <w:rFonts w:hint="eastAsia" w:ascii="宋体" w:hAnsi="宋体" w:eastAsia="宋体" w:cs="宋体"/>
          <w:color w:val="000000"/>
          <w:sz w:val="21"/>
          <w:szCs w:val="21"/>
        </w:rPr>
      </w:pPr>
    </w:p>
    <w:p w14:paraId="7C3A982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担 保 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7315C51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14:paraId="5DBC54F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28C8FB9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59F571D2">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14:paraId="4A681CB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2686113B">
      <w:pPr>
        <w:spacing w:line="360" w:lineRule="auto"/>
        <w:jc w:val="left"/>
        <w:rPr>
          <w:rFonts w:hint="eastAsia" w:ascii="宋体" w:hAnsi="宋体" w:eastAsia="宋体" w:cs="宋体"/>
          <w:color w:val="000000"/>
          <w:sz w:val="21"/>
          <w:szCs w:val="21"/>
          <w:u w:val="single"/>
        </w:rPr>
      </w:pPr>
    </w:p>
    <w:p w14:paraId="25CA5145">
      <w:pPr>
        <w:spacing w:line="360" w:lineRule="auto"/>
        <w:ind w:left="1899" w:hanging="1329" w:hangingChars="633"/>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49B1ED38">
      <w:pPr>
        <w:spacing w:line="360" w:lineRule="auto"/>
        <w:ind w:left="1899" w:hanging="1329" w:hangingChars="633"/>
        <w:rPr>
          <w:rFonts w:hint="eastAsia" w:ascii="宋体" w:hAnsi="宋体" w:eastAsia="宋体" w:cs="宋体"/>
          <w:color w:val="000000"/>
          <w:sz w:val="21"/>
          <w:szCs w:val="21"/>
        </w:rPr>
      </w:pPr>
    </w:p>
    <w:p w14:paraId="27947646">
      <w:pPr>
        <w:spacing w:line="360" w:lineRule="auto"/>
        <w:ind w:left="1899" w:hanging="1329" w:hangingChars="633"/>
        <w:rPr>
          <w:rFonts w:hint="eastAsia" w:ascii="宋体" w:hAnsi="宋体" w:eastAsia="宋体" w:cs="宋体"/>
          <w:color w:val="000000"/>
          <w:sz w:val="21"/>
          <w:szCs w:val="21"/>
        </w:rPr>
      </w:pPr>
    </w:p>
    <w:p w14:paraId="231B36AE">
      <w:pPr>
        <w:spacing w:line="360" w:lineRule="auto"/>
        <w:ind w:left="1899" w:hanging="1329" w:hangingChars="633"/>
        <w:rPr>
          <w:rFonts w:hint="eastAsia" w:ascii="宋体" w:hAnsi="宋体" w:eastAsia="宋体" w:cs="宋体"/>
          <w:color w:val="000000"/>
          <w:sz w:val="21"/>
          <w:szCs w:val="21"/>
        </w:rPr>
      </w:pPr>
    </w:p>
    <w:p w14:paraId="5C76EBAD">
      <w:pPr>
        <w:spacing w:line="360" w:lineRule="auto"/>
        <w:ind w:left="1899" w:hanging="1329" w:hangingChars="633"/>
        <w:rPr>
          <w:rFonts w:hint="eastAsia" w:ascii="宋体" w:hAnsi="宋体" w:eastAsia="宋体" w:cs="宋体"/>
          <w:color w:val="000000"/>
          <w:sz w:val="21"/>
          <w:szCs w:val="21"/>
        </w:rPr>
      </w:pPr>
    </w:p>
    <w:p w14:paraId="049B033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027" w:name="_Toc296347231"/>
      <w:bookmarkStart w:id="1028" w:name="_Toc296944571"/>
      <w:bookmarkStart w:id="1029" w:name="_Toc296891272"/>
      <w:bookmarkStart w:id="1030" w:name="_Toc296346733"/>
      <w:bookmarkStart w:id="1031" w:name="_Toc296891060"/>
      <w:bookmarkStart w:id="1032" w:name="_Toc296503232"/>
      <w:bookmarkStart w:id="1033" w:name="_Toc267261702"/>
      <w:r>
        <w:rPr>
          <w:rFonts w:hint="eastAsia" w:ascii="宋体" w:hAnsi="宋体" w:eastAsia="宋体" w:cs="宋体"/>
          <w:color w:val="000000"/>
          <w:sz w:val="21"/>
          <w:szCs w:val="21"/>
        </w:rPr>
        <w:t>件9 ：</w:t>
      </w:r>
    </w:p>
    <w:bookmarkEnd w:id="1027"/>
    <w:bookmarkEnd w:id="1028"/>
    <w:bookmarkEnd w:id="1029"/>
    <w:bookmarkEnd w:id="1030"/>
    <w:bookmarkEnd w:id="1031"/>
    <w:bookmarkEnd w:id="1032"/>
    <w:bookmarkEnd w:id="1033"/>
    <w:p w14:paraId="1B276FF5">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预付款担保</w:t>
      </w:r>
    </w:p>
    <w:p w14:paraId="6181E302">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（发包人名称）：</w:t>
      </w:r>
    </w:p>
    <w:p w14:paraId="2CCFAE71">
      <w:pPr>
        <w:spacing w:line="360" w:lineRule="auto"/>
        <w:rPr>
          <w:rFonts w:hint="eastAsia" w:ascii="宋体" w:hAnsi="宋体" w:eastAsia="宋体" w:cs="宋体"/>
          <w:color w:val="000000"/>
          <w:sz w:val="21"/>
          <w:szCs w:val="21"/>
        </w:rPr>
      </w:pPr>
    </w:p>
    <w:p w14:paraId="34BF19F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（承包人名称）（以下称“承包人”）与</w:t>
      </w:r>
    </w:p>
    <w:p w14:paraId="79C7945B">
      <w:pPr>
        <w:spacing w:line="360" w:lineRule="auto"/>
        <w:outlineLvl w:val="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（发包人名称）（以下简称“发包人”）</w:t>
      </w:r>
    </w:p>
    <w:p w14:paraId="3D045CB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（工程名称）《建设工程施工合同》，承包人按约定的金额向你方提交一份预付款担保，即有权得到你方支付相等金额的预付款。我方愿意就你方提供给承包人的预付款为承包人提供连带责任担保。</w:t>
      </w:r>
    </w:p>
    <w:p w14:paraId="6AB3A55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873483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担保有效期自预付款支付给承包人起生效，至你方签发的进度款支付证书说明已完全扣清止。</w:t>
      </w:r>
    </w:p>
    <w:p w14:paraId="10F5178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A8A3B1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你方和承包人按合同约定变更合同时，我方承担本保函规定的义务不变。</w:t>
      </w:r>
    </w:p>
    <w:p w14:paraId="588544B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17F3F32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本保函自我方法定代表人（或其授权代理人）签字并加盖公章之日起生效。</w:t>
      </w:r>
    </w:p>
    <w:p w14:paraId="7BBA0E5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161FEBE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14:paraId="30C6887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6B1F33FE">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16CEDEB7">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2161BDCF">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79D05F2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47271203">
      <w:pPr>
        <w:spacing w:line="360" w:lineRule="auto"/>
        <w:rPr>
          <w:rFonts w:hint="eastAsia" w:ascii="宋体" w:hAnsi="宋体" w:eastAsia="宋体" w:cs="宋体"/>
          <w:color w:val="000000"/>
          <w:sz w:val="21"/>
          <w:szCs w:val="21"/>
          <w:u w:val="single"/>
        </w:rPr>
      </w:pPr>
    </w:p>
    <w:p w14:paraId="6DF048FF">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1E520827">
      <w:pPr>
        <w:spacing w:line="360" w:lineRule="auto"/>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color w:val="000000"/>
          <w:sz w:val="21"/>
          <w:szCs w:val="21"/>
        </w:rPr>
        <w:t>附</w:t>
      </w:r>
      <w:bookmarkStart w:id="1034" w:name="_Toc296891273"/>
      <w:bookmarkStart w:id="1035" w:name="_Toc296944572"/>
      <w:bookmarkStart w:id="1036" w:name="_Toc296503233"/>
      <w:bookmarkStart w:id="1037" w:name="_Toc296347232"/>
      <w:bookmarkStart w:id="1038" w:name="_Toc296346734"/>
      <w:bookmarkStart w:id="1039" w:name="_Toc296891061"/>
      <w:r>
        <w:rPr>
          <w:rFonts w:hint="eastAsia" w:ascii="宋体" w:hAnsi="宋体" w:eastAsia="宋体" w:cs="宋体"/>
          <w:color w:val="000000"/>
          <w:sz w:val="21"/>
          <w:szCs w:val="21"/>
        </w:rPr>
        <w:t xml:space="preserve">件10:  </w:t>
      </w:r>
    </w:p>
    <w:bookmarkEnd w:id="1034"/>
    <w:bookmarkEnd w:id="1035"/>
    <w:bookmarkEnd w:id="1036"/>
    <w:bookmarkEnd w:id="1037"/>
    <w:bookmarkEnd w:id="1038"/>
    <w:bookmarkEnd w:id="1039"/>
    <w:p w14:paraId="15FFCFC7">
      <w:pPr>
        <w:spacing w:before="156" w:beforeLines="50" w:after="156" w:afterLines="5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支付担保</w:t>
      </w:r>
    </w:p>
    <w:p w14:paraId="5669BA73">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w:t>
      </w:r>
    </w:p>
    <w:p w14:paraId="62F7B98A">
      <w:pPr>
        <w:spacing w:line="360" w:lineRule="auto"/>
        <w:jc w:val="left"/>
        <w:rPr>
          <w:rFonts w:hint="eastAsia" w:ascii="宋体" w:hAnsi="宋体" w:eastAsia="宋体" w:cs="宋体"/>
          <w:color w:val="000000"/>
          <w:sz w:val="21"/>
          <w:szCs w:val="21"/>
        </w:rPr>
      </w:pPr>
    </w:p>
    <w:p w14:paraId="7CFEF5AD">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鉴于你方作为承包人已经与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（发包人名称）（以下称“发包人”）于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（工程名称）《建设工程施工合同》（以下称“主合同”），应发包人的申请，我方愿就发包人履行主合同约定的工程款支付义务以保证的方式向你方提供如下担保：</w:t>
      </w:r>
    </w:p>
    <w:p w14:paraId="72278B57">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一、保证的范围及保证金额</w:t>
      </w:r>
    </w:p>
    <w:p w14:paraId="2CAF982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我方的保证范围是主合同约定的工程款。</w:t>
      </w:r>
    </w:p>
    <w:p w14:paraId="3072AB6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本保函所称主合同约定的工程款是指主合同约定的除工程质量保证金以外的合同价款。</w:t>
      </w:r>
    </w:p>
    <w:p w14:paraId="54BF996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我方保证的金额是主合同约定的工程款的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%，数额最高不超过人民币元（大写：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26DB5D6">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二、保证的方式及保证期间</w:t>
      </w:r>
    </w:p>
    <w:p w14:paraId="0AB9482A">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我方保证的方式为：连带责任保证。</w:t>
      </w:r>
    </w:p>
    <w:p w14:paraId="0423871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我方保证的期间为：自本合同生效之日起至主合同约定的工程款支付完毕之日后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日内。</w:t>
      </w:r>
    </w:p>
    <w:p w14:paraId="0276440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你方与发包人协议变更工程款支付日期的，经我方书面同意后，保证期间按照变更后的支付日期做相应调整。</w:t>
      </w:r>
    </w:p>
    <w:p w14:paraId="799815B7">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三、承担保证责任的形式</w:t>
      </w:r>
    </w:p>
    <w:p w14:paraId="26D4ADCC">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我方承担保证责任的形式是代为支付。发包人未按主合同约定向你方支付工程款的，由我方在保证金额内代为支付。</w:t>
      </w:r>
    </w:p>
    <w:p w14:paraId="3857D0DE">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四、代偿的安排</w:t>
      </w:r>
    </w:p>
    <w:p w14:paraId="520F6908">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你方要求我方承担保证责任的，应向我方发出书面索赔通知及发包人未支付主合同约定工程款的证明材料。索赔通知应写明要求索赔的金额，支付款项应到达的账号。</w:t>
      </w:r>
    </w:p>
    <w:p w14:paraId="55774C16">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01932C0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我方收到你方的书面索赔通知及相应的证明材料后７天内无条件支付。</w:t>
      </w:r>
    </w:p>
    <w:p w14:paraId="43197676">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五、保证责任的解除</w:t>
      </w:r>
    </w:p>
    <w:p w14:paraId="3A94D48D">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在本保函承诺的保证期间内，你方未书面向我方主张保证责任的，自保证期间届满次日起，我方保证责任解除。</w:t>
      </w:r>
    </w:p>
    <w:p w14:paraId="719A13C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发包人按主合同约定履行了工程款的全部支付义务的，自本保函承诺的保证期间届满次日起，我方保证责任解除。</w:t>
      </w:r>
    </w:p>
    <w:p w14:paraId="47BDB6B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我方按照本保函向你方履行保证责任所支付金额达到本保函保证金额时，自我方向你方支付（支付款项从我方账户划出）之日起，保证责任即解除。</w:t>
      </w:r>
    </w:p>
    <w:p w14:paraId="1575670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 按照法律法规的规定或出现应解除我方保证责任的其他情形的，我方在本保函项下的保证责任亦解除。</w:t>
      </w:r>
    </w:p>
    <w:p w14:paraId="22F94EB2">
      <w:pPr>
        <w:spacing w:line="360" w:lineRule="auto"/>
        <w:jc w:val="left"/>
        <w:rPr>
          <w:rFonts w:hint="eastAsia" w:ascii="宋体" w:hAnsi="宋体" w:eastAsia="宋体" w:cs="宋体"/>
          <w:color w:val="000000"/>
          <w:sz w:val="21"/>
          <w:szCs w:val="21"/>
        </w:rPr>
      </w:pPr>
    </w:p>
    <w:p w14:paraId="6F109D9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 我方解除保证责任后，你方应自我方保证责任解除之日起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个工作日内，将本保函原件返还我方。</w:t>
      </w:r>
    </w:p>
    <w:p w14:paraId="7D69728C">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六、免责条款</w:t>
      </w:r>
    </w:p>
    <w:p w14:paraId="6944664F">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因你方违约致使发包人不能履行义务的，我方不承担保证责任。</w:t>
      </w:r>
    </w:p>
    <w:p w14:paraId="4538813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依照法律法规的规定或你方与发包人的另行约定，免除发包人部分或全部义务的，我方亦免除其相应的保证责任。</w:t>
      </w:r>
    </w:p>
    <w:p w14:paraId="0A06F2D3">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03BD530D">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 因不可抗力造成发包人不能履行义务的，我方不承担保证责任。</w:t>
      </w:r>
    </w:p>
    <w:p w14:paraId="48465DCD">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七、争议解决</w:t>
      </w:r>
    </w:p>
    <w:p w14:paraId="185572D8">
      <w:pPr>
        <w:spacing w:after="12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因本保函或本保函相关事项发生的纠纷，可由双方协商解决，协商不成的，按下列第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6DF9147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7783764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p>
    <w:p w14:paraId="7BE239DD">
      <w:pPr>
        <w:spacing w:line="360" w:lineRule="auto"/>
        <w:ind w:firstLine="420" w:firstLineChars="200"/>
        <w:jc w:val="left"/>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八、保函的生效</w:t>
      </w:r>
    </w:p>
    <w:p w14:paraId="6E8CD8BB">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本保函自我方法定代表人（或其授权代理人）签字并加盖公章之日起生效。</w:t>
      </w:r>
    </w:p>
    <w:p w14:paraId="67C6B9EB">
      <w:pPr>
        <w:spacing w:line="360" w:lineRule="auto"/>
        <w:ind w:firstLine="420" w:firstLineChars="200"/>
        <w:jc w:val="left"/>
        <w:rPr>
          <w:rFonts w:hint="eastAsia" w:ascii="宋体" w:hAnsi="宋体" w:eastAsia="宋体" w:cs="宋体"/>
          <w:color w:val="000000"/>
          <w:sz w:val="21"/>
          <w:szCs w:val="21"/>
        </w:rPr>
      </w:pPr>
    </w:p>
    <w:p w14:paraId="5E72C22D">
      <w:pPr>
        <w:spacing w:line="360" w:lineRule="auto"/>
        <w:ind w:right="600"/>
        <w:jc w:val="left"/>
        <w:rPr>
          <w:rFonts w:hint="eastAsia" w:ascii="宋体" w:hAnsi="宋体" w:eastAsia="宋体" w:cs="宋体"/>
          <w:color w:val="000000"/>
          <w:sz w:val="21"/>
          <w:szCs w:val="21"/>
        </w:rPr>
      </w:pPr>
    </w:p>
    <w:p w14:paraId="46877654">
      <w:pPr>
        <w:spacing w:line="360" w:lineRule="auto"/>
        <w:ind w:right="600"/>
        <w:jc w:val="left"/>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（盖章）</w:t>
      </w:r>
    </w:p>
    <w:p w14:paraId="1EFBCF87">
      <w:pPr>
        <w:spacing w:line="360" w:lineRule="auto"/>
        <w:ind w:right="1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14:paraId="3EF3D155">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0824C13F">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7C739E62">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3EFF5D23">
      <w:pPr>
        <w:spacing w:line="360" w:lineRule="auto"/>
        <w:ind w:right="150" w:firstLine="420" w:firstLineChars="200"/>
        <w:jc w:val="left"/>
        <w:rPr>
          <w:rFonts w:hint="eastAsia" w:ascii="宋体" w:hAnsi="宋体" w:eastAsia="宋体" w:cs="宋体"/>
          <w:color w:val="000000"/>
          <w:sz w:val="21"/>
          <w:szCs w:val="21"/>
          <w:u w:val="single"/>
        </w:rPr>
      </w:pPr>
    </w:p>
    <w:p w14:paraId="0EEA28D5">
      <w:pPr>
        <w:spacing w:line="360" w:lineRule="auto"/>
        <w:ind w:right="15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77700797">
      <w:pPr>
        <w:rPr>
          <w:rFonts w:hint="eastAsia" w:ascii="宋体" w:hAnsi="宋体" w:eastAsia="宋体" w:cs="宋体"/>
        </w:rPr>
      </w:pPr>
    </w:p>
    <w:p w14:paraId="2601C702">
      <w:pPr>
        <w:pStyle w:val="25"/>
        <w:ind w:left="0" w:leftChars="0"/>
        <w:rPr>
          <w:rFonts w:hint="eastAsia" w:ascii="宋体" w:hAnsi="宋体" w:eastAsia="宋体" w:cs="宋体"/>
          <w:color w:val="auto"/>
          <w:highlight w:val="none"/>
        </w:rPr>
        <w:sectPr>
          <w:headerReference r:id="rId15" w:type="default"/>
          <w:footerReference r:id="rId16" w:type="default"/>
          <w:pgSz w:w="11906" w:h="16838"/>
          <w:pgMar w:top="1440" w:right="1080" w:bottom="1440" w:left="1080" w:header="851" w:footer="992" w:gutter="0"/>
          <w:pgNumType w:fmt="decimal"/>
          <w:cols w:space="720" w:num="1"/>
          <w:docGrid w:type="lines" w:linePitch="312" w:charSpace="0"/>
        </w:sectPr>
      </w:pPr>
    </w:p>
    <w:p w14:paraId="01CD6E97">
      <w:pPr>
        <w:pStyle w:val="2"/>
        <w:jc w:val="center"/>
        <w:rPr>
          <w:rFonts w:hint="eastAsia" w:ascii="宋体" w:hAnsi="宋体" w:eastAsia="宋体" w:cs="宋体"/>
          <w:color w:val="auto"/>
          <w:sz w:val="36"/>
          <w:szCs w:val="36"/>
          <w:highlight w:val="none"/>
        </w:rPr>
      </w:pPr>
      <w:bookmarkStart w:id="1040" w:name="_Toc5941"/>
      <w:r>
        <w:rPr>
          <w:rFonts w:hint="eastAsia" w:ascii="宋体" w:hAnsi="宋体" w:eastAsia="宋体" w:cs="宋体"/>
          <w:color w:val="auto"/>
          <w:sz w:val="36"/>
          <w:szCs w:val="36"/>
          <w:highlight w:val="none"/>
        </w:rPr>
        <w:t>第五章 工程量清单</w:t>
      </w:r>
      <w:bookmarkEnd w:id="1040"/>
    </w:p>
    <w:p w14:paraId="349F1B3D">
      <w:pPr>
        <w:rPr>
          <w:rFonts w:hint="eastAsia" w:ascii="宋体" w:hAnsi="宋体" w:eastAsia="宋体" w:cs="宋体"/>
          <w:color w:val="auto"/>
          <w:highlight w:val="none"/>
        </w:rPr>
        <w:sectPr>
          <w:pgSz w:w="11906" w:h="16838"/>
          <w:pgMar w:top="1440" w:right="1080" w:bottom="1440" w:left="1080" w:header="851" w:footer="992" w:gutter="0"/>
          <w:pgNumType w:fmt="decimal"/>
          <w:cols w:space="720" w:num="1"/>
          <w:docGrid w:type="lines" w:linePitch="312" w:charSpace="0"/>
        </w:sectPr>
      </w:pPr>
    </w:p>
    <w:p w14:paraId="5A6D019F">
      <w:pPr>
        <w:pStyle w:val="10"/>
        <w:rPr>
          <w:rFonts w:hint="eastAsia" w:ascii="宋体" w:hAnsi="宋体" w:eastAsia="宋体" w:cs="宋体"/>
          <w:color w:val="auto"/>
          <w:highlight w:val="none"/>
        </w:rPr>
      </w:pPr>
    </w:p>
    <w:p w14:paraId="22E4280D">
      <w:pPr>
        <w:pStyle w:val="2"/>
        <w:jc w:val="center"/>
        <w:rPr>
          <w:rFonts w:hint="eastAsia" w:ascii="宋体" w:hAnsi="宋体" w:eastAsia="宋体" w:cs="宋体"/>
          <w:color w:val="auto"/>
          <w:sz w:val="36"/>
          <w:szCs w:val="36"/>
          <w:highlight w:val="none"/>
        </w:rPr>
      </w:pPr>
      <w:bookmarkStart w:id="1041" w:name="_Toc27102"/>
      <w:bookmarkStart w:id="1042" w:name="_Toc14126"/>
      <w:r>
        <w:rPr>
          <w:rFonts w:hint="eastAsia" w:ascii="宋体" w:hAnsi="宋体" w:eastAsia="宋体" w:cs="宋体"/>
          <w:color w:val="auto"/>
          <w:sz w:val="36"/>
          <w:szCs w:val="36"/>
          <w:highlight w:val="none"/>
        </w:rPr>
        <w:t>第六章图纸</w:t>
      </w:r>
      <w:bookmarkEnd w:id="1041"/>
      <w:r>
        <w:rPr>
          <w:rFonts w:hint="eastAsia" w:ascii="宋体" w:hAnsi="宋体" w:eastAsia="宋体" w:cs="宋体"/>
          <w:color w:val="auto"/>
          <w:sz w:val="36"/>
          <w:szCs w:val="36"/>
          <w:highlight w:val="none"/>
        </w:rPr>
        <w:t>（如有）</w:t>
      </w:r>
      <w:bookmarkEnd w:id="1042"/>
    </w:p>
    <w:p w14:paraId="25E134CB">
      <w:pPr>
        <w:pStyle w:val="2"/>
        <w:jc w:val="center"/>
        <w:rPr>
          <w:rFonts w:hint="eastAsia" w:ascii="宋体" w:hAnsi="宋体" w:eastAsia="宋体" w:cs="宋体"/>
          <w:color w:val="auto"/>
          <w:sz w:val="21"/>
          <w:szCs w:val="21"/>
          <w:highlight w:val="none"/>
        </w:rPr>
      </w:pPr>
      <w:bookmarkStart w:id="1043" w:name="_Toc6984"/>
      <w:bookmarkStart w:id="1044" w:name="_Toc6954"/>
      <w:bookmarkStart w:id="1045" w:name="_Toc9881"/>
      <w:r>
        <w:rPr>
          <w:rFonts w:hint="eastAsia" w:ascii="宋体" w:hAnsi="宋体" w:eastAsia="宋体" w:cs="宋体"/>
          <w:color w:val="auto"/>
          <w:sz w:val="21"/>
          <w:szCs w:val="21"/>
          <w:highlight w:val="none"/>
        </w:rPr>
        <w:t>（另附）</w:t>
      </w:r>
      <w:r>
        <w:rPr>
          <w:rFonts w:hint="eastAsia" w:ascii="宋体" w:hAnsi="宋体" w:eastAsia="宋体" w:cs="宋体"/>
          <w:color w:val="auto"/>
          <w:sz w:val="21"/>
          <w:szCs w:val="21"/>
          <w:highlight w:val="none"/>
        </w:rPr>
        <w:br w:type="page"/>
      </w:r>
      <w:bookmarkEnd w:id="1043"/>
      <w:bookmarkEnd w:id="1044"/>
      <w:bookmarkEnd w:id="1045"/>
      <w:bookmarkStart w:id="1046" w:name="_Toc11699"/>
    </w:p>
    <w:p w14:paraId="4BB320D1">
      <w:pPr>
        <w:pStyle w:val="2"/>
        <w:keepNext/>
        <w:keepLines/>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highlight w:val="none"/>
        </w:rPr>
      </w:pPr>
      <w:bookmarkStart w:id="1047" w:name="_Toc27743"/>
      <w:r>
        <w:rPr>
          <w:rFonts w:hint="eastAsia" w:ascii="宋体" w:hAnsi="宋体" w:eastAsia="宋体" w:cs="宋体"/>
          <w:color w:val="auto"/>
          <w:sz w:val="36"/>
          <w:szCs w:val="36"/>
          <w:highlight w:val="none"/>
        </w:rPr>
        <w:t>技术标准和要求</w:t>
      </w:r>
      <w:bookmarkEnd w:id="1046"/>
      <w:bookmarkEnd w:id="1047"/>
    </w:p>
    <w:bookmarkEnd w:id="427"/>
    <w:bookmarkEnd w:id="428"/>
    <w:bookmarkEnd w:id="429"/>
    <w:bookmarkEnd w:id="430"/>
    <w:bookmarkEnd w:id="431"/>
    <w:bookmarkEnd w:id="432"/>
    <w:bookmarkEnd w:id="433"/>
    <w:p w14:paraId="6E336575">
      <w:pPr>
        <w:pStyle w:val="2"/>
        <w:pageBreakBefore w:val="0"/>
        <w:numPr>
          <w:ilvl w:val="0"/>
          <w:numId w:val="0"/>
        </w:numPr>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b w:val="0"/>
          <w:bCs w:val="0"/>
          <w:color w:val="auto"/>
          <w:kern w:val="2"/>
          <w:sz w:val="21"/>
          <w:szCs w:val="21"/>
          <w:lang w:val="en-US" w:eastAsia="zh-CN"/>
        </w:rPr>
      </w:pPr>
      <w:bookmarkStart w:id="1048" w:name="_Toc358282482"/>
      <w:bookmarkStart w:id="1049" w:name="_Toc25753"/>
      <w:r>
        <w:rPr>
          <w:rFonts w:hint="eastAsia" w:ascii="宋体" w:hAnsi="宋体" w:eastAsia="宋体" w:cs="宋体"/>
          <w:sz w:val="21"/>
          <w:szCs w:val="21"/>
          <w:lang w:eastAsia="zh-CN"/>
        </w:rPr>
        <w:t>一、</w:t>
      </w:r>
      <w:r>
        <w:rPr>
          <w:rFonts w:hint="eastAsia" w:ascii="宋体" w:hAnsi="宋体" w:eastAsia="宋体" w:cs="宋体"/>
          <w:sz w:val="21"/>
          <w:szCs w:val="21"/>
        </w:rPr>
        <w:t>项目现状</w:t>
      </w:r>
      <w:bookmarkEnd w:id="1048"/>
      <w:bookmarkStart w:id="1050" w:name="_Toc358282483"/>
    </w:p>
    <w:p w14:paraId="1FDD1FC4">
      <w:pPr>
        <w:pStyle w:val="2"/>
        <w:pageBreakBefore w:val="0"/>
        <w:numPr>
          <w:ilvl w:val="0"/>
          <w:numId w:val="0"/>
        </w:numPr>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lang w:val="en-US" w:eastAsia="zh-CN"/>
        </w:rPr>
        <w:t>学校</w:t>
      </w:r>
      <w:r>
        <w:rPr>
          <w:rFonts w:hint="eastAsia" w:ascii="宋体" w:hAnsi="宋体" w:eastAsia="宋体" w:cs="宋体"/>
          <w:b w:val="0"/>
          <w:bCs w:val="0"/>
          <w:color w:val="auto"/>
          <w:kern w:val="2"/>
          <w:sz w:val="21"/>
          <w:szCs w:val="21"/>
          <w:lang w:eastAsia="zh-CN"/>
        </w:rPr>
        <w:t>教学楼</w:t>
      </w:r>
      <w:r>
        <w:rPr>
          <w:rFonts w:hint="eastAsia" w:ascii="宋体" w:hAnsi="宋体" w:eastAsia="宋体" w:cs="宋体"/>
          <w:b w:val="0"/>
          <w:bCs w:val="0"/>
          <w:color w:val="auto"/>
          <w:kern w:val="2"/>
          <w:sz w:val="21"/>
          <w:szCs w:val="21"/>
          <w:lang w:val="en-US" w:eastAsia="zh-CN"/>
        </w:rPr>
        <w:t>现有电力设施</w:t>
      </w:r>
      <w:r>
        <w:rPr>
          <w:rFonts w:hint="eastAsia" w:ascii="宋体" w:hAnsi="宋体" w:eastAsia="宋体" w:cs="宋体"/>
          <w:b w:val="0"/>
          <w:bCs w:val="0"/>
          <w:color w:val="auto"/>
          <w:kern w:val="2"/>
          <w:sz w:val="21"/>
          <w:szCs w:val="21"/>
          <w:lang w:eastAsia="zh-CN"/>
        </w:rPr>
        <w:t>满足不了</w:t>
      </w:r>
      <w:r>
        <w:rPr>
          <w:rFonts w:hint="eastAsia" w:ascii="宋体" w:hAnsi="宋体" w:eastAsia="宋体" w:cs="宋体"/>
          <w:b w:val="0"/>
          <w:bCs w:val="0"/>
          <w:color w:val="auto"/>
          <w:kern w:val="2"/>
          <w:sz w:val="21"/>
          <w:szCs w:val="21"/>
          <w:lang w:val="en-US" w:eastAsia="zh-CN"/>
        </w:rPr>
        <w:t>安装空调的用电</w:t>
      </w:r>
      <w:r>
        <w:rPr>
          <w:rFonts w:hint="eastAsia" w:ascii="宋体" w:hAnsi="宋体" w:eastAsia="宋体" w:cs="宋体"/>
          <w:b w:val="0"/>
          <w:bCs w:val="0"/>
          <w:color w:val="auto"/>
          <w:kern w:val="2"/>
          <w:sz w:val="21"/>
          <w:szCs w:val="21"/>
          <w:lang w:eastAsia="zh-CN"/>
        </w:rPr>
        <w:t>功率需求，</w:t>
      </w:r>
      <w:r>
        <w:rPr>
          <w:rFonts w:hint="eastAsia" w:ascii="宋体" w:hAnsi="宋体" w:eastAsia="宋体" w:cs="宋体"/>
          <w:b w:val="0"/>
          <w:bCs w:val="0"/>
          <w:color w:val="auto"/>
          <w:kern w:val="2"/>
          <w:sz w:val="21"/>
          <w:szCs w:val="21"/>
          <w:lang w:val="en-US" w:eastAsia="zh-CN"/>
        </w:rPr>
        <w:t>现有高低压设施设备及线路大部分都已不满足电力负荷，影响正常投入使用。变压器、电缆线、低高压配电柜功率小，现有变压器额定容量800kvA，实际负载率长期超过85%，存在过载风险。</w:t>
      </w:r>
      <w:r>
        <w:rPr>
          <w:rFonts w:hint="eastAsia" w:ascii="宋体" w:hAnsi="宋体" w:eastAsia="宋体" w:cs="宋体"/>
          <w:b w:val="0"/>
          <w:bCs w:val="0"/>
          <w:color w:val="auto"/>
          <w:kern w:val="2"/>
          <w:sz w:val="21"/>
          <w:szCs w:val="21"/>
          <w:lang w:eastAsia="zh-CN"/>
        </w:rPr>
        <w:t>现</w:t>
      </w:r>
      <w:r>
        <w:rPr>
          <w:rFonts w:hint="eastAsia" w:ascii="宋体" w:hAnsi="宋体" w:eastAsia="宋体" w:cs="宋体"/>
          <w:b w:val="0"/>
          <w:bCs w:val="0"/>
          <w:color w:val="auto"/>
          <w:kern w:val="2"/>
          <w:sz w:val="21"/>
          <w:szCs w:val="21"/>
          <w:lang w:val="en-US" w:eastAsia="zh-CN"/>
        </w:rPr>
        <w:t>计划增加3台630箱变单独用于1-3号教学楼空调用电。拟对箱变</w:t>
      </w:r>
      <w:r>
        <w:rPr>
          <w:rFonts w:hint="eastAsia" w:ascii="宋体" w:hAnsi="宋体" w:eastAsia="宋体" w:cs="宋体"/>
          <w:b w:val="0"/>
          <w:bCs w:val="0"/>
          <w:color w:val="auto"/>
          <w:kern w:val="2"/>
          <w:sz w:val="21"/>
          <w:szCs w:val="21"/>
        </w:rPr>
        <w:t>、电缆线、低高压配电柜、开关、漏电保护等</w:t>
      </w:r>
      <w:r>
        <w:rPr>
          <w:rFonts w:hint="eastAsia" w:ascii="宋体" w:hAnsi="宋体" w:eastAsia="宋体" w:cs="宋体"/>
          <w:b w:val="0"/>
          <w:bCs w:val="0"/>
          <w:color w:val="auto"/>
          <w:kern w:val="2"/>
          <w:sz w:val="21"/>
          <w:szCs w:val="21"/>
          <w:lang w:val="en-US" w:eastAsia="zh-CN"/>
        </w:rPr>
        <w:t>方面进行</w:t>
      </w:r>
      <w:r>
        <w:rPr>
          <w:rFonts w:hint="eastAsia" w:ascii="宋体" w:hAnsi="宋体" w:eastAsia="宋体" w:cs="宋体"/>
          <w:b w:val="0"/>
          <w:bCs w:val="0"/>
          <w:color w:val="auto"/>
          <w:kern w:val="2"/>
          <w:sz w:val="21"/>
          <w:szCs w:val="21"/>
        </w:rPr>
        <w:t>维修改造。解决</w:t>
      </w:r>
      <w:r>
        <w:rPr>
          <w:rFonts w:hint="eastAsia" w:ascii="宋体" w:hAnsi="宋体" w:eastAsia="宋体" w:cs="宋体"/>
          <w:b w:val="0"/>
          <w:bCs w:val="0"/>
          <w:color w:val="auto"/>
          <w:kern w:val="2"/>
          <w:sz w:val="21"/>
          <w:szCs w:val="21"/>
          <w:lang w:eastAsia="zh-CN"/>
        </w:rPr>
        <w:t>教学楼</w:t>
      </w:r>
      <w:r>
        <w:rPr>
          <w:rFonts w:hint="eastAsia" w:ascii="宋体" w:hAnsi="宋体" w:eastAsia="宋体" w:cs="宋体"/>
          <w:b w:val="0"/>
          <w:bCs w:val="0"/>
          <w:color w:val="auto"/>
          <w:kern w:val="2"/>
          <w:sz w:val="21"/>
          <w:szCs w:val="21"/>
        </w:rPr>
        <w:t>用电负荷较大，配电柜开关老化导致失火的安全隐患。</w:t>
      </w:r>
    </w:p>
    <w:bookmarkEnd w:id="1050"/>
    <w:p w14:paraId="34A3560F">
      <w:pPr>
        <w:pStyle w:val="2"/>
        <w:pageBreakBefore w:val="0"/>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sz w:val="21"/>
          <w:szCs w:val="21"/>
        </w:rPr>
      </w:pPr>
      <w:bookmarkStart w:id="1051" w:name="_Toc358282484"/>
      <w:r>
        <w:rPr>
          <w:rFonts w:hint="eastAsia" w:ascii="宋体" w:hAnsi="宋体" w:eastAsia="宋体" w:cs="宋体"/>
          <w:sz w:val="21"/>
          <w:szCs w:val="21"/>
          <w:lang w:val="en-US" w:eastAsia="zh-CN"/>
        </w:rPr>
        <w:t>二</w:t>
      </w:r>
      <w:r>
        <w:rPr>
          <w:rFonts w:hint="eastAsia" w:ascii="宋体" w:hAnsi="宋体" w:eastAsia="宋体" w:cs="宋体"/>
          <w:sz w:val="21"/>
          <w:szCs w:val="21"/>
        </w:rPr>
        <w:t>、总体目标</w:t>
      </w:r>
      <w:bookmarkEnd w:id="1051"/>
    </w:p>
    <w:p w14:paraId="309B1A78">
      <w:pPr>
        <w:pageBreakBefore w:val="0"/>
        <w:kinsoku/>
        <w:wordWrap/>
        <w:overflowPunct/>
        <w:topLinePunct w:val="0"/>
        <w:autoSpaceDE/>
        <w:autoSpaceDN/>
        <w:bidi w:val="0"/>
        <w:adjustRightInd/>
        <w:snapToGrid/>
        <w:spacing w:line="360" w:lineRule="auto"/>
        <w:ind w:firstLine="413" w:firstLineChars="196"/>
        <w:textAlignment w:val="auto"/>
        <w:rPr>
          <w:rFonts w:hint="eastAsia" w:ascii="宋体" w:hAnsi="宋体" w:eastAsia="宋体" w:cs="宋体"/>
          <w:b/>
          <w:sz w:val="21"/>
          <w:szCs w:val="21"/>
        </w:rPr>
      </w:pPr>
      <w:bookmarkStart w:id="1052" w:name="_Toc264623800"/>
      <w:bookmarkStart w:id="1053" w:name="_Toc266774039"/>
      <w:bookmarkStart w:id="1054" w:name="_Toc266768240"/>
      <w:bookmarkStart w:id="1055" w:name="_Toc264623091"/>
      <w:r>
        <w:rPr>
          <w:rFonts w:hint="eastAsia" w:ascii="宋体" w:hAnsi="宋体" w:eastAsia="宋体" w:cs="宋体"/>
          <w:b/>
          <w:sz w:val="21"/>
          <w:szCs w:val="21"/>
        </w:rPr>
        <w:t>（一）总体建设目标</w:t>
      </w:r>
      <w:bookmarkEnd w:id="1052"/>
      <w:bookmarkEnd w:id="1053"/>
      <w:bookmarkEnd w:id="1054"/>
      <w:bookmarkEnd w:id="1055"/>
    </w:p>
    <w:p w14:paraId="661CBA66">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除现有教学楼低高压设施设备及线路安全隐患的需要。随着用电设备增加智慧教室建设、空调安装等，经统计学校教学楼新增1629KW空调。随着区域用电负荷的持续增长，现有电力设施已无法满足空调制冷、采暖的用电需求，为保障学校区域的可靠用电，提升供电质量与安全性，需实施本次电力增容工程。通过新建3台630箱变、完成顶管以及开挖施工、低压电缆分接箱安装、各楼层内配电箱安装，电缆敷设及砌井等工作，优化区域电网结构，增强供电能力。</w:t>
      </w:r>
    </w:p>
    <w:p w14:paraId="15080139">
      <w:pPr>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二</w:t>
      </w:r>
      <w:r>
        <w:rPr>
          <w:rFonts w:hint="eastAsia" w:ascii="宋体" w:hAnsi="宋体" w:eastAsia="宋体" w:cs="宋体"/>
          <w:b/>
          <w:sz w:val="21"/>
          <w:szCs w:val="21"/>
        </w:rPr>
        <w:t>）项目建设的意义</w:t>
      </w:r>
    </w:p>
    <w:p w14:paraId="6204FEA9">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本项目建设是消除现有教学楼低高压设施设备及线路安全隐患的需要。项目的实施</w:t>
      </w:r>
      <w:r>
        <w:rPr>
          <w:rFonts w:hint="eastAsia" w:ascii="宋体" w:hAnsi="宋体" w:eastAsia="宋体" w:cs="宋体"/>
          <w:color w:val="auto"/>
          <w:sz w:val="21"/>
          <w:szCs w:val="21"/>
          <w:lang w:val="en-US" w:eastAsia="zh-CN"/>
        </w:rPr>
        <w:t>可解决空调安装用电需求，同时，</w:t>
      </w:r>
      <w:r>
        <w:rPr>
          <w:rFonts w:hint="eastAsia" w:ascii="宋体" w:hAnsi="宋体" w:eastAsia="宋体" w:cs="宋体"/>
          <w:color w:val="auto"/>
          <w:sz w:val="21"/>
          <w:szCs w:val="21"/>
        </w:rPr>
        <w:t>保障学校区域的可靠用电，提升供电质量与安全性</w:t>
      </w:r>
      <w:r>
        <w:rPr>
          <w:rFonts w:hint="eastAsia" w:ascii="宋体" w:hAnsi="宋体" w:eastAsia="宋体" w:cs="宋体"/>
          <w:color w:val="auto"/>
          <w:sz w:val="21"/>
          <w:szCs w:val="21"/>
          <w:lang w:eastAsia="zh-CN"/>
        </w:rPr>
        <w:t>。</w:t>
      </w:r>
    </w:p>
    <w:p w14:paraId="44611D14">
      <w:pPr>
        <w:pStyle w:val="2"/>
        <w:pageBreakBefore w:val="0"/>
        <w:numPr>
          <w:ilvl w:val="0"/>
          <w:numId w:val="0"/>
        </w:numPr>
        <w:kinsoku/>
        <w:wordWrap/>
        <w:overflowPunct/>
        <w:topLinePunct w:val="0"/>
        <w:autoSpaceDE/>
        <w:autoSpaceDN/>
        <w:bidi w:val="0"/>
        <w:adjustRightInd/>
        <w:snapToGrid/>
        <w:spacing w:before="0" w:after="0" w:line="360" w:lineRule="auto"/>
        <w:ind w:firstLine="422" w:firstLineChars="200"/>
        <w:textAlignment w:val="auto"/>
        <w:rPr>
          <w:rFonts w:hint="eastAsia" w:ascii="宋体" w:hAnsi="宋体" w:eastAsia="宋体" w:cs="宋体"/>
          <w:sz w:val="21"/>
          <w:szCs w:val="21"/>
        </w:rPr>
      </w:pPr>
      <w:bookmarkStart w:id="1056" w:name="_Toc358282485"/>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建设内容</w:t>
      </w:r>
      <w:bookmarkEnd w:id="1056"/>
    </w:p>
    <w:p w14:paraId="23F6B130">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1057" w:name="_Toc358282486"/>
      <w:r>
        <w:rPr>
          <w:rFonts w:hint="eastAsia" w:ascii="宋体" w:hAnsi="宋体" w:eastAsia="宋体" w:cs="宋体"/>
          <w:color w:val="auto"/>
          <w:sz w:val="21"/>
          <w:szCs w:val="21"/>
          <w:lang w:val="en-US" w:eastAsia="zh-CN"/>
        </w:rPr>
        <w:t>本项目拟在校区中心配电室拟出线一条3*120高压电缆（利用原学校物资电缆）顶管施工敷设电缆至箱式变电站。</w:t>
      </w:r>
    </w:p>
    <w:p w14:paraId="6B71A99D">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1、新增设备配置：3台630箱变。 </w:t>
      </w:r>
    </w:p>
    <w:p w14:paraId="5EF58E47">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新建3台箱变（利用原学校物资设备）</w:t>
      </w:r>
    </w:p>
    <w:p w14:paraId="298C1AD3">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在校门口值班室西侧绿地内，拟建立3座630箱变，进线由中心配接入。</w:t>
      </w:r>
    </w:p>
    <w:p w14:paraId="3A9BCD44">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设备选型：选用符合国家标准及行业规范的630预装式箱式变电站，具备高压配电、变压器、低压配电等功能。</w:t>
      </w:r>
    </w:p>
    <w:p w14:paraId="53512165">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基础施工：根据设计要求进行箱变基础施工，采用钢筋混凝土结构，确保基础的强度、稳定性及防水性能。基础表面需平整，预留设备安装螺栓孔位。</w:t>
      </w:r>
    </w:p>
    <w:p w14:paraId="2AE09C81">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设备安装：待基础强度达到设计要求后，进行箱变吊装、固定及内部电气设备的接线调试工作，严格遵循电气安装规范，确保设备安装牢固、接线正确。</w:t>
      </w:r>
    </w:p>
    <w:p w14:paraId="267F8358">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2.新建低压电缆分接箱安装</w:t>
      </w:r>
    </w:p>
    <w:p w14:paraId="62F2F42A">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在1号楼 2号楼一层配电间拟安装一台低压电缆分接箱，由此分接箱出线至各楼层空调专用配电箱。</w:t>
      </w:r>
    </w:p>
    <w:p w14:paraId="7BCC0608">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各楼层配电箱的安装，在1号楼 2号楼各楼层之间，选择合适位置，每层楼拟新增配电箱 1台，进线由1楼配电间低压电缆分接箱引入，后期各教室空调用电引入此配电箱。</w:t>
      </w:r>
    </w:p>
    <w:p w14:paraId="732317EC">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箱体选择：选用防护等级不低于IP54的低压电缆分接箱，具备良好的电气绝缘性能及机械强度，满足户外安装使用要求。</w:t>
      </w:r>
    </w:p>
    <w:p w14:paraId="383F1E77">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安装要求：分接箱安装位置应便于操作与维护，安装高度符合设计规范，确保箱体稳固。完成箱体接地安装，接地电阻需满足设计要求。</w:t>
      </w:r>
    </w:p>
    <w:p w14:paraId="501AA682">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3.电缆敷设</w:t>
      </w:r>
    </w:p>
    <w:p w14:paraId="03FFB07A">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电缆选型：根据负荷计算及设计要求，选用合适规格的电力电缆，确保电缆载流量满足长期安全运行需求。</w:t>
      </w:r>
    </w:p>
    <w:p w14:paraId="71BC7EA2">
      <w:pPr>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32"/>
          <w:szCs w:val="32"/>
          <w:lang w:eastAsia="zh-CN"/>
        </w:rPr>
      </w:pPr>
      <w:r>
        <w:rPr>
          <w:rFonts w:hint="eastAsia" w:ascii="宋体" w:hAnsi="宋体" w:eastAsia="宋体" w:cs="宋体"/>
          <w:color w:val="auto"/>
          <w:sz w:val="21"/>
          <w:szCs w:val="21"/>
          <w:lang w:val="en-US" w:eastAsia="zh-CN"/>
        </w:rPr>
        <w:t>• 敷设方式：采用顶管内穿管敷设及电缆沟直埋敷设相结合的方式。电缆敷设前需检查电缆外观及绝缘性能，敷设过程中注意弯曲半径、排列整齐，避免电缆损伤。电缆两端做好标识，便于后期维护。</w:t>
      </w:r>
      <w:bookmarkEnd w:id="1057"/>
    </w:p>
    <w:p w14:paraId="0FCD2DFD">
      <w:pPr>
        <w:pageBreakBefore w:val="0"/>
        <w:kinsoku/>
        <w:wordWrap/>
        <w:overflowPunct/>
        <w:topLinePunct w:val="0"/>
        <w:autoSpaceDE/>
        <w:autoSpaceDN/>
        <w:bidi w:val="0"/>
        <w:adjustRightInd/>
        <w:snapToGrid/>
        <w:spacing w:line="240" w:lineRule="auto"/>
        <w:ind w:firstLine="643" w:firstLineChars="200"/>
        <w:textAlignment w:val="auto"/>
        <w:rPr>
          <w:rFonts w:hint="eastAsia" w:ascii="宋体" w:hAnsi="宋体" w:eastAsia="宋体" w:cs="宋体"/>
          <w:b/>
          <w:bCs/>
          <w:sz w:val="32"/>
          <w:szCs w:val="32"/>
          <w:lang w:eastAsia="zh-CN"/>
        </w:rPr>
      </w:pPr>
    </w:p>
    <w:p w14:paraId="7CD79BAB">
      <w:pPr>
        <w:jc w:val="center"/>
        <w:outlineLvl w:val="0"/>
        <w:rPr>
          <w:rFonts w:hint="eastAsia" w:ascii="宋体" w:hAnsi="宋体" w:eastAsia="宋体" w:cs="宋体"/>
          <w:b/>
          <w:color w:val="auto"/>
          <w:sz w:val="48"/>
          <w:szCs w:val="48"/>
          <w:highlight w:val="none"/>
        </w:rPr>
        <w:sectPr>
          <w:pgSz w:w="11906" w:h="16838"/>
          <w:pgMar w:top="1440" w:right="1080" w:bottom="1440" w:left="1080" w:header="567" w:footer="567" w:gutter="0"/>
          <w:pgNumType w:fmt="decimal"/>
          <w:cols w:space="720" w:num="1"/>
          <w:docGrid w:linePitch="312" w:charSpace="0"/>
        </w:sectPr>
      </w:pPr>
    </w:p>
    <w:p w14:paraId="4A160834">
      <w:pPr>
        <w:jc w:val="center"/>
        <w:outlineLvl w:val="0"/>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第八章 响应性文件格式</w:t>
      </w:r>
      <w:bookmarkEnd w:id="1049"/>
    </w:p>
    <w:p w14:paraId="4A458323">
      <w:pPr>
        <w:jc w:val="center"/>
        <w:rPr>
          <w:rFonts w:hint="eastAsia" w:ascii="宋体" w:hAnsi="宋体" w:eastAsia="宋体" w:cs="宋体"/>
          <w:b/>
          <w:color w:val="auto"/>
          <w:sz w:val="48"/>
          <w:szCs w:val="48"/>
          <w:highlight w:val="none"/>
        </w:rPr>
      </w:pPr>
    </w:p>
    <w:p w14:paraId="67C4C428">
      <w:pPr>
        <w:jc w:val="center"/>
        <w:rPr>
          <w:rFonts w:hint="eastAsia" w:ascii="宋体" w:hAnsi="宋体" w:eastAsia="宋体" w:cs="宋体"/>
          <w:b/>
          <w:color w:val="auto"/>
          <w:sz w:val="48"/>
          <w:szCs w:val="48"/>
          <w:highlight w:val="none"/>
        </w:rPr>
      </w:pPr>
    </w:p>
    <w:p w14:paraId="3B73F94D">
      <w:pPr>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项目名称</w:t>
      </w:r>
      <w:r>
        <w:rPr>
          <w:rFonts w:hint="eastAsia" w:ascii="宋体" w:hAnsi="宋体" w:eastAsia="宋体" w:cs="宋体"/>
          <w:b/>
          <w:color w:val="auto"/>
          <w:sz w:val="48"/>
          <w:szCs w:val="48"/>
          <w:highlight w:val="none"/>
          <w:lang w:eastAsia="zh-CN"/>
        </w:rPr>
        <w:t>）</w:t>
      </w:r>
    </w:p>
    <w:p w14:paraId="6B2FC122">
      <w:pPr>
        <w:jc w:val="center"/>
        <w:rPr>
          <w:rFonts w:hint="eastAsia" w:ascii="宋体" w:hAnsi="宋体" w:eastAsia="宋体" w:cs="宋体"/>
          <w:b/>
          <w:color w:val="auto"/>
          <w:sz w:val="84"/>
          <w:szCs w:val="84"/>
          <w:highlight w:val="none"/>
        </w:rPr>
      </w:pPr>
    </w:p>
    <w:p w14:paraId="2211351B">
      <w:pPr>
        <w:jc w:val="center"/>
        <w:rPr>
          <w:rFonts w:hint="eastAsia" w:ascii="宋体" w:hAnsi="宋体" w:eastAsia="宋体" w:cs="宋体"/>
          <w:b/>
          <w:color w:val="auto"/>
          <w:sz w:val="84"/>
          <w:szCs w:val="84"/>
          <w:highlight w:val="none"/>
        </w:rPr>
      </w:pPr>
    </w:p>
    <w:p w14:paraId="092F1B1D">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响应性文件</w:t>
      </w:r>
    </w:p>
    <w:p w14:paraId="6F2FD3E4">
      <w:pPr>
        <w:spacing w:line="360" w:lineRule="auto"/>
        <w:jc w:val="center"/>
        <w:rPr>
          <w:rFonts w:hint="eastAsia" w:ascii="宋体" w:hAnsi="宋体" w:eastAsia="宋体" w:cs="宋体"/>
          <w:b/>
          <w:color w:val="auto"/>
          <w:sz w:val="28"/>
          <w:szCs w:val="28"/>
          <w:highlight w:val="none"/>
        </w:rPr>
      </w:pPr>
    </w:p>
    <w:p w14:paraId="18E0C00D">
      <w:pPr>
        <w:spacing w:line="360" w:lineRule="auto"/>
        <w:jc w:val="center"/>
        <w:rPr>
          <w:rFonts w:hint="eastAsia" w:ascii="宋体" w:hAnsi="宋体" w:eastAsia="宋体" w:cs="宋体"/>
          <w:b/>
          <w:color w:val="auto"/>
          <w:sz w:val="28"/>
          <w:szCs w:val="28"/>
          <w:highlight w:val="none"/>
        </w:rPr>
      </w:pPr>
    </w:p>
    <w:p w14:paraId="01346DB2">
      <w:pPr>
        <w:spacing w:line="360" w:lineRule="auto"/>
        <w:jc w:val="center"/>
        <w:rPr>
          <w:rFonts w:hint="eastAsia" w:ascii="宋体" w:hAnsi="宋体" w:eastAsia="宋体" w:cs="宋体"/>
          <w:b/>
          <w:color w:val="auto"/>
          <w:sz w:val="28"/>
          <w:szCs w:val="28"/>
          <w:highlight w:val="none"/>
        </w:rPr>
      </w:pPr>
    </w:p>
    <w:p w14:paraId="5360F74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49FACEFC">
      <w:pPr>
        <w:spacing w:line="360" w:lineRule="auto"/>
        <w:jc w:val="center"/>
        <w:rPr>
          <w:rFonts w:hint="eastAsia" w:ascii="宋体" w:hAnsi="宋体" w:eastAsia="宋体" w:cs="宋体"/>
          <w:b/>
          <w:color w:val="auto"/>
          <w:sz w:val="32"/>
          <w:highlight w:val="none"/>
        </w:rPr>
      </w:pPr>
    </w:p>
    <w:p w14:paraId="35E37256">
      <w:pPr>
        <w:rPr>
          <w:rFonts w:hint="eastAsia" w:ascii="宋体" w:hAnsi="宋体" w:eastAsia="宋体" w:cs="宋体"/>
          <w:color w:val="auto"/>
          <w:sz w:val="24"/>
          <w:highlight w:val="none"/>
        </w:rPr>
      </w:pPr>
    </w:p>
    <w:p w14:paraId="71A63072">
      <w:pPr>
        <w:rPr>
          <w:rFonts w:hint="eastAsia" w:ascii="宋体" w:hAnsi="宋体" w:eastAsia="宋体" w:cs="宋体"/>
          <w:color w:val="auto"/>
          <w:sz w:val="24"/>
          <w:highlight w:val="none"/>
        </w:rPr>
      </w:pPr>
    </w:p>
    <w:p w14:paraId="0F9D7223">
      <w:pPr>
        <w:pStyle w:val="24"/>
        <w:ind w:firstLine="240"/>
        <w:rPr>
          <w:rFonts w:hint="eastAsia" w:ascii="宋体" w:hAnsi="宋体" w:eastAsia="宋体" w:cs="宋体"/>
          <w:color w:val="auto"/>
          <w:sz w:val="24"/>
          <w:highlight w:val="none"/>
        </w:rPr>
      </w:pPr>
    </w:p>
    <w:p w14:paraId="263071C6">
      <w:pPr>
        <w:pStyle w:val="25"/>
        <w:rPr>
          <w:rFonts w:hint="eastAsia" w:ascii="宋体" w:hAnsi="宋体" w:eastAsia="宋体" w:cs="宋体"/>
          <w:color w:val="auto"/>
          <w:highlight w:val="none"/>
        </w:rPr>
      </w:pPr>
    </w:p>
    <w:p w14:paraId="2B89703A">
      <w:pPr>
        <w:spacing w:line="360" w:lineRule="auto"/>
        <w:ind w:firstLine="2048" w:firstLineChars="8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响应人：（盖企业电子章）</w:t>
      </w:r>
    </w:p>
    <w:p w14:paraId="52A33CDB">
      <w:pPr>
        <w:spacing w:line="360" w:lineRule="auto"/>
        <w:ind w:firstLine="1566" w:firstLineChars="650"/>
        <w:rPr>
          <w:rFonts w:hint="eastAsia" w:ascii="宋体" w:hAnsi="宋体" w:eastAsia="宋体" w:cs="宋体"/>
          <w:b/>
          <w:bCs/>
          <w:color w:val="auto"/>
          <w:sz w:val="24"/>
          <w:highlight w:val="none"/>
        </w:rPr>
      </w:pPr>
    </w:p>
    <w:p w14:paraId="5B628AF4">
      <w:pPr>
        <w:spacing w:line="360" w:lineRule="auto"/>
        <w:ind w:firstLine="2048" w:firstLineChars="8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法定代表人或其委托代理人：（签字或盖章）</w:t>
      </w:r>
    </w:p>
    <w:p w14:paraId="6E7993F8">
      <w:pPr>
        <w:spacing w:line="360" w:lineRule="auto"/>
        <w:ind w:firstLine="1566" w:firstLineChars="650"/>
        <w:rPr>
          <w:rFonts w:hint="eastAsia" w:ascii="宋体" w:hAnsi="宋体" w:eastAsia="宋体" w:cs="宋体"/>
          <w:b/>
          <w:bCs/>
          <w:color w:val="auto"/>
          <w:sz w:val="24"/>
          <w:highlight w:val="none"/>
        </w:rPr>
      </w:pPr>
    </w:p>
    <w:p w14:paraId="492E8F6C">
      <w:pPr>
        <w:spacing w:line="360" w:lineRule="auto"/>
        <w:ind w:firstLine="2048" w:firstLineChars="8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日</w:t>
      </w:r>
    </w:p>
    <w:p w14:paraId="15D7A101">
      <w:pPr>
        <w:jc w:val="center"/>
        <w:rPr>
          <w:rFonts w:hint="eastAsia" w:ascii="宋体" w:hAnsi="宋体" w:eastAsia="宋体" w:cs="宋体"/>
          <w:b/>
          <w:bCs/>
          <w:color w:val="auto"/>
          <w:szCs w:val="21"/>
          <w:highlight w:val="none"/>
        </w:rPr>
        <w:sectPr>
          <w:pgSz w:w="11906" w:h="16838"/>
          <w:pgMar w:top="1440" w:right="1080" w:bottom="1440" w:left="1080" w:header="567" w:footer="567" w:gutter="0"/>
          <w:pgNumType w:fmt="decimal"/>
          <w:cols w:space="720" w:num="1"/>
          <w:docGrid w:linePitch="312" w:charSpace="0"/>
        </w:sectPr>
      </w:pPr>
      <w:bookmarkStart w:id="1058" w:name="_Toc15430"/>
    </w:p>
    <w:p w14:paraId="1A4105A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一、磋商函及磋商函附录</w:t>
      </w:r>
      <w:bookmarkEnd w:id="1058"/>
    </w:p>
    <w:p w14:paraId="4B832605">
      <w:pPr>
        <w:pStyle w:val="4"/>
        <w:jc w:val="center"/>
        <w:rPr>
          <w:rFonts w:hint="eastAsia" w:ascii="宋体" w:hAnsi="宋体" w:eastAsia="宋体" w:cs="宋体"/>
          <w:color w:val="auto"/>
          <w:sz w:val="21"/>
          <w:szCs w:val="21"/>
          <w:highlight w:val="none"/>
        </w:rPr>
      </w:pPr>
      <w:bookmarkStart w:id="1059" w:name="_Toc20314"/>
      <w:bookmarkStart w:id="1060" w:name="_Toc21469"/>
      <w:bookmarkStart w:id="1061" w:name="_Toc152045789"/>
      <w:bookmarkStart w:id="1062" w:name="_Toc144974858"/>
      <w:bookmarkStart w:id="1063" w:name="_Toc335635878"/>
      <w:bookmarkStart w:id="1064" w:name="_Toc296602603"/>
      <w:bookmarkStart w:id="1065" w:name="_Toc434920620"/>
      <w:bookmarkStart w:id="1066" w:name="_Toc246996357"/>
      <w:bookmarkStart w:id="1067" w:name="_Toc179632809"/>
      <w:bookmarkStart w:id="1068" w:name="_Toc246997100"/>
      <w:bookmarkStart w:id="1069" w:name="_Toc247085875"/>
      <w:bookmarkStart w:id="1070" w:name="_Toc25660"/>
      <w:bookmarkStart w:id="1071" w:name="_Toc327365336"/>
      <w:bookmarkStart w:id="1072" w:name="_Toc152042578"/>
      <w:r>
        <w:rPr>
          <w:rFonts w:hint="eastAsia" w:ascii="宋体" w:hAnsi="宋体" w:eastAsia="宋体" w:cs="宋体"/>
          <w:color w:val="auto"/>
          <w:sz w:val="21"/>
          <w:szCs w:val="21"/>
          <w:highlight w:val="none"/>
        </w:rPr>
        <w:t>（一）磋商函</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015670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p w14:paraId="30FAFD90">
      <w:pPr>
        <w:numPr>
          <w:ilvl w:val="0"/>
          <w:numId w:val="4"/>
        </w:numPr>
        <w:spacing w:line="360" w:lineRule="auto"/>
        <w:ind w:firstLine="420" w:firstLineChars="20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磋商文件的全部内容，愿意以人民币（大写）</w:t>
      </w:r>
      <w:r>
        <w:rPr>
          <w:rFonts w:hint="eastAsia" w:ascii="宋体" w:hAnsi="宋体" w:eastAsia="宋体" w:cs="宋体"/>
          <w:color w:val="auto"/>
          <w:szCs w:val="21"/>
          <w:highlight w:val="none"/>
          <w:u w:val="single"/>
          <w:lang w:val="en-US" w:eastAsia="zh-CN"/>
        </w:rPr>
        <w:t xml:space="preserve">         </w:t>
      </w:r>
    </w:p>
    <w:p w14:paraId="6C3219EC">
      <w:pPr>
        <w:numPr>
          <w:ilvl w:val="0"/>
          <w:numId w:val="0"/>
        </w:num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的投标总报价，工期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日历天，按合同约定实施和完成承包工程，修补工程中的任何缺陷，质量标准达到。</w:t>
      </w:r>
    </w:p>
    <w:p w14:paraId="59196E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2．我方承诺在磋商文件规定的磋商有效期内不修改、撤销响应性文件。</w:t>
      </w:r>
    </w:p>
    <w:p w14:paraId="3FAEC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3．如我方成交：</w:t>
      </w:r>
    </w:p>
    <w:p w14:paraId="2EF7B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（1）我方承诺在收到成交通知书后，在成交通知书规定的期限内与你方签订合同。</w:t>
      </w:r>
    </w:p>
    <w:p w14:paraId="70074B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（2）随同本投标函递交的投标函附录属于合同文件的组成部分。</w:t>
      </w:r>
    </w:p>
    <w:p w14:paraId="62DBC9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（3）我方承诺按现行国家、行业技术标准和要求进行施工。</w:t>
      </w:r>
    </w:p>
    <w:p w14:paraId="24DE5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（4）我方承诺按照磋商文件规定向你方递交履约担保。</w:t>
      </w:r>
    </w:p>
    <w:p w14:paraId="00757A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（5）我方承诺按照磋商文件要求，向采购代理机构缴纳采购代理服务费。</w:t>
      </w:r>
    </w:p>
    <w:p w14:paraId="35EF4F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（6）我方承诺在合同约定的期限内完成并移交全部合同工程。</w:t>
      </w:r>
    </w:p>
    <w:p w14:paraId="38C704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5．我方在此声明，所递交的响应性文件及有关资料内容完整、真实和准确，且不存在第二章“响应人须知”第1.4.3项和第1.4.4项规定的任何一种情形。</w:t>
      </w:r>
    </w:p>
    <w:p w14:paraId="4616E4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6．（其他补充说明）。</w:t>
      </w:r>
    </w:p>
    <w:p w14:paraId="773D829E">
      <w:pPr>
        <w:spacing w:line="440" w:lineRule="exact"/>
        <w:rPr>
          <w:rFonts w:hint="eastAsia" w:ascii="宋体" w:hAnsi="宋体" w:eastAsia="宋体" w:cs="宋体"/>
          <w:color w:val="auto"/>
          <w:szCs w:val="21"/>
          <w:highlight w:val="none"/>
        </w:rPr>
      </w:pPr>
    </w:p>
    <w:p w14:paraId="0DC8DE8A">
      <w:pPr>
        <w:spacing w:line="360" w:lineRule="auto"/>
        <w:ind w:firstLine="420" w:firstLineChars="200"/>
        <w:rPr>
          <w:rFonts w:hint="eastAsia" w:ascii="宋体" w:hAnsi="宋体" w:eastAsia="宋体" w:cs="宋体"/>
          <w:color w:val="auto"/>
          <w:szCs w:val="21"/>
          <w:highlight w:val="none"/>
        </w:rPr>
      </w:pPr>
    </w:p>
    <w:p w14:paraId="6E0E006A">
      <w:pPr>
        <w:spacing w:line="360" w:lineRule="auto"/>
        <w:ind w:firstLine="420" w:firstLineChars="200"/>
        <w:rPr>
          <w:rFonts w:hint="eastAsia" w:ascii="宋体" w:hAnsi="宋体" w:eastAsia="宋体" w:cs="宋体"/>
          <w:color w:val="auto"/>
          <w:szCs w:val="21"/>
          <w:highlight w:val="none"/>
        </w:rPr>
      </w:pPr>
    </w:p>
    <w:p w14:paraId="2A32C9C3">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响应人：（盖企业电子章）</w:t>
      </w:r>
    </w:p>
    <w:p w14:paraId="7972FD00">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法定代表人或其委托代理人：（签字或盖章）</w:t>
      </w:r>
    </w:p>
    <w:p w14:paraId="4B60EDEC">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60945990">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p w14:paraId="363CD98E">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5772FA2C">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70F43ECD">
      <w:pPr>
        <w:spacing w:line="360" w:lineRule="auto"/>
        <w:ind w:leftChars="20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p w14:paraId="651A2FFD">
      <w:pPr>
        <w:spacing w:line="360" w:lineRule="auto"/>
        <w:ind w:leftChars="2000" w:firstLine="1890" w:firstLineChars="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38AFDDF1">
      <w:pPr>
        <w:pStyle w:val="44"/>
        <w:rPr>
          <w:rFonts w:hint="eastAsia" w:ascii="宋体" w:hAnsi="宋体" w:eastAsia="宋体" w:cs="宋体"/>
          <w:color w:val="auto"/>
          <w:sz w:val="21"/>
          <w:szCs w:val="21"/>
          <w:highlight w:val="none"/>
        </w:rPr>
      </w:pPr>
    </w:p>
    <w:p w14:paraId="4DE24902">
      <w:pPr>
        <w:rPr>
          <w:rFonts w:hint="eastAsia" w:ascii="宋体" w:hAnsi="宋体" w:eastAsia="宋体" w:cs="宋体"/>
          <w:color w:val="auto"/>
          <w:highlight w:val="none"/>
        </w:rPr>
      </w:pPr>
    </w:p>
    <w:p w14:paraId="7D179F20">
      <w:pPr>
        <w:rPr>
          <w:rFonts w:hint="eastAsia" w:ascii="宋体" w:hAnsi="宋体" w:eastAsia="宋体" w:cs="宋体"/>
          <w:color w:val="auto"/>
          <w:szCs w:val="21"/>
          <w:highlight w:val="none"/>
        </w:rPr>
      </w:pPr>
      <w:bookmarkStart w:id="1073" w:name="_Toc152042580"/>
      <w:bookmarkStart w:id="1074" w:name="_Toc179632811"/>
      <w:bookmarkStart w:id="1075" w:name="_Toc246996359"/>
      <w:bookmarkStart w:id="1076" w:name="_Toc246997102"/>
      <w:bookmarkStart w:id="1077" w:name="_Toc144974860"/>
      <w:bookmarkStart w:id="1078" w:name="_Toc247085877"/>
      <w:bookmarkStart w:id="1079" w:name="_Toc152045791"/>
      <w:r>
        <w:rPr>
          <w:rFonts w:hint="eastAsia" w:ascii="宋体" w:hAnsi="宋体" w:eastAsia="宋体" w:cs="宋体"/>
          <w:color w:val="auto"/>
          <w:szCs w:val="21"/>
          <w:highlight w:val="none"/>
        </w:rPr>
        <w:br w:type="page"/>
      </w:r>
    </w:p>
    <w:p w14:paraId="0E4080D2">
      <w:pPr>
        <w:pStyle w:val="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（二）磋商报价表（一次）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26"/>
        <w:gridCol w:w="1022"/>
        <w:gridCol w:w="2338"/>
        <w:gridCol w:w="1194"/>
        <w:gridCol w:w="1704"/>
      </w:tblGrid>
      <w:tr w14:paraId="0982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655" w:type="dxa"/>
            <w:vAlign w:val="center"/>
          </w:tcPr>
          <w:p w14:paraId="5B9AA4DF">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684" w:type="dxa"/>
            <w:gridSpan w:val="5"/>
            <w:vAlign w:val="center"/>
          </w:tcPr>
          <w:p w14:paraId="56B3DBC6">
            <w:pPr>
              <w:rPr>
                <w:rFonts w:hint="eastAsia" w:ascii="宋体" w:hAnsi="宋体" w:eastAsia="宋体" w:cs="宋体"/>
                <w:color w:val="auto"/>
                <w:highlight w:val="none"/>
              </w:rPr>
            </w:pPr>
          </w:p>
          <w:p w14:paraId="4D030FD3">
            <w:pPr>
              <w:spacing w:line="480" w:lineRule="exact"/>
              <w:rPr>
                <w:rFonts w:hint="eastAsia" w:ascii="宋体" w:hAnsi="宋体" w:eastAsia="宋体" w:cs="宋体"/>
                <w:color w:val="auto"/>
                <w:szCs w:val="21"/>
                <w:highlight w:val="none"/>
              </w:rPr>
            </w:pPr>
          </w:p>
        </w:tc>
      </w:tr>
      <w:tr w14:paraId="7AD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655" w:type="dxa"/>
            <w:vAlign w:val="center"/>
          </w:tcPr>
          <w:p w14:paraId="7D68FFC3">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684" w:type="dxa"/>
            <w:gridSpan w:val="5"/>
            <w:vAlign w:val="center"/>
          </w:tcPr>
          <w:p w14:paraId="4028DE11">
            <w:pPr>
              <w:spacing w:line="480" w:lineRule="exact"/>
              <w:ind w:firstLine="420" w:firstLineChars="200"/>
              <w:rPr>
                <w:rFonts w:hint="eastAsia" w:ascii="宋体" w:hAnsi="宋体" w:eastAsia="宋体" w:cs="宋体"/>
                <w:color w:val="auto"/>
                <w:szCs w:val="21"/>
                <w:highlight w:val="none"/>
              </w:rPr>
            </w:pPr>
          </w:p>
        </w:tc>
      </w:tr>
      <w:tr w14:paraId="4EF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655" w:type="dxa"/>
            <w:vAlign w:val="center"/>
          </w:tcPr>
          <w:p w14:paraId="65055B4C">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26" w:type="dxa"/>
            <w:vAlign w:val="center"/>
          </w:tcPr>
          <w:p w14:paraId="198C6939">
            <w:pPr>
              <w:spacing w:line="480" w:lineRule="exact"/>
              <w:ind w:firstLine="420" w:firstLineChars="200"/>
              <w:rPr>
                <w:rFonts w:hint="eastAsia" w:ascii="宋体" w:hAnsi="宋体" w:eastAsia="宋体" w:cs="宋体"/>
                <w:color w:val="auto"/>
                <w:szCs w:val="21"/>
                <w:highlight w:val="none"/>
              </w:rPr>
            </w:pPr>
          </w:p>
        </w:tc>
        <w:tc>
          <w:tcPr>
            <w:tcW w:w="1022" w:type="dxa"/>
            <w:vAlign w:val="center"/>
          </w:tcPr>
          <w:p w14:paraId="3AAD77CA">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2338" w:type="dxa"/>
            <w:vAlign w:val="center"/>
          </w:tcPr>
          <w:p w14:paraId="2BD9502F">
            <w:pPr>
              <w:spacing w:line="480" w:lineRule="exact"/>
              <w:ind w:firstLine="420" w:firstLineChars="200"/>
              <w:rPr>
                <w:rFonts w:hint="eastAsia" w:ascii="宋体" w:hAnsi="宋体" w:eastAsia="宋体" w:cs="宋体"/>
                <w:color w:val="auto"/>
                <w:szCs w:val="21"/>
                <w:highlight w:val="none"/>
              </w:rPr>
            </w:pPr>
          </w:p>
        </w:tc>
        <w:tc>
          <w:tcPr>
            <w:tcW w:w="1194" w:type="dxa"/>
            <w:vAlign w:val="center"/>
          </w:tcPr>
          <w:p w14:paraId="4AE5DFB5">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注册证号</w:t>
            </w:r>
          </w:p>
        </w:tc>
        <w:tc>
          <w:tcPr>
            <w:tcW w:w="1704" w:type="dxa"/>
            <w:vAlign w:val="center"/>
          </w:tcPr>
          <w:p w14:paraId="6FC40B47">
            <w:pPr>
              <w:spacing w:line="480" w:lineRule="exact"/>
              <w:ind w:firstLine="420" w:firstLineChars="200"/>
              <w:rPr>
                <w:rFonts w:hint="eastAsia" w:ascii="宋体" w:hAnsi="宋体" w:eastAsia="宋体" w:cs="宋体"/>
                <w:color w:val="auto"/>
                <w:szCs w:val="21"/>
                <w:highlight w:val="none"/>
              </w:rPr>
            </w:pPr>
          </w:p>
        </w:tc>
      </w:tr>
      <w:tr w14:paraId="48A8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3081" w:type="dxa"/>
            <w:gridSpan w:val="2"/>
            <w:vAlign w:val="center"/>
          </w:tcPr>
          <w:p w14:paraId="23832AF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响应范围</w:t>
            </w:r>
          </w:p>
        </w:tc>
        <w:tc>
          <w:tcPr>
            <w:tcW w:w="6258" w:type="dxa"/>
            <w:gridSpan w:val="4"/>
            <w:vAlign w:val="center"/>
          </w:tcPr>
          <w:p w14:paraId="7A13120D">
            <w:pPr>
              <w:spacing w:line="480" w:lineRule="exact"/>
              <w:ind w:firstLine="420" w:firstLineChars="200"/>
              <w:rPr>
                <w:rFonts w:hint="eastAsia" w:ascii="宋体" w:hAnsi="宋体" w:eastAsia="宋体" w:cs="宋体"/>
                <w:color w:val="auto"/>
                <w:szCs w:val="21"/>
                <w:highlight w:val="none"/>
              </w:rPr>
            </w:pPr>
          </w:p>
        </w:tc>
      </w:tr>
      <w:tr w14:paraId="6EDA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3081" w:type="dxa"/>
            <w:gridSpan w:val="2"/>
            <w:vAlign w:val="center"/>
          </w:tcPr>
          <w:p w14:paraId="7F8047DD">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6258" w:type="dxa"/>
            <w:gridSpan w:val="4"/>
            <w:vAlign w:val="center"/>
          </w:tcPr>
          <w:p w14:paraId="7751DF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p w14:paraId="1B0A2282">
            <w:pPr>
              <w:pStyle w:val="4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r w14:paraId="0435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bottom w:val="single" w:color="auto" w:sz="4" w:space="0"/>
            </w:tcBorders>
            <w:vAlign w:val="center"/>
          </w:tcPr>
          <w:p w14:paraId="545E8929">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258" w:type="dxa"/>
            <w:gridSpan w:val="4"/>
            <w:tcBorders>
              <w:bottom w:val="single" w:color="auto" w:sz="4" w:space="0"/>
            </w:tcBorders>
            <w:vAlign w:val="center"/>
          </w:tcPr>
          <w:p w14:paraId="49C0CAED">
            <w:pPr>
              <w:spacing w:line="480" w:lineRule="exact"/>
              <w:ind w:firstLine="420" w:firstLineChars="200"/>
              <w:rPr>
                <w:rFonts w:hint="eastAsia" w:ascii="宋体" w:hAnsi="宋体" w:eastAsia="宋体" w:cs="宋体"/>
                <w:color w:val="auto"/>
                <w:szCs w:val="21"/>
                <w:highlight w:val="none"/>
              </w:rPr>
            </w:pPr>
          </w:p>
        </w:tc>
      </w:tr>
      <w:tr w14:paraId="5745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top w:val="single" w:color="auto" w:sz="4" w:space="0"/>
              <w:left w:val="single" w:color="auto" w:sz="4" w:space="0"/>
              <w:bottom w:val="single" w:color="auto" w:sz="4" w:space="0"/>
              <w:right w:val="single" w:color="auto" w:sz="4" w:space="0"/>
            </w:tcBorders>
            <w:vAlign w:val="center"/>
          </w:tcPr>
          <w:p w14:paraId="1E5BBCFD">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6258" w:type="dxa"/>
            <w:gridSpan w:val="4"/>
            <w:tcBorders>
              <w:top w:val="single" w:color="auto" w:sz="4" w:space="0"/>
              <w:left w:val="single" w:color="auto" w:sz="4" w:space="0"/>
              <w:bottom w:val="single" w:color="auto" w:sz="4" w:space="0"/>
              <w:right w:val="single" w:color="auto" w:sz="4" w:space="0"/>
            </w:tcBorders>
            <w:vAlign w:val="center"/>
          </w:tcPr>
          <w:p w14:paraId="406E01BD">
            <w:pPr>
              <w:spacing w:line="480" w:lineRule="exact"/>
              <w:jc w:val="left"/>
              <w:rPr>
                <w:rFonts w:hint="eastAsia" w:ascii="宋体" w:hAnsi="宋体" w:eastAsia="宋体" w:cs="宋体"/>
                <w:color w:val="auto"/>
                <w:szCs w:val="21"/>
                <w:highlight w:val="none"/>
              </w:rPr>
            </w:pPr>
          </w:p>
        </w:tc>
      </w:tr>
      <w:tr w14:paraId="0308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top w:val="single" w:color="auto" w:sz="4" w:space="0"/>
              <w:left w:val="single" w:color="auto" w:sz="4" w:space="0"/>
              <w:bottom w:val="single" w:color="auto" w:sz="4" w:space="0"/>
              <w:right w:val="single" w:color="auto" w:sz="4" w:space="0"/>
            </w:tcBorders>
            <w:vAlign w:val="center"/>
          </w:tcPr>
          <w:p w14:paraId="20B05112">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258" w:type="dxa"/>
            <w:gridSpan w:val="4"/>
            <w:tcBorders>
              <w:top w:val="single" w:color="auto" w:sz="4" w:space="0"/>
              <w:left w:val="single" w:color="auto" w:sz="4" w:space="0"/>
              <w:bottom w:val="single" w:color="auto" w:sz="4" w:space="0"/>
              <w:right w:val="single" w:color="auto" w:sz="4" w:space="0"/>
            </w:tcBorders>
            <w:vAlign w:val="center"/>
          </w:tcPr>
          <w:p w14:paraId="2722F46F">
            <w:pPr>
              <w:spacing w:line="480" w:lineRule="exact"/>
              <w:ind w:firstLine="420" w:firstLineChars="200"/>
              <w:rPr>
                <w:rFonts w:hint="eastAsia" w:ascii="宋体" w:hAnsi="宋体" w:eastAsia="宋体" w:cs="宋体"/>
                <w:color w:val="auto"/>
                <w:szCs w:val="21"/>
                <w:highlight w:val="none"/>
              </w:rPr>
            </w:pPr>
          </w:p>
        </w:tc>
      </w:tr>
      <w:tr w14:paraId="6560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top w:val="single" w:color="auto" w:sz="4" w:space="0"/>
              <w:left w:val="single" w:color="auto" w:sz="4" w:space="0"/>
              <w:bottom w:val="single" w:color="auto" w:sz="4" w:space="0"/>
              <w:right w:val="single" w:color="auto" w:sz="4" w:space="0"/>
            </w:tcBorders>
            <w:vAlign w:val="center"/>
          </w:tcPr>
          <w:p w14:paraId="689EAA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6258" w:type="dxa"/>
            <w:gridSpan w:val="4"/>
            <w:tcBorders>
              <w:top w:val="single" w:color="auto" w:sz="4" w:space="0"/>
              <w:left w:val="single" w:color="auto" w:sz="4" w:space="0"/>
              <w:bottom w:val="single" w:color="auto" w:sz="4" w:space="0"/>
              <w:right w:val="single" w:color="auto" w:sz="4" w:space="0"/>
            </w:tcBorders>
            <w:vAlign w:val="center"/>
          </w:tcPr>
          <w:p w14:paraId="29F635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满足磋商文件“第四章合同条款及格式”中的要求</w:t>
            </w:r>
          </w:p>
        </w:tc>
      </w:tr>
      <w:tr w14:paraId="2EBD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top w:val="single" w:color="auto" w:sz="4" w:space="0"/>
              <w:left w:val="single" w:color="auto" w:sz="4" w:space="0"/>
              <w:bottom w:val="single" w:color="auto" w:sz="4" w:space="0"/>
              <w:right w:val="single" w:color="auto" w:sz="4" w:space="0"/>
            </w:tcBorders>
            <w:vAlign w:val="center"/>
          </w:tcPr>
          <w:p w14:paraId="41E348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tc>
        <w:tc>
          <w:tcPr>
            <w:tcW w:w="6258" w:type="dxa"/>
            <w:gridSpan w:val="4"/>
            <w:tcBorders>
              <w:top w:val="single" w:color="auto" w:sz="4" w:space="0"/>
              <w:left w:val="single" w:color="auto" w:sz="4" w:space="0"/>
              <w:bottom w:val="single" w:color="auto" w:sz="4" w:space="0"/>
              <w:right w:val="single" w:color="auto" w:sz="4" w:space="0"/>
            </w:tcBorders>
            <w:vAlign w:val="center"/>
          </w:tcPr>
          <w:p w14:paraId="4758A4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满足磋商文件“第七章技术标准和要求”中的要求</w:t>
            </w:r>
          </w:p>
        </w:tc>
      </w:tr>
      <w:tr w14:paraId="03F0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1" w:type="dxa"/>
            <w:gridSpan w:val="2"/>
            <w:tcBorders>
              <w:top w:val="single" w:color="auto" w:sz="4" w:space="0"/>
              <w:left w:val="single" w:color="auto" w:sz="4" w:space="0"/>
              <w:bottom w:val="single" w:color="auto" w:sz="4" w:space="0"/>
              <w:right w:val="single" w:color="auto" w:sz="4" w:space="0"/>
            </w:tcBorders>
            <w:vAlign w:val="center"/>
          </w:tcPr>
          <w:p w14:paraId="2A1B7A0E">
            <w:pP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258" w:type="dxa"/>
            <w:gridSpan w:val="4"/>
            <w:tcBorders>
              <w:top w:val="single" w:color="auto" w:sz="4" w:space="0"/>
              <w:left w:val="single" w:color="auto" w:sz="4" w:space="0"/>
              <w:bottom w:val="single" w:color="auto" w:sz="4" w:space="0"/>
              <w:right w:val="single" w:color="auto" w:sz="4" w:space="0"/>
            </w:tcBorders>
            <w:vAlign w:val="center"/>
          </w:tcPr>
          <w:p w14:paraId="7B2635F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如果优于磋商文件的要求可另行附页。</w:t>
            </w:r>
          </w:p>
        </w:tc>
      </w:tr>
    </w:tbl>
    <w:p w14:paraId="2E93E9F9">
      <w:pPr>
        <w:spacing w:line="360" w:lineRule="auto"/>
        <w:jc w:val="left"/>
        <w:rPr>
          <w:rFonts w:hint="eastAsia" w:ascii="宋体" w:hAnsi="宋体" w:eastAsia="宋体" w:cs="宋体"/>
          <w:color w:val="auto"/>
          <w:szCs w:val="21"/>
          <w:highlight w:val="none"/>
        </w:rPr>
      </w:pPr>
    </w:p>
    <w:p w14:paraId="7B83D36A">
      <w:pPr>
        <w:spacing w:line="360" w:lineRule="auto"/>
        <w:jc w:val="left"/>
        <w:rPr>
          <w:rFonts w:hint="eastAsia" w:ascii="宋体" w:hAnsi="宋体" w:eastAsia="宋体" w:cs="宋体"/>
          <w:color w:val="auto"/>
          <w:szCs w:val="21"/>
          <w:highlight w:val="none"/>
        </w:rPr>
      </w:pPr>
    </w:p>
    <w:p w14:paraId="0B52812C">
      <w:pPr>
        <w:spacing w:line="360" w:lineRule="auto"/>
        <w:ind w:leftChars="2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响应人：（盖企业电子章）</w:t>
      </w:r>
    </w:p>
    <w:p w14:paraId="77322B9B">
      <w:pPr>
        <w:spacing w:line="360" w:lineRule="auto"/>
        <w:ind w:leftChars="2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法定代表人或其委托代理人：（签字或盖章）</w:t>
      </w:r>
    </w:p>
    <w:p w14:paraId="5ABFC31B">
      <w:pPr>
        <w:spacing w:line="360" w:lineRule="auto"/>
        <w:ind w:leftChars="2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09ACCEEF">
      <w:pPr>
        <w:spacing w:line="360" w:lineRule="auto"/>
        <w:ind w:leftChars="2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458B5E6C">
      <w:pPr>
        <w:spacing w:line="360" w:lineRule="auto"/>
        <w:ind w:leftChars="2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0EB22689">
      <w:pPr>
        <w:spacing w:line="360" w:lineRule="auto"/>
        <w:ind w:leftChars="2300" w:firstLine="840" w:firstLineChars="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637D0C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080" w:name="_Toc20268"/>
      <w:bookmarkStart w:id="1081" w:name="_Toc7994"/>
      <w:bookmarkStart w:id="1082" w:name="_Toc24139"/>
      <w:bookmarkStart w:id="1083" w:name="_Toc26079"/>
    </w:p>
    <w:bookmarkEnd w:id="1080"/>
    <w:bookmarkEnd w:id="1081"/>
    <w:bookmarkEnd w:id="1082"/>
    <w:p w14:paraId="4F4E6241">
      <w:pPr>
        <w:pStyle w:val="3"/>
        <w:jc w:val="center"/>
        <w:rPr>
          <w:rFonts w:hint="eastAsia" w:ascii="宋体" w:hAnsi="宋体" w:eastAsia="宋体" w:cs="宋体"/>
          <w:color w:val="auto"/>
          <w:sz w:val="21"/>
          <w:szCs w:val="21"/>
          <w:highlight w:val="none"/>
        </w:rPr>
      </w:pPr>
      <w:bookmarkStart w:id="1084" w:name="_Toc10787"/>
      <w:bookmarkStart w:id="1085" w:name="_Toc871"/>
      <w:bookmarkStart w:id="1086" w:name="_Toc28617"/>
      <w:r>
        <w:rPr>
          <w:rFonts w:hint="eastAsia" w:ascii="宋体" w:hAnsi="宋体" w:eastAsia="宋体" w:cs="宋体"/>
          <w:color w:val="auto"/>
          <w:sz w:val="21"/>
          <w:szCs w:val="21"/>
          <w:highlight w:val="none"/>
        </w:rPr>
        <w:t>二、法定代表人身份证明</w:t>
      </w:r>
      <w:bookmarkEnd w:id="1073"/>
      <w:bookmarkEnd w:id="1074"/>
      <w:bookmarkEnd w:id="1075"/>
      <w:bookmarkEnd w:id="1076"/>
      <w:bookmarkEnd w:id="1077"/>
      <w:bookmarkEnd w:id="1078"/>
      <w:bookmarkEnd w:id="1079"/>
      <w:bookmarkEnd w:id="1083"/>
      <w:bookmarkEnd w:id="1084"/>
      <w:bookmarkEnd w:id="1085"/>
      <w:bookmarkEnd w:id="1086"/>
    </w:p>
    <w:p w14:paraId="0D1C47DC">
      <w:pPr>
        <w:spacing w:line="440" w:lineRule="exact"/>
        <w:rPr>
          <w:rFonts w:hint="eastAsia" w:ascii="宋体" w:hAnsi="宋体" w:eastAsia="宋体" w:cs="宋体"/>
          <w:color w:val="auto"/>
          <w:szCs w:val="21"/>
          <w:highlight w:val="none"/>
        </w:rPr>
      </w:pPr>
    </w:p>
    <w:p w14:paraId="10FD7A26">
      <w:pPr>
        <w:spacing w:line="440" w:lineRule="exact"/>
        <w:rPr>
          <w:rFonts w:hint="eastAsia" w:ascii="宋体" w:hAnsi="宋体" w:eastAsia="宋体" w:cs="宋体"/>
          <w:color w:val="auto"/>
          <w:szCs w:val="21"/>
          <w:highlight w:val="none"/>
        </w:rPr>
      </w:pPr>
    </w:p>
    <w:p w14:paraId="6743B24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响应人名称：</w:t>
      </w:r>
    </w:p>
    <w:p w14:paraId="2B1A7F7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p>
    <w:p w14:paraId="3299E5B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550F126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3E428A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p>
    <w:p w14:paraId="6F6CFE39">
      <w:pPr>
        <w:spacing w:line="44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lang w:val="en-US" w:eastAsia="zh-CN"/>
        </w:rPr>
        <w:t xml:space="preserve">     </w:t>
      </w:r>
    </w:p>
    <w:p w14:paraId="285423E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系（响应人名称）的法定代表人。</w:t>
      </w:r>
    </w:p>
    <w:p w14:paraId="3EF32C7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1FDA441">
      <w:pPr>
        <w:spacing w:line="440" w:lineRule="exact"/>
        <w:rPr>
          <w:rFonts w:hint="eastAsia" w:ascii="宋体" w:hAnsi="宋体" w:eastAsia="宋体" w:cs="宋体"/>
          <w:color w:val="auto"/>
          <w:szCs w:val="21"/>
          <w:highlight w:val="none"/>
        </w:rPr>
      </w:pPr>
    </w:p>
    <w:p w14:paraId="4A930EFB">
      <w:pPr>
        <w:spacing w:line="440" w:lineRule="exact"/>
        <w:rPr>
          <w:rFonts w:hint="eastAsia" w:ascii="宋体" w:hAnsi="宋体" w:eastAsia="宋体" w:cs="宋体"/>
          <w:color w:val="auto"/>
          <w:szCs w:val="21"/>
          <w:highlight w:val="none"/>
        </w:rPr>
      </w:pPr>
    </w:p>
    <w:p w14:paraId="06B283F6">
      <w:pPr>
        <w:spacing w:line="440" w:lineRule="exact"/>
        <w:ind w:left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响应人：（盖企业电子章）</w:t>
      </w:r>
    </w:p>
    <w:p w14:paraId="097D2081">
      <w:pPr>
        <w:spacing w:line="440" w:lineRule="exact"/>
        <w:ind w:left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2054A7D1">
      <w:pPr>
        <w:spacing w:line="440" w:lineRule="exact"/>
        <w:rPr>
          <w:rFonts w:hint="eastAsia" w:ascii="宋体" w:hAnsi="宋体" w:eastAsia="宋体" w:cs="宋体"/>
          <w:color w:val="auto"/>
          <w:szCs w:val="21"/>
          <w:highlight w:val="none"/>
        </w:rPr>
      </w:pPr>
    </w:p>
    <w:p w14:paraId="6AB6C42E">
      <w:pPr>
        <w:spacing w:line="440" w:lineRule="exact"/>
        <w:rPr>
          <w:rFonts w:hint="eastAsia" w:ascii="宋体" w:hAnsi="宋体" w:eastAsia="宋体" w:cs="宋体"/>
          <w:color w:val="auto"/>
          <w:szCs w:val="21"/>
          <w:highlight w:val="none"/>
        </w:rPr>
      </w:pPr>
    </w:p>
    <w:p w14:paraId="00910EF4">
      <w:pPr>
        <w:spacing w:line="440" w:lineRule="exact"/>
        <w:rPr>
          <w:rFonts w:hint="eastAsia" w:ascii="宋体" w:hAnsi="宋体" w:eastAsia="宋体" w:cs="宋体"/>
          <w:color w:val="auto"/>
          <w:szCs w:val="21"/>
          <w:highlight w:val="none"/>
        </w:rPr>
      </w:pPr>
    </w:p>
    <w:p w14:paraId="57F74BE1">
      <w:pPr>
        <w:spacing w:line="440" w:lineRule="exact"/>
        <w:rPr>
          <w:rFonts w:hint="eastAsia" w:ascii="宋体" w:hAnsi="宋体" w:eastAsia="宋体" w:cs="宋体"/>
          <w:color w:val="auto"/>
          <w:szCs w:val="21"/>
          <w:highlight w:val="none"/>
        </w:rPr>
      </w:pPr>
    </w:p>
    <w:p w14:paraId="4526DB25">
      <w:pPr>
        <w:spacing w:line="440" w:lineRule="exact"/>
        <w:rPr>
          <w:rFonts w:hint="eastAsia" w:ascii="宋体" w:hAnsi="宋体" w:eastAsia="宋体" w:cs="宋体"/>
          <w:color w:val="auto"/>
          <w:szCs w:val="21"/>
          <w:highlight w:val="none"/>
        </w:rPr>
      </w:pPr>
    </w:p>
    <w:p w14:paraId="7EB1E8AA">
      <w:pPr>
        <w:spacing w:line="440" w:lineRule="exact"/>
        <w:rPr>
          <w:rFonts w:hint="eastAsia" w:ascii="宋体" w:hAnsi="宋体" w:eastAsia="宋体" w:cs="宋体"/>
          <w:color w:val="auto"/>
          <w:szCs w:val="21"/>
          <w:highlight w:val="none"/>
        </w:rPr>
      </w:pPr>
    </w:p>
    <w:p w14:paraId="0A37B3E1">
      <w:pPr>
        <w:spacing w:line="440" w:lineRule="exact"/>
        <w:rPr>
          <w:rFonts w:hint="eastAsia" w:ascii="宋体" w:hAnsi="宋体" w:eastAsia="宋体" w:cs="宋体"/>
          <w:color w:val="auto"/>
          <w:szCs w:val="21"/>
          <w:highlight w:val="none"/>
        </w:rPr>
      </w:pPr>
    </w:p>
    <w:p w14:paraId="15FC646E">
      <w:pPr>
        <w:spacing w:line="440" w:lineRule="exact"/>
        <w:rPr>
          <w:rFonts w:hint="eastAsia" w:ascii="宋体" w:hAnsi="宋体" w:eastAsia="宋体" w:cs="宋体"/>
          <w:color w:val="auto"/>
          <w:szCs w:val="21"/>
          <w:highlight w:val="none"/>
        </w:rPr>
      </w:pPr>
    </w:p>
    <w:p w14:paraId="0EA59174">
      <w:pPr>
        <w:spacing w:line="440" w:lineRule="exact"/>
        <w:rPr>
          <w:rFonts w:hint="eastAsia" w:ascii="宋体" w:hAnsi="宋体" w:eastAsia="宋体" w:cs="宋体"/>
          <w:color w:val="auto"/>
          <w:szCs w:val="21"/>
          <w:highlight w:val="none"/>
        </w:rPr>
      </w:pPr>
    </w:p>
    <w:p w14:paraId="00C9B92E">
      <w:pPr>
        <w:spacing w:line="440" w:lineRule="exact"/>
        <w:rPr>
          <w:rFonts w:hint="eastAsia" w:ascii="宋体" w:hAnsi="宋体" w:eastAsia="宋体" w:cs="宋体"/>
          <w:color w:val="auto"/>
          <w:szCs w:val="21"/>
          <w:highlight w:val="none"/>
        </w:rPr>
      </w:pPr>
    </w:p>
    <w:p w14:paraId="55D1C95D">
      <w:pPr>
        <w:spacing w:line="440" w:lineRule="exact"/>
        <w:rPr>
          <w:rFonts w:hint="eastAsia" w:ascii="宋体" w:hAnsi="宋体" w:eastAsia="宋体" w:cs="宋体"/>
          <w:color w:val="auto"/>
          <w:szCs w:val="21"/>
          <w:highlight w:val="none"/>
        </w:rPr>
      </w:pPr>
    </w:p>
    <w:p w14:paraId="6C26E2B4">
      <w:pPr>
        <w:pStyle w:val="44"/>
        <w:rPr>
          <w:rFonts w:hint="eastAsia" w:ascii="宋体" w:hAnsi="宋体" w:eastAsia="宋体" w:cs="宋体"/>
          <w:color w:val="auto"/>
          <w:highlight w:val="none"/>
        </w:rPr>
      </w:pPr>
    </w:p>
    <w:p w14:paraId="2AD40A9A">
      <w:pPr>
        <w:spacing w:line="440" w:lineRule="exact"/>
        <w:rPr>
          <w:rFonts w:hint="eastAsia" w:ascii="宋体" w:hAnsi="宋体" w:eastAsia="宋体" w:cs="宋体"/>
          <w:color w:val="auto"/>
          <w:szCs w:val="21"/>
          <w:highlight w:val="none"/>
        </w:rPr>
      </w:pPr>
    </w:p>
    <w:p w14:paraId="23A78F7D">
      <w:pPr>
        <w:spacing w:line="440" w:lineRule="exact"/>
        <w:rPr>
          <w:rFonts w:hint="eastAsia" w:ascii="宋体" w:hAnsi="宋体" w:eastAsia="宋体" w:cs="宋体"/>
          <w:color w:val="auto"/>
          <w:szCs w:val="21"/>
          <w:highlight w:val="none"/>
        </w:rPr>
      </w:pPr>
    </w:p>
    <w:p w14:paraId="6E386435">
      <w:pPr>
        <w:pStyle w:val="24"/>
        <w:ind w:firstLine="210"/>
        <w:rPr>
          <w:rFonts w:hint="eastAsia" w:ascii="宋体" w:hAnsi="宋体" w:eastAsia="宋体" w:cs="宋体"/>
          <w:color w:val="auto"/>
          <w:szCs w:val="21"/>
          <w:highlight w:val="none"/>
        </w:rPr>
      </w:pPr>
    </w:p>
    <w:p w14:paraId="04692F22">
      <w:pPr>
        <w:pStyle w:val="25"/>
        <w:rPr>
          <w:rFonts w:hint="eastAsia" w:ascii="宋体" w:hAnsi="宋体" w:eastAsia="宋体" w:cs="宋体"/>
          <w:color w:val="auto"/>
          <w:szCs w:val="21"/>
          <w:highlight w:val="none"/>
        </w:rPr>
      </w:pPr>
    </w:p>
    <w:p w14:paraId="5241D1CA">
      <w:pPr>
        <w:rPr>
          <w:rFonts w:hint="eastAsia" w:ascii="宋体" w:hAnsi="宋体" w:eastAsia="宋体" w:cs="宋体"/>
          <w:color w:val="auto"/>
          <w:szCs w:val="21"/>
          <w:highlight w:val="none"/>
        </w:rPr>
      </w:pPr>
    </w:p>
    <w:p w14:paraId="421A1331">
      <w:pPr>
        <w:pStyle w:val="24"/>
        <w:ind w:firstLine="210"/>
        <w:rPr>
          <w:rFonts w:hint="eastAsia" w:ascii="宋体" w:hAnsi="宋体" w:eastAsia="宋体" w:cs="宋体"/>
          <w:color w:val="auto"/>
          <w:szCs w:val="21"/>
          <w:highlight w:val="none"/>
        </w:rPr>
      </w:pPr>
    </w:p>
    <w:p w14:paraId="7D5F0C59">
      <w:pPr>
        <w:pStyle w:val="3"/>
        <w:spacing w:line="360" w:lineRule="auto"/>
        <w:jc w:val="center"/>
        <w:rPr>
          <w:rFonts w:hint="eastAsia" w:ascii="宋体" w:hAnsi="宋体" w:eastAsia="宋体" w:cs="宋体"/>
          <w:color w:val="auto"/>
          <w:sz w:val="21"/>
          <w:szCs w:val="21"/>
          <w:highlight w:val="none"/>
        </w:rPr>
      </w:pPr>
      <w:bookmarkStart w:id="1087" w:name="_Toc13342"/>
      <w:bookmarkStart w:id="1088" w:name="_Toc14106"/>
      <w:bookmarkStart w:id="1089" w:name="_Toc246996360"/>
      <w:bookmarkStart w:id="1090" w:name="_Toc179632812"/>
      <w:bookmarkStart w:id="1091" w:name="_Toc27451"/>
      <w:bookmarkStart w:id="1092" w:name="_Toc3288"/>
      <w:bookmarkStart w:id="1093" w:name="_Toc144974861"/>
      <w:bookmarkStart w:id="1094" w:name="_Toc247085878"/>
      <w:bookmarkStart w:id="1095" w:name="_Toc152042581"/>
      <w:bookmarkStart w:id="1096" w:name="_Toc246997103"/>
      <w:bookmarkStart w:id="1097" w:name="_Toc152045792"/>
      <w:r>
        <w:rPr>
          <w:rFonts w:hint="eastAsia" w:ascii="宋体" w:hAnsi="宋体" w:eastAsia="宋体" w:cs="宋体"/>
          <w:color w:val="auto"/>
          <w:sz w:val="21"/>
          <w:szCs w:val="21"/>
          <w:highlight w:val="none"/>
        </w:rPr>
        <w:t>三、授权委托书</w:t>
      </w:r>
      <w:bookmarkEnd w:id="1087"/>
      <w:bookmarkEnd w:id="1088"/>
      <w:bookmarkEnd w:id="1089"/>
      <w:bookmarkEnd w:id="1090"/>
      <w:bookmarkEnd w:id="1091"/>
      <w:bookmarkEnd w:id="1092"/>
      <w:bookmarkEnd w:id="1093"/>
      <w:bookmarkEnd w:id="1094"/>
      <w:bookmarkEnd w:id="1095"/>
      <w:bookmarkEnd w:id="1096"/>
      <w:bookmarkEnd w:id="1097"/>
    </w:p>
    <w:p w14:paraId="4269B276">
      <w:pPr>
        <w:spacing w:line="440" w:lineRule="exact"/>
        <w:rPr>
          <w:rFonts w:hint="eastAsia" w:ascii="宋体" w:hAnsi="宋体" w:eastAsia="宋体" w:cs="宋体"/>
          <w:color w:val="auto"/>
          <w:szCs w:val="21"/>
          <w:highlight w:val="none"/>
        </w:rPr>
      </w:pPr>
    </w:p>
    <w:p w14:paraId="6BF023B8">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（响应人名称）</w:t>
      </w:r>
      <w:r>
        <w:rPr>
          <w:rFonts w:hint="eastAsia" w:ascii="宋体" w:hAnsi="宋体" w:eastAsia="宋体" w:cs="宋体"/>
          <w:color w:val="auto"/>
          <w:szCs w:val="21"/>
          <w:highlight w:val="none"/>
        </w:rPr>
        <w:t>的法定代表人，现委托</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为我方代理人。代理人根据授权，以我方名义签署、澄清、说明、补正、递交、撤回、修改</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响应性文件、签订合同和处理有关事宜，其法律后果由我方承担。</w:t>
      </w:r>
    </w:p>
    <w:p w14:paraId="769735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自委托书签署之日至投标有效期届满之日止</w:t>
      </w:r>
      <w:r>
        <w:rPr>
          <w:rFonts w:hint="eastAsia" w:ascii="宋体" w:hAnsi="宋体" w:eastAsia="宋体" w:cs="宋体"/>
          <w:color w:val="auto"/>
          <w:szCs w:val="21"/>
          <w:highlight w:val="none"/>
        </w:rPr>
        <w:t>。</w:t>
      </w:r>
    </w:p>
    <w:p w14:paraId="21E4440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D11B8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3BDBF95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法定代表人身份证及委托代理人身份证复印件加盖企业电子章；</w:t>
      </w:r>
    </w:p>
    <w:p w14:paraId="00F89795">
      <w:pPr>
        <w:spacing w:line="440" w:lineRule="exact"/>
        <w:ind w:firstLine="420" w:firstLineChars="200"/>
        <w:rPr>
          <w:rFonts w:hint="eastAsia" w:ascii="宋体" w:hAnsi="宋体" w:eastAsia="宋体" w:cs="宋体"/>
          <w:color w:val="auto"/>
          <w:szCs w:val="21"/>
          <w:highlight w:val="none"/>
        </w:rPr>
      </w:pPr>
    </w:p>
    <w:p w14:paraId="5BDBEBF8">
      <w:pPr>
        <w:spacing w:line="440" w:lineRule="exact"/>
        <w:rPr>
          <w:rFonts w:hint="eastAsia" w:ascii="宋体" w:hAnsi="宋体" w:eastAsia="宋体" w:cs="宋体"/>
          <w:color w:val="auto"/>
          <w:szCs w:val="21"/>
          <w:highlight w:val="none"/>
        </w:rPr>
      </w:pPr>
    </w:p>
    <w:p w14:paraId="1EF875D1">
      <w:pPr>
        <w:spacing w:line="440" w:lineRule="exact"/>
        <w:rPr>
          <w:rFonts w:hint="eastAsia" w:ascii="宋体" w:hAnsi="宋体" w:eastAsia="宋体" w:cs="宋体"/>
          <w:color w:val="auto"/>
          <w:szCs w:val="21"/>
          <w:highlight w:val="none"/>
        </w:rPr>
      </w:pPr>
    </w:p>
    <w:p w14:paraId="3CCCA75F">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响应人：（盖企业电子章）</w:t>
      </w:r>
    </w:p>
    <w:p w14:paraId="123DB631">
      <w:pPr>
        <w:spacing w:line="440" w:lineRule="exact"/>
        <w:ind w:leftChars="2500"/>
        <w:rPr>
          <w:rFonts w:hint="eastAsia" w:ascii="宋体" w:hAnsi="宋体" w:eastAsia="宋体" w:cs="宋体"/>
          <w:color w:val="auto"/>
          <w:szCs w:val="21"/>
          <w:highlight w:val="none"/>
        </w:rPr>
      </w:pPr>
    </w:p>
    <w:p w14:paraId="64831EA3">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p>
    <w:p w14:paraId="153B2CD5">
      <w:pPr>
        <w:spacing w:line="440" w:lineRule="exact"/>
        <w:ind w:leftChars="2500"/>
        <w:rPr>
          <w:rFonts w:hint="eastAsia" w:ascii="宋体" w:hAnsi="宋体" w:eastAsia="宋体" w:cs="宋体"/>
          <w:color w:val="auto"/>
          <w:szCs w:val="21"/>
          <w:highlight w:val="none"/>
        </w:rPr>
      </w:pPr>
    </w:p>
    <w:p w14:paraId="1A33A426">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p w14:paraId="4A2D0532">
      <w:pPr>
        <w:spacing w:line="440" w:lineRule="exact"/>
        <w:ind w:leftChars="2500"/>
        <w:rPr>
          <w:rFonts w:hint="eastAsia" w:ascii="宋体" w:hAnsi="宋体" w:eastAsia="宋体" w:cs="宋体"/>
          <w:color w:val="auto"/>
          <w:szCs w:val="21"/>
          <w:highlight w:val="none"/>
        </w:rPr>
      </w:pPr>
    </w:p>
    <w:p w14:paraId="3C2D1C44">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委托代理人：（签字或盖章）</w:t>
      </w:r>
    </w:p>
    <w:p w14:paraId="29A23306">
      <w:pPr>
        <w:spacing w:line="440" w:lineRule="exact"/>
        <w:ind w:leftChars="2500"/>
        <w:rPr>
          <w:rFonts w:hint="eastAsia" w:ascii="宋体" w:hAnsi="宋体" w:eastAsia="宋体" w:cs="宋体"/>
          <w:color w:val="auto"/>
          <w:szCs w:val="21"/>
          <w:highlight w:val="none"/>
        </w:rPr>
      </w:pPr>
    </w:p>
    <w:p w14:paraId="4E8C2A3F">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p w14:paraId="723D8E26">
      <w:pPr>
        <w:spacing w:line="440" w:lineRule="exact"/>
        <w:ind w:leftChars="2500"/>
        <w:rPr>
          <w:rFonts w:hint="eastAsia" w:ascii="宋体" w:hAnsi="宋体" w:eastAsia="宋体" w:cs="宋体"/>
          <w:color w:val="auto"/>
          <w:szCs w:val="21"/>
          <w:highlight w:val="none"/>
          <w:u w:val="single"/>
        </w:rPr>
      </w:pPr>
    </w:p>
    <w:p w14:paraId="3E832AC9">
      <w:pPr>
        <w:spacing w:line="440" w:lineRule="exact"/>
        <w:ind w:left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490D38E9">
      <w:pPr>
        <w:spacing w:line="400" w:lineRule="exact"/>
        <w:ind w:leftChars="2500"/>
        <w:rPr>
          <w:rFonts w:hint="eastAsia" w:ascii="宋体" w:hAnsi="宋体" w:eastAsia="宋体" w:cs="宋体"/>
          <w:color w:val="auto"/>
          <w:szCs w:val="21"/>
          <w:highlight w:val="none"/>
        </w:rPr>
      </w:pPr>
    </w:p>
    <w:p w14:paraId="1B4D1EF5">
      <w:pPr>
        <w:spacing w:line="400" w:lineRule="exact"/>
        <w:rPr>
          <w:rFonts w:hint="eastAsia" w:ascii="宋体" w:hAnsi="宋体" w:eastAsia="宋体" w:cs="宋体"/>
          <w:color w:val="auto"/>
          <w:szCs w:val="21"/>
          <w:highlight w:val="none"/>
        </w:rPr>
      </w:pPr>
    </w:p>
    <w:p w14:paraId="78A96E73">
      <w:pPr>
        <w:spacing w:line="400" w:lineRule="exact"/>
        <w:rPr>
          <w:rFonts w:hint="eastAsia" w:ascii="宋体" w:hAnsi="宋体" w:eastAsia="宋体" w:cs="宋体"/>
          <w:color w:val="auto"/>
          <w:szCs w:val="21"/>
          <w:highlight w:val="none"/>
        </w:rPr>
      </w:pPr>
    </w:p>
    <w:p w14:paraId="16FF1CA1">
      <w:pPr>
        <w:spacing w:line="400" w:lineRule="exact"/>
        <w:rPr>
          <w:rFonts w:hint="eastAsia" w:ascii="宋体" w:hAnsi="宋体" w:eastAsia="宋体" w:cs="宋体"/>
          <w:color w:val="auto"/>
          <w:szCs w:val="21"/>
          <w:highlight w:val="none"/>
        </w:rPr>
      </w:pPr>
    </w:p>
    <w:p w14:paraId="53FA00DD">
      <w:pPr>
        <w:spacing w:line="400" w:lineRule="exact"/>
        <w:rPr>
          <w:rFonts w:hint="eastAsia" w:ascii="宋体" w:hAnsi="宋体" w:eastAsia="宋体" w:cs="宋体"/>
          <w:color w:val="auto"/>
          <w:szCs w:val="21"/>
          <w:highlight w:val="none"/>
        </w:rPr>
      </w:pPr>
    </w:p>
    <w:p w14:paraId="38FFF6DA">
      <w:pPr>
        <w:spacing w:line="480" w:lineRule="auto"/>
        <w:ind w:firstLine="4935" w:firstLineChars="2350"/>
        <w:rPr>
          <w:rFonts w:hint="eastAsia" w:ascii="宋体" w:hAnsi="宋体" w:eastAsia="宋体" w:cs="宋体"/>
          <w:color w:val="auto"/>
          <w:szCs w:val="21"/>
          <w:highlight w:val="none"/>
        </w:rPr>
      </w:pPr>
      <w:bookmarkStart w:id="1098" w:name="_Toc152042583"/>
      <w:bookmarkStart w:id="1099" w:name="_Toc246996362"/>
      <w:bookmarkStart w:id="1100" w:name="_Toc179632814"/>
      <w:bookmarkStart w:id="1101" w:name="_Toc246997105"/>
      <w:bookmarkStart w:id="1102" w:name="_Toc247085880"/>
      <w:bookmarkStart w:id="1103" w:name="_Toc152045794"/>
      <w:bookmarkStart w:id="1104" w:name="_Toc144974862"/>
      <w:r>
        <w:rPr>
          <w:rFonts w:hint="eastAsia" w:ascii="宋体" w:hAnsi="宋体" w:eastAsia="宋体" w:cs="宋体"/>
          <w:color w:val="auto"/>
          <w:szCs w:val="21"/>
          <w:highlight w:val="none"/>
        </w:rPr>
        <w:br w:type="page"/>
      </w:r>
      <w:bookmarkEnd w:id="1098"/>
      <w:bookmarkEnd w:id="1099"/>
      <w:bookmarkEnd w:id="1100"/>
      <w:bookmarkEnd w:id="1101"/>
      <w:bookmarkEnd w:id="1102"/>
      <w:bookmarkEnd w:id="1103"/>
      <w:bookmarkEnd w:id="1104"/>
    </w:p>
    <w:p w14:paraId="4EADD77F">
      <w:pPr>
        <w:pStyle w:val="3"/>
        <w:spacing w:line="360" w:lineRule="auto"/>
        <w:jc w:val="center"/>
        <w:rPr>
          <w:rFonts w:hint="eastAsia" w:ascii="宋体" w:hAnsi="宋体" w:eastAsia="宋体" w:cs="宋体"/>
          <w:color w:val="auto"/>
          <w:sz w:val="21"/>
          <w:szCs w:val="21"/>
          <w:highlight w:val="none"/>
        </w:rPr>
      </w:pPr>
      <w:bookmarkStart w:id="1105" w:name="_Toc152045795"/>
      <w:bookmarkStart w:id="1106" w:name="_Toc4172"/>
      <w:bookmarkStart w:id="1107" w:name="_Toc144974863"/>
      <w:bookmarkStart w:id="1108" w:name="_Toc2459"/>
      <w:bookmarkStart w:id="1109" w:name="_Toc17445"/>
      <w:bookmarkStart w:id="1110" w:name="_Toc152042584"/>
      <w:bookmarkStart w:id="1111" w:name="_Toc179632815"/>
      <w:bookmarkStart w:id="1112" w:name="_Toc246997106"/>
      <w:bookmarkStart w:id="1113" w:name="_Toc247085881"/>
      <w:bookmarkStart w:id="1114" w:name="_Toc246996363"/>
      <w:bookmarkStart w:id="1115" w:name="_Toc16006"/>
      <w:r>
        <w:rPr>
          <w:rFonts w:hint="eastAsia" w:ascii="宋体" w:hAnsi="宋体" w:eastAsia="宋体" w:cs="宋体"/>
          <w:color w:val="auto"/>
          <w:sz w:val="21"/>
          <w:szCs w:val="21"/>
          <w:highlight w:val="none"/>
        </w:rPr>
        <w:t>四、已标价工程量清单</w:t>
      </w:r>
      <w:bookmarkEnd w:id="1105"/>
      <w:bookmarkEnd w:id="1106"/>
      <w:bookmarkEnd w:id="1107"/>
      <w:bookmarkEnd w:id="1108"/>
      <w:bookmarkEnd w:id="1109"/>
      <w:bookmarkEnd w:id="1110"/>
      <w:bookmarkEnd w:id="1111"/>
      <w:bookmarkEnd w:id="1112"/>
      <w:bookmarkEnd w:id="1113"/>
      <w:bookmarkEnd w:id="1114"/>
      <w:bookmarkEnd w:id="1115"/>
    </w:p>
    <w:p w14:paraId="7E30F5DB">
      <w:pPr>
        <w:spacing w:line="44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（供应商自拟）</w:t>
      </w:r>
    </w:p>
    <w:p w14:paraId="3754C0C7">
      <w:pPr>
        <w:spacing w:line="440" w:lineRule="exact"/>
        <w:rPr>
          <w:rFonts w:hint="eastAsia" w:ascii="宋体" w:hAnsi="宋体" w:eastAsia="宋体" w:cs="宋体"/>
          <w:color w:val="auto"/>
          <w:szCs w:val="21"/>
          <w:highlight w:val="none"/>
        </w:rPr>
      </w:pPr>
    </w:p>
    <w:p w14:paraId="497473A0">
      <w:pPr>
        <w:spacing w:line="440" w:lineRule="exact"/>
        <w:rPr>
          <w:rFonts w:hint="eastAsia" w:ascii="宋体" w:hAnsi="宋体" w:eastAsia="宋体" w:cs="宋体"/>
          <w:color w:val="auto"/>
          <w:szCs w:val="21"/>
          <w:highlight w:val="none"/>
        </w:rPr>
      </w:pPr>
    </w:p>
    <w:p w14:paraId="13849918">
      <w:pPr>
        <w:spacing w:line="440" w:lineRule="exact"/>
        <w:rPr>
          <w:rFonts w:hint="eastAsia" w:ascii="宋体" w:hAnsi="宋体" w:eastAsia="宋体" w:cs="宋体"/>
          <w:color w:val="auto"/>
          <w:szCs w:val="21"/>
          <w:highlight w:val="none"/>
        </w:rPr>
      </w:pPr>
    </w:p>
    <w:p w14:paraId="60F1EAA2">
      <w:pPr>
        <w:spacing w:line="440" w:lineRule="exact"/>
        <w:rPr>
          <w:rFonts w:hint="eastAsia" w:ascii="宋体" w:hAnsi="宋体" w:eastAsia="宋体" w:cs="宋体"/>
          <w:color w:val="auto"/>
          <w:szCs w:val="21"/>
          <w:highlight w:val="none"/>
        </w:rPr>
      </w:pPr>
    </w:p>
    <w:p w14:paraId="3BC33C8B">
      <w:pPr>
        <w:spacing w:line="440" w:lineRule="exact"/>
        <w:rPr>
          <w:rFonts w:hint="eastAsia" w:ascii="宋体" w:hAnsi="宋体" w:eastAsia="宋体" w:cs="宋体"/>
          <w:color w:val="auto"/>
          <w:szCs w:val="21"/>
          <w:highlight w:val="none"/>
        </w:rPr>
      </w:pPr>
    </w:p>
    <w:p w14:paraId="4BF6655B">
      <w:pPr>
        <w:spacing w:line="440" w:lineRule="exact"/>
        <w:rPr>
          <w:rFonts w:hint="eastAsia" w:ascii="宋体" w:hAnsi="宋体" w:eastAsia="宋体" w:cs="宋体"/>
          <w:color w:val="auto"/>
          <w:szCs w:val="21"/>
          <w:highlight w:val="none"/>
        </w:rPr>
      </w:pPr>
    </w:p>
    <w:p w14:paraId="469B2B20">
      <w:pPr>
        <w:spacing w:line="440" w:lineRule="exact"/>
        <w:rPr>
          <w:rFonts w:hint="eastAsia" w:ascii="宋体" w:hAnsi="宋体" w:eastAsia="宋体" w:cs="宋体"/>
          <w:color w:val="auto"/>
          <w:szCs w:val="21"/>
          <w:highlight w:val="none"/>
        </w:rPr>
      </w:pPr>
    </w:p>
    <w:p w14:paraId="49D24703">
      <w:pPr>
        <w:spacing w:line="440" w:lineRule="exact"/>
        <w:rPr>
          <w:rFonts w:hint="eastAsia" w:ascii="宋体" w:hAnsi="宋体" w:eastAsia="宋体" w:cs="宋体"/>
          <w:color w:val="auto"/>
          <w:szCs w:val="21"/>
          <w:highlight w:val="none"/>
        </w:rPr>
      </w:pPr>
    </w:p>
    <w:p w14:paraId="22FB1682">
      <w:pPr>
        <w:spacing w:line="440" w:lineRule="exact"/>
        <w:rPr>
          <w:rFonts w:hint="eastAsia" w:ascii="宋体" w:hAnsi="宋体" w:eastAsia="宋体" w:cs="宋体"/>
          <w:color w:val="auto"/>
          <w:szCs w:val="21"/>
          <w:highlight w:val="none"/>
        </w:rPr>
      </w:pPr>
    </w:p>
    <w:p w14:paraId="159B3998">
      <w:pPr>
        <w:spacing w:line="440" w:lineRule="exact"/>
        <w:rPr>
          <w:rFonts w:hint="eastAsia" w:ascii="宋体" w:hAnsi="宋体" w:eastAsia="宋体" w:cs="宋体"/>
          <w:color w:val="auto"/>
          <w:szCs w:val="21"/>
          <w:highlight w:val="none"/>
        </w:rPr>
      </w:pPr>
    </w:p>
    <w:p w14:paraId="7EFD30D1">
      <w:pPr>
        <w:spacing w:line="440" w:lineRule="exact"/>
        <w:rPr>
          <w:rFonts w:hint="eastAsia" w:ascii="宋体" w:hAnsi="宋体" w:eastAsia="宋体" w:cs="宋体"/>
          <w:color w:val="auto"/>
          <w:szCs w:val="21"/>
          <w:highlight w:val="none"/>
        </w:rPr>
      </w:pPr>
    </w:p>
    <w:p w14:paraId="5246AF65">
      <w:pPr>
        <w:spacing w:line="440" w:lineRule="exact"/>
        <w:rPr>
          <w:rFonts w:hint="eastAsia" w:ascii="宋体" w:hAnsi="宋体" w:eastAsia="宋体" w:cs="宋体"/>
          <w:color w:val="auto"/>
          <w:szCs w:val="21"/>
          <w:highlight w:val="none"/>
        </w:rPr>
      </w:pPr>
    </w:p>
    <w:p w14:paraId="7CC39E1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793CCFC">
      <w:pPr>
        <w:pStyle w:val="3"/>
        <w:jc w:val="center"/>
        <w:rPr>
          <w:rFonts w:hint="eastAsia" w:ascii="宋体" w:hAnsi="宋体" w:eastAsia="宋体" w:cs="宋体"/>
          <w:color w:val="auto"/>
          <w:sz w:val="21"/>
          <w:szCs w:val="21"/>
          <w:highlight w:val="none"/>
          <w:lang w:eastAsia="zh-CN"/>
        </w:rPr>
      </w:pPr>
      <w:bookmarkStart w:id="1116" w:name="_Toc30185"/>
      <w:bookmarkStart w:id="1117" w:name="_Toc12435"/>
      <w:bookmarkStart w:id="1118" w:name="_Toc15595"/>
      <w:bookmarkStart w:id="1119" w:name="_Toc20385"/>
      <w:bookmarkStart w:id="1120" w:name="_Toc20503"/>
      <w:r>
        <w:rPr>
          <w:rFonts w:hint="eastAsia" w:ascii="宋体" w:hAnsi="宋体" w:eastAsia="宋体" w:cs="宋体"/>
          <w:color w:val="auto"/>
          <w:sz w:val="21"/>
          <w:szCs w:val="21"/>
          <w:highlight w:val="none"/>
        </w:rPr>
        <w:t>五、</w:t>
      </w:r>
      <w:bookmarkEnd w:id="1116"/>
      <w:bookmarkEnd w:id="1117"/>
      <w:bookmarkEnd w:id="1118"/>
      <w:bookmarkEnd w:id="1119"/>
      <w:bookmarkEnd w:id="1120"/>
      <w:r>
        <w:rPr>
          <w:rFonts w:hint="eastAsia" w:ascii="宋体" w:hAnsi="宋体" w:eastAsia="宋体" w:cs="宋体"/>
          <w:color w:val="auto"/>
          <w:sz w:val="21"/>
          <w:szCs w:val="21"/>
          <w:highlight w:val="none"/>
          <w:lang w:val="en-US" w:eastAsia="zh-CN"/>
        </w:rPr>
        <w:t>技术部分</w:t>
      </w:r>
    </w:p>
    <w:p w14:paraId="7C2BE571">
      <w:pPr>
        <w:rPr>
          <w:rFonts w:hint="eastAsia" w:ascii="宋体" w:hAnsi="宋体" w:eastAsia="宋体" w:cs="宋体"/>
          <w:color w:val="auto"/>
          <w:highlight w:val="none"/>
        </w:rPr>
      </w:pPr>
    </w:p>
    <w:p w14:paraId="2EFD7B06">
      <w:pPr>
        <w:pStyle w:val="44"/>
        <w:rPr>
          <w:rFonts w:hint="eastAsia" w:ascii="宋体" w:hAnsi="宋体" w:eastAsia="宋体" w:cs="宋体"/>
          <w:color w:val="auto"/>
          <w:highlight w:val="none"/>
        </w:rPr>
        <w:sectPr>
          <w:pgSz w:w="11906" w:h="16838"/>
          <w:pgMar w:top="1440" w:right="1080" w:bottom="1440" w:left="1080" w:header="567" w:footer="567" w:gutter="0"/>
          <w:pgNumType w:fmt="decimal"/>
          <w:cols w:space="720" w:num="1"/>
          <w:docGrid w:linePitch="312" w:charSpace="0"/>
        </w:sectPr>
      </w:pPr>
    </w:p>
    <w:p w14:paraId="25A24A43">
      <w:pPr>
        <w:pStyle w:val="3"/>
        <w:jc w:val="center"/>
        <w:rPr>
          <w:rFonts w:hint="eastAsia" w:ascii="宋体" w:hAnsi="宋体" w:eastAsia="宋体" w:cs="宋体"/>
          <w:color w:val="auto"/>
          <w:sz w:val="21"/>
          <w:szCs w:val="21"/>
          <w:highlight w:val="none"/>
        </w:rPr>
      </w:pPr>
      <w:bookmarkStart w:id="1121" w:name="_Toc152042592"/>
      <w:bookmarkStart w:id="1122" w:name="_Toc20258"/>
      <w:bookmarkStart w:id="1123" w:name="_Toc247085887"/>
      <w:bookmarkStart w:id="1124" w:name="_Toc10819"/>
      <w:bookmarkStart w:id="1125" w:name="_Toc246997112"/>
      <w:bookmarkStart w:id="1126" w:name="_Toc246996369"/>
      <w:bookmarkStart w:id="1127" w:name="_Toc152045803"/>
      <w:bookmarkStart w:id="1128" w:name="_Toc26209"/>
      <w:bookmarkStart w:id="1129" w:name="_Toc179632823"/>
      <w:bookmarkStart w:id="1130" w:name="_Toc144974871"/>
      <w:bookmarkStart w:id="1131" w:name="_Toc11778"/>
      <w:r>
        <w:rPr>
          <w:rFonts w:hint="eastAsia" w:ascii="宋体" w:hAnsi="宋体" w:eastAsia="宋体" w:cs="宋体"/>
          <w:color w:val="auto"/>
          <w:sz w:val="21"/>
          <w:szCs w:val="21"/>
          <w:highlight w:val="none"/>
        </w:rPr>
        <w:t>六、项目管理机构</w:t>
      </w:r>
      <w:bookmarkEnd w:id="1121"/>
      <w:bookmarkEnd w:id="1122"/>
      <w:bookmarkEnd w:id="1123"/>
      <w:bookmarkEnd w:id="1124"/>
      <w:bookmarkEnd w:id="1125"/>
      <w:bookmarkEnd w:id="1126"/>
      <w:bookmarkEnd w:id="1127"/>
      <w:bookmarkEnd w:id="1128"/>
      <w:bookmarkEnd w:id="1129"/>
      <w:bookmarkEnd w:id="1130"/>
      <w:bookmarkEnd w:id="1131"/>
    </w:p>
    <w:p w14:paraId="5E07B385">
      <w:pPr>
        <w:spacing w:line="360" w:lineRule="auto"/>
        <w:jc w:val="center"/>
        <w:rPr>
          <w:rFonts w:hint="eastAsia" w:ascii="宋体" w:hAnsi="宋体" w:eastAsia="宋体" w:cs="宋体"/>
          <w:color w:val="auto"/>
          <w:szCs w:val="21"/>
          <w:highlight w:val="none"/>
        </w:rPr>
      </w:pPr>
      <w:bookmarkStart w:id="1132" w:name="_Toc40421118"/>
      <w:bookmarkStart w:id="1133" w:name="_Toc49095981"/>
      <w:bookmarkStart w:id="1134" w:name="_Toc36905308"/>
      <w:bookmarkStart w:id="1135" w:name="_Toc49095171"/>
      <w:bookmarkStart w:id="1136" w:name="_Toc43959699"/>
      <w:bookmarkStart w:id="1137" w:name="_Toc40420902"/>
      <w:bookmarkStart w:id="1138" w:name="_Toc37732774"/>
      <w:bookmarkStart w:id="1139" w:name="_Toc106008699"/>
      <w:bookmarkStart w:id="1140" w:name="_Toc70311384"/>
      <w:bookmarkStart w:id="1141" w:name="_Toc40852135"/>
      <w:bookmarkStart w:id="1142" w:name="_Toc37669855"/>
      <w:bookmarkStart w:id="1143" w:name="_Toc37732603"/>
      <w:bookmarkStart w:id="1144" w:name="_Toc40425017"/>
      <w:bookmarkStart w:id="1145" w:name="_Toc46031213"/>
      <w:bookmarkStart w:id="1146" w:name="_Toc37732525"/>
      <w:bookmarkStart w:id="1147" w:name="_Toc40420809"/>
      <w:bookmarkStart w:id="1148" w:name="_Toc43887560"/>
      <w:bookmarkStart w:id="1149" w:name="_Toc106008905"/>
      <w:bookmarkStart w:id="1150" w:name="_Toc40798154"/>
      <w:bookmarkStart w:id="1151" w:name="_Toc44048779"/>
      <w:bookmarkStart w:id="1152" w:name="_Toc36946539"/>
      <w:r>
        <w:rPr>
          <w:rFonts w:hint="eastAsia" w:ascii="宋体" w:hAnsi="宋体" w:eastAsia="宋体" w:cs="宋体"/>
          <w:color w:val="auto"/>
          <w:szCs w:val="21"/>
          <w:highlight w:val="none"/>
        </w:rPr>
        <w:t>（一）项目管理机构组成表</w:t>
      </w:r>
    </w:p>
    <w:tbl>
      <w:tblPr>
        <w:tblStyle w:val="26"/>
        <w:tblpPr w:leftFromText="180" w:rightFromText="180" w:vertAnchor="text" w:horzAnchor="page" w:tblpX="13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440"/>
        <w:gridCol w:w="1080"/>
        <w:gridCol w:w="1800"/>
        <w:gridCol w:w="1440"/>
        <w:gridCol w:w="983"/>
      </w:tblGrid>
      <w:tr w14:paraId="1251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 w:type="dxa"/>
            <w:vMerge w:val="restart"/>
            <w:vAlign w:val="center"/>
          </w:tcPr>
          <w:p w14:paraId="687EE4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900" w:type="dxa"/>
            <w:vMerge w:val="restart"/>
            <w:vAlign w:val="center"/>
          </w:tcPr>
          <w:p w14:paraId="67141E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00" w:type="dxa"/>
            <w:vMerge w:val="restart"/>
            <w:vAlign w:val="center"/>
          </w:tcPr>
          <w:p w14:paraId="09D808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760" w:type="dxa"/>
            <w:gridSpan w:val="4"/>
            <w:vAlign w:val="center"/>
          </w:tcPr>
          <w:p w14:paraId="3FB821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983" w:type="dxa"/>
            <w:vMerge w:val="restart"/>
            <w:vAlign w:val="center"/>
          </w:tcPr>
          <w:p w14:paraId="15E521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DDC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0" w:type="dxa"/>
            <w:vMerge w:val="continue"/>
          </w:tcPr>
          <w:p w14:paraId="697C6F53">
            <w:pPr>
              <w:spacing w:line="360" w:lineRule="auto"/>
              <w:rPr>
                <w:rFonts w:hint="eastAsia" w:ascii="宋体" w:hAnsi="宋体" w:eastAsia="宋体" w:cs="宋体"/>
                <w:color w:val="auto"/>
                <w:szCs w:val="21"/>
                <w:highlight w:val="none"/>
              </w:rPr>
            </w:pPr>
          </w:p>
        </w:tc>
        <w:tc>
          <w:tcPr>
            <w:tcW w:w="900" w:type="dxa"/>
            <w:vMerge w:val="continue"/>
          </w:tcPr>
          <w:p w14:paraId="65C7B3B1">
            <w:pPr>
              <w:spacing w:line="360" w:lineRule="auto"/>
              <w:rPr>
                <w:rFonts w:hint="eastAsia" w:ascii="宋体" w:hAnsi="宋体" w:eastAsia="宋体" w:cs="宋体"/>
                <w:color w:val="auto"/>
                <w:szCs w:val="21"/>
                <w:highlight w:val="none"/>
              </w:rPr>
            </w:pPr>
          </w:p>
        </w:tc>
        <w:tc>
          <w:tcPr>
            <w:tcW w:w="900" w:type="dxa"/>
            <w:vMerge w:val="continue"/>
          </w:tcPr>
          <w:p w14:paraId="394586C3">
            <w:pPr>
              <w:spacing w:line="360" w:lineRule="auto"/>
              <w:rPr>
                <w:rFonts w:hint="eastAsia" w:ascii="宋体" w:hAnsi="宋体" w:eastAsia="宋体" w:cs="宋体"/>
                <w:color w:val="auto"/>
                <w:szCs w:val="21"/>
                <w:highlight w:val="none"/>
              </w:rPr>
            </w:pPr>
          </w:p>
        </w:tc>
        <w:tc>
          <w:tcPr>
            <w:tcW w:w="1440" w:type="dxa"/>
            <w:vAlign w:val="center"/>
          </w:tcPr>
          <w:p w14:paraId="3B4FAB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1080" w:type="dxa"/>
            <w:vAlign w:val="center"/>
          </w:tcPr>
          <w:p w14:paraId="7A66A9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800" w:type="dxa"/>
            <w:vAlign w:val="center"/>
          </w:tcPr>
          <w:p w14:paraId="4F9494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440" w:type="dxa"/>
            <w:vAlign w:val="center"/>
          </w:tcPr>
          <w:p w14:paraId="122004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983" w:type="dxa"/>
            <w:vMerge w:val="continue"/>
          </w:tcPr>
          <w:p w14:paraId="716AEB97">
            <w:pPr>
              <w:spacing w:line="360" w:lineRule="auto"/>
              <w:rPr>
                <w:rFonts w:hint="eastAsia" w:ascii="宋体" w:hAnsi="宋体" w:eastAsia="宋体" w:cs="宋体"/>
                <w:color w:val="auto"/>
                <w:szCs w:val="21"/>
                <w:highlight w:val="none"/>
              </w:rPr>
            </w:pPr>
          </w:p>
        </w:tc>
      </w:tr>
      <w:tr w14:paraId="058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0FE56D64">
            <w:pPr>
              <w:spacing w:line="360" w:lineRule="auto"/>
              <w:rPr>
                <w:rFonts w:hint="eastAsia" w:ascii="宋体" w:hAnsi="宋体" w:eastAsia="宋体" w:cs="宋体"/>
                <w:color w:val="auto"/>
                <w:szCs w:val="21"/>
                <w:highlight w:val="none"/>
              </w:rPr>
            </w:pPr>
          </w:p>
        </w:tc>
        <w:tc>
          <w:tcPr>
            <w:tcW w:w="900" w:type="dxa"/>
          </w:tcPr>
          <w:p w14:paraId="6FA25F5B">
            <w:pPr>
              <w:spacing w:line="360" w:lineRule="auto"/>
              <w:rPr>
                <w:rFonts w:hint="eastAsia" w:ascii="宋体" w:hAnsi="宋体" w:eastAsia="宋体" w:cs="宋体"/>
                <w:color w:val="auto"/>
                <w:szCs w:val="21"/>
                <w:highlight w:val="none"/>
              </w:rPr>
            </w:pPr>
          </w:p>
        </w:tc>
        <w:tc>
          <w:tcPr>
            <w:tcW w:w="900" w:type="dxa"/>
          </w:tcPr>
          <w:p w14:paraId="43311195">
            <w:pPr>
              <w:spacing w:line="360" w:lineRule="auto"/>
              <w:rPr>
                <w:rFonts w:hint="eastAsia" w:ascii="宋体" w:hAnsi="宋体" w:eastAsia="宋体" w:cs="宋体"/>
                <w:color w:val="auto"/>
                <w:szCs w:val="21"/>
                <w:highlight w:val="none"/>
              </w:rPr>
            </w:pPr>
          </w:p>
        </w:tc>
        <w:tc>
          <w:tcPr>
            <w:tcW w:w="1440" w:type="dxa"/>
          </w:tcPr>
          <w:p w14:paraId="4C7C4DC8">
            <w:pPr>
              <w:spacing w:line="360" w:lineRule="auto"/>
              <w:rPr>
                <w:rFonts w:hint="eastAsia" w:ascii="宋体" w:hAnsi="宋体" w:eastAsia="宋体" w:cs="宋体"/>
                <w:color w:val="auto"/>
                <w:szCs w:val="21"/>
                <w:highlight w:val="none"/>
              </w:rPr>
            </w:pPr>
          </w:p>
        </w:tc>
        <w:tc>
          <w:tcPr>
            <w:tcW w:w="1080" w:type="dxa"/>
          </w:tcPr>
          <w:p w14:paraId="57C0C487">
            <w:pPr>
              <w:spacing w:line="360" w:lineRule="auto"/>
              <w:rPr>
                <w:rFonts w:hint="eastAsia" w:ascii="宋体" w:hAnsi="宋体" w:eastAsia="宋体" w:cs="宋体"/>
                <w:color w:val="auto"/>
                <w:szCs w:val="21"/>
                <w:highlight w:val="none"/>
              </w:rPr>
            </w:pPr>
          </w:p>
        </w:tc>
        <w:tc>
          <w:tcPr>
            <w:tcW w:w="1800" w:type="dxa"/>
          </w:tcPr>
          <w:p w14:paraId="194044D7">
            <w:pPr>
              <w:spacing w:line="360" w:lineRule="auto"/>
              <w:rPr>
                <w:rFonts w:hint="eastAsia" w:ascii="宋体" w:hAnsi="宋体" w:eastAsia="宋体" w:cs="宋体"/>
                <w:color w:val="auto"/>
                <w:szCs w:val="21"/>
                <w:highlight w:val="none"/>
              </w:rPr>
            </w:pPr>
          </w:p>
        </w:tc>
        <w:tc>
          <w:tcPr>
            <w:tcW w:w="1440" w:type="dxa"/>
          </w:tcPr>
          <w:p w14:paraId="519D9EC2">
            <w:pPr>
              <w:spacing w:line="360" w:lineRule="auto"/>
              <w:ind w:firstLine="420" w:firstLineChars="200"/>
              <w:rPr>
                <w:rFonts w:hint="eastAsia" w:ascii="宋体" w:hAnsi="宋体" w:eastAsia="宋体" w:cs="宋体"/>
                <w:color w:val="auto"/>
                <w:szCs w:val="21"/>
                <w:highlight w:val="none"/>
              </w:rPr>
            </w:pPr>
          </w:p>
        </w:tc>
        <w:tc>
          <w:tcPr>
            <w:tcW w:w="983" w:type="dxa"/>
          </w:tcPr>
          <w:p w14:paraId="26E04A3A">
            <w:pPr>
              <w:spacing w:line="360" w:lineRule="auto"/>
              <w:rPr>
                <w:rFonts w:hint="eastAsia" w:ascii="宋体" w:hAnsi="宋体" w:eastAsia="宋体" w:cs="宋体"/>
                <w:color w:val="auto"/>
                <w:szCs w:val="21"/>
                <w:highlight w:val="none"/>
              </w:rPr>
            </w:pPr>
          </w:p>
        </w:tc>
      </w:tr>
      <w:tr w14:paraId="7A36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14:paraId="72754F47">
            <w:pPr>
              <w:spacing w:line="360" w:lineRule="auto"/>
              <w:rPr>
                <w:rFonts w:hint="eastAsia" w:ascii="宋体" w:hAnsi="宋体" w:eastAsia="宋体" w:cs="宋体"/>
                <w:color w:val="auto"/>
                <w:szCs w:val="21"/>
                <w:highlight w:val="none"/>
              </w:rPr>
            </w:pPr>
          </w:p>
        </w:tc>
        <w:tc>
          <w:tcPr>
            <w:tcW w:w="900" w:type="dxa"/>
          </w:tcPr>
          <w:p w14:paraId="196F4949">
            <w:pPr>
              <w:spacing w:line="360" w:lineRule="auto"/>
              <w:rPr>
                <w:rFonts w:hint="eastAsia" w:ascii="宋体" w:hAnsi="宋体" w:eastAsia="宋体" w:cs="宋体"/>
                <w:color w:val="auto"/>
                <w:szCs w:val="21"/>
                <w:highlight w:val="none"/>
              </w:rPr>
            </w:pPr>
          </w:p>
        </w:tc>
        <w:tc>
          <w:tcPr>
            <w:tcW w:w="900" w:type="dxa"/>
          </w:tcPr>
          <w:p w14:paraId="5D5B3DF9">
            <w:pPr>
              <w:spacing w:line="360" w:lineRule="auto"/>
              <w:rPr>
                <w:rFonts w:hint="eastAsia" w:ascii="宋体" w:hAnsi="宋体" w:eastAsia="宋体" w:cs="宋体"/>
                <w:color w:val="auto"/>
                <w:szCs w:val="21"/>
                <w:highlight w:val="none"/>
              </w:rPr>
            </w:pPr>
          </w:p>
        </w:tc>
        <w:tc>
          <w:tcPr>
            <w:tcW w:w="1440" w:type="dxa"/>
          </w:tcPr>
          <w:p w14:paraId="10656C1A">
            <w:pPr>
              <w:spacing w:line="360" w:lineRule="auto"/>
              <w:rPr>
                <w:rFonts w:hint="eastAsia" w:ascii="宋体" w:hAnsi="宋体" w:eastAsia="宋体" w:cs="宋体"/>
                <w:color w:val="auto"/>
                <w:szCs w:val="21"/>
                <w:highlight w:val="none"/>
              </w:rPr>
            </w:pPr>
          </w:p>
        </w:tc>
        <w:tc>
          <w:tcPr>
            <w:tcW w:w="1080" w:type="dxa"/>
          </w:tcPr>
          <w:p w14:paraId="1DF0D17A">
            <w:pPr>
              <w:spacing w:line="360" w:lineRule="auto"/>
              <w:rPr>
                <w:rFonts w:hint="eastAsia" w:ascii="宋体" w:hAnsi="宋体" w:eastAsia="宋体" w:cs="宋体"/>
                <w:color w:val="auto"/>
                <w:szCs w:val="21"/>
                <w:highlight w:val="none"/>
              </w:rPr>
            </w:pPr>
          </w:p>
        </w:tc>
        <w:tc>
          <w:tcPr>
            <w:tcW w:w="1800" w:type="dxa"/>
          </w:tcPr>
          <w:p w14:paraId="3AA0F95B">
            <w:pPr>
              <w:spacing w:line="360" w:lineRule="auto"/>
              <w:rPr>
                <w:rFonts w:hint="eastAsia" w:ascii="宋体" w:hAnsi="宋体" w:eastAsia="宋体" w:cs="宋体"/>
                <w:color w:val="auto"/>
                <w:szCs w:val="21"/>
                <w:highlight w:val="none"/>
              </w:rPr>
            </w:pPr>
          </w:p>
        </w:tc>
        <w:tc>
          <w:tcPr>
            <w:tcW w:w="1440" w:type="dxa"/>
          </w:tcPr>
          <w:p w14:paraId="4C8AEF33">
            <w:pPr>
              <w:spacing w:line="360" w:lineRule="auto"/>
              <w:rPr>
                <w:rFonts w:hint="eastAsia" w:ascii="宋体" w:hAnsi="宋体" w:eastAsia="宋体" w:cs="宋体"/>
                <w:color w:val="auto"/>
                <w:szCs w:val="21"/>
                <w:highlight w:val="none"/>
              </w:rPr>
            </w:pPr>
          </w:p>
        </w:tc>
        <w:tc>
          <w:tcPr>
            <w:tcW w:w="983" w:type="dxa"/>
          </w:tcPr>
          <w:p w14:paraId="09075AE3">
            <w:pPr>
              <w:spacing w:line="360" w:lineRule="auto"/>
              <w:rPr>
                <w:rFonts w:hint="eastAsia" w:ascii="宋体" w:hAnsi="宋体" w:eastAsia="宋体" w:cs="宋体"/>
                <w:color w:val="auto"/>
                <w:szCs w:val="21"/>
                <w:highlight w:val="none"/>
              </w:rPr>
            </w:pPr>
          </w:p>
        </w:tc>
      </w:tr>
      <w:tr w14:paraId="7729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14:paraId="13B65DCC">
            <w:pPr>
              <w:spacing w:line="360" w:lineRule="auto"/>
              <w:rPr>
                <w:rFonts w:hint="eastAsia" w:ascii="宋体" w:hAnsi="宋体" w:eastAsia="宋体" w:cs="宋体"/>
                <w:color w:val="auto"/>
                <w:szCs w:val="21"/>
                <w:highlight w:val="none"/>
              </w:rPr>
            </w:pPr>
          </w:p>
        </w:tc>
        <w:tc>
          <w:tcPr>
            <w:tcW w:w="900" w:type="dxa"/>
          </w:tcPr>
          <w:p w14:paraId="56390C30">
            <w:pPr>
              <w:spacing w:line="360" w:lineRule="auto"/>
              <w:rPr>
                <w:rFonts w:hint="eastAsia" w:ascii="宋体" w:hAnsi="宋体" w:eastAsia="宋体" w:cs="宋体"/>
                <w:color w:val="auto"/>
                <w:szCs w:val="21"/>
                <w:highlight w:val="none"/>
              </w:rPr>
            </w:pPr>
          </w:p>
        </w:tc>
        <w:tc>
          <w:tcPr>
            <w:tcW w:w="900" w:type="dxa"/>
          </w:tcPr>
          <w:p w14:paraId="6595664D">
            <w:pPr>
              <w:spacing w:line="360" w:lineRule="auto"/>
              <w:rPr>
                <w:rFonts w:hint="eastAsia" w:ascii="宋体" w:hAnsi="宋体" w:eastAsia="宋体" w:cs="宋体"/>
                <w:color w:val="auto"/>
                <w:szCs w:val="21"/>
                <w:highlight w:val="none"/>
              </w:rPr>
            </w:pPr>
          </w:p>
        </w:tc>
        <w:tc>
          <w:tcPr>
            <w:tcW w:w="1440" w:type="dxa"/>
          </w:tcPr>
          <w:p w14:paraId="2F828226">
            <w:pPr>
              <w:spacing w:line="360" w:lineRule="auto"/>
              <w:rPr>
                <w:rFonts w:hint="eastAsia" w:ascii="宋体" w:hAnsi="宋体" w:eastAsia="宋体" w:cs="宋体"/>
                <w:color w:val="auto"/>
                <w:szCs w:val="21"/>
                <w:highlight w:val="none"/>
              </w:rPr>
            </w:pPr>
          </w:p>
        </w:tc>
        <w:tc>
          <w:tcPr>
            <w:tcW w:w="1080" w:type="dxa"/>
          </w:tcPr>
          <w:p w14:paraId="3CC7AE0B">
            <w:pPr>
              <w:spacing w:line="360" w:lineRule="auto"/>
              <w:rPr>
                <w:rFonts w:hint="eastAsia" w:ascii="宋体" w:hAnsi="宋体" w:eastAsia="宋体" w:cs="宋体"/>
                <w:color w:val="auto"/>
                <w:szCs w:val="21"/>
                <w:highlight w:val="none"/>
              </w:rPr>
            </w:pPr>
          </w:p>
        </w:tc>
        <w:tc>
          <w:tcPr>
            <w:tcW w:w="1800" w:type="dxa"/>
          </w:tcPr>
          <w:p w14:paraId="536CA55A">
            <w:pPr>
              <w:spacing w:line="360" w:lineRule="auto"/>
              <w:rPr>
                <w:rFonts w:hint="eastAsia" w:ascii="宋体" w:hAnsi="宋体" w:eastAsia="宋体" w:cs="宋体"/>
                <w:color w:val="auto"/>
                <w:szCs w:val="21"/>
                <w:highlight w:val="none"/>
              </w:rPr>
            </w:pPr>
          </w:p>
        </w:tc>
        <w:tc>
          <w:tcPr>
            <w:tcW w:w="1440" w:type="dxa"/>
          </w:tcPr>
          <w:p w14:paraId="0A1040DF">
            <w:pPr>
              <w:spacing w:line="360" w:lineRule="auto"/>
              <w:rPr>
                <w:rFonts w:hint="eastAsia" w:ascii="宋体" w:hAnsi="宋体" w:eastAsia="宋体" w:cs="宋体"/>
                <w:color w:val="auto"/>
                <w:szCs w:val="21"/>
                <w:highlight w:val="none"/>
              </w:rPr>
            </w:pPr>
          </w:p>
        </w:tc>
        <w:tc>
          <w:tcPr>
            <w:tcW w:w="983" w:type="dxa"/>
          </w:tcPr>
          <w:p w14:paraId="2C954FF4">
            <w:pPr>
              <w:spacing w:line="360" w:lineRule="auto"/>
              <w:rPr>
                <w:rFonts w:hint="eastAsia" w:ascii="宋体" w:hAnsi="宋体" w:eastAsia="宋体" w:cs="宋体"/>
                <w:color w:val="auto"/>
                <w:szCs w:val="21"/>
                <w:highlight w:val="none"/>
              </w:rPr>
            </w:pPr>
          </w:p>
        </w:tc>
      </w:tr>
      <w:tr w14:paraId="750A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14:paraId="7CC4C73A">
            <w:pPr>
              <w:spacing w:line="360" w:lineRule="auto"/>
              <w:rPr>
                <w:rFonts w:hint="eastAsia" w:ascii="宋体" w:hAnsi="宋体" w:eastAsia="宋体" w:cs="宋体"/>
                <w:color w:val="auto"/>
                <w:szCs w:val="21"/>
                <w:highlight w:val="none"/>
              </w:rPr>
            </w:pPr>
          </w:p>
        </w:tc>
        <w:tc>
          <w:tcPr>
            <w:tcW w:w="900" w:type="dxa"/>
          </w:tcPr>
          <w:p w14:paraId="241BF4C8">
            <w:pPr>
              <w:spacing w:line="360" w:lineRule="auto"/>
              <w:rPr>
                <w:rFonts w:hint="eastAsia" w:ascii="宋体" w:hAnsi="宋体" w:eastAsia="宋体" w:cs="宋体"/>
                <w:color w:val="auto"/>
                <w:szCs w:val="21"/>
                <w:highlight w:val="none"/>
              </w:rPr>
            </w:pPr>
          </w:p>
        </w:tc>
        <w:tc>
          <w:tcPr>
            <w:tcW w:w="900" w:type="dxa"/>
          </w:tcPr>
          <w:p w14:paraId="5F8A681C">
            <w:pPr>
              <w:spacing w:line="360" w:lineRule="auto"/>
              <w:rPr>
                <w:rFonts w:hint="eastAsia" w:ascii="宋体" w:hAnsi="宋体" w:eastAsia="宋体" w:cs="宋体"/>
                <w:color w:val="auto"/>
                <w:szCs w:val="21"/>
                <w:highlight w:val="none"/>
              </w:rPr>
            </w:pPr>
          </w:p>
        </w:tc>
        <w:tc>
          <w:tcPr>
            <w:tcW w:w="1440" w:type="dxa"/>
          </w:tcPr>
          <w:p w14:paraId="5BC8D0A3">
            <w:pPr>
              <w:spacing w:line="360" w:lineRule="auto"/>
              <w:rPr>
                <w:rFonts w:hint="eastAsia" w:ascii="宋体" w:hAnsi="宋体" w:eastAsia="宋体" w:cs="宋体"/>
                <w:color w:val="auto"/>
                <w:szCs w:val="21"/>
                <w:highlight w:val="none"/>
              </w:rPr>
            </w:pPr>
          </w:p>
        </w:tc>
        <w:tc>
          <w:tcPr>
            <w:tcW w:w="1080" w:type="dxa"/>
          </w:tcPr>
          <w:p w14:paraId="41F8EE95">
            <w:pPr>
              <w:spacing w:line="360" w:lineRule="auto"/>
              <w:rPr>
                <w:rFonts w:hint="eastAsia" w:ascii="宋体" w:hAnsi="宋体" w:eastAsia="宋体" w:cs="宋体"/>
                <w:color w:val="auto"/>
                <w:szCs w:val="21"/>
                <w:highlight w:val="none"/>
              </w:rPr>
            </w:pPr>
          </w:p>
        </w:tc>
        <w:tc>
          <w:tcPr>
            <w:tcW w:w="1800" w:type="dxa"/>
          </w:tcPr>
          <w:p w14:paraId="05E59D27">
            <w:pPr>
              <w:spacing w:line="360" w:lineRule="auto"/>
              <w:rPr>
                <w:rFonts w:hint="eastAsia" w:ascii="宋体" w:hAnsi="宋体" w:eastAsia="宋体" w:cs="宋体"/>
                <w:color w:val="auto"/>
                <w:szCs w:val="21"/>
                <w:highlight w:val="none"/>
              </w:rPr>
            </w:pPr>
          </w:p>
        </w:tc>
        <w:tc>
          <w:tcPr>
            <w:tcW w:w="1440" w:type="dxa"/>
          </w:tcPr>
          <w:p w14:paraId="54CA9E89">
            <w:pPr>
              <w:spacing w:line="360" w:lineRule="auto"/>
              <w:rPr>
                <w:rFonts w:hint="eastAsia" w:ascii="宋体" w:hAnsi="宋体" w:eastAsia="宋体" w:cs="宋体"/>
                <w:color w:val="auto"/>
                <w:szCs w:val="21"/>
                <w:highlight w:val="none"/>
              </w:rPr>
            </w:pPr>
          </w:p>
        </w:tc>
        <w:tc>
          <w:tcPr>
            <w:tcW w:w="983" w:type="dxa"/>
          </w:tcPr>
          <w:p w14:paraId="7C30BE8A">
            <w:pPr>
              <w:spacing w:line="360" w:lineRule="auto"/>
              <w:rPr>
                <w:rFonts w:hint="eastAsia" w:ascii="宋体" w:hAnsi="宋体" w:eastAsia="宋体" w:cs="宋体"/>
                <w:color w:val="auto"/>
                <w:szCs w:val="21"/>
                <w:highlight w:val="none"/>
              </w:rPr>
            </w:pPr>
          </w:p>
        </w:tc>
      </w:tr>
      <w:tr w14:paraId="7EE5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359B65AA">
            <w:pPr>
              <w:spacing w:line="360" w:lineRule="auto"/>
              <w:rPr>
                <w:rFonts w:hint="eastAsia" w:ascii="宋体" w:hAnsi="宋体" w:eastAsia="宋体" w:cs="宋体"/>
                <w:color w:val="auto"/>
                <w:szCs w:val="21"/>
                <w:highlight w:val="none"/>
              </w:rPr>
            </w:pPr>
          </w:p>
        </w:tc>
        <w:tc>
          <w:tcPr>
            <w:tcW w:w="900" w:type="dxa"/>
          </w:tcPr>
          <w:p w14:paraId="2597F90F">
            <w:pPr>
              <w:spacing w:line="360" w:lineRule="auto"/>
              <w:rPr>
                <w:rFonts w:hint="eastAsia" w:ascii="宋体" w:hAnsi="宋体" w:eastAsia="宋体" w:cs="宋体"/>
                <w:color w:val="auto"/>
                <w:szCs w:val="21"/>
                <w:highlight w:val="none"/>
              </w:rPr>
            </w:pPr>
          </w:p>
        </w:tc>
        <w:tc>
          <w:tcPr>
            <w:tcW w:w="900" w:type="dxa"/>
          </w:tcPr>
          <w:p w14:paraId="523A872B">
            <w:pPr>
              <w:spacing w:line="360" w:lineRule="auto"/>
              <w:rPr>
                <w:rFonts w:hint="eastAsia" w:ascii="宋体" w:hAnsi="宋体" w:eastAsia="宋体" w:cs="宋体"/>
                <w:color w:val="auto"/>
                <w:szCs w:val="21"/>
                <w:highlight w:val="none"/>
              </w:rPr>
            </w:pPr>
          </w:p>
        </w:tc>
        <w:tc>
          <w:tcPr>
            <w:tcW w:w="1440" w:type="dxa"/>
          </w:tcPr>
          <w:p w14:paraId="2A606AD8">
            <w:pPr>
              <w:spacing w:line="360" w:lineRule="auto"/>
              <w:rPr>
                <w:rFonts w:hint="eastAsia" w:ascii="宋体" w:hAnsi="宋体" w:eastAsia="宋体" w:cs="宋体"/>
                <w:color w:val="auto"/>
                <w:szCs w:val="21"/>
                <w:highlight w:val="none"/>
              </w:rPr>
            </w:pPr>
          </w:p>
        </w:tc>
        <w:tc>
          <w:tcPr>
            <w:tcW w:w="1080" w:type="dxa"/>
          </w:tcPr>
          <w:p w14:paraId="4FEF9B5D">
            <w:pPr>
              <w:spacing w:line="360" w:lineRule="auto"/>
              <w:rPr>
                <w:rFonts w:hint="eastAsia" w:ascii="宋体" w:hAnsi="宋体" w:eastAsia="宋体" w:cs="宋体"/>
                <w:color w:val="auto"/>
                <w:szCs w:val="21"/>
                <w:highlight w:val="none"/>
              </w:rPr>
            </w:pPr>
          </w:p>
        </w:tc>
        <w:tc>
          <w:tcPr>
            <w:tcW w:w="1800" w:type="dxa"/>
          </w:tcPr>
          <w:p w14:paraId="36280FC9">
            <w:pPr>
              <w:spacing w:line="360" w:lineRule="auto"/>
              <w:rPr>
                <w:rFonts w:hint="eastAsia" w:ascii="宋体" w:hAnsi="宋体" w:eastAsia="宋体" w:cs="宋体"/>
                <w:color w:val="auto"/>
                <w:szCs w:val="21"/>
                <w:highlight w:val="none"/>
              </w:rPr>
            </w:pPr>
          </w:p>
        </w:tc>
        <w:tc>
          <w:tcPr>
            <w:tcW w:w="1440" w:type="dxa"/>
          </w:tcPr>
          <w:p w14:paraId="39F2530F">
            <w:pPr>
              <w:spacing w:line="360" w:lineRule="auto"/>
              <w:rPr>
                <w:rFonts w:hint="eastAsia" w:ascii="宋体" w:hAnsi="宋体" w:eastAsia="宋体" w:cs="宋体"/>
                <w:color w:val="auto"/>
                <w:szCs w:val="21"/>
                <w:highlight w:val="none"/>
              </w:rPr>
            </w:pPr>
          </w:p>
        </w:tc>
        <w:tc>
          <w:tcPr>
            <w:tcW w:w="983" w:type="dxa"/>
          </w:tcPr>
          <w:p w14:paraId="20693367">
            <w:pPr>
              <w:spacing w:line="360" w:lineRule="auto"/>
              <w:rPr>
                <w:rFonts w:hint="eastAsia" w:ascii="宋体" w:hAnsi="宋体" w:eastAsia="宋体" w:cs="宋体"/>
                <w:color w:val="auto"/>
                <w:szCs w:val="21"/>
                <w:highlight w:val="none"/>
              </w:rPr>
            </w:pPr>
          </w:p>
        </w:tc>
      </w:tr>
      <w:tr w14:paraId="1CE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4ED583C8">
            <w:pPr>
              <w:spacing w:line="360" w:lineRule="auto"/>
              <w:rPr>
                <w:rFonts w:hint="eastAsia" w:ascii="宋体" w:hAnsi="宋体" w:eastAsia="宋体" w:cs="宋体"/>
                <w:color w:val="auto"/>
                <w:szCs w:val="21"/>
                <w:highlight w:val="none"/>
              </w:rPr>
            </w:pPr>
          </w:p>
        </w:tc>
        <w:tc>
          <w:tcPr>
            <w:tcW w:w="900" w:type="dxa"/>
          </w:tcPr>
          <w:p w14:paraId="702D6A3E">
            <w:pPr>
              <w:spacing w:line="360" w:lineRule="auto"/>
              <w:rPr>
                <w:rFonts w:hint="eastAsia" w:ascii="宋体" w:hAnsi="宋体" w:eastAsia="宋体" w:cs="宋体"/>
                <w:color w:val="auto"/>
                <w:szCs w:val="21"/>
                <w:highlight w:val="none"/>
              </w:rPr>
            </w:pPr>
          </w:p>
        </w:tc>
        <w:tc>
          <w:tcPr>
            <w:tcW w:w="900" w:type="dxa"/>
          </w:tcPr>
          <w:p w14:paraId="1951BD85">
            <w:pPr>
              <w:spacing w:line="360" w:lineRule="auto"/>
              <w:rPr>
                <w:rFonts w:hint="eastAsia" w:ascii="宋体" w:hAnsi="宋体" w:eastAsia="宋体" w:cs="宋体"/>
                <w:color w:val="auto"/>
                <w:szCs w:val="21"/>
                <w:highlight w:val="none"/>
              </w:rPr>
            </w:pPr>
          </w:p>
        </w:tc>
        <w:tc>
          <w:tcPr>
            <w:tcW w:w="1440" w:type="dxa"/>
          </w:tcPr>
          <w:p w14:paraId="6FE0477E">
            <w:pPr>
              <w:spacing w:line="360" w:lineRule="auto"/>
              <w:rPr>
                <w:rFonts w:hint="eastAsia" w:ascii="宋体" w:hAnsi="宋体" w:eastAsia="宋体" w:cs="宋体"/>
                <w:color w:val="auto"/>
                <w:szCs w:val="21"/>
                <w:highlight w:val="none"/>
              </w:rPr>
            </w:pPr>
          </w:p>
        </w:tc>
        <w:tc>
          <w:tcPr>
            <w:tcW w:w="1080" w:type="dxa"/>
          </w:tcPr>
          <w:p w14:paraId="0A23A51D">
            <w:pPr>
              <w:spacing w:line="360" w:lineRule="auto"/>
              <w:rPr>
                <w:rFonts w:hint="eastAsia" w:ascii="宋体" w:hAnsi="宋体" w:eastAsia="宋体" w:cs="宋体"/>
                <w:color w:val="auto"/>
                <w:szCs w:val="21"/>
                <w:highlight w:val="none"/>
              </w:rPr>
            </w:pPr>
          </w:p>
        </w:tc>
        <w:tc>
          <w:tcPr>
            <w:tcW w:w="1800" w:type="dxa"/>
          </w:tcPr>
          <w:p w14:paraId="1481F239">
            <w:pPr>
              <w:spacing w:line="360" w:lineRule="auto"/>
              <w:rPr>
                <w:rFonts w:hint="eastAsia" w:ascii="宋体" w:hAnsi="宋体" w:eastAsia="宋体" w:cs="宋体"/>
                <w:color w:val="auto"/>
                <w:szCs w:val="21"/>
                <w:highlight w:val="none"/>
              </w:rPr>
            </w:pPr>
          </w:p>
        </w:tc>
        <w:tc>
          <w:tcPr>
            <w:tcW w:w="1440" w:type="dxa"/>
          </w:tcPr>
          <w:p w14:paraId="58364062">
            <w:pPr>
              <w:spacing w:line="360" w:lineRule="auto"/>
              <w:rPr>
                <w:rFonts w:hint="eastAsia" w:ascii="宋体" w:hAnsi="宋体" w:eastAsia="宋体" w:cs="宋体"/>
                <w:color w:val="auto"/>
                <w:szCs w:val="21"/>
                <w:highlight w:val="none"/>
              </w:rPr>
            </w:pPr>
          </w:p>
        </w:tc>
        <w:tc>
          <w:tcPr>
            <w:tcW w:w="983" w:type="dxa"/>
          </w:tcPr>
          <w:p w14:paraId="3450DAFA">
            <w:pPr>
              <w:spacing w:line="360" w:lineRule="auto"/>
              <w:rPr>
                <w:rFonts w:hint="eastAsia" w:ascii="宋体" w:hAnsi="宋体" w:eastAsia="宋体" w:cs="宋体"/>
                <w:color w:val="auto"/>
                <w:szCs w:val="21"/>
                <w:highlight w:val="none"/>
              </w:rPr>
            </w:pPr>
          </w:p>
        </w:tc>
      </w:tr>
      <w:tr w14:paraId="3803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5AA6EE03">
            <w:pPr>
              <w:spacing w:line="360" w:lineRule="auto"/>
              <w:rPr>
                <w:rFonts w:hint="eastAsia" w:ascii="宋体" w:hAnsi="宋体" w:eastAsia="宋体" w:cs="宋体"/>
                <w:color w:val="auto"/>
                <w:szCs w:val="21"/>
                <w:highlight w:val="none"/>
              </w:rPr>
            </w:pPr>
          </w:p>
        </w:tc>
        <w:tc>
          <w:tcPr>
            <w:tcW w:w="900" w:type="dxa"/>
          </w:tcPr>
          <w:p w14:paraId="5105C241">
            <w:pPr>
              <w:spacing w:line="360" w:lineRule="auto"/>
              <w:rPr>
                <w:rFonts w:hint="eastAsia" w:ascii="宋体" w:hAnsi="宋体" w:eastAsia="宋体" w:cs="宋体"/>
                <w:color w:val="auto"/>
                <w:szCs w:val="21"/>
                <w:highlight w:val="none"/>
              </w:rPr>
            </w:pPr>
          </w:p>
        </w:tc>
        <w:tc>
          <w:tcPr>
            <w:tcW w:w="900" w:type="dxa"/>
          </w:tcPr>
          <w:p w14:paraId="64FA174B">
            <w:pPr>
              <w:spacing w:line="360" w:lineRule="auto"/>
              <w:rPr>
                <w:rFonts w:hint="eastAsia" w:ascii="宋体" w:hAnsi="宋体" w:eastAsia="宋体" w:cs="宋体"/>
                <w:color w:val="auto"/>
                <w:szCs w:val="21"/>
                <w:highlight w:val="none"/>
              </w:rPr>
            </w:pPr>
          </w:p>
        </w:tc>
        <w:tc>
          <w:tcPr>
            <w:tcW w:w="1440" w:type="dxa"/>
          </w:tcPr>
          <w:p w14:paraId="695C96B9">
            <w:pPr>
              <w:spacing w:line="360" w:lineRule="auto"/>
              <w:rPr>
                <w:rFonts w:hint="eastAsia" w:ascii="宋体" w:hAnsi="宋体" w:eastAsia="宋体" w:cs="宋体"/>
                <w:color w:val="auto"/>
                <w:szCs w:val="21"/>
                <w:highlight w:val="none"/>
              </w:rPr>
            </w:pPr>
          </w:p>
        </w:tc>
        <w:tc>
          <w:tcPr>
            <w:tcW w:w="1080" w:type="dxa"/>
          </w:tcPr>
          <w:p w14:paraId="200F286D">
            <w:pPr>
              <w:spacing w:line="360" w:lineRule="auto"/>
              <w:rPr>
                <w:rFonts w:hint="eastAsia" w:ascii="宋体" w:hAnsi="宋体" w:eastAsia="宋体" w:cs="宋体"/>
                <w:color w:val="auto"/>
                <w:szCs w:val="21"/>
                <w:highlight w:val="none"/>
              </w:rPr>
            </w:pPr>
          </w:p>
        </w:tc>
        <w:tc>
          <w:tcPr>
            <w:tcW w:w="1800" w:type="dxa"/>
          </w:tcPr>
          <w:p w14:paraId="008EA2B0">
            <w:pPr>
              <w:spacing w:line="360" w:lineRule="auto"/>
              <w:rPr>
                <w:rFonts w:hint="eastAsia" w:ascii="宋体" w:hAnsi="宋体" w:eastAsia="宋体" w:cs="宋体"/>
                <w:color w:val="auto"/>
                <w:szCs w:val="21"/>
                <w:highlight w:val="none"/>
              </w:rPr>
            </w:pPr>
          </w:p>
        </w:tc>
        <w:tc>
          <w:tcPr>
            <w:tcW w:w="1440" w:type="dxa"/>
          </w:tcPr>
          <w:p w14:paraId="7B03D92E">
            <w:pPr>
              <w:spacing w:line="360" w:lineRule="auto"/>
              <w:rPr>
                <w:rFonts w:hint="eastAsia" w:ascii="宋体" w:hAnsi="宋体" w:eastAsia="宋体" w:cs="宋体"/>
                <w:color w:val="auto"/>
                <w:szCs w:val="21"/>
                <w:highlight w:val="none"/>
              </w:rPr>
            </w:pPr>
          </w:p>
        </w:tc>
        <w:tc>
          <w:tcPr>
            <w:tcW w:w="983" w:type="dxa"/>
          </w:tcPr>
          <w:p w14:paraId="5DAFB019">
            <w:pPr>
              <w:spacing w:line="360" w:lineRule="auto"/>
              <w:rPr>
                <w:rFonts w:hint="eastAsia" w:ascii="宋体" w:hAnsi="宋体" w:eastAsia="宋体" w:cs="宋体"/>
                <w:color w:val="auto"/>
                <w:szCs w:val="21"/>
                <w:highlight w:val="none"/>
              </w:rPr>
            </w:pPr>
          </w:p>
        </w:tc>
      </w:tr>
      <w:tr w14:paraId="3E26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7C57C401">
            <w:pPr>
              <w:spacing w:line="360" w:lineRule="auto"/>
              <w:rPr>
                <w:rFonts w:hint="eastAsia" w:ascii="宋体" w:hAnsi="宋体" w:eastAsia="宋体" w:cs="宋体"/>
                <w:color w:val="auto"/>
                <w:szCs w:val="21"/>
                <w:highlight w:val="none"/>
              </w:rPr>
            </w:pPr>
          </w:p>
        </w:tc>
        <w:tc>
          <w:tcPr>
            <w:tcW w:w="900" w:type="dxa"/>
          </w:tcPr>
          <w:p w14:paraId="4E0755C5">
            <w:pPr>
              <w:spacing w:line="360" w:lineRule="auto"/>
              <w:rPr>
                <w:rFonts w:hint="eastAsia" w:ascii="宋体" w:hAnsi="宋体" w:eastAsia="宋体" w:cs="宋体"/>
                <w:color w:val="auto"/>
                <w:szCs w:val="21"/>
                <w:highlight w:val="none"/>
              </w:rPr>
            </w:pPr>
          </w:p>
        </w:tc>
        <w:tc>
          <w:tcPr>
            <w:tcW w:w="900" w:type="dxa"/>
          </w:tcPr>
          <w:p w14:paraId="0A7246B4">
            <w:pPr>
              <w:spacing w:line="360" w:lineRule="auto"/>
              <w:rPr>
                <w:rFonts w:hint="eastAsia" w:ascii="宋体" w:hAnsi="宋体" w:eastAsia="宋体" w:cs="宋体"/>
                <w:color w:val="auto"/>
                <w:szCs w:val="21"/>
                <w:highlight w:val="none"/>
              </w:rPr>
            </w:pPr>
          </w:p>
        </w:tc>
        <w:tc>
          <w:tcPr>
            <w:tcW w:w="1440" w:type="dxa"/>
          </w:tcPr>
          <w:p w14:paraId="5D0F1C97">
            <w:pPr>
              <w:spacing w:line="360" w:lineRule="auto"/>
              <w:rPr>
                <w:rFonts w:hint="eastAsia" w:ascii="宋体" w:hAnsi="宋体" w:eastAsia="宋体" w:cs="宋体"/>
                <w:color w:val="auto"/>
                <w:szCs w:val="21"/>
                <w:highlight w:val="none"/>
              </w:rPr>
            </w:pPr>
          </w:p>
        </w:tc>
        <w:tc>
          <w:tcPr>
            <w:tcW w:w="1080" w:type="dxa"/>
          </w:tcPr>
          <w:p w14:paraId="27C8A559">
            <w:pPr>
              <w:spacing w:line="360" w:lineRule="auto"/>
              <w:rPr>
                <w:rFonts w:hint="eastAsia" w:ascii="宋体" w:hAnsi="宋体" w:eastAsia="宋体" w:cs="宋体"/>
                <w:color w:val="auto"/>
                <w:szCs w:val="21"/>
                <w:highlight w:val="none"/>
              </w:rPr>
            </w:pPr>
          </w:p>
        </w:tc>
        <w:tc>
          <w:tcPr>
            <w:tcW w:w="1800" w:type="dxa"/>
          </w:tcPr>
          <w:p w14:paraId="577C0EAA">
            <w:pPr>
              <w:spacing w:line="360" w:lineRule="auto"/>
              <w:rPr>
                <w:rFonts w:hint="eastAsia" w:ascii="宋体" w:hAnsi="宋体" w:eastAsia="宋体" w:cs="宋体"/>
                <w:color w:val="auto"/>
                <w:szCs w:val="21"/>
                <w:highlight w:val="none"/>
              </w:rPr>
            </w:pPr>
          </w:p>
        </w:tc>
        <w:tc>
          <w:tcPr>
            <w:tcW w:w="1440" w:type="dxa"/>
          </w:tcPr>
          <w:p w14:paraId="4D4B6699">
            <w:pPr>
              <w:spacing w:line="360" w:lineRule="auto"/>
              <w:rPr>
                <w:rFonts w:hint="eastAsia" w:ascii="宋体" w:hAnsi="宋体" w:eastAsia="宋体" w:cs="宋体"/>
                <w:color w:val="auto"/>
                <w:szCs w:val="21"/>
                <w:highlight w:val="none"/>
              </w:rPr>
            </w:pPr>
          </w:p>
        </w:tc>
        <w:tc>
          <w:tcPr>
            <w:tcW w:w="983" w:type="dxa"/>
          </w:tcPr>
          <w:p w14:paraId="60ABE96D">
            <w:pPr>
              <w:spacing w:line="360" w:lineRule="auto"/>
              <w:rPr>
                <w:rFonts w:hint="eastAsia" w:ascii="宋体" w:hAnsi="宋体" w:eastAsia="宋体" w:cs="宋体"/>
                <w:color w:val="auto"/>
                <w:szCs w:val="21"/>
                <w:highlight w:val="none"/>
              </w:rPr>
            </w:pPr>
          </w:p>
        </w:tc>
      </w:tr>
      <w:tr w14:paraId="6875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74544B7A">
            <w:pPr>
              <w:spacing w:line="360" w:lineRule="auto"/>
              <w:rPr>
                <w:rFonts w:hint="eastAsia" w:ascii="宋体" w:hAnsi="宋体" w:eastAsia="宋体" w:cs="宋体"/>
                <w:color w:val="auto"/>
                <w:szCs w:val="21"/>
                <w:highlight w:val="none"/>
              </w:rPr>
            </w:pPr>
          </w:p>
        </w:tc>
        <w:tc>
          <w:tcPr>
            <w:tcW w:w="900" w:type="dxa"/>
          </w:tcPr>
          <w:p w14:paraId="60E06CD9">
            <w:pPr>
              <w:spacing w:line="360" w:lineRule="auto"/>
              <w:rPr>
                <w:rFonts w:hint="eastAsia" w:ascii="宋体" w:hAnsi="宋体" w:eastAsia="宋体" w:cs="宋体"/>
                <w:color w:val="auto"/>
                <w:szCs w:val="21"/>
                <w:highlight w:val="none"/>
              </w:rPr>
            </w:pPr>
          </w:p>
        </w:tc>
        <w:tc>
          <w:tcPr>
            <w:tcW w:w="900" w:type="dxa"/>
          </w:tcPr>
          <w:p w14:paraId="1CBC9F78">
            <w:pPr>
              <w:spacing w:line="360" w:lineRule="auto"/>
              <w:rPr>
                <w:rFonts w:hint="eastAsia" w:ascii="宋体" w:hAnsi="宋体" w:eastAsia="宋体" w:cs="宋体"/>
                <w:color w:val="auto"/>
                <w:szCs w:val="21"/>
                <w:highlight w:val="none"/>
              </w:rPr>
            </w:pPr>
          </w:p>
        </w:tc>
        <w:tc>
          <w:tcPr>
            <w:tcW w:w="1440" w:type="dxa"/>
          </w:tcPr>
          <w:p w14:paraId="0B3E81E2">
            <w:pPr>
              <w:spacing w:line="360" w:lineRule="auto"/>
              <w:rPr>
                <w:rFonts w:hint="eastAsia" w:ascii="宋体" w:hAnsi="宋体" w:eastAsia="宋体" w:cs="宋体"/>
                <w:color w:val="auto"/>
                <w:szCs w:val="21"/>
                <w:highlight w:val="none"/>
              </w:rPr>
            </w:pPr>
          </w:p>
        </w:tc>
        <w:tc>
          <w:tcPr>
            <w:tcW w:w="1080" w:type="dxa"/>
          </w:tcPr>
          <w:p w14:paraId="780972EC">
            <w:pPr>
              <w:spacing w:line="360" w:lineRule="auto"/>
              <w:rPr>
                <w:rFonts w:hint="eastAsia" w:ascii="宋体" w:hAnsi="宋体" w:eastAsia="宋体" w:cs="宋体"/>
                <w:color w:val="auto"/>
                <w:szCs w:val="21"/>
                <w:highlight w:val="none"/>
              </w:rPr>
            </w:pPr>
          </w:p>
        </w:tc>
        <w:tc>
          <w:tcPr>
            <w:tcW w:w="1800" w:type="dxa"/>
          </w:tcPr>
          <w:p w14:paraId="1D8AADF0">
            <w:pPr>
              <w:spacing w:line="360" w:lineRule="auto"/>
              <w:rPr>
                <w:rFonts w:hint="eastAsia" w:ascii="宋体" w:hAnsi="宋体" w:eastAsia="宋体" w:cs="宋体"/>
                <w:color w:val="auto"/>
                <w:szCs w:val="21"/>
                <w:highlight w:val="none"/>
              </w:rPr>
            </w:pPr>
          </w:p>
        </w:tc>
        <w:tc>
          <w:tcPr>
            <w:tcW w:w="1440" w:type="dxa"/>
          </w:tcPr>
          <w:p w14:paraId="6C3FA0BC">
            <w:pPr>
              <w:spacing w:line="360" w:lineRule="auto"/>
              <w:rPr>
                <w:rFonts w:hint="eastAsia" w:ascii="宋体" w:hAnsi="宋体" w:eastAsia="宋体" w:cs="宋体"/>
                <w:color w:val="auto"/>
                <w:szCs w:val="21"/>
                <w:highlight w:val="none"/>
              </w:rPr>
            </w:pPr>
          </w:p>
        </w:tc>
        <w:tc>
          <w:tcPr>
            <w:tcW w:w="983" w:type="dxa"/>
          </w:tcPr>
          <w:p w14:paraId="60063040">
            <w:pPr>
              <w:spacing w:line="360" w:lineRule="auto"/>
              <w:rPr>
                <w:rFonts w:hint="eastAsia" w:ascii="宋体" w:hAnsi="宋体" w:eastAsia="宋体" w:cs="宋体"/>
                <w:color w:val="auto"/>
                <w:szCs w:val="21"/>
                <w:highlight w:val="none"/>
              </w:rPr>
            </w:pPr>
          </w:p>
        </w:tc>
      </w:tr>
      <w:tr w14:paraId="32EF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0F14EC57">
            <w:pPr>
              <w:spacing w:line="360" w:lineRule="auto"/>
              <w:rPr>
                <w:rFonts w:hint="eastAsia" w:ascii="宋体" w:hAnsi="宋体" w:eastAsia="宋体" w:cs="宋体"/>
                <w:color w:val="auto"/>
                <w:szCs w:val="21"/>
                <w:highlight w:val="none"/>
              </w:rPr>
            </w:pPr>
          </w:p>
        </w:tc>
        <w:tc>
          <w:tcPr>
            <w:tcW w:w="900" w:type="dxa"/>
          </w:tcPr>
          <w:p w14:paraId="30BB7171">
            <w:pPr>
              <w:spacing w:line="360" w:lineRule="auto"/>
              <w:rPr>
                <w:rFonts w:hint="eastAsia" w:ascii="宋体" w:hAnsi="宋体" w:eastAsia="宋体" w:cs="宋体"/>
                <w:color w:val="auto"/>
                <w:szCs w:val="21"/>
                <w:highlight w:val="none"/>
              </w:rPr>
            </w:pPr>
          </w:p>
        </w:tc>
        <w:tc>
          <w:tcPr>
            <w:tcW w:w="900" w:type="dxa"/>
          </w:tcPr>
          <w:p w14:paraId="21FBB97F">
            <w:pPr>
              <w:spacing w:line="360" w:lineRule="auto"/>
              <w:rPr>
                <w:rFonts w:hint="eastAsia" w:ascii="宋体" w:hAnsi="宋体" w:eastAsia="宋体" w:cs="宋体"/>
                <w:color w:val="auto"/>
                <w:szCs w:val="21"/>
                <w:highlight w:val="none"/>
              </w:rPr>
            </w:pPr>
          </w:p>
        </w:tc>
        <w:tc>
          <w:tcPr>
            <w:tcW w:w="1440" w:type="dxa"/>
          </w:tcPr>
          <w:p w14:paraId="5107EE84">
            <w:pPr>
              <w:spacing w:line="360" w:lineRule="auto"/>
              <w:rPr>
                <w:rFonts w:hint="eastAsia" w:ascii="宋体" w:hAnsi="宋体" w:eastAsia="宋体" w:cs="宋体"/>
                <w:color w:val="auto"/>
                <w:szCs w:val="21"/>
                <w:highlight w:val="none"/>
              </w:rPr>
            </w:pPr>
          </w:p>
        </w:tc>
        <w:tc>
          <w:tcPr>
            <w:tcW w:w="1080" w:type="dxa"/>
          </w:tcPr>
          <w:p w14:paraId="38560C54">
            <w:pPr>
              <w:spacing w:line="360" w:lineRule="auto"/>
              <w:rPr>
                <w:rFonts w:hint="eastAsia" w:ascii="宋体" w:hAnsi="宋体" w:eastAsia="宋体" w:cs="宋体"/>
                <w:color w:val="auto"/>
                <w:szCs w:val="21"/>
                <w:highlight w:val="none"/>
              </w:rPr>
            </w:pPr>
          </w:p>
        </w:tc>
        <w:tc>
          <w:tcPr>
            <w:tcW w:w="1800" w:type="dxa"/>
          </w:tcPr>
          <w:p w14:paraId="5823CC34">
            <w:pPr>
              <w:spacing w:line="360" w:lineRule="auto"/>
              <w:rPr>
                <w:rFonts w:hint="eastAsia" w:ascii="宋体" w:hAnsi="宋体" w:eastAsia="宋体" w:cs="宋体"/>
                <w:color w:val="auto"/>
                <w:szCs w:val="21"/>
                <w:highlight w:val="none"/>
              </w:rPr>
            </w:pPr>
          </w:p>
        </w:tc>
        <w:tc>
          <w:tcPr>
            <w:tcW w:w="1440" w:type="dxa"/>
          </w:tcPr>
          <w:p w14:paraId="705DD0FD">
            <w:pPr>
              <w:spacing w:line="360" w:lineRule="auto"/>
              <w:rPr>
                <w:rFonts w:hint="eastAsia" w:ascii="宋体" w:hAnsi="宋体" w:eastAsia="宋体" w:cs="宋体"/>
                <w:color w:val="auto"/>
                <w:szCs w:val="21"/>
                <w:highlight w:val="none"/>
              </w:rPr>
            </w:pPr>
          </w:p>
        </w:tc>
        <w:tc>
          <w:tcPr>
            <w:tcW w:w="983" w:type="dxa"/>
          </w:tcPr>
          <w:p w14:paraId="5A275B8A">
            <w:pPr>
              <w:spacing w:line="360" w:lineRule="auto"/>
              <w:rPr>
                <w:rFonts w:hint="eastAsia" w:ascii="宋体" w:hAnsi="宋体" w:eastAsia="宋体" w:cs="宋体"/>
                <w:color w:val="auto"/>
                <w:szCs w:val="21"/>
                <w:highlight w:val="none"/>
              </w:rPr>
            </w:pPr>
          </w:p>
        </w:tc>
      </w:tr>
      <w:tr w14:paraId="35FB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3067F320">
            <w:pPr>
              <w:spacing w:line="360" w:lineRule="auto"/>
              <w:rPr>
                <w:rFonts w:hint="eastAsia" w:ascii="宋体" w:hAnsi="宋体" w:eastAsia="宋体" w:cs="宋体"/>
                <w:color w:val="auto"/>
                <w:szCs w:val="21"/>
                <w:highlight w:val="none"/>
              </w:rPr>
            </w:pPr>
          </w:p>
        </w:tc>
        <w:tc>
          <w:tcPr>
            <w:tcW w:w="900" w:type="dxa"/>
          </w:tcPr>
          <w:p w14:paraId="1EE6DD55">
            <w:pPr>
              <w:spacing w:line="360" w:lineRule="auto"/>
              <w:rPr>
                <w:rFonts w:hint="eastAsia" w:ascii="宋体" w:hAnsi="宋体" w:eastAsia="宋体" w:cs="宋体"/>
                <w:color w:val="auto"/>
                <w:szCs w:val="21"/>
                <w:highlight w:val="none"/>
              </w:rPr>
            </w:pPr>
          </w:p>
        </w:tc>
        <w:tc>
          <w:tcPr>
            <w:tcW w:w="900" w:type="dxa"/>
          </w:tcPr>
          <w:p w14:paraId="19C5BD07">
            <w:pPr>
              <w:spacing w:line="360" w:lineRule="auto"/>
              <w:rPr>
                <w:rFonts w:hint="eastAsia" w:ascii="宋体" w:hAnsi="宋体" w:eastAsia="宋体" w:cs="宋体"/>
                <w:color w:val="auto"/>
                <w:szCs w:val="21"/>
                <w:highlight w:val="none"/>
              </w:rPr>
            </w:pPr>
          </w:p>
        </w:tc>
        <w:tc>
          <w:tcPr>
            <w:tcW w:w="1440" w:type="dxa"/>
          </w:tcPr>
          <w:p w14:paraId="51F18365">
            <w:pPr>
              <w:spacing w:line="360" w:lineRule="auto"/>
              <w:rPr>
                <w:rFonts w:hint="eastAsia" w:ascii="宋体" w:hAnsi="宋体" w:eastAsia="宋体" w:cs="宋体"/>
                <w:color w:val="auto"/>
                <w:szCs w:val="21"/>
                <w:highlight w:val="none"/>
              </w:rPr>
            </w:pPr>
          </w:p>
        </w:tc>
        <w:tc>
          <w:tcPr>
            <w:tcW w:w="1080" w:type="dxa"/>
          </w:tcPr>
          <w:p w14:paraId="394A88F7">
            <w:pPr>
              <w:spacing w:line="360" w:lineRule="auto"/>
              <w:rPr>
                <w:rFonts w:hint="eastAsia" w:ascii="宋体" w:hAnsi="宋体" w:eastAsia="宋体" w:cs="宋体"/>
                <w:color w:val="auto"/>
                <w:szCs w:val="21"/>
                <w:highlight w:val="none"/>
              </w:rPr>
            </w:pPr>
          </w:p>
        </w:tc>
        <w:tc>
          <w:tcPr>
            <w:tcW w:w="1800" w:type="dxa"/>
          </w:tcPr>
          <w:p w14:paraId="7B754C4F">
            <w:pPr>
              <w:spacing w:line="360" w:lineRule="auto"/>
              <w:rPr>
                <w:rFonts w:hint="eastAsia" w:ascii="宋体" w:hAnsi="宋体" w:eastAsia="宋体" w:cs="宋体"/>
                <w:color w:val="auto"/>
                <w:szCs w:val="21"/>
                <w:highlight w:val="none"/>
              </w:rPr>
            </w:pPr>
          </w:p>
        </w:tc>
        <w:tc>
          <w:tcPr>
            <w:tcW w:w="1440" w:type="dxa"/>
          </w:tcPr>
          <w:p w14:paraId="5DFD7812">
            <w:pPr>
              <w:spacing w:line="360" w:lineRule="auto"/>
              <w:rPr>
                <w:rFonts w:hint="eastAsia" w:ascii="宋体" w:hAnsi="宋体" w:eastAsia="宋体" w:cs="宋体"/>
                <w:color w:val="auto"/>
                <w:szCs w:val="21"/>
                <w:highlight w:val="none"/>
              </w:rPr>
            </w:pPr>
          </w:p>
        </w:tc>
        <w:tc>
          <w:tcPr>
            <w:tcW w:w="983" w:type="dxa"/>
          </w:tcPr>
          <w:p w14:paraId="5FF430AA">
            <w:pPr>
              <w:spacing w:line="360" w:lineRule="auto"/>
              <w:rPr>
                <w:rFonts w:hint="eastAsia" w:ascii="宋体" w:hAnsi="宋体" w:eastAsia="宋体" w:cs="宋体"/>
                <w:color w:val="auto"/>
                <w:szCs w:val="21"/>
                <w:highlight w:val="none"/>
              </w:rPr>
            </w:pPr>
          </w:p>
        </w:tc>
      </w:tr>
      <w:tr w14:paraId="03CB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19DB901B">
            <w:pPr>
              <w:spacing w:line="360" w:lineRule="auto"/>
              <w:rPr>
                <w:rFonts w:hint="eastAsia" w:ascii="宋体" w:hAnsi="宋体" w:eastAsia="宋体" w:cs="宋体"/>
                <w:color w:val="auto"/>
                <w:szCs w:val="21"/>
                <w:highlight w:val="none"/>
              </w:rPr>
            </w:pPr>
          </w:p>
        </w:tc>
        <w:tc>
          <w:tcPr>
            <w:tcW w:w="900" w:type="dxa"/>
          </w:tcPr>
          <w:p w14:paraId="17341AC0">
            <w:pPr>
              <w:spacing w:line="360" w:lineRule="auto"/>
              <w:rPr>
                <w:rFonts w:hint="eastAsia" w:ascii="宋体" w:hAnsi="宋体" w:eastAsia="宋体" w:cs="宋体"/>
                <w:color w:val="auto"/>
                <w:szCs w:val="21"/>
                <w:highlight w:val="none"/>
              </w:rPr>
            </w:pPr>
          </w:p>
        </w:tc>
        <w:tc>
          <w:tcPr>
            <w:tcW w:w="900" w:type="dxa"/>
          </w:tcPr>
          <w:p w14:paraId="44F30168">
            <w:pPr>
              <w:spacing w:line="360" w:lineRule="auto"/>
              <w:rPr>
                <w:rFonts w:hint="eastAsia" w:ascii="宋体" w:hAnsi="宋体" w:eastAsia="宋体" w:cs="宋体"/>
                <w:color w:val="auto"/>
                <w:szCs w:val="21"/>
                <w:highlight w:val="none"/>
              </w:rPr>
            </w:pPr>
          </w:p>
        </w:tc>
        <w:tc>
          <w:tcPr>
            <w:tcW w:w="1440" w:type="dxa"/>
          </w:tcPr>
          <w:p w14:paraId="3989BB76">
            <w:pPr>
              <w:spacing w:line="360" w:lineRule="auto"/>
              <w:rPr>
                <w:rFonts w:hint="eastAsia" w:ascii="宋体" w:hAnsi="宋体" w:eastAsia="宋体" w:cs="宋体"/>
                <w:color w:val="auto"/>
                <w:szCs w:val="21"/>
                <w:highlight w:val="none"/>
              </w:rPr>
            </w:pPr>
          </w:p>
        </w:tc>
        <w:tc>
          <w:tcPr>
            <w:tcW w:w="1080" w:type="dxa"/>
          </w:tcPr>
          <w:p w14:paraId="73E97F0C">
            <w:pPr>
              <w:spacing w:line="360" w:lineRule="auto"/>
              <w:rPr>
                <w:rFonts w:hint="eastAsia" w:ascii="宋体" w:hAnsi="宋体" w:eastAsia="宋体" w:cs="宋体"/>
                <w:color w:val="auto"/>
                <w:szCs w:val="21"/>
                <w:highlight w:val="none"/>
              </w:rPr>
            </w:pPr>
          </w:p>
        </w:tc>
        <w:tc>
          <w:tcPr>
            <w:tcW w:w="1800" w:type="dxa"/>
          </w:tcPr>
          <w:p w14:paraId="5FBBDFC0">
            <w:pPr>
              <w:spacing w:line="360" w:lineRule="auto"/>
              <w:rPr>
                <w:rFonts w:hint="eastAsia" w:ascii="宋体" w:hAnsi="宋体" w:eastAsia="宋体" w:cs="宋体"/>
                <w:color w:val="auto"/>
                <w:szCs w:val="21"/>
                <w:highlight w:val="none"/>
              </w:rPr>
            </w:pPr>
          </w:p>
        </w:tc>
        <w:tc>
          <w:tcPr>
            <w:tcW w:w="1440" w:type="dxa"/>
          </w:tcPr>
          <w:p w14:paraId="4583B446">
            <w:pPr>
              <w:spacing w:line="360" w:lineRule="auto"/>
              <w:rPr>
                <w:rFonts w:hint="eastAsia" w:ascii="宋体" w:hAnsi="宋体" w:eastAsia="宋体" w:cs="宋体"/>
                <w:color w:val="auto"/>
                <w:szCs w:val="21"/>
                <w:highlight w:val="none"/>
              </w:rPr>
            </w:pPr>
          </w:p>
        </w:tc>
        <w:tc>
          <w:tcPr>
            <w:tcW w:w="983" w:type="dxa"/>
          </w:tcPr>
          <w:p w14:paraId="68A7AE01">
            <w:pPr>
              <w:spacing w:line="360" w:lineRule="auto"/>
              <w:rPr>
                <w:rFonts w:hint="eastAsia" w:ascii="宋体" w:hAnsi="宋体" w:eastAsia="宋体" w:cs="宋体"/>
                <w:color w:val="auto"/>
                <w:szCs w:val="21"/>
                <w:highlight w:val="none"/>
              </w:rPr>
            </w:pPr>
          </w:p>
        </w:tc>
      </w:tr>
      <w:tr w14:paraId="704C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29945067">
            <w:pPr>
              <w:spacing w:line="360" w:lineRule="auto"/>
              <w:rPr>
                <w:rFonts w:hint="eastAsia" w:ascii="宋体" w:hAnsi="宋体" w:eastAsia="宋体" w:cs="宋体"/>
                <w:color w:val="auto"/>
                <w:szCs w:val="21"/>
                <w:highlight w:val="none"/>
              </w:rPr>
            </w:pPr>
          </w:p>
        </w:tc>
        <w:tc>
          <w:tcPr>
            <w:tcW w:w="900" w:type="dxa"/>
          </w:tcPr>
          <w:p w14:paraId="39DD580F">
            <w:pPr>
              <w:spacing w:line="360" w:lineRule="auto"/>
              <w:rPr>
                <w:rFonts w:hint="eastAsia" w:ascii="宋体" w:hAnsi="宋体" w:eastAsia="宋体" w:cs="宋体"/>
                <w:color w:val="auto"/>
                <w:szCs w:val="21"/>
                <w:highlight w:val="none"/>
              </w:rPr>
            </w:pPr>
          </w:p>
        </w:tc>
        <w:tc>
          <w:tcPr>
            <w:tcW w:w="900" w:type="dxa"/>
          </w:tcPr>
          <w:p w14:paraId="7B880CB7">
            <w:pPr>
              <w:spacing w:line="360" w:lineRule="auto"/>
              <w:rPr>
                <w:rFonts w:hint="eastAsia" w:ascii="宋体" w:hAnsi="宋体" w:eastAsia="宋体" w:cs="宋体"/>
                <w:color w:val="auto"/>
                <w:szCs w:val="21"/>
                <w:highlight w:val="none"/>
              </w:rPr>
            </w:pPr>
          </w:p>
        </w:tc>
        <w:tc>
          <w:tcPr>
            <w:tcW w:w="1440" w:type="dxa"/>
          </w:tcPr>
          <w:p w14:paraId="2D5CBD72">
            <w:pPr>
              <w:spacing w:line="360" w:lineRule="auto"/>
              <w:rPr>
                <w:rFonts w:hint="eastAsia" w:ascii="宋体" w:hAnsi="宋体" w:eastAsia="宋体" w:cs="宋体"/>
                <w:color w:val="auto"/>
                <w:szCs w:val="21"/>
                <w:highlight w:val="none"/>
              </w:rPr>
            </w:pPr>
          </w:p>
        </w:tc>
        <w:tc>
          <w:tcPr>
            <w:tcW w:w="1080" w:type="dxa"/>
          </w:tcPr>
          <w:p w14:paraId="59DC86B8">
            <w:pPr>
              <w:spacing w:line="360" w:lineRule="auto"/>
              <w:rPr>
                <w:rFonts w:hint="eastAsia" w:ascii="宋体" w:hAnsi="宋体" w:eastAsia="宋体" w:cs="宋体"/>
                <w:color w:val="auto"/>
                <w:szCs w:val="21"/>
                <w:highlight w:val="none"/>
              </w:rPr>
            </w:pPr>
          </w:p>
        </w:tc>
        <w:tc>
          <w:tcPr>
            <w:tcW w:w="1800" w:type="dxa"/>
          </w:tcPr>
          <w:p w14:paraId="7C29258B">
            <w:pPr>
              <w:spacing w:line="360" w:lineRule="auto"/>
              <w:rPr>
                <w:rFonts w:hint="eastAsia" w:ascii="宋体" w:hAnsi="宋体" w:eastAsia="宋体" w:cs="宋体"/>
                <w:color w:val="auto"/>
                <w:szCs w:val="21"/>
                <w:highlight w:val="none"/>
              </w:rPr>
            </w:pPr>
          </w:p>
        </w:tc>
        <w:tc>
          <w:tcPr>
            <w:tcW w:w="1440" w:type="dxa"/>
          </w:tcPr>
          <w:p w14:paraId="51924A7E">
            <w:pPr>
              <w:spacing w:line="360" w:lineRule="auto"/>
              <w:rPr>
                <w:rFonts w:hint="eastAsia" w:ascii="宋体" w:hAnsi="宋体" w:eastAsia="宋体" w:cs="宋体"/>
                <w:color w:val="auto"/>
                <w:szCs w:val="21"/>
                <w:highlight w:val="none"/>
              </w:rPr>
            </w:pPr>
          </w:p>
        </w:tc>
        <w:tc>
          <w:tcPr>
            <w:tcW w:w="983" w:type="dxa"/>
          </w:tcPr>
          <w:p w14:paraId="7440AD7F">
            <w:pPr>
              <w:spacing w:line="360" w:lineRule="auto"/>
              <w:rPr>
                <w:rFonts w:hint="eastAsia" w:ascii="宋体" w:hAnsi="宋体" w:eastAsia="宋体" w:cs="宋体"/>
                <w:color w:val="auto"/>
                <w:szCs w:val="21"/>
                <w:highlight w:val="none"/>
              </w:rPr>
            </w:pPr>
          </w:p>
        </w:tc>
      </w:tr>
      <w:tr w14:paraId="26B9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00" w:type="dxa"/>
          </w:tcPr>
          <w:p w14:paraId="4C5FE71D">
            <w:pPr>
              <w:spacing w:line="360" w:lineRule="auto"/>
              <w:rPr>
                <w:rFonts w:hint="eastAsia" w:ascii="宋体" w:hAnsi="宋体" w:eastAsia="宋体" w:cs="宋体"/>
                <w:color w:val="auto"/>
                <w:szCs w:val="21"/>
                <w:highlight w:val="none"/>
              </w:rPr>
            </w:pPr>
          </w:p>
        </w:tc>
        <w:tc>
          <w:tcPr>
            <w:tcW w:w="900" w:type="dxa"/>
          </w:tcPr>
          <w:p w14:paraId="16322279">
            <w:pPr>
              <w:spacing w:line="360" w:lineRule="auto"/>
              <w:rPr>
                <w:rFonts w:hint="eastAsia" w:ascii="宋体" w:hAnsi="宋体" w:eastAsia="宋体" w:cs="宋体"/>
                <w:color w:val="auto"/>
                <w:szCs w:val="21"/>
                <w:highlight w:val="none"/>
              </w:rPr>
            </w:pPr>
          </w:p>
        </w:tc>
        <w:tc>
          <w:tcPr>
            <w:tcW w:w="900" w:type="dxa"/>
          </w:tcPr>
          <w:p w14:paraId="1C6134C1">
            <w:pPr>
              <w:spacing w:line="360" w:lineRule="auto"/>
              <w:rPr>
                <w:rFonts w:hint="eastAsia" w:ascii="宋体" w:hAnsi="宋体" w:eastAsia="宋体" w:cs="宋体"/>
                <w:color w:val="auto"/>
                <w:szCs w:val="21"/>
                <w:highlight w:val="none"/>
              </w:rPr>
            </w:pPr>
          </w:p>
        </w:tc>
        <w:tc>
          <w:tcPr>
            <w:tcW w:w="1440" w:type="dxa"/>
          </w:tcPr>
          <w:p w14:paraId="58319DD0">
            <w:pPr>
              <w:spacing w:line="360" w:lineRule="auto"/>
              <w:rPr>
                <w:rFonts w:hint="eastAsia" w:ascii="宋体" w:hAnsi="宋体" w:eastAsia="宋体" w:cs="宋体"/>
                <w:color w:val="auto"/>
                <w:szCs w:val="21"/>
                <w:highlight w:val="none"/>
              </w:rPr>
            </w:pPr>
          </w:p>
        </w:tc>
        <w:tc>
          <w:tcPr>
            <w:tcW w:w="1080" w:type="dxa"/>
          </w:tcPr>
          <w:p w14:paraId="02801C44">
            <w:pPr>
              <w:spacing w:line="360" w:lineRule="auto"/>
              <w:rPr>
                <w:rFonts w:hint="eastAsia" w:ascii="宋体" w:hAnsi="宋体" w:eastAsia="宋体" w:cs="宋体"/>
                <w:color w:val="auto"/>
                <w:szCs w:val="21"/>
                <w:highlight w:val="none"/>
              </w:rPr>
            </w:pPr>
          </w:p>
        </w:tc>
        <w:tc>
          <w:tcPr>
            <w:tcW w:w="1800" w:type="dxa"/>
          </w:tcPr>
          <w:p w14:paraId="07C91F2B">
            <w:pPr>
              <w:spacing w:line="360" w:lineRule="auto"/>
              <w:rPr>
                <w:rFonts w:hint="eastAsia" w:ascii="宋体" w:hAnsi="宋体" w:eastAsia="宋体" w:cs="宋体"/>
                <w:color w:val="auto"/>
                <w:szCs w:val="21"/>
                <w:highlight w:val="none"/>
              </w:rPr>
            </w:pPr>
          </w:p>
        </w:tc>
        <w:tc>
          <w:tcPr>
            <w:tcW w:w="1440" w:type="dxa"/>
          </w:tcPr>
          <w:p w14:paraId="49BD6C85">
            <w:pPr>
              <w:spacing w:line="360" w:lineRule="auto"/>
              <w:rPr>
                <w:rFonts w:hint="eastAsia" w:ascii="宋体" w:hAnsi="宋体" w:eastAsia="宋体" w:cs="宋体"/>
                <w:color w:val="auto"/>
                <w:szCs w:val="21"/>
                <w:highlight w:val="none"/>
              </w:rPr>
            </w:pPr>
          </w:p>
        </w:tc>
        <w:tc>
          <w:tcPr>
            <w:tcW w:w="983" w:type="dxa"/>
          </w:tcPr>
          <w:p w14:paraId="02F9081F">
            <w:pPr>
              <w:spacing w:line="360" w:lineRule="auto"/>
              <w:rPr>
                <w:rFonts w:hint="eastAsia" w:ascii="宋体" w:hAnsi="宋体" w:eastAsia="宋体" w:cs="宋体"/>
                <w:color w:val="auto"/>
                <w:szCs w:val="21"/>
                <w:highlight w:val="none"/>
              </w:rPr>
            </w:pPr>
          </w:p>
        </w:tc>
      </w:tr>
    </w:tbl>
    <w:p w14:paraId="2C0C634D">
      <w:pPr>
        <w:spacing w:line="360" w:lineRule="auto"/>
        <w:rPr>
          <w:rFonts w:hint="eastAsia" w:ascii="宋体" w:hAnsi="宋体" w:eastAsia="宋体" w:cs="宋体"/>
          <w:color w:val="auto"/>
          <w:szCs w:val="21"/>
          <w:highlight w:val="none"/>
        </w:rPr>
      </w:pPr>
    </w:p>
    <w:p w14:paraId="724A50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备注：本表后附磋商文件评分办法中所要求的相关人员证件及社保证明和劳动合同。</w:t>
      </w:r>
    </w:p>
    <w:p w14:paraId="27FB21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（二）主要人员简历表</w:t>
      </w:r>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52"/>
        <w:gridCol w:w="1090"/>
        <w:gridCol w:w="1380"/>
        <w:gridCol w:w="1281"/>
        <w:gridCol w:w="79"/>
        <w:gridCol w:w="1691"/>
        <w:gridCol w:w="605"/>
        <w:gridCol w:w="1593"/>
      </w:tblGrid>
      <w:tr w14:paraId="7FF4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85" w:type="dxa"/>
            <w:vAlign w:val="center"/>
          </w:tcPr>
          <w:p w14:paraId="6835EB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42" w:type="dxa"/>
            <w:gridSpan w:val="2"/>
            <w:vAlign w:val="center"/>
          </w:tcPr>
          <w:p w14:paraId="7796D559">
            <w:pPr>
              <w:jc w:val="center"/>
              <w:rPr>
                <w:rFonts w:hint="eastAsia" w:ascii="宋体" w:hAnsi="宋体" w:eastAsia="宋体" w:cs="宋体"/>
                <w:color w:val="auto"/>
                <w:szCs w:val="21"/>
                <w:highlight w:val="none"/>
              </w:rPr>
            </w:pPr>
          </w:p>
        </w:tc>
        <w:tc>
          <w:tcPr>
            <w:tcW w:w="1380" w:type="dxa"/>
            <w:vAlign w:val="center"/>
          </w:tcPr>
          <w:p w14:paraId="70839C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360" w:type="dxa"/>
            <w:gridSpan w:val="2"/>
            <w:vAlign w:val="center"/>
          </w:tcPr>
          <w:p w14:paraId="0408C3DB">
            <w:pPr>
              <w:jc w:val="center"/>
              <w:rPr>
                <w:rFonts w:hint="eastAsia" w:ascii="宋体" w:hAnsi="宋体" w:eastAsia="宋体" w:cs="宋体"/>
                <w:color w:val="auto"/>
                <w:szCs w:val="21"/>
                <w:highlight w:val="none"/>
              </w:rPr>
            </w:pPr>
          </w:p>
        </w:tc>
        <w:tc>
          <w:tcPr>
            <w:tcW w:w="2296" w:type="dxa"/>
            <w:gridSpan w:val="2"/>
            <w:vAlign w:val="center"/>
          </w:tcPr>
          <w:p w14:paraId="5F4E48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执业资格证书（或上岗证书）名称</w:t>
            </w:r>
          </w:p>
        </w:tc>
        <w:tc>
          <w:tcPr>
            <w:tcW w:w="1593" w:type="dxa"/>
            <w:vAlign w:val="center"/>
          </w:tcPr>
          <w:p w14:paraId="593C78D3">
            <w:pPr>
              <w:jc w:val="center"/>
              <w:rPr>
                <w:rFonts w:hint="eastAsia" w:ascii="宋体" w:hAnsi="宋体" w:eastAsia="宋体" w:cs="宋体"/>
                <w:color w:val="auto"/>
                <w:szCs w:val="21"/>
                <w:highlight w:val="none"/>
              </w:rPr>
            </w:pPr>
          </w:p>
        </w:tc>
      </w:tr>
      <w:tr w14:paraId="1802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5" w:type="dxa"/>
            <w:vAlign w:val="center"/>
          </w:tcPr>
          <w:p w14:paraId="51ECFA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442" w:type="dxa"/>
            <w:gridSpan w:val="2"/>
            <w:vAlign w:val="center"/>
          </w:tcPr>
          <w:p w14:paraId="0B58A686">
            <w:pPr>
              <w:jc w:val="center"/>
              <w:rPr>
                <w:rFonts w:hint="eastAsia" w:ascii="宋体" w:hAnsi="宋体" w:eastAsia="宋体" w:cs="宋体"/>
                <w:color w:val="auto"/>
                <w:szCs w:val="21"/>
                <w:highlight w:val="none"/>
              </w:rPr>
            </w:pPr>
          </w:p>
        </w:tc>
        <w:tc>
          <w:tcPr>
            <w:tcW w:w="1380" w:type="dxa"/>
            <w:vAlign w:val="center"/>
          </w:tcPr>
          <w:p w14:paraId="62F90B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360" w:type="dxa"/>
            <w:gridSpan w:val="2"/>
            <w:vAlign w:val="center"/>
          </w:tcPr>
          <w:p w14:paraId="073E8071">
            <w:pPr>
              <w:jc w:val="center"/>
              <w:rPr>
                <w:rFonts w:hint="eastAsia" w:ascii="宋体" w:hAnsi="宋体" w:eastAsia="宋体" w:cs="宋体"/>
                <w:color w:val="auto"/>
                <w:szCs w:val="21"/>
                <w:highlight w:val="none"/>
              </w:rPr>
            </w:pPr>
          </w:p>
        </w:tc>
        <w:tc>
          <w:tcPr>
            <w:tcW w:w="2296" w:type="dxa"/>
            <w:gridSpan w:val="2"/>
            <w:vAlign w:val="center"/>
          </w:tcPr>
          <w:p w14:paraId="03D22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拟在本项目任职</w:t>
            </w:r>
          </w:p>
        </w:tc>
        <w:tc>
          <w:tcPr>
            <w:tcW w:w="1593" w:type="dxa"/>
            <w:vAlign w:val="center"/>
          </w:tcPr>
          <w:p w14:paraId="3049BDCB">
            <w:pPr>
              <w:jc w:val="center"/>
              <w:rPr>
                <w:rFonts w:hint="eastAsia" w:ascii="宋体" w:hAnsi="宋体" w:eastAsia="宋体" w:cs="宋体"/>
                <w:color w:val="auto"/>
                <w:szCs w:val="21"/>
                <w:highlight w:val="none"/>
              </w:rPr>
            </w:pPr>
          </w:p>
        </w:tc>
      </w:tr>
      <w:tr w14:paraId="208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85" w:type="dxa"/>
            <w:vAlign w:val="center"/>
          </w:tcPr>
          <w:p w14:paraId="4117FE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4182" w:type="dxa"/>
            <w:gridSpan w:val="5"/>
            <w:vAlign w:val="center"/>
          </w:tcPr>
          <w:p w14:paraId="5080DC5F">
            <w:pPr>
              <w:jc w:val="center"/>
              <w:rPr>
                <w:rFonts w:hint="eastAsia" w:ascii="宋体" w:hAnsi="宋体" w:eastAsia="宋体" w:cs="宋体"/>
                <w:color w:val="auto"/>
                <w:szCs w:val="21"/>
                <w:highlight w:val="none"/>
              </w:rPr>
            </w:pPr>
          </w:p>
        </w:tc>
        <w:tc>
          <w:tcPr>
            <w:tcW w:w="2296" w:type="dxa"/>
            <w:gridSpan w:val="2"/>
            <w:vAlign w:val="center"/>
          </w:tcPr>
          <w:p w14:paraId="7A9318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从事施工工作年限</w:t>
            </w:r>
          </w:p>
        </w:tc>
        <w:tc>
          <w:tcPr>
            <w:tcW w:w="1593" w:type="dxa"/>
            <w:vAlign w:val="center"/>
          </w:tcPr>
          <w:p w14:paraId="7820E215">
            <w:pPr>
              <w:jc w:val="center"/>
              <w:rPr>
                <w:rFonts w:hint="eastAsia" w:ascii="宋体" w:hAnsi="宋体" w:eastAsia="宋体" w:cs="宋体"/>
                <w:color w:val="auto"/>
                <w:szCs w:val="21"/>
                <w:highlight w:val="none"/>
              </w:rPr>
            </w:pPr>
          </w:p>
        </w:tc>
      </w:tr>
      <w:tr w14:paraId="6B77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5" w:type="dxa"/>
            <w:vAlign w:val="center"/>
          </w:tcPr>
          <w:p w14:paraId="0D5313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8071" w:type="dxa"/>
            <w:gridSpan w:val="8"/>
            <w:vAlign w:val="center"/>
          </w:tcPr>
          <w:p w14:paraId="471429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14:paraId="3E46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556" w:type="dxa"/>
            <w:gridSpan w:val="9"/>
            <w:vAlign w:val="center"/>
          </w:tcPr>
          <w:p w14:paraId="67658F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5AF5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37" w:type="dxa"/>
            <w:gridSpan w:val="2"/>
            <w:vAlign w:val="center"/>
          </w:tcPr>
          <w:p w14:paraId="2FBEA6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3751" w:type="dxa"/>
            <w:gridSpan w:val="3"/>
            <w:vAlign w:val="center"/>
          </w:tcPr>
          <w:p w14:paraId="400271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770" w:type="dxa"/>
            <w:gridSpan w:val="2"/>
            <w:vAlign w:val="center"/>
          </w:tcPr>
          <w:p w14:paraId="38C312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198" w:type="dxa"/>
            <w:gridSpan w:val="2"/>
            <w:vAlign w:val="center"/>
          </w:tcPr>
          <w:p w14:paraId="2E99BD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4BA2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37" w:type="dxa"/>
            <w:gridSpan w:val="2"/>
            <w:vAlign w:val="center"/>
          </w:tcPr>
          <w:p w14:paraId="0CA3A8DF">
            <w:pPr>
              <w:jc w:val="center"/>
              <w:rPr>
                <w:rFonts w:hint="eastAsia" w:ascii="宋体" w:hAnsi="宋体" w:eastAsia="宋体" w:cs="宋体"/>
                <w:color w:val="auto"/>
                <w:szCs w:val="21"/>
                <w:highlight w:val="none"/>
              </w:rPr>
            </w:pPr>
          </w:p>
        </w:tc>
        <w:tc>
          <w:tcPr>
            <w:tcW w:w="3751" w:type="dxa"/>
            <w:gridSpan w:val="3"/>
            <w:vAlign w:val="center"/>
          </w:tcPr>
          <w:p w14:paraId="7D923672">
            <w:pPr>
              <w:jc w:val="center"/>
              <w:rPr>
                <w:rFonts w:hint="eastAsia" w:ascii="宋体" w:hAnsi="宋体" w:eastAsia="宋体" w:cs="宋体"/>
                <w:color w:val="auto"/>
                <w:szCs w:val="21"/>
                <w:highlight w:val="none"/>
              </w:rPr>
            </w:pPr>
          </w:p>
        </w:tc>
        <w:tc>
          <w:tcPr>
            <w:tcW w:w="1770" w:type="dxa"/>
            <w:gridSpan w:val="2"/>
            <w:vAlign w:val="center"/>
          </w:tcPr>
          <w:p w14:paraId="6D3F9F88">
            <w:pPr>
              <w:jc w:val="center"/>
              <w:rPr>
                <w:rFonts w:hint="eastAsia" w:ascii="宋体" w:hAnsi="宋体" w:eastAsia="宋体" w:cs="宋体"/>
                <w:color w:val="auto"/>
                <w:szCs w:val="21"/>
                <w:highlight w:val="none"/>
              </w:rPr>
            </w:pPr>
          </w:p>
        </w:tc>
        <w:tc>
          <w:tcPr>
            <w:tcW w:w="2198" w:type="dxa"/>
            <w:gridSpan w:val="2"/>
            <w:vAlign w:val="center"/>
          </w:tcPr>
          <w:p w14:paraId="3CD828CE">
            <w:pPr>
              <w:jc w:val="center"/>
              <w:rPr>
                <w:rFonts w:hint="eastAsia" w:ascii="宋体" w:hAnsi="宋体" w:eastAsia="宋体" w:cs="宋体"/>
                <w:color w:val="auto"/>
                <w:szCs w:val="21"/>
                <w:highlight w:val="none"/>
              </w:rPr>
            </w:pPr>
          </w:p>
        </w:tc>
      </w:tr>
      <w:tr w14:paraId="44A9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37" w:type="dxa"/>
            <w:gridSpan w:val="2"/>
            <w:vAlign w:val="center"/>
          </w:tcPr>
          <w:p w14:paraId="2A5E811C">
            <w:pPr>
              <w:jc w:val="center"/>
              <w:rPr>
                <w:rFonts w:hint="eastAsia" w:ascii="宋体" w:hAnsi="宋体" w:eastAsia="宋体" w:cs="宋体"/>
                <w:color w:val="auto"/>
                <w:szCs w:val="21"/>
                <w:highlight w:val="none"/>
              </w:rPr>
            </w:pPr>
          </w:p>
        </w:tc>
        <w:tc>
          <w:tcPr>
            <w:tcW w:w="3751" w:type="dxa"/>
            <w:gridSpan w:val="3"/>
            <w:vAlign w:val="center"/>
          </w:tcPr>
          <w:p w14:paraId="068BC7E5">
            <w:pPr>
              <w:jc w:val="center"/>
              <w:rPr>
                <w:rFonts w:hint="eastAsia" w:ascii="宋体" w:hAnsi="宋体" w:eastAsia="宋体" w:cs="宋体"/>
                <w:color w:val="auto"/>
                <w:szCs w:val="21"/>
                <w:highlight w:val="none"/>
              </w:rPr>
            </w:pPr>
          </w:p>
        </w:tc>
        <w:tc>
          <w:tcPr>
            <w:tcW w:w="1770" w:type="dxa"/>
            <w:gridSpan w:val="2"/>
            <w:vAlign w:val="center"/>
          </w:tcPr>
          <w:p w14:paraId="3B8062ED">
            <w:pPr>
              <w:jc w:val="center"/>
              <w:rPr>
                <w:rFonts w:hint="eastAsia" w:ascii="宋体" w:hAnsi="宋体" w:eastAsia="宋体" w:cs="宋体"/>
                <w:color w:val="auto"/>
                <w:szCs w:val="21"/>
                <w:highlight w:val="none"/>
              </w:rPr>
            </w:pPr>
          </w:p>
        </w:tc>
        <w:tc>
          <w:tcPr>
            <w:tcW w:w="2198" w:type="dxa"/>
            <w:gridSpan w:val="2"/>
            <w:vAlign w:val="center"/>
          </w:tcPr>
          <w:p w14:paraId="475FE38E">
            <w:pPr>
              <w:jc w:val="center"/>
              <w:rPr>
                <w:rFonts w:hint="eastAsia" w:ascii="宋体" w:hAnsi="宋体" w:eastAsia="宋体" w:cs="宋体"/>
                <w:color w:val="auto"/>
                <w:szCs w:val="21"/>
                <w:highlight w:val="none"/>
              </w:rPr>
            </w:pPr>
          </w:p>
        </w:tc>
      </w:tr>
      <w:tr w14:paraId="6749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37" w:type="dxa"/>
            <w:gridSpan w:val="2"/>
            <w:vAlign w:val="center"/>
          </w:tcPr>
          <w:p w14:paraId="3B79E60D">
            <w:pPr>
              <w:jc w:val="center"/>
              <w:rPr>
                <w:rFonts w:hint="eastAsia" w:ascii="宋体" w:hAnsi="宋体" w:eastAsia="宋体" w:cs="宋体"/>
                <w:color w:val="auto"/>
                <w:szCs w:val="21"/>
                <w:highlight w:val="none"/>
              </w:rPr>
            </w:pPr>
          </w:p>
        </w:tc>
        <w:tc>
          <w:tcPr>
            <w:tcW w:w="3751" w:type="dxa"/>
            <w:gridSpan w:val="3"/>
            <w:vAlign w:val="center"/>
          </w:tcPr>
          <w:p w14:paraId="4E7B5C22">
            <w:pPr>
              <w:jc w:val="center"/>
              <w:rPr>
                <w:rFonts w:hint="eastAsia" w:ascii="宋体" w:hAnsi="宋体" w:eastAsia="宋体" w:cs="宋体"/>
                <w:color w:val="auto"/>
                <w:szCs w:val="21"/>
                <w:highlight w:val="none"/>
              </w:rPr>
            </w:pPr>
          </w:p>
        </w:tc>
        <w:tc>
          <w:tcPr>
            <w:tcW w:w="1770" w:type="dxa"/>
            <w:gridSpan w:val="2"/>
            <w:vAlign w:val="center"/>
          </w:tcPr>
          <w:p w14:paraId="6D8A7544">
            <w:pPr>
              <w:jc w:val="center"/>
              <w:rPr>
                <w:rFonts w:hint="eastAsia" w:ascii="宋体" w:hAnsi="宋体" w:eastAsia="宋体" w:cs="宋体"/>
                <w:color w:val="auto"/>
                <w:szCs w:val="21"/>
                <w:highlight w:val="none"/>
              </w:rPr>
            </w:pPr>
          </w:p>
        </w:tc>
        <w:tc>
          <w:tcPr>
            <w:tcW w:w="2198" w:type="dxa"/>
            <w:gridSpan w:val="2"/>
            <w:vAlign w:val="center"/>
          </w:tcPr>
          <w:p w14:paraId="73C1A7A3">
            <w:pPr>
              <w:jc w:val="center"/>
              <w:rPr>
                <w:rFonts w:hint="eastAsia" w:ascii="宋体" w:hAnsi="宋体" w:eastAsia="宋体" w:cs="宋体"/>
                <w:color w:val="auto"/>
                <w:szCs w:val="21"/>
                <w:highlight w:val="none"/>
              </w:rPr>
            </w:pPr>
          </w:p>
        </w:tc>
      </w:tr>
      <w:tr w14:paraId="3DB1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gridSpan w:val="2"/>
            <w:vAlign w:val="center"/>
          </w:tcPr>
          <w:p w14:paraId="79B098D3">
            <w:pPr>
              <w:jc w:val="center"/>
              <w:rPr>
                <w:rFonts w:hint="eastAsia" w:ascii="宋体" w:hAnsi="宋体" w:eastAsia="宋体" w:cs="宋体"/>
                <w:color w:val="auto"/>
                <w:szCs w:val="21"/>
                <w:highlight w:val="none"/>
              </w:rPr>
            </w:pPr>
          </w:p>
        </w:tc>
        <w:tc>
          <w:tcPr>
            <w:tcW w:w="3751" w:type="dxa"/>
            <w:gridSpan w:val="3"/>
            <w:vAlign w:val="center"/>
          </w:tcPr>
          <w:p w14:paraId="06E3BD02">
            <w:pPr>
              <w:jc w:val="center"/>
              <w:rPr>
                <w:rFonts w:hint="eastAsia" w:ascii="宋体" w:hAnsi="宋体" w:eastAsia="宋体" w:cs="宋体"/>
                <w:color w:val="auto"/>
                <w:szCs w:val="21"/>
                <w:highlight w:val="none"/>
              </w:rPr>
            </w:pPr>
          </w:p>
        </w:tc>
        <w:tc>
          <w:tcPr>
            <w:tcW w:w="1770" w:type="dxa"/>
            <w:gridSpan w:val="2"/>
            <w:vAlign w:val="center"/>
          </w:tcPr>
          <w:p w14:paraId="69D6ADFF">
            <w:pPr>
              <w:jc w:val="center"/>
              <w:rPr>
                <w:rFonts w:hint="eastAsia" w:ascii="宋体" w:hAnsi="宋体" w:eastAsia="宋体" w:cs="宋体"/>
                <w:color w:val="auto"/>
                <w:szCs w:val="21"/>
                <w:highlight w:val="none"/>
              </w:rPr>
            </w:pPr>
          </w:p>
        </w:tc>
        <w:tc>
          <w:tcPr>
            <w:tcW w:w="2198" w:type="dxa"/>
            <w:gridSpan w:val="2"/>
            <w:vAlign w:val="center"/>
          </w:tcPr>
          <w:p w14:paraId="6BDDF949">
            <w:pPr>
              <w:jc w:val="center"/>
              <w:rPr>
                <w:rFonts w:hint="eastAsia" w:ascii="宋体" w:hAnsi="宋体" w:eastAsia="宋体" w:cs="宋体"/>
                <w:color w:val="auto"/>
                <w:szCs w:val="21"/>
                <w:highlight w:val="none"/>
              </w:rPr>
            </w:pPr>
          </w:p>
        </w:tc>
      </w:tr>
      <w:tr w14:paraId="7F4F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gridSpan w:val="2"/>
            <w:vAlign w:val="center"/>
          </w:tcPr>
          <w:p w14:paraId="547F36AB">
            <w:pPr>
              <w:jc w:val="center"/>
              <w:rPr>
                <w:rFonts w:hint="eastAsia" w:ascii="宋体" w:hAnsi="宋体" w:eastAsia="宋体" w:cs="宋体"/>
                <w:color w:val="auto"/>
                <w:szCs w:val="21"/>
                <w:highlight w:val="none"/>
              </w:rPr>
            </w:pPr>
          </w:p>
        </w:tc>
        <w:tc>
          <w:tcPr>
            <w:tcW w:w="3751" w:type="dxa"/>
            <w:gridSpan w:val="3"/>
            <w:vAlign w:val="center"/>
          </w:tcPr>
          <w:p w14:paraId="2F6115A4">
            <w:pPr>
              <w:jc w:val="center"/>
              <w:rPr>
                <w:rFonts w:hint="eastAsia" w:ascii="宋体" w:hAnsi="宋体" w:eastAsia="宋体" w:cs="宋体"/>
                <w:color w:val="auto"/>
                <w:szCs w:val="21"/>
                <w:highlight w:val="none"/>
              </w:rPr>
            </w:pPr>
          </w:p>
        </w:tc>
        <w:tc>
          <w:tcPr>
            <w:tcW w:w="1770" w:type="dxa"/>
            <w:gridSpan w:val="2"/>
            <w:vAlign w:val="center"/>
          </w:tcPr>
          <w:p w14:paraId="3A87EE0C">
            <w:pPr>
              <w:jc w:val="center"/>
              <w:rPr>
                <w:rFonts w:hint="eastAsia" w:ascii="宋体" w:hAnsi="宋体" w:eastAsia="宋体" w:cs="宋体"/>
                <w:color w:val="auto"/>
                <w:szCs w:val="21"/>
                <w:highlight w:val="none"/>
              </w:rPr>
            </w:pPr>
          </w:p>
        </w:tc>
        <w:tc>
          <w:tcPr>
            <w:tcW w:w="2198" w:type="dxa"/>
            <w:gridSpan w:val="2"/>
            <w:vAlign w:val="center"/>
          </w:tcPr>
          <w:p w14:paraId="0BC4286A">
            <w:pPr>
              <w:jc w:val="center"/>
              <w:rPr>
                <w:rFonts w:hint="eastAsia" w:ascii="宋体" w:hAnsi="宋体" w:eastAsia="宋体" w:cs="宋体"/>
                <w:color w:val="auto"/>
                <w:szCs w:val="21"/>
                <w:highlight w:val="none"/>
              </w:rPr>
            </w:pPr>
          </w:p>
        </w:tc>
      </w:tr>
      <w:tr w14:paraId="5198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gridSpan w:val="2"/>
            <w:vAlign w:val="center"/>
          </w:tcPr>
          <w:p w14:paraId="1B82C419">
            <w:pPr>
              <w:jc w:val="center"/>
              <w:rPr>
                <w:rFonts w:hint="eastAsia" w:ascii="宋体" w:hAnsi="宋体" w:eastAsia="宋体" w:cs="宋体"/>
                <w:color w:val="auto"/>
                <w:szCs w:val="21"/>
                <w:highlight w:val="none"/>
              </w:rPr>
            </w:pPr>
          </w:p>
        </w:tc>
        <w:tc>
          <w:tcPr>
            <w:tcW w:w="3751" w:type="dxa"/>
            <w:gridSpan w:val="3"/>
            <w:vAlign w:val="center"/>
          </w:tcPr>
          <w:p w14:paraId="02A9B1A7">
            <w:pPr>
              <w:jc w:val="center"/>
              <w:rPr>
                <w:rFonts w:hint="eastAsia" w:ascii="宋体" w:hAnsi="宋体" w:eastAsia="宋体" w:cs="宋体"/>
                <w:color w:val="auto"/>
                <w:szCs w:val="21"/>
                <w:highlight w:val="none"/>
              </w:rPr>
            </w:pPr>
          </w:p>
        </w:tc>
        <w:tc>
          <w:tcPr>
            <w:tcW w:w="1770" w:type="dxa"/>
            <w:gridSpan w:val="2"/>
            <w:vAlign w:val="center"/>
          </w:tcPr>
          <w:p w14:paraId="4310FA7B">
            <w:pPr>
              <w:jc w:val="center"/>
              <w:rPr>
                <w:rFonts w:hint="eastAsia" w:ascii="宋体" w:hAnsi="宋体" w:eastAsia="宋体" w:cs="宋体"/>
                <w:color w:val="auto"/>
                <w:szCs w:val="21"/>
                <w:highlight w:val="none"/>
              </w:rPr>
            </w:pPr>
          </w:p>
        </w:tc>
        <w:tc>
          <w:tcPr>
            <w:tcW w:w="2198" w:type="dxa"/>
            <w:gridSpan w:val="2"/>
            <w:vAlign w:val="center"/>
          </w:tcPr>
          <w:p w14:paraId="7D661DF8">
            <w:pPr>
              <w:jc w:val="center"/>
              <w:rPr>
                <w:rFonts w:hint="eastAsia" w:ascii="宋体" w:hAnsi="宋体" w:eastAsia="宋体" w:cs="宋体"/>
                <w:color w:val="auto"/>
                <w:szCs w:val="21"/>
                <w:highlight w:val="none"/>
              </w:rPr>
            </w:pPr>
          </w:p>
        </w:tc>
      </w:tr>
      <w:tr w14:paraId="66F4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gridSpan w:val="2"/>
            <w:vAlign w:val="center"/>
          </w:tcPr>
          <w:p w14:paraId="68A7CD6D">
            <w:pPr>
              <w:jc w:val="center"/>
              <w:rPr>
                <w:rFonts w:hint="eastAsia" w:ascii="宋体" w:hAnsi="宋体" w:eastAsia="宋体" w:cs="宋体"/>
                <w:color w:val="auto"/>
                <w:szCs w:val="21"/>
                <w:highlight w:val="none"/>
              </w:rPr>
            </w:pPr>
          </w:p>
        </w:tc>
        <w:tc>
          <w:tcPr>
            <w:tcW w:w="3751" w:type="dxa"/>
            <w:gridSpan w:val="3"/>
            <w:vAlign w:val="center"/>
          </w:tcPr>
          <w:p w14:paraId="0880B5DA">
            <w:pPr>
              <w:jc w:val="center"/>
              <w:rPr>
                <w:rFonts w:hint="eastAsia" w:ascii="宋体" w:hAnsi="宋体" w:eastAsia="宋体" w:cs="宋体"/>
                <w:color w:val="auto"/>
                <w:szCs w:val="21"/>
                <w:highlight w:val="none"/>
              </w:rPr>
            </w:pPr>
          </w:p>
        </w:tc>
        <w:tc>
          <w:tcPr>
            <w:tcW w:w="1770" w:type="dxa"/>
            <w:gridSpan w:val="2"/>
            <w:vAlign w:val="center"/>
          </w:tcPr>
          <w:p w14:paraId="4CCD2B36">
            <w:pPr>
              <w:jc w:val="center"/>
              <w:rPr>
                <w:rFonts w:hint="eastAsia" w:ascii="宋体" w:hAnsi="宋体" w:eastAsia="宋体" w:cs="宋体"/>
                <w:color w:val="auto"/>
                <w:szCs w:val="21"/>
                <w:highlight w:val="none"/>
              </w:rPr>
            </w:pPr>
          </w:p>
        </w:tc>
        <w:tc>
          <w:tcPr>
            <w:tcW w:w="2198" w:type="dxa"/>
            <w:gridSpan w:val="2"/>
            <w:vAlign w:val="center"/>
          </w:tcPr>
          <w:p w14:paraId="75FF873D">
            <w:pPr>
              <w:jc w:val="center"/>
              <w:rPr>
                <w:rFonts w:hint="eastAsia" w:ascii="宋体" w:hAnsi="宋体" w:eastAsia="宋体" w:cs="宋体"/>
                <w:color w:val="auto"/>
                <w:szCs w:val="21"/>
                <w:highlight w:val="none"/>
              </w:rPr>
            </w:pPr>
          </w:p>
        </w:tc>
      </w:tr>
      <w:tr w14:paraId="0398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7" w:type="dxa"/>
            <w:gridSpan w:val="2"/>
            <w:vAlign w:val="center"/>
          </w:tcPr>
          <w:p w14:paraId="3D997943">
            <w:pPr>
              <w:jc w:val="center"/>
              <w:rPr>
                <w:rFonts w:hint="eastAsia" w:ascii="宋体" w:hAnsi="宋体" w:eastAsia="宋体" w:cs="宋体"/>
                <w:color w:val="auto"/>
                <w:szCs w:val="21"/>
                <w:highlight w:val="none"/>
              </w:rPr>
            </w:pPr>
          </w:p>
        </w:tc>
        <w:tc>
          <w:tcPr>
            <w:tcW w:w="3751" w:type="dxa"/>
            <w:gridSpan w:val="3"/>
            <w:vAlign w:val="center"/>
          </w:tcPr>
          <w:p w14:paraId="43CDCCD1">
            <w:pPr>
              <w:jc w:val="center"/>
              <w:rPr>
                <w:rFonts w:hint="eastAsia" w:ascii="宋体" w:hAnsi="宋体" w:eastAsia="宋体" w:cs="宋体"/>
                <w:color w:val="auto"/>
                <w:szCs w:val="21"/>
                <w:highlight w:val="none"/>
              </w:rPr>
            </w:pPr>
          </w:p>
        </w:tc>
        <w:tc>
          <w:tcPr>
            <w:tcW w:w="1770" w:type="dxa"/>
            <w:gridSpan w:val="2"/>
            <w:vAlign w:val="center"/>
          </w:tcPr>
          <w:p w14:paraId="493740B9">
            <w:pPr>
              <w:jc w:val="center"/>
              <w:rPr>
                <w:rFonts w:hint="eastAsia" w:ascii="宋体" w:hAnsi="宋体" w:eastAsia="宋体" w:cs="宋体"/>
                <w:color w:val="auto"/>
                <w:szCs w:val="21"/>
                <w:highlight w:val="none"/>
              </w:rPr>
            </w:pPr>
          </w:p>
        </w:tc>
        <w:tc>
          <w:tcPr>
            <w:tcW w:w="2198" w:type="dxa"/>
            <w:gridSpan w:val="2"/>
            <w:vAlign w:val="center"/>
          </w:tcPr>
          <w:p w14:paraId="67BAC808">
            <w:pPr>
              <w:jc w:val="center"/>
              <w:rPr>
                <w:rFonts w:hint="eastAsia" w:ascii="宋体" w:hAnsi="宋体" w:eastAsia="宋体" w:cs="宋体"/>
                <w:color w:val="auto"/>
                <w:szCs w:val="21"/>
                <w:highlight w:val="none"/>
              </w:rPr>
            </w:pPr>
          </w:p>
        </w:tc>
      </w:tr>
    </w:tbl>
    <w:p w14:paraId="14D94F5F">
      <w:pPr>
        <w:spacing w:line="239"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注：在本表后附相关证明材料。</w:t>
      </w:r>
    </w:p>
    <w:p w14:paraId="6FC6AD06">
      <w:pPr>
        <w:widowControl/>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3E8C441">
      <w:pPr>
        <w:pStyle w:val="3"/>
        <w:jc w:val="center"/>
        <w:rPr>
          <w:rFonts w:hint="eastAsia" w:ascii="宋体" w:hAnsi="宋体" w:eastAsia="宋体" w:cs="宋体"/>
          <w:color w:val="auto"/>
          <w:sz w:val="21"/>
          <w:szCs w:val="21"/>
          <w:highlight w:val="none"/>
        </w:rPr>
      </w:pPr>
      <w:bookmarkStart w:id="1153" w:name="_Toc27286"/>
      <w:bookmarkStart w:id="1154" w:name="_Toc246997115"/>
      <w:bookmarkStart w:id="1155" w:name="_Toc179632827"/>
      <w:bookmarkStart w:id="1156" w:name="_Toc152042596"/>
      <w:bookmarkStart w:id="1157" w:name="_Toc22844"/>
      <w:bookmarkStart w:id="1158" w:name="_Toc25555"/>
      <w:bookmarkStart w:id="1159" w:name="_Toc144974875"/>
      <w:bookmarkStart w:id="1160" w:name="_Toc247085890"/>
      <w:bookmarkStart w:id="1161" w:name="_Toc21857"/>
      <w:bookmarkStart w:id="1162" w:name="_Toc246996372"/>
      <w:bookmarkStart w:id="1163" w:name="_Toc152045807"/>
      <w:r>
        <w:rPr>
          <w:rFonts w:hint="eastAsia" w:ascii="宋体" w:hAnsi="宋体" w:eastAsia="宋体" w:cs="宋体"/>
          <w:color w:val="auto"/>
          <w:sz w:val="21"/>
          <w:szCs w:val="21"/>
          <w:highlight w:val="none"/>
        </w:rPr>
        <w:t>七、资格审查资料</w:t>
      </w:r>
      <w:bookmarkEnd w:id="1153"/>
      <w:bookmarkEnd w:id="1154"/>
      <w:bookmarkEnd w:id="1155"/>
      <w:bookmarkEnd w:id="1156"/>
      <w:bookmarkEnd w:id="1157"/>
      <w:bookmarkEnd w:id="1158"/>
      <w:bookmarkEnd w:id="1159"/>
      <w:bookmarkEnd w:id="1160"/>
      <w:bookmarkEnd w:id="1161"/>
      <w:bookmarkEnd w:id="1162"/>
      <w:bookmarkEnd w:id="1163"/>
    </w:p>
    <w:p w14:paraId="03BDBBDF">
      <w:pPr>
        <w:pStyle w:val="4"/>
        <w:jc w:val="center"/>
        <w:rPr>
          <w:rFonts w:hint="eastAsia" w:ascii="宋体" w:hAnsi="宋体" w:eastAsia="宋体" w:cs="宋体"/>
          <w:color w:val="auto"/>
          <w:sz w:val="21"/>
          <w:szCs w:val="21"/>
          <w:highlight w:val="none"/>
        </w:rPr>
      </w:pPr>
      <w:bookmarkStart w:id="1164" w:name="_Toc327365346"/>
      <w:bookmarkStart w:id="1165" w:name="_Toc8726"/>
      <w:bookmarkStart w:id="1166" w:name="_Toc152045808"/>
      <w:bookmarkStart w:id="1167" w:name="_Toc246997116"/>
      <w:bookmarkStart w:id="1168" w:name="_Toc32223"/>
      <w:bookmarkStart w:id="1169" w:name="_Toc179632828"/>
      <w:bookmarkStart w:id="1170" w:name="_Toc434920630"/>
      <w:bookmarkStart w:id="1171" w:name="_Toc347663605"/>
      <w:bookmarkStart w:id="1172" w:name="_Toc335635888"/>
      <w:bookmarkStart w:id="1173" w:name="_Toc23605"/>
      <w:bookmarkStart w:id="1174" w:name="_Toc144974876"/>
      <w:bookmarkStart w:id="1175" w:name="_Toc247085891"/>
      <w:bookmarkStart w:id="1176" w:name="_Toc152042597"/>
      <w:bookmarkStart w:id="1177" w:name="_Toc246996373"/>
      <w:bookmarkStart w:id="1178" w:name="_Toc296602618"/>
      <w:r>
        <w:rPr>
          <w:rFonts w:hint="eastAsia" w:ascii="宋体" w:hAnsi="宋体" w:eastAsia="宋体" w:cs="宋体"/>
          <w:color w:val="auto"/>
          <w:sz w:val="21"/>
          <w:szCs w:val="21"/>
          <w:highlight w:val="none"/>
        </w:rPr>
        <w:t>（一）响应人基本情况表</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06"/>
        <w:gridCol w:w="917"/>
        <w:gridCol w:w="137"/>
        <w:gridCol w:w="834"/>
        <w:gridCol w:w="1287"/>
        <w:gridCol w:w="317"/>
        <w:gridCol w:w="1327"/>
        <w:gridCol w:w="273"/>
        <w:gridCol w:w="879"/>
        <w:gridCol w:w="1563"/>
      </w:tblGrid>
      <w:tr w14:paraId="226FA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0DD0DB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响应人名称</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5B63E5B1">
            <w:pPr>
              <w:topLinePunct/>
              <w:spacing w:line="440" w:lineRule="exact"/>
              <w:jc w:val="center"/>
              <w:rPr>
                <w:rFonts w:hint="eastAsia" w:ascii="宋体" w:hAnsi="宋体" w:eastAsia="宋体" w:cs="宋体"/>
                <w:color w:val="auto"/>
                <w:szCs w:val="21"/>
                <w:highlight w:val="none"/>
              </w:rPr>
            </w:pPr>
          </w:p>
        </w:tc>
      </w:tr>
      <w:tr w14:paraId="67EAE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0F417A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492" w:type="dxa"/>
            <w:gridSpan w:val="5"/>
            <w:tcBorders>
              <w:top w:val="single" w:color="auto" w:sz="4" w:space="0"/>
              <w:left w:val="single" w:color="auto" w:sz="4" w:space="0"/>
              <w:bottom w:val="single" w:color="auto" w:sz="4" w:space="0"/>
              <w:right w:val="single" w:color="auto" w:sz="4" w:space="0"/>
            </w:tcBorders>
            <w:vAlign w:val="center"/>
          </w:tcPr>
          <w:p w14:paraId="1F3C22DC">
            <w:pPr>
              <w:topLinePunct/>
              <w:spacing w:line="440" w:lineRule="exact"/>
              <w:jc w:val="center"/>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112067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B8E29EB">
            <w:pPr>
              <w:topLinePunct/>
              <w:spacing w:line="440" w:lineRule="exact"/>
              <w:jc w:val="center"/>
              <w:rPr>
                <w:rFonts w:hint="eastAsia" w:ascii="宋体" w:hAnsi="宋体" w:eastAsia="宋体" w:cs="宋体"/>
                <w:color w:val="auto"/>
                <w:szCs w:val="21"/>
                <w:highlight w:val="none"/>
              </w:rPr>
            </w:pPr>
          </w:p>
        </w:tc>
      </w:tr>
      <w:tr w14:paraId="3E7BA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4" w:hRule="atLeast"/>
          <w:jc w:val="center"/>
        </w:trPr>
        <w:tc>
          <w:tcPr>
            <w:tcW w:w="2206" w:type="dxa"/>
            <w:vMerge w:val="restart"/>
            <w:tcBorders>
              <w:top w:val="single" w:color="auto" w:sz="4" w:space="0"/>
              <w:left w:val="single" w:color="auto" w:sz="4" w:space="0"/>
              <w:bottom w:val="single" w:color="auto" w:sz="4" w:space="0"/>
              <w:right w:val="single" w:color="auto" w:sz="4" w:space="0"/>
            </w:tcBorders>
            <w:vAlign w:val="center"/>
          </w:tcPr>
          <w:p w14:paraId="38FD696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054" w:type="dxa"/>
            <w:gridSpan w:val="2"/>
            <w:tcBorders>
              <w:top w:val="single" w:color="auto" w:sz="4" w:space="0"/>
              <w:left w:val="single" w:color="auto" w:sz="4" w:space="0"/>
              <w:bottom w:val="single" w:color="auto" w:sz="4" w:space="0"/>
              <w:right w:val="single" w:color="auto" w:sz="4" w:space="0"/>
            </w:tcBorders>
            <w:vAlign w:val="center"/>
          </w:tcPr>
          <w:p w14:paraId="6CC2882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7DED851F">
            <w:pPr>
              <w:topLinePunct/>
              <w:spacing w:line="440" w:lineRule="exact"/>
              <w:jc w:val="center"/>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C18F15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03F08DC6">
            <w:pPr>
              <w:topLinePunct/>
              <w:spacing w:line="440" w:lineRule="exact"/>
              <w:jc w:val="center"/>
              <w:rPr>
                <w:rFonts w:hint="eastAsia" w:ascii="宋体" w:hAnsi="宋体" w:eastAsia="宋体" w:cs="宋体"/>
                <w:color w:val="auto"/>
                <w:szCs w:val="21"/>
                <w:highlight w:val="none"/>
              </w:rPr>
            </w:pPr>
          </w:p>
        </w:tc>
      </w:tr>
      <w:tr w14:paraId="1473C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2206" w:type="dxa"/>
            <w:vMerge w:val="continue"/>
            <w:tcBorders>
              <w:top w:val="single" w:color="auto" w:sz="4" w:space="0"/>
              <w:left w:val="single" w:color="auto" w:sz="4" w:space="0"/>
              <w:bottom w:val="single" w:color="auto" w:sz="4" w:space="0"/>
              <w:right w:val="single" w:color="auto" w:sz="4" w:space="0"/>
            </w:tcBorders>
            <w:vAlign w:val="center"/>
          </w:tcPr>
          <w:p w14:paraId="294D2007">
            <w:pPr>
              <w:topLinePunct/>
              <w:spacing w:line="440" w:lineRule="exact"/>
              <w:jc w:val="center"/>
              <w:rPr>
                <w:rFonts w:hint="eastAsia" w:ascii="宋体" w:hAnsi="宋体" w:eastAsia="宋体" w:cs="宋体"/>
                <w:color w:val="auto"/>
                <w:szCs w:val="21"/>
                <w:highlight w:val="none"/>
              </w:rPr>
            </w:pPr>
          </w:p>
        </w:tc>
        <w:tc>
          <w:tcPr>
            <w:tcW w:w="1054" w:type="dxa"/>
            <w:gridSpan w:val="2"/>
            <w:tcBorders>
              <w:top w:val="single" w:color="auto" w:sz="4" w:space="0"/>
              <w:left w:val="single" w:color="auto" w:sz="4" w:space="0"/>
              <w:bottom w:val="single" w:color="auto" w:sz="4" w:space="0"/>
              <w:right w:val="single" w:color="auto" w:sz="4" w:space="0"/>
            </w:tcBorders>
            <w:vAlign w:val="center"/>
          </w:tcPr>
          <w:p w14:paraId="0ED281F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438" w:type="dxa"/>
            <w:gridSpan w:val="3"/>
            <w:tcBorders>
              <w:top w:val="single" w:color="auto" w:sz="4" w:space="0"/>
              <w:left w:val="single" w:color="auto" w:sz="4" w:space="0"/>
              <w:bottom w:val="single" w:color="auto" w:sz="4" w:space="0"/>
              <w:right w:val="single" w:color="auto" w:sz="4" w:space="0"/>
            </w:tcBorders>
            <w:vAlign w:val="center"/>
          </w:tcPr>
          <w:p w14:paraId="3CD096E7">
            <w:pPr>
              <w:topLinePunct/>
              <w:spacing w:line="440" w:lineRule="exact"/>
              <w:jc w:val="center"/>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93A024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2715" w:type="dxa"/>
            <w:gridSpan w:val="3"/>
            <w:tcBorders>
              <w:top w:val="single" w:color="auto" w:sz="4" w:space="0"/>
              <w:left w:val="single" w:color="auto" w:sz="4" w:space="0"/>
              <w:bottom w:val="single" w:color="auto" w:sz="4" w:space="0"/>
              <w:right w:val="single" w:color="auto" w:sz="4" w:space="0"/>
            </w:tcBorders>
            <w:vAlign w:val="center"/>
          </w:tcPr>
          <w:p w14:paraId="3175EF8D">
            <w:pPr>
              <w:topLinePunct/>
              <w:spacing w:line="440" w:lineRule="exact"/>
              <w:jc w:val="center"/>
              <w:rPr>
                <w:rFonts w:hint="eastAsia" w:ascii="宋体" w:hAnsi="宋体" w:eastAsia="宋体" w:cs="宋体"/>
                <w:color w:val="auto"/>
                <w:szCs w:val="21"/>
                <w:highlight w:val="none"/>
              </w:rPr>
            </w:pPr>
          </w:p>
        </w:tc>
      </w:tr>
      <w:tr w14:paraId="1F109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9FCEA4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36B37EB4">
            <w:pPr>
              <w:topLinePunct/>
              <w:spacing w:line="440" w:lineRule="exact"/>
              <w:jc w:val="center"/>
              <w:rPr>
                <w:rFonts w:hint="eastAsia" w:ascii="宋体" w:hAnsi="宋体" w:eastAsia="宋体" w:cs="宋体"/>
                <w:color w:val="auto"/>
                <w:szCs w:val="21"/>
                <w:highlight w:val="none"/>
              </w:rPr>
            </w:pPr>
          </w:p>
        </w:tc>
      </w:tr>
      <w:tr w14:paraId="0867D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A7D01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917" w:type="dxa"/>
            <w:tcBorders>
              <w:top w:val="single" w:color="auto" w:sz="4" w:space="0"/>
              <w:left w:val="single" w:color="auto" w:sz="4" w:space="0"/>
              <w:bottom w:val="single" w:color="auto" w:sz="4" w:space="0"/>
              <w:right w:val="single" w:color="auto" w:sz="4" w:space="0"/>
            </w:tcBorders>
            <w:vAlign w:val="center"/>
          </w:tcPr>
          <w:p w14:paraId="08C2027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71" w:type="dxa"/>
            <w:gridSpan w:val="2"/>
            <w:tcBorders>
              <w:top w:val="single" w:color="auto" w:sz="4" w:space="0"/>
              <w:left w:val="single" w:color="auto" w:sz="4" w:space="0"/>
              <w:bottom w:val="single" w:color="auto" w:sz="4" w:space="0"/>
              <w:right w:val="single" w:color="auto" w:sz="4" w:space="0"/>
            </w:tcBorders>
            <w:vAlign w:val="center"/>
          </w:tcPr>
          <w:p w14:paraId="15E5EBAC">
            <w:pPr>
              <w:topLinePunct/>
              <w:spacing w:line="440" w:lineRule="exact"/>
              <w:jc w:val="center"/>
              <w:rPr>
                <w:rFonts w:hint="eastAsia" w:ascii="宋体" w:hAnsi="宋体" w:eastAsia="宋体" w:cs="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308EE7C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917" w:type="dxa"/>
            <w:gridSpan w:val="3"/>
            <w:tcBorders>
              <w:top w:val="single" w:color="auto" w:sz="4" w:space="0"/>
              <w:left w:val="single" w:color="auto" w:sz="4" w:space="0"/>
              <w:bottom w:val="single" w:color="auto" w:sz="4" w:space="0"/>
              <w:right w:val="single" w:color="auto" w:sz="4" w:space="0"/>
            </w:tcBorders>
            <w:vAlign w:val="center"/>
          </w:tcPr>
          <w:p w14:paraId="755F4D6E">
            <w:pPr>
              <w:topLinePunct/>
              <w:spacing w:line="440" w:lineRule="exact"/>
              <w:jc w:val="center"/>
              <w:rPr>
                <w:rFonts w:hint="eastAsia" w:ascii="宋体" w:hAnsi="宋体" w:eastAsia="宋体" w:cs="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642A6A5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563" w:type="dxa"/>
            <w:tcBorders>
              <w:top w:val="single" w:color="auto" w:sz="4" w:space="0"/>
              <w:left w:val="single" w:color="auto" w:sz="4" w:space="0"/>
              <w:bottom w:val="single" w:color="auto" w:sz="4" w:space="0"/>
              <w:right w:val="single" w:color="auto" w:sz="4" w:space="0"/>
            </w:tcBorders>
            <w:vAlign w:val="center"/>
          </w:tcPr>
          <w:p w14:paraId="4A3FB0A1">
            <w:pPr>
              <w:topLinePunct/>
              <w:spacing w:line="440" w:lineRule="exact"/>
              <w:jc w:val="center"/>
              <w:rPr>
                <w:rFonts w:hint="eastAsia" w:ascii="宋体" w:hAnsi="宋体" w:eastAsia="宋体" w:cs="宋体"/>
                <w:color w:val="auto"/>
                <w:szCs w:val="21"/>
                <w:highlight w:val="none"/>
              </w:rPr>
            </w:pPr>
          </w:p>
        </w:tc>
      </w:tr>
      <w:tr w14:paraId="73CEC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381A21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917" w:type="dxa"/>
            <w:tcBorders>
              <w:top w:val="single" w:color="auto" w:sz="4" w:space="0"/>
              <w:left w:val="single" w:color="auto" w:sz="4" w:space="0"/>
              <w:bottom w:val="single" w:color="auto" w:sz="4" w:space="0"/>
              <w:right w:val="single" w:color="auto" w:sz="4" w:space="0"/>
            </w:tcBorders>
            <w:vAlign w:val="center"/>
          </w:tcPr>
          <w:p w14:paraId="6F35070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71" w:type="dxa"/>
            <w:gridSpan w:val="2"/>
            <w:tcBorders>
              <w:top w:val="single" w:color="auto" w:sz="4" w:space="0"/>
              <w:left w:val="single" w:color="auto" w:sz="4" w:space="0"/>
              <w:bottom w:val="single" w:color="auto" w:sz="4" w:space="0"/>
              <w:right w:val="single" w:color="auto" w:sz="4" w:space="0"/>
            </w:tcBorders>
            <w:vAlign w:val="center"/>
          </w:tcPr>
          <w:p w14:paraId="605C79BA">
            <w:pPr>
              <w:topLinePunct/>
              <w:spacing w:line="440" w:lineRule="exact"/>
              <w:jc w:val="center"/>
              <w:rPr>
                <w:rFonts w:hint="eastAsia" w:ascii="宋体" w:hAnsi="宋体" w:eastAsia="宋体" w:cs="宋体"/>
                <w:color w:val="auto"/>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6B6C61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917" w:type="dxa"/>
            <w:gridSpan w:val="3"/>
            <w:tcBorders>
              <w:top w:val="single" w:color="auto" w:sz="4" w:space="0"/>
              <w:left w:val="single" w:color="auto" w:sz="4" w:space="0"/>
              <w:bottom w:val="single" w:color="auto" w:sz="4" w:space="0"/>
              <w:right w:val="single" w:color="auto" w:sz="4" w:space="0"/>
            </w:tcBorders>
            <w:vAlign w:val="center"/>
          </w:tcPr>
          <w:p w14:paraId="3CDA1AF3">
            <w:pPr>
              <w:topLinePunct/>
              <w:spacing w:line="440" w:lineRule="exact"/>
              <w:jc w:val="center"/>
              <w:rPr>
                <w:rFonts w:hint="eastAsia" w:ascii="宋体" w:hAnsi="宋体" w:eastAsia="宋体" w:cs="宋体"/>
                <w:color w:val="auto"/>
                <w:szCs w:val="21"/>
                <w:highlight w:val="none"/>
              </w:rPr>
            </w:pPr>
          </w:p>
        </w:tc>
        <w:tc>
          <w:tcPr>
            <w:tcW w:w="879" w:type="dxa"/>
            <w:tcBorders>
              <w:top w:val="single" w:color="auto" w:sz="4" w:space="0"/>
              <w:left w:val="single" w:color="auto" w:sz="4" w:space="0"/>
              <w:bottom w:val="single" w:color="auto" w:sz="4" w:space="0"/>
              <w:right w:val="single" w:color="auto" w:sz="4" w:space="0"/>
            </w:tcBorders>
            <w:vAlign w:val="center"/>
          </w:tcPr>
          <w:p w14:paraId="1648B7C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563" w:type="dxa"/>
            <w:tcBorders>
              <w:top w:val="single" w:color="auto" w:sz="4" w:space="0"/>
              <w:left w:val="single" w:color="auto" w:sz="4" w:space="0"/>
              <w:bottom w:val="single" w:color="auto" w:sz="4" w:space="0"/>
              <w:right w:val="single" w:color="auto" w:sz="4" w:space="0"/>
            </w:tcBorders>
            <w:vAlign w:val="center"/>
          </w:tcPr>
          <w:p w14:paraId="7EBEABB9">
            <w:pPr>
              <w:topLinePunct/>
              <w:spacing w:line="440" w:lineRule="exact"/>
              <w:jc w:val="center"/>
              <w:rPr>
                <w:rFonts w:hint="eastAsia" w:ascii="宋体" w:hAnsi="宋体" w:eastAsia="宋体" w:cs="宋体"/>
                <w:color w:val="auto"/>
                <w:szCs w:val="21"/>
                <w:highlight w:val="none"/>
              </w:rPr>
            </w:pPr>
          </w:p>
        </w:tc>
      </w:tr>
      <w:tr w14:paraId="77D66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F291EB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888" w:type="dxa"/>
            <w:gridSpan w:val="3"/>
            <w:tcBorders>
              <w:top w:val="single" w:color="auto" w:sz="4" w:space="0"/>
              <w:left w:val="single" w:color="auto" w:sz="4" w:space="0"/>
              <w:bottom w:val="single" w:color="auto" w:sz="4" w:space="0"/>
              <w:right w:val="single" w:color="auto" w:sz="4" w:space="0"/>
            </w:tcBorders>
            <w:vAlign w:val="center"/>
          </w:tcPr>
          <w:p w14:paraId="478C7141">
            <w:pPr>
              <w:topLinePunct/>
              <w:spacing w:line="440" w:lineRule="exact"/>
              <w:jc w:val="center"/>
              <w:rPr>
                <w:rFonts w:hint="eastAsia" w:ascii="宋体" w:hAnsi="宋体" w:eastAsia="宋体" w:cs="宋体"/>
                <w:color w:val="auto"/>
                <w:szCs w:val="21"/>
                <w:highlight w:val="none"/>
              </w:rPr>
            </w:pPr>
          </w:p>
        </w:tc>
        <w:tc>
          <w:tcPr>
            <w:tcW w:w="5646" w:type="dxa"/>
            <w:gridSpan w:val="6"/>
            <w:tcBorders>
              <w:top w:val="single" w:color="auto" w:sz="4" w:space="0"/>
              <w:left w:val="single" w:color="auto" w:sz="4" w:space="0"/>
              <w:bottom w:val="single" w:color="auto" w:sz="4" w:space="0"/>
              <w:right w:val="single" w:color="auto" w:sz="4" w:space="0"/>
            </w:tcBorders>
            <w:vAlign w:val="center"/>
          </w:tcPr>
          <w:p w14:paraId="71E1A07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66E9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5" w:hRule="atLeast"/>
          <w:jc w:val="center"/>
        </w:trPr>
        <w:tc>
          <w:tcPr>
            <w:tcW w:w="2206" w:type="dxa"/>
            <w:tcBorders>
              <w:top w:val="single" w:color="auto" w:sz="4" w:space="0"/>
              <w:left w:val="single" w:color="auto" w:sz="4" w:space="0"/>
              <w:right w:val="single" w:color="auto" w:sz="4" w:space="0"/>
            </w:tcBorders>
            <w:vAlign w:val="center"/>
          </w:tcPr>
          <w:p w14:paraId="786063D2">
            <w:pPr>
              <w:topLinePunct/>
              <w:spacing w:line="44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534" w:type="dxa"/>
            <w:gridSpan w:val="9"/>
            <w:tcBorders>
              <w:top w:val="single" w:color="auto" w:sz="4" w:space="0"/>
              <w:left w:val="single" w:color="auto" w:sz="4" w:space="0"/>
              <w:right w:val="single" w:color="auto" w:sz="4" w:space="0"/>
            </w:tcBorders>
            <w:vAlign w:val="center"/>
          </w:tcPr>
          <w:p w14:paraId="24E25711">
            <w:pPr>
              <w:topLinePunct/>
              <w:spacing w:line="440" w:lineRule="exact"/>
              <w:jc w:val="center"/>
              <w:rPr>
                <w:rFonts w:hint="eastAsia" w:ascii="宋体" w:hAnsi="宋体" w:eastAsia="宋体" w:cs="宋体"/>
                <w:color w:val="auto"/>
                <w:szCs w:val="21"/>
                <w:highlight w:val="none"/>
              </w:rPr>
            </w:pPr>
          </w:p>
          <w:p w14:paraId="1A32F0AF">
            <w:pPr>
              <w:topLinePunct/>
              <w:spacing w:line="440" w:lineRule="exact"/>
              <w:jc w:val="center"/>
              <w:rPr>
                <w:rFonts w:hint="eastAsia" w:ascii="宋体" w:hAnsi="宋体" w:eastAsia="宋体" w:cs="宋体"/>
                <w:color w:val="auto"/>
                <w:szCs w:val="21"/>
                <w:highlight w:val="none"/>
              </w:rPr>
            </w:pPr>
          </w:p>
          <w:p w14:paraId="2F482452">
            <w:pPr>
              <w:topLinePunct/>
              <w:spacing w:line="440" w:lineRule="exact"/>
              <w:jc w:val="center"/>
              <w:rPr>
                <w:rFonts w:hint="eastAsia" w:ascii="宋体" w:hAnsi="宋体" w:eastAsia="宋体" w:cs="宋体"/>
                <w:color w:val="auto"/>
                <w:szCs w:val="21"/>
                <w:highlight w:val="none"/>
              </w:rPr>
            </w:pPr>
          </w:p>
          <w:p w14:paraId="7DA620D9">
            <w:pPr>
              <w:topLinePunct/>
              <w:spacing w:line="440" w:lineRule="exact"/>
              <w:jc w:val="center"/>
              <w:rPr>
                <w:rFonts w:hint="eastAsia" w:ascii="宋体" w:hAnsi="宋体" w:eastAsia="宋体" w:cs="宋体"/>
                <w:color w:val="auto"/>
                <w:szCs w:val="21"/>
                <w:highlight w:val="none"/>
              </w:rPr>
            </w:pPr>
          </w:p>
          <w:p w14:paraId="69471479">
            <w:pPr>
              <w:topLinePunct/>
              <w:spacing w:line="440" w:lineRule="exact"/>
              <w:rPr>
                <w:rFonts w:hint="eastAsia" w:ascii="宋体" w:hAnsi="宋体" w:eastAsia="宋体" w:cs="宋体"/>
                <w:color w:val="auto"/>
                <w:szCs w:val="21"/>
                <w:highlight w:val="none"/>
              </w:rPr>
            </w:pPr>
          </w:p>
        </w:tc>
      </w:tr>
      <w:tr w14:paraId="7EAED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0FB9B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14:paraId="6F9693BE">
            <w:pPr>
              <w:topLinePunct/>
              <w:spacing w:line="440" w:lineRule="exact"/>
              <w:jc w:val="center"/>
              <w:rPr>
                <w:rFonts w:hint="eastAsia" w:ascii="宋体" w:hAnsi="宋体" w:eastAsia="宋体" w:cs="宋体"/>
                <w:color w:val="auto"/>
                <w:szCs w:val="21"/>
                <w:highlight w:val="none"/>
              </w:rPr>
            </w:pPr>
          </w:p>
        </w:tc>
      </w:tr>
    </w:tbl>
    <w:p w14:paraId="1583C6C1">
      <w:pPr>
        <w:spacing w:line="360" w:lineRule="auto"/>
        <w:rPr>
          <w:rFonts w:hint="eastAsia" w:ascii="宋体" w:hAnsi="宋体" w:eastAsia="宋体" w:cs="宋体"/>
          <w:color w:val="auto"/>
          <w:szCs w:val="21"/>
          <w:highlight w:val="none"/>
        </w:rPr>
      </w:pPr>
      <w:bookmarkStart w:id="1179" w:name="_Toc247085892"/>
      <w:bookmarkStart w:id="1180" w:name="_Toc296602622"/>
      <w:bookmarkStart w:id="1181" w:name="_Toc246997117"/>
      <w:bookmarkStart w:id="1182" w:name="_Toc246996374"/>
      <w:bookmarkStart w:id="1183" w:name="_Toc179632833"/>
      <w:bookmarkStart w:id="1184" w:name="_Toc152045813"/>
      <w:bookmarkStart w:id="1185" w:name="_Toc335635891"/>
      <w:bookmarkStart w:id="1186" w:name="_Toc144974881"/>
      <w:bookmarkStart w:id="1187" w:name="_Toc347663608"/>
      <w:bookmarkStart w:id="1188" w:name="_Toc434920633"/>
      <w:bookmarkStart w:id="1189" w:name="_Toc152042602"/>
      <w:bookmarkStart w:id="1190" w:name="_Toc327365349"/>
      <w:r>
        <w:rPr>
          <w:rFonts w:hint="eastAsia" w:ascii="宋体" w:hAnsi="宋体" w:eastAsia="宋体" w:cs="宋体"/>
          <w:color w:val="auto"/>
          <w:szCs w:val="21"/>
          <w:highlight w:val="none"/>
        </w:rPr>
        <w:t>备注：本表后应附企业法人营业执照等材料的复印件加盖公章</w:t>
      </w:r>
      <w:r>
        <w:rPr>
          <w:rFonts w:hint="eastAsia" w:ascii="宋体" w:hAnsi="宋体" w:eastAsia="宋体" w:cs="宋体"/>
          <w:color w:val="auto"/>
          <w:szCs w:val="21"/>
          <w:highlight w:val="none"/>
        </w:rPr>
        <w:br w:type="page"/>
      </w:r>
    </w:p>
    <w:bookmarkEnd w:id="1179"/>
    <w:bookmarkEnd w:id="1180"/>
    <w:bookmarkEnd w:id="1181"/>
    <w:bookmarkEnd w:id="1182"/>
    <w:bookmarkEnd w:id="1183"/>
    <w:bookmarkEnd w:id="1184"/>
    <w:bookmarkEnd w:id="1185"/>
    <w:bookmarkEnd w:id="1186"/>
    <w:bookmarkEnd w:id="1187"/>
    <w:bookmarkEnd w:id="1188"/>
    <w:bookmarkEnd w:id="1189"/>
    <w:bookmarkEnd w:id="1190"/>
    <w:p w14:paraId="7B6C99E0">
      <w:pPr>
        <w:pStyle w:val="47"/>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（二）近年完成的类似项目情况表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7248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816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094" w:type="dxa"/>
            <w:vAlign w:val="center"/>
          </w:tcPr>
          <w:p w14:paraId="1E5D09A7">
            <w:pPr>
              <w:jc w:val="center"/>
              <w:rPr>
                <w:rFonts w:hint="eastAsia" w:ascii="宋体" w:hAnsi="宋体" w:eastAsia="宋体" w:cs="宋体"/>
                <w:color w:val="auto"/>
                <w:szCs w:val="21"/>
                <w:highlight w:val="none"/>
              </w:rPr>
            </w:pPr>
          </w:p>
        </w:tc>
      </w:tr>
      <w:tr w14:paraId="367A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E274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6094" w:type="dxa"/>
            <w:vAlign w:val="center"/>
          </w:tcPr>
          <w:p w14:paraId="54936AEF">
            <w:pPr>
              <w:jc w:val="center"/>
              <w:rPr>
                <w:rFonts w:hint="eastAsia" w:ascii="宋体" w:hAnsi="宋体" w:eastAsia="宋体" w:cs="宋体"/>
                <w:color w:val="auto"/>
                <w:szCs w:val="21"/>
                <w:highlight w:val="none"/>
              </w:rPr>
            </w:pPr>
          </w:p>
        </w:tc>
      </w:tr>
      <w:tr w14:paraId="617D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9271A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094" w:type="dxa"/>
            <w:vAlign w:val="center"/>
          </w:tcPr>
          <w:p w14:paraId="3C3F3FBF">
            <w:pPr>
              <w:jc w:val="center"/>
              <w:rPr>
                <w:rFonts w:hint="eastAsia" w:ascii="宋体" w:hAnsi="宋体" w:eastAsia="宋体" w:cs="宋体"/>
                <w:color w:val="auto"/>
                <w:szCs w:val="21"/>
                <w:highlight w:val="none"/>
              </w:rPr>
            </w:pPr>
          </w:p>
        </w:tc>
      </w:tr>
      <w:tr w14:paraId="113A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3CC6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6094" w:type="dxa"/>
            <w:vAlign w:val="center"/>
          </w:tcPr>
          <w:p w14:paraId="798F804F">
            <w:pPr>
              <w:jc w:val="center"/>
              <w:rPr>
                <w:rFonts w:hint="eastAsia" w:ascii="宋体" w:hAnsi="宋体" w:eastAsia="宋体" w:cs="宋体"/>
                <w:color w:val="auto"/>
                <w:szCs w:val="21"/>
                <w:highlight w:val="none"/>
              </w:rPr>
            </w:pPr>
          </w:p>
        </w:tc>
      </w:tr>
      <w:tr w14:paraId="09EE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5AED3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发包人联系人及电话</w:t>
            </w:r>
          </w:p>
        </w:tc>
        <w:tc>
          <w:tcPr>
            <w:tcW w:w="6094" w:type="dxa"/>
            <w:vAlign w:val="center"/>
          </w:tcPr>
          <w:p w14:paraId="1EE31D79">
            <w:pPr>
              <w:jc w:val="center"/>
              <w:rPr>
                <w:rFonts w:hint="eastAsia" w:ascii="宋体" w:hAnsi="宋体" w:eastAsia="宋体" w:cs="宋体"/>
                <w:color w:val="auto"/>
                <w:szCs w:val="21"/>
                <w:highlight w:val="none"/>
              </w:rPr>
            </w:pPr>
          </w:p>
        </w:tc>
      </w:tr>
      <w:tr w14:paraId="559D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92254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094" w:type="dxa"/>
            <w:vAlign w:val="center"/>
          </w:tcPr>
          <w:p w14:paraId="5513046F">
            <w:pPr>
              <w:jc w:val="center"/>
              <w:rPr>
                <w:rFonts w:hint="eastAsia" w:ascii="宋体" w:hAnsi="宋体" w:eastAsia="宋体" w:cs="宋体"/>
                <w:color w:val="auto"/>
                <w:szCs w:val="21"/>
                <w:highlight w:val="none"/>
              </w:rPr>
            </w:pPr>
          </w:p>
        </w:tc>
      </w:tr>
      <w:tr w14:paraId="05E6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7B165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6094" w:type="dxa"/>
            <w:vAlign w:val="center"/>
          </w:tcPr>
          <w:p w14:paraId="5B9BDFD6">
            <w:pPr>
              <w:jc w:val="center"/>
              <w:rPr>
                <w:rFonts w:hint="eastAsia" w:ascii="宋体" w:hAnsi="宋体" w:eastAsia="宋体" w:cs="宋体"/>
                <w:color w:val="auto"/>
                <w:szCs w:val="21"/>
                <w:highlight w:val="none"/>
              </w:rPr>
            </w:pPr>
          </w:p>
        </w:tc>
      </w:tr>
      <w:tr w14:paraId="0AA8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B48C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6094" w:type="dxa"/>
            <w:vAlign w:val="center"/>
          </w:tcPr>
          <w:p w14:paraId="117683BF">
            <w:pPr>
              <w:jc w:val="center"/>
              <w:rPr>
                <w:rFonts w:hint="eastAsia" w:ascii="宋体" w:hAnsi="宋体" w:eastAsia="宋体" w:cs="宋体"/>
                <w:color w:val="auto"/>
                <w:szCs w:val="21"/>
                <w:highlight w:val="none"/>
              </w:rPr>
            </w:pPr>
          </w:p>
        </w:tc>
      </w:tr>
      <w:tr w14:paraId="425C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C5FFD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6094" w:type="dxa"/>
            <w:vAlign w:val="center"/>
          </w:tcPr>
          <w:p w14:paraId="59919DB8">
            <w:pPr>
              <w:jc w:val="center"/>
              <w:rPr>
                <w:rFonts w:hint="eastAsia" w:ascii="宋体" w:hAnsi="宋体" w:eastAsia="宋体" w:cs="宋体"/>
                <w:color w:val="auto"/>
                <w:szCs w:val="21"/>
                <w:highlight w:val="none"/>
              </w:rPr>
            </w:pPr>
          </w:p>
        </w:tc>
      </w:tr>
      <w:tr w14:paraId="59B8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05AC9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6094" w:type="dxa"/>
            <w:vAlign w:val="center"/>
          </w:tcPr>
          <w:p w14:paraId="65ED3FDE">
            <w:pPr>
              <w:jc w:val="center"/>
              <w:rPr>
                <w:rFonts w:hint="eastAsia" w:ascii="宋体" w:hAnsi="宋体" w:eastAsia="宋体" w:cs="宋体"/>
                <w:color w:val="auto"/>
                <w:szCs w:val="21"/>
                <w:highlight w:val="none"/>
              </w:rPr>
            </w:pPr>
          </w:p>
        </w:tc>
      </w:tr>
      <w:tr w14:paraId="7578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5F2D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094" w:type="dxa"/>
            <w:vAlign w:val="center"/>
          </w:tcPr>
          <w:p w14:paraId="466395D9">
            <w:pPr>
              <w:jc w:val="center"/>
              <w:rPr>
                <w:rFonts w:hint="eastAsia" w:ascii="宋体" w:hAnsi="宋体" w:eastAsia="宋体" w:cs="宋体"/>
                <w:color w:val="auto"/>
                <w:szCs w:val="21"/>
                <w:highlight w:val="none"/>
              </w:rPr>
            </w:pPr>
          </w:p>
        </w:tc>
      </w:tr>
      <w:tr w14:paraId="53E3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5089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6094" w:type="dxa"/>
            <w:vAlign w:val="center"/>
          </w:tcPr>
          <w:p w14:paraId="28B57205">
            <w:pPr>
              <w:jc w:val="center"/>
              <w:rPr>
                <w:rFonts w:hint="eastAsia" w:ascii="宋体" w:hAnsi="宋体" w:eastAsia="宋体" w:cs="宋体"/>
                <w:color w:val="auto"/>
                <w:szCs w:val="21"/>
                <w:highlight w:val="none"/>
              </w:rPr>
            </w:pPr>
          </w:p>
        </w:tc>
      </w:tr>
      <w:tr w14:paraId="556A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8EC69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总监理工程师及电话</w:t>
            </w:r>
          </w:p>
        </w:tc>
        <w:tc>
          <w:tcPr>
            <w:tcW w:w="6094" w:type="dxa"/>
            <w:vAlign w:val="center"/>
          </w:tcPr>
          <w:p w14:paraId="509A95A0">
            <w:pPr>
              <w:jc w:val="center"/>
              <w:rPr>
                <w:rFonts w:hint="eastAsia" w:ascii="宋体" w:hAnsi="宋体" w:eastAsia="宋体" w:cs="宋体"/>
                <w:color w:val="auto"/>
                <w:szCs w:val="21"/>
                <w:highlight w:val="none"/>
              </w:rPr>
            </w:pPr>
          </w:p>
        </w:tc>
      </w:tr>
      <w:tr w14:paraId="1AD6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411" w:type="dxa"/>
            <w:vAlign w:val="center"/>
          </w:tcPr>
          <w:p w14:paraId="020287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094" w:type="dxa"/>
            <w:vAlign w:val="center"/>
          </w:tcPr>
          <w:p w14:paraId="3623EA0E">
            <w:pPr>
              <w:jc w:val="center"/>
              <w:rPr>
                <w:rFonts w:hint="eastAsia" w:ascii="宋体" w:hAnsi="宋体" w:eastAsia="宋体" w:cs="宋体"/>
                <w:color w:val="auto"/>
                <w:szCs w:val="21"/>
                <w:highlight w:val="none"/>
              </w:rPr>
            </w:pPr>
          </w:p>
        </w:tc>
      </w:tr>
      <w:tr w14:paraId="67F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1378B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094" w:type="dxa"/>
            <w:vAlign w:val="center"/>
          </w:tcPr>
          <w:p w14:paraId="0ADD5474">
            <w:pPr>
              <w:jc w:val="center"/>
              <w:rPr>
                <w:rFonts w:hint="eastAsia" w:ascii="宋体" w:hAnsi="宋体" w:eastAsia="宋体" w:cs="宋体"/>
                <w:color w:val="auto"/>
                <w:szCs w:val="21"/>
                <w:highlight w:val="none"/>
              </w:rPr>
            </w:pPr>
          </w:p>
        </w:tc>
      </w:tr>
    </w:tbl>
    <w:p w14:paraId="05770588">
      <w:pPr>
        <w:spacing w:line="440" w:lineRule="exact"/>
        <w:ind w:left="630" w:leftChars="300"/>
        <w:rPr>
          <w:rFonts w:hint="eastAsia" w:ascii="宋体" w:hAnsi="宋体" w:eastAsia="宋体" w:cs="宋体"/>
          <w:color w:val="auto"/>
          <w:szCs w:val="21"/>
          <w:highlight w:val="none"/>
        </w:rPr>
      </w:pPr>
    </w:p>
    <w:p w14:paraId="24AA1BBC">
      <w:pPr>
        <w:spacing w:line="440" w:lineRule="exact"/>
        <w:ind w:left="630" w:left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备注：须同时提供合同、中标通知书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验收报告扫描件或复印件。</w:t>
      </w:r>
    </w:p>
    <w:p w14:paraId="2264A048">
      <w:pPr>
        <w:spacing w:line="440" w:lineRule="exact"/>
        <w:ind w:left="630" w:leftChars="300"/>
        <w:rPr>
          <w:rFonts w:hint="eastAsia" w:ascii="宋体" w:hAnsi="宋体" w:eastAsia="宋体" w:cs="宋体"/>
          <w:color w:val="auto"/>
          <w:szCs w:val="21"/>
          <w:highlight w:val="none"/>
        </w:rPr>
      </w:pPr>
    </w:p>
    <w:p w14:paraId="462060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31BB7E0">
      <w:pPr>
        <w:pStyle w:val="47"/>
        <w:jc w:val="center"/>
        <w:rPr>
          <w:rFonts w:hint="eastAsia" w:ascii="宋体" w:hAnsi="宋体" w:eastAsia="宋体" w:cs="宋体"/>
          <w:b/>
          <w:bCs/>
          <w:color w:val="auto"/>
          <w:sz w:val="21"/>
          <w:szCs w:val="21"/>
          <w:highlight w:val="none"/>
        </w:rPr>
      </w:pPr>
      <w:bookmarkStart w:id="1191" w:name="_Toc23845"/>
      <w:bookmarkStart w:id="1192" w:name="_Toc475341820"/>
      <w:bookmarkStart w:id="1193" w:name="_Toc13989"/>
      <w:bookmarkStart w:id="1194" w:name="_Toc490667904"/>
      <w:bookmarkStart w:id="1195" w:name="_Toc5203488"/>
      <w:bookmarkStart w:id="1196" w:name="_Toc601"/>
      <w:bookmarkStart w:id="1197" w:name="_Toc11175"/>
      <w:bookmarkStart w:id="1198" w:name="_Toc13777"/>
      <w:bookmarkStart w:id="1199" w:name="_Toc509667335"/>
      <w:bookmarkStart w:id="1200" w:name="_Toc11534"/>
      <w:bookmarkStart w:id="1201" w:name="_Toc475624462"/>
      <w:bookmarkStart w:id="1202" w:name="_Toc5203399"/>
      <w:r>
        <w:rPr>
          <w:rFonts w:hint="eastAsia" w:ascii="宋体" w:hAnsi="宋体" w:eastAsia="宋体" w:cs="宋体"/>
          <w:b/>
          <w:bCs/>
          <w:color w:val="auto"/>
          <w:sz w:val="21"/>
          <w:szCs w:val="21"/>
          <w:highlight w:val="none"/>
        </w:rPr>
        <w:t>（三）正在施工的和新承接的项目情况表</w:t>
      </w:r>
      <w:bookmarkEnd w:id="1191"/>
      <w:bookmarkEnd w:id="1192"/>
      <w:bookmarkEnd w:id="1193"/>
      <w:bookmarkEnd w:id="1194"/>
      <w:bookmarkEnd w:id="1195"/>
      <w:bookmarkEnd w:id="1196"/>
      <w:bookmarkEnd w:id="1197"/>
      <w:bookmarkEnd w:id="1198"/>
      <w:bookmarkEnd w:id="1199"/>
      <w:bookmarkEnd w:id="1200"/>
      <w:bookmarkEnd w:id="1201"/>
      <w:bookmarkEnd w:id="120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535"/>
      </w:tblGrid>
      <w:tr w14:paraId="2BE1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3969EB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535" w:type="dxa"/>
            <w:vAlign w:val="center"/>
          </w:tcPr>
          <w:p w14:paraId="2F8C13D3">
            <w:pPr>
              <w:jc w:val="center"/>
              <w:rPr>
                <w:rFonts w:hint="eastAsia" w:ascii="宋体" w:hAnsi="宋体" w:eastAsia="宋体" w:cs="宋体"/>
                <w:color w:val="auto"/>
                <w:szCs w:val="21"/>
                <w:highlight w:val="none"/>
              </w:rPr>
            </w:pPr>
          </w:p>
        </w:tc>
      </w:tr>
      <w:tr w14:paraId="3834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7F1682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6535" w:type="dxa"/>
            <w:vAlign w:val="center"/>
          </w:tcPr>
          <w:p w14:paraId="1D8952A5">
            <w:pPr>
              <w:jc w:val="center"/>
              <w:rPr>
                <w:rFonts w:hint="eastAsia" w:ascii="宋体" w:hAnsi="宋体" w:eastAsia="宋体" w:cs="宋体"/>
                <w:color w:val="auto"/>
                <w:szCs w:val="21"/>
                <w:highlight w:val="none"/>
              </w:rPr>
            </w:pPr>
          </w:p>
        </w:tc>
      </w:tr>
      <w:tr w14:paraId="54E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4AF61F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535" w:type="dxa"/>
            <w:vAlign w:val="center"/>
          </w:tcPr>
          <w:p w14:paraId="5F18C8F6">
            <w:pPr>
              <w:jc w:val="center"/>
              <w:rPr>
                <w:rFonts w:hint="eastAsia" w:ascii="宋体" w:hAnsi="宋体" w:eastAsia="宋体" w:cs="宋体"/>
                <w:color w:val="auto"/>
                <w:szCs w:val="21"/>
                <w:highlight w:val="none"/>
              </w:rPr>
            </w:pPr>
          </w:p>
        </w:tc>
      </w:tr>
      <w:tr w14:paraId="129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1002F1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6535" w:type="dxa"/>
            <w:vAlign w:val="center"/>
          </w:tcPr>
          <w:p w14:paraId="5BE59BC4">
            <w:pPr>
              <w:jc w:val="center"/>
              <w:rPr>
                <w:rFonts w:hint="eastAsia" w:ascii="宋体" w:hAnsi="宋体" w:eastAsia="宋体" w:cs="宋体"/>
                <w:color w:val="auto"/>
                <w:szCs w:val="21"/>
                <w:highlight w:val="none"/>
              </w:rPr>
            </w:pPr>
          </w:p>
        </w:tc>
      </w:tr>
      <w:tr w14:paraId="39F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118A71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发包人电话</w:t>
            </w:r>
          </w:p>
        </w:tc>
        <w:tc>
          <w:tcPr>
            <w:tcW w:w="6535" w:type="dxa"/>
            <w:vAlign w:val="center"/>
          </w:tcPr>
          <w:p w14:paraId="073FE9CF">
            <w:pPr>
              <w:jc w:val="center"/>
              <w:rPr>
                <w:rFonts w:hint="eastAsia" w:ascii="宋体" w:hAnsi="宋体" w:eastAsia="宋体" w:cs="宋体"/>
                <w:color w:val="auto"/>
                <w:szCs w:val="21"/>
                <w:highlight w:val="none"/>
              </w:rPr>
            </w:pPr>
          </w:p>
        </w:tc>
      </w:tr>
      <w:tr w14:paraId="1F5E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2F6E9D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w:t>
            </w:r>
          </w:p>
        </w:tc>
        <w:tc>
          <w:tcPr>
            <w:tcW w:w="6535" w:type="dxa"/>
            <w:vAlign w:val="center"/>
          </w:tcPr>
          <w:p w14:paraId="41958012">
            <w:pPr>
              <w:jc w:val="center"/>
              <w:rPr>
                <w:rFonts w:hint="eastAsia" w:ascii="宋体" w:hAnsi="宋体" w:eastAsia="宋体" w:cs="宋体"/>
                <w:color w:val="auto"/>
                <w:szCs w:val="21"/>
                <w:highlight w:val="none"/>
              </w:rPr>
            </w:pPr>
          </w:p>
        </w:tc>
      </w:tr>
      <w:tr w14:paraId="7392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195CDA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开工日期</w:t>
            </w:r>
          </w:p>
        </w:tc>
        <w:tc>
          <w:tcPr>
            <w:tcW w:w="6535" w:type="dxa"/>
            <w:vAlign w:val="center"/>
          </w:tcPr>
          <w:p w14:paraId="1A275FC7">
            <w:pPr>
              <w:jc w:val="center"/>
              <w:rPr>
                <w:rFonts w:hint="eastAsia" w:ascii="宋体" w:hAnsi="宋体" w:eastAsia="宋体" w:cs="宋体"/>
                <w:color w:val="auto"/>
                <w:szCs w:val="21"/>
                <w:highlight w:val="none"/>
              </w:rPr>
            </w:pPr>
          </w:p>
        </w:tc>
      </w:tr>
      <w:tr w14:paraId="6A85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44A39C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p>
        </w:tc>
        <w:tc>
          <w:tcPr>
            <w:tcW w:w="6535" w:type="dxa"/>
            <w:vAlign w:val="center"/>
          </w:tcPr>
          <w:p w14:paraId="53B89054">
            <w:pPr>
              <w:jc w:val="center"/>
              <w:rPr>
                <w:rFonts w:hint="eastAsia" w:ascii="宋体" w:hAnsi="宋体" w:eastAsia="宋体" w:cs="宋体"/>
                <w:color w:val="auto"/>
                <w:szCs w:val="21"/>
                <w:highlight w:val="none"/>
              </w:rPr>
            </w:pPr>
          </w:p>
        </w:tc>
      </w:tr>
      <w:tr w14:paraId="45E3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28ACCF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6535" w:type="dxa"/>
            <w:vAlign w:val="center"/>
          </w:tcPr>
          <w:p w14:paraId="08948CA0">
            <w:pPr>
              <w:jc w:val="center"/>
              <w:rPr>
                <w:rFonts w:hint="eastAsia" w:ascii="宋体" w:hAnsi="宋体" w:eastAsia="宋体" w:cs="宋体"/>
                <w:color w:val="auto"/>
                <w:szCs w:val="21"/>
                <w:highlight w:val="none"/>
              </w:rPr>
            </w:pPr>
          </w:p>
        </w:tc>
      </w:tr>
      <w:tr w14:paraId="5EF0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45CF22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6535" w:type="dxa"/>
            <w:vAlign w:val="center"/>
          </w:tcPr>
          <w:p w14:paraId="36791A3B">
            <w:pPr>
              <w:jc w:val="center"/>
              <w:rPr>
                <w:rFonts w:hint="eastAsia" w:ascii="宋体" w:hAnsi="宋体" w:eastAsia="宋体" w:cs="宋体"/>
                <w:color w:val="auto"/>
                <w:szCs w:val="21"/>
                <w:highlight w:val="none"/>
              </w:rPr>
            </w:pPr>
          </w:p>
        </w:tc>
      </w:tr>
      <w:tr w14:paraId="6CB7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396715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535" w:type="dxa"/>
            <w:vAlign w:val="center"/>
          </w:tcPr>
          <w:p w14:paraId="42B31EF6">
            <w:pPr>
              <w:jc w:val="center"/>
              <w:rPr>
                <w:rFonts w:hint="eastAsia" w:ascii="宋体" w:hAnsi="宋体" w:eastAsia="宋体" w:cs="宋体"/>
                <w:color w:val="auto"/>
                <w:szCs w:val="21"/>
                <w:highlight w:val="none"/>
              </w:rPr>
            </w:pPr>
          </w:p>
        </w:tc>
      </w:tr>
      <w:tr w14:paraId="368D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5BBD84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6535" w:type="dxa"/>
            <w:vAlign w:val="center"/>
          </w:tcPr>
          <w:p w14:paraId="108E1A26">
            <w:pPr>
              <w:jc w:val="center"/>
              <w:rPr>
                <w:rFonts w:hint="eastAsia" w:ascii="宋体" w:hAnsi="宋体" w:eastAsia="宋体" w:cs="宋体"/>
                <w:color w:val="auto"/>
                <w:szCs w:val="21"/>
                <w:highlight w:val="none"/>
              </w:rPr>
            </w:pPr>
          </w:p>
        </w:tc>
      </w:tr>
      <w:tr w14:paraId="44B8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84" w:type="dxa"/>
            <w:vAlign w:val="center"/>
          </w:tcPr>
          <w:p w14:paraId="7C0CC5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总监理工程师及电话</w:t>
            </w:r>
          </w:p>
        </w:tc>
        <w:tc>
          <w:tcPr>
            <w:tcW w:w="6535" w:type="dxa"/>
            <w:vAlign w:val="center"/>
          </w:tcPr>
          <w:p w14:paraId="10FC93A6">
            <w:pPr>
              <w:jc w:val="center"/>
              <w:rPr>
                <w:rFonts w:hint="eastAsia" w:ascii="宋体" w:hAnsi="宋体" w:eastAsia="宋体" w:cs="宋体"/>
                <w:color w:val="auto"/>
                <w:szCs w:val="21"/>
                <w:highlight w:val="none"/>
              </w:rPr>
            </w:pPr>
          </w:p>
        </w:tc>
      </w:tr>
      <w:tr w14:paraId="5EF0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84" w:type="dxa"/>
            <w:vAlign w:val="center"/>
          </w:tcPr>
          <w:p w14:paraId="07909B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535" w:type="dxa"/>
            <w:vAlign w:val="center"/>
          </w:tcPr>
          <w:p w14:paraId="51A26B08">
            <w:pPr>
              <w:jc w:val="center"/>
              <w:rPr>
                <w:rFonts w:hint="eastAsia" w:ascii="宋体" w:hAnsi="宋体" w:eastAsia="宋体" w:cs="宋体"/>
                <w:color w:val="auto"/>
                <w:szCs w:val="21"/>
                <w:highlight w:val="none"/>
              </w:rPr>
            </w:pPr>
          </w:p>
        </w:tc>
      </w:tr>
      <w:tr w14:paraId="3034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584" w:type="dxa"/>
            <w:vAlign w:val="center"/>
          </w:tcPr>
          <w:p w14:paraId="5A463E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535" w:type="dxa"/>
            <w:vAlign w:val="center"/>
          </w:tcPr>
          <w:p w14:paraId="53E91769">
            <w:pPr>
              <w:jc w:val="center"/>
              <w:rPr>
                <w:rFonts w:hint="eastAsia" w:ascii="宋体" w:hAnsi="宋体" w:eastAsia="宋体" w:cs="宋体"/>
                <w:color w:val="auto"/>
                <w:szCs w:val="21"/>
                <w:highlight w:val="none"/>
              </w:rPr>
            </w:pPr>
          </w:p>
        </w:tc>
      </w:tr>
    </w:tbl>
    <w:p w14:paraId="56FDDF3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备注：1、本表后附中标通知书或合同协议书复印件。每张表格只填写一个项目，并标明序号。</w:t>
      </w:r>
    </w:p>
    <w:p w14:paraId="64686A96">
      <w:pPr>
        <w:spacing w:line="440" w:lineRule="exact"/>
        <w:ind w:left="630" w:left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2、在“项目描述’一栏中应当详细描述工程概况。</w:t>
      </w:r>
    </w:p>
    <w:p w14:paraId="14CDEC23">
      <w:pPr>
        <w:spacing w:line="440" w:lineRule="exact"/>
        <w:rPr>
          <w:rFonts w:hint="eastAsia" w:ascii="宋体" w:hAnsi="宋体" w:eastAsia="宋体" w:cs="宋体"/>
          <w:color w:val="auto"/>
          <w:szCs w:val="21"/>
          <w:highlight w:val="none"/>
        </w:rPr>
      </w:pPr>
    </w:p>
    <w:p w14:paraId="3AE8C6EB">
      <w:pPr>
        <w:pStyle w:val="49"/>
        <w:rPr>
          <w:rFonts w:hint="eastAsia" w:ascii="宋体" w:hAnsi="宋体" w:eastAsia="宋体" w:cs="宋体"/>
          <w:color w:val="auto"/>
          <w:szCs w:val="21"/>
          <w:highlight w:val="none"/>
        </w:rPr>
      </w:pPr>
    </w:p>
    <w:p w14:paraId="0F23F4CC">
      <w:pPr>
        <w:pStyle w:val="10"/>
        <w:rPr>
          <w:rFonts w:hint="eastAsia" w:ascii="宋体" w:hAnsi="宋体" w:eastAsia="宋体" w:cs="宋体"/>
          <w:color w:val="auto"/>
          <w:szCs w:val="21"/>
          <w:highlight w:val="none"/>
        </w:rPr>
      </w:pPr>
    </w:p>
    <w:p w14:paraId="7172FE43">
      <w:pPr>
        <w:pStyle w:val="44"/>
        <w:rPr>
          <w:rFonts w:hint="eastAsia" w:ascii="宋体" w:hAnsi="宋体" w:eastAsia="宋体" w:cs="宋体"/>
          <w:color w:val="auto"/>
          <w:highlight w:val="none"/>
        </w:rPr>
      </w:pPr>
    </w:p>
    <w:p w14:paraId="63914D78">
      <w:pPr>
        <w:pStyle w:val="50"/>
        <w:rPr>
          <w:rFonts w:hint="eastAsia" w:ascii="宋体" w:hAnsi="宋体" w:eastAsia="宋体" w:cs="宋体"/>
          <w:color w:val="auto"/>
          <w:sz w:val="21"/>
          <w:szCs w:val="21"/>
          <w:highlight w:val="none"/>
        </w:rPr>
      </w:pPr>
    </w:p>
    <w:p w14:paraId="5855DB9E">
      <w:pPr>
        <w:pStyle w:val="47"/>
        <w:jc w:val="center"/>
        <w:rPr>
          <w:rFonts w:hint="eastAsia" w:ascii="宋体" w:hAnsi="宋体" w:eastAsia="宋体" w:cs="宋体"/>
          <w:b/>
          <w:bCs/>
          <w:color w:val="auto"/>
          <w:sz w:val="21"/>
          <w:szCs w:val="21"/>
          <w:highlight w:val="none"/>
        </w:rPr>
      </w:pPr>
      <w:bookmarkStart w:id="1203" w:name="_Toc20398"/>
      <w:bookmarkStart w:id="1204" w:name="_Toc490667905"/>
      <w:bookmarkStart w:id="1205" w:name="_Toc10042"/>
      <w:bookmarkStart w:id="1206" w:name="_Toc509667336"/>
      <w:bookmarkStart w:id="1207" w:name="_Toc475341821"/>
      <w:bookmarkStart w:id="1208" w:name="_Toc13908"/>
      <w:bookmarkStart w:id="1209" w:name="_Toc11868"/>
      <w:bookmarkStart w:id="1210" w:name="_Toc18037"/>
      <w:bookmarkStart w:id="1211" w:name="_Toc475624463"/>
      <w:bookmarkStart w:id="1212" w:name="_Toc5203489"/>
      <w:bookmarkStart w:id="1213" w:name="_Toc5203400"/>
      <w:bookmarkStart w:id="1214" w:name="_Toc13347"/>
      <w:r>
        <w:rPr>
          <w:rFonts w:hint="eastAsia" w:ascii="宋体" w:hAnsi="宋体" w:eastAsia="宋体" w:cs="宋体"/>
          <w:b/>
          <w:bCs/>
          <w:color w:val="auto"/>
          <w:sz w:val="21"/>
          <w:szCs w:val="21"/>
          <w:highlight w:val="none"/>
        </w:rPr>
        <w:t>（四）近年发生的诉讼和仲裁情况</w:t>
      </w:r>
      <w:bookmarkEnd w:id="1203"/>
      <w:bookmarkEnd w:id="1204"/>
      <w:bookmarkEnd w:id="1205"/>
      <w:bookmarkEnd w:id="1206"/>
      <w:bookmarkEnd w:id="1207"/>
      <w:bookmarkEnd w:id="1208"/>
      <w:bookmarkEnd w:id="1209"/>
      <w:bookmarkEnd w:id="1210"/>
      <w:bookmarkEnd w:id="1211"/>
      <w:bookmarkEnd w:id="1212"/>
      <w:bookmarkEnd w:id="1213"/>
      <w:bookmarkEnd w:id="1214"/>
    </w:p>
    <w:p w14:paraId="70D7333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说明：近年（指近三年）发生的诉讼和仲裁情况仅限于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败诉的，且与履行施工承包合同有关的案件，不包括调解结案以及未裁决的仲裁或未终审判决的诉讼。（如没有诉讼和仲裁情况可填写“无”即可）</w:t>
      </w:r>
    </w:p>
    <w:p w14:paraId="0AD561C9">
      <w:pPr>
        <w:spacing w:line="360" w:lineRule="auto"/>
        <w:ind w:firstLine="420" w:firstLineChars="200"/>
        <w:rPr>
          <w:rFonts w:hint="eastAsia" w:ascii="宋体" w:hAnsi="宋体" w:eastAsia="宋体" w:cs="宋体"/>
          <w:color w:val="auto"/>
          <w:szCs w:val="21"/>
          <w:highlight w:val="none"/>
        </w:rPr>
      </w:pPr>
    </w:p>
    <w:p w14:paraId="37151F88">
      <w:pPr>
        <w:rPr>
          <w:rFonts w:hint="eastAsia" w:ascii="宋体" w:hAnsi="宋体" w:eastAsia="宋体" w:cs="宋体"/>
          <w:color w:val="auto"/>
          <w:highlight w:val="none"/>
        </w:rPr>
      </w:pPr>
    </w:p>
    <w:p w14:paraId="40677122">
      <w:pPr>
        <w:pStyle w:val="24"/>
        <w:ind w:firstLine="210"/>
        <w:rPr>
          <w:rFonts w:hint="eastAsia" w:ascii="宋体" w:hAnsi="宋体" w:eastAsia="宋体" w:cs="宋体"/>
          <w:color w:val="auto"/>
          <w:szCs w:val="21"/>
          <w:highlight w:val="none"/>
        </w:rPr>
      </w:pPr>
    </w:p>
    <w:p w14:paraId="66EF3906">
      <w:pPr>
        <w:pStyle w:val="47"/>
        <w:jc w:val="center"/>
        <w:rPr>
          <w:rFonts w:hint="eastAsia" w:ascii="宋体" w:hAnsi="宋体" w:eastAsia="宋体" w:cs="宋体"/>
          <w:b/>
          <w:bCs/>
          <w:color w:val="auto"/>
          <w:sz w:val="21"/>
          <w:szCs w:val="21"/>
          <w:highlight w:val="none"/>
        </w:rPr>
        <w:sectPr>
          <w:pgSz w:w="11906" w:h="16838"/>
          <w:pgMar w:top="1440" w:right="1080" w:bottom="1440" w:left="1080" w:header="851" w:footer="992" w:gutter="0"/>
          <w:pgNumType w:fmt="decimal"/>
          <w:cols w:space="720" w:num="1"/>
          <w:docGrid w:type="lines" w:linePitch="312" w:charSpace="0"/>
        </w:sectPr>
      </w:pPr>
    </w:p>
    <w:p w14:paraId="57E677E1">
      <w:pPr>
        <w:pStyle w:val="47"/>
        <w:jc w:val="left"/>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五）供应商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格式自拟）</w:t>
      </w:r>
    </w:p>
    <w:p w14:paraId="4DCC5CB4">
      <w:pPr>
        <w:rPr>
          <w:rFonts w:hint="eastAsia" w:ascii="宋体" w:hAnsi="宋体" w:eastAsia="宋体" w:cs="宋体"/>
          <w:color w:val="auto"/>
          <w:highlight w:val="none"/>
        </w:rPr>
      </w:pPr>
    </w:p>
    <w:p w14:paraId="340D315E">
      <w:pPr>
        <w:spacing w:line="360" w:lineRule="auto"/>
        <w:jc w:val="left"/>
        <w:rPr>
          <w:rFonts w:hint="eastAsia" w:ascii="宋体" w:hAnsi="宋体" w:eastAsia="宋体" w:cs="宋体"/>
          <w:color w:val="auto"/>
          <w:szCs w:val="21"/>
          <w:highlight w:val="none"/>
        </w:rPr>
      </w:pPr>
      <w:bookmarkStart w:id="1215" w:name="_Toc20295"/>
      <w:r>
        <w:rPr>
          <w:rFonts w:hint="eastAsia" w:ascii="宋体" w:hAnsi="宋体" w:eastAsia="宋体" w:cs="宋体"/>
          <w:color w:val="auto"/>
          <w:szCs w:val="21"/>
          <w:highlight w:val="none"/>
        </w:rPr>
        <w:br w:type="page"/>
      </w:r>
    </w:p>
    <w:p w14:paraId="792BC40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（六）反商业贿赂承诺书</w:t>
      </w:r>
      <w:bookmarkEnd w:id="1215"/>
    </w:p>
    <w:p w14:paraId="1F0C3B6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w:t>
      </w:r>
    </w:p>
    <w:p w14:paraId="33509A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在（项目名称）采购活动中，我公司保证做到：</w:t>
      </w:r>
    </w:p>
    <w:p w14:paraId="363A079A">
      <w:pPr>
        <w:spacing w:line="360" w:lineRule="auto"/>
        <w:ind w:firstLine="420" w:firstLineChars="200"/>
        <w:rPr>
          <w:rFonts w:hint="eastAsia" w:ascii="宋体" w:hAnsi="宋体" w:eastAsia="宋体" w:cs="宋体"/>
          <w:color w:val="auto"/>
          <w:szCs w:val="21"/>
          <w:highlight w:val="none"/>
        </w:rPr>
      </w:pPr>
      <w:bookmarkStart w:id="1216" w:name="_Toc23764"/>
      <w:r>
        <w:rPr>
          <w:rFonts w:hint="eastAsia" w:ascii="宋体" w:hAnsi="宋体" w:eastAsia="宋体" w:cs="宋体"/>
          <w:color w:val="auto"/>
          <w:szCs w:val="21"/>
          <w:highlight w:val="none"/>
        </w:rPr>
        <w:t>一、公平竞争参加本次采购活动。</w:t>
      </w:r>
      <w:bookmarkEnd w:id="1216"/>
    </w:p>
    <w:p w14:paraId="6B4278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0264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三、若出现上述行为，我公司及参与报价的工作人员愿意接受按照国家法律法规等有关规定给予的处罚。</w:t>
      </w:r>
    </w:p>
    <w:p w14:paraId="07B59B7A">
      <w:pPr>
        <w:spacing w:line="360" w:lineRule="auto"/>
        <w:rPr>
          <w:rFonts w:hint="eastAsia" w:ascii="宋体" w:hAnsi="宋体" w:eastAsia="宋体" w:cs="宋体"/>
          <w:color w:val="auto"/>
          <w:szCs w:val="21"/>
          <w:highlight w:val="none"/>
        </w:rPr>
      </w:pPr>
    </w:p>
    <w:p w14:paraId="5D1A4001">
      <w:pPr>
        <w:spacing w:line="360" w:lineRule="auto"/>
        <w:jc w:val="right"/>
        <w:rPr>
          <w:rFonts w:hint="eastAsia" w:ascii="宋体" w:hAnsi="宋体" w:eastAsia="宋体" w:cs="宋体"/>
          <w:color w:val="auto"/>
          <w:szCs w:val="21"/>
          <w:highlight w:val="none"/>
        </w:rPr>
      </w:pPr>
    </w:p>
    <w:p w14:paraId="53165867">
      <w:pPr>
        <w:spacing w:line="360" w:lineRule="auto"/>
        <w:ind w:firstLine="420" w:firstLineChars="200"/>
        <w:rPr>
          <w:rFonts w:hint="eastAsia" w:ascii="宋体" w:hAnsi="宋体" w:eastAsia="宋体" w:cs="宋体"/>
          <w:color w:val="auto"/>
          <w:szCs w:val="21"/>
          <w:highlight w:val="none"/>
        </w:rPr>
      </w:pPr>
    </w:p>
    <w:p w14:paraId="1B4A52CB">
      <w:pPr>
        <w:spacing w:line="360" w:lineRule="auto"/>
        <w:ind w:leftChars="120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盖企业电子章</w:t>
      </w:r>
      <w:r>
        <w:rPr>
          <w:rFonts w:hint="eastAsia" w:ascii="宋体" w:hAnsi="宋体" w:eastAsia="宋体" w:cs="宋体"/>
          <w:color w:val="auto"/>
          <w:spacing w:val="6"/>
          <w:szCs w:val="21"/>
          <w:highlight w:val="none"/>
        </w:rPr>
        <w:t>）：</w:t>
      </w:r>
    </w:p>
    <w:p w14:paraId="0D56F464">
      <w:pPr>
        <w:spacing w:line="360" w:lineRule="auto"/>
        <w:ind w:leftChars="120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法定代表人（签字或盖章）：</w:t>
      </w:r>
    </w:p>
    <w:p w14:paraId="5BEA4E1C">
      <w:pPr>
        <w:spacing w:line="360" w:lineRule="auto"/>
        <w:ind w:leftChars="12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年</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月</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日</w:t>
      </w:r>
    </w:p>
    <w:p w14:paraId="46C36156">
      <w:pPr>
        <w:pStyle w:val="25"/>
        <w:ind w:left="0" w:leftChars="0" w:firstLine="0" w:firstLineChars="0"/>
        <w:jc w:val="right"/>
        <w:rPr>
          <w:rFonts w:hint="eastAsia" w:ascii="宋体" w:hAnsi="宋体" w:eastAsia="宋体" w:cs="宋体"/>
          <w:color w:val="auto"/>
          <w:highlight w:val="none"/>
        </w:rPr>
      </w:pPr>
    </w:p>
    <w:p w14:paraId="5079FFE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5BFF36">
      <w:pPr>
        <w:pStyle w:val="24"/>
        <w:ind w:firstLine="210"/>
        <w:rPr>
          <w:rFonts w:hint="eastAsia" w:ascii="宋体" w:hAnsi="宋体" w:eastAsia="宋体" w:cs="宋体"/>
          <w:color w:val="auto"/>
          <w:highlight w:val="none"/>
        </w:rPr>
      </w:pPr>
    </w:p>
    <w:p w14:paraId="2B5AABD6">
      <w:pPr>
        <w:pStyle w:val="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（七）对农民工工资问题的承诺书</w:t>
      </w:r>
    </w:p>
    <w:p w14:paraId="507EF5E6">
      <w:pPr>
        <w:spacing w:line="360" w:lineRule="auto"/>
        <w:rPr>
          <w:rFonts w:hint="eastAsia" w:ascii="宋体" w:hAnsi="宋体" w:eastAsia="宋体" w:cs="宋体"/>
          <w:color w:val="auto"/>
          <w:szCs w:val="21"/>
          <w:highlight w:val="none"/>
        </w:rPr>
      </w:pPr>
    </w:p>
    <w:p w14:paraId="31AC6B7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供应商须在响应文件中如实反映其以前所承建工程的工资支付情况，需要特别注明截止开标前，不存在拖欠或克扣农民工工资的行为。（格式自拟）</w:t>
      </w:r>
    </w:p>
    <w:p w14:paraId="3EA4B30A">
      <w:pPr>
        <w:spacing w:line="360" w:lineRule="auto"/>
        <w:ind w:left="420" w:firstLine="420" w:firstLineChars="200"/>
        <w:jc w:val="left"/>
        <w:rPr>
          <w:rFonts w:hint="eastAsia" w:ascii="宋体" w:hAnsi="宋体" w:eastAsia="宋体" w:cs="宋体"/>
          <w:color w:val="auto"/>
          <w:szCs w:val="21"/>
          <w:highlight w:val="none"/>
        </w:rPr>
      </w:pPr>
    </w:p>
    <w:p w14:paraId="4F75608C">
      <w:pPr>
        <w:pStyle w:val="24"/>
        <w:spacing w:line="360" w:lineRule="auto"/>
        <w:ind w:firstLine="210"/>
        <w:rPr>
          <w:rFonts w:hint="eastAsia" w:ascii="宋体" w:hAnsi="宋体" w:eastAsia="宋体" w:cs="宋体"/>
          <w:color w:val="auto"/>
          <w:szCs w:val="21"/>
          <w:highlight w:val="none"/>
        </w:rPr>
      </w:pPr>
    </w:p>
    <w:p w14:paraId="6505B37F">
      <w:pPr>
        <w:pStyle w:val="25"/>
        <w:spacing w:line="360" w:lineRule="auto"/>
        <w:rPr>
          <w:rFonts w:hint="eastAsia" w:ascii="宋体" w:hAnsi="宋体" w:eastAsia="宋体" w:cs="宋体"/>
          <w:color w:val="auto"/>
          <w:szCs w:val="21"/>
          <w:highlight w:val="none"/>
        </w:rPr>
      </w:pPr>
    </w:p>
    <w:p w14:paraId="26C40AC5">
      <w:pPr>
        <w:spacing w:line="360" w:lineRule="auto"/>
        <w:rPr>
          <w:rFonts w:hint="eastAsia" w:ascii="宋体" w:hAnsi="宋体" w:eastAsia="宋体" w:cs="宋体"/>
          <w:color w:val="auto"/>
          <w:szCs w:val="21"/>
          <w:highlight w:val="none"/>
        </w:rPr>
      </w:pPr>
    </w:p>
    <w:p w14:paraId="49DDF62A">
      <w:pPr>
        <w:pStyle w:val="24"/>
        <w:spacing w:line="360" w:lineRule="auto"/>
        <w:ind w:firstLine="210"/>
        <w:rPr>
          <w:rFonts w:hint="eastAsia" w:ascii="宋体" w:hAnsi="宋体" w:eastAsia="宋体" w:cs="宋体"/>
          <w:color w:val="auto"/>
          <w:szCs w:val="21"/>
          <w:highlight w:val="none"/>
        </w:rPr>
      </w:pPr>
    </w:p>
    <w:p w14:paraId="633997DA">
      <w:pPr>
        <w:pStyle w:val="25"/>
        <w:spacing w:line="360" w:lineRule="auto"/>
        <w:rPr>
          <w:rFonts w:hint="eastAsia" w:ascii="宋体" w:hAnsi="宋体" w:eastAsia="宋体" w:cs="宋体"/>
          <w:color w:val="auto"/>
          <w:highlight w:val="none"/>
        </w:rPr>
      </w:pPr>
    </w:p>
    <w:p w14:paraId="338363EF">
      <w:pPr>
        <w:pStyle w:val="25"/>
        <w:spacing w:line="360" w:lineRule="auto"/>
        <w:rPr>
          <w:rFonts w:hint="eastAsia" w:ascii="宋体" w:hAnsi="宋体" w:eastAsia="宋体" w:cs="宋体"/>
          <w:color w:val="auto"/>
          <w:szCs w:val="21"/>
          <w:highlight w:val="none"/>
        </w:rPr>
      </w:pPr>
    </w:p>
    <w:p w14:paraId="529D8437">
      <w:pPr>
        <w:spacing w:line="360" w:lineRule="auto"/>
        <w:rPr>
          <w:rFonts w:hint="eastAsia" w:ascii="宋体" w:hAnsi="宋体" w:eastAsia="宋体" w:cs="宋体"/>
          <w:color w:val="auto"/>
          <w:szCs w:val="21"/>
          <w:highlight w:val="none"/>
        </w:rPr>
      </w:pPr>
    </w:p>
    <w:p w14:paraId="7FE61B40">
      <w:pPr>
        <w:spacing w:line="360" w:lineRule="auto"/>
        <w:ind w:left="420"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供应商：（盖企业电子章）</w:t>
      </w:r>
    </w:p>
    <w:p w14:paraId="39B06E52">
      <w:pPr>
        <w:spacing w:line="360" w:lineRule="auto"/>
        <w:ind w:left="420"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法定代表人或其委托代理人：（签字或盖章）</w:t>
      </w:r>
    </w:p>
    <w:p w14:paraId="4085143C">
      <w:pPr>
        <w:spacing w:line="360" w:lineRule="auto"/>
        <w:ind w:left="420"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34FB920B">
      <w:pPr>
        <w:widowControl/>
        <w:spacing w:line="360" w:lineRule="auto"/>
        <w:jc w:val="center"/>
        <w:outlineLvl w:val="1"/>
        <w:rPr>
          <w:rFonts w:hint="eastAsia" w:ascii="宋体" w:hAnsi="宋体" w:eastAsia="宋体" w:cs="宋体"/>
          <w:b/>
          <w:color w:val="auto"/>
          <w:kern w:val="0"/>
          <w:szCs w:val="21"/>
          <w:highlight w:val="none"/>
        </w:rPr>
        <w:sectPr>
          <w:pgSz w:w="11906" w:h="16838"/>
          <w:pgMar w:top="1440" w:right="1080" w:bottom="1440" w:left="1080" w:header="851" w:footer="992" w:gutter="0"/>
          <w:pgNumType w:fmt="decimal"/>
          <w:cols w:space="720" w:num="1"/>
          <w:docGrid w:type="lines" w:linePitch="312" w:charSpace="0"/>
        </w:sectPr>
      </w:pPr>
      <w:bookmarkStart w:id="1217" w:name="_Toc26212"/>
    </w:p>
    <w:p w14:paraId="0292C129">
      <w:pPr>
        <w:widowControl/>
        <w:spacing w:line="360" w:lineRule="auto"/>
        <w:jc w:val="center"/>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八.享受政府采购政策扶持的证明材料</w:t>
      </w:r>
    </w:p>
    <w:p w14:paraId="5308F525">
      <w:pPr>
        <w:spacing w:line="360" w:lineRule="auto"/>
        <w:jc w:val="center"/>
        <w:rPr>
          <w:rFonts w:hint="eastAsia" w:ascii="宋体" w:hAnsi="宋体" w:eastAsia="宋体" w:cs="宋体"/>
          <w:b/>
          <w:bCs/>
          <w:color w:val="auto"/>
          <w:sz w:val="24"/>
          <w:szCs w:val="32"/>
          <w:highlight w:val="none"/>
        </w:rPr>
      </w:pPr>
      <w:bookmarkStart w:id="1218" w:name="_Toc14667"/>
      <w:bookmarkStart w:id="1219" w:name="_Toc5283"/>
      <w:bookmarkStart w:id="1220" w:name="_Toc25843"/>
      <w:bookmarkStart w:id="1221" w:name="_Toc32740"/>
      <w:bookmarkStart w:id="1222" w:name="_Toc8999"/>
      <w:r>
        <w:rPr>
          <w:rFonts w:hint="eastAsia" w:ascii="宋体" w:hAnsi="宋体" w:eastAsia="宋体" w:cs="宋体"/>
          <w:b/>
          <w:bCs/>
          <w:color w:val="auto"/>
          <w:sz w:val="24"/>
          <w:szCs w:val="32"/>
          <w:highlight w:val="none"/>
        </w:rPr>
        <w:t>（1）</w:t>
      </w:r>
      <w:bookmarkEnd w:id="1218"/>
      <w:bookmarkEnd w:id="1219"/>
      <w:bookmarkEnd w:id="1220"/>
      <w:bookmarkStart w:id="1223" w:name="_Toc17365"/>
      <w:r>
        <w:rPr>
          <w:rFonts w:hint="eastAsia" w:ascii="宋体" w:hAnsi="宋体" w:eastAsia="宋体" w:cs="宋体"/>
          <w:b/>
          <w:bCs/>
          <w:color w:val="auto"/>
          <w:sz w:val="24"/>
          <w:szCs w:val="32"/>
          <w:highlight w:val="none"/>
        </w:rPr>
        <w:t>中小企业声明函（工程）</w:t>
      </w:r>
      <w:bookmarkEnd w:id="1221"/>
      <w:bookmarkEnd w:id="1222"/>
      <w:bookmarkEnd w:id="1223"/>
    </w:p>
    <w:p w14:paraId="19B16F94">
      <w:pPr>
        <w:pStyle w:val="10"/>
        <w:autoSpaceDE w:val="0"/>
        <w:autoSpaceDN w:val="0"/>
        <w:spacing w:line="360" w:lineRule="auto"/>
        <w:ind w:firstLine="412" w:firstLineChars="2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本公司</w:t>
      </w:r>
      <w:r>
        <w:rPr>
          <w:rFonts w:hint="eastAsia" w:ascii="宋体" w:hAnsi="宋体" w:eastAsia="宋体" w:cs="宋体"/>
          <w:color w:val="auto"/>
          <w:szCs w:val="21"/>
          <w:highlight w:val="none"/>
        </w:rPr>
        <w:t>（联合体</w:t>
      </w:r>
      <w:r>
        <w:rPr>
          <w:rFonts w:hint="eastAsia" w:ascii="宋体" w:hAnsi="宋体" w:eastAsia="宋体" w:cs="宋体"/>
          <w:color w:val="auto"/>
          <w:spacing w:val="-5"/>
          <w:szCs w:val="21"/>
          <w:highlight w:val="none"/>
        </w:rPr>
        <w:t>）</w:t>
      </w:r>
      <w:r>
        <w:rPr>
          <w:rFonts w:hint="eastAsia" w:ascii="宋体" w:hAnsi="宋体" w:eastAsia="宋体" w:cs="宋体"/>
          <w:color w:val="auto"/>
          <w:spacing w:val="-2"/>
          <w:szCs w:val="21"/>
          <w:highlight w:val="none"/>
        </w:rPr>
        <w:t>郑重声明，根据《政府采购促进中小</w:t>
      </w:r>
      <w:r>
        <w:rPr>
          <w:rFonts w:hint="eastAsia" w:ascii="宋体" w:hAnsi="宋体" w:eastAsia="宋体" w:cs="宋体"/>
          <w:color w:val="auto"/>
          <w:spacing w:val="-18"/>
          <w:szCs w:val="21"/>
          <w:highlight w:val="none"/>
        </w:rPr>
        <w:t>企业发展管理办法》</w:t>
      </w:r>
      <w:r>
        <w:rPr>
          <w:rFonts w:hint="eastAsia" w:ascii="宋体" w:hAnsi="宋体" w:eastAsia="宋体" w:cs="宋体"/>
          <w:color w:val="auto"/>
          <w:szCs w:val="21"/>
          <w:highlight w:val="none"/>
        </w:rPr>
        <w:t>（</w:t>
      </w:r>
      <w:r>
        <w:rPr>
          <w:rFonts w:hint="eastAsia" w:ascii="宋体" w:hAnsi="宋体" w:eastAsia="宋体" w:cs="宋体"/>
          <w:color w:val="auto"/>
          <w:spacing w:val="5"/>
          <w:szCs w:val="21"/>
          <w:highlight w:val="none"/>
        </w:rPr>
        <w:t>财库</w:t>
      </w:r>
      <w:r>
        <w:rPr>
          <w:rFonts w:hint="eastAsia" w:ascii="宋体" w:hAnsi="宋体" w:eastAsia="宋体" w:cs="宋体"/>
          <w:color w:val="auto"/>
          <w:szCs w:val="21"/>
          <w:highlight w:val="none"/>
        </w:rPr>
        <w:t>﹝2020﹞46</w:t>
      </w:r>
      <w:r>
        <w:rPr>
          <w:rFonts w:hint="eastAsia" w:ascii="宋体" w:hAnsi="宋体" w:eastAsia="宋体" w:cs="宋体"/>
          <w:color w:val="auto"/>
          <w:spacing w:val="-38"/>
          <w:szCs w:val="21"/>
          <w:highlight w:val="none"/>
        </w:rPr>
        <w:t>号</w:t>
      </w:r>
      <w:r>
        <w:rPr>
          <w:rFonts w:hint="eastAsia" w:ascii="宋体" w:hAnsi="宋体" w:eastAsia="宋体" w:cs="宋体"/>
          <w:color w:val="auto"/>
          <w:spacing w:val="5"/>
          <w:szCs w:val="21"/>
          <w:highlight w:val="none"/>
        </w:rPr>
        <w:t>）</w:t>
      </w:r>
      <w:r>
        <w:rPr>
          <w:rFonts w:hint="eastAsia" w:ascii="宋体" w:hAnsi="宋体" w:eastAsia="宋体" w:cs="宋体"/>
          <w:color w:val="auto"/>
          <w:szCs w:val="21"/>
          <w:highlight w:val="none"/>
        </w:rPr>
        <w:t>的规定，本公司（联合体）</w:t>
      </w:r>
      <w:r>
        <w:rPr>
          <w:rFonts w:hint="eastAsia" w:ascii="宋体" w:hAnsi="宋体" w:eastAsia="宋体" w:cs="宋体"/>
          <w:color w:val="auto"/>
          <w:spacing w:val="-8"/>
          <w:szCs w:val="21"/>
          <w:highlight w:val="none"/>
        </w:rPr>
        <w:t>参加</w:t>
      </w:r>
      <w:r>
        <w:rPr>
          <w:rFonts w:hint="eastAsia" w:ascii="宋体" w:hAnsi="宋体" w:eastAsia="宋体" w:cs="宋体"/>
          <w:color w:val="auto"/>
          <w:szCs w:val="21"/>
          <w:highlight w:val="none"/>
          <w:u w:val="single"/>
          <w:lang w:val="zh-CN" w:bidi="zh-CN"/>
        </w:rPr>
        <w:t>（单位名称）</w:t>
      </w:r>
      <w:r>
        <w:rPr>
          <w:rFonts w:hint="eastAsia" w:ascii="宋体" w:hAnsi="宋体" w:eastAsia="宋体" w:cs="宋体"/>
          <w:color w:val="auto"/>
          <w:spacing w:val="-15"/>
          <w:szCs w:val="21"/>
          <w:highlight w:val="none"/>
        </w:rPr>
        <w:t>的</w:t>
      </w:r>
      <w:r>
        <w:rPr>
          <w:rFonts w:hint="eastAsia" w:ascii="宋体" w:hAnsi="宋体" w:eastAsia="宋体" w:cs="宋体"/>
          <w:color w:val="auto"/>
          <w:szCs w:val="21"/>
          <w:highlight w:val="none"/>
          <w:u w:val="single"/>
          <w:lang w:val="zh-CN" w:bidi="zh-CN"/>
        </w:rPr>
        <w:t>（项目名称）</w:t>
      </w:r>
      <w:r>
        <w:rPr>
          <w:rFonts w:hint="eastAsia" w:ascii="宋体" w:hAnsi="宋体" w:eastAsia="宋体" w:cs="宋体"/>
          <w:color w:val="auto"/>
          <w:spacing w:val="-1"/>
          <w:szCs w:val="21"/>
          <w:highlight w:val="none"/>
        </w:rPr>
        <w:t>采购活动，</w:t>
      </w:r>
      <w:r>
        <w:rPr>
          <w:rFonts w:hint="eastAsia" w:ascii="宋体" w:hAnsi="宋体" w:eastAsia="宋体" w:cs="宋体"/>
          <w:color w:val="auto"/>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471230CB">
      <w:pPr>
        <w:pStyle w:val="52"/>
        <w:tabs>
          <w:tab w:val="left" w:pos="1243"/>
        </w:tabs>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zh-CN" w:bidi="zh-CN"/>
        </w:rPr>
        <w:t>（标的名称）</w:t>
      </w:r>
      <w:r>
        <w:rPr>
          <w:rFonts w:hint="eastAsia" w:ascii="宋体" w:hAnsi="宋体" w:eastAsia="宋体" w:cs="宋体"/>
          <w:color w:val="auto"/>
          <w:spacing w:val="-60"/>
          <w:w w:val="99"/>
          <w:szCs w:val="21"/>
          <w:highlight w:val="none"/>
        </w:rPr>
        <w:t>，</w:t>
      </w:r>
      <w:r>
        <w:rPr>
          <w:rFonts w:hint="eastAsia" w:ascii="宋体" w:hAnsi="宋体" w:eastAsia="宋体" w:cs="宋体"/>
          <w:color w:val="auto"/>
          <w:szCs w:val="21"/>
          <w:highlight w:val="none"/>
          <w:lang w:val="zh-CN" w:bidi="zh-CN"/>
        </w:rPr>
        <w:t>属于</w:t>
      </w:r>
      <w:r>
        <w:rPr>
          <w:rFonts w:hint="eastAsia" w:ascii="宋体" w:hAnsi="宋体" w:eastAsia="宋体" w:cs="宋体"/>
          <w:color w:val="auto"/>
          <w:szCs w:val="21"/>
          <w:highlight w:val="none"/>
          <w:u w:val="single"/>
          <w:lang w:val="zh-CN" w:bidi="zh-CN"/>
        </w:rPr>
        <w:t>（采购文件中明确的所属行业）</w:t>
      </w:r>
      <w:r>
        <w:rPr>
          <w:rFonts w:hint="eastAsia" w:ascii="宋体" w:hAnsi="宋体" w:eastAsia="宋体" w:cs="宋体"/>
          <w:color w:val="auto"/>
          <w:szCs w:val="21"/>
          <w:highlight w:val="none"/>
          <w:lang w:val="zh-CN" w:bidi="zh-CN"/>
        </w:rPr>
        <w:t>；承建（承接）企业为</w:t>
      </w:r>
      <w:r>
        <w:rPr>
          <w:rFonts w:hint="eastAsia" w:ascii="宋体" w:hAnsi="宋体" w:eastAsia="宋体" w:cs="宋体"/>
          <w:color w:val="auto"/>
          <w:szCs w:val="21"/>
          <w:highlight w:val="none"/>
          <w:u w:val="single"/>
          <w:lang w:val="zh-CN" w:bidi="zh-CN"/>
        </w:rPr>
        <w:t>（企业名称）</w:t>
      </w:r>
      <w:r>
        <w:rPr>
          <w:rFonts w:hint="eastAsia" w:ascii="宋体" w:hAnsi="宋体" w:eastAsia="宋体" w:cs="宋体"/>
          <w:color w:val="auto"/>
          <w:szCs w:val="21"/>
          <w:highlight w:val="none"/>
          <w:lang w:val="zh-CN" w:bidi="zh-CN"/>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lang w:val="zh-CN" w:bidi="zh-CN"/>
        </w:rPr>
        <w:t>人，营业收入为万元，资产总额为</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bidi="zh-CN"/>
        </w:rPr>
        <w:t>，属于</w:t>
      </w:r>
      <w:r>
        <w:rPr>
          <w:rFonts w:hint="eastAsia" w:ascii="宋体" w:hAnsi="宋体" w:eastAsia="宋体" w:cs="宋体"/>
          <w:color w:val="auto"/>
          <w:szCs w:val="21"/>
          <w:highlight w:val="none"/>
          <w:u w:val="single"/>
          <w:lang w:val="zh-CN" w:bidi="zh-CN"/>
        </w:rPr>
        <w:t>（中型企业、小型企业、微型企业）</w:t>
      </w:r>
      <w:r>
        <w:rPr>
          <w:rFonts w:hint="eastAsia" w:ascii="宋体" w:hAnsi="宋体" w:eastAsia="宋体" w:cs="宋体"/>
          <w:color w:val="auto"/>
          <w:szCs w:val="21"/>
          <w:highlight w:val="none"/>
          <w:lang w:val="zh-CN" w:bidi="zh-CN"/>
        </w:rPr>
        <w:t>；</w:t>
      </w:r>
    </w:p>
    <w:p w14:paraId="1FE6C626">
      <w:pPr>
        <w:pStyle w:val="10"/>
        <w:autoSpaceDE w:val="0"/>
        <w:autoSpaceDN w:val="0"/>
        <w:spacing w:line="360" w:lineRule="auto"/>
        <w:ind w:firstLine="408" w:firstLineChars="200"/>
        <w:jc w:val="left"/>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以上企业，不属于大企业的分支机构，不存在控股股东</w:t>
      </w:r>
      <w:r>
        <w:rPr>
          <w:rFonts w:hint="eastAsia" w:ascii="宋体" w:hAnsi="宋体" w:eastAsia="宋体" w:cs="宋体"/>
          <w:color w:val="auto"/>
          <w:spacing w:val="-5"/>
          <w:szCs w:val="21"/>
          <w:highlight w:val="none"/>
        </w:rPr>
        <w:t>为大企业的情形，也不存在与大企业的负责人为同一人的情形。</w:t>
      </w:r>
    </w:p>
    <w:p w14:paraId="734C5095">
      <w:pPr>
        <w:pStyle w:val="10"/>
        <w:autoSpaceDE w:val="0"/>
        <w:autoSpaceDN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1BC477C">
      <w:pPr>
        <w:spacing w:line="360" w:lineRule="auto"/>
        <w:rPr>
          <w:rFonts w:hint="eastAsia" w:ascii="宋体" w:hAnsi="宋体" w:eastAsia="宋体" w:cs="宋体"/>
          <w:color w:val="auto"/>
          <w:szCs w:val="21"/>
          <w:highlight w:val="none"/>
        </w:rPr>
      </w:pPr>
    </w:p>
    <w:p w14:paraId="3F0F3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企业名称（盖企业电子章）：</w:t>
      </w:r>
    </w:p>
    <w:p w14:paraId="455D94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3214CEFA">
      <w:pPr>
        <w:spacing w:line="440" w:lineRule="exact"/>
        <w:ind w:left="120"/>
        <w:jc w:val="right"/>
        <w:rPr>
          <w:rFonts w:hint="eastAsia" w:ascii="宋体" w:hAnsi="宋体" w:eastAsia="宋体" w:cs="宋体"/>
          <w:color w:val="auto"/>
          <w:szCs w:val="21"/>
          <w:highlight w:val="none"/>
        </w:rPr>
      </w:pPr>
    </w:p>
    <w:p w14:paraId="6355266F">
      <w:pPr>
        <w:widowControl/>
        <w:spacing w:line="360" w:lineRule="auto"/>
        <w:rPr>
          <w:rFonts w:hint="eastAsia" w:ascii="宋体" w:hAnsi="宋体" w:eastAsia="宋体" w:cs="宋体"/>
          <w:color w:val="auto"/>
          <w:kern w:val="0"/>
          <w:szCs w:val="21"/>
          <w:highlight w:val="none"/>
        </w:rPr>
      </w:pPr>
    </w:p>
    <w:p w14:paraId="54B05374">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0B7E6EE6">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1.从业人员、营业收入、资产总额填报上一年度数据，无上一年度数据的新成立企业可不填报。</w:t>
      </w:r>
    </w:p>
    <w:p w14:paraId="0C71144C">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2.填写前请认真阅读《关于印发中小企业划型标准规定的通知》（工信部联企业[2011]300号）和《关于印发＜政府采购促进中小企业发展管理办法＞的通知》(财库﹝2020﹞46号)相关规定。</w:t>
      </w:r>
    </w:p>
    <w:p w14:paraId="69245790">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3.未按上述要求提供、填写的，评审时不予以考虑。</w:t>
      </w:r>
    </w:p>
    <w:p w14:paraId="324012BE">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4.非中型、小型、微型企业生产时无需填写盖章。</w:t>
      </w:r>
    </w:p>
    <w:p w14:paraId="5F1BDE49">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说明：该声明函是有针对性的，属于中小企业的填写，不属于的无需填写此项内容，且响应文件中无需保留此项内容。</w:t>
      </w:r>
    </w:p>
    <w:p w14:paraId="4B2B7980">
      <w:pPr>
        <w:widowControl/>
        <w:spacing w:line="360" w:lineRule="auto"/>
        <w:rPr>
          <w:rFonts w:hint="eastAsia" w:ascii="宋体" w:hAnsi="宋体" w:eastAsia="宋体" w:cs="宋体"/>
          <w:color w:val="auto"/>
          <w:kern w:val="0"/>
          <w:szCs w:val="21"/>
          <w:highlight w:val="none"/>
        </w:rPr>
      </w:pPr>
    </w:p>
    <w:p w14:paraId="5DE0FB51">
      <w:pPr>
        <w:widowControl/>
        <w:spacing w:line="360" w:lineRule="auto"/>
        <w:rPr>
          <w:rFonts w:hint="eastAsia" w:ascii="宋体" w:hAnsi="宋体" w:eastAsia="宋体" w:cs="宋体"/>
          <w:color w:val="auto"/>
          <w:kern w:val="0"/>
          <w:szCs w:val="21"/>
          <w:highlight w:val="none"/>
        </w:rPr>
      </w:pPr>
      <w:bookmarkStart w:id="1224" w:name="_Toc7881"/>
      <w:r>
        <w:rPr>
          <w:rFonts w:hint="eastAsia" w:ascii="宋体" w:hAnsi="宋体" w:eastAsia="宋体" w:cs="宋体"/>
          <w:color w:val="auto"/>
          <w:kern w:val="0"/>
          <w:szCs w:val="21"/>
          <w:highlight w:val="none"/>
        </w:rPr>
        <w:br w:type="page"/>
      </w:r>
    </w:p>
    <w:p w14:paraId="1B1627C6">
      <w:pPr>
        <w:widowControl/>
        <w:spacing w:line="360" w:lineRule="auto"/>
        <w:jc w:val="center"/>
        <w:rPr>
          <w:rFonts w:hint="eastAsia" w:ascii="宋体" w:hAnsi="宋体" w:eastAsia="宋体" w:cs="宋体"/>
          <w:color w:val="auto"/>
          <w:kern w:val="0"/>
          <w:szCs w:val="21"/>
          <w:highlight w:val="none"/>
        </w:rPr>
      </w:pPr>
      <w:bookmarkStart w:id="1225" w:name="_Toc29728"/>
      <w:r>
        <w:rPr>
          <w:rFonts w:hint="eastAsia" w:ascii="宋体" w:hAnsi="宋体" w:eastAsia="宋体" w:cs="宋体"/>
          <w:b/>
          <w:color w:val="auto"/>
          <w:szCs w:val="21"/>
          <w:highlight w:val="none"/>
        </w:rPr>
        <w:t>（2）残疾人福利性单位声明函</w:t>
      </w:r>
      <w:bookmarkEnd w:id="1224"/>
      <w:bookmarkEnd w:id="1225"/>
    </w:p>
    <w:p w14:paraId="3C008623">
      <w:pPr>
        <w:widowControl/>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本单位郑重声明，根据《财政部民政部中国残疾人联合会关于促进残疾人就业政府采购政策的通知》（财库〔2017〕141号）的规定，本单位为符合条件的残疾人福利性单位，且本单位参加单位的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7B26B0D2">
      <w:pPr>
        <w:widowControl/>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65A6CC4">
      <w:pPr>
        <w:widowControl/>
        <w:spacing w:line="48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企业名称（盖企业电子章）：</w:t>
      </w:r>
    </w:p>
    <w:p w14:paraId="260B541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p>
    <w:p w14:paraId="1BA53193">
      <w:pPr>
        <w:widowControl/>
        <w:spacing w:line="360" w:lineRule="auto"/>
        <w:jc w:val="center"/>
        <w:rPr>
          <w:rFonts w:hint="eastAsia" w:ascii="宋体" w:hAnsi="宋体" w:eastAsia="宋体" w:cs="宋体"/>
          <w:color w:val="auto"/>
          <w:szCs w:val="21"/>
          <w:highlight w:val="none"/>
        </w:rPr>
      </w:pPr>
    </w:p>
    <w:p w14:paraId="2B6B919F">
      <w:pPr>
        <w:widowControl/>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（提醒：该声明函是有针对性的，属于残疾人福利性企业的填写，不属于的无需填写此项内容，且响应文件中无需保留此项内容。）</w:t>
      </w:r>
    </w:p>
    <w:p w14:paraId="58BE4399">
      <w:pPr>
        <w:pStyle w:val="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1226" w:name="_Toc2359"/>
      <w:bookmarkStart w:id="1227" w:name="_Toc30134"/>
      <w:r>
        <w:rPr>
          <w:rFonts w:hint="eastAsia" w:ascii="宋体" w:hAnsi="宋体" w:eastAsia="宋体" w:cs="宋体"/>
          <w:color w:val="auto"/>
          <w:sz w:val="21"/>
          <w:szCs w:val="21"/>
          <w:highlight w:val="none"/>
        </w:rPr>
        <w:t>九、其他材料</w:t>
      </w:r>
      <w:bookmarkEnd w:id="1217"/>
      <w:bookmarkEnd w:id="1226"/>
      <w:bookmarkEnd w:id="1227"/>
    </w:p>
    <w:p w14:paraId="16341F53">
      <w:pPr>
        <w:spacing w:line="360" w:lineRule="auto"/>
        <w:jc w:val="center"/>
        <w:outlineLvl w:val="1"/>
        <w:rPr>
          <w:rFonts w:hint="eastAsia" w:ascii="宋体" w:hAnsi="宋体" w:eastAsia="宋体" w:cs="宋体"/>
          <w:b/>
          <w:bCs/>
          <w:color w:val="auto"/>
          <w:kern w:val="0"/>
          <w:sz w:val="32"/>
          <w:szCs w:val="32"/>
          <w:highlight w:val="none"/>
        </w:rPr>
      </w:pPr>
      <w:bookmarkStart w:id="1228" w:name="_Toc20019"/>
      <w:bookmarkStart w:id="1229" w:name="_Toc11310"/>
      <w:bookmarkStart w:id="1230" w:name="_Toc14405"/>
      <w:r>
        <w:rPr>
          <w:rFonts w:hint="eastAsia" w:ascii="宋体" w:hAnsi="宋体" w:eastAsia="宋体" w:cs="宋体"/>
          <w:color w:val="auto"/>
          <w:szCs w:val="21"/>
          <w:highlight w:val="none"/>
        </w:rPr>
        <w:t>供应商认为需要提供的其他材料。</w:t>
      </w:r>
      <w:bookmarkEnd w:id="1228"/>
      <w:bookmarkEnd w:id="1229"/>
      <w:bookmarkEnd w:id="1230"/>
    </w:p>
    <w:p w14:paraId="68A2655A">
      <w:pPr>
        <w:pStyle w:val="54"/>
        <w:jc w:val="both"/>
        <w:rPr>
          <w:rFonts w:hint="eastAsia" w:ascii="宋体" w:hAnsi="宋体" w:eastAsia="宋体" w:cs="宋体"/>
          <w:color w:val="auto"/>
          <w:highlight w:val="none"/>
        </w:rPr>
      </w:pPr>
    </w:p>
    <w:p w14:paraId="3917225C">
      <w:pPr>
        <w:pStyle w:val="3"/>
        <w:spacing w:line="360" w:lineRule="auto"/>
        <w:jc w:val="center"/>
        <w:rPr>
          <w:rFonts w:hint="eastAsia" w:ascii="宋体" w:hAnsi="宋体" w:eastAsia="宋体" w:cs="宋体"/>
          <w:color w:val="auto"/>
          <w:highlight w:val="none"/>
        </w:rPr>
      </w:pPr>
    </w:p>
    <w:p w14:paraId="478DF624">
      <w:pPr>
        <w:rPr>
          <w:rFonts w:hint="eastAsia" w:ascii="宋体" w:hAnsi="宋体" w:eastAsia="宋体" w:cs="宋体"/>
          <w:b/>
          <w:color w:val="auto"/>
          <w:szCs w:val="21"/>
          <w:highlight w:val="none"/>
        </w:rPr>
      </w:pPr>
    </w:p>
    <w:p w14:paraId="7B27AE36">
      <w:pPr>
        <w:rPr>
          <w:rFonts w:hint="eastAsia" w:ascii="宋体" w:hAnsi="宋体" w:eastAsia="宋体" w:cs="宋体"/>
          <w:color w:val="auto"/>
          <w:highlight w:val="none"/>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ECAD">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8E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79ED">
    <w:pPr>
      <w:pStyle w:val="16"/>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947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272F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8272F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685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CDBFA">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7CDBFA">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D4125">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C9A9">
    <w:pPr>
      <w:pStyle w:val="16"/>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7ED3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D7ED35">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698C">
    <w:pP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E163E">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BE163E">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39EC">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1247">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171247">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E7A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616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31A1">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6837">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7EF0">
    <w:pPr>
      <w:pStyle w:val="17"/>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4E4A0"/>
    <w:multiLevelType w:val="singleLevel"/>
    <w:tmpl w:val="9BF4E4A0"/>
    <w:lvl w:ilvl="0" w:tentative="0">
      <w:start w:val="7"/>
      <w:numFmt w:val="chineseCounting"/>
      <w:suff w:val="space"/>
      <w:lvlText w:val="第%1章"/>
      <w:lvlJc w:val="left"/>
      <w:rPr>
        <w:rFonts w:hint="eastAsia"/>
      </w:rPr>
    </w:lvl>
  </w:abstractNum>
  <w:abstractNum w:abstractNumId="1">
    <w:nsid w:val="149490AF"/>
    <w:multiLevelType w:val="singleLevel"/>
    <w:tmpl w:val="149490AF"/>
    <w:lvl w:ilvl="0" w:tentative="0">
      <w:start w:val="1"/>
      <w:numFmt w:val="decimal"/>
      <w:lvlText w:val="(%1)"/>
      <w:lvlJc w:val="left"/>
      <w:pPr>
        <w:ind w:left="425" w:hanging="425"/>
      </w:pPr>
      <w:rPr>
        <w:rFonts w:hint="default"/>
      </w:rPr>
    </w:lvl>
  </w:abstractNum>
  <w:abstractNum w:abstractNumId="2">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lvlText w:val="%2."/>
      <w:lvlJc w:val="left"/>
      <w:pPr>
        <w:tabs>
          <w:tab w:val="left" w:pos="851"/>
        </w:tabs>
        <w:ind w:left="0" w:firstLine="0"/>
      </w:pPr>
      <w:rPr>
        <w:rFonts w:hint="eastAsia" w:eastAsia="仿宋"/>
      </w:rPr>
    </w:lvl>
    <w:lvl w:ilvl="2" w:tentative="0">
      <w:start w:val="1"/>
      <w:numFmt w:val="decimal"/>
      <w:pStyle w:val="69"/>
      <w:isLgl/>
      <w:lvlText w:val="%1.%2.%3"/>
      <w:lvlJc w:val="left"/>
      <w:pPr>
        <w:tabs>
          <w:tab w:val="left" w:pos="851"/>
        </w:tabs>
        <w:ind w:left="0" w:firstLine="0"/>
      </w:pPr>
      <w:rPr>
        <w:rFonts w:ascii="仿宋" w:hAnsi="仿宋" w:eastAsia="仿宋"/>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714879E2"/>
    <w:multiLevelType w:val="singleLevel"/>
    <w:tmpl w:val="714879E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ODdjZWE0MWNiMTJjZDdkMWY2YTUwOTY5MTg4Y2MifQ=="/>
  </w:docVars>
  <w:rsids>
    <w:rsidRoot w:val="5D190FBE"/>
    <w:rsid w:val="00060C21"/>
    <w:rsid w:val="00092FCA"/>
    <w:rsid w:val="000D54F8"/>
    <w:rsid w:val="00142C7F"/>
    <w:rsid w:val="002F6C35"/>
    <w:rsid w:val="002F6C9D"/>
    <w:rsid w:val="00404BA1"/>
    <w:rsid w:val="004579C8"/>
    <w:rsid w:val="004C43AA"/>
    <w:rsid w:val="00525D4B"/>
    <w:rsid w:val="00747AC1"/>
    <w:rsid w:val="007C7E77"/>
    <w:rsid w:val="00867337"/>
    <w:rsid w:val="008B6766"/>
    <w:rsid w:val="00A16F54"/>
    <w:rsid w:val="00D91FBA"/>
    <w:rsid w:val="00E57853"/>
    <w:rsid w:val="00E62BED"/>
    <w:rsid w:val="00EA558F"/>
    <w:rsid w:val="00EE66F0"/>
    <w:rsid w:val="00F3635B"/>
    <w:rsid w:val="00F478CF"/>
    <w:rsid w:val="00F53419"/>
    <w:rsid w:val="00FB1C9D"/>
    <w:rsid w:val="0149727D"/>
    <w:rsid w:val="02383860"/>
    <w:rsid w:val="031E2712"/>
    <w:rsid w:val="03960557"/>
    <w:rsid w:val="04AE6C46"/>
    <w:rsid w:val="04B92F38"/>
    <w:rsid w:val="04FA068D"/>
    <w:rsid w:val="07241123"/>
    <w:rsid w:val="07585EEB"/>
    <w:rsid w:val="09261526"/>
    <w:rsid w:val="098F7F23"/>
    <w:rsid w:val="0AA80439"/>
    <w:rsid w:val="0AC715B0"/>
    <w:rsid w:val="0CD143AE"/>
    <w:rsid w:val="0D1C30FE"/>
    <w:rsid w:val="0D390D68"/>
    <w:rsid w:val="0E631C6A"/>
    <w:rsid w:val="0E7211F7"/>
    <w:rsid w:val="0E794CFD"/>
    <w:rsid w:val="0EAF2A15"/>
    <w:rsid w:val="0FD03043"/>
    <w:rsid w:val="100073F6"/>
    <w:rsid w:val="105772C0"/>
    <w:rsid w:val="10CC110F"/>
    <w:rsid w:val="11451CB5"/>
    <w:rsid w:val="11945F8A"/>
    <w:rsid w:val="126B7053"/>
    <w:rsid w:val="135805B2"/>
    <w:rsid w:val="14900FF3"/>
    <w:rsid w:val="14DE3B0C"/>
    <w:rsid w:val="1550232E"/>
    <w:rsid w:val="156264EB"/>
    <w:rsid w:val="166C29AE"/>
    <w:rsid w:val="16B5089D"/>
    <w:rsid w:val="176C04E1"/>
    <w:rsid w:val="1778161B"/>
    <w:rsid w:val="185D5FEE"/>
    <w:rsid w:val="18D45952"/>
    <w:rsid w:val="191450FD"/>
    <w:rsid w:val="19CE1832"/>
    <w:rsid w:val="1ADF1598"/>
    <w:rsid w:val="1B034E32"/>
    <w:rsid w:val="1CF0626F"/>
    <w:rsid w:val="1DC60DA6"/>
    <w:rsid w:val="1E296C55"/>
    <w:rsid w:val="1EF45AE6"/>
    <w:rsid w:val="1FEE3D8C"/>
    <w:rsid w:val="20A848BC"/>
    <w:rsid w:val="20E362F2"/>
    <w:rsid w:val="21CF0DB6"/>
    <w:rsid w:val="21DE339D"/>
    <w:rsid w:val="221C3EC6"/>
    <w:rsid w:val="22937DC4"/>
    <w:rsid w:val="22EA1270"/>
    <w:rsid w:val="23C241F4"/>
    <w:rsid w:val="254C5A2A"/>
    <w:rsid w:val="26B1656C"/>
    <w:rsid w:val="2788464B"/>
    <w:rsid w:val="27E2589F"/>
    <w:rsid w:val="28530C17"/>
    <w:rsid w:val="28800D88"/>
    <w:rsid w:val="28E4752B"/>
    <w:rsid w:val="29A97B01"/>
    <w:rsid w:val="2A7D72C5"/>
    <w:rsid w:val="2C1F769B"/>
    <w:rsid w:val="2C565DFD"/>
    <w:rsid w:val="2C7B5059"/>
    <w:rsid w:val="2D9744F6"/>
    <w:rsid w:val="2E884DBD"/>
    <w:rsid w:val="2EEB70FA"/>
    <w:rsid w:val="2EFA2499"/>
    <w:rsid w:val="2F633134"/>
    <w:rsid w:val="2FA304B5"/>
    <w:rsid w:val="308E5F8F"/>
    <w:rsid w:val="3097733C"/>
    <w:rsid w:val="30E67B79"/>
    <w:rsid w:val="30EB3C6A"/>
    <w:rsid w:val="310416DF"/>
    <w:rsid w:val="34A73AC3"/>
    <w:rsid w:val="34F66B91"/>
    <w:rsid w:val="35E7313F"/>
    <w:rsid w:val="36D05553"/>
    <w:rsid w:val="37B849C7"/>
    <w:rsid w:val="380F4E21"/>
    <w:rsid w:val="381A45AC"/>
    <w:rsid w:val="381E39B7"/>
    <w:rsid w:val="389D545A"/>
    <w:rsid w:val="3A6C0E68"/>
    <w:rsid w:val="3AF160F6"/>
    <w:rsid w:val="3B4C19A2"/>
    <w:rsid w:val="3C874EDB"/>
    <w:rsid w:val="3CB452E4"/>
    <w:rsid w:val="3D252AB6"/>
    <w:rsid w:val="3D6D055E"/>
    <w:rsid w:val="3E69030B"/>
    <w:rsid w:val="40350471"/>
    <w:rsid w:val="41561EE4"/>
    <w:rsid w:val="415E19AD"/>
    <w:rsid w:val="41FA282A"/>
    <w:rsid w:val="42B82F94"/>
    <w:rsid w:val="42ED56B0"/>
    <w:rsid w:val="430530C3"/>
    <w:rsid w:val="43FC4995"/>
    <w:rsid w:val="446C2633"/>
    <w:rsid w:val="44B02FC2"/>
    <w:rsid w:val="44BF7F18"/>
    <w:rsid w:val="45ED2A63"/>
    <w:rsid w:val="46297EDB"/>
    <w:rsid w:val="46557D90"/>
    <w:rsid w:val="46AA5D18"/>
    <w:rsid w:val="46DC7777"/>
    <w:rsid w:val="47566919"/>
    <w:rsid w:val="482E6557"/>
    <w:rsid w:val="485E1C12"/>
    <w:rsid w:val="48C90054"/>
    <w:rsid w:val="48DA5DBD"/>
    <w:rsid w:val="493C4382"/>
    <w:rsid w:val="49611D36"/>
    <w:rsid w:val="4A54324A"/>
    <w:rsid w:val="4AF7300C"/>
    <w:rsid w:val="4AFF1B0B"/>
    <w:rsid w:val="4C454224"/>
    <w:rsid w:val="4C8D1398"/>
    <w:rsid w:val="4D0A7708"/>
    <w:rsid w:val="4D4128AF"/>
    <w:rsid w:val="4D8C33FE"/>
    <w:rsid w:val="4DDA21D6"/>
    <w:rsid w:val="4F4C244B"/>
    <w:rsid w:val="4FE237A9"/>
    <w:rsid w:val="53A90FFB"/>
    <w:rsid w:val="541008E5"/>
    <w:rsid w:val="55200FFC"/>
    <w:rsid w:val="55965933"/>
    <w:rsid w:val="56C64E38"/>
    <w:rsid w:val="577D621F"/>
    <w:rsid w:val="57DC2407"/>
    <w:rsid w:val="582C415B"/>
    <w:rsid w:val="58467F6C"/>
    <w:rsid w:val="5A5169A7"/>
    <w:rsid w:val="5AE66844"/>
    <w:rsid w:val="5D190FBE"/>
    <w:rsid w:val="5E4915C3"/>
    <w:rsid w:val="5F623BCB"/>
    <w:rsid w:val="5F85381F"/>
    <w:rsid w:val="61F66287"/>
    <w:rsid w:val="64306D81"/>
    <w:rsid w:val="64B928D3"/>
    <w:rsid w:val="65DF0171"/>
    <w:rsid w:val="66BA2932"/>
    <w:rsid w:val="682A374C"/>
    <w:rsid w:val="68C55CEA"/>
    <w:rsid w:val="698024C8"/>
    <w:rsid w:val="698B247C"/>
    <w:rsid w:val="69CE07C4"/>
    <w:rsid w:val="6B0A20DA"/>
    <w:rsid w:val="6B1B3BC5"/>
    <w:rsid w:val="6C575BE3"/>
    <w:rsid w:val="6C97419B"/>
    <w:rsid w:val="6CA73F64"/>
    <w:rsid w:val="6E7F4B8D"/>
    <w:rsid w:val="6EB26775"/>
    <w:rsid w:val="6F5427C9"/>
    <w:rsid w:val="706B1694"/>
    <w:rsid w:val="72006373"/>
    <w:rsid w:val="72A41E1F"/>
    <w:rsid w:val="73F500BD"/>
    <w:rsid w:val="74020631"/>
    <w:rsid w:val="754F37DB"/>
    <w:rsid w:val="756F6066"/>
    <w:rsid w:val="75D02392"/>
    <w:rsid w:val="75D27C98"/>
    <w:rsid w:val="762D1373"/>
    <w:rsid w:val="78026C0D"/>
    <w:rsid w:val="78212D05"/>
    <w:rsid w:val="78FE6611"/>
    <w:rsid w:val="79A47B9E"/>
    <w:rsid w:val="7AA716F4"/>
    <w:rsid w:val="7B7D363B"/>
    <w:rsid w:val="7C355C76"/>
    <w:rsid w:val="7CC41ACC"/>
    <w:rsid w:val="7DD16A88"/>
    <w:rsid w:val="7DD815DC"/>
    <w:rsid w:val="7E762DB4"/>
    <w:rsid w:val="7F17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bCs/>
      <w:kern w:val="44"/>
      <w:sz w:val="44"/>
      <w:szCs w:val="44"/>
    </w:rPr>
  </w:style>
  <w:style w:type="paragraph" w:styleId="3">
    <w:name w:val="heading 2"/>
    <w:basedOn w:val="1"/>
    <w:next w:val="1"/>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415" w:lineRule="auto"/>
      <w:outlineLvl w:val="2"/>
    </w:pPr>
    <w:rPr>
      <w:b/>
      <w:bCs/>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caption"/>
    <w:basedOn w:val="1"/>
    <w:next w:val="1"/>
    <w:autoRedefine/>
    <w:qFormat/>
    <w:uiPriority w:val="0"/>
    <w:rPr>
      <w:rFonts w:ascii="Arial" w:hAnsi="Arial" w:eastAsia="黑体" w:cs="Arial"/>
      <w:kern w:val="0"/>
      <w:sz w:val="20"/>
      <w:szCs w:val="20"/>
    </w:rPr>
  </w:style>
  <w:style w:type="paragraph" w:styleId="8">
    <w:name w:val="annotation text"/>
    <w:basedOn w:val="1"/>
    <w:link w:val="64"/>
    <w:semiHidden/>
    <w:unhideWhenUsed/>
    <w:qFormat/>
    <w:uiPriority w:val="0"/>
    <w:pPr>
      <w:jc w:val="left"/>
    </w:pPr>
  </w:style>
  <w:style w:type="paragraph" w:styleId="9">
    <w:name w:val="Body Text 3"/>
    <w:basedOn w:val="1"/>
    <w:autoRedefine/>
    <w:qFormat/>
    <w:uiPriority w:val="0"/>
    <w:rPr>
      <w:rFonts w:ascii="宋体"/>
      <w:sz w:val="24"/>
      <w:szCs w:val="20"/>
    </w:rPr>
  </w:style>
  <w:style w:type="paragraph" w:styleId="10">
    <w:name w:val="Body Text"/>
    <w:basedOn w:val="1"/>
    <w:autoRedefine/>
    <w:qFormat/>
    <w:uiPriority w:val="0"/>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Plain Text"/>
    <w:basedOn w:val="1"/>
    <w:next w:val="10"/>
    <w:autoRedefine/>
    <w:qFormat/>
    <w:uiPriority w:val="0"/>
    <w:rPr>
      <w:rFonts w:ascii="Courier New" w:hAnsi="Courier New"/>
      <w:szCs w:val="20"/>
    </w:rPr>
  </w:style>
  <w:style w:type="paragraph" w:styleId="14">
    <w:name w:val="Body Text Indent 2"/>
    <w:basedOn w:val="1"/>
    <w:autoRedefine/>
    <w:unhideWhenUsed/>
    <w:qFormat/>
    <w:uiPriority w:val="99"/>
    <w:pPr>
      <w:ind w:left="2100" w:leftChars="1000"/>
    </w:pPr>
    <w:rPr>
      <w:rFonts w:ascii="宋体" w:hAnsi="宋体"/>
      <w:sz w:val="24"/>
    </w:rPr>
  </w:style>
  <w:style w:type="paragraph" w:styleId="15">
    <w:name w:val="Balloon Text"/>
    <w:basedOn w:val="1"/>
    <w:link w:val="55"/>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jc w:val="left"/>
    </w:pPr>
    <w:rPr>
      <w:b/>
      <w:bCs/>
      <w:caps/>
      <w:sz w:val="20"/>
      <w:szCs w:val="20"/>
    </w:rPr>
  </w:style>
  <w:style w:type="paragraph" w:styleId="19">
    <w:name w:val="footnote text"/>
    <w:basedOn w:val="1"/>
    <w:autoRedefine/>
    <w:qFormat/>
    <w:uiPriority w:val="0"/>
    <w:rPr>
      <w:sz w:val="20"/>
      <w:szCs w:val="20"/>
    </w:rPr>
  </w:style>
  <w:style w:type="paragraph" w:styleId="20">
    <w:name w:val="toc 2"/>
    <w:basedOn w:val="1"/>
    <w:next w:val="1"/>
    <w:autoRedefine/>
    <w:qFormat/>
    <w:uiPriority w:val="0"/>
    <w:pPr>
      <w:ind w:left="210"/>
      <w:jc w:val="left"/>
    </w:pPr>
    <w:rPr>
      <w:smallCaps/>
      <w:sz w:val="20"/>
      <w:szCs w:val="20"/>
    </w:rPr>
  </w:style>
  <w:style w:type="paragraph" w:styleId="21">
    <w:name w:val="Body Text 2"/>
    <w:basedOn w:val="1"/>
    <w:next w:val="10"/>
    <w:autoRedefine/>
    <w:qFormat/>
    <w:uiPriority w:val="0"/>
    <w:pPr>
      <w:snapToGrid w:val="0"/>
      <w:spacing w:line="360" w:lineRule="auto"/>
      <w:ind w:firstLine="100" w:firstLineChars="100"/>
    </w:pPr>
    <w:rPr>
      <w:rFonts w:ascii="宋体"/>
      <w:sz w:val="24"/>
      <w:szCs w:val="20"/>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8"/>
    <w:next w:val="8"/>
    <w:link w:val="65"/>
    <w:semiHidden/>
    <w:unhideWhenUsed/>
    <w:qFormat/>
    <w:uiPriority w:val="0"/>
    <w:rPr>
      <w:b/>
      <w:bCs/>
    </w:rPr>
  </w:style>
  <w:style w:type="paragraph" w:styleId="24">
    <w:name w:val="Body Text First Indent"/>
    <w:basedOn w:val="10"/>
    <w:next w:val="25"/>
    <w:autoRedefine/>
    <w:qFormat/>
    <w:uiPriority w:val="0"/>
    <w:pPr>
      <w:ind w:firstLine="420" w:firstLineChars="100"/>
    </w:pPr>
  </w:style>
  <w:style w:type="paragraph" w:styleId="25">
    <w:name w:val="Body Text First Indent 2"/>
    <w:basedOn w:val="11"/>
    <w:next w:val="1"/>
    <w:autoRedefine/>
    <w:qFormat/>
    <w:uiPriority w:val="0"/>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autoRedefine/>
    <w:semiHidden/>
    <w:unhideWhenUsed/>
    <w:qFormat/>
    <w:uiPriority w:val="0"/>
    <w:rPr>
      <w:color w:val="5C5C5C"/>
      <w:u w:val="none"/>
    </w:rPr>
  </w:style>
  <w:style w:type="character" w:styleId="31">
    <w:name w:val="Emphasis"/>
    <w:basedOn w:val="28"/>
    <w:autoRedefine/>
    <w:qFormat/>
    <w:uiPriority w:val="0"/>
    <w:rPr>
      <w:b/>
      <w:bCs/>
    </w:rPr>
  </w:style>
  <w:style w:type="character" w:styleId="32">
    <w:name w:val="HTML Definition"/>
    <w:basedOn w:val="28"/>
    <w:autoRedefine/>
    <w:semiHidden/>
    <w:unhideWhenUsed/>
    <w:qFormat/>
    <w:uiPriority w:val="0"/>
  </w:style>
  <w:style w:type="character" w:styleId="33">
    <w:name w:val="HTML Typewriter"/>
    <w:basedOn w:val="28"/>
    <w:autoRedefine/>
    <w:semiHidden/>
    <w:unhideWhenUsed/>
    <w:qFormat/>
    <w:uiPriority w:val="0"/>
    <w:rPr>
      <w:rFonts w:hint="default" w:ascii="monospace" w:hAnsi="monospace" w:eastAsia="monospace" w:cs="monospace"/>
      <w:sz w:val="20"/>
    </w:rPr>
  </w:style>
  <w:style w:type="character" w:styleId="34">
    <w:name w:val="HTML Acronym"/>
    <w:basedOn w:val="28"/>
    <w:autoRedefine/>
    <w:semiHidden/>
    <w:unhideWhenUsed/>
    <w:qFormat/>
    <w:uiPriority w:val="0"/>
  </w:style>
  <w:style w:type="character" w:styleId="35">
    <w:name w:val="HTML Variable"/>
    <w:basedOn w:val="28"/>
    <w:autoRedefine/>
    <w:semiHidden/>
    <w:unhideWhenUsed/>
    <w:qFormat/>
    <w:uiPriority w:val="0"/>
  </w:style>
  <w:style w:type="character" w:styleId="36">
    <w:name w:val="Hyperlink"/>
    <w:basedOn w:val="28"/>
    <w:autoRedefine/>
    <w:semiHidden/>
    <w:unhideWhenUsed/>
    <w:qFormat/>
    <w:uiPriority w:val="0"/>
    <w:rPr>
      <w:color w:val="5C5C5C"/>
      <w:u w:val="none"/>
    </w:rPr>
  </w:style>
  <w:style w:type="character" w:styleId="37">
    <w:name w:val="HTML Code"/>
    <w:basedOn w:val="28"/>
    <w:autoRedefine/>
    <w:semiHidden/>
    <w:unhideWhenUsed/>
    <w:qFormat/>
    <w:uiPriority w:val="0"/>
    <w:rPr>
      <w:rFonts w:hint="default" w:ascii="monospace" w:hAnsi="monospace" w:eastAsia="monospace" w:cs="monospace"/>
      <w:sz w:val="20"/>
    </w:rPr>
  </w:style>
  <w:style w:type="character" w:styleId="38">
    <w:name w:val="annotation reference"/>
    <w:basedOn w:val="28"/>
    <w:semiHidden/>
    <w:unhideWhenUsed/>
    <w:qFormat/>
    <w:uiPriority w:val="0"/>
    <w:rPr>
      <w:sz w:val="21"/>
      <w:szCs w:val="21"/>
    </w:rPr>
  </w:style>
  <w:style w:type="character" w:styleId="39">
    <w:name w:val="HTML Cite"/>
    <w:basedOn w:val="28"/>
    <w:autoRedefine/>
    <w:semiHidden/>
    <w:unhideWhenUsed/>
    <w:qFormat/>
    <w:uiPriority w:val="0"/>
  </w:style>
  <w:style w:type="character" w:styleId="40">
    <w:name w:val="HTML Keyboard"/>
    <w:basedOn w:val="28"/>
    <w:autoRedefine/>
    <w:semiHidden/>
    <w:unhideWhenUsed/>
    <w:qFormat/>
    <w:uiPriority w:val="0"/>
    <w:rPr>
      <w:rFonts w:ascii="monospace" w:hAnsi="monospace" w:eastAsia="monospace" w:cs="monospace"/>
      <w:sz w:val="20"/>
    </w:rPr>
  </w:style>
  <w:style w:type="character" w:styleId="41">
    <w:name w:val="HTML Sample"/>
    <w:basedOn w:val="28"/>
    <w:autoRedefine/>
    <w:semiHidden/>
    <w:unhideWhenUsed/>
    <w:qFormat/>
    <w:uiPriority w:val="0"/>
    <w:rPr>
      <w:rFonts w:hint="default" w:ascii="monospace" w:hAnsi="monospace" w:eastAsia="monospace" w:cs="monospace"/>
    </w:rPr>
  </w:style>
  <w:style w:type="paragraph" w:customStyle="1" w:styleId="42">
    <w:name w:val="无间隔1"/>
    <w:next w:val="6"/>
    <w:autoRedefine/>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paragraph" w:customStyle="1" w:styleId="43">
    <w:name w:val="TOC Heading1"/>
    <w:basedOn w:val="1"/>
    <w:next w:val="1"/>
    <w:qFormat/>
    <w:uiPriority w:val="0"/>
    <w:pPr>
      <w:widowControl/>
      <w:wordWrap w:val="0"/>
      <w:jc w:val="left"/>
    </w:pPr>
    <w:rPr>
      <w:rFonts w:ascii="Calibri" w:hAnsi="Calibri"/>
      <w:kern w:val="0"/>
      <w:sz w:val="32"/>
      <w:szCs w:val="22"/>
    </w:rPr>
  </w:style>
  <w:style w:type="paragraph" w:customStyle="1" w:styleId="44">
    <w:name w:val="Default"/>
    <w:basedOn w:val="1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正文1"/>
    <w:basedOn w:val="1"/>
    <w:autoRedefine/>
    <w:qFormat/>
    <w:uiPriority w:val="0"/>
    <w:pPr>
      <w:adjustRightInd w:val="0"/>
      <w:spacing w:line="360" w:lineRule="atLeast"/>
      <w:textAlignment w:val="baseline"/>
    </w:pPr>
    <w:rPr>
      <w:rFonts w:ascii="宋体"/>
      <w:sz w:val="24"/>
      <w:szCs w:val="20"/>
    </w:rPr>
  </w:style>
  <w:style w:type="paragraph" w:customStyle="1" w:styleId="46">
    <w:name w:val="Table Paragraph"/>
    <w:basedOn w:val="1"/>
    <w:autoRedefine/>
    <w:qFormat/>
    <w:uiPriority w:val="0"/>
    <w:rPr>
      <w:rFonts w:ascii="宋体" w:hAnsi="宋体" w:cs="宋体"/>
    </w:rPr>
  </w:style>
  <w:style w:type="paragraph" w:customStyle="1" w:styleId="47">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4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9">
    <w:name w:val="表格文字"/>
    <w:basedOn w:val="1"/>
    <w:next w:val="10"/>
    <w:autoRedefine/>
    <w:qFormat/>
    <w:uiPriority w:val="0"/>
    <w:pPr>
      <w:adjustRightInd w:val="0"/>
      <w:spacing w:line="420" w:lineRule="atLeast"/>
      <w:jc w:val="left"/>
      <w:textAlignment w:val="baseline"/>
    </w:pPr>
    <w:rPr>
      <w:kern w:val="0"/>
      <w:szCs w:val="20"/>
    </w:rPr>
  </w:style>
  <w:style w:type="paragraph" w:customStyle="1" w:styleId="50">
    <w:name w:val="style4"/>
    <w:basedOn w:val="45"/>
    <w:next w:val="51"/>
    <w:autoRedefine/>
    <w:qFormat/>
    <w:uiPriority w:val="0"/>
    <w:pPr>
      <w:spacing w:before="280" w:after="280"/>
    </w:pPr>
    <w:rPr>
      <w:sz w:val="18"/>
    </w:rPr>
  </w:style>
  <w:style w:type="paragraph" w:customStyle="1" w:styleId="51">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52">
    <w:name w:val="List Paragraph"/>
    <w:basedOn w:val="1"/>
    <w:autoRedefine/>
    <w:qFormat/>
    <w:uiPriority w:val="99"/>
    <w:pPr>
      <w:ind w:firstLine="420" w:firstLineChars="200"/>
    </w:pPr>
  </w:style>
  <w:style w:type="paragraph" w:customStyle="1" w:styleId="53">
    <w:name w:val="Normal_51"/>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54">
    <w:name w:val="大标题"/>
    <w:basedOn w:val="1"/>
    <w:next w:val="25"/>
    <w:autoRedefine/>
    <w:qFormat/>
    <w:uiPriority w:val="0"/>
    <w:pPr>
      <w:jc w:val="center"/>
    </w:pPr>
    <w:rPr>
      <w:rFonts w:ascii="Arial" w:hAnsi="Arial"/>
      <w:b/>
      <w:sz w:val="28"/>
    </w:rPr>
  </w:style>
  <w:style w:type="character" w:customStyle="1" w:styleId="55">
    <w:name w:val="批注框文本 字符"/>
    <w:basedOn w:val="28"/>
    <w:link w:val="15"/>
    <w:autoRedefine/>
    <w:qFormat/>
    <w:uiPriority w:val="0"/>
    <w:rPr>
      <w:rFonts w:ascii="Times New Roman" w:hAnsi="Times New Roman" w:eastAsia="宋体" w:cs="Times New Roman"/>
      <w:kern w:val="2"/>
      <w:sz w:val="18"/>
      <w:szCs w:val="18"/>
    </w:rPr>
  </w:style>
  <w:style w:type="character" w:customStyle="1" w:styleId="56">
    <w:name w:val="hover"/>
    <w:basedOn w:val="28"/>
    <w:autoRedefine/>
    <w:qFormat/>
    <w:uiPriority w:val="0"/>
  </w:style>
  <w:style w:type="character" w:customStyle="1" w:styleId="57">
    <w:name w:val="hover1"/>
    <w:basedOn w:val="28"/>
    <w:autoRedefine/>
    <w:qFormat/>
    <w:uiPriority w:val="0"/>
    <w:rPr>
      <w:color w:val="2590EB"/>
    </w:rPr>
  </w:style>
  <w:style w:type="character" w:customStyle="1" w:styleId="58">
    <w:name w:val="hover2"/>
    <w:basedOn w:val="28"/>
    <w:autoRedefine/>
    <w:qFormat/>
    <w:uiPriority w:val="0"/>
    <w:rPr>
      <w:color w:val="2590EB"/>
    </w:rPr>
  </w:style>
  <w:style w:type="character" w:customStyle="1" w:styleId="59">
    <w:name w:val="hover3"/>
    <w:basedOn w:val="28"/>
    <w:autoRedefine/>
    <w:qFormat/>
    <w:uiPriority w:val="0"/>
    <w:rPr>
      <w:color w:val="2590EB"/>
      <w:shd w:val="clear" w:color="auto" w:fill="E9F4FD"/>
    </w:rPr>
  </w:style>
  <w:style w:type="paragraph" w:customStyle="1" w:styleId="60">
    <w:name w:val="card-title"/>
    <w:basedOn w:val="1"/>
    <w:autoRedefine/>
    <w:qFormat/>
    <w:uiPriority w:val="0"/>
    <w:pPr>
      <w:spacing w:line="400" w:lineRule="atLeast"/>
      <w:ind w:right="500"/>
      <w:jc w:val="left"/>
    </w:pPr>
    <w:rPr>
      <w:color w:val="666666"/>
      <w:kern w:val="0"/>
    </w:rPr>
  </w:style>
  <w:style w:type="character" w:customStyle="1" w:styleId="61">
    <w:name w:val="mini-outputtext1"/>
    <w:basedOn w:val="28"/>
    <w:autoRedefine/>
    <w:qFormat/>
    <w:uiPriority w:val="0"/>
  </w:style>
  <w:style w:type="paragraph" w:customStyle="1" w:styleId="62">
    <w:name w:val="Table Text"/>
    <w:basedOn w:val="1"/>
    <w:semiHidden/>
    <w:qFormat/>
    <w:uiPriority w:val="0"/>
    <w:rPr>
      <w:rFonts w:ascii="宋体" w:hAnsi="宋体" w:cs="宋体"/>
      <w:sz w:val="20"/>
      <w:szCs w:val="20"/>
      <w:lang w:eastAsia="en-US"/>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批注文字 字符"/>
    <w:basedOn w:val="28"/>
    <w:link w:val="8"/>
    <w:autoRedefine/>
    <w:semiHidden/>
    <w:qFormat/>
    <w:uiPriority w:val="0"/>
    <w:rPr>
      <w:kern w:val="2"/>
      <w:sz w:val="21"/>
      <w:szCs w:val="24"/>
    </w:rPr>
  </w:style>
  <w:style w:type="character" w:customStyle="1" w:styleId="65">
    <w:name w:val="批注主题 字符"/>
    <w:basedOn w:val="64"/>
    <w:link w:val="23"/>
    <w:autoRedefine/>
    <w:semiHidden/>
    <w:qFormat/>
    <w:uiPriority w:val="0"/>
    <w:rPr>
      <w:b/>
      <w:bCs/>
      <w:kern w:val="2"/>
      <w:sz w:val="21"/>
      <w:szCs w:val="24"/>
    </w:rPr>
  </w:style>
  <w:style w:type="character" w:customStyle="1" w:styleId="66">
    <w:name w:val="hover4"/>
    <w:basedOn w:val="28"/>
    <w:qFormat/>
    <w:uiPriority w:val="0"/>
  </w:style>
  <w:style w:type="paragraph" w:customStyle="1" w:styleId="6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8">
    <w:name w:val="正文 1.1"/>
    <w:basedOn w:val="1"/>
    <w:next w:val="69"/>
    <w:autoRedefine/>
    <w:qFormat/>
    <w:uiPriority w:val="0"/>
    <w:pPr>
      <w:outlineLvl w:val="1"/>
    </w:pPr>
    <w:rPr>
      <w:rFonts w:ascii="仿宋" w:hAnsi="仿宋"/>
      <w:b/>
    </w:rPr>
  </w:style>
  <w:style w:type="paragraph" w:customStyle="1" w:styleId="69">
    <w:name w:val="正文 1.1.1"/>
    <w:basedOn w:val="1"/>
    <w:next w:val="1"/>
    <w:autoRedefine/>
    <w:qFormat/>
    <w:uiPriority w:val="0"/>
    <w:pPr>
      <w:numPr>
        <w:ilvl w:val="2"/>
        <w:numId w:val="1"/>
      </w:numPr>
      <w:outlineLvl w:val="2"/>
    </w:pPr>
    <w:rPr>
      <w:rFonts w:hAnsi="宋体" w:eastAsia="宋体"/>
      <w:color w:val="FF0000"/>
    </w:rPr>
  </w:style>
  <w:style w:type="character" w:customStyle="1" w:styleId="70">
    <w:name w:val="font2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15178</Words>
  <Characters>16357</Characters>
  <Lines>223</Lines>
  <Paragraphs>62</Paragraphs>
  <TotalTime>47</TotalTime>
  <ScaleCrop>false</ScaleCrop>
  <LinksUpToDate>false</LinksUpToDate>
  <CharactersWithSpaces>16422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2024-03-11T06:53:00Z</dcterms:created>
  <dc:creator>稚与最初</dc:creator>
  <cp:lastModifiedBy>稚与最初</cp:lastModifiedBy>
  <cp:lastPrinted>2024-07-05T08:46:00Z</cp:lastPrinted>
  <dcterms:modified xsi:type="dcterms:W3CDTF">2025-08-15T01:48:24Z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5F9149AEF20046EB88B4B058D83E1323_13</vt:lpwstr>
  </property>
  <property fmtid="{D5CDD505-2E9C-101B-9397-08002B2CF9AE}" pid="4" name="KSOTemplateDocerSaveRecord">
    <vt:lpwstr>eyJoZGlkIjoiMjFmODdjZWE0MWNiMTJjZDdkMWY2YTUwOTY5MTg4Y2MiLCJ1c2VySWQiOiI0MzExNzA5ODYifQ==</vt:lpwstr>
  </property>
</Properties>
</file>