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F5C19">
      <w:pPr>
        <w:pStyle w:val="2"/>
        <w:tabs>
          <w:tab w:val="left" w:pos="3261"/>
        </w:tabs>
        <w:rPr>
          <w:rFonts w:ascii="宋体" w:hAnsi="宋体" w:eastAsia="宋体"/>
          <w:snapToGrid w:val="0"/>
          <w:color w:val="auto"/>
          <w:kern w:val="0"/>
          <w:highlight w:val="none"/>
          <w:lang w:eastAsia="zh-CN"/>
        </w:rPr>
      </w:pPr>
      <w:bookmarkStart w:id="0" w:name="_Toc30020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>第三章</w:t>
      </w:r>
      <w:bookmarkStart w:id="1" w:name="_Hlk112052116"/>
      <w:r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  <w:t xml:space="preserve">  采购需求</w:t>
      </w:r>
      <w:bookmarkEnd w:id="0"/>
      <w:bookmarkStart w:id="9" w:name="_GoBack"/>
      <w:bookmarkEnd w:id="9"/>
    </w:p>
    <w:bookmarkEnd w:id="1"/>
    <w:p w14:paraId="147528EE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</w:pPr>
      <w:bookmarkStart w:id="2" w:name="_Toc1721463"/>
      <w:bookmarkStart w:id="3" w:name="_Toc26534"/>
      <w:bookmarkStart w:id="4" w:name="_Toc10690303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一、</w:t>
      </w:r>
      <w:bookmarkEnd w:id="2"/>
      <w:bookmarkEnd w:id="3"/>
      <w:bookmarkEnd w:id="4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项目概况</w:t>
      </w:r>
    </w:p>
    <w:p w14:paraId="5766DB42">
      <w:pPr>
        <w:widowControl/>
        <w:spacing w:line="400" w:lineRule="exact"/>
        <w:ind w:firstLine="482"/>
        <w:jc w:val="both"/>
        <w:rPr>
          <w:rFonts w:hint="eastAsia" w:ascii="微软雅黑" w:hAnsi="微软雅黑" w:eastAsia="微软雅黑" w:cs="Times New Roman"/>
          <w:color w:val="auto"/>
          <w:sz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本次采购项目为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平原实验室2025年抗体新药开发生产项目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，共1个包。</w:t>
      </w:r>
    </w:p>
    <w:p w14:paraId="29D3625C">
      <w:pPr>
        <w:widowControl/>
        <w:spacing w:line="400" w:lineRule="exact"/>
        <w:ind w:firstLine="482"/>
        <w:jc w:val="both"/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本次采购标的对应的中小企业划分标准所属行业为：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u w:val="single"/>
          <w:lang w:val="en-US" w:eastAsia="zh-CN" w:bidi="ar-SA"/>
        </w:rPr>
        <w:t>其他未列明行业</w:t>
      </w:r>
      <w:r>
        <w:rPr>
          <w:rFonts w:hint="eastAsia" w:ascii="宋体" w:hAnsi="宋体" w:eastAsia="宋体" w:cs="Times New Roman"/>
          <w:color w:val="auto"/>
          <w:spacing w:val="14"/>
          <w:sz w:val="21"/>
          <w:szCs w:val="21"/>
          <w:highlight w:val="none"/>
          <w:lang w:val="en-US" w:eastAsia="zh-CN" w:bidi="ar-SA"/>
        </w:rPr>
        <w:t>。</w:t>
      </w:r>
    </w:p>
    <w:p w14:paraId="7720F600">
      <w:pPr>
        <w:keepNext/>
        <w:keepLines/>
        <w:widowControl w:val="0"/>
        <w:spacing w:line="400" w:lineRule="exact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bookmarkStart w:id="5" w:name="_Toc26447"/>
      <w:bookmarkStart w:id="6" w:name="_Toc106903035"/>
      <w:bookmarkStart w:id="7" w:name="_Toc1721464"/>
      <w:bookmarkStart w:id="8" w:name="_Toc238530903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二、</w:t>
      </w:r>
      <w:bookmarkEnd w:id="5"/>
      <w:bookmarkEnd w:id="6"/>
      <w:bookmarkEnd w:id="7"/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highlight w:val="none"/>
          <w:lang w:val="en-US" w:eastAsia="zh-CN" w:bidi="ar-SA"/>
        </w:rPr>
        <w:t>服务要求</w:t>
      </w:r>
    </w:p>
    <w:bookmarkEnd w:id="8"/>
    <w:tbl>
      <w:tblPr>
        <w:tblStyle w:val="3"/>
        <w:tblpPr w:leftFromText="181" w:rightFromText="181" w:vertAnchor="text" w:horzAnchor="page" w:tblpXSpec="center" w:tblpY="543"/>
        <w:tblOverlap w:val="never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15"/>
        <w:gridCol w:w="6045"/>
        <w:gridCol w:w="681"/>
        <w:gridCol w:w="720"/>
      </w:tblGrid>
      <w:tr w14:paraId="5DF0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5BCE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 w14:paraId="5B07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名称</w:t>
            </w:r>
          </w:p>
        </w:tc>
        <w:tc>
          <w:tcPr>
            <w:tcW w:w="6045" w:type="dxa"/>
            <w:noWrap w:val="0"/>
            <w:vAlign w:val="center"/>
          </w:tcPr>
          <w:p w14:paraId="6D10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服务要求</w:t>
            </w:r>
          </w:p>
        </w:tc>
        <w:tc>
          <w:tcPr>
            <w:tcW w:w="681" w:type="dxa"/>
            <w:noWrap w:val="0"/>
            <w:vAlign w:val="center"/>
          </w:tcPr>
          <w:p w14:paraId="7966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数量</w:t>
            </w:r>
          </w:p>
        </w:tc>
        <w:tc>
          <w:tcPr>
            <w:tcW w:w="720" w:type="dxa"/>
            <w:noWrap w:val="0"/>
            <w:vAlign w:val="center"/>
          </w:tcPr>
          <w:p w14:paraId="2630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  <w:t>单位</w:t>
            </w:r>
          </w:p>
        </w:tc>
      </w:tr>
      <w:tr w14:paraId="5284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noWrap w:val="0"/>
            <w:vAlign w:val="center"/>
          </w:tcPr>
          <w:p w14:paraId="6F13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5783D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抗体药物</w:t>
            </w:r>
          </w:p>
        </w:tc>
        <w:tc>
          <w:tcPr>
            <w:tcW w:w="6045" w:type="dxa"/>
            <w:noWrap w:val="0"/>
            <w:vAlign w:val="center"/>
          </w:tcPr>
          <w:p w14:paraId="54A28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服务内容包括但不限于（工艺研究、生产验证、质量研究及其他）。</w:t>
            </w:r>
          </w:p>
          <w:p w14:paraId="4EA20D4A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细胞株构建</w:t>
            </w:r>
          </w:p>
          <w:p w14:paraId="7631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1.1 质粒构建：</w:t>
            </w:r>
          </w:p>
          <w:p w14:paraId="421C3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基因合成，完成质粒构建；</w:t>
            </w:r>
          </w:p>
          <w:p w14:paraId="5DDF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1.2 Mini-pool（微量细胞池）筛选：</w:t>
            </w:r>
          </w:p>
          <w:p w14:paraId="7B113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质粒转染后进行Mini-Pool（微量细胞池）筛选，根据Titer（蛋白表达量）评估最好的10-30个mini-Pool（微量细胞池），进行一轮Fed-Batch（补料分批培养）评估，基于生长、Titer（蛋白表达量）筛选2-4个最优Mini-Pool（微量细胞池）；</w:t>
            </w:r>
          </w:p>
          <w:p w14:paraId="4CF9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1.3 单克隆筛选及评估：</w:t>
            </w:r>
          </w:p>
          <w:p w14:paraId="2F71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根据Titer（蛋白表达量），将最好的20-30个克隆进行扩增；在SF（Shake Flask 摇瓶）或TPP（Tube 摇管）中进行Fed-Batch（补料分批培养），基于生长、Titer（蛋白表达量）筛选3-5个克隆；</w:t>
            </w:r>
          </w:p>
          <w:p w14:paraId="44AB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1.4 PCB（Production Cell Bank生产细胞库）建库：</w:t>
            </w:r>
          </w:p>
          <w:p w14:paraId="5E624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将筛选得到的3-5个单克隆建立PCB（Production Cell Bank生产细胞库）建库；</w:t>
            </w:r>
          </w:p>
          <w:p w14:paraId="3F7B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1.5 细胞株稳定性研究：</w:t>
            </w:r>
          </w:p>
          <w:p w14:paraId="4250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进行60-80个PDL（Population Doubling Level 细胞传代次数）传代稳定性研究；</w:t>
            </w:r>
          </w:p>
          <w:p w14:paraId="314EFA0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细胞库建立和检定</w:t>
            </w:r>
          </w:p>
          <w:p w14:paraId="0112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2.1 MCB（Master Cell Bank‌‌ 主细胞库）建库：</w:t>
            </w:r>
          </w:p>
          <w:p w14:paraId="41C57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44851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细胞库建库，符合中美IND（新药临床试验申请）注册申报标准的MCB（Master Cell Bank‌‌ 主细胞库） 200支；</w:t>
            </w:r>
          </w:p>
          <w:p w14:paraId="69B7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1DFB0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2.2 MCB（Master Cell Bank‌‌ 主细胞库）检定：</w:t>
            </w:r>
          </w:p>
          <w:p w14:paraId="02D6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对已建立的MCB（Master Cell Bank‌‌ 主细胞库），进行符合中美IND（新药临床试验申请）注册申报标准的MCB（Master Cell Bank‌‌ 主细胞库）检定。</w:t>
            </w:r>
          </w:p>
          <w:p w14:paraId="5E86C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2.3 WCB（Working Cell Bank工作细胞库）建库：</w:t>
            </w:r>
          </w:p>
          <w:p w14:paraId="0C10B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细胞库建库的批记录起草；</w:t>
            </w:r>
          </w:p>
          <w:p w14:paraId="38640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细胞库建库，符合中美IND（新药临床试验申请）注册申报标准的WCB （Working Cell Bank工作细胞库）200支；</w:t>
            </w:r>
          </w:p>
          <w:p w14:paraId="52895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细胞库的复苏验证。</w:t>
            </w:r>
          </w:p>
          <w:p w14:paraId="6084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2.4 WCB（Working Cell Bank工作细胞库）检定：</w:t>
            </w:r>
          </w:p>
          <w:p w14:paraId="35435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对已建立的WCB（Working Cell Bank工作细胞库），进行符合中美IND（新药临床试验申请）注册申报标准的WCB（Working Cell Bank工作细胞库）检定。</w:t>
            </w:r>
          </w:p>
          <w:p w14:paraId="131CF7F2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上游工艺开发与确认</w:t>
            </w:r>
          </w:p>
          <w:p w14:paraId="43F28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3.1 培养基筛选：(基于Mini-Pool)</w:t>
            </w:r>
          </w:p>
          <w:p w14:paraId="2AC80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基于平台工艺对基础培养基与补料培养基进行筛选，得到1-2种Titer(蛋白表达量)、质量表现优异培养基；同步3 L样品制备，为纯化工艺开发提供样品；</w:t>
            </w:r>
          </w:p>
          <w:p w14:paraId="24FAF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Electrophoresis非还原毛细管电泳）与CEX( ‌Cation Exchange Chromatography阳离子交换色谱法)或icIEF（Imaged Capillary Isoelectric Focusing全柱成像毛细管等电聚焦电泳）。</w:t>
            </w:r>
          </w:p>
          <w:p w14:paraId="050EC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3.2 反应器工艺优化：(基于单克隆筛选后最优细胞株)</w:t>
            </w:r>
          </w:p>
          <w:p w14:paraId="1D66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 L反应器培养条件(pH、降温/补料条件优化），基于Titer(蛋白表达量)与质量确定培养工艺；</w:t>
            </w:r>
          </w:p>
          <w:p w14:paraId="6EA17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Focusing全柱成像毛细管等电聚焦电泳）与N-糖；</w:t>
            </w:r>
          </w:p>
          <w:p w14:paraId="45DD9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3.3 工艺锁定：</w:t>
            </w:r>
          </w:p>
          <w:p w14:paraId="1F1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15L反应器放大完成小试培养工艺锁定；</w:t>
            </w:r>
          </w:p>
          <w:p w14:paraId="13D01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检测项：Titer（蛋白表达量）、SEC-HPLC（Size Exclusion Chromatography体积排阻色谱法）、nrCE-SDS（Non-Reducing Capillary Electrophoresis非还原毛细管电泳）、CEX( ‌Cation Exchange Chromatography阳离子交换色谱法)或icIEF（Imaged Capillary Isoelectric Focusing全柱成像毛细管等电聚焦电泳）与N-糖。</w:t>
            </w:r>
          </w:p>
          <w:p w14:paraId="6F0F0BD5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下游工艺开发与确认</w:t>
            </w:r>
          </w:p>
          <w:p w14:paraId="28AC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4.1 预实验：</w:t>
            </w:r>
          </w:p>
          <w:p w14:paraId="1350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通过平台工艺开展填料筛选实验，探究填料性质、动态载量杂质去除效果，对其含量及纯度进行评价；</w:t>
            </w:r>
          </w:p>
          <w:p w14:paraId="24C0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Electrophoresis还原毛细管电泳）、nrCE-SDS（Non-Reducing Capillary Electrophoresis非还原毛细管电泳）、rDNA(宿主DNA残留)与rPA(Protein A残留)。</w:t>
            </w:r>
          </w:p>
          <w:p w14:paraId="149D0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4.2 纯化工艺优化：</w:t>
            </w:r>
          </w:p>
          <w:p w14:paraId="18F90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探究上样条件、洗脱条件、收集条件，对其抗体含量、杂质含量及纯度进行评估。（同步进行低pH工艺开发，探究抗体在较低pH下的稳定性，对其纯度及电荷异构体进行评价）；</w:t>
            </w:r>
          </w:p>
          <w:p w14:paraId="3B1A9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Chromatography阳离子交换色谱法)、rCE-SDS(Reducing Capillary Electrophoresis还原毛细管电泳）)、nrCE-SDS（Non-Reducing Capillary Electrophoresis非还原毛细管电泳）、rDNA(宿主DNA残留)与rPA(Protein A残留)。</w:t>
            </w:r>
          </w:p>
          <w:p w14:paraId="1359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4.3 过滤工艺优化：</w:t>
            </w:r>
          </w:p>
          <w:p w14:paraId="4F2D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开展VF（Viral Filtration）病毒过滤（TMP、载量）及U/DF（TMP（Transmembrane Pressure 跨膜压）、透析点、透析倍数、载量）探究实验，对抗体含量、纯度、肽图进行评价；</w:t>
            </w:r>
          </w:p>
          <w:p w14:paraId="145A5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Chromatography阳离子交换色谱法)、rCE-SDS（Reducing Capillary Electrophoresis还原毛细管电泳)、nrCE-SDS（Non-Reducing Capillary Electrophoresis非还原毛细管电泳）、浊度、LDH（Lactate dehydrogenase乳酸脱氢酶）。</w:t>
            </w:r>
          </w:p>
          <w:p w14:paraId="3786A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4.4 工艺锁定：</w:t>
            </w:r>
          </w:p>
          <w:p w14:paraId="6CA06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根据前三轮工艺开发数据，进行工艺锁定实验，对其含量、纯度、杂质含量及肽图进行评价；</w:t>
            </w:r>
          </w:p>
          <w:p w14:paraId="4F42A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检测项：蛋白浓度UV280（Ultraviolet280 280纳米紫外检测蛋白浓度)、SEC-HPLC（Size Exclusion Chromatography体积排阻色谱法）、HCP（Host Cell Protein宿主蛋白残留）、CEX( ‌Cation Exchange Chromatography阳离子交换色谱法)、icIEF（Imaged Capillary Isoelectric Focusing全柱成像毛细管等电聚焦电泳）、rCE-SDS（Reducing Capillary Electrophoresis还原毛细管电泳)、nrCE-SDS（Non-Reducing Capillary Electrophoresis非还原毛细管电泳）、rDNA(宿主DNA残留)与rPA(Protein A残留)。</w:t>
            </w:r>
          </w:p>
          <w:p w14:paraId="3C0B8697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液体制剂处方开发与确认</w:t>
            </w:r>
          </w:p>
          <w:p w14:paraId="3D9F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5.1 液体处方筛选：</w:t>
            </w:r>
          </w:p>
          <w:p w14:paraId="3A277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全处方筛选：基于采购人原处方，开展9组处方Buffer与辅料筛选，基于高温稳定性考察结果，评估不同组合对抗体分子稳定性的影响；</w:t>
            </w:r>
          </w:p>
          <w:p w14:paraId="2C07B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检测项：含量、pH、外观、不溶性微粒、SEC-HPLC（Size Exclusion Chromatography体积排阻色谱法）、r/nrCE-SDS（Reducing/Non-Reducing Capillary Electrophoresis 还原/非还原毛细管电泳）、DSC（Differential scanning calorimetry 差示扫描量热法）、icIEF（Imaged Capillary Isoelectric Focusing全柱成像毛细管等电聚焦电泳）、活性。</w:t>
            </w:r>
          </w:p>
          <w:p w14:paraId="63F16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5.2 处方确定：</w:t>
            </w:r>
          </w:p>
          <w:p w14:paraId="1265B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1批处方确认，基于正置/倒置进行影响因素加速、高温、光照、反复冻融、振摇稳定性研究。</w:t>
            </w:r>
          </w:p>
          <w:p w14:paraId="6A82B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5.3 临床配伍稳定性：</w:t>
            </w:r>
          </w:p>
          <w:p w14:paraId="54F6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开展不同给药浓度、不同稀释液、不同材质给药组件考察，评估产品临床配伍过程中的稳定性</w:t>
            </w:r>
          </w:p>
          <w:p w14:paraId="0FE1F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检测项：SEC-HPLC（Size Exclusion Chromatography体积排阻色谱法）、药物浓度、不溶性微粒、外观、pH、icIEF（Imaged Capillary Isoelectric Focusing全柱成像毛细管等电聚焦电泳）、活性。</w:t>
            </w:r>
          </w:p>
          <w:p w14:paraId="4E217055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抗体分析方法开发及确认</w:t>
            </w:r>
          </w:p>
          <w:p w14:paraId="7F73B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根据项目的检测需求，开发各项分析方法，并进行IND申报需要的相关验证。在采购方前期研究过程中，开发了多种分析检测方法，投标方对上述分析检测方法确认评估后，需根据IND的申报要求进行必要的优化。</w:t>
            </w:r>
          </w:p>
          <w:p w14:paraId="089B1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6.1方法转移可行性评估:</w:t>
            </w:r>
          </w:p>
          <w:p w14:paraId="2D09D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主要根据改变细胞株后采购人方法的适用性进行评估，如果现有的方法无法满足项目的检测需求，或无法达到IND的申报要求，投标人将对分析方法进行升级和优化。</w:t>
            </w:r>
          </w:p>
          <w:p w14:paraId="07D7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6.2理化分析方法转移：</w:t>
            </w:r>
          </w:p>
          <w:p w14:paraId="2C66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理化分析方法转移包含：针对抗体蛋白开展理化方法转移，包括：</w:t>
            </w:r>
          </w:p>
          <w:p w14:paraId="38C79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Titer（蛋白表达量），还原+非还原CE-SDS（Capillary Electrophoresis毛细管电泳），SEC（Size Exclusion Chromatography体积排阻色谱法），等电点，CEX( Cation Exchange Chromatography阳离子交换色谱法)，肽图，蛋白浓度UV280（Ultraviolet280 280纳米紫外检测蛋白浓度），方法进行方法转移，主要考察准确度、重复性，形成方法转移报告。</w:t>
            </w:r>
          </w:p>
          <w:p w14:paraId="21CCF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6.3工艺杂质残留分析方法转移：</w:t>
            </w:r>
          </w:p>
          <w:p w14:paraId="203FE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工艺杂质残留分析方法转移包含：</w:t>
            </w:r>
          </w:p>
          <w:p w14:paraId="67DF6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6.3.1 抗体宿主蛋白（HCP（Host Cell Protein宿主蛋白残留））残留检测方法转移：针对生物制品的工艺杂质宿主蛋白（HCP（Host Cell Protein宿主蛋白残留））残留检测，基于已验证/确认的HCP（Host Cell Protein宿主蛋白残留）残留检测方法，以对比实验的形式进行分析方法转移：对特定批次样品进行多次实验，对方法准确度、精密度进行测定，并与同批次数据进行对比，比较差异，形成方法转移报告。</w:t>
            </w:r>
          </w:p>
          <w:p w14:paraId="2129A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6.3.2 抗体 宿主DNA（HCD, Host Cell DNA 宿主DNA残留）残留检测方法转移：针对生物制品的工艺杂质主DNA（HCD,Host Cell DNA 宿主DNA残留）残留检测，基于已验证/确认的DN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1C8D0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6.3.3 抗体 蛋白A（Protein A）残留检测方法转移：</w:t>
            </w:r>
          </w:p>
          <w:p w14:paraId="2109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针对生物制品的工艺杂质蛋白A（Protein A）残留检测，确认的蛋白A残留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19A9B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6.4相对结合活性方法转移(ELISA法）:</w:t>
            </w:r>
          </w:p>
          <w:p w14:paraId="6B682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抗体-单抗 相对结合活性方法（ELISA法）转移：</w:t>
            </w:r>
          </w:p>
          <w:p w14:paraId="7AD3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基于采购人已验证/确认的相对结合活性检测方法，以对比实验的形式进行分析方法转移：对特定批次样品进行多次实验，对方法准确度、精密度进行测定，并与采购人提供的同批次数据进行对比，比较差异，形成方法转移报告。</w:t>
            </w:r>
          </w:p>
          <w:p w14:paraId="6EAD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6.5理化分析方法确认:</w:t>
            </w:r>
          </w:p>
          <w:p w14:paraId="785A5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针对Titer，还原+非还原CE-SDS（Capillary Electrophoresis毛细管电泳），SEC（Size Exclusion Chromatography体积排阻色谱法），等电点，CEX( ‌Cation Exchange Chromatography阳离子交换色谱法)，肽图，等理化检项，在符合GMP法规要求条件下进行分析方法确认。</w:t>
            </w:r>
          </w:p>
          <w:p w14:paraId="774C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6.6 微生物检测分析方法确认:</w:t>
            </w:r>
          </w:p>
          <w:p w14:paraId="51328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内毒素、微生物限度、无菌，</w:t>
            </w:r>
          </w:p>
          <w:p w14:paraId="7B66F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参照药典在符合GMP法规要求条件下进行微生物检测方法确认。</w:t>
            </w:r>
          </w:p>
          <w:p w14:paraId="57E91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6.7工艺杂质残留分析方法确认:</w:t>
            </w:r>
          </w:p>
          <w:p w14:paraId="4ACBE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针对生物制品的工艺杂质残留检测，在符合GMP法规要求条件下进行分析方法确认：</w:t>
            </w:r>
          </w:p>
          <w:p w14:paraId="17D38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6.7.1 宿主蛋白残留（HCP（Host Cell Protein宿主蛋白残留））残留检测-基于ELISA原理的试剂盒检测进行方法确认，对方法的专属性、相对准确度、精密度、线性、范围进行确认，形成分析方法SOP和方法确认报告。</w:t>
            </w:r>
          </w:p>
          <w:p w14:paraId="2C707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6,7.2 蛋白A（Protein A）残留检测-基于ELISA原理的试剂盒检测进行方法确认，对方法参数定量限、专属性、线性、准确度、 精密度、范围进行确认，形成分析方法SOP和方法确认报告。</w:t>
            </w:r>
          </w:p>
          <w:p w14:paraId="79611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6.7.3宿主DNA残留检测（HCD,Host Cell DNA 宿主DNA残留）残留检测-基于qPCR原理的试剂盒检测进行方法确认：对方法参数定量限、专属性、线性、准确度、 精密度、范围进行确认，形成分析方法SOP和方法确认报告。</w:t>
            </w:r>
          </w:p>
          <w:p w14:paraId="2DB75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6.8 相对结合活性方法确认（ELISA法）:</w:t>
            </w:r>
          </w:p>
          <w:p w14:paraId="09BB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已确证的相对结合活性检测方法需在符合GMP法规条件下开展分析方法确认工作。</w:t>
            </w:r>
          </w:p>
          <w:p w14:paraId="01ABB8B4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N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on-GMP生产及放行（500 L，1批）</w:t>
            </w:r>
          </w:p>
          <w:p w14:paraId="32AF55E1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7.1指标：抗体生产中抗体表达量不低于6 g/L。</w:t>
            </w:r>
          </w:p>
          <w:p w14:paraId="6B8325B8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7.2 文件准备：新产品引入评估（原液）、技术转移方案、上游工艺批记录（一般包含：建库批记录、摇床批记录、Wave批记录、 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162E1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 物料采购：</w:t>
            </w:r>
          </w:p>
          <w:p w14:paraId="7A2BE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7.3.1生产用一次性平台物料（包括上游生产物料、下游生产物料），如培养基、原液袋、储液袋、缓冲盐等用于生产的一次性物料。</w:t>
            </w:r>
          </w:p>
          <w:p w14:paraId="6C071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7.3.2生产可循环使用物料：亲和填料（36.9 L，国产）、阴离子填料（19.3 L，国产）、阳离子填料（16.1 L，国产）、超滤膜包（30 KD、2块、国产）。该物料数量为根据7 g/L 表达量预估的使用量，亲和循环数：3，阴离子循环数：1，阳离子循环数：2。</w:t>
            </w:r>
          </w:p>
          <w:p w14:paraId="110D1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7.4 500 L Non-GMP生产：</w:t>
            </w:r>
          </w:p>
          <w:p w14:paraId="06444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7.4.1原辅料检测放行。</w:t>
            </w:r>
          </w:p>
          <w:p w14:paraId="354CB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按照IND申报要求，进行原辅料检测放行的各项检测。</w:t>
            </w:r>
          </w:p>
          <w:p w14:paraId="464D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7.4.2 生产：</w:t>
            </w:r>
          </w:p>
          <w:p w14:paraId="6BFF5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L反应器规模进行Non-GMP生产，根据双方认可的取样计划进行取样及分装。</w:t>
            </w:r>
          </w:p>
          <w:p w14:paraId="23ABF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7.4.3中间品检测：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Non-GMP抗体规模生产过程中，对样品中间品进行如下检项检测（具体以实际为准）：</w:t>
            </w:r>
          </w:p>
          <w:p w14:paraId="081E7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SEC（Size Exclusion Chromatography体积排阻色谱法）、nrCE（Non-Reducing Capillary Electrophoresis非还原毛细管电泳）、rCE（Reducing Capillary Electrophoresis还原毛细管电泳）、CEX( ‌Cation Exchange Chromatography阳离子交换色谱法)、HCP（Host Cell Protein宿主蛋白残留）、HCD（Host Cell DNA宿主DNA残留）、Protein A、结合活性、蛋白浓度UV280（Ultraviolet280 280纳米紫外检测蛋白浓度）、内毒素、微生物限度。</w:t>
            </w:r>
          </w:p>
          <w:p w14:paraId="5FD3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7.4.4放行检测（1批）：</w:t>
            </w:r>
          </w:p>
          <w:p w14:paraId="0371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Non-GMP抗体放行过程中，每批样品进行如下检测：</w:t>
            </w:r>
          </w:p>
          <w:p w14:paraId="733C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‌Cation Exchange Chromatography阳离子交换色谱法)、HCP（HHost Cell Protein 宿主蛋白残留）、HCD（Host Cell DNA宿主DNA残留）、ProteinA、结合活性、蛋白浓度UV280（Ultraviolet280 280纳米紫外检测蛋白浓度）、pH、内毒素、微生物限度。</w:t>
            </w:r>
          </w:p>
          <w:p w14:paraId="0AD5A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7.5 参考品的制备、分装及标定：</w:t>
            </w:r>
          </w:p>
          <w:p w14:paraId="7DF87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1批抗体参考品分装(分装规格为0.2 mL/2mL管，1000支)</w:t>
            </w:r>
          </w:p>
          <w:p w14:paraId="51D73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抗体标定：</w:t>
            </w:r>
          </w:p>
          <w:p w14:paraId="0863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【6月、12月、24月、36月复标项目:SEC（Size Exclusion Chromatography体积排阻色谱法）\蛋白浓度UV280（Ultraviolet280 280纳米紫外检测蛋白浓度）\结合活性】</w:t>
            </w:r>
          </w:p>
          <w:p w14:paraId="1C98F350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抗体原液GMP生产及放行（500 L，1批）</w:t>
            </w:r>
          </w:p>
          <w:p w14:paraId="42668F08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8.1指标：抗体生产中抗体表达量不低于6 g/L。</w:t>
            </w:r>
          </w:p>
          <w:p w14:paraId="4049E2EA">
            <w:pPr>
              <w:pStyle w:val="5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8.2文件准备:新产品引入评估（原液）、引入新产品生产变更、共线风险评估、差距分析与风险评估、技术转移方案、清洁确认评估（原液）、上游工艺批记录（一般包含：建库批记录、摇床批记录、Wave批记录、XDR批记录、收获批记录）、上游溶液配制批记录（一般包含:基础培养基配制批记录、补料培养基配制批记录（实际根据工艺溶液种类确定））、下游工艺批记录（一般包含：亲和层析批记录、低pH病毒灭活批记录、中间品深层过滤批记录、阴离子层析批记录、阳离子层析批记录、纳滤批记录、超滤渗滤批记录、原液分装批记录）、下游溶液配制批记录（一般包含：通用溶液配制记录、项目溶液配制批记录（实际根据工艺溶液种类确定））。</w:t>
            </w:r>
          </w:p>
          <w:p w14:paraId="5A90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8.3 物料采购：</w:t>
            </w:r>
          </w:p>
          <w:p w14:paraId="16013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生产用一次性平台物料（包括上游生产物料、下游生产物料），如培养基、原液袋、储液袋、缓冲盐等用于生产的一次性物料。</w:t>
            </w:r>
          </w:p>
          <w:p w14:paraId="16EA4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8.4 500 L GMP生产：</w:t>
            </w:r>
          </w:p>
          <w:p w14:paraId="6D092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8.4.1原辅料检测放行。</w:t>
            </w:r>
          </w:p>
          <w:p w14:paraId="3FDC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按照IND申报要求，进行GMP条件下原辅料检测放行的各项检测。</w:t>
            </w:r>
          </w:p>
          <w:p w14:paraId="446C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8.4.2 生产：</w:t>
            </w:r>
          </w:p>
          <w:p w14:paraId="7D2D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根据锁定的工艺，1批500 L反应器规模进行GMP生产，根据双方认可的sampling plan进行取样及分装；</w:t>
            </w:r>
          </w:p>
          <w:p w14:paraId="0A1F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8.4.3 中间品检测：</w:t>
            </w:r>
          </w:p>
          <w:p w14:paraId="76D3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GMP抗体规模生产过程中，计划对样品中间品进行如下检项检测（具体以实际为准）：SEC（Size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 宿主蛋白残留）、HCD（Host Cell DNA宿主DNA残留）、Protein A、结合活性、蛋白浓度UV280（Ultraviolet280 280纳米紫外检测蛋白浓度）、内毒素、微生物限度。</w:t>
            </w:r>
          </w:p>
          <w:p w14:paraId="25D5E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8.5 放行检测（1批）：</w:t>
            </w:r>
          </w:p>
          <w:p w14:paraId="3F1F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GMP抗体放行过程中，每批样品进行如下检测，并出具批次放行报告：</w:t>
            </w:r>
          </w:p>
          <w:p w14:paraId="0243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 宿主DNA残留）、Protein A、结合活性、蛋白浓度UV280（Ultraviolet280 280纳米紫外检测蛋白浓度）、pH、内毒素、微生物限度。</w:t>
            </w:r>
          </w:p>
          <w:p w14:paraId="350F3A7C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Non-GMP抗体制剂生产及放行（1批）</w:t>
            </w:r>
          </w:p>
          <w:p w14:paraId="3FE13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9.1 文件准备：新产品引入评估（制剂）、清洁确认评估（制剂）、清洁确认报告（原液&amp;制剂）、技术转移方案、制剂工艺批记录（包含：灌装生产批记录、包装批记录）。</w:t>
            </w:r>
          </w:p>
          <w:p w14:paraId="5A5E6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9.2 物料采购：</w:t>
            </w:r>
          </w:p>
          <w:p w14:paraId="0C16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31474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3ED22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9.3 Non-GMP液体制剂生产：</w:t>
            </w:r>
          </w:p>
          <w:p w14:paraId="66F1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Non-GMP制剂灌装，1批（液体制剂，批量为5000瓶），并可以按照采购人需求进行批次灌装；</w:t>
            </w:r>
          </w:p>
          <w:p w14:paraId="496F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3B30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9.4 放行检测（1批）：</w:t>
            </w:r>
          </w:p>
          <w:p w14:paraId="1E38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Non-GMP抗体制剂放行过程中，每批样品进行如下检测：</w:t>
            </w:r>
          </w:p>
          <w:p w14:paraId="2B02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6381DE6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GMP抗体制剂生产及放行（1批）</w:t>
            </w:r>
          </w:p>
          <w:p w14:paraId="6A73172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10.1文件准备：新产品引入评估（制剂）、引入新产品生产变更、共线风险评估、差距分析与风险评估、技术转移方案、制剂工艺批记录（包含：灌装生产批记录、包装批记录）。</w:t>
            </w:r>
          </w:p>
          <w:p w14:paraId="3FBD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10.2 物料采购：</w:t>
            </w:r>
          </w:p>
          <w:p w14:paraId="22BC1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制剂生产用包材：如西林瓶、胶塞、铝盖、一次性配液、储液袋等；</w:t>
            </w:r>
          </w:p>
          <w:p w14:paraId="16AF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一次性灌装系统；</w:t>
            </w:r>
          </w:p>
          <w:p w14:paraId="55261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10.3 GMP液体制剂生产：</w:t>
            </w:r>
          </w:p>
          <w:p w14:paraId="27CA1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GMP制剂灌装，1批（制剂，批量为5000瓶），并可以按照采购人需求进行批次灌装；</w:t>
            </w:r>
          </w:p>
          <w:p w14:paraId="761AB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制剂中间品检测并出具检测报告：pH、蛋白浓度UV280（Ultraviolet280 280纳米紫外检测蛋白浓度）、细菌内毒素、微生物限度。</w:t>
            </w:r>
          </w:p>
          <w:p w14:paraId="5AE2B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10.4 放行检测（1批）：</w:t>
            </w:r>
          </w:p>
          <w:p w14:paraId="1BA38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GMP抗体制剂放行过程中，每批样品进行如下检测，并出具批次放行报告：</w:t>
            </w:r>
          </w:p>
          <w:p w14:paraId="27733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外观、等电点、肽图、SEC（Size Exclusion Chromatography体积排阻色谱法）、nrCE（Non-Reducing Capillary Electrophoresis非还原毛细管电泳）、rCE（Reducing Capillary Electrophoresis还原毛细管电泳）、CEX( Cation Exchange Chromatography阳离子交换色谱法)、HCP（Host Cell Protein宿主蛋白残留）、HCD（Host Cell DNA宿主DNA残留）、Protein A、结合活性、蛋白浓度UV280（Ultraviolet280 280纳米紫外检测蛋白浓度）、pH、内毒素、微生物限度、无菌。</w:t>
            </w:r>
          </w:p>
          <w:p w14:paraId="744432CF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注册申报相关工作</w:t>
            </w:r>
          </w:p>
          <w:p w14:paraId="6B4F1F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11.1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UPB（Unprocessed Bulk未加工收获液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检定：</w:t>
            </w:r>
          </w:p>
          <w:p w14:paraId="29FF0A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11.2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EOPC（End-of-production cells 生产终末细胞）检定：</w:t>
            </w:r>
          </w:p>
          <w:p w14:paraId="5441E8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11.3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病毒清除工艺验证：</w:t>
            </w:r>
          </w:p>
          <w:p w14:paraId="2230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IND申报预计做2-3种病毒去除验证，针对Low pH，纳滤，阴离子层析三个步骤进行实验，采用一批料液进行两批次验证的方式进行去病毒能力验证，并出具中英双语版报告（满足中美IND申报要求）。</w:t>
            </w:r>
          </w:p>
          <w:p w14:paraId="56C2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11.4 抗体表征研究：</w:t>
            </w:r>
          </w:p>
          <w:p w14:paraId="24B56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2批抗体1批抗体参考品：</w:t>
            </w:r>
          </w:p>
          <w:p w14:paraId="3306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完整分子量（脱糖前后)、还原分子量(脱糖前后)、N端+C端序列确证、序列覆盖率、二硫键、游离疏基、圆二色谱、DSC、氧化和脱酰胺等常见翻译后修饰位点和比例、N-糖基化位点、质谱糖型。</w:t>
            </w:r>
          </w:p>
          <w:p w14:paraId="2CB9A4FD">
            <w:pPr>
              <w:pStyle w:val="5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抗体原液+制剂稳定性研究</w:t>
            </w:r>
          </w:p>
          <w:p w14:paraId="323F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12.1 抗体影响因素实验：</w:t>
            </w:r>
          </w:p>
          <w:p w14:paraId="18ADD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1批抗体DS 进行如下检测：</w:t>
            </w:r>
          </w:p>
          <w:p w14:paraId="319B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-冻融:2个检测点(3/6次)</w:t>
            </w:r>
          </w:p>
          <w:p w14:paraId="72AAD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-高温: 3个检测点( 5/10/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天)</w:t>
            </w:r>
          </w:p>
          <w:p w14:paraId="22C26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每个点检测项: 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15A8A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12.2 抗体原液稳定性研究：</w:t>
            </w:r>
          </w:p>
          <w:p w14:paraId="63A81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2批抗体DS进行如下检测：</w:t>
            </w:r>
          </w:p>
          <w:p w14:paraId="19C4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2160B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℃（暂定），6个月(1/3/6月)；</w:t>
            </w:r>
          </w:p>
          <w:p w14:paraId="649BB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Chromatography阳离子交换色谱法)、相对结合活性、蛋白浓度UV280（Ultraviolet280 280纳米紫外检测蛋白浓度）、pH；</w:t>
            </w:r>
          </w:p>
          <w:p w14:paraId="1C55C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每年+末次检测：内毒素、微生物限度、肽图。</w:t>
            </w:r>
          </w:p>
          <w:p w14:paraId="55B11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12.3 抗体制剂稳定性研究：</w:t>
            </w:r>
          </w:p>
          <w:p w14:paraId="6DEE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2批单抗DP进行如下检测，含倒置：</w:t>
            </w:r>
          </w:p>
          <w:p w14:paraId="13EE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长期试验-20 ℃及以下（暂定），24个月(3/6/9/12/18/24月);</w:t>
            </w:r>
          </w:p>
          <w:p w14:paraId="72BA8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加速试验2-8 ℃（暂定），6个月(1/3/6月)</w:t>
            </w:r>
          </w:p>
          <w:p w14:paraId="34D58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Chromatography体积排阻色谱法）、nrCE（Non-Reducing Capillary Electrophoresis非还原毛细管电泳）、rCE（Reducing Capillary Electrophoresis还原毛细管电泳）、CEX( Cation Exchange Chromatography阳离子交换色谱法)、相对结合活性、蛋白浓度UV280（Ultraviolet280 280纳米紫外检测蛋白浓度）、pH，出具检测报告。</w:t>
            </w:r>
          </w:p>
          <w:p w14:paraId="79110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每年+末次检测：内毒素、微生物限度、肽图；</w:t>
            </w:r>
          </w:p>
          <w:p w14:paraId="46C6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末次检测：无菌。</w:t>
            </w:r>
          </w:p>
          <w:p w14:paraId="47703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12.4 抗体参比品稳定性研究：</w:t>
            </w:r>
          </w:p>
          <w:p w14:paraId="558E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1批参比品，进行如下检测：</w:t>
            </w:r>
          </w:p>
          <w:p w14:paraId="67BA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长期试验5±3 ℃（暂定），24个月(3/6/9/12/18/24月)</w:t>
            </w:r>
          </w:p>
          <w:p w14:paraId="0A8A1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加速试验25 ℃±2 ℃（暂定），6个月(1/3/6月)</w:t>
            </w:r>
          </w:p>
          <w:p w14:paraId="3A13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每个点检测：外观、等电点、 SEC（Size Exclusion Chromatography体积排阻色谱法）、CE-SDS(Capillary Electrophoresis 毛细管电泳 还原+非还原)、icIEF（Imaged Capillary Isoelectric Focusing全柱成像毛细管等电聚焦电泳）、结合活性、蛋白含量；末次检测：无菌。</w:t>
            </w:r>
          </w:p>
          <w:p w14:paraId="52C37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13.注册申报资料</w:t>
            </w:r>
          </w:p>
          <w:p w14:paraId="4B69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中国IND申报资料撰写：</w:t>
            </w:r>
          </w:p>
          <w:p w14:paraId="4C808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完成CMC部分的资料撰写（根据ICH M4，M4Q指导原则，,M2药学部分2.3质量综述：2.3.S，2.3.P， 2.3.A，2.3.R和M3质量：3.1；3.2包括3.2.S，3.2.P，3.2.A，3.2.R；3.3M2药学部分和M3)。Pre-IND会议的申请以及注册申报的提交由平原实验室负责，供应商提供必要的支持和协助。</w:t>
            </w:r>
          </w:p>
          <w:p w14:paraId="11881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14.项目产出的稳转细胞株、细胞库、全流程生产工艺及技术等知识产权归平原实验室所有。</w:t>
            </w:r>
          </w:p>
        </w:tc>
        <w:tc>
          <w:tcPr>
            <w:tcW w:w="681" w:type="dxa"/>
            <w:noWrap w:val="0"/>
            <w:vAlign w:val="center"/>
          </w:tcPr>
          <w:p w14:paraId="189E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42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</w:t>
            </w:r>
          </w:p>
        </w:tc>
      </w:tr>
    </w:tbl>
    <w:p w14:paraId="3D5AE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三、其他服务要求</w:t>
      </w:r>
    </w:p>
    <w:p w14:paraId="02EC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1.成立联合项目管理委员会，由双方代表组成，负责战略决策、资源协调及争议最终裁决；中标人负责完成数据梳理、材料整理，按照项目计划提供符合CDE规定的IND申报资料、图谱和其他证明材料等，并完成取得IND临床批件的相关发补研究工作。</w:t>
      </w:r>
    </w:p>
    <w:p w14:paraId="0E387BBE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2.项目保密，限制知悉范围，采购人与中标人签订保密协议，数据做好保密。 </w:t>
      </w:r>
    </w:p>
    <w:p w14:paraId="052C1672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3.沟通与报告机制：实施“双周报+月度会”制度，周报需包含进度百分比、关键里程碑状态、风险预警；建立紧急沟通渠道，如项目微信群/邮件组，确保2小时内响应重大问题。</w:t>
      </w:r>
    </w:p>
    <w:p w14:paraId="09FD65D4">
      <w:pPr>
        <w:spacing w:line="440" w:lineRule="exac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4.项目开发过程中产生的知识产权与数据归采购人所有，中标人需承诺项目团队稳定性，关键岗位离职需提前60天通知，并安排同等资质人员接替。</w:t>
      </w:r>
    </w:p>
    <w:p w14:paraId="471A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napToGrid w:val="0"/>
          <w:color w:val="auto"/>
          <w:kern w:val="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5.中标人须建立电子数据采集系统，确保分析研究数据实时录入、核查及溯源，数据完整率需达100%。中标人须提供审计跟踪文件，记录数据修改历史及操作人员信息，确保数据可追溯至原始记录。</w:t>
      </w:r>
    </w:p>
    <w:p w14:paraId="1D506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10AEC"/>
    <w:multiLevelType w:val="multilevel"/>
    <w:tmpl w:val="56210A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82343"/>
    <w:rsid w:val="580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paragraph" w:styleId="5">
    <w:name w:val="List Paragraph"/>
    <w:basedOn w:val="1"/>
    <w:qFormat/>
    <w:uiPriority w:val="1"/>
    <w:pPr>
      <w:widowControl/>
      <w:ind w:left="720"/>
      <w:contextualSpacing/>
      <w:jc w:val="left"/>
    </w:pPr>
    <w:rPr>
      <w:rFonts w:ascii="Calibri" w:hAnsi="Calibri" w:eastAsia="宋体" w:cs="Times New Roman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2025-12-08T03:19:00Z</dcterms:created>
  <dc:creator>河南省通力</dc:creator>
  <cp:lastModifiedBy>河南省通力</cp:lastModifiedBy>
  <dcterms:modified xsi:type="dcterms:W3CDTF">2025-12-08T03:20:46Z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4A9EAF9D1B294306B2A7AC21815EBA48_11</vt:lpwstr>
  </property>
  <property fmtid="{D5CDD505-2E9C-101B-9397-08002B2CF9AE}" pid="4" name="KSOTemplateDocerSaveRecord">
    <vt:lpwstr>eyJoZGlkIjoiMWZiYzQ2ZDY4NWM4M2FjYTIyZGE3OTEwZTUzYzgxN2IiLCJ1c2VySWQiOiI0Mzg1MzY0MTcifQ==</vt:lpwstr>
  </property>
</Properties>
</file>