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00DE93">
      <w:pPr>
        <w:pageBreakBefore w:val="0"/>
        <w:tabs>
          <w:tab w:val="left" w:pos="1950"/>
        </w:tabs>
        <w:wordWrap/>
        <w:topLinePunct w:val="0"/>
        <w:bidi w:val="0"/>
        <w:spacing w:line="360" w:lineRule="auto"/>
        <w:jc w:val="center"/>
        <w:rPr>
          <w:rFonts w:hint="eastAsia" w:asciiTheme="majorEastAsia" w:hAnsiTheme="majorEastAsia" w:eastAsiaTheme="majorEastAsia" w:cstheme="majorEastAsia"/>
          <w:b/>
          <w:bCs/>
          <w:color w:val="auto"/>
          <w:spacing w:val="-20"/>
          <w:sz w:val="52"/>
          <w:szCs w:val="52"/>
          <w:lang w:val="en-US" w:eastAsia="zh-CN"/>
        </w:rPr>
      </w:pPr>
      <w:r>
        <w:rPr>
          <w:rFonts w:hint="eastAsia" w:asciiTheme="majorEastAsia" w:hAnsiTheme="majorEastAsia" w:eastAsiaTheme="majorEastAsia" w:cstheme="majorEastAsia"/>
          <w:b/>
          <w:bCs/>
          <w:color w:val="auto"/>
          <w:spacing w:val="-20"/>
          <w:sz w:val="52"/>
          <w:szCs w:val="52"/>
          <w:lang w:val="en-US" w:eastAsia="zh-CN"/>
        </w:rPr>
        <w:t>洛阳师范学院2026-2028年度教学区域物业管理服务项目</w:t>
      </w:r>
    </w:p>
    <w:p w14:paraId="0241B478">
      <w:pPr>
        <w:pageBreakBefore w:val="0"/>
        <w:tabs>
          <w:tab w:val="left" w:pos="1950"/>
        </w:tabs>
        <w:wordWrap/>
        <w:topLinePunct w:val="0"/>
        <w:bidi w:val="0"/>
        <w:spacing w:line="360" w:lineRule="auto"/>
        <w:jc w:val="left"/>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 xml:space="preserve"> </w:t>
      </w:r>
    </w:p>
    <w:p w14:paraId="77E62C2A">
      <w:pPr>
        <w:pageBreakBefore w:val="0"/>
        <w:tabs>
          <w:tab w:val="left" w:pos="1950"/>
        </w:tabs>
        <w:wordWrap/>
        <w:topLinePunct w:val="0"/>
        <w:bidi w:val="0"/>
        <w:spacing w:line="360" w:lineRule="auto"/>
        <w:jc w:val="left"/>
        <w:rPr>
          <w:rFonts w:hint="eastAsia" w:ascii="仿宋" w:hAnsi="仿宋" w:eastAsia="仿宋" w:cs="仿宋"/>
          <w:b/>
          <w:bCs/>
          <w:color w:val="auto"/>
          <w:lang w:val="en-US" w:eastAsia="zh-CN"/>
        </w:rPr>
      </w:pPr>
    </w:p>
    <w:p w14:paraId="26A106C6">
      <w:pPr>
        <w:pageBreakBefore w:val="0"/>
        <w:wordWrap/>
        <w:topLinePunct w:val="0"/>
        <w:bidi w:val="0"/>
        <w:spacing w:line="360" w:lineRule="auto"/>
        <w:rPr>
          <w:rFonts w:hint="eastAsia" w:ascii="仿宋" w:hAnsi="仿宋" w:eastAsia="仿宋" w:cs="仿宋"/>
          <w:lang w:eastAsia="zh-CN"/>
        </w:rPr>
      </w:pPr>
    </w:p>
    <w:p w14:paraId="76C35B2D">
      <w:pPr>
        <w:pageBreakBefore w:val="0"/>
        <w:wordWrap/>
        <w:topLinePunct w:val="0"/>
        <w:bidi w:val="0"/>
        <w:spacing w:line="360" w:lineRule="auto"/>
        <w:jc w:val="center"/>
        <w:rPr>
          <w:rFonts w:hint="eastAsia" w:asciiTheme="majorEastAsia" w:hAnsiTheme="majorEastAsia" w:eastAsiaTheme="majorEastAsia" w:cstheme="majorEastAsia"/>
          <w:b/>
          <w:bCs/>
          <w:color w:val="auto"/>
          <w:sz w:val="144"/>
          <w:szCs w:val="144"/>
          <w:lang w:eastAsia="zh-CN"/>
        </w:rPr>
      </w:pPr>
      <w:r>
        <w:rPr>
          <w:rFonts w:hint="eastAsia" w:asciiTheme="majorEastAsia" w:hAnsiTheme="majorEastAsia" w:eastAsiaTheme="majorEastAsia" w:cstheme="majorEastAsia"/>
          <w:b/>
          <w:color w:val="auto"/>
          <w:sz w:val="144"/>
          <w:szCs w:val="144"/>
          <w:lang w:eastAsia="zh-CN"/>
        </w:rPr>
        <w:t>招标文件</w:t>
      </w:r>
    </w:p>
    <w:p w14:paraId="317F8AFD">
      <w:pPr>
        <w:pageBreakBefore w:val="0"/>
        <w:wordWrap/>
        <w:topLinePunct w:val="0"/>
        <w:bidi w:val="0"/>
        <w:spacing w:line="360" w:lineRule="auto"/>
        <w:jc w:val="center"/>
        <w:rPr>
          <w:rFonts w:hint="eastAsia" w:ascii="仿宋" w:hAnsi="仿宋" w:eastAsia="仿宋" w:cs="仿宋"/>
          <w:b/>
          <w:color w:val="auto"/>
          <w:sz w:val="36"/>
          <w:szCs w:val="36"/>
          <w:lang w:val="en" w:eastAsia="zh-CN"/>
        </w:rPr>
      </w:pPr>
      <w:r>
        <w:rPr>
          <w:rFonts w:hint="eastAsia" w:asciiTheme="majorEastAsia" w:hAnsiTheme="majorEastAsia" w:eastAsiaTheme="majorEastAsia" w:cstheme="majorEastAsia"/>
          <w:b/>
          <w:color w:val="auto"/>
          <w:sz w:val="36"/>
          <w:szCs w:val="36"/>
          <w:lang w:eastAsia="zh-CN"/>
        </w:rPr>
        <w:t>采购编号：</w:t>
      </w:r>
      <w:r>
        <w:rPr>
          <w:rFonts w:hint="eastAsia" w:asciiTheme="majorEastAsia" w:hAnsiTheme="majorEastAsia" w:eastAsiaTheme="majorEastAsia" w:cstheme="majorEastAsia"/>
          <w:b/>
          <w:color w:val="auto"/>
          <w:sz w:val="36"/>
          <w:szCs w:val="36"/>
          <w:lang w:val="en" w:eastAsia="zh-CN"/>
        </w:rPr>
        <w:t>豫财招标采购-2025-1520</w:t>
      </w:r>
      <w:r>
        <w:rPr>
          <w:rFonts w:hint="eastAsia" w:ascii="仿宋" w:hAnsi="仿宋" w:eastAsia="仿宋" w:cs="仿宋"/>
          <w:b/>
          <w:color w:val="auto"/>
          <w:sz w:val="36"/>
          <w:szCs w:val="36"/>
          <w:lang w:val="en" w:eastAsia="zh-CN"/>
        </w:rPr>
        <w:t xml:space="preserve"> </w:t>
      </w:r>
    </w:p>
    <w:p w14:paraId="39C76716">
      <w:pPr>
        <w:pageBreakBefore w:val="0"/>
        <w:wordWrap/>
        <w:topLinePunct w:val="0"/>
        <w:bidi w:val="0"/>
        <w:spacing w:line="360" w:lineRule="auto"/>
        <w:rPr>
          <w:rFonts w:hint="eastAsia" w:ascii="仿宋" w:hAnsi="仿宋" w:eastAsia="仿宋" w:cs="仿宋"/>
          <w:color w:val="auto"/>
          <w:lang w:val="en-US" w:eastAsia="zh-CN"/>
        </w:rPr>
      </w:pPr>
    </w:p>
    <w:p w14:paraId="3E1F28B3">
      <w:pPr>
        <w:pageBreakBefore w:val="0"/>
        <w:wordWrap/>
        <w:topLinePunct w:val="0"/>
        <w:bidi w:val="0"/>
        <w:spacing w:line="360" w:lineRule="auto"/>
        <w:jc w:val="center"/>
        <w:rPr>
          <w:rFonts w:hint="eastAsia" w:ascii="仿宋" w:hAnsi="仿宋" w:eastAsia="仿宋" w:cs="仿宋"/>
          <w:b/>
          <w:bCs/>
          <w:color w:val="auto"/>
          <w:sz w:val="28"/>
          <w:szCs w:val="28"/>
        </w:rPr>
      </w:pPr>
      <w:r>
        <w:rPr>
          <w:rFonts w:hint="eastAsia" w:ascii="仿宋" w:hAnsi="仿宋" w:eastAsia="仿宋" w:cs="仿宋"/>
          <w:color w:val="auto"/>
          <w:lang w:val="en-US" w:eastAsia="zh-CN"/>
        </w:rPr>
        <w:drawing>
          <wp:inline distT="0" distB="0" distL="114300" distR="114300">
            <wp:extent cx="1397635" cy="1397635"/>
            <wp:effectExtent l="0" t="0" r="1206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1397635" cy="1397635"/>
                    </a:xfrm>
                    <a:prstGeom prst="rect">
                      <a:avLst/>
                    </a:prstGeom>
                    <a:noFill/>
                    <a:ln>
                      <a:noFill/>
                    </a:ln>
                  </pic:spPr>
                </pic:pic>
              </a:graphicData>
            </a:graphic>
          </wp:inline>
        </w:drawing>
      </w:r>
    </w:p>
    <w:p w14:paraId="28FC5A57">
      <w:pPr>
        <w:pageBreakBefore w:val="0"/>
        <w:wordWrap/>
        <w:topLinePunct w:val="0"/>
        <w:bidi w:val="0"/>
        <w:spacing w:line="360" w:lineRule="auto"/>
        <w:rPr>
          <w:rFonts w:hint="eastAsia" w:ascii="仿宋" w:hAnsi="仿宋" w:eastAsia="仿宋" w:cs="仿宋"/>
          <w:b/>
          <w:bCs/>
          <w:color w:val="auto"/>
          <w:sz w:val="28"/>
          <w:szCs w:val="28"/>
          <w:lang w:val="en-US"/>
        </w:rPr>
      </w:pPr>
    </w:p>
    <w:p w14:paraId="003B7A84">
      <w:pPr>
        <w:pStyle w:val="12"/>
        <w:pageBreakBefore w:val="0"/>
        <w:wordWrap/>
        <w:topLinePunct w:val="0"/>
        <w:bidi w:val="0"/>
        <w:spacing w:line="360" w:lineRule="auto"/>
        <w:rPr>
          <w:rFonts w:hint="eastAsia" w:asciiTheme="minorEastAsia" w:hAnsiTheme="minorEastAsia" w:eastAsiaTheme="minorEastAsia" w:cstheme="minorEastAsia"/>
          <w:b/>
          <w:bCs/>
          <w:color w:val="auto"/>
          <w:sz w:val="36"/>
          <w:szCs w:val="36"/>
          <w:highlight w:val="none"/>
          <w:lang w:val="en-US"/>
        </w:rPr>
      </w:pPr>
    </w:p>
    <w:p w14:paraId="7A268C5C">
      <w:pPr>
        <w:pageBreakBefore w:val="0"/>
        <w:wordWrap/>
        <w:topLinePunct w:val="0"/>
        <w:bidi w:val="0"/>
        <w:spacing w:line="360" w:lineRule="auto"/>
        <w:ind w:left="1050" w:leftChars="500"/>
        <w:rPr>
          <w:rFonts w:hint="eastAsia" w:asciiTheme="minorEastAsia" w:hAnsiTheme="minorEastAsia" w:eastAsiaTheme="minorEastAsia" w:cstheme="minorEastAsia"/>
          <w:b/>
          <w:color w:val="auto"/>
          <w:sz w:val="36"/>
          <w:szCs w:val="36"/>
          <w:highlight w:val="none"/>
          <w:lang w:val="en" w:eastAsia="zh-CN"/>
        </w:rPr>
      </w:pPr>
      <w:r>
        <w:rPr>
          <w:rFonts w:hint="eastAsia" w:asciiTheme="minorEastAsia" w:hAnsiTheme="minorEastAsia" w:eastAsiaTheme="minorEastAsia" w:cstheme="minorEastAsia"/>
          <w:b/>
          <w:color w:val="auto"/>
          <w:sz w:val="36"/>
          <w:szCs w:val="36"/>
          <w:highlight w:val="none"/>
          <w:lang w:eastAsia="zh-CN"/>
        </w:rPr>
        <w:t>采</w:t>
      </w:r>
      <w:r>
        <w:rPr>
          <w:rFonts w:hint="eastAsia" w:asciiTheme="minorEastAsia" w:hAnsiTheme="minorEastAsia" w:eastAsiaTheme="minorEastAsia" w:cstheme="minorEastAsia"/>
          <w:b/>
          <w:color w:val="auto"/>
          <w:sz w:val="36"/>
          <w:szCs w:val="36"/>
          <w:lang w:eastAsia="zh-CN"/>
        </w:rPr>
        <w:t xml:space="preserve"> </w:t>
      </w:r>
      <w:r>
        <w:rPr>
          <w:rFonts w:hint="eastAsia" w:asciiTheme="minorEastAsia" w:hAnsiTheme="minorEastAsia" w:eastAsiaTheme="minorEastAsia" w:cstheme="minorEastAsia"/>
          <w:b/>
          <w:color w:val="auto"/>
          <w:sz w:val="36"/>
          <w:szCs w:val="36"/>
          <w:lang w:val="en-US" w:eastAsia="zh-CN"/>
        </w:rPr>
        <w:t xml:space="preserve"> </w:t>
      </w:r>
      <w:r>
        <w:rPr>
          <w:rFonts w:hint="eastAsia" w:asciiTheme="minorEastAsia" w:hAnsiTheme="minorEastAsia" w:eastAsiaTheme="minorEastAsia" w:cstheme="minorEastAsia"/>
          <w:b/>
          <w:color w:val="auto"/>
          <w:sz w:val="36"/>
          <w:szCs w:val="36"/>
          <w:lang w:val="en" w:eastAsia="zh-CN"/>
        </w:rPr>
        <w:t xml:space="preserve"> </w:t>
      </w:r>
      <w:r>
        <w:rPr>
          <w:rFonts w:hint="eastAsia" w:asciiTheme="minorEastAsia" w:hAnsiTheme="minorEastAsia" w:eastAsiaTheme="minorEastAsia" w:cstheme="minorEastAsia"/>
          <w:b/>
          <w:color w:val="auto"/>
          <w:sz w:val="36"/>
          <w:szCs w:val="36"/>
          <w:lang w:eastAsia="zh-CN"/>
        </w:rPr>
        <w:t xml:space="preserve">购 </w:t>
      </w:r>
      <w:r>
        <w:rPr>
          <w:rFonts w:hint="eastAsia" w:asciiTheme="minorEastAsia" w:hAnsiTheme="minorEastAsia" w:eastAsiaTheme="minorEastAsia" w:cstheme="minorEastAsia"/>
          <w:b/>
          <w:color w:val="auto"/>
          <w:sz w:val="36"/>
          <w:szCs w:val="36"/>
          <w:lang w:val="en-US" w:eastAsia="zh-CN"/>
        </w:rPr>
        <w:t xml:space="preserve"> </w:t>
      </w:r>
      <w:r>
        <w:rPr>
          <w:rFonts w:hint="eastAsia" w:asciiTheme="minorEastAsia" w:hAnsiTheme="minorEastAsia" w:eastAsiaTheme="minorEastAsia" w:cstheme="minorEastAsia"/>
          <w:b/>
          <w:color w:val="auto"/>
          <w:sz w:val="36"/>
          <w:szCs w:val="36"/>
          <w:lang w:val="en" w:eastAsia="zh-CN"/>
        </w:rPr>
        <w:t xml:space="preserve"> </w:t>
      </w:r>
      <w:r>
        <w:rPr>
          <w:rFonts w:hint="eastAsia" w:asciiTheme="minorEastAsia" w:hAnsiTheme="minorEastAsia" w:eastAsiaTheme="minorEastAsia" w:cstheme="minorEastAsia"/>
          <w:b/>
          <w:color w:val="auto"/>
          <w:sz w:val="36"/>
          <w:szCs w:val="36"/>
          <w:lang w:eastAsia="zh-CN"/>
        </w:rPr>
        <w:t>人：</w:t>
      </w:r>
      <w:r>
        <w:rPr>
          <w:rFonts w:hint="eastAsia" w:asciiTheme="minorEastAsia" w:hAnsiTheme="minorEastAsia" w:eastAsiaTheme="minorEastAsia" w:cstheme="minorEastAsia"/>
          <w:b/>
          <w:color w:val="auto"/>
          <w:sz w:val="36"/>
          <w:szCs w:val="36"/>
          <w:highlight w:val="none"/>
          <w:lang w:val="en" w:eastAsia="zh-CN"/>
        </w:rPr>
        <w:t>洛阳师范学院</w:t>
      </w:r>
    </w:p>
    <w:p w14:paraId="2E377780">
      <w:pPr>
        <w:pageBreakBefore w:val="0"/>
        <w:wordWrap/>
        <w:topLinePunct w:val="0"/>
        <w:bidi w:val="0"/>
        <w:spacing w:line="360" w:lineRule="auto"/>
        <w:ind w:left="1050" w:leftChars="500"/>
        <w:rPr>
          <w:rFonts w:hint="eastAsia" w:asciiTheme="minorEastAsia" w:hAnsiTheme="minorEastAsia" w:eastAsiaTheme="minorEastAsia" w:cstheme="minorEastAsia"/>
          <w:b/>
          <w:bCs/>
          <w:color w:val="auto"/>
          <w:spacing w:val="56"/>
          <w:sz w:val="36"/>
          <w:szCs w:val="36"/>
          <w:lang w:eastAsia="zh-CN"/>
        </w:rPr>
      </w:pPr>
      <w:r>
        <w:rPr>
          <w:rFonts w:hint="eastAsia" w:asciiTheme="minorEastAsia" w:hAnsiTheme="minorEastAsia" w:eastAsiaTheme="minorEastAsia" w:cstheme="minorEastAsia"/>
          <w:b/>
          <w:color w:val="auto"/>
          <w:sz w:val="36"/>
          <w:szCs w:val="36"/>
          <w:highlight w:val="none"/>
          <w:lang w:eastAsia="zh-CN"/>
        </w:rPr>
        <w:t>集中采购机构：河南省公共资源</w:t>
      </w:r>
      <w:r>
        <w:rPr>
          <w:rFonts w:hint="eastAsia" w:asciiTheme="minorEastAsia" w:hAnsiTheme="minorEastAsia" w:eastAsiaTheme="minorEastAsia" w:cstheme="minorEastAsia"/>
          <w:b/>
          <w:color w:val="auto"/>
          <w:sz w:val="36"/>
          <w:szCs w:val="36"/>
          <w:lang w:eastAsia="zh-CN"/>
        </w:rPr>
        <w:t>交易中心</w:t>
      </w:r>
    </w:p>
    <w:p w14:paraId="3719EB38">
      <w:pPr>
        <w:pageBreakBefore w:val="0"/>
        <w:wordWrap/>
        <w:topLinePunct w:val="0"/>
        <w:bidi w:val="0"/>
        <w:spacing w:line="360" w:lineRule="auto"/>
        <w:jc w:val="center"/>
        <w:rPr>
          <w:rFonts w:hint="eastAsia" w:asciiTheme="minorEastAsia" w:hAnsiTheme="minorEastAsia" w:eastAsiaTheme="minorEastAsia" w:cstheme="minorEastAsia"/>
          <w:b/>
          <w:color w:val="auto"/>
          <w:sz w:val="36"/>
          <w:szCs w:val="36"/>
          <w:lang w:val="en"/>
        </w:rPr>
      </w:pPr>
      <w:r>
        <w:rPr>
          <w:rFonts w:hint="eastAsia" w:asciiTheme="minorEastAsia" w:hAnsiTheme="minorEastAsia" w:eastAsiaTheme="minorEastAsia" w:cstheme="minorEastAsia"/>
          <w:b/>
          <w:bCs/>
          <w:color w:val="auto"/>
          <w:sz w:val="36"/>
          <w:szCs w:val="36"/>
          <w:lang w:val="en" w:eastAsia="zh-CN"/>
        </w:rPr>
        <w:t>202</w:t>
      </w:r>
      <w:r>
        <w:rPr>
          <w:rFonts w:hint="eastAsia" w:asciiTheme="minorEastAsia" w:hAnsiTheme="minorEastAsia" w:eastAsiaTheme="minorEastAsia" w:cstheme="minorEastAsia"/>
          <w:b/>
          <w:bCs/>
          <w:color w:val="auto"/>
          <w:sz w:val="36"/>
          <w:szCs w:val="36"/>
          <w:lang w:val="en-US" w:eastAsia="zh-CN"/>
        </w:rPr>
        <w:t>5</w:t>
      </w:r>
      <w:r>
        <w:rPr>
          <w:rFonts w:hint="eastAsia" w:asciiTheme="minorEastAsia" w:hAnsiTheme="minorEastAsia" w:eastAsiaTheme="minorEastAsia" w:cstheme="minorEastAsia"/>
          <w:b/>
          <w:bCs/>
          <w:color w:val="auto"/>
          <w:sz w:val="36"/>
          <w:szCs w:val="36"/>
          <w:lang w:val="en" w:eastAsia="zh-CN"/>
        </w:rPr>
        <w:t>年</w:t>
      </w:r>
      <w:r>
        <w:rPr>
          <w:rFonts w:hint="eastAsia" w:asciiTheme="minorEastAsia" w:hAnsiTheme="minorEastAsia" w:eastAsiaTheme="minorEastAsia" w:cstheme="minorEastAsia"/>
          <w:b/>
          <w:bCs/>
          <w:strike w:val="0"/>
          <w:dstrike w:val="0"/>
          <w:color w:val="auto"/>
          <w:sz w:val="36"/>
          <w:szCs w:val="36"/>
          <w:highlight w:val="none"/>
          <w:u w:val="none"/>
          <w:lang w:val="en-US" w:eastAsia="zh-CN"/>
        </w:rPr>
        <w:t>12</w:t>
      </w:r>
      <w:r>
        <w:rPr>
          <w:rFonts w:hint="eastAsia" w:asciiTheme="minorEastAsia" w:hAnsiTheme="minorEastAsia" w:eastAsiaTheme="minorEastAsia" w:cstheme="minorEastAsia"/>
          <w:b/>
          <w:bCs/>
          <w:color w:val="auto"/>
          <w:sz w:val="36"/>
          <w:szCs w:val="36"/>
          <w:lang w:val="en" w:eastAsia="zh-CN"/>
        </w:rPr>
        <w:t>月</w:t>
      </w:r>
    </w:p>
    <w:p w14:paraId="19DC2047">
      <w:pPr>
        <w:pageBreakBefore w:val="0"/>
        <w:wordWrap/>
        <w:topLinePunct w:val="0"/>
        <w:bidi w:val="0"/>
        <w:spacing w:line="360" w:lineRule="auto"/>
        <w:jc w:val="center"/>
        <w:rPr>
          <w:rFonts w:hint="eastAsia" w:ascii="仿宋" w:hAnsi="仿宋" w:eastAsia="仿宋" w:cs="仿宋"/>
          <w:b/>
          <w:bCs/>
          <w:color w:val="auto"/>
          <w:sz w:val="48"/>
          <w:szCs w:val="48"/>
          <w:lang w:val="en-US" w:eastAsia="zh-CN"/>
        </w:rPr>
        <w:sectPr>
          <w:pgSz w:w="11900" w:h="16840"/>
          <w:pgMar w:top="1440" w:right="1174" w:bottom="1440" w:left="1797" w:header="851" w:footer="992" w:gutter="0"/>
          <w:pgBorders>
            <w:top w:val="none" w:sz="0" w:space="0"/>
            <w:left w:val="none" w:sz="0" w:space="0"/>
            <w:bottom w:val="none" w:sz="0" w:space="0"/>
            <w:right w:val="none" w:sz="0" w:space="0"/>
          </w:pgBorders>
          <w:cols w:space="720" w:num="1"/>
        </w:sectPr>
      </w:pPr>
    </w:p>
    <w:p w14:paraId="5E06B5E2">
      <w:pPr>
        <w:pageBreakBefore w:val="0"/>
        <w:wordWrap/>
        <w:topLinePunct w:val="0"/>
        <w:bidi w:val="0"/>
        <w:spacing w:line="360" w:lineRule="auto"/>
        <w:jc w:val="center"/>
        <w:rPr>
          <w:rFonts w:hint="eastAsia" w:ascii="仿宋" w:hAnsi="仿宋" w:eastAsia="仿宋" w:cs="仿宋"/>
          <w:b/>
          <w:bCs/>
          <w:color w:val="auto"/>
          <w:sz w:val="36"/>
          <w:szCs w:val="36"/>
          <w:lang w:val="en-US" w:eastAsia="zh-CN"/>
        </w:rPr>
      </w:pPr>
      <w:r>
        <w:rPr>
          <w:rFonts w:hint="eastAsia" w:ascii="仿宋" w:hAnsi="仿宋" w:eastAsia="仿宋" w:cs="仿宋"/>
          <w:b/>
          <w:bCs/>
          <w:color w:val="auto"/>
          <w:sz w:val="36"/>
          <w:szCs w:val="36"/>
          <w:lang w:val="en-US" w:eastAsia="zh-CN"/>
        </w:rPr>
        <w:t>目 录</w:t>
      </w:r>
    </w:p>
    <w:p w14:paraId="792295E4">
      <w:pPr>
        <w:pStyle w:val="31"/>
        <w:tabs>
          <w:tab w:val="right" w:leader="dot" w:pos="8306"/>
        </w:tabs>
        <w:rPr>
          <w:rFonts w:hint="eastAsia" w:ascii="仿宋" w:hAnsi="仿宋" w:eastAsia="仿宋" w:cs="仿宋"/>
          <w:sz w:val="36"/>
          <w:szCs w:val="36"/>
        </w:rPr>
      </w:pPr>
      <w:bookmarkStart w:id="0" w:name="_Toc349457307"/>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TOC \o "1-1" \h \u </w:instrText>
      </w:r>
      <w:r>
        <w:rPr>
          <w:rFonts w:hint="eastAsia" w:ascii="仿宋" w:hAnsi="仿宋" w:eastAsia="仿宋" w:cs="仿宋"/>
          <w:sz w:val="36"/>
          <w:szCs w:val="36"/>
        </w:rPr>
        <w:fldChar w:fldCharType="separate"/>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_Toc1316 </w:instrText>
      </w:r>
      <w:r>
        <w:rPr>
          <w:rFonts w:hint="eastAsia" w:ascii="仿宋" w:hAnsi="仿宋" w:eastAsia="仿宋" w:cs="仿宋"/>
          <w:sz w:val="36"/>
          <w:szCs w:val="36"/>
        </w:rPr>
        <w:fldChar w:fldCharType="separate"/>
      </w:r>
      <w:r>
        <w:rPr>
          <w:rFonts w:hint="eastAsia" w:ascii="仿宋" w:hAnsi="仿宋" w:eastAsia="仿宋" w:cs="仿宋"/>
          <w:sz w:val="36"/>
          <w:szCs w:val="36"/>
          <w:lang w:eastAsia="zh-CN"/>
        </w:rPr>
        <w:t>第一章 投标邀请</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_Toc1316 \h </w:instrText>
      </w:r>
      <w:r>
        <w:rPr>
          <w:rFonts w:hint="eastAsia" w:ascii="仿宋" w:hAnsi="仿宋" w:eastAsia="仿宋" w:cs="仿宋"/>
          <w:sz w:val="36"/>
          <w:szCs w:val="36"/>
        </w:rPr>
        <w:fldChar w:fldCharType="separate"/>
      </w:r>
      <w:r>
        <w:rPr>
          <w:rFonts w:hint="eastAsia" w:ascii="仿宋" w:hAnsi="仿宋" w:eastAsia="仿宋" w:cs="仿宋"/>
          <w:sz w:val="36"/>
          <w:szCs w:val="36"/>
        </w:rPr>
        <w:t>2</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420C3812">
      <w:pPr>
        <w:pStyle w:val="31"/>
        <w:tabs>
          <w:tab w:val="right" w:leader="dot" w:pos="8306"/>
        </w:tabs>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_Toc14318 </w:instrText>
      </w:r>
      <w:r>
        <w:rPr>
          <w:rFonts w:hint="eastAsia" w:ascii="仿宋" w:hAnsi="仿宋" w:eastAsia="仿宋" w:cs="仿宋"/>
          <w:sz w:val="36"/>
          <w:szCs w:val="36"/>
        </w:rPr>
        <w:fldChar w:fldCharType="separate"/>
      </w:r>
      <w:r>
        <w:rPr>
          <w:rFonts w:hint="eastAsia" w:ascii="仿宋" w:hAnsi="仿宋" w:eastAsia="仿宋" w:cs="仿宋"/>
          <w:sz w:val="36"/>
          <w:szCs w:val="36"/>
          <w:lang w:eastAsia="zh-CN"/>
        </w:rPr>
        <w:t>第二章 投标人须知前附表</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_Toc14318 \h </w:instrText>
      </w:r>
      <w:r>
        <w:rPr>
          <w:rFonts w:hint="eastAsia" w:ascii="仿宋" w:hAnsi="仿宋" w:eastAsia="仿宋" w:cs="仿宋"/>
          <w:sz w:val="36"/>
          <w:szCs w:val="36"/>
        </w:rPr>
        <w:fldChar w:fldCharType="separate"/>
      </w:r>
      <w:r>
        <w:rPr>
          <w:rFonts w:hint="eastAsia" w:ascii="仿宋" w:hAnsi="仿宋" w:eastAsia="仿宋" w:cs="仿宋"/>
          <w:sz w:val="36"/>
          <w:szCs w:val="36"/>
        </w:rPr>
        <w:t>6</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1801ABB9">
      <w:pPr>
        <w:pStyle w:val="31"/>
        <w:tabs>
          <w:tab w:val="right" w:leader="dot" w:pos="8306"/>
        </w:tabs>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_Toc26320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 xml:space="preserve">第三章 </w:t>
      </w:r>
      <w:r>
        <w:rPr>
          <w:rFonts w:hint="eastAsia" w:ascii="仿宋" w:hAnsi="仿宋" w:eastAsia="仿宋" w:cs="仿宋"/>
          <w:sz w:val="36"/>
          <w:szCs w:val="36"/>
          <w:lang w:eastAsia="zh-CN"/>
        </w:rPr>
        <w:t>投标人须知</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_Toc26320 \h </w:instrText>
      </w:r>
      <w:r>
        <w:rPr>
          <w:rFonts w:hint="eastAsia" w:ascii="仿宋" w:hAnsi="仿宋" w:eastAsia="仿宋" w:cs="仿宋"/>
          <w:sz w:val="36"/>
          <w:szCs w:val="36"/>
        </w:rPr>
        <w:fldChar w:fldCharType="separate"/>
      </w:r>
      <w:r>
        <w:rPr>
          <w:rFonts w:hint="eastAsia" w:ascii="仿宋" w:hAnsi="仿宋" w:eastAsia="仿宋" w:cs="仿宋"/>
          <w:sz w:val="36"/>
          <w:szCs w:val="36"/>
        </w:rPr>
        <w:t>13</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078DB8A4">
      <w:pPr>
        <w:pStyle w:val="31"/>
        <w:tabs>
          <w:tab w:val="right" w:leader="dot" w:pos="8306"/>
        </w:tabs>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_Toc22552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 xml:space="preserve">第四章 </w:t>
      </w:r>
      <w:r>
        <w:rPr>
          <w:rFonts w:hint="eastAsia" w:ascii="仿宋" w:hAnsi="仿宋" w:eastAsia="仿宋" w:cs="仿宋"/>
          <w:sz w:val="36"/>
          <w:szCs w:val="36"/>
          <w:lang w:eastAsia="zh-CN"/>
        </w:rPr>
        <w:t>资格证明文件格式</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_Toc22552 \h </w:instrText>
      </w:r>
      <w:r>
        <w:rPr>
          <w:rFonts w:hint="eastAsia" w:ascii="仿宋" w:hAnsi="仿宋" w:eastAsia="仿宋" w:cs="仿宋"/>
          <w:sz w:val="36"/>
          <w:szCs w:val="36"/>
        </w:rPr>
        <w:fldChar w:fldCharType="separate"/>
      </w:r>
      <w:r>
        <w:rPr>
          <w:rFonts w:hint="eastAsia" w:ascii="仿宋" w:hAnsi="仿宋" w:eastAsia="仿宋" w:cs="仿宋"/>
          <w:sz w:val="36"/>
          <w:szCs w:val="36"/>
        </w:rPr>
        <w:t>30</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109CA80F">
      <w:pPr>
        <w:pStyle w:val="31"/>
        <w:tabs>
          <w:tab w:val="right" w:leader="dot" w:pos="8306"/>
        </w:tabs>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_Toc20329 </w:instrText>
      </w:r>
      <w:r>
        <w:rPr>
          <w:rFonts w:hint="eastAsia" w:ascii="仿宋" w:hAnsi="仿宋" w:eastAsia="仿宋" w:cs="仿宋"/>
          <w:sz w:val="36"/>
          <w:szCs w:val="36"/>
        </w:rPr>
        <w:fldChar w:fldCharType="separate"/>
      </w:r>
      <w:r>
        <w:rPr>
          <w:rFonts w:hint="eastAsia" w:ascii="仿宋" w:hAnsi="仿宋" w:eastAsia="仿宋" w:cs="仿宋"/>
          <w:sz w:val="36"/>
          <w:szCs w:val="36"/>
          <w:lang w:eastAsia="zh-CN"/>
        </w:rPr>
        <w:t>第五章 投标文件格式</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_Toc20329 \h </w:instrText>
      </w:r>
      <w:r>
        <w:rPr>
          <w:rFonts w:hint="eastAsia" w:ascii="仿宋" w:hAnsi="仿宋" w:eastAsia="仿宋" w:cs="仿宋"/>
          <w:sz w:val="36"/>
          <w:szCs w:val="36"/>
        </w:rPr>
        <w:fldChar w:fldCharType="separate"/>
      </w:r>
      <w:r>
        <w:rPr>
          <w:rFonts w:hint="eastAsia" w:ascii="仿宋" w:hAnsi="仿宋" w:eastAsia="仿宋" w:cs="仿宋"/>
          <w:sz w:val="36"/>
          <w:szCs w:val="36"/>
        </w:rPr>
        <w:t>39</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1401121F">
      <w:pPr>
        <w:pStyle w:val="31"/>
        <w:tabs>
          <w:tab w:val="right" w:leader="dot" w:pos="8306"/>
        </w:tabs>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_Toc31017 </w:instrText>
      </w:r>
      <w:r>
        <w:rPr>
          <w:rFonts w:hint="eastAsia" w:ascii="仿宋" w:hAnsi="仿宋" w:eastAsia="仿宋" w:cs="仿宋"/>
          <w:sz w:val="36"/>
          <w:szCs w:val="36"/>
        </w:rPr>
        <w:fldChar w:fldCharType="separate"/>
      </w:r>
      <w:r>
        <w:rPr>
          <w:rFonts w:hint="eastAsia" w:ascii="仿宋" w:hAnsi="仿宋" w:eastAsia="仿宋" w:cs="仿宋"/>
          <w:sz w:val="36"/>
          <w:szCs w:val="36"/>
          <w:lang w:eastAsia="zh-CN"/>
        </w:rPr>
        <w:t>第六章 项目需求及有关要求</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_Toc31017 \h </w:instrText>
      </w:r>
      <w:r>
        <w:rPr>
          <w:rFonts w:hint="eastAsia" w:ascii="仿宋" w:hAnsi="仿宋" w:eastAsia="仿宋" w:cs="仿宋"/>
          <w:sz w:val="36"/>
          <w:szCs w:val="36"/>
        </w:rPr>
        <w:fldChar w:fldCharType="separate"/>
      </w:r>
      <w:r>
        <w:rPr>
          <w:rFonts w:hint="eastAsia" w:ascii="仿宋" w:hAnsi="仿宋" w:eastAsia="仿宋" w:cs="仿宋"/>
          <w:sz w:val="36"/>
          <w:szCs w:val="36"/>
        </w:rPr>
        <w:t>52</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15247C17">
      <w:pPr>
        <w:pStyle w:val="31"/>
        <w:tabs>
          <w:tab w:val="right" w:leader="dot" w:pos="8306"/>
        </w:tabs>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_Toc14663 </w:instrText>
      </w:r>
      <w:r>
        <w:rPr>
          <w:rFonts w:hint="eastAsia" w:ascii="仿宋" w:hAnsi="仿宋" w:eastAsia="仿宋" w:cs="仿宋"/>
          <w:sz w:val="36"/>
          <w:szCs w:val="36"/>
        </w:rPr>
        <w:fldChar w:fldCharType="separate"/>
      </w:r>
      <w:r>
        <w:rPr>
          <w:rFonts w:hint="eastAsia" w:ascii="仿宋" w:hAnsi="仿宋" w:eastAsia="仿宋" w:cs="仿宋"/>
          <w:sz w:val="36"/>
          <w:szCs w:val="36"/>
          <w:lang w:eastAsia="zh-CN"/>
        </w:rPr>
        <w:t>第七章 评标方法和标准</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_Toc14663 \h </w:instrText>
      </w:r>
      <w:r>
        <w:rPr>
          <w:rFonts w:hint="eastAsia" w:ascii="仿宋" w:hAnsi="仿宋" w:eastAsia="仿宋" w:cs="仿宋"/>
          <w:sz w:val="36"/>
          <w:szCs w:val="36"/>
        </w:rPr>
        <w:fldChar w:fldCharType="separate"/>
      </w:r>
      <w:r>
        <w:rPr>
          <w:rFonts w:hint="eastAsia" w:ascii="仿宋" w:hAnsi="仿宋" w:eastAsia="仿宋" w:cs="仿宋"/>
          <w:sz w:val="36"/>
          <w:szCs w:val="36"/>
        </w:rPr>
        <w:t>75</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7323FA83">
      <w:pPr>
        <w:pStyle w:val="31"/>
        <w:tabs>
          <w:tab w:val="right" w:leader="dot" w:pos="8306"/>
        </w:tabs>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_Toc15230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 xml:space="preserve">第八章 </w:t>
      </w:r>
      <w:r>
        <w:rPr>
          <w:rFonts w:hint="eastAsia" w:ascii="仿宋" w:hAnsi="仿宋" w:eastAsia="仿宋" w:cs="仿宋"/>
          <w:sz w:val="36"/>
          <w:szCs w:val="36"/>
        </w:rPr>
        <w:t>政府采购合同</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_Toc15230 \h </w:instrText>
      </w:r>
      <w:r>
        <w:rPr>
          <w:rFonts w:hint="eastAsia" w:ascii="仿宋" w:hAnsi="仿宋" w:eastAsia="仿宋" w:cs="仿宋"/>
          <w:sz w:val="36"/>
          <w:szCs w:val="36"/>
        </w:rPr>
        <w:fldChar w:fldCharType="separate"/>
      </w:r>
      <w:r>
        <w:rPr>
          <w:rFonts w:hint="eastAsia" w:ascii="仿宋" w:hAnsi="仿宋" w:eastAsia="仿宋" w:cs="仿宋"/>
          <w:sz w:val="36"/>
          <w:szCs w:val="36"/>
        </w:rPr>
        <w:t>80</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393D31E1">
      <w:pPr>
        <w:pStyle w:val="31"/>
        <w:tabs>
          <w:tab w:val="right" w:leader="dot" w:pos="8306"/>
        </w:tabs>
        <w:rPr>
          <w:rFonts w:hint="eastAsia" w:ascii="仿宋" w:hAnsi="仿宋" w:eastAsia="仿宋" w:cs="仿宋"/>
          <w:sz w:val="36"/>
          <w:szCs w:val="36"/>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HYPERLINK \l _Toc15631 </w:instrText>
      </w:r>
      <w:r>
        <w:rPr>
          <w:rFonts w:hint="eastAsia" w:ascii="仿宋" w:hAnsi="仿宋" w:eastAsia="仿宋" w:cs="仿宋"/>
          <w:sz w:val="36"/>
          <w:szCs w:val="36"/>
        </w:rPr>
        <w:fldChar w:fldCharType="separate"/>
      </w:r>
      <w:r>
        <w:rPr>
          <w:rFonts w:hint="eastAsia" w:ascii="仿宋" w:hAnsi="仿宋" w:eastAsia="仿宋" w:cs="仿宋"/>
          <w:sz w:val="36"/>
          <w:szCs w:val="36"/>
          <w:lang w:val="en-US" w:eastAsia="zh-CN"/>
        </w:rPr>
        <w:t>第九章 附件</w:t>
      </w:r>
      <w:r>
        <w:rPr>
          <w:rFonts w:hint="eastAsia" w:ascii="仿宋" w:hAnsi="仿宋" w:eastAsia="仿宋" w:cs="仿宋"/>
          <w:sz w:val="36"/>
          <w:szCs w:val="36"/>
        </w:rPr>
        <w:tab/>
      </w: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PAGEREF _Toc15631 \h </w:instrText>
      </w:r>
      <w:r>
        <w:rPr>
          <w:rFonts w:hint="eastAsia" w:ascii="仿宋" w:hAnsi="仿宋" w:eastAsia="仿宋" w:cs="仿宋"/>
          <w:sz w:val="36"/>
          <w:szCs w:val="36"/>
        </w:rPr>
        <w:fldChar w:fldCharType="separate"/>
      </w:r>
      <w:r>
        <w:rPr>
          <w:rFonts w:hint="eastAsia" w:ascii="仿宋" w:hAnsi="仿宋" w:eastAsia="仿宋" w:cs="仿宋"/>
          <w:sz w:val="36"/>
          <w:szCs w:val="36"/>
        </w:rPr>
        <w:t>102</w:t>
      </w:r>
      <w:r>
        <w:rPr>
          <w:rFonts w:hint="eastAsia" w:ascii="仿宋" w:hAnsi="仿宋" w:eastAsia="仿宋" w:cs="仿宋"/>
          <w:sz w:val="36"/>
          <w:szCs w:val="36"/>
        </w:rPr>
        <w:fldChar w:fldCharType="end"/>
      </w:r>
      <w:r>
        <w:rPr>
          <w:rFonts w:hint="eastAsia" w:ascii="仿宋" w:hAnsi="仿宋" w:eastAsia="仿宋" w:cs="仿宋"/>
          <w:sz w:val="36"/>
          <w:szCs w:val="36"/>
        </w:rPr>
        <w:fldChar w:fldCharType="end"/>
      </w:r>
    </w:p>
    <w:p w14:paraId="1BEA57BB">
      <w:pPr>
        <w:pageBreakBefore w:val="0"/>
        <w:wordWrap/>
        <w:topLinePunct w:val="0"/>
        <w:bidi w:val="0"/>
        <w:spacing w:line="360" w:lineRule="auto"/>
        <w:rPr>
          <w:rFonts w:hint="eastAsia" w:ascii="仿宋" w:hAnsi="仿宋" w:eastAsia="仿宋" w:cs="仿宋"/>
          <w:sz w:val="32"/>
          <w:szCs w:val="32"/>
        </w:rPr>
      </w:pPr>
      <w:r>
        <w:rPr>
          <w:rFonts w:hint="eastAsia" w:ascii="仿宋" w:hAnsi="仿宋" w:eastAsia="仿宋" w:cs="仿宋"/>
          <w:sz w:val="36"/>
          <w:szCs w:val="36"/>
        </w:rPr>
        <w:fldChar w:fldCharType="end"/>
      </w:r>
      <w:bookmarkStart w:id="618" w:name="_GoBack"/>
      <w:bookmarkEnd w:id="618"/>
    </w:p>
    <w:p w14:paraId="3AE616E4">
      <w:pPr>
        <w:pStyle w:val="2"/>
        <w:pageBreakBefore w:val="0"/>
        <w:wordWrap/>
        <w:topLinePunct w:val="0"/>
        <w:bidi w:val="0"/>
        <w:spacing w:before="0" w:after="0" w:line="360" w:lineRule="auto"/>
        <w:jc w:val="center"/>
        <w:rPr>
          <w:rFonts w:hint="eastAsia" w:ascii="仿宋" w:hAnsi="仿宋" w:eastAsia="仿宋" w:cs="仿宋"/>
          <w:color w:val="auto"/>
          <w:sz w:val="36"/>
          <w:szCs w:val="36"/>
          <w:lang w:eastAsia="zh-CN"/>
        </w:rPr>
      </w:pPr>
      <w:r>
        <w:rPr>
          <w:rFonts w:hint="eastAsia" w:ascii="仿宋" w:hAnsi="仿宋" w:eastAsia="仿宋" w:cs="仿宋"/>
          <w:color w:val="auto"/>
          <w:sz w:val="24"/>
          <w:szCs w:val="24"/>
          <w:lang w:eastAsia="zh-CN"/>
        </w:rPr>
        <w:br w:type="page"/>
      </w:r>
      <w:bookmarkStart w:id="1" w:name="_Toc932735091"/>
      <w:bookmarkStart w:id="2" w:name="_Toc1076329457"/>
      <w:bookmarkStart w:id="3" w:name="_Toc424031016"/>
      <w:bookmarkStart w:id="4" w:name="_Toc175269916"/>
      <w:bookmarkStart w:id="5" w:name="_Toc471743684"/>
      <w:bookmarkStart w:id="6" w:name="_Toc1788225408"/>
      <w:bookmarkStart w:id="7" w:name="_Toc774922682"/>
      <w:bookmarkStart w:id="8" w:name="_Toc1664555187_WPSOffice_Level1"/>
      <w:bookmarkStart w:id="9" w:name="_Toc1592953130"/>
      <w:bookmarkStart w:id="10" w:name="_Toc1997956478"/>
      <w:bookmarkStart w:id="11" w:name="_Toc968113947"/>
      <w:bookmarkStart w:id="12" w:name="_Toc1877678980_WPSOffice_Level1"/>
      <w:bookmarkStart w:id="13" w:name="_Toc1232167429_WPSOffice_Level1"/>
      <w:bookmarkStart w:id="14" w:name="_Toc36262373_WPSOffice_Level1"/>
      <w:bookmarkStart w:id="15" w:name="_Toc1316"/>
      <w:bookmarkStart w:id="16" w:name="_Toc1306098204"/>
      <w:bookmarkStart w:id="17" w:name="_Toc729479254"/>
      <w:bookmarkStart w:id="18" w:name="_Toc1767733431"/>
      <w:bookmarkStart w:id="19" w:name="_Toc2103182066_WPSOffice_Level1"/>
      <w:bookmarkStart w:id="20" w:name="_Toc1980840421"/>
      <w:r>
        <w:rPr>
          <w:rFonts w:hint="eastAsia" w:ascii="仿宋" w:hAnsi="仿宋" w:eastAsia="仿宋" w:cs="仿宋"/>
          <w:color w:val="auto"/>
          <w:sz w:val="36"/>
          <w:szCs w:val="36"/>
          <w:lang w:eastAsia="zh-CN"/>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hint="eastAsia" w:ascii="仿宋" w:hAnsi="仿宋" w:eastAsia="仿宋" w:cs="仿宋"/>
          <w:color w:val="auto"/>
          <w:sz w:val="36"/>
          <w:szCs w:val="36"/>
          <w:lang w:eastAsia="zh-CN"/>
        </w:rPr>
        <w:t>投标邀请</w:t>
      </w:r>
      <w:bookmarkEnd w:id="15"/>
      <w:bookmarkEnd w:id="16"/>
      <w:bookmarkEnd w:id="17"/>
      <w:bookmarkEnd w:id="18"/>
      <w:bookmarkEnd w:id="19"/>
      <w:bookmarkEnd w:id="20"/>
    </w:p>
    <w:p w14:paraId="3E2BC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z w:val="32"/>
          <w:szCs w:val="32"/>
          <w:lang w:eastAsia="zh-CN"/>
        </w:rPr>
      </w:pPr>
      <w:bookmarkStart w:id="21" w:name="_Toc940675556_WPSOffice_Level2"/>
      <w:r>
        <w:rPr>
          <w:rFonts w:hint="eastAsia" w:ascii="仿宋" w:hAnsi="仿宋" w:eastAsia="仿宋" w:cs="仿宋"/>
          <w:b/>
          <w:color w:val="auto"/>
          <w:sz w:val="32"/>
          <w:szCs w:val="32"/>
          <w:lang w:val="en" w:eastAsia="zh-CN"/>
        </w:rPr>
        <w:t>洛阳师范学院2026-2028年度教学区域物业管理服务项目</w:t>
      </w:r>
      <w:r>
        <w:rPr>
          <w:rFonts w:hint="eastAsia" w:ascii="仿宋" w:hAnsi="仿宋" w:eastAsia="仿宋" w:cs="仿宋"/>
          <w:b/>
          <w:color w:val="auto"/>
          <w:sz w:val="32"/>
          <w:szCs w:val="32"/>
          <w:lang w:eastAsia="zh-CN"/>
        </w:rPr>
        <w:t>-公开招标公告</w:t>
      </w:r>
      <w:bookmarkEnd w:id="21"/>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B8D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14:paraId="149DFE7D">
            <w:pPr>
              <w:pStyle w:val="224"/>
              <w:spacing w:line="360" w:lineRule="auto"/>
              <w:ind w:left="0" w:leftChars="0" w:firstLine="562" w:firstLineChars="200"/>
              <w:rPr>
                <w:rFonts w:ascii="仿宋_GB2312" w:hAnsi="仿宋_GB2312" w:eastAsia="仿宋_GB2312" w:cs="仿宋_GB2312"/>
                <w:b/>
                <w:bCs/>
                <w:sz w:val="28"/>
                <w:szCs w:val="28"/>
              </w:rPr>
            </w:pPr>
            <w:bookmarkStart w:id="22" w:name="_Toc2031125453_WPSOffice_Level2"/>
            <w:bookmarkStart w:id="23" w:name="_Toc1456310841_WPSOffice_Level2"/>
            <w:bookmarkStart w:id="24" w:name="_Toc1811351892_WPSOffice_Level2"/>
            <w:bookmarkStart w:id="25" w:name="_Toc1853601844_WPSOffice_Level2"/>
            <w:bookmarkStart w:id="26" w:name="_Toc1649568961_WPSOffice_Level2"/>
            <w:r>
              <w:rPr>
                <w:rFonts w:hint="eastAsia" w:ascii="仿宋_GB2312" w:hAnsi="仿宋_GB2312" w:eastAsia="仿宋_GB2312" w:cs="仿宋_GB2312"/>
                <w:b/>
                <w:bCs/>
                <w:sz w:val="28"/>
                <w:szCs w:val="28"/>
              </w:rPr>
              <w:t>项目概况</w:t>
            </w:r>
          </w:p>
          <w:p w14:paraId="66C2756A">
            <w:pPr>
              <w:pageBreakBefore w:val="0"/>
              <w:wordWrap/>
              <w:topLinePunct w:val="0"/>
              <w:bidi w:val="0"/>
              <w:spacing w:line="360" w:lineRule="auto"/>
              <w:ind w:firstLine="562" w:firstLineChars="200"/>
              <w:jc w:val="both"/>
              <w:rPr>
                <w:rFonts w:hint="eastAsia" w:ascii="仿宋" w:hAnsi="仿宋" w:eastAsia="仿宋" w:cs="仿宋"/>
                <w:b/>
                <w:bCs/>
                <w:color w:val="auto"/>
                <w:sz w:val="28"/>
                <w:szCs w:val="28"/>
                <w:vertAlign w:val="baseline"/>
                <w:lang w:eastAsia="zh-CN"/>
              </w:rPr>
            </w:pPr>
            <w:r>
              <w:rPr>
                <w:rFonts w:hint="eastAsia" w:ascii="仿宋_GB2312" w:hAnsi="仿宋_GB2312" w:eastAsia="仿宋_GB2312" w:cs="仿宋_GB2312"/>
                <w:b/>
                <w:bCs/>
                <w:sz w:val="28"/>
                <w:szCs w:val="28"/>
                <w:u w:val="single"/>
                <w:lang w:eastAsia="zh-CN"/>
              </w:rPr>
              <w:t>洛阳师范学院2026-2028年度教学区域物业管理服务项目</w:t>
            </w:r>
            <w:r>
              <w:rPr>
                <w:rFonts w:hint="eastAsia" w:ascii="仿宋_GB2312" w:hAnsi="仿宋_GB2312" w:eastAsia="仿宋_GB2312" w:cs="仿宋_GB2312"/>
                <w:sz w:val="28"/>
                <w:szCs w:val="28"/>
              </w:rPr>
              <w:t>招标项目的潜在投标人应在</w:t>
            </w:r>
            <w:r>
              <w:rPr>
                <w:rFonts w:hint="eastAsia" w:ascii="仿宋_GB2312" w:hAnsi="仿宋_GB2312" w:eastAsia="仿宋_GB2312" w:cs="仿宋_GB2312"/>
                <w:b/>
                <w:bCs/>
                <w:sz w:val="28"/>
                <w:szCs w:val="28"/>
                <w:u w:val="single"/>
              </w:rPr>
              <w:t>河南省公共资源交易中</w:t>
            </w:r>
            <w:r>
              <w:rPr>
                <w:rFonts w:hint="eastAsia" w:ascii="仿宋_GB2312" w:hAnsi="仿宋_GB2312" w:eastAsia="仿宋_GB2312" w:cs="仿宋_GB2312"/>
                <w:b/>
                <w:bCs/>
                <w:sz w:val="28"/>
                <w:szCs w:val="28"/>
                <w:u w:val="single"/>
                <w:lang w:val="en-US" w:eastAsia="zh-CN"/>
              </w:rPr>
              <w:t>心网</w:t>
            </w:r>
            <w:r>
              <w:rPr>
                <w:rFonts w:hint="eastAsia" w:ascii="仿宋_GB2312" w:hAnsi="仿宋_GB2312" w:eastAsia="仿宋_GB2312" w:cs="仿宋_GB2312"/>
                <w:b/>
                <w:bCs/>
                <w:sz w:val="28"/>
                <w:szCs w:val="28"/>
                <w:u w:val="single"/>
              </w:rPr>
              <w:t>（</w:t>
            </w:r>
            <w:r>
              <w:fldChar w:fldCharType="begin"/>
            </w:r>
            <w:r>
              <w:instrText xml:space="preserve"> HYPERLINK "http://www.hnggzy.net）获取招标文件，并于2024年11月" </w:instrText>
            </w:r>
            <w:r>
              <w:fldChar w:fldCharType="separate"/>
            </w:r>
            <w:r>
              <w:rPr>
                <w:rStyle w:val="63"/>
                <w:rFonts w:hint="eastAsia" w:ascii="仿宋_GB2312" w:hAnsi="仿宋_GB2312" w:eastAsia="仿宋_GB2312" w:cs="仿宋_GB2312"/>
                <w:b/>
                <w:bCs/>
                <w:sz w:val="28"/>
                <w:szCs w:val="28"/>
                <w:lang w:eastAsia="zh-CN"/>
              </w:rPr>
              <w:t>hnsggzyjy.henan.gov.cn</w:t>
            </w:r>
            <w:r>
              <w:rPr>
                <w:rStyle w:val="63"/>
                <w:rFonts w:hint="eastAsia" w:ascii="仿宋_GB2312" w:hAnsi="仿宋_GB2312" w:eastAsia="仿宋_GB2312" w:cs="仿宋_GB2312"/>
                <w:b/>
                <w:bCs/>
                <w:sz w:val="28"/>
                <w:szCs w:val="28"/>
              </w:rPr>
              <w:t>）</w:t>
            </w:r>
            <w:r>
              <w:rPr>
                <w:rStyle w:val="63"/>
                <w:rFonts w:hint="eastAsia" w:ascii="仿宋_GB2312" w:hAnsi="仿宋_GB2312" w:eastAsia="仿宋_GB2312" w:cs="仿宋_GB2312"/>
                <w:sz w:val="28"/>
                <w:szCs w:val="28"/>
              </w:rPr>
              <w:t>获取招标文件，并于</w:t>
            </w:r>
            <w:r>
              <w:rPr>
                <w:rStyle w:val="63"/>
                <w:rFonts w:ascii="仿宋_GB2312" w:hAnsi="仿宋_GB2312" w:eastAsia="仿宋_GB2312" w:cs="仿宋_GB2312"/>
                <w:b/>
                <w:bCs/>
                <w:sz w:val="28"/>
                <w:szCs w:val="28"/>
                <w:lang w:val="en"/>
              </w:rPr>
              <w:t>202</w:t>
            </w:r>
            <w:r>
              <w:rPr>
                <w:rStyle w:val="63"/>
                <w:rFonts w:hint="eastAsia" w:ascii="仿宋_GB2312" w:hAnsi="仿宋_GB2312" w:eastAsia="仿宋_GB2312" w:cs="仿宋_GB2312"/>
                <w:b/>
                <w:bCs/>
                <w:sz w:val="28"/>
                <w:szCs w:val="28"/>
                <w:lang w:val="en-US" w:eastAsia="zh-CN"/>
              </w:rPr>
              <w:t>5</w:t>
            </w:r>
            <w:r>
              <w:rPr>
                <w:rStyle w:val="63"/>
                <w:rFonts w:ascii="仿宋_GB2312" w:hAnsi="仿宋_GB2312" w:eastAsia="仿宋_GB2312" w:cs="仿宋_GB2312"/>
                <w:b/>
                <w:bCs/>
                <w:sz w:val="28"/>
                <w:szCs w:val="28"/>
                <w:lang w:val="en"/>
              </w:rPr>
              <w:t>年</w:t>
            </w:r>
            <w:r>
              <w:rPr>
                <w:rStyle w:val="63"/>
                <w:rFonts w:hint="eastAsia" w:ascii="仿宋_GB2312" w:hAnsi="仿宋_GB2312" w:eastAsia="仿宋_GB2312" w:cs="仿宋_GB2312"/>
                <w:b/>
                <w:bCs/>
                <w:sz w:val="28"/>
                <w:szCs w:val="28"/>
                <w:lang w:val="en-US" w:eastAsia="zh-CN"/>
              </w:rPr>
              <w:t>12</w:t>
            </w:r>
            <w:r>
              <w:rPr>
                <w:rStyle w:val="63"/>
                <w:rFonts w:ascii="仿宋_GB2312" w:hAnsi="仿宋_GB2312" w:eastAsia="仿宋_GB2312" w:cs="仿宋_GB2312"/>
                <w:b/>
                <w:bCs/>
                <w:sz w:val="28"/>
                <w:szCs w:val="28"/>
                <w:lang w:val="en"/>
              </w:rPr>
              <w:t>月</w:t>
            </w:r>
            <w:r>
              <w:rPr>
                <w:rStyle w:val="63"/>
                <w:rFonts w:ascii="仿宋_GB2312" w:hAnsi="仿宋_GB2312" w:eastAsia="仿宋_GB2312" w:cs="仿宋_GB2312"/>
                <w:b/>
                <w:bCs/>
                <w:sz w:val="28"/>
                <w:szCs w:val="28"/>
                <w:lang w:val="en"/>
              </w:rPr>
              <w:fldChar w:fldCharType="end"/>
            </w:r>
            <w:r>
              <w:rPr>
                <w:rFonts w:hint="eastAsia" w:ascii="仿宋_GB2312" w:hAnsi="仿宋_GB2312" w:eastAsia="仿宋_GB2312" w:cs="仿宋_GB2312"/>
                <w:b/>
                <w:bCs/>
                <w:sz w:val="28"/>
                <w:szCs w:val="28"/>
                <w:u w:val="single"/>
                <w:lang w:val="en-US" w:eastAsia="zh-CN"/>
              </w:rPr>
              <w:t xml:space="preserve">   23</w:t>
            </w:r>
            <w:r>
              <w:rPr>
                <w:rFonts w:hint="eastAsia" w:ascii="仿宋_GB2312" w:hAnsi="仿宋_GB2312" w:eastAsia="仿宋_GB2312" w:cs="仿宋_GB2312"/>
                <w:b/>
                <w:bCs/>
                <w:sz w:val="28"/>
                <w:szCs w:val="28"/>
                <w:u w:val="single"/>
              </w:rPr>
              <w:t>日09时00分（北京时间）</w:t>
            </w:r>
            <w:r>
              <w:rPr>
                <w:rFonts w:hint="eastAsia" w:ascii="仿宋_GB2312" w:hAnsi="仿宋_GB2312" w:eastAsia="仿宋_GB2312" w:cs="仿宋_GB2312"/>
                <w:sz w:val="28"/>
                <w:szCs w:val="28"/>
              </w:rPr>
              <w:t>前递交投标文件。</w:t>
            </w:r>
          </w:p>
        </w:tc>
      </w:tr>
    </w:tbl>
    <w:p w14:paraId="5C361D5C">
      <w:pPr>
        <w:pageBreakBefore w:val="0"/>
        <w:wordWrap/>
        <w:topLinePunct w:val="0"/>
        <w:bidi w:val="0"/>
        <w:spacing w:line="360" w:lineRule="auto"/>
        <w:jc w:val="both"/>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一、项目基本情况</w:t>
      </w:r>
      <w:bookmarkEnd w:id="22"/>
      <w:bookmarkEnd w:id="23"/>
      <w:bookmarkEnd w:id="24"/>
      <w:bookmarkEnd w:id="25"/>
      <w:bookmarkEnd w:id="26"/>
    </w:p>
    <w:p w14:paraId="2F42F995">
      <w:pPr>
        <w:pageBreakBefore w:val="0"/>
        <w:wordWrap/>
        <w:topLinePunct w:val="0"/>
        <w:bidi w:val="0"/>
        <w:spacing w:line="360" w:lineRule="auto"/>
        <w:jc w:val="left"/>
        <w:rPr>
          <w:rFonts w:hint="eastAsia" w:ascii="仿宋" w:hAnsi="仿宋" w:eastAsia="仿宋" w:cs="仿宋"/>
          <w:color w:val="auto"/>
          <w:sz w:val="28"/>
          <w:szCs w:val="28"/>
          <w:lang w:val="en" w:eastAsia="zh-CN"/>
        </w:rPr>
      </w:pPr>
      <w:bookmarkStart w:id="27" w:name="_Toc120342159_WPSOffice_Level3"/>
      <w:bookmarkStart w:id="28" w:name="_Toc632830029_WPSOffice_Level3"/>
      <w:bookmarkStart w:id="29" w:name="_Toc712505010_WPSOffice_Level3"/>
      <w:r>
        <w:rPr>
          <w:rFonts w:hint="eastAsia" w:ascii="仿宋" w:hAnsi="仿宋" w:eastAsia="仿宋" w:cs="仿宋"/>
          <w:color w:val="auto"/>
          <w:sz w:val="28"/>
          <w:szCs w:val="28"/>
          <w:lang w:eastAsia="zh-CN"/>
        </w:rPr>
        <w:t>1</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项目编号：</w:t>
      </w:r>
      <w:bookmarkEnd w:id="27"/>
      <w:bookmarkEnd w:id="28"/>
      <w:bookmarkEnd w:id="29"/>
      <w:r>
        <w:rPr>
          <w:rFonts w:hint="eastAsia" w:ascii="仿宋" w:hAnsi="仿宋" w:eastAsia="仿宋" w:cs="仿宋"/>
          <w:color w:val="auto"/>
          <w:sz w:val="28"/>
          <w:szCs w:val="28"/>
          <w:lang w:val="en" w:eastAsia="zh-CN"/>
        </w:rPr>
        <w:t xml:space="preserve">豫财招标采购-2025-1520 </w:t>
      </w:r>
    </w:p>
    <w:p w14:paraId="6D9B81A2">
      <w:pPr>
        <w:pageBreakBefore w:val="0"/>
        <w:wordWrap/>
        <w:topLinePunct w:val="0"/>
        <w:bidi w:val="0"/>
        <w:spacing w:line="360" w:lineRule="auto"/>
        <w:jc w:val="left"/>
        <w:rPr>
          <w:rFonts w:hint="eastAsia" w:ascii="仿宋" w:hAnsi="仿宋" w:eastAsia="仿宋" w:cs="仿宋"/>
          <w:color w:val="auto"/>
          <w:sz w:val="28"/>
          <w:szCs w:val="28"/>
          <w:lang w:val="en-US" w:eastAsia="zh-CN"/>
        </w:rPr>
      </w:pPr>
      <w:bookmarkStart w:id="30" w:name="_Toc1461506997_WPSOffice_Level3"/>
      <w:bookmarkStart w:id="31" w:name="_Toc2136105441_WPSOffice_Level3"/>
      <w:bookmarkStart w:id="32" w:name="_Toc1019416_WPSOffice_Level3"/>
      <w:r>
        <w:rPr>
          <w:rFonts w:hint="eastAsia" w:ascii="仿宋" w:hAnsi="仿宋" w:eastAsia="仿宋" w:cs="仿宋"/>
          <w:color w:val="auto"/>
          <w:sz w:val="28"/>
          <w:szCs w:val="28"/>
          <w:lang w:eastAsia="zh-CN"/>
        </w:rPr>
        <w:t>2</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项目名称：</w:t>
      </w:r>
      <w:bookmarkEnd w:id="30"/>
      <w:bookmarkEnd w:id="31"/>
      <w:bookmarkEnd w:id="32"/>
      <w:r>
        <w:rPr>
          <w:rFonts w:hint="eastAsia" w:ascii="仿宋" w:hAnsi="仿宋" w:eastAsia="仿宋" w:cs="仿宋"/>
          <w:color w:val="auto"/>
          <w:sz w:val="28"/>
          <w:szCs w:val="28"/>
          <w:lang w:val="en" w:eastAsia="zh-CN"/>
        </w:rPr>
        <w:t>洛阳师范学院2026-2028年度教学区域物业管理服务项目</w:t>
      </w:r>
      <w:r>
        <w:rPr>
          <w:rFonts w:hint="eastAsia" w:ascii="仿宋" w:hAnsi="仿宋" w:eastAsia="仿宋" w:cs="仿宋"/>
          <w:color w:val="auto"/>
          <w:sz w:val="28"/>
          <w:szCs w:val="28"/>
          <w:lang w:val="en-US" w:eastAsia="zh-CN"/>
        </w:rPr>
        <w:t xml:space="preserve"> </w:t>
      </w:r>
    </w:p>
    <w:p w14:paraId="0D4AD365">
      <w:pPr>
        <w:pageBreakBefore w:val="0"/>
        <w:wordWrap/>
        <w:topLinePunct w:val="0"/>
        <w:bidi w:val="0"/>
        <w:spacing w:line="360" w:lineRule="auto"/>
        <w:jc w:val="left"/>
        <w:rPr>
          <w:rFonts w:hint="eastAsia" w:ascii="仿宋" w:hAnsi="仿宋" w:eastAsia="仿宋" w:cs="仿宋"/>
          <w:color w:val="auto"/>
          <w:sz w:val="28"/>
          <w:szCs w:val="28"/>
          <w:lang w:eastAsia="zh-CN"/>
        </w:rPr>
      </w:pPr>
      <w:bookmarkStart w:id="33" w:name="_Toc1350258088_WPSOffice_Level3"/>
      <w:bookmarkStart w:id="34" w:name="_Toc1331877378_WPSOffice_Level3"/>
      <w:bookmarkStart w:id="35" w:name="_Toc997609044_WPSOffice_Level3"/>
      <w:r>
        <w:rPr>
          <w:rFonts w:hint="eastAsia" w:ascii="仿宋" w:hAnsi="仿宋" w:eastAsia="仿宋" w:cs="仿宋"/>
          <w:color w:val="auto"/>
          <w:sz w:val="28"/>
          <w:szCs w:val="28"/>
          <w:lang w:eastAsia="zh-CN"/>
        </w:rPr>
        <w:t>3</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采购方式：公开招标</w:t>
      </w:r>
      <w:bookmarkEnd w:id="33"/>
      <w:bookmarkEnd w:id="34"/>
      <w:bookmarkEnd w:id="35"/>
    </w:p>
    <w:p w14:paraId="718BA9FF">
      <w:pPr>
        <w:pageBreakBefore w:val="0"/>
        <w:wordWrap/>
        <w:topLinePunct w:val="0"/>
        <w:bidi w:val="0"/>
        <w:spacing w:line="360" w:lineRule="auto"/>
        <w:jc w:val="left"/>
        <w:rPr>
          <w:rFonts w:hint="eastAsia" w:ascii="仿宋" w:hAnsi="仿宋" w:eastAsia="仿宋" w:cs="仿宋"/>
          <w:color w:val="auto"/>
          <w:sz w:val="28"/>
          <w:szCs w:val="28"/>
          <w:lang w:eastAsia="zh-CN"/>
        </w:rPr>
      </w:pPr>
      <w:bookmarkStart w:id="36" w:name="_Toc91128674_WPSOffice_Level3"/>
      <w:bookmarkStart w:id="37" w:name="_Toc2510158_WPSOffice_Level3"/>
      <w:bookmarkStart w:id="38" w:name="_Toc654106674_WPSOffice_Level3"/>
      <w:r>
        <w:rPr>
          <w:rFonts w:hint="eastAsia" w:ascii="仿宋" w:hAnsi="仿宋" w:eastAsia="仿宋" w:cs="仿宋"/>
          <w:color w:val="auto"/>
          <w:sz w:val="28"/>
          <w:szCs w:val="28"/>
          <w:lang w:eastAsia="zh-CN"/>
        </w:rPr>
        <w:t>4</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预算金额：10014000元</w:t>
      </w:r>
      <w:bookmarkEnd w:id="36"/>
      <w:bookmarkEnd w:id="37"/>
      <w:bookmarkEnd w:id="38"/>
    </w:p>
    <w:p w14:paraId="5018B1D4">
      <w:pPr>
        <w:pageBreakBefore w:val="0"/>
        <w:wordWrap/>
        <w:topLinePunct w:val="0"/>
        <w:bidi w:val="0"/>
        <w:spacing w:line="360" w:lineRule="auto"/>
        <w:ind w:firstLine="280" w:firstLineChars="100"/>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最高限价：10014000元</w:t>
      </w:r>
    </w:p>
    <w:tbl>
      <w:tblPr>
        <w:tblStyle w:val="52"/>
        <w:tblW w:w="9494"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611"/>
        <w:gridCol w:w="2926"/>
        <w:gridCol w:w="2817"/>
        <w:gridCol w:w="1500"/>
        <w:gridCol w:w="1640"/>
      </w:tblGrid>
      <w:tr w14:paraId="5CF31CF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5648A4E4">
            <w:pPr>
              <w:pageBreakBefore w:val="0"/>
              <w:wordWrap/>
              <w:topLinePunct w:val="0"/>
              <w:bidi w:val="0"/>
              <w:spacing w:line="360" w:lineRule="auto"/>
              <w:jc w:val="center"/>
              <w:rPr>
                <w:rFonts w:hint="eastAsia" w:ascii="仿宋" w:hAnsi="仿宋" w:eastAsia="仿宋" w:cs="仿宋"/>
                <w:color w:val="auto"/>
                <w:kern w:val="0"/>
                <w:sz w:val="28"/>
                <w:szCs w:val="28"/>
              </w:rPr>
            </w:pPr>
            <w:bookmarkStart w:id="39" w:name="_Toc1882423541_WPSOffice_Level3"/>
            <w:bookmarkStart w:id="40" w:name="_Toc1585577024_WPSOffice_Level3"/>
            <w:bookmarkStart w:id="41" w:name="_Toc530655014_WPSOffice_Level3"/>
            <w:r>
              <w:rPr>
                <w:rFonts w:hint="eastAsia" w:ascii="仿宋" w:hAnsi="仿宋" w:eastAsia="仿宋" w:cs="仿宋"/>
                <w:color w:val="auto"/>
                <w:kern w:val="0"/>
                <w:sz w:val="28"/>
                <w:szCs w:val="28"/>
              </w:rPr>
              <w:t>序号</w:t>
            </w:r>
          </w:p>
        </w:tc>
        <w:tc>
          <w:tcPr>
            <w:tcW w:w="2926"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02D11A28">
            <w:pPr>
              <w:pageBreakBefore w:val="0"/>
              <w:wordWrap/>
              <w:topLinePunct w:val="0"/>
              <w:bidi w:val="0"/>
              <w:spacing w:line="360" w:lineRule="auto"/>
              <w:jc w:val="center"/>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包号</w:t>
            </w:r>
          </w:p>
        </w:tc>
        <w:tc>
          <w:tcPr>
            <w:tcW w:w="2817"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6EC30D67">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包名称</w:t>
            </w:r>
          </w:p>
        </w:tc>
        <w:tc>
          <w:tcPr>
            <w:tcW w:w="1500"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1261EC7B">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包预算（元）</w:t>
            </w:r>
          </w:p>
        </w:tc>
        <w:tc>
          <w:tcPr>
            <w:tcW w:w="1640"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61C7E677">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包最高限价（元）</w:t>
            </w:r>
          </w:p>
        </w:tc>
      </w:tr>
      <w:tr w14:paraId="6E7103F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4E106695">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rPr>
              <w:t>1</w:t>
            </w:r>
          </w:p>
        </w:tc>
        <w:tc>
          <w:tcPr>
            <w:tcW w:w="2926"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3C3E1B5F">
            <w:pPr>
              <w:pageBreakBefore w:val="0"/>
              <w:wordWrap/>
              <w:topLinePunct w:val="0"/>
              <w:bidi w:val="0"/>
              <w:spacing w:line="360" w:lineRule="auto"/>
              <w:jc w:val="center"/>
              <w:rPr>
                <w:rFonts w:hint="eastAsia" w:ascii="仿宋" w:hAnsi="仿宋" w:eastAsia="仿宋" w:cs="仿宋"/>
                <w:b w:val="0"/>
                <w:bCs w:val="0"/>
                <w:color w:val="auto"/>
                <w:kern w:val="0"/>
                <w:sz w:val="28"/>
                <w:szCs w:val="28"/>
                <w:lang w:val="en-US"/>
              </w:rPr>
            </w:pPr>
            <w:r>
              <w:rPr>
                <w:rFonts w:hint="eastAsia" w:ascii="仿宋" w:hAnsi="仿宋" w:eastAsia="仿宋" w:cs="仿宋"/>
                <w:b w:val="0"/>
                <w:bCs w:val="0"/>
                <w:color w:val="auto"/>
                <w:kern w:val="0"/>
                <w:sz w:val="28"/>
                <w:szCs w:val="28"/>
                <w:lang w:val="en-US"/>
              </w:rPr>
              <w:t>豫政采(1)20250287-1</w:t>
            </w:r>
          </w:p>
        </w:tc>
        <w:tc>
          <w:tcPr>
            <w:tcW w:w="2817"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19E6C779">
            <w:pPr>
              <w:pageBreakBefore w:val="0"/>
              <w:wordWrap/>
              <w:topLinePunct w:val="0"/>
              <w:bidi w:val="0"/>
              <w:spacing w:line="360" w:lineRule="auto"/>
              <w:jc w:val="center"/>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 w:eastAsia="zh-CN"/>
              </w:rPr>
              <w:t>洛阳师范学院2026-2028年度教学区域物业管理服务项目</w:t>
            </w:r>
          </w:p>
        </w:tc>
        <w:tc>
          <w:tcPr>
            <w:tcW w:w="1500"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62E854E6">
            <w:pPr>
              <w:pageBreakBefore w:val="0"/>
              <w:wordWrap/>
              <w:topLinePunct w:val="0"/>
              <w:bidi w:val="0"/>
              <w:spacing w:line="360" w:lineRule="auto"/>
              <w:jc w:val="center"/>
              <w:rPr>
                <w:rFonts w:hint="eastAsia" w:ascii="仿宋" w:hAnsi="仿宋" w:eastAsia="仿宋" w:cs="仿宋"/>
                <w:color w:val="auto"/>
                <w:kern w:val="0"/>
                <w:sz w:val="28"/>
                <w:szCs w:val="28"/>
                <w:lang w:val="en-US" w:eastAsia="zh-CN"/>
              </w:rPr>
            </w:pPr>
            <w:r>
              <w:rPr>
                <w:rFonts w:hint="eastAsia" w:ascii="仿宋" w:hAnsi="仿宋" w:eastAsia="仿宋" w:cs="仿宋"/>
                <w:sz w:val="28"/>
                <w:szCs w:val="28"/>
              </w:rPr>
              <w:t>10014000</w:t>
            </w:r>
          </w:p>
        </w:tc>
        <w:tc>
          <w:tcPr>
            <w:tcW w:w="1640" w:type="dxa"/>
            <w:tcBorders>
              <w:top w:val="single" w:color="000000" w:sz="4" w:space="0"/>
              <w:left w:val="single" w:color="000000" w:sz="4" w:space="0"/>
              <w:bottom w:val="single" w:color="000000" w:sz="4" w:space="0"/>
              <w:right w:val="single" w:color="000000" w:sz="4" w:space="0"/>
            </w:tcBorders>
            <w:noWrap/>
            <w:tcMar>
              <w:top w:w="80" w:type="dxa"/>
              <w:left w:w="80" w:type="dxa"/>
              <w:bottom w:w="80" w:type="dxa"/>
              <w:right w:w="80" w:type="dxa"/>
            </w:tcMar>
            <w:vAlign w:val="center"/>
          </w:tcPr>
          <w:p w14:paraId="362DF639">
            <w:pPr>
              <w:pageBreakBefore w:val="0"/>
              <w:wordWrap/>
              <w:topLinePunct w:val="0"/>
              <w:bidi w:val="0"/>
              <w:spacing w:line="360" w:lineRule="auto"/>
              <w:jc w:val="center"/>
              <w:rPr>
                <w:rFonts w:hint="eastAsia" w:ascii="仿宋" w:hAnsi="仿宋" w:eastAsia="仿宋" w:cs="仿宋"/>
                <w:color w:val="auto"/>
                <w:kern w:val="0"/>
                <w:sz w:val="28"/>
                <w:szCs w:val="28"/>
                <w:lang w:val="en-US" w:eastAsia="zh-CN"/>
              </w:rPr>
            </w:pPr>
            <w:r>
              <w:rPr>
                <w:rFonts w:hint="eastAsia" w:ascii="仿宋" w:hAnsi="仿宋" w:eastAsia="仿宋" w:cs="仿宋"/>
                <w:sz w:val="28"/>
                <w:szCs w:val="28"/>
              </w:rPr>
              <w:t>10014000</w:t>
            </w:r>
          </w:p>
        </w:tc>
      </w:tr>
    </w:tbl>
    <w:p w14:paraId="67317900">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5.采购需求（包括但不限于标的的名称、数量、简要技术需求或服务要求等）</w:t>
      </w:r>
      <w:bookmarkEnd w:id="39"/>
      <w:bookmarkEnd w:id="40"/>
      <w:bookmarkEnd w:id="41"/>
    </w:p>
    <w:p w14:paraId="75BADE02">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（1）本项目共1个包；</w:t>
      </w:r>
    </w:p>
    <w:p w14:paraId="46AB04A1">
      <w:pPr>
        <w:pageBreakBefore w:val="0"/>
        <w:wordWrap/>
        <w:topLinePunct w:val="0"/>
        <w:bidi w:val="0"/>
        <w:spacing w:line="360" w:lineRule="auto"/>
        <w:jc w:val="left"/>
        <w:rPr>
          <w:rFonts w:hint="eastAsia" w:ascii="仿宋" w:hAnsi="仿宋" w:eastAsia="仿宋" w:cs="仿宋"/>
          <w:color w:val="auto"/>
          <w:sz w:val="28"/>
          <w:szCs w:val="28"/>
          <w:highlight w:val="none"/>
          <w:lang w:val="en" w:eastAsia="zh-CN"/>
        </w:rPr>
      </w:pPr>
      <w:r>
        <w:rPr>
          <w:rFonts w:hint="eastAsia" w:ascii="仿宋" w:hAnsi="仿宋" w:eastAsia="仿宋" w:cs="仿宋"/>
          <w:color w:val="auto"/>
          <w:sz w:val="28"/>
          <w:szCs w:val="28"/>
          <w:lang w:val="en-US" w:eastAsia="zh-CN"/>
        </w:rPr>
        <w:t>（2）采购内容：</w:t>
      </w:r>
      <w:r>
        <w:rPr>
          <w:rFonts w:hint="eastAsia" w:ascii="仿宋" w:hAnsi="仿宋" w:eastAsia="仿宋" w:cs="仿宋"/>
          <w:color w:val="auto"/>
          <w:kern w:val="0"/>
          <w:sz w:val="28"/>
          <w:szCs w:val="28"/>
          <w:lang w:val="en" w:eastAsia="zh-CN"/>
        </w:rPr>
        <w:t>洛阳师范学院2026-2028年度教学区域物业管理服务项目</w:t>
      </w:r>
      <w:r>
        <w:rPr>
          <w:rFonts w:hint="eastAsia" w:ascii="仿宋" w:hAnsi="仿宋" w:eastAsia="仿宋" w:cs="仿宋"/>
          <w:color w:val="auto"/>
          <w:sz w:val="28"/>
          <w:szCs w:val="28"/>
          <w:highlight w:val="none"/>
          <w:lang w:val="en" w:eastAsia="zh-CN"/>
        </w:rPr>
        <w:t>,包含室内保洁管理服务（文科教学楼、理科教学楼、逸夫教学楼、图书馆等区域）、室外保洁管理服务（问礼大道以东，成均大道以西，立雪大道以南，金谷大道以北铺装面积和道路保洁含楼顶定期清扫）、校园绿化管理服务（问礼大道以东，成均大道以西，立雪大道以南及金谷大道以北）、教室管理服务（教室及教师休息室约为178间）、小型维修服务、垃圾清收、清运和集中服务以及专项管理服务等；</w:t>
      </w:r>
      <w:r>
        <w:rPr>
          <w:rFonts w:hint="eastAsia" w:ascii="仿宋" w:hAnsi="仿宋" w:eastAsia="仿宋" w:cs="仿宋"/>
          <w:color w:val="auto"/>
          <w:sz w:val="28"/>
          <w:szCs w:val="28"/>
          <w:highlight w:val="none"/>
          <w:lang w:val="en-US" w:eastAsia="zh-CN"/>
        </w:rPr>
        <w:t>人员配备不低于85人</w:t>
      </w:r>
      <w:r>
        <w:rPr>
          <w:rFonts w:hint="eastAsia" w:ascii="仿宋" w:hAnsi="仿宋" w:eastAsia="仿宋" w:cs="仿宋"/>
          <w:color w:val="auto"/>
          <w:sz w:val="28"/>
          <w:szCs w:val="28"/>
          <w:highlight w:val="none"/>
          <w:lang w:val="en" w:eastAsia="zh-CN"/>
        </w:rPr>
        <w:t>；</w:t>
      </w:r>
    </w:p>
    <w:p w14:paraId="7B27C952">
      <w:pPr>
        <w:pageBreakBefore w:val="0"/>
        <w:wordWrap/>
        <w:topLinePunct w:val="0"/>
        <w:bidi w:val="0"/>
        <w:spacing w:line="360" w:lineRule="auto"/>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（3）服务期限：自合同签订之日起3年；</w:t>
      </w:r>
    </w:p>
    <w:p w14:paraId="3CDA6BAE">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（4）服务地点：</w:t>
      </w:r>
      <w:bookmarkStart w:id="42" w:name="_Toc1866155745_WPSOffice_Level3"/>
      <w:r>
        <w:rPr>
          <w:rFonts w:hint="eastAsia" w:ascii="仿宋" w:hAnsi="仿宋" w:eastAsia="仿宋" w:cs="仿宋"/>
          <w:color w:val="auto"/>
          <w:kern w:val="0"/>
          <w:sz w:val="28"/>
          <w:szCs w:val="28"/>
          <w:lang w:val="en" w:eastAsia="zh-CN"/>
        </w:rPr>
        <w:t>洛阳师范学院</w:t>
      </w:r>
      <w:r>
        <w:rPr>
          <w:rFonts w:hint="eastAsia" w:ascii="仿宋" w:hAnsi="仿宋" w:eastAsia="仿宋" w:cs="仿宋"/>
          <w:sz w:val="28"/>
          <w:szCs w:val="28"/>
          <w:lang w:val="en-US" w:eastAsia="zh-CN"/>
        </w:rPr>
        <w:t>（洛阳市伊滨区吉庆路6号</w:t>
      </w:r>
      <w:r>
        <w:rPr>
          <w:rFonts w:hint="eastAsia" w:ascii="仿宋" w:hAnsi="仿宋" w:eastAsia="仿宋" w:cs="仿宋"/>
          <w:color w:val="auto"/>
          <w:sz w:val="28"/>
          <w:szCs w:val="28"/>
          <w:highlight w:val="none"/>
          <w:lang w:val="en-US" w:eastAsia="zh-CN"/>
        </w:rPr>
        <w:t>）；</w:t>
      </w:r>
    </w:p>
    <w:p w14:paraId="6DBB009E">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（5）服务质量：满足采购人需求</w:t>
      </w:r>
      <w:bookmarkStart w:id="43" w:name="_Toc1031072132_WPSOffice_Level3"/>
      <w:r>
        <w:rPr>
          <w:rFonts w:hint="eastAsia" w:ascii="仿宋" w:hAnsi="仿宋" w:eastAsia="仿宋" w:cs="仿宋"/>
          <w:color w:val="auto"/>
          <w:sz w:val="28"/>
          <w:szCs w:val="28"/>
          <w:lang w:val="en-US" w:eastAsia="zh-CN"/>
        </w:rPr>
        <w:t>。</w:t>
      </w:r>
    </w:p>
    <w:p w14:paraId="0696E2C9">
      <w:pPr>
        <w:pageBreakBefore w:val="0"/>
        <w:wordWrap/>
        <w:topLinePunct w:val="0"/>
        <w:bidi w:val="0"/>
        <w:spacing w:line="360" w:lineRule="auto"/>
        <w:jc w:val="left"/>
        <w:rPr>
          <w:rFonts w:hint="eastAsia" w:ascii="仿宋" w:hAnsi="仿宋" w:eastAsia="仿宋" w:cs="仿宋"/>
          <w:color w:val="auto"/>
          <w:sz w:val="28"/>
          <w:szCs w:val="28"/>
          <w:lang w:val="en-US" w:eastAsia="zh-CN"/>
        </w:rPr>
      </w:pPr>
      <w:bookmarkStart w:id="44" w:name="_Toc1826742135_WPSOffice_Level3"/>
      <w:r>
        <w:rPr>
          <w:rFonts w:hint="eastAsia" w:ascii="仿宋" w:hAnsi="仿宋" w:eastAsia="仿宋" w:cs="仿宋"/>
          <w:color w:val="auto"/>
          <w:sz w:val="28"/>
          <w:szCs w:val="28"/>
          <w:lang w:val="en-US" w:eastAsia="zh-CN"/>
        </w:rPr>
        <w:t>6.合同履行期限：</w:t>
      </w:r>
      <w:bookmarkEnd w:id="42"/>
      <w:bookmarkEnd w:id="43"/>
      <w:bookmarkEnd w:id="44"/>
      <w:r>
        <w:rPr>
          <w:rFonts w:hint="eastAsia" w:ascii="仿宋" w:hAnsi="仿宋" w:eastAsia="仿宋" w:cs="仿宋"/>
          <w:color w:val="auto"/>
          <w:sz w:val="28"/>
          <w:szCs w:val="28"/>
          <w:lang w:val="en-US" w:eastAsia="zh-CN"/>
        </w:rPr>
        <w:t>同服务期限</w:t>
      </w:r>
    </w:p>
    <w:p w14:paraId="133F89B4">
      <w:pPr>
        <w:pageBreakBefore w:val="0"/>
        <w:wordWrap/>
        <w:topLinePunct w:val="0"/>
        <w:bidi w:val="0"/>
        <w:spacing w:line="360" w:lineRule="auto"/>
        <w:jc w:val="left"/>
        <w:rPr>
          <w:rFonts w:hint="eastAsia" w:ascii="仿宋" w:hAnsi="仿宋" w:eastAsia="仿宋" w:cs="仿宋"/>
          <w:color w:val="auto"/>
          <w:sz w:val="28"/>
          <w:szCs w:val="28"/>
          <w:lang w:val="en-US" w:eastAsia="zh-CN"/>
        </w:rPr>
      </w:pPr>
      <w:bookmarkStart w:id="45" w:name="_Toc634119560_WPSOffice_Level3"/>
      <w:bookmarkStart w:id="46" w:name="_Toc804008546_WPSOffice_Level3"/>
      <w:bookmarkStart w:id="47" w:name="_Toc1547155158_WPSOffice_Level3"/>
      <w:r>
        <w:rPr>
          <w:rFonts w:hint="eastAsia" w:ascii="仿宋" w:hAnsi="仿宋" w:eastAsia="仿宋" w:cs="仿宋"/>
          <w:color w:val="auto"/>
          <w:sz w:val="28"/>
          <w:szCs w:val="28"/>
          <w:lang w:val="en-US" w:eastAsia="zh-CN"/>
        </w:rPr>
        <w:t>7.本项目是否接受联合体投标：否</w:t>
      </w:r>
      <w:bookmarkEnd w:id="45"/>
      <w:bookmarkEnd w:id="46"/>
      <w:bookmarkEnd w:id="47"/>
    </w:p>
    <w:p w14:paraId="76EB08C2">
      <w:pPr>
        <w:pageBreakBefore w:val="0"/>
        <w:wordWrap/>
        <w:topLinePunct w:val="0"/>
        <w:bidi w:val="0"/>
        <w:spacing w:line="360" w:lineRule="auto"/>
        <w:jc w:val="left"/>
        <w:rPr>
          <w:rFonts w:hint="eastAsia" w:ascii="仿宋" w:hAnsi="仿宋" w:eastAsia="仿宋" w:cs="仿宋"/>
          <w:color w:val="auto"/>
          <w:sz w:val="28"/>
          <w:szCs w:val="28"/>
          <w:lang w:val="en-US" w:eastAsia="zh-CN"/>
        </w:rPr>
      </w:pPr>
      <w:bookmarkStart w:id="48" w:name="_Toc1454916570_WPSOffice_Level3"/>
      <w:bookmarkStart w:id="49" w:name="_Toc1075148766_WPSOffice_Level3"/>
      <w:bookmarkStart w:id="50" w:name="_Toc1394357842_WPSOffice_Level3"/>
      <w:r>
        <w:rPr>
          <w:rFonts w:hint="eastAsia" w:ascii="仿宋" w:hAnsi="仿宋" w:eastAsia="仿宋" w:cs="仿宋"/>
          <w:color w:val="auto"/>
          <w:sz w:val="28"/>
          <w:szCs w:val="28"/>
          <w:lang w:val="en-US" w:eastAsia="zh-CN"/>
        </w:rPr>
        <w:t>8.是否允许采购进口产品：否</w:t>
      </w:r>
      <w:bookmarkEnd w:id="48"/>
      <w:bookmarkEnd w:id="49"/>
      <w:bookmarkEnd w:id="50"/>
    </w:p>
    <w:p w14:paraId="725EEF3D">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是否专门面向中小企业：否</w:t>
      </w:r>
    </w:p>
    <w:p w14:paraId="7359526B">
      <w:pPr>
        <w:pageBreakBefore w:val="0"/>
        <w:wordWrap/>
        <w:topLinePunct w:val="0"/>
        <w:bidi w:val="0"/>
        <w:spacing w:line="360" w:lineRule="auto"/>
        <w:jc w:val="left"/>
        <w:rPr>
          <w:rFonts w:hint="eastAsia" w:ascii="仿宋" w:hAnsi="仿宋" w:eastAsia="仿宋" w:cs="仿宋"/>
          <w:b/>
          <w:bCs/>
          <w:color w:val="auto"/>
          <w:sz w:val="28"/>
          <w:szCs w:val="28"/>
          <w:lang w:val="en-US" w:eastAsia="zh-CN"/>
        </w:rPr>
      </w:pPr>
      <w:bookmarkStart w:id="51" w:name="_Toc407944620_WPSOffice_Level2"/>
      <w:bookmarkStart w:id="52" w:name="_Toc2026118901_WPSOffice_Level2"/>
      <w:bookmarkStart w:id="53" w:name="_Toc584363550_WPSOffice_Level2"/>
      <w:bookmarkStart w:id="54" w:name="_Toc1298400066_WPSOffice_Level2"/>
      <w:bookmarkStart w:id="55" w:name="_Toc1990946225_WPSOffice_Level2"/>
      <w:r>
        <w:rPr>
          <w:rFonts w:hint="eastAsia" w:ascii="仿宋" w:hAnsi="仿宋" w:eastAsia="仿宋" w:cs="仿宋"/>
          <w:b/>
          <w:bCs/>
          <w:color w:val="auto"/>
          <w:sz w:val="28"/>
          <w:szCs w:val="28"/>
          <w:lang w:val="en-US" w:eastAsia="zh-CN"/>
        </w:rPr>
        <w:t>二、申请人资格要求</w:t>
      </w:r>
      <w:bookmarkEnd w:id="51"/>
      <w:bookmarkEnd w:id="52"/>
      <w:bookmarkEnd w:id="53"/>
      <w:bookmarkEnd w:id="54"/>
      <w:r>
        <w:rPr>
          <w:rFonts w:hint="eastAsia" w:ascii="仿宋" w:hAnsi="仿宋" w:eastAsia="仿宋" w:cs="仿宋"/>
          <w:b/>
          <w:bCs/>
          <w:color w:val="auto"/>
          <w:sz w:val="28"/>
          <w:szCs w:val="28"/>
          <w:lang w:val="en-US" w:eastAsia="zh-CN"/>
        </w:rPr>
        <w:t>：</w:t>
      </w:r>
      <w:bookmarkEnd w:id="55"/>
    </w:p>
    <w:p w14:paraId="2896E6FB">
      <w:pPr>
        <w:pageBreakBefore w:val="0"/>
        <w:wordWrap/>
        <w:topLinePunct w:val="0"/>
        <w:bidi w:val="0"/>
        <w:spacing w:line="360" w:lineRule="auto"/>
        <w:jc w:val="left"/>
        <w:rPr>
          <w:rFonts w:hint="eastAsia" w:ascii="仿宋" w:hAnsi="仿宋" w:eastAsia="仿宋" w:cs="仿宋"/>
          <w:color w:val="auto"/>
          <w:sz w:val="28"/>
          <w:szCs w:val="28"/>
          <w:lang w:val="en-US" w:eastAsia="zh-CN"/>
        </w:rPr>
      </w:pPr>
      <w:bookmarkStart w:id="56" w:name="_Toc786047326_WPSOffice_Level3"/>
      <w:bookmarkStart w:id="57" w:name="_Toc288167634_WPSOffice_Level3"/>
      <w:bookmarkStart w:id="58" w:name="_Toc795001869_WPSOffice_Level3"/>
      <w:r>
        <w:rPr>
          <w:rFonts w:hint="eastAsia" w:ascii="仿宋" w:hAnsi="仿宋" w:eastAsia="仿宋" w:cs="仿宋"/>
          <w:color w:val="auto"/>
          <w:sz w:val="28"/>
          <w:szCs w:val="28"/>
          <w:lang w:val="en-US" w:eastAsia="zh-CN"/>
        </w:rPr>
        <w:t>1.满足《中华人民共和国政府采购法》第二十二条规定；</w:t>
      </w:r>
      <w:bookmarkEnd w:id="56"/>
      <w:bookmarkEnd w:id="57"/>
      <w:bookmarkEnd w:id="58"/>
    </w:p>
    <w:p w14:paraId="746F8EBD">
      <w:pPr>
        <w:pageBreakBefore w:val="0"/>
        <w:wordWrap/>
        <w:topLinePunct w:val="0"/>
        <w:bidi w:val="0"/>
        <w:spacing w:line="360" w:lineRule="auto"/>
        <w:jc w:val="left"/>
        <w:rPr>
          <w:rFonts w:hint="eastAsia" w:ascii="仿宋" w:hAnsi="仿宋" w:eastAsia="仿宋" w:cs="仿宋"/>
          <w:color w:val="auto"/>
          <w:sz w:val="28"/>
          <w:szCs w:val="28"/>
          <w:lang w:val="en-US" w:eastAsia="zh-CN"/>
        </w:rPr>
      </w:pPr>
      <w:bookmarkStart w:id="59" w:name="_Toc1004075335_WPSOffice_Level3"/>
      <w:bookmarkStart w:id="60" w:name="_Toc282163985_WPSOffice_Level3"/>
      <w:bookmarkStart w:id="61" w:name="_Toc1059537205_WPSOffice_Level3"/>
      <w:r>
        <w:rPr>
          <w:rFonts w:hint="eastAsia" w:ascii="仿宋" w:hAnsi="仿宋" w:eastAsia="仿宋" w:cs="仿宋"/>
          <w:color w:val="auto"/>
          <w:sz w:val="28"/>
          <w:szCs w:val="28"/>
          <w:lang w:val="en-US" w:eastAsia="zh-CN"/>
        </w:rPr>
        <w:t>2.</w:t>
      </w:r>
      <w:bookmarkEnd w:id="59"/>
      <w:r>
        <w:rPr>
          <w:rFonts w:hint="eastAsia" w:ascii="仿宋" w:hAnsi="仿宋" w:eastAsia="仿宋" w:cs="仿宋"/>
          <w:color w:val="auto"/>
          <w:sz w:val="28"/>
          <w:szCs w:val="28"/>
          <w:lang w:val="en-US" w:eastAsia="zh-CN"/>
        </w:rPr>
        <w:t>落实政府采购政策满足的资格要求：</w:t>
      </w:r>
      <w:bookmarkEnd w:id="60"/>
      <w:bookmarkEnd w:id="61"/>
      <w:bookmarkStart w:id="62" w:name="_Toc879078693_WPSOffice_Level3"/>
      <w:r>
        <w:rPr>
          <w:rFonts w:hint="eastAsia" w:ascii="仿宋" w:hAnsi="仿宋" w:eastAsia="仿宋" w:cs="仿宋"/>
          <w:color w:val="auto"/>
          <w:sz w:val="28"/>
          <w:szCs w:val="28"/>
          <w:lang w:val="en-US" w:eastAsia="zh-CN"/>
        </w:rPr>
        <w:t>无</w:t>
      </w:r>
    </w:p>
    <w:p w14:paraId="201EE0A8">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3.本项目的特定资格要求：</w:t>
      </w:r>
      <w:bookmarkEnd w:id="62"/>
      <w:r>
        <w:rPr>
          <w:rFonts w:hint="eastAsia" w:ascii="仿宋" w:hAnsi="仿宋" w:eastAsia="仿宋" w:cs="仿宋"/>
          <w:color w:val="auto"/>
          <w:sz w:val="28"/>
          <w:szCs w:val="28"/>
          <w:lang w:val="en-US" w:eastAsia="zh-CN"/>
        </w:rPr>
        <w:t>无</w:t>
      </w:r>
    </w:p>
    <w:p w14:paraId="03AC24CC">
      <w:pPr>
        <w:pageBreakBefore w:val="0"/>
        <w:wordWrap/>
        <w:topLinePunct w:val="0"/>
        <w:bidi w:val="0"/>
        <w:spacing w:line="360" w:lineRule="auto"/>
        <w:jc w:val="left"/>
        <w:rPr>
          <w:rFonts w:hint="eastAsia" w:ascii="仿宋" w:hAnsi="仿宋" w:eastAsia="仿宋" w:cs="仿宋"/>
          <w:b/>
          <w:bCs/>
          <w:color w:val="auto"/>
          <w:sz w:val="28"/>
          <w:szCs w:val="28"/>
          <w:lang w:val="en-US" w:eastAsia="zh-CN"/>
        </w:rPr>
      </w:pPr>
      <w:bookmarkStart w:id="63" w:name="_Toc2045253496_WPSOffice_Level2"/>
      <w:bookmarkStart w:id="64" w:name="_Toc1144697108_WPSOffice_Level2"/>
      <w:bookmarkStart w:id="65" w:name="_Toc295468326_WPSOffice_Level2"/>
      <w:bookmarkStart w:id="66" w:name="_Toc1677814303_WPSOffice_Level2"/>
      <w:bookmarkStart w:id="67" w:name="_Toc872248170_WPSOffice_Level2"/>
      <w:r>
        <w:rPr>
          <w:rFonts w:hint="eastAsia" w:ascii="仿宋" w:hAnsi="仿宋" w:eastAsia="仿宋" w:cs="仿宋"/>
          <w:b/>
          <w:bCs/>
          <w:color w:val="auto"/>
          <w:sz w:val="28"/>
          <w:szCs w:val="28"/>
          <w:lang w:val="en-US" w:eastAsia="zh-CN"/>
        </w:rPr>
        <w:t>三、获取招标文件</w:t>
      </w:r>
      <w:bookmarkEnd w:id="63"/>
      <w:bookmarkEnd w:id="64"/>
      <w:bookmarkEnd w:id="65"/>
      <w:bookmarkEnd w:id="66"/>
      <w:bookmarkEnd w:id="67"/>
    </w:p>
    <w:p w14:paraId="5F7650E6">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1.时间：</w:t>
      </w:r>
      <w:r>
        <w:rPr>
          <w:rFonts w:hint="eastAsia" w:ascii="仿宋" w:hAnsi="仿宋" w:eastAsia="仿宋" w:cs="仿宋"/>
          <w:color w:val="auto"/>
          <w:sz w:val="28"/>
          <w:szCs w:val="28"/>
          <w:lang w:val="en" w:eastAsia="zh-CN"/>
        </w:rPr>
        <w:t>2025年</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lang w:val="en" w:eastAsia="zh-CN"/>
        </w:rPr>
        <w:t>月</w:t>
      </w:r>
      <w:r>
        <w:rPr>
          <w:rFonts w:hint="eastAsia" w:ascii="仿宋" w:hAnsi="仿宋" w:eastAsia="仿宋" w:cs="仿宋"/>
          <w:color w:val="auto"/>
          <w:sz w:val="28"/>
          <w:szCs w:val="28"/>
          <w:lang w:val="en-US" w:eastAsia="zh-CN"/>
        </w:rPr>
        <w:t>2日至</w:t>
      </w:r>
      <w:r>
        <w:rPr>
          <w:rFonts w:hint="eastAsia" w:ascii="仿宋" w:hAnsi="仿宋" w:eastAsia="仿宋" w:cs="仿宋"/>
          <w:color w:val="auto"/>
          <w:sz w:val="28"/>
          <w:szCs w:val="28"/>
          <w:lang w:val="en" w:eastAsia="zh-CN"/>
        </w:rPr>
        <w:t>2025年</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lang w:val="en" w:eastAsia="zh-CN"/>
        </w:rPr>
        <w:t>月</w:t>
      </w:r>
      <w:r>
        <w:rPr>
          <w:rFonts w:hint="eastAsia" w:ascii="仿宋" w:hAnsi="仿宋" w:eastAsia="仿宋" w:cs="仿宋"/>
          <w:color w:val="auto"/>
          <w:sz w:val="28"/>
          <w:szCs w:val="28"/>
          <w:lang w:val="en-US" w:eastAsia="zh-CN"/>
        </w:rPr>
        <w:t xml:space="preserve">9日，每天上午00:00至12:00，下午12:00至23:59（北京时间，法定节假日除外。） </w:t>
      </w:r>
    </w:p>
    <w:p w14:paraId="12577C6E">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2.地点：河南省公共资源交易中心（hnsggzyjy.henan.gov.cn）</w:t>
      </w:r>
    </w:p>
    <w:p w14:paraId="52145AA1">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color w:val="auto"/>
          <w:sz w:val="28"/>
          <w:szCs w:val="28"/>
          <w:lang w:val="en-US"/>
        </w:rPr>
        <w:t>3.方式：投标人</w:t>
      </w:r>
      <w:r>
        <w:rPr>
          <w:rFonts w:hint="eastAsia" w:ascii="仿宋" w:hAnsi="仿宋" w:eastAsia="仿宋" w:cs="仿宋"/>
          <w:sz w:val="28"/>
          <w:szCs w:val="28"/>
        </w:rPr>
        <w:t>使用</w:t>
      </w:r>
      <w:r>
        <w:rPr>
          <w:rFonts w:hint="eastAsia" w:ascii="仿宋" w:hAnsi="仿宋" w:eastAsia="仿宋" w:cs="仿宋"/>
          <w:sz w:val="28"/>
          <w:szCs w:val="28"/>
          <w:lang w:val="en-US"/>
        </w:rPr>
        <w:t>CA</w:t>
      </w:r>
      <w:r>
        <w:rPr>
          <w:rFonts w:hint="eastAsia" w:ascii="仿宋" w:hAnsi="仿宋" w:eastAsia="仿宋" w:cs="仿宋"/>
          <w:sz w:val="28"/>
          <w:szCs w:val="28"/>
        </w:rPr>
        <w:t>数字证书登录</w:t>
      </w:r>
      <w:r>
        <w:rPr>
          <w:rFonts w:hint="eastAsia" w:ascii="仿宋" w:hAnsi="仿宋" w:eastAsia="仿宋" w:cs="仿宋"/>
          <w:sz w:val="28"/>
          <w:szCs w:val="28"/>
          <w:lang w:val="en-US"/>
        </w:rPr>
        <w:t>“</w:t>
      </w:r>
      <w:r>
        <w:rPr>
          <w:rFonts w:hint="eastAsia" w:ascii="仿宋" w:hAnsi="仿宋" w:eastAsia="仿宋" w:cs="仿宋"/>
          <w:sz w:val="28"/>
          <w:szCs w:val="28"/>
        </w:rPr>
        <w:t>河南省公共资源交易中心</w:t>
      </w:r>
      <w:r>
        <w:rPr>
          <w:rFonts w:hint="eastAsia" w:ascii="仿宋" w:hAnsi="仿宋" w:eastAsia="仿宋" w:cs="仿宋"/>
          <w:sz w:val="28"/>
          <w:szCs w:val="28"/>
          <w:lang w:val="en-US"/>
        </w:rPr>
        <w:t>（</w:t>
      </w:r>
      <w:r>
        <w:rPr>
          <w:rFonts w:hint="eastAsia" w:ascii="仿宋" w:hAnsi="仿宋" w:eastAsia="仿宋" w:cs="仿宋"/>
          <w:sz w:val="28"/>
          <w:szCs w:val="28"/>
          <w:lang w:val="en-US" w:eastAsia="zh-CN"/>
        </w:rPr>
        <w:t>hnsggzyjy.henan.gov.cn</w:t>
      </w:r>
      <w:r>
        <w:rPr>
          <w:rFonts w:hint="eastAsia" w:ascii="仿宋" w:hAnsi="仿宋" w:eastAsia="仿宋" w:cs="仿宋"/>
          <w:sz w:val="28"/>
          <w:szCs w:val="28"/>
          <w:lang w:val="en-US"/>
        </w:rPr>
        <w:t>）”，</w:t>
      </w:r>
      <w:r>
        <w:rPr>
          <w:rFonts w:hint="eastAsia" w:ascii="仿宋" w:hAnsi="仿宋" w:eastAsia="仿宋" w:cs="仿宋"/>
          <w:sz w:val="28"/>
          <w:szCs w:val="28"/>
        </w:rPr>
        <w:t>并按网上提示下载投标项目所含格式</w:t>
      </w:r>
      <w:r>
        <w:rPr>
          <w:rFonts w:hint="eastAsia" w:ascii="仿宋" w:hAnsi="仿宋" w:eastAsia="仿宋" w:cs="仿宋"/>
          <w:sz w:val="28"/>
          <w:szCs w:val="28"/>
          <w:lang w:val="en-US"/>
        </w:rPr>
        <w:t>(.hnzf)</w:t>
      </w:r>
      <w:r>
        <w:rPr>
          <w:rFonts w:hint="eastAsia" w:ascii="仿宋" w:hAnsi="仿宋" w:eastAsia="仿宋" w:cs="仿宋"/>
          <w:sz w:val="28"/>
          <w:szCs w:val="28"/>
        </w:rPr>
        <w:t>的招标文件及资料。</w:t>
      </w:r>
      <w:r>
        <w:rPr>
          <w:rFonts w:hint="eastAsia" w:ascii="仿宋" w:hAnsi="仿宋" w:eastAsia="仿宋" w:cs="仿宋"/>
          <w:sz w:val="28"/>
          <w:szCs w:val="28"/>
          <w:lang w:eastAsia="zh-CN"/>
        </w:rPr>
        <w:t>注册、登录、下载等</w:t>
      </w:r>
      <w:r>
        <w:rPr>
          <w:rFonts w:hint="eastAsia" w:ascii="仿宋" w:hAnsi="仿宋" w:eastAsia="仿宋" w:cs="仿宋"/>
          <w:sz w:val="28"/>
          <w:szCs w:val="28"/>
          <w:lang w:val="en-US" w:eastAsia="zh-CN"/>
        </w:rPr>
        <w:t>具体事宜请查阅河南省公共资源交易中心网站“公共服务”→“办事指南”。</w:t>
      </w:r>
    </w:p>
    <w:p w14:paraId="7F945B49">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4.售价：0元 </w:t>
      </w:r>
    </w:p>
    <w:p w14:paraId="7F68F953">
      <w:pPr>
        <w:pageBreakBefore w:val="0"/>
        <w:wordWrap/>
        <w:topLinePunct w:val="0"/>
        <w:bidi w:val="0"/>
        <w:spacing w:line="360" w:lineRule="auto"/>
        <w:jc w:val="left"/>
        <w:rPr>
          <w:rFonts w:hint="eastAsia" w:ascii="仿宋" w:hAnsi="仿宋" w:eastAsia="仿宋" w:cs="仿宋"/>
          <w:b/>
          <w:bCs/>
          <w:color w:val="auto"/>
          <w:sz w:val="28"/>
          <w:szCs w:val="28"/>
          <w:lang w:val="en-US" w:eastAsia="zh-CN"/>
        </w:rPr>
      </w:pPr>
      <w:bookmarkStart w:id="68" w:name="_Toc1432496505_WPSOffice_Level2"/>
      <w:bookmarkStart w:id="69" w:name="_Toc1740030706_WPSOffice_Level2"/>
      <w:bookmarkStart w:id="70" w:name="_Toc1361166934_WPSOffice_Level2"/>
      <w:bookmarkStart w:id="71" w:name="_Toc2091398558_WPSOffice_Level2"/>
      <w:bookmarkStart w:id="72" w:name="_Toc994305580_WPSOffice_Level2"/>
      <w:r>
        <w:rPr>
          <w:rFonts w:hint="eastAsia" w:ascii="仿宋" w:hAnsi="仿宋" w:eastAsia="仿宋" w:cs="仿宋"/>
          <w:b/>
          <w:bCs/>
          <w:color w:val="auto"/>
          <w:sz w:val="28"/>
          <w:szCs w:val="28"/>
          <w:lang w:val="en-US" w:eastAsia="zh-CN"/>
        </w:rPr>
        <w:t>四、投标截止时间及地点</w:t>
      </w:r>
      <w:bookmarkEnd w:id="68"/>
      <w:bookmarkEnd w:id="69"/>
      <w:bookmarkEnd w:id="70"/>
      <w:bookmarkEnd w:id="71"/>
      <w:bookmarkEnd w:id="72"/>
    </w:p>
    <w:p w14:paraId="4D14F2E9">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1.时间：</w:t>
      </w:r>
      <w:r>
        <w:rPr>
          <w:rFonts w:hint="eastAsia" w:ascii="仿宋" w:hAnsi="仿宋" w:eastAsia="仿宋" w:cs="仿宋"/>
          <w:color w:val="auto"/>
          <w:sz w:val="28"/>
          <w:szCs w:val="28"/>
          <w:lang w:val="en" w:eastAsia="zh-CN"/>
        </w:rPr>
        <w:t>2025年</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lang w:val="en" w:eastAsia="zh-CN"/>
        </w:rPr>
        <w:t>月</w:t>
      </w:r>
      <w:r>
        <w:rPr>
          <w:rFonts w:hint="eastAsia" w:ascii="仿宋" w:hAnsi="仿宋" w:eastAsia="仿宋" w:cs="仿宋"/>
          <w:color w:val="auto"/>
          <w:sz w:val="28"/>
          <w:szCs w:val="28"/>
          <w:lang w:val="en-US" w:eastAsia="zh-CN"/>
        </w:rPr>
        <w:t>23日09时00分（北京时间）</w:t>
      </w:r>
    </w:p>
    <w:p w14:paraId="35D160A0">
      <w:pPr>
        <w:pageBreakBefore w:val="0"/>
        <w:wordWrap/>
        <w:topLinePunct w:val="0"/>
        <w:bidi w:val="0"/>
        <w:spacing w:line="360" w:lineRule="auto"/>
        <w:jc w:val="left"/>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2.地点：</w:t>
      </w:r>
      <w:r>
        <w:rPr>
          <w:rFonts w:hint="eastAsia" w:ascii="仿宋" w:hAnsi="仿宋" w:eastAsia="仿宋" w:cs="仿宋"/>
          <w:sz w:val="28"/>
          <w:szCs w:val="28"/>
        </w:rPr>
        <w:t>河南省公共资源交易中心</w:t>
      </w:r>
      <w:r>
        <w:rPr>
          <w:rFonts w:hint="eastAsia" w:ascii="仿宋" w:hAnsi="仿宋" w:eastAsia="仿宋" w:cs="仿宋"/>
          <w:sz w:val="28"/>
          <w:szCs w:val="28"/>
          <w:lang w:eastAsia="zh-CN"/>
        </w:rPr>
        <w:t>网</w:t>
      </w:r>
      <w:r>
        <w:rPr>
          <w:rFonts w:hint="eastAsia" w:ascii="仿宋" w:hAnsi="仿宋" w:eastAsia="仿宋" w:cs="仿宋"/>
          <w:sz w:val="28"/>
          <w:szCs w:val="28"/>
          <w:lang w:val="en-US"/>
        </w:rPr>
        <w:t>（</w:t>
      </w:r>
      <w:r>
        <w:rPr>
          <w:rFonts w:hint="eastAsia" w:ascii="仿宋" w:hAnsi="仿宋" w:eastAsia="仿宋" w:cs="仿宋"/>
          <w:sz w:val="28"/>
          <w:szCs w:val="28"/>
          <w:lang w:val="en-US" w:eastAsia="zh-CN"/>
        </w:rPr>
        <w:t>hnsggzyjy.henan.gov.cn</w:t>
      </w:r>
      <w:r>
        <w:rPr>
          <w:rFonts w:hint="eastAsia" w:ascii="仿宋" w:hAnsi="仿宋" w:eastAsia="仿宋" w:cs="仿宋"/>
          <w:sz w:val="28"/>
          <w:szCs w:val="28"/>
          <w:lang w:val="en-US"/>
        </w:rPr>
        <w:t>）</w:t>
      </w:r>
    </w:p>
    <w:p w14:paraId="597A2A4B">
      <w:pPr>
        <w:pageBreakBefore w:val="0"/>
        <w:wordWrap/>
        <w:topLinePunct w:val="0"/>
        <w:bidi w:val="0"/>
        <w:spacing w:line="360" w:lineRule="auto"/>
        <w:jc w:val="left"/>
        <w:rPr>
          <w:rFonts w:hint="eastAsia" w:ascii="仿宋" w:hAnsi="仿宋" w:eastAsia="仿宋" w:cs="仿宋"/>
          <w:b/>
          <w:bCs/>
          <w:color w:val="auto"/>
          <w:sz w:val="28"/>
          <w:szCs w:val="28"/>
          <w:lang w:val="en-US" w:eastAsia="zh-CN"/>
        </w:rPr>
      </w:pPr>
      <w:bookmarkStart w:id="73" w:name="_Toc2015382973_WPSOffice_Level2"/>
      <w:bookmarkStart w:id="74" w:name="_Toc29068487_WPSOffice_Level2"/>
      <w:bookmarkStart w:id="75" w:name="_Toc1501260250_WPSOffice_Level2"/>
      <w:bookmarkStart w:id="76" w:name="_Toc843072336_WPSOffice_Level2"/>
      <w:bookmarkStart w:id="77" w:name="_Toc1340501896_WPSOffice_Level2"/>
      <w:r>
        <w:rPr>
          <w:rFonts w:hint="eastAsia" w:ascii="仿宋" w:hAnsi="仿宋" w:eastAsia="仿宋" w:cs="仿宋"/>
          <w:b/>
          <w:bCs/>
          <w:color w:val="auto"/>
          <w:sz w:val="28"/>
          <w:szCs w:val="28"/>
          <w:lang w:val="en-US" w:eastAsia="zh-CN"/>
        </w:rPr>
        <w:t>五、开标时间及地点</w:t>
      </w:r>
      <w:bookmarkEnd w:id="73"/>
      <w:bookmarkEnd w:id="74"/>
      <w:bookmarkEnd w:id="75"/>
      <w:bookmarkEnd w:id="76"/>
      <w:bookmarkEnd w:id="77"/>
    </w:p>
    <w:p w14:paraId="3BA858D6">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1.时间：</w:t>
      </w:r>
      <w:r>
        <w:rPr>
          <w:rFonts w:hint="eastAsia" w:ascii="仿宋" w:hAnsi="仿宋" w:eastAsia="仿宋" w:cs="仿宋"/>
          <w:color w:val="auto"/>
          <w:sz w:val="28"/>
          <w:szCs w:val="28"/>
          <w:lang w:val="en" w:eastAsia="zh-CN"/>
        </w:rPr>
        <w:t>2025年</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lang w:val="en" w:eastAsia="zh-CN"/>
        </w:rPr>
        <w:t>月</w:t>
      </w:r>
      <w:r>
        <w:rPr>
          <w:rFonts w:hint="eastAsia" w:ascii="仿宋" w:hAnsi="仿宋" w:eastAsia="仿宋" w:cs="仿宋"/>
          <w:color w:val="auto"/>
          <w:sz w:val="28"/>
          <w:szCs w:val="28"/>
          <w:lang w:val="en-US" w:eastAsia="zh-CN"/>
        </w:rPr>
        <w:t>23日09时00分（北京时间）</w:t>
      </w:r>
    </w:p>
    <w:p w14:paraId="5739C11B">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2.地点：</w:t>
      </w:r>
      <w:bookmarkStart w:id="78" w:name="_Toc74330375_WPSOffice_Level2"/>
      <w:bookmarkStart w:id="79" w:name="_Toc1101443234_WPSOffice_Level2"/>
      <w:bookmarkStart w:id="80" w:name="_Toc847108981_WPSOffice_Level2"/>
      <w:r>
        <w:rPr>
          <w:rFonts w:hint="eastAsia" w:ascii="仿宋" w:hAnsi="仿宋" w:eastAsia="仿宋" w:cs="仿宋"/>
          <w:color w:val="auto"/>
          <w:sz w:val="28"/>
          <w:szCs w:val="28"/>
          <w:lang w:val="en-US" w:eastAsia="zh-CN"/>
        </w:rPr>
        <w:t>河南省公共资源交易中心开标室；“河南省公共资源交易中心”（hnsggzyjy.henan.gov.cn）——不见面开标大厅。</w:t>
      </w:r>
    </w:p>
    <w:p w14:paraId="1ED4F7D3">
      <w:pPr>
        <w:pageBreakBefore w:val="0"/>
        <w:wordWrap/>
        <w:topLinePunct w:val="0"/>
        <w:bidi w:val="0"/>
        <w:spacing w:line="360" w:lineRule="auto"/>
        <w:jc w:val="left"/>
        <w:rPr>
          <w:rFonts w:hint="eastAsia" w:ascii="仿宋" w:hAnsi="仿宋" w:eastAsia="仿宋" w:cs="仿宋"/>
          <w:b/>
          <w:bCs/>
          <w:color w:val="auto"/>
          <w:sz w:val="28"/>
          <w:szCs w:val="28"/>
          <w:lang w:val="en-US" w:eastAsia="zh-CN"/>
        </w:rPr>
      </w:pPr>
      <w:bookmarkStart w:id="81" w:name="_Toc2023413763_WPSOffice_Level2"/>
      <w:bookmarkStart w:id="82" w:name="_Toc1299643612_WPSOffice_Level2"/>
      <w:r>
        <w:rPr>
          <w:rFonts w:hint="eastAsia" w:ascii="仿宋" w:hAnsi="仿宋" w:eastAsia="仿宋" w:cs="仿宋"/>
          <w:b/>
          <w:bCs/>
          <w:color w:val="auto"/>
          <w:sz w:val="28"/>
          <w:szCs w:val="28"/>
          <w:lang w:val="en-US" w:eastAsia="zh-CN"/>
        </w:rPr>
        <w:t>六、发布公告的媒介及招标公告期限</w:t>
      </w:r>
      <w:bookmarkEnd w:id="78"/>
      <w:bookmarkEnd w:id="79"/>
      <w:bookmarkEnd w:id="80"/>
      <w:bookmarkEnd w:id="81"/>
      <w:bookmarkEnd w:id="82"/>
    </w:p>
    <w:p w14:paraId="0A23E921">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本次招标公告在《河南省政府采购网》《河南省公共资源交易中心网》上发布，招标公告期限为五个工作日。</w:t>
      </w:r>
    </w:p>
    <w:p w14:paraId="1F766A4F">
      <w:pPr>
        <w:pageBreakBefore w:val="0"/>
        <w:wordWrap/>
        <w:topLinePunct w:val="0"/>
        <w:bidi w:val="0"/>
        <w:spacing w:line="360" w:lineRule="auto"/>
        <w:jc w:val="left"/>
        <w:rPr>
          <w:rFonts w:hint="eastAsia" w:ascii="仿宋" w:hAnsi="仿宋" w:eastAsia="仿宋" w:cs="仿宋"/>
          <w:b/>
          <w:bCs/>
          <w:color w:val="auto"/>
          <w:sz w:val="28"/>
          <w:szCs w:val="28"/>
          <w:lang w:val="en-US" w:eastAsia="zh-CN"/>
        </w:rPr>
      </w:pPr>
      <w:bookmarkStart w:id="83" w:name="_Toc811435245_WPSOffice_Level2"/>
      <w:bookmarkStart w:id="84" w:name="_Toc1849985481_WPSOffice_Level2"/>
      <w:bookmarkStart w:id="85" w:name="_Toc271688487_WPSOffice_Level2"/>
      <w:bookmarkStart w:id="86" w:name="_Toc934758795_WPSOffice_Level2"/>
      <w:bookmarkStart w:id="87" w:name="_Toc1765891161_WPSOffice_Level2"/>
      <w:r>
        <w:rPr>
          <w:rFonts w:hint="eastAsia" w:ascii="仿宋" w:hAnsi="仿宋" w:eastAsia="仿宋" w:cs="仿宋"/>
          <w:b/>
          <w:bCs/>
          <w:color w:val="auto"/>
          <w:sz w:val="28"/>
          <w:szCs w:val="28"/>
          <w:lang w:val="en-US" w:eastAsia="zh-CN"/>
        </w:rPr>
        <w:t>七、其他补充事宜</w:t>
      </w:r>
      <w:bookmarkEnd w:id="83"/>
      <w:bookmarkEnd w:id="84"/>
      <w:bookmarkEnd w:id="85"/>
      <w:bookmarkEnd w:id="86"/>
      <w:bookmarkEnd w:id="87"/>
    </w:p>
    <w:p w14:paraId="473422F1">
      <w:pPr>
        <w:pageBreakBefore w:val="0"/>
        <w:wordWrap/>
        <w:topLinePunct w:val="0"/>
        <w:bidi w:val="0"/>
        <w:spacing w:line="360" w:lineRule="auto"/>
        <w:jc w:val="left"/>
        <w:rPr>
          <w:rFonts w:hint="eastAsia" w:ascii="仿宋" w:hAnsi="仿宋" w:eastAsia="仿宋" w:cs="仿宋"/>
          <w:color w:val="auto"/>
          <w:sz w:val="28"/>
          <w:szCs w:val="28"/>
          <w:lang w:val="en-US" w:eastAsia="zh-CN"/>
        </w:rPr>
      </w:pPr>
      <w:bookmarkStart w:id="88" w:name="_Toc163594944_WPSOffice_Level2"/>
      <w:bookmarkStart w:id="89" w:name="_Toc1643921422_WPSOffice_Level2"/>
      <w:bookmarkStart w:id="90" w:name="_Toc1844119755_WPSOffice_Level2"/>
      <w:bookmarkStart w:id="91" w:name="_Toc1528591159_WPSOffice_Level2"/>
      <w:bookmarkStart w:id="92" w:name="_Toc104417590_WPSOffice_Level2"/>
      <w:r>
        <w:rPr>
          <w:rFonts w:hint="eastAsia" w:ascii="仿宋" w:hAnsi="仿宋" w:eastAsia="仿宋" w:cs="仿宋"/>
          <w:color w:val="auto"/>
          <w:sz w:val="28"/>
          <w:szCs w:val="28"/>
          <w:lang w:val="en-US" w:eastAsia="zh-CN"/>
        </w:rPr>
        <w:t>本项目落实中小企业扶持、促进残疾人就业等相关政府采购政策。</w:t>
      </w:r>
    </w:p>
    <w:p w14:paraId="5CFFD880">
      <w:pPr>
        <w:pageBreakBefore w:val="0"/>
        <w:wordWrap/>
        <w:topLinePunct w:val="0"/>
        <w:bidi w:val="0"/>
        <w:spacing w:line="360" w:lineRule="auto"/>
        <w:jc w:val="lef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八、凡对本次招标提出询问，请按照以下方式联系</w:t>
      </w:r>
      <w:bookmarkEnd w:id="88"/>
      <w:bookmarkEnd w:id="89"/>
      <w:bookmarkEnd w:id="90"/>
      <w:bookmarkEnd w:id="91"/>
      <w:bookmarkEnd w:id="92"/>
    </w:p>
    <w:p w14:paraId="042F9A5F">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1.采购人信息 </w:t>
      </w:r>
    </w:p>
    <w:p w14:paraId="2DDC6982">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名称：洛阳师范学院 </w:t>
      </w:r>
    </w:p>
    <w:p w14:paraId="31D7DD69">
      <w:pPr>
        <w:pageBreakBefore w:val="0"/>
        <w:wordWrap/>
        <w:topLinePunct w:val="0"/>
        <w:bidi w:val="0"/>
        <w:spacing w:line="36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地址：河南省洛阳市伊滨区吉庆路6号</w:t>
      </w:r>
    </w:p>
    <w:p w14:paraId="1E9E8BE4">
      <w:pPr>
        <w:pageBreakBefore w:val="0"/>
        <w:wordWrap/>
        <w:topLinePunct w:val="0"/>
        <w:bidi w:val="0"/>
        <w:spacing w:line="36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联系人：王昭阳</w:t>
      </w:r>
    </w:p>
    <w:p w14:paraId="41C91345">
      <w:pPr>
        <w:pageBreakBefore w:val="0"/>
        <w:wordWrap/>
        <w:topLinePunct w:val="0"/>
        <w:bidi w:val="0"/>
        <w:spacing w:line="36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联系方式：0379-68618249</w:t>
      </w:r>
    </w:p>
    <w:p w14:paraId="627EC642">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2.采购代理机构信息（如有） </w:t>
      </w:r>
    </w:p>
    <w:p w14:paraId="5479BBB9">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名称：河南省公共资源交易中心</w:t>
      </w:r>
    </w:p>
    <w:p w14:paraId="7DE42AA7">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地址：郑州市经二路12号</w:t>
      </w:r>
    </w:p>
    <w:p w14:paraId="495C73E4">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联系人：郭老师 余老师</w:t>
      </w:r>
    </w:p>
    <w:p w14:paraId="0105514F">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联系方式：0371-65915560</w:t>
      </w:r>
    </w:p>
    <w:p w14:paraId="117EB27E">
      <w:pPr>
        <w:pageBreakBefore w:val="0"/>
        <w:wordWrap/>
        <w:topLinePunct w:val="0"/>
        <w:bidi w:val="0"/>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3.项目联系方式 </w:t>
      </w:r>
    </w:p>
    <w:p w14:paraId="7D26F55E">
      <w:pPr>
        <w:pageBreakBefore w:val="0"/>
        <w:wordWrap/>
        <w:topLinePunct w:val="0"/>
        <w:bidi w:val="0"/>
        <w:spacing w:line="360" w:lineRule="auto"/>
        <w:rPr>
          <w:rFonts w:hint="eastAsia" w:ascii="仿宋" w:hAnsi="仿宋" w:eastAsia="仿宋" w:cs="仿宋"/>
          <w:color w:val="auto"/>
          <w:sz w:val="28"/>
          <w:szCs w:val="28"/>
          <w:lang w:val="en-US" w:eastAsia="zh-CN"/>
        </w:rPr>
      </w:pPr>
      <w:bookmarkStart w:id="93" w:name="_Toc1932859446_WPSOffice_Level1"/>
      <w:bookmarkStart w:id="94" w:name="_Toc1562014060"/>
      <w:bookmarkStart w:id="95" w:name="_Toc339222953_WPSOffice_Level1"/>
      <w:bookmarkStart w:id="96" w:name="_Toc1043881812"/>
      <w:bookmarkStart w:id="97" w:name="_Toc543843355"/>
      <w:bookmarkStart w:id="98" w:name="_Toc2106074957"/>
      <w:bookmarkStart w:id="99" w:name="_Toc1378990171"/>
      <w:bookmarkStart w:id="100" w:name="_Toc401873220"/>
      <w:bookmarkStart w:id="101" w:name="_Toc719882491_WPSOffice_Level1"/>
      <w:bookmarkStart w:id="102" w:name="_Toc2032132179"/>
      <w:bookmarkStart w:id="103" w:name="_Toc1016738770_WPSOffice_Level1"/>
      <w:bookmarkStart w:id="104" w:name="_Toc1158409811_WPSOffice_Level1"/>
      <w:bookmarkStart w:id="105" w:name="_Toc894622228"/>
      <w:bookmarkStart w:id="106" w:name="_Toc1520451966"/>
      <w:bookmarkStart w:id="107" w:name="_Toc969346985"/>
      <w:bookmarkStart w:id="108" w:name="_Toc337485847"/>
      <w:bookmarkStart w:id="109" w:name="_Toc27631594"/>
      <w:bookmarkStart w:id="110" w:name="_Toc403451568"/>
      <w:r>
        <w:rPr>
          <w:rFonts w:hint="eastAsia" w:ascii="仿宋" w:hAnsi="仿宋" w:eastAsia="仿宋" w:cs="仿宋"/>
          <w:color w:val="auto"/>
          <w:sz w:val="28"/>
          <w:szCs w:val="28"/>
          <w:lang w:val="en-US" w:eastAsia="zh-CN"/>
        </w:rPr>
        <w:t>联系人：王昭阳</w:t>
      </w:r>
    </w:p>
    <w:p w14:paraId="21175239">
      <w:pPr>
        <w:pageBreakBefore w:val="0"/>
        <w:wordWrap/>
        <w:topLinePunct w:val="0"/>
        <w:bidi w:val="0"/>
        <w:spacing w:line="360" w:lineRule="auto"/>
        <w:rPr>
          <w:rFonts w:hint="eastAsia" w:ascii="仿宋" w:hAnsi="仿宋" w:eastAsia="仿宋" w:cs="仿宋"/>
          <w:color w:val="FF0000"/>
          <w:sz w:val="28"/>
          <w:szCs w:val="28"/>
          <w:lang w:val="en-US" w:eastAsia="zh-CN"/>
        </w:rPr>
        <w:sectPr>
          <w:footerReference r:id="rId3" w:type="default"/>
          <w:pgSz w:w="11900" w:h="16840"/>
          <w:pgMar w:top="1440" w:right="1797" w:bottom="1440" w:left="1797" w:header="851" w:footer="992" w:gutter="0"/>
          <w:pgBorders>
            <w:top w:val="none" w:sz="0" w:space="0"/>
            <w:left w:val="none" w:sz="0" w:space="0"/>
            <w:bottom w:val="none" w:sz="0" w:space="0"/>
            <w:right w:val="none" w:sz="0" w:space="0"/>
          </w:pgBorders>
          <w:pgNumType w:start="1"/>
          <w:cols w:space="720" w:num="1"/>
        </w:sectPr>
      </w:pPr>
      <w:r>
        <w:rPr>
          <w:rFonts w:hint="eastAsia" w:ascii="仿宋" w:hAnsi="仿宋" w:eastAsia="仿宋" w:cs="仿宋"/>
          <w:color w:val="auto"/>
          <w:sz w:val="28"/>
          <w:szCs w:val="28"/>
          <w:lang w:val="en-US" w:eastAsia="zh-CN"/>
        </w:rPr>
        <w:t>联系方式：0379-68618249</w:t>
      </w:r>
    </w:p>
    <w:p w14:paraId="63ADCC82">
      <w:pPr>
        <w:pStyle w:val="2"/>
        <w:pageBreakBefore w:val="0"/>
        <w:wordWrap/>
        <w:topLinePunct w:val="0"/>
        <w:bidi w:val="0"/>
        <w:spacing w:before="0" w:after="0" w:line="360" w:lineRule="auto"/>
        <w:jc w:val="center"/>
        <w:rPr>
          <w:rFonts w:hint="eastAsia" w:ascii="仿宋" w:hAnsi="仿宋" w:eastAsia="仿宋" w:cs="仿宋"/>
          <w:color w:val="auto"/>
          <w:sz w:val="36"/>
          <w:szCs w:val="36"/>
          <w:lang w:eastAsia="zh-CN"/>
        </w:rPr>
      </w:pPr>
      <w:bookmarkStart w:id="111" w:name="_Toc14318"/>
      <w:r>
        <w:rPr>
          <w:rFonts w:hint="eastAsia" w:ascii="仿宋" w:hAnsi="仿宋" w:eastAsia="仿宋" w:cs="仿宋"/>
          <w:color w:val="auto"/>
          <w:sz w:val="36"/>
          <w:szCs w:val="36"/>
          <w:lang w:eastAsia="zh-CN"/>
        </w:rPr>
        <w:t>第二章 投标人须知前附表</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B81784A">
      <w:pPr>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本表是对投标人须知的具体补充和修改，如有矛盾，应以本表为准。</w:t>
      </w:r>
    </w:p>
    <w:tbl>
      <w:tblPr>
        <w:tblStyle w:val="52"/>
        <w:tblW w:w="8786" w:type="dxa"/>
        <w:tblInd w:w="-25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60"/>
        <w:gridCol w:w="7826"/>
      </w:tblGrid>
      <w:tr w14:paraId="5D5B1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60" w:type="dxa"/>
            <w:noWrap/>
            <w:vAlign w:val="center"/>
          </w:tcPr>
          <w:p w14:paraId="1706841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条款号</w:t>
            </w:r>
          </w:p>
        </w:tc>
        <w:tc>
          <w:tcPr>
            <w:tcW w:w="7826" w:type="dxa"/>
            <w:noWrap/>
            <w:vAlign w:val="center"/>
          </w:tcPr>
          <w:p w14:paraId="714112A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内      容</w:t>
            </w:r>
          </w:p>
        </w:tc>
      </w:tr>
      <w:tr w14:paraId="6404F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8" w:hRule="atLeast"/>
        </w:trPr>
        <w:tc>
          <w:tcPr>
            <w:tcW w:w="960" w:type="dxa"/>
            <w:noWrap/>
            <w:vAlign w:val="center"/>
          </w:tcPr>
          <w:p w14:paraId="42E388F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1.2</w:t>
            </w:r>
          </w:p>
        </w:tc>
        <w:tc>
          <w:tcPr>
            <w:tcW w:w="7826" w:type="dxa"/>
            <w:noWrap/>
            <w:vAlign w:val="center"/>
          </w:tcPr>
          <w:p w14:paraId="34B7D38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采购项目：</w:t>
            </w:r>
            <w:r>
              <w:rPr>
                <w:rFonts w:hint="eastAsia" w:ascii="仿宋" w:hAnsi="仿宋" w:eastAsia="仿宋" w:cs="仿宋"/>
                <w:sz w:val="28"/>
                <w:szCs w:val="28"/>
                <w:lang w:val="en" w:eastAsia="zh-CN"/>
              </w:rPr>
              <w:t>洛阳师范学院2026-2028年度教学区域物业管理服务项目</w:t>
            </w:r>
          </w:p>
        </w:tc>
      </w:tr>
      <w:tr w14:paraId="7C0EB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88" w:hRule="atLeast"/>
        </w:trPr>
        <w:tc>
          <w:tcPr>
            <w:tcW w:w="960" w:type="dxa"/>
            <w:noWrap/>
            <w:vAlign w:val="center"/>
          </w:tcPr>
          <w:p w14:paraId="4AF53D8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1.3</w:t>
            </w:r>
          </w:p>
        </w:tc>
        <w:tc>
          <w:tcPr>
            <w:tcW w:w="7826" w:type="dxa"/>
            <w:noWrap/>
            <w:vAlign w:val="center"/>
          </w:tcPr>
          <w:p w14:paraId="1B176CF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 w:eastAsia="zh-CN"/>
              </w:rPr>
            </w:pPr>
            <w:r>
              <w:rPr>
                <w:rFonts w:hint="eastAsia" w:ascii="仿宋" w:hAnsi="仿宋" w:eastAsia="仿宋" w:cs="仿宋"/>
                <w:sz w:val="28"/>
                <w:szCs w:val="28"/>
                <w:lang w:eastAsia="zh-CN"/>
              </w:rPr>
              <w:t>采购编号：</w:t>
            </w:r>
            <w:r>
              <w:rPr>
                <w:rFonts w:hint="eastAsia" w:ascii="仿宋" w:hAnsi="仿宋" w:eastAsia="仿宋" w:cs="仿宋"/>
                <w:sz w:val="28"/>
                <w:szCs w:val="28"/>
                <w:lang w:val="en" w:eastAsia="zh-CN"/>
              </w:rPr>
              <w:t>豫财招标采购-2025-1520</w:t>
            </w:r>
          </w:p>
        </w:tc>
      </w:tr>
      <w:tr w14:paraId="62B7E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0" w:type="dxa"/>
            <w:noWrap/>
            <w:vAlign w:val="center"/>
          </w:tcPr>
          <w:p w14:paraId="540070B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1.4</w:t>
            </w:r>
          </w:p>
        </w:tc>
        <w:tc>
          <w:tcPr>
            <w:tcW w:w="7826" w:type="dxa"/>
            <w:noWrap/>
            <w:vAlign w:val="center"/>
          </w:tcPr>
          <w:p w14:paraId="231B292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采购项目简要说明：</w:t>
            </w:r>
          </w:p>
          <w:p w14:paraId="2C4DCCA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预算金额和最高限价：详见“第一章 投标邀请”</w:t>
            </w:r>
          </w:p>
          <w:p w14:paraId="2FEC9B3F">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2.招标内容：</w:t>
            </w:r>
            <w:r>
              <w:rPr>
                <w:rFonts w:hint="eastAsia" w:ascii="仿宋" w:hAnsi="仿宋" w:eastAsia="仿宋" w:cs="仿宋"/>
                <w:sz w:val="28"/>
                <w:szCs w:val="28"/>
                <w:lang w:eastAsia="zh-CN"/>
              </w:rPr>
              <w:t>详见“第一章 投标邀请”</w:t>
            </w:r>
          </w:p>
        </w:tc>
      </w:tr>
      <w:tr w14:paraId="14D46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0" w:type="dxa"/>
            <w:noWrap/>
            <w:vAlign w:val="center"/>
          </w:tcPr>
          <w:p w14:paraId="4CCAE74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2.2</w:t>
            </w:r>
          </w:p>
        </w:tc>
        <w:tc>
          <w:tcPr>
            <w:tcW w:w="7826" w:type="dxa"/>
            <w:noWrap/>
            <w:vAlign w:val="center"/>
          </w:tcPr>
          <w:p w14:paraId="375D9430">
            <w:pPr>
              <w:pStyle w:val="17"/>
              <w:keepNext w:val="0"/>
              <w:keepLines w:val="0"/>
              <w:pageBreakBefore w:val="0"/>
              <w:kinsoku/>
              <w:wordWrap/>
              <w:overflowPunct/>
              <w:topLinePunct w:val="0"/>
              <w:autoSpaceDE/>
              <w:autoSpaceDN/>
              <w:bidi w:val="0"/>
              <w:adjustRightInd/>
              <w:snapToGrid/>
              <w:spacing w:before="0"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采购人：</w:t>
            </w:r>
            <w:r>
              <w:rPr>
                <w:rFonts w:hint="eastAsia" w:ascii="仿宋" w:hAnsi="仿宋" w:eastAsia="仿宋" w:cs="仿宋"/>
                <w:sz w:val="28"/>
                <w:szCs w:val="28"/>
                <w:lang w:val="en" w:eastAsia="zh-CN"/>
              </w:rPr>
              <w:t>洛阳师范学院</w:t>
            </w:r>
            <w:r>
              <w:rPr>
                <w:rFonts w:hint="eastAsia" w:ascii="仿宋" w:hAnsi="仿宋" w:eastAsia="仿宋" w:cs="仿宋"/>
                <w:sz w:val="28"/>
                <w:szCs w:val="28"/>
                <w:lang w:val="en-US" w:eastAsia="zh-CN"/>
              </w:rPr>
              <w:t xml:space="preserve"> </w:t>
            </w:r>
          </w:p>
          <w:p w14:paraId="14029F4D">
            <w:pPr>
              <w:pStyle w:val="17"/>
              <w:keepNext w:val="0"/>
              <w:keepLines w:val="0"/>
              <w:pageBreakBefore w:val="0"/>
              <w:kinsoku/>
              <w:wordWrap/>
              <w:overflowPunct/>
              <w:topLinePunct w:val="0"/>
              <w:autoSpaceDE/>
              <w:autoSpaceDN/>
              <w:bidi w:val="0"/>
              <w:adjustRightInd/>
              <w:snapToGrid/>
              <w:spacing w:before="0"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地址：河南省洛阳市伊滨区吉庆路6号</w:t>
            </w:r>
          </w:p>
          <w:p w14:paraId="6E57A5DD">
            <w:pPr>
              <w:pStyle w:val="17"/>
              <w:keepNext w:val="0"/>
              <w:keepLines w:val="0"/>
              <w:pageBreakBefore w:val="0"/>
              <w:kinsoku/>
              <w:wordWrap/>
              <w:overflowPunct/>
              <w:topLinePunct w:val="0"/>
              <w:autoSpaceDE/>
              <w:autoSpaceDN/>
              <w:bidi w:val="0"/>
              <w:adjustRightInd/>
              <w:snapToGrid/>
              <w:spacing w:before="0"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联系人：王昭阳</w:t>
            </w:r>
          </w:p>
          <w:p w14:paraId="52D4F2B8">
            <w:pPr>
              <w:pStyle w:val="17"/>
              <w:keepNext w:val="0"/>
              <w:keepLines w:val="0"/>
              <w:pageBreakBefore w:val="0"/>
              <w:kinsoku/>
              <w:wordWrap/>
              <w:overflowPunct/>
              <w:topLinePunct w:val="0"/>
              <w:autoSpaceDE/>
              <w:autoSpaceDN/>
              <w:bidi w:val="0"/>
              <w:adjustRightInd/>
              <w:snapToGrid/>
              <w:spacing w:before="0"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联系方式：0379-68618249</w:t>
            </w:r>
          </w:p>
          <w:p w14:paraId="264BA916">
            <w:pPr>
              <w:pStyle w:val="17"/>
              <w:keepNext w:val="0"/>
              <w:keepLines w:val="0"/>
              <w:pageBreakBefore w:val="0"/>
              <w:kinsoku/>
              <w:wordWrap/>
              <w:overflowPunct/>
              <w:topLinePunct w:val="0"/>
              <w:autoSpaceDE/>
              <w:autoSpaceDN/>
              <w:bidi w:val="0"/>
              <w:adjustRightInd/>
              <w:snapToGrid/>
              <w:spacing w:before="0" w:line="360" w:lineRule="auto"/>
              <w:textAlignment w:val="auto"/>
              <w:rPr>
                <w:rFonts w:hint="default" w:ascii="仿宋" w:hAnsi="仿宋" w:eastAsia="仿宋" w:cs="仿宋"/>
                <w:sz w:val="28"/>
                <w:szCs w:val="28"/>
                <w:lang w:val="en" w:eastAsia="zh-CN"/>
              </w:rPr>
            </w:pPr>
            <w:r>
              <w:rPr>
                <w:rFonts w:hint="eastAsia" w:ascii="仿宋" w:hAnsi="仿宋" w:eastAsia="仿宋" w:cs="仿宋"/>
                <w:sz w:val="28"/>
                <w:szCs w:val="28"/>
              </w:rPr>
              <w:t>邮箱：zbbgs@lynu.edu.cn</w:t>
            </w:r>
          </w:p>
        </w:tc>
      </w:tr>
      <w:tr w14:paraId="3B300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60" w:type="dxa"/>
            <w:noWrap/>
            <w:vAlign w:val="center"/>
          </w:tcPr>
          <w:p w14:paraId="125E6C7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2.3</w:t>
            </w:r>
          </w:p>
        </w:tc>
        <w:tc>
          <w:tcPr>
            <w:tcW w:w="7826" w:type="dxa"/>
            <w:noWrap/>
            <w:vAlign w:val="center"/>
          </w:tcPr>
          <w:p w14:paraId="15A1A16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集中采购机构：河南省公共资源交易中心</w:t>
            </w:r>
          </w:p>
          <w:p w14:paraId="45881B2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地址：郑州市经二路12号</w:t>
            </w:r>
          </w:p>
          <w:p w14:paraId="27397D6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联系人：</w:t>
            </w:r>
            <w:r>
              <w:rPr>
                <w:rFonts w:hint="eastAsia" w:ascii="仿宋" w:hAnsi="仿宋" w:eastAsia="仿宋" w:cs="仿宋"/>
                <w:color w:val="auto"/>
                <w:sz w:val="28"/>
                <w:szCs w:val="28"/>
                <w:lang w:val="en-US" w:eastAsia="zh-CN"/>
              </w:rPr>
              <w:t>郭老师 余老师</w:t>
            </w:r>
          </w:p>
          <w:p w14:paraId="09A6A37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联系方式：0371-65915560</w:t>
            </w:r>
          </w:p>
          <w:p w14:paraId="76C5E77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邮箱：hnggzyzfcg@163.com</w:t>
            </w:r>
          </w:p>
        </w:tc>
      </w:tr>
      <w:tr w14:paraId="1B322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55" w:hRule="atLeast"/>
        </w:trPr>
        <w:tc>
          <w:tcPr>
            <w:tcW w:w="960" w:type="dxa"/>
            <w:noWrap/>
            <w:vAlign w:val="center"/>
          </w:tcPr>
          <w:p w14:paraId="4A9B99B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2.5.1</w:t>
            </w:r>
          </w:p>
        </w:tc>
        <w:tc>
          <w:tcPr>
            <w:tcW w:w="7826" w:type="dxa"/>
            <w:noWrap/>
            <w:vAlign w:val="center"/>
          </w:tcPr>
          <w:p w14:paraId="250E7CD6">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color w:val="auto"/>
                <w:sz w:val="28"/>
                <w:szCs w:val="28"/>
                <w:lang w:val="en-US" w:eastAsia="zh-CN"/>
              </w:rPr>
              <w:t>是否为专门面向中小企业采购：</w:t>
            </w:r>
            <w:r>
              <w:rPr>
                <w:rFonts w:hint="eastAsia" w:ascii="仿宋" w:hAnsi="仿宋" w:eastAsia="仿宋" w:cs="仿宋"/>
                <w:b/>
                <w:bCs/>
                <w:color w:val="auto"/>
                <w:sz w:val="28"/>
                <w:szCs w:val="28"/>
                <w:lang w:val="en-US" w:eastAsia="zh-CN"/>
              </w:rPr>
              <w:t>否</w:t>
            </w:r>
          </w:p>
        </w:tc>
      </w:tr>
      <w:tr w14:paraId="68DE6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38" w:hRule="atLeast"/>
        </w:trPr>
        <w:tc>
          <w:tcPr>
            <w:tcW w:w="960" w:type="dxa"/>
            <w:noWrap/>
            <w:vAlign w:val="center"/>
          </w:tcPr>
          <w:p w14:paraId="6106A08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2.5.2</w:t>
            </w:r>
          </w:p>
        </w:tc>
        <w:tc>
          <w:tcPr>
            <w:tcW w:w="7826" w:type="dxa"/>
            <w:noWrap/>
            <w:vAlign w:val="center"/>
          </w:tcPr>
          <w:p w14:paraId="47537CD2">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是否允许采购进口产品：</w:t>
            </w:r>
            <w:r>
              <w:rPr>
                <w:rFonts w:hint="eastAsia" w:ascii="仿宋" w:hAnsi="仿宋" w:eastAsia="仿宋" w:cs="仿宋"/>
                <w:b/>
                <w:bCs/>
                <w:color w:val="auto"/>
                <w:sz w:val="28"/>
                <w:szCs w:val="28"/>
                <w:lang w:val="en-US" w:eastAsia="zh-CN"/>
              </w:rPr>
              <w:t>否</w:t>
            </w:r>
          </w:p>
        </w:tc>
      </w:tr>
      <w:tr w14:paraId="609A2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490" w:hRule="atLeast"/>
        </w:trPr>
        <w:tc>
          <w:tcPr>
            <w:tcW w:w="960" w:type="dxa"/>
            <w:noWrap/>
            <w:vAlign w:val="center"/>
          </w:tcPr>
          <w:p w14:paraId="3FA6E87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4</w:t>
            </w:r>
          </w:p>
        </w:tc>
        <w:tc>
          <w:tcPr>
            <w:tcW w:w="7826" w:type="dxa"/>
            <w:noWrap/>
            <w:vAlign w:val="center"/>
          </w:tcPr>
          <w:p w14:paraId="5760F39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踏勘现场：</w:t>
            </w:r>
          </w:p>
          <w:p w14:paraId="694F107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b/>
                <w:bCs/>
                <w:sz w:val="28"/>
                <w:szCs w:val="28"/>
              </w:rPr>
              <w:fldChar w:fldCharType="begin"/>
            </w:r>
            <w:r>
              <w:rPr>
                <w:rFonts w:hint="eastAsia" w:ascii="仿宋" w:hAnsi="仿宋" w:eastAsia="仿宋" w:cs="仿宋"/>
                <w:b/>
                <w:bCs/>
                <w:sz w:val="28"/>
                <w:szCs w:val="28"/>
                <w:lang w:eastAsia="zh-CN"/>
              </w:rPr>
              <w:instrText xml:space="preserve"> eq \o\ac(</w:instrText>
            </w:r>
            <w:r>
              <w:rPr>
                <w:rFonts w:hint="eastAsia" w:ascii="仿宋" w:hAnsi="仿宋" w:eastAsia="仿宋" w:cs="仿宋"/>
                <w:b/>
                <w:bCs/>
                <w:position w:val="-5"/>
                <w:sz w:val="42"/>
                <w:szCs w:val="28"/>
                <w:lang w:eastAsia="zh-CN"/>
              </w:rPr>
              <w:instrText xml:space="preserve">□</w:instrText>
            </w:r>
            <w:r>
              <w:rPr>
                <w:rFonts w:hint="eastAsia" w:ascii="仿宋" w:hAnsi="仿宋" w:eastAsia="仿宋" w:cs="仿宋"/>
                <w:b/>
                <w:bCs/>
                <w:sz w:val="28"/>
                <w:szCs w:val="28"/>
                <w:lang w:eastAsia="zh-CN"/>
              </w:rPr>
              <w:instrText xml:space="preserve">,√)</w:instrText>
            </w:r>
            <w:r>
              <w:rPr>
                <w:rFonts w:hint="eastAsia" w:ascii="仿宋" w:hAnsi="仿宋" w:eastAsia="仿宋" w:cs="仿宋"/>
                <w:b/>
                <w:bCs/>
                <w:sz w:val="28"/>
                <w:szCs w:val="28"/>
              </w:rPr>
              <w:fldChar w:fldCharType="end"/>
            </w:r>
            <w:r>
              <w:rPr>
                <w:rFonts w:hint="eastAsia" w:ascii="仿宋" w:hAnsi="仿宋" w:eastAsia="仿宋" w:cs="仿宋"/>
                <w:b/>
                <w:bCs/>
                <w:sz w:val="28"/>
                <w:szCs w:val="28"/>
                <w:lang w:eastAsia="zh-CN"/>
              </w:rPr>
              <w:t>不组织</w:t>
            </w:r>
            <w:r>
              <w:rPr>
                <w:rFonts w:hint="eastAsia" w:ascii="仿宋" w:hAnsi="仿宋" w:eastAsia="仿宋" w:cs="仿宋"/>
                <w:sz w:val="28"/>
                <w:szCs w:val="28"/>
                <w:lang w:eastAsia="zh-CN"/>
              </w:rPr>
              <w:t>，投标人可自行对项目现场和周围环境进行踏勘，踏勘现场所发生的费用由投标人自己承担。出现事故，责任由投标人自行承担。</w:t>
            </w:r>
          </w:p>
          <w:p w14:paraId="269C364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u w:val="single"/>
                <w:lang w:eastAsia="zh-CN"/>
              </w:rPr>
            </w:pPr>
            <w:r>
              <w:rPr>
                <w:rFonts w:hint="eastAsia" w:ascii="仿宋" w:hAnsi="仿宋" w:eastAsia="仿宋" w:cs="仿宋"/>
                <w:b/>
                <w:bCs/>
                <w:sz w:val="28"/>
                <w:szCs w:val="28"/>
                <w:lang w:eastAsia="zh-CN"/>
              </w:rPr>
              <w:t>□组织</w:t>
            </w:r>
            <w:r>
              <w:rPr>
                <w:rFonts w:hint="eastAsia" w:ascii="仿宋" w:hAnsi="仿宋" w:eastAsia="仿宋" w:cs="仿宋"/>
                <w:sz w:val="28"/>
                <w:szCs w:val="28"/>
                <w:lang w:eastAsia="zh-CN"/>
              </w:rPr>
              <w:t>，踏勘时间：</w:t>
            </w:r>
            <w:r>
              <w:rPr>
                <w:rFonts w:hint="eastAsia" w:ascii="仿宋" w:hAnsi="仿宋" w:eastAsia="仿宋" w:cs="仿宋"/>
                <w:sz w:val="28"/>
                <w:szCs w:val="28"/>
                <w:u w:val="single"/>
                <w:lang w:eastAsia="zh-CN"/>
              </w:rPr>
              <w:t xml:space="preserve">  /  </w:t>
            </w:r>
          </w:p>
          <w:p w14:paraId="2CBA297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踏勘集中地点：</w:t>
            </w:r>
            <w:r>
              <w:rPr>
                <w:rFonts w:hint="eastAsia" w:ascii="仿宋" w:hAnsi="仿宋" w:eastAsia="仿宋" w:cs="仿宋"/>
                <w:sz w:val="28"/>
                <w:szCs w:val="28"/>
                <w:u w:val="single"/>
                <w:lang w:eastAsia="zh-CN"/>
              </w:rPr>
              <w:t xml:space="preserve">  /  </w:t>
            </w:r>
          </w:p>
        </w:tc>
      </w:tr>
      <w:tr w14:paraId="2FC48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0" w:type="dxa"/>
            <w:noWrap/>
            <w:vAlign w:val="center"/>
          </w:tcPr>
          <w:p w14:paraId="06A47D8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6.6</w:t>
            </w:r>
          </w:p>
        </w:tc>
        <w:tc>
          <w:tcPr>
            <w:tcW w:w="7826" w:type="dxa"/>
            <w:noWrap/>
            <w:vAlign w:val="center"/>
          </w:tcPr>
          <w:p w14:paraId="5BFC3DD8">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是否允许联合体投标：</w:t>
            </w:r>
            <w:r>
              <w:rPr>
                <w:rFonts w:hint="eastAsia" w:ascii="仿宋" w:hAnsi="仿宋" w:eastAsia="仿宋" w:cs="仿宋"/>
                <w:b/>
                <w:bCs/>
                <w:color w:val="auto"/>
                <w:sz w:val="28"/>
                <w:szCs w:val="28"/>
                <w:lang w:val="en-US" w:eastAsia="zh-CN"/>
              </w:rPr>
              <w:t>否</w:t>
            </w:r>
          </w:p>
        </w:tc>
      </w:tr>
      <w:tr w14:paraId="1973A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0" w:type="dxa"/>
            <w:noWrap/>
            <w:vAlign w:val="center"/>
          </w:tcPr>
          <w:p w14:paraId="789852A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trike/>
                <w:sz w:val="28"/>
                <w:szCs w:val="28"/>
                <w:highlight w:val="cyan"/>
              </w:rPr>
            </w:pPr>
            <w:r>
              <w:rPr>
                <w:rFonts w:hint="eastAsia" w:ascii="仿宋" w:hAnsi="仿宋" w:eastAsia="仿宋" w:cs="仿宋"/>
                <w:sz w:val="28"/>
                <w:szCs w:val="28"/>
                <w:lang w:val="en-US" w:eastAsia="zh-CN"/>
              </w:rPr>
              <w:t>17.2</w:t>
            </w:r>
          </w:p>
        </w:tc>
        <w:tc>
          <w:tcPr>
            <w:tcW w:w="7826" w:type="dxa"/>
            <w:noWrap/>
            <w:vAlign w:val="center"/>
          </w:tcPr>
          <w:p w14:paraId="1F02D38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trike/>
                <w:sz w:val="28"/>
                <w:szCs w:val="28"/>
                <w:highlight w:val="cyan"/>
                <w:lang w:eastAsia="zh-CN"/>
              </w:rPr>
            </w:pPr>
            <w:r>
              <w:rPr>
                <w:rFonts w:hint="eastAsia" w:ascii="仿宋" w:hAnsi="仿宋" w:eastAsia="仿宋" w:cs="仿宋"/>
                <w:sz w:val="28"/>
                <w:szCs w:val="28"/>
                <w:lang w:eastAsia="zh-CN"/>
              </w:rPr>
              <w:t>资格证明文件：须上传到“资格审查材料”中。</w:t>
            </w:r>
          </w:p>
        </w:tc>
      </w:tr>
      <w:tr w14:paraId="519BF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0" w:type="dxa"/>
            <w:noWrap/>
            <w:vAlign w:val="center"/>
          </w:tcPr>
          <w:p w14:paraId="6BC93CC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18.3</w:t>
            </w:r>
          </w:p>
        </w:tc>
        <w:tc>
          <w:tcPr>
            <w:tcW w:w="7826" w:type="dxa"/>
            <w:noWrap/>
            <w:vAlign w:val="center"/>
          </w:tcPr>
          <w:p w14:paraId="14DE5555">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投标报价：完成招标文件规定的服务范围的所有费用，包括本次采购项目的所有成本、管理费、利润、税金、人员工资、加班费、服装费、工具费、培训费、消耗品、交通、工具、办公费、国家相关规定的保险费以及投标人按有关规定应在报价中考虑的费用等。</w:t>
            </w:r>
          </w:p>
          <w:p w14:paraId="289EA5AF">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）投标报价相关说明：</w:t>
            </w:r>
          </w:p>
          <w:p w14:paraId="215D29C2">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①</w:t>
            </w:r>
            <w:r>
              <w:rPr>
                <w:rFonts w:hint="eastAsia" w:ascii="仿宋" w:hAnsi="仿宋" w:eastAsia="仿宋" w:cs="仿宋"/>
                <w:sz w:val="28"/>
                <w:szCs w:val="28"/>
                <w:lang w:eastAsia="zh-CN"/>
              </w:rPr>
              <w:t>最低工资标准按</w:t>
            </w:r>
            <w:r>
              <w:rPr>
                <w:rFonts w:hint="eastAsia" w:ascii="仿宋" w:hAnsi="仿宋" w:eastAsia="仿宋" w:cs="仿宋"/>
                <w:sz w:val="28"/>
                <w:szCs w:val="28"/>
                <w:lang w:val="en-US" w:eastAsia="zh-CN"/>
              </w:rPr>
              <w:t>最新</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河南省人民政府关于调整河南省最低工资标准的通知</w:t>
            </w:r>
            <w:r>
              <w:rPr>
                <w:rFonts w:hint="eastAsia" w:ascii="仿宋" w:hAnsi="仿宋" w:eastAsia="仿宋" w:cs="仿宋"/>
                <w:sz w:val="28"/>
                <w:szCs w:val="28"/>
                <w:lang w:eastAsia="zh-CN"/>
              </w:rPr>
              <w:t>》执行。</w:t>
            </w:r>
          </w:p>
          <w:p w14:paraId="175A235F">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②岗位人员工资、社会保险费、税金取费不得低于国家规定的最低标准。</w:t>
            </w:r>
          </w:p>
          <w:p w14:paraId="6DB4E71A">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lang w:eastAsia="zh-CN"/>
              </w:rPr>
            </w:pPr>
            <w:r>
              <w:rPr>
                <w:rFonts w:hint="eastAsia" w:ascii="仿宋" w:hAnsi="仿宋" w:eastAsia="仿宋" w:cs="仿宋"/>
                <w:bCs/>
                <w:sz w:val="28"/>
                <w:szCs w:val="28"/>
                <w:lang w:eastAsia="zh-CN"/>
              </w:rPr>
              <w:t>③若有特殊情况，请予以备注说明并提供相关证明。</w:t>
            </w:r>
          </w:p>
          <w:p w14:paraId="32D7BD3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bCs/>
                <w:sz w:val="28"/>
                <w:szCs w:val="28"/>
                <w:lang w:eastAsia="zh-CN"/>
              </w:rPr>
            </w:pPr>
            <w:r>
              <w:rPr>
                <w:rFonts w:hint="eastAsia" w:ascii="仿宋" w:hAnsi="仿宋" w:eastAsia="仿宋" w:cs="仿宋"/>
                <w:bCs/>
                <w:kern w:val="0"/>
                <w:sz w:val="28"/>
                <w:szCs w:val="28"/>
                <w:lang w:eastAsia="zh-CN"/>
              </w:rPr>
              <w:t>（</w:t>
            </w:r>
            <w:r>
              <w:rPr>
                <w:rFonts w:hint="eastAsia" w:ascii="仿宋" w:hAnsi="仿宋" w:eastAsia="仿宋" w:cs="仿宋"/>
                <w:bCs/>
                <w:kern w:val="0"/>
                <w:sz w:val="28"/>
                <w:szCs w:val="28"/>
                <w:lang w:val="en-US" w:eastAsia="zh-CN"/>
              </w:rPr>
              <w:t>3</w:t>
            </w:r>
            <w:r>
              <w:rPr>
                <w:rFonts w:hint="eastAsia" w:ascii="仿宋" w:hAnsi="仿宋" w:eastAsia="仿宋" w:cs="仿宋"/>
                <w:bCs/>
                <w:kern w:val="0"/>
                <w:sz w:val="28"/>
                <w:szCs w:val="28"/>
                <w:lang w:eastAsia="zh-CN"/>
              </w:rPr>
              <w:t>）</w:t>
            </w:r>
            <w:r>
              <w:rPr>
                <w:rFonts w:hint="eastAsia" w:ascii="仿宋" w:hAnsi="仿宋" w:eastAsia="仿宋" w:cs="仿宋"/>
                <w:bCs/>
                <w:sz w:val="28"/>
                <w:szCs w:val="28"/>
                <w:lang w:eastAsia="zh-CN"/>
              </w:rPr>
              <w:t>投标报价超过</w:t>
            </w:r>
            <w:r>
              <w:rPr>
                <w:rFonts w:hint="eastAsia" w:ascii="仿宋" w:hAnsi="仿宋" w:eastAsia="仿宋" w:cs="仿宋"/>
                <w:bCs/>
                <w:kern w:val="0"/>
                <w:sz w:val="28"/>
                <w:szCs w:val="28"/>
                <w:lang w:eastAsia="zh-CN"/>
              </w:rPr>
              <w:t>最高限价</w:t>
            </w:r>
            <w:r>
              <w:rPr>
                <w:rFonts w:hint="eastAsia" w:ascii="仿宋" w:hAnsi="仿宋" w:eastAsia="仿宋" w:cs="仿宋"/>
                <w:bCs/>
                <w:sz w:val="28"/>
                <w:szCs w:val="28"/>
                <w:lang w:eastAsia="zh-CN"/>
              </w:rPr>
              <w:t>的按无效投标处理。</w:t>
            </w:r>
          </w:p>
        </w:tc>
      </w:tr>
      <w:tr w14:paraId="577A5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5" w:hRule="atLeast"/>
        </w:trPr>
        <w:tc>
          <w:tcPr>
            <w:tcW w:w="960" w:type="dxa"/>
            <w:noWrap/>
            <w:vAlign w:val="center"/>
          </w:tcPr>
          <w:p w14:paraId="7163F5C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napToGrid w:val="0"/>
                <w:sz w:val="28"/>
                <w:szCs w:val="28"/>
              </w:rPr>
              <w:t>19</w:t>
            </w:r>
          </w:p>
        </w:tc>
        <w:tc>
          <w:tcPr>
            <w:tcW w:w="7826" w:type="dxa"/>
            <w:noWrap/>
            <w:vAlign w:val="center"/>
          </w:tcPr>
          <w:p w14:paraId="17660AB6">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u w:val="single"/>
              </w:rPr>
            </w:pPr>
            <w:r>
              <w:rPr>
                <w:rFonts w:hint="eastAsia" w:ascii="仿宋" w:hAnsi="仿宋" w:eastAsia="仿宋" w:cs="仿宋"/>
                <w:sz w:val="28"/>
                <w:szCs w:val="28"/>
              </w:rPr>
              <w:t>投标货币：人民币。</w:t>
            </w:r>
          </w:p>
        </w:tc>
      </w:tr>
      <w:tr w14:paraId="761F9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39" w:hRule="atLeast"/>
        </w:trPr>
        <w:tc>
          <w:tcPr>
            <w:tcW w:w="960" w:type="dxa"/>
            <w:noWrap/>
            <w:vAlign w:val="center"/>
          </w:tcPr>
          <w:p w14:paraId="2D16854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w:t>
            </w:r>
          </w:p>
        </w:tc>
        <w:tc>
          <w:tcPr>
            <w:tcW w:w="7826" w:type="dxa"/>
            <w:noWrap/>
            <w:vAlign w:val="center"/>
          </w:tcPr>
          <w:p w14:paraId="3FFFE4A8">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投标人资格证明文件：</w:t>
            </w:r>
          </w:p>
          <w:p w14:paraId="34B3FDEB">
            <w:pPr>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eastAsia" w:ascii="仿宋" w:hAnsi="仿宋" w:eastAsia="仿宋" w:cs="仿宋"/>
                <w:color w:val="auto"/>
                <w:kern w:val="0"/>
                <w:sz w:val="28"/>
                <w:szCs w:val="28"/>
                <w:lang w:eastAsia="zh-CN"/>
              </w:rPr>
              <w:t>法人或者其他组织的营业执照等证明文件或自然人的身份证明</w:t>
            </w:r>
            <w:r>
              <w:rPr>
                <w:rFonts w:hint="eastAsia" w:ascii="仿宋" w:hAnsi="仿宋" w:eastAsia="仿宋" w:cs="仿宋"/>
                <w:sz w:val="28"/>
                <w:szCs w:val="28"/>
                <w:lang w:val="en-US" w:eastAsia="zh-CN"/>
              </w:rPr>
              <w:t>；</w:t>
            </w:r>
          </w:p>
          <w:p w14:paraId="107767BE">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（2）2024年度财务审计报告扫描件（要求注册会计师签字并加盖会计师印章；如截止到投标截止时间，投标人成立时间不足要求时限的，可提供银行资信证明材料）；</w:t>
            </w:r>
          </w:p>
          <w:p w14:paraId="17595811">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r>
              <w:rPr>
                <w:rFonts w:hint="eastAsia" w:ascii="仿宋" w:hAnsi="仿宋" w:eastAsia="仿宋" w:cs="仿宋"/>
                <w:color w:val="auto"/>
                <w:sz w:val="28"/>
                <w:szCs w:val="28"/>
                <w:lang w:val="en-US" w:eastAsia="zh-CN"/>
              </w:rPr>
              <w:t>依法缴纳税收和社会保障资金的相关材料（提供自2025年1月1日以来至少一个月的纳税证明和社保缴纳证明，依法免税或不需要缴纳社会保障资金的，应提供相应文件证明其依法免税或不需要缴纳）。</w:t>
            </w:r>
          </w:p>
          <w:p w14:paraId="69D1676C">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（4）具备履行合同所必需的设备和专业技术能力的证明材料；</w:t>
            </w:r>
          </w:p>
          <w:p w14:paraId="68BC7D10">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r>
              <w:rPr>
                <w:rFonts w:hint="eastAsia" w:ascii="仿宋" w:hAnsi="仿宋" w:eastAsia="仿宋" w:cs="仿宋"/>
                <w:color w:val="auto"/>
                <w:kern w:val="0"/>
                <w:sz w:val="28"/>
                <w:szCs w:val="28"/>
                <w:lang w:eastAsia="zh-CN"/>
              </w:rPr>
              <w:t>参加政府采购活动前</w:t>
            </w: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lang w:eastAsia="zh-CN"/>
              </w:rPr>
              <w:t>年内在经营活动中没有重大违法记录的书面</w:t>
            </w:r>
            <w:r>
              <w:rPr>
                <w:rFonts w:hint="eastAsia" w:ascii="仿宋" w:hAnsi="仿宋" w:eastAsia="仿宋" w:cs="仿宋"/>
                <w:sz w:val="28"/>
                <w:szCs w:val="28"/>
                <w:lang w:val="en-US" w:eastAsia="zh-CN"/>
              </w:rPr>
              <w:t>声明；</w:t>
            </w:r>
          </w:p>
          <w:p w14:paraId="6D7193B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color w:val="auto"/>
                <w:kern w:val="0"/>
                <w:sz w:val="28"/>
                <w:szCs w:val="28"/>
                <w:lang w:val="en-US" w:eastAsia="zh-CN"/>
              </w:rPr>
              <w:t>（6）不同供应商单位负责人不是同一人或者未存在直接控股、管理关系（提供“国家企业信用信息公示系统”的企业信息、股东（出资人）查询证明）；</w:t>
            </w:r>
          </w:p>
          <w:p w14:paraId="4570139C">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（以上要求中，如有投标人成立时限不足要求时限的，由投标人根据自身成立时间提供证明资料。）</w:t>
            </w:r>
          </w:p>
        </w:tc>
      </w:tr>
      <w:tr w14:paraId="5037E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4" w:hRule="atLeast"/>
        </w:trPr>
        <w:tc>
          <w:tcPr>
            <w:tcW w:w="960" w:type="dxa"/>
            <w:noWrap/>
            <w:vAlign w:val="center"/>
          </w:tcPr>
          <w:p w14:paraId="729D1B3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4</w:t>
            </w:r>
            <w:r>
              <w:rPr>
                <w:rFonts w:hint="eastAsia" w:ascii="仿宋" w:hAnsi="仿宋" w:eastAsia="仿宋" w:cs="仿宋"/>
                <w:sz w:val="28"/>
                <w:szCs w:val="28"/>
              </w:rPr>
              <w:t>.1</w:t>
            </w:r>
          </w:p>
        </w:tc>
        <w:tc>
          <w:tcPr>
            <w:tcW w:w="7826" w:type="dxa"/>
            <w:noWrap/>
            <w:vAlign w:val="center"/>
          </w:tcPr>
          <w:p w14:paraId="059DE1F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投标有效期：从投标截止之日起60日</w:t>
            </w:r>
          </w:p>
        </w:tc>
      </w:tr>
      <w:tr w14:paraId="5078C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0" w:type="dxa"/>
            <w:noWrap/>
            <w:vAlign w:val="center"/>
          </w:tcPr>
          <w:p w14:paraId="4C369FF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6</w:t>
            </w:r>
            <w:r>
              <w:rPr>
                <w:rFonts w:hint="eastAsia" w:ascii="仿宋" w:hAnsi="仿宋" w:eastAsia="仿宋" w:cs="仿宋"/>
                <w:sz w:val="28"/>
                <w:szCs w:val="28"/>
              </w:rPr>
              <w:t>.1</w:t>
            </w:r>
          </w:p>
        </w:tc>
        <w:tc>
          <w:tcPr>
            <w:tcW w:w="7826" w:type="dxa"/>
            <w:noWrap/>
            <w:vAlign w:val="center"/>
          </w:tcPr>
          <w:p w14:paraId="3860134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加密电子投标文件的上传：加密电子投标文件须在投标截止时间前通过“河南省公共资源交易中心（</w:t>
            </w:r>
            <w:r>
              <w:rPr>
                <w:rFonts w:hint="eastAsia" w:ascii="仿宋" w:hAnsi="仿宋" w:eastAsia="仿宋" w:cs="仿宋"/>
                <w:sz w:val="28"/>
                <w:szCs w:val="28"/>
                <w:lang w:eastAsia="zh-CN"/>
              </w:rPr>
              <w:t>hnsggzyjy.henan.gov.cn</w:t>
            </w:r>
            <w:r>
              <w:rPr>
                <w:rFonts w:hint="eastAsia" w:ascii="仿宋" w:hAnsi="仿宋" w:eastAsia="仿宋" w:cs="仿宋"/>
                <w:sz w:val="28"/>
                <w:szCs w:val="28"/>
              </w:rPr>
              <w:t>）”电子交易平台加密上传。</w:t>
            </w:r>
          </w:p>
        </w:tc>
      </w:tr>
      <w:tr w14:paraId="460EB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0" w:type="dxa"/>
            <w:noWrap/>
            <w:vAlign w:val="center"/>
          </w:tcPr>
          <w:p w14:paraId="2F1C825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7</w:t>
            </w:r>
            <w:r>
              <w:rPr>
                <w:rFonts w:hint="eastAsia" w:ascii="仿宋" w:hAnsi="仿宋" w:eastAsia="仿宋" w:cs="仿宋"/>
                <w:sz w:val="28"/>
                <w:szCs w:val="28"/>
              </w:rPr>
              <w:t>.1</w:t>
            </w:r>
          </w:p>
        </w:tc>
        <w:tc>
          <w:tcPr>
            <w:tcW w:w="7826" w:type="dxa"/>
            <w:noWrap/>
            <w:vAlign w:val="center"/>
          </w:tcPr>
          <w:p w14:paraId="3D5516F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投标截止时间：详见“第一章 投标邀请”</w:t>
            </w:r>
          </w:p>
        </w:tc>
      </w:tr>
      <w:tr w14:paraId="41AB8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37" w:hRule="atLeast"/>
        </w:trPr>
        <w:tc>
          <w:tcPr>
            <w:tcW w:w="960" w:type="dxa"/>
            <w:noWrap/>
            <w:vAlign w:val="center"/>
          </w:tcPr>
          <w:p w14:paraId="15D41E3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30</w:t>
            </w:r>
            <w:r>
              <w:rPr>
                <w:rFonts w:hint="eastAsia" w:ascii="仿宋" w:hAnsi="仿宋" w:eastAsia="仿宋" w:cs="仿宋"/>
                <w:sz w:val="28"/>
                <w:szCs w:val="28"/>
              </w:rPr>
              <w:t>.1</w:t>
            </w:r>
          </w:p>
        </w:tc>
        <w:tc>
          <w:tcPr>
            <w:tcW w:w="7826" w:type="dxa"/>
            <w:noWrap/>
            <w:vAlign w:val="center"/>
          </w:tcPr>
          <w:p w14:paraId="37E7AD3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036BD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0" w:type="dxa"/>
            <w:noWrap/>
            <w:vAlign w:val="center"/>
          </w:tcPr>
          <w:p w14:paraId="44A9F37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30</w:t>
            </w:r>
            <w:r>
              <w:rPr>
                <w:rFonts w:hint="eastAsia" w:ascii="仿宋" w:hAnsi="仿宋" w:eastAsia="仿宋" w:cs="仿宋"/>
                <w:sz w:val="28"/>
                <w:szCs w:val="28"/>
              </w:rPr>
              <w:t>.2</w:t>
            </w:r>
          </w:p>
        </w:tc>
        <w:tc>
          <w:tcPr>
            <w:tcW w:w="7826" w:type="dxa"/>
            <w:noWrap/>
            <w:vAlign w:val="center"/>
          </w:tcPr>
          <w:p w14:paraId="3D416FB3">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远程开标大厅网址：河南省公共资源交易中心 （hnsggzyjy.henan.gov.cn）——不见面开标大厅。</w:t>
            </w:r>
          </w:p>
        </w:tc>
      </w:tr>
      <w:tr w14:paraId="450F2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0" w:type="dxa"/>
            <w:noWrap/>
            <w:vAlign w:val="center"/>
          </w:tcPr>
          <w:p w14:paraId="47A17A2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30</w:t>
            </w:r>
            <w:r>
              <w:rPr>
                <w:rFonts w:hint="eastAsia" w:ascii="仿宋" w:hAnsi="仿宋" w:eastAsia="仿宋" w:cs="仿宋"/>
                <w:sz w:val="28"/>
                <w:szCs w:val="28"/>
              </w:rPr>
              <w:t>.3</w:t>
            </w:r>
          </w:p>
        </w:tc>
        <w:tc>
          <w:tcPr>
            <w:tcW w:w="7826" w:type="dxa"/>
            <w:noWrap/>
            <w:vAlign w:val="center"/>
          </w:tcPr>
          <w:p w14:paraId="6EE86D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lang w:val="en-US" w:eastAsia="zh-CN"/>
              </w:rPr>
              <w:t>开标时间：详见“第一章 投标邀请”</w:t>
            </w:r>
          </w:p>
          <w:p w14:paraId="7BB83C0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8"/>
                <w:szCs w:val="28"/>
                <w:lang w:eastAsia="zh-CN"/>
              </w:rPr>
            </w:pPr>
            <w:r>
              <w:rPr>
                <w:rFonts w:hint="eastAsia" w:ascii="仿宋" w:hAnsi="仿宋" w:eastAsia="仿宋" w:cs="仿宋"/>
                <w:color w:val="auto"/>
                <w:sz w:val="28"/>
                <w:szCs w:val="28"/>
                <w:lang w:val="en-US" w:eastAsia="zh-CN"/>
              </w:rPr>
              <w:t>开标地点：</w:t>
            </w:r>
            <w:r>
              <w:rPr>
                <w:rFonts w:hint="eastAsia" w:ascii="仿宋" w:hAnsi="仿宋" w:eastAsia="仿宋" w:cs="仿宋"/>
                <w:sz w:val="28"/>
                <w:szCs w:val="28"/>
                <w:lang w:eastAsia="zh-CN"/>
              </w:rPr>
              <w:t>详见“第一章 投标邀请”</w:t>
            </w:r>
          </w:p>
        </w:tc>
      </w:tr>
      <w:tr w14:paraId="0D796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0" w:type="dxa"/>
            <w:noWrap/>
            <w:vAlign w:val="center"/>
          </w:tcPr>
          <w:p w14:paraId="6CDE0D6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31</w:t>
            </w:r>
            <w:r>
              <w:rPr>
                <w:rFonts w:hint="eastAsia" w:ascii="仿宋" w:hAnsi="仿宋" w:eastAsia="仿宋" w:cs="仿宋"/>
                <w:sz w:val="28"/>
                <w:szCs w:val="28"/>
              </w:rPr>
              <w:t>.3</w:t>
            </w:r>
          </w:p>
        </w:tc>
        <w:tc>
          <w:tcPr>
            <w:tcW w:w="7826" w:type="dxa"/>
            <w:noWrap/>
            <w:vAlign w:val="center"/>
          </w:tcPr>
          <w:p w14:paraId="70C9515C">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采购人依据以下标准对投标人的资格进行审查，有一项不符合审查标准的，该投标人资格为不合格。</w:t>
            </w:r>
          </w:p>
          <w:p w14:paraId="62587311">
            <w:pPr>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（1）法人</w:t>
            </w:r>
            <w:r>
              <w:rPr>
                <w:rFonts w:hint="eastAsia" w:ascii="仿宋" w:hAnsi="仿宋" w:eastAsia="仿宋" w:cs="仿宋"/>
                <w:color w:val="auto"/>
                <w:kern w:val="0"/>
                <w:sz w:val="28"/>
                <w:szCs w:val="28"/>
                <w:lang w:eastAsia="zh-CN"/>
              </w:rPr>
              <w:t>或者其他组织的营业执照等证明文件或自然人的身份证明符合招标文件规定；</w:t>
            </w:r>
          </w:p>
          <w:p w14:paraId="7F307E9E">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（2）财务审计报告（2024年度）等材料符合招标文件规定；</w:t>
            </w:r>
          </w:p>
          <w:p w14:paraId="149D3074">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（3）依法缴纳税收和依法缴纳社会保障资金的证明材料符合招标文件规定（自2025年1月1日以来至少一个月）；</w:t>
            </w:r>
          </w:p>
          <w:p w14:paraId="6FAF4EF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（4）具备履行合同所必需的设备和专业技术能力；</w:t>
            </w:r>
          </w:p>
          <w:p w14:paraId="157BA054">
            <w:pPr>
              <w:keepNext w:val="0"/>
              <w:keepLines w:val="0"/>
              <w:pageBreakBefore w:val="0"/>
              <w:kinsoku/>
              <w:wordWrap/>
              <w:overflowPunct/>
              <w:topLinePunct w:val="0"/>
              <w:autoSpaceDE/>
              <w:autoSpaceDN/>
              <w:bidi w:val="0"/>
              <w:adjustRightInd/>
              <w:snapToGrid/>
              <w:spacing w:line="360" w:lineRule="auto"/>
              <w:textAlignment w:val="auto"/>
              <w:rPr>
                <w:rFonts w:hint="default" w:ascii="仿宋" w:hAnsi="仿宋" w:eastAsia="仿宋" w:cs="仿宋"/>
                <w:sz w:val="28"/>
                <w:szCs w:val="28"/>
                <w:lang w:val="en" w:eastAsia="zh-CN"/>
              </w:rPr>
            </w:pPr>
            <w:r>
              <w:rPr>
                <w:rFonts w:hint="eastAsia" w:ascii="仿宋" w:hAnsi="仿宋" w:eastAsia="仿宋" w:cs="仿宋"/>
                <w:sz w:val="28"/>
                <w:szCs w:val="28"/>
                <w:lang w:val="en-US" w:eastAsia="zh-CN"/>
              </w:rPr>
              <w:t>（5）</w:t>
            </w:r>
            <w:r>
              <w:rPr>
                <w:rFonts w:hint="eastAsia" w:ascii="仿宋" w:hAnsi="仿宋" w:eastAsia="仿宋" w:cs="仿宋"/>
                <w:color w:val="auto"/>
                <w:kern w:val="0"/>
                <w:sz w:val="28"/>
                <w:szCs w:val="28"/>
                <w:lang w:eastAsia="zh-CN"/>
              </w:rPr>
              <w:t>参加政府采购活动前</w:t>
            </w: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lang w:eastAsia="zh-CN"/>
              </w:rPr>
              <w:t>年内在经营活动中没有重大违法记录</w:t>
            </w:r>
            <w:r>
              <w:rPr>
                <w:rFonts w:hint="eastAsia" w:ascii="仿宋" w:hAnsi="仿宋" w:eastAsia="仿宋" w:cs="仿宋"/>
                <w:sz w:val="28"/>
                <w:szCs w:val="28"/>
                <w:lang w:val="en-US" w:eastAsia="zh-CN"/>
              </w:rPr>
              <w:t>声明符合招标文件规定；</w:t>
            </w:r>
          </w:p>
          <w:p w14:paraId="369522B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（6）信用查询记录符合招标文件规定（采购人查询，投标人无需提供证明材料）；</w:t>
            </w:r>
          </w:p>
          <w:p w14:paraId="20638479">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（7）不同投标人单位负责人不是同一人或者未存在直接控股、管理关系；</w:t>
            </w:r>
          </w:p>
          <w:p w14:paraId="502E2674">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（8）非联合体投标</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投标人</w:t>
            </w:r>
            <w:r>
              <w:rPr>
                <w:rFonts w:hint="default" w:ascii="Times New Roman" w:hAnsi="Times New Roman" w:eastAsia="仿宋_GB2312" w:cs="Times New Roman"/>
                <w:sz w:val="28"/>
                <w:szCs w:val="28"/>
                <w:lang w:val="en-US" w:eastAsia="zh-CN"/>
              </w:rPr>
              <w:t>无需提供证明材料）</w:t>
            </w:r>
            <w:r>
              <w:rPr>
                <w:rFonts w:hint="eastAsia" w:ascii="仿宋" w:hAnsi="仿宋" w:eastAsia="仿宋" w:cs="仿宋"/>
                <w:sz w:val="28"/>
                <w:szCs w:val="28"/>
                <w:lang w:eastAsia="zh-CN"/>
              </w:rPr>
              <w:t>。</w:t>
            </w:r>
          </w:p>
        </w:tc>
      </w:tr>
      <w:tr w14:paraId="6531D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0" w:type="dxa"/>
            <w:noWrap/>
            <w:vAlign w:val="center"/>
          </w:tcPr>
          <w:p w14:paraId="08D2DDA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1</w:t>
            </w:r>
            <w:r>
              <w:rPr>
                <w:rFonts w:hint="eastAsia" w:ascii="仿宋" w:hAnsi="仿宋" w:eastAsia="仿宋" w:cs="仿宋"/>
                <w:sz w:val="28"/>
                <w:szCs w:val="28"/>
              </w:rPr>
              <w:t>.4</w:t>
            </w:r>
          </w:p>
        </w:tc>
        <w:tc>
          <w:tcPr>
            <w:tcW w:w="7826" w:type="dxa"/>
            <w:noWrap/>
            <w:vAlign w:val="center"/>
          </w:tcPr>
          <w:p w14:paraId="08156D42">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信用记录:</w:t>
            </w:r>
            <w:r>
              <w:rPr>
                <w:rFonts w:hint="eastAsia" w:ascii="仿宋" w:hAnsi="仿宋" w:eastAsia="仿宋" w:cs="仿宋"/>
                <w:sz w:val="28"/>
                <w:szCs w:val="28"/>
                <w:lang w:val="en-US" w:eastAsia="zh-CN"/>
              </w:rPr>
              <w:t>根据《关于在政府采购活动中查询及使用信用记录有关问题的通知》(财库〔2016〕125号)文的要求，采购人将在投标截止时间后当天在“信用中国”网站查询投标人“失信被执行人”和“重大税收违法失信主体名单”，在“中国政府采购网”站查询投标人“政府采购严重违法失信行为记录名单”；投标人被列入失信被执行人、重大税收违法失信主体名单、政府采购严重违法失信行为记录名单的，其投标文件作为无效处理。</w:t>
            </w:r>
          </w:p>
          <w:p w14:paraId="3FF01A09">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b/>
                <w:bCs/>
                <w:sz w:val="28"/>
                <w:szCs w:val="28"/>
                <w:lang w:val="en-US" w:eastAsia="zh-CN"/>
              </w:rPr>
              <w:t>查询及记录方式：</w:t>
            </w:r>
            <w:r>
              <w:rPr>
                <w:rFonts w:hint="eastAsia" w:ascii="仿宋" w:hAnsi="仿宋" w:eastAsia="仿宋" w:cs="仿宋"/>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6C1E6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0" w:type="dxa"/>
            <w:noWrap/>
            <w:vAlign w:val="center"/>
          </w:tcPr>
          <w:p w14:paraId="6255E2B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2</w:t>
            </w:r>
            <w:r>
              <w:rPr>
                <w:rFonts w:hint="eastAsia" w:ascii="仿宋" w:hAnsi="仿宋" w:eastAsia="仿宋" w:cs="仿宋"/>
                <w:sz w:val="28"/>
                <w:szCs w:val="28"/>
              </w:rPr>
              <w:t>.1</w:t>
            </w:r>
          </w:p>
        </w:tc>
        <w:tc>
          <w:tcPr>
            <w:tcW w:w="7826" w:type="dxa"/>
            <w:noWrap/>
            <w:vAlign w:val="center"/>
          </w:tcPr>
          <w:p w14:paraId="7B027928">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sz w:val="28"/>
                <w:szCs w:val="28"/>
                <w:lang w:eastAsia="zh-CN"/>
              </w:rPr>
            </w:pPr>
            <w:r>
              <w:rPr>
                <w:rFonts w:hint="eastAsia" w:ascii="仿宋" w:hAnsi="仿宋" w:eastAsia="仿宋" w:cs="仿宋"/>
                <w:sz w:val="28"/>
                <w:szCs w:val="28"/>
                <w:lang w:eastAsia="zh-CN"/>
              </w:rPr>
              <w:t>评标委员会负责具体评标事务。评标委员会由采购人代表和评审专家组成，成员人数应当为</w:t>
            </w: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人，其中评审专家不得少于成员总数的三分之二。</w:t>
            </w:r>
          </w:p>
        </w:tc>
      </w:tr>
      <w:tr w14:paraId="1F86A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02" w:hRule="atLeast"/>
        </w:trPr>
        <w:tc>
          <w:tcPr>
            <w:tcW w:w="960" w:type="dxa"/>
            <w:noWrap/>
            <w:vAlign w:val="center"/>
          </w:tcPr>
          <w:p w14:paraId="11FA7FF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6</w:t>
            </w:r>
            <w:r>
              <w:rPr>
                <w:rFonts w:hint="eastAsia" w:ascii="仿宋" w:hAnsi="仿宋" w:eastAsia="仿宋" w:cs="仿宋"/>
                <w:sz w:val="28"/>
                <w:szCs w:val="28"/>
              </w:rPr>
              <w:t>.1</w:t>
            </w:r>
          </w:p>
        </w:tc>
        <w:tc>
          <w:tcPr>
            <w:tcW w:w="7826" w:type="dxa"/>
            <w:noWrap/>
            <w:vAlign w:val="center"/>
          </w:tcPr>
          <w:p w14:paraId="72D9C3D8">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中小企业扶持：</w:t>
            </w:r>
            <w:r>
              <w:rPr>
                <w:rFonts w:hint="eastAsia" w:ascii="仿宋" w:hAnsi="仿宋" w:eastAsia="仿宋" w:cs="仿宋"/>
                <w:sz w:val="28"/>
                <w:szCs w:val="28"/>
                <w:lang w:val="en-US" w:eastAsia="zh-CN"/>
              </w:rPr>
              <w:t>根据《政府采购促进中小企业发展管理办法》：价格评审优惠（未预留采购份额的采购项目），对小型和微型企业报价给予10%的扣除，用扣除后的价格参与评审。小型和微型企业的认定根据投标人提供的《中小企业声明函》等材料（第五章 投标文件格式）进行。</w:t>
            </w:r>
          </w:p>
          <w:p w14:paraId="0245441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本采购项目所属行业：</w:t>
            </w:r>
            <w:r>
              <w:rPr>
                <w:rFonts w:hint="eastAsia" w:ascii="仿宋" w:hAnsi="仿宋" w:eastAsia="仿宋" w:cs="仿宋"/>
                <w:b/>
                <w:bCs/>
                <w:sz w:val="28"/>
                <w:szCs w:val="28"/>
                <w:u w:val="single"/>
                <w:lang w:val="en-US" w:eastAsia="zh-CN"/>
              </w:rPr>
              <w:t>物业管理</w:t>
            </w:r>
            <w:r>
              <w:rPr>
                <w:rFonts w:hint="eastAsia" w:ascii="仿宋" w:hAnsi="仿宋" w:eastAsia="仿宋" w:cs="仿宋"/>
                <w:b/>
                <w:bCs/>
                <w:sz w:val="28"/>
                <w:szCs w:val="28"/>
                <w:lang w:val="en-US" w:eastAsia="zh-CN"/>
              </w:rPr>
              <w:t>。</w:t>
            </w:r>
          </w:p>
        </w:tc>
      </w:tr>
      <w:tr w14:paraId="55A8E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0" w:type="dxa"/>
            <w:noWrap/>
            <w:vAlign w:val="center"/>
          </w:tcPr>
          <w:p w14:paraId="1724C52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7</w:t>
            </w:r>
            <w:r>
              <w:rPr>
                <w:rFonts w:hint="eastAsia" w:ascii="仿宋" w:hAnsi="仿宋" w:eastAsia="仿宋" w:cs="仿宋"/>
                <w:sz w:val="28"/>
                <w:szCs w:val="28"/>
              </w:rPr>
              <w:t>.</w:t>
            </w:r>
            <w:r>
              <w:rPr>
                <w:rFonts w:hint="eastAsia" w:ascii="仿宋" w:hAnsi="仿宋" w:eastAsia="仿宋" w:cs="仿宋"/>
                <w:sz w:val="28"/>
                <w:szCs w:val="28"/>
                <w:lang w:val="en-US" w:eastAsia="zh-CN"/>
              </w:rPr>
              <w:t>1</w:t>
            </w:r>
          </w:p>
        </w:tc>
        <w:tc>
          <w:tcPr>
            <w:tcW w:w="7826" w:type="dxa"/>
            <w:noWrap/>
            <w:vAlign w:val="center"/>
          </w:tcPr>
          <w:p w14:paraId="57A6974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评标方法：综合评分法。</w:t>
            </w:r>
          </w:p>
          <w:p w14:paraId="1DC8B0F1">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707F2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0" w:type="dxa"/>
            <w:noWrap/>
            <w:vAlign w:val="center"/>
          </w:tcPr>
          <w:p w14:paraId="316324B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38</w:t>
            </w:r>
          </w:p>
        </w:tc>
        <w:tc>
          <w:tcPr>
            <w:tcW w:w="7826" w:type="dxa"/>
            <w:noWrap/>
            <w:vAlign w:val="center"/>
          </w:tcPr>
          <w:p w14:paraId="7D401FC6">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（1）根据评审后得分由高到低的顺序推荐3名中标候选人；</w:t>
            </w:r>
          </w:p>
          <w:p w14:paraId="15A76AD6">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（2）评审得分相同的，按投标报价由低到高顺序推荐排列；评审得分且投标报价相同的并列；</w:t>
            </w:r>
          </w:p>
        </w:tc>
      </w:tr>
      <w:tr w14:paraId="2B35D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0" w:type="dxa"/>
            <w:noWrap/>
            <w:vAlign w:val="center"/>
          </w:tcPr>
          <w:p w14:paraId="7B951D5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41.1</w:t>
            </w:r>
          </w:p>
        </w:tc>
        <w:tc>
          <w:tcPr>
            <w:tcW w:w="7826" w:type="dxa"/>
            <w:noWrap/>
            <w:vAlign w:val="center"/>
          </w:tcPr>
          <w:p w14:paraId="3009759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中标结果公告媒介：《河南省政府采购网》《河南省公共资源交易中心网》</w:t>
            </w:r>
          </w:p>
        </w:tc>
      </w:tr>
      <w:tr w14:paraId="0EFA5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471" w:hRule="atLeast"/>
        </w:trPr>
        <w:tc>
          <w:tcPr>
            <w:tcW w:w="960" w:type="dxa"/>
            <w:noWrap/>
            <w:vAlign w:val="center"/>
          </w:tcPr>
          <w:p w14:paraId="785CDEB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rPr>
              <w:t>4</w:t>
            </w:r>
            <w:r>
              <w:rPr>
                <w:rFonts w:hint="eastAsia" w:ascii="仿宋" w:hAnsi="仿宋" w:eastAsia="仿宋" w:cs="仿宋"/>
                <w:sz w:val="28"/>
                <w:szCs w:val="28"/>
                <w:lang w:val="en-US" w:eastAsia="zh-CN"/>
              </w:rPr>
              <w:t>4</w:t>
            </w:r>
          </w:p>
        </w:tc>
        <w:tc>
          <w:tcPr>
            <w:tcW w:w="7826" w:type="dxa"/>
            <w:noWrap/>
            <w:vAlign w:val="center"/>
          </w:tcPr>
          <w:p w14:paraId="62734AB3">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数量追加范围：采购人需追加与合同标的相同的服务的，在不改变合同其它条款的前提下，可以与投标人签订补充合同，但所有补充合同的采购金额不得超过原合同金额的百分之十。</w:t>
            </w:r>
          </w:p>
        </w:tc>
      </w:tr>
      <w:tr w14:paraId="55E23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471" w:hRule="atLeast"/>
        </w:trPr>
        <w:tc>
          <w:tcPr>
            <w:tcW w:w="960" w:type="dxa"/>
            <w:noWrap/>
            <w:vAlign w:val="center"/>
          </w:tcPr>
          <w:p w14:paraId="47A3032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46</w:t>
            </w:r>
          </w:p>
        </w:tc>
        <w:tc>
          <w:tcPr>
            <w:tcW w:w="7826" w:type="dxa"/>
            <w:noWrap/>
            <w:vAlign w:val="center"/>
          </w:tcPr>
          <w:p w14:paraId="070C05F0">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履约保证金：</w:t>
            </w:r>
          </w:p>
          <w:p w14:paraId="2ECE37E0">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1.履约保证金的金额：年</w:t>
            </w:r>
            <w:r>
              <w:rPr>
                <w:rFonts w:hint="eastAsia" w:ascii="仿宋" w:hAnsi="仿宋" w:eastAsia="仿宋" w:cs="仿宋"/>
                <w:sz w:val="28"/>
                <w:szCs w:val="28"/>
                <w:lang w:eastAsia="zh-CN"/>
              </w:rPr>
              <w:t>合同金额的</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p>
          <w:p w14:paraId="0F9ED9D3">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2.履约保证金退还：服务期满，在中标人无违约的情况下，无息退还。</w:t>
            </w:r>
          </w:p>
        </w:tc>
      </w:tr>
      <w:tr w14:paraId="28DC9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7" w:hRule="atLeast"/>
        </w:trPr>
        <w:tc>
          <w:tcPr>
            <w:tcW w:w="960" w:type="dxa"/>
            <w:noWrap/>
            <w:vAlign w:val="center"/>
          </w:tcPr>
          <w:p w14:paraId="6D9C289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48</w:t>
            </w:r>
          </w:p>
        </w:tc>
        <w:tc>
          <w:tcPr>
            <w:tcW w:w="7826" w:type="dxa"/>
            <w:noWrap/>
            <w:vAlign w:val="center"/>
          </w:tcPr>
          <w:p w14:paraId="32AEC4A7">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招标代理费</w:t>
            </w:r>
            <w:r>
              <w:rPr>
                <w:rFonts w:hint="eastAsia" w:ascii="仿宋" w:hAnsi="仿宋" w:eastAsia="仿宋" w:cs="仿宋"/>
                <w:sz w:val="28"/>
                <w:szCs w:val="28"/>
              </w:rPr>
              <w:t>：免费。</w:t>
            </w:r>
          </w:p>
        </w:tc>
      </w:tr>
      <w:tr w14:paraId="00722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58" w:hRule="atLeast"/>
        </w:trPr>
        <w:tc>
          <w:tcPr>
            <w:tcW w:w="960" w:type="dxa"/>
            <w:noWrap/>
            <w:vAlign w:val="center"/>
          </w:tcPr>
          <w:p w14:paraId="30D9582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49.2</w:t>
            </w:r>
          </w:p>
        </w:tc>
        <w:tc>
          <w:tcPr>
            <w:tcW w:w="7826" w:type="dxa"/>
            <w:noWrap/>
            <w:vAlign w:val="center"/>
          </w:tcPr>
          <w:p w14:paraId="053241FD">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投标人应在法定质疑期内针对同一采购程序环节的质疑次数：一次。</w:t>
            </w:r>
          </w:p>
        </w:tc>
      </w:tr>
      <w:tr w14:paraId="63466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9" w:hRule="atLeast"/>
        </w:trPr>
        <w:tc>
          <w:tcPr>
            <w:tcW w:w="960" w:type="dxa"/>
            <w:noWrap/>
            <w:vAlign w:val="center"/>
          </w:tcPr>
          <w:p w14:paraId="40DCE34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p>
        </w:tc>
        <w:tc>
          <w:tcPr>
            <w:tcW w:w="7826" w:type="dxa"/>
            <w:noWrap/>
            <w:vAlign w:val="center"/>
          </w:tcPr>
          <w:p w14:paraId="41086E6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b/>
                <w:bCs/>
                <w:sz w:val="28"/>
                <w:szCs w:val="28"/>
              </w:rPr>
              <w:t>需要补充的其他内容</w:t>
            </w:r>
          </w:p>
        </w:tc>
      </w:tr>
      <w:tr w14:paraId="6C64A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0" w:type="dxa"/>
            <w:noWrap/>
            <w:vAlign w:val="center"/>
          </w:tcPr>
          <w:p w14:paraId="3147CCC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50</w:t>
            </w:r>
            <w:r>
              <w:rPr>
                <w:rFonts w:hint="eastAsia" w:ascii="仿宋" w:hAnsi="仿宋" w:eastAsia="仿宋" w:cs="仿宋"/>
                <w:sz w:val="28"/>
                <w:szCs w:val="28"/>
                <w:lang w:eastAsia="zh-CN"/>
              </w:rPr>
              <w:t>.1</w:t>
            </w:r>
          </w:p>
        </w:tc>
        <w:tc>
          <w:tcPr>
            <w:tcW w:w="7826" w:type="dxa"/>
            <w:noWrap/>
            <w:vAlign w:val="center"/>
          </w:tcPr>
          <w:p w14:paraId="7F16448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付款方式：</w:t>
            </w:r>
          </w:p>
          <w:p w14:paraId="4BC44DDB">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物业管理服务费按月支付，采购人在对中标人的服务考核后，次月15日前根据考核结果支付上个月费用。合同期内最后一个月的管理服务费待双方办理完交接手续后，由采购人支付给中标人。</w:t>
            </w:r>
          </w:p>
          <w:p w14:paraId="2439660C">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如中标人提供的发票或结算资料不符合采购人要求，采购人有权延迟付款并要求中标人重新提交相关资料而不视为违约，但中标人不得因此延迟或拒绝履行本合同约定的各项义务。</w:t>
            </w:r>
          </w:p>
        </w:tc>
      </w:tr>
      <w:tr w14:paraId="71EC7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0" w:type="dxa"/>
            <w:noWrap/>
            <w:vAlign w:val="center"/>
          </w:tcPr>
          <w:p w14:paraId="54795FE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50.2</w:t>
            </w:r>
          </w:p>
        </w:tc>
        <w:tc>
          <w:tcPr>
            <w:tcW w:w="7826" w:type="dxa"/>
            <w:noWrap/>
            <w:vAlign w:val="center"/>
          </w:tcPr>
          <w:p w14:paraId="250C61A5">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合同签订：</w:t>
            </w:r>
            <w:r>
              <w:rPr>
                <w:rFonts w:hint="eastAsia" w:ascii="仿宋" w:hAnsi="仿宋" w:eastAsia="仿宋" w:cs="仿宋"/>
                <w:sz w:val="28"/>
                <w:szCs w:val="28"/>
                <w:lang w:val="en-US" w:eastAsia="zh-CN"/>
              </w:rPr>
              <w:t>服务期为3年，合同签署采取“1+1+1”模式。即：合同签署采取一年一签方式，本项目在执行过程中，采购人将对服务的中标人进行考核。考核合格可续签一年，最多续签2 次。合同签订进场后，如中标人未按要求履行合同、未达到采购人的工作标准和考核要求，采购人有权不续签合同。如项目因不可抗拒因素导致不能继续履行合同，采购人应提前一个月书面通知中标人解除合同，且不承担任何违约、赔偿责任。</w:t>
            </w:r>
          </w:p>
        </w:tc>
      </w:tr>
      <w:tr w14:paraId="5DEDF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38" w:hRule="atLeast"/>
        </w:trPr>
        <w:tc>
          <w:tcPr>
            <w:tcW w:w="960" w:type="dxa"/>
            <w:noWrap/>
            <w:vAlign w:val="center"/>
          </w:tcPr>
          <w:p w14:paraId="0BAB27B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50.3</w:t>
            </w:r>
          </w:p>
        </w:tc>
        <w:tc>
          <w:tcPr>
            <w:tcW w:w="7826" w:type="dxa"/>
            <w:noWrap/>
            <w:vAlign w:val="center"/>
          </w:tcPr>
          <w:p w14:paraId="370745DF">
            <w:pPr>
              <w:keepNext w:val="0"/>
              <w:keepLines w:val="0"/>
              <w:pageBreakBefore w:val="0"/>
              <w:tabs>
                <w:tab w:val="left" w:pos="3150"/>
              </w:tabs>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kern w:val="0"/>
                <w:sz w:val="28"/>
                <w:szCs w:val="28"/>
                <w:lang w:val="en-US" w:eastAsia="zh-CN"/>
              </w:rPr>
              <w:t>“</w:t>
            </w:r>
            <w:r>
              <w:rPr>
                <w:rFonts w:hint="eastAsia" w:ascii="仿宋" w:hAnsi="仿宋" w:eastAsia="仿宋" w:cs="仿宋"/>
                <w:b/>
                <w:bCs/>
                <w:sz w:val="28"/>
                <w:szCs w:val="28"/>
                <w:lang w:val="en-US" w:eastAsia="zh-CN"/>
              </w:rPr>
              <w:t>一号咨询”服务：</w:t>
            </w:r>
            <w:r>
              <w:rPr>
                <w:rFonts w:hint="eastAsia" w:ascii="仿宋" w:hAnsi="仿宋" w:eastAsia="仿宋" w:cs="仿宋"/>
                <w:kern w:val="0"/>
                <w:sz w:val="28"/>
                <w:szCs w:val="28"/>
                <w:lang w:val="en-US" w:eastAsia="zh-CN"/>
              </w:rPr>
              <w:t>市场主体拨打0371-61335566即可咨询河南省公共资源交易中心业务的相关问题。</w:t>
            </w:r>
          </w:p>
        </w:tc>
      </w:tr>
    </w:tbl>
    <w:p w14:paraId="0FCFBCFB">
      <w:pPr>
        <w:rPr>
          <w:rFonts w:hint="eastAsia"/>
          <w:lang w:eastAsia="zh-CN"/>
        </w:rPr>
      </w:pPr>
    </w:p>
    <w:p w14:paraId="29678170">
      <w:pPr>
        <w:pageBreakBefore w:val="0"/>
        <w:wordWrap/>
        <w:topLinePunct w:val="0"/>
        <w:bidi w:val="0"/>
        <w:spacing w:line="360" w:lineRule="auto"/>
        <w:jc w:val="left"/>
        <w:rPr>
          <w:rFonts w:hint="eastAsia" w:ascii="仿宋" w:hAnsi="仿宋" w:eastAsia="仿宋" w:cs="仿宋"/>
          <w:color w:val="auto"/>
          <w:sz w:val="24"/>
          <w:szCs w:val="24"/>
          <w:lang w:eastAsia="zh-CN"/>
        </w:rPr>
      </w:pPr>
    </w:p>
    <w:p w14:paraId="7B7CE1D6">
      <w:pPr>
        <w:pageBreakBefore w:val="0"/>
        <w:wordWrap/>
        <w:topLinePunct w:val="0"/>
        <w:bidi w:val="0"/>
        <w:spacing w:line="360" w:lineRule="auto"/>
        <w:ind w:left="1077" w:hanging="539"/>
        <w:rPr>
          <w:rFonts w:hint="eastAsia" w:ascii="仿宋" w:hAnsi="仿宋" w:eastAsia="仿宋" w:cs="仿宋"/>
          <w:color w:val="auto"/>
          <w:lang w:eastAsia="zh-CN"/>
        </w:rPr>
        <w:sectPr>
          <w:footerReference r:id="rId4" w:type="default"/>
          <w:pgSz w:w="11900" w:h="16840"/>
          <w:pgMar w:top="1440" w:right="1797" w:bottom="1440" w:left="1797" w:header="851" w:footer="992" w:gutter="0"/>
          <w:pgBorders>
            <w:top w:val="none" w:sz="0" w:space="0"/>
            <w:left w:val="none" w:sz="0" w:space="0"/>
            <w:bottom w:val="none" w:sz="0" w:space="0"/>
            <w:right w:val="none" w:sz="0" w:space="0"/>
          </w:pgBorders>
          <w:cols w:space="720" w:num="1"/>
        </w:sectPr>
      </w:pPr>
    </w:p>
    <w:p w14:paraId="0CC07AF9">
      <w:pPr>
        <w:pStyle w:val="2"/>
        <w:pageBreakBefore w:val="0"/>
        <w:wordWrap/>
        <w:topLinePunct w:val="0"/>
        <w:bidi w:val="0"/>
        <w:spacing w:before="0" w:after="0" w:line="360" w:lineRule="auto"/>
        <w:jc w:val="center"/>
        <w:rPr>
          <w:rFonts w:hint="eastAsia" w:ascii="仿宋" w:hAnsi="仿宋" w:eastAsia="仿宋" w:cs="仿宋"/>
          <w:color w:val="auto"/>
          <w:sz w:val="36"/>
          <w:szCs w:val="36"/>
          <w:lang w:val="en-US" w:eastAsia="zh-CN"/>
        </w:rPr>
      </w:pPr>
      <w:bookmarkStart w:id="112" w:name="_Toc1341383622_WPSOffice_Level1"/>
      <w:bookmarkStart w:id="113" w:name="_Toc672784450_WPSOffice_Level1"/>
      <w:bookmarkStart w:id="114" w:name="_Toc435542012"/>
      <w:bookmarkStart w:id="115" w:name="_Toc1855516403"/>
      <w:bookmarkStart w:id="116" w:name="_Toc653624039"/>
      <w:bookmarkStart w:id="117" w:name="_Toc1810187627_WPSOffice_Level1"/>
      <w:bookmarkStart w:id="118" w:name="_Toc540794793"/>
      <w:bookmarkStart w:id="119" w:name="_Toc2118786865_WPSOffice_Level1"/>
      <w:bookmarkStart w:id="120" w:name="_Toc457436968_WPSOffice_Level1"/>
      <w:bookmarkStart w:id="121" w:name="_Toc194396107"/>
      <w:bookmarkStart w:id="122" w:name="_Toc754728636"/>
      <w:bookmarkStart w:id="123" w:name="_Toc580298809"/>
      <w:bookmarkStart w:id="124" w:name="_Toc511855247"/>
      <w:bookmarkStart w:id="125" w:name="_Toc1344387214"/>
      <w:bookmarkStart w:id="126" w:name="_Toc26320"/>
      <w:bookmarkStart w:id="127" w:name="_Toc309192439"/>
      <w:bookmarkStart w:id="128" w:name="_Toc696406431"/>
      <w:bookmarkStart w:id="129" w:name="_Toc914717081"/>
      <w:bookmarkStart w:id="130" w:name="_Toc1639549268"/>
      <w:bookmarkStart w:id="131" w:name="_Toc1484219635"/>
      <w:r>
        <w:rPr>
          <w:rFonts w:hint="eastAsia" w:ascii="仿宋" w:hAnsi="仿宋" w:eastAsia="仿宋" w:cs="仿宋"/>
          <w:color w:val="auto"/>
          <w:sz w:val="36"/>
          <w:szCs w:val="36"/>
          <w:lang w:val="en-US" w:eastAsia="zh-CN"/>
        </w:rPr>
        <w:t xml:space="preserve">第三章 </w:t>
      </w:r>
      <w:r>
        <w:rPr>
          <w:rFonts w:hint="eastAsia" w:ascii="仿宋" w:hAnsi="仿宋" w:eastAsia="仿宋" w:cs="仿宋"/>
          <w:color w:val="auto"/>
          <w:sz w:val="36"/>
          <w:szCs w:val="36"/>
          <w:lang w:eastAsia="zh-CN"/>
        </w:rPr>
        <w:t>投标人须知</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ABE8A9B">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bookmarkStart w:id="132" w:name="_Toc1875035149"/>
      <w:bookmarkStart w:id="133" w:name="_Toc2103873687_WPSOffice_Level2"/>
      <w:bookmarkStart w:id="134" w:name="_Toc795505054"/>
      <w:bookmarkStart w:id="135" w:name="_Toc1820077040_WPSOffice_Level2"/>
      <w:bookmarkStart w:id="136" w:name="_Toc1698066625"/>
      <w:bookmarkStart w:id="137" w:name="_Toc1239566703"/>
      <w:bookmarkStart w:id="138" w:name="_Toc587412607"/>
      <w:bookmarkStart w:id="139" w:name="_Toc963499806"/>
      <w:bookmarkStart w:id="140" w:name="_Toc1547883234"/>
      <w:bookmarkStart w:id="141" w:name="_Toc1724158210_WPSOffice_Level2"/>
      <w:bookmarkStart w:id="142" w:name="_Toc753331058"/>
      <w:bookmarkStart w:id="143" w:name="_Toc72595909_WPSOffice_Level2"/>
      <w:bookmarkStart w:id="144" w:name="_Toc547533145"/>
      <w:bookmarkStart w:id="145" w:name="_Toc1420306246"/>
      <w:bookmarkStart w:id="146" w:name="_Toc1605126531"/>
      <w:bookmarkStart w:id="147" w:name="_Toc225324457"/>
      <w:bookmarkStart w:id="148" w:name="_Toc1053718759_WPSOffice_Level2"/>
      <w:bookmarkStart w:id="149" w:name="_Toc6348"/>
      <w:r>
        <w:rPr>
          <w:rFonts w:hint="eastAsia" w:ascii="仿宋" w:hAnsi="仿宋" w:eastAsia="仿宋" w:cs="仿宋"/>
          <w:b/>
          <w:bCs w:val="0"/>
          <w:color w:val="auto"/>
          <w:kern w:val="0"/>
          <w:sz w:val="30"/>
          <w:szCs w:val="30"/>
          <w:lang w:val="en-US" w:eastAsia="zh-CN"/>
        </w:rPr>
        <w:t>一、说  明</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7CD8AA8">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1</w:t>
      </w:r>
      <w:r>
        <w:rPr>
          <w:rFonts w:hint="eastAsia" w:ascii="仿宋" w:hAnsi="仿宋" w:eastAsia="仿宋" w:cs="仿宋"/>
          <w:b/>
          <w:bCs/>
          <w:sz w:val="28"/>
          <w:szCs w:val="28"/>
          <w:lang w:val="en-US" w:eastAsia="zh-CN"/>
        </w:rPr>
        <w:t>.</w:t>
      </w:r>
      <w:r>
        <w:rPr>
          <w:rFonts w:hint="eastAsia" w:ascii="仿宋" w:hAnsi="仿宋" w:eastAsia="仿宋" w:cs="仿宋"/>
          <w:b/>
          <w:bCs/>
          <w:sz w:val="28"/>
          <w:szCs w:val="28"/>
          <w:lang w:eastAsia="zh-CN"/>
        </w:rPr>
        <w:t>适用范围</w:t>
      </w:r>
    </w:p>
    <w:p w14:paraId="10C3CDDE">
      <w:pPr>
        <w:pageBreakBefore w:val="0"/>
        <w:wordWrap/>
        <w:topLinePunct w:val="0"/>
        <w:bidi w:val="0"/>
        <w:spacing w:line="360" w:lineRule="auto"/>
        <w:rPr>
          <w:rFonts w:hint="eastAsia" w:ascii="仿宋" w:hAnsi="仿宋" w:eastAsia="仿宋" w:cs="仿宋"/>
          <w:sz w:val="28"/>
          <w:szCs w:val="28"/>
          <w:lang w:eastAsia="zh-CN"/>
        </w:rPr>
      </w:pPr>
      <w:bookmarkStart w:id="150" w:name="_Toc532150620_WPSOffice_Level3"/>
      <w:bookmarkStart w:id="151" w:name="_Toc196648728_WPSOffice_Level3"/>
      <w:bookmarkStart w:id="152" w:name="_Toc187354401_WPSOffice_Level3"/>
      <w:r>
        <w:rPr>
          <w:rFonts w:hint="eastAsia" w:ascii="仿宋" w:hAnsi="仿宋" w:eastAsia="仿宋" w:cs="仿宋"/>
          <w:sz w:val="28"/>
          <w:szCs w:val="28"/>
          <w:lang w:eastAsia="zh-CN"/>
        </w:rPr>
        <w:t>1.1本招标文件仅适用于本次公开招标所述的服务。</w:t>
      </w:r>
      <w:bookmarkEnd w:id="150"/>
      <w:bookmarkEnd w:id="151"/>
      <w:bookmarkEnd w:id="152"/>
    </w:p>
    <w:p w14:paraId="1F853DA7">
      <w:pPr>
        <w:pageBreakBefore w:val="0"/>
        <w:wordWrap/>
        <w:topLinePunct w:val="0"/>
        <w:bidi w:val="0"/>
        <w:spacing w:line="360" w:lineRule="auto"/>
        <w:rPr>
          <w:rFonts w:hint="eastAsia" w:ascii="仿宋" w:hAnsi="仿宋" w:eastAsia="仿宋" w:cs="仿宋"/>
          <w:sz w:val="28"/>
          <w:szCs w:val="28"/>
          <w:lang w:eastAsia="zh-CN"/>
        </w:rPr>
      </w:pPr>
      <w:bookmarkStart w:id="153" w:name="_Toc1359847161_WPSOffice_Level3"/>
      <w:bookmarkStart w:id="154" w:name="_Toc900722191_WPSOffice_Level3"/>
      <w:bookmarkStart w:id="155" w:name="_Toc548249303_WPSOffice_Level3"/>
      <w:r>
        <w:rPr>
          <w:rFonts w:hint="eastAsia" w:ascii="仿宋" w:hAnsi="仿宋" w:eastAsia="仿宋" w:cs="仿宋"/>
          <w:sz w:val="28"/>
          <w:szCs w:val="28"/>
          <w:lang w:eastAsia="zh-CN"/>
        </w:rPr>
        <w:t>1.2采购项目：见“投标人须知前附表”。</w:t>
      </w:r>
      <w:bookmarkEnd w:id="153"/>
      <w:bookmarkEnd w:id="154"/>
      <w:bookmarkEnd w:id="155"/>
    </w:p>
    <w:p w14:paraId="59D54E9D">
      <w:pPr>
        <w:pageBreakBefore w:val="0"/>
        <w:wordWrap/>
        <w:topLinePunct w:val="0"/>
        <w:bidi w:val="0"/>
        <w:spacing w:line="360" w:lineRule="auto"/>
        <w:rPr>
          <w:rFonts w:hint="eastAsia" w:ascii="仿宋" w:hAnsi="仿宋" w:eastAsia="仿宋" w:cs="仿宋"/>
          <w:sz w:val="28"/>
          <w:szCs w:val="28"/>
          <w:lang w:eastAsia="zh-CN"/>
        </w:rPr>
      </w:pPr>
      <w:bookmarkStart w:id="156" w:name="_Toc334765003_WPSOffice_Level3"/>
      <w:bookmarkStart w:id="157" w:name="_Toc1512585633_WPSOffice_Level3"/>
      <w:bookmarkStart w:id="158" w:name="_Toc1100833192_WPSOffice_Level3"/>
      <w:r>
        <w:rPr>
          <w:rFonts w:hint="eastAsia" w:ascii="仿宋" w:hAnsi="仿宋" w:eastAsia="仿宋" w:cs="仿宋"/>
          <w:sz w:val="28"/>
          <w:szCs w:val="28"/>
          <w:lang w:eastAsia="zh-CN"/>
        </w:rPr>
        <w:t>1.3采购编号：见“投标人须知前附表”。</w:t>
      </w:r>
      <w:bookmarkEnd w:id="156"/>
      <w:bookmarkEnd w:id="157"/>
      <w:bookmarkEnd w:id="158"/>
    </w:p>
    <w:p w14:paraId="18AAEEB4">
      <w:pPr>
        <w:pageBreakBefore w:val="0"/>
        <w:wordWrap/>
        <w:topLinePunct w:val="0"/>
        <w:bidi w:val="0"/>
        <w:spacing w:line="360" w:lineRule="auto"/>
        <w:rPr>
          <w:rFonts w:hint="eastAsia" w:ascii="仿宋" w:hAnsi="仿宋" w:eastAsia="仿宋" w:cs="仿宋"/>
          <w:sz w:val="28"/>
          <w:szCs w:val="28"/>
          <w:lang w:eastAsia="zh-CN"/>
        </w:rPr>
      </w:pPr>
      <w:bookmarkStart w:id="159" w:name="_Toc2062433103_WPSOffice_Level3"/>
      <w:bookmarkStart w:id="160" w:name="_Toc979196621_WPSOffice_Level3"/>
      <w:bookmarkStart w:id="161" w:name="_Toc1513112147_WPSOffice_Level3"/>
      <w:r>
        <w:rPr>
          <w:rFonts w:hint="eastAsia" w:ascii="仿宋" w:hAnsi="仿宋" w:eastAsia="仿宋" w:cs="仿宋"/>
          <w:sz w:val="28"/>
          <w:szCs w:val="28"/>
          <w:lang w:eastAsia="zh-CN"/>
        </w:rPr>
        <w:t>1.4采购项目简要说明：见“投标人须知前附表”。</w:t>
      </w:r>
      <w:bookmarkEnd w:id="159"/>
      <w:bookmarkEnd w:id="160"/>
      <w:bookmarkEnd w:id="161"/>
    </w:p>
    <w:p w14:paraId="7C7B21FA">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2</w:t>
      </w:r>
      <w:r>
        <w:rPr>
          <w:rFonts w:hint="eastAsia" w:ascii="仿宋" w:hAnsi="仿宋" w:eastAsia="仿宋" w:cs="仿宋"/>
          <w:b/>
          <w:bCs/>
          <w:sz w:val="28"/>
          <w:szCs w:val="28"/>
          <w:lang w:val="en-US" w:eastAsia="zh-CN"/>
        </w:rPr>
        <w:t>.</w:t>
      </w:r>
      <w:r>
        <w:rPr>
          <w:rFonts w:hint="eastAsia" w:ascii="仿宋" w:hAnsi="仿宋" w:eastAsia="仿宋" w:cs="仿宋"/>
          <w:b/>
          <w:bCs/>
          <w:sz w:val="28"/>
          <w:szCs w:val="28"/>
          <w:lang w:eastAsia="zh-CN"/>
        </w:rPr>
        <w:t>定义</w:t>
      </w:r>
    </w:p>
    <w:p w14:paraId="2F3E04EC">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2.1政府采购监督管理部门：河南省财政厅。</w:t>
      </w:r>
    </w:p>
    <w:p w14:paraId="063F2752">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2.2采购人：</w:t>
      </w:r>
      <w:r>
        <w:rPr>
          <w:rFonts w:hint="eastAsia" w:ascii="仿宋" w:hAnsi="仿宋" w:eastAsia="仿宋" w:cs="仿宋"/>
          <w:sz w:val="28"/>
          <w:szCs w:val="28"/>
          <w:lang w:val="en-US" w:eastAsia="zh-CN"/>
        </w:rPr>
        <w:t>是指依法进行政府采购的国家机关、事业单位、团体组织。本项目的采购人见投标人须知前附表。</w:t>
      </w:r>
    </w:p>
    <w:p w14:paraId="388E1528">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2.3集中采购机构：“投标人须知前附表”中所述的受采购人委托组织集中采购的代理机构。</w:t>
      </w:r>
    </w:p>
    <w:p w14:paraId="52D4AD8D">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2.4集中采购：是指政府集中采购目录及限额标准规定的集中采购项目的采购活动。</w:t>
      </w:r>
    </w:p>
    <w:p w14:paraId="2F50B510">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2.5合格投标人：提供资格证明文件并通过资格审查的投标人。</w:t>
      </w:r>
    </w:p>
    <w:p w14:paraId="0FE24C5F">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2.5.1若投标人须知前附表中写明专门面向中小企业采购的，如投标人为非中小企业，其投标将被认定为投标无效。</w:t>
      </w:r>
    </w:p>
    <w:p w14:paraId="270708C4">
      <w:pPr>
        <w:pageBreakBefore w:val="0"/>
        <w:wordWrap/>
        <w:topLinePunct w:val="0"/>
        <w:bidi w:val="0"/>
        <w:spacing w:line="360" w:lineRule="auto"/>
        <w:rPr>
          <w:rFonts w:hint="eastAsia" w:ascii="仿宋" w:hAnsi="仿宋" w:eastAsia="仿宋" w:cs="仿宋"/>
          <w:lang w:val="en-US" w:eastAsia="zh-CN"/>
        </w:rPr>
      </w:pPr>
      <w:r>
        <w:rPr>
          <w:rFonts w:hint="eastAsia" w:ascii="仿宋" w:hAnsi="仿宋" w:eastAsia="仿宋" w:cs="仿宋"/>
          <w:sz w:val="28"/>
          <w:szCs w:val="28"/>
          <w:lang w:val="en-US" w:eastAsia="zh-CN"/>
        </w:rPr>
        <w:t>2.5.2</w:t>
      </w:r>
      <w:r>
        <w:rPr>
          <w:rFonts w:hint="eastAsia" w:ascii="仿宋" w:hAnsi="仿宋" w:eastAsia="仿宋" w:cs="仿宋"/>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0EEE97D2">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2.6投标文件：指投标人根据招标文件提交的所有文件。</w:t>
      </w:r>
    </w:p>
    <w:p w14:paraId="62F9243A">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3</w:t>
      </w:r>
      <w:r>
        <w:rPr>
          <w:rFonts w:hint="eastAsia" w:ascii="仿宋" w:hAnsi="仿宋" w:eastAsia="仿宋" w:cs="仿宋"/>
          <w:b/>
          <w:bCs/>
          <w:sz w:val="28"/>
          <w:szCs w:val="28"/>
          <w:lang w:val="en-US" w:eastAsia="zh-CN"/>
        </w:rPr>
        <w:t>.</w:t>
      </w:r>
      <w:r>
        <w:rPr>
          <w:rFonts w:hint="eastAsia" w:ascii="仿宋" w:hAnsi="仿宋" w:eastAsia="仿宋" w:cs="仿宋"/>
          <w:b/>
          <w:bCs/>
          <w:sz w:val="28"/>
          <w:szCs w:val="28"/>
          <w:lang w:eastAsia="zh-CN"/>
        </w:rPr>
        <w:t>投标费用</w:t>
      </w:r>
    </w:p>
    <w:p w14:paraId="7857C274">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投标人须自行承担所有与参加投标有关的费用，无论投标的结果如何，采购人和集中采购机构在任何情况下均无义务和责任承担这些费用。</w:t>
      </w:r>
    </w:p>
    <w:p w14:paraId="0D1A56C3">
      <w:pPr>
        <w:pageBreakBefore w:val="0"/>
        <w:wordWrap/>
        <w:topLinePunct w:val="0"/>
        <w:bidi w:val="0"/>
        <w:spacing w:line="360" w:lineRule="auto"/>
        <w:rPr>
          <w:rFonts w:hint="eastAsia" w:ascii="仿宋" w:hAnsi="仿宋" w:eastAsia="仿宋" w:cs="仿宋"/>
          <w:b/>
          <w:bCs/>
          <w:sz w:val="28"/>
          <w:szCs w:val="28"/>
          <w:lang w:eastAsia="zh-CN"/>
        </w:rPr>
      </w:pPr>
      <w:bookmarkStart w:id="162" w:name="_Toc337225031"/>
      <w:bookmarkStart w:id="163" w:name="_Toc441214089"/>
      <w:bookmarkStart w:id="164" w:name="_Toc284337471"/>
      <w:r>
        <w:rPr>
          <w:rFonts w:hint="eastAsia" w:ascii="仿宋" w:hAnsi="仿宋" w:eastAsia="仿宋" w:cs="仿宋"/>
          <w:b/>
          <w:bCs/>
          <w:sz w:val="28"/>
          <w:szCs w:val="28"/>
          <w:lang w:eastAsia="zh-CN"/>
        </w:rPr>
        <w:t>4</w:t>
      </w:r>
      <w:r>
        <w:rPr>
          <w:rFonts w:hint="eastAsia" w:ascii="仿宋" w:hAnsi="仿宋" w:eastAsia="仿宋" w:cs="仿宋"/>
          <w:b/>
          <w:bCs/>
          <w:sz w:val="28"/>
          <w:szCs w:val="28"/>
          <w:lang w:val="en-US" w:eastAsia="zh-CN"/>
        </w:rPr>
        <w:t>.</w:t>
      </w:r>
      <w:r>
        <w:rPr>
          <w:rFonts w:hint="eastAsia" w:ascii="仿宋" w:hAnsi="仿宋" w:eastAsia="仿宋" w:cs="仿宋"/>
          <w:b/>
          <w:bCs/>
          <w:sz w:val="28"/>
          <w:szCs w:val="28"/>
          <w:lang w:eastAsia="zh-CN"/>
        </w:rPr>
        <w:t>踏勘现场</w:t>
      </w:r>
      <w:bookmarkEnd w:id="162"/>
      <w:bookmarkEnd w:id="163"/>
      <w:bookmarkEnd w:id="164"/>
    </w:p>
    <w:p w14:paraId="73F66F8D">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4.1“投标人须知前附表”规定组织踏勘现场的，采购人按“投标人须知前附表”规定的时间、地点组织投标人踏勘项目现场。</w:t>
      </w:r>
    </w:p>
    <w:p w14:paraId="16C0E34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4.2投标人踏勘现场发生的费用自理。</w:t>
      </w:r>
    </w:p>
    <w:p w14:paraId="5DD88A3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4.3除采购人的原因外，投标人自行负责在踏勘现场中所发生的人员伤亡和财产损失。</w:t>
      </w:r>
    </w:p>
    <w:p w14:paraId="20583D51">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4.4采购人在踏勘现场中介绍的项目现场和相关的周边环境情况，供投标人在编制投标文件时参考，采购人不对投标人据此作出的判断和决策负责。</w:t>
      </w:r>
    </w:p>
    <w:p w14:paraId="1049DBFC">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5.知识产权</w:t>
      </w:r>
    </w:p>
    <w:p w14:paraId="4EED0A3F">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GB" w:eastAsia="zh-CN"/>
        </w:rPr>
        <w:t>所有涉及知识产权的成果，</w:t>
      </w:r>
      <w:r>
        <w:rPr>
          <w:rFonts w:hint="eastAsia" w:ascii="仿宋" w:hAnsi="仿宋" w:eastAsia="仿宋" w:cs="仿宋"/>
          <w:sz w:val="28"/>
          <w:szCs w:val="28"/>
          <w:lang w:eastAsia="zh-CN"/>
        </w:rPr>
        <w:t>投标人</w:t>
      </w:r>
      <w:r>
        <w:rPr>
          <w:rFonts w:hint="eastAsia" w:ascii="仿宋" w:hAnsi="仿宋" w:eastAsia="仿宋" w:cs="仿宋"/>
          <w:sz w:val="28"/>
          <w:szCs w:val="28"/>
          <w:lang w:val="en-GB" w:eastAsia="zh-CN"/>
        </w:rPr>
        <w:t>必须确保采购人拥有其合法的、不受限制的无偿使用权，并免受任何侵权诉讼或索偿，否则，由此产生的一切经济损失和法律责任由</w:t>
      </w:r>
      <w:r>
        <w:rPr>
          <w:rFonts w:hint="eastAsia" w:ascii="仿宋" w:hAnsi="仿宋" w:eastAsia="仿宋" w:cs="仿宋"/>
          <w:sz w:val="28"/>
          <w:szCs w:val="28"/>
          <w:lang w:eastAsia="zh-CN"/>
        </w:rPr>
        <w:t>投标人</w:t>
      </w:r>
      <w:r>
        <w:rPr>
          <w:rFonts w:hint="eastAsia" w:ascii="仿宋" w:hAnsi="仿宋" w:eastAsia="仿宋" w:cs="仿宋"/>
          <w:sz w:val="28"/>
          <w:szCs w:val="28"/>
          <w:lang w:val="en-GB" w:eastAsia="zh-CN"/>
        </w:rPr>
        <w:t>承担。</w:t>
      </w:r>
    </w:p>
    <w:p w14:paraId="016FB58B">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6</w:t>
      </w:r>
      <w:r>
        <w:rPr>
          <w:rFonts w:hint="eastAsia" w:ascii="仿宋" w:hAnsi="仿宋" w:eastAsia="仿宋" w:cs="仿宋"/>
          <w:b/>
          <w:bCs/>
          <w:sz w:val="28"/>
          <w:szCs w:val="28"/>
          <w:lang w:eastAsia="zh-CN"/>
        </w:rPr>
        <w:t>.联合体投标</w:t>
      </w:r>
    </w:p>
    <w:p w14:paraId="1583D6EA">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6.1除非本项目明确要求不接受联合体形式投标外，两个或两个以上投标人可以组成一个联合体，以一个投标人的身份共同参加投标。</w:t>
      </w:r>
    </w:p>
    <w:p w14:paraId="7873FAF7">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14:paraId="41EA00B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6.3联合体中有同类资质的投标人按照联合体分工承担相同工作的，应当按照资质等级较低的投标人确定资质等级。</w:t>
      </w:r>
    </w:p>
    <w:p w14:paraId="1AAAD995">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6.4联合体投标的，可以由联合体中的牵头人或者共同提交投标承诺函，以牵头人名义提交投标承诺函的，对联合体各方均具有约束力。</w:t>
      </w:r>
    </w:p>
    <w:p w14:paraId="706A8148">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6.5以联合体形式参加政府采购活动的，联合体各方不得再单独参加或者与其他投标人另外组成联合体参加同一合同项下的政府采购活动。</w:t>
      </w:r>
    </w:p>
    <w:p w14:paraId="05515434">
      <w:pPr>
        <w:pStyle w:val="17"/>
        <w:pageBreakBefore w:val="0"/>
        <w:wordWrap/>
        <w:topLinePunct w:val="0"/>
        <w:bidi w:val="0"/>
        <w:spacing w:line="360" w:lineRule="auto"/>
        <w:rPr>
          <w:rFonts w:hint="eastAsia" w:ascii="仿宋" w:hAnsi="仿宋" w:eastAsia="仿宋" w:cs="仿宋"/>
          <w:lang w:eastAsia="zh-CN"/>
        </w:rPr>
      </w:pPr>
      <w:r>
        <w:rPr>
          <w:rFonts w:hint="eastAsia" w:ascii="仿宋" w:hAnsi="仿宋" w:eastAsia="仿宋" w:cs="仿宋"/>
          <w:sz w:val="28"/>
          <w:szCs w:val="28"/>
          <w:lang w:eastAsia="zh-CN"/>
        </w:rPr>
        <w:t>6.6</w:t>
      </w:r>
      <w:r>
        <w:rPr>
          <w:rFonts w:hint="eastAsia" w:ascii="仿宋" w:hAnsi="仿宋" w:eastAsia="仿宋" w:cs="仿宋"/>
          <w:sz w:val="28"/>
          <w:szCs w:val="28"/>
          <w:lang w:val="en-US" w:eastAsia="zh-CN"/>
        </w:rPr>
        <w:t>是否允许联合体投标见投标人须知前附表。</w:t>
      </w:r>
    </w:p>
    <w:p w14:paraId="62E660C5">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7.保密</w:t>
      </w:r>
    </w:p>
    <w:p w14:paraId="3654031E">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参与招标投标活动的各方应对招标文件和投标文件中的商业和技术等秘密保密，违者应对由此造成的后果承担法律责任。</w:t>
      </w:r>
    </w:p>
    <w:p w14:paraId="6E3B5520">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8.市场主体信息库</w:t>
      </w:r>
    </w:p>
    <w:p w14:paraId="79978394">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（1）投标人应及时对入库信息进行补充、更新，若投标人提供虚假信息或未及时对入库信息进行补充、更新，由投标人承担全部责任。</w:t>
      </w:r>
    </w:p>
    <w:p w14:paraId="3B5598EA">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（2）投标人可将本项目评审涉及到的资质、业绩、人员、获奖、证书、纳税、社保等信息补充到其市场主体信息库中。</w:t>
      </w:r>
    </w:p>
    <w:p w14:paraId="38787FC5">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zh-TW"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val="zh-TW" w:eastAsia="zh-CN"/>
        </w:rPr>
        <w:t>）投标人应当按照招标文件的要求编制投标文件，并予以提交。投标人的入库信息不作为评审的依据。</w:t>
      </w:r>
    </w:p>
    <w:p w14:paraId="523367B3">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9.采购信息的发布</w:t>
      </w:r>
    </w:p>
    <w:p w14:paraId="3609E32E">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与本次采购活动相关的信息，将在《河南省政府采购网》《河南省公共资源交易中心网》上及时发布。</w:t>
      </w:r>
    </w:p>
    <w:p w14:paraId="0B9B5E89">
      <w:pPr>
        <w:pageBreakBefore w:val="0"/>
        <w:wordWrap/>
        <w:topLinePunct w:val="0"/>
        <w:bidi w:val="0"/>
        <w:spacing w:line="360" w:lineRule="auto"/>
        <w:rPr>
          <w:rFonts w:hint="eastAsia" w:ascii="仿宋" w:hAnsi="仿宋" w:eastAsia="仿宋" w:cs="仿宋"/>
          <w:sz w:val="28"/>
          <w:szCs w:val="28"/>
          <w:lang w:eastAsia="zh-CN"/>
        </w:rPr>
      </w:pPr>
    </w:p>
    <w:p w14:paraId="0521E7F8">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bookmarkStart w:id="165" w:name="_Toc601554517"/>
      <w:bookmarkStart w:id="166" w:name="_Toc923512225_WPSOffice_Level2"/>
      <w:bookmarkStart w:id="167" w:name="_Toc28660129"/>
      <w:bookmarkStart w:id="168" w:name="_Toc503947722_WPSOffice_Level2"/>
      <w:bookmarkStart w:id="169" w:name="_Toc2021756318"/>
      <w:bookmarkStart w:id="170" w:name="_Toc1329330261"/>
      <w:bookmarkStart w:id="171" w:name="_Toc1090042493_WPSOffice_Level2"/>
      <w:bookmarkStart w:id="172" w:name="_Toc1045699149"/>
      <w:bookmarkStart w:id="173" w:name="_Toc71799347"/>
      <w:bookmarkStart w:id="174" w:name="_Toc1225442179_WPSOffice_Level2"/>
      <w:bookmarkStart w:id="175" w:name="_Toc1613525329"/>
      <w:bookmarkStart w:id="176" w:name="_Toc773843715"/>
      <w:bookmarkStart w:id="177" w:name="_Toc1135767039"/>
      <w:bookmarkStart w:id="178" w:name="_Toc812246970"/>
      <w:bookmarkStart w:id="179" w:name="_Toc1035752825"/>
      <w:r>
        <w:rPr>
          <w:rFonts w:hint="eastAsia" w:ascii="仿宋" w:hAnsi="仿宋" w:eastAsia="仿宋" w:cs="仿宋"/>
          <w:b/>
          <w:bCs w:val="0"/>
          <w:color w:val="auto"/>
          <w:kern w:val="0"/>
          <w:sz w:val="30"/>
          <w:szCs w:val="30"/>
          <w:lang w:val="en-US" w:eastAsia="zh-CN"/>
        </w:rPr>
        <w:t>二、招标文件</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92C415B">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10.招标文件的组成</w:t>
      </w:r>
    </w:p>
    <w:p w14:paraId="19CF5717">
      <w:pPr>
        <w:pageBreakBefore w:val="0"/>
        <w:widowControl w:val="0"/>
        <w:wordWrap/>
        <w:topLinePunct w:val="0"/>
        <w:bidi w:val="0"/>
        <w:spacing w:line="360" w:lineRule="auto"/>
        <w:ind w:left="1050" w:hanging="1050" w:hangingChars="375"/>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10.1   招标文件共九章，构成如下：</w:t>
      </w:r>
    </w:p>
    <w:p w14:paraId="4D4728CC">
      <w:pPr>
        <w:pageBreakBefore w:val="0"/>
        <w:widowControl w:val="0"/>
        <w:numPr>
          <w:ilvl w:val="0"/>
          <w:numId w:val="1"/>
        </w:numPr>
        <w:wordWrap/>
        <w:topLinePunct w:val="0"/>
        <w:bidi w:val="0"/>
        <w:spacing w:line="360" w:lineRule="auto"/>
        <w:ind w:left="901" w:leftChars="429"/>
        <w:rPr>
          <w:rFonts w:hint="eastAsia" w:ascii="仿宋" w:hAnsi="仿宋" w:eastAsia="仿宋" w:cs="仿宋"/>
          <w:color w:val="auto"/>
          <w:sz w:val="28"/>
          <w:szCs w:val="28"/>
          <w:lang w:val="en-US" w:eastAsia="zh-CN"/>
        </w:rPr>
      </w:pPr>
      <w:bookmarkStart w:id="180" w:name="_Toc2041508748_WPSOffice_Level3"/>
      <w:r>
        <w:rPr>
          <w:rFonts w:hint="eastAsia" w:ascii="仿宋" w:hAnsi="仿宋" w:eastAsia="仿宋" w:cs="仿宋"/>
          <w:color w:val="auto"/>
          <w:sz w:val="28"/>
          <w:szCs w:val="28"/>
          <w:lang w:val="en-US" w:eastAsia="zh-CN"/>
        </w:rPr>
        <w:t xml:space="preserve"> 投标邀请</w:t>
      </w:r>
      <w:bookmarkEnd w:id="180"/>
    </w:p>
    <w:p w14:paraId="595153C5">
      <w:pPr>
        <w:pageBreakBefore w:val="0"/>
        <w:widowControl w:val="0"/>
        <w:wordWrap/>
        <w:topLinePunct w:val="0"/>
        <w:bidi w:val="0"/>
        <w:spacing w:line="360" w:lineRule="auto"/>
        <w:ind w:left="901" w:leftChars="429"/>
        <w:rPr>
          <w:rFonts w:hint="eastAsia" w:ascii="仿宋" w:hAnsi="仿宋" w:eastAsia="仿宋" w:cs="仿宋"/>
          <w:color w:val="auto"/>
          <w:sz w:val="28"/>
          <w:szCs w:val="28"/>
          <w:lang w:val="en-US" w:eastAsia="zh-CN"/>
        </w:rPr>
      </w:pPr>
      <w:bookmarkStart w:id="181" w:name="_Toc481281934_WPSOffice_Level3"/>
      <w:r>
        <w:rPr>
          <w:rFonts w:hint="eastAsia" w:ascii="仿宋" w:hAnsi="仿宋" w:eastAsia="仿宋" w:cs="仿宋"/>
          <w:color w:val="auto"/>
          <w:sz w:val="28"/>
          <w:szCs w:val="28"/>
          <w:lang w:val="en-US" w:eastAsia="zh-CN"/>
        </w:rPr>
        <w:t>第二章  投标人须知前附表</w:t>
      </w:r>
      <w:bookmarkEnd w:id="181"/>
    </w:p>
    <w:p w14:paraId="4263185D">
      <w:pPr>
        <w:pageBreakBefore w:val="0"/>
        <w:widowControl w:val="0"/>
        <w:wordWrap/>
        <w:topLinePunct w:val="0"/>
        <w:bidi w:val="0"/>
        <w:spacing w:line="360" w:lineRule="auto"/>
        <w:ind w:left="901" w:leftChars="429"/>
        <w:rPr>
          <w:rFonts w:hint="eastAsia" w:ascii="仿宋" w:hAnsi="仿宋" w:eastAsia="仿宋" w:cs="仿宋"/>
          <w:color w:val="auto"/>
          <w:sz w:val="28"/>
          <w:szCs w:val="28"/>
          <w:lang w:val="en-US" w:eastAsia="zh-CN"/>
        </w:rPr>
      </w:pPr>
      <w:bookmarkStart w:id="182" w:name="_Toc1216452732_WPSOffice_Level3"/>
      <w:r>
        <w:rPr>
          <w:rFonts w:hint="eastAsia" w:ascii="仿宋" w:hAnsi="仿宋" w:eastAsia="仿宋" w:cs="仿宋"/>
          <w:color w:val="auto"/>
          <w:sz w:val="28"/>
          <w:szCs w:val="28"/>
          <w:lang w:val="en-US" w:eastAsia="zh-CN"/>
        </w:rPr>
        <w:t>第三章  投标人须知</w:t>
      </w:r>
      <w:bookmarkEnd w:id="182"/>
    </w:p>
    <w:p w14:paraId="644AFA6E">
      <w:pPr>
        <w:pageBreakBefore w:val="0"/>
        <w:widowControl w:val="0"/>
        <w:wordWrap/>
        <w:topLinePunct w:val="0"/>
        <w:bidi w:val="0"/>
        <w:spacing w:line="360" w:lineRule="auto"/>
        <w:ind w:left="901" w:leftChars="429"/>
        <w:rPr>
          <w:rFonts w:hint="eastAsia" w:ascii="仿宋" w:hAnsi="仿宋" w:eastAsia="仿宋" w:cs="仿宋"/>
          <w:color w:val="auto"/>
          <w:sz w:val="28"/>
          <w:szCs w:val="28"/>
          <w:lang w:val="en-US" w:eastAsia="zh-CN"/>
        </w:rPr>
      </w:pPr>
      <w:bookmarkStart w:id="183" w:name="_Toc1355532098_WPSOffice_Level3"/>
      <w:r>
        <w:rPr>
          <w:rFonts w:hint="eastAsia" w:ascii="仿宋" w:hAnsi="仿宋" w:eastAsia="仿宋" w:cs="仿宋"/>
          <w:color w:val="auto"/>
          <w:sz w:val="28"/>
          <w:szCs w:val="28"/>
          <w:lang w:val="en-US" w:eastAsia="zh-CN"/>
        </w:rPr>
        <w:t>第四章  资格证明文件格式</w:t>
      </w:r>
      <w:bookmarkEnd w:id="183"/>
    </w:p>
    <w:p w14:paraId="6F874F8D">
      <w:pPr>
        <w:pageBreakBefore w:val="0"/>
        <w:widowControl w:val="0"/>
        <w:wordWrap/>
        <w:topLinePunct w:val="0"/>
        <w:bidi w:val="0"/>
        <w:spacing w:line="360" w:lineRule="auto"/>
        <w:ind w:left="901" w:leftChars="429"/>
        <w:rPr>
          <w:rFonts w:hint="eastAsia" w:ascii="仿宋" w:hAnsi="仿宋" w:eastAsia="仿宋" w:cs="仿宋"/>
          <w:color w:val="auto"/>
          <w:sz w:val="28"/>
          <w:szCs w:val="28"/>
          <w:lang w:val="en-US" w:eastAsia="zh-CN"/>
        </w:rPr>
      </w:pPr>
      <w:bookmarkStart w:id="184" w:name="_Toc1831540022_WPSOffice_Level3"/>
      <w:r>
        <w:rPr>
          <w:rFonts w:hint="eastAsia" w:ascii="仿宋" w:hAnsi="仿宋" w:eastAsia="仿宋" w:cs="仿宋"/>
          <w:color w:val="auto"/>
          <w:sz w:val="28"/>
          <w:szCs w:val="28"/>
          <w:lang w:val="en-US" w:eastAsia="zh-CN"/>
        </w:rPr>
        <w:t>第五章  投标文件格式</w:t>
      </w:r>
      <w:bookmarkEnd w:id="184"/>
    </w:p>
    <w:p w14:paraId="42AB1A2A">
      <w:pPr>
        <w:pageBreakBefore w:val="0"/>
        <w:widowControl w:val="0"/>
        <w:wordWrap/>
        <w:topLinePunct w:val="0"/>
        <w:bidi w:val="0"/>
        <w:spacing w:line="360" w:lineRule="auto"/>
        <w:ind w:left="901" w:leftChars="429"/>
        <w:rPr>
          <w:rFonts w:hint="eastAsia" w:ascii="仿宋" w:hAnsi="仿宋" w:eastAsia="仿宋" w:cs="仿宋"/>
          <w:color w:val="auto"/>
          <w:sz w:val="28"/>
          <w:szCs w:val="28"/>
          <w:lang w:eastAsia="zh-CN"/>
        </w:rPr>
      </w:pPr>
      <w:bookmarkStart w:id="185" w:name="_Toc1218962891_WPSOffice_Level3"/>
      <w:r>
        <w:rPr>
          <w:rFonts w:hint="eastAsia" w:ascii="仿宋" w:hAnsi="仿宋" w:eastAsia="仿宋" w:cs="仿宋"/>
          <w:color w:val="auto"/>
          <w:sz w:val="28"/>
          <w:szCs w:val="28"/>
          <w:lang w:val="en-US" w:eastAsia="zh-CN"/>
        </w:rPr>
        <w:t xml:space="preserve">第六章  </w:t>
      </w:r>
      <w:r>
        <w:rPr>
          <w:rFonts w:hint="eastAsia" w:ascii="仿宋" w:hAnsi="仿宋" w:eastAsia="仿宋" w:cs="仿宋"/>
          <w:color w:val="auto"/>
          <w:sz w:val="28"/>
          <w:szCs w:val="28"/>
          <w:lang w:eastAsia="zh-CN"/>
        </w:rPr>
        <w:t>项目需求及有关要求</w:t>
      </w:r>
      <w:bookmarkEnd w:id="185"/>
    </w:p>
    <w:p w14:paraId="3EE99341">
      <w:pPr>
        <w:pageBreakBefore w:val="0"/>
        <w:widowControl w:val="0"/>
        <w:wordWrap/>
        <w:topLinePunct w:val="0"/>
        <w:bidi w:val="0"/>
        <w:spacing w:line="360" w:lineRule="auto"/>
        <w:ind w:left="901" w:leftChars="429"/>
        <w:rPr>
          <w:rFonts w:hint="eastAsia" w:ascii="仿宋" w:hAnsi="仿宋" w:eastAsia="仿宋" w:cs="仿宋"/>
          <w:color w:val="auto"/>
          <w:sz w:val="28"/>
          <w:szCs w:val="28"/>
          <w:lang w:val="en-US" w:eastAsia="zh-CN"/>
        </w:rPr>
      </w:pPr>
      <w:bookmarkStart w:id="186" w:name="_Toc1886187112_WPSOffice_Level3"/>
      <w:r>
        <w:rPr>
          <w:rFonts w:hint="eastAsia" w:ascii="仿宋" w:hAnsi="仿宋" w:eastAsia="仿宋" w:cs="仿宋"/>
          <w:color w:val="auto"/>
          <w:sz w:val="28"/>
          <w:szCs w:val="28"/>
          <w:lang w:val="en-US" w:eastAsia="zh-CN"/>
        </w:rPr>
        <w:t>第七章  评标方法和标准</w:t>
      </w:r>
      <w:bookmarkEnd w:id="186"/>
    </w:p>
    <w:p w14:paraId="319513EE">
      <w:pPr>
        <w:pageBreakBefore w:val="0"/>
        <w:widowControl w:val="0"/>
        <w:wordWrap/>
        <w:topLinePunct w:val="0"/>
        <w:bidi w:val="0"/>
        <w:spacing w:line="360" w:lineRule="auto"/>
        <w:ind w:left="901" w:leftChars="429"/>
        <w:rPr>
          <w:rFonts w:hint="eastAsia" w:ascii="仿宋" w:hAnsi="仿宋" w:eastAsia="仿宋" w:cs="仿宋"/>
          <w:color w:val="auto"/>
          <w:sz w:val="28"/>
          <w:szCs w:val="28"/>
          <w:lang w:val="en-US" w:eastAsia="zh-CN"/>
        </w:rPr>
      </w:pPr>
      <w:bookmarkStart w:id="187" w:name="_Toc1510798510_WPSOffice_Level3"/>
      <w:r>
        <w:rPr>
          <w:rFonts w:hint="eastAsia" w:ascii="仿宋" w:hAnsi="仿宋" w:eastAsia="仿宋" w:cs="仿宋"/>
          <w:color w:val="auto"/>
          <w:sz w:val="28"/>
          <w:szCs w:val="28"/>
          <w:lang w:val="en-US" w:eastAsia="zh-CN"/>
        </w:rPr>
        <w:t>第八章  政府采购合同</w:t>
      </w:r>
      <w:bookmarkEnd w:id="187"/>
    </w:p>
    <w:p w14:paraId="7FBADB22">
      <w:pPr>
        <w:pageBreakBefore w:val="0"/>
        <w:widowControl w:val="0"/>
        <w:wordWrap/>
        <w:topLinePunct w:val="0"/>
        <w:bidi w:val="0"/>
        <w:spacing w:line="360" w:lineRule="auto"/>
        <w:ind w:left="901" w:leftChars="429"/>
        <w:rPr>
          <w:rFonts w:hint="eastAsia" w:ascii="仿宋" w:hAnsi="仿宋" w:eastAsia="仿宋" w:cs="仿宋"/>
          <w:color w:val="auto"/>
          <w:sz w:val="28"/>
          <w:szCs w:val="28"/>
          <w:lang w:val="en-US" w:eastAsia="zh-CN"/>
        </w:rPr>
      </w:pPr>
      <w:bookmarkStart w:id="188" w:name="_Toc1853082451_WPSOffice_Level3"/>
      <w:r>
        <w:rPr>
          <w:rFonts w:hint="eastAsia" w:ascii="仿宋" w:hAnsi="仿宋" w:eastAsia="仿宋" w:cs="仿宋"/>
          <w:color w:val="auto"/>
          <w:sz w:val="28"/>
          <w:szCs w:val="28"/>
          <w:lang w:val="en-US" w:eastAsia="zh-CN"/>
        </w:rPr>
        <w:t>第九章  附件</w:t>
      </w:r>
      <w:bookmarkEnd w:id="188"/>
    </w:p>
    <w:p w14:paraId="606550E2">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10.2</w:t>
      </w:r>
      <w:r>
        <w:rPr>
          <w:rFonts w:hint="eastAsia" w:ascii="仿宋" w:hAnsi="仿宋" w:eastAsia="仿宋" w:cs="仿宋"/>
          <w:sz w:val="28"/>
          <w:szCs w:val="28"/>
          <w:lang w:val="en-US" w:eastAsia="zh-CN"/>
        </w:rPr>
        <w:t>招标文件中有不一致的，有澄清的部分以最终的澄清更正内容为准；未澄清的，以投标人须知前附表为准；投标须知前表不涉及的内容，以编排在后的描述为准。</w:t>
      </w:r>
    </w:p>
    <w:p w14:paraId="32A178A3">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58CE71B9">
      <w:pPr>
        <w:pageBreakBefore w:val="0"/>
        <w:numPr>
          <w:ilvl w:val="0"/>
          <w:numId w:val="2"/>
        </w:numPr>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b/>
          <w:bCs/>
          <w:sz w:val="28"/>
          <w:szCs w:val="28"/>
        </w:rPr>
        <w:t>招标文件的澄清</w:t>
      </w:r>
      <w:r>
        <w:rPr>
          <w:rFonts w:hint="eastAsia" w:ascii="仿宋" w:hAnsi="仿宋" w:eastAsia="仿宋" w:cs="仿宋"/>
          <w:b/>
          <w:bCs/>
          <w:sz w:val="28"/>
          <w:szCs w:val="28"/>
          <w:lang w:val="en-US" w:eastAsia="zh-CN"/>
        </w:rPr>
        <w:t>与修改</w:t>
      </w:r>
    </w:p>
    <w:p w14:paraId="19CBDA15">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11.1投标人应仔细阅读和检查招标文件的全部内容。如有疑问，应及时向采购人或</w:t>
      </w:r>
      <w:r>
        <w:rPr>
          <w:rFonts w:hint="eastAsia" w:ascii="仿宋" w:hAnsi="仿宋" w:eastAsia="仿宋" w:cs="仿宋"/>
          <w:sz w:val="28"/>
          <w:szCs w:val="28"/>
          <w:lang w:eastAsia="zh-CN"/>
        </w:rPr>
        <w:t>集中采购机构</w:t>
      </w:r>
      <w:r>
        <w:rPr>
          <w:rFonts w:hint="eastAsia" w:ascii="仿宋" w:hAnsi="仿宋" w:eastAsia="仿宋" w:cs="仿宋"/>
          <w:sz w:val="28"/>
          <w:szCs w:val="28"/>
          <w:lang w:val="en-US" w:eastAsia="zh-CN"/>
        </w:rPr>
        <w:t>提出。</w:t>
      </w:r>
    </w:p>
    <w:p w14:paraId="3D835B4A">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11.2采购人或</w:t>
      </w:r>
      <w:r>
        <w:rPr>
          <w:rFonts w:hint="eastAsia" w:ascii="仿宋" w:hAnsi="仿宋" w:eastAsia="仿宋" w:cs="仿宋"/>
          <w:sz w:val="28"/>
          <w:szCs w:val="28"/>
          <w:lang w:eastAsia="zh-CN"/>
        </w:rPr>
        <w:t>集中采购机构</w:t>
      </w:r>
      <w:r>
        <w:rPr>
          <w:rFonts w:hint="eastAsia" w:ascii="仿宋" w:hAnsi="仿宋" w:eastAsia="仿宋" w:cs="仿宋"/>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404A6E21">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11.3招标文件的澄清（更正）或修改在交易平台上公布给所有下载过招标文件的投标人，但不指明澄清问题的来源。</w:t>
      </w:r>
    </w:p>
    <w:p w14:paraId="3F8EB09E">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11.4对已发出的招标文件进行的澄清、更正或修改，澄清、更正或修改的内容将作为招标文件的组成部分。通过“</w:t>
      </w:r>
      <w:r>
        <w:rPr>
          <w:rFonts w:hint="eastAsia" w:ascii="仿宋" w:hAnsi="仿宋" w:eastAsia="仿宋" w:cs="仿宋"/>
        </w:rPr>
        <w:fldChar w:fldCharType="begin"/>
      </w:r>
      <w:r>
        <w:rPr>
          <w:rFonts w:hint="eastAsia" w:ascii="仿宋" w:hAnsi="仿宋" w:eastAsia="仿宋" w:cs="仿宋"/>
        </w:rPr>
        <w:instrText xml:space="preserve"> HYPERLINK "http://www.ccgp-henan.gov.cn)和河南省政府采购网河南省公共资源交易网" </w:instrText>
      </w:r>
      <w:r>
        <w:rPr>
          <w:rFonts w:hint="eastAsia" w:ascii="仿宋" w:hAnsi="仿宋" w:eastAsia="仿宋" w:cs="仿宋"/>
        </w:rPr>
        <w:fldChar w:fldCharType="separate"/>
      </w:r>
      <w:r>
        <w:rPr>
          <w:rFonts w:hint="eastAsia" w:ascii="仿宋" w:hAnsi="仿宋" w:eastAsia="仿宋" w:cs="仿宋"/>
          <w:sz w:val="28"/>
          <w:szCs w:val="28"/>
          <w:lang w:val="en-US" w:eastAsia="zh-CN"/>
        </w:rPr>
        <w:t>河南省政府采购网”（https://zfcg.henan.gov.cn/henan）“河南省公共资源交易网</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”（http://hnsggzyjy.henan.gov.cn/）网站“变更（澄清或更正）公告”和系统内部“答疑文件”告知投标人，各投标人重新下载最新的答疑、变更（澄清或更正）文件，以此编制投标文件。</w:t>
      </w:r>
    </w:p>
    <w:p w14:paraId="5B89A5C4">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11.5</w:t>
      </w:r>
      <w:bookmarkStart w:id="189" w:name="_Hlk86850585"/>
      <w:r>
        <w:rPr>
          <w:rFonts w:hint="eastAsia" w:ascii="仿宋" w:hAnsi="仿宋" w:eastAsia="仿宋" w:cs="仿宋"/>
          <w:sz w:val="28"/>
          <w:szCs w:val="28"/>
          <w:lang w:val="en-US" w:eastAsia="zh-CN"/>
        </w:rPr>
        <w:t>《河南省公共资源交易中心》</w:t>
      </w:r>
      <w:bookmarkEnd w:id="189"/>
      <w:r>
        <w:rPr>
          <w:rFonts w:hint="eastAsia" w:ascii="仿宋" w:hAnsi="仿宋" w:eastAsia="仿宋" w:cs="仿宋"/>
          <w:sz w:val="28"/>
          <w:szCs w:val="28"/>
          <w:lang w:val="en-US" w:eastAsia="zh-CN"/>
        </w:rPr>
        <w:t>交易平台投标人信息在投标截止时间前具有保密性，投标人在投标截止时间前应当自行查看项目进展、答疑、变更（澄清或更正）通知、澄清及回复</w:t>
      </w:r>
      <w:bookmarkStart w:id="190" w:name="_Hlk86850663"/>
      <w:r>
        <w:rPr>
          <w:rFonts w:hint="eastAsia" w:ascii="仿宋" w:hAnsi="仿宋" w:eastAsia="仿宋" w:cs="仿宋"/>
          <w:sz w:val="28"/>
          <w:szCs w:val="28"/>
          <w:lang w:val="en-US" w:eastAsia="zh-CN"/>
        </w:rPr>
        <w:t>。</w:t>
      </w:r>
    </w:p>
    <w:bookmarkEnd w:id="190"/>
    <w:p w14:paraId="505440EB">
      <w:pPr>
        <w:pageBreakBefore w:val="0"/>
        <w:wordWrap/>
        <w:topLinePunct w:val="0"/>
        <w:bidi w:val="0"/>
        <w:spacing w:line="360" w:lineRule="auto"/>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12.</w:t>
      </w:r>
      <w:r>
        <w:rPr>
          <w:rFonts w:hint="eastAsia" w:ascii="仿宋" w:hAnsi="仿宋" w:eastAsia="仿宋" w:cs="仿宋"/>
          <w:b/>
          <w:bCs/>
          <w:sz w:val="28"/>
          <w:szCs w:val="28"/>
          <w:lang w:val="en-US" w:eastAsia="zh-CN"/>
        </w:rPr>
        <w:t xml:space="preserve"> 投标截止时间的顺延</w:t>
      </w:r>
    </w:p>
    <w:p w14:paraId="34743D89">
      <w:pPr>
        <w:pageBreakBefore w:val="0"/>
        <w:wordWrap/>
        <w:topLinePunct w:val="0"/>
        <w:bidi w:val="0"/>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为使投标人有足够的时间对招标文件的澄清或者修改部分进行研究而准备投标或因其他原因，采购人将依法决定是否顺延投标截止时间。</w:t>
      </w:r>
    </w:p>
    <w:p w14:paraId="4E5D9716">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bookmarkStart w:id="191" w:name="_Toc1809617340"/>
      <w:bookmarkStart w:id="192" w:name="_Toc1060332415"/>
      <w:bookmarkStart w:id="193" w:name="_Toc113296060"/>
      <w:bookmarkStart w:id="194" w:name="_Toc1878515555"/>
      <w:bookmarkStart w:id="195" w:name="_Toc1106273699"/>
      <w:bookmarkStart w:id="196" w:name="_Toc1317763722"/>
      <w:bookmarkStart w:id="197" w:name="_Toc587380469_WPSOffice_Level2"/>
      <w:bookmarkStart w:id="198" w:name="_Toc868408535"/>
      <w:bookmarkStart w:id="199" w:name="_Toc760401867"/>
      <w:bookmarkStart w:id="200" w:name="_Toc1289807408"/>
      <w:bookmarkStart w:id="201" w:name="_Toc1758648705"/>
      <w:bookmarkStart w:id="202" w:name="_Toc1133061307_WPSOffice_Level2"/>
      <w:bookmarkStart w:id="203" w:name="_Toc395976497"/>
      <w:bookmarkStart w:id="204" w:name="_Toc1078664286_WPSOffice_Level2"/>
      <w:bookmarkStart w:id="205" w:name="_Toc933740821_WPSOffice_Level2"/>
      <w:r>
        <w:rPr>
          <w:rFonts w:hint="eastAsia" w:ascii="仿宋" w:hAnsi="仿宋" w:eastAsia="仿宋" w:cs="仿宋"/>
          <w:b/>
          <w:bCs w:val="0"/>
          <w:color w:val="auto"/>
          <w:kern w:val="0"/>
          <w:sz w:val="30"/>
          <w:szCs w:val="30"/>
          <w:lang w:val="en-US" w:eastAsia="zh-CN"/>
        </w:rPr>
        <w:t>三、投标文件的编制</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1731FAF1">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13.投标语言</w:t>
      </w:r>
    </w:p>
    <w:p w14:paraId="4F425FBA">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投标文件以及投标人所有与采购人及集中采购机构就投标来往的函电均使用中文。投标人提供的外文资料应附有相应的中文译本，并以中文译本为准。</w:t>
      </w:r>
    </w:p>
    <w:p w14:paraId="7547946C">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14.</w:t>
      </w:r>
      <w:r>
        <w:rPr>
          <w:rFonts w:hint="eastAsia" w:ascii="仿宋" w:hAnsi="仿宋" w:eastAsia="仿宋" w:cs="仿宋"/>
          <w:b/>
          <w:bCs/>
          <w:sz w:val="28"/>
          <w:szCs w:val="28"/>
          <w:lang w:eastAsia="zh-CN"/>
        </w:rPr>
        <w:t>投标文件计量单位</w:t>
      </w:r>
    </w:p>
    <w:p w14:paraId="47E88458">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除招标文件中有特殊要求外，投标文件中所使用的计量单位，应采用中华人民共和国法定计量单位。</w:t>
      </w:r>
    </w:p>
    <w:p w14:paraId="7E30B69D">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15.</w:t>
      </w:r>
      <w:r>
        <w:rPr>
          <w:rFonts w:hint="eastAsia" w:ascii="仿宋" w:hAnsi="仿宋" w:eastAsia="仿宋" w:cs="仿宋"/>
          <w:b/>
          <w:bCs/>
          <w:sz w:val="28"/>
          <w:szCs w:val="28"/>
          <w:lang w:eastAsia="zh-CN"/>
        </w:rPr>
        <w:t>投标文件的组成</w:t>
      </w:r>
    </w:p>
    <w:p w14:paraId="7BC108F0">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20BF1896">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16.</w:t>
      </w:r>
      <w:r>
        <w:rPr>
          <w:rFonts w:hint="eastAsia" w:ascii="仿宋" w:hAnsi="仿宋" w:eastAsia="仿宋" w:cs="仿宋"/>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eastAsia" w:ascii="仿宋" w:hAnsi="仿宋" w:eastAsia="仿宋" w:cs="仿宋"/>
          <w:sz w:val="28"/>
          <w:szCs w:val="28"/>
          <w:lang w:val="en-US" w:eastAsia="zh-CN"/>
        </w:rPr>
        <w:t>投标人可对招标文件中一个或几个分包进行投标，除投标人须知前附表中另有规定。</w:t>
      </w:r>
    </w:p>
    <w:p w14:paraId="47BAB70B">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17.投标文件编制</w:t>
      </w:r>
    </w:p>
    <w:p w14:paraId="07C2E7E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17.1投标文件应按招标文件要求的内容编制投标文件，应当对招标文件提出的实质性要求和条件做出响应。</w:t>
      </w:r>
    </w:p>
    <w:p w14:paraId="04E238E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17.2投标人在编制投标文件时，涉及到投标人须知前附表中要求的资格审查证明文件，须上传到“资格审查材料”中。</w:t>
      </w:r>
    </w:p>
    <w:p w14:paraId="3CF6A5A4">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18.</w:t>
      </w:r>
      <w:r>
        <w:rPr>
          <w:rFonts w:hint="eastAsia" w:ascii="仿宋" w:hAnsi="仿宋" w:eastAsia="仿宋" w:cs="仿宋"/>
          <w:b/>
          <w:bCs/>
          <w:sz w:val="28"/>
          <w:szCs w:val="28"/>
          <w:lang w:eastAsia="zh-CN"/>
        </w:rPr>
        <w:t>投标报价</w:t>
      </w:r>
    </w:p>
    <w:p w14:paraId="29B09CA6">
      <w:pPr>
        <w:pStyle w:val="70"/>
        <w:pageBreakBefore w:val="0"/>
        <w:wordWrap/>
        <w:topLinePunct w:val="0"/>
        <w:bidi w:val="0"/>
        <w:spacing w:line="360" w:lineRule="auto"/>
        <w:rPr>
          <w:rFonts w:hint="eastAsia" w:ascii="仿宋" w:hAnsi="仿宋" w:eastAsia="仿宋" w:cs="仿宋"/>
          <w:kern w:val="2"/>
          <w:sz w:val="28"/>
          <w:szCs w:val="28"/>
          <w:lang w:val="zh-TW"/>
        </w:rPr>
      </w:pPr>
      <w:r>
        <w:rPr>
          <w:rFonts w:hint="eastAsia" w:ascii="仿宋" w:hAnsi="仿宋" w:eastAsia="仿宋" w:cs="仿宋"/>
          <w:kern w:val="2"/>
          <w:sz w:val="28"/>
          <w:szCs w:val="28"/>
          <w:lang w:val="zh-TW"/>
        </w:rPr>
        <w:t>投标人报价超过招标文件规定的预算金额或者分项、分包最高限价的，其投标将被认定为投标无效。</w:t>
      </w:r>
    </w:p>
    <w:p w14:paraId="7270BEEC">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19.</w:t>
      </w:r>
      <w:r>
        <w:rPr>
          <w:rFonts w:hint="eastAsia" w:ascii="仿宋" w:hAnsi="仿宋" w:eastAsia="仿宋" w:cs="仿宋"/>
          <w:b/>
          <w:bCs/>
          <w:sz w:val="28"/>
          <w:szCs w:val="28"/>
          <w:lang w:eastAsia="zh-CN"/>
        </w:rPr>
        <w:t>投标货币</w:t>
      </w:r>
    </w:p>
    <w:p w14:paraId="646F019E">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除非“投标人须知前附表”另有规定，投标人提供的所有服务用人民币报价。</w:t>
      </w:r>
    </w:p>
    <w:p w14:paraId="4C5DF830">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20.</w:t>
      </w:r>
      <w:r>
        <w:rPr>
          <w:rFonts w:hint="eastAsia" w:ascii="仿宋" w:hAnsi="仿宋" w:eastAsia="仿宋" w:cs="仿宋"/>
          <w:b/>
          <w:bCs/>
          <w:sz w:val="28"/>
          <w:szCs w:val="28"/>
          <w:lang w:eastAsia="zh-CN"/>
        </w:rPr>
        <w:t>投标人资格证明文件</w:t>
      </w:r>
    </w:p>
    <w:p w14:paraId="0F301A5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依据“投标人须知前附表”中的要求按“第四章”的规定提交相应的资格证明文件，作为投标文件的一部分，以证明其有资格进行投标和有能力履行合同。</w:t>
      </w:r>
    </w:p>
    <w:p w14:paraId="797401E8">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21</w:t>
      </w:r>
      <w:r>
        <w:rPr>
          <w:rFonts w:hint="eastAsia" w:ascii="仿宋" w:hAnsi="仿宋" w:eastAsia="仿宋" w:cs="仿宋"/>
          <w:b/>
          <w:bCs/>
          <w:sz w:val="28"/>
          <w:szCs w:val="28"/>
          <w:lang w:val="en-US" w:eastAsia="zh-CN"/>
        </w:rPr>
        <w:t>.</w:t>
      </w:r>
      <w:r>
        <w:rPr>
          <w:rFonts w:hint="eastAsia" w:ascii="仿宋" w:hAnsi="仿宋" w:eastAsia="仿宋" w:cs="仿宋"/>
          <w:b/>
          <w:bCs/>
          <w:sz w:val="28"/>
          <w:szCs w:val="28"/>
          <w:lang w:eastAsia="zh-CN"/>
        </w:rPr>
        <w:t>投标人</w:t>
      </w:r>
      <w:r>
        <w:rPr>
          <w:rFonts w:hint="eastAsia" w:ascii="仿宋" w:hAnsi="仿宋" w:eastAsia="仿宋" w:cs="仿宋"/>
          <w:b/>
          <w:bCs/>
          <w:sz w:val="28"/>
          <w:szCs w:val="28"/>
          <w:lang w:val="en-US" w:eastAsia="zh-CN"/>
        </w:rPr>
        <w:t>商务、</w:t>
      </w:r>
      <w:r>
        <w:rPr>
          <w:rFonts w:hint="eastAsia" w:ascii="仿宋" w:hAnsi="仿宋" w:eastAsia="仿宋" w:cs="仿宋"/>
          <w:b/>
          <w:bCs/>
          <w:sz w:val="28"/>
          <w:szCs w:val="28"/>
          <w:lang w:eastAsia="zh-CN"/>
        </w:rPr>
        <w:t>技术证明文件</w:t>
      </w:r>
    </w:p>
    <w:p w14:paraId="7EDB2DC8">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21.1</w:t>
      </w:r>
      <w:r>
        <w:rPr>
          <w:rFonts w:hint="eastAsia" w:ascii="仿宋" w:hAnsi="仿宋" w:eastAsia="仿宋" w:cs="仿宋"/>
          <w:sz w:val="28"/>
          <w:szCs w:val="28"/>
          <w:lang w:val="en-US" w:eastAsia="zh-CN"/>
        </w:rPr>
        <w:t>投标人应按招标文件要求提交证明文件，证明其投标标的符合招标文件规定。</w:t>
      </w:r>
    </w:p>
    <w:p w14:paraId="576AD71D">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21.2上款所述的证明文件，可以是文字资料、图纸和数据。</w:t>
      </w:r>
    </w:p>
    <w:p w14:paraId="5FBC475D">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22</w:t>
      </w:r>
      <w:r>
        <w:rPr>
          <w:rFonts w:hint="eastAsia" w:ascii="仿宋" w:hAnsi="仿宋" w:eastAsia="仿宋" w:cs="仿宋"/>
          <w:b/>
          <w:bCs/>
          <w:sz w:val="28"/>
          <w:szCs w:val="28"/>
          <w:lang w:val="en-US" w:eastAsia="zh-CN"/>
        </w:rPr>
        <w:t>.</w:t>
      </w:r>
      <w:r>
        <w:rPr>
          <w:rFonts w:hint="eastAsia" w:ascii="仿宋" w:hAnsi="仿宋" w:eastAsia="仿宋" w:cs="仿宋"/>
          <w:b/>
          <w:bCs/>
          <w:sz w:val="28"/>
          <w:szCs w:val="28"/>
          <w:lang w:eastAsia="zh-CN"/>
        </w:rPr>
        <w:t>投标函</w:t>
      </w:r>
    </w:p>
    <w:p w14:paraId="7EC5F50E">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22.1投标人应按招标文件规定的格式和内容提交投标函。</w:t>
      </w:r>
    </w:p>
    <w:p w14:paraId="65B2948D">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22.2下列任何情况发生时，按国家有关法律法规进行处理并按投标函的约定向采购人支付违约赔偿金：</w:t>
      </w:r>
    </w:p>
    <w:p w14:paraId="17FE21D9">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）投标人在招标文件规定的投标有效期内实质上修改或撤回其投标；</w:t>
      </w:r>
    </w:p>
    <w:p w14:paraId="1EFF532E">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）在投标文件中有意提供虚假材料；</w:t>
      </w:r>
    </w:p>
    <w:p w14:paraId="573B3DAF">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）中标人拒绝在中标通知书规定的时间内签订合同。</w:t>
      </w:r>
    </w:p>
    <w:p w14:paraId="0D6D7E55">
      <w:pPr>
        <w:keepNext/>
        <w:keepLines/>
        <w:pageBreakBefore w:val="0"/>
        <w:widowControl w:val="0"/>
        <w:wordWrap/>
        <w:topLinePunct w:val="0"/>
        <w:autoSpaceDE w:val="0"/>
        <w:autoSpaceDN w:val="0"/>
        <w:bidi w:val="0"/>
        <w:adjustRightInd w:val="0"/>
        <w:spacing w:line="360" w:lineRule="auto"/>
        <w:jc w:val="left"/>
        <w:rPr>
          <w:rFonts w:hint="eastAsia" w:ascii="仿宋" w:hAnsi="仿宋" w:eastAsia="仿宋" w:cs="仿宋"/>
          <w:b/>
          <w:color w:val="auto"/>
          <w:kern w:val="0"/>
          <w:sz w:val="28"/>
          <w:szCs w:val="28"/>
          <w:lang w:val="en-US" w:eastAsia="zh-CN"/>
        </w:rPr>
      </w:pPr>
      <w:r>
        <w:rPr>
          <w:rFonts w:hint="eastAsia" w:ascii="仿宋" w:hAnsi="仿宋" w:eastAsia="仿宋" w:cs="仿宋"/>
          <w:b/>
          <w:bCs/>
          <w:sz w:val="28"/>
          <w:szCs w:val="28"/>
          <w:lang w:eastAsia="zh-CN"/>
        </w:rPr>
        <w:t>23</w:t>
      </w:r>
      <w:r>
        <w:rPr>
          <w:rFonts w:hint="eastAsia" w:ascii="仿宋" w:hAnsi="仿宋" w:eastAsia="仿宋" w:cs="仿宋"/>
          <w:b/>
          <w:bCs/>
          <w:sz w:val="28"/>
          <w:szCs w:val="28"/>
          <w:lang w:val="en-US" w:eastAsia="zh-CN"/>
        </w:rPr>
        <w:t>.</w:t>
      </w:r>
      <w:r>
        <w:rPr>
          <w:rFonts w:hint="eastAsia" w:ascii="仿宋" w:hAnsi="仿宋" w:eastAsia="仿宋" w:cs="仿宋"/>
          <w:b/>
          <w:color w:val="auto"/>
          <w:kern w:val="0"/>
          <w:sz w:val="28"/>
          <w:szCs w:val="28"/>
          <w:lang w:val="en-US" w:eastAsia="zh-CN"/>
        </w:rPr>
        <w:t>投标保证金</w:t>
      </w:r>
    </w:p>
    <w:p w14:paraId="36E316F9">
      <w:pPr>
        <w:pageBreakBefore w:val="0"/>
        <w:wordWrap/>
        <w:topLinePunct w:val="0"/>
        <w:bidi w:val="0"/>
        <w:spacing w:line="360" w:lineRule="auto"/>
        <w:rPr>
          <w:rFonts w:hint="eastAsia" w:ascii="仿宋" w:hAnsi="仿宋" w:eastAsia="仿宋" w:cs="仿宋"/>
          <w:b/>
          <w:bCs/>
          <w:sz w:val="28"/>
          <w:szCs w:val="28"/>
          <w:lang w:val="en-US" w:eastAsia="zh-CN"/>
        </w:rPr>
      </w:pPr>
      <w:bookmarkStart w:id="206" w:name="_Toc975469575_WPSOffice_Level3"/>
      <w:r>
        <w:rPr>
          <w:rFonts w:hint="eastAsia" w:ascii="仿宋" w:hAnsi="仿宋" w:eastAsia="仿宋" w:cs="仿宋"/>
          <w:bCs/>
          <w:color w:val="auto"/>
          <w:sz w:val="28"/>
          <w:szCs w:val="28"/>
          <w:lang w:val="en-US" w:eastAsia="zh-CN"/>
        </w:rPr>
        <w:t>本项目投标人无需提交投标保证金。</w:t>
      </w:r>
      <w:bookmarkEnd w:id="206"/>
    </w:p>
    <w:p w14:paraId="5301B492">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24.</w:t>
      </w:r>
      <w:r>
        <w:rPr>
          <w:rFonts w:hint="eastAsia" w:ascii="仿宋" w:hAnsi="仿宋" w:eastAsia="仿宋" w:cs="仿宋"/>
          <w:b/>
          <w:bCs/>
          <w:sz w:val="28"/>
          <w:szCs w:val="28"/>
          <w:lang w:eastAsia="zh-CN"/>
        </w:rPr>
        <w:t>投标有效期</w:t>
      </w:r>
    </w:p>
    <w:p w14:paraId="680F345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.1投标文件应自招标文件规定的投标截止日起，在“投标人须知前附表”规定的时间内保持有效。投标有效期不足的将被视为非响应性投标而予以拒绝。</w:t>
      </w:r>
    </w:p>
    <w:p w14:paraId="05631224">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.2在特殊情况下，采购人可征求投标人同意延长投标文件的有效期。这种要求与答复均应以书面形式提交。投标人可以拒绝这种要求，原有效期到期后</w:t>
      </w:r>
      <w:r>
        <w:rPr>
          <w:rFonts w:hint="eastAsia" w:ascii="仿宋" w:hAnsi="仿宋" w:eastAsia="仿宋" w:cs="仿宋"/>
          <w:sz w:val="28"/>
          <w:szCs w:val="28"/>
          <w:lang w:val="zh-CN" w:eastAsia="zh-CN"/>
        </w:rPr>
        <w:t>其投标文件失效</w:t>
      </w:r>
      <w:r>
        <w:rPr>
          <w:rFonts w:hint="eastAsia" w:ascii="仿宋" w:hAnsi="仿宋" w:eastAsia="仿宋" w:cs="仿宋"/>
          <w:sz w:val="28"/>
          <w:szCs w:val="28"/>
          <w:lang w:eastAsia="zh-CN"/>
        </w:rPr>
        <w:t>。同意延期的投标人将不会被要求也不允许修改其投标文件，</w:t>
      </w:r>
      <w:r>
        <w:rPr>
          <w:rFonts w:hint="eastAsia" w:ascii="仿宋" w:hAnsi="仿宋" w:eastAsia="仿宋" w:cs="仿宋"/>
          <w:sz w:val="28"/>
          <w:szCs w:val="28"/>
          <w:lang w:val="zh-CN" w:eastAsia="zh-CN"/>
        </w:rPr>
        <w:t>其投标文件</w:t>
      </w:r>
      <w:r>
        <w:rPr>
          <w:rFonts w:hint="eastAsia" w:ascii="仿宋" w:hAnsi="仿宋" w:eastAsia="仿宋" w:cs="仿宋"/>
          <w:sz w:val="28"/>
          <w:szCs w:val="28"/>
          <w:lang w:eastAsia="zh-CN"/>
        </w:rPr>
        <w:t>相应延长到新的有效期。</w:t>
      </w:r>
    </w:p>
    <w:p w14:paraId="694A5B3E">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25.</w:t>
      </w:r>
      <w:r>
        <w:rPr>
          <w:rFonts w:hint="eastAsia" w:ascii="仿宋" w:hAnsi="仿宋" w:eastAsia="仿宋" w:cs="仿宋"/>
          <w:b/>
          <w:bCs/>
          <w:sz w:val="28"/>
          <w:szCs w:val="28"/>
          <w:lang w:eastAsia="zh-CN"/>
        </w:rPr>
        <w:t>投标文件形式和签署</w:t>
      </w:r>
    </w:p>
    <w:p w14:paraId="4ED6AAA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.1投标人须在投标截止时间前制作并提交加密的电子投标文件。</w:t>
      </w:r>
    </w:p>
    <w:p w14:paraId="11F7A9A3">
      <w:pPr>
        <w:pageBreakBefore w:val="0"/>
        <w:wordWrap/>
        <w:topLinePunct w:val="0"/>
        <w:bidi w:val="0"/>
        <w:spacing w:line="360" w:lineRule="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rPr>
        <w:t>5</w:t>
      </w:r>
      <w:r>
        <w:rPr>
          <w:rFonts w:hint="eastAsia" w:ascii="仿宋" w:hAnsi="仿宋" w:eastAsia="仿宋" w:cs="仿宋"/>
          <w:sz w:val="28"/>
          <w:szCs w:val="28"/>
        </w:rPr>
        <w:t>.</w:t>
      </w:r>
      <w:r>
        <w:rPr>
          <w:rFonts w:hint="eastAsia" w:ascii="仿宋" w:hAnsi="仿宋" w:eastAsia="仿宋" w:cs="仿宋"/>
          <w:sz w:val="28"/>
          <w:szCs w:val="28"/>
          <w:lang w:val="en-US"/>
        </w:rPr>
        <w:t>2</w:t>
      </w:r>
      <w:r>
        <w:rPr>
          <w:rFonts w:hint="eastAsia" w:ascii="仿宋" w:hAnsi="仿宋" w:eastAsia="仿宋" w:cs="仿宋"/>
          <w:sz w:val="28"/>
          <w:szCs w:val="28"/>
        </w:rPr>
        <w:t>投标人可登录“河南省公共资源交易中心（</w:t>
      </w:r>
      <w:r>
        <w:rPr>
          <w:rFonts w:hint="eastAsia" w:ascii="仿宋" w:hAnsi="仿宋" w:eastAsia="仿宋" w:cs="仿宋"/>
          <w:sz w:val="28"/>
          <w:szCs w:val="28"/>
          <w:lang w:eastAsia="zh-CN"/>
        </w:rPr>
        <w:t>hnsggzyjy.henan.gov.cn</w:t>
      </w:r>
      <w:r>
        <w:rPr>
          <w:rFonts w:hint="eastAsia" w:ascii="仿宋" w:hAnsi="仿宋" w:eastAsia="仿宋" w:cs="仿宋"/>
          <w:sz w:val="28"/>
          <w:szCs w:val="28"/>
        </w:rPr>
        <w:t>）”网站查看公共服务—办事指南—</w:t>
      </w:r>
      <w:r>
        <w:rPr>
          <w:rFonts w:hint="eastAsia" w:ascii="仿宋" w:hAnsi="仿宋" w:eastAsia="仿宋" w:cs="仿宋"/>
          <w:sz w:val="28"/>
          <w:szCs w:val="28"/>
          <w:lang w:val="en-US"/>
        </w:rPr>
        <w:t>新交易平台使用手册（培训资料）</w:t>
      </w:r>
      <w:r>
        <w:rPr>
          <w:rFonts w:hint="eastAsia" w:ascii="仿宋" w:hAnsi="仿宋" w:eastAsia="仿宋" w:cs="仿宋"/>
          <w:sz w:val="28"/>
          <w:szCs w:val="28"/>
        </w:rPr>
        <w:t>。</w:t>
      </w:r>
    </w:p>
    <w:p w14:paraId="07264DFE">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val="zh-CN" w:eastAsia="zh-CN"/>
        </w:rPr>
        <w:t>投标人在制作电子投标文件时，按格式内容要求进行电子签章（包括企业电子签章、个人电子签章）</w:t>
      </w:r>
      <w:r>
        <w:rPr>
          <w:rFonts w:hint="eastAsia" w:ascii="仿宋" w:hAnsi="仿宋" w:eastAsia="仿宋" w:cs="仿宋"/>
          <w:sz w:val="28"/>
          <w:szCs w:val="28"/>
          <w:lang w:eastAsia="zh-CN"/>
        </w:rPr>
        <w:t>。</w:t>
      </w:r>
    </w:p>
    <w:p w14:paraId="30B2C10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投标人在制作电子投标文件时，开标一览表按照格式编辑，并作为电子开标系统上传的依据。</w:t>
      </w:r>
    </w:p>
    <w:p w14:paraId="1A63B0C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投标文件以外的任何资料采购人和集中采购机构将拒收。</w:t>
      </w:r>
    </w:p>
    <w:p w14:paraId="3A827962">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其他形式的投标文件一律不接受。</w:t>
      </w:r>
    </w:p>
    <w:p w14:paraId="14AA4BC9">
      <w:pPr>
        <w:pageBreakBefore w:val="0"/>
        <w:wordWrap/>
        <w:topLinePunct w:val="0"/>
        <w:bidi w:val="0"/>
        <w:spacing w:line="360" w:lineRule="auto"/>
        <w:rPr>
          <w:rFonts w:hint="eastAsia" w:ascii="仿宋" w:hAnsi="仿宋" w:eastAsia="仿宋" w:cs="仿宋"/>
          <w:sz w:val="28"/>
          <w:szCs w:val="28"/>
          <w:lang w:eastAsia="zh-CN"/>
        </w:rPr>
      </w:pPr>
    </w:p>
    <w:p w14:paraId="17156956">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bookmarkStart w:id="207" w:name="_Toc814900001_WPSOffice_Level2"/>
      <w:bookmarkStart w:id="208" w:name="_Toc99171812"/>
      <w:bookmarkStart w:id="209" w:name="_Toc1940674049"/>
      <w:bookmarkStart w:id="210" w:name="_Toc269831806"/>
      <w:bookmarkStart w:id="211" w:name="_Toc123955915"/>
      <w:bookmarkStart w:id="212" w:name="_Toc1517317572"/>
      <w:bookmarkStart w:id="213" w:name="_Toc1446727086"/>
      <w:bookmarkStart w:id="214" w:name="_Toc880470383"/>
      <w:bookmarkStart w:id="215" w:name="_Toc99139981"/>
      <w:bookmarkStart w:id="216" w:name="_Toc1958475392"/>
      <w:bookmarkStart w:id="217" w:name="_Toc689398289_WPSOffice_Level2"/>
      <w:bookmarkStart w:id="218" w:name="_Toc1658848054"/>
      <w:bookmarkStart w:id="219" w:name="_Toc340063481"/>
      <w:bookmarkStart w:id="220" w:name="_Toc1354261087_WPSOffice_Level2"/>
      <w:bookmarkStart w:id="221" w:name="_Toc1602167768_WPSOffice_Level2"/>
      <w:r>
        <w:rPr>
          <w:rFonts w:hint="eastAsia" w:ascii="仿宋" w:hAnsi="仿宋" w:eastAsia="仿宋" w:cs="仿宋"/>
          <w:b/>
          <w:bCs w:val="0"/>
          <w:color w:val="auto"/>
          <w:kern w:val="0"/>
          <w:sz w:val="30"/>
          <w:szCs w:val="30"/>
          <w:lang w:val="en-US" w:eastAsia="zh-CN"/>
        </w:rPr>
        <w:t>四、投标文件的上传</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1F938D70">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2</w:t>
      </w:r>
      <w:r>
        <w:rPr>
          <w:rFonts w:hint="eastAsia" w:ascii="仿宋" w:hAnsi="仿宋" w:eastAsia="仿宋" w:cs="仿宋"/>
          <w:b/>
          <w:bCs/>
          <w:sz w:val="28"/>
          <w:szCs w:val="28"/>
          <w:lang w:val="en-US" w:eastAsia="zh-CN"/>
        </w:rPr>
        <w:t>6</w:t>
      </w:r>
      <w:r>
        <w:rPr>
          <w:rFonts w:hint="eastAsia" w:ascii="仿宋" w:hAnsi="仿宋" w:eastAsia="仿宋" w:cs="仿宋"/>
          <w:b/>
          <w:bCs/>
          <w:sz w:val="28"/>
          <w:szCs w:val="28"/>
          <w:lang w:eastAsia="zh-CN"/>
        </w:rPr>
        <w:t>.投标文件的上传</w:t>
      </w:r>
    </w:p>
    <w:p w14:paraId="30D1275E">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.1加密电子投标文件的上传：见“投标人须知前附表”。</w:t>
      </w:r>
    </w:p>
    <w:p w14:paraId="4C8AC886">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5AB6EFEB">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27.</w:t>
      </w:r>
      <w:r>
        <w:rPr>
          <w:rFonts w:hint="eastAsia" w:ascii="仿宋" w:hAnsi="仿宋" w:eastAsia="仿宋" w:cs="仿宋"/>
          <w:b/>
          <w:bCs/>
          <w:sz w:val="28"/>
          <w:szCs w:val="28"/>
          <w:lang w:eastAsia="zh-CN"/>
        </w:rPr>
        <w:t>投标截止时间</w:t>
      </w:r>
    </w:p>
    <w:p w14:paraId="10D97DC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.1投标人应在“投标人须知前附表”规定的投标截止时间前上传投标文件。</w:t>
      </w:r>
    </w:p>
    <w:p w14:paraId="0FD966B5">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.2采购人和集中采购机构可以按本章第12条规定，通过修改招标文件自行决定酌情延长投标截止期限。</w:t>
      </w:r>
    </w:p>
    <w:p w14:paraId="5347B9CE">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28.</w:t>
      </w:r>
      <w:r>
        <w:rPr>
          <w:rFonts w:hint="eastAsia" w:ascii="仿宋" w:hAnsi="仿宋" w:eastAsia="仿宋" w:cs="仿宋"/>
          <w:b/>
          <w:bCs/>
          <w:sz w:val="28"/>
          <w:szCs w:val="28"/>
          <w:lang w:eastAsia="zh-CN"/>
        </w:rPr>
        <w:t>迟交的投标文件</w:t>
      </w:r>
    </w:p>
    <w:p w14:paraId="1D03F12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投标人在投标截止时间后上传的投标文件，将被拒绝。</w:t>
      </w:r>
    </w:p>
    <w:p w14:paraId="46439AD4">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29.</w:t>
      </w:r>
      <w:r>
        <w:rPr>
          <w:rFonts w:hint="eastAsia" w:ascii="仿宋" w:hAnsi="仿宋" w:eastAsia="仿宋" w:cs="仿宋"/>
          <w:b/>
          <w:bCs/>
          <w:sz w:val="28"/>
          <w:szCs w:val="28"/>
          <w:lang w:eastAsia="zh-CN"/>
        </w:rPr>
        <w:t>投标文件的修改和撤回</w:t>
      </w:r>
    </w:p>
    <w:p w14:paraId="3AB9D33C">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.1在投标截止时间前，投标人可以修改或撤回已上传的投标文件。</w:t>
      </w:r>
    </w:p>
    <w:p w14:paraId="5ABB45EC">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.2在投标截止时间后，投标人不得修改或撤回其投标文件。</w:t>
      </w:r>
    </w:p>
    <w:p w14:paraId="1F864CCE">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.3在招标文件规定的投标有效期内，投标人不得实质上修改或撤回其投标。</w:t>
      </w:r>
    </w:p>
    <w:p w14:paraId="5FD3FB97">
      <w:pPr>
        <w:pageBreakBefore w:val="0"/>
        <w:wordWrap/>
        <w:topLinePunct w:val="0"/>
        <w:bidi w:val="0"/>
        <w:spacing w:line="360" w:lineRule="auto"/>
        <w:rPr>
          <w:rFonts w:hint="eastAsia" w:ascii="仿宋" w:hAnsi="仿宋" w:eastAsia="仿宋" w:cs="仿宋"/>
          <w:sz w:val="28"/>
          <w:szCs w:val="28"/>
          <w:lang w:eastAsia="zh-CN"/>
        </w:rPr>
      </w:pPr>
    </w:p>
    <w:p w14:paraId="074B124B">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bookmarkStart w:id="222" w:name="_Toc960388964"/>
      <w:bookmarkStart w:id="223" w:name="_Toc1288741030"/>
      <w:bookmarkStart w:id="224" w:name="_Toc1109071882"/>
      <w:bookmarkStart w:id="225" w:name="_Toc1124298034"/>
      <w:bookmarkStart w:id="226" w:name="_Toc516778272"/>
      <w:bookmarkStart w:id="227" w:name="_Toc1550393937_WPSOffice_Level2"/>
      <w:bookmarkStart w:id="228" w:name="_Toc491646129_WPSOffice_Level2"/>
      <w:bookmarkStart w:id="229" w:name="_Toc1130786219"/>
      <w:bookmarkStart w:id="230" w:name="_Toc516757662_WPSOffice_Level2"/>
      <w:bookmarkStart w:id="231" w:name="_Toc702554443"/>
      <w:bookmarkStart w:id="232" w:name="_Toc229139457"/>
      <w:bookmarkStart w:id="233" w:name="_Toc1744903856_WPSOffice_Level2"/>
      <w:bookmarkStart w:id="234" w:name="_Toc58778488"/>
      <w:bookmarkStart w:id="235" w:name="_Toc874621790"/>
      <w:bookmarkStart w:id="236" w:name="_Toc1140657126"/>
      <w:r>
        <w:rPr>
          <w:rFonts w:hint="eastAsia" w:ascii="仿宋" w:hAnsi="仿宋" w:eastAsia="仿宋" w:cs="仿宋"/>
          <w:b/>
          <w:bCs w:val="0"/>
          <w:color w:val="auto"/>
          <w:kern w:val="0"/>
          <w:sz w:val="30"/>
          <w:szCs w:val="30"/>
          <w:lang w:val="en-US" w:eastAsia="zh-CN"/>
        </w:rPr>
        <w:t>五、开标与评标</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1BF57432">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30</w:t>
      </w:r>
      <w:r>
        <w:rPr>
          <w:rFonts w:hint="eastAsia" w:ascii="仿宋" w:hAnsi="仿宋" w:eastAsia="仿宋" w:cs="仿宋"/>
          <w:b/>
          <w:bCs/>
          <w:sz w:val="28"/>
          <w:szCs w:val="28"/>
          <w:lang w:eastAsia="zh-CN"/>
        </w:rPr>
        <w:t>.开标</w:t>
      </w:r>
    </w:p>
    <w:p w14:paraId="6C18434D">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.1开标及解密方式：见“投标人须知前附表”。</w:t>
      </w:r>
    </w:p>
    <w:p w14:paraId="3CAA6C15">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.2不见面开标大厅网址：见“投标人须知前附表”。</w:t>
      </w:r>
    </w:p>
    <w:p w14:paraId="79BFE192">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.3开标时间和开标地点：见“投标人须知前附表”。</w:t>
      </w:r>
    </w:p>
    <w:p w14:paraId="39AA773C">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.4开标时，集中采购机构将通过网上开标系统公布投标人名称、投标价格以及其它有关内容。</w:t>
      </w:r>
    </w:p>
    <w:p w14:paraId="26E41281">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31.</w:t>
      </w:r>
      <w:r>
        <w:rPr>
          <w:rFonts w:hint="eastAsia" w:ascii="仿宋" w:hAnsi="仿宋" w:eastAsia="仿宋" w:cs="仿宋"/>
          <w:b/>
          <w:bCs/>
          <w:sz w:val="28"/>
          <w:szCs w:val="28"/>
          <w:lang w:eastAsia="zh-CN"/>
        </w:rPr>
        <w:t>资格审查</w:t>
      </w:r>
    </w:p>
    <w:p w14:paraId="0C04CC40">
      <w:pPr>
        <w:pageBreakBefore w:val="0"/>
        <w:wordWrap/>
        <w:topLinePunct w:val="0"/>
        <w:bidi w:val="0"/>
        <w:spacing w:line="360" w:lineRule="auto"/>
        <w:rPr>
          <w:rFonts w:hint="eastAsia" w:ascii="仿宋" w:hAnsi="仿宋" w:eastAsia="仿宋" w:cs="仿宋"/>
          <w:sz w:val="28"/>
          <w:szCs w:val="28"/>
          <w:lang w:eastAsia="zh-CN"/>
        </w:rPr>
      </w:pPr>
      <w:bookmarkStart w:id="237" w:name="_Toc694141672_WPSOffice_Level3"/>
      <w:bookmarkStart w:id="238" w:name="_Toc1584989513_WPSOffice_Level3"/>
      <w:bookmarkStart w:id="239" w:name="_Toc45114864_WPSOffice_Level3"/>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.1开标结束后，采购人对投标人的资格进行审查。</w:t>
      </w:r>
      <w:bookmarkEnd w:id="237"/>
      <w:bookmarkEnd w:id="238"/>
      <w:bookmarkEnd w:id="239"/>
    </w:p>
    <w:p w14:paraId="00B0DFEB">
      <w:pPr>
        <w:pageBreakBefore w:val="0"/>
        <w:wordWrap/>
        <w:topLinePunct w:val="0"/>
        <w:bidi w:val="0"/>
        <w:spacing w:line="360" w:lineRule="auto"/>
        <w:rPr>
          <w:rFonts w:hint="eastAsia" w:ascii="仿宋" w:hAnsi="仿宋" w:eastAsia="仿宋" w:cs="仿宋"/>
          <w:sz w:val="28"/>
          <w:szCs w:val="28"/>
          <w:lang w:eastAsia="zh-CN"/>
        </w:rPr>
      </w:pPr>
      <w:bookmarkStart w:id="240" w:name="_Toc85856132_WPSOffice_Level3"/>
      <w:bookmarkStart w:id="241" w:name="_Toc1493406836_WPSOffice_Level3"/>
      <w:bookmarkStart w:id="242" w:name="_Toc1693296442_WPSOffice_Level3"/>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.2合格投标人不足3家的，不得评标。</w:t>
      </w:r>
      <w:bookmarkEnd w:id="240"/>
      <w:bookmarkEnd w:id="241"/>
      <w:bookmarkEnd w:id="242"/>
    </w:p>
    <w:p w14:paraId="134D5545">
      <w:pPr>
        <w:pageBreakBefore w:val="0"/>
        <w:wordWrap/>
        <w:topLinePunct w:val="0"/>
        <w:bidi w:val="0"/>
        <w:spacing w:line="360" w:lineRule="auto"/>
        <w:rPr>
          <w:rFonts w:hint="eastAsia" w:ascii="仿宋" w:hAnsi="仿宋" w:eastAsia="仿宋" w:cs="仿宋"/>
          <w:sz w:val="28"/>
          <w:szCs w:val="28"/>
          <w:lang w:eastAsia="zh-CN"/>
        </w:rPr>
      </w:pPr>
      <w:bookmarkStart w:id="243" w:name="_Toc1971674233_WPSOffice_Level3"/>
      <w:bookmarkStart w:id="244" w:name="_Toc1285333830_WPSOffice_Level3"/>
      <w:bookmarkStart w:id="245" w:name="_Toc21976785_WPSOffice_Level3"/>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.3资格审查标准见“投标人须知前附表”。</w:t>
      </w:r>
      <w:bookmarkEnd w:id="243"/>
      <w:bookmarkEnd w:id="244"/>
      <w:bookmarkEnd w:id="245"/>
    </w:p>
    <w:p w14:paraId="3571660E">
      <w:pPr>
        <w:pageBreakBefore w:val="0"/>
        <w:wordWrap/>
        <w:topLinePunct w:val="0"/>
        <w:bidi w:val="0"/>
        <w:spacing w:line="360" w:lineRule="auto"/>
        <w:rPr>
          <w:rFonts w:hint="eastAsia" w:ascii="仿宋" w:hAnsi="仿宋" w:eastAsia="仿宋" w:cs="仿宋"/>
          <w:sz w:val="28"/>
          <w:szCs w:val="28"/>
          <w:lang w:eastAsia="zh-CN"/>
        </w:rPr>
      </w:pPr>
      <w:bookmarkStart w:id="246" w:name="_Toc1785145571_WPSOffice_Level3"/>
      <w:bookmarkStart w:id="247" w:name="_Toc468577997_WPSOffice_Level3"/>
      <w:bookmarkStart w:id="248" w:name="_Toc1102086292_WPSOffice_Level3"/>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.4信用记录的查询方法：见“投标人须知前附表”。</w:t>
      </w:r>
      <w:bookmarkEnd w:id="246"/>
      <w:bookmarkEnd w:id="247"/>
      <w:bookmarkEnd w:id="248"/>
    </w:p>
    <w:p w14:paraId="42FE5939">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3</w:t>
      </w: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eastAsia="zh-CN"/>
        </w:rPr>
        <w:t>.评标委员会</w:t>
      </w:r>
    </w:p>
    <w:p w14:paraId="41A0125A">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eastAsia" w:ascii="仿宋" w:hAnsi="仿宋" w:eastAsia="仿宋" w:cs="仿宋"/>
          <w:sz w:val="28"/>
          <w:szCs w:val="28"/>
          <w:lang w:val="en-US" w:eastAsia="zh-CN"/>
        </w:rPr>
        <w:t>提交</w:t>
      </w:r>
      <w:r>
        <w:rPr>
          <w:rFonts w:hint="eastAsia" w:ascii="仿宋" w:hAnsi="仿宋" w:eastAsia="仿宋" w:cs="仿宋"/>
          <w:sz w:val="28"/>
          <w:szCs w:val="28"/>
          <w:lang w:eastAsia="zh-CN"/>
        </w:rPr>
        <w:t>抽取</w:t>
      </w:r>
      <w:r>
        <w:rPr>
          <w:rFonts w:hint="eastAsia" w:ascii="仿宋" w:hAnsi="仿宋" w:eastAsia="仿宋" w:cs="仿宋"/>
          <w:sz w:val="28"/>
          <w:szCs w:val="28"/>
          <w:lang w:val="en-US" w:eastAsia="zh-CN"/>
        </w:rPr>
        <w:t>申请</w:t>
      </w:r>
      <w:r>
        <w:rPr>
          <w:rFonts w:hint="eastAsia" w:ascii="仿宋" w:hAnsi="仿宋" w:eastAsia="仿宋" w:cs="仿宋"/>
          <w:sz w:val="28"/>
          <w:szCs w:val="28"/>
          <w:lang w:eastAsia="zh-CN"/>
        </w:rPr>
        <w:t>，有关人员对评标委员会成员名单须严格保密。</w:t>
      </w:r>
    </w:p>
    <w:p w14:paraId="2CB20512">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.2与投标人有利害关系的人员不得进入评标委员会。</w:t>
      </w:r>
    </w:p>
    <w:p w14:paraId="479E5A2B">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33.</w:t>
      </w:r>
      <w:r>
        <w:rPr>
          <w:rFonts w:hint="eastAsia" w:ascii="仿宋" w:hAnsi="仿宋" w:eastAsia="仿宋" w:cs="仿宋"/>
          <w:b/>
          <w:bCs/>
          <w:sz w:val="28"/>
          <w:szCs w:val="28"/>
          <w:lang w:eastAsia="zh-CN"/>
        </w:rPr>
        <w:t>投标文件的澄清</w:t>
      </w:r>
    </w:p>
    <w:p w14:paraId="72918074">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.1为了有助于对投标文件进行审查、评估和比较，评标委员会有权向投标人</w:t>
      </w:r>
      <w:r>
        <w:rPr>
          <w:rFonts w:hint="eastAsia" w:ascii="仿宋" w:hAnsi="仿宋" w:eastAsia="仿宋" w:cs="仿宋"/>
          <w:sz w:val="28"/>
          <w:szCs w:val="28"/>
          <w:lang w:val="en-US" w:eastAsia="zh-CN"/>
        </w:rPr>
        <w:t>提出澄清</w:t>
      </w:r>
      <w:r>
        <w:rPr>
          <w:rFonts w:hint="eastAsia" w:ascii="仿宋" w:hAnsi="仿宋" w:eastAsia="仿宋" w:cs="仿宋"/>
          <w:sz w:val="28"/>
          <w:szCs w:val="28"/>
          <w:lang w:eastAsia="zh-CN"/>
        </w:rPr>
        <w:t>，请投标人澄清其投标内容。</w:t>
      </w:r>
    </w:p>
    <w:p w14:paraId="257FA4F4">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.2澄清的答复应加盖投标人公章（或企业电子签章）或由法定代表人（或其委托代理人）签字或签章（或个人电子签章）。</w:t>
      </w:r>
    </w:p>
    <w:p w14:paraId="1A73E5D6">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.3投标人的澄清文件是投标文件的组成部分。</w:t>
      </w:r>
    </w:p>
    <w:p w14:paraId="0CE491CE">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.4投标文件的澄清不得对投标内容进行实质性修改。</w:t>
      </w:r>
    </w:p>
    <w:p w14:paraId="042DA10B">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34.</w:t>
      </w:r>
      <w:r>
        <w:rPr>
          <w:rFonts w:hint="eastAsia" w:ascii="仿宋" w:hAnsi="仿宋" w:eastAsia="仿宋" w:cs="仿宋"/>
          <w:b/>
          <w:bCs/>
          <w:sz w:val="28"/>
          <w:szCs w:val="28"/>
          <w:lang w:eastAsia="zh-CN"/>
        </w:rPr>
        <w:t>投标文件的符合性审查</w:t>
      </w:r>
    </w:p>
    <w:p w14:paraId="38BC0D70">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.1评标委员会将审查投标文件是否实质上响应招标文件。通过</w:t>
      </w:r>
      <w:r>
        <w:rPr>
          <w:rFonts w:hint="eastAsia" w:ascii="仿宋" w:hAnsi="仿宋" w:eastAsia="仿宋" w:cs="仿宋"/>
          <w:sz w:val="28"/>
          <w:szCs w:val="28"/>
          <w:lang w:val="en-US" w:eastAsia="zh-CN"/>
        </w:rPr>
        <w:t>符合性审查</w:t>
      </w:r>
      <w:r>
        <w:rPr>
          <w:rFonts w:hint="eastAsia" w:ascii="仿宋" w:hAnsi="仿宋" w:eastAsia="仿宋" w:cs="仿宋"/>
          <w:sz w:val="28"/>
          <w:szCs w:val="28"/>
          <w:lang w:eastAsia="zh-CN"/>
        </w:rPr>
        <w:t>的合格投标人不足3家的，</w:t>
      </w:r>
      <w:r>
        <w:rPr>
          <w:rFonts w:hint="eastAsia" w:ascii="仿宋" w:hAnsi="仿宋" w:eastAsia="仿宋" w:cs="仿宋"/>
          <w:sz w:val="28"/>
          <w:szCs w:val="28"/>
          <w:lang w:val="en-US" w:eastAsia="zh-CN"/>
        </w:rPr>
        <w:t>项目废标</w:t>
      </w:r>
      <w:r>
        <w:rPr>
          <w:rFonts w:hint="eastAsia" w:ascii="仿宋" w:hAnsi="仿宋" w:eastAsia="仿宋" w:cs="仿宋"/>
          <w:sz w:val="28"/>
          <w:szCs w:val="28"/>
          <w:lang w:eastAsia="zh-CN"/>
        </w:rPr>
        <w:t>。</w:t>
      </w:r>
    </w:p>
    <w:p w14:paraId="375F0E2C">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.2允许修正投标文件中不构成重大偏离的、微小的、非正规的、不一致或不规则的地方。</w:t>
      </w:r>
    </w:p>
    <w:p w14:paraId="3D2BCAC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.3在对投标文件进行详细评</w:t>
      </w:r>
      <w:r>
        <w:rPr>
          <w:rFonts w:hint="eastAsia" w:ascii="仿宋" w:hAnsi="仿宋" w:eastAsia="仿宋" w:cs="仿宋"/>
          <w:sz w:val="28"/>
          <w:szCs w:val="28"/>
          <w:lang w:val="en-US" w:eastAsia="zh-CN"/>
        </w:rPr>
        <w:t>审</w:t>
      </w:r>
      <w:r>
        <w:rPr>
          <w:rFonts w:hint="eastAsia" w:ascii="仿宋" w:hAnsi="仿宋" w:eastAsia="仿宋" w:cs="仿宋"/>
          <w:sz w:val="28"/>
          <w:szCs w:val="28"/>
          <w:lang w:eastAsia="zh-CN"/>
        </w:rPr>
        <w:t>之前，评标委员会将确定</w:t>
      </w:r>
      <w:r>
        <w:rPr>
          <w:rFonts w:hint="eastAsia" w:ascii="仿宋" w:hAnsi="仿宋" w:eastAsia="仿宋" w:cs="仿宋"/>
          <w:sz w:val="28"/>
          <w:szCs w:val="28"/>
          <w:lang w:val="en-US" w:eastAsia="zh-CN"/>
        </w:rPr>
        <w:t>投标文件</w:t>
      </w:r>
      <w:r>
        <w:rPr>
          <w:rFonts w:hint="eastAsia" w:ascii="仿宋" w:hAnsi="仿宋" w:eastAsia="仿宋" w:cs="仿宋"/>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服务期限、投标有效期、付款方式等产生重大或不可接受的偏差，或限制了集中采购机构、采购人的权利和投标人的义务的规定，而纠正这些偏离将影响到其它提交实质性响应投标的投标人的公平竞争地位。</w:t>
      </w:r>
    </w:p>
    <w:p w14:paraId="2E1A7E54">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.4评标委员会判断投标文件的响应性仅基于投标文件本身内容而不靠外部证据。</w:t>
      </w:r>
    </w:p>
    <w:p w14:paraId="122038A8">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.5实质上没有响应招标文件要求的投标将被视为无效投标，投标人不得通过修正或撤消不符之处而使其投标成为实质上响应投标。</w:t>
      </w:r>
    </w:p>
    <w:p w14:paraId="2FD10441">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.6</w:t>
      </w:r>
      <w:r>
        <w:rPr>
          <w:rFonts w:hint="eastAsia" w:ascii="仿宋" w:hAnsi="仿宋" w:eastAsia="仿宋" w:cs="仿宋"/>
          <w:sz w:val="28"/>
          <w:szCs w:val="28"/>
          <w:lang w:val="en-US" w:eastAsia="zh-CN"/>
        </w:rPr>
        <w:t>参与同一个标段（包）的投标人存在下列情形之一的，其投标（响应）文件无效：</w:t>
      </w:r>
    </w:p>
    <w:p w14:paraId="3751BC38">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（1）不同投标人的电子投标（响应）文件上传计算机的网卡MAC地址、CPU序列号和硬盘序列号等硬件信息相同的；</w:t>
      </w:r>
    </w:p>
    <w:p w14:paraId="129B6CC2">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（2）不同投标人的投标（响应）文件由同一电子设备编制、加密或者上传；</w:t>
      </w:r>
    </w:p>
    <w:p w14:paraId="451B69D6">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（3）不同投标人的投标（响应）文件由同一人送达或者分发，或者不同投标人联系人为同一人或不同联系人的联系电话一致的；</w:t>
      </w:r>
    </w:p>
    <w:p w14:paraId="77FEC6AD">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（4）不同投标人的投标（响应）文件的内容存在两处以上专有细节错误一致；</w:t>
      </w:r>
    </w:p>
    <w:p w14:paraId="195F158C">
      <w:pPr>
        <w:pageBreakBefore w:val="0"/>
        <w:wordWrap/>
        <w:topLinePunct w:val="0"/>
        <w:bidi w:val="0"/>
        <w:spacing w:line="360" w:lineRule="auto"/>
        <w:rPr>
          <w:rFonts w:hint="eastAsia" w:ascii="仿宋" w:hAnsi="仿宋" w:eastAsia="仿宋" w:cs="仿宋"/>
          <w:sz w:val="28"/>
          <w:szCs w:val="28"/>
          <w:lang w:val="en-US"/>
        </w:rPr>
      </w:pPr>
      <w:r>
        <w:rPr>
          <w:rFonts w:hint="eastAsia" w:ascii="仿宋" w:hAnsi="仿宋" w:eastAsia="仿宋" w:cs="仿宋"/>
          <w:sz w:val="28"/>
          <w:szCs w:val="28"/>
          <w:lang w:val="en-US"/>
        </w:rPr>
        <w:t>（5）其它涉嫌串通的情形。</w:t>
      </w:r>
    </w:p>
    <w:p w14:paraId="222DDCF5">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34.7有下列情形之一的，视为投标人串通投标，其投标无效：</w:t>
      </w:r>
    </w:p>
    <w:p w14:paraId="0648ACF1">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（1）不同投标人的投标文件由同一单位或者个人编制；</w:t>
      </w:r>
    </w:p>
    <w:p w14:paraId="7B5C2914">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（2）不同投标人委托同一单位或者个人办理投标事宜；</w:t>
      </w:r>
    </w:p>
    <w:p w14:paraId="020F4AA2">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（3）不同投标人的投标文件载明的项目管理成员或者联系人员为同一人；</w:t>
      </w:r>
    </w:p>
    <w:p w14:paraId="1E33DC1D">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（4）不同投标人的投标文件异常一致或者投标报价呈规律性差异；</w:t>
      </w:r>
    </w:p>
    <w:p w14:paraId="62556F64">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（5）不同投标人的投标文件相互混装；</w:t>
      </w:r>
    </w:p>
    <w:p w14:paraId="0B5A61B3">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（6）不同投标人的投标保证金从同一单位或者个人的账户转出。</w:t>
      </w:r>
    </w:p>
    <w:p w14:paraId="4DA1199F">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3</w:t>
      </w:r>
      <w:r>
        <w:rPr>
          <w:rFonts w:hint="eastAsia" w:ascii="仿宋" w:hAnsi="仿宋" w:eastAsia="仿宋" w:cs="仿宋"/>
          <w:b/>
          <w:bCs/>
          <w:sz w:val="28"/>
          <w:szCs w:val="28"/>
          <w:lang w:val="en-US" w:eastAsia="zh-CN"/>
        </w:rPr>
        <w:t>5</w:t>
      </w:r>
      <w:r>
        <w:rPr>
          <w:rFonts w:hint="eastAsia" w:ascii="仿宋" w:hAnsi="仿宋" w:eastAsia="仿宋" w:cs="仿宋"/>
          <w:b/>
          <w:bCs/>
          <w:sz w:val="28"/>
          <w:szCs w:val="28"/>
          <w:lang w:eastAsia="zh-CN"/>
        </w:rPr>
        <w:t>.投标的评价</w:t>
      </w:r>
    </w:p>
    <w:p w14:paraId="009DEA6F">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.1投标文件报价出现前后不一致的，按照下列规定修正：</w:t>
      </w:r>
    </w:p>
    <w:p w14:paraId="72493E4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（1）投标文件中开标一览表（报价表）内容与投标文件中相应内容不一致的，以开标一览表（报价表）为准；</w:t>
      </w:r>
    </w:p>
    <w:p w14:paraId="1C3AB0C2">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（2）大写金额和小写金额不一致的，以大写金额为准；</w:t>
      </w:r>
    </w:p>
    <w:p w14:paraId="36757C07">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（3）单价金额小数点或者百分比有明显错位的，以开标一览表的总价为准，并修改单价；</w:t>
      </w:r>
    </w:p>
    <w:p w14:paraId="5CD6CA8E">
      <w:pPr>
        <w:pageBreakBefore w:val="0"/>
        <w:wordWrap/>
        <w:topLinePunct w:val="0"/>
        <w:bidi w:val="0"/>
        <w:spacing w:line="360" w:lineRule="auto"/>
        <w:rPr>
          <w:rFonts w:hint="eastAsia" w:ascii="仿宋" w:hAnsi="仿宋" w:eastAsia="仿宋" w:cs="仿宋"/>
          <w:color w:val="auto"/>
          <w:sz w:val="28"/>
          <w:szCs w:val="28"/>
          <w:lang w:eastAsia="zh-CN"/>
        </w:rPr>
      </w:pPr>
      <w:r>
        <w:rPr>
          <w:rFonts w:hint="eastAsia" w:ascii="仿宋" w:hAnsi="仿宋" w:eastAsia="仿宋" w:cs="仿宋"/>
          <w:sz w:val="28"/>
          <w:szCs w:val="28"/>
          <w:lang w:eastAsia="zh-CN"/>
        </w:rPr>
        <w:t>（4</w:t>
      </w:r>
      <w:r>
        <w:rPr>
          <w:rFonts w:hint="eastAsia" w:ascii="仿宋" w:hAnsi="仿宋" w:eastAsia="仿宋" w:cs="仿宋"/>
          <w:color w:val="auto"/>
          <w:sz w:val="28"/>
          <w:szCs w:val="28"/>
          <w:lang w:eastAsia="zh-CN"/>
        </w:rPr>
        <w:t>）总价金额与按单价汇总金额不一致的，以单价金额计算结果为准。</w:t>
      </w:r>
    </w:p>
    <w:p w14:paraId="2C8D106F">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同时出现两种以上不一致的，按照前款规定的顺序修正。修正后的报价经投标人确认后产生约束力，投标人不确认的，其投标无效。</w:t>
      </w:r>
    </w:p>
    <w:p w14:paraId="200F73E1">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3795DBC9">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.3评标委员会只对已判定为实质性响应的投标文件进行评价和比较。</w:t>
      </w:r>
    </w:p>
    <w:p w14:paraId="17C274E2">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3</w:t>
      </w:r>
      <w:r>
        <w:rPr>
          <w:rFonts w:hint="eastAsia" w:ascii="仿宋" w:hAnsi="仿宋" w:eastAsia="仿宋" w:cs="仿宋"/>
          <w:b/>
          <w:bCs/>
          <w:sz w:val="28"/>
          <w:szCs w:val="28"/>
          <w:lang w:val="en-US" w:eastAsia="zh-CN"/>
        </w:rPr>
        <w:t>6</w:t>
      </w:r>
      <w:r>
        <w:rPr>
          <w:rFonts w:hint="eastAsia" w:ascii="仿宋" w:hAnsi="仿宋" w:eastAsia="仿宋" w:cs="仿宋"/>
          <w:b/>
          <w:bCs/>
          <w:sz w:val="28"/>
          <w:szCs w:val="28"/>
          <w:lang w:eastAsia="zh-CN"/>
        </w:rPr>
        <w:t>.评标价的确定</w:t>
      </w:r>
    </w:p>
    <w:p w14:paraId="043D72B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.1根据《政府采购促进中小企业发展管理办法》（财库〔2020〕46号）和《财政部关于进一步加大政府采购支持中小企业力度的通知》（财库〔2022〕19号）的规定，釆购人在政府釆购活动中支持中小企业发展：</w:t>
      </w:r>
    </w:p>
    <w:p w14:paraId="4717B4B1">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（1）采购项目或采购包预留釆购份额专门面向中小企业采购；</w:t>
      </w:r>
    </w:p>
    <w:p w14:paraId="7E6E4495">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（2）未预留份额专门面向中小企业釆购的釆购项目，以及预留份额项目中的非预留部分釆购包，对小微企业报价给予</w:t>
      </w:r>
      <w:r>
        <w:rPr>
          <w:rFonts w:hint="eastAsia" w:ascii="仿宋" w:hAnsi="仿宋" w:eastAsia="仿宋" w:cs="仿宋"/>
          <w:sz w:val="28"/>
          <w:szCs w:val="28"/>
          <w:lang w:val="en-US" w:eastAsia="zh-CN"/>
        </w:rPr>
        <w:t>10</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0%的扣除，用扣除后的价格参加评审。中小企业扶持政策：见“投标人须知前附表”。</w:t>
      </w:r>
    </w:p>
    <w:p w14:paraId="24CDAB15">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07E76A91">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（4）监狱企业视同小型、微型企业，投标人应提供省级及以上监狱管理局、戒毒管理局（含新疆生产建设兵团）出具的属于监狱企业的证明文件。</w:t>
      </w:r>
    </w:p>
    <w:p w14:paraId="5B69F3F5">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73DDEBC7">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36.2</w:t>
      </w:r>
      <w:r>
        <w:rPr>
          <w:rFonts w:hint="eastAsia" w:ascii="仿宋" w:hAnsi="仿宋" w:eastAsia="仿宋" w:cs="仿宋"/>
          <w:sz w:val="28"/>
          <w:szCs w:val="28"/>
          <w:lang w:eastAsia="zh-CN"/>
        </w:rPr>
        <w:t>评标价不作为中标价和合同签约价，中标价和合同签约价仍以其投标文件中的报价为准。</w:t>
      </w:r>
    </w:p>
    <w:p w14:paraId="15BCE0BB">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3</w:t>
      </w:r>
      <w:r>
        <w:rPr>
          <w:rFonts w:hint="eastAsia" w:ascii="仿宋" w:hAnsi="仿宋" w:eastAsia="仿宋" w:cs="仿宋"/>
          <w:b/>
          <w:bCs/>
          <w:sz w:val="28"/>
          <w:szCs w:val="28"/>
          <w:lang w:val="en-US" w:eastAsia="zh-CN"/>
        </w:rPr>
        <w:t>7</w:t>
      </w:r>
      <w:r>
        <w:rPr>
          <w:rFonts w:hint="eastAsia" w:ascii="仿宋" w:hAnsi="仿宋" w:eastAsia="仿宋" w:cs="仿宋"/>
          <w:b/>
          <w:bCs/>
          <w:sz w:val="28"/>
          <w:szCs w:val="28"/>
          <w:lang w:eastAsia="zh-CN"/>
        </w:rPr>
        <w:t>.评标结果</w:t>
      </w:r>
    </w:p>
    <w:p w14:paraId="4D195EE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.1评标委员会按照招标文件中规定的评标方法和标准，对符合性审查合格的投标文件进行商务和技术评</w:t>
      </w:r>
      <w:r>
        <w:rPr>
          <w:rFonts w:hint="eastAsia" w:ascii="仿宋" w:hAnsi="仿宋" w:eastAsia="仿宋" w:cs="仿宋"/>
          <w:sz w:val="28"/>
          <w:szCs w:val="28"/>
          <w:lang w:val="en-US" w:eastAsia="zh-CN"/>
        </w:rPr>
        <w:t>审</w:t>
      </w:r>
      <w:r>
        <w:rPr>
          <w:rFonts w:hint="eastAsia" w:ascii="仿宋" w:hAnsi="仿宋" w:eastAsia="仿宋" w:cs="仿宋"/>
          <w:sz w:val="28"/>
          <w:szCs w:val="28"/>
          <w:lang w:eastAsia="zh-CN"/>
        </w:rPr>
        <w:t>，综合比较与评价。</w:t>
      </w:r>
    </w:p>
    <w:p w14:paraId="3FD65036">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.2投标人的评审得分为所有评委评审得分的算术平均值，评审得分取至小数点后两位（第三位四舍五入）。</w:t>
      </w:r>
    </w:p>
    <w:p w14:paraId="268E757D">
      <w:pPr>
        <w:pStyle w:val="70"/>
        <w:pageBreakBefore w:val="0"/>
        <w:wordWrap/>
        <w:topLinePunct w:val="0"/>
        <w:bidi w:val="0"/>
        <w:spacing w:line="360" w:lineRule="auto"/>
        <w:rPr>
          <w:rFonts w:hint="eastAsia" w:ascii="仿宋" w:hAnsi="仿宋" w:eastAsia="仿宋" w:cs="仿宋"/>
        </w:rPr>
      </w:pPr>
      <w:r>
        <w:rPr>
          <w:rFonts w:hint="eastAsia" w:ascii="仿宋" w:hAnsi="仿宋" w:eastAsia="仿宋" w:cs="仿宋"/>
          <w:b/>
          <w:bCs/>
          <w:sz w:val="28"/>
          <w:szCs w:val="28"/>
        </w:rPr>
        <w:t>38.</w:t>
      </w:r>
      <w:r>
        <w:rPr>
          <w:rFonts w:hint="eastAsia" w:ascii="仿宋" w:hAnsi="仿宋" w:eastAsia="仿宋" w:cs="仿宋"/>
          <w:b/>
          <w:color w:val="auto"/>
          <w:sz w:val="28"/>
          <w:szCs w:val="28"/>
        </w:rPr>
        <w:t>推荐中标候选人原则及标准</w:t>
      </w:r>
    </w:p>
    <w:p w14:paraId="4108A051">
      <w:pPr>
        <w:pageBreakBefore w:val="0"/>
        <w:widowControl w:val="0"/>
        <w:wordWrap/>
        <w:topLinePunct w:val="0"/>
        <w:bidi w:val="0"/>
        <w:spacing w:line="360" w:lineRule="auto"/>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除非“投标人须知前附表”有特殊约定，否则评标委员会按评审后得分由高到低顺序</w:t>
      </w:r>
      <w:r>
        <w:rPr>
          <w:rFonts w:hint="eastAsia" w:ascii="仿宋" w:hAnsi="仿宋" w:eastAsia="仿宋" w:cs="仿宋"/>
          <w:color w:val="auto"/>
          <w:sz w:val="28"/>
          <w:szCs w:val="28"/>
          <w:lang w:val="en-US" w:eastAsia="zh-CN"/>
        </w:rPr>
        <w:t>排列。按投标人须知前附表中规定数量推荐中标候选人。</w:t>
      </w:r>
    </w:p>
    <w:p w14:paraId="73C7DA50">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3</w:t>
      </w:r>
      <w:r>
        <w:rPr>
          <w:rFonts w:hint="eastAsia" w:ascii="仿宋" w:hAnsi="仿宋" w:eastAsia="仿宋" w:cs="仿宋"/>
          <w:b/>
          <w:bCs/>
          <w:sz w:val="28"/>
          <w:szCs w:val="28"/>
          <w:lang w:val="en-US" w:eastAsia="zh-CN"/>
        </w:rPr>
        <w:t>9</w:t>
      </w:r>
      <w:r>
        <w:rPr>
          <w:rFonts w:hint="eastAsia" w:ascii="仿宋" w:hAnsi="仿宋" w:eastAsia="仿宋" w:cs="仿宋"/>
          <w:b/>
          <w:bCs/>
          <w:sz w:val="28"/>
          <w:szCs w:val="28"/>
          <w:lang w:eastAsia="zh-CN"/>
        </w:rPr>
        <w:t>.保密及其它注意事项</w:t>
      </w:r>
    </w:p>
    <w:p w14:paraId="1CD3FA6D">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.1评标是招标工作的重要环节，评标工作在评标委员会内独立进行。</w:t>
      </w:r>
    </w:p>
    <w:p w14:paraId="6B98792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.2评标委员会将遵照规定的评标方法，公正、平等地对待所有投标人。</w:t>
      </w:r>
    </w:p>
    <w:p w14:paraId="04C86779">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.3在评标期间，投标人不得向评委询问评标情况，不得进行旨在影响评标结果的活动。</w:t>
      </w:r>
    </w:p>
    <w:p w14:paraId="629ED3B6">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.4为保证评标的公正性，开标后直至授予投标人合同，评委不得与投标人私下交换意见。</w:t>
      </w:r>
    </w:p>
    <w:p w14:paraId="55F64B27">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.5在评标工作结束后，凡与评标情况有接触的任何人不得擅自将评标情况扩散出评标人员之外。</w:t>
      </w:r>
    </w:p>
    <w:p w14:paraId="7C977887">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.6评标结束后，概不退还投标文件。</w:t>
      </w:r>
    </w:p>
    <w:p w14:paraId="5B829F80">
      <w:pPr>
        <w:pStyle w:val="17"/>
        <w:pageBreakBefore w:val="0"/>
        <w:wordWrap/>
        <w:topLinePunct w:val="0"/>
        <w:bidi w:val="0"/>
        <w:spacing w:line="360" w:lineRule="auto"/>
        <w:rPr>
          <w:rFonts w:hint="eastAsia" w:ascii="仿宋" w:hAnsi="仿宋" w:eastAsia="仿宋" w:cs="仿宋"/>
          <w:lang w:eastAsia="zh-CN"/>
        </w:rPr>
      </w:pPr>
    </w:p>
    <w:p w14:paraId="5ACC67A6">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bookmarkStart w:id="249" w:name="_Toc1542593003"/>
      <w:bookmarkStart w:id="250" w:name="_Toc1092967952_WPSOffice_Level2"/>
      <w:bookmarkStart w:id="251" w:name="_Toc1426358028_WPSOffice_Level2"/>
      <w:bookmarkStart w:id="252" w:name="_Toc1781574470_WPSOffice_Level2"/>
      <w:bookmarkStart w:id="253" w:name="_Toc917262788"/>
      <w:bookmarkStart w:id="254" w:name="_Toc1199683400_WPSOffice_Level2"/>
      <w:bookmarkStart w:id="255" w:name="_Toc69887890"/>
      <w:bookmarkStart w:id="256" w:name="_Toc2899487"/>
      <w:bookmarkStart w:id="257" w:name="_Toc1052785819"/>
      <w:bookmarkStart w:id="258" w:name="_Toc825115381"/>
      <w:bookmarkStart w:id="259" w:name="_Toc529068754"/>
      <w:bookmarkStart w:id="260" w:name="_Toc57506616"/>
      <w:bookmarkStart w:id="261" w:name="_Toc34536976"/>
      <w:bookmarkStart w:id="262" w:name="_Toc469259728"/>
      <w:bookmarkStart w:id="263" w:name="_Toc249591238"/>
      <w:r>
        <w:rPr>
          <w:rFonts w:hint="eastAsia" w:ascii="仿宋" w:hAnsi="仿宋" w:eastAsia="仿宋" w:cs="仿宋"/>
          <w:b/>
          <w:bCs w:val="0"/>
          <w:color w:val="auto"/>
          <w:kern w:val="0"/>
          <w:sz w:val="30"/>
          <w:szCs w:val="30"/>
          <w:lang w:val="en-US" w:eastAsia="zh-CN"/>
        </w:rPr>
        <w:t>六、确定中标</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7B3EF288">
      <w:pPr>
        <w:keepNext/>
        <w:keepLines/>
        <w:pageBreakBefore w:val="0"/>
        <w:widowControl w:val="0"/>
        <w:wordWrap/>
        <w:topLinePunct w:val="0"/>
        <w:autoSpaceDE w:val="0"/>
        <w:autoSpaceDN w:val="0"/>
        <w:bidi w:val="0"/>
        <w:adjustRightInd w:val="0"/>
        <w:spacing w:line="360" w:lineRule="auto"/>
        <w:jc w:val="left"/>
        <w:rPr>
          <w:rFonts w:hint="eastAsia" w:ascii="仿宋" w:hAnsi="仿宋" w:eastAsia="仿宋" w:cs="仿宋"/>
          <w:b/>
          <w:color w:val="auto"/>
          <w:kern w:val="0"/>
          <w:sz w:val="28"/>
          <w:szCs w:val="28"/>
          <w:lang w:val="en-US" w:eastAsia="zh-CN"/>
        </w:rPr>
      </w:pPr>
      <w:r>
        <w:rPr>
          <w:rFonts w:hint="eastAsia" w:ascii="仿宋" w:hAnsi="仿宋" w:eastAsia="仿宋" w:cs="仿宋"/>
          <w:b/>
          <w:bCs/>
          <w:sz w:val="28"/>
          <w:szCs w:val="28"/>
          <w:lang w:val="en-US" w:eastAsia="zh-CN"/>
        </w:rPr>
        <w:t>40</w:t>
      </w:r>
      <w:r>
        <w:rPr>
          <w:rFonts w:hint="eastAsia" w:ascii="仿宋" w:hAnsi="仿宋" w:eastAsia="仿宋" w:cs="仿宋"/>
          <w:b/>
          <w:bCs/>
          <w:sz w:val="28"/>
          <w:szCs w:val="28"/>
          <w:lang w:eastAsia="zh-CN"/>
        </w:rPr>
        <w:t>.</w:t>
      </w:r>
      <w:r>
        <w:rPr>
          <w:rFonts w:hint="eastAsia" w:ascii="仿宋" w:hAnsi="仿宋" w:eastAsia="仿宋" w:cs="仿宋"/>
          <w:b/>
          <w:color w:val="auto"/>
          <w:kern w:val="0"/>
          <w:sz w:val="28"/>
          <w:szCs w:val="28"/>
          <w:lang w:val="en-US" w:eastAsia="zh-CN"/>
        </w:rPr>
        <w:t>确定中标人</w:t>
      </w:r>
    </w:p>
    <w:p w14:paraId="6515EE09">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40</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4A5B9358">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40.2</w:t>
      </w:r>
      <w:r>
        <w:rPr>
          <w:rFonts w:hint="eastAsia" w:ascii="仿宋" w:hAnsi="仿宋" w:eastAsia="仿宋" w:cs="仿宋"/>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7A71A531">
      <w:pPr>
        <w:pageBreakBefore w:val="0"/>
        <w:wordWrap/>
        <w:topLinePunct w:val="0"/>
        <w:bidi w:val="0"/>
        <w:spacing w:line="360" w:lineRule="auto"/>
        <w:rPr>
          <w:rFonts w:hint="eastAsia" w:ascii="仿宋" w:hAnsi="仿宋" w:eastAsia="仿宋" w:cs="仿宋"/>
          <w:b/>
          <w:color w:val="auto"/>
          <w:kern w:val="0"/>
          <w:sz w:val="28"/>
          <w:szCs w:val="28"/>
          <w:lang w:val="en-US" w:eastAsia="zh-CN"/>
        </w:rPr>
      </w:pPr>
      <w:r>
        <w:rPr>
          <w:rFonts w:hint="eastAsia" w:ascii="仿宋" w:hAnsi="仿宋" w:eastAsia="仿宋" w:cs="仿宋"/>
          <w:b/>
          <w:color w:val="auto"/>
          <w:kern w:val="0"/>
          <w:sz w:val="28"/>
          <w:szCs w:val="28"/>
          <w:lang w:val="en-US" w:eastAsia="zh-CN"/>
        </w:rPr>
        <w:t>41.发布中标公告及发出中标通知书</w:t>
      </w:r>
    </w:p>
    <w:p w14:paraId="256B30D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41</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采购人按规定确定中标人后，</w:t>
      </w:r>
      <w:r>
        <w:rPr>
          <w:rFonts w:hint="eastAsia" w:ascii="仿宋" w:hAnsi="仿宋" w:eastAsia="仿宋" w:cs="仿宋"/>
          <w:sz w:val="28"/>
          <w:szCs w:val="28"/>
          <w:lang w:val="en-US" w:eastAsia="zh-CN"/>
        </w:rPr>
        <w:t>采购人或</w:t>
      </w:r>
      <w:r>
        <w:rPr>
          <w:rFonts w:hint="eastAsia" w:ascii="仿宋" w:hAnsi="仿宋" w:eastAsia="仿宋" w:cs="仿宋"/>
          <w:sz w:val="28"/>
          <w:szCs w:val="28"/>
          <w:lang w:eastAsia="zh-CN"/>
        </w:rPr>
        <w:t>集中采购机构应将中标结果在“投标人须知前附表”规定的媒介上予以公告，中标结果公告期限为1个工作日。</w:t>
      </w:r>
    </w:p>
    <w:p w14:paraId="0068BE94">
      <w:pPr>
        <w:pageBreakBefore w:val="0"/>
        <w:widowControl w:val="0"/>
        <w:wordWrap/>
        <w:topLinePunct w:val="0"/>
        <w:bidi w:val="0"/>
        <w:spacing w:line="36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41.2发布中标公告同时向中标人发出中标通知书。</w:t>
      </w:r>
    </w:p>
    <w:p w14:paraId="62DE49E6">
      <w:pPr>
        <w:pStyle w:val="17"/>
        <w:pageBreakBefore w:val="0"/>
        <w:wordWrap/>
        <w:topLinePunct w:val="0"/>
        <w:bidi w:val="0"/>
        <w:spacing w:before="0" w:line="360" w:lineRule="auto"/>
        <w:rPr>
          <w:rFonts w:hint="eastAsia" w:ascii="仿宋" w:hAnsi="仿宋" w:eastAsia="仿宋" w:cs="仿宋"/>
          <w:lang w:val="en-US" w:eastAsia="zh-CN"/>
        </w:rPr>
      </w:pPr>
      <w:r>
        <w:rPr>
          <w:rFonts w:hint="eastAsia" w:ascii="仿宋" w:hAnsi="仿宋" w:eastAsia="仿宋" w:cs="仿宋"/>
          <w:sz w:val="28"/>
          <w:szCs w:val="28"/>
          <w:lang w:val="en-US" w:eastAsia="zh-CN"/>
        </w:rPr>
        <w:t>41.3</w:t>
      </w:r>
      <w:r>
        <w:rPr>
          <w:rFonts w:hint="eastAsia" w:ascii="仿宋" w:hAnsi="仿宋" w:eastAsia="仿宋" w:cs="仿宋"/>
          <w:kern w:val="1"/>
          <w:sz w:val="28"/>
          <w:szCs w:val="28"/>
          <w:lang w:eastAsia="zh-CN"/>
        </w:rPr>
        <w:t>中标通知书发出后，采购人不得违法改变</w:t>
      </w:r>
      <w:r>
        <w:rPr>
          <w:rFonts w:hint="eastAsia" w:ascii="仿宋" w:hAnsi="仿宋" w:eastAsia="仿宋" w:cs="仿宋"/>
          <w:kern w:val="1"/>
          <w:sz w:val="28"/>
          <w:szCs w:val="28"/>
          <w:lang w:val="en-US" w:eastAsia="zh-CN"/>
        </w:rPr>
        <w:t>中标</w:t>
      </w:r>
      <w:r>
        <w:rPr>
          <w:rFonts w:hint="eastAsia" w:ascii="仿宋" w:hAnsi="仿宋" w:eastAsia="仿宋" w:cs="仿宋"/>
          <w:kern w:val="1"/>
          <w:sz w:val="28"/>
          <w:szCs w:val="28"/>
          <w:lang w:eastAsia="zh-CN"/>
        </w:rPr>
        <w:t>结果，中标</w:t>
      </w:r>
      <w:r>
        <w:rPr>
          <w:rFonts w:hint="eastAsia" w:ascii="仿宋" w:hAnsi="仿宋" w:eastAsia="仿宋" w:cs="仿宋"/>
          <w:kern w:val="1"/>
          <w:sz w:val="28"/>
          <w:szCs w:val="28"/>
          <w:lang w:val="en-US" w:eastAsia="zh-CN"/>
        </w:rPr>
        <w:t>人</w:t>
      </w:r>
      <w:r>
        <w:rPr>
          <w:rFonts w:hint="eastAsia" w:ascii="仿宋" w:hAnsi="仿宋" w:eastAsia="仿宋" w:cs="仿宋"/>
          <w:kern w:val="1"/>
          <w:sz w:val="28"/>
          <w:szCs w:val="28"/>
          <w:lang w:eastAsia="zh-CN"/>
        </w:rPr>
        <w:t>无正当理由不得放弃</w:t>
      </w:r>
      <w:r>
        <w:rPr>
          <w:rFonts w:hint="eastAsia" w:ascii="仿宋" w:hAnsi="仿宋" w:eastAsia="仿宋" w:cs="仿宋"/>
          <w:kern w:val="1"/>
          <w:sz w:val="28"/>
          <w:szCs w:val="28"/>
          <w:lang w:val="en-US" w:eastAsia="zh-CN"/>
        </w:rPr>
        <w:t>中标</w:t>
      </w:r>
      <w:r>
        <w:rPr>
          <w:rFonts w:hint="eastAsia" w:ascii="仿宋" w:hAnsi="仿宋" w:eastAsia="仿宋" w:cs="仿宋"/>
          <w:kern w:val="1"/>
          <w:sz w:val="28"/>
          <w:szCs w:val="28"/>
          <w:lang w:eastAsia="zh-CN"/>
        </w:rPr>
        <w:t>。</w:t>
      </w:r>
    </w:p>
    <w:p w14:paraId="4A4B4F98">
      <w:pPr>
        <w:pageBreakBefore w:val="0"/>
        <w:widowControl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4</w:t>
      </w: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eastAsia="zh-CN"/>
        </w:rPr>
        <w:t>.接受和拒绝任何或所有投标的权利</w:t>
      </w:r>
    </w:p>
    <w:p w14:paraId="04695E03">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3BFB9454">
      <w:pPr>
        <w:pageBreakBefore w:val="0"/>
        <w:wordWrap/>
        <w:topLinePunct w:val="0"/>
        <w:bidi w:val="0"/>
        <w:spacing w:line="360" w:lineRule="auto"/>
        <w:rPr>
          <w:rFonts w:hint="eastAsia" w:ascii="仿宋" w:hAnsi="仿宋" w:eastAsia="仿宋" w:cs="仿宋"/>
          <w:b/>
          <w:bCs/>
          <w:sz w:val="28"/>
          <w:szCs w:val="28"/>
          <w:lang w:eastAsia="zh-CN"/>
        </w:rPr>
      </w:pPr>
    </w:p>
    <w:p w14:paraId="6FEE6E2F">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color w:val="auto"/>
          <w:kern w:val="0"/>
          <w:sz w:val="30"/>
          <w:szCs w:val="30"/>
          <w:lang w:val="en-US" w:eastAsia="zh-CN"/>
        </w:rPr>
      </w:pPr>
      <w:bookmarkStart w:id="264" w:name="_Toc212998948_WPSOffice_Level2"/>
      <w:bookmarkStart w:id="265" w:name="_Toc2132928082"/>
      <w:bookmarkStart w:id="266" w:name="_Toc285838294"/>
      <w:bookmarkStart w:id="267" w:name="_Toc2045390548_WPSOffice_Level2"/>
      <w:bookmarkStart w:id="268" w:name="_Toc420601376"/>
      <w:bookmarkStart w:id="269" w:name="_Toc1194929028_WPSOffice_Level2"/>
      <w:bookmarkStart w:id="270" w:name="_Toc1435125006"/>
      <w:bookmarkStart w:id="271" w:name="_Toc155496134_WPSOffice_Level2"/>
      <w:bookmarkStart w:id="272" w:name="_Toc272788692"/>
      <w:bookmarkStart w:id="273" w:name="_Toc289293782"/>
      <w:bookmarkStart w:id="274" w:name="_Toc574236286"/>
      <w:bookmarkStart w:id="275" w:name="_Toc387142253"/>
      <w:bookmarkStart w:id="276" w:name="_Toc1835231440"/>
      <w:bookmarkStart w:id="277" w:name="_Toc1253526278"/>
      <w:bookmarkStart w:id="278" w:name="_Toc1674499174"/>
      <w:r>
        <w:rPr>
          <w:rFonts w:hint="eastAsia" w:ascii="仿宋" w:hAnsi="仿宋" w:eastAsia="仿宋" w:cs="仿宋"/>
          <w:b/>
          <w:bCs/>
          <w:color w:val="auto"/>
          <w:kern w:val="0"/>
          <w:sz w:val="30"/>
          <w:szCs w:val="30"/>
          <w:lang w:val="en-US" w:eastAsia="zh-CN"/>
        </w:rPr>
        <w:t>七、授予合同</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4C3BB072">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4</w:t>
      </w:r>
      <w:r>
        <w:rPr>
          <w:rFonts w:hint="eastAsia" w:ascii="仿宋" w:hAnsi="仿宋" w:eastAsia="仿宋" w:cs="仿宋"/>
          <w:b/>
          <w:bCs/>
          <w:sz w:val="28"/>
          <w:szCs w:val="28"/>
          <w:lang w:val="en-US" w:eastAsia="zh-CN"/>
        </w:rPr>
        <w:t>3</w:t>
      </w:r>
      <w:r>
        <w:rPr>
          <w:rFonts w:hint="eastAsia" w:ascii="仿宋" w:hAnsi="仿宋" w:eastAsia="仿宋" w:cs="仿宋"/>
          <w:b/>
          <w:bCs/>
          <w:sz w:val="28"/>
          <w:szCs w:val="28"/>
          <w:lang w:eastAsia="zh-CN"/>
        </w:rPr>
        <w:t>.合同授予标准</w:t>
      </w:r>
    </w:p>
    <w:p w14:paraId="1A5BA7E9">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除本章第4</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条、</w:t>
      </w:r>
      <w:r>
        <w:rPr>
          <w:rFonts w:hint="eastAsia" w:ascii="仿宋" w:hAnsi="仿宋" w:eastAsia="仿宋" w:cs="仿宋"/>
          <w:sz w:val="28"/>
          <w:szCs w:val="28"/>
          <w:lang w:val="en-US" w:eastAsia="zh-CN"/>
        </w:rPr>
        <w:t>47条</w:t>
      </w:r>
      <w:r>
        <w:rPr>
          <w:rFonts w:hint="eastAsia" w:ascii="仿宋" w:hAnsi="仿宋" w:eastAsia="仿宋" w:cs="仿宋"/>
          <w:sz w:val="28"/>
          <w:szCs w:val="28"/>
          <w:lang w:eastAsia="zh-CN"/>
        </w:rPr>
        <w:t>的规定之外，采购人将把合同授予被确定为实质上响应招标文件要求并有履行合同能力的评审后综合得分最高的投标人。</w:t>
      </w:r>
    </w:p>
    <w:p w14:paraId="208C4BEB">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4</w:t>
      </w:r>
      <w:r>
        <w:rPr>
          <w:rFonts w:hint="eastAsia" w:ascii="仿宋" w:hAnsi="仿宋" w:eastAsia="仿宋" w:cs="仿宋"/>
          <w:b/>
          <w:bCs/>
          <w:sz w:val="28"/>
          <w:szCs w:val="28"/>
          <w:lang w:val="en-US" w:eastAsia="zh-CN"/>
        </w:rPr>
        <w:t>4</w:t>
      </w:r>
      <w:r>
        <w:rPr>
          <w:rFonts w:hint="eastAsia" w:ascii="仿宋" w:hAnsi="仿宋" w:eastAsia="仿宋" w:cs="仿宋"/>
          <w:b/>
          <w:bCs/>
          <w:sz w:val="28"/>
          <w:szCs w:val="28"/>
          <w:lang w:eastAsia="zh-CN"/>
        </w:rPr>
        <w:t>.合同授予时追加采购服务数量的权利</w:t>
      </w:r>
    </w:p>
    <w:p w14:paraId="4371728A">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采购人在授予合同时有权在“投标人须知前附表”规定的范围内，对项目需求中规定的服务的量予以增加，但不得对服务内容或其它实质性的条款和条件做任何改变。</w:t>
      </w:r>
    </w:p>
    <w:p w14:paraId="74C9E677">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45.</w:t>
      </w:r>
      <w:r>
        <w:rPr>
          <w:rFonts w:hint="eastAsia" w:ascii="仿宋" w:hAnsi="仿宋" w:eastAsia="仿宋" w:cs="仿宋"/>
          <w:b/>
          <w:bCs/>
          <w:sz w:val="28"/>
          <w:szCs w:val="28"/>
          <w:lang w:eastAsia="zh-CN"/>
        </w:rPr>
        <w:t>签订合同</w:t>
      </w:r>
    </w:p>
    <w:p w14:paraId="2CBDC851">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4</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3F7BCD4C">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4</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.2招标文件、中标人的投标文件和澄清文件等，均应作为签约的合同文本的基础。</w:t>
      </w:r>
    </w:p>
    <w:p w14:paraId="085E8520">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4</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5C1F05CF">
      <w:pPr>
        <w:pageBreakBefore w:val="0"/>
        <w:wordWrap/>
        <w:topLinePunct w:val="0"/>
        <w:bidi w:val="0"/>
        <w:spacing w:line="360" w:lineRule="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46.</w:t>
      </w:r>
      <w:r>
        <w:rPr>
          <w:rFonts w:hint="eastAsia" w:ascii="仿宋" w:hAnsi="仿宋" w:eastAsia="仿宋" w:cs="仿宋"/>
          <w:b/>
          <w:bCs/>
          <w:sz w:val="28"/>
          <w:szCs w:val="28"/>
          <w:lang w:eastAsia="zh-CN"/>
        </w:rPr>
        <w:t>履约保证金</w:t>
      </w:r>
    </w:p>
    <w:p w14:paraId="5ACFD4C7">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sz w:val="28"/>
          <w:szCs w:val="28"/>
          <w:lang w:eastAsia="zh-CN"/>
        </w:rPr>
        <w:t>中标人应按</w:t>
      </w:r>
      <w:r>
        <w:rPr>
          <w:rFonts w:hint="eastAsia" w:ascii="仿宋" w:hAnsi="仿宋" w:eastAsia="仿宋" w:cs="仿宋"/>
          <w:sz w:val="28"/>
          <w:szCs w:val="28"/>
          <w:lang w:val="en-US" w:eastAsia="zh-CN"/>
        </w:rPr>
        <w:t>招标文件</w:t>
      </w:r>
      <w:r>
        <w:rPr>
          <w:rFonts w:hint="eastAsia" w:ascii="仿宋" w:hAnsi="仿宋" w:eastAsia="仿宋" w:cs="仿宋"/>
          <w:sz w:val="28"/>
          <w:szCs w:val="28"/>
          <w:lang w:eastAsia="zh-CN"/>
        </w:rPr>
        <w:t>的规定向采购人提交履约保证金。采购人不得以中标人事先缴纳履约保证金作为签订合同的条件,并应在中标人履行完合同约定义务事项后及时退还。</w:t>
      </w:r>
    </w:p>
    <w:p w14:paraId="6ECC759B">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b/>
          <w:bCs/>
          <w:sz w:val="28"/>
          <w:szCs w:val="28"/>
          <w:lang w:val="en-US" w:eastAsia="zh-CN"/>
        </w:rPr>
        <w:t>47.</w:t>
      </w:r>
      <w:r>
        <w:rPr>
          <w:rFonts w:hint="eastAsia" w:ascii="仿宋" w:hAnsi="仿宋" w:eastAsia="仿宋" w:cs="仿宋"/>
          <w:sz w:val="28"/>
          <w:szCs w:val="28"/>
          <w:lang w:eastAsia="zh-CN"/>
        </w:rPr>
        <w:t>如中标人不按本章第4</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条约定签订合同，依照《中华人民共和国政府采购法》《中华人民共和国政府采购法实施条例》《政府采购货物和服务招标投标管理办法》（财政部令第87号）等规定</w:t>
      </w:r>
      <w:r>
        <w:rPr>
          <w:rFonts w:hint="eastAsia" w:ascii="仿宋" w:hAnsi="仿宋" w:eastAsia="仿宋" w:cs="仿宋"/>
          <w:sz w:val="28"/>
          <w:szCs w:val="28"/>
          <w:lang w:val="en-US" w:eastAsia="zh-CN"/>
        </w:rPr>
        <w:t>承</w:t>
      </w:r>
      <w:r>
        <w:rPr>
          <w:rFonts w:hint="eastAsia" w:ascii="仿宋" w:hAnsi="仿宋" w:eastAsia="仿宋" w:cs="仿宋"/>
          <w:sz w:val="28"/>
          <w:szCs w:val="28"/>
          <w:lang w:eastAsia="zh-CN"/>
        </w:rPr>
        <w:t>担相应的违约责任）。采购人可在按照评审报告推荐的中标或者成交候选人名单排序，确定下一中标候选人为中标人，也可以重新开展政府采购活动。</w:t>
      </w:r>
    </w:p>
    <w:p w14:paraId="587AE0E3">
      <w:pPr>
        <w:keepNext/>
        <w:keepLines/>
        <w:pageBreakBefore w:val="0"/>
        <w:wordWrap/>
        <w:topLinePunct w:val="0"/>
        <w:bidi w:val="0"/>
        <w:spacing w:line="360" w:lineRule="auto"/>
        <w:rPr>
          <w:rFonts w:hint="eastAsia" w:ascii="仿宋" w:hAnsi="仿宋" w:eastAsia="仿宋" w:cs="仿宋"/>
          <w:b/>
          <w:color w:val="auto"/>
          <w:kern w:val="0"/>
          <w:sz w:val="28"/>
          <w:szCs w:val="28"/>
          <w:lang w:val="en-US" w:eastAsia="zh-CN"/>
        </w:rPr>
      </w:pPr>
      <w:r>
        <w:rPr>
          <w:rFonts w:hint="eastAsia" w:ascii="仿宋" w:hAnsi="仿宋" w:eastAsia="仿宋" w:cs="仿宋"/>
          <w:b/>
          <w:color w:val="auto"/>
          <w:kern w:val="0"/>
          <w:sz w:val="28"/>
          <w:szCs w:val="28"/>
          <w:lang w:val="en-US" w:eastAsia="zh-CN"/>
        </w:rPr>
        <w:t>48.招标代理费</w:t>
      </w:r>
    </w:p>
    <w:p w14:paraId="0374A5FA">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本项目是否由中标人向</w:t>
      </w:r>
      <w:r>
        <w:rPr>
          <w:rFonts w:hint="eastAsia" w:ascii="仿宋" w:hAnsi="仿宋" w:eastAsia="仿宋" w:cs="仿宋"/>
          <w:sz w:val="28"/>
          <w:szCs w:val="28"/>
          <w:lang w:eastAsia="zh-CN"/>
        </w:rPr>
        <w:t>集中采购机构</w:t>
      </w:r>
      <w:r>
        <w:rPr>
          <w:rFonts w:hint="eastAsia" w:ascii="仿宋" w:hAnsi="仿宋" w:eastAsia="仿宋" w:cs="仿宋"/>
          <w:sz w:val="28"/>
          <w:szCs w:val="28"/>
          <w:lang w:val="en-US" w:eastAsia="zh-CN"/>
        </w:rPr>
        <w:t>支付招标代理费，按照投标人须知前附表规定执行。</w:t>
      </w:r>
    </w:p>
    <w:p w14:paraId="0ACBBAAA">
      <w:pPr>
        <w:keepNext/>
        <w:keepLines/>
        <w:pageBreakBefore w:val="0"/>
        <w:wordWrap/>
        <w:topLinePunct w:val="0"/>
        <w:bidi w:val="0"/>
        <w:spacing w:line="360" w:lineRule="auto"/>
        <w:rPr>
          <w:rFonts w:hint="eastAsia" w:ascii="仿宋" w:hAnsi="仿宋" w:eastAsia="仿宋" w:cs="仿宋"/>
          <w:b/>
          <w:color w:val="auto"/>
          <w:kern w:val="0"/>
          <w:sz w:val="28"/>
          <w:szCs w:val="28"/>
          <w:lang w:val="en-US" w:eastAsia="zh-CN"/>
        </w:rPr>
      </w:pPr>
      <w:r>
        <w:rPr>
          <w:rFonts w:hint="eastAsia" w:ascii="仿宋" w:hAnsi="仿宋" w:eastAsia="仿宋" w:cs="仿宋"/>
          <w:b/>
          <w:color w:val="auto"/>
          <w:kern w:val="0"/>
          <w:sz w:val="28"/>
          <w:szCs w:val="28"/>
          <w:lang w:val="en-US" w:eastAsia="zh-CN"/>
        </w:rPr>
        <w:t>49.质疑的提出与接收</w:t>
      </w:r>
    </w:p>
    <w:p w14:paraId="392494E4">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eastAsia" w:ascii="仿宋" w:hAnsi="仿宋" w:eastAsia="仿宋" w:cs="仿宋"/>
          <w:sz w:val="28"/>
          <w:szCs w:val="28"/>
          <w:lang w:eastAsia="zh-CN"/>
        </w:rPr>
        <w:t>集中采购机构</w:t>
      </w:r>
      <w:r>
        <w:rPr>
          <w:rFonts w:hint="eastAsia" w:ascii="仿宋" w:hAnsi="仿宋" w:eastAsia="仿宋" w:cs="仿宋"/>
          <w:sz w:val="28"/>
          <w:szCs w:val="28"/>
          <w:lang w:val="en-US" w:eastAsia="zh-CN"/>
        </w:rPr>
        <w:t>提出书面质疑。</w:t>
      </w:r>
    </w:p>
    <w:p w14:paraId="5A53239B">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306D0FA7">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49.3 质疑供应商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6A18528F">
      <w:pPr>
        <w:pageBreakBefore w:val="0"/>
        <w:wordWrap/>
        <w:topLinePunct w:val="0"/>
        <w:bidi w:val="0"/>
        <w:spacing w:line="360" w:lineRule="auto"/>
        <w:rPr>
          <w:rFonts w:hint="eastAsia" w:ascii="仿宋" w:hAnsi="仿宋" w:eastAsia="仿宋" w:cs="仿宋"/>
          <w:sz w:val="28"/>
          <w:szCs w:val="28"/>
          <w:lang w:eastAsia="zh-CN"/>
        </w:rPr>
      </w:pPr>
    </w:p>
    <w:p w14:paraId="3D60FE4C">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bookmarkStart w:id="279" w:name="_Toc1108985532"/>
      <w:bookmarkStart w:id="280" w:name="_Toc2106161628_WPSOffice_Level2"/>
      <w:bookmarkStart w:id="281" w:name="_Toc1719815385"/>
      <w:bookmarkStart w:id="282" w:name="_Toc1786314322"/>
      <w:bookmarkStart w:id="283" w:name="_Toc65811364"/>
      <w:bookmarkStart w:id="284" w:name="_Toc449097168_WPSOffice_Level2"/>
      <w:bookmarkStart w:id="285" w:name="_Toc1226187921"/>
      <w:bookmarkStart w:id="286" w:name="_Toc1294126331"/>
      <w:bookmarkStart w:id="287" w:name="_Toc1766978063_WPSOffice_Level2"/>
      <w:bookmarkStart w:id="288" w:name="_Toc1014127690"/>
      <w:bookmarkStart w:id="289" w:name="_Toc512476358"/>
      <w:bookmarkStart w:id="290" w:name="_Toc691566780"/>
      <w:bookmarkStart w:id="291" w:name="_Toc1615377744"/>
      <w:bookmarkStart w:id="292" w:name="_Toc2042622906"/>
      <w:bookmarkStart w:id="293" w:name="_Toc2050602757_WPSOffice_Level2"/>
      <w:r>
        <w:rPr>
          <w:rFonts w:hint="eastAsia" w:ascii="仿宋" w:hAnsi="仿宋" w:eastAsia="仿宋" w:cs="仿宋"/>
          <w:b/>
          <w:bCs w:val="0"/>
          <w:color w:val="auto"/>
          <w:kern w:val="0"/>
          <w:sz w:val="30"/>
          <w:szCs w:val="30"/>
          <w:lang w:val="en-US" w:eastAsia="zh-CN"/>
        </w:rPr>
        <w:t>八、需要补充的其他内容</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010C18EC">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50.需要补充的其他内容：见“投标人须知前附表”。</w:t>
      </w:r>
    </w:p>
    <w:p w14:paraId="1146B0A7">
      <w:pPr>
        <w:pageBreakBefore w:val="0"/>
        <w:wordWrap/>
        <w:topLinePunct w:val="0"/>
        <w:bidi w:val="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51.本文件中的“以上”、“以下”、“以内”、“届满”，包括本数；所称的“不满”“不足”、“超过”、“以外”，不包括本数。</w:t>
      </w:r>
    </w:p>
    <w:p w14:paraId="39283D19">
      <w:pPr>
        <w:pageBreakBefore w:val="0"/>
        <w:wordWrap/>
        <w:topLinePunct w:val="0"/>
        <w:bidi w:val="0"/>
        <w:spacing w:line="360" w:lineRule="auto"/>
        <w:rPr>
          <w:rFonts w:hint="eastAsia" w:ascii="仿宋" w:hAnsi="仿宋" w:eastAsia="仿宋" w:cs="仿宋"/>
          <w:sz w:val="28"/>
          <w:szCs w:val="28"/>
          <w:lang w:eastAsia="zh-CN"/>
        </w:rPr>
      </w:pPr>
    </w:p>
    <w:p w14:paraId="6FDC1F75">
      <w:pPr>
        <w:pStyle w:val="2"/>
        <w:pageBreakBefore w:val="0"/>
        <w:wordWrap/>
        <w:topLinePunct w:val="0"/>
        <w:bidi w:val="0"/>
        <w:spacing w:line="360" w:lineRule="auto"/>
        <w:jc w:val="center"/>
        <w:rPr>
          <w:rFonts w:hint="eastAsia" w:ascii="仿宋" w:hAnsi="仿宋" w:eastAsia="仿宋" w:cs="仿宋"/>
          <w:color w:val="auto"/>
          <w:sz w:val="72"/>
          <w:szCs w:val="72"/>
          <w:lang w:val="en-US" w:eastAsia="zh-CN"/>
        </w:rPr>
      </w:pPr>
      <w:r>
        <w:rPr>
          <w:rFonts w:hint="eastAsia" w:ascii="仿宋" w:hAnsi="仿宋" w:eastAsia="仿宋" w:cs="仿宋"/>
          <w:lang w:eastAsia="zh-CN"/>
        </w:rPr>
        <w:br w:type="page"/>
      </w:r>
      <w:bookmarkEnd w:id="147"/>
      <w:bookmarkEnd w:id="148"/>
      <w:bookmarkEnd w:id="149"/>
      <w:bookmarkStart w:id="294" w:name="_Toc1034668100"/>
      <w:bookmarkStart w:id="295" w:name="_Toc1644299675"/>
      <w:bookmarkStart w:id="296" w:name="_Toc1415346380_WPSOffice_Level1"/>
      <w:bookmarkStart w:id="297" w:name="_Toc308141697"/>
      <w:bookmarkStart w:id="298" w:name="_Toc839610870"/>
      <w:bookmarkStart w:id="299" w:name="_Toc335147862_WPSOffice_Level1"/>
      <w:bookmarkStart w:id="300" w:name="_Toc237350522_WPSOffice_Level1"/>
      <w:bookmarkStart w:id="301" w:name="_Toc1266214712"/>
      <w:bookmarkStart w:id="302" w:name="_Toc1589952972_WPSOffice_Level1"/>
      <w:bookmarkStart w:id="303" w:name="_Toc904602471"/>
      <w:bookmarkStart w:id="304" w:name="_Toc1839196008_WPSOffice_Level1"/>
      <w:bookmarkStart w:id="305" w:name="_Toc300363790"/>
      <w:bookmarkStart w:id="306" w:name="_Toc310774132_WPSOffice_Level1"/>
      <w:bookmarkStart w:id="307" w:name="_Toc764191523_WPSOffice_Level1"/>
      <w:bookmarkStart w:id="308" w:name="_Toc63558279_WPSOffice_Level1"/>
      <w:bookmarkStart w:id="309" w:name="_Toc21022630"/>
      <w:bookmarkStart w:id="310" w:name="_Toc981831182"/>
      <w:bookmarkStart w:id="311" w:name="_Toc1340807913"/>
      <w:bookmarkStart w:id="312" w:name="_Toc476316221"/>
      <w:bookmarkStart w:id="313" w:name="_Toc2024009066"/>
      <w:bookmarkStart w:id="314" w:name="_Toc2100027940"/>
      <w:bookmarkStart w:id="315" w:name="_Toc140667688"/>
      <w:bookmarkStart w:id="316" w:name="_Toc22552"/>
      <w:r>
        <w:rPr>
          <w:rFonts w:hint="eastAsia" w:ascii="仿宋" w:hAnsi="仿宋" w:eastAsia="仿宋" w:cs="仿宋"/>
          <w:color w:val="auto"/>
          <w:sz w:val="36"/>
          <w:szCs w:val="36"/>
          <w:lang w:val="en-US" w:eastAsia="zh-CN"/>
        </w:rPr>
        <w:t xml:space="preserve">第四章 </w:t>
      </w:r>
      <w:r>
        <w:rPr>
          <w:rFonts w:hint="eastAsia" w:ascii="仿宋" w:hAnsi="仿宋" w:eastAsia="仿宋" w:cs="仿宋"/>
          <w:color w:val="auto"/>
          <w:sz w:val="36"/>
          <w:szCs w:val="36"/>
          <w:lang w:eastAsia="zh-CN"/>
        </w:rPr>
        <w:t>资格证明文件格式</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78A552E1">
      <w:pPr>
        <w:pageBreakBefore w:val="0"/>
        <w:tabs>
          <w:tab w:val="left" w:pos="1950"/>
        </w:tabs>
        <w:wordWrap/>
        <w:topLinePunct w:val="0"/>
        <w:bidi w:val="0"/>
        <w:spacing w:line="360" w:lineRule="auto"/>
        <w:jc w:val="center"/>
        <w:rPr>
          <w:rFonts w:hint="eastAsia" w:asciiTheme="majorEastAsia" w:hAnsiTheme="majorEastAsia" w:eastAsiaTheme="majorEastAsia" w:cstheme="majorEastAsia"/>
          <w:b/>
          <w:bCs/>
          <w:color w:val="auto"/>
          <w:sz w:val="52"/>
          <w:szCs w:val="52"/>
          <w:lang w:val="en" w:eastAsia="zh-CN"/>
        </w:rPr>
      </w:pPr>
      <w:r>
        <w:rPr>
          <w:rFonts w:hint="eastAsia" w:asciiTheme="majorEastAsia" w:hAnsiTheme="majorEastAsia" w:eastAsiaTheme="majorEastAsia" w:cstheme="majorEastAsia"/>
          <w:b/>
          <w:bCs/>
          <w:color w:val="auto"/>
          <w:sz w:val="52"/>
          <w:szCs w:val="52"/>
          <w:lang w:val="en" w:eastAsia="zh-CN"/>
        </w:rPr>
        <w:t>洛阳师范学院2026-2028年度教学区域物业管理服务项目</w:t>
      </w:r>
    </w:p>
    <w:p w14:paraId="386A9814">
      <w:pPr>
        <w:pageBreakBefore w:val="0"/>
        <w:tabs>
          <w:tab w:val="left" w:pos="1950"/>
        </w:tabs>
        <w:wordWrap/>
        <w:topLinePunct w:val="0"/>
        <w:bidi w:val="0"/>
        <w:spacing w:line="360" w:lineRule="auto"/>
        <w:jc w:val="left"/>
        <w:rPr>
          <w:rFonts w:hint="eastAsia" w:ascii="仿宋" w:hAnsi="仿宋" w:eastAsia="仿宋" w:cs="仿宋"/>
          <w:b/>
          <w:bCs/>
          <w:color w:val="auto"/>
          <w:lang w:val="en-US" w:eastAsia="zh-CN"/>
        </w:rPr>
      </w:pPr>
    </w:p>
    <w:p w14:paraId="09F47ACD">
      <w:pPr>
        <w:pageBreakBefore w:val="0"/>
        <w:tabs>
          <w:tab w:val="left" w:pos="1950"/>
        </w:tabs>
        <w:wordWrap/>
        <w:topLinePunct w:val="0"/>
        <w:bidi w:val="0"/>
        <w:spacing w:line="360" w:lineRule="auto"/>
        <w:jc w:val="left"/>
        <w:rPr>
          <w:rFonts w:hint="eastAsia" w:ascii="仿宋" w:hAnsi="仿宋" w:eastAsia="仿宋" w:cs="仿宋"/>
          <w:b/>
          <w:bCs/>
          <w:color w:val="auto"/>
          <w:lang w:val="en-US" w:eastAsia="zh-CN"/>
        </w:rPr>
      </w:pPr>
    </w:p>
    <w:p w14:paraId="591634A7">
      <w:pPr>
        <w:pageBreakBefore w:val="0"/>
        <w:tabs>
          <w:tab w:val="left" w:pos="1950"/>
        </w:tabs>
        <w:wordWrap/>
        <w:topLinePunct w:val="0"/>
        <w:bidi w:val="0"/>
        <w:spacing w:line="360" w:lineRule="auto"/>
        <w:jc w:val="left"/>
        <w:rPr>
          <w:rFonts w:hint="eastAsia" w:ascii="仿宋" w:hAnsi="仿宋" w:eastAsia="仿宋" w:cs="仿宋"/>
          <w:b/>
          <w:bCs/>
          <w:color w:val="auto"/>
          <w:lang w:val="en-US" w:eastAsia="zh-CN"/>
        </w:rPr>
      </w:pPr>
    </w:p>
    <w:p w14:paraId="47854243">
      <w:pPr>
        <w:pageBreakBefore w:val="0"/>
        <w:wordWrap/>
        <w:topLinePunct w:val="0"/>
        <w:bidi w:val="0"/>
        <w:spacing w:line="360" w:lineRule="auto"/>
        <w:jc w:val="center"/>
        <w:rPr>
          <w:rFonts w:hint="eastAsia" w:ascii="宋体" w:hAnsi="宋体" w:eastAsia="宋体" w:cs="宋体"/>
          <w:b/>
          <w:bCs/>
          <w:color w:val="auto"/>
          <w:sz w:val="96"/>
          <w:szCs w:val="96"/>
          <w:lang w:eastAsia="zh-CN"/>
        </w:rPr>
      </w:pPr>
      <w:bookmarkStart w:id="317" w:name="_Toc338411508_WPSOffice_Level3"/>
      <w:r>
        <w:rPr>
          <w:rFonts w:hint="eastAsia" w:ascii="宋体" w:hAnsi="宋体" w:eastAsia="宋体" w:cs="宋体"/>
          <w:b/>
          <w:color w:val="auto"/>
          <w:sz w:val="96"/>
          <w:szCs w:val="96"/>
          <w:lang w:eastAsia="zh-CN"/>
        </w:rPr>
        <w:t>资格证明文件</w:t>
      </w:r>
      <w:bookmarkEnd w:id="317"/>
    </w:p>
    <w:p w14:paraId="2EF4E0D7">
      <w:pPr>
        <w:pageBreakBefore w:val="0"/>
        <w:widowControl w:val="0"/>
        <w:tabs>
          <w:tab w:val="left" w:pos="1950"/>
        </w:tabs>
        <w:wordWrap/>
        <w:topLinePunct w:val="0"/>
        <w:bidi w:val="0"/>
        <w:spacing w:line="360" w:lineRule="auto"/>
        <w:jc w:val="center"/>
        <w:rPr>
          <w:rFonts w:hint="eastAsia" w:ascii="宋体" w:hAnsi="宋体" w:eastAsia="宋体" w:cs="宋体"/>
          <w:b/>
          <w:color w:val="auto"/>
          <w:sz w:val="36"/>
          <w:szCs w:val="36"/>
          <w:lang w:eastAsia="zh-CN"/>
        </w:rPr>
      </w:pPr>
    </w:p>
    <w:p w14:paraId="38A115E7">
      <w:pPr>
        <w:pageBreakBefore w:val="0"/>
        <w:widowControl w:val="0"/>
        <w:tabs>
          <w:tab w:val="left" w:pos="1950"/>
        </w:tabs>
        <w:wordWrap/>
        <w:topLinePunct w:val="0"/>
        <w:bidi w:val="0"/>
        <w:spacing w:line="360" w:lineRule="auto"/>
        <w:jc w:val="center"/>
        <w:rPr>
          <w:rFonts w:hint="eastAsia" w:ascii="宋体" w:hAnsi="宋体" w:eastAsia="宋体" w:cs="宋体"/>
          <w:b/>
          <w:color w:val="auto"/>
          <w:sz w:val="36"/>
          <w:szCs w:val="36"/>
          <w:lang w:val="en" w:eastAsia="zh-CN"/>
        </w:rPr>
      </w:pPr>
      <w:r>
        <w:rPr>
          <w:rFonts w:hint="eastAsia" w:ascii="宋体" w:hAnsi="宋体" w:eastAsia="宋体" w:cs="宋体"/>
          <w:b/>
          <w:color w:val="auto"/>
          <w:sz w:val="36"/>
          <w:szCs w:val="36"/>
          <w:lang w:eastAsia="zh-CN"/>
        </w:rPr>
        <w:t>采购编号：</w:t>
      </w:r>
      <w:r>
        <w:rPr>
          <w:rFonts w:hint="eastAsia" w:ascii="宋体" w:hAnsi="宋体" w:eastAsia="宋体" w:cs="宋体"/>
          <w:b/>
          <w:color w:val="auto"/>
          <w:sz w:val="36"/>
          <w:szCs w:val="36"/>
          <w:lang w:val="en" w:eastAsia="zh-CN"/>
        </w:rPr>
        <w:t xml:space="preserve">豫财招标采购-2025-1520 </w:t>
      </w:r>
    </w:p>
    <w:p w14:paraId="3E316A21">
      <w:pPr>
        <w:pageBreakBefore w:val="0"/>
        <w:widowControl w:val="0"/>
        <w:wordWrap/>
        <w:topLinePunct w:val="0"/>
        <w:bidi w:val="0"/>
        <w:spacing w:line="360" w:lineRule="auto"/>
        <w:ind w:left="1080" w:leftChars="257" w:hanging="540"/>
        <w:rPr>
          <w:rFonts w:hint="eastAsia" w:ascii="仿宋" w:hAnsi="仿宋" w:eastAsia="仿宋" w:cs="仿宋"/>
          <w:b/>
          <w:color w:val="auto"/>
          <w:sz w:val="28"/>
          <w:szCs w:val="24"/>
          <w:lang w:val="en-US" w:eastAsia="zh-CN"/>
        </w:rPr>
      </w:pPr>
    </w:p>
    <w:p w14:paraId="3C6FC387">
      <w:pPr>
        <w:pageBreakBefore w:val="0"/>
        <w:widowControl w:val="0"/>
        <w:wordWrap/>
        <w:topLinePunct w:val="0"/>
        <w:bidi w:val="0"/>
        <w:spacing w:line="360" w:lineRule="auto"/>
        <w:ind w:left="1080" w:leftChars="257" w:hanging="540"/>
        <w:rPr>
          <w:rFonts w:hint="eastAsia" w:ascii="仿宋" w:hAnsi="仿宋" w:eastAsia="仿宋" w:cs="仿宋"/>
          <w:b/>
          <w:color w:val="auto"/>
          <w:sz w:val="28"/>
          <w:szCs w:val="24"/>
          <w:lang w:val="en-US" w:eastAsia="zh-CN"/>
        </w:rPr>
      </w:pPr>
    </w:p>
    <w:p w14:paraId="6DFEDC88">
      <w:pPr>
        <w:pageBreakBefore w:val="0"/>
        <w:widowControl w:val="0"/>
        <w:wordWrap/>
        <w:topLinePunct w:val="0"/>
        <w:bidi w:val="0"/>
        <w:spacing w:line="360" w:lineRule="auto"/>
        <w:rPr>
          <w:rFonts w:hint="eastAsia" w:ascii="仿宋" w:hAnsi="仿宋" w:eastAsia="仿宋" w:cs="仿宋"/>
          <w:b/>
          <w:color w:val="auto"/>
          <w:sz w:val="52"/>
          <w:szCs w:val="24"/>
          <w:lang w:val="en-US" w:eastAsia="zh-CN"/>
        </w:rPr>
      </w:pPr>
    </w:p>
    <w:p w14:paraId="6BF3A193">
      <w:pPr>
        <w:pageBreakBefore w:val="0"/>
        <w:widowControl w:val="0"/>
        <w:wordWrap/>
        <w:topLinePunct w:val="0"/>
        <w:autoSpaceDE w:val="0"/>
        <w:autoSpaceDN w:val="0"/>
        <w:bidi w:val="0"/>
        <w:adjustRightInd w:val="0"/>
        <w:spacing w:line="360" w:lineRule="auto"/>
        <w:ind w:firstLine="1446" w:firstLineChars="400"/>
        <w:rPr>
          <w:rFonts w:hint="eastAsia" w:ascii="仿宋" w:hAnsi="仿宋" w:eastAsia="仿宋" w:cs="仿宋"/>
          <w:b/>
          <w:color w:val="auto"/>
          <w:sz w:val="36"/>
          <w:szCs w:val="36"/>
          <w:lang w:val="en-US" w:eastAsia="zh-CN"/>
        </w:rPr>
      </w:pPr>
      <w:r>
        <w:rPr>
          <w:rFonts w:hint="eastAsia" w:ascii="仿宋" w:hAnsi="仿宋" w:eastAsia="仿宋" w:cs="仿宋"/>
          <w:b/>
          <w:color w:val="auto"/>
          <w:sz w:val="36"/>
          <w:szCs w:val="36"/>
          <w:lang w:val="en-US" w:eastAsia="zh-CN"/>
        </w:rPr>
        <w:t>投标人（企业电子签章）：</w:t>
      </w:r>
    </w:p>
    <w:p w14:paraId="60F755C2">
      <w:pPr>
        <w:pStyle w:val="166"/>
        <w:pageBreakBefore w:val="0"/>
        <w:wordWrap/>
        <w:topLinePunct w:val="0"/>
        <w:bidi w:val="0"/>
        <w:spacing w:line="360" w:lineRule="auto"/>
        <w:ind w:firstLine="0"/>
        <w:rPr>
          <w:rFonts w:hint="eastAsia" w:ascii="仿宋" w:hAnsi="仿宋" w:eastAsia="仿宋" w:cs="仿宋"/>
          <w:color w:val="auto"/>
          <w:sz w:val="36"/>
          <w:szCs w:val="36"/>
          <w:lang w:val="en-US" w:eastAsia="zh-CN"/>
        </w:rPr>
      </w:pPr>
    </w:p>
    <w:p w14:paraId="305E92A7">
      <w:pPr>
        <w:pStyle w:val="166"/>
        <w:pageBreakBefore w:val="0"/>
        <w:wordWrap/>
        <w:topLinePunct w:val="0"/>
        <w:bidi w:val="0"/>
        <w:spacing w:line="360" w:lineRule="auto"/>
        <w:ind w:firstLine="0"/>
        <w:rPr>
          <w:rFonts w:hint="eastAsia" w:ascii="仿宋" w:hAnsi="仿宋" w:eastAsia="仿宋" w:cs="仿宋"/>
          <w:color w:val="auto"/>
          <w:lang w:eastAsia="zh-CN"/>
        </w:rPr>
      </w:pPr>
    </w:p>
    <w:p w14:paraId="38F281A0">
      <w:pPr>
        <w:pageBreakBefore w:val="0"/>
        <w:tabs>
          <w:tab w:val="left" w:pos="5580"/>
        </w:tabs>
        <w:wordWrap/>
        <w:topLinePunct w:val="0"/>
        <w:bidi w:val="0"/>
        <w:spacing w:line="360" w:lineRule="auto"/>
        <w:ind w:firstLine="480"/>
        <w:rPr>
          <w:rFonts w:hint="eastAsia" w:ascii="仿宋" w:hAnsi="仿宋" w:eastAsia="仿宋" w:cs="仿宋"/>
          <w:color w:val="auto"/>
          <w:sz w:val="28"/>
          <w:szCs w:val="28"/>
          <w:lang w:val="en-US" w:eastAsia="zh-CN"/>
        </w:rPr>
      </w:pPr>
      <w:bookmarkStart w:id="318" w:name="_Toc32436634_WPSOffice_Level3"/>
      <w:bookmarkStart w:id="319" w:name="_Toc1004915804_WPSOffice_Level3"/>
    </w:p>
    <w:p w14:paraId="6E921D5C">
      <w:pPr>
        <w:pageBreakBefore w:val="0"/>
        <w:wordWrap/>
        <w:topLinePunct w:val="0"/>
        <w:bidi w:val="0"/>
        <w:spacing w:line="360" w:lineRule="auto"/>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br w:type="page"/>
      </w:r>
      <w:r>
        <w:rPr>
          <w:rFonts w:hint="eastAsia" w:ascii="仿宋" w:hAnsi="仿宋" w:eastAsia="仿宋" w:cs="仿宋"/>
          <w:b/>
          <w:bCs/>
          <w:sz w:val="36"/>
          <w:szCs w:val="36"/>
          <w:lang w:val="en-US" w:eastAsia="zh-CN"/>
        </w:rPr>
        <w:t>目 录</w:t>
      </w:r>
    </w:p>
    <w:p w14:paraId="27859EA9">
      <w:pPr>
        <w:pageBreakBefore w:val="0"/>
        <w:tabs>
          <w:tab w:val="left" w:pos="5580"/>
        </w:tabs>
        <w:wordWrap/>
        <w:topLinePunct w:val="0"/>
        <w:bidi w:val="0"/>
        <w:spacing w:line="360" w:lineRule="auto"/>
        <w:ind w:firstLine="480"/>
        <w:rPr>
          <w:rFonts w:hint="eastAsia" w:ascii="仿宋" w:hAnsi="仿宋" w:eastAsia="仿宋" w:cs="仿宋"/>
          <w:color w:val="auto"/>
          <w:sz w:val="28"/>
          <w:szCs w:val="28"/>
          <w:lang w:val="en-US" w:eastAsia="zh-CN"/>
        </w:rPr>
      </w:pPr>
    </w:p>
    <w:bookmarkEnd w:id="318"/>
    <w:bookmarkEnd w:id="319"/>
    <w:p w14:paraId="55F943BF">
      <w:pPr>
        <w:pageBreakBefore w:val="0"/>
        <w:tabs>
          <w:tab w:val="left" w:pos="5580"/>
        </w:tabs>
        <w:wordWrap/>
        <w:topLinePunct w:val="0"/>
        <w:bidi w:val="0"/>
        <w:spacing w:line="360" w:lineRule="auto"/>
        <w:ind w:firstLine="480"/>
        <w:rPr>
          <w:rFonts w:hint="eastAsia" w:ascii="仿宋" w:hAnsi="仿宋" w:eastAsia="仿宋" w:cs="仿宋"/>
          <w:color w:val="auto"/>
          <w:kern w:val="0"/>
          <w:sz w:val="28"/>
          <w:szCs w:val="28"/>
          <w:lang w:eastAsia="zh-CN"/>
        </w:rPr>
      </w:pPr>
      <w:bookmarkStart w:id="320" w:name="_Toc561764264_WPSOffice_Level2"/>
      <w:r>
        <w:rPr>
          <w:rFonts w:hint="eastAsia" w:ascii="仿宋" w:hAnsi="仿宋" w:eastAsia="仿宋" w:cs="仿宋"/>
          <w:color w:val="auto"/>
          <w:kern w:val="0"/>
          <w:sz w:val="28"/>
          <w:szCs w:val="28"/>
          <w:lang w:val="en-US" w:eastAsia="zh-CN"/>
        </w:rPr>
        <w:t>一、</w:t>
      </w:r>
      <w:r>
        <w:rPr>
          <w:rFonts w:hint="eastAsia" w:ascii="仿宋" w:hAnsi="仿宋" w:eastAsia="仿宋" w:cs="仿宋"/>
          <w:color w:val="auto"/>
          <w:kern w:val="0"/>
          <w:sz w:val="28"/>
          <w:szCs w:val="28"/>
          <w:lang w:eastAsia="zh-CN"/>
        </w:rPr>
        <w:t>法人或者其他组织的营业执照等证明文件或自然人的身份证明</w:t>
      </w:r>
      <w:bookmarkEnd w:id="320"/>
    </w:p>
    <w:p w14:paraId="45FE1583">
      <w:pPr>
        <w:pageBreakBefore w:val="0"/>
        <w:tabs>
          <w:tab w:val="left" w:pos="5580"/>
        </w:tabs>
        <w:wordWrap/>
        <w:topLinePunct w:val="0"/>
        <w:bidi w:val="0"/>
        <w:spacing w:line="360" w:lineRule="auto"/>
        <w:ind w:firstLine="480"/>
        <w:rPr>
          <w:rFonts w:hint="eastAsia" w:ascii="仿宋" w:hAnsi="仿宋" w:eastAsia="仿宋" w:cs="仿宋"/>
          <w:color w:val="auto"/>
          <w:kern w:val="0"/>
          <w:sz w:val="28"/>
          <w:szCs w:val="28"/>
          <w:lang w:eastAsia="zh-CN"/>
        </w:rPr>
      </w:pPr>
      <w:bookmarkStart w:id="321" w:name="_Toc835682095_WPSOffice_Level3"/>
      <w:bookmarkStart w:id="322" w:name="_Toc317745705_WPSOffice_Level2"/>
      <w:bookmarkStart w:id="323" w:name="_Toc371659587_WPSOffice_Level3"/>
      <w:r>
        <w:rPr>
          <w:rFonts w:hint="eastAsia" w:ascii="仿宋" w:hAnsi="仿宋" w:eastAsia="仿宋" w:cs="仿宋"/>
          <w:color w:val="auto"/>
          <w:kern w:val="0"/>
          <w:sz w:val="28"/>
          <w:szCs w:val="28"/>
          <w:lang w:val="en-US" w:eastAsia="zh-CN"/>
        </w:rPr>
        <w:t>二、</w:t>
      </w:r>
      <w:r>
        <w:rPr>
          <w:rFonts w:hint="eastAsia" w:ascii="仿宋" w:hAnsi="仿宋" w:eastAsia="仿宋" w:cs="仿宋"/>
          <w:color w:val="auto"/>
          <w:kern w:val="0"/>
          <w:sz w:val="28"/>
          <w:szCs w:val="28"/>
          <w:lang w:eastAsia="zh-CN"/>
        </w:rPr>
        <w:t>具有良好的商业信誉和健全的财务会计制度</w:t>
      </w:r>
      <w:bookmarkEnd w:id="321"/>
      <w:bookmarkEnd w:id="322"/>
      <w:bookmarkEnd w:id="323"/>
    </w:p>
    <w:p w14:paraId="2EEF4646">
      <w:pPr>
        <w:pageBreakBefore w:val="0"/>
        <w:tabs>
          <w:tab w:val="left" w:pos="5580"/>
        </w:tabs>
        <w:wordWrap/>
        <w:topLinePunct w:val="0"/>
        <w:bidi w:val="0"/>
        <w:spacing w:line="360" w:lineRule="auto"/>
        <w:ind w:firstLine="480"/>
        <w:rPr>
          <w:rFonts w:hint="eastAsia" w:ascii="仿宋" w:hAnsi="仿宋" w:eastAsia="仿宋" w:cs="仿宋"/>
          <w:color w:val="auto"/>
          <w:kern w:val="0"/>
          <w:sz w:val="28"/>
          <w:szCs w:val="28"/>
          <w:lang w:eastAsia="zh-CN"/>
        </w:rPr>
      </w:pPr>
      <w:bookmarkStart w:id="324" w:name="_Toc294801548_WPSOffice_Level2"/>
      <w:bookmarkStart w:id="325" w:name="_Toc1150235750_WPSOffice_Level3"/>
      <w:bookmarkStart w:id="326" w:name="_Toc1104501183_WPSOffice_Level3"/>
      <w:r>
        <w:rPr>
          <w:rFonts w:hint="eastAsia" w:ascii="仿宋" w:hAnsi="仿宋" w:eastAsia="仿宋" w:cs="仿宋"/>
          <w:color w:val="auto"/>
          <w:kern w:val="0"/>
          <w:sz w:val="28"/>
          <w:szCs w:val="28"/>
          <w:lang w:val="en-US" w:eastAsia="zh-CN"/>
        </w:rPr>
        <w:t>三、</w:t>
      </w:r>
      <w:r>
        <w:rPr>
          <w:rFonts w:hint="eastAsia" w:ascii="仿宋" w:hAnsi="仿宋" w:eastAsia="仿宋" w:cs="仿宋"/>
          <w:color w:val="auto"/>
          <w:kern w:val="0"/>
          <w:sz w:val="28"/>
          <w:szCs w:val="28"/>
          <w:lang w:eastAsia="zh-CN"/>
        </w:rPr>
        <w:t>依法缴纳税收和社会保障资金的良好记录</w:t>
      </w:r>
      <w:bookmarkEnd w:id="324"/>
      <w:bookmarkEnd w:id="325"/>
      <w:bookmarkEnd w:id="326"/>
    </w:p>
    <w:p w14:paraId="276138CA">
      <w:pPr>
        <w:pageBreakBefore w:val="0"/>
        <w:tabs>
          <w:tab w:val="left" w:pos="5580"/>
        </w:tabs>
        <w:wordWrap/>
        <w:topLinePunct w:val="0"/>
        <w:bidi w:val="0"/>
        <w:spacing w:line="360" w:lineRule="auto"/>
        <w:ind w:firstLine="480"/>
        <w:rPr>
          <w:rFonts w:hint="eastAsia" w:ascii="仿宋" w:hAnsi="仿宋" w:eastAsia="仿宋" w:cs="仿宋"/>
          <w:color w:val="auto"/>
          <w:kern w:val="0"/>
          <w:sz w:val="28"/>
          <w:szCs w:val="28"/>
          <w:lang w:eastAsia="zh-CN"/>
        </w:rPr>
      </w:pPr>
      <w:bookmarkStart w:id="327" w:name="_Toc749118665_WPSOffice_Level2"/>
      <w:bookmarkStart w:id="328" w:name="_Toc568308316_WPSOffice_Level3"/>
      <w:bookmarkStart w:id="329" w:name="_Toc765241243_WPSOffice_Level3"/>
      <w:bookmarkStart w:id="330" w:name="_Toc281235268_WPSOffice_Level3"/>
      <w:bookmarkStart w:id="331" w:name="_Toc2065680076_WPSOffice_Level3"/>
      <w:r>
        <w:rPr>
          <w:rFonts w:hint="eastAsia" w:ascii="仿宋" w:hAnsi="仿宋" w:eastAsia="仿宋" w:cs="仿宋"/>
          <w:color w:val="auto"/>
          <w:kern w:val="0"/>
          <w:sz w:val="28"/>
          <w:szCs w:val="28"/>
          <w:lang w:val="en-US" w:eastAsia="zh-CN"/>
        </w:rPr>
        <w:t>四、</w:t>
      </w:r>
      <w:r>
        <w:rPr>
          <w:rFonts w:hint="eastAsia" w:ascii="仿宋" w:hAnsi="仿宋" w:eastAsia="仿宋" w:cs="仿宋"/>
          <w:color w:val="auto"/>
          <w:kern w:val="0"/>
          <w:sz w:val="28"/>
          <w:szCs w:val="28"/>
          <w:lang w:eastAsia="zh-CN"/>
        </w:rPr>
        <w:t>具有履行合同所必需的设备和专业技术能力</w:t>
      </w:r>
      <w:bookmarkEnd w:id="327"/>
      <w:bookmarkEnd w:id="328"/>
      <w:bookmarkEnd w:id="329"/>
    </w:p>
    <w:p w14:paraId="1CEE970E">
      <w:pPr>
        <w:pageBreakBefore w:val="0"/>
        <w:tabs>
          <w:tab w:val="left" w:pos="5580"/>
        </w:tabs>
        <w:wordWrap/>
        <w:topLinePunct w:val="0"/>
        <w:bidi w:val="0"/>
        <w:spacing w:line="360" w:lineRule="auto"/>
        <w:ind w:firstLine="480"/>
        <w:rPr>
          <w:rFonts w:hint="eastAsia" w:ascii="仿宋" w:hAnsi="仿宋" w:eastAsia="仿宋" w:cs="仿宋"/>
          <w:color w:val="auto"/>
          <w:kern w:val="0"/>
          <w:sz w:val="28"/>
          <w:szCs w:val="28"/>
          <w:lang w:eastAsia="zh-CN"/>
        </w:rPr>
      </w:pPr>
      <w:bookmarkStart w:id="332" w:name="_Toc865995009_WPSOffice_Level2"/>
      <w:r>
        <w:rPr>
          <w:rFonts w:hint="eastAsia" w:ascii="仿宋" w:hAnsi="仿宋" w:eastAsia="仿宋" w:cs="仿宋"/>
          <w:color w:val="auto"/>
          <w:kern w:val="0"/>
          <w:sz w:val="28"/>
          <w:szCs w:val="28"/>
          <w:lang w:val="en-US" w:eastAsia="zh-CN"/>
        </w:rPr>
        <w:t>五、</w:t>
      </w:r>
      <w:r>
        <w:rPr>
          <w:rFonts w:hint="eastAsia" w:ascii="仿宋" w:hAnsi="仿宋" w:eastAsia="仿宋" w:cs="仿宋"/>
          <w:color w:val="auto"/>
          <w:kern w:val="0"/>
          <w:sz w:val="28"/>
          <w:szCs w:val="28"/>
          <w:lang w:eastAsia="zh-CN"/>
        </w:rPr>
        <w:t>参加政府采购活动前</w:t>
      </w: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lang w:eastAsia="zh-CN"/>
        </w:rPr>
        <w:t>年内在经营活动中没有重大违法记录的</w:t>
      </w:r>
      <w:bookmarkEnd w:id="330"/>
      <w:bookmarkEnd w:id="331"/>
      <w:r>
        <w:rPr>
          <w:rFonts w:hint="eastAsia" w:ascii="仿宋" w:hAnsi="仿宋" w:eastAsia="仿宋" w:cs="仿宋"/>
          <w:color w:val="auto"/>
          <w:kern w:val="0"/>
          <w:sz w:val="28"/>
          <w:szCs w:val="28"/>
          <w:lang w:eastAsia="zh-CN"/>
        </w:rPr>
        <w:t>声明</w:t>
      </w:r>
      <w:bookmarkEnd w:id="332"/>
    </w:p>
    <w:p w14:paraId="7841866C">
      <w:pPr>
        <w:pageBreakBefore w:val="0"/>
        <w:tabs>
          <w:tab w:val="left" w:pos="5580"/>
        </w:tabs>
        <w:wordWrap/>
        <w:topLinePunct w:val="0"/>
        <w:bidi w:val="0"/>
        <w:spacing w:line="360" w:lineRule="auto"/>
        <w:ind w:firstLine="480"/>
        <w:rPr>
          <w:rFonts w:hint="eastAsia" w:ascii="仿宋" w:hAnsi="仿宋" w:eastAsia="仿宋" w:cs="仿宋"/>
          <w:color w:val="auto"/>
          <w:kern w:val="0"/>
          <w:sz w:val="28"/>
          <w:szCs w:val="28"/>
          <w:lang w:val="en-US" w:eastAsia="zh-CN"/>
        </w:rPr>
      </w:pPr>
      <w:bookmarkStart w:id="333" w:name="_Toc2005223374_WPSOffice_Level3"/>
      <w:bookmarkStart w:id="334" w:name="_Toc1395634740_WPSOffice_Level2"/>
      <w:bookmarkStart w:id="335" w:name="_Toc141596040_WPSOffice_Level3"/>
      <w:r>
        <w:rPr>
          <w:rFonts w:hint="eastAsia" w:ascii="仿宋" w:hAnsi="仿宋" w:eastAsia="仿宋" w:cs="仿宋"/>
          <w:color w:val="auto"/>
          <w:kern w:val="0"/>
          <w:sz w:val="28"/>
          <w:szCs w:val="28"/>
          <w:lang w:val="en-US" w:eastAsia="zh-CN"/>
        </w:rPr>
        <w:t>六、“国家企业信用信息公示系统”的企业信息、股东（出资人）查询证明</w:t>
      </w:r>
    </w:p>
    <w:p w14:paraId="7EE69B6F">
      <w:pPr>
        <w:pageBreakBefore w:val="0"/>
        <w:tabs>
          <w:tab w:val="left" w:pos="5580"/>
        </w:tabs>
        <w:wordWrap/>
        <w:topLinePunct w:val="0"/>
        <w:bidi w:val="0"/>
        <w:spacing w:line="360" w:lineRule="auto"/>
        <w:ind w:firstLine="480"/>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val="en-US" w:eastAsia="zh-CN"/>
        </w:rPr>
        <w:t>七、</w:t>
      </w:r>
      <w:r>
        <w:rPr>
          <w:rFonts w:hint="eastAsia" w:ascii="仿宋" w:hAnsi="仿宋" w:eastAsia="仿宋" w:cs="仿宋"/>
          <w:color w:val="auto"/>
          <w:kern w:val="0"/>
          <w:sz w:val="28"/>
          <w:szCs w:val="28"/>
          <w:lang w:eastAsia="zh-CN"/>
        </w:rPr>
        <w:t>其他资格证明文件</w:t>
      </w:r>
      <w:bookmarkEnd w:id="333"/>
      <w:bookmarkEnd w:id="334"/>
      <w:bookmarkEnd w:id="335"/>
    </w:p>
    <w:p w14:paraId="10087714">
      <w:pPr>
        <w:pageBreakBefore w:val="0"/>
        <w:tabs>
          <w:tab w:val="left" w:pos="5580"/>
        </w:tabs>
        <w:wordWrap/>
        <w:topLinePunct w:val="0"/>
        <w:bidi w:val="0"/>
        <w:spacing w:line="360" w:lineRule="auto"/>
        <w:ind w:left="1" w:firstLine="564"/>
        <w:rPr>
          <w:rFonts w:hint="eastAsia" w:ascii="仿宋" w:hAnsi="仿宋" w:eastAsia="仿宋" w:cs="仿宋"/>
          <w:color w:val="auto"/>
          <w:sz w:val="28"/>
          <w:szCs w:val="28"/>
          <w:lang w:val="en-US" w:eastAsia="zh-CN"/>
        </w:rPr>
      </w:pPr>
    </w:p>
    <w:p w14:paraId="4352FC14">
      <w:pPr>
        <w:pageBreakBefore w:val="0"/>
        <w:tabs>
          <w:tab w:val="left" w:pos="5580"/>
        </w:tabs>
        <w:wordWrap/>
        <w:topLinePunct w:val="0"/>
        <w:bidi w:val="0"/>
        <w:spacing w:line="360" w:lineRule="auto"/>
        <w:ind w:left="1" w:firstLine="564"/>
        <w:rPr>
          <w:rFonts w:hint="eastAsia" w:ascii="仿宋" w:hAnsi="仿宋" w:eastAsia="仿宋" w:cs="仿宋"/>
          <w:color w:val="auto"/>
          <w:sz w:val="24"/>
          <w:szCs w:val="24"/>
          <w:lang w:val="en-US" w:eastAsia="zh-CN"/>
        </w:rPr>
      </w:pPr>
    </w:p>
    <w:p w14:paraId="64D8F521">
      <w:pPr>
        <w:pageBreakBefore w:val="0"/>
        <w:tabs>
          <w:tab w:val="left" w:pos="5580"/>
        </w:tabs>
        <w:wordWrap/>
        <w:topLinePunct w:val="0"/>
        <w:bidi w:val="0"/>
        <w:spacing w:line="360" w:lineRule="auto"/>
        <w:ind w:left="1" w:firstLine="564"/>
        <w:rPr>
          <w:rFonts w:hint="eastAsia" w:ascii="仿宋" w:hAnsi="仿宋" w:eastAsia="仿宋" w:cs="仿宋"/>
          <w:color w:val="auto"/>
          <w:sz w:val="24"/>
          <w:szCs w:val="24"/>
          <w:lang w:val="en-US" w:eastAsia="zh-CN"/>
        </w:rPr>
      </w:pPr>
    </w:p>
    <w:p w14:paraId="0CF88DDE">
      <w:pPr>
        <w:pageBreakBefore w:val="0"/>
        <w:tabs>
          <w:tab w:val="left" w:pos="5580"/>
        </w:tabs>
        <w:wordWrap/>
        <w:topLinePunct w:val="0"/>
        <w:bidi w:val="0"/>
        <w:spacing w:line="360" w:lineRule="auto"/>
        <w:ind w:left="1" w:firstLine="658"/>
        <w:rPr>
          <w:rFonts w:hint="eastAsia" w:ascii="仿宋" w:hAnsi="仿宋" w:eastAsia="仿宋" w:cs="仿宋"/>
          <w:color w:val="auto"/>
          <w:sz w:val="28"/>
          <w:szCs w:val="28"/>
          <w:lang w:val="en-US" w:eastAsia="zh-CN"/>
        </w:rPr>
      </w:pPr>
    </w:p>
    <w:p w14:paraId="0167763C">
      <w:pPr>
        <w:pageBreakBefore w:val="0"/>
        <w:tabs>
          <w:tab w:val="left" w:pos="5580"/>
        </w:tabs>
        <w:wordWrap/>
        <w:topLinePunct w:val="0"/>
        <w:bidi w:val="0"/>
        <w:spacing w:line="360" w:lineRule="auto"/>
        <w:ind w:left="1" w:firstLine="658"/>
        <w:rPr>
          <w:rFonts w:hint="eastAsia" w:ascii="仿宋" w:hAnsi="仿宋" w:eastAsia="仿宋" w:cs="仿宋"/>
          <w:color w:val="auto"/>
          <w:sz w:val="28"/>
          <w:szCs w:val="28"/>
          <w:lang w:val="en-US" w:eastAsia="zh-CN"/>
        </w:rPr>
      </w:pPr>
    </w:p>
    <w:p w14:paraId="5C3095E1">
      <w:pPr>
        <w:pageBreakBefore w:val="0"/>
        <w:tabs>
          <w:tab w:val="left" w:pos="5580"/>
        </w:tabs>
        <w:wordWrap/>
        <w:topLinePunct w:val="0"/>
        <w:bidi w:val="0"/>
        <w:spacing w:line="360" w:lineRule="auto"/>
        <w:ind w:left="1" w:firstLine="658"/>
        <w:rPr>
          <w:rFonts w:hint="eastAsia" w:ascii="仿宋" w:hAnsi="仿宋" w:eastAsia="仿宋" w:cs="仿宋"/>
          <w:color w:val="auto"/>
          <w:sz w:val="28"/>
          <w:szCs w:val="28"/>
          <w:lang w:val="en-US" w:eastAsia="zh-CN"/>
        </w:rPr>
      </w:pPr>
    </w:p>
    <w:p w14:paraId="2A630859">
      <w:pPr>
        <w:pageBreakBefore w:val="0"/>
        <w:wordWrap/>
        <w:topLinePunct w:val="0"/>
        <w:bidi w:val="0"/>
        <w:spacing w:line="360" w:lineRule="auto"/>
        <w:jc w:val="left"/>
        <w:rPr>
          <w:rFonts w:hint="eastAsia" w:ascii="仿宋" w:hAnsi="仿宋" w:eastAsia="仿宋" w:cs="仿宋"/>
          <w:color w:val="auto"/>
          <w:sz w:val="28"/>
          <w:szCs w:val="28"/>
          <w:lang w:eastAsia="zh-CN"/>
        </w:rPr>
      </w:pPr>
      <w:bookmarkStart w:id="336" w:name="_Toc1892257381_WPSOffice_Level3"/>
      <w:bookmarkStart w:id="337" w:name="_Toc1666758381"/>
      <w:bookmarkStart w:id="338" w:name="_Toc740001715"/>
      <w:bookmarkStart w:id="339" w:name="_Toc442868323"/>
      <w:r>
        <w:rPr>
          <w:rFonts w:hint="eastAsia" w:ascii="仿宋" w:hAnsi="仿宋" w:eastAsia="仿宋" w:cs="仿宋"/>
          <w:b/>
          <w:bCs/>
          <w:color w:val="auto"/>
          <w:sz w:val="28"/>
          <w:szCs w:val="28"/>
          <w:lang w:eastAsia="zh-CN"/>
        </w:rPr>
        <w:br w:type="page"/>
      </w:r>
      <w:bookmarkEnd w:id="336"/>
      <w:bookmarkEnd w:id="337"/>
      <w:bookmarkEnd w:id="338"/>
      <w:bookmarkEnd w:id="339"/>
    </w:p>
    <w:p w14:paraId="2D945325">
      <w:pPr>
        <w:keepNext/>
        <w:keepLines/>
        <w:pageBreakBefore w:val="0"/>
        <w:widowControl w:val="0"/>
        <w:wordWrap/>
        <w:topLinePunct w:val="0"/>
        <w:autoSpaceDE w:val="0"/>
        <w:autoSpaceDN w:val="0"/>
        <w:bidi w:val="0"/>
        <w:adjustRightInd w:val="0"/>
        <w:spacing w:line="360" w:lineRule="auto"/>
        <w:ind w:left="420" w:leftChars="200" w:right="420" w:rightChars="200"/>
        <w:jc w:val="center"/>
        <w:outlineLvl w:val="1"/>
        <w:rPr>
          <w:rFonts w:hint="eastAsia" w:ascii="仿宋" w:hAnsi="仿宋" w:eastAsia="仿宋" w:cs="仿宋"/>
          <w:b/>
          <w:bCs w:val="0"/>
          <w:color w:val="auto"/>
          <w:kern w:val="0"/>
          <w:sz w:val="30"/>
          <w:szCs w:val="30"/>
          <w:lang w:val="en-US" w:eastAsia="zh-CN"/>
        </w:rPr>
      </w:pPr>
      <w:bookmarkStart w:id="340" w:name="_Toc262140077"/>
      <w:bookmarkStart w:id="341" w:name="_Toc1793820901_WPSOffice_Level3"/>
      <w:bookmarkStart w:id="342" w:name="_Toc730361247"/>
      <w:bookmarkStart w:id="343" w:name="_Toc1950934252"/>
      <w:bookmarkStart w:id="344" w:name="_Toc1399186289"/>
      <w:bookmarkStart w:id="345" w:name="_Toc1876865389"/>
      <w:bookmarkStart w:id="346" w:name="_Toc540046896"/>
      <w:bookmarkStart w:id="347" w:name="_Toc717704405"/>
      <w:bookmarkStart w:id="348" w:name="_Toc831756679"/>
      <w:bookmarkStart w:id="349" w:name="_Toc1480748811"/>
      <w:bookmarkStart w:id="350" w:name="_Toc1541909372_WPSOffice_Level3"/>
      <w:bookmarkStart w:id="351" w:name="_Toc1274130635"/>
      <w:bookmarkStart w:id="352" w:name="_Toc1881529819"/>
      <w:bookmarkStart w:id="353" w:name="_Toc1728315286_WPSOffice_Level2"/>
      <w:r>
        <w:rPr>
          <w:rFonts w:hint="eastAsia" w:ascii="仿宋" w:hAnsi="仿宋" w:eastAsia="仿宋" w:cs="仿宋"/>
          <w:b/>
          <w:bCs w:val="0"/>
          <w:color w:val="auto"/>
          <w:kern w:val="0"/>
          <w:sz w:val="30"/>
          <w:szCs w:val="30"/>
          <w:lang w:val="en-US" w:eastAsia="zh-CN"/>
        </w:rPr>
        <w:t>一、</w:t>
      </w:r>
      <w:bookmarkEnd w:id="340"/>
      <w:bookmarkEnd w:id="341"/>
      <w:bookmarkEnd w:id="342"/>
      <w:bookmarkEnd w:id="343"/>
      <w:bookmarkEnd w:id="344"/>
      <w:bookmarkEnd w:id="345"/>
      <w:bookmarkEnd w:id="346"/>
      <w:bookmarkEnd w:id="347"/>
      <w:bookmarkEnd w:id="348"/>
      <w:bookmarkEnd w:id="349"/>
      <w:bookmarkEnd w:id="350"/>
      <w:bookmarkEnd w:id="351"/>
      <w:r>
        <w:rPr>
          <w:rFonts w:hint="eastAsia" w:ascii="仿宋" w:hAnsi="仿宋" w:eastAsia="仿宋" w:cs="仿宋"/>
          <w:b/>
          <w:bCs w:val="0"/>
          <w:color w:val="auto"/>
          <w:kern w:val="0"/>
          <w:sz w:val="30"/>
          <w:szCs w:val="30"/>
          <w:lang w:val="en-US" w:eastAsia="zh-CN"/>
        </w:rPr>
        <w:t>法人或者其他组织的营业执照等证明文件或自然人的身份证明</w:t>
      </w:r>
      <w:bookmarkEnd w:id="352"/>
      <w:bookmarkEnd w:id="353"/>
    </w:p>
    <w:p w14:paraId="3AF61145">
      <w:pPr>
        <w:pageBreakBefore w:val="0"/>
        <w:wordWrap/>
        <w:topLinePunct w:val="0"/>
        <w:bidi w:val="0"/>
        <w:spacing w:line="360" w:lineRule="auto"/>
        <w:rPr>
          <w:rFonts w:hint="eastAsia" w:ascii="仿宋" w:hAnsi="仿宋" w:eastAsia="仿宋" w:cs="仿宋"/>
          <w:color w:val="auto"/>
          <w:lang w:eastAsia="zh-CN"/>
        </w:rPr>
      </w:pPr>
    </w:p>
    <w:p w14:paraId="752C7D75">
      <w:pPr>
        <w:pStyle w:val="197"/>
        <w:pageBreakBefore w:val="0"/>
        <w:tabs>
          <w:tab w:val="left" w:pos="5580"/>
        </w:tabs>
        <w:wordWrap/>
        <w:topLinePunct w:val="0"/>
        <w:bidi w:val="0"/>
        <w:spacing w:line="360" w:lineRule="auto"/>
        <w:ind w:left="540" w:firstLine="480"/>
        <w:jc w:val="center"/>
        <w:rPr>
          <w:rFonts w:hint="eastAsia" w:ascii="仿宋" w:hAnsi="仿宋" w:eastAsia="仿宋" w:cs="仿宋"/>
          <w:b/>
          <w:bCs/>
          <w:color w:val="auto"/>
          <w:sz w:val="24"/>
          <w:szCs w:val="24"/>
        </w:rPr>
      </w:pPr>
    </w:p>
    <w:p w14:paraId="09723FF3">
      <w:pPr>
        <w:pStyle w:val="197"/>
        <w:pageBreakBefore w:val="0"/>
        <w:tabs>
          <w:tab w:val="left" w:pos="5580"/>
        </w:tabs>
        <w:wordWrap/>
        <w:topLinePunct w:val="0"/>
        <w:bidi w:val="0"/>
        <w:spacing w:line="360" w:lineRule="auto"/>
        <w:rPr>
          <w:rFonts w:hint="eastAsia" w:ascii="仿宋" w:hAnsi="仿宋" w:eastAsia="仿宋" w:cs="仿宋"/>
          <w:color w:val="auto"/>
          <w:sz w:val="28"/>
          <w:szCs w:val="28"/>
          <w:lang w:val="zh-TW"/>
        </w:rPr>
      </w:pPr>
      <w:r>
        <w:rPr>
          <w:rFonts w:hint="eastAsia" w:ascii="仿宋" w:hAnsi="仿宋" w:eastAsia="仿宋" w:cs="仿宋"/>
          <w:color w:val="auto"/>
          <w:sz w:val="28"/>
          <w:szCs w:val="28"/>
          <w:lang w:val="zh-TW"/>
        </w:rPr>
        <w:t>说明：1.提供有效的营业执照等证明文件原件或复印件的扫描件。</w:t>
      </w:r>
    </w:p>
    <w:p w14:paraId="151F650A">
      <w:pPr>
        <w:pStyle w:val="197"/>
        <w:pageBreakBefore w:val="0"/>
        <w:tabs>
          <w:tab w:val="left" w:pos="5580"/>
        </w:tabs>
        <w:wordWrap/>
        <w:topLinePunct w:val="0"/>
        <w:bidi w:val="0"/>
        <w:spacing w:line="360" w:lineRule="auto"/>
        <w:rPr>
          <w:rFonts w:hint="eastAsia" w:ascii="仿宋" w:hAnsi="仿宋" w:eastAsia="仿宋" w:cs="仿宋"/>
          <w:color w:val="auto"/>
          <w:sz w:val="28"/>
          <w:szCs w:val="28"/>
          <w:lang w:val="zh-TW"/>
        </w:rPr>
      </w:pPr>
      <w:bookmarkStart w:id="354" w:name="_Toc2081420463_WPSOffice_Level3"/>
      <w:bookmarkStart w:id="355" w:name="_Toc67715126_WPSOffice_Level3"/>
      <w:r>
        <w:rPr>
          <w:rFonts w:hint="eastAsia" w:ascii="仿宋" w:hAnsi="仿宋" w:eastAsia="仿宋" w:cs="仿宋"/>
          <w:color w:val="auto"/>
          <w:sz w:val="28"/>
          <w:szCs w:val="28"/>
          <w:lang w:val="zh-TW"/>
        </w:rPr>
        <w:t>2.投标人为自然人的，应提供身份证明的</w:t>
      </w:r>
      <w:bookmarkEnd w:id="354"/>
      <w:bookmarkEnd w:id="355"/>
      <w:r>
        <w:rPr>
          <w:rFonts w:hint="eastAsia" w:ascii="仿宋" w:hAnsi="仿宋" w:eastAsia="仿宋" w:cs="仿宋"/>
          <w:color w:val="auto"/>
          <w:sz w:val="28"/>
          <w:szCs w:val="28"/>
          <w:lang w:val="zh-TW"/>
        </w:rPr>
        <w:t>原件或复印件的扫描件。</w:t>
      </w:r>
    </w:p>
    <w:p w14:paraId="7F269D36">
      <w:pPr>
        <w:pStyle w:val="197"/>
        <w:pageBreakBefore w:val="0"/>
        <w:tabs>
          <w:tab w:val="left" w:pos="5580"/>
        </w:tabs>
        <w:wordWrap/>
        <w:topLinePunct w:val="0"/>
        <w:bidi w:val="0"/>
        <w:spacing w:line="360" w:lineRule="auto"/>
        <w:rPr>
          <w:rFonts w:hint="eastAsia" w:ascii="仿宋" w:hAnsi="仿宋" w:eastAsia="仿宋" w:cs="仿宋"/>
          <w:color w:val="auto"/>
          <w:sz w:val="28"/>
          <w:szCs w:val="28"/>
        </w:rPr>
      </w:pPr>
      <w:bookmarkStart w:id="356" w:name="_Toc781251951_WPSOffice_Level3"/>
      <w:bookmarkStart w:id="357" w:name="_Toc1215272460_WPSOffice_Level3"/>
      <w:r>
        <w:rPr>
          <w:rFonts w:hint="eastAsia" w:ascii="仿宋" w:hAnsi="仿宋" w:eastAsia="仿宋" w:cs="仿宋"/>
          <w:color w:val="auto"/>
          <w:sz w:val="28"/>
          <w:szCs w:val="28"/>
          <w:lang w:val="zh-TW"/>
        </w:rPr>
        <w:t>3.联合体投标应提供联合体各方满足以上要求的证明文件。</w:t>
      </w:r>
      <w:bookmarkEnd w:id="356"/>
      <w:bookmarkEnd w:id="357"/>
    </w:p>
    <w:p w14:paraId="13526470">
      <w:pPr>
        <w:pageBreakBefore w:val="0"/>
        <w:wordWrap/>
        <w:topLinePunct w:val="0"/>
        <w:bidi w:val="0"/>
        <w:spacing w:line="360" w:lineRule="auto"/>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br w:type="page"/>
      </w:r>
      <w:bookmarkStart w:id="358" w:name="_Toc456633459_WPSOffice_Level3"/>
      <w:bookmarkStart w:id="359" w:name="_Toc1557063548"/>
      <w:bookmarkStart w:id="360" w:name="_Toc1319467764"/>
      <w:bookmarkStart w:id="361" w:name="_Toc1215314597"/>
      <w:bookmarkStart w:id="362" w:name="_Toc868984799"/>
    </w:p>
    <w:p w14:paraId="0073B2DF">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bookmarkStart w:id="363" w:name="_Toc507196550"/>
      <w:bookmarkStart w:id="364" w:name="_Toc937091873"/>
      <w:bookmarkStart w:id="365" w:name="_Toc1494493586"/>
      <w:bookmarkStart w:id="366" w:name="_Toc1369942731_WPSOffice_Level2"/>
      <w:bookmarkStart w:id="367" w:name="_Toc130649492"/>
      <w:bookmarkStart w:id="368" w:name="_Toc600305591"/>
      <w:bookmarkStart w:id="369" w:name="_Toc370312851"/>
      <w:bookmarkStart w:id="370" w:name="_Toc574791252"/>
      <w:r>
        <w:rPr>
          <w:rFonts w:hint="eastAsia" w:ascii="仿宋" w:hAnsi="仿宋" w:eastAsia="仿宋" w:cs="仿宋"/>
          <w:b/>
          <w:bCs w:val="0"/>
          <w:color w:val="auto"/>
          <w:kern w:val="0"/>
          <w:sz w:val="30"/>
          <w:szCs w:val="30"/>
          <w:lang w:val="en-US" w:eastAsia="zh-CN"/>
        </w:rPr>
        <w:t>二、具有良好的商业信誉和健全的财务会计制度</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7DB557F1">
      <w:pPr>
        <w:pageBreakBefore w:val="0"/>
        <w:wordWrap/>
        <w:topLinePunct w:val="0"/>
        <w:bidi w:val="0"/>
        <w:spacing w:line="360" w:lineRule="auto"/>
        <w:jc w:val="center"/>
        <w:rPr>
          <w:rFonts w:hint="eastAsia" w:ascii="仿宋" w:hAnsi="仿宋" w:eastAsia="仿宋" w:cs="仿宋"/>
          <w:color w:val="auto"/>
          <w:sz w:val="28"/>
          <w:szCs w:val="28"/>
          <w:lang w:eastAsia="zh-CN"/>
        </w:rPr>
      </w:pPr>
    </w:p>
    <w:p w14:paraId="4984489F">
      <w:pPr>
        <w:pageBreakBefore w:val="0"/>
        <w:wordWrap/>
        <w:topLinePunct w:val="0"/>
        <w:bidi w:val="0"/>
        <w:spacing w:line="360" w:lineRule="auto"/>
        <w:rPr>
          <w:rFonts w:hint="eastAsia" w:ascii="仿宋" w:hAnsi="仿宋" w:eastAsia="仿宋" w:cs="仿宋"/>
          <w:color w:val="auto"/>
          <w:lang w:eastAsia="zh-CN"/>
        </w:rPr>
      </w:pPr>
    </w:p>
    <w:p w14:paraId="3A2DECB3">
      <w:pPr>
        <w:pageBreakBefore w:val="0"/>
        <w:tabs>
          <w:tab w:val="left" w:pos="5580"/>
        </w:tabs>
        <w:wordWrap/>
        <w:topLinePunct w:val="0"/>
        <w:bidi w:val="0"/>
        <w:spacing w:line="360" w:lineRule="auto"/>
        <w:ind w:left="1080" w:hanging="54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说明：</w:t>
      </w:r>
    </w:p>
    <w:p w14:paraId="09BA9E13">
      <w:pPr>
        <w:pageBreakBefore w:val="0"/>
        <w:wordWrap/>
        <w:topLinePunct w:val="0"/>
        <w:bidi w:val="0"/>
        <w:spacing w:line="36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提供投标人2024</w:t>
      </w:r>
      <w:r>
        <w:rPr>
          <w:rFonts w:hint="eastAsia" w:ascii="仿宋" w:hAnsi="仿宋" w:eastAsia="仿宋" w:cs="仿宋"/>
          <w:color w:val="auto"/>
          <w:sz w:val="28"/>
          <w:szCs w:val="28"/>
          <w:lang w:val="en" w:eastAsia="zh-CN"/>
        </w:rPr>
        <w:t>年</w:t>
      </w:r>
      <w:r>
        <w:rPr>
          <w:rFonts w:hint="eastAsia" w:ascii="仿宋" w:hAnsi="仿宋" w:eastAsia="仿宋" w:cs="仿宋"/>
          <w:color w:val="auto"/>
          <w:sz w:val="28"/>
          <w:szCs w:val="28"/>
          <w:lang w:val="en-US" w:eastAsia="zh-CN"/>
        </w:rPr>
        <w:t>度经审计的财务报告，要求注册会计师签字并加盖会计师印章；如截止到投标截止时间，投标人成立时间不足1年的，可提供银行资信证明材料。</w:t>
      </w:r>
    </w:p>
    <w:p w14:paraId="66CD616F">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val="0"/>
          <w:color w:val="auto"/>
          <w:sz w:val="30"/>
          <w:szCs w:val="30"/>
          <w:lang w:val="en-US" w:eastAsia="zh-CN"/>
        </w:rPr>
      </w:pPr>
      <w:r>
        <w:rPr>
          <w:rFonts w:hint="eastAsia" w:ascii="仿宋" w:hAnsi="仿宋" w:eastAsia="仿宋" w:cs="仿宋"/>
          <w:color w:val="auto"/>
          <w:sz w:val="24"/>
          <w:szCs w:val="24"/>
          <w:lang w:eastAsia="zh-CN"/>
        </w:rPr>
        <w:br w:type="page"/>
      </w:r>
      <w:bookmarkStart w:id="371" w:name="_Toc1968479748"/>
      <w:bookmarkStart w:id="372" w:name="_Toc2082821673"/>
      <w:bookmarkStart w:id="373" w:name="_Toc281075866"/>
      <w:bookmarkStart w:id="374" w:name="_Toc968053340"/>
      <w:bookmarkStart w:id="375" w:name="_Toc509419906"/>
      <w:bookmarkStart w:id="376" w:name="_Toc1289659840_WPSOffice_Level2"/>
      <w:bookmarkStart w:id="377" w:name="_Toc436443482"/>
      <w:bookmarkStart w:id="378" w:name="_Toc1656782056"/>
      <w:bookmarkStart w:id="379" w:name="_Toc1030212309"/>
      <w:bookmarkStart w:id="380" w:name="_Toc1033381818"/>
      <w:bookmarkStart w:id="381" w:name="_Toc1998858666"/>
      <w:bookmarkStart w:id="382" w:name="_Toc1125237527"/>
      <w:bookmarkStart w:id="383" w:name="_Toc942688044_WPSOffice_Level3"/>
      <w:bookmarkStart w:id="384" w:name="_Toc1079740645"/>
      <w:r>
        <w:rPr>
          <w:rFonts w:hint="eastAsia" w:ascii="仿宋" w:hAnsi="仿宋" w:eastAsia="仿宋" w:cs="仿宋"/>
          <w:b/>
          <w:bCs w:val="0"/>
          <w:color w:val="auto"/>
          <w:kern w:val="0"/>
          <w:sz w:val="30"/>
          <w:szCs w:val="30"/>
          <w:lang w:val="en-US" w:eastAsia="zh-CN"/>
        </w:rPr>
        <w:t>三、依法</w:t>
      </w:r>
      <w:bookmarkEnd w:id="371"/>
      <w:r>
        <w:rPr>
          <w:rFonts w:hint="eastAsia" w:ascii="仿宋" w:hAnsi="仿宋" w:eastAsia="仿宋" w:cs="仿宋"/>
          <w:b/>
          <w:bCs w:val="0"/>
          <w:color w:val="auto"/>
          <w:kern w:val="0"/>
          <w:sz w:val="30"/>
          <w:szCs w:val="30"/>
          <w:lang w:val="en-US" w:eastAsia="zh-CN"/>
        </w:rPr>
        <w:t>缴纳税收和社会保障资金的良好记录</w:t>
      </w:r>
      <w:bookmarkEnd w:id="372"/>
      <w:bookmarkEnd w:id="373"/>
      <w:bookmarkEnd w:id="374"/>
      <w:bookmarkEnd w:id="375"/>
      <w:bookmarkEnd w:id="376"/>
      <w:bookmarkEnd w:id="377"/>
      <w:bookmarkEnd w:id="378"/>
      <w:bookmarkEnd w:id="379"/>
      <w:bookmarkEnd w:id="380"/>
      <w:bookmarkEnd w:id="381"/>
      <w:bookmarkEnd w:id="382"/>
      <w:bookmarkEnd w:id="383"/>
      <w:bookmarkEnd w:id="384"/>
    </w:p>
    <w:p w14:paraId="016682C7">
      <w:pPr>
        <w:pStyle w:val="197"/>
        <w:pageBreakBefore w:val="0"/>
        <w:tabs>
          <w:tab w:val="left" w:pos="5580"/>
        </w:tabs>
        <w:wordWrap/>
        <w:topLinePunct w:val="0"/>
        <w:bidi w:val="0"/>
        <w:spacing w:line="360" w:lineRule="auto"/>
        <w:ind w:left="1080" w:hanging="540"/>
        <w:jc w:val="center"/>
        <w:rPr>
          <w:rFonts w:hint="eastAsia" w:ascii="仿宋" w:hAnsi="仿宋" w:eastAsia="仿宋" w:cs="仿宋"/>
          <w:b/>
          <w:bCs/>
          <w:color w:val="auto"/>
          <w:sz w:val="24"/>
          <w:szCs w:val="24"/>
        </w:rPr>
      </w:pPr>
    </w:p>
    <w:p w14:paraId="3A8FEB21">
      <w:pPr>
        <w:pStyle w:val="197"/>
        <w:pageBreakBefore w:val="0"/>
        <w:tabs>
          <w:tab w:val="left" w:pos="5580"/>
        </w:tabs>
        <w:wordWrap/>
        <w:topLinePunct w:val="0"/>
        <w:bidi w:val="0"/>
        <w:spacing w:line="360" w:lineRule="auto"/>
        <w:ind w:firstLine="560" w:firstLineChars="200"/>
        <w:rPr>
          <w:rFonts w:hint="eastAsia" w:ascii="仿宋" w:hAnsi="仿宋" w:eastAsia="仿宋" w:cs="仿宋"/>
          <w:color w:val="auto"/>
          <w:sz w:val="28"/>
          <w:szCs w:val="28"/>
          <w:lang w:val="zh-TW"/>
        </w:rPr>
      </w:pPr>
      <w:r>
        <w:rPr>
          <w:rFonts w:hint="eastAsia" w:ascii="仿宋" w:hAnsi="仿宋" w:eastAsia="仿宋" w:cs="仿宋"/>
          <w:color w:val="auto"/>
          <w:sz w:val="28"/>
          <w:szCs w:val="28"/>
          <w:lang w:val="zh-TW"/>
        </w:rPr>
        <w:t>说明：</w:t>
      </w:r>
    </w:p>
    <w:p w14:paraId="0DD6FCF4">
      <w:pPr>
        <w:pStyle w:val="197"/>
        <w:pageBreakBefore w:val="0"/>
        <w:tabs>
          <w:tab w:val="left" w:pos="5580"/>
        </w:tabs>
        <w:wordWrap/>
        <w:topLinePunct w:val="0"/>
        <w:bidi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1.具有依法缴纳税收和社会保障资金的相关材料（提供自2025年1月1日以来至少一个月的纳税证明和社保缴纳证明，依法免税或不需要缴纳社会保障资金的，应提供相应文件证明其依法免税或不需要缴纳）。</w:t>
      </w:r>
    </w:p>
    <w:p w14:paraId="43649AED">
      <w:pPr>
        <w:pStyle w:val="197"/>
        <w:pageBreakBefore w:val="0"/>
        <w:tabs>
          <w:tab w:val="left" w:pos="5580"/>
        </w:tabs>
        <w:wordWrap/>
        <w:topLinePunct w:val="0"/>
        <w:bidi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2.如果是联合体投标，联合体各方均需提供相关材料。</w:t>
      </w:r>
    </w:p>
    <w:p w14:paraId="23F43E5A">
      <w:pPr>
        <w:pageBreakBefore w:val="0"/>
        <w:tabs>
          <w:tab w:val="left" w:pos="5580"/>
        </w:tabs>
        <w:wordWrap/>
        <w:topLinePunct w:val="0"/>
        <w:bidi w:val="0"/>
        <w:spacing w:line="360" w:lineRule="auto"/>
        <w:rPr>
          <w:rFonts w:hint="eastAsia" w:ascii="仿宋" w:hAnsi="仿宋" w:eastAsia="仿宋" w:cs="仿宋"/>
          <w:color w:val="auto"/>
          <w:sz w:val="28"/>
          <w:szCs w:val="28"/>
          <w:lang w:val="en-US" w:eastAsia="zh-CN"/>
        </w:rPr>
      </w:pPr>
    </w:p>
    <w:p w14:paraId="5C757AAC">
      <w:pPr>
        <w:pStyle w:val="197"/>
        <w:pageBreakBefore w:val="0"/>
        <w:tabs>
          <w:tab w:val="left" w:pos="5580"/>
        </w:tabs>
        <w:wordWrap/>
        <w:topLinePunct w:val="0"/>
        <w:bidi w:val="0"/>
        <w:spacing w:line="360" w:lineRule="auto"/>
        <w:ind w:left="840"/>
        <w:rPr>
          <w:rFonts w:hint="eastAsia" w:ascii="仿宋" w:hAnsi="仿宋" w:eastAsia="仿宋" w:cs="仿宋"/>
          <w:color w:val="auto"/>
          <w:sz w:val="24"/>
          <w:szCs w:val="24"/>
        </w:rPr>
      </w:pPr>
    </w:p>
    <w:p w14:paraId="54D72154">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val="0"/>
          <w:color w:val="auto"/>
          <w:sz w:val="30"/>
          <w:szCs w:val="30"/>
          <w:lang w:val="en-US" w:eastAsia="zh-CN"/>
        </w:rPr>
      </w:pPr>
      <w:r>
        <w:rPr>
          <w:rFonts w:hint="eastAsia" w:ascii="仿宋" w:hAnsi="仿宋" w:eastAsia="仿宋" w:cs="仿宋"/>
          <w:color w:val="auto"/>
          <w:sz w:val="24"/>
          <w:szCs w:val="24"/>
          <w:lang w:eastAsia="zh-CN"/>
        </w:rPr>
        <w:br w:type="page"/>
      </w:r>
      <w:bookmarkStart w:id="385" w:name="_Toc148345819_WPSOffice_Level3"/>
      <w:bookmarkStart w:id="386" w:name="_Toc231434114"/>
      <w:bookmarkStart w:id="387" w:name="_Toc1555857921"/>
      <w:bookmarkStart w:id="388" w:name="_Toc634123008"/>
      <w:bookmarkStart w:id="389" w:name="_Toc933477298"/>
      <w:bookmarkStart w:id="390" w:name="_Toc642483276"/>
      <w:bookmarkStart w:id="391" w:name="_Toc1191619766"/>
      <w:bookmarkStart w:id="392" w:name="_Toc937672964"/>
      <w:bookmarkStart w:id="393" w:name="_Toc1387518291"/>
      <w:bookmarkStart w:id="394" w:name="_Toc62113572_WPSOffice_Level2"/>
      <w:bookmarkStart w:id="395" w:name="_Toc173874035"/>
      <w:bookmarkStart w:id="396" w:name="_Toc1152943509"/>
      <w:bookmarkStart w:id="397" w:name="_Toc29306536"/>
      <w:bookmarkStart w:id="398" w:name="_Toc883013156"/>
      <w:r>
        <w:rPr>
          <w:rFonts w:hint="eastAsia" w:ascii="仿宋" w:hAnsi="仿宋" w:eastAsia="仿宋" w:cs="仿宋"/>
          <w:b/>
          <w:bCs w:val="0"/>
          <w:color w:val="auto"/>
          <w:kern w:val="0"/>
          <w:sz w:val="30"/>
          <w:szCs w:val="30"/>
          <w:lang w:val="en-US" w:eastAsia="zh-CN"/>
        </w:rPr>
        <w:t>四、具有履行合同所必需的设备和专业技术能力</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6BC9E783">
      <w:pPr>
        <w:pageBreakBefore w:val="0"/>
        <w:wordWrap/>
        <w:topLinePunct w:val="0"/>
        <w:bidi w:val="0"/>
        <w:spacing w:line="360" w:lineRule="auto"/>
        <w:jc w:val="left"/>
        <w:rPr>
          <w:rFonts w:hint="eastAsia" w:ascii="仿宋" w:hAnsi="仿宋" w:eastAsia="仿宋" w:cs="仿宋"/>
          <w:color w:val="auto"/>
          <w:kern w:val="2"/>
          <w:sz w:val="28"/>
          <w:szCs w:val="28"/>
          <w:lang w:val="en-US" w:eastAsia="zh-CN" w:bidi="ar-SA"/>
        </w:rPr>
      </w:pPr>
    </w:p>
    <w:p w14:paraId="4905923C">
      <w:pPr>
        <w:pageBreakBefore w:val="0"/>
        <w:wordWrap/>
        <w:topLinePunct w:val="0"/>
        <w:bidi w:val="0"/>
        <w:spacing w:line="360" w:lineRule="auto"/>
        <w:jc w:val="left"/>
        <w:rPr>
          <w:rFonts w:hint="eastAsia" w:ascii="仿宋" w:hAnsi="仿宋" w:eastAsia="仿宋" w:cs="仿宋"/>
          <w:color w:val="auto"/>
          <w:kern w:val="2"/>
          <w:sz w:val="28"/>
          <w:szCs w:val="28"/>
          <w:lang w:val="en" w:eastAsia="zh-CN" w:bidi="ar-SA"/>
        </w:rPr>
      </w:pPr>
      <w:r>
        <w:rPr>
          <w:rFonts w:hint="eastAsia" w:ascii="仿宋" w:hAnsi="仿宋" w:eastAsia="仿宋" w:cs="仿宋"/>
          <w:color w:val="auto"/>
          <w:kern w:val="2"/>
          <w:sz w:val="28"/>
          <w:szCs w:val="28"/>
          <w:lang w:val="en-US" w:eastAsia="zh-CN" w:bidi="ar-SA"/>
        </w:rPr>
        <w:t>致：</w:t>
      </w:r>
      <w:r>
        <w:rPr>
          <w:rFonts w:hint="eastAsia" w:ascii="仿宋" w:hAnsi="仿宋" w:eastAsia="仿宋" w:cs="仿宋"/>
          <w:color w:val="auto"/>
          <w:kern w:val="2"/>
          <w:sz w:val="28"/>
          <w:szCs w:val="28"/>
          <w:u w:val="single"/>
          <w:lang w:val="en" w:eastAsia="zh-CN" w:bidi="ar-SA"/>
        </w:rPr>
        <w:t>洛阳师范学院</w:t>
      </w:r>
    </w:p>
    <w:p w14:paraId="5095823F">
      <w:pPr>
        <w:pageBreakBefore w:val="0"/>
        <w:wordWrap/>
        <w:topLinePunct w:val="0"/>
        <w:bidi w:val="0"/>
        <w:spacing w:line="360" w:lineRule="auto"/>
        <w:ind w:firstLine="560" w:firstLineChars="200"/>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我（单位/本人，以下统称我单位）自愿参加采购项目编号为</w:t>
      </w:r>
      <w:r>
        <w:rPr>
          <w:rFonts w:hint="eastAsia" w:ascii="仿宋" w:hAnsi="仿宋" w:eastAsia="仿宋" w:cs="仿宋"/>
          <w:color w:val="auto"/>
          <w:kern w:val="2"/>
          <w:sz w:val="28"/>
          <w:szCs w:val="28"/>
          <w:u w:val="single"/>
          <w:lang w:val="en" w:eastAsia="zh-CN" w:bidi="ar-SA"/>
        </w:rPr>
        <w:t>豫财招标采购-2025-1520</w:t>
      </w:r>
      <w:r>
        <w:rPr>
          <w:rFonts w:hint="eastAsia" w:ascii="仿宋" w:hAnsi="仿宋" w:eastAsia="仿宋" w:cs="仿宋"/>
          <w:color w:val="auto"/>
          <w:kern w:val="2"/>
          <w:sz w:val="28"/>
          <w:szCs w:val="28"/>
          <w:u w:val="none"/>
          <w:lang w:val="en-US" w:eastAsia="zh-CN" w:bidi="ar-SA"/>
        </w:rPr>
        <w:t>的</w:t>
      </w:r>
      <w:r>
        <w:rPr>
          <w:rFonts w:hint="eastAsia" w:ascii="仿宋" w:hAnsi="仿宋" w:eastAsia="仿宋" w:cs="仿宋"/>
          <w:color w:val="auto"/>
          <w:kern w:val="2"/>
          <w:sz w:val="28"/>
          <w:szCs w:val="28"/>
          <w:u w:val="single"/>
          <w:lang w:val="en" w:eastAsia="zh-CN" w:bidi="ar-SA"/>
        </w:rPr>
        <w:t>洛阳师范学院2026-2028年度教学区域物业管理服务项目</w:t>
      </w:r>
      <w:r>
        <w:rPr>
          <w:rFonts w:hint="eastAsia" w:ascii="仿宋" w:hAnsi="仿宋" w:eastAsia="仿宋" w:cs="仿宋"/>
          <w:color w:val="auto"/>
          <w:kern w:val="2"/>
          <w:sz w:val="28"/>
          <w:szCs w:val="28"/>
          <w:lang w:val="en-US" w:eastAsia="zh-CN" w:bidi="ar-SA"/>
        </w:rPr>
        <w:t>的投标,并做出如下承诺：</w:t>
      </w:r>
    </w:p>
    <w:p w14:paraId="167A90DB">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我方具有履行合同所必需的设备和专业技术能力。</w:t>
      </w:r>
    </w:p>
    <w:p w14:paraId="11482209">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我方保证上述信息的真实和准确，并愿意承担因我方就此弄虚作假所引起的一切法律后果。</w:t>
      </w:r>
    </w:p>
    <w:p w14:paraId="4CC2E6D7">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特此声明！</w:t>
      </w:r>
    </w:p>
    <w:p w14:paraId="6EE2D6CA">
      <w:pPr>
        <w:pageBreakBefore w:val="0"/>
        <w:tabs>
          <w:tab w:val="left" w:pos="6300"/>
        </w:tabs>
        <w:wordWrap/>
        <w:topLinePunct w:val="0"/>
        <w:bidi w:val="0"/>
        <w:snapToGrid w:val="0"/>
        <w:spacing w:line="360" w:lineRule="auto"/>
        <w:ind w:firstLine="277" w:firstLineChars="99"/>
        <w:rPr>
          <w:rFonts w:hint="eastAsia" w:ascii="仿宋" w:hAnsi="仿宋" w:eastAsia="仿宋" w:cs="仿宋"/>
          <w:color w:val="auto"/>
          <w:kern w:val="2"/>
          <w:sz w:val="28"/>
          <w:szCs w:val="28"/>
          <w:lang w:val="en-US" w:eastAsia="zh-CN" w:bidi="ar-SA"/>
        </w:rPr>
      </w:pPr>
    </w:p>
    <w:p w14:paraId="26C04AB0">
      <w:pPr>
        <w:pageBreakBefore w:val="0"/>
        <w:wordWrap/>
        <w:topLinePunct w:val="0"/>
        <w:bidi w:val="0"/>
        <w:spacing w:line="360" w:lineRule="auto"/>
        <w:ind w:firstLine="3640" w:firstLineChars="13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投标人（企业电子签章）：</w:t>
      </w:r>
    </w:p>
    <w:p w14:paraId="2F21522A">
      <w:pPr>
        <w:pageBreakBefore w:val="0"/>
        <w:wordWrap/>
        <w:topLinePunct w:val="0"/>
        <w:bidi w:val="0"/>
        <w:spacing w:line="360" w:lineRule="auto"/>
        <w:ind w:firstLine="420"/>
        <w:jc w:val="right"/>
        <w:rPr>
          <w:rFonts w:hint="eastAsia" w:ascii="仿宋" w:hAnsi="仿宋" w:eastAsia="仿宋" w:cs="仿宋"/>
          <w:color w:val="auto"/>
          <w:sz w:val="28"/>
          <w:szCs w:val="28"/>
          <w:lang w:eastAsia="zh-CN"/>
        </w:rPr>
      </w:pPr>
    </w:p>
    <w:p w14:paraId="0541C2D4">
      <w:pPr>
        <w:pageBreakBefore w:val="0"/>
        <w:wordWrap/>
        <w:topLinePunct w:val="0"/>
        <w:bidi w:val="0"/>
        <w:spacing w:line="360" w:lineRule="auto"/>
        <w:ind w:firstLine="556"/>
        <w:jc w:val="right"/>
        <w:rPr>
          <w:rFonts w:hint="eastAsia" w:ascii="仿宋" w:hAnsi="仿宋" w:eastAsia="仿宋" w:cs="仿宋"/>
          <w:color w:val="auto"/>
          <w:sz w:val="28"/>
          <w:szCs w:val="28"/>
          <w:lang w:eastAsia="zh-CN"/>
        </w:rPr>
      </w:pPr>
    </w:p>
    <w:p w14:paraId="34D0C954">
      <w:pPr>
        <w:pageBreakBefore w:val="0"/>
        <w:tabs>
          <w:tab w:val="left" w:pos="6300"/>
        </w:tabs>
        <w:wordWrap/>
        <w:topLinePunct w:val="0"/>
        <w:bidi w:val="0"/>
        <w:snapToGrid w:val="0"/>
        <w:spacing w:line="360" w:lineRule="auto"/>
        <w:ind w:firstLine="277" w:firstLineChars="99"/>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kern w:val="2"/>
          <w:sz w:val="28"/>
          <w:szCs w:val="28"/>
          <w:lang w:val="en-US" w:eastAsia="zh-CN" w:bidi="ar-SA"/>
        </w:rPr>
        <w:t>日期：</w:t>
      </w:r>
      <w:r>
        <w:rPr>
          <w:rFonts w:hint="eastAsia" w:ascii="仿宋" w:hAnsi="仿宋" w:eastAsia="仿宋" w:cs="仿宋"/>
          <w:color w:val="auto"/>
          <w:kern w:val="2"/>
          <w:sz w:val="28"/>
          <w:szCs w:val="28"/>
          <w:u w:val="single"/>
          <w:lang w:val="en" w:eastAsia="zh-CN" w:bidi="ar-SA"/>
        </w:rPr>
        <w:t xml:space="preserve">      </w:t>
      </w:r>
      <w:r>
        <w:rPr>
          <w:rFonts w:hint="eastAsia" w:ascii="仿宋" w:hAnsi="仿宋" w:eastAsia="仿宋" w:cs="仿宋"/>
          <w:color w:val="auto"/>
          <w:kern w:val="2"/>
          <w:sz w:val="28"/>
          <w:szCs w:val="28"/>
          <w:lang w:val="en-US" w:eastAsia="zh-CN" w:bidi="ar-SA"/>
        </w:rPr>
        <w:t>年</w:t>
      </w:r>
      <w:r>
        <w:rPr>
          <w:rFonts w:hint="eastAsia" w:ascii="仿宋" w:hAnsi="仿宋" w:eastAsia="仿宋" w:cs="仿宋"/>
          <w:color w:val="auto"/>
          <w:kern w:val="2"/>
          <w:sz w:val="28"/>
          <w:szCs w:val="28"/>
          <w:u w:val="single"/>
          <w:lang w:val="en" w:eastAsia="zh-CN" w:bidi="ar-SA"/>
        </w:rPr>
        <w:t xml:space="preserve">   </w:t>
      </w:r>
      <w:r>
        <w:rPr>
          <w:rFonts w:hint="eastAsia" w:ascii="仿宋" w:hAnsi="仿宋" w:eastAsia="仿宋" w:cs="仿宋"/>
          <w:color w:val="auto"/>
          <w:kern w:val="2"/>
          <w:sz w:val="28"/>
          <w:szCs w:val="28"/>
          <w:lang w:val="en-US" w:eastAsia="zh-CN" w:bidi="ar-SA"/>
        </w:rPr>
        <w:t>月</w:t>
      </w:r>
      <w:r>
        <w:rPr>
          <w:rFonts w:hint="eastAsia" w:ascii="仿宋" w:hAnsi="仿宋" w:eastAsia="仿宋" w:cs="仿宋"/>
          <w:color w:val="auto"/>
          <w:kern w:val="2"/>
          <w:sz w:val="28"/>
          <w:szCs w:val="28"/>
          <w:u w:val="single"/>
          <w:lang w:val="en" w:eastAsia="zh-CN" w:bidi="ar-SA"/>
        </w:rPr>
        <w:t xml:space="preserve">   </w:t>
      </w:r>
      <w:r>
        <w:rPr>
          <w:rFonts w:hint="eastAsia" w:ascii="仿宋" w:hAnsi="仿宋" w:eastAsia="仿宋" w:cs="仿宋"/>
          <w:color w:val="auto"/>
          <w:kern w:val="2"/>
          <w:sz w:val="28"/>
          <w:szCs w:val="28"/>
          <w:lang w:val="en-US" w:eastAsia="zh-CN" w:bidi="ar-SA"/>
        </w:rPr>
        <w:t>日</w:t>
      </w:r>
    </w:p>
    <w:p w14:paraId="22DA6DCB">
      <w:pPr>
        <w:pStyle w:val="197"/>
        <w:pageBreakBefore w:val="0"/>
        <w:tabs>
          <w:tab w:val="left" w:pos="5580"/>
        </w:tabs>
        <w:wordWrap/>
        <w:topLinePunct w:val="0"/>
        <w:bidi w:val="0"/>
        <w:spacing w:line="360" w:lineRule="auto"/>
        <w:ind w:left="1080" w:hanging="540"/>
        <w:jc w:val="center"/>
        <w:rPr>
          <w:rFonts w:hint="eastAsia" w:ascii="仿宋" w:hAnsi="仿宋" w:eastAsia="仿宋" w:cs="仿宋"/>
          <w:b/>
          <w:bCs/>
          <w:color w:val="auto"/>
          <w:sz w:val="24"/>
          <w:szCs w:val="24"/>
        </w:rPr>
      </w:pPr>
    </w:p>
    <w:p w14:paraId="5EA84E13">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bookmarkStart w:id="399" w:name="_Toc2058865505"/>
      <w:bookmarkStart w:id="400" w:name="_Toc1835514155"/>
      <w:bookmarkStart w:id="401" w:name="_Toc2139213640"/>
      <w:bookmarkStart w:id="402" w:name="_Toc897167010_WPSOffice_Level3"/>
      <w:bookmarkStart w:id="403" w:name="_Toc1625950936"/>
      <w:bookmarkStart w:id="404" w:name="_Toc1989881438"/>
      <w:bookmarkStart w:id="405" w:name="_Toc933578141"/>
      <w:bookmarkStart w:id="406" w:name="_Toc1206650936"/>
      <w:bookmarkStart w:id="407" w:name="_Toc288533216"/>
      <w:bookmarkStart w:id="408" w:name="_Toc242026376"/>
      <w:bookmarkStart w:id="409" w:name="_Toc683069219"/>
      <w:bookmarkStart w:id="410" w:name="_Toc438911815_WPSOffice_Level2"/>
      <w:bookmarkStart w:id="411" w:name="_Toc15280674"/>
      <w:bookmarkStart w:id="412" w:name="_Toc1596637222"/>
      <w:r>
        <w:rPr>
          <w:rFonts w:hint="eastAsia" w:ascii="仿宋" w:hAnsi="仿宋" w:eastAsia="仿宋" w:cs="仿宋"/>
          <w:b w:val="0"/>
          <w:color w:val="auto"/>
          <w:sz w:val="30"/>
          <w:szCs w:val="30"/>
          <w:lang w:val="en-US" w:eastAsia="zh-CN"/>
        </w:rPr>
        <w:br w:type="page"/>
      </w:r>
      <w:r>
        <w:rPr>
          <w:rFonts w:hint="eastAsia" w:ascii="仿宋" w:hAnsi="仿宋" w:eastAsia="仿宋" w:cs="仿宋"/>
          <w:b/>
          <w:bCs w:val="0"/>
          <w:color w:val="auto"/>
          <w:kern w:val="0"/>
          <w:sz w:val="30"/>
          <w:szCs w:val="30"/>
          <w:lang w:val="en-US" w:eastAsia="zh-CN"/>
        </w:rPr>
        <w:t>五、参加政府采购活动前3年内在经营活动中没有重大违法记录的</w:t>
      </w:r>
      <w:bookmarkEnd w:id="399"/>
      <w:bookmarkEnd w:id="400"/>
      <w:bookmarkEnd w:id="401"/>
      <w:bookmarkEnd w:id="402"/>
      <w:bookmarkEnd w:id="403"/>
      <w:bookmarkEnd w:id="404"/>
      <w:r>
        <w:rPr>
          <w:rFonts w:hint="eastAsia" w:ascii="仿宋" w:hAnsi="仿宋" w:eastAsia="仿宋" w:cs="仿宋"/>
          <w:b/>
          <w:bCs w:val="0"/>
          <w:color w:val="auto"/>
          <w:kern w:val="0"/>
          <w:sz w:val="30"/>
          <w:szCs w:val="30"/>
          <w:lang w:val="en-US" w:eastAsia="zh-CN"/>
        </w:rPr>
        <w:t>声明</w:t>
      </w:r>
      <w:bookmarkEnd w:id="405"/>
      <w:bookmarkEnd w:id="406"/>
      <w:bookmarkEnd w:id="407"/>
      <w:bookmarkEnd w:id="408"/>
      <w:bookmarkEnd w:id="409"/>
      <w:bookmarkEnd w:id="410"/>
      <w:bookmarkEnd w:id="411"/>
      <w:bookmarkEnd w:id="412"/>
    </w:p>
    <w:p w14:paraId="7C2231F7">
      <w:pPr>
        <w:pageBreakBefore w:val="0"/>
        <w:wordWrap/>
        <w:topLinePunct w:val="0"/>
        <w:bidi w:val="0"/>
        <w:spacing w:line="360" w:lineRule="auto"/>
        <w:jc w:val="left"/>
        <w:rPr>
          <w:rFonts w:hint="eastAsia" w:ascii="仿宋" w:hAnsi="仿宋" w:eastAsia="仿宋" w:cs="仿宋"/>
          <w:color w:val="auto"/>
          <w:kern w:val="2"/>
          <w:sz w:val="28"/>
          <w:szCs w:val="28"/>
          <w:lang w:val="en" w:eastAsia="zh-CN" w:bidi="ar-SA"/>
        </w:rPr>
      </w:pPr>
      <w:r>
        <w:rPr>
          <w:rFonts w:hint="eastAsia" w:ascii="仿宋" w:hAnsi="仿宋" w:eastAsia="仿宋" w:cs="仿宋"/>
          <w:color w:val="auto"/>
          <w:kern w:val="2"/>
          <w:sz w:val="28"/>
          <w:szCs w:val="28"/>
          <w:lang w:val="en-US" w:eastAsia="zh-CN" w:bidi="ar-SA"/>
        </w:rPr>
        <w:t>致：</w:t>
      </w:r>
      <w:r>
        <w:rPr>
          <w:rFonts w:hint="eastAsia" w:ascii="仿宋" w:hAnsi="仿宋" w:eastAsia="仿宋" w:cs="仿宋"/>
          <w:color w:val="auto"/>
          <w:kern w:val="2"/>
          <w:sz w:val="28"/>
          <w:szCs w:val="28"/>
          <w:u w:val="single"/>
          <w:lang w:val="en" w:eastAsia="zh-CN" w:bidi="ar-SA"/>
        </w:rPr>
        <w:t>洛阳师范学院</w:t>
      </w:r>
    </w:p>
    <w:p w14:paraId="4F412AD8">
      <w:pPr>
        <w:pageBreakBefore w:val="0"/>
        <w:wordWrap/>
        <w:topLinePunct w:val="0"/>
        <w:bidi w:val="0"/>
        <w:spacing w:line="360" w:lineRule="auto"/>
        <w:ind w:firstLine="560" w:firstLineChars="200"/>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我（单位/本人，以下统称我单位）自愿参加采购项目编号为</w:t>
      </w:r>
      <w:r>
        <w:rPr>
          <w:rFonts w:hint="eastAsia" w:ascii="仿宋" w:hAnsi="仿宋" w:eastAsia="仿宋" w:cs="仿宋"/>
          <w:color w:val="auto"/>
          <w:kern w:val="2"/>
          <w:sz w:val="28"/>
          <w:szCs w:val="28"/>
          <w:u w:val="single"/>
          <w:lang w:val="en" w:eastAsia="zh-CN" w:bidi="ar-SA"/>
        </w:rPr>
        <w:t>豫财招标采购-2025-1520</w:t>
      </w:r>
      <w:r>
        <w:rPr>
          <w:rFonts w:hint="eastAsia" w:ascii="仿宋" w:hAnsi="仿宋" w:eastAsia="仿宋" w:cs="仿宋"/>
          <w:color w:val="auto"/>
          <w:kern w:val="2"/>
          <w:sz w:val="28"/>
          <w:szCs w:val="28"/>
          <w:u w:val="none"/>
          <w:lang w:val="en-US" w:eastAsia="zh-CN" w:bidi="ar-SA"/>
        </w:rPr>
        <w:t>的</w:t>
      </w:r>
      <w:r>
        <w:rPr>
          <w:rFonts w:hint="eastAsia" w:ascii="仿宋" w:hAnsi="仿宋" w:eastAsia="仿宋" w:cs="仿宋"/>
          <w:color w:val="auto"/>
          <w:kern w:val="2"/>
          <w:sz w:val="28"/>
          <w:szCs w:val="28"/>
          <w:u w:val="single"/>
          <w:lang w:val="en" w:eastAsia="zh-CN" w:bidi="ar-SA"/>
        </w:rPr>
        <w:t>洛阳师范学院2026-2028年度教学区域物业管理服务项目</w:t>
      </w:r>
      <w:r>
        <w:rPr>
          <w:rFonts w:hint="eastAsia" w:ascii="仿宋" w:hAnsi="仿宋" w:eastAsia="仿宋" w:cs="仿宋"/>
          <w:color w:val="auto"/>
          <w:kern w:val="2"/>
          <w:sz w:val="28"/>
          <w:szCs w:val="28"/>
          <w:lang w:val="en-US" w:eastAsia="zh-CN" w:bidi="ar-SA"/>
        </w:rPr>
        <w:t>的投标,并做出如下承诺：</w:t>
      </w:r>
    </w:p>
    <w:p w14:paraId="3E4ABED3">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我公司信誉良好，参加政府采购活动前三年内，在经营活动中没有重大违法记录。在“信用中国”网站（www.creditchina.gov.cn）未被列入失信被执行人、重大税收违法失信主体名单；在 “中国政府采购网” （www.ccgp.gov.cn）未被列入政府采购严重违法失信行为记录名单。</w:t>
      </w:r>
    </w:p>
    <w:p w14:paraId="66A9EAD6">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我方保证上述信息的真实和准确，并愿意承担因我方就此弄虚作假所引起的一切法律后果。</w:t>
      </w:r>
    </w:p>
    <w:p w14:paraId="75872175">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特此声明！</w:t>
      </w:r>
    </w:p>
    <w:p w14:paraId="79CB47AE">
      <w:pPr>
        <w:pageBreakBefore w:val="0"/>
        <w:wordWrap/>
        <w:topLinePunct w:val="0"/>
        <w:bidi w:val="0"/>
        <w:spacing w:line="360" w:lineRule="auto"/>
        <w:ind w:firstLine="560" w:firstLineChars="200"/>
        <w:rPr>
          <w:rFonts w:hint="eastAsia" w:ascii="仿宋" w:hAnsi="仿宋" w:eastAsia="仿宋" w:cs="仿宋"/>
          <w:sz w:val="28"/>
          <w:szCs w:val="28"/>
          <w:lang w:eastAsia="zh-CN"/>
        </w:rPr>
      </w:pPr>
    </w:p>
    <w:p w14:paraId="78ADB0C0">
      <w:pPr>
        <w:pageBreakBefore w:val="0"/>
        <w:wordWrap/>
        <w:topLinePunct w:val="0"/>
        <w:bidi w:val="0"/>
        <w:spacing w:line="360" w:lineRule="auto"/>
        <w:ind w:firstLine="3640" w:firstLineChars="13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投标人（企业电子签章）：</w:t>
      </w:r>
    </w:p>
    <w:p w14:paraId="315A2192">
      <w:pPr>
        <w:pageBreakBefore w:val="0"/>
        <w:wordWrap/>
        <w:topLinePunct w:val="0"/>
        <w:bidi w:val="0"/>
        <w:spacing w:line="360" w:lineRule="auto"/>
        <w:ind w:firstLine="420"/>
        <w:jc w:val="right"/>
        <w:rPr>
          <w:rFonts w:hint="eastAsia" w:ascii="仿宋" w:hAnsi="仿宋" w:eastAsia="仿宋" w:cs="仿宋"/>
          <w:color w:val="auto"/>
          <w:sz w:val="28"/>
          <w:szCs w:val="28"/>
          <w:lang w:eastAsia="zh-CN"/>
        </w:rPr>
      </w:pPr>
    </w:p>
    <w:p w14:paraId="7B7C39B8">
      <w:pPr>
        <w:pageBreakBefore w:val="0"/>
        <w:wordWrap/>
        <w:topLinePunct w:val="0"/>
        <w:bidi w:val="0"/>
        <w:spacing w:line="360" w:lineRule="auto"/>
        <w:ind w:firstLine="556"/>
        <w:jc w:val="right"/>
        <w:rPr>
          <w:rFonts w:hint="eastAsia" w:ascii="仿宋" w:hAnsi="仿宋" w:eastAsia="仿宋" w:cs="仿宋"/>
          <w:color w:val="auto"/>
          <w:sz w:val="28"/>
          <w:szCs w:val="28"/>
          <w:lang w:eastAsia="zh-CN"/>
        </w:rPr>
      </w:pPr>
    </w:p>
    <w:p w14:paraId="3CE87681">
      <w:pPr>
        <w:pageBreakBefore w:val="0"/>
        <w:tabs>
          <w:tab w:val="left" w:pos="6300"/>
        </w:tabs>
        <w:wordWrap/>
        <w:topLinePunct w:val="0"/>
        <w:bidi w:val="0"/>
        <w:snapToGrid w:val="0"/>
        <w:spacing w:line="360" w:lineRule="auto"/>
        <w:ind w:firstLine="277" w:firstLineChars="99"/>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kern w:val="2"/>
          <w:sz w:val="28"/>
          <w:szCs w:val="28"/>
          <w:lang w:val="en-US" w:eastAsia="zh-CN" w:bidi="ar-SA"/>
        </w:rPr>
        <w:t>日期：</w:t>
      </w:r>
      <w:r>
        <w:rPr>
          <w:rFonts w:hint="eastAsia" w:ascii="仿宋" w:hAnsi="仿宋" w:eastAsia="仿宋" w:cs="仿宋"/>
          <w:color w:val="auto"/>
          <w:kern w:val="2"/>
          <w:sz w:val="28"/>
          <w:szCs w:val="28"/>
          <w:u w:val="single"/>
          <w:lang w:val="en" w:eastAsia="zh-CN" w:bidi="ar-SA"/>
        </w:rPr>
        <w:t xml:space="preserve">      </w:t>
      </w:r>
      <w:r>
        <w:rPr>
          <w:rFonts w:hint="eastAsia" w:ascii="仿宋" w:hAnsi="仿宋" w:eastAsia="仿宋" w:cs="仿宋"/>
          <w:color w:val="auto"/>
          <w:kern w:val="2"/>
          <w:sz w:val="28"/>
          <w:szCs w:val="28"/>
          <w:lang w:val="en-US" w:eastAsia="zh-CN" w:bidi="ar-SA"/>
        </w:rPr>
        <w:t>年</w:t>
      </w:r>
      <w:r>
        <w:rPr>
          <w:rFonts w:hint="eastAsia" w:ascii="仿宋" w:hAnsi="仿宋" w:eastAsia="仿宋" w:cs="仿宋"/>
          <w:color w:val="auto"/>
          <w:kern w:val="2"/>
          <w:sz w:val="28"/>
          <w:szCs w:val="28"/>
          <w:u w:val="single"/>
          <w:lang w:val="en" w:eastAsia="zh-CN" w:bidi="ar-SA"/>
        </w:rPr>
        <w:t xml:space="preserve">   </w:t>
      </w:r>
      <w:r>
        <w:rPr>
          <w:rFonts w:hint="eastAsia" w:ascii="仿宋" w:hAnsi="仿宋" w:eastAsia="仿宋" w:cs="仿宋"/>
          <w:color w:val="auto"/>
          <w:kern w:val="2"/>
          <w:sz w:val="28"/>
          <w:szCs w:val="28"/>
          <w:lang w:val="en-US" w:eastAsia="zh-CN" w:bidi="ar-SA"/>
        </w:rPr>
        <w:t>月</w:t>
      </w:r>
      <w:r>
        <w:rPr>
          <w:rFonts w:hint="eastAsia" w:ascii="仿宋" w:hAnsi="仿宋" w:eastAsia="仿宋" w:cs="仿宋"/>
          <w:color w:val="auto"/>
          <w:kern w:val="2"/>
          <w:sz w:val="28"/>
          <w:szCs w:val="28"/>
          <w:u w:val="single"/>
          <w:lang w:val="en" w:eastAsia="zh-CN" w:bidi="ar-SA"/>
        </w:rPr>
        <w:t xml:space="preserve">   </w:t>
      </w:r>
      <w:r>
        <w:rPr>
          <w:rFonts w:hint="eastAsia" w:ascii="仿宋" w:hAnsi="仿宋" w:eastAsia="仿宋" w:cs="仿宋"/>
          <w:color w:val="auto"/>
          <w:kern w:val="2"/>
          <w:sz w:val="28"/>
          <w:szCs w:val="28"/>
          <w:lang w:val="en-US" w:eastAsia="zh-CN" w:bidi="ar-SA"/>
        </w:rPr>
        <w:t>日</w:t>
      </w:r>
    </w:p>
    <w:p w14:paraId="4D2CFA38">
      <w:pPr>
        <w:pageBreakBefore w:val="0"/>
        <w:wordWrap/>
        <w:topLinePunct w:val="0"/>
        <w:bidi w:val="0"/>
        <w:spacing w:line="360" w:lineRule="auto"/>
        <w:rPr>
          <w:rFonts w:hint="eastAsia" w:ascii="仿宋" w:hAnsi="仿宋" w:eastAsia="仿宋" w:cs="仿宋"/>
          <w:color w:val="auto"/>
          <w:kern w:val="2"/>
          <w:sz w:val="28"/>
          <w:szCs w:val="28"/>
          <w:lang w:val="zh-TW" w:eastAsia="zh-CN" w:bidi="ar-SA"/>
        </w:rPr>
      </w:pPr>
      <w:r>
        <w:rPr>
          <w:rFonts w:hint="eastAsia" w:ascii="仿宋" w:hAnsi="仿宋" w:eastAsia="仿宋" w:cs="仿宋"/>
          <w:color w:val="auto"/>
          <w:kern w:val="2"/>
          <w:sz w:val="28"/>
          <w:szCs w:val="28"/>
          <w:lang w:val="zh-TW" w:eastAsia="zh-CN" w:bidi="ar-SA"/>
        </w:rPr>
        <w:t>说明：</w:t>
      </w:r>
    </w:p>
    <w:p w14:paraId="53671891">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1.</w:t>
      </w:r>
      <w:r>
        <w:rPr>
          <w:rFonts w:hint="eastAsia" w:ascii="仿宋" w:hAnsi="仿宋" w:eastAsia="仿宋" w:cs="仿宋"/>
          <w:color w:val="auto"/>
          <w:kern w:val="2"/>
          <w:sz w:val="28"/>
          <w:szCs w:val="28"/>
          <w:lang w:val="zh-TW" w:eastAsia="zh-CN" w:bidi="ar-SA"/>
        </w:rPr>
        <w:t>投标人应按照相关法规规定如实做出说明。</w:t>
      </w:r>
    </w:p>
    <w:p w14:paraId="6D277C34">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2</w:t>
      </w:r>
      <w:r>
        <w:rPr>
          <w:rFonts w:hint="eastAsia" w:ascii="仿宋" w:hAnsi="仿宋" w:eastAsia="仿宋" w:cs="仿宋"/>
          <w:color w:val="auto"/>
          <w:kern w:val="2"/>
          <w:sz w:val="28"/>
          <w:szCs w:val="28"/>
          <w:lang w:val="zh-TW" w:eastAsia="zh-CN" w:bidi="ar-SA"/>
        </w:rPr>
        <w:t>．按照招标文件的规定加盖企业电子签章（自然人投标的无需盖章，需要签字）。</w:t>
      </w:r>
    </w:p>
    <w:p w14:paraId="73BE254B">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zh-TW" w:eastAsia="zh-CN" w:bidi="ar-SA"/>
        </w:rPr>
      </w:pPr>
      <w:r>
        <w:rPr>
          <w:rFonts w:hint="eastAsia" w:ascii="仿宋" w:hAnsi="仿宋" w:eastAsia="仿宋" w:cs="仿宋"/>
          <w:color w:val="auto"/>
          <w:kern w:val="2"/>
          <w:sz w:val="28"/>
          <w:szCs w:val="28"/>
          <w:lang w:val="en-US" w:eastAsia="zh-CN" w:bidi="ar-SA"/>
        </w:rPr>
        <w:t>3.</w:t>
      </w:r>
      <w:r>
        <w:rPr>
          <w:rFonts w:hint="eastAsia" w:ascii="仿宋" w:hAnsi="仿宋" w:eastAsia="仿宋" w:cs="仿宋"/>
          <w:color w:val="auto"/>
          <w:kern w:val="2"/>
          <w:sz w:val="28"/>
          <w:szCs w:val="28"/>
          <w:lang w:val="zh-TW" w:eastAsia="zh-CN" w:bidi="ar-SA"/>
        </w:rPr>
        <w:t>如果是联合体投标，联合体各方均需提供上述证明。</w:t>
      </w:r>
    </w:p>
    <w:p w14:paraId="360FC4C1">
      <w:pPr>
        <w:rPr>
          <w:rFonts w:hint="eastAsia" w:ascii="仿宋" w:hAnsi="仿宋" w:eastAsia="仿宋" w:cs="仿宋"/>
          <w:b/>
          <w:bCs w:val="0"/>
          <w:color w:val="auto"/>
          <w:kern w:val="0"/>
          <w:sz w:val="30"/>
          <w:szCs w:val="30"/>
          <w:lang w:val="en-US" w:eastAsia="zh-CN"/>
        </w:rPr>
      </w:pPr>
      <w:bookmarkStart w:id="413" w:name="_Toc1999724387"/>
      <w:bookmarkStart w:id="414" w:name="_Toc98955996"/>
      <w:bookmarkStart w:id="415" w:name="_Toc1528107318"/>
      <w:bookmarkStart w:id="416" w:name="_Toc1192645811_WPSOffice_Level2"/>
      <w:bookmarkStart w:id="417" w:name="_Toc1323492610"/>
      <w:bookmarkStart w:id="418" w:name="_Toc1846317276"/>
      <w:bookmarkStart w:id="419" w:name="_Toc1497172548"/>
      <w:bookmarkStart w:id="420" w:name="_Toc2024909766"/>
      <w:bookmarkStart w:id="421" w:name="_Toc2114111239"/>
      <w:bookmarkStart w:id="422" w:name="_Toc2035786603"/>
      <w:bookmarkStart w:id="423" w:name="_Toc1184533414"/>
      <w:bookmarkStart w:id="424" w:name="_Toc1439922488"/>
      <w:bookmarkStart w:id="425" w:name="_Toc320661673"/>
      <w:bookmarkStart w:id="426" w:name="_Toc497708290_WPSOffice_Level2"/>
      <w:bookmarkStart w:id="427" w:name="_Toc1267967234"/>
      <w:bookmarkStart w:id="428" w:name="_Toc1462517689"/>
      <w:bookmarkStart w:id="429" w:name="_Toc934702901"/>
      <w:bookmarkStart w:id="430" w:name="_Toc1614236527"/>
      <w:bookmarkStart w:id="431" w:name="_Toc1938095027"/>
      <w:bookmarkStart w:id="432" w:name="_Toc1310640400"/>
      <w:bookmarkStart w:id="433" w:name="_Toc996756161"/>
      <w:bookmarkStart w:id="434" w:name="_Toc474620139"/>
      <w:bookmarkStart w:id="435" w:name="_Toc2073666225_WPSOffice_Level3"/>
      <w:bookmarkStart w:id="436" w:name="_Toc658606622"/>
      <w:bookmarkStart w:id="437" w:name="_Toc1237822054"/>
      <w:bookmarkStart w:id="438" w:name="_Toc1412570441"/>
      <w:r>
        <w:rPr>
          <w:rFonts w:hint="eastAsia" w:ascii="仿宋" w:hAnsi="仿宋" w:eastAsia="仿宋" w:cs="仿宋"/>
          <w:b/>
          <w:bCs w:val="0"/>
          <w:color w:val="auto"/>
          <w:kern w:val="0"/>
          <w:sz w:val="30"/>
          <w:szCs w:val="30"/>
          <w:lang w:val="en-US" w:eastAsia="zh-CN"/>
        </w:rPr>
        <w:br w:type="page"/>
      </w:r>
    </w:p>
    <w:p w14:paraId="3FB53B50">
      <w:pPr>
        <w:keepNext/>
        <w:keepLines/>
        <w:pageBreakBefore w:val="0"/>
        <w:widowControl w:val="0"/>
        <w:wordWrap/>
        <w:topLinePunct w:val="0"/>
        <w:autoSpaceDE w:val="0"/>
        <w:autoSpaceDN w:val="0"/>
        <w:bidi w:val="0"/>
        <w:adjustRightInd w:val="0"/>
        <w:spacing w:line="360" w:lineRule="auto"/>
        <w:jc w:val="center"/>
        <w:outlineLvl w:val="1"/>
        <w:rPr>
          <w:rFonts w:hint="default" w:ascii="仿宋" w:hAnsi="仿宋" w:eastAsia="仿宋" w:cs="仿宋"/>
          <w:b/>
          <w:bCs w:val="0"/>
          <w:color w:val="auto"/>
          <w:kern w:val="0"/>
          <w:sz w:val="30"/>
          <w:szCs w:val="30"/>
          <w:lang w:val="en-US" w:eastAsia="zh-CN"/>
        </w:rPr>
      </w:pPr>
      <w:r>
        <w:rPr>
          <w:rFonts w:hint="eastAsia" w:ascii="仿宋" w:hAnsi="仿宋" w:eastAsia="仿宋" w:cs="仿宋"/>
          <w:b/>
          <w:bCs w:val="0"/>
          <w:color w:val="auto"/>
          <w:kern w:val="0"/>
          <w:sz w:val="30"/>
          <w:szCs w:val="30"/>
          <w:lang w:val="en-US" w:eastAsia="zh-CN"/>
        </w:rPr>
        <w:t>六、“国家企业信用信息公示系统”的企业信息、股东（出资人）查询证明</w:t>
      </w:r>
    </w:p>
    <w:p w14:paraId="47F71071">
      <w:pPr>
        <w:keepNext/>
        <w:keepLines/>
        <w:pageBreakBefore w:val="0"/>
        <w:widowControl w:val="0"/>
        <w:wordWrap/>
        <w:topLinePunct w:val="0"/>
        <w:autoSpaceDE w:val="0"/>
        <w:autoSpaceDN w:val="0"/>
        <w:bidi w:val="0"/>
        <w:adjustRightInd w:val="0"/>
        <w:spacing w:line="360" w:lineRule="auto"/>
        <w:jc w:val="center"/>
        <w:outlineLvl w:val="9"/>
        <w:rPr>
          <w:rFonts w:hint="eastAsia" w:ascii="仿宋" w:hAnsi="仿宋" w:eastAsia="仿宋" w:cs="仿宋"/>
          <w:color w:val="auto"/>
          <w:kern w:val="0"/>
          <w:sz w:val="28"/>
          <w:szCs w:val="28"/>
          <w:u w:val="single"/>
          <w:lang w:val="en-US" w:eastAsia="zh-CN"/>
        </w:rPr>
      </w:pPr>
      <w:r>
        <w:rPr>
          <w:rFonts w:hint="eastAsia" w:ascii="仿宋" w:hAnsi="仿宋" w:eastAsia="仿宋" w:cs="仿宋"/>
          <w:color w:val="auto"/>
          <w:kern w:val="0"/>
          <w:sz w:val="28"/>
          <w:szCs w:val="28"/>
          <w:u w:val="single"/>
          <w:lang w:val="en-US" w:eastAsia="zh-CN"/>
        </w:rPr>
        <w:t xml:space="preserve">       </w:t>
      </w:r>
    </w:p>
    <w:p w14:paraId="591B9963">
      <w:pPr>
        <w:pageBreakBefore w:val="0"/>
        <w:wordWrap/>
        <w:topLinePunct w:val="0"/>
        <w:bidi w:val="0"/>
        <w:spacing w:line="360" w:lineRule="auto"/>
        <w:rPr>
          <w:rFonts w:hint="eastAsia" w:ascii="仿宋" w:hAnsi="仿宋" w:eastAsia="仿宋" w:cs="仿宋"/>
          <w:color w:val="auto"/>
          <w:kern w:val="0"/>
          <w:sz w:val="28"/>
          <w:szCs w:val="28"/>
          <w:u w:val="single"/>
          <w:lang w:val="en-US" w:eastAsia="zh-CN"/>
        </w:rPr>
      </w:pPr>
      <w:r>
        <w:rPr>
          <w:rFonts w:hint="eastAsia" w:ascii="仿宋" w:hAnsi="仿宋" w:eastAsia="仿宋" w:cs="仿宋"/>
          <w:color w:val="auto"/>
          <w:kern w:val="0"/>
          <w:sz w:val="28"/>
          <w:szCs w:val="28"/>
          <w:u w:val="single"/>
          <w:lang w:val="en-US" w:eastAsia="zh-CN"/>
        </w:rPr>
        <w:br w:type="page"/>
      </w:r>
    </w:p>
    <w:p w14:paraId="48914BF0">
      <w:pPr>
        <w:keepNext/>
        <w:keepLines/>
        <w:pageBreakBefore w:val="0"/>
        <w:widowControl w:val="0"/>
        <w:wordWrap/>
        <w:topLinePunct w:val="0"/>
        <w:autoSpaceDE w:val="0"/>
        <w:autoSpaceDN w:val="0"/>
        <w:bidi w:val="0"/>
        <w:adjustRightInd w:val="0"/>
        <w:spacing w:line="360" w:lineRule="auto"/>
        <w:jc w:val="center"/>
        <w:outlineLvl w:val="1"/>
        <w:rPr>
          <w:rFonts w:hint="eastAsia" w:ascii="仿宋" w:hAnsi="仿宋" w:eastAsia="仿宋" w:cs="仿宋"/>
          <w:b/>
          <w:bCs w:val="0"/>
          <w:color w:val="auto"/>
          <w:kern w:val="0"/>
          <w:sz w:val="30"/>
          <w:szCs w:val="30"/>
          <w:lang w:val="en-US" w:eastAsia="zh-CN"/>
        </w:rPr>
      </w:pPr>
      <w:r>
        <w:rPr>
          <w:rFonts w:hint="eastAsia" w:ascii="仿宋" w:hAnsi="仿宋" w:eastAsia="仿宋" w:cs="仿宋"/>
          <w:b/>
          <w:bCs w:val="0"/>
          <w:color w:val="auto"/>
          <w:kern w:val="0"/>
          <w:sz w:val="30"/>
          <w:szCs w:val="30"/>
          <w:lang w:val="en-US" w:eastAsia="zh-CN"/>
        </w:rPr>
        <w:t>七、</w:t>
      </w:r>
      <w:bookmarkEnd w:id="413"/>
      <w:bookmarkEnd w:id="414"/>
      <w:bookmarkEnd w:id="415"/>
      <w:bookmarkEnd w:id="416"/>
      <w:bookmarkEnd w:id="417"/>
      <w:bookmarkEnd w:id="418"/>
      <w:bookmarkEnd w:id="419"/>
      <w:bookmarkEnd w:id="420"/>
      <w:bookmarkEnd w:id="421"/>
      <w:bookmarkEnd w:id="422"/>
      <w:bookmarkEnd w:id="423"/>
      <w:bookmarkEnd w:id="424"/>
      <w:r>
        <w:rPr>
          <w:rFonts w:hint="eastAsia" w:ascii="仿宋" w:hAnsi="仿宋" w:eastAsia="仿宋" w:cs="仿宋"/>
          <w:b/>
          <w:bCs w:val="0"/>
          <w:color w:val="auto"/>
          <w:kern w:val="0"/>
          <w:sz w:val="30"/>
          <w:szCs w:val="30"/>
          <w:lang w:val="en-US" w:eastAsia="zh-CN"/>
        </w:rPr>
        <w:t>其他资格证明文件</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64EEE598">
      <w:pPr>
        <w:pageBreakBefore w:val="0"/>
        <w:wordWrap/>
        <w:topLinePunct w:val="0"/>
        <w:bidi w:val="0"/>
        <w:spacing w:line="360" w:lineRule="auto"/>
        <w:ind w:left="1080" w:hanging="540"/>
        <w:jc w:val="center"/>
        <w:rPr>
          <w:rFonts w:hint="eastAsia" w:ascii="仿宋" w:hAnsi="仿宋" w:eastAsia="仿宋" w:cs="仿宋"/>
          <w:b/>
          <w:bCs/>
          <w:color w:val="auto"/>
          <w:sz w:val="24"/>
          <w:szCs w:val="24"/>
          <w:lang w:val="en-US" w:eastAsia="zh-CN"/>
        </w:rPr>
      </w:pPr>
    </w:p>
    <w:p w14:paraId="087165DD">
      <w:pPr>
        <w:pageBreakBefore w:val="0"/>
        <w:wordWrap/>
        <w:topLinePunct w:val="0"/>
        <w:bidi w:val="0"/>
        <w:spacing w:line="360" w:lineRule="auto"/>
        <w:ind w:left="1080" w:hanging="540"/>
        <w:jc w:val="center"/>
        <w:rPr>
          <w:rFonts w:hint="eastAsia" w:ascii="仿宋" w:hAnsi="仿宋" w:eastAsia="仿宋" w:cs="仿宋"/>
          <w:b/>
          <w:bCs/>
          <w:color w:val="auto"/>
          <w:sz w:val="24"/>
          <w:szCs w:val="24"/>
          <w:lang w:val="en-US" w:eastAsia="zh-CN"/>
        </w:rPr>
      </w:pPr>
    </w:p>
    <w:p w14:paraId="06E9C7D1">
      <w:pPr>
        <w:pageBreakBefore w:val="0"/>
        <w:wordWrap/>
        <w:topLinePunct w:val="0"/>
        <w:bidi w:val="0"/>
        <w:spacing w:line="360" w:lineRule="auto"/>
        <w:rPr>
          <w:rFonts w:hint="eastAsia" w:ascii="仿宋" w:hAnsi="仿宋" w:eastAsia="仿宋" w:cs="仿宋"/>
          <w:color w:val="auto"/>
          <w:kern w:val="2"/>
          <w:sz w:val="28"/>
          <w:szCs w:val="28"/>
          <w:lang w:val="zh-TW" w:eastAsia="zh-CN" w:bidi="ar-SA"/>
        </w:rPr>
      </w:pPr>
      <w:r>
        <w:rPr>
          <w:rFonts w:hint="eastAsia" w:ascii="仿宋" w:hAnsi="仿宋" w:eastAsia="仿宋" w:cs="仿宋"/>
          <w:color w:val="auto"/>
          <w:kern w:val="2"/>
          <w:sz w:val="28"/>
          <w:szCs w:val="28"/>
          <w:lang w:val="zh-TW" w:eastAsia="zh-CN" w:bidi="ar-SA"/>
        </w:rPr>
        <w:t>说明：1.应提供的其他资格证明文件。</w:t>
      </w:r>
    </w:p>
    <w:p w14:paraId="2B4DA575">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zh-TW" w:eastAsia="zh-CN" w:bidi="ar-SA"/>
        </w:rPr>
      </w:pPr>
      <w:r>
        <w:rPr>
          <w:rFonts w:hint="eastAsia" w:ascii="仿宋" w:hAnsi="仿宋" w:eastAsia="仿宋" w:cs="仿宋"/>
          <w:color w:val="auto"/>
          <w:kern w:val="2"/>
          <w:sz w:val="28"/>
          <w:szCs w:val="28"/>
          <w:lang w:val="zh-TW" w:eastAsia="zh-CN" w:bidi="ar-SA"/>
        </w:rPr>
        <w:t>2.原件或复印件的扫描件上应加盖企业电子签章（自然人投标的无需盖章，需要签字）。</w:t>
      </w:r>
    </w:p>
    <w:p w14:paraId="66073306">
      <w:pPr>
        <w:pageBreakBefore w:val="0"/>
        <w:wordWrap/>
        <w:topLinePunct w:val="0"/>
        <w:bidi w:val="0"/>
        <w:spacing w:line="360" w:lineRule="auto"/>
        <w:ind w:firstLine="560" w:firstLineChars="200"/>
        <w:rPr>
          <w:rFonts w:hint="eastAsia" w:ascii="仿宋" w:hAnsi="仿宋" w:eastAsia="仿宋" w:cs="仿宋"/>
          <w:color w:val="auto"/>
          <w:kern w:val="2"/>
          <w:sz w:val="28"/>
          <w:szCs w:val="28"/>
          <w:lang w:val="zh-TW" w:eastAsia="zh-CN" w:bidi="ar-SA"/>
        </w:rPr>
      </w:pPr>
      <w:r>
        <w:rPr>
          <w:rFonts w:hint="eastAsia" w:ascii="仿宋" w:hAnsi="仿宋" w:eastAsia="仿宋" w:cs="仿宋"/>
          <w:color w:val="auto"/>
          <w:kern w:val="2"/>
          <w:sz w:val="28"/>
          <w:szCs w:val="28"/>
          <w:lang w:val="zh-TW" w:eastAsia="zh-CN" w:bidi="ar-SA"/>
        </w:rPr>
        <w:t>3.如果是联合体投标，联合体各方需提供的满足招标文件要求的其他资格证明文件。</w:t>
      </w:r>
    </w:p>
    <w:p w14:paraId="092D1DA1">
      <w:pPr>
        <w:pStyle w:val="2"/>
        <w:pageBreakBefore w:val="0"/>
        <w:wordWrap/>
        <w:topLinePunct w:val="0"/>
        <w:bidi w:val="0"/>
        <w:spacing w:line="360" w:lineRule="auto"/>
        <w:jc w:val="center"/>
        <w:rPr>
          <w:rFonts w:hint="eastAsia" w:ascii="仿宋" w:hAnsi="仿宋" w:eastAsia="仿宋" w:cs="仿宋"/>
          <w:color w:val="auto"/>
          <w:sz w:val="36"/>
          <w:szCs w:val="36"/>
          <w:lang w:eastAsia="zh-CN"/>
        </w:rPr>
      </w:pPr>
      <w:r>
        <w:rPr>
          <w:rFonts w:hint="eastAsia" w:ascii="仿宋" w:hAnsi="仿宋" w:eastAsia="仿宋" w:cs="仿宋"/>
          <w:color w:val="auto"/>
          <w:sz w:val="24"/>
          <w:szCs w:val="24"/>
          <w:lang w:val="en-US" w:eastAsia="zh-CN"/>
        </w:rPr>
        <w:br w:type="page"/>
      </w:r>
      <w:bookmarkStart w:id="439" w:name="_Toc136706314"/>
      <w:bookmarkStart w:id="440" w:name="_Toc6422905"/>
      <w:bookmarkStart w:id="441" w:name="_Toc897589225"/>
      <w:bookmarkStart w:id="442" w:name="_Toc744081619"/>
      <w:bookmarkStart w:id="443" w:name="_Toc1580344845_WPSOffice_Level2"/>
      <w:bookmarkStart w:id="444" w:name="_Toc1368632420_WPSOffice_Level2"/>
      <w:bookmarkStart w:id="445" w:name="_Toc973283021"/>
      <w:bookmarkStart w:id="446" w:name="_Toc1093923690_WPSOffice_Level2"/>
      <w:bookmarkStart w:id="447" w:name="_Toc1264393349_WPSOffice_Level2"/>
      <w:bookmarkStart w:id="448" w:name="_Toc1731438942"/>
      <w:bookmarkStart w:id="449" w:name="_Toc797524663"/>
      <w:bookmarkStart w:id="450" w:name="_Toc1893653595_WPSOffice_Level1"/>
      <w:bookmarkStart w:id="451" w:name="_Toc1378165390"/>
      <w:bookmarkStart w:id="452" w:name="_Toc20329"/>
      <w:bookmarkStart w:id="453" w:name="_Toc288862645"/>
      <w:bookmarkStart w:id="454" w:name="_Toc377236415"/>
      <w:bookmarkStart w:id="455" w:name="_Toc1017563642"/>
      <w:bookmarkStart w:id="456" w:name="_Toc465615493"/>
      <w:bookmarkStart w:id="457" w:name="_Toc943266062"/>
      <w:bookmarkStart w:id="458" w:name="_Toc1360926389"/>
      <w:r>
        <w:rPr>
          <w:rFonts w:hint="eastAsia" w:ascii="仿宋" w:hAnsi="仿宋" w:eastAsia="仿宋" w:cs="仿宋"/>
          <w:color w:val="auto"/>
          <w:sz w:val="36"/>
          <w:szCs w:val="36"/>
          <w:lang w:eastAsia="zh-CN"/>
        </w:rPr>
        <w:t>第五章 投标文件</w:t>
      </w:r>
      <w:bookmarkEnd w:id="439"/>
      <w:bookmarkEnd w:id="440"/>
      <w:bookmarkEnd w:id="441"/>
      <w:bookmarkEnd w:id="442"/>
      <w:bookmarkEnd w:id="443"/>
      <w:bookmarkEnd w:id="444"/>
      <w:bookmarkEnd w:id="445"/>
      <w:bookmarkEnd w:id="446"/>
      <w:bookmarkEnd w:id="447"/>
      <w:r>
        <w:rPr>
          <w:rFonts w:hint="eastAsia" w:ascii="仿宋" w:hAnsi="仿宋" w:eastAsia="仿宋" w:cs="仿宋"/>
          <w:color w:val="auto"/>
          <w:sz w:val="36"/>
          <w:szCs w:val="36"/>
          <w:lang w:eastAsia="zh-CN"/>
        </w:rPr>
        <w:t>格式</w:t>
      </w:r>
      <w:bookmarkEnd w:id="448"/>
      <w:bookmarkEnd w:id="449"/>
      <w:bookmarkEnd w:id="450"/>
      <w:bookmarkEnd w:id="451"/>
      <w:bookmarkEnd w:id="452"/>
      <w:bookmarkEnd w:id="453"/>
      <w:bookmarkEnd w:id="454"/>
      <w:bookmarkEnd w:id="455"/>
      <w:bookmarkEnd w:id="456"/>
      <w:bookmarkEnd w:id="457"/>
      <w:bookmarkEnd w:id="458"/>
    </w:p>
    <w:p w14:paraId="15E60870">
      <w:pPr>
        <w:pageBreakBefore w:val="0"/>
        <w:wordWrap/>
        <w:topLinePunct w:val="0"/>
        <w:bidi w:val="0"/>
        <w:spacing w:line="360" w:lineRule="auto"/>
        <w:ind w:left="1080" w:hanging="540"/>
        <w:jc w:val="center"/>
        <w:rPr>
          <w:rFonts w:hint="eastAsia" w:ascii="仿宋" w:hAnsi="仿宋" w:eastAsia="仿宋" w:cs="仿宋"/>
          <w:color w:val="auto"/>
          <w:sz w:val="24"/>
          <w:szCs w:val="24"/>
          <w:lang w:val="en-US" w:eastAsia="zh-CN"/>
        </w:rPr>
      </w:pPr>
    </w:p>
    <w:p w14:paraId="67B4B752">
      <w:pPr>
        <w:pageBreakBefore w:val="0"/>
        <w:tabs>
          <w:tab w:val="left" w:pos="1950"/>
        </w:tabs>
        <w:wordWrap/>
        <w:topLinePunct w:val="0"/>
        <w:bidi w:val="0"/>
        <w:spacing w:line="360" w:lineRule="auto"/>
        <w:jc w:val="center"/>
        <w:rPr>
          <w:rFonts w:hint="eastAsia" w:ascii="仿宋" w:hAnsi="仿宋" w:eastAsia="仿宋" w:cs="仿宋"/>
          <w:b/>
          <w:bCs/>
          <w:color w:val="auto"/>
          <w:sz w:val="72"/>
          <w:szCs w:val="72"/>
          <w:u w:val="single"/>
          <w:lang w:val="en-US" w:eastAsia="zh-CN"/>
        </w:rPr>
      </w:pPr>
      <w:r>
        <w:rPr>
          <w:rFonts w:hint="eastAsia" w:ascii="宋体" w:hAnsi="宋体" w:eastAsia="宋体" w:cs="宋体"/>
          <w:b/>
          <w:bCs/>
          <w:color w:val="auto"/>
          <w:sz w:val="52"/>
          <w:szCs w:val="52"/>
          <w:lang w:val="en" w:eastAsia="zh-CN"/>
        </w:rPr>
        <w:t>洛阳师范学院2026-2028年度教学区域物业管理服务项目</w:t>
      </w:r>
      <w:r>
        <w:rPr>
          <w:rFonts w:hint="eastAsia" w:ascii="仿宋" w:hAnsi="仿宋" w:eastAsia="仿宋" w:cs="仿宋"/>
          <w:b/>
          <w:bCs/>
          <w:color w:val="auto"/>
          <w:sz w:val="56"/>
          <w:szCs w:val="56"/>
          <w:u w:val="single"/>
          <w:lang w:val="en-US" w:eastAsia="zh-CN"/>
        </w:rPr>
        <w:t xml:space="preserve"> </w:t>
      </w:r>
    </w:p>
    <w:p w14:paraId="4066514C">
      <w:pPr>
        <w:pageBreakBefore w:val="0"/>
        <w:tabs>
          <w:tab w:val="left" w:pos="1950"/>
        </w:tabs>
        <w:wordWrap/>
        <w:topLinePunct w:val="0"/>
        <w:bidi w:val="0"/>
        <w:spacing w:line="360" w:lineRule="auto"/>
        <w:jc w:val="left"/>
        <w:rPr>
          <w:rFonts w:hint="eastAsia" w:ascii="仿宋" w:hAnsi="仿宋" w:eastAsia="仿宋" w:cs="仿宋"/>
          <w:b/>
          <w:bCs/>
          <w:color w:val="auto"/>
          <w:lang w:val="en-US" w:eastAsia="zh-CN"/>
        </w:rPr>
      </w:pPr>
    </w:p>
    <w:p w14:paraId="060BD5CF">
      <w:pPr>
        <w:pageBreakBefore w:val="0"/>
        <w:tabs>
          <w:tab w:val="left" w:pos="1950"/>
        </w:tabs>
        <w:wordWrap/>
        <w:topLinePunct w:val="0"/>
        <w:bidi w:val="0"/>
        <w:spacing w:line="360" w:lineRule="auto"/>
        <w:jc w:val="left"/>
        <w:rPr>
          <w:rFonts w:hint="eastAsia" w:ascii="仿宋" w:hAnsi="仿宋" w:eastAsia="仿宋" w:cs="仿宋"/>
          <w:b/>
          <w:bCs/>
          <w:color w:val="auto"/>
          <w:lang w:val="en-US" w:eastAsia="zh-CN"/>
        </w:rPr>
      </w:pPr>
    </w:p>
    <w:p w14:paraId="6D91A4D0">
      <w:pPr>
        <w:pageBreakBefore w:val="0"/>
        <w:tabs>
          <w:tab w:val="left" w:pos="1950"/>
        </w:tabs>
        <w:wordWrap/>
        <w:topLinePunct w:val="0"/>
        <w:bidi w:val="0"/>
        <w:spacing w:line="360" w:lineRule="auto"/>
        <w:jc w:val="left"/>
        <w:rPr>
          <w:rFonts w:hint="eastAsia" w:ascii="仿宋" w:hAnsi="仿宋" w:eastAsia="仿宋" w:cs="仿宋"/>
          <w:b/>
          <w:bCs/>
          <w:color w:val="auto"/>
          <w:lang w:val="en-US" w:eastAsia="zh-CN"/>
        </w:rPr>
      </w:pPr>
    </w:p>
    <w:p w14:paraId="6C154A6C">
      <w:pPr>
        <w:pageBreakBefore w:val="0"/>
        <w:tabs>
          <w:tab w:val="left" w:pos="1950"/>
        </w:tabs>
        <w:wordWrap/>
        <w:topLinePunct w:val="0"/>
        <w:bidi w:val="0"/>
        <w:spacing w:line="360" w:lineRule="auto"/>
        <w:jc w:val="left"/>
        <w:rPr>
          <w:rFonts w:hint="eastAsia" w:ascii="仿宋" w:hAnsi="仿宋" w:eastAsia="仿宋" w:cs="仿宋"/>
          <w:b/>
          <w:bCs/>
          <w:color w:val="auto"/>
          <w:lang w:val="en-US" w:eastAsia="zh-CN"/>
        </w:rPr>
      </w:pPr>
    </w:p>
    <w:p w14:paraId="1948893B">
      <w:pPr>
        <w:pageBreakBefore w:val="0"/>
        <w:tabs>
          <w:tab w:val="left" w:pos="1950"/>
        </w:tabs>
        <w:wordWrap/>
        <w:topLinePunct w:val="0"/>
        <w:bidi w:val="0"/>
        <w:spacing w:line="360" w:lineRule="auto"/>
        <w:jc w:val="left"/>
        <w:rPr>
          <w:rFonts w:hint="eastAsia" w:ascii="宋体" w:hAnsi="宋体" w:eastAsia="宋体" w:cs="宋体"/>
          <w:b/>
          <w:bCs/>
          <w:color w:val="auto"/>
          <w:lang w:val="en-US" w:eastAsia="zh-CN"/>
        </w:rPr>
      </w:pPr>
    </w:p>
    <w:p w14:paraId="40EB337B">
      <w:pPr>
        <w:pageBreakBefore w:val="0"/>
        <w:wordWrap/>
        <w:topLinePunct w:val="0"/>
        <w:bidi w:val="0"/>
        <w:spacing w:line="360" w:lineRule="auto"/>
        <w:jc w:val="center"/>
        <w:rPr>
          <w:rFonts w:hint="eastAsia" w:ascii="宋体" w:hAnsi="宋体" w:eastAsia="宋体" w:cs="宋体"/>
          <w:b/>
          <w:bCs/>
          <w:color w:val="auto"/>
          <w:sz w:val="96"/>
          <w:szCs w:val="96"/>
          <w:lang w:eastAsia="zh-CN"/>
        </w:rPr>
      </w:pPr>
      <w:bookmarkStart w:id="459" w:name="_Toc1256968457_WPSOffice_Level3"/>
      <w:r>
        <w:rPr>
          <w:rFonts w:hint="eastAsia" w:ascii="宋体" w:hAnsi="宋体" w:eastAsia="宋体" w:cs="宋体"/>
          <w:b/>
          <w:color w:val="auto"/>
          <w:sz w:val="96"/>
          <w:szCs w:val="96"/>
          <w:lang w:eastAsia="zh-CN"/>
        </w:rPr>
        <w:t>投标文件</w:t>
      </w:r>
      <w:bookmarkEnd w:id="459"/>
    </w:p>
    <w:p w14:paraId="28F9A12E">
      <w:pPr>
        <w:pageBreakBefore w:val="0"/>
        <w:widowControl w:val="0"/>
        <w:tabs>
          <w:tab w:val="left" w:pos="1950"/>
        </w:tabs>
        <w:wordWrap/>
        <w:topLinePunct w:val="0"/>
        <w:bidi w:val="0"/>
        <w:spacing w:line="360" w:lineRule="auto"/>
        <w:jc w:val="center"/>
        <w:rPr>
          <w:rFonts w:hint="eastAsia" w:ascii="宋体" w:hAnsi="宋体" w:eastAsia="宋体" w:cs="宋体"/>
          <w:b/>
          <w:color w:val="auto"/>
          <w:sz w:val="36"/>
          <w:szCs w:val="36"/>
          <w:lang w:eastAsia="zh-CN"/>
        </w:rPr>
      </w:pPr>
    </w:p>
    <w:p w14:paraId="53020DA0">
      <w:pPr>
        <w:pageBreakBefore w:val="0"/>
        <w:widowControl w:val="0"/>
        <w:tabs>
          <w:tab w:val="left" w:pos="1950"/>
        </w:tabs>
        <w:wordWrap/>
        <w:topLinePunct w:val="0"/>
        <w:bidi w:val="0"/>
        <w:spacing w:line="360" w:lineRule="auto"/>
        <w:jc w:val="center"/>
        <w:rPr>
          <w:rFonts w:hint="eastAsia" w:ascii="宋体" w:hAnsi="宋体" w:eastAsia="宋体" w:cs="宋体"/>
          <w:b/>
          <w:color w:val="auto"/>
          <w:sz w:val="36"/>
          <w:szCs w:val="36"/>
          <w:lang w:val="en" w:eastAsia="zh-CN"/>
        </w:rPr>
      </w:pPr>
      <w:r>
        <w:rPr>
          <w:rFonts w:hint="eastAsia" w:ascii="宋体" w:hAnsi="宋体" w:eastAsia="宋体" w:cs="宋体"/>
          <w:b/>
          <w:color w:val="auto"/>
          <w:sz w:val="36"/>
          <w:szCs w:val="36"/>
          <w:lang w:eastAsia="zh-CN"/>
        </w:rPr>
        <w:t>采购编号：</w:t>
      </w:r>
      <w:r>
        <w:rPr>
          <w:rFonts w:hint="eastAsia" w:ascii="宋体" w:hAnsi="宋体" w:eastAsia="宋体" w:cs="宋体"/>
          <w:b/>
          <w:color w:val="auto"/>
          <w:sz w:val="36"/>
          <w:szCs w:val="36"/>
          <w:lang w:val="en" w:eastAsia="zh-CN"/>
        </w:rPr>
        <w:t xml:space="preserve">豫财招标采购-2025-1520 </w:t>
      </w:r>
    </w:p>
    <w:p w14:paraId="5F9675F8">
      <w:pPr>
        <w:pageBreakBefore w:val="0"/>
        <w:widowControl w:val="0"/>
        <w:wordWrap/>
        <w:topLinePunct w:val="0"/>
        <w:bidi w:val="0"/>
        <w:spacing w:line="360" w:lineRule="auto"/>
        <w:ind w:left="1080" w:leftChars="257" w:hanging="540"/>
        <w:rPr>
          <w:rFonts w:hint="eastAsia" w:ascii="仿宋" w:hAnsi="仿宋" w:eastAsia="仿宋" w:cs="仿宋"/>
          <w:b/>
          <w:color w:val="auto"/>
          <w:sz w:val="28"/>
          <w:szCs w:val="24"/>
          <w:lang w:val="en-US" w:eastAsia="zh-CN"/>
        </w:rPr>
      </w:pPr>
    </w:p>
    <w:p w14:paraId="52BB8BA6">
      <w:pPr>
        <w:pageBreakBefore w:val="0"/>
        <w:widowControl w:val="0"/>
        <w:wordWrap/>
        <w:topLinePunct w:val="0"/>
        <w:bidi w:val="0"/>
        <w:spacing w:line="360" w:lineRule="auto"/>
        <w:ind w:left="1080" w:leftChars="257" w:hanging="540"/>
        <w:rPr>
          <w:rFonts w:hint="eastAsia" w:ascii="仿宋" w:hAnsi="仿宋" w:eastAsia="仿宋" w:cs="仿宋"/>
          <w:b/>
          <w:color w:val="auto"/>
          <w:sz w:val="28"/>
          <w:szCs w:val="24"/>
          <w:lang w:val="en-US" w:eastAsia="zh-CN"/>
        </w:rPr>
      </w:pPr>
    </w:p>
    <w:p w14:paraId="462F6290">
      <w:pPr>
        <w:pageBreakBefore w:val="0"/>
        <w:widowControl w:val="0"/>
        <w:wordWrap/>
        <w:topLinePunct w:val="0"/>
        <w:bidi w:val="0"/>
        <w:spacing w:line="360" w:lineRule="auto"/>
        <w:ind w:left="1080" w:leftChars="257" w:hanging="540"/>
        <w:rPr>
          <w:rFonts w:hint="eastAsia" w:ascii="仿宋" w:hAnsi="仿宋" w:eastAsia="仿宋" w:cs="仿宋"/>
          <w:b/>
          <w:color w:val="auto"/>
          <w:sz w:val="28"/>
          <w:szCs w:val="24"/>
          <w:lang w:val="en-US" w:eastAsia="zh-CN"/>
        </w:rPr>
      </w:pPr>
    </w:p>
    <w:p w14:paraId="4D6A373F">
      <w:pPr>
        <w:pStyle w:val="70"/>
        <w:pageBreakBefore w:val="0"/>
        <w:wordWrap/>
        <w:topLinePunct w:val="0"/>
        <w:bidi w:val="0"/>
        <w:spacing w:line="360" w:lineRule="auto"/>
        <w:rPr>
          <w:rFonts w:hint="eastAsia" w:ascii="仿宋" w:hAnsi="仿宋" w:eastAsia="仿宋" w:cs="仿宋"/>
        </w:rPr>
      </w:pPr>
    </w:p>
    <w:p w14:paraId="0DE8BAFE">
      <w:pPr>
        <w:pageBreakBefore w:val="0"/>
        <w:widowControl w:val="0"/>
        <w:wordWrap/>
        <w:topLinePunct w:val="0"/>
        <w:autoSpaceDE w:val="0"/>
        <w:autoSpaceDN w:val="0"/>
        <w:bidi w:val="0"/>
        <w:adjustRightInd w:val="0"/>
        <w:spacing w:line="360" w:lineRule="auto"/>
        <w:ind w:firstLine="1084" w:firstLineChars="300"/>
        <w:rPr>
          <w:rFonts w:hint="eastAsia" w:ascii="仿宋" w:hAnsi="仿宋" w:eastAsia="仿宋" w:cs="仿宋"/>
          <w:color w:val="auto"/>
          <w:sz w:val="36"/>
          <w:szCs w:val="36"/>
          <w:lang w:val="en-US" w:eastAsia="zh-CN"/>
        </w:rPr>
      </w:pPr>
      <w:r>
        <w:rPr>
          <w:rFonts w:hint="eastAsia" w:ascii="仿宋" w:hAnsi="仿宋" w:eastAsia="仿宋" w:cs="仿宋"/>
          <w:b/>
          <w:color w:val="auto"/>
          <w:sz w:val="36"/>
          <w:szCs w:val="36"/>
          <w:lang w:val="en-US" w:eastAsia="zh-CN"/>
        </w:rPr>
        <w:t>投标人（企业电子签章）：</w:t>
      </w:r>
    </w:p>
    <w:p w14:paraId="0418C2CE">
      <w:pPr>
        <w:pStyle w:val="166"/>
        <w:pageBreakBefore w:val="0"/>
        <w:wordWrap/>
        <w:topLinePunct w:val="0"/>
        <w:bidi w:val="0"/>
        <w:spacing w:line="360" w:lineRule="auto"/>
        <w:ind w:firstLine="0"/>
        <w:rPr>
          <w:rFonts w:hint="eastAsia" w:ascii="仿宋" w:hAnsi="仿宋" w:eastAsia="仿宋" w:cs="仿宋"/>
          <w:color w:val="auto"/>
          <w:lang w:eastAsia="zh-CN"/>
        </w:rPr>
      </w:pPr>
    </w:p>
    <w:p w14:paraId="176C4A01">
      <w:pPr>
        <w:pStyle w:val="197"/>
        <w:pageBreakBefore w:val="0"/>
        <w:wordWrap/>
        <w:topLinePunct w:val="0"/>
        <w:bidi w:val="0"/>
        <w:spacing w:line="360" w:lineRule="auto"/>
        <w:jc w:val="center"/>
        <w:rPr>
          <w:rFonts w:hint="eastAsia" w:ascii="仿宋" w:hAnsi="仿宋" w:eastAsia="仿宋" w:cs="仿宋"/>
          <w:b/>
          <w:bCs/>
          <w:color w:val="auto"/>
          <w:sz w:val="32"/>
          <w:szCs w:val="32"/>
        </w:rPr>
      </w:pPr>
      <w:bookmarkStart w:id="460" w:name="_Toc1363473509_WPSOffice_Level2"/>
      <w:r>
        <w:rPr>
          <w:rFonts w:hint="eastAsia" w:ascii="仿宋" w:hAnsi="仿宋" w:eastAsia="仿宋" w:cs="仿宋"/>
          <w:b/>
          <w:bCs/>
          <w:color w:val="auto"/>
          <w:sz w:val="32"/>
          <w:szCs w:val="32"/>
        </w:rPr>
        <w:br w:type="page"/>
      </w:r>
      <w:r>
        <w:rPr>
          <w:rFonts w:hint="eastAsia" w:ascii="仿宋" w:hAnsi="仿宋" w:eastAsia="仿宋" w:cs="仿宋"/>
          <w:b/>
          <w:bCs/>
          <w:color w:val="auto"/>
          <w:sz w:val="32"/>
          <w:szCs w:val="32"/>
        </w:rPr>
        <w:t>目  录</w:t>
      </w:r>
      <w:bookmarkEnd w:id="460"/>
    </w:p>
    <w:p w14:paraId="104A3D20">
      <w:pPr>
        <w:pStyle w:val="197"/>
        <w:pageBreakBefore w:val="0"/>
        <w:wordWrap/>
        <w:topLinePunct w:val="0"/>
        <w:bidi w:val="0"/>
        <w:spacing w:line="360" w:lineRule="auto"/>
        <w:rPr>
          <w:rFonts w:hint="eastAsia" w:ascii="仿宋" w:hAnsi="仿宋" w:eastAsia="仿宋" w:cs="仿宋"/>
          <w:color w:val="auto"/>
          <w:sz w:val="28"/>
          <w:szCs w:val="28"/>
          <w:lang w:val="zh-TW"/>
        </w:rPr>
      </w:pPr>
    </w:p>
    <w:p w14:paraId="54B90A5F">
      <w:pPr>
        <w:pStyle w:val="197"/>
        <w:pageBreakBefore w:val="0"/>
        <w:wordWrap/>
        <w:topLinePunct w:val="0"/>
        <w:bidi w:val="0"/>
        <w:spacing w:line="360" w:lineRule="auto"/>
        <w:rPr>
          <w:rFonts w:hint="eastAsia" w:ascii="仿宋" w:hAnsi="仿宋" w:eastAsia="仿宋" w:cs="仿宋"/>
          <w:color w:val="auto"/>
          <w:sz w:val="28"/>
          <w:szCs w:val="28"/>
          <w:lang w:val="zh-TW"/>
        </w:rPr>
      </w:pPr>
      <w:r>
        <w:rPr>
          <w:rFonts w:hint="eastAsia" w:ascii="仿宋" w:hAnsi="仿宋" w:eastAsia="仿宋" w:cs="仿宋"/>
          <w:color w:val="auto"/>
          <w:sz w:val="28"/>
          <w:szCs w:val="28"/>
          <w:lang w:val="zh-TW"/>
        </w:rPr>
        <w:t>一、投标函</w:t>
      </w:r>
    </w:p>
    <w:p w14:paraId="55496DBC">
      <w:pPr>
        <w:pStyle w:val="197"/>
        <w:pageBreakBefore w:val="0"/>
        <w:wordWrap/>
        <w:topLinePunct w:val="0"/>
        <w:bidi w:val="0"/>
        <w:spacing w:line="360" w:lineRule="auto"/>
        <w:rPr>
          <w:rFonts w:hint="eastAsia" w:ascii="仿宋" w:hAnsi="仿宋" w:eastAsia="仿宋" w:cs="仿宋"/>
          <w:color w:val="auto"/>
          <w:sz w:val="28"/>
          <w:szCs w:val="28"/>
          <w:lang w:val="zh-TW"/>
        </w:rPr>
      </w:pPr>
      <w:r>
        <w:rPr>
          <w:rFonts w:hint="eastAsia" w:ascii="仿宋" w:hAnsi="仿宋" w:eastAsia="仿宋" w:cs="仿宋"/>
          <w:color w:val="auto"/>
          <w:sz w:val="28"/>
          <w:szCs w:val="28"/>
          <w:lang w:val="zh-TW"/>
        </w:rPr>
        <w:t>二、法定代表人身份证明书</w:t>
      </w:r>
    </w:p>
    <w:p w14:paraId="18EA6119">
      <w:pPr>
        <w:pStyle w:val="197"/>
        <w:pageBreakBefore w:val="0"/>
        <w:wordWrap/>
        <w:topLinePunct w:val="0"/>
        <w:bidi w:val="0"/>
        <w:spacing w:line="360" w:lineRule="auto"/>
        <w:rPr>
          <w:rFonts w:hint="eastAsia" w:ascii="仿宋" w:hAnsi="仿宋" w:eastAsia="仿宋" w:cs="仿宋"/>
          <w:color w:val="auto"/>
          <w:sz w:val="28"/>
          <w:szCs w:val="28"/>
          <w:lang w:val="zh-TW"/>
        </w:rPr>
      </w:pPr>
      <w:r>
        <w:rPr>
          <w:rFonts w:hint="eastAsia" w:ascii="仿宋" w:hAnsi="仿宋" w:eastAsia="仿宋" w:cs="仿宋"/>
          <w:color w:val="auto"/>
          <w:sz w:val="28"/>
          <w:szCs w:val="28"/>
          <w:lang w:val="zh-TW"/>
        </w:rPr>
        <w:t>三、投标报价表格</w:t>
      </w:r>
    </w:p>
    <w:p w14:paraId="78F6D7B3">
      <w:pPr>
        <w:pStyle w:val="197"/>
        <w:pageBreakBefore w:val="0"/>
        <w:wordWrap/>
        <w:topLinePunct w:val="0"/>
        <w:bidi w:val="0"/>
        <w:spacing w:line="360" w:lineRule="auto"/>
        <w:rPr>
          <w:rFonts w:hint="eastAsia" w:ascii="仿宋" w:hAnsi="仿宋" w:eastAsia="仿宋" w:cs="仿宋"/>
          <w:color w:val="auto"/>
          <w:sz w:val="28"/>
          <w:szCs w:val="28"/>
          <w:lang w:val="zh-TW"/>
        </w:rPr>
      </w:pPr>
      <w:r>
        <w:rPr>
          <w:rFonts w:hint="eastAsia" w:ascii="仿宋" w:hAnsi="仿宋" w:eastAsia="仿宋" w:cs="仿宋"/>
          <w:color w:val="auto"/>
          <w:sz w:val="28"/>
          <w:szCs w:val="28"/>
          <w:lang w:val="zh-TW" w:eastAsia="zh-CN"/>
        </w:rPr>
        <w:t>四</w:t>
      </w:r>
      <w:r>
        <w:rPr>
          <w:rFonts w:hint="eastAsia" w:ascii="仿宋" w:hAnsi="仿宋" w:eastAsia="仿宋" w:cs="仿宋"/>
          <w:color w:val="auto"/>
          <w:sz w:val="28"/>
          <w:szCs w:val="28"/>
          <w:lang w:val="zh-TW"/>
        </w:rPr>
        <w:t>、企业声明函</w:t>
      </w:r>
    </w:p>
    <w:p w14:paraId="6145F4DD">
      <w:pPr>
        <w:pStyle w:val="197"/>
        <w:pageBreakBefore w:val="0"/>
        <w:wordWrap/>
        <w:topLinePunct w:val="0"/>
        <w:bidi w:val="0"/>
        <w:spacing w:line="360" w:lineRule="auto"/>
        <w:rPr>
          <w:rFonts w:hint="eastAsia" w:ascii="仿宋" w:hAnsi="仿宋" w:eastAsia="仿宋" w:cs="仿宋"/>
          <w:color w:val="auto"/>
          <w:sz w:val="28"/>
          <w:szCs w:val="28"/>
          <w:lang w:val="zh-TW"/>
        </w:rPr>
      </w:pPr>
      <w:r>
        <w:rPr>
          <w:rFonts w:hint="eastAsia" w:ascii="仿宋" w:hAnsi="仿宋" w:eastAsia="仿宋" w:cs="仿宋"/>
          <w:color w:val="auto"/>
          <w:sz w:val="28"/>
          <w:szCs w:val="28"/>
          <w:lang w:val="zh-TW" w:eastAsia="zh-CN"/>
        </w:rPr>
        <w:t>五</w:t>
      </w:r>
      <w:r>
        <w:rPr>
          <w:rFonts w:hint="eastAsia" w:ascii="仿宋" w:hAnsi="仿宋" w:eastAsia="仿宋" w:cs="仿宋"/>
          <w:color w:val="auto"/>
          <w:sz w:val="28"/>
          <w:szCs w:val="28"/>
          <w:lang w:val="zh-TW"/>
        </w:rPr>
        <w:t>、综合证明文件</w:t>
      </w:r>
    </w:p>
    <w:p w14:paraId="6F3A9853">
      <w:pPr>
        <w:pStyle w:val="197"/>
        <w:pageBreakBefore w:val="0"/>
        <w:wordWrap/>
        <w:topLinePunct w:val="0"/>
        <w:bidi w:val="0"/>
        <w:spacing w:line="360" w:lineRule="auto"/>
        <w:rPr>
          <w:rFonts w:hint="eastAsia" w:ascii="仿宋" w:hAnsi="仿宋" w:eastAsia="仿宋" w:cs="仿宋"/>
          <w:color w:val="auto"/>
          <w:sz w:val="28"/>
          <w:szCs w:val="28"/>
          <w:lang w:val="zh-TW"/>
        </w:rPr>
      </w:pPr>
      <w:r>
        <w:rPr>
          <w:rFonts w:hint="eastAsia" w:ascii="仿宋" w:hAnsi="仿宋" w:eastAsia="仿宋" w:cs="仿宋"/>
          <w:color w:val="auto"/>
          <w:sz w:val="28"/>
          <w:szCs w:val="28"/>
          <w:lang w:val="zh-TW" w:eastAsia="zh-CN"/>
        </w:rPr>
        <w:t>六</w:t>
      </w:r>
      <w:r>
        <w:rPr>
          <w:rFonts w:hint="eastAsia" w:ascii="仿宋" w:hAnsi="仿宋" w:eastAsia="仿宋" w:cs="仿宋"/>
          <w:color w:val="auto"/>
          <w:sz w:val="28"/>
          <w:szCs w:val="28"/>
          <w:lang w:val="zh-TW"/>
        </w:rPr>
        <w:t>、服务方案</w:t>
      </w:r>
    </w:p>
    <w:p w14:paraId="18E9F05E">
      <w:pPr>
        <w:pStyle w:val="197"/>
        <w:pageBreakBefore w:val="0"/>
        <w:wordWrap/>
        <w:topLinePunct w:val="0"/>
        <w:bidi w:val="0"/>
        <w:spacing w:line="360" w:lineRule="auto"/>
        <w:rPr>
          <w:rFonts w:hint="eastAsia" w:ascii="仿宋" w:hAnsi="仿宋" w:eastAsia="仿宋" w:cs="仿宋"/>
          <w:color w:val="auto"/>
          <w:sz w:val="28"/>
          <w:szCs w:val="28"/>
          <w:lang w:val="zh-TW"/>
        </w:rPr>
      </w:pPr>
      <w:r>
        <w:rPr>
          <w:rFonts w:hint="eastAsia" w:ascii="仿宋" w:hAnsi="仿宋" w:eastAsia="仿宋" w:cs="仿宋"/>
          <w:color w:val="auto"/>
          <w:sz w:val="28"/>
          <w:szCs w:val="28"/>
          <w:lang w:val="zh-TW" w:eastAsia="zh-CN"/>
        </w:rPr>
        <w:t>七</w:t>
      </w:r>
      <w:r>
        <w:rPr>
          <w:rFonts w:hint="eastAsia" w:ascii="仿宋" w:hAnsi="仿宋" w:eastAsia="仿宋" w:cs="仿宋"/>
          <w:color w:val="auto"/>
          <w:sz w:val="28"/>
          <w:szCs w:val="28"/>
          <w:lang w:val="zh-TW"/>
        </w:rPr>
        <w:t>、其他文件</w:t>
      </w:r>
    </w:p>
    <w:p w14:paraId="0DE53E59">
      <w:pPr>
        <w:pStyle w:val="197"/>
        <w:pageBreakBefore w:val="0"/>
        <w:wordWrap/>
        <w:topLinePunct w:val="0"/>
        <w:bidi w:val="0"/>
        <w:spacing w:line="360" w:lineRule="auto"/>
        <w:rPr>
          <w:rFonts w:hint="eastAsia" w:ascii="仿宋" w:hAnsi="仿宋" w:eastAsia="仿宋" w:cs="仿宋"/>
          <w:color w:val="auto"/>
          <w:sz w:val="28"/>
          <w:szCs w:val="28"/>
          <w:lang w:val="zh-TW"/>
        </w:rPr>
      </w:pPr>
    </w:p>
    <w:p w14:paraId="3F462ADB">
      <w:pPr>
        <w:pStyle w:val="197"/>
        <w:pageBreakBefore w:val="0"/>
        <w:wordWrap/>
        <w:topLinePunct w:val="0"/>
        <w:bidi w:val="0"/>
        <w:spacing w:line="360" w:lineRule="auto"/>
        <w:rPr>
          <w:rFonts w:hint="eastAsia" w:ascii="仿宋" w:hAnsi="仿宋" w:eastAsia="仿宋" w:cs="仿宋"/>
          <w:color w:val="auto"/>
          <w:sz w:val="28"/>
          <w:szCs w:val="28"/>
          <w:lang w:val="zh-TW"/>
        </w:rPr>
      </w:pPr>
    </w:p>
    <w:p w14:paraId="3937102B">
      <w:pPr>
        <w:rPr>
          <w:rFonts w:hint="eastAsia"/>
          <w:lang w:val="zh-TW" w:eastAsia="zh-CN"/>
        </w:rPr>
      </w:pPr>
      <w:r>
        <w:rPr>
          <w:rFonts w:hint="eastAsia"/>
          <w:lang w:val="zh-TW" w:eastAsia="zh-CN"/>
        </w:rPr>
        <w:br w:type="page"/>
      </w:r>
    </w:p>
    <w:p w14:paraId="788D965F">
      <w:pPr>
        <w:jc w:val="center"/>
        <w:outlineLvl w:val="1"/>
        <w:rPr>
          <w:rFonts w:hint="eastAsia" w:ascii="仿宋" w:hAnsi="仿宋" w:eastAsia="仿宋" w:cs="仿宋"/>
          <w:b/>
          <w:bCs/>
          <w:sz w:val="28"/>
          <w:szCs w:val="28"/>
          <w:lang w:val="zh-TW"/>
        </w:rPr>
      </w:pPr>
      <w:r>
        <w:rPr>
          <w:rFonts w:hint="eastAsia" w:ascii="仿宋" w:hAnsi="仿宋" w:eastAsia="仿宋" w:cs="仿宋"/>
          <w:b/>
          <w:bCs/>
          <w:sz w:val="28"/>
          <w:szCs w:val="28"/>
          <w:lang w:val="zh-TW" w:eastAsia="zh-CN"/>
        </w:rPr>
        <w:t>一、投标函</w:t>
      </w:r>
    </w:p>
    <w:p w14:paraId="7602DCB6">
      <w:pPr>
        <w:pageBreakBefore w:val="0"/>
        <w:wordWrap/>
        <w:topLinePunct w:val="0"/>
        <w:bidi w:val="0"/>
        <w:spacing w:line="360" w:lineRule="auto"/>
        <w:rPr>
          <w:rFonts w:hint="eastAsia" w:ascii="仿宋" w:hAnsi="仿宋" w:eastAsia="仿宋" w:cs="仿宋"/>
          <w:color w:val="auto"/>
          <w:sz w:val="28"/>
          <w:szCs w:val="28"/>
          <w:u w:val="single"/>
          <w:lang w:eastAsia="zh-CN"/>
        </w:rPr>
      </w:pPr>
      <w:r>
        <w:rPr>
          <w:rFonts w:hint="eastAsia" w:ascii="仿宋" w:hAnsi="仿宋" w:eastAsia="仿宋" w:cs="仿宋"/>
          <w:color w:val="auto"/>
          <w:sz w:val="28"/>
          <w:szCs w:val="28"/>
          <w:lang w:eastAsia="zh-CN"/>
        </w:rPr>
        <w:t>致：</w:t>
      </w:r>
      <w:r>
        <w:rPr>
          <w:rFonts w:hint="eastAsia" w:ascii="仿宋" w:hAnsi="仿宋" w:eastAsia="仿宋" w:cs="仿宋"/>
          <w:color w:val="auto"/>
          <w:sz w:val="28"/>
          <w:szCs w:val="28"/>
          <w:u w:val="single"/>
          <w:lang w:val="en-US" w:eastAsia="zh-CN"/>
        </w:rPr>
        <w:t xml:space="preserve"> 洛阳师范学院</w:t>
      </w:r>
      <w:r>
        <w:rPr>
          <w:rFonts w:hint="eastAsia" w:ascii="仿宋" w:hAnsi="仿宋" w:eastAsia="仿宋" w:cs="仿宋"/>
          <w:color w:val="auto"/>
          <w:sz w:val="28"/>
          <w:szCs w:val="28"/>
          <w:u w:val="single"/>
          <w:lang w:eastAsia="zh-CN"/>
        </w:rPr>
        <w:t xml:space="preserve"> </w:t>
      </w:r>
    </w:p>
    <w:p w14:paraId="3B709185">
      <w:pPr>
        <w:pageBreakBefore w:val="0"/>
        <w:wordWrap/>
        <w:topLinePunct w:val="0"/>
        <w:bidi w:val="0"/>
        <w:spacing w:line="360" w:lineRule="auto"/>
        <w:ind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lang w:eastAsia="zh-CN"/>
        </w:rPr>
        <w:t>我们收到了采购编号为</w:t>
      </w:r>
      <w:r>
        <w:rPr>
          <w:rFonts w:hint="eastAsia" w:ascii="仿宋" w:hAnsi="仿宋" w:eastAsia="仿宋" w:cs="仿宋"/>
          <w:color w:val="auto"/>
          <w:sz w:val="28"/>
          <w:szCs w:val="28"/>
          <w:u w:val="single"/>
          <w:lang w:eastAsia="zh-CN"/>
        </w:rPr>
        <w:t xml:space="preserve"> </w:t>
      </w:r>
      <w:r>
        <w:rPr>
          <w:rFonts w:hint="eastAsia" w:ascii="仿宋" w:hAnsi="仿宋" w:eastAsia="仿宋" w:cs="仿宋"/>
          <w:color w:val="auto"/>
          <w:sz w:val="28"/>
          <w:szCs w:val="28"/>
          <w:u w:val="single"/>
          <w:lang w:val="en" w:eastAsia="zh-CN"/>
        </w:rPr>
        <w:t>豫财招标采购-2025-1520</w:t>
      </w:r>
      <w:r>
        <w:rPr>
          <w:rFonts w:hint="eastAsia" w:ascii="仿宋" w:hAnsi="仿宋" w:eastAsia="仿宋" w:cs="仿宋"/>
          <w:color w:val="auto"/>
          <w:sz w:val="28"/>
          <w:szCs w:val="28"/>
          <w:u w:val="none"/>
          <w:lang w:val="en-US" w:eastAsia="zh-CN"/>
        </w:rPr>
        <w:t xml:space="preserve"> </w:t>
      </w:r>
      <w:r>
        <w:rPr>
          <w:rFonts w:hint="eastAsia" w:ascii="仿宋" w:hAnsi="仿宋" w:eastAsia="仿宋" w:cs="仿宋"/>
          <w:color w:val="auto"/>
          <w:sz w:val="28"/>
          <w:szCs w:val="28"/>
          <w:u w:val="none"/>
          <w:lang w:eastAsia="zh-CN"/>
        </w:rPr>
        <w:t>的</w:t>
      </w:r>
      <w:r>
        <w:rPr>
          <w:rFonts w:hint="eastAsia" w:ascii="仿宋" w:hAnsi="仿宋" w:eastAsia="仿宋" w:cs="仿宋"/>
          <w:color w:val="auto"/>
          <w:sz w:val="28"/>
          <w:szCs w:val="28"/>
          <w:u w:val="single"/>
          <w:lang w:eastAsia="zh-CN"/>
        </w:rPr>
        <w:t xml:space="preserve"> </w:t>
      </w:r>
      <w:r>
        <w:rPr>
          <w:rFonts w:hint="eastAsia" w:ascii="仿宋" w:hAnsi="仿宋" w:eastAsia="仿宋" w:cs="仿宋"/>
          <w:color w:val="auto"/>
          <w:sz w:val="28"/>
          <w:szCs w:val="28"/>
          <w:u w:val="single"/>
          <w:lang w:val="en" w:eastAsia="zh-CN"/>
        </w:rPr>
        <w:t>洛阳师范学院2026-2028年度教学区域物业管理服务项目</w:t>
      </w:r>
      <w:r>
        <w:rPr>
          <w:rFonts w:hint="eastAsia" w:ascii="仿宋" w:hAnsi="仿宋" w:eastAsia="仿宋" w:cs="仿宋"/>
          <w:color w:val="auto"/>
          <w:sz w:val="28"/>
          <w:szCs w:val="28"/>
          <w:lang w:eastAsia="zh-CN"/>
        </w:rPr>
        <w:t>采购文件，经详细研究，我们决定参加该项目的投标活动并按要求提交投标文件。我们</w:t>
      </w:r>
      <w:r>
        <w:rPr>
          <w:rFonts w:hint="eastAsia" w:ascii="仿宋" w:hAnsi="仿宋" w:eastAsia="仿宋" w:cs="仿宋"/>
          <w:color w:val="auto"/>
          <w:sz w:val="28"/>
          <w:szCs w:val="28"/>
          <w:highlight w:val="none"/>
          <w:lang w:eastAsia="zh-CN"/>
        </w:rPr>
        <w:t>郑重声明以下诸点并负法律责任</w:t>
      </w:r>
      <w:r>
        <w:rPr>
          <w:rFonts w:hint="eastAsia" w:ascii="仿宋" w:hAnsi="仿宋" w:eastAsia="仿宋" w:cs="仿宋"/>
          <w:color w:val="auto"/>
          <w:sz w:val="28"/>
          <w:szCs w:val="28"/>
          <w:highlight w:val="none"/>
          <w:lang w:val="en-US" w:eastAsia="zh-CN"/>
        </w:rPr>
        <w:t>：</w:t>
      </w:r>
    </w:p>
    <w:p w14:paraId="79D6FF23">
      <w:pPr>
        <w:pageBreakBefore w:val="0"/>
        <w:wordWrap/>
        <w:topLinePunct w:val="0"/>
        <w:bidi w:val="0"/>
        <w:spacing w:line="360" w:lineRule="auto"/>
        <w:ind w:firstLine="48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 xml:space="preserve">(1) </w:t>
      </w:r>
      <w:r>
        <w:rPr>
          <w:rFonts w:hint="eastAsia" w:ascii="仿宋" w:hAnsi="仿宋" w:eastAsia="仿宋" w:cs="仿宋"/>
          <w:color w:val="auto"/>
          <w:sz w:val="28"/>
          <w:szCs w:val="28"/>
          <w:highlight w:val="none"/>
          <w:lang w:eastAsia="zh-CN"/>
        </w:rPr>
        <w:t>愿按照采购文件中规定的条款和要求，提供完成采购文件规定的全部工作，投标总报价为（大写）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eastAsia="zh-CN"/>
        </w:rPr>
        <w:t>元人民币，（小写）￥：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eastAsia="zh-CN"/>
        </w:rPr>
        <w:t>元），服务期限为</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none"/>
          <w:lang w:val="en-US" w:eastAsia="zh-CN"/>
        </w:rPr>
        <w:t>年</w:t>
      </w:r>
      <w:r>
        <w:rPr>
          <w:rFonts w:hint="eastAsia" w:ascii="仿宋" w:hAnsi="仿宋" w:eastAsia="仿宋" w:cs="仿宋"/>
          <w:color w:val="auto"/>
          <w:sz w:val="28"/>
          <w:szCs w:val="28"/>
          <w:highlight w:val="none"/>
          <w:lang w:eastAsia="zh-CN"/>
        </w:rPr>
        <w:t>，投标有效期</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60</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eastAsia="zh-CN"/>
        </w:rPr>
        <w:t>天</w:t>
      </w:r>
      <w:r>
        <w:rPr>
          <w:rFonts w:hint="eastAsia" w:ascii="仿宋" w:hAnsi="仿宋" w:eastAsia="仿宋" w:cs="仿宋"/>
          <w:color w:val="auto"/>
          <w:sz w:val="28"/>
          <w:szCs w:val="28"/>
          <w:highlight w:val="none"/>
          <w:lang w:eastAsia="zh-CN"/>
        </w:rPr>
        <w:t>。</w:t>
      </w:r>
    </w:p>
    <w:p w14:paraId="392D66DF">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如果我们的投标文件被接受，我们将履行招标文件中规定的各项要求。</w:t>
      </w:r>
    </w:p>
    <w:p w14:paraId="1678C0B5">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我们同意本招标文件中有关投标有效期的规定。如果中标，有效期延长至合同终止日止。</w:t>
      </w:r>
    </w:p>
    <w:p w14:paraId="4A410AC5">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我们愿提供招标文件中要求的所有文件资料。</w:t>
      </w:r>
    </w:p>
    <w:p w14:paraId="4316F713">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77C994D0">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我们承诺，与采购人聘请的为此项目提供咨询服务及任何附属机构均无关联，非采购人的附属机构。</w:t>
      </w:r>
    </w:p>
    <w:p w14:paraId="5DDE1145">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我公司同意提供按照采购人可能要求的与其投标有关的一切数据或资料，完全理解采购人不一定接受最低价的投标或收到的任何投标。</w:t>
      </w:r>
    </w:p>
    <w:p w14:paraId="4979CD94">
      <w:pPr>
        <w:pageBreakBefore w:val="0"/>
        <w:wordWrap/>
        <w:topLinePunct w:val="0"/>
        <w:bidi w:val="0"/>
        <w:spacing w:line="360" w:lineRule="auto"/>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如果我们的投标文件被接受，我们将按招标文件的规定签订并严格履行合同中的责任和义务。</w:t>
      </w:r>
    </w:p>
    <w:p w14:paraId="7E48774E">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9</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0950B1C3">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lang w:eastAsia="zh-CN"/>
        </w:rPr>
        <w:t>我公司独立参加投标，未组成联合体参加投标。</w:t>
      </w:r>
    </w:p>
    <w:p w14:paraId="2E9F87E1">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1</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除不可抗力外，我公司如果发生以下行为，将在行为发生的10个工作日内，向贵方支付本招标文件公布的最高限价的2%作为违约赔偿金。</w:t>
      </w:r>
    </w:p>
    <w:p w14:paraId="4146ADDE">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lang w:eastAsia="zh-CN"/>
        </w:rPr>
        <w:instrText xml:space="preserve"> = 1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lang w:eastAsia="zh-CN"/>
        </w:rPr>
        <w:t>①</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t>在招标文件规定的投标有效期内实质上修改或撤回投标；</w:t>
      </w:r>
    </w:p>
    <w:p w14:paraId="0C20A738">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lang w:eastAsia="zh-CN"/>
        </w:rPr>
        <w:instrText xml:space="preserve"> = 2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lang w:eastAsia="zh-CN"/>
        </w:rPr>
        <w:t>②</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t>中标后不依法与采购人签订合同；</w:t>
      </w:r>
    </w:p>
    <w:p w14:paraId="5590D66A">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lang w:eastAsia="zh-CN"/>
        </w:rPr>
        <w:instrText xml:space="preserve"> = 3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lang w:eastAsia="zh-CN"/>
        </w:rPr>
        <w:t>③</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t>在投标文件中提供虚假材料。</w:t>
      </w:r>
    </w:p>
    <w:p w14:paraId="6BCB5174">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1</w:t>
      </w:r>
      <w:r>
        <w:rPr>
          <w:rFonts w:hint="eastAsia" w:ascii="仿宋" w:hAnsi="仿宋" w:eastAsia="仿宋" w:cs="仿宋"/>
          <w:color w:val="auto"/>
          <w:sz w:val="28"/>
          <w:szCs w:val="28"/>
          <w:lang w:val="en-US" w:eastAsia="zh-CN"/>
        </w:rPr>
        <w:t xml:space="preserve">2)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eastAsia="zh-CN"/>
        </w:rPr>
        <w:t>（其他补充说明）。</w:t>
      </w:r>
    </w:p>
    <w:p w14:paraId="3DAE4430">
      <w:pPr>
        <w:pageBreakBefore w:val="0"/>
        <w:wordWrap/>
        <w:topLinePunct w:val="0"/>
        <w:bidi w:val="0"/>
        <w:spacing w:line="360" w:lineRule="auto"/>
        <w:ind w:firstLine="560"/>
        <w:rPr>
          <w:rFonts w:hint="eastAsia" w:ascii="仿宋" w:hAnsi="仿宋" w:eastAsia="仿宋" w:cs="仿宋"/>
          <w:color w:val="auto"/>
          <w:sz w:val="28"/>
          <w:szCs w:val="28"/>
          <w:lang w:eastAsia="zh-CN"/>
        </w:rPr>
      </w:pPr>
    </w:p>
    <w:p w14:paraId="4A891BED">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与本投标有关的正式通讯地址：</w:t>
      </w:r>
    </w:p>
    <w:p w14:paraId="666E97CA">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地  址：                             邮  编：</w:t>
      </w:r>
    </w:p>
    <w:p w14:paraId="1FB56E1D">
      <w:pPr>
        <w:pageBreakBefore w:val="0"/>
        <w:wordWrap/>
        <w:topLinePunct w:val="0"/>
        <w:bidi w:val="0"/>
        <w:spacing w:line="360" w:lineRule="auto"/>
        <w:ind w:firstLine="465"/>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电  话：                             传  真：</w:t>
      </w:r>
    </w:p>
    <w:p w14:paraId="3F21476F">
      <w:pPr>
        <w:pageBreakBefore w:val="0"/>
        <w:wordWrap/>
        <w:topLinePunct w:val="0"/>
        <w:bidi w:val="0"/>
        <w:spacing w:line="360" w:lineRule="auto"/>
        <w:ind w:firstLine="465"/>
        <w:rPr>
          <w:rFonts w:hint="eastAsia" w:ascii="仿宋" w:hAnsi="仿宋" w:eastAsia="仿宋" w:cs="仿宋"/>
          <w:color w:val="auto"/>
          <w:sz w:val="28"/>
          <w:szCs w:val="28"/>
          <w:lang w:eastAsia="zh-CN"/>
        </w:rPr>
      </w:pPr>
    </w:p>
    <w:p w14:paraId="007C30D0">
      <w:pPr>
        <w:pageBreakBefore w:val="0"/>
        <w:wordWrap/>
        <w:topLinePunct w:val="0"/>
        <w:bidi w:val="0"/>
        <w:spacing w:line="360" w:lineRule="auto"/>
        <w:ind w:firstLine="465"/>
        <w:rPr>
          <w:rFonts w:hint="eastAsia" w:ascii="仿宋" w:hAnsi="仿宋" w:eastAsia="仿宋" w:cs="仿宋"/>
          <w:color w:val="auto"/>
          <w:sz w:val="28"/>
          <w:szCs w:val="28"/>
          <w:lang w:eastAsia="zh-CN"/>
        </w:rPr>
      </w:pPr>
    </w:p>
    <w:p w14:paraId="6DF3430A">
      <w:pPr>
        <w:pageBreakBefore w:val="0"/>
        <w:wordWrap/>
        <w:topLinePunct w:val="0"/>
        <w:bidi w:val="0"/>
        <w:spacing w:line="360" w:lineRule="auto"/>
        <w:ind w:firstLine="465"/>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投标人（企业电子签章）：</w:t>
      </w:r>
    </w:p>
    <w:p w14:paraId="604887AB">
      <w:pPr>
        <w:pageBreakBefore w:val="0"/>
        <w:wordWrap/>
        <w:topLinePunct w:val="0"/>
        <w:bidi w:val="0"/>
        <w:spacing w:line="360" w:lineRule="auto"/>
        <w:ind w:firstLine="465"/>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法定代表人（个人电子签章）：       </w:t>
      </w:r>
    </w:p>
    <w:p w14:paraId="1F65C987">
      <w:pPr>
        <w:pStyle w:val="228"/>
        <w:pageBreakBefore w:val="0"/>
        <w:wordWrap/>
        <w:topLinePunct w:val="0"/>
        <w:bidi w:val="0"/>
        <w:spacing w:line="360" w:lineRule="auto"/>
        <w:rPr>
          <w:rFonts w:hint="eastAsia" w:ascii="仿宋" w:hAnsi="仿宋" w:eastAsia="仿宋" w:cs="仿宋"/>
          <w:color w:val="auto"/>
        </w:rPr>
      </w:pPr>
    </w:p>
    <w:p w14:paraId="644F2021">
      <w:pPr>
        <w:pStyle w:val="228"/>
        <w:pageBreakBefore w:val="0"/>
        <w:wordWrap/>
        <w:topLinePunct w:val="0"/>
        <w:bidi w:val="0"/>
        <w:spacing w:line="360" w:lineRule="auto"/>
        <w:rPr>
          <w:rFonts w:hint="eastAsia" w:ascii="仿宋" w:hAnsi="仿宋" w:eastAsia="仿宋" w:cs="仿宋"/>
          <w:color w:val="auto"/>
        </w:rPr>
      </w:pPr>
    </w:p>
    <w:p w14:paraId="4DCCB514">
      <w:pPr>
        <w:pageBreakBefore w:val="0"/>
        <w:wordWrap/>
        <w:topLinePunct w:val="0"/>
        <w:bidi w:val="0"/>
        <w:spacing w:line="360" w:lineRule="auto"/>
        <w:ind w:firstLine="465"/>
        <w:jc w:val="righ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日期：    年  月  日</w:t>
      </w:r>
    </w:p>
    <w:p w14:paraId="1CFB4F12">
      <w:pPr>
        <w:jc w:val="center"/>
        <w:outlineLvl w:val="1"/>
        <w:rPr>
          <w:rFonts w:hint="eastAsia" w:ascii="仿宋" w:hAnsi="仿宋" w:eastAsia="仿宋" w:cs="仿宋"/>
          <w:b w:val="0"/>
          <w:color w:val="auto"/>
          <w:sz w:val="30"/>
          <w:szCs w:val="30"/>
          <w:lang w:val="en-US" w:eastAsia="zh-CN"/>
        </w:rPr>
      </w:pPr>
      <w:bookmarkStart w:id="461" w:name="_Toc1881"/>
      <w:bookmarkStart w:id="462" w:name="_Toc532473507"/>
      <w:bookmarkStart w:id="463" w:name="_Toc20897"/>
      <w:bookmarkStart w:id="464" w:name="_Toc74240237"/>
      <w:bookmarkStart w:id="465" w:name="_Toc2582321"/>
      <w:bookmarkStart w:id="466" w:name="_Toc515647818"/>
      <w:r>
        <w:rPr>
          <w:rFonts w:hint="eastAsia" w:ascii="仿宋" w:hAnsi="仿宋" w:eastAsia="仿宋" w:cs="仿宋"/>
          <w:color w:val="auto"/>
          <w:sz w:val="28"/>
          <w:szCs w:val="28"/>
          <w:highlight w:val="green"/>
          <w:lang w:val="en-US" w:eastAsia="zh-CN"/>
        </w:rPr>
        <w:br w:type="page"/>
      </w:r>
      <w:bookmarkStart w:id="467" w:name="_Toc1320028818_WPSOffice_Level2"/>
      <w:bookmarkStart w:id="468" w:name="_Toc1472753336"/>
      <w:bookmarkStart w:id="469" w:name="_Toc1194597873"/>
      <w:bookmarkStart w:id="470" w:name="_Toc953796897"/>
      <w:bookmarkStart w:id="471" w:name="_Toc942115178"/>
      <w:bookmarkStart w:id="472" w:name="_Toc1601753856"/>
      <w:bookmarkStart w:id="473" w:name="_Toc1454903178"/>
      <w:bookmarkStart w:id="474" w:name="_Toc1552610899"/>
      <w:r>
        <w:rPr>
          <w:rFonts w:hint="eastAsia" w:ascii="仿宋" w:hAnsi="仿宋" w:eastAsia="仿宋" w:cs="仿宋"/>
          <w:b/>
          <w:bCs/>
          <w:sz w:val="28"/>
          <w:szCs w:val="28"/>
          <w:lang w:val="en-US" w:eastAsia="zh-CN"/>
        </w:rPr>
        <w:t>二、</w:t>
      </w:r>
      <w:r>
        <w:rPr>
          <w:rFonts w:hint="eastAsia" w:ascii="仿宋" w:hAnsi="仿宋" w:eastAsia="仿宋" w:cs="仿宋"/>
          <w:b/>
          <w:bCs/>
          <w:sz w:val="28"/>
          <w:szCs w:val="28"/>
          <w:lang w:val="zh-TW" w:eastAsia="zh-CN"/>
        </w:rPr>
        <w:t>法定代表人身份证明书</w:t>
      </w:r>
      <w:bookmarkEnd w:id="467"/>
      <w:bookmarkEnd w:id="468"/>
      <w:bookmarkEnd w:id="469"/>
      <w:bookmarkEnd w:id="470"/>
      <w:bookmarkEnd w:id="471"/>
      <w:bookmarkEnd w:id="472"/>
      <w:bookmarkEnd w:id="473"/>
      <w:bookmarkEnd w:id="474"/>
    </w:p>
    <w:p w14:paraId="5BD09CA8">
      <w:pPr>
        <w:pageBreakBefore w:val="0"/>
        <w:wordWrap/>
        <w:topLinePunct w:val="0"/>
        <w:bidi w:val="0"/>
        <w:spacing w:line="360" w:lineRule="auto"/>
        <w:rPr>
          <w:rFonts w:hint="eastAsia" w:ascii="仿宋" w:hAnsi="仿宋" w:eastAsia="仿宋" w:cs="仿宋"/>
          <w:color w:val="auto"/>
          <w:sz w:val="28"/>
          <w:szCs w:val="28"/>
          <w:lang w:val="en-US" w:eastAsia="zh-CN"/>
        </w:rPr>
      </w:pPr>
    </w:p>
    <w:p w14:paraId="04CBD840">
      <w:pPr>
        <w:pageBreakBefore w:val="0"/>
        <w:wordWrap/>
        <w:topLinePunct w:val="0"/>
        <w:bidi w:val="0"/>
        <w:spacing w:line="360" w:lineRule="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致</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eastAsia="zh-CN"/>
        </w:rPr>
        <w:t xml:space="preserve"> </w:t>
      </w:r>
      <w:r>
        <w:rPr>
          <w:rFonts w:hint="eastAsia" w:ascii="仿宋" w:hAnsi="仿宋" w:eastAsia="仿宋" w:cs="仿宋"/>
          <w:color w:val="auto"/>
          <w:sz w:val="28"/>
          <w:szCs w:val="28"/>
          <w:u w:val="single"/>
          <w:lang w:val="en-US" w:eastAsia="zh-CN"/>
        </w:rPr>
        <w:t>洛阳师范学院</w:t>
      </w:r>
      <w:r>
        <w:rPr>
          <w:rFonts w:hint="eastAsia" w:ascii="仿宋" w:hAnsi="仿宋" w:eastAsia="仿宋" w:cs="仿宋"/>
          <w:color w:val="auto"/>
          <w:sz w:val="28"/>
          <w:szCs w:val="28"/>
          <w:u w:val="single"/>
          <w:lang w:eastAsia="zh-CN"/>
        </w:rPr>
        <w:t xml:space="preserve"> </w:t>
      </w:r>
    </w:p>
    <w:p w14:paraId="28D0EF2F">
      <w:pPr>
        <w:pageBreakBefore w:val="0"/>
        <w:wordWrap/>
        <w:topLinePunct w:val="0"/>
        <w:bidi w:val="0"/>
        <w:spacing w:line="360" w:lineRule="auto"/>
        <w:ind w:firstLine="600"/>
        <w:rPr>
          <w:rFonts w:hint="eastAsia" w:ascii="仿宋" w:hAnsi="仿宋" w:eastAsia="仿宋" w:cs="仿宋"/>
          <w:color w:val="auto"/>
          <w:sz w:val="28"/>
          <w:szCs w:val="28"/>
          <w:lang w:eastAsia="zh-CN"/>
        </w:rPr>
      </w:pP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eastAsia="zh-CN"/>
        </w:rPr>
        <w:t>（姓名、性别、年龄、身份证号码）在我单位任</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eastAsia="zh-CN"/>
        </w:rPr>
        <w:t>（董事长、总经理等）职务，是我单位的法定代表人。</w:t>
      </w:r>
    </w:p>
    <w:p w14:paraId="5AF40C62">
      <w:pPr>
        <w:pageBreakBefore w:val="0"/>
        <w:wordWrap/>
        <w:topLinePunct w:val="0"/>
        <w:bidi w:val="0"/>
        <w:spacing w:line="360" w:lineRule="auto"/>
        <w:ind w:firstLine="480"/>
        <w:rPr>
          <w:rFonts w:hint="eastAsia" w:ascii="仿宋" w:hAnsi="仿宋" w:eastAsia="仿宋" w:cs="仿宋"/>
          <w:color w:val="auto"/>
          <w:sz w:val="28"/>
          <w:szCs w:val="28"/>
          <w:lang w:val="en-US" w:eastAsia="zh-CN"/>
        </w:rPr>
      </w:pPr>
    </w:p>
    <w:p w14:paraId="0F7F8932">
      <w:pPr>
        <w:pageBreakBefore w:val="0"/>
        <w:wordWrap/>
        <w:topLinePunct w:val="0"/>
        <w:bidi w:val="0"/>
        <w:spacing w:line="360" w:lineRule="auto"/>
        <w:ind w:firstLine="480"/>
        <w:rPr>
          <w:rFonts w:hint="eastAsia" w:ascii="仿宋" w:hAnsi="仿宋" w:eastAsia="仿宋" w:cs="仿宋"/>
          <w:color w:val="auto"/>
          <w:sz w:val="28"/>
          <w:szCs w:val="28"/>
          <w:lang w:val="en-US" w:eastAsia="zh-CN"/>
        </w:rPr>
      </w:pPr>
    </w:p>
    <w:p w14:paraId="72B7EC34">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特此证明。</w:t>
      </w:r>
    </w:p>
    <w:p w14:paraId="10520098">
      <w:pPr>
        <w:pageBreakBefore w:val="0"/>
        <w:wordWrap/>
        <w:topLinePunct w:val="0"/>
        <w:bidi w:val="0"/>
        <w:spacing w:line="360" w:lineRule="auto"/>
        <w:ind w:firstLine="480"/>
        <w:rPr>
          <w:rFonts w:hint="eastAsia" w:ascii="仿宋" w:hAnsi="仿宋" w:eastAsia="仿宋" w:cs="仿宋"/>
          <w:color w:val="auto"/>
          <w:sz w:val="28"/>
          <w:szCs w:val="28"/>
          <w:lang w:val="en-US" w:eastAsia="zh-CN"/>
        </w:rPr>
      </w:pPr>
    </w:p>
    <w:p w14:paraId="5C33B733">
      <w:pPr>
        <w:pageBreakBefore w:val="0"/>
        <w:wordWrap/>
        <w:topLinePunct w:val="0"/>
        <w:bidi w:val="0"/>
        <w:spacing w:line="360" w:lineRule="auto"/>
        <w:ind w:firstLine="480"/>
        <w:rPr>
          <w:rFonts w:hint="eastAsia" w:ascii="仿宋" w:hAnsi="仿宋" w:eastAsia="仿宋" w:cs="仿宋"/>
          <w:color w:val="auto"/>
          <w:sz w:val="28"/>
          <w:szCs w:val="28"/>
          <w:lang w:val="en-US" w:eastAsia="zh-CN"/>
        </w:rPr>
      </w:pPr>
    </w:p>
    <w:p w14:paraId="672E437C">
      <w:pPr>
        <w:pStyle w:val="197"/>
        <w:pageBreakBefore w:val="0"/>
        <w:tabs>
          <w:tab w:val="left" w:pos="5580"/>
        </w:tabs>
        <w:wordWrap/>
        <w:topLinePunct w:val="0"/>
        <w:bidi w:val="0"/>
        <w:spacing w:line="360" w:lineRule="auto"/>
        <w:ind w:firstLine="360"/>
        <w:rPr>
          <w:rFonts w:hint="eastAsia" w:ascii="仿宋" w:hAnsi="仿宋" w:eastAsia="仿宋" w:cs="仿宋"/>
          <w:color w:val="auto"/>
          <w:sz w:val="28"/>
          <w:szCs w:val="28"/>
        </w:rPr>
      </w:pPr>
      <w:r>
        <w:rPr>
          <w:rFonts w:hint="eastAsia" w:ascii="仿宋" w:hAnsi="仿宋" w:eastAsia="仿宋" w:cs="仿宋"/>
          <w:color w:val="auto"/>
          <w:sz w:val="28"/>
          <w:szCs w:val="28"/>
          <w:lang w:val="zh-TW"/>
        </w:rPr>
        <w:t>投标人（企业电子签章）：</w:t>
      </w:r>
      <w:r>
        <w:rPr>
          <w:rFonts w:hint="eastAsia" w:ascii="仿宋" w:hAnsi="仿宋" w:eastAsia="仿宋" w:cs="仿宋"/>
          <w:color w:val="auto"/>
          <w:sz w:val="28"/>
          <w:szCs w:val="28"/>
          <w:u w:val="single"/>
        </w:rPr>
        <w:t xml:space="preserve">                             </w:t>
      </w:r>
    </w:p>
    <w:p w14:paraId="02BE9841">
      <w:pPr>
        <w:pStyle w:val="197"/>
        <w:pageBreakBefore w:val="0"/>
        <w:tabs>
          <w:tab w:val="left" w:pos="5580"/>
        </w:tabs>
        <w:wordWrap/>
        <w:topLinePunct w:val="0"/>
        <w:bidi w:val="0"/>
        <w:spacing w:line="360" w:lineRule="auto"/>
        <w:ind w:left="269" w:firstLine="120"/>
        <w:rPr>
          <w:rFonts w:hint="eastAsia" w:ascii="仿宋" w:hAnsi="仿宋" w:eastAsia="仿宋" w:cs="仿宋"/>
          <w:color w:val="auto"/>
          <w:sz w:val="28"/>
          <w:szCs w:val="28"/>
        </w:rPr>
      </w:pPr>
      <w:r>
        <w:rPr>
          <w:rFonts w:hint="eastAsia" w:ascii="仿宋" w:hAnsi="仿宋" w:eastAsia="仿宋" w:cs="仿宋"/>
          <w:color w:val="auto"/>
          <w:sz w:val="28"/>
          <w:szCs w:val="28"/>
          <w:lang w:val="zh-TW"/>
        </w:rPr>
        <w:t>详细通讯地址：</w:t>
      </w:r>
      <w:r>
        <w:rPr>
          <w:rFonts w:hint="eastAsia" w:ascii="仿宋" w:hAnsi="仿宋" w:eastAsia="仿宋" w:cs="仿宋"/>
          <w:color w:val="auto"/>
          <w:sz w:val="28"/>
          <w:szCs w:val="28"/>
          <w:u w:val="single"/>
        </w:rPr>
        <w:t xml:space="preserve">                                </w:t>
      </w:r>
    </w:p>
    <w:p w14:paraId="6CD368E0">
      <w:pPr>
        <w:pStyle w:val="197"/>
        <w:pageBreakBefore w:val="0"/>
        <w:tabs>
          <w:tab w:val="left" w:pos="5580"/>
        </w:tabs>
        <w:wordWrap/>
        <w:topLinePunct w:val="0"/>
        <w:bidi w:val="0"/>
        <w:spacing w:line="360" w:lineRule="auto"/>
        <w:ind w:firstLine="360"/>
        <w:rPr>
          <w:rFonts w:hint="eastAsia" w:ascii="仿宋" w:hAnsi="仿宋" w:eastAsia="仿宋" w:cs="仿宋"/>
          <w:color w:val="auto"/>
          <w:sz w:val="28"/>
          <w:szCs w:val="28"/>
        </w:rPr>
      </w:pPr>
      <w:r>
        <w:rPr>
          <w:rFonts w:hint="eastAsia" w:ascii="仿宋" w:hAnsi="仿宋" w:eastAsia="仿宋" w:cs="仿宋"/>
          <w:color w:val="auto"/>
          <w:sz w:val="28"/>
          <w:szCs w:val="28"/>
          <w:lang w:val="zh-TW"/>
        </w:rPr>
        <w:t>邮 政 编 码 ：</w:t>
      </w:r>
      <w:r>
        <w:rPr>
          <w:rFonts w:hint="eastAsia" w:ascii="仿宋" w:hAnsi="仿宋" w:eastAsia="仿宋" w:cs="仿宋"/>
          <w:color w:val="auto"/>
          <w:sz w:val="28"/>
          <w:szCs w:val="28"/>
          <w:u w:val="single"/>
        </w:rPr>
        <w:t xml:space="preserve">                                </w:t>
      </w:r>
    </w:p>
    <w:p w14:paraId="291CD759">
      <w:pPr>
        <w:pStyle w:val="197"/>
        <w:pageBreakBefore w:val="0"/>
        <w:tabs>
          <w:tab w:val="left" w:pos="5580"/>
        </w:tabs>
        <w:wordWrap/>
        <w:topLinePunct w:val="0"/>
        <w:bidi w:val="0"/>
        <w:spacing w:line="360" w:lineRule="auto"/>
        <w:ind w:firstLine="360"/>
        <w:rPr>
          <w:rFonts w:hint="eastAsia" w:ascii="仿宋" w:hAnsi="仿宋" w:eastAsia="仿宋" w:cs="仿宋"/>
          <w:color w:val="auto"/>
          <w:sz w:val="28"/>
          <w:szCs w:val="28"/>
        </w:rPr>
      </w:pPr>
      <w:r>
        <w:rPr>
          <w:rFonts w:hint="eastAsia" w:ascii="仿宋" w:hAnsi="仿宋" w:eastAsia="仿宋" w:cs="仿宋"/>
          <w:color w:val="auto"/>
          <w:sz w:val="28"/>
          <w:szCs w:val="28"/>
          <w:lang w:val="zh-TW"/>
        </w:rPr>
        <w:t>传　　　　真：</w:t>
      </w:r>
      <w:r>
        <w:rPr>
          <w:rFonts w:hint="eastAsia" w:ascii="仿宋" w:hAnsi="仿宋" w:eastAsia="仿宋" w:cs="仿宋"/>
          <w:color w:val="auto"/>
          <w:sz w:val="28"/>
          <w:szCs w:val="28"/>
          <w:u w:val="single"/>
        </w:rPr>
        <w:t xml:space="preserve">                                </w:t>
      </w:r>
    </w:p>
    <w:p w14:paraId="322D8747">
      <w:pPr>
        <w:pStyle w:val="197"/>
        <w:pageBreakBefore w:val="0"/>
        <w:tabs>
          <w:tab w:val="left" w:pos="5580"/>
        </w:tabs>
        <w:wordWrap/>
        <w:topLinePunct w:val="0"/>
        <w:bidi w:val="0"/>
        <w:spacing w:line="360" w:lineRule="auto"/>
        <w:ind w:firstLine="360"/>
        <w:rPr>
          <w:rFonts w:hint="eastAsia" w:ascii="仿宋" w:hAnsi="仿宋" w:eastAsia="仿宋" w:cs="仿宋"/>
          <w:color w:val="auto"/>
          <w:sz w:val="28"/>
          <w:szCs w:val="28"/>
          <w:u w:val="single"/>
        </w:rPr>
      </w:pPr>
      <w:r>
        <w:rPr>
          <w:rFonts w:hint="eastAsia" w:ascii="仿宋" w:hAnsi="仿宋" w:eastAsia="仿宋" w:cs="仿宋"/>
          <w:color w:val="auto"/>
          <w:sz w:val="28"/>
          <w:szCs w:val="28"/>
          <w:lang w:val="zh-TW"/>
        </w:rPr>
        <w:t>电　　　　话：</w:t>
      </w:r>
      <w:r>
        <w:rPr>
          <w:rFonts w:hint="eastAsia" w:ascii="仿宋" w:hAnsi="仿宋" w:eastAsia="仿宋" w:cs="仿宋"/>
          <w:color w:val="auto"/>
          <w:sz w:val="28"/>
          <w:szCs w:val="28"/>
          <w:u w:val="single"/>
        </w:rPr>
        <w:t xml:space="preserve">                                </w:t>
      </w:r>
    </w:p>
    <w:p w14:paraId="7C6E866F">
      <w:pPr>
        <w:pStyle w:val="197"/>
        <w:pageBreakBefore w:val="0"/>
        <w:tabs>
          <w:tab w:val="left" w:pos="5580"/>
        </w:tabs>
        <w:wordWrap/>
        <w:topLinePunct w:val="0"/>
        <w:bidi w:val="0"/>
        <w:spacing w:line="360" w:lineRule="auto"/>
        <w:ind w:firstLine="360"/>
        <w:rPr>
          <w:rFonts w:hint="eastAsia" w:ascii="仿宋" w:hAnsi="仿宋" w:eastAsia="仿宋" w:cs="仿宋"/>
          <w:color w:val="auto"/>
          <w:sz w:val="28"/>
          <w:szCs w:val="28"/>
          <w:u w:val="single"/>
        </w:rPr>
      </w:pPr>
    </w:p>
    <w:tbl>
      <w:tblPr>
        <w:tblStyle w:val="52"/>
        <w:tblW w:w="896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134A58F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50B5EA78">
            <w:pPr>
              <w:pageBreakBefore w:val="0"/>
              <w:wordWrap/>
              <w:topLinePunct w:val="0"/>
              <w:bidi w:val="0"/>
              <w:spacing w:line="360" w:lineRule="auto"/>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1D430A2B">
            <w:pPr>
              <w:pageBreakBefore w:val="0"/>
              <w:wordWrap/>
              <w:topLinePunct w:val="0"/>
              <w:bidi w:val="0"/>
              <w:spacing w:line="360" w:lineRule="auto"/>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法定代表人身份证（国徽面）</w:t>
            </w:r>
          </w:p>
        </w:tc>
      </w:tr>
    </w:tbl>
    <w:p w14:paraId="22AD3D6E">
      <w:pPr>
        <w:pageBreakBefore w:val="0"/>
        <w:wordWrap/>
        <w:topLinePunct w:val="0"/>
        <w:bidi w:val="0"/>
        <w:spacing w:line="360" w:lineRule="auto"/>
        <w:ind w:firstLine="480"/>
        <w:rPr>
          <w:rFonts w:hint="eastAsia" w:ascii="仿宋" w:hAnsi="仿宋" w:eastAsia="仿宋" w:cs="仿宋"/>
          <w:color w:val="auto"/>
          <w:sz w:val="28"/>
          <w:szCs w:val="28"/>
          <w:lang w:val="en-US" w:eastAsia="zh-CN"/>
        </w:rPr>
      </w:pPr>
    </w:p>
    <w:p w14:paraId="39153FFA">
      <w:pPr>
        <w:pageBreakBefore w:val="0"/>
        <w:wordWrap/>
        <w:topLinePunct w:val="0"/>
        <w:bidi w:val="0"/>
        <w:spacing w:line="360" w:lineRule="auto"/>
        <w:ind w:firstLine="48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注：自然人投标的无需提供。</w:t>
      </w:r>
    </w:p>
    <w:p w14:paraId="53F524CF">
      <w:pPr>
        <w:pageBreakBefore w:val="0"/>
        <w:wordWrap/>
        <w:topLinePunct w:val="0"/>
        <w:bidi w:val="0"/>
        <w:spacing w:line="360" w:lineRule="auto"/>
        <w:rPr>
          <w:rFonts w:hint="eastAsia" w:ascii="仿宋" w:hAnsi="仿宋" w:eastAsia="仿宋" w:cs="仿宋"/>
          <w:color w:val="auto"/>
          <w:lang w:eastAsia="zh-CN"/>
        </w:rPr>
      </w:pPr>
    </w:p>
    <w:p w14:paraId="3F06A2B1">
      <w:pPr>
        <w:pStyle w:val="17"/>
        <w:pageBreakBefore w:val="0"/>
        <w:wordWrap/>
        <w:topLinePunct w:val="0"/>
        <w:bidi w:val="0"/>
        <w:spacing w:line="360" w:lineRule="auto"/>
        <w:rPr>
          <w:rFonts w:hint="eastAsia" w:ascii="仿宋" w:hAnsi="仿宋" w:eastAsia="仿宋" w:cs="仿宋"/>
          <w:color w:val="auto"/>
          <w:lang w:eastAsia="zh-CN"/>
        </w:rPr>
      </w:pPr>
    </w:p>
    <w:p w14:paraId="11731952">
      <w:pPr>
        <w:pStyle w:val="39"/>
        <w:pageBreakBefore w:val="0"/>
        <w:wordWrap/>
        <w:topLinePunct w:val="0"/>
        <w:bidi w:val="0"/>
        <w:spacing w:line="360" w:lineRule="auto"/>
        <w:ind w:left="840" w:hanging="420"/>
        <w:rPr>
          <w:rFonts w:hint="eastAsia" w:ascii="仿宋" w:hAnsi="仿宋" w:eastAsia="仿宋" w:cs="仿宋"/>
          <w:color w:val="auto"/>
          <w:lang w:eastAsia="zh-CN"/>
        </w:rPr>
        <w:sectPr>
          <w:headerReference r:id="rId5"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66F2AE87">
      <w:pPr>
        <w:jc w:val="center"/>
        <w:outlineLvl w:val="1"/>
        <w:rPr>
          <w:rFonts w:hint="eastAsia" w:ascii="仿宋" w:hAnsi="仿宋" w:eastAsia="仿宋" w:cs="仿宋"/>
          <w:b/>
          <w:bCs/>
          <w:sz w:val="28"/>
          <w:szCs w:val="28"/>
          <w:lang w:val="en-US" w:eastAsia="zh-CN"/>
        </w:rPr>
      </w:pPr>
      <w:bookmarkStart w:id="475" w:name="_Toc881536663"/>
      <w:bookmarkStart w:id="476" w:name="_Toc95209368"/>
      <w:bookmarkStart w:id="477" w:name="_Toc1255393211"/>
      <w:bookmarkStart w:id="478" w:name="_Toc2129612794"/>
      <w:bookmarkStart w:id="479" w:name="_Toc860628901"/>
      <w:bookmarkStart w:id="480" w:name="_Toc1881793082_WPSOffice_Level2"/>
      <w:bookmarkStart w:id="481" w:name="_Toc320103337"/>
      <w:bookmarkStart w:id="482" w:name="_Toc1046173163"/>
      <w:r>
        <w:rPr>
          <w:rFonts w:hint="eastAsia" w:ascii="仿宋" w:hAnsi="仿宋" w:eastAsia="仿宋" w:cs="仿宋"/>
          <w:b/>
          <w:bCs/>
          <w:sz w:val="28"/>
          <w:szCs w:val="28"/>
          <w:lang w:val="en-US" w:eastAsia="zh-CN"/>
        </w:rPr>
        <w:t>三、投标报价表格</w:t>
      </w:r>
      <w:bookmarkEnd w:id="475"/>
      <w:bookmarkEnd w:id="476"/>
      <w:bookmarkEnd w:id="477"/>
      <w:bookmarkEnd w:id="478"/>
      <w:bookmarkEnd w:id="479"/>
      <w:bookmarkEnd w:id="480"/>
      <w:bookmarkEnd w:id="481"/>
      <w:bookmarkEnd w:id="482"/>
    </w:p>
    <w:p w14:paraId="1425BA9E">
      <w:pPr>
        <w:pageBreakBefore w:val="0"/>
        <w:wordWrap/>
        <w:topLinePunct w:val="0"/>
        <w:bidi w:val="0"/>
        <w:spacing w:line="360" w:lineRule="auto"/>
        <w:jc w:val="center"/>
        <w:outlineLvl w:val="2"/>
        <w:rPr>
          <w:rFonts w:hint="eastAsia" w:ascii="仿宋" w:hAnsi="仿宋" w:eastAsia="仿宋" w:cs="仿宋"/>
          <w:color w:val="auto"/>
          <w:sz w:val="28"/>
          <w:szCs w:val="28"/>
          <w:lang w:eastAsia="zh-CN"/>
        </w:rPr>
      </w:pPr>
      <w:bookmarkStart w:id="483" w:name="_Toc1289935819"/>
      <w:bookmarkStart w:id="484" w:name="_Toc55824951"/>
      <w:bookmarkStart w:id="485" w:name="_Toc326650802_WPSOffice_Level3"/>
      <w:bookmarkStart w:id="486" w:name="_Toc562840553"/>
      <w:r>
        <w:rPr>
          <w:rFonts w:hint="eastAsia" w:ascii="仿宋" w:hAnsi="仿宋" w:eastAsia="仿宋" w:cs="仿宋"/>
          <w:color w:val="auto"/>
          <w:sz w:val="28"/>
          <w:szCs w:val="28"/>
          <w:lang w:eastAsia="zh-CN"/>
        </w:rPr>
        <w:t>1</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eastAsia="zh-CN"/>
        </w:rPr>
        <w:t>投标主要内容汇总表</w:t>
      </w:r>
      <w:bookmarkEnd w:id="483"/>
      <w:bookmarkEnd w:id="484"/>
      <w:bookmarkEnd w:id="485"/>
      <w:bookmarkEnd w:id="486"/>
    </w:p>
    <w:p w14:paraId="0652F30F">
      <w:pPr>
        <w:pageBreakBefore w:val="0"/>
        <w:wordWrap/>
        <w:topLinePunct w:val="0"/>
        <w:bidi w:val="0"/>
        <w:spacing w:line="360" w:lineRule="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采购编号：</w:t>
      </w:r>
      <w:r>
        <w:rPr>
          <w:rFonts w:hint="eastAsia" w:ascii="仿宋" w:hAnsi="仿宋" w:eastAsia="仿宋" w:cs="仿宋"/>
          <w:color w:val="auto"/>
          <w:sz w:val="28"/>
          <w:szCs w:val="28"/>
          <w:lang w:val="en" w:eastAsia="zh-CN"/>
        </w:rPr>
        <w:t>豫财招标采购-2025-1520</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金额单位：元人民币</w:t>
      </w:r>
    </w:p>
    <w:tbl>
      <w:tblPr>
        <w:tblStyle w:val="52"/>
        <w:tblW w:w="91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7197"/>
      </w:tblGrid>
      <w:tr w14:paraId="3B15B01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9D85E2A">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采购项目</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0F868C7">
            <w:pPr>
              <w:pageBreakBefore w:val="0"/>
              <w:wordWrap/>
              <w:topLinePunct w:val="0"/>
              <w:bidi w:val="0"/>
              <w:spacing w:line="360" w:lineRule="auto"/>
              <w:ind w:left="105" w:leftChars="50"/>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 w:eastAsia="zh-CN"/>
              </w:rPr>
              <w:t>洛阳师范学院2026-2028年度教学区域物业管理服务项目</w:t>
            </w:r>
          </w:p>
        </w:tc>
      </w:tr>
      <w:tr w14:paraId="10FFFD5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984A04E">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投标人名称</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899429D">
            <w:pPr>
              <w:pageBreakBefore w:val="0"/>
              <w:wordWrap/>
              <w:topLinePunct w:val="0"/>
              <w:bidi w:val="0"/>
              <w:spacing w:line="360" w:lineRule="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 xml:space="preserve"> </w:t>
            </w:r>
          </w:p>
        </w:tc>
      </w:tr>
      <w:tr w14:paraId="720519B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739D3C3">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投标总报价（大写）</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2207949">
            <w:pPr>
              <w:pageBreakBefore w:val="0"/>
              <w:wordWrap/>
              <w:topLinePunct w:val="0"/>
              <w:bidi w:val="0"/>
              <w:spacing w:line="360" w:lineRule="auto"/>
              <w:rPr>
                <w:rFonts w:hint="eastAsia" w:ascii="仿宋" w:hAnsi="仿宋" w:eastAsia="仿宋" w:cs="仿宋"/>
                <w:color w:val="auto"/>
                <w:kern w:val="0"/>
                <w:sz w:val="28"/>
                <w:szCs w:val="28"/>
              </w:rPr>
            </w:pPr>
          </w:p>
        </w:tc>
      </w:tr>
      <w:tr w14:paraId="66BE063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2985B69">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投标总报价（小写）</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365558C">
            <w:pPr>
              <w:pageBreakBefore w:val="0"/>
              <w:wordWrap/>
              <w:topLinePunct w:val="0"/>
              <w:bidi w:val="0"/>
              <w:spacing w:line="360" w:lineRule="auto"/>
              <w:rPr>
                <w:rFonts w:hint="eastAsia" w:ascii="仿宋" w:hAnsi="仿宋" w:eastAsia="仿宋" w:cs="仿宋"/>
                <w:color w:val="auto"/>
                <w:kern w:val="0"/>
                <w:sz w:val="28"/>
                <w:szCs w:val="28"/>
              </w:rPr>
            </w:pPr>
          </w:p>
        </w:tc>
      </w:tr>
      <w:tr w14:paraId="22908EB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5654777">
            <w:pPr>
              <w:pageBreakBefore w:val="0"/>
              <w:wordWrap/>
              <w:topLinePunct w:val="0"/>
              <w:bidi w:val="0"/>
              <w:spacing w:line="360" w:lineRule="auto"/>
              <w:jc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服务期限</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234F257">
            <w:pPr>
              <w:pageBreakBefore w:val="0"/>
              <w:wordWrap/>
              <w:topLinePunct w:val="0"/>
              <w:bidi w:val="0"/>
              <w:spacing w:line="360" w:lineRule="auto"/>
              <w:ind w:left="105" w:leftChars="50" w:firstLine="140" w:firstLineChars="50"/>
              <w:rPr>
                <w:rFonts w:hint="eastAsia" w:ascii="仿宋" w:hAnsi="仿宋" w:eastAsia="仿宋" w:cs="仿宋"/>
                <w:color w:val="auto"/>
                <w:kern w:val="0"/>
                <w:sz w:val="28"/>
                <w:szCs w:val="28"/>
                <w:lang w:val="en-US" w:eastAsia="zh-CN"/>
              </w:rPr>
            </w:pPr>
          </w:p>
        </w:tc>
      </w:tr>
      <w:tr w14:paraId="11B697B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D132B88">
            <w:pPr>
              <w:pageBreakBefore w:val="0"/>
              <w:wordWrap/>
              <w:topLinePunct w:val="0"/>
              <w:bidi w:val="0"/>
              <w:spacing w:line="360" w:lineRule="auto"/>
              <w:jc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服务地点</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2ED7062">
            <w:pPr>
              <w:pageBreakBefore w:val="0"/>
              <w:wordWrap/>
              <w:topLinePunct w:val="0"/>
              <w:bidi w:val="0"/>
              <w:spacing w:line="360" w:lineRule="auto"/>
              <w:ind w:left="105" w:leftChars="50"/>
              <w:rPr>
                <w:rFonts w:hint="eastAsia" w:ascii="仿宋" w:hAnsi="仿宋" w:eastAsia="仿宋" w:cs="仿宋"/>
                <w:color w:val="auto"/>
                <w:kern w:val="0"/>
                <w:sz w:val="28"/>
                <w:szCs w:val="28"/>
                <w:lang w:val="en-US" w:eastAsia="zh-CN"/>
              </w:rPr>
            </w:pPr>
          </w:p>
        </w:tc>
      </w:tr>
      <w:tr w14:paraId="007612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C1A39DB">
            <w:pPr>
              <w:pageBreakBefore w:val="0"/>
              <w:wordWrap/>
              <w:topLinePunct w:val="0"/>
              <w:bidi w:val="0"/>
              <w:spacing w:line="360" w:lineRule="auto"/>
              <w:jc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服务质量</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6399DD0">
            <w:pPr>
              <w:pageBreakBefore w:val="0"/>
              <w:wordWrap/>
              <w:topLinePunct w:val="0"/>
              <w:bidi w:val="0"/>
              <w:spacing w:line="360" w:lineRule="auto"/>
              <w:ind w:left="105" w:leftChars="50"/>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满足采购人要求</w:t>
            </w:r>
          </w:p>
        </w:tc>
      </w:tr>
      <w:tr w14:paraId="4C05D0A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93558C6">
            <w:pPr>
              <w:pageBreakBefore w:val="0"/>
              <w:wordWrap/>
              <w:topLinePunct w:val="0"/>
              <w:bidi w:val="0"/>
              <w:spacing w:line="36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投标有效期</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C1AECA9">
            <w:pPr>
              <w:pageBreakBefore w:val="0"/>
              <w:wordWrap/>
              <w:topLinePunct w:val="0"/>
              <w:bidi w:val="0"/>
              <w:spacing w:line="360" w:lineRule="auto"/>
              <w:ind w:left="105" w:leftChars="5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从投标截止之日起60</w:t>
            </w:r>
            <w:r>
              <w:rPr>
                <w:rFonts w:hint="eastAsia" w:ascii="仿宋" w:hAnsi="仿宋" w:eastAsia="仿宋" w:cs="仿宋"/>
                <w:color w:val="auto"/>
                <w:kern w:val="0"/>
                <w:sz w:val="28"/>
                <w:szCs w:val="28"/>
                <w:highlight w:val="none"/>
                <w:lang w:val="en-US" w:eastAsia="zh-CN"/>
              </w:rPr>
              <w:t>天</w:t>
            </w:r>
          </w:p>
        </w:tc>
      </w:tr>
      <w:tr w14:paraId="3E0CEA8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E5E23E1">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付款方式</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67F0315">
            <w:pPr>
              <w:pageBreakBefore w:val="0"/>
              <w:wordWrap/>
              <w:topLinePunct w:val="0"/>
              <w:bidi w:val="0"/>
              <w:spacing w:line="360" w:lineRule="auto"/>
              <w:ind w:left="105" w:leftChars="50"/>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满足招标文件需求</w:t>
            </w:r>
          </w:p>
        </w:tc>
      </w:tr>
      <w:tr w14:paraId="31C2B6C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6FB3E6E">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合同条款</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B7735A7">
            <w:pPr>
              <w:pageBreakBefore w:val="0"/>
              <w:wordWrap/>
              <w:topLinePunct w:val="0"/>
              <w:bidi w:val="0"/>
              <w:spacing w:line="360" w:lineRule="auto"/>
              <w:ind w:left="105" w:leftChars="50"/>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满足招标文件需求</w:t>
            </w:r>
          </w:p>
        </w:tc>
      </w:tr>
      <w:tr w14:paraId="000DF3B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31F7F93">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其他声明</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EB72A1C">
            <w:pPr>
              <w:pageBreakBefore w:val="0"/>
              <w:wordWrap/>
              <w:topLinePunct w:val="0"/>
              <w:bidi w:val="0"/>
              <w:spacing w:line="360" w:lineRule="auto"/>
              <w:rPr>
                <w:rFonts w:hint="eastAsia" w:ascii="仿宋" w:hAnsi="仿宋" w:eastAsia="仿宋" w:cs="仿宋"/>
                <w:color w:val="auto"/>
                <w:kern w:val="0"/>
                <w:sz w:val="28"/>
                <w:szCs w:val="28"/>
              </w:rPr>
            </w:pPr>
          </w:p>
        </w:tc>
      </w:tr>
    </w:tbl>
    <w:p w14:paraId="5279F8F3">
      <w:pPr>
        <w:pageBreakBefore w:val="0"/>
        <w:widowControl w:val="0"/>
        <w:wordWrap/>
        <w:topLinePunct w:val="0"/>
        <w:bidi w:val="0"/>
        <w:spacing w:line="360" w:lineRule="auto"/>
        <w:jc w:val="center"/>
        <w:rPr>
          <w:rFonts w:hint="eastAsia" w:ascii="仿宋" w:hAnsi="仿宋" w:eastAsia="仿宋" w:cs="仿宋"/>
          <w:color w:val="auto"/>
          <w:sz w:val="28"/>
          <w:szCs w:val="28"/>
        </w:rPr>
      </w:pPr>
    </w:p>
    <w:p w14:paraId="402F6ADE">
      <w:pPr>
        <w:pageBreakBefore w:val="0"/>
        <w:wordWrap/>
        <w:topLinePunct w:val="0"/>
        <w:bidi w:val="0"/>
        <w:spacing w:line="36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投标人（企业电子签章）：</w:t>
      </w:r>
    </w:p>
    <w:p w14:paraId="14A6F752">
      <w:pPr>
        <w:pageBreakBefore w:val="0"/>
        <w:wordWrap/>
        <w:topLinePunct w:val="0"/>
        <w:bidi w:val="0"/>
        <w:spacing w:line="360" w:lineRule="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法定代表人（个人电子签章）：</w:t>
      </w:r>
      <w:bookmarkEnd w:id="461"/>
      <w:bookmarkEnd w:id="462"/>
      <w:bookmarkEnd w:id="463"/>
      <w:bookmarkEnd w:id="464"/>
      <w:bookmarkEnd w:id="465"/>
      <w:bookmarkEnd w:id="466"/>
      <w:bookmarkStart w:id="487" w:name="_Toc74240239"/>
      <w:bookmarkStart w:id="488" w:name="_Toc893708091"/>
      <w:bookmarkStart w:id="489" w:name="_Toc643738620"/>
      <w:bookmarkStart w:id="490" w:name="_Toc1973880807"/>
      <w:bookmarkStart w:id="491" w:name="_Toc2582323"/>
      <w:bookmarkStart w:id="492" w:name="_Toc585133884"/>
      <w:bookmarkStart w:id="493" w:name="_Toc299604904"/>
    </w:p>
    <w:p w14:paraId="01EAAD51">
      <w:pPr>
        <w:pStyle w:val="70"/>
        <w:pageBreakBefore w:val="0"/>
        <w:wordWrap/>
        <w:topLinePunct w:val="0"/>
        <w:bidi w:val="0"/>
        <w:spacing w:line="360" w:lineRule="auto"/>
        <w:rPr>
          <w:rFonts w:hint="eastAsia" w:ascii="仿宋" w:hAnsi="仿宋" w:eastAsia="仿宋" w:cs="仿宋"/>
          <w:color w:val="auto"/>
          <w:sz w:val="28"/>
          <w:szCs w:val="28"/>
        </w:rPr>
      </w:pPr>
    </w:p>
    <w:p w14:paraId="74378E20">
      <w:pPr>
        <w:pageBreakBefore w:val="0"/>
        <w:numPr>
          <w:ilvl w:val="0"/>
          <w:numId w:val="3"/>
        </w:numPr>
        <w:wordWrap/>
        <w:topLinePunct w:val="0"/>
        <w:bidi w:val="0"/>
        <w:spacing w:line="360" w:lineRule="auto"/>
        <w:jc w:val="center"/>
        <w:outlineLvl w:val="2"/>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eastAsia="zh-CN"/>
        </w:rPr>
        <w:br w:type="page"/>
      </w:r>
      <w:bookmarkStart w:id="494" w:name="_Toc2051642436_WPSOffice_Level3"/>
      <w:r>
        <w:rPr>
          <w:rFonts w:hint="eastAsia" w:ascii="仿宋" w:hAnsi="仿宋" w:eastAsia="仿宋" w:cs="仿宋"/>
          <w:b/>
          <w:bCs/>
          <w:color w:val="auto"/>
          <w:sz w:val="28"/>
          <w:szCs w:val="28"/>
          <w:lang w:val="en-US" w:eastAsia="zh-CN"/>
        </w:rPr>
        <w:t>分项报价一览表及有关说明</w:t>
      </w:r>
      <w:bookmarkEnd w:id="494"/>
    </w:p>
    <w:p w14:paraId="2A84DEF2">
      <w:pPr>
        <w:pageBreakBefore w:val="0"/>
        <w:wordWrap/>
        <w:topLinePunct w:val="0"/>
        <w:bidi w:val="0"/>
        <w:spacing w:line="360" w:lineRule="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采购编号：</w:t>
      </w:r>
      <w:r>
        <w:rPr>
          <w:rFonts w:hint="eastAsia" w:ascii="仿宋" w:hAnsi="仿宋" w:eastAsia="仿宋" w:cs="仿宋"/>
          <w:color w:val="auto"/>
          <w:sz w:val="28"/>
          <w:szCs w:val="28"/>
          <w:lang w:val="en" w:eastAsia="zh-CN"/>
        </w:rPr>
        <w:t>豫财招标采购-2025-1520</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金额单位：元人民币</w:t>
      </w:r>
    </w:p>
    <w:p w14:paraId="0D351643">
      <w:pPr>
        <w:pStyle w:val="228"/>
        <w:pageBreakBefore w:val="0"/>
        <w:wordWrap/>
        <w:topLinePunct w:val="0"/>
        <w:bidi w:val="0"/>
        <w:spacing w:line="360" w:lineRule="auto"/>
        <w:rPr>
          <w:rFonts w:hint="eastAsia" w:ascii="仿宋" w:hAnsi="仿宋" w:eastAsia="仿宋" w:cs="仿宋"/>
          <w:color w:val="auto"/>
          <w:sz w:val="2"/>
          <w:szCs w:val="2"/>
        </w:rPr>
      </w:pPr>
    </w:p>
    <w:tbl>
      <w:tblPr>
        <w:tblStyle w:val="52"/>
        <w:tblW w:w="88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634"/>
        <w:gridCol w:w="1018"/>
        <w:gridCol w:w="1134"/>
        <w:gridCol w:w="1134"/>
        <w:gridCol w:w="1559"/>
        <w:gridCol w:w="1379"/>
      </w:tblGrid>
      <w:tr w14:paraId="27592C1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A0AA96">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名称</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8BB3A0">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数量</w:t>
            </w: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39EBDE">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月费用</w:t>
            </w: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639231">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年费用</w:t>
            </w: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BEF016">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服务期费用</w:t>
            </w: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4335FDD1">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备注说明</w:t>
            </w:r>
          </w:p>
        </w:tc>
      </w:tr>
      <w:tr w14:paraId="3107F97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73D447">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岗位人员工资</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DF8DE6">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7AFAE9">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4AD0EE">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0F6AE1">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13C094D7">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78DFD33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CC13C2">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8129AD">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B0BC51">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2D57FE">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8EB46C">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2CE6DAD7">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2CCA2D7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B1B134">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AE6A0D">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2AFA37">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824861">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7E549E">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2E8DFCC1">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7B9546A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EE2FD9">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社会保险</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0E5B6D">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7FE0AC">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E72CFB">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2673E9">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5BD83E70">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4440108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BBB0B2">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B70193">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DAC4B4">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F25F8A">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7F1780">
            <w:pPr>
              <w:keepNext w:val="0"/>
              <w:keepLines w:val="0"/>
              <w:pageBreakBefore w:val="0"/>
              <w:widowControl/>
              <w:kinsoku/>
              <w:wordWrap/>
              <w:overflowPunct/>
              <w:topLinePunct w:val="0"/>
              <w:autoSpaceDE/>
              <w:autoSpaceDN w:val="0"/>
              <w:bidi w:val="0"/>
              <w:adjustRightInd/>
              <w:snapToGrid/>
              <w:spacing w:line="360" w:lineRule="auto"/>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66E80FF3">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4EF3B2C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22F0A">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D1C9E7">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CDB67F">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4BEA79">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5E26E7">
            <w:pPr>
              <w:keepNext w:val="0"/>
              <w:keepLines w:val="0"/>
              <w:pageBreakBefore w:val="0"/>
              <w:widowControl/>
              <w:kinsoku/>
              <w:wordWrap/>
              <w:overflowPunct/>
              <w:topLinePunct w:val="0"/>
              <w:autoSpaceDE/>
              <w:autoSpaceDN w:val="0"/>
              <w:bidi w:val="0"/>
              <w:adjustRightInd/>
              <w:snapToGrid/>
              <w:spacing w:line="360" w:lineRule="auto"/>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28061EE5">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77EFC5E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55307F">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其他</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B9BAAA">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355E48">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4AE39D">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3284AD">
            <w:pPr>
              <w:keepNext w:val="0"/>
              <w:keepLines w:val="0"/>
              <w:pageBreakBefore w:val="0"/>
              <w:widowControl/>
              <w:kinsoku/>
              <w:wordWrap/>
              <w:overflowPunct/>
              <w:topLinePunct w:val="0"/>
              <w:autoSpaceDE/>
              <w:autoSpaceDN w:val="0"/>
              <w:bidi w:val="0"/>
              <w:adjustRightInd/>
              <w:snapToGrid/>
              <w:spacing w:line="360" w:lineRule="auto"/>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6D4BD03D">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0F13C4C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530573">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F1FD5C">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9972E7">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BDAC3C">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13EE19D">
            <w:pPr>
              <w:keepNext w:val="0"/>
              <w:keepLines w:val="0"/>
              <w:pageBreakBefore w:val="0"/>
              <w:widowControl/>
              <w:kinsoku/>
              <w:wordWrap/>
              <w:overflowPunct/>
              <w:topLinePunct w:val="0"/>
              <w:autoSpaceDE/>
              <w:autoSpaceDN w:val="0"/>
              <w:bidi w:val="0"/>
              <w:adjustRightInd/>
              <w:snapToGrid/>
              <w:spacing w:line="360" w:lineRule="auto"/>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7EB99A18">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2E15BBE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BF413B">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02B5DE">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537E76">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30763D">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3EAF9A">
            <w:pPr>
              <w:keepNext w:val="0"/>
              <w:keepLines w:val="0"/>
              <w:pageBreakBefore w:val="0"/>
              <w:widowControl/>
              <w:kinsoku/>
              <w:wordWrap/>
              <w:overflowPunct/>
              <w:topLinePunct w:val="0"/>
              <w:autoSpaceDE/>
              <w:autoSpaceDN w:val="0"/>
              <w:bidi w:val="0"/>
              <w:adjustRightInd/>
              <w:snapToGrid/>
              <w:spacing w:line="360" w:lineRule="auto"/>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7AC6A308">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1057D11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FAEC981">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税金</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AB4676">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35EFFE">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81C81E">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0111AE">
            <w:pPr>
              <w:keepNext w:val="0"/>
              <w:keepLines w:val="0"/>
              <w:pageBreakBefore w:val="0"/>
              <w:widowControl/>
              <w:kinsoku/>
              <w:wordWrap/>
              <w:overflowPunct/>
              <w:topLinePunct w:val="0"/>
              <w:autoSpaceDE/>
              <w:autoSpaceDN w:val="0"/>
              <w:bidi w:val="0"/>
              <w:adjustRightInd/>
              <w:snapToGrid/>
              <w:spacing w:line="360" w:lineRule="auto"/>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6F6EB1AE">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57B23E8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06FAB1">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7A4EB3">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C3C00F">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DC2A29">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925F44">
            <w:pPr>
              <w:keepNext w:val="0"/>
              <w:keepLines w:val="0"/>
              <w:pageBreakBefore w:val="0"/>
              <w:widowControl/>
              <w:kinsoku/>
              <w:wordWrap/>
              <w:overflowPunct/>
              <w:topLinePunct w:val="0"/>
              <w:autoSpaceDE/>
              <w:autoSpaceDN w:val="0"/>
              <w:bidi w:val="0"/>
              <w:adjustRightInd/>
              <w:snapToGrid/>
              <w:spacing w:line="360" w:lineRule="auto"/>
              <w:textAlignment w:val="auto"/>
              <w:rPr>
                <w:rFonts w:hint="eastAsia" w:ascii="仿宋" w:hAnsi="仿宋" w:eastAsia="仿宋" w:cs="仿宋"/>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26F5AEF3">
            <w:pPr>
              <w:keepNext w:val="0"/>
              <w:keepLines w:val="0"/>
              <w:pageBreakBefore w:val="0"/>
              <w:widowControl/>
              <w:kinsoku/>
              <w:wordWrap/>
              <w:overflowPunct/>
              <w:topLinePunct w:val="0"/>
              <w:autoSpaceDE/>
              <w:autoSpaceDN w:val="0"/>
              <w:bidi w:val="0"/>
              <w:adjustRightInd/>
              <w:snapToGrid/>
              <w:spacing w:line="360" w:lineRule="auto"/>
              <w:jc w:val="center"/>
              <w:textAlignment w:val="auto"/>
              <w:rPr>
                <w:rFonts w:hint="eastAsia" w:ascii="仿宋" w:hAnsi="仿宋" w:eastAsia="仿宋" w:cs="仿宋"/>
                <w:color w:val="auto"/>
                <w:sz w:val="24"/>
                <w:szCs w:val="24"/>
              </w:rPr>
            </w:pPr>
          </w:p>
        </w:tc>
      </w:tr>
      <w:tr w14:paraId="28FD1F5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208EA2">
            <w:pPr>
              <w:keepNext w:val="0"/>
              <w:keepLines w:val="0"/>
              <w:pageBreakBefore w:val="0"/>
              <w:widowControl/>
              <w:kinsoku/>
              <w:wordWrap/>
              <w:overflowPunct/>
              <w:topLinePunct w:val="0"/>
              <w:autoSpaceDE/>
              <w:autoSpaceDN w:val="0"/>
              <w:bidi w:val="0"/>
              <w:adjustRightInd/>
              <w:snapToGrid/>
              <w:spacing w:line="360" w:lineRule="auto"/>
              <w:ind w:firstLine="938"/>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总计</w:t>
            </w:r>
          </w:p>
        </w:tc>
        <w:tc>
          <w:tcPr>
            <w:tcW w:w="6224" w:type="dxa"/>
            <w:gridSpan w:val="5"/>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7202440A">
            <w:pPr>
              <w:keepNext w:val="0"/>
              <w:keepLines w:val="0"/>
              <w:pageBreakBefore w:val="0"/>
              <w:widowControl/>
              <w:kinsoku/>
              <w:wordWrap/>
              <w:overflowPunct/>
              <w:topLinePunct w:val="0"/>
              <w:autoSpaceDE/>
              <w:autoSpaceDN w:val="0"/>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tc>
      </w:tr>
    </w:tbl>
    <w:p w14:paraId="43C2FDFE">
      <w:pPr>
        <w:pStyle w:val="70"/>
        <w:pageBreakBefore w:val="0"/>
        <w:wordWrap/>
        <w:topLinePunct w:val="0"/>
        <w:bidi w:val="0"/>
        <w:spacing w:line="360" w:lineRule="auto"/>
        <w:rPr>
          <w:rFonts w:hint="eastAsia" w:ascii="仿宋" w:hAnsi="仿宋" w:eastAsia="仿宋" w:cs="仿宋"/>
          <w:color w:val="auto"/>
          <w:lang w:val="zh-TW" w:eastAsia="zh-TW"/>
        </w:rPr>
      </w:pPr>
    </w:p>
    <w:p w14:paraId="6393C45F">
      <w:pPr>
        <w:pageBreakBefore w:val="0"/>
        <w:wordWrap/>
        <w:topLinePunct w:val="0"/>
        <w:bidi w:val="0"/>
        <w:spacing w:line="360" w:lineRule="auto"/>
        <w:ind w:firstLine="240" w:firstLineChars="100"/>
        <w:rPr>
          <w:rFonts w:hint="eastAsia" w:ascii="仿宋" w:hAnsi="仿宋" w:eastAsia="仿宋" w:cs="仿宋"/>
          <w:bCs/>
          <w:color w:val="auto"/>
          <w:sz w:val="24"/>
          <w:szCs w:val="24"/>
          <w:lang w:eastAsia="zh-CN"/>
        </w:rPr>
      </w:pPr>
      <w:r>
        <w:rPr>
          <w:rFonts w:hint="eastAsia" w:ascii="仿宋" w:hAnsi="仿宋" w:eastAsia="仿宋" w:cs="仿宋"/>
          <w:color w:val="auto"/>
          <w:sz w:val="24"/>
          <w:szCs w:val="24"/>
          <w:lang w:eastAsia="zh-CN"/>
        </w:rPr>
        <w:t>投标人（企业电子签章）：</w:t>
      </w:r>
      <w:r>
        <w:rPr>
          <w:rFonts w:hint="eastAsia" w:ascii="仿宋" w:hAnsi="仿宋" w:eastAsia="仿宋" w:cs="仿宋"/>
          <w:bCs/>
          <w:color w:val="auto"/>
          <w:sz w:val="24"/>
          <w:szCs w:val="24"/>
          <w:u w:val="single"/>
          <w:lang w:eastAsia="zh-CN"/>
        </w:rPr>
        <w:t xml:space="preserve">                </w:t>
      </w:r>
    </w:p>
    <w:p w14:paraId="18DCD6BF">
      <w:pPr>
        <w:pageBreakBefore w:val="0"/>
        <w:wordWrap/>
        <w:topLinePunct w:val="0"/>
        <w:bidi w:val="0"/>
        <w:spacing w:line="360" w:lineRule="auto"/>
        <w:ind w:firstLine="240" w:firstLineChars="100"/>
        <w:rPr>
          <w:rFonts w:hint="eastAsia" w:ascii="仿宋" w:hAnsi="仿宋" w:eastAsia="仿宋" w:cs="仿宋"/>
          <w:bCs/>
          <w:color w:val="auto"/>
          <w:sz w:val="24"/>
          <w:szCs w:val="24"/>
          <w:u w:val="single"/>
          <w:lang w:eastAsia="zh-CN"/>
        </w:rPr>
      </w:pPr>
      <w:r>
        <w:rPr>
          <w:rFonts w:hint="eastAsia" w:ascii="仿宋" w:hAnsi="仿宋" w:eastAsia="仿宋" w:cs="仿宋"/>
          <w:color w:val="auto"/>
          <w:sz w:val="24"/>
          <w:szCs w:val="24"/>
          <w:lang w:eastAsia="zh-CN"/>
        </w:rPr>
        <w:t>法定代表人（个人电子签章）：</w:t>
      </w:r>
      <w:r>
        <w:rPr>
          <w:rFonts w:hint="eastAsia" w:ascii="仿宋" w:hAnsi="仿宋" w:eastAsia="仿宋" w:cs="仿宋"/>
          <w:bCs/>
          <w:color w:val="auto"/>
          <w:sz w:val="24"/>
          <w:szCs w:val="24"/>
          <w:u w:val="single"/>
          <w:lang w:eastAsia="zh-CN"/>
        </w:rPr>
        <w:t xml:space="preserve">            </w:t>
      </w:r>
    </w:p>
    <w:p w14:paraId="684A7566">
      <w:pPr>
        <w:pageBreakBefore w:val="0"/>
        <w:wordWrap/>
        <w:topLinePunct w:val="0"/>
        <w:bidi w:val="0"/>
        <w:spacing w:line="360" w:lineRule="auto"/>
        <w:ind w:firstLine="240" w:firstLineChars="100"/>
        <w:rPr>
          <w:rFonts w:hint="eastAsia" w:ascii="仿宋" w:hAnsi="仿宋" w:eastAsia="仿宋" w:cs="仿宋"/>
          <w:color w:val="auto"/>
          <w:sz w:val="24"/>
          <w:szCs w:val="24"/>
          <w:lang w:eastAsia="zh-CN"/>
        </w:rPr>
      </w:pPr>
    </w:p>
    <w:p w14:paraId="5E0FBDD1">
      <w:pPr>
        <w:pageBreakBefore w:val="0"/>
        <w:wordWrap/>
        <w:topLinePunct w:val="0"/>
        <w:bidi w:val="0"/>
        <w:spacing w:line="360" w:lineRule="auto"/>
        <w:ind w:firstLine="240" w:firstLineChars="100"/>
        <w:jc w:val="right"/>
        <w:rPr>
          <w:rFonts w:hint="eastAsia" w:ascii="仿宋" w:hAnsi="仿宋" w:eastAsia="仿宋" w:cs="仿宋"/>
          <w:b/>
          <w:color w:val="auto"/>
          <w:sz w:val="24"/>
          <w:szCs w:val="24"/>
          <w:lang w:eastAsia="zh-CN"/>
        </w:rPr>
      </w:pPr>
      <w:r>
        <w:rPr>
          <w:rFonts w:hint="eastAsia" w:ascii="仿宋" w:hAnsi="仿宋" w:eastAsia="仿宋" w:cs="仿宋"/>
          <w:bCs/>
          <w:color w:val="auto"/>
          <w:sz w:val="24"/>
          <w:szCs w:val="24"/>
          <w:lang w:eastAsia="zh-CN"/>
        </w:rPr>
        <w:t>日期：</w:t>
      </w:r>
      <w:r>
        <w:rPr>
          <w:rFonts w:hint="eastAsia" w:ascii="仿宋" w:hAnsi="仿宋" w:eastAsia="仿宋" w:cs="仿宋"/>
          <w:bCs/>
          <w:color w:val="auto"/>
          <w:sz w:val="24"/>
          <w:szCs w:val="24"/>
          <w:u w:val="single"/>
          <w:lang w:eastAsia="zh-CN"/>
        </w:rPr>
        <w:t xml:space="preserve">      </w:t>
      </w:r>
      <w:r>
        <w:rPr>
          <w:rFonts w:hint="eastAsia" w:ascii="仿宋" w:hAnsi="仿宋" w:eastAsia="仿宋" w:cs="仿宋"/>
          <w:bCs/>
          <w:color w:val="auto"/>
          <w:sz w:val="24"/>
          <w:szCs w:val="24"/>
          <w:lang w:eastAsia="zh-CN"/>
        </w:rPr>
        <w:t>年</w:t>
      </w:r>
      <w:r>
        <w:rPr>
          <w:rFonts w:hint="eastAsia" w:ascii="仿宋" w:hAnsi="仿宋" w:eastAsia="仿宋" w:cs="仿宋"/>
          <w:bCs/>
          <w:color w:val="auto"/>
          <w:sz w:val="24"/>
          <w:szCs w:val="24"/>
          <w:u w:val="single"/>
          <w:lang w:eastAsia="zh-CN"/>
        </w:rPr>
        <w:t xml:space="preserve">   </w:t>
      </w:r>
      <w:r>
        <w:rPr>
          <w:rFonts w:hint="eastAsia" w:ascii="仿宋" w:hAnsi="仿宋" w:eastAsia="仿宋" w:cs="仿宋"/>
          <w:bCs/>
          <w:color w:val="auto"/>
          <w:sz w:val="24"/>
          <w:szCs w:val="24"/>
          <w:lang w:eastAsia="zh-CN"/>
        </w:rPr>
        <w:t>月</w:t>
      </w:r>
      <w:r>
        <w:rPr>
          <w:rFonts w:hint="eastAsia" w:ascii="仿宋" w:hAnsi="仿宋" w:eastAsia="仿宋" w:cs="仿宋"/>
          <w:bCs/>
          <w:color w:val="auto"/>
          <w:sz w:val="24"/>
          <w:szCs w:val="24"/>
          <w:u w:val="single"/>
          <w:lang w:eastAsia="zh-CN"/>
        </w:rPr>
        <w:t xml:space="preserve">   </w:t>
      </w:r>
      <w:r>
        <w:rPr>
          <w:rFonts w:hint="eastAsia" w:ascii="仿宋" w:hAnsi="仿宋" w:eastAsia="仿宋" w:cs="仿宋"/>
          <w:bCs/>
          <w:color w:val="auto"/>
          <w:sz w:val="24"/>
          <w:szCs w:val="24"/>
          <w:lang w:eastAsia="zh-CN"/>
        </w:rPr>
        <w:t>日</w:t>
      </w:r>
    </w:p>
    <w:p w14:paraId="146A080E">
      <w:pPr>
        <w:pStyle w:val="17"/>
        <w:pageBreakBefore w:val="0"/>
        <w:wordWrap/>
        <w:topLinePunct w:val="0"/>
        <w:bidi w:val="0"/>
        <w:spacing w:line="360" w:lineRule="auto"/>
        <w:rPr>
          <w:rFonts w:hint="eastAsia" w:ascii="仿宋" w:hAnsi="仿宋" w:eastAsia="仿宋" w:cs="仿宋"/>
          <w:b/>
          <w:color w:val="auto"/>
          <w:lang w:eastAsia="zh-CN"/>
        </w:rPr>
      </w:pPr>
      <w:bookmarkStart w:id="495" w:name="_Toc483428099_WPSOffice_Level3"/>
      <w:r>
        <w:rPr>
          <w:rFonts w:hint="eastAsia" w:ascii="仿宋" w:hAnsi="仿宋" w:eastAsia="仿宋" w:cs="仿宋"/>
          <w:b/>
          <w:color w:val="auto"/>
          <w:lang w:eastAsia="zh-CN"/>
        </w:rPr>
        <w:t>备注：</w:t>
      </w:r>
      <w:bookmarkEnd w:id="495"/>
    </w:p>
    <w:p w14:paraId="01334AA9">
      <w:pPr>
        <w:pStyle w:val="17"/>
        <w:pageBreakBefore w:val="0"/>
        <w:wordWrap/>
        <w:topLinePunct w:val="0"/>
        <w:bidi w:val="0"/>
        <w:spacing w:line="360" w:lineRule="auto"/>
        <w:rPr>
          <w:rFonts w:hint="eastAsia" w:ascii="仿宋" w:hAnsi="仿宋" w:eastAsia="仿宋" w:cs="仿宋"/>
          <w:b/>
          <w:color w:val="auto"/>
          <w:lang w:eastAsia="zh-CN"/>
        </w:rPr>
      </w:pPr>
      <w:r>
        <w:rPr>
          <w:rFonts w:hint="eastAsia" w:ascii="仿宋" w:hAnsi="仿宋" w:eastAsia="仿宋" w:cs="仿宋"/>
          <w:b/>
          <w:color w:val="auto"/>
          <w:lang w:eastAsia="zh-CN"/>
        </w:rPr>
        <w:t>1、最低工资标准按</w:t>
      </w:r>
      <w:r>
        <w:rPr>
          <w:rFonts w:hint="eastAsia" w:ascii="仿宋" w:hAnsi="仿宋" w:eastAsia="仿宋" w:cs="仿宋"/>
          <w:b/>
          <w:color w:val="auto"/>
          <w:lang w:val="en-US" w:eastAsia="zh-CN"/>
        </w:rPr>
        <w:t>最新</w:t>
      </w:r>
      <w:r>
        <w:rPr>
          <w:rFonts w:hint="eastAsia" w:ascii="仿宋" w:hAnsi="仿宋" w:eastAsia="仿宋" w:cs="仿宋"/>
          <w:b/>
          <w:color w:val="auto"/>
          <w:lang w:eastAsia="zh-CN"/>
        </w:rPr>
        <w:t>《河南省人民政府关于调整河南省最低工资标准的通知》执行。</w:t>
      </w:r>
    </w:p>
    <w:p w14:paraId="387812FB">
      <w:pPr>
        <w:pStyle w:val="17"/>
        <w:pageBreakBefore w:val="0"/>
        <w:wordWrap/>
        <w:topLinePunct w:val="0"/>
        <w:bidi w:val="0"/>
        <w:spacing w:line="360" w:lineRule="auto"/>
        <w:rPr>
          <w:rFonts w:hint="eastAsia" w:ascii="仿宋" w:hAnsi="仿宋" w:eastAsia="仿宋" w:cs="仿宋"/>
          <w:b/>
          <w:color w:val="auto"/>
          <w:lang w:eastAsia="zh-CN"/>
        </w:rPr>
      </w:pPr>
      <w:r>
        <w:rPr>
          <w:rFonts w:hint="eastAsia" w:ascii="仿宋" w:hAnsi="仿宋" w:eastAsia="仿宋" w:cs="仿宋"/>
          <w:b/>
          <w:color w:val="auto"/>
          <w:lang w:eastAsia="zh-CN"/>
        </w:rPr>
        <w:t>2、岗位人员工资、社会保险费、税金取费不得低于国家规定的最低标准。</w:t>
      </w:r>
    </w:p>
    <w:p w14:paraId="550CFEB0">
      <w:pPr>
        <w:pStyle w:val="17"/>
        <w:pageBreakBefore w:val="0"/>
        <w:wordWrap/>
        <w:topLinePunct w:val="0"/>
        <w:bidi w:val="0"/>
        <w:spacing w:line="360" w:lineRule="auto"/>
        <w:rPr>
          <w:rFonts w:hint="eastAsia" w:ascii="仿宋" w:hAnsi="仿宋" w:eastAsia="仿宋" w:cs="仿宋"/>
          <w:b/>
          <w:color w:val="auto"/>
          <w:lang w:eastAsia="zh-CN"/>
        </w:rPr>
      </w:pPr>
      <w:r>
        <w:rPr>
          <w:rFonts w:hint="eastAsia" w:ascii="仿宋" w:hAnsi="仿宋" w:eastAsia="仿宋" w:cs="仿宋"/>
          <w:b/>
          <w:color w:val="auto"/>
          <w:lang w:eastAsia="zh-CN"/>
        </w:rPr>
        <w:t>3、若有特殊情况，请予以备注说明并提供相关证明材料。</w:t>
      </w:r>
    </w:p>
    <w:p w14:paraId="3B4FFDA6">
      <w:pPr>
        <w:pStyle w:val="17"/>
        <w:pageBreakBefore w:val="0"/>
        <w:wordWrap/>
        <w:topLinePunct w:val="0"/>
        <w:bidi w:val="0"/>
        <w:spacing w:line="360" w:lineRule="auto"/>
        <w:rPr>
          <w:rFonts w:hint="eastAsia" w:ascii="仿宋" w:hAnsi="仿宋" w:eastAsia="仿宋" w:cs="仿宋"/>
          <w:color w:val="auto"/>
          <w:sz w:val="28"/>
          <w:szCs w:val="28"/>
          <w:lang w:eastAsia="zh-CN"/>
        </w:rPr>
      </w:pPr>
      <w:r>
        <w:rPr>
          <w:rFonts w:hint="eastAsia" w:ascii="仿宋" w:hAnsi="仿宋" w:eastAsia="仿宋" w:cs="仿宋"/>
          <w:b/>
          <w:color w:val="auto"/>
          <w:lang w:eastAsia="zh-CN"/>
        </w:rPr>
        <w:t>4、格式供参考，不做统一规定，可由投标人自行设计。</w:t>
      </w:r>
    </w:p>
    <w:p w14:paraId="5AE84E8C">
      <w:pPr>
        <w:pStyle w:val="39"/>
        <w:pageBreakBefore w:val="0"/>
        <w:wordWrap/>
        <w:topLinePunct w:val="0"/>
        <w:bidi w:val="0"/>
        <w:spacing w:line="360" w:lineRule="auto"/>
        <w:ind w:left="840" w:hanging="420"/>
        <w:rPr>
          <w:rFonts w:hint="eastAsia" w:ascii="仿宋" w:hAnsi="仿宋" w:eastAsia="仿宋" w:cs="仿宋"/>
          <w:color w:val="auto"/>
          <w:lang w:val="en-US" w:eastAsia="zh-CN"/>
        </w:rPr>
        <w:sectPr>
          <w:headerReference r:id="rId6" w:type="default"/>
          <w:footerReference r:id="rId7" w:type="default"/>
          <w:pgSz w:w="11900" w:h="16840"/>
          <w:pgMar w:top="1440" w:right="1800" w:bottom="1440" w:left="1800" w:header="851" w:footer="992" w:gutter="0"/>
          <w:pgBorders>
            <w:top w:val="none" w:sz="0" w:space="0"/>
            <w:left w:val="none" w:sz="0" w:space="0"/>
            <w:bottom w:val="none" w:sz="0" w:space="0"/>
            <w:right w:val="none" w:sz="0" w:space="0"/>
          </w:pgBorders>
          <w:cols w:space="720" w:num="1"/>
        </w:sectPr>
      </w:pPr>
    </w:p>
    <w:p w14:paraId="02112539">
      <w:pPr>
        <w:jc w:val="center"/>
        <w:outlineLvl w:val="1"/>
        <w:rPr>
          <w:rFonts w:hint="eastAsia" w:ascii="仿宋" w:hAnsi="仿宋" w:eastAsia="仿宋" w:cs="仿宋"/>
          <w:b/>
          <w:bCs/>
          <w:sz w:val="28"/>
          <w:szCs w:val="28"/>
          <w:lang w:val="en-US" w:eastAsia="zh-CN"/>
        </w:rPr>
      </w:pPr>
      <w:bookmarkStart w:id="496" w:name="_Toc821511257"/>
      <w:bookmarkStart w:id="497" w:name="_Toc1251267079"/>
      <w:bookmarkStart w:id="498" w:name="_Toc131578556"/>
      <w:bookmarkStart w:id="499" w:name="_Toc314692236"/>
      <w:bookmarkStart w:id="500" w:name="_Toc300470794"/>
      <w:bookmarkStart w:id="501" w:name="_Toc441969721_WPSOffice_Level2"/>
      <w:r>
        <w:rPr>
          <w:rFonts w:hint="eastAsia" w:ascii="仿宋" w:hAnsi="仿宋" w:eastAsia="仿宋" w:cs="仿宋"/>
          <w:b/>
          <w:bCs/>
          <w:sz w:val="28"/>
          <w:szCs w:val="28"/>
          <w:lang w:val="en-US" w:eastAsia="zh-CN"/>
        </w:rPr>
        <w:t>四、</w:t>
      </w:r>
      <w:bookmarkEnd w:id="487"/>
      <w:bookmarkEnd w:id="488"/>
      <w:bookmarkEnd w:id="489"/>
      <w:bookmarkEnd w:id="490"/>
      <w:bookmarkEnd w:id="491"/>
      <w:bookmarkEnd w:id="492"/>
      <w:bookmarkEnd w:id="496"/>
      <w:bookmarkEnd w:id="497"/>
      <w:bookmarkEnd w:id="498"/>
      <w:r>
        <w:rPr>
          <w:rFonts w:hint="eastAsia" w:ascii="仿宋" w:hAnsi="仿宋" w:eastAsia="仿宋" w:cs="仿宋"/>
          <w:b/>
          <w:bCs/>
          <w:sz w:val="28"/>
          <w:szCs w:val="28"/>
          <w:lang w:val="en-US" w:eastAsia="zh-CN"/>
        </w:rPr>
        <w:t>企业声明函</w:t>
      </w:r>
    </w:p>
    <w:p w14:paraId="69DC13E3">
      <w:pPr>
        <w:pageBreakBefore w:val="0"/>
        <w:wordWrap/>
        <w:topLinePunct w:val="0"/>
        <w:bidi w:val="0"/>
        <w:spacing w:line="360" w:lineRule="auto"/>
        <w:jc w:val="center"/>
        <w:rPr>
          <w:rFonts w:hint="eastAsia" w:ascii="仿宋" w:hAnsi="仿宋" w:eastAsia="仿宋" w:cs="仿宋"/>
          <w:b/>
          <w:bCs/>
          <w:color w:val="auto"/>
          <w:sz w:val="28"/>
          <w:szCs w:val="28"/>
          <w:lang w:val="en-US" w:eastAsia="zh-CN"/>
        </w:rPr>
      </w:pPr>
      <w:bookmarkStart w:id="502" w:name="_Toc1299793528_WPSOffice_Level2"/>
      <w:r>
        <w:rPr>
          <w:rFonts w:hint="eastAsia" w:ascii="仿宋" w:hAnsi="仿宋" w:eastAsia="仿宋" w:cs="仿宋"/>
          <w:b/>
          <w:bCs/>
          <w:color w:val="auto"/>
          <w:sz w:val="28"/>
          <w:szCs w:val="28"/>
          <w:lang w:val="en-US" w:eastAsia="zh-CN"/>
        </w:rPr>
        <w:t>中小企业声明函（工程、服务）</w:t>
      </w:r>
      <w:bookmarkEnd w:id="502"/>
    </w:p>
    <w:p w14:paraId="23205803">
      <w:pPr>
        <w:pageBreakBefore w:val="0"/>
        <w:wordWrap/>
        <w:topLinePunct w:val="0"/>
        <w:bidi w:val="0"/>
        <w:spacing w:line="360" w:lineRule="auto"/>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（投标人属于小型、微型企业的填写，不属于的无需填写或不提供此项内容）</w:t>
      </w:r>
    </w:p>
    <w:p w14:paraId="51C2216D">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本公司（联合体）郑重声明，根据《政府采购促进中小企业发展管理办法》（财库﹝2020﹞46 号）的规定，本公司（联合体）参加</w:t>
      </w:r>
      <w:r>
        <w:rPr>
          <w:rFonts w:hint="eastAsia" w:ascii="仿宋" w:hAnsi="仿宋" w:eastAsia="仿宋" w:cs="仿宋"/>
          <w:color w:val="auto"/>
          <w:sz w:val="28"/>
          <w:szCs w:val="28"/>
          <w:u w:val="single"/>
          <w:lang w:val="en-US" w:eastAsia="zh-CN"/>
        </w:rPr>
        <w:t>洛阳师范学院</w:t>
      </w:r>
      <w:r>
        <w:rPr>
          <w:rFonts w:hint="eastAsia" w:ascii="仿宋" w:hAnsi="仿宋" w:eastAsia="仿宋" w:cs="仿宋"/>
          <w:color w:val="auto"/>
          <w:sz w:val="28"/>
          <w:szCs w:val="28"/>
          <w:lang w:eastAsia="zh-CN"/>
        </w:rPr>
        <w:t>的</w:t>
      </w:r>
      <w:r>
        <w:rPr>
          <w:rFonts w:hint="eastAsia" w:ascii="仿宋" w:hAnsi="仿宋" w:eastAsia="仿宋" w:cs="仿宋"/>
          <w:color w:val="auto"/>
          <w:sz w:val="28"/>
          <w:szCs w:val="28"/>
          <w:u w:val="single"/>
          <w:lang w:val="en" w:eastAsia="zh-CN"/>
        </w:rPr>
        <w:t>洛阳师范学院2026-2028年度教学区域物业管理服务项目</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eastAsia="zh-CN"/>
        </w:rPr>
        <w:t>采购活动，服务全部由符合政策要求的中小企业承接（或者：工程的施工单位全部为符合政策要求的中小企业）。相关企业（含联合体中的中小企业、签订分包意向协议的中小企业）的具体情况如下：</w:t>
      </w:r>
    </w:p>
    <w:p w14:paraId="7312902B">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1. </w:t>
      </w:r>
      <w:r>
        <w:rPr>
          <w:rFonts w:hint="eastAsia" w:ascii="仿宋" w:hAnsi="仿宋" w:eastAsia="仿宋" w:cs="仿宋"/>
          <w:i/>
          <w:iCs/>
          <w:color w:val="auto"/>
          <w:sz w:val="28"/>
          <w:szCs w:val="28"/>
          <w:u w:val="single"/>
          <w:lang w:eastAsia="zh-CN"/>
        </w:rPr>
        <w:t>（标的名称）</w:t>
      </w:r>
      <w:r>
        <w:rPr>
          <w:rFonts w:hint="eastAsia" w:ascii="仿宋" w:hAnsi="仿宋" w:eastAsia="仿宋" w:cs="仿宋"/>
          <w:color w:val="auto"/>
          <w:sz w:val="28"/>
          <w:szCs w:val="28"/>
          <w:lang w:eastAsia="zh-CN"/>
        </w:rPr>
        <w:t>，属于</w:t>
      </w:r>
      <w:r>
        <w:rPr>
          <w:rFonts w:hint="eastAsia" w:ascii="仿宋" w:hAnsi="仿宋" w:eastAsia="仿宋" w:cs="仿宋"/>
          <w:i/>
          <w:iCs/>
          <w:color w:val="auto"/>
          <w:sz w:val="28"/>
          <w:szCs w:val="28"/>
          <w:u w:val="single"/>
          <w:lang w:eastAsia="zh-CN"/>
        </w:rPr>
        <w:t>（采购文件中明确的所属行业）</w:t>
      </w:r>
      <w:r>
        <w:rPr>
          <w:rFonts w:hint="eastAsia" w:ascii="仿宋" w:hAnsi="仿宋" w:eastAsia="仿宋" w:cs="仿宋"/>
          <w:color w:val="auto"/>
          <w:sz w:val="28"/>
          <w:szCs w:val="28"/>
          <w:lang w:eastAsia="zh-CN"/>
        </w:rPr>
        <w:t>； 承建（承接）企业为</w:t>
      </w:r>
      <w:r>
        <w:rPr>
          <w:rFonts w:hint="eastAsia" w:ascii="仿宋" w:hAnsi="仿宋" w:eastAsia="仿宋" w:cs="仿宋"/>
          <w:i/>
          <w:iCs/>
          <w:color w:val="auto"/>
          <w:sz w:val="28"/>
          <w:szCs w:val="28"/>
          <w:u w:val="single"/>
          <w:lang w:eastAsia="zh-CN"/>
        </w:rPr>
        <w:t>（企业名称）</w:t>
      </w:r>
      <w:r>
        <w:rPr>
          <w:rFonts w:hint="eastAsia" w:ascii="仿宋" w:hAnsi="仿宋" w:eastAsia="仿宋" w:cs="仿宋"/>
          <w:color w:val="auto"/>
          <w:sz w:val="28"/>
          <w:szCs w:val="28"/>
          <w:lang w:eastAsia="zh-CN"/>
        </w:rPr>
        <w:t>，从业人员</w:t>
      </w:r>
      <w:r>
        <w:rPr>
          <w:rFonts w:hint="eastAsia" w:ascii="仿宋" w:hAnsi="仿宋" w:eastAsia="仿宋" w:cs="仿宋"/>
          <w:color w:val="auto"/>
          <w:sz w:val="28"/>
          <w:szCs w:val="28"/>
          <w:u w:val="single"/>
          <w:lang w:eastAsia="zh-CN"/>
        </w:rPr>
        <w:t xml:space="preserve">         </w:t>
      </w:r>
      <w:r>
        <w:rPr>
          <w:rFonts w:hint="eastAsia" w:ascii="仿宋" w:hAnsi="仿宋" w:eastAsia="仿宋" w:cs="仿宋"/>
          <w:color w:val="auto"/>
          <w:sz w:val="28"/>
          <w:szCs w:val="28"/>
          <w:lang w:eastAsia="zh-CN"/>
        </w:rPr>
        <w:t>人，营业收入为</w:t>
      </w:r>
      <w:r>
        <w:rPr>
          <w:rFonts w:hint="eastAsia" w:ascii="仿宋" w:hAnsi="仿宋" w:eastAsia="仿宋" w:cs="仿宋"/>
          <w:color w:val="auto"/>
          <w:sz w:val="28"/>
          <w:szCs w:val="28"/>
          <w:u w:val="single"/>
          <w:lang w:eastAsia="zh-CN"/>
        </w:rPr>
        <w:t xml:space="preserve">        </w:t>
      </w:r>
      <w:r>
        <w:rPr>
          <w:rFonts w:hint="eastAsia" w:ascii="仿宋" w:hAnsi="仿宋" w:eastAsia="仿宋" w:cs="仿宋"/>
          <w:color w:val="auto"/>
          <w:sz w:val="28"/>
          <w:szCs w:val="28"/>
          <w:lang w:eastAsia="zh-CN"/>
        </w:rPr>
        <w:t>万元，资产总额为</w:t>
      </w:r>
      <w:r>
        <w:rPr>
          <w:rFonts w:hint="eastAsia" w:ascii="仿宋" w:hAnsi="仿宋" w:eastAsia="仿宋" w:cs="仿宋"/>
          <w:color w:val="auto"/>
          <w:sz w:val="28"/>
          <w:szCs w:val="28"/>
          <w:u w:val="single"/>
          <w:lang w:eastAsia="zh-CN"/>
        </w:rPr>
        <w:t xml:space="preserve">        </w:t>
      </w:r>
      <w:r>
        <w:rPr>
          <w:rFonts w:hint="eastAsia" w:ascii="仿宋" w:hAnsi="仿宋" w:eastAsia="仿宋" w:cs="仿宋"/>
          <w:color w:val="auto"/>
          <w:sz w:val="28"/>
          <w:szCs w:val="28"/>
          <w:lang w:eastAsia="zh-CN"/>
        </w:rPr>
        <w:t>万元，属于</w:t>
      </w:r>
      <w:r>
        <w:rPr>
          <w:rFonts w:hint="eastAsia" w:ascii="仿宋" w:hAnsi="仿宋" w:eastAsia="仿宋" w:cs="仿宋"/>
          <w:i/>
          <w:iCs/>
          <w:color w:val="auto"/>
          <w:sz w:val="28"/>
          <w:szCs w:val="28"/>
          <w:u w:val="single"/>
          <w:lang w:eastAsia="zh-CN"/>
        </w:rPr>
        <w:t>（中型企业、小型企业、微型企业）</w:t>
      </w:r>
      <w:r>
        <w:rPr>
          <w:rFonts w:hint="eastAsia" w:ascii="仿宋" w:hAnsi="仿宋" w:eastAsia="仿宋" w:cs="仿宋"/>
          <w:color w:val="auto"/>
          <w:sz w:val="28"/>
          <w:szCs w:val="28"/>
          <w:lang w:eastAsia="zh-CN"/>
        </w:rPr>
        <w:t>；</w:t>
      </w:r>
    </w:p>
    <w:p w14:paraId="2E58E2E6">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 </w:t>
      </w:r>
    </w:p>
    <w:p w14:paraId="231507F4">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以上企业，不属于大企业的分支机构，不存在控股股东为大企业的情形，也不存在与大企业的负责人为同一人的情形。</w:t>
      </w:r>
    </w:p>
    <w:p w14:paraId="2C87CFC1">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本企业对上述声明内容的真实性负责。如有虚假，将依法承担相应责任。</w:t>
      </w:r>
    </w:p>
    <w:p w14:paraId="392B55DD">
      <w:pPr>
        <w:pageBreakBefore w:val="0"/>
        <w:wordWrap/>
        <w:topLinePunct w:val="0"/>
        <w:bidi w:val="0"/>
        <w:spacing w:before="100" w:after="100" w:line="360" w:lineRule="auto"/>
        <w:ind w:firstLine="3960"/>
        <w:jc w:val="left"/>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投标人（企业电子签章）：</w:t>
      </w:r>
      <w:r>
        <w:rPr>
          <w:rFonts w:hint="eastAsia" w:ascii="仿宋" w:hAnsi="仿宋" w:eastAsia="仿宋" w:cs="仿宋"/>
          <w:color w:val="auto"/>
          <w:kern w:val="0"/>
          <w:sz w:val="28"/>
          <w:szCs w:val="28"/>
          <w:u w:val="single"/>
          <w:lang w:val="en-US" w:eastAsia="zh-CN"/>
        </w:rPr>
        <w:t xml:space="preserve">             </w:t>
      </w:r>
    </w:p>
    <w:p w14:paraId="0FCB869E">
      <w:pPr>
        <w:pageBreakBefore w:val="0"/>
        <w:wordWrap/>
        <w:topLinePunct w:val="0"/>
        <w:bidi w:val="0"/>
        <w:spacing w:before="100" w:after="100" w:line="360" w:lineRule="auto"/>
        <w:ind w:firstLine="3720"/>
        <w:jc w:val="left"/>
        <w:rPr>
          <w:rFonts w:hint="eastAsia" w:ascii="仿宋" w:hAnsi="仿宋" w:eastAsia="仿宋" w:cs="仿宋"/>
          <w:color w:val="auto"/>
          <w:kern w:val="0"/>
          <w:sz w:val="28"/>
          <w:szCs w:val="28"/>
          <w:u w:val="single"/>
          <w:lang w:val="en-US" w:eastAsia="zh-CN"/>
        </w:rPr>
      </w:pPr>
      <w:r>
        <w:rPr>
          <w:rFonts w:hint="eastAsia" w:ascii="仿宋" w:hAnsi="仿宋" w:eastAsia="仿宋" w:cs="仿宋"/>
          <w:color w:val="auto"/>
          <w:kern w:val="0"/>
          <w:sz w:val="28"/>
          <w:szCs w:val="28"/>
          <w:lang w:eastAsia="zh-CN"/>
        </w:rPr>
        <w:t>　日　期：</w:t>
      </w:r>
      <w:r>
        <w:rPr>
          <w:rFonts w:hint="eastAsia" w:ascii="仿宋" w:hAnsi="仿宋" w:eastAsia="仿宋" w:cs="仿宋"/>
          <w:color w:val="auto"/>
          <w:kern w:val="0"/>
          <w:sz w:val="28"/>
          <w:szCs w:val="28"/>
          <w:u w:val="single"/>
          <w:lang w:val="en-US" w:eastAsia="zh-CN"/>
        </w:rPr>
        <w:t xml:space="preserve">             </w:t>
      </w:r>
    </w:p>
    <w:p w14:paraId="760B5806">
      <w:pPr>
        <w:pStyle w:val="228"/>
        <w:pageBreakBefore w:val="0"/>
        <w:pBdr>
          <w:bottom w:val="double" w:color="auto" w:sz="4" w:space="0"/>
        </w:pBdr>
        <w:wordWrap/>
        <w:topLinePunct w:val="0"/>
        <w:bidi w:val="0"/>
        <w:spacing w:line="360" w:lineRule="auto"/>
        <w:rPr>
          <w:rFonts w:hint="eastAsia" w:ascii="仿宋" w:hAnsi="仿宋" w:eastAsia="仿宋" w:cs="仿宋"/>
          <w:color w:val="auto"/>
          <w:kern w:val="0"/>
          <w:sz w:val="28"/>
          <w:szCs w:val="28"/>
          <w:u w:val="single"/>
        </w:rPr>
      </w:pPr>
    </w:p>
    <w:p w14:paraId="31A1ADA3">
      <w:pPr>
        <w:pageBreakBefore w:val="0"/>
        <w:widowControl w:val="0"/>
        <w:wordWrap/>
        <w:topLinePunct w:val="0"/>
        <w:bidi w:val="0"/>
        <w:spacing w:line="360" w:lineRule="auto"/>
        <w:rPr>
          <w:rFonts w:hint="eastAsia" w:ascii="仿宋" w:hAnsi="仿宋" w:eastAsia="仿宋" w:cs="仿宋"/>
          <w:color w:val="auto"/>
          <w:sz w:val="24"/>
          <w:szCs w:val="22"/>
          <w:lang w:val="en-US" w:eastAsia="zh-CN"/>
        </w:rPr>
      </w:pPr>
      <w:r>
        <w:rPr>
          <w:rFonts w:hint="eastAsia" w:ascii="仿宋" w:hAnsi="仿宋" w:eastAsia="仿宋" w:cs="仿宋"/>
          <w:color w:val="auto"/>
          <w:sz w:val="24"/>
          <w:szCs w:val="22"/>
          <w:lang w:val="en-US" w:eastAsia="zh-CN"/>
        </w:rPr>
        <w:t>说明：</w:t>
      </w:r>
    </w:p>
    <w:p w14:paraId="34322519">
      <w:pPr>
        <w:pageBreakBefore w:val="0"/>
        <w:wordWrap/>
        <w:topLinePunct w:val="0"/>
        <w:bidi w:val="0"/>
        <w:spacing w:line="360" w:lineRule="auto"/>
        <w:ind w:firstLine="42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（1）从业人员、营业收入、资产总额填报上一年度数据，无上一年度数据的新成立企业可不填报。</w:t>
      </w:r>
    </w:p>
    <w:p w14:paraId="08BFE78F">
      <w:pPr>
        <w:pageBreakBefore w:val="0"/>
        <w:widowControl w:val="0"/>
        <w:wordWrap/>
        <w:topLinePunct w:val="0"/>
        <w:bidi w:val="0"/>
        <w:spacing w:line="360" w:lineRule="auto"/>
        <w:ind w:firstLine="420" w:firstLineChars="200"/>
        <w:rPr>
          <w:rFonts w:hint="eastAsia" w:ascii="仿宋" w:hAnsi="仿宋" w:eastAsia="仿宋" w:cs="仿宋"/>
          <w:color w:val="auto"/>
          <w:lang w:val="en-US"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2</w:t>
      </w:r>
      <w:r>
        <w:rPr>
          <w:rFonts w:hint="eastAsia" w:ascii="仿宋" w:hAnsi="仿宋" w:eastAsia="仿宋" w:cs="仿宋"/>
          <w:color w:val="auto"/>
          <w:lang w:eastAsia="zh-CN"/>
        </w:rPr>
        <w:t>）</w:t>
      </w:r>
      <w:r>
        <w:rPr>
          <w:rFonts w:hint="eastAsia" w:ascii="仿宋" w:hAnsi="仿宋" w:eastAsia="仿宋" w:cs="仿宋"/>
          <w:color w:val="auto"/>
          <w:lang w:val="en-US" w:eastAsia="zh-CN"/>
        </w:rPr>
        <w:t>中小企业划型标准见文件末附件。</w:t>
      </w:r>
    </w:p>
    <w:p w14:paraId="2FF62091">
      <w:pPr>
        <w:pStyle w:val="4"/>
        <w:pageBreakBefore w:val="0"/>
        <w:wordWrap/>
        <w:topLinePunct w:val="0"/>
        <w:bidi w:val="0"/>
        <w:spacing w:line="360" w:lineRule="auto"/>
        <w:jc w:val="center"/>
        <w:rPr>
          <w:rFonts w:hint="eastAsia" w:ascii="仿宋" w:hAnsi="仿宋" w:eastAsia="仿宋" w:cs="仿宋"/>
          <w:color w:val="auto"/>
          <w:lang w:eastAsia="zh-CN"/>
        </w:rPr>
      </w:pPr>
      <w:r>
        <w:rPr>
          <w:rFonts w:hint="eastAsia" w:ascii="仿宋" w:hAnsi="仿宋" w:eastAsia="仿宋" w:cs="仿宋"/>
          <w:color w:val="auto"/>
          <w:lang w:eastAsia="zh-CN"/>
        </w:rPr>
        <w:br w:type="page"/>
      </w:r>
      <w:bookmarkStart w:id="503" w:name="_Toc71543331"/>
      <w:bookmarkStart w:id="504" w:name="_Toc64259737_WPSOffice_Level3"/>
      <w:bookmarkStart w:id="505" w:name="_Toc596959550"/>
      <w:bookmarkStart w:id="506" w:name="_Toc1555514676"/>
      <w:bookmarkStart w:id="507" w:name="_Toc709139859_WPSOffice_Level2"/>
      <w:bookmarkStart w:id="508" w:name="_Toc1376471950"/>
      <w:bookmarkStart w:id="509" w:name="_Toc430357775"/>
      <w:r>
        <w:rPr>
          <w:rFonts w:hint="eastAsia" w:ascii="仿宋" w:hAnsi="仿宋" w:eastAsia="仿宋" w:cs="仿宋"/>
          <w:color w:val="auto"/>
          <w:sz w:val="28"/>
          <w:szCs w:val="28"/>
          <w:lang w:eastAsia="zh-CN"/>
        </w:rPr>
        <w:t>投标人监狱企业声明函</w:t>
      </w:r>
      <w:bookmarkEnd w:id="503"/>
      <w:bookmarkEnd w:id="504"/>
      <w:bookmarkEnd w:id="505"/>
      <w:bookmarkEnd w:id="506"/>
      <w:bookmarkEnd w:id="507"/>
      <w:bookmarkEnd w:id="508"/>
      <w:bookmarkEnd w:id="509"/>
    </w:p>
    <w:p w14:paraId="6EC6982E">
      <w:pPr>
        <w:pageBreakBefore w:val="0"/>
        <w:wordWrap/>
        <w:topLinePunct w:val="0"/>
        <w:bidi w:val="0"/>
        <w:spacing w:line="360" w:lineRule="auto"/>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（投标人属于监狱企业的填写，不属于的无需填写或不提供此项内容）</w:t>
      </w:r>
    </w:p>
    <w:p w14:paraId="59EDC721">
      <w:pPr>
        <w:pStyle w:val="70"/>
        <w:pageBreakBefore w:val="0"/>
        <w:wordWrap/>
        <w:topLinePunct w:val="0"/>
        <w:bidi w:val="0"/>
        <w:spacing w:line="360" w:lineRule="auto"/>
        <w:rPr>
          <w:rFonts w:hint="eastAsia" w:ascii="仿宋" w:hAnsi="仿宋" w:eastAsia="仿宋" w:cs="仿宋"/>
          <w:color w:val="auto"/>
        </w:rPr>
      </w:pPr>
    </w:p>
    <w:p w14:paraId="23CBB2FE">
      <w:pPr>
        <w:pageBreakBefore w:val="0"/>
        <w:wordWrap/>
        <w:topLinePunct w:val="0"/>
        <w:bidi w:val="0"/>
        <w:spacing w:before="100" w:after="100" w:line="360" w:lineRule="auto"/>
        <w:ind w:firstLine="480"/>
        <w:jc w:val="left"/>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本企业（单位）郑重声明下列事项（按照实际情况勾选或填空）：</w:t>
      </w:r>
    </w:p>
    <w:p w14:paraId="001B43C2">
      <w:pPr>
        <w:pageBreakBefore w:val="0"/>
        <w:wordWrap/>
        <w:topLinePunct w:val="0"/>
        <w:bidi w:val="0"/>
        <w:spacing w:before="100" w:after="100" w:line="360" w:lineRule="auto"/>
        <w:ind w:firstLine="480"/>
        <w:jc w:val="left"/>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本企业（单位）为直接投标人，提供本企业（单位）服务。本企业（单位）</w:t>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kern w:val="0"/>
          <w:sz w:val="28"/>
          <w:szCs w:val="28"/>
          <w:lang w:eastAsia="zh-CN"/>
        </w:rPr>
        <w:t>（请填写：是、不是）监狱企业。后附省级以上监狱管理局、戒毒管理局（含新疆生产建设兵团）出具的属于监狱企业的证明文件。</w:t>
      </w:r>
    </w:p>
    <w:p w14:paraId="17F87577">
      <w:pPr>
        <w:pageBreakBefore w:val="0"/>
        <w:wordWrap/>
        <w:topLinePunct w:val="0"/>
        <w:bidi w:val="0"/>
        <w:spacing w:before="100" w:after="100" w:line="360" w:lineRule="auto"/>
        <w:ind w:firstLine="480"/>
        <w:jc w:val="left"/>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本企业（单位）对上述声明的真实性负责。如有虚假，将依法承担相应责任。</w:t>
      </w:r>
    </w:p>
    <w:p w14:paraId="6011C312">
      <w:pPr>
        <w:pageBreakBefore w:val="0"/>
        <w:wordWrap/>
        <w:topLinePunct w:val="0"/>
        <w:bidi w:val="0"/>
        <w:spacing w:before="100" w:after="100" w:line="360" w:lineRule="auto"/>
        <w:jc w:val="left"/>
        <w:rPr>
          <w:rFonts w:hint="eastAsia" w:ascii="仿宋" w:hAnsi="仿宋" w:eastAsia="仿宋" w:cs="仿宋"/>
          <w:color w:val="auto"/>
          <w:kern w:val="0"/>
          <w:sz w:val="28"/>
          <w:szCs w:val="28"/>
          <w:lang w:val="en-US" w:eastAsia="zh-CN"/>
        </w:rPr>
      </w:pPr>
    </w:p>
    <w:p w14:paraId="7CC36397">
      <w:pPr>
        <w:pageBreakBefore w:val="0"/>
        <w:wordWrap/>
        <w:topLinePunct w:val="0"/>
        <w:bidi w:val="0"/>
        <w:spacing w:before="100" w:after="100" w:line="360" w:lineRule="auto"/>
        <w:jc w:val="left"/>
        <w:rPr>
          <w:rFonts w:hint="eastAsia" w:ascii="仿宋" w:hAnsi="仿宋" w:eastAsia="仿宋" w:cs="仿宋"/>
          <w:color w:val="auto"/>
          <w:kern w:val="0"/>
          <w:sz w:val="28"/>
          <w:szCs w:val="28"/>
          <w:lang w:val="en-US" w:eastAsia="zh-CN"/>
        </w:rPr>
      </w:pPr>
    </w:p>
    <w:p w14:paraId="72B9D512">
      <w:pPr>
        <w:pageBreakBefore w:val="0"/>
        <w:wordWrap/>
        <w:topLinePunct w:val="0"/>
        <w:bidi w:val="0"/>
        <w:spacing w:line="360" w:lineRule="auto"/>
        <w:rPr>
          <w:rFonts w:hint="eastAsia" w:ascii="仿宋" w:hAnsi="仿宋" w:eastAsia="仿宋" w:cs="仿宋"/>
          <w:b/>
          <w:bCs/>
          <w:color w:val="auto"/>
          <w:sz w:val="28"/>
          <w:szCs w:val="28"/>
          <w:lang w:val="en-US" w:eastAsia="zh-CN"/>
        </w:rPr>
      </w:pPr>
    </w:p>
    <w:p w14:paraId="19A00E8F">
      <w:pPr>
        <w:pageBreakBefore w:val="0"/>
        <w:wordWrap/>
        <w:topLinePunct w:val="0"/>
        <w:bidi w:val="0"/>
        <w:spacing w:before="100" w:after="100" w:line="360" w:lineRule="auto"/>
        <w:ind w:firstLine="3960"/>
        <w:jc w:val="left"/>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投标人（企业电子签章）：</w:t>
      </w:r>
      <w:r>
        <w:rPr>
          <w:rFonts w:hint="eastAsia" w:ascii="仿宋" w:hAnsi="仿宋" w:eastAsia="仿宋" w:cs="仿宋"/>
          <w:color w:val="auto"/>
          <w:kern w:val="0"/>
          <w:sz w:val="28"/>
          <w:szCs w:val="28"/>
          <w:u w:val="single"/>
          <w:lang w:val="en-US" w:eastAsia="zh-CN"/>
        </w:rPr>
        <w:t xml:space="preserve">             </w:t>
      </w:r>
    </w:p>
    <w:p w14:paraId="4C61FA28">
      <w:pPr>
        <w:pageBreakBefore w:val="0"/>
        <w:wordWrap/>
        <w:topLinePunct w:val="0"/>
        <w:bidi w:val="0"/>
        <w:spacing w:before="100" w:after="100" w:line="360" w:lineRule="auto"/>
        <w:ind w:firstLine="3720"/>
        <w:jc w:val="left"/>
        <w:rPr>
          <w:rFonts w:hint="eastAsia" w:ascii="仿宋" w:hAnsi="仿宋" w:eastAsia="仿宋" w:cs="仿宋"/>
          <w:color w:val="auto"/>
          <w:kern w:val="0"/>
          <w:sz w:val="28"/>
          <w:szCs w:val="28"/>
          <w:u w:val="single"/>
          <w:lang w:eastAsia="zh-CN"/>
        </w:rPr>
      </w:pPr>
      <w:r>
        <w:rPr>
          <w:rFonts w:hint="eastAsia" w:ascii="仿宋" w:hAnsi="仿宋" w:eastAsia="仿宋" w:cs="仿宋"/>
          <w:color w:val="auto"/>
          <w:kern w:val="0"/>
          <w:sz w:val="28"/>
          <w:szCs w:val="28"/>
          <w:lang w:eastAsia="zh-CN"/>
        </w:rPr>
        <w:t>　日　期：</w:t>
      </w:r>
      <w:r>
        <w:rPr>
          <w:rFonts w:hint="eastAsia" w:ascii="仿宋" w:hAnsi="仿宋" w:eastAsia="仿宋" w:cs="仿宋"/>
          <w:color w:val="auto"/>
          <w:kern w:val="0"/>
          <w:sz w:val="28"/>
          <w:szCs w:val="28"/>
          <w:u w:val="single"/>
          <w:lang w:val="en-US" w:eastAsia="zh-CN"/>
        </w:rPr>
        <w:t xml:space="preserve">             </w:t>
      </w:r>
    </w:p>
    <w:p w14:paraId="326EAB67">
      <w:pPr>
        <w:pStyle w:val="4"/>
        <w:pageBreakBefore w:val="0"/>
        <w:wordWrap/>
        <w:topLinePunct w:val="0"/>
        <w:bidi w:val="0"/>
        <w:spacing w:line="360" w:lineRule="auto"/>
        <w:jc w:val="center"/>
        <w:rPr>
          <w:rFonts w:hint="eastAsia" w:ascii="仿宋" w:hAnsi="仿宋" w:eastAsia="仿宋" w:cs="仿宋"/>
          <w:color w:val="auto"/>
          <w:lang w:eastAsia="zh-CN"/>
        </w:rPr>
      </w:pPr>
      <w:r>
        <w:rPr>
          <w:rFonts w:hint="eastAsia" w:ascii="仿宋" w:hAnsi="仿宋" w:eastAsia="仿宋" w:cs="仿宋"/>
          <w:color w:val="auto"/>
          <w:highlight w:val="green"/>
          <w:lang w:eastAsia="zh-CN"/>
        </w:rPr>
        <w:br w:type="page"/>
      </w:r>
      <w:bookmarkStart w:id="510" w:name="_Toc728679071"/>
      <w:bookmarkStart w:id="511" w:name="_Toc415104894_WPSOffice_Level3"/>
      <w:bookmarkStart w:id="512" w:name="_Toc364095986"/>
      <w:bookmarkStart w:id="513" w:name="_Toc1632685049"/>
      <w:bookmarkStart w:id="514" w:name="_Toc894210698_WPSOffice_Level2"/>
      <w:r>
        <w:rPr>
          <w:rFonts w:hint="eastAsia" w:ascii="仿宋" w:hAnsi="仿宋" w:eastAsia="仿宋" w:cs="仿宋"/>
          <w:color w:val="auto"/>
          <w:sz w:val="28"/>
          <w:szCs w:val="28"/>
          <w:lang w:eastAsia="zh-CN"/>
        </w:rPr>
        <w:t>残疾人福利性单位声明函</w:t>
      </w:r>
      <w:bookmarkEnd w:id="510"/>
      <w:bookmarkEnd w:id="511"/>
      <w:bookmarkEnd w:id="512"/>
      <w:bookmarkEnd w:id="513"/>
      <w:bookmarkEnd w:id="514"/>
    </w:p>
    <w:p w14:paraId="4F7C1BB5">
      <w:pPr>
        <w:pageBreakBefore w:val="0"/>
        <w:wordWrap/>
        <w:topLinePunct w:val="0"/>
        <w:bidi w:val="0"/>
        <w:spacing w:line="360" w:lineRule="auto"/>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（投标人属于残疾人福利性单位的填写，不属于的无需填写或不提供此项内容）</w:t>
      </w:r>
    </w:p>
    <w:p w14:paraId="60E6F772">
      <w:pPr>
        <w:pStyle w:val="70"/>
        <w:pageBreakBefore w:val="0"/>
        <w:wordWrap/>
        <w:topLinePunct w:val="0"/>
        <w:bidi w:val="0"/>
        <w:spacing w:line="360" w:lineRule="auto"/>
        <w:rPr>
          <w:rFonts w:hint="eastAsia" w:ascii="仿宋" w:hAnsi="仿宋" w:eastAsia="仿宋" w:cs="仿宋"/>
          <w:color w:val="auto"/>
        </w:rPr>
      </w:pPr>
    </w:p>
    <w:p w14:paraId="02D46313">
      <w:pPr>
        <w:pageBreakBefore w:val="0"/>
        <w:wordWrap/>
        <w:topLinePunct w:val="0"/>
        <w:bidi w:val="0"/>
        <w:spacing w:line="360" w:lineRule="auto"/>
        <w:ind w:firstLine="567"/>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本单位郑重声明，根据《财政部 民政部 中国残疾人联合会关于促进残疾人就业政府采购政策的通知》（财库〔</w:t>
      </w:r>
      <w:r>
        <w:rPr>
          <w:rFonts w:hint="eastAsia" w:ascii="仿宋" w:hAnsi="仿宋" w:eastAsia="仿宋" w:cs="仿宋"/>
          <w:color w:val="auto"/>
          <w:kern w:val="0"/>
          <w:sz w:val="28"/>
          <w:szCs w:val="28"/>
          <w:lang w:val="en-US" w:eastAsia="zh-CN"/>
        </w:rPr>
        <w:t>2017</w:t>
      </w:r>
      <w:r>
        <w:rPr>
          <w:rFonts w:hint="eastAsia" w:ascii="仿宋" w:hAnsi="仿宋" w:eastAsia="仿宋" w:cs="仿宋"/>
          <w:color w:val="auto"/>
          <w:kern w:val="0"/>
          <w:sz w:val="28"/>
          <w:szCs w:val="28"/>
          <w:lang w:eastAsia="zh-CN"/>
        </w:rPr>
        <w:t>〕</w:t>
      </w:r>
      <w:r>
        <w:rPr>
          <w:rFonts w:hint="eastAsia" w:ascii="仿宋" w:hAnsi="仿宋" w:eastAsia="仿宋" w:cs="仿宋"/>
          <w:color w:val="auto"/>
          <w:kern w:val="0"/>
          <w:sz w:val="28"/>
          <w:szCs w:val="28"/>
          <w:lang w:val="en-US" w:eastAsia="zh-CN"/>
        </w:rPr>
        <w:t>141</w:t>
      </w:r>
      <w:r>
        <w:rPr>
          <w:rFonts w:hint="eastAsia" w:ascii="仿宋" w:hAnsi="仿宋" w:eastAsia="仿宋" w:cs="仿宋"/>
          <w:color w:val="auto"/>
          <w:kern w:val="0"/>
          <w:sz w:val="28"/>
          <w:szCs w:val="28"/>
          <w:lang w:eastAsia="zh-CN"/>
        </w:rPr>
        <w:t>号）的规定，本单位为符合条件的残疾人福利性单位，且本单位参加</w:t>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kern w:val="0"/>
          <w:sz w:val="28"/>
          <w:szCs w:val="28"/>
          <w:lang w:eastAsia="zh-CN"/>
        </w:rPr>
        <w:t>单位的</w:t>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kern w:val="0"/>
          <w:sz w:val="28"/>
          <w:szCs w:val="28"/>
          <w:lang w:eastAsia="zh-CN"/>
        </w:rPr>
        <w:t>项目采购活动提供本单位制造的货物（由本单位承担工程</w:t>
      </w:r>
      <w:r>
        <w:rPr>
          <w:rFonts w:hint="eastAsia" w:ascii="仿宋" w:hAnsi="仿宋" w:eastAsia="仿宋" w:cs="仿宋"/>
          <w:color w:val="auto"/>
          <w:kern w:val="0"/>
          <w:sz w:val="28"/>
          <w:szCs w:val="28"/>
          <w:lang w:val="en-US" w:eastAsia="zh-CN"/>
        </w:rPr>
        <w:t>/</w:t>
      </w:r>
      <w:r>
        <w:rPr>
          <w:rFonts w:hint="eastAsia" w:ascii="仿宋" w:hAnsi="仿宋" w:eastAsia="仿宋" w:cs="仿宋"/>
          <w:color w:val="auto"/>
          <w:kern w:val="0"/>
          <w:sz w:val="28"/>
          <w:szCs w:val="28"/>
          <w:lang w:eastAsia="zh-CN"/>
        </w:rPr>
        <w:t>提供服务），或者提供其他残疾人福利性单位制造的货物（不包括使用非残疾人福利性单位注册商标的货物）。</w:t>
      </w:r>
    </w:p>
    <w:p w14:paraId="2C41861E">
      <w:pPr>
        <w:pageBreakBefore w:val="0"/>
        <w:wordWrap/>
        <w:topLinePunct w:val="0"/>
        <w:bidi w:val="0"/>
        <w:spacing w:line="360" w:lineRule="auto"/>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lang w:eastAsia="zh-CN"/>
        </w:rPr>
        <w:t>本单位对上述声明的真实性负责。如有虚假，将依法承担相应责任。</w:t>
      </w:r>
    </w:p>
    <w:p w14:paraId="2678EF7C">
      <w:pPr>
        <w:pageBreakBefore w:val="0"/>
        <w:wordWrap/>
        <w:topLinePunct w:val="0"/>
        <w:bidi w:val="0"/>
        <w:spacing w:line="360" w:lineRule="auto"/>
        <w:ind w:left="1080" w:hanging="540"/>
        <w:jc w:val="center"/>
        <w:rPr>
          <w:rFonts w:hint="eastAsia" w:ascii="仿宋" w:hAnsi="仿宋" w:eastAsia="仿宋" w:cs="仿宋"/>
          <w:color w:val="auto"/>
          <w:kern w:val="0"/>
          <w:sz w:val="24"/>
          <w:szCs w:val="24"/>
          <w:lang w:val="en-US" w:eastAsia="zh-CN"/>
        </w:rPr>
      </w:pPr>
    </w:p>
    <w:p w14:paraId="37AC23FF">
      <w:pPr>
        <w:pageBreakBefore w:val="0"/>
        <w:wordWrap/>
        <w:topLinePunct w:val="0"/>
        <w:bidi w:val="0"/>
        <w:spacing w:line="360" w:lineRule="auto"/>
        <w:ind w:left="1080" w:hanging="540"/>
        <w:jc w:val="center"/>
        <w:rPr>
          <w:rFonts w:hint="eastAsia" w:ascii="仿宋" w:hAnsi="仿宋" w:eastAsia="仿宋" w:cs="仿宋"/>
          <w:color w:val="auto"/>
          <w:kern w:val="0"/>
          <w:sz w:val="24"/>
          <w:szCs w:val="24"/>
          <w:lang w:val="en-US" w:eastAsia="zh-CN"/>
        </w:rPr>
      </w:pPr>
    </w:p>
    <w:p w14:paraId="39ACE5F7">
      <w:pPr>
        <w:pageBreakBefore w:val="0"/>
        <w:wordWrap/>
        <w:topLinePunct w:val="0"/>
        <w:bidi w:val="0"/>
        <w:spacing w:line="360" w:lineRule="auto"/>
        <w:ind w:left="645" w:firstLine="2640"/>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4"/>
          <w:szCs w:val="24"/>
          <w:lang w:eastAsia="zh-CN"/>
        </w:rPr>
        <w:t xml:space="preserve">   </w:t>
      </w:r>
      <w:r>
        <w:rPr>
          <w:rFonts w:hint="eastAsia" w:ascii="仿宋" w:hAnsi="仿宋" w:eastAsia="仿宋" w:cs="仿宋"/>
          <w:color w:val="auto"/>
          <w:kern w:val="0"/>
          <w:sz w:val="28"/>
          <w:szCs w:val="28"/>
          <w:lang w:val="en-US" w:eastAsia="zh-CN"/>
        </w:rPr>
        <w:t xml:space="preserve">投标人（企业电子签章）：             </w:t>
      </w:r>
    </w:p>
    <w:p w14:paraId="65590FA5">
      <w:pPr>
        <w:pageBreakBefore w:val="0"/>
        <w:wordWrap/>
        <w:topLinePunct w:val="0"/>
        <w:bidi w:val="0"/>
        <w:spacing w:line="360" w:lineRule="auto"/>
        <w:ind w:left="645" w:firstLine="2640"/>
        <w:rPr>
          <w:rFonts w:hint="eastAsia" w:ascii="仿宋" w:hAnsi="仿宋" w:eastAsia="仿宋" w:cs="仿宋"/>
          <w:color w:val="auto"/>
          <w:kern w:val="0"/>
          <w:sz w:val="28"/>
          <w:szCs w:val="28"/>
          <w:u w:val="single"/>
          <w:lang w:val="en-US" w:eastAsia="zh-CN"/>
        </w:rPr>
      </w:pPr>
      <w:r>
        <w:rPr>
          <w:rFonts w:hint="eastAsia" w:ascii="仿宋" w:hAnsi="仿宋" w:eastAsia="仿宋" w:cs="仿宋"/>
          <w:color w:val="auto"/>
          <w:kern w:val="0"/>
          <w:sz w:val="28"/>
          <w:szCs w:val="28"/>
          <w:lang w:val="en-US" w:eastAsia="zh-CN"/>
        </w:rPr>
        <w:t>　日　期：</w:t>
      </w:r>
      <w:r>
        <w:rPr>
          <w:rFonts w:hint="eastAsia" w:ascii="仿宋" w:hAnsi="仿宋" w:eastAsia="仿宋" w:cs="仿宋"/>
          <w:color w:val="auto"/>
          <w:kern w:val="0"/>
          <w:sz w:val="28"/>
          <w:szCs w:val="28"/>
          <w:u w:val="single"/>
          <w:lang w:val="en-US" w:eastAsia="zh-CN"/>
        </w:rPr>
        <w:t xml:space="preserve">             </w:t>
      </w:r>
      <w:r>
        <w:rPr>
          <w:rFonts w:hint="eastAsia" w:ascii="仿宋" w:hAnsi="仿宋" w:eastAsia="仿宋" w:cs="仿宋"/>
          <w:color w:val="auto"/>
          <w:kern w:val="0"/>
          <w:sz w:val="28"/>
          <w:szCs w:val="28"/>
          <w:lang w:val="en-US" w:eastAsia="zh-CN"/>
        </w:rPr>
        <w:t xml:space="preserve">             </w:t>
      </w:r>
    </w:p>
    <w:p w14:paraId="7547F083">
      <w:pPr>
        <w:jc w:val="center"/>
        <w:outlineLvl w:val="1"/>
        <w:rPr>
          <w:rFonts w:hint="eastAsia" w:ascii="仿宋" w:hAnsi="仿宋" w:eastAsia="仿宋" w:cs="仿宋"/>
          <w:b w:val="0"/>
          <w:color w:val="auto"/>
          <w:sz w:val="30"/>
          <w:szCs w:val="30"/>
          <w:lang w:eastAsia="zh-CN"/>
        </w:rPr>
      </w:pPr>
      <w:r>
        <w:rPr>
          <w:rFonts w:hint="eastAsia" w:ascii="仿宋" w:hAnsi="仿宋" w:eastAsia="仿宋" w:cs="仿宋"/>
          <w:color w:val="auto"/>
          <w:kern w:val="2"/>
          <w:sz w:val="28"/>
          <w:szCs w:val="28"/>
          <w:lang w:val="en-US" w:eastAsia="zh-CN"/>
        </w:rPr>
        <w:br w:type="page"/>
      </w:r>
      <w:r>
        <w:rPr>
          <w:rFonts w:hint="eastAsia" w:ascii="仿宋" w:hAnsi="仿宋" w:eastAsia="仿宋" w:cs="仿宋"/>
          <w:b/>
          <w:bCs/>
          <w:sz w:val="28"/>
          <w:szCs w:val="28"/>
          <w:lang w:val="en-US" w:eastAsia="zh-CN"/>
        </w:rPr>
        <w:t>五、综合证明文件</w:t>
      </w:r>
      <w:bookmarkEnd w:id="499"/>
      <w:bookmarkEnd w:id="500"/>
      <w:bookmarkEnd w:id="501"/>
    </w:p>
    <w:p w14:paraId="0B99004E">
      <w:pPr>
        <w:pStyle w:val="5"/>
        <w:pageBreakBefore w:val="0"/>
        <w:wordWrap/>
        <w:topLinePunct w:val="0"/>
        <w:bidi w:val="0"/>
        <w:spacing w:line="360" w:lineRule="auto"/>
        <w:rPr>
          <w:rFonts w:hint="eastAsia" w:ascii="仿宋" w:hAnsi="仿宋" w:eastAsia="仿宋" w:cs="仿宋"/>
          <w:b w:val="0"/>
          <w:color w:val="auto"/>
          <w:szCs w:val="28"/>
          <w:lang w:eastAsia="zh-CN"/>
        </w:rPr>
      </w:pPr>
      <w:bookmarkStart w:id="515" w:name="_Toc126373309_WPSOffice_Level3"/>
      <w:bookmarkStart w:id="516" w:name="_Toc766822801"/>
      <w:r>
        <w:rPr>
          <w:rFonts w:hint="eastAsia" w:ascii="仿宋" w:hAnsi="仿宋" w:eastAsia="仿宋" w:cs="仿宋"/>
          <w:b w:val="0"/>
          <w:color w:val="auto"/>
          <w:szCs w:val="28"/>
          <w:lang w:val="en-US" w:eastAsia="zh-CN"/>
        </w:rPr>
        <w:t>1.</w:t>
      </w:r>
      <w:r>
        <w:rPr>
          <w:rFonts w:hint="eastAsia" w:ascii="仿宋" w:hAnsi="仿宋" w:eastAsia="仿宋" w:cs="仿宋"/>
          <w:b w:val="0"/>
          <w:color w:val="auto"/>
          <w:szCs w:val="28"/>
          <w:lang w:eastAsia="zh-CN"/>
        </w:rPr>
        <w:t>综合实力及履约保障</w:t>
      </w:r>
      <w:bookmarkEnd w:id="515"/>
      <w:bookmarkEnd w:id="516"/>
    </w:p>
    <w:p w14:paraId="62C0EFF8">
      <w:pPr>
        <w:pageBreakBefore w:val="0"/>
        <w:wordWrap/>
        <w:topLinePunct w:val="0"/>
        <w:bidi w:val="0"/>
        <w:spacing w:line="360" w:lineRule="auto"/>
        <w:ind w:firstLine="480"/>
        <w:jc w:val="left"/>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根据招标文件要求，提供投标人认证等证书。（提供认证</w:t>
      </w:r>
      <w:r>
        <w:rPr>
          <w:rFonts w:hint="eastAsia" w:ascii="仿宋" w:hAnsi="仿宋" w:eastAsia="仿宋" w:cs="仿宋"/>
          <w:color w:val="auto"/>
          <w:kern w:val="0"/>
          <w:sz w:val="28"/>
          <w:szCs w:val="28"/>
          <w:lang w:val="en-US" w:eastAsia="zh-CN"/>
        </w:rPr>
        <w:t>证书</w:t>
      </w:r>
      <w:r>
        <w:rPr>
          <w:rFonts w:hint="eastAsia" w:ascii="仿宋" w:hAnsi="仿宋" w:eastAsia="仿宋" w:cs="仿宋"/>
          <w:color w:val="auto"/>
          <w:kern w:val="0"/>
          <w:sz w:val="28"/>
          <w:szCs w:val="28"/>
          <w:lang w:eastAsia="zh-CN"/>
        </w:rPr>
        <w:t>扫描件，扫描不清晰的不得分，招标文件未要求的不需要提供）</w:t>
      </w:r>
    </w:p>
    <w:p w14:paraId="09AA6F5C">
      <w:pPr>
        <w:pageBreakBefore w:val="0"/>
        <w:wordWrap/>
        <w:topLinePunct w:val="0"/>
        <w:bidi w:val="0"/>
        <w:spacing w:line="360" w:lineRule="auto"/>
        <w:ind w:firstLine="480"/>
        <w:jc w:val="left"/>
        <w:rPr>
          <w:rFonts w:hint="eastAsia" w:ascii="仿宋" w:hAnsi="仿宋" w:eastAsia="仿宋" w:cs="仿宋"/>
          <w:color w:val="auto"/>
          <w:lang w:eastAsia="zh-CN"/>
        </w:rPr>
      </w:pPr>
    </w:p>
    <w:p w14:paraId="4EE85A4E">
      <w:pPr>
        <w:pStyle w:val="5"/>
        <w:pageBreakBefore w:val="0"/>
        <w:wordWrap/>
        <w:topLinePunct w:val="0"/>
        <w:bidi w:val="0"/>
        <w:spacing w:line="360" w:lineRule="auto"/>
        <w:rPr>
          <w:rFonts w:hint="eastAsia" w:ascii="仿宋" w:hAnsi="仿宋" w:eastAsia="仿宋" w:cs="仿宋"/>
          <w:b w:val="0"/>
          <w:color w:val="auto"/>
          <w:lang w:eastAsia="zh-CN"/>
        </w:rPr>
      </w:pPr>
      <w:bookmarkStart w:id="517" w:name="_Toc554354734"/>
      <w:bookmarkStart w:id="518" w:name="_Toc854016709_WPSOffice_Level3"/>
      <w:r>
        <w:rPr>
          <w:rFonts w:hint="eastAsia" w:ascii="仿宋" w:hAnsi="仿宋" w:eastAsia="仿宋" w:cs="仿宋"/>
          <w:b w:val="0"/>
          <w:color w:val="auto"/>
          <w:lang w:val="en-US" w:eastAsia="zh-CN"/>
        </w:rPr>
        <w:t>2.</w:t>
      </w:r>
      <w:r>
        <w:rPr>
          <w:rFonts w:hint="eastAsia" w:ascii="仿宋" w:hAnsi="仿宋" w:eastAsia="仿宋" w:cs="仿宋"/>
          <w:b w:val="0"/>
          <w:color w:val="auto"/>
          <w:lang w:eastAsia="zh-CN"/>
        </w:rPr>
        <w:t>类似项目业绩</w:t>
      </w:r>
      <w:bookmarkEnd w:id="517"/>
      <w:bookmarkEnd w:id="518"/>
    </w:p>
    <w:p w14:paraId="0306871C">
      <w:pPr>
        <w:pageBreakBefore w:val="0"/>
        <w:wordWrap/>
        <w:topLinePunct w:val="0"/>
        <w:bidi w:val="0"/>
        <w:spacing w:line="360" w:lineRule="auto"/>
        <w:jc w:val="center"/>
        <w:rPr>
          <w:rFonts w:hint="eastAsia" w:ascii="仿宋" w:hAnsi="仿宋" w:eastAsia="仿宋" w:cs="仿宋"/>
          <w:color w:val="auto"/>
          <w:sz w:val="32"/>
          <w:szCs w:val="32"/>
          <w:lang w:eastAsia="zh-CN"/>
        </w:rPr>
      </w:pPr>
      <w:bookmarkStart w:id="519" w:name="_Toc939678011_WPSOffice_Level3"/>
      <w:r>
        <w:rPr>
          <w:rFonts w:hint="eastAsia" w:ascii="仿宋" w:hAnsi="仿宋" w:eastAsia="仿宋" w:cs="仿宋"/>
          <w:color w:val="auto"/>
          <w:sz w:val="32"/>
          <w:szCs w:val="32"/>
          <w:lang w:eastAsia="zh-CN"/>
        </w:rPr>
        <w:t>类似业绩一览表</w:t>
      </w:r>
      <w:bookmarkEnd w:id="519"/>
    </w:p>
    <w:tbl>
      <w:tblPr>
        <w:tblStyle w:val="52"/>
        <w:tblW w:w="893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206"/>
        <w:gridCol w:w="2104"/>
        <w:gridCol w:w="1590"/>
        <w:gridCol w:w="1494"/>
        <w:gridCol w:w="1537"/>
      </w:tblGrid>
      <w:tr w14:paraId="68A14FC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9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0E773A7E">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项目名称</w:t>
            </w: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2CCE35BF">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简要描述</w:t>
            </w: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46699F41">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项目金额</w:t>
            </w:r>
          </w:p>
          <w:p w14:paraId="2D776BE0">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（万元）</w:t>
            </w: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5B1FBF8F">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服务期限</w:t>
            </w: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1BE75F0B">
            <w:pPr>
              <w:pageBreakBefore w:val="0"/>
              <w:wordWrap/>
              <w:topLinePunct w:val="0"/>
              <w:bidi w:val="0"/>
              <w:spacing w:line="360" w:lineRule="auto"/>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项目单位联系电话</w:t>
            </w:r>
          </w:p>
        </w:tc>
      </w:tr>
      <w:tr w14:paraId="4E43F67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16"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7241B18A">
            <w:pPr>
              <w:pageBreakBefore w:val="0"/>
              <w:wordWrap/>
              <w:topLinePunct w:val="0"/>
              <w:bidi w:val="0"/>
              <w:spacing w:line="360" w:lineRule="auto"/>
              <w:rPr>
                <w:rFonts w:hint="eastAsia" w:ascii="仿宋" w:hAnsi="仿宋" w:eastAsia="仿宋" w:cs="仿宋"/>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740D009">
            <w:pPr>
              <w:pageBreakBefore w:val="0"/>
              <w:wordWrap/>
              <w:topLinePunct w:val="0"/>
              <w:bidi w:val="0"/>
              <w:spacing w:line="360" w:lineRule="auto"/>
              <w:rPr>
                <w:rFonts w:hint="eastAsia" w:ascii="仿宋" w:hAnsi="仿宋" w:eastAsia="仿宋" w:cs="仿宋"/>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D327EAC">
            <w:pPr>
              <w:pageBreakBefore w:val="0"/>
              <w:wordWrap/>
              <w:topLinePunct w:val="0"/>
              <w:bidi w:val="0"/>
              <w:spacing w:line="360" w:lineRule="auto"/>
              <w:rPr>
                <w:rFonts w:hint="eastAsia" w:ascii="仿宋" w:hAnsi="仿宋" w:eastAsia="仿宋" w:cs="仿宋"/>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D96AF44">
            <w:pPr>
              <w:pageBreakBefore w:val="0"/>
              <w:wordWrap/>
              <w:topLinePunct w:val="0"/>
              <w:bidi w:val="0"/>
              <w:spacing w:line="360" w:lineRule="auto"/>
              <w:rPr>
                <w:rFonts w:hint="eastAsia" w:ascii="仿宋" w:hAnsi="仿宋" w:eastAsia="仿宋" w:cs="仿宋"/>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5419273">
            <w:pPr>
              <w:pageBreakBefore w:val="0"/>
              <w:wordWrap/>
              <w:topLinePunct w:val="0"/>
              <w:bidi w:val="0"/>
              <w:spacing w:line="360" w:lineRule="auto"/>
              <w:rPr>
                <w:rFonts w:hint="eastAsia" w:ascii="仿宋" w:hAnsi="仿宋" w:eastAsia="仿宋" w:cs="仿宋"/>
                <w:color w:val="auto"/>
                <w:kern w:val="0"/>
                <w:sz w:val="28"/>
                <w:szCs w:val="28"/>
              </w:rPr>
            </w:pPr>
          </w:p>
        </w:tc>
      </w:tr>
      <w:tr w14:paraId="219E71E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3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F36EC64">
            <w:pPr>
              <w:pageBreakBefore w:val="0"/>
              <w:wordWrap/>
              <w:topLinePunct w:val="0"/>
              <w:bidi w:val="0"/>
              <w:spacing w:line="360" w:lineRule="auto"/>
              <w:rPr>
                <w:rFonts w:hint="eastAsia" w:ascii="仿宋" w:hAnsi="仿宋" w:eastAsia="仿宋" w:cs="仿宋"/>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E0774CB">
            <w:pPr>
              <w:pageBreakBefore w:val="0"/>
              <w:wordWrap/>
              <w:topLinePunct w:val="0"/>
              <w:bidi w:val="0"/>
              <w:spacing w:line="360" w:lineRule="auto"/>
              <w:rPr>
                <w:rFonts w:hint="eastAsia" w:ascii="仿宋" w:hAnsi="仿宋" w:eastAsia="仿宋" w:cs="仿宋"/>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D9E29A2">
            <w:pPr>
              <w:pageBreakBefore w:val="0"/>
              <w:wordWrap/>
              <w:topLinePunct w:val="0"/>
              <w:bidi w:val="0"/>
              <w:spacing w:line="360" w:lineRule="auto"/>
              <w:rPr>
                <w:rFonts w:hint="eastAsia" w:ascii="仿宋" w:hAnsi="仿宋" w:eastAsia="仿宋" w:cs="仿宋"/>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6504C62">
            <w:pPr>
              <w:pageBreakBefore w:val="0"/>
              <w:wordWrap/>
              <w:topLinePunct w:val="0"/>
              <w:bidi w:val="0"/>
              <w:spacing w:line="360" w:lineRule="auto"/>
              <w:rPr>
                <w:rFonts w:hint="eastAsia" w:ascii="仿宋" w:hAnsi="仿宋" w:eastAsia="仿宋" w:cs="仿宋"/>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13DA5AA">
            <w:pPr>
              <w:pageBreakBefore w:val="0"/>
              <w:wordWrap/>
              <w:topLinePunct w:val="0"/>
              <w:bidi w:val="0"/>
              <w:spacing w:line="360" w:lineRule="auto"/>
              <w:rPr>
                <w:rFonts w:hint="eastAsia" w:ascii="仿宋" w:hAnsi="仿宋" w:eastAsia="仿宋" w:cs="仿宋"/>
                <w:color w:val="auto"/>
                <w:kern w:val="0"/>
                <w:sz w:val="28"/>
                <w:szCs w:val="28"/>
              </w:rPr>
            </w:pPr>
          </w:p>
        </w:tc>
      </w:tr>
      <w:tr w14:paraId="43B5205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1A4D9A8">
            <w:pPr>
              <w:pageBreakBefore w:val="0"/>
              <w:wordWrap/>
              <w:topLinePunct w:val="0"/>
              <w:bidi w:val="0"/>
              <w:spacing w:line="360" w:lineRule="auto"/>
              <w:rPr>
                <w:rFonts w:hint="eastAsia" w:ascii="仿宋" w:hAnsi="仿宋" w:eastAsia="仿宋" w:cs="仿宋"/>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4D66B49">
            <w:pPr>
              <w:pageBreakBefore w:val="0"/>
              <w:wordWrap/>
              <w:topLinePunct w:val="0"/>
              <w:bidi w:val="0"/>
              <w:spacing w:line="360" w:lineRule="auto"/>
              <w:rPr>
                <w:rFonts w:hint="eastAsia" w:ascii="仿宋" w:hAnsi="仿宋" w:eastAsia="仿宋" w:cs="仿宋"/>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71F45A63">
            <w:pPr>
              <w:pageBreakBefore w:val="0"/>
              <w:wordWrap/>
              <w:topLinePunct w:val="0"/>
              <w:bidi w:val="0"/>
              <w:spacing w:line="360" w:lineRule="auto"/>
              <w:rPr>
                <w:rFonts w:hint="eastAsia" w:ascii="仿宋" w:hAnsi="仿宋" w:eastAsia="仿宋" w:cs="仿宋"/>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651A268">
            <w:pPr>
              <w:pageBreakBefore w:val="0"/>
              <w:wordWrap/>
              <w:topLinePunct w:val="0"/>
              <w:bidi w:val="0"/>
              <w:spacing w:line="360" w:lineRule="auto"/>
              <w:rPr>
                <w:rFonts w:hint="eastAsia" w:ascii="仿宋" w:hAnsi="仿宋" w:eastAsia="仿宋" w:cs="仿宋"/>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153F4F0">
            <w:pPr>
              <w:pageBreakBefore w:val="0"/>
              <w:wordWrap/>
              <w:topLinePunct w:val="0"/>
              <w:bidi w:val="0"/>
              <w:spacing w:line="360" w:lineRule="auto"/>
              <w:rPr>
                <w:rFonts w:hint="eastAsia" w:ascii="仿宋" w:hAnsi="仿宋" w:eastAsia="仿宋" w:cs="仿宋"/>
                <w:color w:val="auto"/>
                <w:kern w:val="0"/>
                <w:sz w:val="28"/>
                <w:szCs w:val="28"/>
              </w:rPr>
            </w:pPr>
          </w:p>
        </w:tc>
      </w:tr>
      <w:tr w14:paraId="3136CD7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E4B8632">
            <w:pPr>
              <w:pageBreakBefore w:val="0"/>
              <w:wordWrap/>
              <w:topLinePunct w:val="0"/>
              <w:bidi w:val="0"/>
              <w:spacing w:line="360" w:lineRule="auto"/>
              <w:rPr>
                <w:rFonts w:hint="eastAsia" w:ascii="仿宋" w:hAnsi="仿宋" w:eastAsia="仿宋" w:cs="仿宋"/>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D3DEC2B">
            <w:pPr>
              <w:pageBreakBefore w:val="0"/>
              <w:wordWrap/>
              <w:topLinePunct w:val="0"/>
              <w:bidi w:val="0"/>
              <w:spacing w:line="360" w:lineRule="auto"/>
              <w:rPr>
                <w:rFonts w:hint="eastAsia" w:ascii="仿宋" w:hAnsi="仿宋" w:eastAsia="仿宋" w:cs="仿宋"/>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A0B7B1B">
            <w:pPr>
              <w:pageBreakBefore w:val="0"/>
              <w:wordWrap/>
              <w:topLinePunct w:val="0"/>
              <w:bidi w:val="0"/>
              <w:spacing w:line="360" w:lineRule="auto"/>
              <w:rPr>
                <w:rFonts w:hint="eastAsia" w:ascii="仿宋" w:hAnsi="仿宋" w:eastAsia="仿宋" w:cs="仿宋"/>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5FE3BBC">
            <w:pPr>
              <w:pageBreakBefore w:val="0"/>
              <w:wordWrap/>
              <w:topLinePunct w:val="0"/>
              <w:bidi w:val="0"/>
              <w:spacing w:line="360" w:lineRule="auto"/>
              <w:rPr>
                <w:rFonts w:hint="eastAsia" w:ascii="仿宋" w:hAnsi="仿宋" w:eastAsia="仿宋" w:cs="仿宋"/>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64044E5">
            <w:pPr>
              <w:pageBreakBefore w:val="0"/>
              <w:wordWrap/>
              <w:topLinePunct w:val="0"/>
              <w:bidi w:val="0"/>
              <w:spacing w:line="360" w:lineRule="auto"/>
              <w:rPr>
                <w:rFonts w:hint="eastAsia" w:ascii="仿宋" w:hAnsi="仿宋" w:eastAsia="仿宋" w:cs="仿宋"/>
                <w:color w:val="auto"/>
                <w:kern w:val="0"/>
                <w:sz w:val="28"/>
                <w:szCs w:val="28"/>
              </w:rPr>
            </w:pPr>
          </w:p>
        </w:tc>
      </w:tr>
      <w:tr w14:paraId="0A7DDBF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37"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2749B2E">
            <w:pPr>
              <w:pageBreakBefore w:val="0"/>
              <w:wordWrap/>
              <w:topLinePunct w:val="0"/>
              <w:bidi w:val="0"/>
              <w:spacing w:line="360" w:lineRule="auto"/>
              <w:rPr>
                <w:rFonts w:hint="eastAsia" w:ascii="仿宋" w:hAnsi="仿宋" w:eastAsia="仿宋" w:cs="仿宋"/>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2D96481">
            <w:pPr>
              <w:pageBreakBefore w:val="0"/>
              <w:wordWrap/>
              <w:topLinePunct w:val="0"/>
              <w:bidi w:val="0"/>
              <w:spacing w:line="360" w:lineRule="auto"/>
              <w:rPr>
                <w:rFonts w:hint="eastAsia" w:ascii="仿宋" w:hAnsi="仿宋" w:eastAsia="仿宋" w:cs="仿宋"/>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26D7CB6">
            <w:pPr>
              <w:pageBreakBefore w:val="0"/>
              <w:wordWrap/>
              <w:topLinePunct w:val="0"/>
              <w:bidi w:val="0"/>
              <w:spacing w:line="360" w:lineRule="auto"/>
              <w:rPr>
                <w:rFonts w:hint="eastAsia" w:ascii="仿宋" w:hAnsi="仿宋" w:eastAsia="仿宋" w:cs="仿宋"/>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9F61ECD">
            <w:pPr>
              <w:pageBreakBefore w:val="0"/>
              <w:wordWrap/>
              <w:topLinePunct w:val="0"/>
              <w:bidi w:val="0"/>
              <w:spacing w:line="360" w:lineRule="auto"/>
              <w:rPr>
                <w:rFonts w:hint="eastAsia" w:ascii="仿宋" w:hAnsi="仿宋" w:eastAsia="仿宋" w:cs="仿宋"/>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439BCF6">
            <w:pPr>
              <w:pageBreakBefore w:val="0"/>
              <w:wordWrap/>
              <w:topLinePunct w:val="0"/>
              <w:bidi w:val="0"/>
              <w:spacing w:line="360" w:lineRule="auto"/>
              <w:rPr>
                <w:rFonts w:hint="eastAsia" w:ascii="仿宋" w:hAnsi="仿宋" w:eastAsia="仿宋" w:cs="仿宋"/>
                <w:color w:val="auto"/>
                <w:kern w:val="0"/>
                <w:sz w:val="28"/>
                <w:szCs w:val="28"/>
              </w:rPr>
            </w:pPr>
          </w:p>
        </w:tc>
      </w:tr>
    </w:tbl>
    <w:p w14:paraId="177C1F7C">
      <w:pPr>
        <w:pageBreakBefore w:val="0"/>
        <w:wordWrap/>
        <w:topLinePunct w:val="0"/>
        <w:bidi w:val="0"/>
        <w:spacing w:line="360" w:lineRule="auto"/>
        <w:rPr>
          <w:rFonts w:hint="eastAsia" w:ascii="仿宋" w:hAnsi="仿宋" w:eastAsia="仿宋" w:cs="仿宋"/>
          <w:color w:val="auto"/>
          <w:sz w:val="28"/>
          <w:szCs w:val="28"/>
        </w:rPr>
      </w:pPr>
    </w:p>
    <w:p w14:paraId="6F01DCDC">
      <w:pPr>
        <w:pageBreakBefore w:val="0"/>
        <w:wordWrap/>
        <w:topLinePunct w:val="0"/>
        <w:bidi w:val="0"/>
        <w:spacing w:line="360" w:lineRule="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注：（</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）投标人可按上述的格式自行编制，后附扫描件。</w:t>
      </w:r>
    </w:p>
    <w:p w14:paraId="451C5128">
      <w:pPr>
        <w:pageBreakBefore w:val="0"/>
        <w:numPr>
          <w:ilvl w:val="0"/>
          <w:numId w:val="4"/>
        </w:numPr>
        <w:wordWrap/>
        <w:topLinePunct w:val="0"/>
        <w:bidi w:val="0"/>
        <w:spacing w:line="360" w:lineRule="auto"/>
        <w:ind w:left="560" w:leftChars="0" w:firstLine="0" w:firstLineChars="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业绩扫描不清楚或合同总金额不明确的不予认可，虚假业绩将自行承担相关责任。</w:t>
      </w:r>
    </w:p>
    <w:p w14:paraId="35BF1FA6">
      <w:pPr>
        <w:pageBreakBefore w:val="0"/>
        <w:numPr>
          <w:ilvl w:val="0"/>
          <w:numId w:val="0"/>
        </w:numPr>
        <w:wordWrap/>
        <w:topLinePunct w:val="0"/>
        <w:bidi w:val="0"/>
        <w:spacing w:line="360" w:lineRule="auto"/>
        <w:ind w:left="560" w:leftChars="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）招标文件未要求提供业绩证明文件的，投标人可不提供。</w:t>
      </w:r>
    </w:p>
    <w:p w14:paraId="40981944">
      <w:pPr>
        <w:pageBreakBefore w:val="0"/>
        <w:wordWrap/>
        <w:topLinePunct w:val="0"/>
        <w:bidi w:val="0"/>
        <w:spacing w:line="360" w:lineRule="auto"/>
        <w:rPr>
          <w:rFonts w:hint="eastAsia" w:ascii="仿宋" w:hAnsi="仿宋" w:eastAsia="仿宋" w:cs="仿宋"/>
          <w:color w:val="auto"/>
          <w:sz w:val="28"/>
          <w:szCs w:val="28"/>
          <w:lang w:eastAsia="zh-CN"/>
        </w:rPr>
      </w:pPr>
    </w:p>
    <w:p w14:paraId="61D0924D">
      <w:pPr>
        <w:jc w:val="center"/>
        <w:outlineLvl w:val="1"/>
        <w:rPr>
          <w:rFonts w:hint="eastAsia" w:ascii="仿宋" w:hAnsi="仿宋" w:eastAsia="仿宋" w:cs="仿宋"/>
          <w:b w:val="0"/>
          <w:color w:val="auto"/>
          <w:sz w:val="28"/>
          <w:szCs w:val="28"/>
          <w:lang w:val="en-US" w:eastAsia="zh-CN"/>
        </w:rPr>
      </w:pPr>
      <w:r>
        <w:rPr>
          <w:rFonts w:hint="eastAsia" w:ascii="仿宋" w:hAnsi="仿宋" w:eastAsia="仿宋" w:cs="仿宋"/>
          <w:color w:val="auto"/>
          <w:lang w:eastAsia="zh-CN"/>
        </w:rPr>
        <w:br w:type="page"/>
      </w:r>
      <w:bookmarkStart w:id="520" w:name="_Toc671407240"/>
      <w:bookmarkStart w:id="521" w:name="_Toc71543328"/>
      <w:bookmarkStart w:id="522" w:name="_Toc2020026904_WPSOffice_Level2"/>
      <w:r>
        <w:rPr>
          <w:rFonts w:hint="eastAsia" w:ascii="仿宋" w:hAnsi="仿宋" w:eastAsia="仿宋" w:cs="仿宋"/>
          <w:b/>
          <w:bCs/>
          <w:sz w:val="28"/>
          <w:szCs w:val="28"/>
          <w:lang w:val="en-US" w:eastAsia="zh-CN"/>
        </w:rPr>
        <w:t>六、服务方案</w:t>
      </w:r>
      <w:bookmarkEnd w:id="520"/>
      <w:bookmarkEnd w:id="521"/>
      <w:bookmarkEnd w:id="522"/>
    </w:p>
    <w:p w14:paraId="5194099F">
      <w:pPr>
        <w:pStyle w:val="166"/>
        <w:pageBreakBefore w:val="0"/>
        <w:wordWrap/>
        <w:topLinePunct w:val="0"/>
        <w:bidi w:val="0"/>
        <w:spacing w:line="360" w:lineRule="auto"/>
        <w:ind w:firstLine="0"/>
        <w:rPr>
          <w:rFonts w:hint="eastAsia" w:ascii="仿宋" w:hAnsi="仿宋" w:eastAsia="仿宋" w:cs="仿宋"/>
          <w:color w:val="auto"/>
          <w:kern w:val="0"/>
          <w:sz w:val="28"/>
          <w:szCs w:val="28"/>
          <w:lang w:val="en-US" w:eastAsia="zh-CN"/>
        </w:rPr>
      </w:pPr>
    </w:p>
    <w:p w14:paraId="142E9D82">
      <w:pPr>
        <w:pStyle w:val="166"/>
        <w:pageBreakBefore w:val="0"/>
        <w:wordWrap/>
        <w:topLinePunct w:val="0"/>
        <w:bidi w:val="0"/>
        <w:spacing w:line="360" w:lineRule="auto"/>
        <w:ind w:firstLine="0"/>
        <w:rPr>
          <w:rFonts w:hint="eastAsia" w:ascii="仿宋" w:hAnsi="仿宋" w:eastAsia="仿宋" w:cs="仿宋"/>
          <w:color w:val="auto"/>
          <w:kern w:val="0"/>
          <w:sz w:val="28"/>
          <w:szCs w:val="28"/>
          <w:lang w:val="en-US" w:eastAsia="zh-CN"/>
        </w:rPr>
        <w:sectPr>
          <w:headerReference r:id="rId8" w:type="default"/>
          <w:footerReference r:id="rId9" w:type="default"/>
          <w:pgSz w:w="11900" w:h="16840"/>
          <w:pgMar w:top="1440" w:right="1800" w:bottom="1440" w:left="1800" w:header="851" w:footer="992" w:gutter="0"/>
          <w:pgBorders>
            <w:top w:val="none" w:sz="0" w:space="0"/>
            <w:left w:val="none" w:sz="0" w:space="0"/>
            <w:bottom w:val="none" w:sz="0" w:space="0"/>
            <w:right w:val="none" w:sz="0" w:space="0"/>
          </w:pgBorders>
          <w:cols w:space="720" w:num="1"/>
        </w:sectPr>
      </w:pPr>
    </w:p>
    <w:bookmarkEnd w:id="493"/>
    <w:p w14:paraId="07DA1FCA">
      <w:pPr>
        <w:jc w:val="center"/>
        <w:outlineLvl w:val="1"/>
        <w:rPr>
          <w:rFonts w:hint="eastAsia" w:ascii="仿宋" w:hAnsi="仿宋" w:eastAsia="仿宋" w:cs="仿宋"/>
          <w:b/>
          <w:bCs/>
          <w:sz w:val="28"/>
          <w:szCs w:val="28"/>
          <w:lang w:val="en-US" w:eastAsia="zh-CN"/>
        </w:rPr>
      </w:pPr>
      <w:bookmarkStart w:id="523" w:name="_Toc1405132080"/>
      <w:bookmarkStart w:id="524" w:name="_Toc782655613"/>
      <w:bookmarkStart w:id="525" w:name="_Toc1342357120"/>
      <w:bookmarkStart w:id="526" w:name="_Toc1961816944"/>
      <w:bookmarkStart w:id="527" w:name="_Toc297277348"/>
      <w:bookmarkStart w:id="528" w:name="_Toc2003764980"/>
      <w:bookmarkStart w:id="529" w:name="_Toc1642658699"/>
      <w:bookmarkStart w:id="530" w:name="_Toc71543334"/>
      <w:bookmarkStart w:id="531" w:name="_Toc203536082"/>
      <w:bookmarkStart w:id="532" w:name="_Toc1027952896"/>
      <w:bookmarkStart w:id="533" w:name="_Toc741327320"/>
      <w:bookmarkStart w:id="534" w:name="_Toc1893993795"/>
      <w:bookmarkStart w:id="535" w:name="_Toc364407768_WPSOffice_Level2"/>
      <w:bookmarkStart w:id="536" w:name="_Toc683097015"/>
      <w:r>
        <w:rPr>
          <w:rFonts w:hint="eastAsia" w:ascii="仿宋" w:hAnsi="仿宋" w:eastAsia="仿宋" w:cs="仿宋"/>
          <w:b/>
          <w:bCs/>
          <w:sz w:val="28"/>
          <w:szCs w:val="28"/>
          <w:lang w:val="en-US" w:eastAsia="zh-CN"/>
        </w:rPr>
        <w:t>七、其他文件</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F052E47">
      <w:pPr>
        <w:pStyle w:val="166"/>
        <w:pageBreakBefore w:val="0"/>
        <w:wordWrap/>
        <w:topLinePunct w:val="0"/>
        <w:bidi w:val="0"/>
        <w:spacing w:line="360" w:lineRule="auto"/>
        <w:rPr>
          <w:rFonts w:hint="eastAsia" w:ascii="仿宋" w:hAnsi="仿宋" w:eastAsia="仿宋" w:cs="仿宋"/>
          <w:color w:val="auto"/>
          <w:kern w:val="0"/>
          <w:lang w:eastAsia="zh-CN"/>
        </w:rPr>
      </w:pPr>
    </w:p>
    <w:p w14:paraId="434F77A6">
      <w:pPr>
        <w:pageBreakBefore w:val="0"/>
        <w:wordWrap/>
        <w:topLinePunct w:val="0"/>
        <w:bidi w:val="0"/>
        <w:spacing w:line="360" w:lineRule="auto"/>
        <w:ind w:left="1080" w:hanging="540"/>
        <w:jc w:val="center"/>
        <w:rPr>
          <w:rFonts w:hint="eastAsia" w:ascii="仿宋" w:hAnsi="仿宋" w:eastAsia="仿宋" w:cs="仿宋"/>
          <w:color w:val="auto"/>
          <w:lang w:eastAsia="zh-CN"/>
        </w:rPr>
        <w:sectPr>
          <w:headerReference r:id="rId10" w:type="default"/>
          <w:footerReference r:id="rId11" w:type="default"/>
          <w:pgSz w:w="11900" w:h="16840"/>
          <w:pgMar w:top="1440" w:right="1800" w:bottom="1440" w:left="1800" w:header="851" w:footer="992" w:gutter="0"/>
          <w:pgBorders>
            <w:top w:val="none" w:sz="0" w:space="0"/>
            <w:left w:val="none" w:sz="0" w:space="0"/>
            <w:bottom w:val="none" w:sz="0" w:space="0"/>
            <w:right w:val="none" w:sz="0" w:space="0"/>
          </w:pgBorders>
          <w:cols w:space="720" w:num="1"/>
        </w:sectPr>
      </w:pPr>
    </w:p>
    <w:p w14:paraId="0C992A0F">
      <w:pPr>
        <w:pStyle w:val="2"/>
        <w:pageBreakBefore w:val="0"/>
        <w:numPr>
          <w:ilvl w:val="0"/>
          <w:numId w:val="5"/>
        </w:numPr>
        <w:wordWrap/>
        <w:topLinePunct w:val="0"/>
        <w:bidi w:val="0"/>
        <w:spacing w:before="0" w:after="0" w:line="360" w:lineRule="auto"/>
        <w:jc w:val="center"/>
        <w:rPr>
          <w:rFonts w:hint="eastAsia" w:ascii="仿宋" w:hAnsi="仿宋" w:eastAsia="仿宋" w:cs="仿宋"/>
          <w:color w:val="auto"/>
          <w:sz w:val="36"/>
          <w:szCs w:val="36"/>
          <w:lang w:eastAsia="zh-CN"/>
        </w:rPr>
      </w:pPr>
      <w:bookmarkStart w:id="537" w:name="_Toc31017"/>
      <w:bookmarkStart w:id="538" w:name="_Toc1957633089"/>
      <w:bookmarkStart w:id="539" w:name="_Toc1188500584"/>
      <w:bookmarkStart w:id="540" w:name="_Toc1176089766_WPSOffice_Level1"/>
      <w:bookmarkStart w:id="541" w:name="_Toc1023053876"/>
      <w:r>
        <w:rPr>
          <w:rFonts w:hint="eastAsia" w:ascii="仿宋" w:hAnsi="仿宋" w:eastAsia="仿宋" w:cs="仿宋"/>
          <w:color w:val="auto"/>
          <w:sz w:val="36"/>
          <w:szCs w:val="36"/>
          <w:lang w:eastAsia="zh-CN"/>
        </w:rPr>
        <w:t>项目需求及有关要求</w:t>
      </w:r>
      <w:bookmarkEnd w:id="537"/>
      <w:bookmarkEnd w:id="538"/>
      <w:bookmarkEnd w:id="539"/>
      <w:bookmarkEnd w:id="540"/>
      <w:bookmarkEnd w:id="541"/>
      <w:bookmarkStart w:id="542" w:name="_Toc1220109555_WPSOffice_Level1"/>
      <w:bookmarkStart w:id="543" w:name="_Toc1699044653"/>
      <w:bookmarkStart w:id="544" w:name="_Toc665075453"/>
      <w:bookmarkStart w:id="545" w:name="_Toc375798951"/>
      <w:bookmarkStart w:id="546" w:name="_Toc2103487907_WPSOffice_Level1"/>
      <w:bookmarkStart w:id="547" w:name="_Toc1281126177_WPSOffice_Level1"/>
      <w:bookmarkStart w:id="548" w:name="_Toc1364277335"/>
      <w:bookmarkStart w:id="549" w:name="_Toc1658402222_WPSOffice_Level1"/>
      <w:bookmarkStart w:id="550" w:name="_Toc1812667107_WPSOffice_Level1"/>
      <w:bookmarkStart w:id="551" w:name="_Toc1868605479"/>
      <w:bookmarkStart w:id="552" w:name="_Toc577545602"/>
      <w:bookmarkStart w:id="553" w:name="_Toc371028730"/>
      <w:bookmarkStart w:id="554" w:name="_Toc1278987015"/>
      <w:bookmarkStart w:id="555" w:name="_Toc342626813"/>
      <w:bookmarkStart w:id="556" w:name="_Toc450869757"/>
      <w:bookmarkStart w:id="557" w:name="_Toc1203796512"/>
      <w:bookmarkStart w:id="558" w:name="_Toc1228469917"/>
      <w:bookmarkStart w:id="559" w:name="_Toc56690152"/>
    </w:p>
    <w:p w14:paraId="0C381673">
      <w:pPr>
        <w:pageBreakBefore w:val="0"/>
        <w:wordWrap/>
        <w:topLinePunct w:val="0"/>
        <w:bidi w:val="0"/>
        <w:spacing w:after="0" w:line="360" w:lineRule="auto"/>
        <w:ind w:firstLine="590" w:firstLineChars="200"/>
        <w:jc w:val="center"/>
        <w:rPr>
          <w:rFonts w:hint="eastAsia" w:ascii="仿宋" w:hAnsi="仿宋" w:eastAsia="仿宋" w:cs="仿宋"/>
          <w:b/>
          <w:bCs/>
          <w:spacing w:val="7"/>
          <w:sz w:val="28"/>
          <w:szCs w:val="28"/>
          <w:lang w:eastAsia="zh-CN"/>
        </w:rPr>
      </w:pPr>
      <w:bookmarkStart w:id="560" w:name="_bookmark4"/>
      <w:bookmarkEnd w:id="560"/>
      <w:r>
        <w:rPr>
          <w:rFonts w:hint="eastAsia" w:ascii="仿宋" w:hAnsi="仿宋" w:eastAsia="仿宋" w:cs="仿宋"/>
          <w:b/>
          <w:bCs/>
          <w:spacing w:val="7"/>
          <w:sz w:val="28"/>
          <w:szCs w:val="28"/>
          <w:lang w:eastAsia="zh-CN"/>
        </w:rPr>
        <w:t>洛阳师范学院2026-2028年度教学区域物业管理服务项目</w:t>
      </w:r>
    </w:p>
    <w:p w14:paraId="1A8CD1CB">
      <w:pPr>
        <w:pageBreakBefore w:val="0"/>
        <w:wordWrap/>
        <w:topLinePunct w:val="0"/>
        <w:bidi w:val="0"/>
        <w:spacing w:after="0" w:line="360" w:lineRule="auto"/>
        <w:ind w:firstLine="590" w:firstLineChars="200"/>
        <w:jc w:val="center"/>
        <w:rPr>
          <w:rFonts w:hint="eastAsia" w:ascii="仿宋" w:hAnsi="仿宋" w:eastAsia="仿宋" w:cs="仿宋"/>
          <w:b/>
          <w:bCs/>
          <w:spacing w:val="7"/>
          <w:sz w:val="28"/>
          <w:szCs w:val="28"/>
        </w:rPr>
      </w:pPr>
      <w:r>
        <w:rPr>
          <w:rFonts w:hint="eastAsia" w:ascii="仿宋" w:hAnsi="仿宋" w:eastAsia="仿宋" w:cs="仿宋"/>
          <w:b/>
          <w:bCs/>
          <w:spacing w:val="7"/>
          <w:sz w:val="28"/>
          <w:szCs w:val="28"/>
        </w:rPr>
        <w:t>采购需求</w:t>
      </w:r>
    </w:p>
    <w:p w14:paraId="4FBCCFE2">
      <w:pPr>
        <w:pageBreakBefore w:val="0"/>
        <w:wordWrap/>
        <w:topLinePunct w:val="0"/>
        <w:bidi w:val="0"/>
        <w:spacing w:after="0" w:line="360" w:lineRule="auto"/>
        <w:ind w:firstLine="588" w:firstLineChars="200"/>
        <w:outlineLvl w:val="1"/>
        <w:rPr>
          <w:rFonts w:hint="eastAsia" w:ascii="黑体" w:hAnsi="黑体" w:eastAsia="黑体" w:cs="黑体"/>
          <w:spacing w:val="7"/>
          <w:sz w:val="28"/>
          <w:szCs w:val="28"/>
        </w:rPr>
      </w:pPr>
      <w:r>
        <w:rPr>
          <w:rFonts w:hint="eastAsia" w:ascii="黑体" w:hAnsi="黑体" w:eastAsia="黑体" w:cs="黑体"/>
          <w:spacing w:val="7"/>
          <w:sz w:val="28"/>
          <w:szCs w:val="28"/>
        </w:rPr>
        <w:t>一、项目服务范围及内容</w:t>
      </w:r>
    </w:p>
    <w:p w14:paraId="59BA2DA6">
      <w:pPr>
        <w:pageBreakBefore w:val="0"/>
        <w:wordWrap/>
        <w:topLinePunct w:val="0"/>
        <w:bidi w:val="0"/>
        <w:spacing w:after="0" w:line="360" w:lineRule="auto"/>
        <w:ind w:firstLine="588" w:firstLineChars="200"/>
        <w:rPr>
          <w:rFonts w:hint="eastAsia" w:ascii="仿宋" w:hAnsi="仿宋" w:eastAsia="仿宋" w:cs="仿宋"/>
          <w:sz w:val="28"/>
          <w:szCs w:val="28"/>
        </w:rPr>
      </w:pPr>
      <w:r>
        <w:rPr>
          <w:rFonts w:hint="eastAsia" w:ascii="仿宋" w:hAnsi="仿宋" w:eastAsia="仿宋" w:cs="仿宋"/>
          <w:spacing w:val="7"/>
          <w:sz w:val="28"/>
          <w:szCs w:val="28"/>
        </w:rPr>
        <w:t>（一）项目服务范围：问礼大道以东，成均大道以西，立雪大道以南，金谷大道以北内环线以内区域（见图一）的物业管理服务对外承包。其中包括A1—A16文科教学楼、理科教学楼、逸夫教学楼、图书馆等区域</w:t>
      </w:r>
      <w:r>
        <w:rPr>
          <w:rFonts w:hint="eastAsia" w:ascii="仿宋" w:hAnsi="仿宋" w:eastAsia="仿宋" w:cs="仿宋"/>
          <w:spacing w:val="7"/>
          <w:sz w:val="28"/>
          <w:szCs w:val="28"/>
          <w:lang w:eastAsia="zh-CN"/>
        </w:rPr>
        <w:t>。</w:t>
      </w:r>
    </w:p>
    <w:p w14:paraId="7246492F">
      <w:pPr>
        <w:pageBreakBefore w:val="0"/>
        <w:wordWrap/>
        <w:topLinePunct w:val="0"/>
        <w:bidi w:val="0"/>
        <w:spacing w:after="0" w:line="360" w:lineRule="auto"/>
        <w:rPr>
          <w:rFonts w:hint="eastAsia" w:ascii="仿宋" w:hAnsi="仿宋" w:eastAsia="仿宋" w:cs="仿宋"/>
          <w:spacing w:val="7"/>
          <w:sz w:val="28"/>
          <w:szCs w:val="28"/>
        </w:rPr>
      </w:pPr>
      <w:r>
        <w:rPr>
          <w:rFonts w:hint="eastAsia" w:eastAsia="宋体"/>
          <w:lang w:eastAsia="zh-CN"/>
        </w:rPr>
        <w:drawing>
          <wp:inline distT="0" distB="0" distL="114300" distR="114300">
            <wp:extent cx="5099050" cy="5109210"/>
            <wp:effectExtent l="0" t="0" r="6350" b="15240"/>
            <wp:docPr id="4" name="图片 1" descr="877e8a1d11985cea0c843ee27de8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877e8a1d11985cea0c843ee27de86b9"/>
                    <pic:cNvPicPr>
                      <a:picLocks noChangeAspect="1"/>
                    </pic:cNvPicPr>
                  </pic:nvPicPr>
                  <pic:blipFill>
                    <a:blip r:embed="rId16"/>
                    <a:stretch>
                      <a:fillRect/>
                    </a:stretch>
                  </pic:blipFill>
                  <pic:spPr>
                    <a:xfrm>
                      <a:off x="0" y="0"/>
                      <a:ext cx="5099050" cy="5109210"/>
                    </a:xfrm>
                    <a:prstGeom prst="rect">
                      <a:avLst/>
                    </a:prstGeom>
                    <a:noFill/>
                    <a:ln>
                      <a:noFill/>
                    </a:ln>
                  </pic:spPr>
                </pic:pic>
              </a:graphicData>
            </a:graphic>
          </wp:inline>
        </w:drawing>
      </w:r>
    </w:p>
    <w:p w14:paraId="580C9437">
      <w:pPr>
        <w:pageBreakBefore w:val="0"/>
        <w:wordWrap/>
        <w:topLinePunct w:val="0"/>
        <w:bidi w:val="0"/>
        <w:spacing w:after="0" w:line="360" w:lineRule="auto"/>
        <w:jc w:val="center"/>
        <w:rPr>
          <w:rFonts w:hint="eastAsia" w:ascii="仿宋" w:hAnsi="仿宋" w:eastAsia="仿宋" w:cs="仿宋"/>
          <w:spacing w:val="7"/>
          <w:sz w:val="28"/>
          <w:szCs w:val="28"/>
        </w:rPr>
      </w:pPr>
      <w:r>
        <w:rPr>
          <w:rFonts w:hint="eastAsia" w:ascii="仿宋" w:hAnsi="仿宋" w:eastAsia="仿宋" w:cs="仿宋"/>
          <w:spacing w:val="7"/>
          <w:sz w:val="28"/>
          <w:szCs w:val="28"/>
        </w:rPr>
        <w:t>图一</w:t>
      </w:r>
    </w:p>
    <w:p w14:paraId="0D469194">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w:t>
      </w:r>
      <w:r>
        <w:rPr>
          <w:rFonts w:hint="eastAsia" w:ascii="仿宋" w:hAnsi="仿宋" w:eastAsia="仿宋" w:cs="仿宋"/>
          <w:sz w:val="28"/>
          <w:szCs w:val="28"/>
        </w:rPr>
        <w:t>项目服务内容：具体为区域内室内、室外保洁服务，绿化管理服务，教室管理服务，小型维修服务，垃圾清收、清运和集中服务以及专项管理服务等。具体服务标准和要求见下文。</w:t>
      </w:r>
    </w:p>
    <w:p w14:paraId="0CAE14C4">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t>1.室内保洁管理服务：约7.5万平米。A1—A16文科教学楼、理科教学楼、逸夫教学楼、图书馆等区域（表1）；</w:t>
      </w:r>
    </w:p>
    <w:p w14:paraId="614EF5AE">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t xml:space="preserve">2.室外保洁管理服务：问礼大道以东，成均大道以西，立雪大道以南，金谷大道以北铺装面积和道路保洁面积共计约8.5万余平米（含楼顶定期清扫）； </w:t>
      </w:r>
    </w:p>
    <w:p w14:paraId="39E46652">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t>3.校园绿化管理服务：A1—A16（问礼大道以东，成均大道以西，立雪大道以南及金谷大道以北）约8.4万余平米。</w:t>
      </w:r>
    </w:p>
    <w:p w14:paraId="7A6019B8">
      <w:pPr>
        <w:keepNext w:val="0"/>
        <w:keepLines w:val="0"/>
        <w:pageBreakBefore w:val="0"/>
        <w:widowControl/>
        <w:kinsoku/>
        <w:wordWrap/>
        <w:overflowPunct/>
        <w:topLinePunct w:val="0"/>
        <w:autoSpaceDE/>
        <w:autoSpaceDN/>
        <w:bidi w:val="0"/>
        <w:adjustRightInd/>
        <w:snapToGrid/>
        <w:spacing w:line="360" w:lineRule="auto"/>
        <w:ind w:left="0" w:leftChars="0"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t>4.教室管理服务：公共教室管理G1—G5教室及教师休息室约为178间。</w:t>
      </w:r>
    </w:p>
    <w:p w14:paraId="7395B774">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表 1 教学科研办公建筑情况统计表</w:t>
      </w:r>
    </w:p>
    <w:tbl>
      <w:tblPr>
        <w:tblStyle w:val="52"/>
        <w:tblW w:w="90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1180"/>
        <w:gridCol w:w="583"/>
        <w:gridCol w:w="1429"/>
        <w:gridCol w:w="1425"/>
        <w:gridCol w:w="3727"/>
      </w:tblGrid>
      <w:tr w14:paraId="42F98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blHeader/>
          <w:jc w:val="center"/>
        </w:trPr>
        <w:tc>
          <w:tcPr>
            <w:tcW w:w="716" w:type="dxa"/>
            <w:noWrap w:val="0"/>
            <w:vAlign w:val="center"/>
          </w:tcPr>
          <w:p w14:paraId="08D39364">
            <w:pPr>
              <w:pageBreakBefore w:val="0"/>
              <w:wordWrap/>
              <w:topLinePunct w:val="0"/>
              <w:bidi w:val="0"/>
              <w:spacing w:line="360" w:lineRule="auto"/>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序号</w:t>
            </w:r>
          </w:p>
        </w:tc>
        <w:tc>
          <w:tcPr>
            <w:tcW w:w="1180" w:type="dxa"/>
            <w:shd w:val="clear" w:color="auto" w:fill="auto"/>
            <w:noWrap w:val="0"/>
            <w:vAlign w:val="center"/>
          </w:tcPr>
          <w:p w14:paraId="72F5CC77">
            <w:pPr>
              <w:pageBreakBefore w:val="0"/>
              <w:wordWrap/>
              <w:topLinePunct w:val="0"/>
              <w:bidi w:val="0"/>
              <w:spacing w:line="360" w:lineRule="auto"/>
              <w:jc w:val="center"/>
              <w:rPr>
                <w:rFonts w:hint="eastAsia" w:ascii="仿宋" w:hAnsi="仿宋" w:eastAsia="仿宋" w:cs="仿宋"/>
                <w:b/>
                <w:bCs/>
                <w:sz w:val="28"/>
                <w:szCs w:val="28"/>
                <w:lang w:val="en-US" w:eastAsia="zh-CN" w:bidi="ar-SA"/>
              </w:rPr>
            </w:pPr>
            <w:r>
              <w:rPr>
                <w:rFonts w:hint="eastAsia" w:ascii="仿宋" w:hAnsi="仿宋" w:eastAsia="仿宋" w:cs="仿宋"/>
                <w:b/>
                <w:bCs/>
                <w:sz w:val="28"/>
                <w:szCs w:val="28"/>
              </w:rPr>
              <w:t>建筑名称</w:t>
            </w:r>
          </w:p>
        </w:tc>
        <w:tc>
          <w:tcPr>
            <w:tcW w:w="583" w:type="dxa"/>
            <w:shd w:val="clear" w:color="auto" w:fill="auto"/>
            <w:noWrap w:val="0"/>
            <w:vAlign w:val="center"/>
          </w:tcPr>
          <w:p w14:paraId="6A6DB2B2">
            <w:pPr>
              <w:pageBreakBefore w:val="0"/>
              <w:wordWrap/>
              <w:topLinePunct w:val="0"/>
              <w:bidi w:val="0"/>
              <w:spacing w:line="360" w:lineRule="auto"/>
              <w:jc w:val="center"/>
              <w:rPr>
                <w:rFonts w:hint="eastAsia" w:ascii="仿宋" w:hAnsi="仿宋" w:eastAsia="仿宋" w:cs="仿宋"/>
                <w:b/>
                <w:bCs/>
                <w:sz w:val="28"/>
                <w:szCs w:val="28"/>
                <w:lang w:val="en-US" w:eastAsia="zh-CN" w:bidi="ar-SA"/>
              </w:rPr>
            </w:pPr>
            <w:r>
              <w:rPr>
                <w:rFonts w:hint="eastAsia" w:ascii="仿宋" w:hAnsi="仿宋" w:eastAsia="仿宋" w:cs="仿宋"/>
                <w:b/>
                <w:bCs/>
                <w:sz w:val="28"/>
                <w:szCs w:val="28"/>
              </w:rPr>
              <w:t>楼层</w:t>
            </w:r>
          </w:p>
        </w:tc>
        <w:tc>
          <w:tcPr>
            <w:tcW w:w="1429" w:type="dxa"/>
            <w:shd w:val="clear" w:color="auto" w:fill="auto"/>
            <w:noWrap w:val="0"/>
            <w:vAlign w:val="center"/>
          </w:tcPr>
          <w:p w14:paraId="56333548">
            <w:pPr>
              <w:pageBreakBefore w:val="0"/>
              <w:wordWrap/>
              <w:topLinePunct w:val="0"/>
              <w:bidi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总建筑面积</w:t>
            </w:r>
          </w:p>
          <w:p w14:paraId="6BD0FC5D">
            <w:pPr>
              <w:pageBreakBefore w:val="0"/>
              <w:wordWrap/>
              <w:topLinePunct w:val="0"/>
              <w:bidi w:val="0"/>
              <w:spacing w:line="360" w:lineRule="auto"/>
              <w:jc w:val="center"/>
              <w:rPr>
                <w:rFonts w:hint="eastAsia" w:ascii="仿宋" w:hAnsi="仿宋" w:eastAsia="仿宋" w:cs="仿宋"/>
                <w:b/>
                <w:bCs/>
                <w:sz w:val="28"/>
                <w:szCs w:val="28"/>
                <w:lang w:val="en-US" w:eastAsia="zh-CN" w:bidi="ar-SA"/>
              </w:rPr>
            </w:pPr>
            <w:r>
              <w:rPr>
                <w:rFonts w:hint="eastAsia" w:ascii="仿宋" w:hAnsi="仿宋" w:eastAsia="仿宋" w:cs="仿宋"/>
                <w:b/>
                <w:bCs/>
                <w:sz w:val="28"/>
                <w:szCs w:val="28"/>
              </w:rPr>
              <w:t>(㎡)</w:t>
            </w:r>
          </w:p>
        </w:tc>
        <w:tc>
          <w:tcPr>
            <w:tcW w:w="1425" w:type="dxa"/>
            <w:shd w:val="clear" w:color="auto" w:fill="auto"/>
            <w:noWrap w:val="0"/>
            <w:vAlign w:val="center"/>
          </w:tcPr>
          <w:p w14:paraId="71A79BEE">
            <w:pPr>
              <w:pageBreakBefore w:val="0"/>
              <w:wordWrap/>
              <w:topLinePunct w:val="0"/>
              <w:bidi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保洁净面积</w:t>
            </w:r>
          </w:p>
          <w:p w14:paraId="0F5D6C27">
            <w:pPr>
              <w:pageBreakBefore w:val="0"/>
              <w:wordWrap/>
              <w:topLinePunct w:val="0"/>
              <w:bidi w:val="0"/>
              <w:spacing w:line="360" w:lineRule="auto"/>
              <w:jc w:val="center"/>
              <w:rPr>
                <w:rFonts w:hint="eastAsia" w:ascii="仿宋" w:hAnsi="仿宋" w:eastAsia="仿宋" w:cs="仿宋"/>
                <w:b/>
                <w:bCs/>
                <w:sz w:val="28"/>
                <w:szCs w:val="28"/>
                <w:lang w:val="en-US" w:eastAsia="zh-CN" w:bidi="ar-SA"/>
              </w:rPr>
            </w:pPr>
            <w:r>
              <w:rPr>
                <w:rFonts w:hint="eastAsia" w:ascii="仿宋" w:hAnsi="仿宋" w:eastAsia="仿宋" w:cs="仿宋"/>
                <w:b/>
                <w:bCs/>
                <w:sz w:val="28"/>
                <w:szCs w:val="28"/>
              </w:rPr>
              <w:t>(㎡)</w:t>
            </w:r>
          </w:p>
        </w:tc>
        <w:tc>
          <w:tcPr>
            <w:tcW w:w="3727" w:type="dxa"/>
            <w:shd w:val="clear" w:color="auto" w:fill="auto"/>
            <w:noWrap w:val="0"/>
            <w:vAlign w:val="center"/>
          </w:tcPr>
          <w:p w14:paraId="720A519D">
            <w:pPr>
              <w:pageBreakBefore w:val="0"/>
              <w:wordWrap/>
              <w:topLinePunct w:val="0"/>
              <w:bidi w:val="0"/>
              <w:spacing w:line="360" w:lineRule="auto"/>
              <w:jc w:val="center"/>
              <w:rPr>
                <w:rFonts w:hint="eastAsia" w:ascii="仿宋" w:hAnsi="仿宋" w:eastAsia="仿宋" w:cs="仿宋"/>
                <w:b/>
                <w:bCs/>
                <w:sz w:val="28"/>
                <w:szCs w:val="28"/>
                <w:lang w:val="en-US" w:eastAsia="zh-CN" w:bidi="ar-SA"/>
              </w:rPr>
            </w:pPr>
            <w:r>
              <w:rPr>
                <w:rFonts w:hint="eastAsia" w:ascii="仿宋" w:hAnsi="仿宋" w:eastAsia="仿宋" w:cs="仿宋"/>
                <w:b/>
                <w:bCs/>
                <w:sz w:val="28"/>
                <w:szCs w:val="28"/>
              </w:rPr>
              <w:t>使用单位</w:t>
            </w:r>
          </w:p>
        </w:tc>
      </w:tr>
      <w:tr w14:paraId="6B6B2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716" w:type="dxa"/>
            <w:shd w:val="clear" w:color="auto" w:fill="auto"/>
            <w:noWrap w:val="0"/>
            <w:vAlign w:val="center"/>
          </w:tcPr>
          <w:p w14:paraId="22DB57CC">
            <w:pPr>
              <w:pageBreakBefore w:val="0"/>
              <w:wordWrap/>
              <w:topLinePunct w:val="0"/>
              <w:bidi w:val="0"/>
              <w:spacing w:line="36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rPr>
              <w:t>1</w:t>
            </w:r>
          </w:p>
        </w:tc>
        <w:tc>
          <w:tcPr>
            <w:tcW w:w="1180" w:type="dxa"/>
            <w:shd w:val="clear" w:color="auto" w:fill="auto"/>
            <w:noWrap w:val="0"/>
            <w:vAlign w:val="center"/>
          </w:tcPr>
          <w:p w14:paraId="5A8A664D">
            <w:pPr>
              <w:pageBreakBefore w:val="0"/>
              <w:wordWrap/>
              <w:topLinePunct w:val="0"/>
              <w:bidi w:val="0"/>
              <w:spacing w:line="36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rPr>
              <w:t>A1</w:t>
            </w:r>
          </w:p>
        </w:tc>
        <w:tc>
          <w:tcPr>
            <w:tcW w:w="583" w:type="dxa"/>
            <w:shd w:val="clear" w:color="auto" w:fill="auto"/>
            <w:noWrap w:val="0"/>
            <w:vAlign w:val="center"/>
          </w:tcPr>
          <w:p w14:paraId="3A8F91E6">
            <w:pPr>
              <w:pageBreakBefore w:val="0"/>
              <w:wordWrap/>
              <w:topLinePunct w:val="0"/>
              <w:bidi w:val="0"/>
              <w:spacing w:line="36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rPr>
              <w:t>6</w:t>
            </w:r>
          </w:p>
        </w:tc>
        <w:tc>
          <w:tcPr>
            <w:tcW w:w="1429" w:type="dxa"/>
            <w:shd w:val="clear" w:color="auto" w:fill="auto"/>
            <w:noWrap w:val="0"/>
            <w:vAlign w:val="center"/>
          </w:tcPr>
          <w:p w14:paraId="081DF27E">
            <w:pPr>
              <w:pageBreakBefore w:val="0"/>
              <w:wordWrap/>
              <w:topLinePunct w:val="0"/>
              <w:bidi w:val="0"/>
              <w:spacing w:line="36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rPr>
              <w:t>14725</w:t>
            </w:r>
          </w:p>
        </w:tc>
        <w:tc>
          <w:tcPr>
            <w:tcW w:w="1425" w:type="dxa"/>
            <w:shd w:val="clear" w:color="auto" w:fill="auto"/>
            <w:noWrap w:val="0"/>
            <w:vAlign w:val="center"/>
          </w:tcPr>
          <w:p w14:paraId="57F6EA85">
            <w:pPr>
              <w:pageBreakBefore w:val="0"/>
              <w:wordWrap/>
              <w:topLinePunct w:val="0"/>
              <w:bidi w:val="0"/>
              <w:spacing w:line="36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rPr>
              <w:t>4130.44</w:t>
            </w:r>
          </w:p>
        </w:tc>
        <w:tc>
          <w:tcPr>
            <w:tcW w:w="3727" w:type="dxa"/>
            <w:shd w:val="clear" w:color="auto" w:fill="auto"/>
            <w:noWrap w:val="0"/>
            <w:vAlign w:val="center"/>
          </w:tcPr>
          <w:p w14:paraId="61812ACE">
            <w:pPr>
              <w:pageBreakBefore w:val="0"/>
              <w:wordWrap/>
              <w:topLinePunct w:val="0"/>
              <w:bidi w:val="0"/>
              <w:spacing w:line="360" w:lineRule="auto"/>
              <w:jc w:val="center"/>
              <w:rPr>
                <w:rFonts w:hint="eastAsia" w:ascii="仿宋" w:hAnsi="仿宋" w:eastAsia="仿宋" w:cs="仿宋"/>
                <w:sz w:val="28"/>
                <w:szCs w:val="28"/>
                <w:lang w:val="en-US" w:eastAsia="zh-CN" w:bidi="ar-SA"/>
              </w:rPr>
            </w:pPr>
            <w:r>
              <w:rPr>
                <w:rFonts w:hint="eastAsia" w:ascii="仿宋" w:hAnsi="仿宋" w:eastAsia="仿宋" w:cs="仿宋"/>
                <w:sz w:val="28"/>
                <w:szCs w:val="28"/>
              </w:rPr>
              <w:t>外国语学院与国际教育学院</w:t>
            </w:r>
          </w:p>
        </w:tc>
      </w:tr>
      <w:tr w14:paraId="7D4C2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716" w:type="dxa"/>
            <w:noWrap w:val="0"/>
            <w:vAlign w:val="center"/>
          </w:tcPr>
          <w:p w14:paraId="6C00E1EA">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1180" w:type="dxa"/>
            <w:noWrap w:val="0"/>
            <w:vAlign w:val="center"/>
          </w:tcPr>
          <w:p w14:paraId="7667611A">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A2</w:t>
            </w:r>
          </w:p>
        </w:tc>
        <w:tc>
          <w:tcPr>
            <w:tcW w:w="583" w:type="dxa"/>
            <w:noWrap w:val="0"/>
            <w:vAlign w:val="center"/>
          </w:tcPr>
          <w:p w14:paraId="7528686B">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w:t>
            </w:r>
          </w:p>
        </w:tc>
        <w:tc>
          <w:tcPr>
            <w:tcW w:w="1429" w:type="dxa"/>
            <w:noWrap w:val="0"/>
            <w:vAlign w:val="center"/>
          </w:tcPr>
          <w:p w14:paraId="24D3DFE3">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5703</w:t>
            </w:r>
          </w:p>
        </w:tc>
        <w:tc>
          <w:tcPr>
            <w:tcW w:w="1425" w:type="dxa"/>
            <w:noWrap w:val="0"/>
            <w:vAlign w:val="center"/>
          </w:tcPr>
          <w:p w14:paraId="136B5CF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1929.16</w:t>
            </w:r>
          </w:p>
        </w:tc>
        <w:tc>
          <w:tcPr>
            <w:tcW w:w="3727" w:type="dxa"/>
            <w:noWrap w:val="0"/>
            <w:vAlign w:val="center"/>
          </w:tcPr>
          <w:p w14:paraId="253BB232">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地理与旅游学院</w:t>
            </w:r>
          </w:p>
        </w:tc>
      </w:tr>
      <w:tr w14:paraId="0DDD8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716" w:type="dxa"/>
            <w:noWrap w:val="0"/>
            <w:vAlign w:val="center"/>
          </w:tcPr>
          <w:p w14:paraId="1455CB5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3</w:t>
            </w:r>
          </w:p>
        </w:tc>
        <w:tc>
          <w:tcPr>
            <w:tcW w:w="1180" w:type="dxa"/>
            <w:noWrap w:val="0"/>
            <w:vAlign w:val="center"/>
          </w:tcPr>
          <w:p w14:paraId="45CC228C">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A3</w:t>
            </w:r>
          </w:p>
        </w:tc>
        <w:tc>
          <w:tcPr>
            <w:tcW w:w="583" w:type="dxa"/>
            <w:noWrap w:val="0"/>
            <w:vAlign w:val="center"/>
          </w:tcPr>
          <w:p w14:paraId="6259BBCA">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1429" w:type="dxa"/>
            <w:noWrap w:val="0"/>
            <w:vAlign w:val="center"/>
          </w:tcPr>
          <w:p w14:paraId="1329BE53">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8416</w:t>
            </w:r>
          </w:p>
        </w:tc>
        <w:tc>
          <w:tcPr>
            <w:tcW w:w="1425" w:type="dxa"/>
            <w:noWrap w:val="0"/>
            <w:vAlign w:val="center"/>
          </w:tcPr>
          <w:p w14:paraId="42C2916F">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3079.17</w:t>
            </w:r>
          </w:p>
        </w:tc>
        <w:tc>
          <w:tcPr>
            <w:tcW w:w="3727" w:type="dxa"/>
            <w:noWrap w:val="0"/>
            <w:vAlign w:val="center"/>
          </w:tcPr>
          <w:p w14:paraId="7645D766">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社会与政法学院、马克思主义学院</w:t>
            </w:r>
          </w:p>
        </w:tc>
      </w:tr>
      <w:tr w14:paraId="255A3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716" w:type="dxa"/>
            <w:noWrap w:val="0"/>
            <w:vAlign w:val="center"/>
          </w:tcPr>
          <w:p w14:paraId="37441B81">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1180" w:type="dxa"/>
            <w:noWrap w:val="0"/>
            <w:vAlign w:val="center"/>
          </w:tcPr>
          <w:p w14:paraId="7CE6909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A4</w:t>
            </w:r>
          </w:p>
        </w:tc>
        <w:tc>
          <w:tcPr>
            <w:tcW w:w="583" w:type="dxa"/>
            <w:noWrap w:val="0"/>
            <w:vAlign w:val="center"/>
          </w:tcPr>
          <w:p w14:paraId="05C490FB">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w:t>
            </w:r>
          </w:p>
        </w:tc>
        <w:tc>
          <w:tcPr>
            <w:tcW w:w="1429" w:type="dxa"/>
            <w:noWrap w:val="0"/>
            <w:vAlign w:val="center"/>
          </w:tcPr>
          <w:p w14:paraId="2DB5EB8E">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5817</w:t>
            </w:r>
          </w:p>
        </w:tc>
        <w:tc>
          <w:tcPr>
            <w:tcW w:w="1425" w:type="dxa"/>
            <w:noWrap w:val="0"/>
            <w:vAlign w:val="center"/>
          </w:tcPr>
          <w:p w14:paraId="257CB62E">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2001.71</w:t>
            </w:r>
          </w:p>
        </w:tc>
        <w:tc>
          <w:tcPr>
            <w:tcW w:w="3727" w:type="dxa"/>
            <w:noWrap w:val="0"/>
            <w:vAlign w:val="center"/>
          </w:tcPr>
          <w:p w14:paraId="4343FC30">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历史文化学院</w:t>
            </w:r>
          </w:p>
        </w:tc>
      </w:tr>
      <w:tr w14:paraId="5EBCC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716" w:type="dxa"/>
            <w:noWrap w:val="0"/>
            <w:vAlign w:val="center"/>
          </w:tcPr>
          <w:p w14:paraId="5FEBE317">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w:t>
            </w:r>
          </w:p>
        </w:tc>
        <w:tc>
          <w:tcPr>
            <w:tcW w:w="1180" w:type="dxa"/>
            <w:noWrap w:val="0"/>
            <w:vAlign w:val="center"/>
          </w:tcPr>
          <w:p w14:paraId="352D28F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A5</w:t>
            </w:r>
          </w:p>
        </w:tc>
        <w:tc>
          <w:tcPr>
            <w:tcW w:w="583" w:type="dxa"/>
            <w:noWrap w:val="0"/>
            <w:vAlign w:val="center"/>
          </w:tcPr>
          <w:p w14:paraId="26F8D980">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w:t>
            </w:r>
          </w:p>
        </w:tc>
        <w:tc>
          <w:tcPr>
            <w:tcW w:w="1429" w:type="dxa"/>
            <w:noWrap w:val="0"/>
            <w:vAlign w:val="center"/>
          </w:tcPr>
          <w:p w14:paraId="719BFCFB">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7355</w:t>
            </w:r>
          </w:p>
        </w:tc>
        <w:tc>
          <w:tcPr>
            <w:tcW w:w="1425" w:type="dxa"/>
            <w:noWrap w:val="0"/>
            <w:vAlign w:val="center"/>
          </w:tcPr>
          <w:p w14:paraId="1A239943">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2514</w:t>
            </w:r>
          </w:p>
        </w:tc>
        <w:tc>
          <w:tcPr>
            <w:tcW w:w="3727" w:type="dxa"/>
            <w:noWrap w:val="0"/>
            <w:vAlign w:val="center"/>
          </w:tcPr>
          <w:p w14:paraId="37F3CB15">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商学院</w:t>
            </w:r>
          </w:p>
        </w:tc>
      </w:tr>
      <w:tr w14:paraId="6DF99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62CBBAA4">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6</w:t>
            </w:r>
          </w:p>
        </w:tc>
        <w:tc>
          <w:tcPr>
            <w:tcW w:w="1180" w:type="dxa"/>
            <w:noWrap w:val="0"/>
            <w:vAlign w:val="center"/>
          </w:tcPr>
          <w:p w14:paraId="4515E4F5">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A6</w:t>
            </w:r>
          </w:p>
        </w:tc>
        <w:tc>
          <w:tcPr>
            <w:tcW w:w="583" w:type="dxa"/>
            <w:noWrap w:val="0"/>
            <w:vAlign w:val="center"/>
          </w:tcPr>
          <w:p w14:paraId="0E9916C7">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1429" w:type="dxa"/>
            <w:noWrap w:val="0"/>
            <w:vAlign w:val="center"/>
          </w:tcPr>
          <w:p w14:paraId="3AC7EF62">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9597</w:t>
            </w:r>
          </w:p>
        </w:tc>
        <w:tc>
          <w:tcPr>
            <w:tcW w:w="1425" w:type="dxa"/>
            <w:noWrap w:val="0"/>
            <w:vAlign w:val="center"/>
          </w:tcPr>
          <w:p w14:paraId="743CC094">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2562</w:t>
            </w:r>
          </w:p>
        </w:tc>
        <w:tc>
          <w:tcPr>
            <w:tcW w:w="3727" w:type="dxa"/>
            <w:noWrap w:val="0"/>
            <w:vAlign w:val="center"/>
          </w:tcPr>
          <w:p w14:paraId="0F205846">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教育科学学院、继续教育学院</w:t>
            </w:r>
          </w:p>
        </w:tc>
      </w:tr>
      <w:tr w14:paraId="4445F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79C4B2F6">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7</w:t>
            </w:r>
          </w:p>
        </w:tc>
        <w:tc>
          <w:tcPr>
            <w:tcW w:w="1180" w:type="dxa"/>
            <w:noWrap w:val="0"/>
            <w:vAlign w:val="center"/>
          </w:tcPr>
          <w:p w14:paraId="17F47414">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A7</w:t>
            </w:r>
          </w:p>
        </w:tc>
        <w:tc>
          <w:tcPr>
            <w:tcW w:w="583" w:type="dxa"/>
            <w:noWrap w:val="0"/>
            <w:vAlign w:val="center"/>
          </w:tcPr>
          <w:p w14:paraId="696298B7">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w:t>
            </w:r>
          </w:p>
        </w:tc>
        <w:tc>
          <w:tcPr>
            <w:tcW w:w="1429" w:type="dxa"/>
            <w:noWrap w:val="0"/>
            <w:vAlign w:val="center"/>
          </w:tcPr>
          <w:p w14:paraId="613CBB5E">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13959</w:t>
            </w:r>
          </w:p>
        </w:tc>
        <w:tc>
          <w:tcPr>
            <w:tcW w:w="1425" w:type="dxa"/>
            <w:noWrap w:val="0"/>
            <w:vAlign w:val="center"/>
          </w:tcPr>
          <w:p w14:paraId="49A7BFB0">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4305.49</w:t>
            </w:r>
          </w:p>
        </w:tc>
        <w:tc>
          <w:tcPr>
            <w:tcW w:w="3727" w:type="dxa"/>
            <w:noWrap w:val="0"/>
            <w:vAlign w:val="center"/>
          </w:tcPr>
          <w:p w14:paraId="6E8086D6">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学前教育学院</w:t>
            </w:r>
          </w:p>
        </w:tc>
      </w:tr>
      <w:tr w14:paraId="65FCC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476A029B">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8</w:t>
            </w:r>
          </w:p>
        </w:tc>
        <w:tc>
          <w:tcPr>
            <w:tcW w:w="1180" w:type="dxa"/>
            <w:noWrap w:val="0"/>
            <w:vAlign w:val="center"/>
          </w:tcPr>
          <w:p w14:paraId="1EEEDEF6">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A8-A9</w:t>
            </w:r>
          </w:p>
        </w:tc>
        <w:tc>
          <w:tcPr>
            <w:tcW w:w="583" w:type="dxa"/>
            <w:noWrap w:val="0"/>
            <w:vAlign w:val="center"/>
          </w:tcPr>
          <w:p w14:paraId="3A01C823">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1429" w:type="dxa"/>
            <w:noWrap w:val="0"/>
            <w:vAlign w:val="center"/>
          </w:tcPr>
          <w:p w14:paraId="16D70867">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9580</w:t>
            </w:r>
          </w:p>
        </w:tc>
        <w:tc>
          <w:tcPr>
            <w:tcW w:w="1425" w:type="dxa"/>
            <w:noWrap w:val="0"/>
            <w:vAlign w:val="center"/>
          </w:tcPr>
          <w:p w14:paraId="255A2B42">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5878.47</w:t>
            </w:r>
          </w:p>
        </w:tc>
        <w:tc>
          <w:tcPr>
            <w:tcW w:w="3727" w:type="dxa"/>
            <w:noWrap w:val="0"/>
            <w:vAlign w:val="center"/>
          </w:tcPr>
          <w:p w14:paraId="7485ED0F">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文学院、新闻传媒学院</w:t>
            </w:r>
          </w:p>
        </w:tc>
      </w:tr>
      <w:tr w14:paraId="07ADF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166B7713">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9</w:t>
            </w:r>
          </w:p>
        </w:tc>
        <w:tc>
          <w:tcPr>
            <w:tcW w:w="1180" w:type="dxa"/>
            <w:noWrap w:val="0"/>
            <w:vAlign w:val="center"/>
          </w:tcPr>
          <w:p w14:paraId="4554F38D">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连廊</w:t>
            </w:r>
          </w:p>
        </w:tc>
        <w:tc>
          <w:tcPr>
            <w:tcW w:w="583" w:type="dxa"/>
            <w:noWrap w:val="0"/>
            <w:vAlign w:val="center"/>
          </w:tcPr>
          <w:p w14:paraId="1FC72EC4">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1429" w:type="dxa"/>
            <w:noWrap w:val="0"/>
            <w:vAlign w:val="center"/>
          </w:tcPr>
          <w:p w14:paraId="2340E11A">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357.7</w:t>
            </w:r>
          </w:p>
        </w:tc>
        <w:tc>
          <w:tcPr>
            <w:tcW w:w="1425" w:type="dxa"/>
            <w:noWrap w:val="0"/>
            <w:vAlign w:val="center"/>
          </w:tcPr>
          <w:p w14:paraId="60794DF2">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357.7</w:t>
            </w:r>
          </w:p>
        </w:tc>
        <w:tc>
          <w:tcPr>
            <w:tcW w:w="3727" w:type="dxa"/>
            <w:noWrap w:val="0"/>
            <w:vAlign w:val="center"/>
          </w:tcPr>
          <w:p w14:paraId="78B7C0F4">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连廊</w:t>
            </w:r>
          </w:p>
        </w:tc>
      </w:tr>
      <w:tr w14:paraId="2F528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206E5964">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10</w:t>
            </w:r>
          </w:p>
        </w:tc>
        <w:tc>
          <w:tcPr>
            <w:tcW w:w="1180" w:type="dxa"/>
            <w:noWrap w:val="0"/>
            <w:vAlign w:val="center"/>
          </w:tcPr>
          <w:p w14:paraId="19F872F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G1-G5</w:t>
            </w:r>
          </w:p>
        </w:tc>
        <w:tc>
          <w:tcPr>
            <w:tcW w:w="583" w:type="dxa"/>
            <w:noWrap w:val="0"/>
            <w:vAlign w:val="center"/>
          </w:tcPr>
          <w:p w14:paraId="5BA1959A">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1429" w:type="dxa"/>
            <w:noWrap w:val="0"/>
            <w:vAlign w:val="center"/>
          </w:tcPr>
          <w:p w14:paraId="7D214BE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54520</w:t>
            </w:r>
          </w:p>
        </w:tc>
        <w:tc>
          <w:tcPr>
            <w:tcW w:w="1425" w:type="dxa"/>
            <w:noWrap w:val="0"/>
            <w:vAlign w:val="center"/>
          </w:tcPr>
          <w:p w14:paraId="4F504665">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15983.66</w:t>
            </w:r>
          </w:p>
        </w:tc>
        <w:tc>
          <w:tcPr>
            <w:tcW w:w="3727" w:type="dxa"/>
            <w:noWrap w:val="0"/>
            <w:vAlign w:val="center"/>
          </w:tcPr>
          <w:p w14:paraId="5DF667A5">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公共教学组团</w:t>
            </w:r>
          </w:p>
        </w:tc>
      </w:tr>
      <w:tr w14:paraId="00F0C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40D62AAF">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11</w:t>
            </w:r>
          </w:p>
        </w:tc>
        <w:tc>
          <w:tcPr>
            <w:tcW w:w="1180" w:type="dxa"/>
            <w:noWrap w:val="0"/>
            <w:vAlign w:val="center"/>
          </w:tcPr>
          <w:p w14:paraId="0752048C">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图书馆</w:t>
            </w:r>
          </w:p>
        </w:tc>
        <w:tc>
          <w:tcPr>
            <w:tcW w:w="583" w:type="dxa"/>
            <w:noWrap w:val="0"/>
            <w:vAlign w:val="center"/>
          </w:tcPr>
          <w:p w14:paraId="127CB49F">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6</w:t>
            </w:r>
          </w:p>
        </w:tc>
        <w:tc>
          <w:tcPr>
            <w:tcW w:w="1429" w:type="dxa"/>
            <w:noWrap w:val="0"/>
            <w:vAlign w:val="center"/>
          </w:tcPr>
          <w:p w14:paraId="66B17482">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52272</w:t>
            </w:r>
          </w:p>
        </w:tc>
        <w:tc>
          <w:tcPr>
            <w:tcW w:w="1425" w:type="dxa"/>
            <w:noWrap w:val="0"/>
            <w:vAlign w:val="center"/>
          </w:tcPr>
          <w:p w14:paraId="5A7DE66F">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16109.6</w:t>
            </w:r>
          </w:p>
        </w:tc>
        <w:tc>
          <w:tcPr>
            <w:tcW w:w="3727" w:type="dxa"/>
            <w:noWrap w:val="0"/>
            <w:vAlign w:val="center"/>
          </w:tcPr>
          <w:p w14:paraId="48AC1F6A">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图书馆</w:t>
            </w:r>
          </w:p>
        </w:tc>
      </w:tr>
      <w:tr w14:paraId="59047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05931AC8">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12</w:t>
            </w:r>
          </w:p>
        </w:tc>
        <w:tc>
          <w:tcPr>
            <w:tcW w:w="1180" w:type="dxa"/>
            <w:noWrap w:val="0"/>
            <w:vAlign w:val="center"/>
          </w:tcPr>
          <w:p w14:paraId="7679D82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A10</w:t>
            </w:r>
          </w:p>
        </w:tc>
        <w:tc>
          <w:tcPr>
            <w:tcW w:w="583" w:type="dxa"/>
            <w:noWrap w:val="0"/>
            <w:vAlign w:val="center"/>
          </w:tcPr>
          <w:p w14:paraId="6453D8EC">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w:t>
            </w:r>
          </w:p>
        </w:tc>
        <w:tc>
          <w:tcPr>
            <w:tcW w:w="1429" w:type="dxa"/>
            <w:noWrap w:val="0"/>
            <w:vAlign w:val="center"/>
          </w:tcPr>
          <w:p w14:paraId="7EA00AAC">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8855</w:t>
            </w:r>
          </w:p>
        </w:tc>
        <w:tc>
          <w:tcPr>
            <w:tcW w:w="1425" w:type="dxa"/>
            <w:noWrap w:val="0"/>
            <w:vAlign w:val="center"/>
          </w:tcPr>
          <w:p w14:paraId="0C7DD8E4">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2969.35</w:t>
            </w:r>
          </w:p>
        </w:tc>
        <w:tc>
          <w:tcPr>
            <w:tcW w:w="3727" w:type="dxa"/>
            <w:noWrap w:val="0"/>
            <w:vAlign w:val="center"/>
          </w:tcPr>
          <w:p w14:paraId="070B635C">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数学科学学院</w:t>
            </w:r>
          </w:p>
        </w:tc>
      </w:tr>
      <w:tr w14:paraId="339AA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6C65E0D5">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13</w:t>
            </w:r>
          </w:p>
        </w:tc>
        <w:tc>
          <w:tcPr>
            <w:tcW w:w="1180" w:type="dxa"/>
            <w:noWrap w:val="0"/>
            <w:vAlign w:val="center"/>
          </w:tcPr>
          <w:p w14:paraId="53F7CD7D">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A11</w:t>
            </w:r>
          </w:p>
        </w:tc>
        <w:tc>
          <w:tcPr>
            <w:tcW w:w="583" w:type="dxa"/>
            <w:noWrap w:val="0"/>
            <w:vAlign w:val="center"/>
          </w:tcPr>
          <w:p w14:paraId="666B2AC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4</w:t>
            </w:r>
          </w:p>
        </w:tc>
        <w:tc>
          <w:tcPr>
            <w:tcW w:w="1429" w:type="dxa"/>
            <w:noWrap w:val="0"/>
            <w:vAlign w:val="center"/>
          </w:tcPr>
          <w:p w14:paraId="13D778FB">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9241</w:t>
            </w:r>
          </w:p>
        </w:tc>
        <w:tc>
          <w:tcPr>
            <w:tcW w:w="1425" w:type="dxa"/>
            <w:noWrap w:val="0"/>
            <w:vAlign w:val="center"/>
          </w:tcPr>
          <w:p w14:paraId="5451E450">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2185.84</w:t>
            </w:r>
          </w:p>
        </w:tc>
        <w:tc>
          <w:tcPr>
            <w:tcW w:w="3727" w:type="dxa"/>
            <w:noWrap w:val="0"/>
            <w:vAlign w:val="center"/>
          </w:tcPr>
          <w:p w14:paraId="77777C38">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物理与电子信息学院</w:t>
            </w:r>
          </w:p>
        </w:tc>
      </w:tr>
      <w:tr w14:paraId="2B4A1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60875610">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14</w:t>
            </w:r>
          </w:p>
        </w:tc>
        <w:tc>
          <w:tcPr>
            <w:tcW w:w="1180" w:type="dxa"/>
            <w:noWrap w:val="0"/>
            <w:vAlign w:val="center"/>
          </w:tcPr>
          <w:p w14:paraId="29A5CC58">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A12</w:t>
            </w:r>
          </w:p>
        </w:tc>
        <w:tc>
          <w:tcPr>
            <w:tcW w:w="583" w:type="dxa"/>
            <w:noWrap w:val="0"/>
            <w:vAlign w:val="center"/>
          </w:tcPr>
          <w:p w14:paraId="122CCBE3">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6</w:t>
            </w:r>
          </w:p>
        </w:tc>
        <w:tc>
          <w:tcPr>
            <w:tcW w:w="1429" w:type="dxa"/>
            <w:noWrap w:val="0"/>
            <w:vAlign w:val="center"/>
          </w:tcPr>
          <w:p w14:paraId="4A70932C">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8610</w:t>
            </w:r>
          </w:p>
        </w:tc>
        <w:tc>
          <w:tcPr>
            <w:tcW w:w="1425" w:type="dxa"/>
            <w:noWrap w:val="0"/>
            <w:vAlign w:val="center"/>
          </w:tcPr>
          <w:p w14:paraId="273F7FAC">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2402.91</w:t>
            </w:r>
          </w:p>
        </w:tc>
        <w:tc>
          <w:tcPr>
            <w:tcW w:w="3727" w:type="dxa"/>
            <w:noWrap w:val="0"/>
            <w:vAlign w:val="center"/>
          </w:tcPr>
          <w:p w14:paraId="7F5DDB26">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电子商务学院</w:t>
            </w:r>
          </w:p>
        </w:tc>
      </w:tr>
      <w:tr w14:paraId="7B2AF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4702C6DB">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15</w:t>
            </w:r>
          </w:p>
        </w:tc>
        <w:tc>
          <w:tcPr>
            <w:tcW w:w="1180" w:type="dxa"/>
            <w:noWrap w:val="0"/>
            <w:vAlign w:val="center"/>
          </w:tcPr>
          <w:p w14:paraId="7C55EE9C">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A13</w:t>
            </w:r>
          </w:p>
        </w:tc>
        <w:tc>
          <w:tcPr>
            <w:tcW w:w="583" w:type="dxa"/>
            <w:noWrap w:val="0"/>
            <w:vAlign w:val="center"/>
          </w:tcPr>
          <w:p w14:paraId="7019C24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6</w:t>
            </w:r>
          </w:p>
        </w:tc>
        <w:tc>
          <w:tcPr>
            <w:tcW w:w="1429" w:type="dxa"/>
            <w:noWrap w:val="0"/>
            <w:vAlign w:val="center"/>
          </w:tcPr>
          <w:p w14:paraId="67CECCDD">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11143</w:t>
            </w:r>
          </w:p>
        </w:tc>
        <w:tc>
          <w:tcPr>
            <w:tcW w:w="1425" w:type="dxa"/>
            <w:noWrap w:val="0"/>
            <w:vAlign w:val="center"/>
          </w:tcPr>
          <w:p w14:paraId="15530B74">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2985.8</w:t>
            </w:r>
          </w:p>
        </w:tc>
        <w:tc>
          <w:tcPr>
            <w:tcW w:w="3727" w:type="dxa"/>
            <w:noWrap w:val="0"/>
            <w:vAlign w:val="center"/>
          </w:tcPr>
          <w:p w14:paraId="17348B3F">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信息技术学院</w:t>
            </w:r>
          </w:p>
        </w:tc>
      </w:tr>
      <w:tr w14:paraId="147BA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0791C065">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16</w:t>
            </w:r>
          </w:p>
        </w:tc>
        <w:tc>
          <w:tcPr>
            <w:tcW w:w="1180" w:type="dxa"/>
            <w:noWrap w:val="0"/>
            <w:vAlign w:val="center"/>
          </w:tcPr>
          <w:p w14:paraId="48CB6092">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A15</w:t>
            </w:r>
          </w:p>
        </w:tc>
        <w:tc>
          <w:tcPr>
            <w:tcW w:w="583" w:type="dxa"/>
            <w:noWrap w:val="0"/>
            <w:vAlign w:val="center"/>
          </w:tcPr>
          <w:p w14:paraId="64D901BD">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5</w:t>
            </w:r>
          </w:p>
        </w:tc>
        <w:tc>
          <w:tcPr>
            <w:tcW w:w="1429" w:type="dxa"/>
            <w:noWrap w:val="0"/>
            <w:vAlign w:val="center"/>
          </w:tcPr>
          <w:p w14:paraId="29B844D0">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10270</w:t>
            </w:r>
          </w:p>
        </w:tc>
        <w:tc>
          <w:tcPr>
            <w:tcW w:w="1425" w:type="dxa"/>
            <w:noWrap w:val="0"/>
            <w:vAlign w:val="center"/>
          </w:tcPr>
          <w:p w14:paraId="6564675E">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2708.02</w:t>
            </w:r>
          </w:p>
        </w:tc>
        <w:tc>
          <w:tcPr>
            <w:tcW w:w="3727" w:type="dxa"/>
            <w:noWrap w:val="0"/>
            <w:vAlign w:val="center"/>
          </w:tcPr>
          <w:p w14:paraId="388A0835">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化学化工学院</w:t>
            </w:r>
          </w:p>
        </w:tc>
      </w:tr>
      <w:tr w14:paraId="0F1F1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0B114FDA">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17</w:t>
            </w:r>
          </w:p>
        </w:tc>
        <w:tc>
          <w:tcPr>
            <w:tcW w:w="1180" w:type="dxa"/>
            <w:noWrap w:val="0"/>
            <w:vAlign w:val="center"/>
          </w:tcPr>
          <w:p w14:paraId="42D24839">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A16</w:t>
            </w:r>
          </w:p>
        </w:tc>
        <w:tc>
          <w:tcPr>
            <w:tcW w:w="583" w:type="dxa"/>
            <w:noWrap w:val="0"/>
            <w:vAlign w:val="center"/>
          </w:tcPr>
          <w:p w14:paraId="4CA714E7">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6</w:t>
            </w:r>
          </w:p>
        </w:tc>
        <w:tc>
          <w:tcPr>
            <w:tcW w:w="1429" w:type="dxa"/>
            <w:noWrap w:val="0"/>
            <w:vAlign w:val="center"/>
          </w:tcPr>
          <w:p w14:paraId="673D1277">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9855</w:t>
            </w:r>
          </w:p>
        </w:tc>
        <w:tc>
          <w:tcPr>
            <w:tcW w:w="1425" w:type="dxa"/>
            <w:noWrap w:val="0"/>
            <w:vAlign w:val="center"/>
          </w:tcPr>
          <w:p w14:paraId="56BBD1F7">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2660.15</w:t>
            </w:r>
          </w:p>
        </w:tc>
        <w:tc>
          <w:tcPr>
            <w:tcW w:w="3727" w:type="dxa"/>
            <w:noWrap w:val="0"/>
            <w:vAlign w:val="center"/>
          </w:tcPr>
          <w:p w14:paraId="79C4F4DC">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食品与药品、生命与科学学院</w:t>
            </w:r>
          </w:p>
        </w:tc>
      </w:tr>
      <w:tr w14:paraId="4233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716" w:type="dxa"/>
            <w:noWrap w:val="0"/>
            <w:vAlign w:val="center"/>
          </w:tcPr>
          <w:p w14:paraId="624FD6DA">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18</w:t>
            </w:r>
          </w:p>
        </w:tc>
        <w:tc>
          <w:tcPr>
            <w:tcW w:w="1180" w:type="dxa"/>
            <w:noWrap w:val="0"/>
            <w:vAlign w:val="center"/>
          </w:tcPr>
          <w:p w14:paraId="799ED850">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AH</w:t>
            </w:r>
          </w:p>
        </w:tc>
        <w:tc>
          <w:tcPr>
            <w:tcW w:w="583" w:type="dxa"/>
            <w:noWrap w:val="0"/>
            <w:vAlign w:val="center"/>
          </w:tcPr>
          <w:p w14:paraId="2C7A750A">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1</w:t>
            </w:r>
          </w:p>
        </w:tc>
        <w:tc>
          <w:tcPr>
            <w:tcW w:w="1429" w:type="dxa"/>
            <w:noWrap w:val="0"/>
            <w:vAlign w:val="center"/>
          </w:tcPr>
          <w:p w14:paraId="7CE8AE36">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239</w:t>
            </w:r>
          </w:p>
        </w:tc>
        <w:tc>
          <w:tcPr>
            <w:tcW w:w="1425" w:type="dxa"/>
            <w:noWrap w:val="0"/>
            <w:vAlign w:val="center"/>
          </w:tcPr>
          <w:p w14:paraId="7BA42F62">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239</w:t>
            </w:r>
          </w:p>
        </w:tc>
        <w:tc>
          <w:tcPr>
            <w:tcW w:w="3727" w:type="dxa"/>
            <w:noWrap w:val="0"/>
            <w:vAlign w:val="center"/>
          </w:tcPr>
          <w:p w14:paraId="37C036B7">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热换站</w:t>
            </w:r>
          </w:p>
        </w:tc>
      </w:tr>
      <w:tr w14:paraId="5CE6A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1896" w:type="dxa"/>
            <w:gridSpan w:val="2"/>
            <w:noWrap w:val="0"/>
            <w:vAlign w:val="center"/>
          </w:tcPr>
          <w:p w14:paraId="0B2ABD81">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保洁净面积</w:t>
            </w:r>
          </w:p>
        </w:tc>
        <w:tc>
          <w:tcPr>
            <w:tcW w:w="7164" w:type="dxa"/>
            <w:gridSpan w:val="4"/>
            <w:noWrap w:val="0"/>
            <w:vAlign w:val="center"/>
          </w:tcPr>
          <w:p w14:paraId="33C8EA12">
            <w:pPr>
              <w:pageBreakBefore w:val="0"/>
              <w:wordWrap/>
              <w:topLinePunct w:val="0"/>
              <w:bidi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75002.47</w:t>
            </w:r>
            <w:r>
              <w:rPr>
                <w:rFonts w:hint="eastAsia" w:ascii="仿宋" w:hAnsi="仿宋" w:eastAsia="仿宋" w:cs="仿宋"/>
                <w:b/>
                <w:bCs/>
                <w:sz w:val="28"/>
                <w:szCs w:val="28"/>
              </w:rPr>
              <w:t>㎡</w:t>
            </w:r>
          </w:p>
        </w:tc>
      </w:tr>
    </w:tbl>
    <w:p w14:paraId="38B912EF">
      <w:pPr>
        <w:pageBreakBefore w:val="0"/>
        <w:wordWrap/>
        <w:topLinePunct w:val="0"/>
        <w:bidi w:val="0"/>
        <w:spacing w:after="0" w:line="360" w:lineRule="auto"/>
        <w:ind w:firstLine="588" w:firstLineChars="200"/>
        <w:outlineLvl w:val="1"/>
        <w:rPr>
          <w:rFonts w:hint="eastAsia" w:ascii="黑体" w:hAnsi="黑体" w:eastAsia="黑体" w:cs="黑体"/>
          <w:spacing w:val="7"/>
          <w:sz w:val="28"/>
          <w:szCs w:val="28"/>
        </w:rPr>
      </w:pPr>
      <w:r>
        <w:rPr>
          <w:rFonts w:hint="eastAsia" w:ascii="黑体" w:hAnsi="黑体" w:eastAsia="黑体" w:cs="黑体"/>
          <w:spacing w:val="7"/>
          <w:sz w:val="28"/>
          <w:szCs w:val="28"/>
        </w:rPr>
        <w:t>二、服务标准和要求</w:t>
      </w:r>
    </w:p>
    <w:p w14:paraId="2C451C9E">
      <w:pPr>
        <w:pageBreakBefore w:val="0"/>
        <w:wordWrap/>
        <w:topLinePunct w:val="0"/>
        <w:bidi w:val="0"/>
        <w:spacing w:after="0" w:line="360" w:lineRule="auto"/>
        <w:ind w:firstLine="588" w:firstLineChars="200"/>
        <w:rPr>
          <w:rFonts w:hint="eastAsia" w:ascii="仿宋" w:hAnsi="仿宋" w:eastAsia="仿宋" w:cs="仿宋"/>
          <w:spacing w:val="7"/>
          <w:sz w:val="28"/>
          <w:szCs w:val="28"/>
        </w:rPr>
      </w:pPr>
      <w:r>
        <w:rPr>
          <w:rFonts w:hint="eastAsia" w:ascii="仿宋" w:hAnsi="仿宋" w:eastAsia="仿宋" w:cs="仿宋"/>
          <w:spacing w:val="7"/>
          <w:sz w:val="28"/>
          <w:szCs w:val="28"/>
        </w:rPr>
        <w:t>(一) 总体要求</w:t>
      </w:r>
    </w:p>
    <w:p w14:paraId="0D37BF5D">
      <w:pPr>
        <w:pageBreakBefore w:val="0"/>
        <w:kinsoku w:val="0"/>
        <w:wordWrap/>
        <w:topLinePunct w:val="0"/>
        <w:autoSpaceDE w:val="0"/>
        <w:autoSpaceDN w:val="0"/>
        <w:bidi w:val="0"/>
        <w:spacing w:before="3" w:after="0" w:line="360" w:lineRule="auto"/>
        <w:ind w:right="52"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1.中标人应秉持“真诚服务 共创未来”的服务宗旨，贯彻“管理育人、服务育人、环境育人”的校园服务方针，向招标人提供规范化、标准化、专业化的物业管理服务，服务需求保障及时有效，服务品质</w:t>
      </w:r>
      <w:r>
        <w:rPr>
          <w:rFonts w:hint="eastAsia" w:ascii="仿宋" w:hAnsi="仿宋" w:eastAsia="仿宋" w:cs="仿宋"/>
          <w:spacing w:val="7"/>
          <w:sz w:val="28"/>
          <w:szCs w:val="28"/>
          <w:lang w:eastAsia="zh-CN"/>
        </w:rPr>
        <w:t>优质</w:t>
      </w:r>
      <w:r>
        <w:rPr>
          <w:rFonts w:hint="eastAsia" w:ascii="仿宋" w:hAnsi="仿宋" w:eastAsia="仿宋" w:cs="仿宋"/>
          <w:spacing w:val="7"/>
          <w:sz w:val="28"/>
          <w:szCs w:val="28"/>
        </w:rPr>
        <w:t>高效，为广大师生营造和谐稳定、安全有序、整洁规范的校园教学科研、学习生活环境。</w:t>
      </w:r>
    </w:p>
    <w:p w14:paraId="0C03BEC0">
      <w:pPr>
        <w:pageBreakBefore w:val="0"/>
        <w:kinsoku w:val="0"/>
        <w:wordWrap/>
        <w:topLinePunct w:val="0"/>
        <w:autoSpaceDE w:val="0"/>
        <w:autoSpaceDN w:val="0"/>
        <w:bidi w:val="0"/>
        <w:spacing w:before="3" w:after="0" w:line="360" w:lineRule="auto"/>
        <w:ind w:right="52"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2.中标人应建立健全物业管理服务组织机构、内部管理制度与质量管理体系，按照招标人要求的区域化管理模式及服务需求优化岗位配置、岗位职责、服务标准和流程，并保障组织实施和效果达成；中标人管理模式需经招标人批准后实施且根据采购需求适时调整；制定完善的项目运行管理方案和突发事件应急处置预案并保障有效实施。</w:t>
      </w:r>
    </w:p>
    <w:p w14:paraId="404EB7A9">
      <w:pPr>
        <w:pageBreakBefore w:val="0"/>
        <w:kinsoku w:val="0"/>
        <w:wordWrap/>
        <w:topLinePunct w:val="0"/>
        <w:autoSpaceDE w:val="0"/>
        <w:autoSpaceDN w:val="0"/>
        <w:bidi w:val="0"/>
        <w:spacing w:before="3" w:after="0" w:line="360" w:lineRule="auto"/>
        <w:ind w:right="52"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3.中标人应积极推行机械化设备作业方式，提升生产作业效率和效能，提供便捷优质的服务。</w:t>
      </w:r>
    </w:p>
    <w:p w14:paraId="22EDFDA5">
      <w:pPr>
        <w:pageBreakBefore w:val="0"/>
        <w:kinsoku w:val="0"/>
        <w:wordWrap/>
        <w:topLinePunct w:val="0"/>
        <w:autoSpaceDE w:val="0"/>
        <w:autoSpaceDN w:val="0"/>
        <w:bidi w:val="0"/>
        <w:spacing w:before="3" w:after="0" w:line="360" w:lineRule="auto"/>
        <w:ind w:right="52"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4.中标人应设立物业服务中心公示服务电话，随时接待处理学校各类公共服务需求事务。</w:t>
      </w:r>
    </w:p>
    <w:p w14:paraId="1FD1EAC6">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5.</w:t>
      </w:r>
      <w:r>
        <w:rPr>
          <w:rFonts w:hint="eastAsia" w:ascii="仿宋" w:hAnsi="仿宋" w:eastAsia="仿宋" w:cs="仿宋"/>
          <w:b/>
          <w:bCs/>
          <w:spacing w:val="7"/>
          <w:sz w:val="28"/>
          <w:szCs w:val="28"/>
        </w:rPr>
        <w:t>本项目基础用工人数配置不低于</w:t>
      </w:r>
      <w:r>
        <w:rPr>
          <w:rFonts w:hint="eastAsia" w:ascii="仿宋" w:hAnsi="仿宋" w:eastAsia="仿宋" w:cs="仿宋"/>
          <w:b/>
          <w:bCs/>
          <w:spacing w:val="7"/>
          <w:sz w:val="28"/>
          <w:szCs w:val="28"/>
          <w:u w:val="single"/>
        </w:rPr>
        <w:t>85人</w:t>
      </w:r>
      <w:r>
        <w:rPr>
          <w:rFonts w:hint="eastAsia" w:ascii="仿宋" w:hAnsi="仿宋" w:eastAsia="仿宋" w:cs="仿宋"/>
          <w:spacing w:val="7"/>
          <w:sz w:val="28"/>
          <w:szCs w:val="28"/>
        </w:rPr>
        <w:t>。</w:t>
      </w:r>
    </w:p>
    <w:p w14:paraId="19246387">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中标人在人员配置方面应按需配备，保证员工能力与岗位需求相匹配，保证员工队伍相对稳定；中标人对所录用人员要严格审查，保证录用人员没有刑事犯罪记录；服务工作人员应品格端正、身心健康、精神饱满、服务形象统一、言行规范，注意仪容仪表和公众形象；应具有与岗位适应的身体、责任心、技能等素质条件。</w:t>
      </w:r>
    </w:p>
    <w:p w14:paraId="322C2960">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color w:val="auto"/>
          <w:kern w:val="0"/>
          <w:sz w:val="28"/>
          <w:szCs w:val="28"/>
          <w:lang w:eastAsia="zh-CN"/>
        </w:rPr>
      </w:pPr>
      <w:r>
        <w:rPr>
          <w:rFonts w:hint="eastAsia" w:ascii="仿宋" w:hAnsi="仿宋" w:eastAsia="仿宋" w:cs="仿宋"/>
          <w:snapToGrid w:val="0"/>
          <w:color w:val="auto"/>
          <w:kern w:val="0"/>
          <w:sz w:val="28"/>
          <w:szCs w:val="28"/>
          <w:lang w:eastAsia="zh-CN"/>
        </w:rPr>
        <w:t>中标人必须为其所有人员缴纳意外伤害保险。</w:t>
      </w:r>
    </w:p>
    <w:p w14:paraId="1F7C77E5">
      <w:pPr>
        <w:pageBreakBefore w:val="0"/>
        <w:kinsoku/>
        <w:wordWrap/>
        <w:overflowPunct/>
        <w:topLinePunct w:val="0"/>
        <w:bidi w:val="0"/>
        <w:spacing w:line="360" w:lineRule="auto"/>
        <w:ind w:firstLine="556"/>
        <w:textAlignment w:val="auto"/>
        <w:rPr>
          <w:rFonts w:hint="eastAsia" w:ascii="仿宋" w:hAnsi="仿宋" w:eastAsia="仿宋" w:cs="仿宋"/>
          <w:snapToGrid w:val="0"/>
          <w:color w:val="auto"/>
          <w:kern w:val="0"/>
          <w:sz w:val="28"/>
          <w:szCs w:val="28"/>
          <w:lang w:eastAsia="zh-CN"/>
        </w:rPr>
      </w:pPr>
      <w:r>
        <w:rPr>
          <w:rFonts w:hint="eastAsia" w:ascii="仿宋" w:hAnsi="仿宋" w:eastAsia="仿宋" w:cs="仿宋"/>
          <w:snapToGrid w:val="0"/>
          <w:color w:val="auto"/>
          <w:kern w:val="0"/>
          <w:sz w:val="28"/>
          <w:szCs w:val="28"/>
          <w:lang w:eastAsia="zh-CN"/>
        </w:rPr>
        <w:t>（1）第三者责任保险：中标人应对中标人人员以及第三方全权负责(如中标人应投保第三责任险)，在中标人的责任区内由于中标人原因导致自己员工或第三方的事故由中标人负责，甲方（采购人）不承担任何责任。</w:t>
      </w:r>
    </w:p>
    <w:p w14:paraId="1188D164">
      <w:pPr>
        <w:pageBreakBefore w:val="0"/>
        <w:kinsoku/>
        <w:wordWrap/>
        <w:overflowPunct/>
        <w:topLinePunct w:val="0"/>
        <w:bidi w:val="0"/>
        <w:spacing w:line="360" w:lineRule="auto"/>
        <w:ind w:firstLine="556"/>
        <w:textAlignment w:val="auto"/>
        <w:rPr>
          <w:rFonts w:hint="eastAsia" w:ascii="仿宋" w:hAnsi="仿宋" w:eastAsia="仿宋" w:cs="仿宋"/>
          <w:snapToGrid w:val="0"/>
          <w:color w:val="auto"/>
          <w:kern w:val="0"/>
          <w:sz w:val="28"/>
          <w:szCs w:val="28"/>
          <w:lang w:eastAsia="zh-CN"/>
        </w:rPr>
      </w:pPr>
      <w:r>
        <w:rPr>
          <w:rFonts w:hint="eastAsia" w:ascii="仿宋" w:hAnsi="仿宋" w:eastAsia="仿宋" w:cs="仿宋"/>
          <w:snapToGrid w:val="0"/>
          <w:color w:val="auto"/>
          <w:kern w:val="0"/>
          <w:sz w:val="28"/>
          <w:szCs w:val="28"/>
          <w:lang w:eastAsia="zh-CN"/>
        </w:rPr>
        <w:t>（2）员工人身意外：在承包期内，中标人所有人员的事故由中标人自行全权负责(如中标人应对其员工投保人身意外险)，以保证甲方（采购人）在中标人工作人员索赔时不受任何责任的约束。</w:t>
      </w:r>
    </w:p>
    <w:p w14:paraId="4AFD2217">
      <w:pPr>
        <w:pageBreakBefore w:val="0"/>
        <w:kinsoku/>
        <w:wordWrap/>
        <w:overflowPunct/>
        <w:topLinePunct w:val="0"/>
        <w:bidi w:val="0"/>
        <w:spacing w:line="360" w:lineRule="auto"/>
        <w:ind w:firstLine="556"/>
        <w:textAlignment w:val="auto"/>
        <w:rPr>
          <w:rFonts w:hint="eastAsia"/>
          <w:color w:val="auto"/>
        </w:rPr>
      </w:pPr>
      <w:r>
        <w:rPr>
          <w:rFonts w:hint="eastAsia" w:ascii="仿宋" w:hAnsi="仿宋" w:eastAsia="仿宋" w:cs="仿宋"/>
          <w:snapToGrid w:val="0"/>
          <w:color w:val="auto"/>
          <w:kern w:val="0"/>
          <w:sz w:val="28"/>
          <w:szCs w:val="28"/>
          <w:lang w:eastAsia="zh-CN"/>
        </w:rPr>
        <w:t>（3）其他保险及费用：中标人须按</w:t>
      </w:r>
      <w:r>
        <w:rPr>
          <w:rFonts w:hint="eastAsia" w:ascii="仿宋" w:hAnsi="仿宋" w:eastAsia="仿宋" w:cs="仿宋"/>
          <w:snapToGrid w:val="0"/>
          <w:color w:val="auto"/>
          <w:kern w:val="0"/>
          <w:sz w:val="28"/>
          <w:szCs w:val="28"/>
          <w:lang w:val="en-US" w:eastAsia="zh-CN"/>
        </w:rPr>
        <w:t>国家法律法规</w:t>
      </w:r>
      <w:r>
        <w:rPr>
          <w:rFonts w:hint="eastAsia" w:ascii="仿宋" w:hAnsi="仿宋" w:eastAsia="仿宋" w:cs="仿宋"/>
          <w:snapToGrid w:val="0"/>
          <w:color w:val="auto"/>
          <w:kern w:val="0"/>
          <w:sz w:val="28"/>
          <w:szCs w:val="28"/>
          <w:lang w:eastAsia="zh-CN"/>
        </w:rPr>
        <w:t>和政府有关各部门规定为全体服务人员交纳所有相关的社会保险及其他相关费用。中标人对此全权负责。</w:t>
      </w:r>
    </w:p>
    <w:p w14:paraId="2BA363B5">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6.中标人应协助、配合招标人做好各类物业服务和安全保障工作。在处理特殊事件和紧急、突发事件时，招标人对中标人物业管理服务人员有直接指挥权。 </w:t>
      </w:r>
    </w:p>
    <w:p w14:paraId="2F8E9E65">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7.中标人应建立健全物业管理服务档案资料并归档保存，服务期结束后移交学校。</w:t>
      </w:r>
    </w:p>
    <w:p w14:paraId="787DF16B">
      <w:pPr>
        <w:pageBreakBefore w:val="0"/>
        <w:kinsoku w:val="0"/>
        <w:wordWrap/>
        <w:topLinePunct w:val="0"/>
        <w:autoSpaceDE w:val="0"/>
        <w:autoSpaceDN w:val="0"/>
        <w:bidi w:val="0"/>
        <w:spacing w:before="3" w:after="0" w:line="360" w:lineRule="auto"/>
        <w:ind w:right="52"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8.中标人应自费配备招标人要求的工具器材、耗材、设备等。</w:t>
      </w:r>
    </w:p>
    <w:p w14:paraId="586AB492">
      <w:pPr>
        <w:pageBreakBefore w:val="0"/>
        <w:wordWrap/>
        <w:topLinePunct w:val="0"/>
        <w:bidi w:val="0"/>
        <w:spacing w:before="3" w:after="0" w:line="360" w:lineRule="auto"/>
        <w:ind w:right="52" w:firstLine="424"/>
        <w:rPr>
          <w:rFonts w:hint="eastAsia" w:ascii="仿宋" w:hAnsi="仿宋" w:eastAsia="仿宋" w:cs="仿宋"/>
          <w:spacing w:val="7"/>
          <w:sz w:val="28"/>
          <w:szCs w:val="28"/>
        </w:rPr>
      </w:pPr>
      <w:r>
        <w:rPr>
          <w:rFonts w:hint="eastAsia" w:ascii="仿宋" w:hAnsi="仿宋" w:eastAsia="仿宋" w:cs="仿宋"/>
          <w:spacing w:val="7"/>
          <w:sz w:val="28"/>
          <w:szCs w:val="28"/>
        </w:rPr>
        <w:t>（二）具体服务标准及要求</w:t>
      </w:r>
    </w:p>
    <w:p w14:paraId="51D873D9">
      <w:pPr>
        <w:pageBreakBefore w:val="0"/>
        <w:wordWrap/>
        <w:topLinePunct w:val="0"/>
        <w:bidi w:val="0"/>
        <w:spacing w:after="0" w:line="360" w:lineRule="auto"/>
        <w:ind w:firstLine="420"/>
        <w:rPr>
          <w:rFonts w:hint="eastAsia" w:ascii="仿宋" w:hAnsi="仿宋" w:eastAsia="仿宋" w:cs="仿宋"/>
          <w:sz w:val="28"/>
          <w:szCs w:val="28"/>
        </w:rPr>
      </w:pPr>
      <w:r>
        <w:rPr>
          <w:rFonts w:hint="eastAsia" w:ascii="仿宋" w:hAnsi="仿宋" w:eastAsia="仿宋" w:cs="仿宋"/>
          <w:spacing w:val="18"/>
          <w:sz w:val="28"/>
          <w:szCs w:val="28"/>
        </w:rPr>
        <w:t>注</w:t>
      </w:r>
      <w:r>
        <w:rPr>
          <w:rFonts w:hint="eastAsia" w:ascii="仿宋" w:hAnsi="仿宋" w:eastAsia="仿宋" w:cs="仿宋"/>
          <w:spacing w:val="11"/>
          <w:sz w:val="28"/>
          <w:szCs w:val="28"/>
        </w:rPr>
        <w:t>：</w:t>
      </w:r>
      <w:r>
        <w:rPr>
          <w:rFonts w:hint="eastAsia" w:ascii="仿宋" w:hAnsi="仿宋" w:eastAsia="仿宋" w:cs="仿宋"/>
          <w:spacing w:val="9"/>
          <w:sz w:val="28"/>
          <w:szCs w:val="28"/>
        </w:rPr>
        <w:t>实际物业管理服务项目需求信息包括但不限于以下内容；以下所列服务范围、服务内容及服务标</w:t>
      </w:r>
      <w:r>
        <w:rPr>
          <w:rFonts w:hint="eastAsia" w:ascii="仿宋" w:hAnsi="仿宋" w:eastAsia="仿宋" w:cs="仿宋"/>
          <w:spacing w:val="12"/>
          <w:sz w:val="28"/>
          <w:szCs w:val="28"/>
        </w:rPr>
        <w:t>准等</w:t>
      </w:r>
      <w:r>
        <w:rPr>
          <w:rFonts w:hint="eastAsia" w:ascii="仿宋" w:hAnsi="仿宋" w:eastAsia="仿宋" w:cs="仿宋"/>
          <w:spacing w:val="11"/>
          <w:sz w:val="28"/>
          <w:szCs w:val="28"/>
        </w:rPr>
        <w:t>信</w:t>
      </w:r>
      <w:r>
        <w:rPr>
          <w:rFonts w:hint="eastAsia" w:ascii="仿宋" w:hAnsi="仿宋" w:eastAsia="仿宋" w:cs="仿宋"/>
          <w:spacing w:val="6"/>
          <w:sz w:val="28"/>
          <w:szCs w:val="28"/>
        </w:rPr>
        <w:t>息为必要的基础要求，请投标人以现场实际情况为准，并可根据自身管理服务标准进行提升和填充。</w:t>
      </w:r>
    </w:p>
    <w:p w14:paraId="193EFEBE">
      <w:pPr>
        <w:pageBreakBefore w:val="0"/>
        <w:wordWrap/>
        <w:topLinePunct w:val="0"/>
        <w:bidi w:val="0"/>
        <w:spacing w:after="0" w:line="360" w:lineRule="auto"/>
        <w:ind w:right="113" w:firstLine="598" w:firstLineChars="200"/>
        <w:rPr>
          <w:rFonts w:hint="eastAsia" w:ascii="仿宋" w:hAnsi="仿宋" w:eastAsia="仿宋" w:cs="仿宋"/>
          <w:b/>
          <w:bCs/>
          <w:spacing w:val="9"/>
          <w:position w:val="1"/>
          <w:sz w:val="28"/>
          <w:szCs w:val="28"/>
        </w:rPr>
      </w:pPr>
      <w:r>
        <w:rPr>
          <w:rFonts w:hint="eastAsia" w:ascii="仿宋" w:hAnsi="仿宋" w:eastAsia="仿宋" w:cs="仿宋"/>
          <w:b/>
          <w:bCs/>
          <w:spacing w:val="9"/>
          <w:position w:val="1"/>
          <w:sz w:val="28"/>
          <w:szCs w:val="28"/>
        </w:rPr>
        <w:t>1.室内保洁管理服务</w:t>
      </w:r>
    </w:p>
    <w:p w14:paraId="6C6ECA81">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（1）服务范围</w:t>
      </w:r>
    </w:p>
    <w:p w14:paraId="777D99FC">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包括入口及大厅、楼层通道、步梯、卫生间、露台天台、停车场等公共区域及公共设施设备和采购人指定的临时性工作等。</w:t>
      </w:r>
    </w:p>
    <w:p w14:paraId="5C66CB17">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（2）基本要求</w:t>
      </w:r>
    </w:p>
    <w:p w14:paraId="259446F4">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 环境管理服务，包括对服务范围内进行清扫、保洁、广告清理、垃圾收集及消杀消毒等保持校园环境整洁的内容；制定校园环境卫生服务质量管理标准，并根据不同区域材质、不同季节时令、不同功能区域等特点分类制定作业流程、作业时间、作业频次、作业方式方案并严格实施，做到按标准全天候、全方位保洁；采取常规清洁与动态保洁维护相结合，保障校园整体环境的整洁、规范；配置符合校园清洁作业要求的作业机具，定期组织对石材等地面的养护，提升清洁服务品质；有效防范并每天清理责任区域内的各类非法广告等；各类垃圾桶内垃圾日产日清，并契合政府垃圾分类管理要求，提交垃圾分类管理方案并经审核后实施；根据政府“灭四害”整体要求及结合校园实际情况，规范开展消杀、灭菌等工作；根据采购人确定的不同区域的服务标准，制订并公示服务承诺，以便对工作质量进行考核和监督。</w:t>
      </w:r>
    </w:p>
    <w:p w14:paraId="2A99BF9B">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（3）服务标准及要求</w:t>
      </w:r>
    </w:p>
    <w:p w14:paraId="120E49E4">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①公共通道梯步地面、墙面、顶部、栏杆、门窗及平台迎尘面地面和台阶无垃圾杂物，无污渍水渍、无痰渍、无胶渍、无积尘积垢，不湿滑；雨天设置必要的防滑措施和提示；辅助专业作业机具和绿色环保清洁剂定期对石材、地砖表面进行深度处理和养护，保持光亮整洁；离地3M以下墙面、顶部无积尘、无污渍、无违规张贴物及胶渍；顶部无积尘、无违规张贴物及蛛网；栏杆无污渍无积尘、无蛛网、无锈蚀氧化物；门窗干净无污渍无违规张贴物，窗台无垃圾杂物、无明显积尘；玻璃及不锈钢表面无污渍无积尘无手印、整洁光亮，定期进行不锈钢保养。</w:t>
      </w:r>
    </w:p>
    <w:p w14:paraId="1F51CB33">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②露台、天台、地漏、防护栏、排水沟渠及房屋滴水岩周界</w:t>
      </w:r>
    </w:p>
    <w:p w14:paraId="032E5E91">
      <w:pPr>
        <w:pageBreakBefore w:val="0"/>
        <w:kinsoku w:val="0"/>
        <w:wordWrap/>
        <w:topLinePunct w:val="0"/>
        <w:autoSpaceDE w:val="0"/>
        <w:autoSpaceDN w:val="0"/>
        <w:bidi w:val="0"/>
        <w:spacing w:after="0" w:line="360" w:lineRule="auto"/>
        <w:ind w:right="51"/>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露台天台无垃圾杂物、无杂草、无积沙积垢地皮、无青苔，地漏完好无堵塞；排水沟内无垃圾杂物，无积沙淤泥，无明显积垢和青苔，定期清理，排水畅通；房屋滴水岩周界：无杂草、无垃圾杂物、无积沙、无青苔，排水口完好无堵塞。</w:t>
      </w:r>
    </w:p>
    <w:p w14:paraId="7426CB93">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③公共卫生间、盥洗室地面无垃圾杂物，无痰渍，无积水、干爽不湿滑；墙面无污渍，无违规张贴物；顶部无积尘、无蛛网；室内无异味；便具无尿垢，定期清洗，下水畅通；镜面、照明灯、开关无污渍、无水印；排气扇、灭蝇灯、干手器等设施表面无积尘、无污渍。</w:t>
      </w:r>
    </w:p>
    <w:p w14:paraId="1BB607D9">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④公共开水器</w:t>
      </w:r>
    </w:p>
    <w:p w14:paraId="481CCA05">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无积灰积垢，干净整洁；溢水槽定期清洗擦拭，无积垢；周边地面无杂物，无积水，干爽整洁；定期不锈钢保养。</w:t>
      </w:r>
    </w:p>
    <w:p w14:paraId="78E294A3">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⑤盆栽绿植</w:t>
      </w:r>
    </w:p>
    <w:p w14:paraId="7B0E1BC2">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花盆无积灰积垢，盆内无积叶、无杂物；水盘干净无积垢；定期对花盆底部地面腾挪擦拭，干净整洁无积垢；定期对枝叶擦拭，干净无积尘。</w:t>
      </w:r>
    </w:p>
    <w:p w14:paraId="7492B0DB">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⑥节能管理服务：做好校园水电节能工作，做好能耗数据分析，根据学校情况制定有可行性的控制方案，改进节能措施，为学校节约能源，建设绿色校园。 </w:t>
      </w:r>
    </w:p>
    <w:p w14:paraId="3670F1EA">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⑦消杀：根据政府除四害标准，定期灭杀蚊、蝇、鼠、蟑螂并做到无滋生源；消杀 (包括但不限于走廊、楼梯、卫生间、会议室等) 不低于每周一次；配备毒饵盒进行鼠药投放 (公区) ，每年两次，投放前做好安全警示提示；根据四害滋生情况，及时补充药剂、及时清理四害虫体等；做好灭蝇灯的使用、管理，保持日常清洁，表面无蚊虫附着、无蛛网、无污渍。 </w:t>
      </w:r>
    </w:p>
    <w:p w14:paraId="0272321A">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z w:val="28"/>
          <w:szCs w:val="28"/>
        </w:rPr>
      </w:pPr>
      <w:r>
        <w:rPr>
          <w:rFonts w:hint="eastAsia" w:ascii="仿宋" w:hAnsi="仿宋" w:eastAsia="仿宋" w:cs="仿宋"/>
          <w:spacing w:val="7"/>
          <w:sz w:val="28"/>
          <w:szCs w:val="28"/>
        </w:rPr>
        <w:t>⑧定期对各类消防器材、标识牌、防护栏、开关等公共设施擦拭，无积灰污渍，底部及周边地面无积灰积垢，干净整洁。</w:t>
      </w:r>
    </w:p>
    <w:p w14:paraId="7FAA7BAF">
      <w:pPr>
        <w:pageBreakBefore w:val="0"/>
        <w:wordWrap/>
        <w:topLinePunct w:val="0"/>
        <w:bidi w:val="0"/>
        <w:spacing w:after="0" w:line="360" w:lineRule="auto"/>
        <w:ind w:right="113" w:firstLine="598" w:firstLineChars="200"/>
        <w:rPr>
          <w:rFonts w:hint="eastAsia" w:ascii="仿宋" w:hAnsi="仿宋" w:eastAsia="仿宋" w:cs="仿宋"/>
          <w:b/>
          <w:bCs/>
          <w:spacing w:val="9"/>
          <w:position w:val="1"/>
          <w:sz w:val="28"/>
          <w:szCs w:val="28"/>
        </w:rPr>
      </w:pPr>
      <w:r>
        <w:rPr>
          <w:rFonts w:hint="eastAsia" w:ascii="仿宋" w:hAnsi="仿宋" w:eastAsia="仿宋" w:cs="仿宋"/>
          <w:b/>
          <w:bCs/>
          <w:spacing w:val="9"/>
          <w:position w:val="1"/>
          <w:sz w:val="28"/>
          <w:szCs w:val="28"/>
        </w:rPr>
        <w:t>2.室外保洁管理服务</w:t>
      </w:r>
    </w:p>
    <w:p w14:paraId="5195347C">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（1）服务范围</w:t>
      </w:r>
    </w:p>
    <w:p w14:paraId="0397D6B2">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z w:val="28"/>
          <w:szCs w:val="28"/>
        </w:rPr>
      </w:pPr>
      <w:r>
        <w:rPr>
          <w:rFonts w:hint="eastAsia" w:ascii="仿宋" w:hAnsi="仿宋" w:eastAsia="仿宋" w:cs="仿宋"/>
          <w:spacing w:val="7"/>
          <w:sz w:val="28"/>
          <w:szCs w:val="28"/>
        </w:rPr>
        <w:t>服务范围内的公共区域及公共设施的卫生保洁；区域内各类垃圾箱体内的生活垃圾清收，清运至校内指定地点；公共环境消杀、灭四害，采购人指定的临时性工作等。</w:t>
      </w:r>
    </w:p>
    <w:p w14:paraId="72AB083D">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（2）基本要求</w:t>
      </w:r>
    </w:p>
    <w:p w14:paraId="37F7CFC5">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包括对服务范围内进行清扫、保洁、广告清理、家具摆放、垃圾收集及消杀消毒等保持校园环境整洁的内容；制定校园环境卫生服务质量管理标准，并根据不同区域材质、不同季节时令、不同功能区域等特点分类制定作业流程、作业时间、作业频次、作业方式方案并严格实施，做到按标准全天候、全方位保洁；采取常规清洁与动态保洁维护相结合，保障校园整体环境的整洁、规范；配置符合校园清洁作业要求的作业机具，定期组织对石材等地面的养护，提升清洁服务品质；有效防范并每天清理责任区</w:t>
      </w:r>
      <w:r>
        <w:rPr>
          <w:rFonts w:hint="eastAsia" w:ascii="仿宋" w:hAnsi="仿宋" w:eastAsia="仿宋" w:cs="仿宋"/>
          <w:color w:val="auto"/>
          <w:spacing w:val="7"/>
          <w:sz w:val="28"/>
          <w:szCs w:val="28"/>
        </w:rPr>
        <w:t>域内的各类非法广告等；各类垃圾桶内垃圾日产日清，并契合政府垃圾分类管理要求，提交垃圾分类管理方案并经审核后实施；根据政府“灭四害”整体要求及结合校园实际情况，规范开展消杀、灭菌等工作；根据采购人确定的不同区</w:t>
      </w:r>
      <w:r>
        <w:rPr>
          <w:rFonts w:hint="eastAsia" w:ascii="仿宋" w:hAnsi="仿宋" w:eastAsia="仿宋" w:cs="仿宋"/>
          <w:spacing w:val="7"/>
          <w:sz w:val="28"/>
          <w:szCs w:val="28"/>
        </w:rPr>
        <w:t>域的服务标准，制订并公示服务承诺，以便对工作质量进行考核和监督。</w:t>
      </w:r>
    </w:p>
    <w:p w14:paraId="4AAB8CC1">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（3）服务标准及要求</w:t>
      </w:r>
    </w:p>
    <w:p w14:paraId="1F885A6C">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①定期对各类消防器材、标识牌、防护栏、开关等公共设施擦拭，无积灰污渍，底部及周边地面无积灰积垢，干净整洁。</w:t>
      </w:r>
    </w:p>
    <w:p w14:paraId="703174E4">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②地面无垃圾杂物、无积沙积垢沉积、无杂草青苔、无动物粪便、无明 显积水、无明显污渍油迹等；绿化区内硬化地面无杂物杂草、无明显枯枝树叶、无动物粪便及明显积垢；交通标线及减速带保持原色，无明显积垢污渍；定期或根据采购人临时需要对路面进行冲洗，保持整洁。</w:t>
      </w:r>
    </w:p>
    <w:p w14:paraId="1BFB681B">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③围墙围栏：无杂草积叶、无张贴物、无青苔、无明显污渍和积垢。</w:t>
      </w:r>
    </w:p>
    <w:p w14:paraId="315FA8C0">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④排水沟定期清理和除淤，沟内无垃圾和明显杂物，无杂草，无积沙沉 淀、水流畅通；窨井无杂物、无明显积水；水篦子无堵塞，表面无积垢和青苔。</w:t>
      </w:r>
    </w:p>
    <w:p w14:paraId="4E2C8521">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⑤垃圾箱：标识完好整洁、张贴紧固；及时清理，箱内垃圾存量不超过 2/3；定期清洗、消杀毒，无蚊蝇滋生，无异味；整体外观整洁无积尘、无污渍，箱体周边无积垢和垃圾；箱体柜门保持关闭。</w:t>
      </w:r>
    </w:p>
    <w:p w14:paraId="7CAF45F8">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⑥人文雕塑：无明显积尘积垢和污渍；定期清洁擦拭。</w:t>
      </w:r>
    </w:p>
    <w:p w14:paraId="23016AD0">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⑦固定设施：休闲桌椅无垃圾和积尘积垢、无张贴物、无积水，每天擦拭，桌椅底部定期擦拭，保持整洁无蛛网：公告栏宣传栏及各类指示牌：无积尘积垢，无小广告及不良宣传张贴物，每天擦拭，雨棚定期清洗；玻璃明亮无积尘；不锈钢部分定期进行防锈及保养；路灯照明杆离地 3 米以下部分，无张贴物，无污渍；道闸翼闸路障：无污渍，不锈钢部分定期进行防锈及保养；消火栓、井盖及其它公共设施：无积垢和明显污渍。</w:t>
      </w:r>
    </w:p>
    <w:p w14:paraId="5F34D599">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⑧室外运动场及运动器材：地面无垃圾杂物、无积沙积垢沉积、无杂草青苔、无动物粪便、无明显积水、无明显污渍油迹等；标线清晰无积尘积垢；定期使用专业机具清洗；运动器材、座椅等设施无积尘积垢，无张贴物，干净整。</w:t>
      </w:r>
    </w:p>
    <w:p w14:paraId="749BF35D">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⑨消杀：根据全国爱卫会除四害标准，定期灭杀蚊、蝇、鼠、蟑螂并做到无滋生源；消杀(公区、公共部分)夏季每周一次，冬季每两周一次；配备毒饵盒进行鼠药投放 (公区)，每年两次，投放前做好提示；根据四害滋生的情况，及时补充药剂、及时清理四害虫体等；做好灭蝇灯的使用、管理，保持日常清洁，表面无蚊虫附着、无蛛网、无污渍。</w:t>
      </w:r>
    </w:p>
    <w:p w14:paraId="1ED28DBC">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⑩节能管理服务：做好校园水电节能工作，做好能耗数据分析，根据学校情况制定有可行性的控制方案，改进节能措施，为学校节约能源，建设绿色校园。</w:t>
      </w:r>
    </w:p>
    <w:p w14:paraId="788742D2">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z w:val="28"/>
          <w:szCs w:val="28"/>
        </w:rPr>
      </w:pPr>
      <w:r>
        <w:rPr>
          <w:rFonts w:hint="eastAsia" w:ascii="仿宋" w:hAnsi="仿宋" w:eastAsia="仿宋" w:cs="仿宋"/>
          <w:spacing w:val="7"/>
          <w:sz w:val="28"/>
          <w:szCs w:val="28"/>
        </w:rPr>
        <w:t>⑪垃圾分类：在校园内开展垃圾分类管理，配备相关督导专职人员做好学生的垃圾分类宣传教育工作，完成垃圾压缩前的垃圾分类及回收工作。</w:t>
      </w:r>
    </w:p>
    <w:p w14:paraId="189ECB67">
      <w:pPr>
        <w:pageBreakBefore w:val="0"/>
        <w:wordWrap/>
        <w:topLinePunct w:val="0"/>
        <w:bidi w:val="0"/>
        <w:spacing w:after="0" w:line="360" w:lineRule="auto"/>
        <w:ind w:right="113" w:firstLine="598" w:firstLineChars="200"/>
        <w:rPr>
          <w:rFonts w:hint="eastAsia" w:ascii="仿宋" w:hAnsi="仿宋" w:eastAsia="仿宋" w:cs="仿宋"/>
          <w:b/>
          <w:bCs/>
          <w:spacing w:val="9"/>
          <w:position w:val="1"/>
          <w:sz w:val="28"/>
          <w:szCs w:val="28"/>
        </w:rPr>
      </w:pPr>
      <w:r>
        <w:rPr>
          <w:rFonts w:hint="eastAsia" w:ascii="仿宋" w:hAnsi="仿宋" w:eastAsia="仿宋" w:cs="仿宋"/>
          <w:b/>
          <w:bCs/>
          <w:spacing w:val="9"/>
          <w:position w:val="1"/>
          <w:sz w:val="28"/>
          <w:szCs w:val="28"/>
        </w:rPr>
        <w:t>3、校园绿化管理服务</w:t>
      </w:r>
    </w:p>
    <w:p w14:paraId="53034851">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（1）服务范围</w:t>
      </w:r>
    </w:p>
    <w:p w14:paraId="64C27902">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区域内所有草坪、树木、灌木、花卉 (含盆栽花卉栽种摆放) 的浇灌排水、修剪、施肥及病虫害防治；枯死植株及杂物清理、苗木补栽、树木扶正、中耕除草、植物防护 (防寒、旱、涝、大风、高温等) 。养护范围内绿化垃圾 (含修剪树枝、落叶、腐叶) 及其它垃圾、杂物的定期清理，由中标人负责绿化垃圾的清运及处置。</w:t>
      </w:r>
    </w:p>
    <w:p w14:paraId="5429DB2B">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（2）基本要求</w:t>
      </w:r>
    </w:p>
    <w:p w14:paraId="6DCED450">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制定校园环境绿化服务质量管理标准，按照植物不同品种、习性、季节、生长期适地适树的进行分类管理，编制校园《绿化养护计划》，并按计划组织实施。根据校园情况，配置校园绿化作业机具，按计划进行绿化日常养护作业。聘用员工需经过技能培训，具备良好的服务意识和作业技能，形象统一规范。保证树冠完整美观，通风透光良好，无缺株、枯枝，死亡树木应在植树季节及时补栽，及时防治病虫害。定期对绿篱修剪整形，造型美观，保持观赏效果，无明显断垅现象，及时防治病虫害。草坪浇水施肥适时、适量，修剪、疏草适时，草高度保持在 6-10cm之间；苗木植被缺失枯败及时补栽补种，无明显缺苗断垅、黄土裸露现象，及时防治病虫害。绿化生产垃圾(如：树枝、树叶、草沫等) 由中标人负责随产随清，中标人负责绿地整洁，无砖石瓦块、塑料袋等废弃物，并做到随时保洁。中标人有义务就改善校园绿化质量提出意见和建议，并拟出整改方案，不断提升校园绿化品质。</w:t>
      </w:r>
    </w:p>
    <w:p w14:paraId="3D6A55EB">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（3）服务标准及要求</w:t>
      </w:r>
    </w:p>
    <w:p w14:paraId="4D0911EC">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①草坪：生长旺盛，叶色浓绿，总体平整；草坪覆盖率达 95%以上，道牙、井口、水沟、散水坡边整齐、草坪目视平整,长势良好，草坪绿郁；无明显杂草，树木底下土面层不板结，透气良好；外力破坏后五天内修复；病虫危害率不超过3%，及时清扫草坪和乔灌木中落叶，保证植物丛中无明显的枯枝败叶；对斑秃等缺失部分及时补种，保持草坪完整。交界处应做切边处理，且边缘清晰，线条流畅和顺，宽度不得大于10cm。</w:t>
      </w:r>
    </w:p>
    <w:p w14:paraId="07A0A1FA">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②乔木：生长旺盛，枝叶健壮，水分充足，无枯死；保持植物生长特性的树形，无明显徒长枝和过密的内膛枝；无枯枝，树不阻车辆和行人通过，主侧枝分布均匀，下缘线高于2m；新种植或胸径15cm以上的植株必须有桩，树桩基本无损坏残缺，绑扎完好有效，高度一致美观；无明显枯枝、死杈，有虫害枝条3%以下；作好防风措施，受外力影响歪倒乔木在外力结束48小时内扶正，暴风雨过后24小时无倒斜，断枝落叶在12小时内处理完毕；每年保证施根肥2次，采用穴施或沟施，施肥、浇水及时，覆土平整，肥料不露出土面。 </w:t>
      </w:r>
    </w:p>
    <w:p w14:paraId="749BDCDA">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③灌木、绿篱：生长旺盛，枝叶健壮，水分充足，无枯死；病虫危害率不超过5%；成型，造型美观，新长枝不超过25厘米；采用穴施或沟施，施肥、浇水及时，覆土平整，肥料不露出土面；预留观花的灌木，保证开花繁茂，枝条不过于杂乱；暴风雨过后24小时无倒斜，断枝落叶在12小时内处理完毕；多种植物成片种植的轮廓线整齐、有层次，单体花坛线条清晰；缺苗、死苗及时更换；过密花丛及时分栽、老化花丛及时翻种。</w:t>
      </w:r>
    </w:p>
    <w:p w14:paraId="2F6281B5">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④节能管理服务：做好校园水电节能工作，做好能耗数据分析，根据学校情况制定有可行性的控制方案，改进节能措施，为学校节约能源，建设绿色校园。</w:t>
      </w:r>
    </w:p>
    <w:p w14:paraId="2827E2B0">
      <w:pPr>
        <w:pageBreakBefore w:val="0"/>
        <w:wordWrap/>
        <w:topLinePunct w:val="0"/>
        <w:bidi w:val="0"/>
        <w:spacing w:after="0" w:line="360" w:lineRule="auto"/>
        <w:ind w:right="113" w:firstLine="598" w:firstLineChars="200"/>
        <w:rPr>
          <w:rFonts w:hint="eastAsia" w:ascii="仿宋" w:hAnsi="仿宋" w:eastAsia="仿宋" w:cs="仿宋"/>
          <w:b/>
          <w:bCs/>
          <w:spacing w:val="9"/>
          <w:position w:val="1"/>
          <w:sz w:val="28"/>
          <w:szCs w:val="28"/>
        </w:rPr>
      </w:pPr>
      <w:r>
        <w:rPr>
          <w:rFonts w:hint="eastAsia" w:ascii="仿宋" w:hAnsi="仿宋" w:eastAsia="仿宋" w:cs="仿宋"/>
          <w:b/>
          <w:bCs/>
          <w:spacing w:val="9"/>
          <w:position w:val="1"/>
          <w:sz w:val="28"/>
          <w:szCs w:val="28"/>
        </w:rPr>
        <w:t>4.教室管理服务</w:t>
      </w:r>
    </w:p>
    <w:p w14:paraId="1401095F">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（1）服务范围</w:t>
      </w:r>
    </w:p>
    <w:p w14:paraId="229898DB">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保障各类教学活动，包括教学秩序保障、教室使用管理、考场布置、教学场所各类设施设备保障</w:t>
      </w:r>
      <w:r>
        <w:rPr>
          <w:rFonts w:hint="eastAsia" w:ascii="仿宋" w:hAnsi="仿宋" w:eastAsia="仿宋" w:cs="仿宋"/>
          <w:color w:val="auto"/>
          <w:spacing w:val="7"/>
          <w:sz w:val="28"/>
          <w:szCs w:val="28"/>
        </w:rPr>
        <w:t>(含教学多媒体开关，话筒发放和回收、教室内空调开关和板檫等) 等确保教学秩序正常实施的相关服务。教学场所的物业管理服务应按照采购人教务部</w:t>
      </w:r>
      <w:r>
        <w:rPr>
          <w:rFonts w:hint="eastAsia" w:ascii="仿宋" w:hAnsi="仿宋" w:eastAsia="仿宋" w:cs="仿宋"/>
          <w:spacing w:val="7"/>
          <w:sz w:val="28"/>
          <w:szCs w:val="28"/>
        </w:rPr>
        <w:t>门关于教学场所的相关要求执行。</w:t>
      </w:r>
    </w:p>
    <w:p w14:paraId="055515A4">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（2）服务标准及要求</w:t>
      </w:r>
    </w:p>
    <w:p w14:paraId="086196AF">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①教学秩序保障：在教学楼相应位置范围设立服务台或值班室，综合协调，及时处理教学保障的相关事项；按照采购人教学时间安排，做好教学区域的清场、教室的开放和</w:t>
      </w:r>
      <w:r>
        <w:rPr>
          <w:rFonts w:hint="eastAsia" w:ascii="仿宋" w:hAnsi="仿宋" w:eastAsia="仿宋" w:cs="仿宋"/>
          <w:spacing w:val="7"/>
          <w:sz w:val="28"/>
          <w:szCs w:val="28"/>
          <w:lang w:eastAsia="zh-CN"/>
        </w:rPr>
        <w:t>关</w:t>
      </w:r>
      <w:r>
        <w:rPr>
          <w:rFonts w:hint="eastAsia" w:ascii="仿宋" w:hAnsi="仿宋" w:eastAsia="仿宋" w:cs="仿宋"/>
          <w:spacing w:val="7"/>
          <w:sz w:val="28"/>
          <w:szCs w:val="28"/>
        </w:rPr>
        <w:t>闭；负责维护教学区域内行课期间的正常秩序，每40分钟对教学区域进行1次巡查，对突发事件及时、灵活启动应急预案。严禁无关人员随意进出教学区域，严禁无关人员在教学区逗留，严禁动物宠物进入教学区域，确保教学区安静，基本实现“零干扰”；严格执行物品出入登记制度；严格控制各类人员将食物带入教学区；做好公共区域和教室的消杀，并建立消杀记录。</w:t>
      </w:r>
    </w:p>
    <w:p w14:paraId="475F0003">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②教室使用管理：严格落实教务主管部门教室使用、调整、借用规定，巡查教室使用情况，核实教室借用审</w:t>
      </w:r>
      <w:r>
        <w:rPr>
          <w:rFonts w:hint="eastAsia" w:ascii="仿宋" w:hAnsi="仿宋" w:eastAsia="仿宋" w:cs="仿宋"/>
          <w:spacing w:val="7"/>
          <w:sz w:val="28"/>
          <w:szCs w:val="28"/>
          <w:lang w:eastAsia="zh-CN"/>
        </w:rPr>
        <w:t>批手</w:t>
      </w:r>
      <w:r>
        <w:rPr>
          <w:rFonts w:hint="eastAsia" w:ascii="仿宋" w:hAnsi="仿宋" w:eastAsia="仿宋" w:cs="仿宋"/>
          <w:spacing w:val="7"/>
          <w:sz w:val="28"/>
          <w:szCs w:val="28"/>
        </w:rPr>
        <w:t>续，避免违规和非法使用；按照采购人教务处关于教学课程(排课表)的安排，及时、准确开关相应教室；教室应在上课前15-30分钟开放，在下课后15-30分钟内完成桌椅摆放、清洁打扫，及时检查所有电器设备和多媒体机柜，关门关窗关灯 (教室照明要在15分钟内完成关闭)；所有设施设备处于关闭状态后，禁止人员进入，加强日常的巡查频率，关闭电器设备及时；对教学楼内的教室进行动态管理，确保满足教学及学生自习使用需要；严格执行教学公共区域能源使用管理，根据季节时令、天气变化、节假日调整公共照明开关时间，保障照明环境，避免能源浪费；在不影响正常教学安排的情况下，对于教学单位、学生社团正常使用教室举办讲座等活动给予积极配合，按教务处批复手续合理安排，严禁私自开放教室用于非教学活动或校外人员使用；根据教务主管部门考务工作要求，协助考试场地及环境的准备、检查，保障考务服务工作的正常开展。</w:t>
      </w:r>
    </w:p>
    <w:p w14:paraId="6C92944C">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③设施设备保障：负责教学用具 (粉笔、板擦等) 的及时发放、回收和清洁、维护；检查教室电铃、桌椅、门窗、空调等设施设备运行情况和安全隐患，及时协调处理故障、排除隐患，保障教学使用需求；负责教学考务、多媒体等的日常运行管理，根据教学主管部门的要求提供使用服务</w:t>
      </w:r>
      <w:r>
        <w:rPr>
          <w:rFonts w:hint="eastAsia" w:ascii="仿宋" w:hAnsi="仿宋" w:eastAsia="仿宋" w:cs="仿宋"/>
          <w:spacing w:val="7"/>
          <w:sz w:val="28"/>
          <w:szCs w:val="28"/>
          <w:lang w:eastAsia="zh-CN"/>
        </w:rPr>
        <w:t>，对</w:t>
      </w:r>
      <w:r>
        <w:rPr>
          <w:rFonts w:hint="eastAsia" w:ascii="仿宋" w:hAnsi="仿宋" w:eastAsia="仿宋" w:cs="仿宋"/>
          <w:spacing w:val="7"/>
          <w:sz w:val="28"/>
          <w:szCs w:val="28"/>
        </w:rPr>
        <w:t>运行故障及时处置及报修，并跟进故障的维修处理情况，保障系统的正常使用需求；每学期放假或开学前，要对所有的教学设备进行一次全面检查。放假期间对完好无损的配套设施设备进行封存，</w:t>
      </w:r>
      <w:r>
        <w:rPr>
          <w:rFonts w:hint="eastAsia" w:ascii="仿宋" w:hAnsi="仿宋" w:eastAsia="仿宋" w:cs="仿宋"/>
          <w:color w:val="auto"/>
          <w:spacing w:val="7"/>
          <w:sz w:val="28"/>
          <w:szCs w:val="28"/>
        </w:rPr>
        <w:t>向采购人报备损伤的设施设备台账，根据维保合同责任划分监督维保单位进行维修。爱护设备，正确使用，防止丢失。公共机房和公共语言实验室所安装设备精度</w:t>
      </w:r>
      <w:r>
        <w:rPr>
          <w:rFonts w:hint="eastAsia" w:ascii="仿宋" w:hAnsi="仿宋" w:eastAsia="仿宋" w:cs="仿宋"/>
          <w:spacing w:val="7"/>
          <w:sz w:val="28"/>
          <w:szCs w:val="28"/>
        </w:rPr>
        <w:t>高，环境要求高，严禁私自拆卸及故意损坏设备，做好设备的保管工作，防止丢失。所有仪器设备及物品，均固定在教室，不得随意借予他人使用，每天认真检查教室设备情况，做好防火防盗等工作。发现设备损坏丢失，要立即向学校报告，配合调查原因并</w:t>
      </w:r>
      <w:r>
        <w:rPr>
          <w:rFonts w:hint="eastAsia" w:ascii="仿宋" w:hAnsi="仿宋" w:eastAsia="仿宋" w:cs="仿宋"/>
          <w:spacing w:val="7"/>
          <w:sz w:val="28"/>
          <w:szCs w:val="28"/>
          <w:lang w:eastAsia="zh-CN"/>
        </w:rPr>
        <w:t>追究责任</w:t>
      </w:r>
      <w:r>
        <w:rPr>
          <w:rFonts w:hint="eastAsia" w:ascii="仿宋" w:hAnsi="仿宋" w:eastAsia="仿宋" w:cs="仿宋"/>
          <w:spacing w:val="7"/>
          <w:sz w:val="28"/>
          <w:szCs w:val="28"/>
        </w:rPr>
        <w:t>。配合学校做好公共机房和公共语言实验室设备维修维护的开关门工作、设备检查工作，做好故障记录和报修工作。</w:t>
      </w:r>
    </w:p>
    <w:p w14:paraId="3B9BF0B8">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④节能管理服务：配合做好服务区域水电、空调、多媒体等节能使用、监管，做好校园节能工作，做好能耗数据分析，根据学校情况制定有可行性的控制方案，改进节能措施，为学校节约能源，建设绿色校园。</w:t>
      </w:r>
    </w:p>
    <w:p w14:paraId="6817256D">
      <w:pPr>
        <w:pageBreakBefore w:val="0"/>
        <w:kinsoku w:val="0"/>
        <w:wordWrap/>
        <w:topLinePunct w:val="0"/>
        <w:autoSpaceDE w:val="0"/>
        <w:autoSpaceDN w:val="0"/>
        <w:bidi w:val="0"/>
        <w:spacing w:after="0" w:line="360" w:lineRule="auto"/>
        <w:ind w:firstLine="590" w:firstLineChars="200"/>
        <w:textAlignment w:val="baseline"/>
        <w:rPr>
          <w:rFonts w:hint="eastAsia" w:ascii="仿宋" w:hAnsi="仿宋" w:eastAsia="仿宋" w:cs="仿宋"/>
          <w:b/>
          <w:bCs/>
          <w:spacing w:val="7"/>
          <w:sz w:val="28"/>
          <w:szCs w:val="28"/>
        </w:rPr>
      </w:pPr>
      <w:r>
        <w:rPr>
          <w:rFonts w:hint="eastAsia" w:ascii="仿宋" w:hAnsi="仿宋" w:eastAsia="仿宋" w:cs="仿宋"/>
          <w:b/>
          <w:bCs/>
          <w:spacing w:val="7"/>
          <w:sz w:val="28"/>
          <w:szCs w:val="28"/>
        </w:rPr>
        <w:t>5、小型维修服务</w:t>
      </w:r>
    </w:p>
    <w:p w14:paraId="45C21407">
      <w:pPr>
        <w:pageBreakBefore w:val="0"/>
        <w:wordWrap/>
        <w:topLinePunct w:val="0"/>
        <w:bidi w:val="0"/>
        <w:spacing w:after="0" w:line="360" w:lineRule="auto"/>
        <w:ind w:firstLine="588" w:firstLineChars="200"/>
        <w:rPr>
          <w:rFonts w:hint="default" w:ascii="仿宋" w:hAnsi="仿宋" w:eastAsia="仿宋" w:cs="仿宋"/>
          <w:spacing w:val="7"/>
          <w:sz w:val="28"/>
          <w:szCs w:val="28"/>
          <w:lang w:val="en-US" w:eastAsia="zh-CN"/>
        </w:rPr>
      </w:pPr>
      <w:r>
        <w:rPr>
          <w:rFonts w:hint="eastAsia" w:ascii="仿宋" w:hAnsi="仿宋" w:eastAsia="仿宋" w:cs="仿宋"/>
          <w:spacing w:val="7"/>
          <w:sz w:val="28"/>
          <w:szCs w:val="28"/>
        </w:rPr>
        <w:t>服务区域范围内所有单体建筑的照明灯具、开关、插座、灯光感应器、水箱、小便器、水龙头、角阀、上下水软管以及各种锁具及桌子、椅子的维修更换。厕所蹲便及管道堵塞的疏通。服务区域范围内绿化灌溉管道连接口和喷头的更换维修。</w:t>
      </w:r>
      <w:r>
        <w:rPr>
          <w:rFonts w:hint="eastAsia" w:ascii="仿宋" w:hAnsi="仿宋" w:eastAsia="仿宋" w:cs="仿宋"/>
          <w:spacing w:val="7"/>
          <w:sz w:val="28"/>
          <w:szCs w:val="28"/>
          <w:lang w:val="en-US" w:eastAsia="zh-CN"/>
        </w:rPr>
        <w:t>采购人提供维修材料，供应商负责小型维修服务。</w:t>
      </w:r>
    </w:p>
    <w:p w14:paraId="08623BE7">
      <w:pPr>
        <w:pageBreakBefore w:val="0"/>
        <w:wordWrap/>
        <w:topLinePunct w:val="0"/>
        <w:bidi w:val="0"/>
        <w:spacing w:after="0" w:line="360" w:lineRule="auto"/>
        <w:ind w:right="113" w:firstLine="598" w:firstLineChars="200"/>
        <w:rPr>
          <w:rFonts w:hint="eastAsia" w:ascii="仿宋" w:hAnsi="仿宋" w:eastAsia="仿宋" w:cs="仿宋"/>
          <w:b/>
          <w:bCs/>
          <w:spacing w:val="9"/>
          <w:position w:val="1"/>
          <w:sz w:val="28"/>
          <w:szCs w:val="28"/>
        </w:rPr>
      </w:pPr>
      <w:r>
        <w:rPr>
          <w:rFonts w:hint="eastAsia" w:ascii="仿宋" w:hAnsi="仿宋" w:eastAsia="仿宋" w:cs="仿宋"/>
          <w:b/>
          <w:bCs/>
          <w:spacing w:val="9"/>
          <w:position w:val="1"/>
          <w:sz w:val="28"/>
          <w:szCs w:val="28"/>
        </w:rPr>
        <w:t>6.垃圾清收、清运和集中服务</w:t>
      </w:r>
    </w:p>
    <w:p w14:paraId="6D5CA923">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（1）服务范围 </w:t>
      </w:r>
    </w:p>
    <w:p w14:paraId="20D4AF2A">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区域垃圾集中和清运；临时安排的垃圾集中和清运；</w:t>
      </w:r>
    </w:p>
    <w:p w14:paraId="66F638EB">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（2）基本要求 </w:t>
      </w:r>
    </w:p>
    <w:p w14:paraId="3D3681C8">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每天清运各区域垃圾，日产日清；每天保持箱体存放区域地面的干净 整洁；及时完成临时安排的垃圾集中和清运服务；负责运输车辆和区域内垃圾箱体的及时维修、保养；相关工作人员持证上岗，安全驾驶、文明行车；由中标人将负责区域内建筑垃圾（2 吨以下）清运至校外。</w:t>
      </w:r>
    </w:p>
    <w:p w14:paraId="3EF5949E">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（3）服务标准及要求</w:t>
      </w:r>
    </w:p>
    <w:p w14:paraId="6E9C41BE">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配备专用的垃圾清运车辆和专职人员，负责将服务区域内的垃圾收集到校内垃圾中转站；服务区域所有垃圾桶内垃圾存量不超过2/3，保证日产日清；垃圾清运机具、清运车应保持清洁无破损，清运过程中不得产生抛洒或污染；如遇学校迎新、军训、毕业生离校等特殊情况，及时调整垃圾清运频次。</w:t>
      </w:r>
    </w:p>
    <w:p w14:paraId="292EE72B">
      <w:pPr>
        <w:pageBreakBefore w:val="0"/>
        <w:wordWrap/>
        <w:topLinePunct w:val="0"/>
        <w:bidi w:val="0"/>
        <w:spacing w:after="0" w:line="360" w:lineRule="auto"/>
        <w:ind w:right="113" w:firstLine="598" w:firstLineChars="200"/>
        <w:rPr>
          <w:rFonts w:hint="eastAsia" w:ascii="仿宋" w:hAnsi="仿宋" w:eastAsia="仿宋" w:cs="仿宋"/>
          <w:b/>
          <w:bCs/>
          <w:spacing w:val="9"/>
          <w:position w:val="1"/>
          <w:sz w:val="28"/>
          <w:szCs w:val="28"/>
        </w:rPr>
      </w:pPr>
      <w:r>
        <w:rPr>
          <w:rFonts w:hint="eastAsia" w:ascii="仿宋" w:hAnsi="仿宋" w:eastAsia="仿宋" w:cs="仿宋"/>
          <w:b/>
          <w:bCs/>
          <w:spacing w:val="9"/>
          <w:position w:val="1"/>
          <w:sz w:val="28"/>
          <w:szCs w:val="28"/>
        </w:rPr>
        <w:t>7.专项管理服务</w:t>
      </w:r>
    </w:p>
    <w:p w14:paraId="2A6DE762">
      <w:pPr>
        <w:pageBreakBefore w:val="0"/>
        <w:kinsoku w:val="0"/>
        <w:wordWrap/>
        <w:topLinePunct w:val="0"/>
        <w:autoSpaceDE w:val="0"/>
        <w:autoSpaceDN w:val="0"/>
        <w:bidi w:val="0"/>
        <w:spacing w:after="0" w:line="360" w:lineRule="auto"/>
        <w:ind w:right="51" w:firstLine="294" w:firstLineChars="1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（1）服务范围 </w:t>
      </w:r>
    </w:p>
    <w:p w14:paraId="4A2AE912">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①节能管理服务：配合采购人做好服务区域水电、空调等能源使用、监管，做好校园节能工作。 </w:t>
      </w:r>
    </w:p>
    <w:p w14:paraId="7A034892">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②重大活动综合保障服务：协助采购人组织统筹校内各类重大活动(如迎新生、毕业生离校、四、六级英语考试、校庆、招聘会等活动)，保障重大活动的安全、交通、秩序、清洁卫生及设备，确保活动的顺利开展。</w:t>
      </w:r>
    </w:p>
    <w:p w14:paraId="18402AF1">
      <w:pPr>
        <w:pageBreakBefore w:val="0"/>
        <w:kinsoku w:val="0"/>
        <w:wordWrap/>
        <w:topLinePunct w:val="0"/>
        <w:autoSpaceDE w:val="0"/>
        <w:autoSpaceDN w:val="0"/>
        <w:bidi w:val="0"/>
        <w:spacing w:before="3" w:after="0" w:line="360" w:lineRule="auto"/>
        <w:ind w:right="52" w:firstLine="588" w:firstLineChars="200"/>
        <w:textAlignment w:val="baseline"/>
        <w:rPr>
          <w:rFonts w:hint="eastAsia" w:ascii="仿宋" w:hAnsi="仿宋" w:eastAsia="仿宋" w:cs="仿宋"/>
          <w:sz w:val="28"/>
          <w:szCs w:val="28"/>
        </w:rPr>
      </w:pPr>
      <w:r>
        <w:rPr>
          <w:rFonts w:hint="eastAsia" w:ascii="仿宋" w:hAnsi="仿宋" w:eastAsia="仿宋" w:cs="仿宋"/>
          <w:spacing w:val="7"/>
          <w:sz w:val="28"/>
          <w:szCs w:val="28"/>
        </w:rPr>
        <w:t>③活动场馆服务(图书馆等) ：严格执行招标人关于图书馆等场馆的使用管理规定。</w:t>
      </w:r>
    </w:p>
    <w:p w14:paraId="475D045A">
      <w:pPr>
        <w:pageBreakBefore w:val="0"/>
        <w:kinsoku w:val="0"/>
        <w:wordWrap/>
        <w:topLinePunct w:val="0"/>
        <w:autoSpaceDE w:val="0"/>
        <w:autoSpaceDN w:val="0"/>
        <w:bidi w:val="0"/>
        <w:spacing w:after="0" w:line="360" w:lineRule="auto"/>
        <w:ind w:right="51" w:firstLine="294" w:firstLineChars="1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（2）服务标准及要求 </w:t>
      </w:r>
    </w:p>
    <w:p w14:paraId="74708CF0">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①节能管理服务：成立节能工作小组，制定节能工作方案，根据学校情况制定有可行性的控制方案，改进节能措施，为学校节约能源，建设绿色校园。 </w:t>
      </w:r>
    </w:p>
    <w:p w14:paraId="6F1F2486">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②重大活动综合保障服务：做好包括布置场地，器材及桌椅、设备搬运，撤场清场，安全防范，交通秩序，礼仪接待，环境卫生、设施设备运行等综合性的服务保障。根据招标人活动保障需求制定相应保障方案，合理调配服务力量，配合保障活动的顺利开展和校园基础服务保障工作的正常运行。</w:t>
      </w:r>
    </w:p>
    <w:p w14:paraId="42069DA0">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z w:val="28"/>
          <w:szCs w:val="28"/>
        </w:rPr>
      </w:pPr>
      <w:r>
        <w:rPr>
          <w:rFonts w:hint="eastAsia" w:ascii="仿宋" w:hAnsi="仿宋" w:eastAsia="仿宋" w:cs="仿宋"/>
          <w:spacing w:val="7"/>
          <w:sz w:val="28"/>
          <w:szCs w:val="28"/>
        </w:rPr>
        <w:t>③活动场馆服务(图书馆等)：严格执行招标人关于图书馆等场馆的使用管理规定。保持日常对场地进行检查维护，保障场地的安全环境、清洁卫生、设施设备运行等条件符合随时使用的需求，严谨擅自开启与使用。根据场馆使用需求通知，提前检查准备场地，并对活动过程进行安全秩序的管理，使用结束后负责安全隐患的排查处理和现场设施、环境卫生的恢复。</w:t>
      </w:r>
    </w:p>
    <w:p w14:paraId="3AC2A0C6">
      <w:pPr>
        <w:pageBreakBefore w:val="0"/>
        <w:wordWrap/>
        <w:topLinePunct w:val="0"/>
        <w:bidi w:val="0"/>
        <w:spacing w:after="0" w:line="360" w:lineRule="auto"/>
        <w:ind w:firstLine="588" w:firstLineChars="200"/>
        <w:outlineLvl w:val="1"/>
        <w:rPr>
          <w:rFonts w:hint="eastAsia" w:ascii="黑体" w:hAnsi="黑体" w:eastAsia="黑体" w:cs="黑体"/>
          <w:spacing w:val="7"/>
          <w:sz w:val="28"/>
          <w:szCs w:val="28"/>
        </w:rPr>
      </w:pPr>
      <w:r>
        <w:rPr>
          <w:rFonts w:hint="eastAsia" w:ascii="黑体" w:hAnsi="黑体" w:eastAsia="黑体" w:cs="黑体"/>
          <w:spacing w:val="7"/>
          <w:sz w:val="28"/>
          <w:szCs w:val="28"/>
        </w:rPr>
        <w:t>三、校园文化建设要求</w:t>
      </w:r>
    </w:p>
    <w:p w14:paraId="57B8974F">
      <w:pPr>
        <w:pageBreakBefore w:val="0"/>
        <w:kinsoku w:val="0"/>
        <w:wordWrap/>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1.中标人应努力打造和展示优质的服务形象，提升学校师生生活品质、满足学校的发展需要，实现“三服务、三育人”的目的。比如：将无形的服务寓于有形的标识系统中，统一服务形象和文化理念宣传语，加强视觉引导；做好服务窗口建设，通过打造“一站式服务中心”、展示物业服务的良好形象；积极做好校园各类文化活动等，影响师生在校园、在教室的行为等。</w:t>
      </w:r>
    </w:p>
    <w:p w14:paraId="48C482D1">
      <w:pPr>
        <w:pageBreakBefore w:val="0"/>
        <w:kinsoku w:val="0"/>
        <w:wordWrap/>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2.中标人应努力打造和展示文明的管理团队形象，提升管理队伍的形象与口碑。如通过企业内刊向全校师生和教职工传播企业文化，展现物业服务人良好的精神状态等。</w:t>
      </w:r>
    </w:p>
    <w:p w14:paraId="182B3515">
      <w:pPr>
        <w:pageBreakBefore w:val="0"/>
        <w:kinsoku w:val="0"/>
        <w:wordWrap/>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3.中标人应努力营造浓郁的服务育人文化氛围，对学校精神文明建设起到推动作用。如在招标人开学、放假或相关重大活动环节，结合学校情况利用楼宇大厅、走廊、宣传栏、校园广播等区域和资源，张贴宣传各类制度、温馨提示、文明行动等营造育人文化氛围。</w:t>
      </w:r>
    </w:p>
    <w:p w14:paraId="5655BD43">
      <w:pPr>
        <w:pageBreakBefore w:val="0"/>
        <w:wordWrap/>
        <w:topLinePunct w:val="0"/>
        <w:bidi w:val="0"/>
        <w:spacing w:after="0" w:line="360" w:lineRule="auto"/>
        <w:ind w:firstLine="588" w:firstLineChars="200"/>
        <w:outlineLvl w:val="1"/>
        <w:rPr>
          <w:rFonts w:hint="eastAsia" w:ascii="黑体" w:hAnsi="黑体" w:eastAsia="黑体" w:cs="黑体"/>
          <w:spacing w:val="7"/>
          <w:sz w:val="28"/>
          <w:szCs w:val="28"/>
        </w:rPr>
      </w:pPr>
      <w:r>
        <w:rPr>
          <w:rFonts w:hint="eastAsia" w:ascii="黑体" w:hAnsi="黑体" w:eastAsia="黑体" w:cs="黑体"/>
          <w:spacing w:val="7"/>
          <w:sz w:val="28"/>
          <w:szCs w:val="28"/>
        </w:rPr>
        <w:t>四、岗位配置方案及人员要求</w:t>
      </w:r>
    </w:p>
    <w:p w14:paraId="6DB79FD5">
      <w:pPr>
        <w:pageBreakBefore w:val="0"/>
        <w:kinsoku w:val="0"/>
        <w:wordWrap/>
        <w:topLinePunct w:val="0"/>
        <w:autoSpaceDE w:val="0"/>
        <w:autoSpaceDN w:val="0"/>
        <w:bidi w:val="0"/>
        <w:spacing w:after="0" w:line="360" w:lineRule="auto"/>
        <w:ind w:right="51" w:firstLine="588" w:firstLineChars="200"/>
        <w:textAlignment w:val="baseline"/>
        <w:rPr>
          <w:rFonts w:hint="eastAsia" w:ascii="仿宋" w:hAnsi="仿宋" w:eastAsia="仿宋" w:cs="仿宋"/>
          <w:sz w:val="28"/>
          <w:szCs w:val="28"/>
        </w:rPr>
      </w:pPr>
      <w:r>
        <w:rPr>
          <w:rFonts w:hint="eastAsia" w:ascii="仿宋" w:hAnsi="仿宋" w:eastAsia="仿宋" w:cs="仿宋"/>
          <w:spacing w:val="7"/>
          <w:sz w:val="28"/>
          <w:szCs w:val="28"/>
        </w:rPr>
        <w:t>1.物业管理服务岗位配置方案</w:t>
      </w:r>
    </w:p>
    <w:p w14:paraId="5214B3B4">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在不违反国家有关法律法规及政策、不违反本招标文件相关要求的情况下，中标人有权自主决定聘用员工的薪酬，但不低于法律法规、地方性行政要求标准；有权自主聘用员工，但对投标时承诺并配备的管理团队人员的调动，必须经采购人同意，对不合格管理人员</w:t>
      </w:r>
      <w:r>
        <w:rPr>
          <w:rFonts w:hint="eastAsia" w:ascii="仿宋" w:hAnsi="仿宋" w:eastAsia="仿宋" w:cs="仿宋"/>
          <w:spacing w:val="7"/>
          <w:sz w:val="28"/>
          <w:szCs w:val="28"/>
          <w:lang w:val="en-US" w:eastAsia="zh-CN"/>
        </w:rPr>
        <w:t>要</w:t>
      </w:r>
      <w:r>
        <w:rPr>
          <w:rFonts w:hint="eastAsia" w:ascii="仿宋" w:hAnsi="仿宋" w:eastAsia="仿宋" w:cs="仿宋"/>
          <w:spacing w:val="7"/>
          <w:sz w:val="28"/>
          <w:szCs w:val="28"/>
        </w:rPr>
        <w:t>及时调离本项目。</w:t>
      </w:r>
      <w:r>
        <w:rPr>
          <w:rFonts w:hint="eastAsia" w:ascii="仿宋" w:hAnsi="仿宋" w:eastAsia="仿宋" w:cs="仿宋"/>
          <w:spacing w:val="7"/>
          <w:sz w:val="28"/>
          <w:szCs w:val="28"/>
        </w:rPr>
        <w:br w:type="textWrapping"/>
      </w:r>
      <w:r>
        <w:rPr>
          <w:rFonts w:hint="eastAsia" w:ascii="仿宋" w:hAnsi="仿宋" w:eastAsia="仿宋" w:cs="仿宋"/>
          <w:spacing w:val="7"/>
          <w:sz w:val="28"/>
          <w:szCs w:val="28"/>
        </w:rPr>
        <w:t xml:space="preserve">   采购人对本项目的重要岗位设置、人员录用与管理以及重要管理决策有直接参与权。如遇突发事件时，采购人对中标方的工作人员有直接指挥权。</w:t>
      </w:r>
    </w:p>
    <w:p w14:paraId="4D517CB5">
      <w:pPr>
        <w:pageBreakBefore w:val="0"/>
        <w:numPr>
          <w:ilvl w:val="0"/>
          <w:numId w:val="0"/>
        </w:numPr>
        <w:kinsoku w:val="0"/>
        <w:wordWrap/>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lang w:val="en-US" w:eastAsia="zh-CN"/>
        </w:rPr>
        <w:t>2.</w:t>
      </w:r>
      <w:r>
        <w:rPr>
          <w:rFonts w:hint="eastAsia" w:ascii="仿宋" w:hAnsi="仿宋" w:eastAsia="仿宋" w:cs="仿宋"/>
          <w:spacing w:val="7"/>
          <w:sz w:val="28"/>
          <w:szCs w:val="28"/>
        </w:rPr>
        <w:t>人员配置基本要求</w:t>
      </w:r>
    </w:p>
    <w:p w14:paraId="399A7F49">
      <w:pPr>
        <w:pageBreakBefore w:val="0"/>
        <w:kinsoku w:val="0"/>
        <w:wordWrap/>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lang w:eastAsia="zh-CN"/>
        </w:rPr>
      </w:pPr>
      <w:r>
        <w:rPr>
          <w:rFonts w:hint="eastAsia" w:ascii="仿宋" w:hAnsi="仿宋" w:eastAsia="仿宋" w:cs="仿宋"/>
          <w:spacing w:val="7"/>
          <w:sz w:val="28"/>
          <w:szCs w:val="28"/>
        </w:rPr>
        <w:t>表2为人员配置方案，投标人</w:t>
      </w:r>
      <w:r>
        <w:rPr>
          <w:rFonts w:hint="eastAsia" w:ascii="仿宋" w:hAnsi="仿宋" w:eastAsia="仿宋" w:cs="仿宋"/>
          <w:spacing w:val="7"/>
          <w:sz w:val="28"/>
          <w:szCs w:val="28"/>
          <w:lang w:val="en-US" w:eastAsia="zh-CN"/>
        </w:rPr>
        <w:t>可</w:t>
      </w:r>
      <w:r>
        <w:rPr>
          <w:rFonts w:hint="eastAsia" w:ascii="仿宋" w:hAnsi="仿宋" w:eastAsia="仿宋" w:cs="仿宋"/>
          <w:spacing w:val="7"/>
          <w:sz w:val="28"/>
          <w:szCs w:val="28"/>
        </w:rPr>
        <w:t>踏勘现场，结合自身实际情况配置各工种物业服务人员、服务人员应符合</w:t>
      </w:r>
      <w:r>
        <w:rPr>
          <w:rFonts w:hint="eastAsia" w:ascii="仿宋" w:hAnsi="仿宋" w:eastAsia="仿宋" w:cs="仿宋"/>
          <w:spacing w:val="7"/>
          <w:sz w:val="28"/>
          <w:szCs w:val="28"/>
          <w:lang w:val="en-US" w:eastAsia="zh-CN"/>
        </w:rPr>
        <w:t>采购</w:t>
      </w:r>
      <w:r>
        <w:rPr>
          <w:rFonts w:hint="eastAsia" w:ascii="仿宋" w:hAnsi="仿宋" w:eastAsia="仿宋" w:cs="仿宋"/>
          <w:spacing w:val="7"/>
          <w:sz w:val="28"/>
          <w:szCs w:val="28"/>
        </w:rPr>
        <w:t>人总体管理目标的实现，按照招标人区域化管理模式展示各区域不同工种性质的人员配置方案，人员可以适当调增</w:t>
      </w:r>
      <w:r>
        <w:rPr>
          <w:rFonts w:hint="eastAsia" w:ascii="仿宋" w:hAnsi="仿宋" w:eastAsia="仿宋" w:cs="仿宋"/>
          <w:b/>
          <w:bCs/>
          <w:spacing w:val="7"/>
          <w:sz w:val="28"/>
          <w:szCs w:val="28"/>
          <w:u w:val="none"/>
          <w:lang w:eastAsia="zh-CN"/>
        </w:rPr>
        <w:t>。</w:t>
      </w:r>
    </w:p>
    <w:p w14:paraId="6132644F">
      <w:pPr>
        <w:pageBreakBefore w:val="0"/>
        <w:wordWrap/>
        <w:topLinePunct w:val="0"/>
        <w:bidi w:val="0"/>
        <w:spacing w:line="360" w:lineRule="auto"/>
        <w:jc w:val="center"/>
        <w:outlineLvl w:val="2"/>
        <w:rPr>
          <w:rFonts w:hint="eastAsia" w:ascii="仿宋" w:hAnsi="仿宋" w:eastAsia="仿宋" w:cs="仿宋"/>
          <w:b/>
          <w:bCs/>
          <w:spacing w:val="7"/>
          <w:sz w:val="32"/>
          <w:szCs w:val="32"/>
        </w:rPr>
      </w:pPr>
      <w:r>
        <w:rPr>
          <w:rFonts w:hint="eastAsia" w:ascii="仿宋" w:hAnsi="仿宋" w:eastAsia="仿宋" w:cs="仿宋"/>
          <w:b/>
          <w:bCs/>
          <w:spacing w:val="7"/>
          <w:sz w:val="32"/>
          <w:szCs w:val="32"/>
        </w:rPr>
        <w:t>表</w:t>
      </w:r>
      <w:r>
        <w:rPr>
          <w:rFonts w:hint="eastAsia" w:ascii="仿宋" w:hAnsi="仿宋" w:eastAsia="仿宋" w:cs="仿宋"/>
          <w:b/>
          <w:bCs/>
          <w:spacing w:val="7"/>
          <w:sz w:val="32"/>
          <w:szCs w:val="32"/>
          <w:lang w:val="en-US" w:eastAsia="zh-CN"/>
        </w:rPr>
        <w:t>2</w:t>
      </w:r>
      <w:r>
        <w:rPr>
          <w:rFonts w:hint="eastAsia" w:ascii="仿宋" w:hAnsi="仿宋" w:eastAsia="仿宋" w:cs="仿宋"/>
          <w:b/>
          <w:bCs/>
          <w:spacing w:val="7"/>
          <w:sz w:val="32"/>
          <w:szCs w:val="32"/>
        </w:rPr>
        <w:t xml:space="preserve"> 人员配置方案</w:t>
      </w:r>
    </w:p>
    <w:tbl>
      <w:tblPr>
        <w:tblStyle w:val="53"/>
        <w:tblW w:w="9144" w:type="dxa"/>
        <w:tblInd w:w="-492"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437"/>
        <w:gridCol w:w="1098"/>
        <w:gridCol w:w="2939"/>
        <w:gridCol w:w="2737"/>
      </w:tblGrid>
      <w:tr w14:paraId="47FE27D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dxa"/>
            <w:tcBorders>
              <w:top w:val="single" w:color="auto" w:sz="4" w:space="0"/>
              <w:left w:val="single" w:color="auto" w:sz="4" w:space="0"/>
            </w:tcBorders>
            <w:noWrap w:val="0"/>
            <w:vAlign w:val="center"/>
          </w:tcPr>
          <w:p w14:paraId="2F7093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序号</w:t>
            </w:r>
          </w:p>
        </w:tc>
        <w:tc>
          <w:tcPr>
            <w:tcW w:w="1437" w:type="dxa"/>
            <w:tcBorders>
              <w:top w:val="single" w:color="auto" w:sz="4" w:space="0"/>
            </w:tcBorders>
            <w:noWrap w:val="0"/>
            <w:vAlign w:val="center"/>
          </w:tcPr>
          <w:p w14:paraId="55EEA1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岗位名称</w:t>
            </w:r>
          </w:p>
        </w:tc>
        <w:tc>
          <w:tcPr>
            <w:tcW w:w="1098" w:type="dxa"/>
            <w:tcBorders>
              <w:top w:val="single" w:color="auto" w:sz="4" w:space="0"/>
            </w:tcBorders>
            <w:noWrap w:val="0"/>
            <w:vAlign w:val="center"/>
          </w:tcPr>
          <w:p w14:paraId="6A24F75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数量（人）</w:t>
            </w:r>
          </w:p>
        </w:tc>
        <w:tc>
          <w:tcPr>
            <w:tcW w:w="2939" w:type="dxa"/>
            <w:tcBorders>
              <w:top w:val="single" w:color="auto" w:sz="4" w:space="0"/>
            </w:tcBorders>
            <w:noWrap w:val="0"/>
            <w:vAlign w:val="center"/>
          </w:tcPr>
          <w:p w14:paraId="6E05CB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岗位要求</w:t>
            </w:r>
          </w:p>
        </w:tc>
        <w:tc>
          <w:tcPr>
            <w:tcW w:w="2737" w:type="dxa"/>
            <w:tcBorders>
              <w:top w:val="single" w:color="auto" w:sz="4" w:space="0"/>
              <w:right w:val="single" w:color="auto" w:sz="4" w:space="0"/>
            </w:tcBorders>
            <w:noWrap w:val="0"/>
            <w:vAlign w:val="center"/>
          </w:tcPr>
          <w:p w14:paraId="71D66B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证明材料要求</w:t>
            </w:r>
          </w:p>
        </w:tc>
      </w:tr>
      <w:tr w14:paraId="586C324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33" w:type="dxa"/>
            <w:vMerge w:val="restart"/>
            <w:tcBorders>
              <w:left w:val="single" w:color="auto" w:sz="4" w:space="0"/>
            </w:tcBorders>
            <w:noWrap w:val="0"/>
            <w:vAlign w:val="center"/>
          </w:tcPr>
          <w:p w14:paraId="36F57744">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1</w:t>
            </w:r>
          </w:p>
        </w:tc>
        <w:tc>
          <w:tcPr>
            <w:tcW w:w="1437" w:type="dxa"/>
            <w:vMerge w:val="restart"/>
            <w:noWrap w:val="0"/>
            <w:vAlign w:val="center"/>
          </w:tcPr>
          <w:p w14:paraId="2BEF6A1D">
            <w:pPr>
              <w:spacing w:line="560" w:lineRule="exact"/>
              <w:jc w:val="center"/>
              <w:rPr>
                <w:rFonts w:hint="default" w:ascii="仿宋_GB2312" w:hAnsi="仿宋_GB2312" w:eastAsia="仿宋_GB2312" w:cs="仿宋_GB2312"/>
                <w:color w:val="000000"/>
                <w:sz w:val="28"/>
                <w:szCs w:val="28"/>
                <w:shd w:val="clear" w:color="auto" w:fill="auto"/>
                <w:lang w:val="en"/>
              </w:rPr>
            </w:pPr>
            <w:r>
              <w:rPr>
                <w:rFonts w:hint="default" w:ascii="仿宋_GB2312" w:hAnsi="仿宋_GB2312" w:eastAsia="仿宋_GB2312" w:cs="仿宋_GB2312"/>
                <w:color w:val="000000"/>
                <w:sz w:val="28"/>
                <w:szCs w:val="28"/>
                <w:shd w:val="clear" w:color="auto" w:fill="auto"/>
                <w:lang w:val="en"/>
              </w:rPr>
              <w:t>项目经理</w:t>
            </w:r>
          </w:p>
        </w:tc>
        <w:tc>
          <w:tcPr>
            <w:tcW w:w="1098" w:type="dxa"/>
            <w:vMerge w:val="restart"/>
            <w:noWrap w:val="0"/>
            <w:vAlign w:val="center"/>
          </w:tcPr>
          <w:p w14:paraId="243F3E20">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1</w:t>
            </w:r>
          </w:p>
        </w:tc>
        <w:tc>
          <w:tcPr>
            <w:tcW w:w="2939" w:type="dxa"/>
            <w:noWrap w:val="0"/>
            <w:vAlign w:val="center"/>
          </w:tcPr>
          <w:p w14:paraId="2EC7D08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1.年龄在50周岁以下；</w:t>
            </w:r>
          </w:p>
        </w:tc>
        <w:tc>
          <w:tcPr>
            <w:tcW w:w="2737" w:type="dxa"/>
            <w:tcBorders>
              <w:right w:val="single" w:color="auto" w:sz="4" w:space="0"/>
            </w:tcBorders>
            <w:noWrap w:val="0"/>
            <w:vAlign w:val="center"/>
          </w:tcPr>
          <w:p w14:paraId="0FD7F9F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是（提供身份证）</w:t>
            </w:r>
          </w:p>
        </w:tc>
      </w:tr>
      <w:tr w14:paraId="2792B12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33" w:type="dxa"/>
            <w:vMerge w:val="continue"/>
            <w:tcBorders>
              <w:left w:val="single" w:color="auto" w:sz="4" w:space="0"/>
            </w:tcBorders>
            <w:noWrap w:val="0"/>
            <w:vAlign w:val="center"/>
          </w:tcPr>
          <w:p w14:paraId="24FD684C">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437" w:type="dxa"/>
            <w:vMerge w:val="continue"/>
            <w:noWrap w:val="0"/>
            <w:vAlign w:val="center"/>
          </w:tcPr>
          <w:p w14:paraId="1B2AD504">
            <w:pPr>
              <w:spacing w:line="560" w:lineRule="exact"/>
              <w:jc w:val="center"/>
              <w:rPr>
                <w:rFonts w:hint="default" w:ascii="仿宋_GB2312" w:hAnsi="仿宋_GB2312" w:eastAsia="仿宋_GB2312" w:cs="仿宋_GB2312"/>
                <w:color w:val="000000"/>
                <w:sz w:val="28"/>
                <w:szCs w:val="28"/>
                <w:shd w:val="clear" w:color="auto" w:fill="auto"/>
                <w:lang w:val="en"/>
              </w:rPr>
            </w:pPr>
          </w:p>
        </w:tc>
        <w:tc>
          <w:tcPr>
            <w:tcW w:w="1098" w:type="dxa"/>
            <w:vMerge w:val="continue"/>
            <w:noWrap w:val="0"/>
            <w:vAlign w:val="center"/>
          </w:tcPr>
          <w:p w14:paraId="2E6859EA">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2939" w:type="dxa"/>
            <w:noWrap w:val="0"/>
            <w:vAlign w:val="center"/>
          </w:tcPr>
          <w:p w14:paraId="782FCB8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2.本科以上学历；</w:t>
            </w:r>
          </w:p>
        </w:tc>
        <w:tc>
          <w:tcPr>
            <w:tcW w:w="2737" w:type="dxa"/>
            <w:tcBorders>
              <w:right w:val="single" w:color="auto" w:sz="4" w:space="0"/>
            </w:tcBorders>
            <w:noWrap w:val="0"/>
            <w:vAlign w:val="center"/>
          </w:tcPr>
          <w:p w14:paraId="7068453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是（提供学历证明）</w:t>
            </w:r>
          </w:p>
        </w:tc>
      </w:tr>
      <w:tr w14:paraId="4F59BBC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33" w:type="dxa"/>
            <w:vMerge w:val="continue"/>
            <w:tcBorders>
              <w:left w:val="single" w:color="auto" w:sz="4" w:space="0"/>
            </w:tcBorders>
            <w:noWrap w:val="0"/>
            <w:vAlign w:val="center"/>
          </w:tcPr>
          <w:p w14:paraId="4935336E">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437" w:type="dxa"/>
            <w:vMerge w:val="continue"/>
            <w:noWrap w:val="0"/>
            <w:vAlign w:val="center"/>
          </w:tcPr>
          <w:p w14:paraId="467D1896">
            <w:pPr>
              <w:spacing w:line="560" w:lineRule="exact"/>
              <w:jc w:val="center"/>
              <w:rPr>
                <w:rFonts w:hint="default" w:ascii="仿宋_GB2312" w:hAnsi="仿宋_GB2312" w:eastAsia="仿宋_GB2312" w:cs="仿宋_GB2312"/>
                <w:color w:val="000000"/>
                <w:sz w:val="28"/>
                <w:szCs w:val="28"/>
                <w:shd w:val="clear" w:color="auto" w:fill="auto"/>
                <w:lang w:val="en"/>
              </w:rPr>
            </w:pPr>
          </w:p>
        </w:tc>
        <w:tc>
          <w:tcPr>
            <w:tcW w:w="1098" w:type="dxa"/>
            <w:vMerge w:val="continue"/>
            <w:noWrap w:val="0"/>
            <w:vAlign w:val="center"/>
          </w:tcPr>
          <w:p w14:paraId="0729FC26">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2939" w:type="dxa"/>
            <w:noWrap w:val="0"/>
            <w:vAlign w:val="center"/>
          </w:tcPr>
          <w:p w14:paraId="4AC5FF8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3.具有5年以上类似项目管理经验。</w:t>
            </w:r>
          </w:p>
        </w:tc>
        <w:tc>
          <w:tcPr>
            <w:tcW w:w="2737" w:type="dxa"/>
            <w:tcBorders>
              <w:right w:val="single" w:color="auto" w:sz="4" w:space="0"/>
            </w:tcBorders>
            <w:noWrap w:val="0"/>
            <w:vAlign w:val="center"/>
          </w:tcPr>
          <w:p w14:paraId="0EB4559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（需提供服务合同和加盖采购单位公章的证明材料）</w:t>
            </w:r>
          </w:p>
        </w:tc>
      </w:tr>
      <w:tr w14:paraId="4CEA800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3" w:type="dxa"/>
            <w:vMerge w:val="restart"/>
            <w:tcBorders>
              <w:left w:val="single" w:color="auto" w:sz="4" w:space="0"/>
            </w:tcBorders>
            <w:noWrap w:val="0"/>
            <w:vAlign w:val="center"/>
          </w:tcPr>
          <w:p w14:paraId="67B012B5">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2</w:t>
            </w:r>
          </w:p>
        </w:tc>
        <w:tc>
          <w:tcPr>
            <w:tcW w:w="1437" w:type="dxa"/>
            <w:vMerge w:val="restart"/>
            <w:noWrap w:val="0"/>
            <w:vAlign w:val="center"/>
          </w:tcPr>
          <w:p w14:paraId="65D5F359">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环境保洁主管</w:t>
            </w:r>
          </w:p>
        </w:tc>
        <w:tc>
          <w:tcPr>
            <w:tcW w:w="1098" w:type="dxa"/>
            <w:vMerge w:val="restart"/>
            <w:noWrap w:val="0"/>
            <w:vAlign w:val="center"/>
          </w:tcPr>
          <w:p w14:paraId="41CF8F55">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3</w:t>
            </w:r>
          </w:p>
        </w:tc>
        <w:tc>
          <w:tcPr>
            <w:tcW w:w="2939" w:type="dxa"/>
            <w:noWrap w:val="0"/>
            <w:vAlign w:val="center"/>
          </w:tcPr>
          <w:p w14:paraId="380D58E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1.年龄在22-55周岁；</w:t>
            </w:r>
          </w:p>
        </w:tc>
        <w:tc>
          <w:tcPr>
            <w:tcW w:w="2737" w:type="dxa"/>
            <w:tcBorders>
              <w:right w:val="single" w:color="auto" w:sz="4" w:space="0"/>
            </w:tcBorders>
            <w:noWrap w:val="0"/>
            <w:vAlign w:val="center"/>
          </w:tcPr>
          <w:p w14:paraId="548C3B3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是（提供身份证）</w:t>
            </w:r>
          </w:p>
        </w:tc>
      </w:tr>
      <w:tr w14:paraId="7A1A099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33" w:type="dxa"/>
            <w:vMerge w:val="continue"/>
            <w:tcBorders>
              <w:left w:val="single" w:color="auto" w:sz="4" w:space="0"/>
            </w:tcBorders>
            <w:noWrap w:val="0"/>
            <w:vAlign w:val="center"/>
          </w:tcPr>
          <w:p w14:paraId="079D9686">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437" w:type="dxa"/>
            <w:vMerge w:val="continue"/>
            <w:noWrap w:val="0"/>
            <w:vAlign w:val="center"/>
          </w:tcPr>
          <w:p w14:paraId="1322F80C">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098" w:type="dxa"/>
            <w:vMerge w:val="continue"/>
            <w:noWrap w:val="0"/>
            <w:vAlign w:val="center"/>
          </w:tcPr>
          <w:p w14:paraId="05315339">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2939" w:type="dxa"/>
            <w:noWrap w:val="0"/>
            <w:vAlign w:val="center"/>
          </w:tcPr>
          <w:p w14:paraId="48D9510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★2.</w:t>
            </w:r>
            <w:r>
              <w:rPr>
                <w:rFonts w:hint="default" w:ascii="仿宋_GB2312" w:hAnsi="仿宋_GB2312" w:eastAsia="仿宋_GB2312" w:cs="仿宋_GB2312"/>
                <w:color w:val="000000"/>
                <w:sz w:val="28"/>
                <w:szCs w:val="28"/>
                <w:vertAlign w:val="baseline"/>
                <w:lang w:val="en-US" w:eastAsia="zh-CN"/>
              </w:rPr>
              <w:t>具有 B 照或以上驾照</w:t>
            </w:r>
            <w:r>
              <w:rPr>
                <w:rFonts w:hint="eastAsia" w:ascii="仿宋_GB2312" w:hAnsi="仿宋_GB2312" w:eastAsia="仿宋_GB2312" w:cs="仿宋_GB2312"/>
                <w:color w:val="000000"/>
                <w:sz w:val="28"/>
                <w:szCs w:val="28"/>
                <w:vertAlign w:val="baseline"/>
                <w:lang w:val="en-US" w:eastAsia="zh-CN"/>
              </w:rPr>
              <w:t>。</w:t>
            </w:r>
          </w:p>
        </w:tc>
        <w:tc>
          <w:tcPr>
            <w:tcW w:w="2737" w:type="dxa"/>
            <w:tcBorders>
              <w:right w:val="single" w:color="auto" w:sz="4" w:space="0"/>
            </w:tcBorders>
            <w:noWrap w:val="0"/>
            <w:vAlign w:val="center"/>
          </w:tcPr>
          <w:p w14:paraId="6E6B100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是（提供驾驶证）</w:t>
            </w:r>
          </w:p>
        </w:tc>
      </w:tr>
      <w:tr w14:paraId="29182EB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33" w:type="dxa"/>
            <w:tcBorders>
              <w:left w:val="single" w:color="auto" w:sz="4" w:space="0"/>
            </w:tcBorders>
            <w:noWrap w:val="0"/>
            <w:vAlign w:val="center"/>
          </w:tcPr>
          <w:p w14:paraId="7851E35D">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3</w:t>
            </w:r>
          </w:p>
        </w:tc>
        <w:tc>
          <w:tcPr>
            <w:tcW w:w="1437" w:type="dxa"/>
            <w:noWrap w:val="0"/>
            <w:vAlign w:val="center"/>
          </w:tcPr>
          <w:p w14:paraId="6496AC14">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环境</w:t>
            </w:r>
            <w:r>
              <w:rPr>
                <w:rFonts w:hint="default" w:ascii="仿宋_GB2312" w:hAnsi="仿宋_GB2312" w:eastAsia="仿宋_GB2312" w:cs="仿宋_GB2312"/>
                <w:color w:val="000000"/>
                <w:sz w:val="28"/>
                <w:szCs w:val="28"/>
                <w:vertAlign w:val="baseline"/>
                <w:lang w:val="en-US" w:eastAsia="zh-CN"/>
              </w:rPr>
              <w:t>保洁</w:t>
            </w:r>
            <w:r>
              <w:rPr>
                <w:rFonts w:hint="eastAsia" w:ascii="仿宋_GB2312" w:hAnsi="仿宋_GB2312" w:eastAsia="仿宋_GB2312" w:cs="仿宋_GB2312"/>
                <w:color w:val="000000"/>
                <w:sz w:val="28"/>
                <w:szCs w:val="28"/>
                <w:vertAlign w:val="baseline"/>
                <w:lang w:val="en-US" w:eastAsia="zh-CN"/>
              </w:rPr>
              <w:t>员</w:t>
            </w:r>
          </w:p>
        </w:tc>
        <w:tc>
          <w:tcPr>
            <w:tcW w:w="1098" w:type="dxa"/>
            <w:noWrap w:val="0"/>
            <w:vAlign w:val="center"/>
          </w:tcPr>
          <w:p w14:paraId="1523C7FD">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45</w:t>
            </w:r>
          </w:p>
        </w:tc>
        <w:tc>
          <w:tcPr>
            <w:tcW w:w="2939" w:type="dxa"/>
            <w:noWrap w:val="0"/>
            <w:vAlign w:val="center"/>
          </w:tcPr>
          <w:p w14:paraId="02DA4E7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w:t>
            </w:r>
            <w:r>
              <w:rPr>
                <w:rFonts w:hint="default" w:ascii="仿宋_GB2312" w:hAnsi="仿宋_GB2312" w:eastAsia="仿宋_GB2312" w:cs="仿宋_GB2312"/>
                <w:color w:val="000000"/>
                <w:sz w:val="28"/>
                <w:szCs w:val="28"/>
                <w:vertAlign w:val="baseline"/>
                <w:lang w:val="en-US" w:eastAsia="zh-CN"/>
              </w:rPr>
              <w:t>男年龄60周岁</w:t>
            </w:r>
            <w:r>
              <w:rPr>
                <w:rFonts w:hint="eastAsia" w:ascii="仿宋_GB2312" w:hAnsi="仿宋_GB2312" w:eastAsia="仿宋_GB2312" w:cs="仿宋_GB2312"/>
                <w:color w:val="000000"/>
                <w:sz w:val="28"/>
                <w:szCs w:val="28"/>
                <w:vertAlign w:val="baseline"/>
                <w:lang w:val="en-US" w:eastAsia="zh-CN"/>
              </w:rPr>
              <w:t>以下</w:t>
            </w:r>
            <w:r>
              <w:rPr>
                <w:rFonts w:hint="default" w:ascii="仿宋_GB2312" w:hAnsi="仿宋_GB2312" w:eastAsia="仿宋_GB2312" w:cs="仿宋_GB2312"/>
                <w:color w:val="000000"/>
                <w:sz w:val="28"/>
                <w:szCs w:val="28"/>
                <w:vertAlign w:val="baseline"/>
                <w:lang w:val="en-US" w:eastAsia="zh-CN"/>
              </w:rPr>
              <w:t>、女年龄55周岁</w:t>
            </w:r>
            <w:r>
              <w:rPr>
                <w:rFonts w:hint="eastAsia" w:ascii="仿宋_GB2312" w:hAnsi="仿宋_GB2312" w:eastAsia="仿宋_GB2312" w:cs="仿宋_GB2312"/>
                <w:color w:val="000000"/>
                <w:sz w:val="28"/>
                <w:szCs w:val="28"/>
                <w:vertAlign w:val="baseline"/>
                <w:lang w:val="en-US" w:eastAsia="zh-CN"/>
              </w:rPr>
              <w:t>以下，身体健康，能胜任保洁工作。</w:t>
            </w:r>
          </w:p>
        </w:tc>
        <w:tc>
          <w:tcPr>
            <w:tcW w:w="2737" w:type="dxa"/>
            <w:tcBorders>
              <w:right w:val="single" w:color="auto" w:sz="4" w:space="0"/>
            </w:tcBorders>
            <w:noWrap w:val="0"/>
            <w:vAlign w:val="center"/>
          </w:tcPr>
          <w:p w14:paraId="551B7BA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是（提供承诺函，格式自拟）</w:t>
            </w:r>
          </w:p>
        </w:tc>
      </w:tr>
      <w:tr w14:paraId="3AC92DD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933" w:type="dxa"/>
            <w:vMerge w:val="restart"/>
            <w:tcBorders>
              <w:left w:val="single" w:color="auto" w:sz="4" w:space="0"/>
            </w:tcBorders>
            <w:noWrap w:val="0"/>
            <w:vAlign w:val="center"/>
          </w:tcPr>
          <w:p w14:paraId="41A654C4">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4</w:t>
            </w:r>
          </w:p>
        </w:tc>
        <w:tc>
          <w:tcPr>
            <w:tcW w:w="1437" w:type="dxa"/>
            <w:vMerge w:val="restart"/>
            <w:noWrap w:val="0"/>
            <w:vAlign w:val="center"/>
          </w:tcPr>
          <w:p w14:paraId="02517771">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清扫车司机</w:t>
            </w:r>
          </w:p>
        </w:tc>
        <w:tc>
          <w:tcPr>
            <w:tcW w:w="1098" w:type="dxa"/>
            <w:vMerge w:val="restart"/>
            <w:noWrap w:val="0"/>
            <w:vAlign w:val="center"/>
          </w:tcPr>
          <w:p w14:paraId="6AC33766">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1</w:t>
            </w:r>
          </w:p>
        </w:tc>
        <w:tc>
          <w:tcPr>
            <w:tcW w:w="2939" w:type="dxa"/>
            <w:noWrap w:val="0"/>
            <w:vAlign w:val="center"/>
          </w:tcPr>
          <w:p w14:paraId="7B5B763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1.年龄在60周岁以下；</w:t>
            </w:r>
          </w:p>
        </w:tc>
        <w:tc>
          <w:tcPr>
            <w:tcW w:w="2737" w:type="dxa"/>
            <w:tcBorders>
              <w:right w:val="single" w:color="auto" w:sz="4" w:space="0"/>
            </w:tcBorders>
            <w:noWrap w:val="0"/>
            <w:vAlign w:val="center"/>
          </w:tcPr>
          <w:p w14:paraId="0D6F200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是（提供身份证）</w:t>
            </w:r>
          </w:p>
        </w:tc>
      </w:tr>
      <w:tr w14:paraId="5EC63A3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933" w:type="dxa"/>
            <w:vMerge w:val="continue"/>
            <w:tcBorders>
              <w:left w:val="single" w:color="auto" w:sz="4" w:space="0"/>
            </w:tcBorders>
            <w:noWrap w:val="0"/>
            <w:vAlign w:val="center"/>
          </w:tcPr>
          <w:p w14:paraId="771FC96B">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437" w:type="dxa"/>
            <w:vMerge w:val="continue"/>
            <w:noWrap w:val="0"/>
            <w:vAlign w:val="center"/>
          </w:tcPr>
          <w:p w14:paraId="7520841E">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098" w:type="dxa"/>
            <w:vMerge w:val="continue"/>
            <w:noWrap w:val="0"/>
            <w:vAlign w:val="center"/>
          </w:tcPr>
          <w:p w14:paraId="2D2ACDF0">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2939" w:type="dxa"/>
            <w:noWrap w:val="0"/>
            <w:vAlign w:val="center"/>
          </w:tcPr>
          <w:p w14:paraId="161563C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★2.</w:t>
            </w:r>
            <w:r>
              <w:rPr>
                <w:rFonts w:hint="default" w:ascii="仿宋_GB2312" w:hAnsi="仿宋_GB2312" w:eastAsia="仿宋_GB2312" w:cs="仿宋_GB2312"/>
                <w:color w:val="000000"/>
                <w:sz w:val="28"/>
                <w:szCs w:val="28"/>
                <w:vertAlign w:val="baseline"/>
                <w:lang w:val="en-US" w:eastAsia="zh-CN"/>
              </w:rPr>
              <w:t>具有 B 照或以上驾照</w:t>
            </w:r>
            <w:r>
              <w:rPr>
                <w:rFonts w:hint="eastAsia" w:ascii="仿宋_GB2312" w:hAnsi="仿宋_GB2312" w:eastAsia="仿宋_GB2312" w:cs="仿宋_GB2312"/>
                <w:color w:val="000000"/>
                <w:sz w:val="28"/>
                <w:szCs w:val="28"/>
                <w:vertAlign w:val="baseline"/>
                <w:lang w:val="en-US" w:eastAsia="zh-CN"/>
              </w:rPr>
              <w:t>。</w:t>
            </w:r>
          </w:p>
        </w:tc>
        <w:tc>
          <w:tcPr>
            <w:tcW w:w="2737" w:type="dxa"/>
            <w:tcBorders>
              <w:right w:val="single" w:color="auto" w:sz="4" w:space="0"/>
            </w:tcBorders>
            <w:noWrap w:val="0"/>
            <w:vAlign w:val="center"/>
          </w:tcPr>
          <w:p w14:paraId="5348B2D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是（提供驾驶证书）</w:t>
            </w:r>
          </w:p>
        </w:tc>
      </w:tr>
      <w:tr w14:paraId="7711F46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933" w:type="dxa"/>
            <w:vMerge w:val="restart"/>
            <w:tcBorders>
              <w:left w:val="single" w:color="auto" w:sz="4" w:space="0"/>
            </w:tcBorders>
            <w:noWrap w:val="0"/>
            <w:vAlign w:val="center"/>
          </w:tcPr>
          <w:p w14:paraId="6318E345">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5</w:t>
            </w:r>
          </w:p>
        </w:tc>
        <w:tc>
          <w:tcPr>
            <w:tcW w:w="1437" w:type="dxa"/>
            <w:vMerge w:val="restart"/>
            <w:noWrap w:val="0"/>
            <w:vAlign w:val="center"/>
          </w:tcPr>
          <w:p w14:paraId="15491325">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垃圾清运人员</w:t>
            </w:r>
          </w:p>
        </w:tc>
        <w:tc>
          <w:tcPr>
            <w:tcW w:w="1098" w:type="dxa"/>
            <w:vMerge w:val="restart"/>
            <w:noWrap w:val="0"/>
            <w:vAlign w:val="center"/>
          </w:tcPr>
          <w:p w14:paraId="4524E6AF">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1</w:t>
            </w:r>
          </w:p>
        </w:tc>
        <w:tc>
          <w:tcPr>
            <w:tcW w:w="2939" w:type="dxa"/>
            <w:shd w:val="clear" w:color="auto" w:fill="auto"/>
            <w:noWrap w:val="0"/>
            <w:vAlign w:val="center"/>
          </w:tcPr>
          <w:p w14:paraId="09F175B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1.年龄在60周岁以下；</w:t>
            </w:r>
          </w:p>
        </w:tc>
        <w:tc>
          <w:tcPr>
            <w:tcW w:w="2737" w:type="dxa"/>
            <w:tcBorders>
              <w:right w:val="single" w:color="auto" w:sz="4" w:space="0"/>
            </w:tcBorders>
            <w:shd w:val="clear" w:color="auto" w:fill="auto"/>
            <w:noWrap w:val="0"/>
            <w:vAlign w:val="center"/>
          </w:tcPr>
          <w:p w14:paraId="35D26C7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是（提供身份证）</w:t>
            </w:r>
          </w:p>
        </w:tc>
      </w:tr>
      <w:tr w14:paraId="4309AB9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933" w:type="dxa"/>
            <w:vMerge w:val="continue"/>
            <w:tcBorders>
              <w:left w:val="single" w:color="auto" w:sz="4" w:space="0"/>
            </w:tcBorders>
            <w:noWrap w:val="0"/>
            <w:vAlign w:val="center"/>
          </w:tcPr>
          <w:p w14:paraId="01D34FD8">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437" w:type="dxa"/>
            <w:vMerge w:val="continue"/>
            <w:noWrap w:val="0"/>
            <w:vAlign w:val="center"/>
          </w:tcPr>
          <w:p w14:paraId="42DC6D7B">
            <w:pPr>
              <w:spacing w:line="560" w:lineRule="exact"/>
              <w:jc w:val="center"/>
              <w:rPr>
                <w:rFonts w:hint="default" w:ascii="仿宋_GB2312" w:hAnsi="仿宋_GB2312" w:eastAsia="仿宋_GB2312" w:cs="仿宋_GB2312"/>
                <w:color w:val="000000"/>
                <w:sz w:val="28"/>
                <w:szCs w:val="28"/>
                <w:vertAlign w:val="baseline"/>
                <w:lang w:val="en-US" w:eastAsia="zh-CN"/>
              </w:rPr>
            </w:pPr>
          </w:p>
        </w:tc>
        <w:tc>
          <w:tcPr>
            <w:tcW w:w="1098" w:type="dxa"/>
            <w:vMerge w:val="continue"/>
            <w:noWrap w:val="0"/>
            <w:vAlign w:val="center"/>
          </w:tcPr>
          <w:p w14:paraId="573BFBF2">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2939" w:type="dxa"/>
            <w:shd w:val="clear" w:color="auto" w:fill="auto"/>
            <w:noWrap w:val="0"/>
            <w:vAlign w:val="center"/>
          </w:tcPr>
          <w:p w14:paraId="3B9C087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★2.</w:t>
            </w:r>
            <w:r>
              <w:rPr>
                <w:rFonts w:hint="default" w:ascii="仿宋_GB2312" w:hAnsi="仿宋_GB2312" w:eastAsia="仿宋_GB2312" w:cs="仿宋_GB2312"/>
                <w:color w:val="000000"/>
                <w:sz w:val="28"/>
                <w:szCs w:val="28"/>
                <w:vertAlign w:val="baseline"/>
                <w:lang w:val="en-US" w:eastAsia="zh-CN"/>
              </w:rPr>
              <w:t>具有 B 照或以上驾照</w:t>
            </w:r>
            <w:r>
              <w:rPr>
                <w:rFonts w:hint="eastAsia" w:ascii="仿宋_GB2312" w:hAnsi="仿宋_GB2312" w:eastAsia="仿宋_GB2312" w:cs="仿宋_GB2312"/>
                <w:color w:val="000000"/>
                <w:sz w:val="28"/>
                <w:szCs w:val="28"/>
                <w:vertAlign w:val="baseline"/>
                <w:lang w:val="en-US" w:eastAsia="zh-CN"/>
              </w:rPr>
              <w:t>。</w:t>
            </w:r>
          </w:p>
        </w:tc>
        <w:tc>
          <w:tcPr>
            <w:tcW w:w="2737" w:type="dxa"/>
            <w:tcBorders>
              <w:right w:val="single" w:color="auto" w:sz="4" w:space="0"/>
            </w:tcBorders>
            <w:shd w:val="clear" w:color="auto" w:fill="auto"/>
            <w:noWrap w:val="0"/>
            <w:vAlign w:val="center"/>
          </w:tcPr>
          <w:p w14:paraId="36258FE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是（提供驾驶证书）</w:t>
            </w:r>
          </w:p>
        </w:tc>
      </w:tr>
      <w:tr w14:paraId="19281F0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933" w:type="dxa"/>
            <w:vMerge w:val="restart"/>
            <w:tcBorders>
              <w:left w:val="single" w:color="auto" w:sz="4" w:space="0"/>
            </w:tcBorders>
            <w:noWrap w:val="0"/>
            <w:vAlign w:val="center"/>
          </w:tcPr>
          <w:p w14:paraId="45AB8BBF">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6</w:t>
            </w:r>
          </w:p>
        </w:tc>
        <w:tc>
          <w:tcPr>
            <w:tcW w:w="1437" w:type="dxa"/>
            <w:vMerge w:val="restart"/>
            <w:noWrap w:val="0"/>
            <w:vAlign w:val="center"/>
          </w:tcPr>
          <w:p w14:paraId="6D518043">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教室管理</w:t>
            </w:r>
            <w:r>
              <w:rPr>
                <w:rFonts w:hint="eastAsia" w:ascii="仿宋_GB2312" w:hAnsi="仿宋_GB2312" w:eastAsia="仿宋_GB2312" w:cs="仿宋_GB2312"/>
                <w:color w:val="000000"/>
                <w:sz w:val="28"/>
                <w:szCs w:val="28"/>
                <w:vertAlign w:val="baseline"/>
                <w:lang w:val="en-US" w:eastAsia="zh-CN"/>
              </w:rPr>
              <w:t>主管</w:t>
            </w:r>
          </w:p>
        </w:tc>
        <w:tc>
          <w:tcPr>
            <w:tcW w:w="1098" w:type="dxa"/>
            <w:vMerge w:val="restart"/>
            <w:noWrap w:val="0"/>
            <w:vAlign w:val="center"/>
          </w:tcPr>
          <w:p w14:paraId="3AE16B54">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1</w:t>
            </w:r>
          </w:p>
        </w:tc>
        <w:tc>
          <w:tcPr>
            <w:tcW w:w="2939" w:type="dxa"/>
            <w:noWrap w:val="0"/>
            <w:vAlign w:val="center"/>
          </w:tcPr>
          <w:p w14:paraId="1EEBC61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1.年龄在22-55周岁；</w:t>
            </w:r>
          </w:p>
        </w:tc>
        <w:tc>
          <w:tcPr>
            <w:tcW w:w="2737" w:type="dxa"/>
            <w:tcBorders>
              <w:right w:val="single" w:color="auto" w:sz="4" w:space="0"/>
            </w:tcBorders>
            <w:noWrap w:val="0"/>
            <w:vAlign w:val="center"/>
          </w:tcPr>
          <w:p w14:paraId="5DF7574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是（提供身份证）</w:t>
            </w:r>
          </w:p>
        </w:tc>
      </w:tr>
      <w:tr w14:paraId="4BB97B3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933" w:type="dxa"/>
            <w:vMerge w:val="continue"/>
            <w:tcBorders>
              <w:left w:val="single" w:color="auto" w:sz="4" w:space="0"/>
            </w:tcBorders>
            <w:noWrap w:val="0"/>
            <w:vAlign w:val="top"/>
          </w:tcPr>
          <w:p w14:paraId="3F56B70F">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437" w:type="dxa"/>
            <w:vMerge w:val="continue"/>
            <w:noWrap w:val="0"/>
            <w:vAlign w:val="center"/>
          </w:tcPr>
          <w:p w14:paraId="737C08DF">
            <w:pPr>
              <w:spacing w:line="560" w:lineRule="exact"/>
              <w:jc w:val="center"/>
              <w:rPr>
                <w:rFonts w:hint="default" w:ascii="仿宋_GB2312" w:hAnsi="仿宋_GB2312" w:eastAsia="仿宋_GB2312" w:cs="仿宋_GB2312"/>
                <w:color w:val="000000"/>
                <w:sz w:val="28"/>
                <w:szCs w:val="28"/>
                <w:vertAlign w:val="baseline"/>
                <w:lang w:val="en-US" w:eastAsia="zh-CN"/>
              </w:rPr>
            </w:pPr>
          </w:p>
        </w:tc>
        <w:tc>
          <w:tcPr>
            <w:tcW w:w="1098" w:type="dxa"/>
            <w:vMerge w:val="continue"/>
            <w:noWrap w:val="0"/>
            <w:vAlign w:val="center"/>
          </w:tcPr>
          <w:p w14:paraId="2ADCE933">
            <w:pPr>
              <w:spacing w:line="560" w:lineRule="exact"/>
              <w:jc w:val="center"/>
              <w:rPr>
                <w:rFonts w:hint="default" w:ascii="仿宋_GB2312" w:hAnsi="仿宋_GB2312" w:eastAsia="仿宋_GB2312" w:cs="仿宋_GB2312"/>
                <w:color w:val="000000"/>
                <w:sz w:val="28"/>
                <w:szCs w:val="28"/>
                <w:vertAlign w:val="baseline"/>
                <w:lang w:val="en-US" w:eastAsia="zh-CN"/>
              </w:rPr>
            </w:pPr>
          </w:p>
        </w:tc>
        <w:tc>
          <w:tcPr>
            <w:tcW w:w="2939" w:type="dxa"/>
            <w:noWrap w:val="0"/>
            <w:vAlign w:val="center"/>
          </w:tcPr>
          <w:p w14:paraId="517F323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2.具有3年以上类似项目工作经验。</w:t>
            </w:r>
          </w:p>
        </w:tc>
        <w:tc>
          <w:tcPr>
            <w:tcW w:w="2737" w:type="dxa"/>
            <w:tcBorders>
              <w:right w:val="single" w:color="auto" w:sz="4" w:space="0"/>
            </w:tcBorders>
            <w:noWrap w:val="0"/>
            <w:vAlign w:val="center"/>
          </w:tcPr>
          <w:p w14:paraId="0BC844D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是（需提供服务合同和加盖采购单位公章的证明材料）</w:t>
            </w:r>
          </w:p>
        </w:tc>
      </w:tr>
      <w:tr w14:paraId="5AD114E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933" w:type="dxa"/>
            <w:tcBorders>
              <w:left w:val="single" w:color="auto" w:sz="4" w:space="0"/>
            </w:tcBorders>
            <w:noWrap w:val="0"/>
            <w:vAlign w:val="top"/>
          </w:tcPr>
          <w:p w14:paraId="43A6B4CE">
            <w:pPr>
              <w:spacing w:line="560" w:lineRule="exact"/>
              <w:jc w:val="center"/>
              <w:rPr>
                <w:rFonts w:hint="eastAsia" w:ascii="仿宋_GB2312" w:hAnsi="仿宋_GB2312" w:eastAsia="仿宋_GB2312" w:cs="仿宋_GB2312"/>
                <w:color w:val="000000"/>
                <w:sz w:val="28"/>
                <w:szCs w:val="28"/>
                <w:vertAlign w:val="baseline"/>
                <w:lang w:val="en-US" w:eastAsia="zh-CN"/>
              </w:rPr>
            </w:pPr>
          </w:p>
          <w:p w14:paraId="46B93D9B">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7</w:t>
            </w:r>
          </w:p>
        </w:tc>
        <w:tc>
          <w:tcPr>
            <w:tcW w:w="1437" w:type="dxa"/>
            <w:noWrap w:val="0"/>
            <w:vAlign w:val="center"/>
          </w:tcPr>
          <w:p w14:paraId="54CDDC01">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教室管理保洁员</w:t>
            </w:r>
          </w:p>
        </w:tc>
        <w:tc>
          <w:tcPr>
            <w:tcW w:w="1098" w:type="dxa"/>
            <w:noWrap w:val="0"/>
            <w:vAlign w:val="center"/>
          </w:tcPr>
          <w:p w14:paraId="55A6C78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17</w:t>
            </w:r>
          </w:p>
        </w:tc>
        <w:tc>
          <w:tcPr>
            <w:tcW w:w="2939" w:type="dxa"/>
            <w:noWrap w:val="0"/>
            <w:vAlign w:val="center"/>
          </w:tcPr>
          <w:p w14:paraId="479ED39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1.身体健康，年龄男不超过60周岁，女不超过55周岁。身体健康，讲卫生，爱干净，工作认真负责，责任心、服务意识强。</w:t>
            </w:r>
          </w:p>
        </w:tc>
        <w:tc>
          <w:tcPr>
            <w:tcW w:w="2737" w:type="dxa"/>
            <w:tcBorders>
              <w:right w:val="single" w:color="auto" w:sz="4" w:space="0"/>
            </w:tcBorders>
            <w:noWrap w:val="0"/>
            <w:vAlign w:val="center"/>
          </w:tcPr>
          <w:p w14:paraId="52E9723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是（提供承诺函，格式自拟）</w:t>
            </w:r>
          </w:p>
        </w:tc>
      </w:tr>
      <w:tr w14:paraId="667763B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933" w:type="dxa"/>
            <w:vMerge w:val="restart"/>
            <w:tcBorders>
              <w:left w:val="single" w:color="auto" w:sz="4" w:space="0"/>
            </w:tcBorders>
            <w:noWrap w:val="0"/>
            <w:vAlign w:val="top"/>
          </w:tcPr>
          <w:p w14:paraId="2B36646C">
            <w:pPr>
              <w:spacing w:line="560" w:lineRule="exact"/>
              <w:jc w:val="center"/>
              <w:rPr>
                <w:rFonts w:hint="eastAsia" w:ascii="仿宋_GB2312" w:hAnsi="仿宋_GB2312" w:eastAsia="仿宋_GB2312" w:cs="仿宋_GB2312"/>
                <w:color w:val="000000"/>
                <w:sz w:val="28"/>
                <w:szCs w:val="28"/>
                <w:vertAlign w:val="baseline"/>
                <w:lang w:val="en-US" w:eastAsia="zh-CN"/>
              </w:rPr>
            </w:pPr>
          </w:p>
          <w:p w14:paraId="5B5C8F48">
            <w:pPr>
              <w:spacing w:line="560" w:lineRule="exact"/>
              <w:jc w:val="center"/>
              <w:rPr>
                <w:rFonts w:hint="eastAsia" w:ascii="仿宋_GB2312" w:hAnsi="仿宋_GB2312" w:eastAsia="仿宋_GB2312" w:cs="仿宋_GB2312"/>
                <w:color w:val="000000"/>
                <w:sz w:val="28"/>
                <w:szCs w:val="28"/>
                <w:vertAlign w:val="baseline"/>
                <w:lang w:val="en-US" w:eastAsia="zh-CN"/>
              </w:rPr>
            </w:pPr>
          </w:p>
          <w:p w14:paraId="7A637CFA">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8</w:t>
            </w:r>
          </w:p>
        </w:tc>
        <w:tc>
          <w:tcPr>
            <w:tcW w:w="1437" w:type="dxa"/>
            <w:vMerge w:val="restart"/>
            <w:noWrap w:val="0"/>
            <w:vAlign w:val="center"/>
          </w:tcPr>
          <w:p w14:paraId="48F431C3">
            <w:pPr>
              <w:spacing w:line="560" w:lineRule="exact"/>
              <w:jc w:val="center"/>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绿化服务主管</w:t>
            </w:r>
          </w:p>
        </w:tc>
        <w:tc>
          <w:tcPr>
            <w:tcW w:w="1098" w:type="dxa"/>
            <w:vMerge w:val="restart"/>
            <w:noWrap w:val="0"/>
            <w:vAlign w:val="center"/>
          </w:tcPr>
          <w:p w14:paraId="4A25EA5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1</w:t>
            </w:r>
          </w:p>
        </w:tc>
        <w:tc>
          <w:tcPr>
            <w:tcW w:w="2939" w:type="dxa"/>
            <w:noWrap w:val="0"/>
            <w:vAlign w:val="center"/>
          </w:tcPr>
          <w:p w14:paraId="55D7AD4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1.22-55周岁；</w:t>
            </w:r>
          </w:p>
        </w:tc>
        <w:tc>
          <w:tcPr>
            <w:tcW w:w="2737" w:type="dxa"/>
            <w:tcBorders>
              <w:right w:val="single" w:color="auto" w:sz="4" w:space="0"/>
            </w:tcBorders>
            <w:noWrap w:val="0"/>
            <w:vAlign w:val="center"/>
          </w:tcPr>
          <w:p w14:paraId="239A726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是（提供身份证）</w:t>
            </w:r>
          </w:p>
        </w:tc>
      </w:tr>
      <w:tr w14:paraId="05231BE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933" w:type="dxa"/>
            <w:vMerge w:val="continue"/>
            <w:tcBorders>
              <w:left w:val="single" w:color="auto" w:sz="4" w:space="0"/>
            </w:tcBorders>
            <w:noWrap w:val="0"/>
            <w:vAlign w:val="top"/>
          </w:tcPr>
          <w:p w14:paraId="745519B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sz w:val="28"/>
                <w:szCs w:val="28"/>
                <w:vertAlign w:val="baseline"/>
                <w:lang w:val="en-US" w:eastAsia="zh-CN"/>
              </w:rPr>
            </w:pPr>
          </w:p>
        </w:tc>
        <w:tc>
          <w:tcPr>
            <w:tcW w:w="1437" w:type="dxa"/>
            <w:vMerge w:val="continue"/>
            <w:noWrap w:val="0"/>
            <w:vAlign w:val="center"/>
          </w:tcPr>
          <w:p w14:paraId="10DA6E14">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098" w:type="dxa"/>
            <w:vMerge w:val="continue"/>
            <w:noWrap w:val="0"/>
            <w:vAlign w:val="center"/>
          </w:tcPr>
          <w:p w14:paraId="5C792E2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仿宋_GB2312" w:hAnsi="仿宋_GB2312" w:eastAsia="仿宋_GB2312" w:cs="仿宋_GB2312"/>
                <w:color w:val="000000"/>
                <w:sz w:val="28"/>
                <w:szCs w:val="28"/>
                <w:vertAlign w:val="baseline"/>
                <w:lang w:val="en-US" w:eastAsia="zh-CN"/>
              </w:rPr>
            </w:pPr>
          </w:p>
        </w:tc>
        <w:tc>
          <w:tcPr>
            <w:tcW w:w="2939" w:type="dxa"/>
            <w:noWrap w:val="0"/>
            <w:vAlign w:val="center"/>
          </w:tcPr>
          <w:p w14:paraId="0483819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2.具有3年以上类似项目工作经验。</w:t>
            </w:r>
          </w:p>
        </w:tc>
        <w:tc>
          <w:tcPr>
            <w:tcW w:w="2737" w:type="dxa"/>
            <w:tcBorders>
              <w:right w:val="single" w:color="auto" w:sz="4" w:space="0"/>
            </w:tcBorders>
            <w:noWrap w:val="0"/>
            <w:vAlign w:val="center"/>
          </w:tcPr>
          <w:p w14:paraId="1DB6583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是（需提供服务合同和加盖采购单位公章的证明材料）</w:t>
            </w:r>
          </w:p>
        </w:tc>
      </w:tr>
      <w:tr w14:paraId="7E97F61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933" w:type="dxa"/>
            <w:tcBorders>
              <w:left w:val="single" w:color="auto" w:sz="4" w:space="0"/>
            </w:tcBorders>
            <w:noWrap w:val="0"/>
            <w:vAlign w:val="top"/>
          </w:tcPr>
          <w:p w14:paraId="4B4CF633">
            <w:pPr>
              <w:spacing w:line="560" w:lineRule="exact"/>
              <w:jc w:val="center"/>
              <w:rPr>
                <w:rFonts w:hint="eastAsia" w:ascii="仿宋_GB2312" w:hAnsi="仿宋_GB2312" w:eastAsia="仿宋_GB2312" w:cs="仿宋_GB2312"/>
                <w:color w:val="000000"/>
                <w:sz w:val="28"/>
                <w:szCs w:val="28"/>
                <w:vertAlign w:val="baseline"/>
                <w:lang w:val="en-US" w:eastAsia="zh-CN"/>
              </w:rPr>
            </w:pPr>
          </w:p>
          <w:p w14:paraId="55C854AE">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9</w:t>
            </w:r>
          </w:p>
        </w:tc>
        <w:tc>
          <w:tcPr>
            <w:tcW w:w="1437" w:type="dxa"/>
            <w:noWrap w:val="0"/>
            <w:vAlign w:val="center"/>
          </w:tcPr>
          <w:p w14:paraId="5E81FDA8">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绿化服务人员</w:t>
            </w:r>
          </w:p>
        </w:tc>
        <w:tc>
          <w:tcPr>
            <w:tcW w:w="1098" w:type="dxa"/>
            <w:noWrap w:val="0"/>
            <w:vAlign w:val="center"/>
          </w:tcPr>
          <w:p w14:paraId="2CB3470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12</w:t>
            </w:r>
          </w:p>
        </w:tc>
        <w:tc>
          <w:tcPr>
            <w:tcW w:w="2939" w:type="dxa"/>
            <w:noWrap w:val="0"/>
            <w:vAlign w:val="center"/>
          </w:tcPr>
          <w:p w14:paraId="1E8405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w:t>
            </w:r>
            <w:r>
              <w:rPr>
                <w:rFonts w:hint="default" w:ascii="仿宋_GB2312" w:hAnsi="仿宋_GB2312" w:eastAsia="仿宋_GB2312" w:cs="仿宋_GB2312"/>
                <w:color w:val="000000"/>
                <w:sz w:val="28"/>
                <w:szCs w:val="28"/>
                <w:vertAlign w:val="baseline"/>
                <w:lang w:val="en-US" w:eastAsia="zh-CN"/>
              </w:rPr>
              <w:t>需配备至少1名园艺专业技术人员，有政府部门颁发的园林绿化相关的中级及以上职称证书。</w:t>
            </w:r>
          </w:p>
        </w:tc>
        <w:tc>
          <w:tcPr>
            <w:tcW w:w="2737" w:type="dxa"/>
            <w:tcBorders>
              <w:right w:val="single" w:color="auto" w:sz="4" w:space="0"/>
            </w:tcBorders>
            <w:noWrap w:val="0"/>
            <w:vAlign w:val="center"/>
          </w:tcPr>
          <w:p w14:paraId="723F6BB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是（提供职称证书）</w:t>
            </w:r>
          </w:p>
        </w:tc>
      </w:tr>
      <w:tr w14:paraId="1FED538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933" w:type="dxa"/>
            <w:vMerge w:val="restart"/>
            <w:tcBorders>
              <w:left w:val="single" w:color="auto" w:sz="4" w:space="0"/>
            </w:tcBorders>
            <w:noWrap w:val="0"/>
            <w:vAlign w:val="center"/>
          </w:tcPr>
          <w:p w14:paraId="5636E913">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10</w:t>
            </w:r>
          </w:p>
        </w:tc>
        <w:tc>
          <w:tcPr>
            <w:tcW w:w="1437" w:type="dxa"/>
            <w:vMerge w:val="restart"/>
            <w:noWrap w:val="0"/>
            <w:vAlign w:val="center"/>
          </w:tcPr>
          <w:p w14:paraId="032AEF79">
            <w:pPr>
              <w:spacing w:line="560" w:lineRule="exact"/>
              <w:jc w:val="center"/>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综合维修员</w:t>
            </w:r>
          </w:p>
        </w:tc>
        <w:tc>
          <w:tcPr>
            <w:tcW w:w="1098" w:type="dxa"/>
            <w:vMerge w:val="restart"/>
            <w:noWrap w:val="0"/>
            <w:vAlign w:val="center"/>
          </w:tcPr>
          <w:p w14:paraId="3BA8830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3</w:t>
            </w:r>
          </w:p>
        </w:tc>
        <w:tc>
          <w:tcPr>
            <w:tcW w:w="2939" w:type="dxa"/>
            <w:noWrap w:val="0"/>
            <w:vAlign w:val="center"/>
          </w:tcPr>
          <w:p w14:paraId="367B00B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1.年龄在60周岁以下；</w:t>
            </w:r>
          </w:p>
        </w:tc>
        <w:tc>
          <w:tcPr>
            <w:tcW w:w="2737" w:type="dxa"/>
            <w:tcBorders>
              <w:right w:val="single" w:color="auto" w:sz="4" w:space="0"/>
            </w:tcBorders>
            <w:noWrap w:val="0"/>
            <w:vAlign w:val="center"/>
          </w:tcPr>
          <w:p w14:paraId="7252A60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是（提供身份证）</w:t>
            </w:r>
          </w:p>
        </w:tc>
      </w:tr>
      <w:tr w14:paraId="72832F2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933" w:type="dxa"/>
            <w:vMerge w:val="continue"/>
            <w:tcBorders>
              <w:left w:val="single" w:color="auto" w:sz="4" w:space="0"/>
            </w:tcBorders>
            <w:noWrap w:val="0"/>
            <w:vAlign w:val="top"/>
          </w:tcPr>
          <w:p w14:paraId="6CE50505">
            <w:pPr>
              <w:spacing w:line="560" w:lineRule="exact"/>
              <w:jc w:val="center"/>
              <w:rPr>
                <w:rFonts w:hint="eastAsia" w:ascii="仿宋_GB2312" w:hAnsi="仿宋_GB2312" w:eastAsia="仿宋_GB2312" w:cs="仿宋_GB2312"/>
                <w:color w:val="000000"/>
                <w:sz w:val="28"/>
                <w:szCs w:val="28"/>
                <w:vertAlign w:val="baseline"/>
                <w:lang w:val="en-US" w:eastAsia="zh-CN"/>
              </w:rPr>
            </w:pPr>
          </w:p>
        </w:tc>
        <w:tc>
          <w:tcPr>
            <w:tcW w:w="1437" w:type="dxa"/>
            <w:vMerge w:val="continue"/>
            <w:noWrap w:val="0"/>
            <w:vAlign w:val="center"/>
          </w:tcPr>
          <w:p w14:paraId="18B7CF4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sz w:val="28"/>
                <w:szCs w:val="28"/>
                <w:vertAlign w:val="baseline"/>
                <w:lang w:val="en-US" w:eastAsia="zh-CN"/>
              </w:rPr>
            </w:pPr>
          </w:p>
        </w:tc>
        <w:tc>
          <w:tcPr>
            <w:tcW w:w="1098" w:type="dxa"/>
            <w:vMerge w:val="continue"/>
            <w:noWrap w:val="0"/>
            <w:vAlign w:val="center"/>
          </w:tcPr>
          <w:p w14:paraId="3CA82B46">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仿宋_GB2312" w:hAnsi="仿宋_GB2312" w:eastAsia="仿宋_GB2312" w:cs="仿宋_GB2312"/>
                <w:color w:val="000000"/>
                <w:sz w:val="28"/>
                <w:szCs w:val="28"/>
                <w:vertAlign w:val="baseline"/>
                <w:lang w:val="en-US" w:eastAsia="zh-CN"/>
              </w:rPr>
            </w:pPr>
          </w:p>
        </w:tc>
        <w:tc>
          <w:tcPr>
            <w:tcW w:w="2939" w:type="dxa"/>
            <w:noWrap w:val="0"/>
            <w:vAlign w:val="center"/>
          </w:tcPr>
          <w:p w14:paraId="2F89397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000000"/>
                <w:sz w:val="28"/>
                <w:szCs w:val="28"/>
                <w:vertAlign w:val="baseline"/>
                <w:lang w:val="en-US" w:eastAsia="zh-CN"/>
              </w:rPr>
            </w:pPr>
            <w:r>
              <w:rPr>
                <w:rFonts w:hint="default" w:ascii="仿宋_GB2312" w:hAnsi="仿宋_GB2312" w:eastAsia="仿宋_GB2312" w:cs="仿宋_GB2312"/>
                <w:color w:val="000000"/>
                <w:sz w:val="28"/>
                <w:szCs w:val="28"/>
                <w:vertAlign w:val="baseline"/>
                <w:lang w:val="en-US" w:eastAsia="zh-CN"/>
              </w:rPr>
              <w:t>★</w:t>
            </w:r>
            <w:r>
              <w:rPr>
                <w:rFonts w:hint="eastAsia" w:ascii="仿宋_GB2312" w:hAnsi="仿宋_GB2312" w:eastAsia="仿宋_GB2312" w:cs="仿宋_GB2312"/>
                <w:color w:val="000000"/>
                <w:sz w:val="28"/>
                <w:szCs w:val="28"/>
                <w:vertAlign w:val="baseline"/>
                <w:lang w:val="en-US" w:eastAsia="zh-CN"/>
              </w:rPr>
              <w:t>2.至少1人具备电工从业资格。</w:t>
            </w:r>
          </w:p>
        </w:tc>
        <w:tc>
          <w:tcPr>
            <w:tcW w:w="2737" w:type="dxa"/>
            <w:tcBorders>
              <w:right w:val="single" w:color="auto" w:sz="4" w:space="0"/>
            </w:tcBorders>
            <w:noWrap w:val="0"/>
            <w:vAlign w:val="center"/>
          </w:tcPr>
          <w:p w14:paraId="022D6F7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是【提供政府部门考核发放的有效“特种作业操作证（电工）”（高压电工作业或低压电工作业）】。</w:t>
            </w:r>
          </w:p>
        </w:tc>
      </w:tr>
      <w:tr w14:paraId="0E7A1DA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33" w:type="dxa"/>
            <w:tcBorders>
              <w:left w:val="single" w:color="auto" w:sz="4" w:space="0"/>
              <w:bottom w:val="single" w:color="auto" w:sz="4" w:space="0"/>
            </w:tcBorders>
            <w:noWrap w:val="0"/>
            <w:vAlign w:val="top"/>
          </w:tcPr>
          <w:p w14:paraId="4D4888D9">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合计</w:t>
            </w:r>
          </w:p>
        </w:tc>
        <w:tc>
          <w:tcPr>
            <w:tcW w:w="1437" w:type="dxa"/>
            <w:tcBorders>
              <w:bottom w:val="single" w:color="auto" w:sz="4" w:space="0"/>
            </w:tcBorders>
            <w:noWrap w:val="0"/>
            <w:vAlign w:val="top"/>
          </w:tcPr>
          <w:p w14:paraId="03EDA472">
            <w:pPr>
              <w:spacing w:line="560" w:lineRule="exact"/>
              <w:jc w:val="center"/>
              <w:rPr>
                <w:rFonts w:hint="default" w:ascii="仿宋_GB2312" w:hAnsi="仿宋_GB2312" w:eastAsia="仿宋_GB2312" w:cs="仿宋_GB2312"/>
                <w:color w:val="000000"/>
                <w:sz w:val="28"/>
                <w:szCs w:val="28"/>
                <w:vertAlign w:val="baseline"/>
                <w:lang w:val="en-US" w:eastAsia="zh-CN"/>
              </w:rPr>
            </w:pPr>
          </w:p>
        </w:tc>
        <w:tc>
          <w:tcPr>
            <w:tcW w:w="1098" w:type="dxa"/>
            <w:tcBorders>
              <w:bottom w:val="single" w:color="auto" w:sz="4" w:space="0"/>
            </w:tcBorders>
            <w:noWrap w:val="0"/>
            <w:vAlign w:val="top"/>
          </w:tcPr>
          <w:p w14:paraId="7CAB4CAF">
            <w:pPr>
              <w:spacing w:line="560" w:lineRule="exact"/>
              <w:jc w:val="center"/>
              <w:rPr>
                <w:rFonts w:hint="default"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85</w:t>
            </w:r>
          </w:p>
        </w:tc>
        <w:tc>
          <w:tcPr>
            <w:tcW w:w="2939" w:type="dxa"/>
            <w:tcBorders>
              <w:bottom w:val="single" w:color="auto" w:sz="4" w:space="0"/>
            </w:tcBorders>
            <w:noWrap w:val="0"/>
            <w:vAlign w:val="top"/>
          </w:tcPr>
          <w:p w14:paraId="4FFECABB">
            <w:pPr>
              <w:spacing w:line="560" w:lineRule="exact"/>
              <w:jc w:val="center"/>
              <w:rPr>
                <w:rFonts w:hint="default" w:ascii="仿宋_GB2312" w:hAnsi="仿宋_GB2312" w:eastAsia="仿宋_GB2312" w:cs="仿宋_GB2312"/>
                <w:color w:val="000000"/>
                <w:sz w:val="28"/>
                <w:szCs w:val="28"/>
                <w:vertAlign w:val="baseline"/>
                <w:lang w:val="en-US" w:eastAsia="zh-CN"/>
              </w:rPr>
            </w:pPr>
          </w:p>
        </w:tc>
        <w:tc>
          <w:tcPr>
            <w:tcW w:w="2737" w:type="dxa"/>
            <w:tcBorders>
              <w:bottom w:val="single" w:color="auto" w:sz="4" w:space="0"/>
              <w:right w:val="single" w:color="auto" w:sz="4" w:space="0"/>
            </w:tcBorders>
            <w:noWrap w:val="0"/>
            <w:vAlign w:val="center"/>
          </w:tcPr>
          <w:p w14:paraId="291E9CD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000000"/>
                <w:sz w:val="28"/>
                <w:szCs w:val="28"/>
                <w:vertAlign w:val="baseline"/>
                <w:lang w:val="en-US" w:eastAsia="zh-CN"/>
              </w:rPr>
            </w:pPr>
          </w:p>
        </w:tc>
      </w:tr>
    </w:tbl>
    <w:p w14:paraId="77BC860C">
      <w:pPr>
        <w:numPr>
          <w:ilvl w:val="0"/>
          <w:numId w:val="0"/>
        </w:numPr>
        <w:spacing w:line="240" w:lineRule="atLeast"/>
        <w:ind w:firstLine="643" w:firstLineChars="200"/>
        <w:jc w:val="left"/>
        <w:outlineLvl w:val="2"/>
        <w:rPr>
          <w:rFonts w:ascii="仿宋_GB2312" w:eastAsia="仿宋_GB2312"/>
          <w:b/>
          <w:bCs/>
          <w:sz w:val="32"/>
          <w:szCs w:val="40"/>
        </w:rPr>
      </w:pPr>
      <w:r>
        <w:rPr>
          <w:rFonts w:hint="eastAsia" w:ascii="仿宋_GB2312" w:eastAsia="仿宋_GB2312"/>
          <w:b/>
          <w:bCs/>
          <w:sz w:val="32"/>
          <w:szCs w:val="40"/>
          <w:lang w:val="en-US" w:eastAsia="zh-CN"/>
        </w:rPr>
        <w:t>3、</w:t>
      </w:r>
      <w:r>
        <w:rPr>
          <w:rFonts w:hint="eastAsia" w:ascii="仿宋_GB2312" w:eastAsia="仿宋_GB2312"/>
          <w:b/>
          <w:bCs/>
          <w:sz w:val="32"/>
          <w:szCs w:val="40"/>
        </w:rPr>
        <w:t>需投入设备</w:t>
      </w:r>
      <w:r>
        <w:rPr>
          <w:rFonts w:hint="eastAsia" w:ascii="仿宋_GB2312" w:eastAsia="仿宋_GB2312"/>
          <w:b/>
          <w:bCs/>
          <w:sz w:val="32"/>
          <w:szCs w:val="40"/>
          <w:lang w:eastAsia="zh-CN"/>
        </w:rPr>
        <w:t>、物料</w:t>
      </w:r>
      <w:r>
        <w:rPr>
          <w:rFonts w:hint="eastAsia" w:ascii="仿宋_GB2312" w:eastAsia="仿宋_GB2312"/>
          <w:b/>
          <w:bCs/>
          <w:sz w:val="32"/>
          <w:szCs w:val="40"/>
        </w:rPr>
        <w:t>一览表（本表数量为最小数量，投标人可根据实际情况增加）</w:t>
      </w:r>
      <w:r>
        <w:rPr>
          <w:rFonts w:ascii="仿宋_GB2312" w:eastAsia="仿宋_GB2312"/>
          <w:b/>
          <w:bCs/>
          <w:sz w:val="32"/>
          <w:szCs w:val="40"/>
        </w:rPr>
        <w:t>：</w:t>
      </w:r>
    </w:p>
    <w:p w14:paraId="68A939DC">
      <w:pPr>
        <w:pStyle w:val="70"/>
      </w:pPr>
    </w:p>
    <w:tbl>
      <w:tblPr>
        <w:tblStyle w:val="52"/>
        <w:tblW w:w="0" w:type="auto"/>
        <w:tblInd w:w="-4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979"/>
        <w:gridCol w:w="1509"/>
        <w:gridCol w:w="2538"/>
        <w:gridCol w:w="2007"/>
      </w:tblGrid>
      <w:tr w14:paraId="65E9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38182FC4">
            <w:pPr>
              <w:pStyle w:val="17"/>
              <w:spacing w:line="360" w:lineRule="auto"/>
              <w:jc w:val="center"/>
              <w:rPr>
                <w:rFonts w:hint="eastAsia" w:ascii="黑体" w:hAnsi="黑体" w:eastAsia="黑体" w:cs="黑体"/>
                <w:color w:val="000000"/>
                <w:kern w:val="2"/>
                <w:sz w:val="28"/>
                <w:szCs w:val="28"/>
                <w:highlight w:val="none"/>
                <w:lang w:val="en-US" w:eastAsia="zh-CN" w:bidi="ar-SA"/>
              </w:rPr>
            </w:pPr>
            <w:r>
              <w:rPr>
                <w:rFonts w:hint="eastAsia" w:ascii="黑体" w:hAnsi="黑体" w:eastAsia="黑体" w:cs="黑体"/>
                <w:color w:val="000000"/>
                <w:kern w:val="2"/>
                <w:sz w:val="28"/>
                <w:szCs w:val="28"/>
                <w:highlight w:val="none"/>
                <w:lang w:val="en-US" w:eastAsia="zh-CN" w:bidi="ar-SA"/>
              </w:rPr>
              <w:t>序号</w:t>
            </w:r>
          </w:p>
        </w:tc>
        <w:tc>
          <w:tcPr>
            <w:tcW w:w="1979" w:type="dxa"/>
            <w:vAlign w:val="center"/>
          </w:tcPr>
          <w:p w14:paraId="0B4FB984">
            <w:pPr>
              <w:pStyle w:val="17"/>
              <w:spacing w:line="360" w:lineRule="auto"/>
              <w:jc w:val="center"/>
              <w:rPr>
                <w:rFonts w:hint="eastAsia" w:ascii="黑体" w:hAnsi="黑体" w:eastAsia="黑体" w:cs="黑体"/>
                <w:color w:val="000000"/>
                <w:kern w:val="2"/>
                <w:sz w:val="28"/>
                <w:szCs w:val="28"/>
                <w:highlight w:val="none"/>
                <w:lang w:val="en-US" w:eastAsia="zh-CN" w:bidi="ar-SA"/>
              </w:rPr>
            </w:pPr>
            <w:r>
              <w:rPr>
                <w:rFonts w:hint="eastAsia" w:ascii="黑体" w:hAnsi="黑体" w:eastAsia="黑体" w:cs="黑体"/>
                <w:color w:val="000000"/>
                <w:kern w:val="2"/>
                <w:sz w:val="28"/>
                <w:szCs w:val="28"/>
                <w:highlight w:val="none"/>
                <w:lang w:val="en-US" w:eastAsia="zh-CN" w:bidi="ar-SA"/>
              </w:rPr>
              <w:t>名称</w:t>
            </w:r>
          </w:p>
        </w:tc>
        <w:tc>
          <w:tcPr>
            <w:tcW w:w="1509" w:type="dxa"/>
            <w:vAlign w:val="center"/>
          </w:tcPr>
          <w:p w14:paraId="7FC93CF1">
            <w:pPr>
              <w:pStyle w:val="17"/>
              <w:spacing w:line="360" w:lineRule="auto"/>
              <w:jc w:val="center"/>
              <w:rPr>
                <w:rFonts w:hint="eastAsia" w:ascii="黑体" w:hAnsi="黑体" w:eastAsia="黑体" w:cs="黑体"/>
                <w:color w:val="000000"/>
                <w:kern w:val="2"/>
                <w:sz w:val="28"/>
                <w:szCs w:val="28"/>
                <w:highlight w:val="none"/>
                <w:lang w:val="en-US" w:eastAsia="zh-CN" w:bidi="ar-SA"/>
              </w:rPr>
            </w:pPr>
            <w:r>
              <w:rPr>
                <w:rFonts w:hint="eastAsia" w:ascii="黑体" w:hAnsi="黑体" w:eastAsia="黑体" w:cs="黑体"/>
                <w:color w:val="000000"/>
                <w:kern w:val="2"/>
                <w:sz w:val="28"/>
                <w:szCs w:val="28"/>
                <w:highlight w:val="none"/>
                <w:lang w:val="en-US" w:eastAsia="zh-CN" w:bidi="ar-SA"/>
              </w:rPr>
              <w:t>数量</w:t>
            </w:r>
          </w:p>
        </w:tc>
        <w:tc>
          <w:tcPr>
            <w:tcW w:w="2538" w:type="dxa"/>
            <w:vAlign w:val="center"/>
          </w:tcPr>
          <w:p w14:paraId="513C55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rPr>
            </w:pPr>
            <w:r>
              <w:rPr>
                <w:rFonts w:hint="eastAsia" w:ascii="黑体" w:hAnsi="黑体" w:eastAsia="黑体" w:cs="黑体"/>
                <w:sz w:val="28"/>
                <w:szCs w:val="28"/>
                <w:highlight w:val="none"/>
                <w:lang w:val="en-US" w:eastAsia="zh-CN"/>
              </w:rPr>
              <w:t>基本要求</w:t>
            </w:r>
          </w:p>
        </w:tc>
        <w:tc>
          <w:tcPr>
            <w:tcW w:w="2007" w:type="dxa"/>
            <w:vAlign w:val="top"/>
          </w:tcPr>
          <w:p w14:paraId="0A2375E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rPr>
            </w:pPr>
            <w:r>
              <w:rPr>
                <w:rFonts w:hint="default" w:ascii="黑体" w:hAnsi="黑体" w:eastAsia="黑体" w:cs="黑体"/>
                <w:sz w:val="28"/>
                <w:szCs w:val="28"/>
                <w:highlight w:val="none"/>
                <w:lang w:val="en-US" w:eastAsia="zh-CN"/>
              </w:rPr>
              <w:t>证明材料要求</w:t>
            </w:r>
          </w:p>
        </w:tc>
      </w:tr>
      <w:tr w14:paraId="4A38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0A9EA253">
            <w:pPr>
              <w:pStyle w:val="17"/>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1</w:t>
            </w:r>
          </w:p>
        </w:tc>
        <w:tc>
          <w:tcPr>
            <w:tcW w:w="1979" w:type="dxa"/>
            <w:vAlign w:val="center"/>
          </w:tcPr>
          <w:p w14:paraId="03424DCE">
            <w:pPr>
              <w:pStyle w:val="17"/>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擦手</w:t>
            </w:r>
            <w:r>
              <w:rPr>
                <w:rFonts w:hint="eastAsia" w:ascii="仿宋" w:hAnsi="仿宋" w:eastAsia="仿宋" w:cs="仿宋"/>
                <w:sz w:val="28"/>
                <w:szCs w:val="28"/>
              </w:rPr>
              <w:t>纸</w:t>
            </w:r>
            <w:r>
              <w:rPr>
                <w:rFonts w:hint="eastAsia" w:ascii="仿宋" w:hAnsi="仿宋" w:eastAsia="仿宋" w:cs="仿宋"/>
                <w:sz w:val="28"/>
                <w:szCs w:val="28"/>
                <w:lang w:eastAsia="zh-CN"/>
              </w:rPr>
              <w:t>、洗手液</w:t>
            </w:r>
          </w:p>
        </w:tc>
        <w:tc>
          <w:tcPr>
            <w:tcW w:w="1509" w:type="dxa"/>
            <w:vAlign w:val="center"/>
          </w:tcPr>
          <w:p w14:paraId="7B31724F">
            <w:pPr>
              <w:pStyle w:val="17"/>
              <w:spacing w:line="360" w:lineRule="auto"/>
              <w:jc w:val="center"/>
              <w:rPr>
                <w:rFonts w:hint="eastAsia" w:ascii="仿宋" w:hAnsi="仿宋" w:eastAsia="仿宋" w:cs="仿宋"/>
                <w:sz w:val="28"/>
                <w:szCs w:val="28"/>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vAlign w:val="center"/>
          </w:tcPr>
          <w:p w14:paraId="0613A3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rPr>
            </w:pPr>
            <w:r>
              <w:rPr>
                <w:rFonts w:hint="eastAsia" w:ascii="仿宋_GB2312" w:hAnsi="仿宋_GB2312" w:eastAsia="仿宋_GB2312" w:cs="仿宋_GB2312"/>
                <w:color w:val="000000"/>
                <w:sz w:val="28"/>
                <w:szCs w:val="28"/>
                <w:vertAlign w:val="baseline"/>
                <w:lang w:val="en-US" w:eastAsia="zh-CN"/>
              </w:rPr>
              <w:t>/</w:t>
            </w:r>
          </w:p>
        </w:tc>
        <w:tc>
          <w:tcPr>
            <w:tcW w:w="2007" w:type="dxa"/>
            <w:vAlign w:val="center"/>
          </w:tcPr>
          <w:p w14:paraId="0ECBFBF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sz w:val="28"/>
                <w:szCs w:val="28"/>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72F7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14F1C84D">
            <w:pPr>
              <w:pStyle w:val="17"/>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p>
        </w:tc>
        <w:tc>
          <w:tcPr>
            <w:tcW w:w="1979" w:type="dxa"/>
            <w:vAlign w:val="center"/>
          </w:tcPr>
          <w:p w14:paraId="31CF2043">
            <w:pPr>
              <w:pStyle w:val="17"/>
              <w:spacing w:line="360" w:lineRule="auto"/>
              <w:jc w:val="center"/>
              <w:rPr>
                <w:rFonts w:hint="eastAsia" w:ascii="仿宋" w:hAnsi="仿宋" w:eastAsia="仿宋" w:cs="仿宋"/>
                <w:sz w:val="28"/>
                <w:szCs w:val="28"/>
              </w:rPr>
            </w:pPr>
            <w:r>
              <w:rPr>
                <w:rFonts w:hint="eastAsia" w:ascii="仿宋" w:hAnsi="仿宋" w:eastAsia="仿宋" w:cs="仿宋"/>
                <w:sz w:val="28"/>
                <w:szCs w:val="28"/>
              </w:rPr>
              <w:t>大中型清扫车</w:t>
            </w:r>
          </w:p>
        </w:tc>
        <w:tc>
          <w:tcPr>
            <w:tcW w:w="1509" w:type="dxa"/>
            <w:vAlign w:val="center"/>
          </w:tcPr>
          <w:p w14:paraId="338E2250">
            <w:pPr>
              <w:spacing w:line="360" w:lineRule="auto"/>
              <w:jc w:val="center"/>
              <w:rPr>
                <w:rFonts w:hint="eastAsia" w:ascii="仿宋" w:hAnsi="仿宋" w:eastAsia="仿宋" w:cs="仿宋"/>
                <w:sz w:val="28"/>
                <w:szCs w:val="28"/>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vAlign w:val="center"/>
          </w:tcPr>
          <w:p w14:paraId="29FCCCD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辆</w:t>
            </w:r>
            <w:r>
              <w:rPr>
                <w:rFonts w:hint="eastAsia" w:ascii="仿宋" w:hAnsi="仿宋" w:eastAsia="仿宋" w:cs="仿宋"/>
                <w:sz w:val="28"/>
                <w:szCs w:val="28"/>
                <w:lang w:eastAsia="zh-CN"/>
              </w:rPr>
              <w:t>，</w:t>
            </w:r>
            <w:r>
              <w:rPr>
                <w:rFonts w:hint="eastAsia" w:ascii="仿宋" w:hAnsi="仿宋" w:eastAsia="仿宋" w:cs="仿宋"/>
                <w:sz w:val="28"/>
                <w:szCs w:val="28"/>
              </w:rPr>
              <w:t>整车整备质量不低于7945KG</w:t>
            </w:r>
          </w:p>
        </w:tc>
        <w:tc>
          <w:tcPr>
            <w:tcW w:w="2007" w:type="dxa"/>
            <w:vAlign w:val="center"/>
          </w:tcPr>
          <w:p w14:paraId="46C850D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sz w:val="28"/>
                <w:szCs w:val="28"/>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6D9D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3FC37036">
            <w:pPr>
              <w:pStyle w:val="17"/>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p>
        </w:tc>
        <w:tc>
          <w:tcPr>
            <w:tcW w:w="1979" w:type="dxa"/>
            <w:vAlign w:val="center"/>
          </w:tcPr>
          <w:p w14:paraId="20E5B4C8">
            <w:pPr>
              <w:pStyle w:val="17"/>
              <w:spacing w:line="360" w:lineRule="auto"/>
              <w:jc w:val="center"/>
              <w:rPr>
                <w:rFonts w:hint="eastAsia" w:ascii="仿宋" w:hAnsi="仿宋" w:eastAsia="仿宋" w:cs="仿宋"/>
                <w:sz w:val="28"/>
                <w:szCs w:val="28"/>
              </w:rPr>
            </w:pPr>
            <w:r>
              <w:rPr>
                <w:rFonts w:hint="eastAsia" w:ascii="仿宋" w:hAnsi="仿宋" w:eastAsia="仿宋" w:cs="仿宋"/>
                <w:sz w:val="28"/>
                <w:szCs w:val="28"/>
              </w:rPr>
              <w:t>高压冲洗车（电动）</w:t>
            </w:r>
          </w:p>
        </w:tc>
        <w:tc>
          <w:tcPr>
            <w:tcW w:w="1509" w:type="dxa"/>
            <w:vAlign w:val="center"/>
          </w:tcPr>
          <w:p w14:paraId="237D29E9">
            <w:pPr>
              <w:spacing w:line="360" w:lineRule="auto"/>
              <w:jc w:val="center"/>
              <w:rPr>
                <w:rFonts w:hint="eastAsia" w:ascii="仿宋" w:hAnsi="仿宋" w:eastAsia="仿宋" w:cs="仿宋"/>
                <w:sz w:val="28"/>
                <w:szCs w:val="28"/>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vAlign w:val="center"/>
          </w:tcPr>
          <w:p w14:paraId="350FC0B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辆</w:t>
            </w:r>
            <w:r>
              <w:rPr>
                <w:rFonts w:hint="eastAsia" w:ascii="仿宋" w:hAnsi="仿宋" w:eastAsia="仿宋" w:cs="仿宋"/>
                <w:sz w:val="28"/>
                <w:szCs w:val="28"/>
                <w:lang w:eastAsia="zh-CN"/>
              </w:rPr>
              <w:t>，</w:t>
            </w:r>
            <w:r>
              <w:rPr>
                <w:rFonts w:hint="eastAsia" w:ascii="仿宋" w:hAnsi="仿宋" w:eastAsia="仿宋" w:cs="仿宋"/>
                <w:sz w:val="28"/>
                <w:szCs w:val="28"/>
              </w:rPr>
              <w:t>罐体容积不低于700L，喷洗装置高压冲洗手枪、前左右对冲、后洒</w:t>
            </w:r>
          </w:p>
        </w:tc>
        <w:tc>
          <w:tcPr>
            <w:tcW w:w="2007" w:type="dxa"/>
            <w:vAlign w:val="center"/>
          </w:tcPr>
          <w:p w14:paraId="49F8334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54B6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1058B696">
            <w:pPr>
              <w:pStyle w:val="17"/>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1979" w:type="dxa"/>
            <w:vAlign w:val="center"/>
          </w:tcPr>
          <w:p w14:paraId="0FBBA733">
            <w:pPr>
              <w:pStyle w:val="17"/>
              <w:spacing w:line="360" w:lineRule="auto"/>
              <w:jc w:val="center"/>
              <w:rPr>
                <w:rFonts w:hint="eastAsia" w:ascii="仿宋" w:hAnsi="仿宋" w:eastAsia="仿宋" w:cs="仿宋"/>
                <w:sz w:val="28"/>
                <w:szCs w:val="28"/>
              </w:rPr>
            </w:pPr>
            <w:r>
              <w:rPr>
                <w:rFonts w:hint="eastAsia" w:ascii="仿宋" w:hAnsi="仿宋" w:eastAsia="仿宋" w:cs="仿宋"/>
                <w:sz w:val="28"/>
                <w:szCs w:val="28"/>
              </w:rPr>
              <w:t>满足校内垃圾投放及清运要求的可卸式垃圾车</w:t>
            </w:r>
          </w:p>
        </w:tc>
        <w:tc>
          <w:tcPr>
            <w:tcW w:w="1509" w:type="dxa"/>
            <w:vAlign w:val="center"/>
          </w:tcPr>
          <w:p w14:paraId="3E956D0E">
            <w:pPr>
              <w:spacing w:line="360" w:lineRule="auto"/>
              <w:jc w:val="center"/>
              <w:rPr>
                <w:rFonts w:hint="default" w:ascii="仿宋_GB2312" w:hAnsi="仿宋_GB2312" w:eastAsia="仿宋_GB2312" w:cs="仿宋_GB2312"/>
                <w:color w:val="000000"/>
                <w:sz w:val="28"/>
                <w:szCs w:val="28"/>
                <w:lang w:val="en-US" w:eastAsia="zh-CN"/>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vAlign w:val="center"/>
          </w:tcPr>
          <w:p w14:paraId="7B8A531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sz w:val="24"/>
                <w:szCs w:val="24"/>
              </w:rPr>
            </w:pPr>
            <w:r>
              <w:rPr>
                <w:rFonts w:hint="eastAsia" w:ascii="仿宋" w:hAnsi="仿宋" w:eastAsia="仿宋" w:cs="仿宋"/>
                <w:sz w:val="28"/>
                <w:szCs w:val="28"/>
                <w:lang w:val="en-US" w:eastAsia="zh-CN"/>
              </w:rPr>
              <w:t>1</w:t>
            </w:r>
            <w:r>
              <w:rPr>
                <w:rFonts w:hint="eastAsia" w:ascii="仿宋" w:hAnsi="仿宋" w:eastAsia="仿宋" w:cs="仿宋"/>
                <w:sz w:val="28"/>
                <w:szCs w:val="28"/>
              </w:rPr>
              <w:t>辆</w:t>
            </w:r>
            <w:r>
              <w:rPr>
                <w:rFonts w:hint="eastAsia" w:ascii="仿宋" w:hAnsi="仿宋" w:eastAsia="仿宋" w:cs="仿宋"/>
                <w:sz w:val="28"/>
                <w:szCs w:val="28"/>
                <w:lang w:eastAsia="zh-CN"/>
              </w:rPr>
              <w:t>，</w:t>
            </w:r>
            <w:r>
              <w:rPr>
                <w:rFonts w:hint="eastAsia" w:ascii="仿宋" w:hAnsi="仿宋" w:eastAsia="仿宋" w:cs="仿宋"/>
                <w:sz w:val="28"/>
                <w:szCs w:val="28"/>
              </w:rPr>
              <w:t>匹配采购人提供的垃圾箱体（垃圾箱体规格为</w:t>
            </w:r>
            <w:r>
              <w:rPr>
                <w:rFonts w:hint="eastAsia" w:ascii="仿宋" w:hAnsi="仿宋" w:eastAsia="仿宋" w:cs="仿宋"/>
                <w:sz w:val="28"/>
                <w:szCs w:val="28"/>
                <w:lang w:eastAsia="zh-CN"/>
              </w:rPr>
              <w:t>长</w:t>
            </w:r>
            <w:r>
              <w:rPr>
                <w:rFonts w:hint="eastAsia" w:ascii="仿宋" w:hAnsi="仿宋" w:eastAsia="仿宋" w:cs="仿宋"/>
                <w:sz w:val="28"/>
                <w:szCs w:val="28"/>
              </w:rPr>
              <w:t>2300*</w:t>
            </w:r>
            <w:r>
              <w:rPr>
                <w:rFonts w:hint="eastAsia" w:ascii="仿宋" w:hAnsi="仿宋" w:eastAsia="仿宋" w:cs="仿宋"/>
                <w:sz w:val="28"/>
                <w:szCs w:val="28"/>
                <w:lang w:eastAsia="zh-CN"/>
              </w:rPr>
              <w:t>宽</w:t>
            </w:r>
            <w:r>
              <w:rPr>
                <w:rFonts w:hint="eastAsia" w:ascii="仿宋" w:hAnsi="仿宋" w:eastAsia="仿宋" w:cs="仿宋"/>
                <w:sz w:val="28"/>
                <w:szCs w:val="28"/>
              </w:rPr>
              <w:t>1600*</w:t>
            </w:r>
            <w:r>
              <w:rPr>
                <w:rFonts w:hint="eastAsia" w:ascii="仿宋" w:hAnsi="仿宋" w:eastAsia="仿宋" w:cs="仿宋"/>
                <w:sz w:val="28"/>
                <w:szCs w:val="28"/>
                <w:lang w:eastAsia="zh-CN"/>
              </w:rPr>
              <w:t>高</w:t>
            </w:r>
            <w:r>
              <w:rPr>
                <w:rFonts w:hint="eastAsia" w:ascii="仿宋" w:hAnsi="仿宋" w:eastAsia="仿宋" w:cs="仿宋"/>
                <w:sz w:val="28"/>
                <w:szCs w:val="28"/>
              </w:rPr>
              <w:t>1200）</w:t>
            </w:r>
          </w:p>
        </w:tc>
        <w:tc>
          <w:tcPr>
            <w:tcW w:w="2007" w:type="dxa"/>
            <w:vAlign w:val="center"/>
          </w:tcPr>
          <w:p w14:paraId="782784B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4AFB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283D3564">
            <w:pPr>
              <w:pStyle w:val="17"/>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p>
        </w:tc>
        <w:tc>
          <w:tcPr>
            <w:tcW w:w="1979" w:type="dxa"/>
            <w:vAlign w:val="center"/>
          </w:tcPr>
          <w:p w14:paraId="6C6E8B7E">
            <w:pPr>
              <w:pStyle w:val="17"/>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rPr>
              <w:t>绿化</w:t>
            </w:r>
            <w:r>
              <w:rPr>
                <w:rFonts w:hint="eastAsia" w:ascii="仿宋" w:hAnsi="仿宋" w:eastAsia="仿宋" w:cs="仿宋"/>
                <w:sz w:val="28"/>
                <w:szCs w:val="28"/>
                <w:lang w:eastAsia="zh-CN"/>
              </w:rPr>
              <w:t>用具（</w:t>
            </w:r>
            <w:r>
              <w:rPr>
                <w:rFonts w:hint="eastAsia" w:ascii="仿宋" w:hAnsi="仿宋" w:eastAsia="仿宋" w:cs="仿宋"/>
                <w:sz w:val="28"/>
                <w:szCs w:val="28"/>
              </w:rPr>
              <w:t>药剂</w:t>
            </w:r>
            <w:r>
              <w:rPr>
                <w:rFonts w:hint="eastAsia" w:ascii="仿宋" w:hAnsi="仿宋" w:eastAsia="仿宋" w:cs="仿宋"/>
                <w:sz w:val="28"/>
                <w:szCs w:val="28"/>
                <w:lang w:eastAsia="zh-CN"/>
              </w:rPr>
              <w:t>，</w:t>
            </w:r>
            <w:r>
              <w:rPr>
                <w:rFonts w:hint="eastAsia" w:ascii="仿宋" w:hAnsi="仿宋" w:eastAsia="仿宋" w:cs="仿宋"/>
                <w:spacing w:val="7"/>
                <w:sz w:val="28"/>
                <w:szCs w:val="28"/>
              </w:rPr>
              <w:t>化肥、手剪</w:t>
            </w:r>
            <w:r>
              <w:rPr>
                <w:rFonts w:hint="eastAsia" w:ascii="仿宋" w:hAnsi="仿宋" w:eastAsia="仿宋" w:cs="仿宋"/>
                <w:spacing w:val="7"/>
                <w:sz w:val="28"/>
                <w:szCs w:val="28"/>
                <w:lang w:eastAsia="zh-CN"/>
              </w:rPr>
              <w:t>、压钳、平剪等</w:t>
            </w:r>
            <w:r>
              <w:rPr>
                <w:rFonts w:hint="eastAsia" w:ascii="仿宋" w:hAnsi="仿宋" w:eastAsia="仿宋" w:cs="仿宋"/>
                <w:sz w:val="28"/>
                <w:szCs w:val="28"/>
                <w:lang w:eastAsia="zh-CN"/>
              </w:rPr>
              <w:t>）</w:t>
            </w:r>
          </w:p>
        </w:tc>
        <w:tc>
          <w:tcPr>
            <w:tcW w:w="1509" w:type="dxa"/>
            <w:vAlign w:val="center"/>
          </w:tcPr>
          <w:p w14:paraId="41AA3BC3">
            <w:pPr>
              <w:spacing w:line="360" w:lineRule="auto"/>
              <w:jc w:val="center"/>
              <w:rPr>
                <w:rFonts w:hint="eastAsia" w:ascii="仿宋" w:hAnsi="仿宋" w:eastAsia="仿宋" w:cs="仿宋"/>
                <w:sz w:val="28"/>
                <w:szCs w:val="28"/>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vAlign w:val="center"/>
          </w:tcPr>
          <w:p w14:paraId="45723BC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rPr>
            </w:pPr>
            <w:r>
              <w:rPr>
                <w:rFonts w:hint="eastAsia" w:ascii="仿宋_GB2312" w:hAnsi="仿宋_GB2312" w:eastAsia="仿宋_GB2312" w:cs="仿宋_GB2312"/>
                <w:color w:val="000000"/>
                <w:sz w:val="28"/>
                <w:szCs w:val="28"/>
                <w:vertAlign w:val="baseline"/>
                <w:lang w:val="en-US" w:eastAsia="zh-CN"/>
              </w:rPr>
              <w:t>/</w:t>
            </w:r>
          </w:p>
        </w:tc>
        <w:tc>
          <w:tcPr>
            <w:tcW w:w="2007" w:type="dxa"/>
            <w:vAlign w:val="center"/>
          </w:tcPr>
          <w:p w14:paraId="794F56C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2799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6856EFBF">
            <w:pPr>
              <w:pStyle w:val="17"/>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p>
        </w:tc>
        <w:tc>
          <w:tcPr>
            <w:tcW w:w="1979" w:type="dxa"/>
            <w:vAlign w:val="center"/>
          </w:tcPr>
          <w:p w14:paraId="414BD1A4">
            <w:pPr>
              <w:pStyle w:val="17"/>
              <w:spacing w:line="360" w:lineRule="auto"/>
              <w:jc w:val="left"/>
              <w:rPr>
                <w:rFonts w:hint="eastAsia" w:ascii="仿宋" w:hAnsi="仿宋" w:eastAsia="仿宋" w:cs="仿宋"/>
                <w:sz w:val="28"/>
                <w:szCs w:val="28"/>
              </w:rPr>
            </w:pPr>
            <w:r>
              <w:rPr>
                <w:rFonts w:hint="eastAsia" w:ascii="仿宋" w:hAnsi="仿宋" w:eastAsia="仿宋" w:cs="仿宋"/>
                <w:sz w:val="28"/>
                <w:szCs w:val="28"/>
                <w:lang w:eastAsia="zh-CN"/>
              </w:rPr>
              <w:t>室内</w:t>
            </w:r>
            <w:r>
              <w:rPr>
                <w:rFonts w:hint="eastAsia" w:ascii="仿宋" w:hAnsi="仿宋" w:eastAsia="仿宋" w:cs="仿宋"/>
                <w:sz w:val="28"/>
                <w:szCs w:val="28"/>
              </w:rPr>
              <w:t>保洁用具（垃圾袋、檀香、卫生球、消杀药水等）</w:t>
            </w:r>
          </w:p>
        </w:tc>
        <w:tc>
          <w:tcPr>
            <w:tcW w:w="1509" w:type="dxa"/>
            <w:vAlign w:val="center"/>
          </w:tcPr>
          <w:p w14:paraId="65C5A3E4">
            <w:pPr>
              <w:spacing w:line="360" w:lineRule="auto"/>
              <w:jc w:val="center"/>
              <w:rPr>
                <w:rFonts w:hint="eastAsia" w:ascii="仿宋" w:hAnsi="仿宋" w:eastAsia="仿宋" w:cs="仿宋"/>
                <w:sz w:val="28"/>
                <w:szCs w:val="28"/>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vAlign w:val="center"/>
          </w:tcPr>
          <w:p w14:paraId="45FA878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rPr>
            </w:pPr>
            <w:r>
              <w:rPr>
                <w:rFonts w:hint="eastAsia" w:ascii="仿宋_GB2312" w:hAnsi="仿宋_GB2312" w:eastAsia="仿宋_GB2312" w:cs="仿宋_GB2312"/>
                <w:color w:val="000000"/>
                <w:sz w:val="28"/>
                <w:szCs w:val="28"/>
                <w:vertAlign w:val="baseline"/>
                <w:lang w:val="en-US" w:eastAsia="zh-CN"/>
              </w:rPr>
              <w:t>/</w:t>
            </w:r>
          </w:p>
        </w:tc>
        <w:tc>
          <w:tcPr>
            <w:tcW w:w="2007" w:type="dxa"/>
            <w:vAlign w:val="center"/>
          </w:tcPr>
          <w:p w14:paraId="4E46169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7B00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37DB3324">
            <w:pPr>
              <w:pStyle w:val="17"/>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1979" w:type="dxa"/>
            <w:vAlign w:val="center"/>
          </w:tcPr>
          <w:p w14:paraId="6E45BB17">
            <w:pPr>
              <w:pStyle w:val="17"/>
              <w:spacing w:line="360" w:lineRule="auto"/>
              <w:jc w:val="left"/>
              <w:rPr>
                <w:rFonts w:hint="eastAsia" w:ascii="仿宋" w:hAnsi="仿宋" w:eastAsia="仿宋" w:cs="仿宋"/>
                <w:sz w:val="28"/>
                <w:szCs w:val="28"/>
                <w:lang w:eastAsia="zh-CN"/>
              </w:rPr>
            </w:pPr>
            <w:r>
              <w:rPr>
                <w:rFonts w:hint="eastAsia" w:ascii="仿宋" w:hAnsi="仿宋" w:eastAsia="仿宋" w:cs="仿宋"/>
                <w:spacing w:val="7"/>
                <w:sz w:val="28"/>
                <w:szCs w:val="28"/>
                <w:lang w:eastAsia="zh-CN"/>
              </w:rPr>
              <w:t>室外保洁用具（</w:t>
            </w:r>
            <w:r>
              <w:rPr>
                <w:rFonts w:hint="eastAsia" w:ascii="仿宋" w:hAnsi="仿宋" w:eastAsia="仿宋" w:cs="仿宋"/>
                <w:spacing w:val="7"/>
                <w:sz w:val="28"/>
                <w:szCs w:val="28"/>
              </w:rPr>
              <w:t>大扫把、小扫把、推水器、垃圾斗、黑色大垃圾袋（120L）、塑料方掀、铁锨、</w:t>
            </w:r>
            <w:r>
              <w:rPr>
                <w:rFonts w:hint="eastAsia" w:ascii="仿宋" w:hAnsi="仿宋" w:eastAsia="仿宋" w:cs="仿宋"/>
                <w:spacing w:val="7"/>
                <w:sz w:val="28"/>
                <w:szCs w:val="28"/>
                <w:lang w:eastAsia="zh-CN"/>
              </w:rPr>
              <w:t>铲刀</w:t>
            </w:r>
            <w:r>
              <w:rPr>
                <w:rFonts w:hint="eastAsia" w:ascii="仿宋" w:hAnsi="仿宋" w:eastAsia="仿宋" w:cs="仿宋"/>
                <w:spacing w:val="7"/>
                <w:sz w:val="28"/>
                <w:szCs w:val="28"/>
              </w:rPr>
              <w:t>、铁丝、铁钳、</w:t>
            </w:r>
            <w:r>
              <w:rPr>
                <w:rFonts w:hint="eastAsia" w:ascii="仿宋" w:hAnsi="仿宋" w:eastAsia="仿宋" w:cs="仿宋"/>
                <w:spacing w:val="7"/>
                <w:sz w:val="28"/>
                <w:szCs w:val="28"/>
                <w:lang w:eastAsia="zh-CN"/>
              </w:rPr>
              <w:t>背负式喷雾器等）</w:t>
            </w:r>
          </w:p>
        </w:tc>
        <w:tc>
          <w:tcPr>
            <w:tcW w:w="1509" w:type="dxa"/>
            <w:shd w:val="clear" w:color="auto" w:fill="auto"/>
            <w:vAlign w:val="center"/>
          </w:tcPr>
          <w:p w14:paraId="00401942">
            <w:pPr>
              <w:spacing w:line="360" w:lineRule="auto"/>
              <w:jc w:val="center"/>
              <w:rPr>
                <w:rFonts w:hint="default" w:ascii="仿宋" w:hAnsi="仿宋" w:eastAsia="仿宋" w:cs="仿宋"/>
                <w:color w:val="000000"/>
                <w:kern w:val="2"/>
                <w:sz w:val="28"/>
                <w:szCs w:val="28"/>
                <w:lang w:val="en-US" w:eastAsia="zh-CN" w:bidi="ar-SA"/>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shd w:val="clear" w:color="auto" w:fill="auto"/>
            <w:vAlign w:val="center"/>
          </w:tcPr>
          <w:p w14:paraId="2A93E75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kern w:val="2"/>
                <w:sz w:val="28"/>
                <w:szCs w:val="28"/>
                <w:lang w:val="en-US" w:eastAsia="zh-CN" w:bidi="ar-SA"/>
              </w:rPr>
            </w:pPr>
            <w:r>
              <w:rPr>
                <w:rFonts w:hint="eastAsia" w:ascii="仿宋_GB2312" w:hAnsi="仿宋_GB2312" w:eastAsia="仿宋_GB2312" w:cs="仿宋_GB2312"/>
                <w:color w:val="000000"/>
                <w:sz w:val="28"/>
                <w:szCs w:val="28"/>
                <w:vertAlign w:val="baseline"/>
                <w:lang w:val="en-US" w:eastAsia="zh-CN"/>
              </w:rPr>
              <w:t>/</w:t>
            </w:r>
          </w:p>
        </w:tc>
        <w:tc>
          <w:tcPr>
            <w:tcW w:w="2007" w:type="dxa"/>
            <w:shd w:val="clear" w:color="auto" w:fill="auto"/>
            <w:vAlign w:val="center"/>
          </w:tcPr>
          <w:p w14:paraId="32C3D07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111C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3CB83ED7">
            <w:pPr>
              <w:pStyle w:val="17"/>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1979" w:type="dxa"/>
            <w:vAlign w:val="center"/>
          </w:tcPr>
          <w:p w14:paraId="7ABF0125">
            <w:pPr>
              <w:pStyle w:val="17"/>
              <w:spacing w:line="360" w:lineRule="auto"/>
              <w:jc w:val="center"/>
              <w:rPr>
                <w:rFonts w:hint="eastAsia" w:ascii="仿宋" w:hAnsi="仿宋" w:eastAsia="仿宋" w:cs="仿宋"/>
                <w:sz w:val="28"/>
                <w:szCs w:val="28"/>
              </w:rPr>
            </w:pPr>
            <w:r>
              <w:rPr>
                <w:rFonts w:hint="eastAsia" w:ascii="仿宋" w:hAnsi="仿宋" w:eastAsia="仿宋" w:cs="仿宋"/>
                <w:sz w:val="28"/>
                <w:szCs w:val="28"/>
              </w:rPr>
              <w:t>吸尘器</w:t>
            </w:r>
          </w:p>
        </w:tc>
        <w:tc>
          <w:tcPr>
            <w:tcW w:w="1509" w:type="dxa"/>
            <w:vAlign w:val="center"/>
          </w:tcPr>
          <w:p w14:paraId="5799DAF2">
            <w:pPr>
              <w:pStyle w:val="17"/>
              <w:spacing w:line="360" w:lineRule="auto"/>
              <w:jc w:val="center"/>
              <w:rPr>
                <w:rFonts w:hint="eastAsia" w:ascii="仿宋" w:hAnsi="仿宋" w:eastAsia="仿宋" w:cs="仿宋"/>
                <w:sz w:val="28"/>
                <w:szCs w:val="28"/>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vAlign w:val="center"/>
          </w:tcPr>
          <w:p w14:paraId="5E32C90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2台</w:t>
            </w:r>
          </w:p>
        </w:tc>
        <w:tc>
          <w:tcPr>
            <w:tcW w:w="2007" w:type="dxa"/>
            <w:vAlign w:val="center"/>
          </w:tcPr>
          <w:p w14:paraId="2A57F0B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421E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400711B6">
            <w:pPr>
              <w:pStyle w:val="17"/>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1979" w:type="dxa"/>
            <w:vAlign w:val="center"/>
          </w:tcPr>
          <w:p w14:paraId="42D4896D">
            <w:pPr>
              <w:pStyle w:val="17"/>
              <w:spacing w:line="360" w:lineRule="auto"/>
              <w:jc w:val="center"/>
              <w:rPr>
                <w:rFonts w:hint="eastAsia" w:ascii="仿宋" w:hAnsi="仿宋" w:eastAsia="仿宋" w:cs="仿宋"/>
                <w:sz w:val="28"/>
                <w:szCs w:val="28"/>
              </w:rPr>
            </w:pPr>
            <w:r>
              <w:rPr>
                <w:rFonts w:hint="eastAsia" w:ascii="仿宋" w:hAnsi="仿宋" w:eastAsia="仿宋" w:cs="仿宋"/>
                <w:spacing w:val="7"/>
                <w:sz w:val="28"/>
                <w:szCs w:val="28"/>
              </w:rPr>
              <w:t>割草机</w:t>
            </w:r>
          </w:p>
        </w:tc>
        <w:tc>
          <w:tcPr>
            <w:tcW w:w="1509" w:type="dxa"/>
            <w:vAlign w:val="center"/>
          </w:tcPr>
          <w:p w14:paraId="617FDB30">
            <w:pPr>
              <w:pStyle w:val="17"/>
              <w:spacing w:line="360" w:lineRule="auto"/>
              <w:jc w:val="center"/>
              <w:rPr>
                <w:rFonts w:hint="default" w:ascii="仿宋_GB2312" w:hAnsi="仿宋_GB2312" w:eastAsia="仿宋_GB2312" w:cs="仿宋_GB2312"/>
                <w:color w:val="000000"/>
                <w:sz w:val="28"/>
                <w:szCs w:val="28"/>
                <w:lang w:val="en-US" w:eastAsia="zh-CN"/>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vAlign w:val="center"/>
          </w:tcPr>
          <w:p w14:paraId="1583869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lang w:val="en-US" w:eastAsia="zh-CN"/>
              </w:rPr>
              <w:t>4台，</w:t>
            </w:r>
            <w:r>
              <w:rPr>
                <w:rFonts w:hint="eastAsia" w:ascii="仿宋" w:hAnsi="仿宋" w:eastAsia="仿宋" w:cs="仿宋"/>
                <w:color w:val="auto"/>
                <w:sz w:val="28"/>
                <w:szCs w:val="28"/>
                <w:lang w:eastAsia="zh-CN"/>
              </w:rPr>
              <w:t>需使用绿色环保电动工</w:t>
            </w:r>
            <w:r>
              <w:rPr>
                <w:rFonts w:hint="eastAsia" w:ascii="仿宋" w:hAnsi="仿宋" w:eastAsia="仿宋" w:cs="仿宋"/>
                <w:color w:val="auto"/>
                <w:spacing w:val="7"/>
                <w:sz w:val="28"/>
                <w:szCs w:val="28"/>
              </w:rPr>
              <w:t>具</w:t>
            </w:r>
          </w:p>
        </w:tc>
        <w:tc>
          <w:tcPr>
            <w:tcW w:w="2007" w:type="dxa"/>
            <w:vAlign w:val="center"/>
          </w:tcPr>
          <w:p w14:paraId="5968F64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4E44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48E84DFA">
            <w:pPr>
              <w:pStyle w:val="17"/>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979" w:type="dxa"/>
            <w:vAlign w:val="center"/>
          </w:tcPr>
          <w:p w14:paraId="21FA37DA">
            <w:pPr>
              <w:pStyle w:val="17"/>
              <w:spacing w:line="360" w:lineRule="auto"/>
              <w:jc w:val="center"/>
              <w:rPr>
                <w:rFonts w:hint="eastAsia" w:ascii="仿宋" w:hAnsi="仿宋" w:eastAsia="仿宋" w:cs="仿宋"/>
                <w:spacing w:val="7"/>
                <w:sz w:val="28"/>
                <w:szCs w:val="28"/>
              </w:rPr>
            </w:pPr>
            <w:r>
              <w:rPr>
                <w:rFonts w:hint="eastAsia" w:ascii="仿宋" w:hAnsi="仿宋" w:eastAsia="仿宋" w:cs="仿宋"/>
                <w:spacing w:val="7"/>
                <w:sz w:val="28"/>
                <w:szCs w:val="28"/>
              </w:rPr>
              <w:t>绿篱机</w:t>
            </w:r>
          </w:p>
        </w:tc>
        <w:tc>
          <w:tcPr>
            <w:tcW w:w="1509" w:type="dxa"/>
            <w:shd w:val="clear" w:color="auto" w:fill="auto"/>
            <w:vAlign w:val="center"/>
          </w:tcPr>
          <w:p w14:paraId="1EF93EEB">
            <w:pPr>
              <w:pStyle w:val="17"/>
              <w:spacing w:line="360" w:lineRule="auto"/>
              <w:jc w:val="center"/>
              <w:rPr>
                <w:rFonts w:hint="default" w:ascii="仿宋_GB2312" w:hAnsi="仿宋_GB2312" w:eastAsia="仿宋_GB2312" w:cs="仿宋_GB2312"/>
                <w:color w:val="000000"/>
                <w:kern w:val="2"/>
                <w:sz w:val="28"/>
                <w:szCs w:val="28"/>
                <w:lang w:val="en-US" w:eastAsia="zh-CN" w:bidi="ar-SA"/>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shd w:val="clear" w:color="auto" w:fill="auto"/>
            <w:vAlign w:val="center"/>
          </w:tcPr>
          <w:p w14:paraId="1008984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kern w:val="2"/>
                <w:sz w:val="28"/>
                <w:szCs w:val="28"/>
                <w:vertAlign w:val="baseline"/>
                <w:lang w:val="en-US" w:eastAsia="zh-CN" w:bidi="ar-SA"/>
              </w:rPr>
            </w:pPr>
            <w:r>
              <w:rPr>
                <w:rFonts w:hint="eastAsia" w:ascii="仿宋_GB2312" w:hAnsi="仿宋_GB2312" w:eastAsia="仿宋_GB2312" w:cs="仿宋_GB2312"/>
                <w:color w:val="000000"/>
                <w:sz w:val="28"/>
                <w:szCs w:val="28"/>
                <w:lang w:val="en-US" w:eastAsia="zh-CN"/>
              </w:rPr>
              <w:t>4台，</w:t>
            </w:r>
            <w:r>
              <w:rPr>
                <w:rFonts w:hint="eastAsia" w:ascii="仿宋" w:hAnsi="仿宋" w:eastAsia="仿宋" w:cs="仿宋"/>
                <w:sz w:val="28"/>
                <w:szCs w:val="28"/>
                <w:lang w:eastAsia="zh-CN"/>
              </w:rPr>
              <w:t>需使用绿色环保电动工</w:t>
            </w:r>
            <w:r>
              <w:rPr>
                <w:rFonts w:hint="eastAsia" w:ascii="仿宋" w:hAnsi="仿宋" w:eastAsia="仿宋" w:cs="仿宋"/>
                <w:spacing w:val="7"/>
                <w:sz w:val="28"/>
                <w:szCs w:val="28"/>
              </w:rPr>
              <w:t>具</w:t>
            </w:r>
          </w:p>
        </w:tc>
        <w:tc>
          <w:tcPr>
            <w:tcW w:w="2007" w:type="dxa"/>
            <w:shd w:val="clear" w:color="auto" w:fill="auto"/>
            <w:vAlign w:val="center"/>
          </w:tcPr>
          <w:p w14:paraId="4B745E6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r w14:paraId="6741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3A1514C2">
            <w:pPr>
              <w:pStyle w:val="17"/>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w:t>
            </w:r>
          </w:p>
        </w:tc>
        <w:tc>
          <w:tcPr>
            <w:tcW w:w="1979" w:type="dxa"/>
            <w:vAlign w:val="center"/>
          </w:tcPr>
          <w:p w14:paraId="7E48E353">
            <w:pPr>
              <w:pStyle w:val="17"/>
              <w:spacing w:line="360" w:lineRule="auto"/>
              <w:jc w:val="center"/>
              <w:rPr>
                <w:rFonts w:hint="eastAsia" w:ascii="仿宋" w:hAnsi="仿宋" w:eastAsia="仿宋" w:cs="仿宋"/>
                <w:spacing w:val="7"/>
                <w:sz w:val="28"/>
                <w:szCs w:val="28"/>
              </w:rPr>
            </w:pPr>
            <w:r>
              <w:rPr>
                <w:rFonts w:hint="eastAsia" w:ascii="仿宋" w:hAnsi="仿宋" w:eastAsia="仿宋" w:cs="仿宋"/>
                <w:spacing w:val="7"/>
                <w:sz w:val="28"/>
                <w:szCs w:val="28"/>
              </w:rPr>
              <w:t>打灌机</w:t>
            </w:r>
          </w:p>
        </w:tc>
        <w:tc>
          <w:tcPr>
            <w:tcW w:w="1509" w:type="dxa"/>
            <w:vAlign w:val="center"/>
          </w:tcPr>
          <w:p w14:paraId="7EE67B3F">
            <w:pPr>
              <w:pStyle w:val="17"/>
              <w:spacing w:line="360" w:lineRule="auto"/>
              <w:jc w:val="center"/>
              <w:rPr>
                <w:rFonts w:hint="default" w:ascii="仿宋_GB2312" w:hAnsi="仿宋_GB2312" w:eastAsia="仿宋_GB2312" w:cs="仿宋_GB2312"/>
                <w:color w:val="000000"/>
                <w:sz w:val="28"/>
                <w:szCs w:val="28"/>
                <w:lang w:val="en-US" w:eastAsia="zh-CN"/>
              </w:rPr>
            </w:pPr>
            <w:r>
              <w:rPr>
                <w:rFonts w:hint="default" w:ascii="仿宋_GB2312" w:hAnsi="仿宋_GB2312" w:eastAsia="仿宋_GB2312" w:cs="仿宋_GB2312"/>
                <w:color w:val="000000"/>
                <w:sz w:val="28"/>
                <w:szCs w:val="28"/>
                <w:lang w:val="en-US" w:eastAsia="zh-CN"/>
              </w:rPr>
              <w:t>★</w:t>
            </w:r>
            <w:r>
              <w:rPr>
                <w:rFonts w:hint="eastAsia" w:ascii="仿宋" w:hAnsi="仿宋" w:eastAsia="仿宋" w:cs="仿宋"/>
                <w:sz w:val="28"/>
                <w:szCs w:val="28"/>
                <w:lang w:eastAsia="zh-CN"/>
              </w:rPr>
              <w:t>满足采购人需求</w:t>
            </w:r>
          </w:p>
        </w:tc>
        <w:tc>
          <w:tcPr>
            <w:tcW w:w="2538" w:type="dxa"/>
            <w:shd w:val="clear" w:color="auto" w:fill="auto"/>
            <w:vAlign w:val="center"/>
          </w:tcPr>
          <w:p w14:paraId="478D34F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kern w:val="2"/>
                <w:sz w:val="28"/>
                <w:szCs w:val="28"/>
                <w:vertAlign w:val="baseline"/>
                <w:lang w:val="en-US" w:eastAsia="zh-CN" w:bidi="ar-SA"/>
              </w:rPr>
            </w:pPr>
            <w:r>
              <w:rPr>
                <w:rFonts w:hint="eastAsia" w:ascii="仿宋" w:hAnsi="仿宋" w:eastAsia="仿宋" w:cs="仿宋"/>
                <w:sz w:val="28"/>
                <w:szCs w:val="28"/>
                <w:lang w:val="en-US" w:eastAsia="zh-CN"/>
              </w:rPr>
              <w:t>2台，</w:t>
            </w:r>
            <w:r>
              <w:rPr>
                <w:rFonts w:hint="eastAsia" w:ascii="仿宋" w:hAnsi="仿宋" w:eastAsia="仿宋" w:cs="仿宋"/>
                <w:sz w:val="28"/>
                <w:szCs w:val="28"/>
                <w:lang w:eastAsia="zh-CN"/>
              </w:rPr>
              <w:t>需使用绿色环保电动工</w:t>
            </w:r>
            <w:r>
              <w:rPr>
                <w:rFonts w:hint="eastAsia" w:ascii="仿宋" w:hAnsi="仿宋" w:eastAsia="仿宋" w:cs="仿宋"/>
                <w:spacing w:val="7"/>
                <w:sz w:val="28"/>
                <w:szCs w:val="28"/>
              </w:rPr>
              <w:t>具</w:t>
            </w:r>
          </w:p>
        </w:tc>
        <w:tc>
          <w:tcPr>
            <w:tcW w:w="2007" w:type="dxa"/>
            <w:shd w:val="clear" w:color="auto" w:fill="auto"/>
            <w:vAlign w:val="center"/>
          </w:tcPr>
          <w:p w14:paraId="461A689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sz w:val="28"/>
                <w:szCs w:val="28"/>
                <w:vertAlign w:val="baseline"/>
                <w:lang w:val="en-US" w:eastAsia="zh-CN"/>
              </w:rPr>
            </w:pPr>
            <w:r>
              <w:rPr>
                <w:rFonts w:hint="eastAsia" w:ascii="仿宋_GB2312" w:hAnsi="仿宋_GB2312" w:eastAsia="仿宋_GB2312" w:cs="仿宋_GB2312"/>
                <w:color w:val="000000"/>
                <w:sz w:val="28"/>
                <w:szCs w:val="28"/>
                <w:vertAlign w:val="baseline"/>
                <w:lang w:val="en-US" w:eastAsia="zh-CN"/>
              </w:rPr>
              <w:t>是</w:t>
            </w:r>
            <w:r>
              <w:rPr>
                <w:rFonts w:hint="default" w:ascii="仿宋_GB2312" w:hAnsi="仿宋_GB2312" w:eastAsia="仿宋_GB2312" w:cs="仿宋_GB2312"/>
                <w:color w:val="000000"/>
                <w:sz w:val="28"/>
                <w:szCs w:val="28"/>
                <w:vertAlign w:val="baseline"/>
                <w:lang w:val="en-US" w:eastAsia="zh-CN"/>
              </w:rPr>
              <w:t>（提供承诺函</w:t>
            </w:r>
            <w:r>
              <w:rPr>
                <w:rFonts w:hint="eastAsia" w:ascii="仿宋_GB2312" w:hAnsi="仿宋_GB2312" w:eastAsia="仿宋_GB2312" w:cs="仿宋_GB2312"/>
                <w:color w:val="000000"/>
                <w:sz w:val="28"/>
                <w:szCs w:val="28"/>
                <w:vertAlign w:val="baseline"/>
                <w:lang w:val="en-US" w:eastAsia="zh-CN"/>
              </w:rPr>
              <w:t>，格式自拟</w:t>
            </w:r>
            <w:r>
              <w:rPr>
                <w:rFonts w:hint="default" w:ascii="仿宋_GB2312" w:hAnsi="仿宋_GB2312" w:eastAsia="仿宋_GB2312" w:cs="仿宋_GB2312"/>
                <w:color w:val="000000"/>
                <w:sz w:val="28"/>
                <w:szCs w:val="28"/>
                <w:vertAlign w:val="baseline"/>
                <w:lang w:val="en-US" w:eastAsia="zh-CN"/>
              </w:rPr>
              <w:t>）</w:t>
            </w:r>
          </w:p>
        </w:tc>
      </w:tr>
    </w:tbl>
    <w:p w14:paraId="0A9901B3">
      <w:pPr>
        <w:autoSpaceDE/>
        <w:autoSpaceDN/>
        <w:adjustRightInd/>
        <w:spacing w:line="360" w:lineRule="auto"/>
        <w:ind w:firstLine="643" w:firstLineChars="200"/>
        <w:rPr>
          <w:rFonts w:hint="eastAsia" w:ascii="黑体" w:hAnsi="黑体" w:eastAsia="黑体" w:cs="黑体"/>
          <w:b/>
          <w:bCs/>
          <w:color w:val="auto"/>
          <w:sz w:val="32"/>
          <w:szCs w:val="32"/>
          <w:highlight w:val="none"/>
          <w:lang w:eastAsia="zh-CN"/>
        </w:rPr>
      </w:pPr>
    </w:p>
    <w:p w14:paraId="5BDF24A7">
      <w:pPr>
        <w:autoSpaceDE/>
        <w:autoSpaceDN/>
        <w:adjustRightInd/>
        <w:spacing w:line="360" w:lineRule="auto"/>
        <w:ind w:firstLine="643" w:firstLineChars="200"/>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eastAsia="zh-CN"/>
        </w:rPr>
        <w:t>注意：以上“</w:t>
      </w:r>
      <w:r>
        <w:rPr>
          <w:rFonts w:hint="eastAsia" w:ascii="黑体" w:hAnsi="黑体" w:eastAsia="黑体" w:cs="黑体"/>
          <w:b/>
          <w:bCs/>
          <w:color w:val="auto"/>
          <w:sz w:val="32"/>
          <w:szCs w:val="32"/>
          <w:highlight w:val="none"/>
          <w:lang w:val="en-US" w:eastAsia="zh-CN"/>
        </w:rPr>
        <w:t>项目需求及有关要求</w:t>
      </w:r>
      <w:r>
        <w:rPr>
          <w:rFonts w:hint="eastAsia" w:ascii="黑体" w:hAnsi="黑体" w:eastAsia="黑体" w:cs="黑体"/>
          <w:b/>
          <w:bCs/>
          <w:color w:val="auto"/>
          <w:sz w:val="32"/>
          <w:szCs w:val="32"/>
          <w:highlight w:val="none"/>
          <w:lang w:eastAsia="zh-CN"/>
        </w:rPr>
        <w:t>”</w:t>
      </w:r>
      <w:r>
        <w:rPr>
          <w:rFonts w:hint="eastAsia" w:ascii="黑体" w:hAnsi="黑体" w:eastAsia="黑体" w:cs="黑体"/>
          <w:b/>
          <w:bCs/>
          <w:color w:val="auto"/>
          <w:sz w:val="32"/>
          <w:szCs w:val="32"/>
          <w:highlight w:val="none"/>
          <w:lang w:val="en-US" w:eastAsia="zh-CN"/>
        </w:rPr>
        <w:t>中未加“</w:t>
      </w:r>
      <w:r>
        <w:rPr>
          <w:rFonts w:hint="eastAsia" w:ascii="黑体" w:hAnsi="黑体" w:eastAsia="黑体" w:cs="黑体"/>
          <w:color w:val="000000"/>
          <w:sz w:val="32"/>
          <w:szCs w:val="32"/>
          <w:highlight w:val="none"/>
          <w:lang w:val="en-US" w:eastAsia="zh-CN"/>
        </w:rPr>
        <w:t>★</w:t>
      </w:r>
      <w:r>
        <w:rPr>
          <w:rFonts w:hint="eastAsia" w:ascii="黑体" w:hAnsi="黑体" w:eastAsia="黑体" w:cs="黑体"/>
          <w:b/>
          <w:bCs/>
          <w:color w:val="auto"/>
          <w:sz w:val="32"/>
          <w:szCs w:val="32"/>
          <w:highlight w:val="none"/>
          <w:lang w:val="en-US" w:eastAsia="zh-CN"/>
        </w:rPr>
        <w:t>”且无法律法规明确规定的，不得作为投标被拒绝或投标无效条款</w:t>
      </w:r>
      <w:r>
        <w:rPr>
          <w:rFonts w:hint="eastAsia" w:ascii="黑体" w:hAnsi="黑体" w:eastAsia="黑体" w:cs="黑体"/>
          <w:b/>
          <w:bCs/>
          <w:color w:val="auto"/>
          <w:sz w:val="32"/>
          <w:szCs w:val="32"/>
          <w:highlight w:val="none"/>
          <w:lang w:eastAsia="zh-CN"/>
        </w:rPr>
        <w:t>。</w:t>
      </w:r>
    </w:p>
    <w:p w14:paraId="252739F8">
      <w:pPr>
        <w:pStyle w:val="50"/>
        <w:rPr>
          <w:rFonts w:hint="eastAsia"/>
        </w:rPr>
      </w:pPr>
    </w:p>
    <w:p w14:paraId="476EDA61">
      <w:pPr>
        <w:pageBreakBefore w:val="0"/>
        <w:wordWrap/>
        <w:topLinePunct w:val="0"/>
        <w:bidi w:val="0"/>
        <w:spacing w:after="0" w:line="360" w:lineRule="auto"/>
        <w:ind w:firstLine="588" w:firstLineChars="200"/>
        <w:outlineLvl w:val="1"/>
        <w:rPr>
          <w:rFonts w:hint="eastAsia" w:ascii="黑体" w:hAnsi="黑体" w:eastAsia="黑体" w:cs="黑体"/>
          <w:spacing w:val="7"/>
          <w:sz w:val="28"/>
          <w:szCs w:val="28"/>
        </w:rPr>
      </w:pPr>
      <w:r>
        <w:rPr>
          <w:rFonts w:hint="eastAsia" w:ascii="黑体" w:hAnsi="黑体" w:eastAsia="黑体" w:cs="黑体"/>
          <w:spacing w:val="7"/>
          <w:sz w:val="28"/>
          <w:szCs w:val="28"/>
          <w:lang w:val="en-US" w:eastAsia="zh-CN"/>
        </w:rPr>
        <w:t>五、</w:t>
      </w:r>
      <w:r>
        <w:rPr>
          <w:rFonts w:hint="eastAsia" w:ascii="黑体" w:hAnsi="黑体" w:eastAsia="黑体" w:cs="黑体"/>
          <w:spacing w:val="7"/>
          <w:sz w:val="28"/>
          <w:szCs w:val="28"/>
        </w:rPr>
        <w:t>管理用房、基本设备及用具、耗材等方面</w:t>
      </w:r>
    </w:p>
    <w:p w14:paraId="263B7F0F">
      <w:pPr>
        <w:pageBreakBefore w:val="0"/>
        <w:kinsoku w:val="0"/>
        <w:wordWrap/>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1.管理用房：采购人将向中标人提供必要的办公用房1间 (不含员工宿舍) ，由中标人无偿使用。管理用房水电费由中标人自行承担。</w:t>
      </w:r>
    </w:p>
    <w:p w14:paraId="23860205">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2.中标人员工的食、宿由中标人自行负责并承担相应费用。交通工具设施及办公设施设备，由中标人根据实际工作自行配备，物业装备必须达到物业管理要求，合同服务期结束后中标人自行处置。</w:t>
      </w:r>
    </w:p>
    <w:p w14:paraId="3761F132">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3.保洁装备用品 </w:t>
      </w:r>
    </w:p>
    <w:p w14:paraId="738A36A6">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保洁装备用品包括物业设备、室外劳动工具、绿化装备用品等，由中标人自行配置并承担相应费用。</w:t>
      </w:r>
    </w:p>
    <w:p w14:paraId="3D8B90FA">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物业设备包括但不限于大中型清扫车、高压冲洗车、可卸式垃圾车。</w:t>
      </w:r>
    </w:p>
    <w:p w14:paraId="65489FE3">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 xml:space="preserve">4.室外劳动工具包括但不限于大扫把、小扫把、推水器、垃圾斗、黑色大垃圾袋（120L）、塑料方掀、铁锨、消防水袋、批灰刀、铁丝、铁钳、喷壶消杀用品、清洁用品等劳动工具劳保用品。 </w:t>
      </w:r>
    </w:p>
    <w:p w14:paraId="407F838F">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5.绿化装备用品包括但不限于割草机、绿篱机、打灌机、农药、化肥、手剪等绿化养护工具，其中割草机、绿篱机、打灌机等绿化工具</w:t>
      </w:r>
      <w:r>
        <w:rPr>
          <w:rFonts w:hint="eastAsia" w:ascii="仿宋" w:hAnsi="仿宋" w:eastAsia="仿宋" w:cs="仿宋"/>
          <w:spacing w:val="7"/>
          <w:sz w:val="28"/>
          <w:szCs w:val="28"/>
          <w:lang w:eastAsia="zh-CN"/>
        </w:rPr>
        <w:t>需</w:t>
      </w:r>
      <w:r>
        <w:rPr>
          <w:rFonts w:hint="eastAsia" w:ascii="仿宋" w:hAnsi="仿宋" w:eastAsia="仿宋" w:cs="仿宋"/>
          <w:spacing w:val="7"/>
          <w:sz w:val="28"/>
          <w:szCs w:val="28"/>
        </w:rPr>
        <w:t>使用绿色环保电动工具。</w:t>
      </w:r>
    </w:p>
    <w:p w14:paraId="4C8F6B5B">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6.各类门牌、标示指示牌、室内外垃圾箱由采购人负责安装或提供。除以上设施设备外，中标人在投标文件中为管理需要添置的其他设施设备视为中标人投资，采购人不再另行支付。</w:t>
      </w:r>
    </w:p>
    <w:p w14:paraId="2E2C6631">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 w:hAnsi="仿宋" w:eastAsia="仿宋" w:cs="仿宋"/>
          <w:spacing w:val="7"/>
          <w:sz w:val="28"/>
          <w:szCs w:val="28"/>
        </w:rPr>
      </w:pPr>
      <w:r>
        <w:rPr>
          <w:rFonts w:hint="eastAsia" w:ascii="仿宋" w:hAnsi="仿宋" w:eastAsia="仿宋" w:cs="仿宋"/>
          <w:spacing w:val="7"/>
          <w:sz w:val="28"/>
          <w:szCs w:val="28"/>
        </w:rPr>
        <w:t>7.宣传设施设备由中标人按以下标准配置并承担相应费用，具体包括：在每栋建筑单体内设置物业管理服务内容及岗位公示牌，含本楼栋工作人员的照片和联系方式，物业管理服务投诉地址和投诉电话；物业管理日常事务需要公示通知的相关宣传设施设备制作。</w:t>
      </w:r>
    </w:p>
    <w:p w14:paraId="296B672B">
      <w:pPr>
        <w:autoSpaceDE/>
        <w:autoSpaceDN/>
        <w:adjustRightInd/>
        <w:spacing w:line="360" w:lineRule="auto"/>
        <w:ind w:firstLine="643" w:firstLineChars="200"/>
        <w:rPr>
          <w:rFonts w:hint="eastAsia"/>
        </w:rPr>
      </w:pPr>
      <w:r>
        <w:rPr>
          <w:rFonts w:hint="eastAsia" w:ascii="黑体" w:hAnsi="黑体" w:eastAsia="黑体" w:cs="黑体"/>
          <w:b/>
          <w:bCs/>
          <w:color w:val="auto"/>
          <w:sz w:val="32"/>
          <w:szCs w:val="32"/>
          <w:highlight w:val="none"/>
          <w:lang w:eastAsia="zh-CN"/>
        </w:rPr>
        <w:t>注意：以上“</w:t>
      </w:r>
      <w:r>
        <w:rPr>
          <w:rFonts w:hint="eastAsia" w:ascii="黑体" w:hAnsi="黑体" w:eastAsia="黑体" w:cs="黑体"/>
          <w:b/>
          <w:bCs/>
          <w:color w:val="auto"/>
          <w:sz w:val="32"/>
          <w:szCs w:val="32"/>
          <w:highlight w:val="none"/>
          <w:lang w:val="en-US" w:eastAsia="zh-CN"/>
        </w:rPr>
        <w:t>项目需求及有关要求</w:t>
      </w:r>
      <w:r>
        <w:rPr>
          <w:rFonts w:hint="eastAsia" w:ascii="黑体" w:hAnsi="黑体" w:eastAsia="黑体" w:cs="黑体"/>
          <w:b/>
          <w:bCs/>
          <w:color w:val="auto"/>
          <w:sz w:val="32"/>
          <w:szCs w:val="32"/>
          <w:highlight w:val="none"/>
          <w:lang w:eastAsia="zh-CN"/>
        </w:rPr>
        <w:t>”</w:t>
      </w:r>
      <w:r>
        <w:rPr>
          <w:rFonts w:hint="eastAsia" w:ascii="黑体" w:hAnsi="黑体" w:eastAsia="黑体" w:cs="黑体"/>
          <w:b/>
          <w:bCs/>
          <w:color w:val="auto"/>
          <w:sz w:val="32"/>
          <w:szCs w:val="32"/>
          <w:highlight w:val="none"/>
          <w:lang w:val="en-US" w:eastAsia="zh-CN"/>
        </w:rPr>
        <w:t>中未加“</w:t>
      </w:r>
      <w:r>
        <w:rPr>
          <w:rFonts w:hint="eastAsia" w:ascii="黑体" w:hAnsi="黑体" w:eastAsia="黑体" w:cs="黑体"/>
          <w:color w:val="000000"/>
          <w:sz w:val="32"/>
          <w:szCs w:val="32"/>
          <w:highlight w:val="none"/>
          <w:lang w:val="en-US" w:eastAsia="zh-CN"/>
        </w:rPr>
        <w:t>★</w:t>
      </w:r>
      <w:r>
        <w:rPr>
          <w:rFonts w:hint="eastAsia" w:ascii="黑体" w:hAnsi="黑体" w:eastAsia="黑体" w:cs="黑体"/>
          <w:b/>
          <w:bCs/>
          <w:color w:val="auto"/>
          <w:sz w:val="32"/>
          <w:szCs w:val="32"/>
          <w:highlight w:val="none"/>
          <w:lang w:val="en-US" w:eastAsia="zh-CN"/>
        </w:rPr>
        <w:t>”且无法律法规明确规定的，不得作为投标被拒绝或投标无效条款</w:t>
      </w:r>
      <w:r>
        <w:rPr>
          <w:rFonts w:hint="eastAsia" w:ascii="黑体" w:hAnsi="黑体" w:eastAsia="黑体" w:cs="黑体"/>
          <w:b/>
          <w:bCs/>
          <w:color w:val="auto"/>
          <w:sz w:val="32"/>
          <w:szCs w:val="32"/>
          <w:highlight w:val="none"/>
          <w:lang w:eastAsia="zh-CN"/>
        </w:rPr>
        <w:t>。</w:t>
      </w:r>
    </w:p>
    <w:p w14:paraId="2D066C3F">
      <w:pPr>
        <w:pageBreakBefore w:val="0"/>
        <w:wordWrap/>
        <w:topLinePunct w:val="0"/>
        <w:bidi w:val="0"/>
        <w:spacing w:after="0" w:line="360" w:lineRule="auto"/>
        <w:ind w:firstLine="588" w:firstLineChars="200"/>
        <w:outlineLvl w:val="1"/>
        <w:rPr>
          <w:rFonts w:hint="eastAsia" w:ascii="黑体" w:hAnsi="黑体" w:eastAsia="黑体" w:cs="黑体"/>
          <w:spacing w:val="7"/>
          <w:sz w:val="28"/>
          <w:szCs w:val="28"/>
          <w:lang w:val="en-US" w:eastAsia="zh-CN"/>
        </w:rPr>
      </w:pPr>
      <w:r>
        <w:rPr>
          <w:rFonts w:hint="eastAsia" w:ascii="黑体" w:hAnsi="黑体" w:eastAsia="黑体" w:cs="黑体"/>
          <w:spacing w:val="7"/>
          <w:sz w:val="28"/>
          <w:szCs w:val="28"/>
          <w:lang w:val="en-US" w:eastAsia="zh-CN"/>
        </w:rPr>
        <w:t>六、项目相关要求</w:t>
      </w:r>
    </w:p>
    <w:p w14:paraId="46A21798">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lang w:eastAsia="zh-CN"/>
        </w:rPr>
        <w:t>1.投标人应在投标文件中提供类似业绩等证明材料。</w:t>
      </w:r>
    </w:p>
    <w:p w14:paraId="702AC302">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lang w:eastAsia="zh-CN"/>
        </w:rPr>
        <w:t>2.投标人</w:t>
      </w:r>
      <w:r>
        <w:rPr>
          <w:rFonts w:hint="eastAsia" w:ascii="仿宋_GB2312" w:hAnsi="仿宋_GB2312" w:eastAsia="仿宋_GB2312" w:cs="仿宋_GB2312"/>
          <w:spacing w:val="7"/>
          <w:sz w:val="28"/>
          <w:szCs w:val="28"/>
          <w:lang w:val="en-US" w:eastAsia="zh-CN"/>
        </w:rPr>
        <w:t>应</w:t>
      </w:r>
      <w:r>
        <w:rPr>
          <w:rFonts w:hint="eastAsia" w:ascii="仿宋_GB2312" w:hAnsi="仿宋_GB2312" w:eastAsia="仿宋_GB2312" w:cs="仿宋_GB2312"/>
          <w:spacing w:val="7"/>
          <w:sz w:val="28"/>
          <w:szCs w:val="28"/>
          <w:lang w:eastAsia="zh-CN"/>
        </w:rPr>
        <w:t>针对本项目提供服务承诺，包括但不限于中标后临时提供特殊设施设备、物业进驻及合同到期时的交接、特殊情况下服从采购人对服务人员的调配、对采购人不满意的项目经理或其他人员无条件更换等方面内容。</w:t>
      </w:r>
    </w:p>
    <w:p w14:paraId="6E335DBD">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_GB2312" w:hAnsi="仿宋_GB2312" w:eastAsia="仿宋_GB2312" w:cs="仿宋_GB2312"/>
          <w:spacing w:val="7"/>
          <w:sz w:val="28"/>
          <w:szCs w:val="28"/>
          <w:highlight w:val="cyan"/>
          <w:lang w:eastAsia="zh-CN"/>
        </w:rPr>
      </w:pPr>
      <w:r>
        <w:rPr>
          <w:rFonts w:hint="eastAsia" w:ascii="仿宋_GB2312" w:hAnsi="仿宋_GB2312" w:eastAsia="仿宋_GB2312" w:cs="仿宋_GB2312"/>
          <w:spacing w:val="7"/>
          <w:sz w:val="28"/>
          <w:szCs w:val="28"/>
          <w:lang w:eastAsia="zh-CN"/>
        </w:rPr>
        <w:t>3.投标人应结合本项目的区域布局、设施配置及使用性质特点，制定整体管理服务方案，包含但不限于</w:t>
      </w:r>
      <w:r>
        <w:rPr>
          <w:rFonts w:hint="eastAsia" w:ascii="仿宋_GB2312" w:hAnsi="仿宋_GB2312" w:eastAsia="仿宋_GB2312" w:cs="仿宋_GB2312"/>
          <w:spacing w:val="7"/>
          <w:sz w:val="28"/>
          <w:szCs w:val="28"/>
          <w:highlight w:val="none"/>
          <w:lang w:eastAsia="zh-CN"/>
        </w:rPr>
        <w:t>室内保洁管理服务，室外保洁管理服务，校园绿化管理服务，教室管理服务、小型维修服务、垃圾清收、清运和集中服务、专项管理服务等。</w:t>
      </w:r>
    </w:p>
    <w:p w14:paraId="33E8C98E">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lang w:eastAsia="zh-CN"/>
        </w:rPr>
        <w:t>4.</w:t>
      </w:r>
      <w:r>
        <w:rPr>
          <w:rFonts w:hint="eastAsia" w:ascii="仿宋_GB2312" w:hAnsi="仿宋_GB2312" w:eastAsia="仿宋_GB2312" w:cs="仿宋_GB2312"/>
          <w:color w:val="auto"/>
          <w:sz w:val="28"/>
          <w:szCs w:val="28"/>
          <w:lang w:val="en-US" w:eastAsia="zh-CN"/>
        </w:rPr>
        <w:t>投标人针对本项目制定管理方式和工作计划，包含但不限于：管理方式确立原则、管理方式概述、管理方式具体内容、工作目标和目标规划、工作任务和时间安排、资源调配和预算计划、项目风险评估和管理、工作绩效管理等。</w:t>
      </w:r>
    </w:p>
    <w:p w14:paraId="4EB3EB6B">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lang w:eastAsia="zh-CN"/>
        </w:rPr>
        <w:t>5.</w:t>
      </w:r>
      <w:r>
        <w:rPr>
          <w:rFonts w:hint="eastAsia" w:ascii="仿宋_GB2312" w:hAnsi="仿宋_GB2312" w:eastAsia="仿宋_GB2312" w:cs="仿宋_GB2312"/>
          <w:color w:val="auto"/>
          <w:sz w:val="28"/>
          <w:szCs w:val="28"/>
          <w:lang w:val="en-US" w:eastAsia="zh-CN"/>
        </w:rPr>
        <w:t>投标人结合实际，针对本项目特点，制定人员培训方案。方案应包括但不限于：培训的时间、地点、目标方式、内容、对象和措施等。</w:t>
      </w:r>
    </w:p>
    <w:p w14:paraId="3162966F">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lang w:eastAsia="zh-CN"/>
        </w:rPr>
        <w:t>6.投标人需针对本项目制定档案管理方案，方案至少包含档案的建立、档案的收集、档案的分类、档案的管理。</w:t>
      </w:r>
    </w:p>
    <w:p w14:paraId="0B62DFA1">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lang w:eastAsia="zh-CN"/>
        </w:rPr>
        <w:t>7.投标人针对实现本项目服务目标，制定质量保证措施。质量保证措施应包括但不限于：质量管控、保证措施、质量保证制度、质量标准、检查方法等内容。</w:t>
      </w:r>
    </w:p>
    <w:p w14:paraId="4D5E9639">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lang w:eastAsia="zh-CN"/>
        </w:rPr>
        <w:t>8.针对本项目特点，制定突发事件应急预案及处置措施，①针对迎新季、毕业季、重要会议、大型考试、运动会、全校性比赛等重大活动提供的服务保障方案；②水电气暖突发故障及事故、电梯故障及事故、食物中毒、高空坠落、火灾爆炸、公共突发事件、雨雪极端天气、消防应急预案等自然灾害应急预案及处置措施。</w:t>
      </w:r>
    </w:p>
    <w:p w14:paraId="2787BD99">
      <w:pPr>
        <w:pageBreakBefore w:val="0"/>
        <w:kinsoku w:val="0"/>
        <w:wordWrap/>
        <w:overflowPunct w:val="0"/>
        <w:topLinePunct w:val="0"/>
        <w:autoSpaceDE w:val="0"/>
        <w:autoSpaceDN w:val="0"/>
        <w:bidi w:val="0"/>
        <w:spacing w:after="0" w:line="360" w:lineRule="auto"/>
        <w:ind w:firstLine="588" w:firstLineChars="200"/>
        <w:textAlignment w:val="baseline"/>
        <w:rPr>
          <w:rFonts w:hint="eastAsia" w:ascii="仿宋_GB2312" w:hAnsi="仿宋_GB2312" w:eastAsia="仿宋_GB2312" w:cs="仿宋_GB2312"/>
          <w:b/>
          <w:bCs/>
          <w:color w:val="auto"/>
          <w:kern w:val="44"/>
          <w:sz w:val="28"/>
          <w:szCs w:val="28"/>
          <w:lang w:eastAsia="zh-CN"/>
        </w:rPr>
      </w:pPr>
      <w:r>
        <w:rPr>
          <w:rFonts w:hint="eastAsia" w:ascii="仿宋_GB2312" w:hAnsi="仿宋_GB2312" w:eastAsia="仿宋_GB2312" w:cs="仿宋_GB2312"/>
          <w:spacing w:val="7"/>
          <w:sz w:val="28"/>
          <w:szCs w:val="28"/>
          <w:lang w:eastAsia="zh-CN"/>
        </w:rPr>
        <w:t>9.投标人也可提供与本招标项目相关的其他必要具体内容。</w:t>
      </w:r>
    </w:p>
    <w:p w14:paraId="4DEF901D">
      <w:pPr>
        <w:pStyle w:val="2"/>
        <w:pageBreakBefore w:val="0"/>
        <w:wordWrap/>
        <w:topLinePunct w:val="0"/>
        <w:bidi w:val="0"/>
        <w:spacing w:before="0" w:after="0" w:line="360" w:lineRule="auto"/>
        <w:jc w:val="center"/>
        <w:rPr>
          <w:rFonts w:hint="eastAsia" w:ascii="仿宋" w:hAnsi="仿宋" w:eastAsia="仿宋" w:cs="仿宋"/>
          <w:color w:val="auto"/>
          <w:sz w:val="28"/>
          <w:szCs w:val="28"/>
          <w:lang w:eastAsia="zh-CN"/>
        </w:rPr>
      </w:pPr>
      <w:r>
        <w:rPr>
          <w:rFonts w:hint="eastAsia" w:ascii="仿宋" w:hAnsi="仿宋" w:eastAsia="仿宋" w:cs="仿宋"/>
          <w:b/>
          <w:bCs/>
          <w:color w:val="auto"/>
          <w:kern w:val="44"/>
          <w:sz w:val="28"/>
          <w:szCs w:val="28"/>
          <w:lang w:eastAsia="zh-CN"/>
        </w:rPr>
        <w:br w:type="page"/>
      </w:r>
      <w:bookmarkStart w:id="561" w:name="_Toc14663"/>
      <w:r>
        <w:rPr>
          <w:rFonts w:hint="eastAsia" w:ascii="仿宋" w:hAnsi="仿宋" w:eastAsia="仿宋" w:cs="仿宋"/>
          <w:color w:val="auto"/>
          <w:sz w:val="36"/>
          <w:szCs w:val="36"/>
          <w:lang w:eastAsia="zh-CN"/>
        </w:rPr>
        <w:t>第七章 评标方法和标准</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1"/>
    </w:p>
    <w:p w14:paraId="5CAB088A">
      <w:pPr>
        <w:pageBreakBefore w:val="0"/>
        <w:wordWrap/>
        <w:topLinePunct w:val="0"/>
        <w:bidi w:val="0"/>
        <w:spacing w:line="360" w:lineRule="auto"/>
        <w:rPr>
          <w:rFonts w:hint="eastAsia" w:ascii="仿宋" w:hAnsi="仿宋" w:eastAsia="仿宋" w:cs="仿宋"/>
          <w:b/>
          <w:color w:val="auto"/>
          <w:sz w:val="28"/>
          <w:szCs w:val="28"/>
          <w:lang w:eastAsia="zh-CN"/>
        </w:rPr>
      </w:pPr>
      <w:bookmarkStart w:id="562" w:name="_Toc682913791_WPSOffice_Level2"/>
      <w:bookmarkStart w:id="563" w:name="_Toc1270934164_WPSOffice_Level2"/>
      <w:bookmarkStart w:id="564" w:name="_Toc2142859637_WPSOffice_Level2"/>
      <w:bookmarkStart w:id="565" w:name="_Toc1595179162_WPSOffice_Level2"/>
      <w:bookmarkStart w:id="566" w:name="_Toc421828923_WPSOffice_Level2"/>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lang w:eastAsia="zh-CN"/>
        </w:rPr>
        <w:t>一、评标方法</w:t>
      </w:r>
      <w:bookmarkEnd w:id="562"/>
      <w:bookmarkEnd w:id="563"/>
      <w:bookmarkEnd w:id="564"/>
      <w:bookmarkEnd w:id="565"/>
      <w:bookmarkEnd w:id="566"/>
    </w:p>
    <w:p w14:paraId="18409776">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采用综合评分法，总分值</w:t>
      </w:r>
      <w:r>
        <w:rPr>
          <w:rFonts w:hint="eastAsia" w:ascii="仿宋" w:hAnsi="仿宋" w:eastAsia="仿宋" w:cs="仿宋"/>
          <w:color w:val="auto"/>
          <w:sz w:val="28"/>
          <w:szCs w:val="28"/>
          <w:lang w:val="en-US" w:eastAsia="zh-CN"/>
        </w:rPr>
        <w:t>100</w:t>
      </w:r>
      <w:r>
        <w:rPr>
          <w:rFonts w:hint="eastAsia" w:ascii="仿宋" w:hAnsi="仿宋" w:eastAsia="仿宋" w:cs="仿宋"/>
          <w:color w:val="auto"/>
          <w:sz w:val="28"/>
          <w:szCs w:val="28"/>
          <w:lang w:eastAsia="zh-CN"/>
        </w:rPr>
        <w:t>分。</w:t>
      </w:r>
      <w:bookmarkStart w:id="567" w:name="_Toc35230229_WPSOffice_Level2"/>
      <w:r>
        <w:rPr>
          <w:rFonts w:hint="eastAsia" w:ascii="仿宋" w:hAnsi="仿宋" w:eastAsia="仿宋" w:cs="仿宋"/>
          <w:color w:val="auto"/>
          <w:sz w:val="28"/>
          <w:szCs w:val="28"/>
          <w:lang w:eastAsia="zh-CN"/>
        </w:rPr>
        <w:t>评标委员会对各投标人的投标文件进行符合性审查、详细评审后，按评审得分由高到低顺序推荐排名。</w:t>
      </w:r>
      <w:r>
        <w:rPr>
          <w:rFonts w:hint="eastAsia" w:ascii="仿宋" w:hAnsi="仿宋" w:eastAsia="仿宋" w:cs="仿宋"/>
          <w:sz w:val="28"/>
          <w:szCs w:val="28"/>
          <w:lang w:eastAsia="zh-CN"/>
        </w:rPr>
        <w:t>评审得分相同的，</w:t>
      </w:r>
      <w:r>
        <w:rPr>
          <w:rFonts w:hint="eastAsia" w:ascii="仿宋" w:hAnsi="仿宋" w:eastAsia="仿宋" w:cs="仿宋"/>
          <w:color w:val="auto"/>
          <w:sz w:val="28"/>
          <w:szCs w:val="28"/>
          <w:lang w:eastAsia="zh-CN"/>
        </w:rPr>
        <w:t>按投标报价由低到高顺序推荐排列；</w:t>
      </w:r>
      <w:r>
        <w:rPr>
          <w:rFonts w:hint="eastAsia" w:ascii="仿宋" w:hAnsi="仿宋" w:eastAsia="仿宋" w:cs="仿宋"/>
          <w:sz w:val="28"/>
          <w:szCs w:val="28"/>
          <w:lang w:eastAsia="zh-CN"/>
        </w:rPr>
        <w:t>评审</w:t>
      </w:r>
      <w:r>
        <w:rPr>
          <w:rFonts w:hint="eastAsia" w:ascii="仿宋" w:hAnsi="仿宋" w:eastAsia="仿宋" w:cs="仿宋"/>
          <w:color w:val="auto"/>
          <w:sz w:val="28"/>
          <w:szCs w:val="28"/>
          <w:lang w:eastAsia="zh-CN"/>
        </w:rPr>
        <w:t>得分且投标报价相同的并列。</w:t>
      </w:r>
    </w:p>
    <w:bookmarkEnd w:id="567"/>
    <w:p w14:paraId="01109ED1">
      <w:pPr>
        <w:pageBreakBefore w:val="0"/>
        <w:wordWrap/>
        <w:topLinePunct w:val="0"/>
        <w:bidi w:val="0"/>
        <w:spacing w:line="360" w:lineRule="auto"/>
        <w:rPr>
          <w:rFonts w:hint="eastAsia" w:ascii="仿宋" w:hAnsi="仿宋" w:eastAsia="仿宋" w:cs="仿宋"/>
          <w:b/>
          <w:color w:val="auto"/>
          <w:sz w:val="28"/>
          <w:szCs w:val="28"/>
          <w:lang w:eastAsia="zh-CN"/>
        </w:rPr>
      </w:pPr>
      <w:bookmarkStart w:id="568" w:name="_Toc333611415_WPSOffice_Level3"/>
      <w:bookmarkStart w:id="569" w:name="_Toc1410113626_WPSOffice_Level3"/>
      <w:bookmarkStart w:id="570" w:name="_Toc1165130044_WPSOffice_Level2"/>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lang w:eastAsia="zh-CN"/>
        </w:rPr>
        <w:t>二、符合性审查</w:t>
      </w:r>
      <w:bookmarkEnd w:id="568"/>
      <w:bookmarkEnd w:id="569"/>
      <w:bookmarkEnd w:id="570"/>
    </w:p>
    <w:p w14:paraId="65E70606">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评标委员会对符合资格的投标人的投标文件进行符合性审查，以确定其是否满足招标文件的实质性要求。</w:t>
      </w:r>
    </w:p>
    <w:p w14:paraId="5CFAE949">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1. </w:t>
      </w:r>
      <w:r>
        <w:rPr>
          <w:rFonts w:hint="eastAsia" w:ascii="仿宋" w:hAnsi="仿宋" w:eastAsia="仿宋" w:cs="仿宋"/>
          <w:color w:val="auto"/>
          <w:sz w:val="28"/>
          <w:szCs w:val="28"/>
          <w:lang w:eastAsia="zh-CN"/>
        </w:rPr>
        <w:t>投标文件不存在雷同性（评标系统内投标文件雷同性分析，包括文件制作机器码或文件创建标识码）。</w:t>
      </w:r>
    </w:p>
    <w:p w14:paraId="79315458">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2. </w:t>
      </w:r>
      <w:r>
        <w:rPr>
          <w:rFonts w:hint="eastAsia" w:ascii="仿宋" w:hAnsi="仿宋" w:eastAsia="仿宋" w:cs="仿宋"/>
          <w:color w:val="auto"/>
          <w:sz w:val="28"/>
          <w:szCs w:val="28"/>
          <w:lang w:eastAsia="zh-CN"/>
        </w:rPr>
        <w:t>签字盖章签章符合招标文件要求；</w:t>
      </w:r>
    </w:p>
    <w:p w14:paraId="04A41557">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3.</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投标有效期符合招标文件要求；</w:t>
      </w:r>
    </w:p>
    <w:p w14:paraId="1BE24176">
      <w:pPr>
        <w:pageBreakBefore w:val="0"/>
        <w:wordWrap/>
        <w:topLinePunct w:val="0"/>
        <w:bidi w:val="0"/>
        <w:spacing w:line="360" w:lineRule="auto"/>
        <w:ind w:firstLine="560" w:firstLineChars="200"/>
        <w:rPr>
          <w:rFonts w:hint="eastAsia" w:ascii="仿宋" w:hAnsi="仿宋" w:eastAsia="仿宋" w:cs="仿宋"/>
          <w:strike/>
          <w:color w:val="auto"/>
          <w:sz w:val="28"/>
          <w:szCs w:val="28"/>
          <w:highlight w:val="yellow"/>
          <w:lang w:eastAsia="zh-CN"/>
        </w:rPr>
      </w:pPr>
      <w:r>
        <w:rPr>
          <w:rFonts w:hint="eastAsia" w:ascii="仿宋" w:hAnsi="仿宋" w:eastAsia="仿宋" w:cs="仿宋"/>
          <w:color w:val="auto"/>
          <w:sz w:val="28"/>
          <w:szCs w:val="28"/>
          <w:lang w:eastAsia="zh-CN"/>
        </w:rPr>
        <w:t>4. 投标报价未超出</w:t>
      </w:r>
      <w:r>
        <w:rPr>
          <w:rFonts w:hint="eastAsia" w:ascii="仿宋" w:hAnsi="仿宋" w:eastAsia="仿宋" w:cs="仿宋"/>
          <w:color w:val="auto"/>
          <w:sz w:val="28"/>
          <w:szCs w:val="28"/>
          <w:lang w:val="en-US" w:eastAsia="zh-CN"/>
        </w:rPr>
        <w:t>最高限价</w:t>
      </w:r>
      <w:r>
        <w:rPr>
          <w:rFonts w:hint="eastAsia" w:ascii="仿宋" w:hAnsi="仿宋" w:eastAsia="仿宋" w:cs="仿宋"/>
          <w:color w:val="auto"/>
          <w:sz w:val="28"/>
          <w:szCs w:val="28"/>
          <w:lang w:eastAsia="zh-CN"/>
        </w:rPr>
        <w:t>；</w:t>
      </w:r>
    </w:p>
    <w:p w14:paraId="105E79CB">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5.</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投标文件无重大或不可接受的偏差；</w:t>
      </w:r>
    </w:p>
    <w:p w14:paraId="5D9F888E">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6. </w:t>
      </w:r>
      <w:r>
        <w:rPr>
          <w:rFonts w:hint="eastAsia" w:ascii="仿宋" w:hAnsi="仿宋" w:eastAsia="仿宋" w:cs="仿宋"/>
          <w:color w:val="auto"/>
          <w:sz w:val="28"/>
          <w:szCs w:val="28"/>
          <w:lang w:eastAsia="zh-CN"/>
        </w:rPr>
        <w:t>投标文件未附有采购人不能接受的条件；</w:t>
      </w:r>
    </w:p>
    <w:p w14:paraId="71F3E8B4">
      <w:pPr>
        <w:spacing w:line="360" w:lineRule="auto"/>
        <w:ind w:firstLine="560" w:firstLineChars="200"/>
        <w:rPr>
          <w:rFonts w:hint="eastAsia" w:ascii="仿宋_GB2312" w:hAnsi="仿宋_GB2312" w:eastAsia="仿宋_GB2312" w:cs="仿宋_GB2312"/>
          <w:color w:val="auto"/>
          <w:sz w:val="28"/>
          <w:szCs w:val="28"/>
          <w:lang w:val="en-US" w:eastAsia="zh-CN"/>
        </w:rPr>
      </w:pPr>
      <w:bookmarkStart w:id="571" w:name="_Toc717433308_WPSOffice_Level2"/>
      <w:r>
        <w:rPr>
          <w:rFonts w:hint="default" w:ascii="仿宋_GB2312" w:hAnsi="仿宋_GB2312" w:eastAsia="仿宋_GB2312" w:cs="仿宋_GB2312"/>
          <w:color w:val="auto"/>
          <w:sz w:val="28"/>
          <w:szCs w:val="28"/>
          <w:lang w:val="en-US" w:eastAsia="zh-CN"/>
        </w:rPr>
        <w:t>7. ★代表实质性指标，不满足该指标项将导致投标被拒绝</w:t>
      </w:r>
      <w:r>
        <w:rPr>
          <w:rFonts w:hint="eastAsia" w:ascii="仿宋_GB2312" w:hAnsi="仿宋_GB2312" w:eastAsia="仿宋_GB2312" w:cs="仿宋_GB2312"/>
          <w:color w:val="auto"/>
          <w:sz w:val="28"/>
          <w:szCs w:val="28"/>
          <w:lang w:val="en-US" w:eastAsia="zh-CN"/>
        </w:rPr>
        <w:t>；</w:t>
      </w:r>
    </w:p>
    <w:p w14:paraId="6A2E40E8">
      <w:pPr>
        <w:spacing w:line="360" w:lineRule="auto"/>
        <w:ind w:firstLine="560" w:firstLineChars="20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w:t>
      </w:r>
      <w:r>
        <w:rPr>
          <w:rFonts w:hint="default" w:ascii="仿宋_GB2312" w:hAnsi="仿宋_GB2312" w:eastAsia="仿宋_GB2312" w:cs="仿宋_GB2312"/>
          <w:color w:val="auto"/>
          <w:sz w:val="28"/>
          <w:szCs w:val="28"/>
          <w:lang w:val="en-US" w:eastAsia="zh-CN"/>
        </w:rPr>
        <w:t>招标文件及法律法规规定的其他情形。</w:t>
      </w:r>
    </w:p>
    <w:p w14:paraId="421FDC4E">
      <w:pPr>
        <w:pStyle w:val="70"/>
        <w:pageBreakBefore w:val="0"/>
        <w:wordWrap/>
        <w:topLinePunct w:val="0"/>
        <w:bidi w:val="0"/>
        <w:spacing w:line="360" w:lineRule="auto"/>
        <w:ind w:firstLine="562" w:firstLineChars="200"/>
        <w:jc w:val="both"/>
        <w:rPr>
          <w:rFonts w:hint="eastAsia" w:ascii="仿宋" w:hAnsi="仿宋" w:eastAsia="仿宋" w:cs="仿宋"/>
          <w:b/>
          <w:color w:val="auto"/>
          <w:kern w:val="2"/>
          <w:sz w:val="28"/>
          <w:szCs w:val="28"/>
          <w:lang w:val="zh-TW"/>
        </w:rPr>
      </w:pPr>
      <w:r>
        <w:rPr>
          <w:rFonts w:hint="eastAsia" w:ascii="仿宋" w:hAnsi="仿宋" w:eastAsia="仿宋" w:cs="仿宋"/>
          <w:b/>
          <w:color w:val="auto"/>
          <w:kern w:val="2"/>
          <w:sz w:val="28"/>
          <w:szCs w:val="28"/>
          <w:lang w:val="zh-TW"/>
        </w:rPr>
        <w:t>三、详细评审</w:t>
      </w:r>
      <w:bookmarkEnd w:id="571"/>
    </w:p>
    <w:p w14:paraId="213355B7">
      <w:pPr>
        <w:pageBreakBefore w:val="0"/>
        <w:wordWrap/>
        <w:topLinePunct w:val="0"/>
        <w:bidi w:val="0"/>
        <w:spacing w:line="360" w:lineRule="auto"/>
        <w:ind w:firstLine="562" w:firstLineChars="200"/>
        <w:rPr>
          <w:rFonts w:hint="eastAsia" w:ascii="仿宋" w:hAnsi="仿宋" w:eastAsia="仿宋" w:cs="仿宋"/>
          <w:b/>
          <w:color w:val="auto"/>
          <w:sz w:val="28"/>
          <w:szCs w:val="28"/>
          <w:lang w:eastAsia="zh-CN"/>
        </w:rPr>
      </w:pPr>
      <w:bookmarkStart w:id="572" w:name="_Toc1971336045_WPSOffice_Level3"/>
      <w:bookmarkStart w:id="573" w:name="_Toc278923003_WPSOffice_Level3"/>
      <w:bookmarkStart w:id="574" w:name="_Toc1716909242_WPSOffice_Level3"/>
      <w:r>
        <w:rPr>
          <w:rFonts w:hint="eastAsia" w:ascii="仿宋" w:hAnsi="仿宋" w:eastAsia="仿宋" w:cs="仿宋"/>
          <w:b/>
          <w:color w:val="auto"/>
          <w:sz w:val="28"/>
          <w:szCs w:val="28"/>
          <w:lang w:val="en-US" w:eastAsia="zh-CN"/>
        </w:rPr>
        <w:t>1</w:t>
      </w:r>
      <w:r>
        <w:rPr>
          <w:rFonts w:hint="eastAsia" w:ascii="仿宋" w:hAnsi="仿宋" w:eastAsia="仿宋" w:cs="仿宋"/>
          <w:b/>
          <w:color w:val="auto"/>
          <w:sz w:val="28"/>
          <w:szCs w:val="28"/>
          <w:lang w:eastAsia="zh-CN"/>
        </w:rPr>
        <w:t>．澄清有关问题</w:t>
      </w:r>
      <w:bookmarkEnd w:id="572"/>
      <w:bookmarkEnd w:id="573"/>
      <w:bookmarkEnd w:id="574"/>
    </w:p>
    <w:p w14:paraId="59692A87">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1.1</w:t>
      </w:r>
      <w:r>
        <w:rPr>
          <w:rFonts w:hint="eastAsia" w:ascii="仿宋" w:hAnsi="仿宋" w:eastAsia="仿宋" w:cs="仿宋"/>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182E4082">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lang w:eastAsia="zh-CN"/>
        </w:rPr>
        <w:t>投标人的澄清、说明或者补正不得超出投标文件的范围或者改变投标文件的实质性内容。</w:t>
      </w:r>
    </w:p>
    <w:p w14:paraId="073E22D1">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1.3</w:t>
      </w:r>
      <w:r>
        <w:rPr>
          <w:rFonts w:hint="eastAsia" w:ascii="仿宋" w:hAnsi="仿宋" w:eastAsia="仿宋" w:cs="仿宋"/>
          <w:color w:val="auto"/>
          <w:sz w:val="28"/>
          <w:szCs w:val="28"/>
          <w:lang w:eastAsia="zh-CN"/>
        </w:rPr>
        <w:t>允许修正投标文件中不构成重大偏离的、微小的、非正规的、不一致或不规则的地方。</w:t>
      </w:r>
    </w:p>
    <w:p w14:paraId="5E4AFE84">
      <w:pPr>
        <w:pageBreakBefore w:val="0"/>
        <w:wordWrap/>
        <w:topLinePunct w:val="0"/>
        <w:bidi w:val="0"/>
        <w:spacing w:line="360" w:lineRule="auto"/>
        <w:ind w:firstLine="562" w:firstLineChars="200"/>
        <w:rPr>
          <w:rFonts w:hint="eastAsia" w:ascii="仿宋" w:hAnsi="仿宋" w:eastAsia="仿宋" w:cs="仿宋"/>
          <w:b/>
          <w:color w:val="auto"/>
          <w:sz w:val="28"/>
          <w:szCs w:val="28"/>
          <w:lang w:eastAsia="zh-CN"/>
        </w:rPr>
      </w:pPr>
      <w:bookmarkStart w:id="575" w:name="_Toc577657209_WPSOffice_Level3"/>
      <w:bookmarkStart w:id="576" w:name="_Toc2074264070_WPSOffice_Level3"/>
      <w:bookmarkStart w:id="577" w:name="_Toc792649721_WPSOffice_Level3"/>
      <w:r>
        <w:rPr>
          <w:rFonts w:hint="eastAsia" w:ascii="仿宋" w:hAnsi="仿宋" w:eastAsia="仿宋" w:cs="仿宋"/>
          <w:b/>
          <w:color w:val="auto"/>
          <w:sz w:val="28"/>
          <w:szCs w:val="28"/>
          <w:lang w:val="en-US" w:eastAsia="zh-CN"/>
        </w:rPr>
        <w:t>2</w:t>
      </w:r>
      <w:r>
        <w:rPr>
          <w:rFonts w:hint="eastAsia" w:ascii="仿宋" w:hAnsi="仿宋" w:eastAsia="仿宋" w:cs="仿宋"/>
          <w:b/>
          <w:color w:val="auto"/>
          <w:sz w:val="28"/>
          <w:szCs w:val="28"/>
          <w:lang w:eastAsia="zh-CN"/>
        </w:rPr>
        <w:t>．</w:t>
      </w:r>
      <w:bookmarkEnd w:id="575"/>
      <w:bookmarkEnd w:id="576"/>
      <w:r>
        <w:rPr>
          <w:rFonts w:hint="eastAsia" w:ascii="仿宋" w:hAnsi="仿宋" w:eastAsia="仿宋" w:cs="仿宋"/>
          <w:b/>
          <w:color w:val="auto"/>
          <w:sz w:val="28"/>
          <w:szCs w:val="28"/>
          <w:lang w:eastAsia="zh-CN"/>
        </w:rPr>
        <w:t>综合比较与评价</w:t>
      </w:r>
      <w:bookmarkEnd w:id="577"/>
    </w:p>
    <w:p w14:paraId="6A7D5B13">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2.1</w:t>
      </w:r>
      <w:r>
        <w:rPr>
          <w:rFonts w:hint="eastAsia" w:ascii="仿宋" w:hAnsi="仿宋" w:eastAsia="仿宋" w:cs="仿宋"/>
          <w:color w:val="auto"/>
          <w:sz w:val="28"/>
          <w:szCs w:val="28"/>
          <w:lang w:eastAsia="zh-CN"/>
        </w:rPr>
        <w:t>评标委员会按照招标文件中规定的评标方法和标准，对符合性审查合格的投标文件进行商务和技术评</w:t>
      </w:r>
      <w:r>
        <w:rPr>
          <w:rFonts w:hint="eastAsia" w:ascii="仿宋" w:hAnsi="仿宋" w:eastAsia="仿宋" w:cs="仿宋"/>
          <w:color w:val="auto"/>
          <w:sz w:val="28"/>
          <w:szCs w:val="28"/>
          <w:lang w:val="en-US" w:eastAsia="zh-CN"/>
        </w:rPr>
        <w:t>审</w:t>
      </w:r>
      <w:r>
        <w:rPr>
          <w:rFonts w:hint="eastAsia" w:ascii="仿宋" w:hAnsi="仿宋" w:eastAsia="仿宋" w:cs="仿宋"/>
          <w:color w:val="auto"/>
          <w:sz w:val="28"/>
          <w:szCs w:val="28"/>
          <w:lang w:eastAsia="zh-CN"/>
        </w:rPr>
        <w:t>，综合比较与评价。</w:t>
      </w:r>
    </w:p>
    <w:p w14:paraId="448350CA">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2.2</w:t>
      </w:r>
      <w:r>
        <w:rPr>
          <w:rFonts w:hint="eastAsia" w:ascii="仿宋" w:hAnsi="仿宋" w:eastAsia="仿宋" w:cs="仿宋"/>
          <w:color w:val="auto"/>
          <w:sz w:val="28"/>
          <w:szCs w:val="28"/>
          <w:lang w:eastAsia="zh-CN"/>
        </w:rPr>
        <w:t>评标时，评标委员会各成员应当独立对每个投标人的投标文件进行评价，并汇总每个投标人的得分，由评标委员会推荐3名中标候选人。</w:t>
      </w:r>
    </w:p>
    <w:p w14:paraId="48C44256">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2.3</w:t>
      </w:r>
      <w:r>
        <w:rPr>
          <w:rFonts w:hint="eastAsia" w:ascii="仿宋" w:hAnsi="仿宋" w:eastAsia="仿宋" w:cs="仿宋"/>
          <w:color w:val="auto"/>
          <w:sz w:val="28"/>
          <w:szCs w:val="28"/>
          <w:lang w:eastAsia="zh-CN"/>
        </w:rPr>
        <w:t>投标人的评审得分为所有评委评审得分的算术平均值，评审得分取至小数点后两位（第三位四舍五入）。</w:t>
      </w:r>
    </w:p>
    <w:p w14:paraId="605B9E4A">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2.4</w:t>
      </w:r>
      <w:r>
        <w:rPr>
          <w:rFonts w:hint="eastAsia" w:ascii="仿宋" w:hAnsi="仿宋" w:eastAsia="仿宋" w:cs="仿宋"/>
          <w:color w:val="auto"/>
          <w:sz w:val="28"/>
          <w:szCs w:val="28"/>
          <w:lang w:eastAsia="zh-CN"/>
        </w:rPr>
        <w:t>评标委员会完成评标后，应当出具书面评标报告。</w:t>
      </w:r>
    </w:p>
    <w:p w14:paraId="1661FC12">
      <w:pPr>
        <w:pageBreakBefore w:val="0"/>
        <w:wordWrap/>
        <w:topLinePunct w:val="0"/>
        <w:bidi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2.5</w:t>
      </w:r>
      <w:r>
        <w:rPr>
          <w:rFonts w:hint="eastAsia" w:ascii="仿宋" w:hAnsi="仿宋" w:eastAsia="仿宋" w:cs="仿宋"/>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02FADBB7">
      <w:pPr>
        <w:pStyle w:val="50"/>
        <w:pageBreakBefore w:val="0"/>
        <w:wordWrap/>
        <w:topLinePunct w:val="0"/>
        <w:bidi w:val="0"/>
        <w:spacing w:line="360" w:lineRule="auto"/>
        <w:rPr>
          <w:rFonts w:hint="eastAsia" w:ascii="仿宋" w:hAnsi="仿宋" w:eastAsia="仿宋" w:cs="仿宋"/>
          <w:sz w:val="28"/>
          <w:szCs w:val="28"/>
          <w:lang w:eastAsia="zh-CN"/>
        </w:rPr>
      </w:pPr>
    </w:p>
    <w:p w14:paraId="02A1756D">
      <w:pPr>
        <w:pStyle w:val="50"/>
        <w:pageBreakBefore w:val="0"/>
        <w:wordWrap/>
        <w:topLinePunct w:val="0"/>
        <w:bidi w:val="0"/>
        <w:spacing w:line="360" w:lineRule="auto"/>
        <w:rPr>
          <w:rFonts w:hint="eastAsia" w:ascii="仿宋" w:hAnsi="仿宋" w:eastAsia="仿宋" w:cs="仿宋"/>
          <w:sz w:val="28"/>
          <w:szCs w:val="28"/>
          <w:lang w:eastAsia="zh-CN"/>
        </w:rPr>
      </w:pPr>
    </w:p>
    <w:p w14:paraId="26D5F85B">
      <w:pPr>
        <w:pageBreakBefore w:val="0"/>
        <w:numPr>
          <w:ilvl w:val="0"/>
          <w:numId w:val="6"/>
        </w:numPr>
        <w:wordWrap/>
        <w:topLinePunct w:val="0"/>
        <w:bidi w:val="0"/>
        <w:spacing w:line="360" w:lineRule="auto"/>
        <w:outlineLvl w:val="1"/>
        <w:rPr>
          <w:rFonts w:hint="eastAsia" w:ascii="仿宋" w:hAnsi="仿宋" w:eastAsia="仿宋" w:cs="仿宋"/>
          <w:b/>
          <w:color w:val="auto"/>
          <w:sz w:val="28"/>
          <w:szCs w:val="28"/>
          <w:lang w:eastAsia="zh-CN"/>
        </w:rPr>
      </w:pPr>
      <w:bookmarkStart w:id="578" w:name="_Toc75126242_WPSOffice_Level3"/>
      <w:bookmarkStart w:id="579" w:name="_Toc1647555423_WPSOffice_Level3"/>
      <w:bookmarkStart w:id="580" w:name="_Toc71296678_WPSOffice_Level2"/>
      <w:r>
        <w:rPr>
          <w:rFonts w:hint="eastAsia" w:ascii="仿宋" w:hAnsi="仿宋" w:eastAsia="仿宋" w:cs="仿宋"/>
          <w:b/>
          <w:color w:val="auto"/>
          <w:sz w:val="28"/>
          <w:szCs w:val="28"/>
          <w:lang w:val="en-US" w:eastAsia="zh-CN"/>
        </w:rPr>
        <w:br w:type="page"/>
      </w:r>
      <w:bookmarkEnd w:id="578"/>
      <w:bookmarkEnd w:id="579"/>
      <w:bookmarkEnd w:id="580"/>
      <w:bookmarkStart w:id="581" w:name="_Toc131500600_WPSOffice_Level3"/>
      <w:bookmarkStart w:id="582" w:name="_Toc648016321_WPSOffice_Level3"/>
      <w:bookmarkStart w:id="583" w:name="_Toc1876950018_WPSOffice_Level1"/>
      <w:bookmarkStart w:id="584" w:name="_Toc2128211085"/>
      <w:bookmarkStart w:id="585" w:name="_Toc1366447656"/>
      <w:bookmarkStart w:id="586" w:name="_Toc1212124171"/>
      <w:bookmarkStart w:id="587" w:name="_Toc505697850"/>
      <w:bookmarkStart w:id="588" w:name="_Toc2021117886"/>
      <w:bookmarkStart w:id="589" w:name="_Toc1216028725_WPSOffice_Level2"/>
      <w:bookmarkStart w:id="590" w:name="_Toc339295120"/>
      <w:bookmarkStart w:id="591" w:name="_Toc1047604175"/>
      <w:bookmarkStart w:id="592" w:name="_Toc694927784"/>
      <w:bookmarkStart w:id="593" w:name="_Toc1554580408"/>
      <w:bookmarkStart w:id="594" w:name="_Toc1351594660_WPSOffice_Level2"/>
      <w:bookmarkStart w:id="595" w:name="_Toc667407289"/>
      <w:bookmarkStart w:id="596" w:name="_Toc1887969822_WPSOffice_Level2"/>
      <w:bookmarkStart w:id="597" w:name="_Toc1331652897_WPSOffice_Level2"/>
      <w:bookmarkStart w:id="598" w:name="_Toc2146371347"/>
      <w:r>
        <w:rPr>
          <w:rFonts w:hint="eastAsia" w:ascii="仿宋" w:hAnsi="仿宋" w:eastAsia="仿宋" w:cs="仿宋"/>
          <w:b/>
          <w:color w:val="auto"/>
          <w:sz w:val="28"/>
          <w:szCs w:val="28"/>
          <w:lang w:eastAsia="zh-CN"/>
        </w:rPr>
        <w:t>评分标准（满分100分）</w:t>
      </w:r>
      <w:bookmarkEnd w:id="581"/>
      <w:bookmarkEnd w:id="582"/>
    </w:p>
    <w:tbl>
      <w:tblPr>
        <w:tblStyle w:val="52"/>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1091"/>
        <w:gridCol w:w="6107"/>
        <w:gridCol w:w="639"/>
      </w:tblGrid>
      <w:tr w14:paraId="7485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42" w:type="dxa"/>
            <w:noWrap w:val="0"/>
            <w:vAlign w:val="center"/>
          </w:tcPr>
          <w:p w14:paraId="56F9732A">
            <w:pPr>
              <w:adjustRightInd w:val="0"/>
              <w:snapToGrid w:val="0"/>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评分内容</w:t>
            </w:r>
          </w:p>
        </w:tc>
        <w:tc>
          <w:tcPr>
            <w:tcW w:w="1091" w:type="dxa"/>
            <w:noWrap w:val="0"/>
            <w:vAlign w:val="center"/>
          </w:tcPr>
          <w:p w14:paraId="18EF0F5F">
            <w:pPr>
              <w:adjustRightInd w:val="0"/>
              <w:snapToGrid w:val="0"/>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评分因素</w:t>
            </w:r>
          </w:p>
        </w:tc>
        <w:tc>
          <w:tcPr>
            <w:tcW w:w="6107" w:type="dxa"/>
            <w:noWrap w:val="0"/>
            <w:vAlign w:val="center"/>
          </w:tcPr>
          <w:p w14:paraId="11290C72">
            <w:pPr>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评分标准</w:t>
            </w:r>
          </w:p>
        </w:tc>
        <w:tc>
          <w:tcPr>
            <w:tcW w:w="639" w:type="dxa"/>
            <w:noWrap w:val="0"/>
            <w:vAlign w:val="center"/>
          </w:tcPr>
          <w:p w14:paraId="3F8809F0">
            <w:pPr>
              <w:adjustRightInd w:val="0"/>
              <w:snapToGrid w:val="0"/>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分值</w:t>
            </w:r>
          </w:p>
        </w:tc>
      </w:tr>
      <w:tr w14:paraId="33C8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1542" w:type="dxa"/>
            <w:noWrap w:val="0"/>
            <w:vAlign w:val="center"/>
          </w:tcPr>
          <w:p w14:paraId="4ED8ED33">
            <w:pPr>
              <w:adjustRightInd w:val="0"/>
              <w:snapToGrid w:val="0"/>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报价</w:t>
            </w:r>
          </w:p>
          <w:p w14:paraId="6671E02D">
            <w:pPr>
              <w:adjustRightInd w:val="0"/>
              <w:snapToGrid w:val="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10</w:t>
            </w:r>
            <w:r>
              <w:rPr>
                <w:rFonts w:hint="eastAsia" w:ascii="仿宋_GB2312" w:hAnsi="仿宋_GB2312" w:eastAsia="仿宋_GB2312" w:cs="仿宋_GB2312"/>
                <w:b/>
                <w:bCs/>
                <w:color w:val="auto"/>
                <w:sz w:val="28"/>
                <w:szCs w:val="28"/>
              </w:rPr>
              <w:t>分）</w:t>
            </w:r>
          </w:p>
        </w:tc>
        <w:tc>
          <w:tcPr>
            <w:tcW w:w="1091" w:type="dxa"/>
            <w:noWrap w:val="0"/>
            <w:vAlign w:val="center"/>
          </w:tcPr>
          <w:p w14:paraId="303007AB">
            <w:pPr>
              <w:adjustRightInd w:val="0"/>
              <w:snapToGrid w:val="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投标报价</w:t>
            </w:r>
          </w:p>
        </w:tc>
        <w:tc>
          <w:tcPr>
            <w:tcW w:w="6107" w:type="dxa"/>
            <w:noWrap w:val="0"/>
            <w:vAlign w:val="center"/>
          </w:tcPr>
          <w:p w14:paraId="1C5AA20D">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价格分统一采用低价优先法计算，即满足招标文件要求且投标价格最低的投标报价为评标基准价，其价格分为满分。其他投标人的价格分统一按照下列公式计算：投标报价得分=（评标基准价/投标报价）×</w:t>
            </w:r>
            <w:r>
              <w:rPr>
                <w:rFonts w:hint="eastAsia" w:ascii="仿宋_GB2312" w:hAnsi="仿宋_GB2312" w:eastAsia="仿宋_GB2312" w:cs="仿宋_GB2312"/>
                <w:color w:val="auto"/>
                <w:sz w:val="28"/>
                <w:szCs w:val="28"/>
                <w:lang w:val="en-US" w:eastAsia="zh-CN"/>
              </w:rPr>
              <w:t>10</w:t>
            </w:r>
          </w:p>
          <w:p w14:paraId="7C430CD5">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因落实政府采购政策进行价格调整的，以调整后的价格计算评标基准价和投标报价得分。对于小型和微型企业以扣除后的价格作为报价参与评审。</w:t>
            </w:r>
          </w:p>
        </w:tc>
        <w:tc>
          <w:tcPr>
            <w:tcW w:w="639" w:type="dxa"/>
            <w:noWrap w:val="0"/>
            <w:vAlign w:val="center"/>
          </w:tcPr>
          <w:p w14:paraId="55D83E77">
            <w:pPr>
              <w:adjustRightInd w:val="0"/>
              <w:snapToGrid w:val="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10</w:t>
            </w:r>
          </w:p>
        </w:tc>
      </w:tr>
      <w:tr w14:paraId="1115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1542" w:type="dxa"/>
            <w:vMerge w:val="restart"/>
            <w:noWrap w:val="0"/>
            <w:vAlign w:val="center"/>
          </w:tcPr>
          <w:p w14:paraId="1E2BDD7E">
            <w:pPr>
              <w:adjustRightInd w:val="0"/>
              <w:snapToGrid w:val="0"/>
              <w:jc w:val="center"/>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综合</w:t>
            </w:r>
          </w:p>
          <w:p w14:paraId="32E1F6AB">
            <w:pPr>
              <w:adjustRightInd w:val="0"/>
              <w:snapToGrid w:val="0"/>
              <w:jc w:val="center"/>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部分</w:t>
            </w:r>
          </w:p>
          <w:p w14:paraId="790A82CB">
            <w:pPr>
              <w:adjustRightInd w:val="0"/>
              <w:snapToGrid w:val="0"/>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eastAsia="zh-CN"/>
              </w:rPr>
              <w:t>（2</w:t>
            </w:r>
            <w:r>
              <w:rPr>
                <w:rFonts w:hint="eastAsia" w:ascii="仿宋_GB2312" w:hAnsi="仿宋_GB2312" w:eastAsia="仿宋_GB2312" w:cs="仿宋_GB2312"/>
                <w:b/>
                <w:bCs/>
                <w:color w:val="auto"/>
                <w:sz w:val="28"/>
                <w:szCs w:val="28"/>
                <w:lang w:val="en-US" w:eastAsia="zh-CN"/>
              </w:rPr>
              <w:t>0</w:t>
            </w:r>
            <w:r>
              <w:rPr>
                <w:rFonts w:hint="eastAsia" w:ascii="仿宋_GB2312" w:hAnsi="仿宋_GB2312" w:eastAsia="仿宋_GB2312" w:cs="仿宋_GB2312"/>
                <w:b/>
                <w:bCs/>
                <w:color w:val="auto"/>
                <w:sz w:val="28"/>
                <w:szCs w:val="28"/>
                <w:lang w:eastAsia="zh-CN"/>
              </w:rPr>
              <w:t>分）</w:t>
            </w:r>
          </w:p>
        </w:tc>
        <w:tc>
          <w:tcPr>
            <w:tcW w:w="1091" w:type="dxa"/>
            <w:noWrap w:val="0"/>
            <w:vAlign w:val="center"/>
          </w:tcPr>
          <w:p w14:paraId="5229DF2E">
            <w:pPr>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rPr>
              <w:t>业绩</w:t>
            </w:r>
          </w:p>
        </w:tc>
        <w:tc>
          <w:tcPr>
            <w:tcW w:w="6107" w:type="dxa"/>
            <w:noWrap w:val="0"/>
            <w:vAlign w:val="center"/>
          </w:tcPr>
          <w:p w14:paraId="2DE778A1">
            <w:pPr>
              <w:autoSpaceDE w:val="0"/>
              <w:autoSpaceDN w:val="0"/>
              <w:adjustRightInd w:val="0"/>
              <w:ind w:right="210" w:rightChars="0"/>
              <w:rPr>
                <w:rFonts w:hint="eastAsia" w:ascii="仿宋_GB2312" w:hAnsi="仿宋_GB2312" w:eastAsia="仿宋_GB2312" w:cs="仿宋_GB2312"/>
                <w:color w:val="auto"/>
                <w:sz w:val="28"/>
                <w:szCs w:val="28"/>
                <w:lang w:val="zh-TW" w:eastAsia="zh-CN"/>
              </w:rPr>
            </w:pPr>
            <w:r>
              <w:rPr>
                <w:rFonts w:hint="eastAsia" w:ascii="仿宋_GB2312" w:hAnsi="仿宋_GB2312" w:eastAsia="仿宋_GB2312" w:cs="仿宋_GB2312"/>
                <w:color w:val="auto"/>
                <w:sz w:val="28"/>
                <w:szCs w:val="28"/>
                <w:lang w:val="zh-TW" w:eastAsia="zh-CN"/>
              </w:rPr>
              <w:t>提供投标人自 202</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val="zh-TW" w:eastAsia="zh-CN"/>
              </w:rPr>
              <w:t>年</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val="zh-TW" w:eastAsia="zh-CN"/>
              </w:rPr>
              <w:t>月</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val="zh-TW" w:eastAsia="zh-CN"/>
              </w:rPr>
              <w:t>日以来的类似项目业绩,以合同签订日期为准，每提供一份得1份业绩得3分，最高得12分。（业绩=完整合同（扫描件）+服务期内任意一个月的发票，扫描不清楚、不完整或无法辨认的不予认可，虚假业绩将自行承担相关责任。）缺项按0分计。</w:t>
            </w:r>
          </w:p>
          <w:p w14:paraId="2EEE21C0">
            <w:pPr>
              <w:autoSpaceDE w:val="0"/>
              <w:autoSpaceDN w:val="0"/>
              <w:adjustRightInd w:val="0"/>
              <w:ind w:right="210" w:rightChars="0"/>
              <w:rPr>
                <w:rFonts w:hint="eastAsia" w:ascii="仿宋_GB2312" w:hAnsi="仿宋_GB2312" w:eastAsia="仿宋_GB2312" w:cs="仿宋_GB2312"/>
                <w:color w:val="auto"/>
                <w:sz w:val="28"/>
                <w:szCs w:val="28"/>
                <w:lang w:val="zh-TW" w:eastAsia="zh-CN"/>
              </w:rPr>
            </w:pPr>
            <w:r>
              <w:rPr>
                <w:rFonts w:hint="eastAsia" w:ascii="仿宋_GB2312" w:hAnsi="仿宋_GB2312" w:eastAsia="仿宋_GB2312" w:cs="仿宋_GB2312"/>
                <w:color w:val="auto"/>
                <w:sz w:val="28"/>
                <w:szCs w:val="28"/>
                <w:lang w:val="zh-TW" w:eastAsia="zh-CN"/>
              </w:rPr>
              <w:t>注：同一项目多个标段按一份合同计算分值。</w:t>
            </w:r>
          </w:p>
        </w:tc>
        <w:tc>
          <w:tcPr>
            <w:tcW w:w="639" w:type="dxa"/>
            <w:noWrap w:val="0"/>
            <w:vAlign w:val="center"/>
          </w:tcPr>
          <w:p w14:paraId="4126F28B">
            <w:pPr>
              <w:adjustRightInd w:val="0"/>
              <w:snapToGrid w:val="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w:t>
            </w:r>
          </w:p>
        </w:tc>
      </w:tr>
      <w:tr w14:paraId="3401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1542" w:type="dxa"/>
            <w:vMerge w:val="continue"/>
            <w:noWrap w:val="0"/>
            <w:vAlign w:val="center"/>
          </w:tcPr>
          <w:p w14:paraId="58035C60">
            <w:pPr>
              <w:adjustRightInd w:val="0"/>
              <w:snapToGrid w:val="0"/>
              <w:jc w:val="center"/>
              <w:rPr>
                <w:rFonts w:hint="eastAsia" w:ascii="仿宋_GB2312" w:hAnsi="仿宋_GB2312" w:eastAsia="仿宋_GB2312" w:cs="仿宋_GB2312"/>
                <w:b/>
                <w:bCs/>
                <w:color w:val="auto"/>
                <w:sz w:val="28"/>
                <w:szCs w:val="28"/>
              </w:rPr>
            </w:pPr>
          </w:p>
        </w:tc>
        <w:tc>
          <w:tcPr>
            <w:tcW w:w="1091" w:type="dxa"/>
            <w:noWrap w:val="0"/>
            <w:vAlign w:val="center"/>
          </w:tcPr>
          <w:p w14:paraId="3FB3D0E1">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服务承诺</w:t>
            </w:r>
          </w:p>
        </w:tc>
        <w:tc>
          <w:tcPr>
            <w:tcW w:w="6107" w:type="dxa"/>
            <w:noWrap w:val="0"/>
            <w:vAlign w:val="center"/>
          </w:tcPr>
          <w:p w14:paraId="74929B63">
            <w:pPr>
              <w:autoSpaceDE w:val="0"/>
              <w:autoSpaceDN w:val="0"/>
              <w:adjustRightInd w:val="0"/>
              <w:ind w:right="210" w:rightChars="0"/>
              <w:rPr>
                <w:rFonts w:hint="eastAsia" w:ascii="仿宋_GB2312" w:hAnsi="仿宋_GB2312" w:eastAsia="仿宋_GB2312" w:cs="仿宋_GB2312"/>
                <w:caps/>
                <w:kern w:val="0"/>
                <w:sz w:val="28"/>
                <w:szCs w:val="28"/>
              </w:rPr>
            </w:pPr>
            <w:r>
              <w:rPr>
                <w:rFonts w:hint="eastAsia" w:ascii="仿宋_GB2312" w:hAnsi="仿宋_GB2312" w:eastAsia="仿宋_GB2312" w:cs="仿宋_GB2312"/>
                <w:caps/>
                <w:kern w:val="0"/>
                <w:sz w:val="28"/>
                <w:szCs w:val="28"/>
              </w:rPr>
              <w:t>投标人应针对本项目提供服务承诺，包括但不限于中标后临时提供特殊设施设备、物业进驻及合同到期时的交接、特殊情况下服从采购人对服务人员的调配、对采购人不满意的项目经理或其他人员无条件更换等方面内容。</w:t>
            </w:r>
          </w:p>
          <w:p w14:paraId="2FE36AAA">
            <w:pPr>
              <w:autoSpaceDE w:val="0"/>
              <w:autoSpaceDN w:val="0"/>
              <w:adjustRightInd w:val="0"/>
              <w:ind w:right="210" w:rightChars="0"/>
              <w:rPr>
                <w:rFonts w:hint="eastAsia" w:ascii="仿宋_GB2312" w:hAnsi="仿宋_GB2312" w:eastAsia="仿宋_GB2312" w:cs="仿宋_GB2312"/>
                <w:color w:val="auto"/>
                <w:sz w:val="28"/>
                <w:szCs w:val="28"/>
                <w:lang w:val="en" w:eastAsia="zh-CN"/>
              </w:rPr>
            </w:pPr>
            <w:r>
              <w:rPr>
                <w:rFonts w:hint="eastAsia" w:ascii="仿宋_GB2312" w:hAnsi="仿宋_GB2312" w:eastAsia="仿宋_GB2312" w:cs="仿宋_GB2312"/>
                <w:caps/>
                <w:kern w:val="0"/>
                <w:sz w:val="28"/>
                <w:szCs w:val="28"/>
              </w:rPr>
              <w:t>投标人对每项内容论述详细，完全贴合采购需求的得</w:t>
            </w:r>
            <w:r>
              <w:rPr>
                <w:rFonts w:hint="eastAsia" w:ascii="仿宋_GB2312" w:hAnsi="仿宋_GB2312" w:eastAsia="仿宋_GB2312" w:cs="仿宋_GB2312"/>
                <w:caps/>
                <w:kern w:val="0"/>
                <w:sz w:val="28"/>
                <w:szCs w:val="28"/>
                <w:lang w:val="en-US" w:eastAsia="zh-CN"/>
              </w:rPr>
              <w:t>8</w:t>
            </w:r>
            <w:r>
              <w:rPr>
                <w:rFonts w:hint="eastAsia" w:ascii="仿宋_GB2312" w:hAnsi="仿宋_GB2312" w:eastAsia="仿宋_GB2312" w:cs="仿宋_GB2312"/>
                <w:caps/>
                <w:kern w:val="0"/>
                <w:sz w:val="28"/>
                <w:szCs w:val="28"/>
              </w:rPr>
              <w:t>分；投标人对每项内容虽阐述但未贴合采购需求进行论述，或内容未包括具体细节的得</w:t>
            </w:r>
            <w:r>
              <w:rPr>
                <w:rFonts w:hint="eastAsia" w:ascii="仿宋_GB2312" w:hAnsi="仿宋_GB2312" w:eastAsia="仿宋_GB2312" w:cs="仿宋_GB2312"/>
                <w:caps/>
                <w:kern w:val="0"/>
                <w:sz w:val="28"/>
                <w:szCs w:val="28"/>
                <w:lang w:val="en-US" w:eastAsia="zh-CN"/>
              </w:rPr>
              <w:t>5</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投标人提供的内容不完整或存在影响本项目目标实现的明显错误</w:t>
            </w:r>
            <w:r>
              <w:rPr>
                <w:rFonts w:hint="eastAsia" w:ascii="仿宋_GB2312" w:hAnsi="仿宋_GB2312" w:eastAsia="仿宋_GB2312" w:cs="仿宋_GB2312"/>
                <w:caps/>
                <w:kern w:val="0"/>
                <w:sz w:val="28"/>
                <w:szCs w:val="28"/>
              </w:rPr>
              <w:t>的得</w:t>
            </w:r>
            <w:r>
              <w:rPr>
                <w:rFonts w:hint="eastAsia" w:ascii="仿宋_GB2312" w:hAnsi="仿宋_GB2312" w:eastAsia="仿宋_GB2312" w:cs="仿宋_GB2312"/>
                <w:caps/>
                <w:kern w:val="0"/>
                <w:sz w:val="28"/>
                <w:szCs w:val="28"/>
                <w:lang w:val="en-US" w:eastAsia="zh-CN"/>
              </w:rPr>
              <w:t>2</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缺项得0分</w:t>
            </w:r>
            <w:r>
              <w:rPr>
                <w:rFonts w:hint="eastAsia" w:ascii="仿宋_GB2312" w:hAnsi="仿宋_GB2312" w:eastAsia="仿宋_GB2312" w:cs="仿宋_GB2312"/>
                <w:caps/>
                <w:kern w:val="0"/>
                <w:sz w:val="28"/>
                <w:szCs w:val="28"/>
              </w:rPr>
              <w:t>。</w:t>
            </w:r>
          </w:p>
        </w:tc>
        <w:tc>
          <w:tcPr>
            <w:tcW w:w="639" w:type="dxa"/>
            <w:noWrap w:val="0"/>
            <w:vAlign w:val="center"/>
          </w:tcPr>
          <w:p w14:paraId="12107A3F">
            <w:pPr>
              <w:adjustRightInd w:val="0"/>
              <w:snapToGrid w:val="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w:t>
            </w:r>
          </w:p>
        </w:tc>
      </w:tr>
      <w:tr w14:paraId="2274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42" w:type="dxa"/>
            <w:vMerge w:val="restart"/>
            <w:noWrap w:val="0"/>
            <w:vAlign w:val="center"/>
          </w:tcPr>
          <w:p w14:paraId="5A962AB0">
            <w:pPr>
              <w:adjustRightInd w:val="0"/>
              <w:snapToGrid w:val="0"/>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技术</w:t>
            </w:r>
          </w:p>
          <w:p w14:paraId="052DAA46">
            <w:pPr>
              <w:adjustRightInd w:val="0"/>
              <w:snapToGrid w:val="0"/>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部分</w:t>
            </w:r>
          </w:p>
          <w:p w14:paraId="18AC5258">
            <w:pPr>
              <w:adjustRightInd w:val="0"/>
              <w:snapToGrid w:val="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w:t>
            </w:r>
            <w:r>
              <w:rPr>
                <w:rFonts w:hint="eastAsia" w:ascii="仿宋_GB2312" w:hAnsi="仿宋_GB2312" w:eastAsia="仿宋_GB2312" w:cs="仿宋_GB2312"/>
                <w:b/>
                <w:bCs/>
                <w:color w:val="auto"/>
                <w:sz w:val="28"/>
                <w:szCs w:val="28"/>
                <w:lang w:val="en-US" w:eastAsia="zh-CN"/>
              </w:rPr>
              <w:t>70</w:t>
            </w:r>
            <w:r>
              <w:rPr>
                <w:rFonts w:hint="eastAsia" w:ascii="仿宋_GB2312" w:hAnsi="仿宋_GB2312" w:eastAsia="仿宋_GB2312" w:cs="仿宋_GB2312"/>
                <w:b/>
                <w:bCs/>
                <w:color w:val="auto"/>
                <w:sz w:val="28"/>
                <w:szCs w:val="28"/>
              </w:rPr>
              <w:t>分）</w:t>
            </w:r>
          </w:p>
        </w:tc>
        <w:tc>
          <w:tcPr>
            <w:tcW w:w="1091" w:type="dxa"/>
            <w:noWrap w:val="0"/>
            <w:vAlign w:val="center"/>
          </w:tcPr>
          <w:p w14:paraId="396F129B">
            <w:pPr>
              <w:adjustRightInd w:val="0"/>
              <w:snapToGrid w:val="0"/>
              <w:jc w:val="center"/>
              <w:rPr>
                <w:rFonts w:hint="eastAsia" w:ascii="仿宋_GB2312" w:hAnsi="仿宋_GB2312" w:eastAsia="仿宋_GB2312" w:cs="仿宋_GB2312"/>
                <w:color w:val="auto"/>
                <w:kern w:val="2"/>
                <w:sz w:val="28"/>
                <w:szCs w:val="28"/>
                <w:lang w:val="zh-TW" w:eastAsia="zh-CN" w:bidi="ar-SA"/>
              </w:rPr>
            </w:pPr>
            <w:r>
              <w:rPr>
                <w:rFonts w:hint="eastAsia" w:ascii="仿宋_GB2312" w:hAnsi="仿宋_GB2312" w:eastAsia="仿宋_GB2312" w:cs="仿宋_GB2312"/>
                <w:color w:val="auto"/>
                <w:sz w:val="28"/>
                <w:szCs w:val="28"/>
              </w:rPr>
              <w:t>服务方案</w:t>
            </w:r>
          </w:p>
        </w:tc>
        <w:tc>
          <w:tcPr>
            <w:tcW w:w="6107" w:type="dxa"/>
            <w:noWrap w:val="0"/>
            <w:vAlign w:val="center"/>
          </w:tcPr>
          <w:p w14:paraId="03132B5B">
            <w:pPr>
              <w:autoSpaceDE w:val="0"/>
              <w:autoSpaceDN w:val="0"/>
              <w:adjustRightInd w:val="0"/>
              <w:ind w:right="210" w:rightChars="0"/>
              <w:rPr>
                <w:rFonts w:hint="default" w:ascii="仿宋_GB2312" w:hAnsi="仿宋_GB2312" w:eastAsia="仿宋_GB2312" w:cs="仿宋_GB2312"/>
                <w:color w:val="auto"/>
                <w:sz w:val="28"/>
                <w:szCs w:val="28"/>
                <w:highlight w:val="cyan"/>
                <w:lang w:val="en" w:eastAsia="zh-CN"/>
              </w:rPr>
            </w:pPr>
            <w:r>
              <w:rPr>
                <w:rFonts w:hint="eastAsia" w:ascii="仿宋_GB2312" w:hAnsi="仿宋_GB2312" w:eastAsia="仿宋_GB2312" w:cs="仿宋_GB2312"/>
                <w:color w:val="auto"/>
                <w:sz w:val="28"/>
                <w:szCs w:val="28"/>
                <w:lang w:val="en-US" w:eastAsia="zh-CN"/>
              </w:rPr>
              <w:t>投标人应结合本项目的区域布局、设施配置及使用性质特点，制定整体管理</w:t>
            </w:r>
            <w:r>
              <w:rPr>
                <w:rFonts w:hint="eastAsia" w:ascii="仿宋_GB2312" w:hAnsi="仿宋_GB2312" w:eastAsia="仿宋_GB2312" w:cs="仿宋_GB2312"/>
                <w:color w:val="auto"/>
                <w:sz w:val="28"/>
                <w:szCs w:val="28"/>
                <w:lang w:val="en" w:eastAsia="zh-CN"/>
              </w:rPr>
              <w:t>服务方案，</w:t>
            </w:r>
            <w:r>
              <w:rPr>
                <w:rFonts w:hint="eastAsia" w:ascii="仿宋_GB2312" w:hAnsi="仿宋_GB2312" w:eastAsia="仿宋_GB2312" w:cs="仿宋_GB2312"/>
                <w:color w:val="auto"/>
                <w:sz w:val="28"/>
                <w:szCs w:val="28"/>
                <w:lang w:val="en-US" w:eastAsia="zh-CN"/>
              </w:rPr>
              <w:t>包含但不限</w:t>
            </w:r>
            <w:r>
              <w:rPr>
                <w:rFonts w:hint="eastAsia" w:ascii="仿宋_GB2312" w:hAnsi="仿宋_GB2312" w:eastAsia="仿宋_GB2312" w:cs="仿宋_GB2312"/>
                <w:color w:val="auto"/>
                <w:sz w:val="28"/>
                <w:szCs w:val="28"/>
                <w:highlight w:val="none"/>
                <w:lang w:val="en-US" w:eastAsia="zh-CN"/>
              </w:rPr>
              <w:t>于</w:t>
            </w:r>
            <w:r>
              <w:rPr>
                <w:rFonts w:hint="eastAsia" w:ascii="仿宋_GB2312" w:hAnsi="仿宋_GB2312" w:eastAsia="仿宋_GB2312" w:cs="仿宋_GB2312"/>
                <w:sz w:val="28"/>
                <w:szCs w:val="28"/>
                <w:highlight w:val="none"/>
                <w:lang w:eastAsia="zh-CN"/>
              </w:rPr>
              <w:t>室内保洁管理服务，室外保洁管理服务，校园绿化管理服务，教室管理服务、小型维修服务、垃圾清收、清运和集中服务、专项管理服务</w:t>
            </w:r>
            <w:r>
              <w:rPr>
                <w:rFonts w:hint="eastAsia" w:ascii="仿宋_GB2312" w:hAnsi="仿宋_GB2312" w:eastAsia="仿宋_GB2312" w:cs="仿宋_GB2312"/>
                <w:color w:val="auto"/>
                <w:sz w:val="28"/>
                <w:szCs w:val="28"/>
                <w:highlight w:val="none"/>
                <w:lang w:val="en-US" w:eastAsia="zh-CN"/>
              </w:rPr>
              <w:t>等</w:t>
            </w:r>
            <w:r>
              <w:rPr>
                <w:rFonts w:hint="eastAsia" w:ascii="仿宋_GB2312" w:hAnsi="仿宋_GB2312" w:eastAsia="仿宋_GB2312" w:cs="仿宋_GB2312"/>
                <w:color w:val="auto"/>
                <w:sz w:val="28"/>
                <w:szCs w:val="28"/>
                <w:highlight w:val="none"/>
                <w:lang w:val="en" w:eastAsia="zh-CN"/>
              </w:rPr>
              <w:t>。</w:t>
            </w:r>
          </w:p>
          <w:p w14:paraId="66DD0AD2">
            <w:pPr>
              <w:autoSpaceDE w:val="0"/>
              <w:autoSpaceDN w:val="0"/>
              <w:adjustRightInd w:val="0"/>
              <w:ind w:right="210" w:rightChars="0"/>
              <w:rPr>
                <w:rFonts w:hint="eastAsia" w:ascii="仿宋_GB2312" w:hAnsi="仿宋_GB2312" w:eastAsia="仿宋_GB2312" w:cs="仿宋_GB2312"/>
                <w:color w:val="auto"/>
                <w:sz w:val="28"/>
                <w:szCs w:val="28"/>
                <w:lang w:val="zh-TW" w:eastAsia="zh-CN"/>
              </w:rPr>
            </w:pPr>
            <w:r>
              <w:rPr>
                <w:rFonts w:hint="eastAsia" w:ascii="仿宋_GB2312" w:hAnsi="仿宋_GB2312" w:eastAsia="仿宋_GB2312" w:cs="仿宋_GB2312"/>
                <w:caps/>
                <w:kern w:val="0"/>
                <w:sz w:val="28"/>
                <w:szCs w:val="28"/>
              </w:rPr>
              <w:t>投标人对每项内容论述详细，完全贴合采购需求的得</w:t>
            </w:r>
            <w:r>
              <w:rPr>
                <w:rFonts w:hint="eastAsia" w:ascii="仿宋_GB2312" w:hAnsi="仿宋_GB2312" w:eastAsia="仿宋_GB2312" w:cs="仿宋_GB2312"/>
                <w:caps/>
                <w:kern w:val="0"/>
                <w:sz w:val="28"/>
                <w:szCs w:val="28"/>
                <w:lang w:val="en-US" w:eastAsia="zh-CN"/>
              </w:rPr>
              <w:t>9</w:t>
            </w:r>
            <w:r>
              <w:rPr>
                <w:rFonts w:hint="eastAsia" w:ascii="仿宋_GB2312" w:hAnsi="仿宋_GB2312" w:eastAsia="仿宋_GB2312" w:cs="仿宋_GB2312"/>
                <w:caps/>
                <w:kern w:val="0"/>
                <w:sz w:val="28"/>
                <w:szCs w:val="28"/>
              </w:rPr>
              <w:t>分；投标人对每项内容虽阐述但未贴合采购需求进行论述，或内容未包括具体细节的得</w:t>
            </w:r>
            <w:r>
              <w:rPr>
                <w:rFonts w:hint="eastAsia" w:ascii="仿宋_GB2312" w:hAnsi="仿宋_GB2312" w:eastAsia="仿宋_GB2312" w:cs="仿宋_GB2312"/>
                <w:caps/>
                <w:kern w:val="0"/>
                <w:sz w:val="28"/>
                <w:szCs w:val="28"/>
                <w:lang w:val="en-US" w:eastAsia="zh-CN"/>
              </w:rPr>
              <w:t>6</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投标人提供的内容不完整或存在影响本项目目标实现的明显错误</w:t>
            </w:r>
            <w:r>
              <w:rPr>
                <w:rFonts w:hint="eastAsia" w:ascii="仿宋_GB2312" w:hAnsi="仿宋_GB2312" w:eastAsia="仿宋_GB2312" w:cs="仿宋_GB2312"/>
                <w:caps/>
                <w:kern w:val="0"/>
                <w:sz w:val="28"/>
                <w:szCs w:val="28"/>
              </w:rPr>
              <w:t>的得</w:t>
            </w:r>
            <w:r>
              <w:rPr>
                <w:rFonts w:hint="eastAsia" w:ascii="仿宋_GB2312" w:hAnsi="仿宋_GB2312" w:eastAsia="仿宋_GB2312" w:cs="仿宋_GB2312"/>
                <w:caps/>
                <w:kern w:val="0"/>
                <w:sz w:val="28"/>
                <w:szCs w:val="28"/>
                <w:lang w:val="en-US" w:eastAsia="zh-CN"/>
              </w:rPr>
              <w:t>3</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缺项得0分</w:t>
            </w:r>
            <w:r>
              <w:rPr>
                <w:rFonts w:hint="eastAsia" w:ascii="仿宋_GB2312" w:hAnsi="仿宋_GB2312" w:eastAsia="仿宋_GB2312" w:cs="仿宋_GB2312"/>
                <w:caps/>
                <w:kern w:val="0"/>
                <w:sz w:val="28"/>
                <w:szCs w:val="28"/>
              </w:rPr>
              <w:t>。</w:t>
            </w:r>
          </w:p>
        </w:tc>
        <w:tc>
          <w:tcPr>
            <w:tcW w:w="639" w:type="dxa"/>
            <w:noWrap w:val="0"/>
            <w:vAlign w:val="center"/>
          </w:tcPr>
          <w:p w14:paraId="2FC4849A">
            <w:pPr>
              <w:adjustRightInd w:val="0"/>
              <w:snapToGrid w:val="0"/>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rPr>
              <w:t>9</w:t>
            </w:r>
          </w:p>
        </w:tc>
      </w:tr>
      <w:tr w14:paraId="0FFC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jc w:val="center"/>
        </w:trPr>
        <w:tc>
          <w:tcPr>
            <w:tcW w:w="1542" w:type="dxa"/>
            <w:vMerge w:val="continue"/>
            <w:noWrap w:val="0"/>
            <w:vAlign w:val="center"/>
          </w:tcPr>
          <w:p w14:paraId="3FE09FC8">
            <w:pPr>
              <w:adjustRightInd w:val="0"/>
              <w:snapToGrid w:val="0"/>
              <w:jc w:val="center"/>
              <w:rPr>
                <w:rFonts w:hint="eastAsia" w:ascii="仿宋_GB2312" w:hAnsi="仿宋_GB2312" w:eastAsia="仿宋_GB2312" w:cs="仿宋_GB2312"/>
                <w:b/>
                <w:bCs/>
                <w:color w:val="auto"/>
                <w:sz w:val="28"/>
                <w:szCs w:val="28"/>
              </w:rPr>
            </w:pPr>
          </w:p>
        </w:tc>
        <w:tc>
          <w:tcPr>
            <w:tcW w:w="1091" w:type="dxa"/>
            <w:noWrap w:val="0"/>
            <w:vAlign w:val="center"/>
          </w:tcPr>
          <w:p w14:paraId="0516CFFB">
            <w:pPr>
              <w:adjustRightInd w:val="0"/>
              <w:snapToGrid w:val="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管理方式和工作计划</w:t>
            </w:r>
          </w:p>
        </w:tc>
        <w:tc>
          <w:tcPr>
            <w:tcW w:w="6107" w:type="dxa"/>
            <w:noWrap w:val="0"/>
            <w:vAlign w:val="center"/>
          </w:tcPr>
          <w:p w14:paraId="0BBB413F">
            <w:pPr>
              <w:autoSpaceDE w:val="0"/>
              <w:autoSpaceDN w:val="0"/>
              <w:adjustRightInd w:val="0"/>
              <w:ind w:right="21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投标人针对本项目制定管理方式和工作计划，包含但不限于：管理方式确立原则、管理方式概述、管理方式具体内容、工作目标和目标规划、工作任务和时间安排、资源调配和预算计划、项目风险评估和管理、工作绩效管理等。</w:t>
            </w:r>
            <w:r>
              <w:rPr>
                <w:rFonts w:hint="eastAsia" w:ascii="仿宋_GB2312" w:hAnsi="仿宋_GB2312" w:eastAsia="仿宋_GB2312" w:cs="仿宋_GB2312"/>
                <w:caps/>
                <w:kern w:val="0"/>
                <w:sz w:val="28"/>
                <w:szCs w:val="28"/>
              </w:rPr>
              <w:t>投标人对每项内容论述详细，完全贴合采购需求的得</w:t>
            </w:r>
            <w:r>
              <w:rPr>
                <w:rFonts w:hint="eastAsia" w:ascii="仿宋_GB2312" w:hAnsi="仿宋_GB2312" w:eastAsia="仿宋_GB2312" w:cs="仿宋_GB2312"/>
                <w:caps/>
                <w:kern w:val="0"/>
                <w:sz w:val="28"/>
                <w:szCs w:val="28"/>
                <w:lang w:val="en-US" w:eastAsia="zh-CN"/>
              </w:rPr>
              <w:t>9</w:t>
            </w:r>
            <w:r>
              <w:rPr>
                <w:rFonts w:hint="eastAsia" w:ascii="仿宋_GB2312" w:hAnsi="仿宋_GB2312" w:eastAsia="仿宋_GB2312" w:cs="仿宋_GB2312"/>
                <w:caps/>
                <w:kern w:val="0"/>
                <w:sz w:val="28"/>
                <w:szCs w:val="28"/>
              </w:rPr>
              <w:t>分；投标人对每项内容虽阐述但未贴合采购需求进行论述，或内容未包括具体细节的得</w:t>
            </w:r>
            <w:r>
              <w:rPr>
                <w:rFonts w:hint="eastAsia" w:ascii="仿宋_GB2312" w:hAnsi="仿宋_GB2312" w:eastAsia="仿宋_GB2312" w:cs="仿宋_GB2312"/>
                <w:caps/>
                <w:kern w:val="0"/>
                <w:sz w:val="28"/>
                <w:szCs w:val="28"/>
                <w:lang w:val="en-US" w:eastAsia="zh-CN"/>
              </w:rPr>
              <w:t>6</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投标人提供的内容不完整或存在影响本项目目标实现的明显错误</w:t>
            </w:r>
            <w:r>
              <w:rPr>
                <w:rFonts w:hint="eastAsia" w:ascii="仿宋_GB2312" w:hAnsi="仿宋_GB2312" w:eastAsia="仿宋_GB2312" w:cs="仿宋_GB2312"/>
                <w:caps/>
                <w:kern w:val="0"/>
                <w:sz w:val="28"/>
                <w:szCs w:val="28"/>
              </w:rPr>
              <w:t>的得</w:t>
            </w:r>
            <w:r>
              <w:rPr>
                <w:rFonts w:hint="eastAsia" w:ascii="仿宋_GB2312" w:hAnsi="仿宋_GB2312" w:eastAsia="仿宋_GB2312" w:cs="仿宋_GB2312"/>
                <w:caps/>
                <w:kern w:val="0"/>
                <w:sz w:val="28"/>
                <w:szCs w:val="28"/>
                <w:lang w:val="en-US" w:eastAsia="zh-CN"/>
              </w:rPr>
              <w:t>3</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缺项得0分</w:t>
            </w:r>
            <w:r>
              <w:rPr>
                <w:rFonts w:hint="eastAsia" w:ascii="仿宋_GB2312" w:hAnsi="仿宋_GB2312" w:eastAsia="仿宋_GB2312" w:cs="仿宋_GB2312"/>
                <w:caps/>
                <w:kern w:val="0"/>
                <w:sz w:val="28"/>
                <w:szCs w:val="28"/>
              </w:rPr>
              <w:t>。</w:t>
            </w:r>
          </w:p>
        </w:tc>
        <w:tc>
          <w:tcPr>
            <w:tcW w:w="639" w:type="dxa"/>
            <w:noWrap w:val="0"/>
            <w:vAlign w:val="center"/>
          </w:tcPr>
          <w:p w14:paraId="31355948">
            <w:pPr>
              <w:adjustRightInd w:val="0"/>
              <w:snapToGrid w:val="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9</w:t>
            </w:r>
          </w:p>
        </w:tc>
      </w:tr>
      <w:tr w14:paraId="46B7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542" w:type="dxa"/>
            <w:vMerge w:val="continue"/>
            <w:noWrap w:val="0"/>
            <w:vAlign w:val="center"/>
          </w:tcPr>
          <w:p w14:paraId="5E31FD56">
            <w:pPr>
              <w:adjustRightInd w:val="0"/>
              <w:snapToGrid w:val="0"/>
              <w:jc w:val="center"/>
              <w:rPr>
                <w:rFonts w:hint="eastAsia" w:ascii="仿宋_GB2312" w:hAnsi="仿宋_GB2312" w:eastAsia="仿宋_GB2312" w:cs="仿宋_GB2312"/>
                <w:b/>
                <w:bCs/>
                <w:color w:val="auto"/>
                <w:sz w:val="28"/>
                <w:szCs w:val="28"/>
              </w:rPr>
            </w:pPr>
          </w:p>
        </w:tc>
        <w:tc>
          <w:tcPr>
            <w:tcW w:w="1091" w:type="dxa"/>
            <w:noWrap w:val="0"/>
            <w:vAlign w:val="center"/>
          </w:tcPr>
          <w:p w14:paraId="6F1CBCDA">
            <w:pPr>
              <w:autoSpaceDE w:val="0"/>
              <w:autoSpaceDN w:val="0"/>
              <w:adjustRightInd w:val="0"/>
              <w:ind w:right="210"/>
              <w:rPr>
                <w:rFonts w:hint="eastAsia" w:ascii="仿宋_GB2312" w:hAnsi="仿宋_GB2312" w:eastAsia="仿宋_GB2312" w:cs="仿宋_GB2312"/>
                <w:caps/>
                <w:kern w:val="0"/>
                <w:sz w:val="28"/>
                <w:szCs w:val="28"/>
                <w:lang w:val="en-US" w:eastAsia="zh-CN"/>
              </w:rPr>
            </w:pPr>
            <w:r>
              <w:rPr>
                <w:rFonts w:hint="eastAsia" w:ascii="仿宋_GB2312" w:hAnsi="仿宋_GB2312" w:eastAsia="仿宋_GB2312" w:cs="仿宋_GB2312"/>
                <w:caps/>
                <w:kern w:val="0"/>
                <w:sz w:val="28"/>
                <w:szCs w:val="28"/>
                <w:lang w:val="en-US" w:eastAsia="zh-CN"/>
              </w:rPr>
              <w:t>人员、设备及物料投入</w:t>
            </w:r>
          </w:p>
        </w:tc>
        <w:tc>
          <w:tcPr>
            <w:tcW w:w="6107" w:type="dxa"/>
            <w:noWrap w:val="0"/>
            <w:vAlign w:val="top"/>
          </w:tcPr>
          <w:p w14:paraId="58EA67AD">
            <w:pPr>
              <w:autoSpaceDE w:val="0"/>
              <w:autoSpaceDN w:val="0"/>
              <w:adjustRightInd w:val="0"/>
              <w:ind w:right="210"/>
              <w:rPr>
                <w:rFonts w:hint="eastAsia" w:ascii="仿宋_GB2312" w:hAnsi="仿宋_GB2312" w:eastAsia="仿宋_GB2312" w:cs="仿宋_GB2312"/>
                <w:caps/>
                <w:kern w:val="0"/>
                <w:sz w:val="28"/>
                <w:szCs w:val="28"/>
                <w:lang w:val="en-US" w:eastAsia="zh-CN"/>
              </w:rPr>
            </w:pPr>
            <w:r>
              <w:rPr>
                <w:rFonts w:hint="eastAsia" w:ascii="仿宋_GB2312" w:hAnsi="仿宋_GB2312" w:eastAsia="仿宋_GB2312" w:cs="仿宋_GB2312"/>
                <w:caps/>
                <w:kern w:val="0"/>
                <w:sz w:val="28"/>
                <w:szCs w:val="28"/>
                <w:lang w:val="en-US" w:eastAsia="zh-CN"/>
              </w:rPr>
              <w:t>评标委员会根据投标文件和相关证明材料对招标文件的响应情况，对照判断所投人员及设备是否满足招标文件的要求：</w:t>
            </w:r>
          </w:p>
          <w:p w14:paraId="45A2C392">
            <w:pPr>
              <w:autoSpaceDE w:val="0"/>
              <w:autoSpaceDN w:val="0"/>
              <w:adjustRightInd w:val="0"/>
              <w:ind w:right="210"/>
              <w:rPr>
                <w:rFonts w:hint="eastAsia" w:ascii="仿宋_GB2312" w:hAnsi="仿宋_GB2312" w:eastAsia="仿宋_GB2312" w:cs="仿宋_GB2312"/>
                <w:caps/>
                <w:kern w:val="0"/>
                <w:sz w:val="28"/>
                <w:szCs w:val="28"/>
                <w:lang w:val="en-US" w:eastAsia="zh-CN"/>
              </w:rPr>
            </w:pPr>
            <w:r>
              <w:rPr>
                <w:rFonts w:hint="eastAsia" w:ascii="仿宋_GB2312" w:hAnsi="仿宋_GB2312" w:eastAsia="仿宋_GB2312" w:cs="仿宋_GB2312"/>
                <w:caps/>
                <w:kern w:val="0"/>
                <w:sz w:val="28"/>
                <w:szCs w:val="28"/>
                <w:lang w:val="en-US" w:eastAsia="zh-CN"/>
              </w:rPr>
              <w:t>1.带★代表实质性指标，不满足或未响应该指标项将导致投标被拒绝；</w:t>
            </w:r>
          </w:p>
          <w:p w14:paraId="18BE1489">
            <w:pPr>
              <w:autoSpaceDE w:val="0"/>
              <w:autoSpaceDN w:val="0"/>
              <w:adjustRightInd w:val="0"/>
              <w:ind w:right="210"/>
              <w:rPr>
                <w:rFonts w:hint="eastAsia" w:ascii="仿宋_GB2312" w:hAnsi="仿宋_GB2312" w:eastAsia="仿宋_GB2312" w:cs="仿宋_GB2312"/>
                <w:caps/>
                <w:kern w:val="0"/>
                <w:sz w:val="28"/>
                <w:szCs w:val="28"/>
                <w:lang w:val="en-US" w:eastAsia="zh-CN"/>
              </w:rPr>
            </w:pPr>
            <w:r>
              <w:rPr>
                <w:rFonts w:hint="eastAsia" w:ascii="仿宋_GB2312" w:hAnsi="仿宋_GB2312" w:eastAsia="仿宋_GB2312" w:cs="仿宋_GB2312"/>
                <w:caps/>
                <w:kern w:val="0"/>
                <w:sz w:val="28"/>
                <w:szCs w:val="28"/>
                <w:lang w:val="en-US" w:eastAsia="zh-CN"/>
              </w:rPr>
              <w:t>2.带△号表示优化指标项，每满足一项得2分，满分共28分。</w:t>
            </w:r>
          </w:p>
        </w:tc>
        <w:tc>
          <w:tcPr>
            <w:tcW w:w="639" w:type="dxa"/>
            <w:noWrap w:val="0"/>
            <w:vAlign w:val="center"/>
          </w:tcPr>
          <w:p w14:paraId="7B35A7A5">
            <w:pPr>
              <w:adjustRightInd w:val="0"/>
              <w:snapToGrid w:val="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28</w:t>
            </w:r>
          </w:p>
        </w:tc>
      </w:tr>
      <w:tr w14:paraId="7857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542" w:type="dxa"/>
            <w:vMerge w:val="continue"/>
            <w:noWrap w:val="0"/>
            <w:vAlign w:val="center"/>
          </w:tcPr>
          <w:p w14:paraId="615FCFAC">
            <w:pPr>
              <w:adjustRightInd w:val="0"/>
              <w:snapToGrid w:val="0"/>
              <w:jc w:val="center"/>
              <w:rPr>
                <w:rFonts w:hint="eastAsia" w:ascii="仿宋_GB2312" w:hAnsi="仿宋_GB2312" w:eastAsia="仿宋_GB2312" w:cs="仿宋_GB2312"/>
                <w:b/>
                <w:bCs/>
                <w:color w:val="auto"/>
                <w:sz w:val="28"/>
                <w:szCs w:val="28"/>
              </w:rPr>
            </w:pPr>
          </w:p>
        </w:tc>
        <w:tc>
          <w:tcPr>
            <w:tcW w:w="1091" w:type="dxa"/>
            <w:noWrap w:val="0"/>
            <w:vAlign w:val="center"/>
          </w:tcPr>
          <w:p w14:paraId="3C9B889D">
            <w:pPr>
              <w:widowControl w:val="0"/>
              <w:autoSpaceDE w:val="0"/>
              <w:autoSpaceDN w:val="0"/>
              <w:adjustRightInd w:val="0"/>
              <w:ind w:right="21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培训方案</w:t>
            </w:r>
          </w:p>
        </w:tc>
        <w:tc>
          <w:tcPr>
            <w:tcW w:w="6107" w:type="dxa"/>
            <w:noWrap w:val="0"/>
            <w:vAlign w:val="center"/>
          </w:tcPr>
          <w:p w14:paraId="41D534CD">
            <w:pPr>
              <w:widowControl w:val="0"/>
              <w:autoSpaceDE w:val="0"/>
              <w:autoSpaceDN w:val="0"/>
              <w:adjustRightInd w:val="0"/>
              <w:ind w:right="21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投标人结合实际，针对本项目特点，制定人员培训方案。方案应包括但不限于：培训的时间、地点、目标方式、内容、对象和措施等。</w:t>
            </w:r>
            <w:r>
              <w:rPr>
                <w:rFonts w:hint="eastAsia" w:ascii="仿宋_GB2312" w:hAnsi="仿宋_GB2312" w:eastAsia="仿宋_GB2312" w:cs="仿宋_GB2312"/>
                <w:caps/>
                <w:kern w:val="0"/>
                <w:sz w:val="28"/>
                <w:szCs w:val="28"/>
              </w:rPr>
              <w:t>投标人对每项内容论述详细，完全贴合采购需求的得</w:t>
            </w:r>
            <w:r>
              <w:rPr>
                <w:rFonts w:hint="eastAsia" w:ascii="仿宋_GB2312" w:hAnsi="仿宋_GB2312" w:eastAsia="仿宋_GB2312" w:cs="仿宋_GB2312"/>
                <w:caps/>
                <w:kern w:val="0"/>
                <w:sz w:val="28"/>
                <w:szCs w:val="28"/>
                <w:lang w:val="en-US" w:eastAsia="zh-CN"/>
              </w:rPr>
              <w:t>6</w:t>
            </w:r>
            <w:r>
              <w:rPr>
                <w:rFonts w:hint="eastAsia" w:ascii="仿宋_GB2312" w:hAnsi="仿宋_GB2312" w:eastAsia="仿宋_GB2312" w:cs="仿宋_GB2312"/>
                <w:caps/>
                <w:kern w:val="0"/>
                <w:sz w:val="28"/>
                <w:szCs w:val="28"/>
              </w:rPr>
              <w:t>分；投标人对每项内容虽阐述但未贴合采购需求进行论述，或内容未包括具体细节的得</w:t>
            </w:r>
            <w:r>
              <w:rPr>
                <w:rFonts w:hint="eastAsia" w:ascii="仿宋_GB2312" w:hAnsi="仿宋_GB2312" w:eastAsia="仿宋_GB2312" w:cs="仿宋_GB2312"/>
                <w:caps/>
                <w:kern w:val="0"/>
                <w:sz w:val="28"/>
                <w:szCs w:val="28"/>
                <w:lang w:val="en-US" w:eastAsia="zh-CN"/>
              </w:rPr>
              <w:t>4</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投标人提供的内容不完整或存在影响本项目目标实现的明显错误</w:t>
            </w:r>
            <w:r>
              <w:rPr>
                <w:rFonts w:hint="eastAsia" w:ascii="仿宋_GB2312" w:hAnsi="仿宋_GB2312" w:eastAsia="仿宋_GB2312" w:cs="仿宋_GB2312"/>
                <w:caps/>
                <w:kern w:val="0"/>
                <w:sz w:val="28"/>
                <w:szCs w:val="28"/>
              </w:rPr>
              <w:t>的得</w:t>
            </w:r>
            <w:r>
              <w:rPr>
                <w:rFonts w:hint="eastAsia" w:ascii="仿宋_GB2312" w:hAnsi="仿宋_GB2312" w:eastAsia="仿宋_GB2312" w:cs="仿宋_GB2312"/>
                <w:caps/>
                <w:kern w:val="0"/>
                <w:sz w:val="28"/>
                <w:szCs w:val="28"/>
                <w:lang w:val="en-US" w:eastAsia="zh-CN"/>
              </w:rPr>
              <w:t>2</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缺项得0分</w:t>
            </w:r>
            <w:r>
              <w:rPr>
                <w:rFonts w:hint="eastAsia" w:ascii="仿宋_GB2312" w:hAnsi="仿宋_GB2312" w:eastAsia="仿宋_GB2312" w:cs="仿宋_GB2312"/>
                <w:caps/>
                <w:kern w:val="0"/>
                <w:sz w:val="28"/>
                <w:szCs w:val="28"/>
              </w:rPr>
              <w:t>。</w:t>
            </w:r>
          </w:p>
        </w:tc>
        <w:tc>
          <w:tcPr>
            <w:tcW w:w="639" w:type="dxa"/>
            <w:noWrap w:val="0"/>
            <w:vAlign w:val="center"/>
          </w:tcPr>
          <w:p w14:paraId="010478BC">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w:t>
            </w:r>
          </w:p>
        </w:tc>
      </w:tr>
      <w:tr w14:paraId="53CA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1542" w:type="dxa"/>
            <w:vMerge w:val="continue"/>
            <w:noWrap w:val="0"/>
            <w:vAlign w:val="center"/>
          </w:tcPr>
          <w:p w14:paraId="194ED3C9">
            <w:pPr>
              <w:pStyle w:val="17"/>
              <w:spacing w:before="0" w:line="240" w:lineRule="auto"/>
              <w:rPr>
                <w:rFonts w:hint="eastAsia" w:ascii="仿宋_GB2312" w:hAnsi="仿宋_GB2312" w:eastAsia="仿宋_GB2312" w:cs="仿宋_GB2312"/>
                <w:sz w:val="28"/>
                <w:szCs w:val="28"/>
                <w:lang w:val="zh-TW" w:eastAsia="zh-TW"/>
              </w:rPr>
            </w:pPr>
          </w:p>
        </w:tc>
        <w:tc>
          <w:tcPr>
            <w:tcW w:w="1091" w:type="dxa"/>
            <w:noWrap w:val="0"/>
            <w:vAlign w:val="center"/>
          </w:tcPr>
          <w:p w14:paraId="2F412E3A">
            <w:pPr>
              <w:widowControl w:val="0"/>
              <w:autoSpaceDE w:val="0"/>
              <w:autoSpaceDN w:val="0"/>
              <w:adjustRightInd w:val="0"/>
              <w:ind w:right="21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档案管理方案</w:t>
            </w:r>
          </w:p>
        </w:tc>
        <w:tc>
          <w:tcPr>
            <w:tcW w:w="6107" w:type="dxa"/>
            <w:noWrap w:val="0"/>
            <w:vAlign w:val="center"/>
          </w:tcPr>
          <w:p w14:paraId="3EB2F115">
            <w:pPr>
              <w:widowControl w:val="0"/>
              <w:autoSpaceDE w:val="0"/>
              <w:autoSpaceDN w:val="0"/>
              <w:adjustRightInd w:val="0"/>
              <w:ind w:right="21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投标人需针对本项目制定档案管理方案，方案至少包含档案的建立、档案的收集、档案的分类、档案的管理。</w:t>
            </w:r>
          </w:p>
          <w:p w14:paraId="52ABD8CF">
            <w:pPr>
              <w:widowControl w:val="0"/>
              <w:autoSpaceDE w:val="0"/>
              <w:autoSpaceDN w:val="0"/>
              <w:adjustRightInd w:val="0"/>
              <w:ind w:right="21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aps/>
                <w:kern w:val="0"/>
                <w:sz w:val="28"/>
                <w:szCs w:val="28"/>
              </w:rPr>
              <w:t>投标人对每项内容论述详细，完全贴合采购需求的得</w:t>
            </w:r>
            <w:r>
              <w:rPr>
                <w:rFonts w:hint="eastAsia" w:ascii="仿宋_GB2312" w:hAnsi="仿宋_GB2312" w:eastAsia="仿宋_GB2312" w:cs="仿宋_GB2312"/>
                <w:caps/>
                <w:kern w:val="0"/>
                <w:sz w:val="28"/>
                <w:szCs w:val="28"/>
                <w:lang w:val="en-US" w:eastAsia="zh-CN"/>
              </w:rPr>
              <w:t>6</w:t>
            </w:r>
            <w:r>
              <w:rPr>
                <w:rFonts w:hint="eastAsia" w:ascii="仿宋_GB2312" w:hAnsi="仿宋_GB2312" w:eastAsia="仿宋_GB2312" w:cs="仿宋_GB2312"/>
                <w:caps/>
                <w:kern w:val="0"/>
                <w:sz w:val="28"/>
                <w:szCs w:val="28"/>
              </w:rPr>
              <w:t>分；投标人对每项内容虽阐述但未贴合采购需求进行论述，或内容未包括具体细节的得</w:t>
            </w:r>
            <w:r>
              <w:rPr>
                <w:rFonts w:hint="eastAsia" w:ascii="仿宋_GB2312" w:hAnsi="仿宋_GB2312" w:eastAsia="仿宋_GB2312" w:cs="仿宋_GB2312"/>
                <w:caps/>
                <w:kern w:val="0"/>
                <w:sz w:val="28"/>
                <w:szCs w:val="28"/>
                <w:lang w:val="en-US" w:eastAsia="zh-CN"/>
              </w:rPr>
              <w:t>4</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投标人提供的内容不完整或存在影响本项目目标实现的明显错误</w:t>
            </w:r>
            <w:r>
              <w:rPr>
                <w:rFonts w:hint="eastAsia" w:ascii="仿宋_GB2312" w:hAnsi="仿宋_GB2312" w:eastAsia="仿宋_GB2312" w:cs="仿宋_GB2312"/>
                <w:caps/>
                <w:kern w:val="0"/>
                <w:sz w:val="28"/>
                <w:szCs w:val="28"/>
              </w:rPr>
              <w:t>的得</w:t>
            </w:r>
            <w:r>
              <w:rPr>
                <w:rFonts w:hint="eastAsia" w:ascii="仿宋_GB2312" w:hAnsi="仿宋_GB2312" w:eastAsia="仿宋_GB2312" w:cs="仿宋_GB2312"/>
                <w:caps/>
                <w:kern w:val="0"/>
                <w:sz w:val="28"/>
                <w:szCs w:val="28"/>
                <w:lang w:val="en-US" w:eastAsia="zh-CN"/>
              </w:rPr>
              <w:t>2</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缺项得0分</w:t>
            </w:r>
            <w:r>
              <w:rPr>
                <w:rFonts w:hint="eastAsia" w:ascii="仿宋_GB2312" w:hAnsi="仿宋_GB2312" w:eastAsia="仿宋_GB2312" w:cs="仿宋_GB2312"/>
                <w:caps/>
                <w:kern w:val="0"/>
                <w:sz w:val="28"/>
                <w:szCs w:val="28"/>
              </w:rPr>
              <w:t>。</w:t>
            </w:r>
          </w:p>
        </w:tc>
        <w:tc>
          <w:tcPr>
            <w:tcW w:w="639" w:type="dxa"/>
            <w:noWrap w:val="0"/>
            <w:vAlign w:val="center"/>
          </w:tcPr>
          <w:p w14:paraId="49B980EE">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w:t>
            </w:r>
          </w:p>
        </w:tc>
      </w:tr>
      <w:tr w14:paraId="5DE9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1542" w:type="dxa"/>
            <w:vMerge w:val="continue"/>
            <w:noWrap w:val="0"/>
            <w:vAlign w:val="center"/>
          </w:tcPr>
          <w:p w14:paraId="639E7C2B">
            <w:pPr>
              <w:jc w:val="left"/>
              <w:rPr>
                <w:rFonts w:hint="eastAsia" w:ascii="仿宋_GB2312" w:hAnsi="仿宋_GB2312" w:eastAsia="仿宋_GB2312" w:cs="仿宋_GB2312"/>
                <w:color w:val="auto"/>
                <w:sz w:val="28"/>
                <w:szCs w:val="28"/>
              </w:rPr>
            </w:pPr>
          </w:p>
        </w:tc>
        <w:tc>
          <w:tcPr>
            <w:tcW w:w="1091" w:type="dxa"/>
            <w:noWrap w:val="0"/>
            <w:vAlign w:val="center"/>
          </w:tcPr>
          <w:p w14:paraId="2206731E">
            <w:pPr>
              <w:widowControl w:val="0"/>
              <w:autoSpaceDE w:val="0"/>
              <w:autoSpaceDN w:val="0"/>
              <w:adjustRightInd w:val="0"/>
              <w:ind w:right="21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质量保证措施</w:t>
            </w:r>
          </w:p>
        </w:tc>
        <w:tc>
          <w:tcPr>
            <w:tcW w:w="6107" w:type="dxa"/>
            <w:noWrap w:val="0"/>
            <w:vAlign w:val="center"/>
          </w:tcPr>
          <w:p w14:paraId="45A90973">
            <w:pPr>
              <w:widowControl w:val="0"/>
              <w:autoSpaceDE w:val="0"/>
              <w:autoSpaceDN w:val="0"/>
              <w:adjustRightInd w:val="0"/>
              <w:ind w:right="21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投标人针对实现本项目服务目标，制定质量保证措施。质量保证措施应包括但不限于：质量管控、保证措施、质量保证制度、质量标准、检查方法等内容。</w:t>
            </w:r>
          </w:p>
          <w:p w14:paraId="00207BEF">
            <w:pPr>
              <w:widowControl w:val="0"/>
              <w:autoSpaceDE w:val="0"/>
              <w:autoSpaceDN w:val="0"/>
              <w:adjustRightInd w:val="0"/>
              <w:ind w:right="21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aps/>
                <w:kern w:val="0"/>
                <w:sz w:val="28"/>
                <w:szCs w:val="28"/>
              </w:rPr>
              <w:t>投标人对每项内容论述详细，完全贴合采购需求的得</w:t>
            </w:r>
            <w:r>
              <w:rPr>
                <w:rFonts w:hint="eastAsia" w:ascii="仿宋_GB2312" w:hAnsi="仿宋_GB2312" w:eastAsia="仿宋_GB2312" w:cs="仿宋_GB2312"/>
                <w:caps/>
                <w:kern w:val="0"/>
                <w:sz w:val="28"/>
                <w:szCs w:val="28"/>
                <w:lang w:val="en-US" w:eastAsia="zh-CN"/>
              </w:rPr>
              <w:t>6</w:t>
            </w:r>
            <w:r>
              <w:rPr>
                <w:rFonts w:hint="eastAsia" w:ascii="仿宋_GB2312" w:hAnsi="仿宋_GB2312" w:eastAsia="仿宋_GB2312" w:cs="仿宋_GB2312"/>
                <w:caps/>
                <w:kern w:val="0"/>
                <w:sz w:val="28"/>
                <w:szCs w:val="28"/>
              </w:rPr>
              <w:t>分；投标人对每项内容虽阐述但未贴合采购需求进行论述，或内容未包括具体细节的得</w:t>
            </w:r>
            <w:r>
              <w:rPr>
                <w:rFonts w:hint="eastAsia" w:ascii="仿宋_GB2312" w:hAnsi="仿宋_GB2312" w:eastAsia="仿宋_GB2312" w:cs="仿宋_GB2312"/>
                <w:caps/>
                <w:kern w:val="0"/>
                <w:sz w:val="28"/>
                <w:szCs w:val="28"/>
                <w:lang w:val="en-US" w:eastAsia="zh-CN"/>
              </w:rPr>
              <w:t>4</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投标人提供的内容不完整或存在影响本项目目标实现的明显错误</w:t>
            </w:r>
            <w:r>
              <w:rPr>
                <w:rFonts w:hint="eastAsia" w:ascii="仿宋_GB2312" w:hAnsi="仿宋_GB2312" w:eastAsia="仿宋_GB2312" w:cs="仿宋_GB2312"/>
                <w:caps/>
                <w:kern w:val="0"/>
                <w:sz w:val="28"/>
                <w:szCs w:val="28"/>
              </w:rPr>
              <w:t>的得</w:t>
            </w:r>
            <w:r>
              <w:rPr>
                <w:rFonts w:hint="eastAsia" w:ascii="仿宋_GB2312" w:hAnsi="仿宋_GB2312" w:eastAsia="仿宋_GB2312" w:cs="仿宋_GB2312"/>
                <w:caps/>
                <w:kern w:val="0"/>
                <w:sz w:val="28"/>
                <w:szCs w:val="28"/>
                <w:lang w:val="en-US" w:eastAsia="zh-CN"/>
              </w:rPr>
              <w:t>2</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缺项得0分</w:t>
            </w:r>
            <w:r>
              <w:rPr>
                <w:rFonts w:hint="eastAsia" w:ascii="仿宋_GB2312" w:hAnsi="仿宋_GB2312" w:eastAsia="仿宋_GB2312" w:cs="仿宋_GB2312"/>
                <w:caps/>
                <w:kern w:val="0"/>
                <w:sz w:val="28"/>
                <w:szCs w:val="28"/>
              </w:rPr>
              <w:t>。</w:t>
            </w:r>
          </w:p>
        </w:tc>
        <w:tc>
          <w:tcPr>
            <w:tcW w:w="639" w:type="dxa"/>
            <w:noWrap w:val="0"/>
            <w:vAlign w:val="center"/>
          </w:tcPr>
          <w:p w14:paraId="136AA099">
            <w:pPr>
              <w:jc w:val="cente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6</w:t>
            </w:r>
          </w:p>
        </w:tc>
      </w:tr>
      <w:tr w14:paraId="03C5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542" w:type="dxa"/>
            <w:vMerge w:val="continue"/>
            <w:noWrap w:val="0"/>
            <w:vAlign w:val="center"/>
          </w:tcPr>
          <w:p w14:paraId="56D49074">
            <w:pPr>
              <w:jc w:val="left"/>
              <w:rPr>
                <w:rFonts w:hint="eastAsia" w:ascii="仿宋_GB2312" w:hAnsi="仿宋_GB2312" w:eastAsia="仿宋_GB2312" w:cs="仿宋_GB2312"/>
                <w:color w:val="auto"/>
                <w:sz w:val="28"/>
                <w:szCs w:val="28"/>
              </w:rPr>
            </w:pPr>
          </w:p>
        </w:tc>
        <w:tc>
          <w:tcPr>
            <w:tcW w:w="1091" w:type="dxa"/>
            <w:noWrap w:val="0"/>
            <w:vAlign w:val="center"/>
          </w:tcPr>
          <w:p w14:paraId="37B93329">
            <w:pPr>
              <w:adjustRightInd w:val="0"/>
              <w:snapToGrid w:val="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应急方案</w:t>
            </w:r>
          </w:p>
        </w:tc>
        <w:tc>
          <w:tcPr>
            <w:tcW w:w="6107" w:type="dxa"/>
            <w:noWrap w:val="0"/>
            <w:vAlign w:val="center"/>
          </w:tcPr>
          <w:p w14:paraId="4B85F679">
            <w:pPr>
              <w:widowControl w:val="0"/>
              <w:autoSpaceDE w:val="0"/>
              <w:autoSpaceDN w:val="0"/>
              <w:adjustRightInd w:val="0"/>
              <w:ind w:right="21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针对本项目特点，制定突发事件应急预案及处置措施，①针对迎新季、毕业季、重要会议、大型考试、运动会、全校性比赛等重大活动提供的服务保障方案；②水电气暖突发故障及事故、电梯故障及事故、食物中毒、高空坠落、火灾爆炸、公共突发事件、雨雪极端天气、消防应急预案等自然灾害应急预案及处置措施。</w:t>
            </w:r>
            <w:r>
              <w:rPr>
                <w:rFonts w:hint="eastAsia" w:ascii="仿宋_GB2312" w:hAnsi="仿宋_GB2312" w:eastAsia="仿宋_GB2312" w:cs="仿宋_GB2312"/>
                <w:caps/>
                <w:kern w:val="0"/>
                <w:sz w:val="28"/>
                <w:szCs w:val="28"/>
              </w:rPr>
              <w:t>投标人对每项内容论述详细，完全贴合采购需求的得</w:t>
            </w:r>
            <w:r>
              <w:rPr>
                <w:rFonts w:hint="eastAsia" w:ascii="仿宋_GB2312" w:hAnsi="仿宋_GB2312" w:eastAsia="仿宋_GB2312" w:cs="仿宋_GB2312"/>
                <w:caps/>
                <w:kern w:val="0"/>
                <w:sz w:val="28"/>
                <w:szCs w:val="28"/>
                <w:lang w:val="en-US" w:eastAsia="zh-CN"/>
              </w:rPr>
              <w:t>6</w:t>
            </w:r>
            <w:r>
              <w:rPr>
                <w:rFonts w:hint="eastAsia" w:ascii="仿宋_GB2312" w:hAnsi="仿宋_GB2312" w:eastAsia="仿宋_GB2312" w:cs="仿宋_GB2312"/>
                <w:caps/>
                <w:kern w:val="0"/>
                <w:sz w:val="28"/>
                <w:szCs w:val="28"/>
              </w:rPr>
              <w:t>分；投标人对每项内容虽阐述但未贴合采购需求进行论述，或内容未包括具体细节的得</w:t>
            </w:r>
            <w:r>
              <w:rPr>
                <w:rFonts w:hint="eastAsia" w:ascii="仿宋_GB2312" w:hAnsi="仿宋_GB2312" w:eastAsia="仿宋_GB2312" w:cs="仿宋_GB2312"/>
                <w:caps/>
                <w:kern w:val="0"/>
                <w:sz w:val="28"/>
                <w:szCs w:val="28"/>
                <w:lang w:val="en-US" w:eastAsia="zh-CN"/>
              </w:rPr>
              <w:t>4</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投标人提供的内容不完整或存在影响本项目目标实现的明显错误</w:t>
            </w:r>
            <w:r>
              <w:rPr>
                <w:rFonts w:hint="eastAsia" w:ascii="仿宋_GB2312" w:hAnsi="仿宋_GB2312" w:eastAsia="仿宋_GB2312" w:cs="仿宋_GB2312"/>
                <w:caps/>
                <w:kern w:val="0"/>
                <w:sz w:val="28"/>
                <w:szCs w:val="28"/>
              </w:rPr>
              <w:t>的得</w:t>
            </w:r>
            <w:r>
              <w:rPr>
                <w:rFonts w:hint="eastAsia" w:ascii="仿宋_GB2312" w:hAnsi="仿宋_GB2312" w:eastAsia="仿宋_GB2312" w:cs="仿宋_GB2312"/>
                <w:caps/>
                <w:kern w:val="0"/>
                <w:sz w:val="28"/>
                <w:szCs w:val="28"/>
                <w:lang w:val="en-US" w:eastAsia="zh-CN"/>
              </w:rPr>
              <w:t>2</w:t>
            </w:r>
            <w:r>
              <w:rPr>
                <w:rFonts w:hint="eastAsia" w:ascii="仿宋_GB2312" w:hAnsi="仿宋_GB2312" w:eastAsia="仿宋_GB2312" w:cs="仿宋_GB2312"/>
                <w:caps/>
                <w:kern w:val="0"/>
                <w:sz w:val="28"/>
                <w:szCs w:val="28"/>
              </w:rPr>
              <w:t>分；</w:t>
            </w:r>
            <w:r>
              <w:rPr>
                <w:rFonts w:hint="eastAsia" w:ascii="仿宋_GB2312" w:hAnsi="仿宋_GB2312" w:eastAsia="仿宋_GB2312" w:cs="仿宋_GB2312"/>
                <w:caps/>
                <w:kern w:val="0"/>
                <w:sz w:val="28"/>
                <w:szCs w:val="28"/>
                <w:lang w:eastAsia="zh-CN"/>
              </w:rPr>
              <w:t>缺项得0分</w:t>
            </w:r>
            <w:r>
              <w:rPr>
                <w:rFonts w:hint="eastAsia" w:ascii="仿宋_GB2312" w:hAnsi="仿宋_GB2312" w:eastAsia="仿宋_GB2312" w:cs="仿宋_GB2312"/>
                <w:caps/>
                <w:kern w:val="0"/>
                <w:sz w:val="28"/>
                <w:szCs w:val="28"/>
              </w:rPr>
              <w:t>。</w:t>
            </w:r>
          </w:p>
        </w:tc>
        <w:tc>
          <w:tcPr>
            <w:tcW w:w="639" w:type="dxa"/>
            <w:noWrap w:val="0"/>
            <w:vAlign w:val="center"/>
          </w:tcPr>
          <w:p w14:paraId="62CAF408">
            <w:pPr>
              <w:adjustRightInd w:val="0"/>
              <w:snapToGrid w:val="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w:t>
            </w:r>
          </w:p>
        </w:tc>
      </w:tr>
    </w:tbl>
    <w:p w14:paraId="0D806532">
      <w:pPr>
        <w:jc w:val="center"/>
        <w:rPr>
          <w:rFonts w:hint="eastAsia"/>
        </w:rPr>
      </w:pPr>
    </w:p>
    <w:p w14:paraId="1DF3BB03">
      <w:pPr>
        <w:jc w:val="center"/>
        <w:rPr>
          <w:rFonts w:hint="eastAsia"/>
        </w:rPr>
      </w:pPr>
    </w:p>
    <w:p w14:paraId="113E51C5">
      <w:pPr>
        <w:jc w:val="center"/>
        <w:rPr>
          <w:rFonts w:hint="eastAsia"/>
        </w:rPr>
      </w:pPr>
    </w:p>
    <w:p w14:paraId="33B31CCB">
      <w:pPr>
        <w:pageBreakBefore w:val="0"/>
        <w:wordWrap/>
        <w:topLinePunct w:val="0"/>
        <w:bidi w:val="0"/>
        <w:spacing w:line="360" w:lineRule="auto"/>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lang w:val="en-US" w:eastAsia="zh-CN"/>
        </w:rPr>
        <w:br w:type="page"/>
      </w:r>
    </w:p>
    <w:p w14:paraId="684D8B84">
      <w:pPr>
        <w:pStyle w:val="2"/>
        <w:pageBreakBefore w:val="0"/>
        <w:wordWrap/>
        <w:topLinePunct w:val="0"/>
        <w:bidi w:val="0"/>
        <w:spacing w:before="0" w:after="0" w:line="360" w:lineRule="auto"/>
        <w:jc w:val="center"/>
        <w:rPr>
          <w:rFonts w:hint="eastAsia" w:ascii="仿宋" w:hAnsi="仿宋" w:eastAsia="仿宋" w:cs="仿宋"/>
          <w:color w:val="auto"/>
          <w:sz w:val="36"/>
          <w:szCs w:val="36"/>
          <w:lang w:eastAsia="zh-CN"/>
        </w:rPr>
      </w:pPr>
      <w:bookmarkStart w:id="599" w:name="_Toc15230"/>
      <w:r>
        <w:rPr>
          <w:rFonts w:hint="eastAsia" w:ascii="仿宋" w:hAnsi="仿宋" w:eastAsia="仿宋" w:cs="仿宋"/>
          <w:color w:val="auto"/>
          <w:sz w:val="36"/>
          <w:szCs w:val="36"/>
          <w:lang w:val="en-US" w:eastAsia="zh-CN"/>
        </w:rPr>
        <w:t xml:space="preserve">第八章 </w:t>
      </w:r>
      <w:r>
        <w:rPr>
          <w:rFonts w:hint="eastAsia" w:ascii="仿宋" w:hAnsi="仿宋" w:eastAsia="仿宋" w:cs="仿宋"/>
          <w:color w:val="auto"/>
          <w:sz w:val="36"/>
          <w:szCs w:val="36"/>
        </w:rPr>
        <w:t>政府采购合同</w:t>
      </w:r>
      <w:bookmarkEnd w:id="599"/>
    </w:p>
    <w:p w14:paraId="321DC8B9">
      <w:pPr>
        <w:pageBreakBefore w:val="0"/>
        <w:wordWrap/>
        <w:topLinePunct w:val="0"/>
        <w:bidi w:val="0"/>
        <w:spacing w:line="360" w:lineRule="auto"/>
        <w:jc w:val="center"/>
        <w:rPr>
          <w:rFonts w:hint="eastAsia" w:ascii="仿宋" w:hAnsi="仿宋" w:eastAsia="仿宋" w:cs="仿宋"/>
          <w:b/>
          <w:bCs/>
          <w:sz w:val="32"/>
          <w:szCs w:val="32"/>
          <w:lang w:val="en-US" w:eastAsia="zh-CN"/>
        </w:rPr>
      </w:pPr>
      <w:bookmarkStart w:id="600" w:name="_Toc714862996"/>
      <w:bookmarkStart w:id="601" w:name="_Toc473367889"/>
      <w:bookmarkStart w:id="602" w:name="_Toc1568280797"/>
      <w:r>
        <w:rPr>
          <w:rFonts w:hint="eastAsia" w:ascii="仿宋" w:hAnsi="仿宋" w:eastAsia="仿宋" w:cs="仿宋"/>
          <w:b/>
          <w:bCs/>
          <w:sz w:val="32"/>
          <w:szCs w:val="32"/>
          <w:lang w:eastAsia="zh-CN"/>
        </w:rPr>
        <w:t>洛阳师范学院2026-2028年度教学区域物业管理服务项目</w:t>
      </w:r>
      <w:r>
        <w:rPr>
          <w:rFonts w:hint="eastAsia" w:ascii="仿宋" w:hAnsi="仿宋" w:eastAsia="仿宋" w:cs="仿宋"/>
          <w:b/>
          <w:bCs/>
          <w:sz w:val="32"/>
          <w:szCs w:val="32"/>
          <w:lang w:val="en-US" w:eastAsia="zh-CN"/>
        </w:rPr>
        <w:t>合同</w:t>
      </w:r>
    </w:p>
    <w:p w14:paraId="6F651E50">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p>
    <w:p w14:paraId="37392383">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甲方（采购人）：</w:t>
      </w:r>
      <w:r>
        <w:rPr>
          <w:rFonts w:hint="eastAsia" w:ascii="仿宋" w:hAnsi="仿宋" w:eastAsia="仿宋" w:cs="仿宋"/>
          <w:sz w:val="28"/>
          <w:szCs w:val="28"/>
          <w:u w:val="single"/>
          <w:lang w:eastAsia="zh-CN"/>
        </w:rPr>
        <w:t>洛阳师范学院</w:t>
      </w:r>
    </w:p>
    <w:p w14:paraId="1447C633">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乙方（中标人）：</w:t>
      </w:r>
      <w:r>
        <w:rPr>
          <w:rFonts w:hint="eastAsia" w:ascii="仿宋" w:hAnsi="仿宋" w:eastAsia="仿宋" w:cs="仿宋"/>
          <w:sz w:val="28"/>
          <w:szCs w:val="28"/>
          <w:u w:val="single"/>
          <w:lang w:eastAsia="zh-CN"/>
        </w:rPr>
        <w:t xml:space="preserve">              </w:t>
      </w:r>
    </w:p>
    <w:p w14:paraId="263A5F8D">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根据洛阳师范学院2026-2028年度教学区域物业管理服务项目的中标通知书和招标、投标文件，在平等、自愿、协商一致的基础上，订立本合同。</w:t>
      </w:r>
    </w:p>
    <w:p w14:paraId="0FE28D7F">
      <w:pPr>
        <w:pageBreakBefore w:val="0"/>
        <w:kinsoku/>
        <w:wordWrap/>
        <w:overflowPunct/>
        <w:topLinePunct w:val="0"/>
        <w:bidi w:val="0"/>
        <w:spacing w:line="360" w:lineRule="auto"/>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第一条 适用范围</w:t>
      </w:r>
    </w:p>
    <w:p w14:paraId="459E7224">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本合同条款适用于</w:t>
      </w:r>
      <w:r>
        <w:rPr>
          <w:rFonts w:hint="eastAsia" w:ascii="仿宋" w:hAnsi="仿宋" w:eastAsia="仿宋" w:cs="仿宋"/>
          <w:sz w:val="28"/>
          <w:szCs w:val="28"/>
          <w:lang w:val="en-US" w:eastAsia="zh-CN"/>
        </w:rPr>
        <w:t>本项目</w:t>
      </w:r>
      <w:r>
        <w:rPr>
          <w:rFonts w:hint="eastAsia" w:ascii="仿宋" w:hAnsi="仿宋" w:eastAsia="仿宋" w:cs="仿宋"/>
          <w:sz w:val="28"/>
          <w:szCs w:val="28"/>
          <w:lang w:eastAsia="zh-CN"/>
        </w:rPr>
        <w:t>的</w:t>
      </w:r>
      <w:r>
        <w:rPr>
          <w:rFonts w:hint="eastAsia" w:ascii="仿宋" w:hAnsi="仿宋" w:eastAsia="仿宋" w:cs="仿宋"/>
          <w:sz w:val="28"/>
          <w:szCs w:val="28"/>
          <w:lang w:val="en-US" w:eastAsia="zh-CN"/>
        </w:rPr>
        <w:t>采购</w:t>
      </w:r>
      <w:r>
        <w:rPr>
          <w:rFonts w:hint="eastAsia" w:ascii="仿宋" w:hAnsi="仿宋" w:eastAsia="仿宋" w:cs="仿宋"/>
          <w:sz w:val="28"/>
          <w:szCs w:val="28"/>
          <w:lang w:eastAsia="zh-CN"/>
        </w:rPr>
        <w:t>活动。项目实施范围详见附件——</w:t>
      </w:r>
      <w:r>
        <w:rPr>
          <w:rFonts w:hint="eastAsia" w:ascii="仿宋" w:hAnsi="仿宋" w:eastAsia="仿宋" w:cs="仿宋"/>
          <w:sz w:val="28"/>
          <w:szCs w:val="28"/>
          <w:lang w:val="en-US" w:eastAsia="zh-CN"/>
        </w:rPr>
        <w:t>招标</w:t>
      </w:r>
      <w:r>
        <w:rPr>
          <w:rFonts w:hint="eastAsia" w:ascii="仿宋" w:hAnsi="仿宋" w:eastAsia="仿宋" w:cs="仿宋"/>
          <w:sz w:val="28"/>
          <w:szCs w:val="28"/>
          <w:lang w:eastAsia="zh-CN"/>
        </w:rPr>
        <w:t>文件和乙方投标文件及补充文件、承诺书等。</w:t>
      </w:r>
    </w:p>
    <w:p w14:paraId="697BD98D">
      <w:pPr>
        <w:pageBreakBefore w:val="0"/>
        <w:kinsoku/>
        <w:wordWrap/>
        <w:overflowPunct/>
        <w:topLinePunct w:val="0"/>
        <w:bidi w:val="0"/>
        <w:spacing w:line="360" w:lineRule="auto"/>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第二条</w:t>
      </w:r>
      <w:r>
        <w:rPr>
          <w:rFonts w:hint="eastAsia" w:ascii="仿宋" w:hAnsi="仿宋" w:eastAsia="仿宋" w:cs="仿宋"/>
          <w:sz w:val="28"/>
          <w:szCs w:val="28"/>
          <w:lang w:eastAsia="zh-CN"/>
        </w:rPr>
        <w:t xml:space="preserve"> </w:t>
      </w:r>
      <w:r>
        <w:rPr>
          <w:rFonts w:hint="eastAsia" w:ascii="仿宋" w:hAnsi="仿宋" w:eastAsia="仿宋" w:cs="仿宋"/>
          <w:b/>
          <w:sz w:val="28"/>
          <w:szCs w:val="28"/>
          <w:lang w:eastAsia="zh-CN"/>
        </w:rPr>
        <w:t>合同标的</w:t>
      </w:r>
    </w:p>
    <w:p w14:paraId="60EB855D">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甲方委托乙方对洛阳师范学院2026-2028年度教学区域物业管理服务项目进行管理，服务内容为室内保洁管理服务，室外保洁管理服务，校园绿化管理服务，教室管理服务、小型维修服务、垃圾清收、清运和集中服务、专项管理服务。</w:t>
      </w:r>
    </w:p>
    <w:p w14:paraId="7952D534">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室内保洁管理服务：约7.5万平米。A1—A16文科教学楼、理科教学楼、逸夫教学楼、图书馆等区域（表1）；</w:t>
      </w:r>
    </w:p>
    <w:p w14:paraId="6085AC82">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室外保洁管理服务：问礼大道以东，成均大道以西，立雪大道以南，金谷大道以北铺装面积和道路保洁面积共计约8.5万余平米（含楼顶定期清扫）； </w:t>
      </w:r>
    </w:p>
    <w:p w14:paraId="02BA388E">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校园绿化管理服务：A1—A16（问礼大道以东，成均大道以西，立雪大道以南及金谷大道以北）约8.4万余平米。</w:t>
      </w:r>
    </w:p>
    <w:p w14:paraId="29ADFD40">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教室管理服务：公共教室管理G1—G5教室及教师休息室约为178间。</w:t>
      </w:r>
    </w:p>
    <w:p w14:paraId="2A19B048">
      <w:pPr>
        <w:pageBreakBefore w:val="0"/>
        <w:kinsoku/>
        <w:wordWrap/>
        <w:overflowPunct/>
        <w:topLinePunct w:val="0"/>
        <w:bidi w:val="0"/>
        <w:adjustRightInd w:val="0"/>
        <w:spacing w:line="360" w:lineRule="auto"/>
        <w:ind w:firstLine="560" w:firstLineChars="200"/>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小型维修服务：服务区域范围内所有单体建筑的照明灯具、开关、插座、灯光感应器、水箱、小便器、水龙头、角阀、上下水软管以及各种锁具及桌子、椅子的维修更换。厕所蹲便及管道堵塞的疏通。服务区域范围内绿化灌溉管道连接口和喷头的更换维修。</w:t>
      </w:r>
    </w:p>
    <w:p w14:paraId="59F631B6">
      <w:pPr>
        <w:pageBreakBefore w:val="0"/>
        <w:kinsoku/>
        <w:wordWrap/>
        <w:overflowPunct/>
        <w:topLinePunct w:val="0"/>
        <w:bidi w:val="0"/>
        <w:adjustRightInd w:val="0"/>
        <w:spacing w:line="360" w:lineRule="auto"/>
        <w:ind w:firstLine="560" w:firstLineChars="200"/>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垃圾清收、清运和集中服务：区域垃圾集中和清运；临时安排的垃圾集中和清运。</w:t>
      </w:r>
    </w:p>
    <w:p w14:paraId="5C6C20F1">
      <w:pPr>
        <w:pageBreakBefore w:val="0"/>
        <w:kinsoku/>
        <w:wordWrap/>
        <w:overflowPunct/>
        <w:topLinePunct w:val="0"/>
        <w:bidi w:val="0"/>
        <w:adjustRightInd w:val="0"/>
        <w:spacing w:line="360" w:lineRule="auto"/>
        <w:ind w:firstLine="560" w:firstLineChars="200"/>
        <w:textAlignment w:val="auto"/>
        <w:rPr>
          <w:rFonts w:hint="eastAsia" w:ascii="仿宋" w:hAnsi="仿宋" w:eastAsia="仿宋" w:cs="仿宋"/>
          <w:lang w:eastAsia="zh-CN"/>
        </w:rPr>
      </w:pPr>
      <w:r>
        <w:rPr>
          <w:rFonts w:hint="eastAsia" w:ascii="仿宋" w:hAnsi="仿宋" w:eastAsia="仿宋" w:cs="仿宋"/>
          <w:bCs/>
          <w:sz w:val="28"/>
          <w:szCs w:val="28"/>
          <w:lang w:eastAsia="zh-CN"/>
        </w:rPr>
        <w:t>专项管理服务：①节能管理服务：配合采购人做好服务区域水电、空调等能源使用、监管，做好校园节能工作；②重大活动综合保障服务：协助采购人组织统筹校内各类重大活动(如迎新生、毕业生离校、四、六级英语考试、校庆、招聘会等活动)，保障重大活动的安全、交通、秩序、清洁卫生及设备，确保活动的顺利开展；③活动场馆服务(图书馆等)：严格执行招标人关于图书馆等场馆的使用管理规定。</w:t>
      </w:r>
    </w:p>
    <w:p w14:paraId="18F66FFB">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（详见附件1） </w:t>
      </w:r>
    </w:p>
    <w:p w14:paraId="169EB824">
      <w:pPr>
        <w:pageBreakBefore w:val="0"/>
        <w:kinsoku/>
        <w:wordWrap/>
        <w:overflowPunct/>
        <w:topLinePunct w:val="0"/>
        <w:bidi w:val="0"/>
        <w:spacing w:line="360" w:lineRule="auto"/>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第三条</w:t>
      </w:r>
      <w:r>
        <w:rPr>
          <w:rFonts w:hint="eastAsia" w:ascii="仿宋" w:hAnsi="仿宋" w:eastAsia="仿宋" w:cs="仿宋"/>
          <w:sz w:val="28"/>
          <w:szCs w:val="28"/>
          <w:lang w:eastAsia="zh-CN"/>
        </w:rPr>
        <w:t xml:space="preserve"> </w:t>
      </w:r>
      <w:r>
        <w:rPr>
          <w:rFonts w:hint="eastAsia" w:ascii="仿宋" w:hAnsi="仿宋" w:eastAsia="仿宋" w:cs="仿宋"/>
          <w:b/>
          <w:sz w:val="28"/>
          <w:szCs w:val="28"/>
          <w:lang w:eastAsia="zh-CN"/>
        </w:rPr>
        <w:t>委托管理事项</w:t>
      </w:r>
    </w:p>
    <w:p w14:paraId="38A5C5AB">
      <w:pPr>
        <w:pageBreakBefore w:val="0"/>
        <w:kinsoku/>
        <w:wordWrap/>
        <w:overflowPunct/>
        <w:topLinePunct w:val="0"/>
        <w:bidi w:val="0"/>
        <w:spacing w:line="360" w:lineRule="auto"/>
        <w:ind w:firstLine="562" w:firstLineChars="200"/>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一、室内保洁管理服务：</w:t>
      </w:r>
    </w:p>
    <w:p w14:paraId="059406BC">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包括入口及大厅、楼层通道、步梯、卫生间、露台天台、停车场等公共区域及公共设施设备和采购人指定的临时性工作等。</w:t>
      </w:r>
    </w:p>
    <w:p w14:paraId="550904D3">
      <w:pPr>
        <w:pageBreakBefore w:val="0"/>
        <w:kinsoku/>
        <w:wordWrap/>
        <w:overflowPunct/>
        <w:topLinePunct w:val="0"/>
        <w:bidi w:val="0"/>
        <w:spacing w:line="360" w:lineRule="auto"/>
        <w:ind w:firstLine="562" w:firstLineChars="200"/>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二、室外保洁管理服务：</w:t>
      </w:r>
    </w:p>
    <w:p w14:paraId="1426090C">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服务范围内的公共区域及公共设施的卫生保洁；区域内各类垃圾箱体内的生活垃圾清收，清运至校内指定地点；公共环境消杀、灭四害，采购人指定的临时性工作等。</w:t>
      </w:r>
    </w:p>
    <w:p w14:paraId="3FCEE439">
      <w:pPr>
        <w:pageBreakBefore w:val="0"/>
        <w:kinsoku/>
        <w:wordWrap/>
        <w:overflowPunct/>
        <w:topLinePunct w:val="0"/>
        <w:bidi w:val="0"/>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三、校园绿化管理服务</w:t>
      </w:r>
      <w:r>
        <w:rPr>
          <w:rFonts w:hint="eastAsia" w:ascii="仿宋" w:hAnsi="仿宋" w:eastAsia="仿宋" w:cs="仿宋"/>
          <w:b/>
          <w:bCs/>
          <w:sz w:val="28"/>
          <w:szCs w:val="28"/>
          <w:lang w:val="en-US" w:eastAsia="zh-CN"/>
        </w:rPr>
        <w:t>：</w:t>
      </w:r>
    </w:p>
    <w:p w14:paraId="79F13452">
      <w:pPr>
        <w:pageBreakBefore w:val="0"/>
        <w:kinsoku/>
        <w:wordWrap/>
        <w:overflowPunct/>
        <w:topLinePunct w:val="0"/>
        <w:bidi w:val="0"/>
        <w:spacing w:line="360" w:lineRule="auto"/>
        <w:ind w:firstLine="560" w:firstLineChars="20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区域内所有草坪、树木、灌木、花卉 (含盆栽花卉栽种摆放) 的浇灌排水、修剪、施肥及病虫害防治；枯死植株及杂物清理、苗木补栽、树木扶正、中耕除草、植物防护 (防寒、旱、涝、大风、高温等) 。养护范围内绿化垃圾 (含修剪树枝、落叶、腐叶) 及其它垃圾、杂物的定期清理，由中标人负责绿化垃圾的清运及处置。</w:t>
      </w:r>
    </w:p>
    <w:p w14:paraId="1635257E">
      <w:pPr>
        <w:pageBreakBefore w:val="0"/>
        <w:kinsoku/>
        <w:wordWrap/>
        <w:overflowPunct/>
        <w:topLinePunct w:val="0"/>
        <w:bidi w:val="0"/>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四、教室管理服务：</w:t>
      </w:r>
    </w:p>
    <w:p w14:paraId="11A95AF9">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保障各类教学活动，包括教学秩序保障、教室使用管理、考场布置、教学场所各类设施设备保障(含教学多媒体开关，话筒发放和回收、教室内空调开关和板檫等) 等确保教学秩序正常实施的相关服务。教学场所的物业管理服务应按照采购人教务部门关于教学场所的相关要求执行。</w:t>
      </w:r>
    </w:p>
    <w:p w14:paraId="6E25D0B1">
      <w:pPr>
        <w:pageBreakBefore w:val="0"/>
        <w:kinsoku/>
        <w:wordWrap/>
        <w:overflowPunct/>
        <w:topLinePunct w:val="0"/>
        <w:bidi w:val="0"/>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五、小型维修服务</w:t>
      </w:r>
    </w:p>
    <w:p w14:paraId="1EA3EAA3">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服务区域范围内所有单体建筑的照明灯具、开关、插座、灯光感应器、水箱、小便器、水龙头、角阀、上下水软管以及各种锁具及桌子、椅子的维修更换。厕所蹲便及管道堵塞的疏通。服务区域范围内绿化灌溉管道连接口和喷头的更换维修。</w:t>
      </w:r>
    </w:p>
    <w:p w14:paraId="70768712">
      <w:pPr>
        <w:pageBreakBefore w:val="0"/>
        <w:kinsoku/>
        <w:wordWrap/>
        <w:overflowPunct/>
        <w:topLinePunct w:val="0"/>
        <w:bidi w:val="0"/>
        <w:adjustRightInd w:val="0"/>
        <w:spacing w:line="360" w:lineRule="auto"/>
        <w:ind w:firstLine="562" w:firstLineChars="200"/>
        <w:textAlignment w:val="auto"/>
        <w:rPr>
          <w:rFonts w:hint="eastAsia" w:ascii="仿宋" w:hAnsi="仿宋" w:eastAsia="仿宋" w:cs="仿宋"/>
          <w:b/>
          <w:bCs w:val="0"/>
          <w:sz w:val="28"/>
          <w:szCs w:val="28"/>
          <w:lang w:eastAsia="zh-CN"/>
        </w:rPr>
      </w:pPr>
      <w:r>
        <w:rPr>
          <w:rFonts w:hint="eastAsia" w:ascii="仿宋" w:hAnsi="仿宋" w:eastAsia="仿宋" w:cs="仿宋"/>
          <w:b/>
          <w:bCs w:val="0"/>
          <w:sz w:val="28"/>
          <w:szCs w:val="28"/>
          <w:lang w:val="en-US" w:eastAsia="zh-CN"/>
        </w:rPr>
        <w:t>六、</w:t>
      </w:r>
      <w:r>
        <w:rPr>
          <w:rFonts w:hint="eastAsia" w:ascii="仿宋" w:hAnsi="仿宋" w:eastAsia="仿宋" w:cs="仿宋"/>
          <w:b/>
          <w:bCs w:val="0"/>
          <w:sz w:val="28"/>
          <w:szCs w:val="28"/>
          <w:lang w:eastAsia="zh-CN"/>
        </w:rPr>
        <w:t>垃圾清收、清运和集中服务</w:t>
      </w:r>
    </w:p>
    <w:p w14:paraId="52F0AC85">
      <w:pPr>
        <w:pageBreakBefore w:val="0"/>
        <w:kinsoku/>
        <w:wordWrap/>
        <w:overflowPunct/>
        <w:topLinePunct w:val="0"/>
        <w:bidi w:val="0"/>
        <w:adjustRightInd w:val="0"/>
        <w:spacing w:line="360" w:lineRule="auto"/>
        <w:ind w:firstLine="560" w:firstLineChars="200"/>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区域垃圾集中和清运；临时安排的垃圾集中和清运。</w:t>
      </w:r>
    </w:p>
    <w:p w14:paraId="51E4B05A">
      <w:pPr>
        <w:pageBreakBefore w:val="0"/>
        <w:kinsoku/>
        <w:wordWrap/>
        <w:overflowPunct/>
        <w:topLinePunct w:val="0"/>
        <w:bidi w:val="0"/>
        <w:adjustRightInd w:val="0"/>
        <w:spacing w:line="360" w:lineRule="auto"/>
        <w:ind w:firstLine="562" w:firstLineChars="200"/>
        <w:textAlignment w:val="auto"/>
        <w:rPr>
          <w:rFonts w:hint="eastAsia" w:ascii="仿宋" w:hAnsi="仿宋" w:eastAsia="仿宋" w:cs="仿宋"/>
          <w:b/>
          <w:bCs w:val="0"/>
          <w:sz w:val="28"/>
          <w:szCs w:val="28"/>
          <w:lang w:eastAsia="zh-CN"/>
        </w:rPr>
      </w:pPr>
      <w:r>
        <w:rPr>
          <w:rFonts w:hint="eastAsia" w:ascii="仿宋" w:hAnsi="仿宋" w:eastAsia="仿宋" w:cs="仿宋"/>
          <w:b/>
          <w:bCs w:val="0"/>
          <w:sz w:val="28"/>
          <w:szCs w:val="28"/>
          <w:lang w:val="en-US" w:eastAsia="zh-CN"/>
        </w:rPr>
        <w:t>七、</w:t>
      </w:r>
      <w:r>
        <w:rPr>
          <w:rFonts w:hint="eastAsia" w:ascii="仿宋" w:hAnsi="仿宋" w:eastAsia="仿宋" w:cs="仿宋"/>
          <w:b/>
          <w:bCs w:val="0"/>
          <w:sz w:val="28"/>
          <w:szCs w:val="28"/>
          <w:lang w:eastAsia="zh-CN"/>
        </w:rPr>
        <w:t>专项管理服务</w:t>
      </w:r>
    </w:p>
    <w:p w14:paraId="63E48D3F">
      <w:pPr>
        <w:pageBreakBefore w:val="0"/>
        <w:kinsoku/>
        <w:wordWrap/>
        <w:overflowPunct/>
        <w:topLinePunct w:val="0"/>
        <w:bidi w:val="0"/>
        <w:adjustRightInd w:val="0"/>
        <w:spacing w:line="360" w:lineRule="auto"/>
        <w:ind w:firstLine="560" w:firstLineChars="200"/>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①节能管理服务：配合采购人做好服务区域水电、空调等能源使用、监管，做好校园节能工作；②重大活动综合保障服务：协助采购人组织统筹校内各类重大活动(如迎新生、毕业生离校、四、六级英语考试、校庆、招聘会等活动)，保障重大活动的安全、交通、秩序、清洁卫生及设备，确保活动的顺利开展；③活动场馆服务(图书馆等)：严格执行招标人关于图书馆等场馆的使用管理规定。</w:t>
      </w:r>
    </w:p>
    <w:p w14:paraId="570258BB">
      <w:pPr>
        <w:pageBreakBefore w:val="0"/>
        <w:kinsoku/>
        <w:wordWrap/>
        <w:overflowPunct/>
        <w:topLinePunct w:val="0"/>
        <w:bidi w:val="0"/>
        <w:spacing w:line="360" w:lineRule="auto"/>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第四条</w:t>
      </w:r>
      <w:r>
        <w:rPr>
          <w:rFonts w:hint="eastAsia" w:ascii="仿宋" w:hAnsi="仿宋" w:eastAsia="仿宋" w:cs="仿宋"/>
          <w:sz w:val="28"/>
          <w:szCs w:val="28"/>
          <w:lang w:eastAsia="zh-CN"/>
        </w:rPr>
        <w:t xml:space="preserve"> </w:t>
      </w:r>
      <w:r>
        <w:rPr>
          <w:rFonts w:hint="eastAsia" w:ascii="仿宋" w:hAnsi="仿宋" w:eastAsia="仿宋" w:cs="仿宋"/>
          <w:b/>
          <w:sz w:val="28"/>
          <w:szCs w:val="28"/>
          <w:lang w:eastAsia="zh-CN"/>
        </w:rPr>
        <w:t>合同期限</w:t>
      </w:r>
    </w:p>
    <w:p w14:paraId="5741A0F2">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本合同期限为</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年。自</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eastAsia="zh-CN"/>
        </w:rPr>
        <w:t>年</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eastAsia="zh-CN"/>
        </w:rPr>
        <w:t>月</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日起至</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eastAsia="zh-CN"/>
        </w:rPr>
        <w:t>年</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eastAsia="zh-CN"/>
        </w:rPr>
        <w:t>月</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eastAsia="zh-CN"/>
        </w:rPr>
        <w:t>日止。</w:t>
      </w:r>
    </w:p>
    <w:p w14:paraId="65E1BA22">
      <w:pPr>
        <w:pageBreakBefore w:val="0"/>
        <w:kinsoku/>
        <w:wordWrap/>
        <w:overflowPunct/>
        <w:topLinePunct w:val="0"/>
        <w:bidi w:val="0"/>
        <w:snapToGrid w:val="0"/>
        <w:spacing w:line="360" w:lineRule="auto"/>
        <w:textAlignment w:val="auto"/>
        <w:rPr>
          <w:rFonts w:hint="eastAsia" w:ascii="仿宋" w:hAnsi="仿宋" w:eastAsia="仿宋" w:cs="仿宋"/>
          <w:b/>
          <w:snapToGrid w:val="0"/>
          <w:kern w:val="0"/>
          <w:sz w:val="28"/>
          <w:szCs w:val="28"/>
          <w:lang w:eastAsia="zh-CN"/>
        </w:rPr>
      </w:pPr>
      <w:r>
        <w:rPr>
          <w:rFonts w:hint="eastAsia" w:ascii="仿宋" w:hAnsi="仿宋" w:eastAsia="仿宋" w:cs="仿宋"/>
          <w:b/>
          <w:sz w:val="28"/>
          <w:szCs w:val="28"/>
          <w:lang w:eastAsia="zh-CN"/>
        </w:rPr>
        <w:t>第五条</w:t>
      </w:r>
      <w:r>
        <w:rPr>
          <w:rFonts w:hint="eastAsia" w:ascii="仿宋" w:hAnsi="仿宋" w:eastAsia="仿宋" w:cs="仿宋"/>
          <w:sz w:val="28"/>
          <w:szCs w:val="28"/>
          <w:lang w:eastAsia="zh-CN"/>
        </w:rPr>
        <w:t xml:space="preserve"> </w:t>
      </w:r>
      <w:r>
        <w:rPr>
          <w:rFonts w:hint="eastAsia" w:ascii="仿宋" w:hAnsi="仿宋" w:eastAsia="仿宋" w:cs="仿宋"/>
          <w:b/>
          <w:snapToGrid w:val="0"/>
          <w:kern w:val="0"/>
          <w:sz w:val="28"/>
          <w:szCs w:val="28"/>
          <w:lang w:eastAsia="zh-CN"/>
        </w:rPr>
        <w:t>物业装备、耗材的使用</w:t>
      </w:r>
    </w:p>
    <w:p w14:paraId="1453F6C3">
      <w:pPr>
        <w:pageBreakBefore w:val="0"/>
        <w:kinsoku/>
        <w:wordWrap/>
        <w:overflowPunct/>
        <w:topLinePunct w:val="0"/>
        <w:bidi w:val="0"/>
        <w:adjustRightInd w:val="0"/>
        <w:spacing w:line="360" w:lineRule="auto"/>
        <w:ind w:firstLine="560" w:firstLineChars="200"/>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物业管理服务中所需低值易耗品、清洁用品工具、物业管理办公费、垃圾清运和服务中损坏物赔偿费等由乙方自行承担。</w:t>
      </w:r>
    </w:p>
    <w:p w14:paraId="5CB8ED40">
      <w:pPr>
        <w:pageBreakBefore w:val="0"/>
        <w:kinsoku/>
        <w:wordWrap/>
        <w:overflowPunct/>
        <w:topLinePunct w:val="0"/>
        <w:bidi w:val="0"/>
        <w:snapToGrid w:val="0"/>
        <w:spacing w:line="360" w:lineRule="auto"/>
        <w:textAlignment w:val="auto"/>
        <w:rPr>
          <w:rFonts w:hint="eastAsia" w:ascii="仿宋" w:hAnsi="仿宋" w:eastAsia="仿宋" w:cs="仿宋"/>
          <w:snapToGrid w:val="0"/>
          <w:kern w:val="0"/>
          <w:sz w:val="28"/>
          <w:szCs w:val="28"/>
          <w:lang w:eastAsia="zh-CN"/>
        </w:rPr>
      </w:pPr>
      <w:r>
        <w:rPr>
          <w:rFonts w:hint="eastAsia" w:ascii="仿宋" w:hAnsi="仿宋" w:eastAsia="仿宋" w:cs="仿宋"/>
          <w:b/>
          <w:sz w:val="28"/>
          <w:szCs w:val="28"/>
          <w:lang w:eastAsia="zh-CN"/>
        </w:rPr>
        <w:t>第六条</w:t>
      </w:r>
      <w:r>
        <w:rPr>
          <w:rFonts w:hint="eastAsia" w:ascii="仿宋" w:hAnsi="仿宋" w:eastAsia="仿宋" w:cs="仿宋"/>
          <w:sz w:val="28"/>
          <w:szCs w:val="28"/>
          <w:lang w:eastAsia="zh-CN"/>
        </w:rPr>
        <w:t xml:space="preserve"> </w:t>
      </w:r>
      <w:r>
        <w:rPr>
          <w:rFonts w:hint="eastAsia" w:ascii="仿宋" w:hAnsi="仿宋" w:eastAsia="仿宋" w:cs="仿宋"/>
          <w:b/>
          <w:snapToGrid w:val="0"/>
          <w:kern w:val="0"/>
          <w:sz w:val="28"/>
          <w:szCs w:val="28"/>
          <w:lang w:eastAsia="zh-CN"/>
        </w:rPr>
        <w:t>合同金额</w:t>
      </w:r>
    </w:p>
    <w:p w14:paraId="21E9C65B">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highlight w:val="yellow"/>
          <w:lang w:eastAsia="zh-CN"/>
        </w:rPr>
      </w:pPr>
      <w:r>
        <w:rPr>
          <w:rFonts w:hint="eastAsia" w:ascii="仿宋" w:hAnsi="仿宋" w:eastAsia="仿宋" w:cs="仿宋"/>
          <w:snapToGrid w:val="0"/>
          <w:kern w:val="0"/>
          <w:sz w:val="28"/>
          <w:szCs w:val="28"/>
          <w:lang w:eastAsia="zh-CN"/>
        </w:rPr>
        <w:t>本合同期内服务费合计¥</w:t>
      </w:r>
      <w:r>
        <w:rPr>
          <w:rFonts w:hint="eastAsia" w:ascii="仿宋" w:hAnsi="仿宋" w:eastAsia="仿宋" w:cs="仿宋"/>
          <w:snapToGrid w:val="0"/>
          <w:kern w:val="0"/>
          <w:sz w:val="28"/>
          <w:szCs w:val="28"/>
          <w:u w:val="single"/>
          <w:lang w:eastAsia="zh-CN"/>
        </w:rPr>
        <w:t xml:space="preserve"> </w:t>
      </w:r>
      <w:r>
        <w:rPr>
          <w:rFonts w:hint="eastAsia" w:ascii="仿宋" w:hAnsi="仿宋" w:eastAsia="仿宋" w:cs="仿宋"/>
          <w:snapToGrid w:val="0"/>
          <w:kern w:val="0"/>
          <w:sz w:val="28"/>
          <w:szCs w:val="28"/>
          <w:u w:val="single"/>
          <w:lang w:val="en-US" w:eastAsia="zh-CN"/>
        </w:rPr>
        <w:t xml:space="preserve">                   </w:t>
      </w:r>
      <w:r>
        <w:rPr>
          <w:rFonts w:hint="eastAsia" w:ascii="仿宋" w:hAnsi="仿宋" w:eastAsia="仿宋" w:cs="仿宋"/>
          <w:snapToGrid w:val="0"/>
          <w:kern w:val="0"/>
          <w:sz w:val="28"/>
          <w:szCs w:val="28"/>
          <w:u w:val="single"/>
          <w:lang w:eastAsia="zh-CN"/>
        </w:rPr>
        <w:t xml:space="preserve"> </w:t>
      </w:r>
      <w:r>
        <w:rPr>
          <w:rFonts w:hint="eastAsia" w:ascii="仿宋" w:hAnsi="仿宋" w:eastAsia="仿宋" w:cs="仿宋"/>
          <w:snapToGrid w:val="0"/>
          <w:kern w:val="0"/>
          <w:sz w:val="28"/>
          <w:szCs w:val="28"/>
          <w:lang w:eastAsia="zh-CN"/>
        </w:rPr>
        <w:t>。每年¥</w:t>
      </w:r>
      <w:r>
        <w:rPr>
          <w:rFonts w:hint="eastAsia" w:ascii="仿宋" w:hAnsi="仿宋" w:eastAsia="仿宋" w:cs="仿宋"/>
          <w:snapToGrid w:val="0"/>
          <w:kern w:val="0"/>
          <w:sz w:val="28"/>
          <w:szCs w:val="28"/>
          <w:u w:val="single"/>
          <w:lang w:eastAsia="zh-CN"/>
        </w:rPr>
        <w:t xml:space="preserve"> </w:t>
      </w:r>
      <w:r>
        <w:rPr>
          <w:rFonts w:hint="eastAsia" w:ascii="仿宋" w:hAnsi="仿宋" w:eastAsia="仿宋" w:cs="仿宋"/>
          <w:snapToGrid w:val="0"/>
          <w:kern w:val="0"/>
          <w:sz w:val="28"/>
          <w:szCs w:val="28"/>
          <w:u w:val="single"/>
          <w:lang w:val="en-US" w:eastAsia="zh-CN"/>
        </w:rPr>
        <w:t xml:space="preserve">                   </w:t>
      </w:r>
      <w:r>
        <w:rPr>
          <w:rFonts w:hint="eastAsia" w:ascii="仿宋" w:hAnsi="仿宋" w:eastAsia="仿宋" w:cs="仿宋"/>
          <w:snapToGrid w:val="0"/>
          <w:kern w:val="0"/>
          <w:sz w:val="28"/>
          <w:szCs w:val="28"/>
          <w:u w:val="single"/>
          <w:lang w:eastAsia="zh-CN"/>
        </w:rPr>
        <w:t xml:space="preserve"> </w:t>
      </w:r>
      <w:r>
        <w:rPr>
          <w:rFonts w:hint="eastAsia" w:ascii="仿宋" w:hAnsi="仿宋" w:eastAsia="仿宋" w:cs="仿宋"/>
          <w:snapToGrid w:val="0"/>
          <w:kern w:val="0"/>
          <w:sz w:val="28"/>
          <w:szCs w:val="28"/>
          <w:lang w:eastAsia="zh-CN"/>
        </w:rPr>
        <w:t>。</w:t>
      </w:r>
    </w:p>
    <w:p w14:paraId="2E767678">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费用包括但不限于管理费用、工作人员的工资及保险、业务培训费、人员服装费、材料工具费、办公费、必要的设备及措施费以及工作人员的意外伤亡等产生的所有费用。合同期间本项目价款不受政策、物价、最低工资标准调整等风险的影响，商业经营风险由乙方承担。除本合同明确约定可以另行收取的费用外，所有物业管理及服务费用均包括在内，乙方不得另行向甲方或使用人收取任何费用。</w:t>
      </w:r>
    </w:p>
    <w:p w14:paraId="1F2C0853">
      <w:pPr>
        <w:pStyle w:val="242"/>
        <w:pageBreakBefore w:val="0"/>
        <w:kinsoku/>
        <w:wordWrap/>
        <w:overflowPunct/>
        <w:topLinePunct w:val="0"/>
        <w:bidi w:val="0"/>
        <w:spacing w:before="0" w:line="360" w:lineRule="auto"/>
        <w:ind w:firstLine="0" w:firstLineChars="0"/>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第七条</w:t>
      </w:r>
      <w:r>
        <w:rPr>
          <w:rFonts w:hint="eastAsia" w:ascii="仿宋" w:hAnsi="仿宋" w:eastAsia="仿宋" w:cs="仿宋"/>
          <w:sz w:val="28"/>
          <w:szCs w:val="28"/>
          <w:lang w:eastAsia="zh-CN"/>
        </w:rPr>
        <w:t xml:space="preserve"> </w:t>
      </w:r>
      <w:r>
        <w:rPr>
          <w:rFonts w:hint="eastAsia" w:ascii="仿宋" w:hAnsi="仿宋" w:eastAsia="仿宋" w:cs="仿宋"/>
          <w:b/>
          <w:sz w:val="28"/>
          <w:szCs w:val="28"/>
          <w:lang w:eastAsia="zh-CN"/>
        </w:rPr>
        <w:t>费用结算方式</w:t>
      </w:r>
    </w:p>
    <w:p w14:paraId="123A715E">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物业管理服务费按月支付，</w:t>
      </w:r>
      <w:r>
        <w:rPr>
          <w:rFonts w:hint="eastAsia" w:ascii="仿宋" w:hAnsi="仿宋" w:eastAsia="仿宋" w:cs="仿宋"/>
          <w:snapToGrid w:val="0"/>
          <w:kern w:val="0"/>
          <w:sz w:val="28"/>
          <w:szCs w:val="28"/>
          <w:lang w:val="en-US" w:eastAsia="zh-CN"/>
        </w:rPr>
        <w:t>甲方</w:t>
      </w:r>
      <w:r>
        <w:rPr>
          <w:rFonts w:hint="eastAsia" w:ascii="仿宋" w:hAnsi="仿宋" w:eastAsia="仿宋" w:cs="仿宋"/>
          <w:snapToGrid w:val="0"/>
          <w:kern w:val="0"/>
          <w:sz w:val="28"/>
          <w:szCs w:val="28"/>
          <w:lang w:eastAsia="zh-CN"/>
        </w:rPr>
        <w:t>在对</w:t>
      </w:r>
      <w:r>
        <w:rPr>
          <w:rFonts w:hint="eastAsia" w:ascii="仿宋" w:hAnsi="仿宋" w:eastAsia="仿宋" w:cs="仿宋"/>
          <w:snapToGrid w:val="0"/>
          <w:kern w:val="0"/>
          <w:sz w:val="28"/>
          <w:szCs w:val="28"/>
          <w:lang w:val="en-US" w:eastAsia="zh-CN"/>
        </w:rPr>
        <w:t>乙方</w:t>
      </w:r>
      <w:r>
        <w:rPr>
          <w:rFonts w:hint="eastAsia" w:ascii="仿宋" w:hAnsi="仿宋" w:eastAsia="仿宋" w:cs="仿宋"/>
          <w:snapToGrid w:val="0"/>
          <w:kern w:val="0"/>
          <w:sz w:val="28"/>
          <w:szCs w:val="28"/>
          <w:lang w:eastAsia="zh-CN"/>
        </w:rPr>
        <w:t>上</w:t>
      </w:r>
      <w:r>
        <w:rPr>
          <w:rFonts w:hint="eastAsia" w:ascii="仿宋" w:hAnsi="仿宋" w:eastAsia="仿宋" w:cs="仿宋"/>
          <w:snapToGrid w:val="0"/>
          <w:kern w:val="0"/>
          <w:sz w:val="28"/>
          <w:szCs w:val="28"/>
          <w:lang w:val="en-US" w:eastAsia="zh-CN"/>
        </w:rPr>
        <w:t>个月</w:t>
      </w:r>
      <w:r>
        <w:rPr>
          <w:rFonts w:hint="eastAsia" w:ascii="仿宋" w:hAnsi="仿宋" w:eastAsia="仿宋" w:cs="仿宋"/>
          <w:sz w:val="28"/>
          <w:szCs w:val="28"/>
          <w:lang w:val="en-US" w:eastAsia="zh-CN"/>
        </w:rPr>
        <w:t>的服务考核后，次月15日前根据考核结果支付上个月费用。合同期内最后一个月的管理服务费待双方办理完交接手续后，由</w:t>
      </w:r>
      <w:r>
        <w:rPr>
          <w:rFonts w:hint="eastAsia" w:ascii="仿宋" w:hAnsi="仿宋" w:eastAsia="仿宋" w:cs="仿宋"/>
          <w:snapToGrid w:val="0"/>
          <w:kern w:val="0"/>
          <w:sz w:val="28"/>
          <w:szCs w:val="28"/>
          <w:lang w:val="en-US" w:eastAsia="zh-CN"/>
        </w:rPr>
        <w:t>甲方</w:t>
      </w:r>
      <w:r>
        <w:rPr>
          <w:rFonts w:hint="eastAsia" w:ascii="仿宋" w:hAnsi="仿宋" w:eastAsia="仿宋" w:cs="仿宋"/>
          <w:sz w:val="28"/>
          <w:szCs w:val="28"/>
          <w:lang w:val="en-US" w:eastAsia="zh-CN"/>
        </w:rPr>
        <w:t>支付给</w:t>
      </w:r>
      <w:r>
        <w:rPr>
          <w:rFonts w:hint="eastAsia" w:ascii="仿宋" w:hAnsi="仿宋" w:eastAsia="仿宋" w:cs="仿宋"/>
          <w:snapToGrid w:val="0"/>
          <w:kern w:val="0"/>
          <w:sz w:val="28"/>
          <w:szCs w:val="28"/>
          <w:lang w:val="en-US" w:eastAsia="zh-CN"/>
        </w:rPr>
        <w:t>乙方</w:t>
      </w:r>
      <w:r>
        <w:rPr>
          <w:rFonts w:hint="eastAsia" w:ascii="仿宋" w:hAnsi="仿宋" w:eastAsia="仿宋" w:cs="仿宋"/>
          <w:sz w:val="28"/>
          <w:szCs w:val="28"/>
          <w:lang w:val="en-US" w:eastAsia="zh-CN"/>
        </w:rPr>
        <w:t>。</w:t>
      </w:r>
    </w:p>
    <w:p w14:paraId="7846B892">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val="en-US" w:eastAsia="zh-CN"/>
        </w:rPr>
      </w:pPr>
      <w:r>
        <w:rPr>
          <w:rFonts w:hint="eastAsia" w:ascii="仿宋" w:hAnsi="仿宋" w:eastAsia="仿宋" w:cs="仿宋"/>
          <w:snapToGrid w:val="0"/>
          <w:kern w:val="0"/>
          <w:sz w:val="28"/>
          <w:szCs w:val="28"/>
          <w:lang w:val="en-US" w:eastAsia="zh-CN"/>
        </w:rPr>
        <w:t>如中标人提供的发票或结算资料不符合采购人要求，采购人有权延迟付款并要求中标人重新提交相关资料而不视为违约，但中标人不得因此延迟或拒绝履行本合同约定的各项义务。</w:t>
      </w:r>
    </w:p>
    <w:p w14:paraId="449A84D9">
      <w:pPr>
        <w:pageBreakBefore w:val="0"/>
        <w:kinsoku/>
        <w:wordWrap/>
        <w:overflowPunct/>
        <w:topLinePunct w:val="0"/>
        <w:bidi w:val="0"/>
        <w:adjustRightInd w:val="0"/>
        <w:snapToGrid w:val="0"/>
        <w:spacing w:line="360" w:lineRule="auto"/>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第八条 履约保证金</w:t>
      </w:r>
    </w:p>
    <w:p w14:paraId="2903B04F">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1.乙方</w:t>
      </w:r>
      <w:r>
        <w:rPr>
          <w:rFonts w:hint="eastAsia" w:ascii="仿宋" w:hAnsi="仿宋" w:eastAsia="仿宋" w:cs="仿宋"/>
          <w:snapToGrid w:val="0"/>
          <w:kern w:val="0"/>
          <w:sz w:val="28"/>
          <w:szCs w:val="28"/>
          <w:lang w:val="en-US" w:eastAsia="zh-CN"/>
        </w:rPr>
        <w:t>向甲方缴纳每年合同金额3%的履约保证金，</w:t>
      </w:r>
      <w:r>
        <w:rPr>
          <w:rFonts w:hint="eastAsia" w:ascii="仿宋" w:hAnsi="仿宋" w:eastAsia="仿宋" w:cs="仿宋"/>
          <w:snapToGrid w:val="0"/>
          <w:kern w:val="0"/>
          <w:sz w:val="28"/>
          <w:szCs w:val="28"/>
          <w:lang w:eastAsia="zh-CN"/>
        </w:rPr>
        <w:t>以保证乙方遵守本合同的一切条款、条件和承诺，该保证金在甲方的规定存续期间不计息。</w:t>
      </w:r>
    </w:p>
    <w:p w14:paraId="46BDC538">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甲方有权从履约保证金中扣除用于修复乙方损坏甲方的设备、设施、场地，或因乙方违约而导致损失的金额和违约金，且乙方应在接到扣除履约保证金通知后一周内补足扣除差额，保证承包期间履约保证金的完整。如乙方未在规定时间补齐，未补齐的费用甲方可在支付合同款时双倍扣除。</w:t>
      </w:r>
    </w:p>
    <w:p w14:paraId="4D6D68EA">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3.甲方认为乙方在服务期内，没有涉及甲方的应付而未付金额或违约行为，甲方在服务期满后或提前终止承包后一个月内全额退还履约保证金，否则甲方将在扣除乙方应付金额或违约金后，无息退还保证金余额。</w:t>
      </w:r>
    </w:p>
    <w:p w14:paraId="56D64761">
      <w:pPr>
        <w:pageBreakBefore w:val="0"/>
        <w:kinsoku/>
        <w:wordWrap/>
        <w:overflowPunct/>
        <w:topLinePunct w:val="0"/>
        <w:bidi w:val="0"/>
        <w:adjustRightInd w:val="0"/>
        <w:snapToGrid w:val="0"/>
        <w:spacing w:line="360" w:lineRule="auto"/>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第九条 服务质量标准</w:t>
      </w:r>
    </w:p>
    <w:p w14:paraId="5357DDF6">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洛阳师范学院2026-2028年度教学区域物业管理服务项目（详见招标文件、投标文件及乙方服务承诺）。</w:t>
      </w:r>
    </w:p>
    <w:p w14:paraId="463F202D">
      <w:pPr>
        <w:pageBreakBefore w:val="0"/>
        <w:kinsoku/>
        <w:wordWrap/>
        <w:overflowPunct/>
        <w:topLinePunct w:val="0"/>
        <w:bidi w:val="0"/>
        <w:adjustRightInd w:val="0"/>
        <w:snapToGrid w:val="0"/>
        <w:spacing w:line="360" w:lineRule="auto"/>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第十条 人员配置要求</w:t>
      </w:r>
    </w:p>
    <w:p w14:paraId="178DA9A1">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u w:val="none"/>
          <w:lang w:eastAsia="zh-CN"/>
        </w:rPr>
      </w:pPr>
      <w:r>
        <w:rPr>
          <w:rFonts w:hint="eastAsia" w:ascii="仿宋" w:hAnsi="仿宋" w:eastAsia="仿宋" w:cs="仿宋"/>
          <w:snapToGrid w:val="0"/>
          <w:kern w:val="0"/>
          <w:sz w:val="28"/>
          <w:szCs w:val="28"/>
          <w:lang w:eastAsia="zh-CN"/>
        </w:rPr>
        <w:t>1. 乙方应确保按照招标文件、投标文件的要求配置人员。乙方的项目总负责人</w:t>
      </w:r>
      <w:r>
        <w:rPr>
          <w:rFonts w:hint="eastAsia" w:ascii="仿宋" w:hAnsi="仿宋" w:eastAsia="仿宋" w:cs="仿宋"/>
          <w:snapToGrid w:val="0"/>
          <w:kern w:val="0"/>
          <w:sz w:val="28"/>
          <w:szCs w:val="28"/>
          <w:u w:val="single"/>
          <w:lang w:eastAsia="zh-CN"/>
        </w:rPr>
        <w:t xml:space="preserve">  </w:t>
      </w:r>
      <w:r>
        <w:rPr>
          <w:rFonts w:hint="eastAsia" w:ascii="仿宋" w:hAnsi="仿宋" w:eastAsia="仿宋" w:cs="仿宋"/>
          <w:snapToGrid w:val="0"/>
          <w:kern w:val="0"/>
          <w:sz w:val="28"/>
          <w:szCs w:val="28"/>
          <w:u w:val="single"/>
          <w:lang w:val="en-US" w:eastAsia="zh-CN"/>
        </w:rPr>
        <w:t xml:space="preserve">    </w:t>
      </w:r>
      <w:r>
        <w:rPr>
          <w:rFonts w:hint="eastAsia" w:ascii="仿宋" w:hAnsi="仿宋" w:eastAsia="仿宋" w:cs="仿宋"/>
          <w:snapToGrid w:val="0"/>
          <w:kern w:val="0"/>
          <w:sz w:val="28"/>
          <w:szCs w:val="28"/>
          <w:u w:val="single"/>
          <w:lang w:eastAsia="zh-CN"/>
        </w:rPr>
        <w:t xml:space="preserve">    </w:t>
      </w:r>
      <w:r>
        <w:rPr>
          <w:rFonts w:hint="eastAsia" w:ascii="仿宋" w:hAnsi="仿宋" w:eastAsia="仿宋" w:cs="仿宋"/>
          <w:snapToGrid w:val="0"/>
          <w:kern w:val="0"/>
          <w:sz w:val="28"/>
          <w:szCs w:val="28"/>
          <w:lang w:eastAsia="zh-CN"/>
        </w:rPr>
        <w:t>，身份证号码：</w:t>
      </w:r>
      <w:r>
        <w:rPr>
          <w:rFonts w:hint="eastAsia" w:ascii="仿宋" w:hAnsi="仿宋" w:eastAsia="仿宋" w:cs="仿宋"/>
          <w:snapToGrid w:val="0"/>
          <w:kern w:val="0"/>
          <w:sz w:val="28"/>
          <w:szCs w:val="28"/>
          <w:u w:val="single"/>
          <w:lang w:eastAsia="zh-CN"/>
        </w:rPr>
        <w:t xml:space="preserve">     </w:t>
      </w:r>
      <w:r>
        <w:rPr>
          <w:rFonts w:hint="eastAsia" w:ascii="仿宋" w:hAnsi="仿宋" w:eastAsia="仿宋" w:cs="仿宋"/>
          <w:snapToGrid w:val="0"/>
          <w:kern w:val="0"/>
          <w:sz w:val="28"/>
          <w:szCs w:val="28"/>
          <w:u w:val="single"/>
          <w:lang w:val="en-US" w:eastAsia="zh-CN"/>
        </w:rPr>
        <w:t xml:space="preserve">  </w:t>
      </w:r>
      <w:r>
        <w:rPr>
          <w:rFonts w:hint="eastAsia" w:ascii="仿宋" w:hAnsi="仿宋" w:eastAsia="仿宋" w:cs="仿宋"/>
          <w:snapToGrid w:val="0"/>
          <w:kern w:val="0"/>
          <w:sz w:val="28"/>
          <w:szCs w:val="28"/>
          <w:u w:val="single"/>
          <w:lang w:eastAsia="zh-CN"/>
        </w:rPr>
        <w:t xml:space="preserve">            </w:t>
      </w:r>
      <w:r>
        <w:rPr>
          <w:rFonts w:hint="eastAsia" w:ascii="仿宋" w:hAnsi="仿宋" w:eastAsia="仿宋" w:cs="仿宋"/>
          <w:snapToGrid w:val="0"/>
          <w:kern w:val="0"/>
          <w:sz w:val="28"/>
          <w:szCs w:val="28"/>
          <w:u w:val="none"/>
          <w:lang w:eastAsia="zh-CN"/>
        </w:rPr>
        <w:t>。</w:t>
      </w:r>
    </w:p>
    <w:p w14:paraId="551794CD">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配置所有人员应身体健康，具有能够完成本职工作的能力。员工经岗前培训合格后方可上岗，掌握专业知识和本职服务质量标准，每年应接受不少于8小时的岗位技能知识培训。</w:t>
      </w:r>
    </w:p>
    <w:p w14:paraId="3DA2CCB1">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2.乙方配置所有人员应规范统一着装、挂牌上岗；服务主动热情，言行文明规范，接听电话及时，首问负责，上班期间不脱岗，不从事与服务工作无关活动；</w:t>
      </w:r>
    </w:p>
    <w:p w14:paraId="37B64167">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3.乙方应将所有员工名单及基本情况交甲方备案，作为监督检查的依据。乙方员工的新进、调岗、辞退，经甲方审核同意后方可进行。员工请假的，须1日内报甲方备案。</w:t>
      </w:r>
    </w:p>
    <w:p w14:paraId="5A0CD7B8">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乙方不得使用为甲方配置的员工从事其他盈利性服务工作。</w:t>
      </w:r>
    </w:p>
    <w:p w14:paraId="5B7058CD">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乙方不得私自减少各类值班和物业服务人员。</w:t>
      </w:r>
    </w:p>
    <w:p w14:paraId="5E8B41E1">
      <w:pPr>
        <w:pageBreakBefore w:val="0"/>
        <w:kinsoku/>
        <w:wordWrap/>
        <w:overflowPunct/>
        <w:topLinePunct w:val="0"/>
        <w:bidi w:val="0"/>
        <w:adjustRightInd w:val="0"/>
        <w:snapToGrid w:val="0"/>
        <w:spacing w:line="360" w:lineRule="auto"/>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 xml:space="preserve">第十一条  服务设备投入 </w:t>
      </w:r>
    </w:p>
    <w:p w14:paraId="4CE6DE73">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乙方应配置本项目相关的工器具、材料、办公机具等，主要服务设备（详见投标文件）。</w:t>
      </w:r>
    </w:p>
    <w:p w14:paraId="3554E0D2">
      <w:pPr>
        <w:pageBreakBefore w:val="0"/>
        <w:kinsoku/>
        <w:wordWrap/>
        <w:overflowPunct/>
        <w:topLinePunct w:val="0"/>
        <w:bidi w:val="0"/>
        <w:spacing w:line="360" w:lineRule="auto"/>
        <w:jc w:val="left"/>
        <w:textAlignment w:val="auto"/>
        <w:rPr>
          <w:rFonts w:hint="eastAsia" w:ascii="仿宋" w:hAnsi="仿宋" w:eastAsia="仿宋" w:cs="仿宋"/>
          <w:snapToGrid w:val="0"/>
          <w:kern w:val="0"/>
          <w:sz w:val="28"/>
          <w:szCs w:val="28"/>
          <w:lang w:eastAsia="zh-CN"/>
        </w:rPr>
      </w:pPr>
      <w:r>
        <w:rPr>
          <w:rFonts w:hint="eastAsia" w:ascii="仿宋" w:hAnsi="仿宋" w:eastAsia="仿宋" w:cs="仿宋"/>
          <w:b/>
          <w:sz w:val="28"/>
          <w:szCs w:val="28"/>
          <w:lang w:eastAsia="zh-CN"/>
        </w:rPr>
        <w:t>第十二条</w:t>
      </w:r>
      <w:r>
        <w:rPr>
          <w:rFonts w:hint="eastAsia" w:ascii="仿宋" w:hAnsi="仿宋" w:eastAsia="仿宋" w:cs="仿宋"/>
          <w:sz w:val="28"/>
          <w:szCs w:val="28"/>
          <w:lang w:eastAsia="zh-CN"/>
        </w:rPr>
        <w:t xml:space="preserve"> </w:t>
      </w:r>
      <w:r>
        <w:rPr>
          <w:rFonts w:hint="eastAsia" w:ascii="仿宋" w:hAnsi="仿宋" w:eastAsia="仿宋" w:cs="仿宋"/>
          <w:b/>
          <w:snapToGrid w:val="0"/>
          <w:kern w:val="0"/>
          <w:sz w:val="28"/>
          <w:szCs w:val="28"/>
          <w:lang w:eastAsia="zh-CN"/>
        </w:rPr>
        <w:t>经营制约</w:t>
      </w:r>
    </w:p>
    <w:p w14:paraId="736147F1">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一、未经甲方同意，乙方无权在承包区域中从事任何广告活动或类似宣传，甲方有权依照广告法和甲方相关的规定责令乙方限期改正，并处罚；但甲方在该区域发布的广告宣传保证不致影响乙方的正常工作；</w:t>
      </w:r>
    </w:p>
    <w:p w14:paraId="5B5196C6">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二、乙方不得以甲方的名义从事任何经济活动，且由此发生的一切债权、债务与甲方无关。</w:t>
      </w:r>
    </w:p>
    <w:p w14:paraId="0CA3BEAF">
      <w:pPr>
        <w:pageBreakBefore w:val="0"/>
        <w:kinsoku/>
        <w:wordWrap/>
        <w:overflowPunct/>
        <w:topLinePunct w:val="0"/>
        <w:bidi w:val="0"/>
        <w:spacing w:line="360" w:lineRule="auto"/>
        <w:ind w:firstLine="562"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b/>
          <w:sz w:val="28"/>
          <w:szCs w:val="28"/>
          <w:lang w:eastAsia="zh-CN"/>
        </w:rPr>
        <w:t>（一）</w:t>
      </w:r>
      <w:r>
        <w:rPr>
          <w:rFonts w:hint="eastAsia" w:ascii="仿宋" w:hAnsi="仿宋" w:eastAsia="仿宋" w:cs="仿宋"/>
          <w:b/>
          <w:snapToGrid w:val="0"/>
          <w:kern w:val="0"/>
          <w:sz w:val="28"/>
          <w:szCs w:val="28"/>
          <w:lang w:eastAsia="zh-CN"/>
        </w:rPr>
        <w:t>乙方对甲方作出如下承诺</w:t>
      </w:r>
      <w:r>
        <w:rPr>
          <w:rFonts w:hint="eastAsia" w:ascii="仿宋" w:hAnsi="仿宋" w:eastAsia="仿宋" w:cs="仿宋"/>
          <w:snapToGrid w:val="0"/>
          <w:kern w:val="0"/>
          <w:sz w:val="28"/>
          <w:szCs w:val="28"/>
          <w:lang w:eastAsia="zh-CN"/>
        </w:rPr>
        <w:t>：</w:t>
      </w:r>
    </w:p>
    <w:p w14:paraId="3224D56C">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 不以任何形式转租、转让、抵押承包区域，在承包区域只从事甲方认可的服务工作。在承包期间，乙方的任何股份配置变动应通知甲方。未经甲方书面批准，任何占有支配地位的股份转让都将视为乙方出租、转让的行为。</w:t>
      </w:r>
    </w:p>
    <w:p w14:paraId="4D849D6D">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 乙方应允许甲方或其授权的人员对承包区域内各项服务质量控制进行检查，有关费用由乙方承担。</w:t>
      </w:r>
    </w:p>
    <w:p w14:paraId="6B36F107">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 在承包区域的物业服务，其工作时间必须满足甲方的工作要求，包括星期天及公众假期。如遇特殊情况，甲方可要求乙方调整工作时间直至全天二十四小时工作。</w:t>
      </w:r>
    </w:p>
    <w:p w14:paraId="794C72DE">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4. 乙方必须聘请(或指定)一位经理(负责人)，全权代表乙方与甲方保持密切联系并保证承包区域服务工作。根据综合考评或工作情况，甲方有权要求乙方在一个星期内更换经理（负责人）、相关骨干人员。</w:t>
      </w:r>
    </w:p>
    <w:p w14:paraId="1582E24C">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5. 为承包区域的服务工作配备承诺的人员及人员数量（</w:t>
      </w:r>
      <w:r>
        <w:rPr>
          <w:rFonts w:hint="eastAsia" w:ascii="仿宋" w:hAnsi="仿宋" w:eastAsia="仿宋" w:cs="仿宋"/>
          <w:snapToGrid w:val="0"/>
          <w:kern w:val="0"/>
          <w:sz w:val="28"/>
          <w:szCs w:val="28"/>
          <w:u w:val="single"/>
          <w:lang w:eastAsia="zh-CN"/>
        </w:rPr>
        <w:t xml:space="preserve"> </w:t>
      </w:r>
      <w:r>
        <w:rPr>
          <w:rFonts w:hint="eastAsia" w:ascii="仿宋" w:hAnsi="仿宋" w:eastAsia="仿宋" w:cs="仿宋"/>
          <w:snapToGrid w:val="0"/>
          <w:kern w:val="0"/>
          <w:sz w:val="28"/>
          <w:szCs w:val="28"/>
          <w:u w:val="single"/>
          <w:lang w:val="en-US" w:eastAsia="zh-CN"/>
        </w:rPr>
        <w:t xml:space="preserve">  </w:t>
      </w:r>
      <w:r>
        <w:rPr>
          <w:rFonts w:hint="eastAsia" w:ascii="仿宋" w:hAnsi="仿宋" w:eastAsia="仿宋" w:cs="仿宋"/>
          <w:snapToGrid w:val="0"/>
          <w:kern w:val="0"/>
          <w:sz w:val="28"/>
          <w:szCs w:val="28"/>
          <w:u w:val="single"/>
          <w:lang w:eastAsia="zh-CN"/>
        </w:rPr>
        <w:t xml:space="preserve"> 人</w:t>
      </w:r>
      <w:r>
        <w:rPr>
          <w:rFonts w:hint="eastAsia" w:ascii="仿宋" w:hAnsi="仿宋" w:eastAsia="仿宋" w:cs="仿宋"/>
          <w:snapToGrid w:val="0"/>
          <w:kern w:val="0"/>
          <w:sz w:val="28"/>
          <w:szCs w:val="28"/>
          <w:lang w:eastAsia="zh-CN"/>
        </w:rPr>
        <w:t>），甲方不定期抽查乙方投入的人员数量，如果抽查时发现乙方投入的人员数量少于合同约定的数量，甲方可以按缺少人数每人1000元/次累计扣除合同款。乙方聘用的工作人员必须符合劳动部门有关用工规定，并经乙方相关专业考核合格后持证上岗，甲方有权进行审核，该类费用开支由乙方负担。</w:t>
      </w:r>
    </w:p>
    <w:p w14:paraId="6D103995">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6. 在承包期间，乙方所有人员仅与乙方建立劳动合同关系，且所有人员使用须符合《劳动法》的有关规定。乙方人员发生任何事故或与乙方发生劳动争议均由乙方自行全权负责，相关费用乙方自行承担，以保证甲方在乙方人员索赔时不受任何责任的约束。</w:t>
      </w:r>
    </w:p>
    <w:p w14:paraId="6B3F5CD0">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7. 乙方工作人员上岗穿着由甲方确认的制服及甲方许可的装饰物品，费用和制作均由乙方负担。</w:t>
      </w:r>
    </w:p>
    <w:p w14:paraId="387C7678">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8. 乙方必须出具或办妥法律及甲方规定的与承包区域经营业务有关的执照和许可证，方可从事经营并在经营中遵守一切有关条例和规定。自行缴纳有关税、费。</w:t>
      </w:r>
    </w:p>
    <w:p w14:paraId="2C3B75E3">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9. 乙方必须确保为甲方提供优质、高效的专业服务，并根据甲方要求改变不满意的服务状况。接受有关部门监督与检查。同时，乙方自觉参加甲方认为有助提高甲方形象的宣传活动。</w:t>
      </w:r>
    </w:p>
    <w:p w14:paraId="51A23CB5">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10. 在承包期内乙方应保证承包区域内的环境状况，并接受甲方或其授权人员的检查，对由乙方引起或造成设施、设备的损坏及环境卫生不理想状况，甲方将书面通知乙方修复或整改，在书面通知下达一周后，仍未按要求修复或整改，甲方将负责完成这一工作，所需费用连同5%附加费全部由乙方承担。</w:t>
      </w:r>
    </w:p>
    <w:p w14:paraId="6C9917FD">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11. 乙方在承包区域因作业所需增加机械及设施应征得甲方同意，并聘请有资格的承造商进行安装、保养并将施工安装保养记录手册和图，交由甲方备案。</w:t>
      </w:r>
    </w:p>
    <w:p w14:paraId="0F8968DA">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12. 遇突发事件或安全检查时，乙方必须配合有关部门执行任务，并指定专职人员协助工作，直至完成。</w:t>
      </w:r>
    </w:p>
    <w:p w14:paraId="487ADEA4">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color w:val="auto"/>
          <w:kern w:val="0"/>
          <w:sz w:val="28"/>
          <w:szCs w:val="28"/>
          <w:lang w:val="en-US" w:eastAsia="zh-CN"/>
        </w:rPr>
      </w:pPr>
      <w:r>
        <w:rPr>
          <w:rFonts w:hint="eastAsia" w:ascii="仿宋" w:hAnsi="仿宋" w:eastAsia="仿宋" w:cs="仿宋"/>
          <w:snapToGrid w:val="0"/>
          <w:color w:val="auto"/>
          <w:kern w:val="0"/>
          <w:sz w:val="28"/>
          <w:szCs w:val="28"/>
          <w:lang w:val="en-US" w:eastAsia="zh-CN"/>
        </w:rPr>
        <w:t>13.乙方车辆（包括但不限于大中型清扫车、高压冲洗车、可卸式垃圾车）发生事故时，乙方需承担全部责任及赔偿义务。</w:t>
      </w:r>
    </w:p>
    <w:p w14:paraId="54433CE7">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w:t>
      </w:r>
      <w:r>
        <w:rPr>
          <w:rFonts w:hint="eastAsia" w:ascii="仿宋" w:hAnsi="仿宋" w:eastAsia="仿宋" w:cs="仿宋"/>
          <w:snapToGrid w:val="0"/>
          <w:kern w:val="0"/>
          <w:sz w:val="28"/>
          <w:szCs w:val="28"/>
          <w:lang w:val="en-US" w:eastAsia="zh-CN"/>
        </w:rPr>
        <w:t>4</w:t>
      </w:r>
      <w:r>
        <w:rPr>
          <w:rFonts w:hint="eastAsia" w:ascii="仿宋" w:hAnsi="仿宋" w:eastAsia="仿宋" w:cs="仿宋"/>
          <w:snapToGrid w:val="0"/>
          <w:kern w:val="0"/>
          <w:sz w:val="28"/>
          <w:szCs w:val="28"/>
          <w:lang w:eastAsia="zh-CN"/>
        </w:rPr>
        <w:t>. 乙方保证在承包期满当天下午五时前撤离现场。</w:t>
      </w:r>
    </w:p>
    <w:p w14:paraId="084538BF">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w:t>
      </w:r>
      <w:r>
        <w:rPr>
          <w:rFonts w:hint="eastAsia" w:ascii="仿宋" w:hAnsi="仿宋" w:eastAsia="仿宋" w:cs="仿宋"/>
          <w:snapToGrid w:val="0"/>
          <w:kern w:val="0"/>
          <w:sz w:val="28"/>
          <w:szCs w:val="28"/>
          <w:lang w:val="en-US" w:eastAsia="zh-CN"/>
        </w:rPr>
        <w:t>5</w:t>
      </w:r>
      <w:r>
        <w:rPr>
          <w:rFonts w:hint="eastAsia" w:ascii="仿宋" w:hAnsi="仿宋" w:eastAsia="仿宋" w:cs="仿宋"/>
          <w:snapToGrid w:val="0"/>
          <w:kern w:val="0"/>
          <w:sz w:val="28"/>
          <w:szCs w:val="28"/>
          <w:lang w:eastAsia="zh-CN"/>
        </w:rPr>
        <w:t>. 乙方须积极配合甲方对其进行的物业服务综合考评。</w:t>
      </w:r>
    </w:p>
    <w:p w14:paraId="73116B01">
      <w:pPr>
        <w:pageBreakBefore w:val="0"/>
        <w:kinsoku/>
        <w:wordWrap/>
        <w:overflowPunct/>
        <w:topLinePunct w:val="0"/>
        <w:bidi w:val="0"/>
        <w:spacing w:line="360" w:lineRule="auto"/>
        <w:ind w:firstLine="562" w:firstLineChars="200"/>
        <w:textAlignment w:val="auto"/>
        <w:rPr>
          <w:rFonts w:hint="eastAsia" w:ascii="仿宋" w:hAnsi="仿宋" w:eastAsia="仿宋" w:cs="仿宋"/>
          <w:b/>
          <w:snapToGrid w:val="0"/>
          <w:kern w:val="0"/>
          <w:sz w:val="28"/>
          <w:szCs w:val="28"/>
          <w:lang w:eastAsia="zh-CN"/>
        </w:rPr>
      </w:pPr>
      <w:r>
        <w:rPr>
          <w:rFonts w:hint="eastAsia" w:ascii="仿宋" w:hAnsi="仿宋" w:eastAsia="仿宋" w:cs="仿宋"/>
          <w:b/>
          <w:snapToGrid w:val="0"/>
          <w:kern w:val="0"/>
          <w:sz w:val="28"/>
          <w:szCs w:val="28"/>
          <w:lang w:eastAsia="zh-CN"/>
        </w:rPr>
        <w:t>（二） 甲方对乙方作出如下承诺：</w:t>
      </w:r>
    </w:p>
    <w:p w14:paraId="0A15BF41">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1．甲方在职权范围内保证乙方的正常经营不受干扰。</w:t>
      </w:r>
    </w:p>
    <w:p w14:paraId="313FDDEE">
      <w:pPr>
        <w:pageBreakBefore w:val="0"/>
        <w:kinsoku/>
        <w:wordWrap/>
        <w:overflowPunct/>
        <w:topLinePunct w:val="0"/>
        <w:bidi w:val="0"/>
        <w:spacing w:line="360" w:lineRule="auto"/>
        <w:ind w:firstLine="560" w:firstLineChars="200"/>
        <w:textAlignment w:val="auto"/>
        <w:rPr>
          <w:rFonts w:hint="eastAsia" w:ascii="仿宋" w:hAnsi="仿宋" w:eastAsia="仿宋" w:cs="仿宋"/>
          <w:b/>
          <w:sz w:val="28"/>
          <w:szCs w:val="28"/>
          <w:lang w:eastAsia="zh-CN"/>
        </w:rPr>
      </w:pPr>
      <w:r>
        <w:rPr>
          <w:rFonts w:hint="eastAsia" w:ascii="仿宋" w:hAnsi="仿宋" w:eastAsia="仿宋" w:cs="仿宋"/>
          <w:snapToGrid w:val="0"/>
          <w:kern w:val="0"/>
          <w:sz w:val="28"/>
          <w:szCs w:val="28"/>
          <w:lang w:eastAsia="zh-CN"/>
        </w:rPr>
        <w:t>2．保证乙方的员工按规定正常进入承包区域开展服务工作。</w:t>
      </w:r>
    </w:p>
    <w:p w14:paraId="32F4D732">
      <w:pPr>
        <w:pageBreakBefore w:val="0"/>
        <w:kinsoku/>
        <w:wordWrap/>
        <w:overflowPunct/>
        <w:topLinePunct w:val="0"/>
        <w:bidi w:val="0"/>
        <w:adjustRightInd w:val="0"/>
        <w:snapToGrid w:val="0"/>
        <w:spacing w:line="360" w:lineRule="auto"/>
        <w:ind w:firstLine="562" w:firstLineChars="200"/>
        <w:textAlignment w:val="auto"/>
        <w:rPr>
          <w:rFonts w:hint="eastAsia" w:ascii="仿宋" w:hAnsi="仿宋" w:eastAsia="仿宋" w:cs="仿宋"/>
          <w:b/>
          <w:snapToGrid w:val="0"/>
          <w:kern w:val="0"/>
          <w:sz w:val="28"/>
          <w:szCs w:val="28"/>
          <w:lang w:eastAsia="zh-CN"/>
        </w:rPr>
      </w:pPr>
      <w:r>
        <w:rPr>
          <w:rFonts w:hint="eastAsia" w:ascii="仿宋" w:hAnsi="仿宋" w:eastAsia="仿宋" w:cs="仿宋"/>
          <w:b/>
          <w:snapToGrid w:val="0"/>
          <w:kern w:val="0"/>
          <w:sz w:val="28"/>
          <w:szCs w:val="28"/>
          <w:lang w:eastAsia="zh-CN"/>
        </w:rPr>
        <w:t>（三）禁止事项</w:t>
      </w:r>
    </w:p>
    <w:p w14:paraId="1BAFE3FF">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 乙方不得以任何理由向甲方工作人员支付小费或赠送实物，违者将终止合同。乙方人员也不得以任何形式向行政大楼内相关人员索取小费或钱物等。</w:t>
      </w:r>
    </w:p>
    <w:p w14:paraId="00BBC700">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 不得在承包区域住宿或从事非法活动，也不得从事有损甲方利益的活动，同时不允许在承包区域对甲方经营活动进行滋扰性的行为。</w:t>
      </w:r>
    </w:p>
    <w:p w14:paraId="215E20A8">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 除经甲方批准进行必要的维修工程外，乙方不得损毁承包区域原有的设施和装潢，同时，也不得安装任何可能造成电缆负载过大的电器设备，以免无线电受干扰。</w:t>
      </w:r>
    </w:p>
    <w:p w14:paraId="1CA79F86">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4. 未获甲方书面同意，乙方任何时候都不能在承包区域存放易燃物品、挥发性大或气味浓烈的液体等。</w:t>
      </w:r>
    </w:p>
    <w:p w14:paraId="16C4B3B1">
      <w:pPr>
        <w:pageBreakBefore w:val="0"/>
        <w:kinsoku/>
        <w:wordWrap/>
        <w:overflowPunct/>
        <w:topLinePunct w:val="0"/>
        <w:bidi w:val="0"/>
        <w:adjustRightInd w:val="0"/>
        <w:snapToGrid w:val="0"/>
        <w:spacing w:line="360" w:lineRule="auto"/>
        <w:ind w:firstLine="562" w:firstLineChars="200"/>
        <w:textAlignment w:val="auto"/>
        <w:rPr>
          <w:rFonts w:hint="eastAsia" w:ascii="仿宋" w:hAnsi="仿宋" w:eastAsia="仿宋" w:cs="仿宋"/>
          <w:b/>
          <w:snapToGrid w:val="0"/>
          <w:kern w:val="0"/>
          <w:sz w:val="28"/>
          <w:szCs w:val="28"/>
          <w:lang w:eastAsia="zh-CN"/>
        </w:rPr>
      </w:pPr>
      <w:r>
        <w:rPr>
          <w:rFonts w:hint="eastAsia" w:ascii="仿宋" w:hAnsi="仿宋" w:eastAsia="仿宋" w:cs="仿宋"/>
          <w:b/>
          <w:snapToGrid w:val="0"/>
          <w:kern w:val="0"/>
          <w:sz w:val="28"/>
          <w:szCs w:val="28"/>
          <w:lang w:eastAsia="zh-CN"/>
        </w:rPr>
        <w:t>（四）工资及保险</w:t>
      </w:r>
    </w:p>
    <w:p w14:paraId="6C1A7390">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 乙方人员工资不能低于洛阳市最新的最低人工工资标准。</w:t>
      </w:r>
    </w:p>
    <w:p w14:paraId="6EAD5D6F">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 乙方必须为其所有人员缴纳意外伤害保险。</w:t>
      </w:r>
    </w:p>
    <w:p w14:paraId="1F54DE00">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（1）第三者责任保险：乙方应对乙方人员以及第三方全权负责(如乙方应投保第三责任险)，在乙方的责任区内由于乙方原因导致自己员工或第三方的事故由乙方负责，甲方不承担任何责任。</w:t>
      </w:r>
    </w:p>
    <w:p w14:paraId="662E9A33">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（2）员工人身意外：在承包期内，乙方所有人员的事故由乙方自行全权负责(如乙方应对其员工投保人身意外险)，以保证甲方在乙方工作人员索赔时不受任何责任的约束。</w:t>
      </w:r>
    </w:p>
    <w:p w14:paraId="70EEFAE1">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（3）其他保险及费用：乙方须按</w:t>
      </w:r>
      <w:r>
        <w:rPr>
          <w:rFonts w:hint="eastAsia" w:ascii="仿宋" w:hAnsi="仿宋" w:eastAsia="仿宋" w:cs="仿宋"/>
          <w:snapToGrid w:val="0"/>
          <w:kern w:val="0"/>
          <w:sz w:val="28"/>
          <w:szCs w:val="28"/>
          <w:lang w:val="en-US" w:eastAsia="zh-CN"/>
        </w:rPr>
        <w:t>国家法律法规</w:t>
      </w:r>
      <w:r>
        <w:rPr>
          <w:rFonts w:hint="eastAsia" w:ascii="仿宋" w:hAnsi="仿宋" w:eastAsia="仿宋" w:cs="仿宋"/>
          <w:snapToGrid w:val="0"/>
          <w:kern w:val="0"/>
          <w:sz w:val="28"/>
          <w:szCs w:val="28"/>
          <w:lang w:eastAsia="zh-CN"/>
        </w:rPr>
        <w:t>和政府有关各部门规定为全体服务人员交纳所有相关的社会保险及其他相关费用。乙方对此全权负责。</w:t>
      </w:r>
    </w:p>
    <w:p w14:paraId="2A686570">
      <w:pPr>
        <w:pageBreakBefore w:val="0"/>
        <w:kinsoku/>
        <w:wordWrap/>
        <w:overflowPunct/>
        <w:topLinePunct w:val="0"/>
        <w:bidi w:val="0"/>
        <w:snapToGrid w:val="0"/>
        <w:spacing w:line="360" w:lineRule="auto"/>
        <w:textAlignment w:val="auto"/>
        <w:rPr>
          <w:rFonts w:hint="eastAsia" w:ascii="仿宋" w:hAnsi="仿宋" w:eastAsia="仿宋" w:cs="仿宋"/>
          <w:b/>
          <w:snapToGrid w:val="0"/>
          <w:kern w:val="0"/>
          <w:sz w:val="28"/>
          <w:szCs w:val="28"/>
          <w:lang w:eastAsia="zh-CN"/>
        </w:rPr>
      </w:pPr>
      <w:r>
        <w:rPr>
          <w:rFonts w:hint="eastAsia" w:ascii="仿宋" w:hAnsi="仿宋" w:eastAsia="仿宋" w:cs="仿宋"/>
          <w:b/>
          <w:sz w:val="28"/>
          <w:szCs w:val="28"/>
          <w:lang w:eastAsia="zh-CN"/>
        </w:rPr>
        <w:t xml:space="preserve">第十三条 </w:t>
      </w:r>
      <w:r>
        <w:rPr>
          <w:rFonts w:hint="eastAsia" w:ascii="仿宋" w:hAnsi="仿宋" w:eastAsia="仿宋" w:cs="仿宋"/>
          <w:b/>
          <w:snapToGrid w:val="0"/>
          <w:kern w:val="0"/>
          <w:sz w:val="28"/>
          <w:szCs w:val="28"/>
          <w:lang w:eastAsia="zh-CN"/>
        </w:rPr>
        <w:t>双方权利义务</w:t>
      </w:r>
    </w:p>
    <w:p w14:paraId="6B38FAF9">
      <w:pPr>
        <w:pageBreakBefore w:val="0"/>
        <w:kinsoku/>
        <w:wordWrap/>
        <w:overflowPunct/>
        <w:topLinePunct w:val="0"/>
        <w:bidi w:val="0"/>
        <w:snapToGrid w:val="0"/>
        <w:spacing w:line="360" w:lineRule="auto"/>
        <w:ind w:firstLine="562" w:firstLineChars="200"/>
        <w:textAlignment w:val="auto"/>
        <w:rPr>
          <w:rFonts w:hint="eastAsia" w:ascii="仿宋" w:hAnsi="仿宋" w:eastAsia="仿宋" w:cs="仿宋"/>
          <w:b/>
          <w:snapToGrid w:val="0"/>
          <w:kern w:val="0"/>
          <w:sz w:val="28"/>
          <w:szCs w:val="28"/>
          <w:lang w:eastAsia="zh-CN"/>
        </w:rPr>
      </w:pPr>
      <w:r>
        <w:rPr>
          <w:rFonts w:hint="eastAsia" w:ascii="仿宋" w:hAnsi="仿宋" w:eastAsia="仿宋" w:cs="仿宋"/>
          <w:b/>
          <w:snapToGrid w:val="0"/>
          <w:kern w:val="0"/>
          <w:sz w:val="28"/>
          <w:szCs w:val="28"/>
          <w:lang w:eastAsia="zh-CN"/>
        </w:rPr>
        <w:t>1. 甲方权利义务</w:t>
      </w:r>
    </w:p>
    <w:p w14:paraId="0851CB00">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（1）代表和维护产权人、使用人的合法权益；</w:t>
      </w:r>
    </w:p>
    <w:p w14:paraId="3EA5D190">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（2）审定乙方拟定的物业管理制度；</w:t>
      </w:r>
    </w:p>
    <w:p w14:paraId="3D9C0AC4">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（3）检查监督乙方管理工作的实施及制度的执行情况；</w:t>
      </w:r>
    </w:p>
    <w:p w14:paraId="7764ACE9">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（4）审定乙方提出的物业管理服务年度计划、财务预算及决算；</w:t>
      </w:r>
    </w:p>
    <w:p w14:paraId="77F87991">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（5）根据管理需要向乙方提供房屋相关资料和设备、设施的安装、使用和维护保养技术资料；</w:t>
      </w:r>
    </w:p>
    <w:p w14:paraId="3C2C25C2">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（6）按期支付物业管理费用；</w:t>
      </w:r>
    </w:p>
    <w:p w14:paraId="20EC03EE">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（7）在不可预见的情况下，如发生煤气泄漏、漏电、火灾、救助人命、协助公安机关执行任务等突发事件的，甲方应积极配合乙方采取必要的紧急避险措施。</w:t>
      </w:r>
    </w:p>
    <w:p w14:paraId="3A1DA95E">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（8）提供乙方所需的办公用房（一间）。</w:t>
      </w:r>
    </w:p>
    <w:p w14:paraId="7C4A8592">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（9）甲方监督乙方依照本合同规定内容所进行的管理和服务活动，组织对乙方工作综合考评，如出现乙方管理不善造成甲方重大经济损失的情况，甲方有权终止合同并要求乙方给予赔偿。</w:t>
      </w:r>
    </w:p>
    <w:p w14:paraId="3F3604B3">
      <w:pPr>
        <w:pageBreakBefore w:val="0"/>
        <w:kinsoku/>
        <w:wordWrap/>
        <w:overflowPunct/>
        <w:topLinePunct w:val="0"/>
        <w:bidi w:val="0"/>
        <w:snapToGrid w:val="0"/>
        <w:spacing w:line="360" w:lineRule="auto"/>
        <w:ind w:firstLine="562" w:firstLineChars="200"/>
        <w:textAlignment w:val="auto"/>
        <w:rPr>
          <w:rFonts w:hint="eastAsia" w:ascii="仿宋" w:hAnsi="仿宋" w:eastAsia="仿宋" w:cs="仿宋"/>
          <w:b/>
          <w:snapToGrid w:val="0"/>
          <w:kern w:val="0"/>
          <w:sz w:val="28"/>
          <w:szCs w:val="28"/>
          <w:lang w:eastAsia="zh-CN"/>
        </w:rPr>
      </w:pPr>
      <w:r>
        <w:rPr>
          <w:rFonts w:hint="eastAsia" w:ascii="仿宋" w:hAnsi="仿宋" w:eastAsia="仿宋" w:cs="仿宋"/>
          <w:b/>
          <w:snapToGrid w:val="0"/>
          <w:kern w:val="0"/>
          <w:sz w:val="28"/>
          <w:szCs w:val="28"/>
          <w:lang w:eastAsia="zh-CN"/>
        </w:rPr>
        <w:t>2.  乙方权利义务</w:t>
      </w:r>
    </w:p>
    <w:p w14:paraId="1FCEFB08">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（1）根据有关法律法规及本合同的约定，制订物业管理制度、方案，根据甲方核定的物业管理制度、方案自主开展物业日常管理服务活动；</w:t>
      </w:r>
    </w:p>
    <w:p w14:paraId="7EA7F361">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（2）按甲方要求及时如实向甲方报告物业管理服务实施情况；</w:t>
      </w:r>
    </w:p>
    <w:p w14:paraId="32DDA550">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（3）征得甲方同意可选聘专营公司承担本物业的专项管理业务，但不得将本物业的管理责任转让给第三方；</w:t>
      </w:r>
    </w:p>
    <w:p w14:paraId="2BE4E481">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（4）向甲方工作人员和其他使用人告知物业使用的有关规定，并负责监督；</w:t>
      </w:r>
    </w:p>
    <w:p w14:paraId="20D3ECF2">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（5）建立、妥善保管和正确使用本物业相关的管理档案，并负责及时记载有关变更情况；</w:t>
      </w:r>
    </w:p>
    <w:p w14:paraId="0F4D2082">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（6）对本物业的公用设施不得擅自占用和改变使用功能；</w:t>
      </w:r>
    </w:p>
    <w:p w14:paraId="1F33E115">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（7）因乙方在管理中的过错或违反本合同的约定进行管理造成甲方或第三人损失的，乙方应依法承担赔偿责任；</w:t>
      </w:r>
    </w:p>
    <w:p w14:paraId="7EFEA18D">
      <w:pPr>
        <w:pageBreakBefore w:val="0"/>
        <w:kinsoku/>
        <w:wordWrap/>
        <w:overflowPunct/>
        <w:topLinePunct w:val="0"/>
        <w:bidi w:val="0"/>
        <w:adjustRightInd w:val="0"/>
        <w:snapToGrid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（8）乙方自行承担自身使用的办公用品，自行承担所有人员服装费用，但服装样式需经过甲方认可。</w:t>
      </w:r>
    </w:p>
    <w:p w14:paraId="66A971DC">
      <w:pPr>
        <w:pageBreakBefore w:val="0"/>
        <w:kinsoku/>
        <w:wordWrap/>
        <w:overflowPunct/>
        <w:topLinePunct w:val="0"/>
        <w:bidi w:val="0"/>
        <w:adjustRightInd w:val="0"/>
        <w:spacing w:line="360" w:lineRule="auto"/>
        <w:ind w:firstLine="560" w:firstLineChars="200"/>
        <w:textAlignment w:val="auto"/>
        <w:rPr>
          <w:rFonts w:hint="eastAsia" w:ascii="仿宋" w:hAnsi="仿宋" w:eastAsia="仿宋" w:cs="仿宋"/>
          <w:bCs/>
          <w:sz w:val="28"/>
          <w:szCs w:val="28"/>
          <w:lang w:eastAsia="zh-CN"/>
        </w:rPr>
      </w:pPr>
      <w:r>
        <w:rPr>
          <w:rFonts w:hint="eastAsia" w:ascii="仿宋" w:hAnsi="仿宋" w:eastAsia="仿宋" w:cs="仿宋"/>
          <w:snapToGrid w:val="0"/>
          <w:kern w:val="0"/>
          <w:sz w:val="28"/>
          <w:szCs w:val="28"/>
          <w:lang w:eastAsia="zh-CN"/>
        </w:rPr>
        <w:t>（9）</w:t>
      </w:r>
      <w:r>
        <w:rPr>
          <w:rFonts w:hint="eastAsia" w:ascii="仿宋" w:hAnsi="仿宋" w:eastAsia="仿宋" w:cs="仿宋"/>
          <w:bCs/>
          <w:sz w:val="28"/>
          <w:szCs w:val="28"/>
          <w:lang w:eastAsia="zh-CN"/>
        </w:rPr>
        <w:t>物业管理服务中所需低值易耗品、清洁用品、用具、设备器材、物业管理办公费和服务中损坏物赔偿费等由服务方自行承担。</w:t>
      </w:r>
    </w:p>
    <w:p w14:paraId="43261998">
      <w:pPr>
        <w:pageBreakBefore w:val="0"/>
        <w:kinsoku/>
        <w:wordWrap/>
        <w:overflowPunct/>
        <w:topLinePunct w:val="0"/>
        <w:bidi w:val="0"/>
        <w:spacing w:line="360" w:lineRule="auto"/>
        <w:ind w:firstLine="560" w:firstLineChars="200"/>
        <w:textAlignment w:val="auto"/>
        <w:rPr>
          <w:rFonts w:hint="eastAsia" w:ascii="仿宋" w:hAnsi="仿宋" w:eastAsia="仿宋" w:cs="仿宋"/>
          <w:b/>
          <w:sz w:val="28"/>
          <w:szCs w:val="28"/>
          <w:lang w:eastAsia="zh-CN"/>
        </w:rPr>
      </w:pPr>
      <w:r>
        <w:rPr>
          <w:rFonts w:hint="eastAsia" w:ascii="仿宋" w:hAnsi="仿宋" w:eastAsia="仿宋" w:cs="仿宋"/>
          <w:snapToGrid w:val="0"/>
          <w:kern w:val="0"/>
          <w:sz w:val="28"/>
          <w:szCs w:val="28"/>
          <w:lang w:eastAsia="zh-CN"/>
        </w:rPr>
        <w:t>（10）本合同终止时，乙方必须向甲方移交全部管理用房及物业管理的全部档案资料，确保移交的资料和设备、设施完好无缺。</w:t>
      </w:r>
    </w:p>
    <w:p w14:paraId="4B62000D">
      <w:pPr>
        <w:pageBreakBefore w:val="0"/>
        <w:kinsoku/>
        <w:wordWrap/>
        <w:overflowPunct/>
        <w:topLinePunct w:val="0"/>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b/>
          <w:sz w:val="28"/>
          <w:szCs w:val="28"/>
          <w:lang w:eastAsia="zh-CN"/>
        </w:rPr>
        <w:t xml:space="preserve">第十四条 </w:t>
      </w:r>
      <w:r>
        <w:rPr>
          <w:rFonts w:hint="eastAsia" w:ascii="仿宋" w:hAnsi="仿宋" w:eastAsia="仿宋" w:cs="仿宋"/>
          <w:b/>
          <w:snapToGrid w:val="0"/>
          <w:kern w:val="0"/>
          <w:sz w:val="28"/>
          <w:szCs w:val="28"/>
          <w:lang w:eastAsia="zh-CN"/>
        </w:rPr>
        <w:t>合同生效和终止</w:t>
      </w:r>
      <w:r>
        <w:rPr>
          <w:rFonts w:hint="eastAsia" w:ascii="仿宋" w:hAnsi="仿宋" w:eastAsia="仿宋" w:cs="仿宋"/>
          <w:sz w:val="28"/>
          <w:szCs w:val="28"/>
          <w:lang w:eastAsia="zh-CN"/>
        </w:rPr>
        <w:t>：</w:t>
      </w:r>
    </w:p>
    <w:p w14:paraId="174900E1">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 xml:space="preserve">1. </w:t>
      </w:r>
      <w:r>
        <w:rPr>
          <w:rFonts w:hint="eastAsia" w:ascii="仿宋" w:hAnsi="仿宋" w:eastAsia="仿宋" w:cs="仿宋"/>
          <w:sz w:val="28"/>
          <w:szCs w:val="28"/>
          <w:lang w:eastAsia="zh-CN"/>
        </w:rPr>
        <w:t>本合同经甲乙双方法定代表人或其委托人签字盖章，由乙方向甲方缴纳</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履约保证金</w:t>
      </w:r>
      <w:r>
        <w:rPr>
          <w:rFonts w:hint="eastAsia" w:ascii="仿宋" w:hAnsi="仿宋" w:eastAsia="仿宋" w:cs="仿宋"/>
          <w:sz w:val="28"/>
          <w:szCs w:val="28"/>
          <w:lang w:val="zh-CN" w:eastAsia="zh-CN"/>
        </w:rPr>
        <w:t>后生效</w:t>
      </w:r>
      <w:r>
        <w:rPr>
          <w:rFonts w:hint="eastAsia" w:ascii="仿宋" w:hAnsi="仿宋" w:eastAsia="仿宋" w:cs="仿宋"/>
          <w:snapToGrid w:val="0"/>
          <w:kern w:val="0"/>
          <w:sz w:val="28"/>
          <w:szCs w:val="28"/>
          <w:lang w:eastAsia="zh-CN"/>
        </w:rPr>
        <w:t>。</w:t>
      </w:r>
    </w:p>
    <w:p w14:paraId="790A972B">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 xml:space="preserve">2. </w:t>
      </w:r>
      <w:r>
        <w:rPr>
          <w:rFonts w:hint="eastAsia" w:ascii="仿宋" w:hAnsi="仿宋" w:eastAsia="仿宋" w:cs="仿宋"/>
          <w:b/>
          <w:snapToGrid w:val="0"/>
          <w:kern w:val="0"/>
          <w:sz w:val="28"/>
          <w:szCs w:val="28"/>
          <w:lang w:eastAsia="zh-CN"/>
        </w:rPr>
        <w:t>提前终止</w:t>
      </w:r>
    </w:p>
    <w:p w14:paraId="0E95D20C">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（1）如果甲方在服务期内无理由终止合同，甲方须提前一个月向乙方发出书面通知终止承包，甲方支付给乙方月度承包服务款二倍金额的赔偿金。</w:t>
      </w:r>
    </w:p>
    <w:p w14:paraId="6D1E79AC">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（2）乙方物业服务综合考评超过两次未达标，甲方可以单方面终止承包，且乙方须支付给甲方月度承包服务款二倍金额的赔偿金。</w:t>
      </w:r>
    </w:p>
    <w:p w14:paraId="2617841D">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（3）如甲方发现乙方出现转租、转让、抵押承包等情况，甲方可以单方面终止承包，且乙方须支付给甲方月度承包服务款二倍金额的赔偿金。</w:t>
      </w:r>
    </w:p>
    <w:p w14:paraId="7FA1BE55">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4）如果乙方在服务期内无理由终止合同，乙方须提前三个月向甲方发出书面通知终止承包，乙方须支付给甲方月度承包服务款二倍金额的赔偿金；如果乙方在服务期内突然无理由终止合同，未提前三个月向甲方发出书面通知终止承包，乙方须支付给甲方月度承包服务款三倍金额的赔偿金。</w:t>
      </w:r>
    </w:p>
    <w:p w14:paraId="75C6FF4B">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（5）如果乙方在服务期内由于乙方原因造成重大责任事故或安全事故，甲方可以单方面终止承包，且乙方须赔偿给甲方造成的经济损失，并须支付给甲方月度承包服务款五倍金额的赔偿金。</w:t>
      </w:r>
    </w:p>
    <w:p w14:paraId="42CBD589">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（6）提前终止承包期早于月底最后一天，应视为月底最后一天期满。</w:t>
      </w:r>
    </w:p>
    <w:p w14:paraId="00A0E440">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（7）乙方未能履行合同和遵守有关规定，在甲方发出书面警告后一周内乙方仍无采取补救措施，甲方可立即终止承包。</w:t>
      </w:r>
    </w:p>
    <w:p w14:paraId="3F572728">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（8）乙方破产清算、重组及兼并等事实发生，或被债权人接管经营，甲方不必通知乙方即可终止承包。</w:t>
      </w:r>
    </w:p>
    <w:p w14:paraId="5D4327E2">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 xml:space="preserve">3. </w:t>
      </w:r>
      <w:r>
        <w:rPr>
          <w:rFonts w:hint="eastAsia" w:ascii="仿宋" w:hAnsi="仿宋" w:eastAsia="仿宋" w:cs="仿宋"/>
          <w:b/>
          <w:snapToGrid w:val="0"/>
          <w:kern w:val="0"/>
          <w:sz w:val="28"/>
          <w:szCs w:val="28"/>
          <w:lang w:eastAsia="zh-CN"/>
        </w:rPr>
        <w:t>协议终止</w:t>
      </w:r>
    </w:p>
    <w:p w14:paraId="6C89A9BD">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经双方协商同意，可在任何时候终止承包。</w:t>
      </w:r>
    </w:p>
    <w:p w14:paraId="5EB2377D">
      <w:pPr>
        <w:pageBreakBefore w:val="0"/>
        <w:numPr>
          <w:ilvl w:val="0"/>
          <w:numId w:val="7"/>
        </w:numPr>
        <w:kinsoku/>
        <w:wordWrap/>
        <w:overflowPunct/>
        <w:topLinePunct w:val="0"/>
        <w:bidi w:val="0"/>
        <w:spacing w:line="360" w:lineRule="auto"/>
        <w:ind w:firstLine="556"/>
        <w:textAlignment w:val="auto"/>
        <w:rPr>
          <w:rFonts w:hint="eastAsia" w:ascii="仿宋" w:hAnsi="仿宋" w:eastAsia="仿宋" w:cs="仿宋"/>
          <w:snapToGrid w:val="0"/>
          <w:kern w:val="0"/>
          <w:sz w:val="28"/>
          <w:szCs w:val="28"/>
        </w:rPr>
      </w:pPr>
      <w:r>
        <w:rPr>
          <w:rFonts w:hint="eastAsia" w:ascii="仿宋" w:hAnsi="仿宋" w:eastAsia="仿宋" w:cs="仿宋"/>
          <w:b/>
          <w:snapToGrid w:val="0"/>
          <w:kern w:val="0"/>
          <w:sz w:val="28"/>
          <w:szCs w:val="28"/>
        </w:rPr>
        <w:t>自然终止</w:t>
      </w:r>
    </w:p>
    <w:p w14:paraId="1768B188">
      <w:pPr>
        <w:pageBreakBefore w:val="0"/>
        <w:kinsoku/>
        <w:wordWrap/>
        <w:overflowPunct/>
        <w:topLinePunct w:val="0"/>
        <w:bidi w:val="0"/>
        <w:spacing w:line="360" w:lineRule="auto"/>
        <w:ind w:firstLine="556"/>
        <w:textAlignment w:val="auto"/>
        <w:rPr>
          <w:rFonts w:hint="eastAsia" w:ascii="仿宋" w:hAnsi="仿宋" w:eastAsia="仿宋" w:cs="仿宋"/>
          <w:snapToGrid w:val="0"/>
          <w:color w:val="auto"/>
          <w:kern w:val="0"/>
          <w:sz w:val="28"/>
          <w:szCs w:val="28"/>
          <w:lang w:eastAsia="zh-CN"/>
        </w:rPr>
      </w:pPr>
      <w:r>
        <w:rPr>
          <w:rFonts w:hint="eastAsia" w:ascii="仿宋" w:hAnsi="仿宋" w:eastAsia="仿宋" w:cs="仿宋"/>
          <w:snapToGrid w:val="0"/>
          <w:color w:val="auto"/>
          <w:kern w:val="0"/>
          <w:sz w:val="28"/>
          <w:szCs w:val="28"/>
          <w:lang w:eastAsia="zh-CN"/>
        </w:rPr>
        <w:t>合同规定的承包服务期满，承包自然终止。在承包服务期内乙方服务通过甲方有关评分标准并考核得到甲方认可，双方可协商在下一年度续约。</w:t>
      </w:r>
    </w:p>
    <w:p w14:paraId="11905956">
      <w:pPr>
        <w:pageBreakBefore w:val="0"/>
        <w:numPr>
          <w:ilvl w:val="0"/>
          <w:numId w:val="8"/>
        </w:numPr>
        <w:kinsoku/>
        <w:wordWrap/>
        <w:overflowPunct/>
        <w:topLinePunct w:val="0"/>
        <w:bidi w:val="0"/>
        <w:spacing w:line="360" w:lineRule="auto"/>
        <w:ind w:firstLine="556"/>
        <w:textAlignment w:val="auto"/>
        <w:rPr>
          <w:rFonts w:hint="eastAsia" w:ascii="仿宋" w:hAnsi="仿宋" w:eastAsia="仿宋" w:cs="仿宋"/>
          <w:snapToGrid w:val="0"/>
          <w:kern w:val="0"/>
          <w:sz w:val="28"/>
          <w:szCs w:val="28"/>
        </w:rPr>
      </w:pPr>
      <w:r>
        <w:rPr>
          <w:rFonts w:hint="eastAsia" w:ascii="仿宋" w:hAnsi="仿宋" w:eastAsia="仿宋" w:cs="仿宋"/>
          <w:b/>
          <w:snapToGrid w:val="0"/>
          <w:kern w:val="0"/>
          <w:sz w:val="28"/>
          <w:szCs w:val="28"/>
        </w:rPr>
        <w:t>合同终止后果</w:t>
      </w:r>
    </w:p>
    <w:p w14:paraId="18A531EB">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（1）终止承包，不影响根据合同规定进行的赔偿、补偿，也不影响履约保证金的效力。</w:t>
      </w:r>
    </w:p>
    <w:p w14:paraId="6B089E93">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（2）上述2款6、7条的终止，乙方的履约保证金作为违约金支付给甲方。</w:t>
      </w:r>
    </w:p>
    <w:p w14:paraId="6CA93E8B">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（3）合同终止时，双方应进行结算，甲方同时进行乙方承包区域设施、设备状况检查并要求乙方三天内将乙方物品撤离承包区域，否则甲方将代理处理，乙方支付甲方代理费及10%的手续费。</w:t>
      </w:r>
    </w:p>
    <w:p w14:paraId="1C501CFF">
      <w:pPr>
        <w:pageBreakBefore w:val="0"/>
        <w:kinsoku/>
        <w:wordWrap/>
        <w:overflowPunct/>
        <w:topLinePunct w:val="0"/>
        <w:bidi w:val="0"/>
        <w:spacing w:line="360" w:lineRule="auto"/>
        <w:ind w:firstLine="556"/>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 xml:space="preserve">6. </w:t>
      </w:r>
      <w:r>
        <w:rPr>
          <w:rFonts w:hint="eastAsia" w:ascii="仿宋" w:hAnsi="仿宋" w:eastAsia="仿宋" w:cs="仿宋"/>
          <w:b/>
          <w:snapToGrid w:val="0"/>
          <w:kern w:val="0"/>
          <w:sz w:val="28"/>
          <w:szCs w:val="28"/>
          <w:lang w:eastAsia="zh-CN"/>
        </w:rPr>
        <w:t>不放弃权利</w:t>
      </w:r>
    </w:p>
    <w:p w14:paraId="29AE7C9B">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甲方接受乙方的服务，但不放弃对乙方违约行为进行追究的权利；同时，若甲方对乙方某一违约行为放弃进行追究的权利，但不放弃对乙方其他违约行为进行追究的权利。</w:t>
      </w:r>
    </w:p>
    <w:p w14:paraId="440AA302">
      <w:pPr>
        <w:pageBreakBefore w:val="0"/>
        <w:kinsoku/>
        <w:wordWrap/>
        <w:overflowPunct/>
        <w:topLinePunct w:val="0"/>
        <w:bidi w:val="0"/>
        <w:spacing w:line="360" w:lineRule="auto"/>
        <w:textAlignment w:val="auto"/>
        <w:rPr>
          <w:rFonts w:hint="eastAsia" w:ascii="仿宋" w:hAnsi="仿宋" w:eastAsia="仿宋" w:cs="仿宋"/>
          <w:b/>
          <w:sz w:val="28"/>
          <w:szCs w:val="28"/>
          <w:lang w:eastAsia="zh-CN"/>
        </w:rPr>
      </w:pPr>
      <w:bookmarkStart w:id="603" w:name="_Toc180298997"/>
      <w:r>
        <w:rPr>
          <w:rFonts w:hint="eastAsia" w:ascii="仿宋" w:hAnsi="仿宋" w:eastAsia="仿宋" w:cs="仿宋"/>
          <w:b/>
          <w:sz w:val="28"/>
          <w:szCs w:val="28"/>
          <w:lang w:eastAsia="zh-CN"/>
        </w:rPr>
        <w:t>第十五条、</w:t>
      </w:r>
      <w:bookmarkEnd w:id="603"/>
      <w:r>
        <w:rPr>
          <w:rFonts w:hint="eastAsia" w:ascii="仿宋" w:hAnsi="仿宋" w:eastAsia="仿宋" w:cs="仿宋"/>
          <w:b/>
          <w:sz w:val="28"/>
          <w:szCs w:val="28"/>
          <w:lang w:eastAsia="zh-CN"/>
        </w:rPr>
        <w:t>考核办法及</w:t>
      </w:r>
      <w:r>
        <w:rPr>
          <w:rFonts w:hint="eastAsia" w:ascii="仿宋" w:hAnsi="仿宋" w:eastAsia="仿宋" w:cs="仿宋"/>
          <w:b/>
          <w:sz w:val="28"/>
          <w:szCs w:val="28"/>
          <w:lang w:val="en-US" w:eastAsia="zh-CN"/>
        </w:rPr>
        <w:t>运用</w:t>
      </w:r>
    </w:p>
    <w:p w14:paraId="6C7F66E6">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val="en-US" w:eastAsia="zh-CN"/>
        </w:rPr>
      </w:pPr>
      <w:r>
        <w:rPr>
          <w:rFonts w:hint="eastAsia" w:ascii="仿宋" w:hAnsi="仿宋" w:eastAsia="仿宋" w:cs="仿宋"/>
          <w:snapToGrid w:val="0"/>
          <w:kern w:val="0"/>
          <w:sz w:val="28"/>
          <w:szCs w:val="28"/>
          <w:lang w:eastAsia="zh-CN"/>
        </w:rPr>
        <w:t>1. 乙方应制订具体的质量保证措施及质量保证和相关服务承诺。所有的工作除应按乙方的内部流程实施外，还应接受甲方或第三方的随时检查。如因质量未达到目标，甲方有权要求其整改，同时乙方应承担责任和经济赔偿（扣款或终止合同）。</w:t>
      </w:r>
    </w:p>
    <w:p w14:paraId="120C553C">
      <w:pPr>
        <w:spacing w:line="360" w:lineRule="auto"/>
        <w:ind w:firstLine="560" w:firstLineChars="200"/>
        <w:jc w:val="both"/>
        <w:rPr>
          <w:rFonts w:hint="eastAsia" w:ascii="Times New Roman" w:hAnsi="Times New Roman" w:eastAsia="仿宋_GB2312" w:cs="Times New Roman"/>
          <w:color w:val="auto"/>
          <w:kern w:val="2"/>
          <w:sz w:val="28"/>
          <w:szCs w:val="28"/>
          <w:lang w:val="en-US" w:eastAsia="zh-CN" w:bidi="ar-SA"/>
        </w:rPr>
      </w:pPr>
      <w:r>
        <w:rPr>
          <w:rFonts w:hint="eastAsia" w:ascii="仿宋" w:hAnsi="仿宋" w:eastAsia="仿宋" w:cs="仿宋"/>
          <w:snapToGrid w:val="0"/>
          <w:kern w:val="0"/>
          <w:sz w:val="28"/>
          <w:szCs w:val="28"/>
          <w:lang w:val="en-US" w:eastAsia="zh-CN"/>
        </w:rPr>
        <w:t>2．</w:t>
      </w:r>
      <w:r>
        <w:rPr>
          <w:rFonts w:hint="eastAsia" w:ascii="Times New Roman" w:hAnsi="Times New Roman" w:eastAsia="仿宋_GB2312" w:cs="Times New Roman"/>
          <w:color w:val="auto"/>
          <w:kern w:val="2"/>
          <w:sz w:val="28"/>
          <w:szCs w:val="28"/>
          <w:lang w:val="en-US" w:eastAsia="zh-CN" w:bidi="ar-SA"/>
        </w:rPr>
        <w:t>考核方式：考核分月度考核、年度考核结合的方式进行。</w:t>
      </w:r>
    </w:p>
    <w:p w14:paraId="669524C8">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val="en-US" w:eastAsia="zh-CN"/>
        </w:rPr>
      </w:pPr>
      <w:r>
        <w:rPr>
          <w:rFonts w:hint="eastAsia" w:ascii="仿宋" w:hAnsi="仿宋" w:eastAsia="仿宋" w:cs="仿宋"/>
          <w:snapToGrid w:val="0"/>
          <w:kern w:val="0"/>
          <w:sz w:val="28"/>
          <w:szCs w:val="28"/>
          <w:lang w:val="en-US" w:eastAsia="zh-CN"/>
        </w:rPr>
        <w:t>（1）月度考核：</w:t>
      </w:r>
      <w:r>
        <w:rPr>
          <w:rFonts w:hint="eastAsia" w:ascii="仿宋" w:hAnsi="仿宋" w:eastAsia="仿宋" w:cs="仿宋"/>
          <w:snapToGrid w:val="0"/>
          <w:kern w:val="0"/>
          <w:sz w:val="28"/>
          <w:szCs w:val="28"/>
          <w:lang w:eastAsia="zh-CN"/>
        </w:rPr>
        <w:t>每月对相应</w:t>
      </w:r>
      <w:r>
        <w:rPr>
          <w:rFonts w:hint="eastAsia" w:ascii="仿宋" w:hAnsi="仿宋" w:eastAsia="仿宋" w:cs="仿宋"/>
          <w:snapToGrid w:val="0"/>
          <w:kern w:val="0"/>
          <w:sz w:val="28"/>
          <w:szCs w:val="28"/>
          <w:lang w:val="en-US" w:eastAsia="zh-CN"/>
        </w:rPr>
        <w:t>服务</w:t>
      </w:r>
      <w:r>
        <w:rPr>
          <w:rFonts w:hint="eastAsia" w:ascii="仿宋" w:hAnsi="仿宋" w:eastAsia="仿宋" w:cs="仿宋"/>
          <w:snapToGrid w:val="0"/>
          <w:kern w:val="0"/>
          <w:sz w:val="28"/>
          <w:szCs w:val="28"/>
          <w:lang w:eastAsia="zh-CN"/>
        </w:rPr>
        <w:t>内容进行考核。</w:t>
      </w:r>
      <w:r>
        <w:rPr>
          <w:rFonts w:hint="eastAsia" w:ascii="仿宋" w:hAnsi="仿宋" w:eastAsia="仿宋" w:cs="仿宋"/>
          <w:snapToGrid w:val="0"/>
          <w:kern w:val="0"/>
          <w:sz w:val="28"/>
          <w:szCs w:val="28"/>
          <w:lang w:val="en-US" w:eastAsia="zh-CN"/>
        </w:rPr>
        <w:t>评定分数95分（含）以上，认定为符合服务要求，全额拨付物业管理费；评定分数93（含）-95分，认定为较符合服务要求，扣除2%的物业管理费；评定分数90（含）-93分，认定为基本符合服务要求，扣除5%的物业管理费；评定分数为90分以下，认定为不符合服务要求，扣除8%的物业管理费，并限期整改。</w:t>
      </w:r>
    </w:p>
    <w:p w14:paraId="0C9870C7">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val="en-US" w:eastAsia="zh-CN"/>
        </w:rPr>
      </w:pPr>
      <w:r>
        <w:rPr>
          <w:rFonts w:hint="eastAsia" w:ascii="仿宋" w:hAnsi="仿宋" w:eastAsia="仿宋" w:cs="仿宋"/>
          <w:snapToGrid w:val="0"/>
          <w:kern w:val="0"/>
          <w:sz w:val="28"/>
          <w:szCs w:val="28"/>
          <w:lang w:val="en-US" w:eastAsia="zh-CN"/>
        </w:rPr>
        <w:t>（2）年度考核：针对月度考核取年度平均值，即为年度考核得分。得90分（含）以上，续签下一年合同；低于90分，解除服务合同。</w:t>
      </w:r>
    </w:p>
    <w:p w14:paraId="1FA40CEE">
      <w:pPr>
        <w:pageBreakBefore w:val="0"/>
        <w:kinsoku/>
        <w:wordWrap/>
        <w:overflowPunct/>
        <w:topLinePunct w:val="0"/>
        <w:bidi w:val="0"/>
        <w:spacing w:line="360" w:lineRule="auto"/>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第十六条  违约责任</w:t>
      </w:r>
    </w:p>
    <w:p w14:paraId="042457D6">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1.甲、乙双方如不履行合同义务或者履行合同义务不符合合同要求的，应承担继续履行、采取补救措施或者赔偿损失等违约责任。</w:t>
      </w:r>
    </w:p>
    <w:p w14:paraId="17249978">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2.乙方擅自将本合同中所规定的权利、义务转让或转包的，甲方有权终止或解除合同，并一次性扣除履约保证金的50%。限期整改不到位的，扣除全部履约保证金。</w:t>
      </w:r>
    </w:p>
    <w:p w14:paraId="2C345AC3">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 在执行第九条第3款的基础上，对于物业服务中存在的以下问题的，乙方须另行支付违约金，从服务费中扣除。</w:t>
      </w:r>
    </w:p>
    <w:p w14:paraId="458C1574">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3.1在各级各类检查评比活动中被查出服务质量不达标的或未在规定时间完成工作任务的，视严重程度每处每项处罚100—1000元；</w:t>
      </w:r>
    </w:p>
    <w:p w14:paraId="4BD2D0A7">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3.2.乙方应配合甲方完成应急临时性工作任务。若不配合或执行不力，造成损失的，每次扣除1000—3000元。</w:t>
      </w:r>
    </w:p>
    <w:p w14:paraId="2222AC53">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3.3 因物业服务不达标被师生有效投诉，或整改不到位重复出现的，或乙方员工与师生发生争吵的，每次扣除3000-5000元；</w:t>
      </w:r>
    </w:p>
    <w:p w14:paraId="0F6CC08F">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3.4与师生发生打架斗殴行为的，每次扣除10000元；发现乙方员工之间发生争吵或斗殴的，每次扣除1000—3000元。</w:t>
      </w:r>
    </w:p>
    <w:p w14:paraId="4D3AB387">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3.5对甲方的声誉利益造成损害的，视情节严重程度每次扣除10000-50000元。</w:t>
      </w:r>
    </w:p>
    <w:p w14:paraId="0711E96E">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3.6因乙方原因对学校公共财物造成损害、人身伤害的，由此造成的损失全部由乙方承担。</w:t>
      </w:r>
    </w:p>
    <w:p w14:paraId="365741B7">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3.7乙方在服务中未按合同约定履行义务、不服从甲方管理，根据情况每次扣除1000-10000元。甲方以书面形式通知后仍未整改或整改不到位的，甲方有权委托有资质能力的第三方提供服务，所需费用从乙方的服务费中扣除。</w:t>
      </w:r>
    </w:p>
    <w:p w14:paraId="7B9CB6E4">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3.8乙方未及时发现安全隐患并上报，由此引发的安全事故，由乙方承担事故的责任并赔偿相应损失。</w:t>
      </w:r>
    </w:p>
    <w:p w14:paraId="7E5D495B">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3.9 由于乙方玩忽职守等给甲方造成损失的，乙方承担相应的责任并赔偿损失。</w:t>
      </w:r>
    </w:p>
    <w:p w14:paraId="0444709E">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4.如因违约问题，给对方造成经济损失的，全部由责任方承担赔偿责任。</w:t>
      </w:r>
    </w:p>
    <w:p w14:paraId="7AE3BD1E">
      <w:pPr>
        <w:pageBreakBefore w:val="0"/>
        <w:kinsoku/>
        <w:wordWrap/>
        <w:overflowPunct/>
        <w:topLinePunct w:val="0"/>
        <w:bidi w:val="0"/>
        <w:spacing w:line="360" w:lineRule="auto"/>
        <w:ind w:firstLine="560" w:firstLineChars="200"/>
        <w:textAlignment w:val="auto"/>
        <w:rPr>
          <w:rFonts w:hint="eastAsia" w:ascii="仿宋" w:hAnsi="仿宋" w:eastAsia="仿宋" w:cs="仿宋"/>
          <w:snapToGrid w:val="0"/>
          <w:kern w:val="0"/>
          <w:sz w:val="28"/>
          <w:szCs w:val="28"/>
          <w:lang w:eastAsia="zh-CN"/>
        </w:rPr>
      </w:pPr>
      <w:r>
        <w:rPr>
          <w:rFonts w:hint="eastAsia" w:ascii="仿宋" w:hAnsi="仿宋" w:eastAsia="仿宋" w:cs="仿宋"/>
          <w:snapToGrid w:val="0"/>
          <w:kern w:val="0"/>
          <w:sz w:val="28"/>
          <w:szCs w:val="28"/>
          <w:lang w:eastAsia="zh-CN"/>
        </w:rPr>
        <w:t>5.因不可抗力不能履行合同的，应当及时通知对方，以减轻可能给对方造成的损失，并应当在合理期限内提供证明。根据不可抗力的影响，双方协商同意，可部分或者全部免除责任，但法律另有规定的除外。</w:t>
      </w:r>
    </w:p>
    <w:p w14:paraId="044B8883">
      <w:pPr>
        <w:pageBreakBefore w:val="0"/>
        <w:kinsoku/>
        <w:wordWrap/>
        <w:overflowPunct/>
        <w:topLinePunct w:val="0"/>
        <w:autoSpaceDE w:val="0"/>
        <w:autoSpaceDN w:val="0"/>
        <w:bidi w:val="0"/>
        <w:adjustRightInd w:val="0"/>
        <w:spacing w:line="360" w:lineRule="auto"/>
        <w:jc w:val="left"/>
        <w:textAlignment w:val="auto"/>
        <w:rPr>
          <w:rFonts w:hint="eastAsia" w:ascii="仿宋" w:hAnsi="仿宋" w:eastAsia="仿宋" w:cs="仿宋"/>
          <w:b/>
          <w:kern w:val="0"/>
          <w:sz w:val="28"/>
          <w:szCs w:val="28"/>
          <w:lang w:val="zh-CN" w:eastAsia="zh-CN"/>
        </w:rPr>
      </w:pPr>
      <w:r>
        <w:rPr>
          <w:rFonts w:hint="eastAsia" w:ascii="仿宋" w:hAnsi="仿宋" w:eastAsia="仿宋" w:cs="仿宋"/>
          <w:b/>
          <w:sz w:val="28"/>
          <w:szCs w:val="28"/>
          <w:lang w:eastAsia="zh-CN"/>
        </w:rPr>
        <w:t xml:space="preserve">第十七条 </w:t>
      </w:r>
      <w:r>
        <w:rPr>
          <w:rFonts w:hint="eastAsia" w:ascii="仿宋" w:hAnsi="仿宋" w:eastAsia="仿宋" w:cs="仿宋"/>
          <w:b/>
          <w:kern w:val="0"/>
          <w:sz w:val="28"/>
          <w:szCs w:val="28"/>
          <w:lang w:val="zh-CN" w:eastAsia="zh-CN"/>
        </w:rPr>
        <w:t>争议处理</w:t>
      </w:r>
    </w:p>
    <w:p w14:paraId="081EE0CB">
      <w:pPr>
        <w:pageBreakBefore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kern w:val="0"/>
          <w:sz w:val="28"/>
          <w:szCs w:val="28"/>
          <w:lang w:val="zh-CN" w:eastAsia="zh-CN"/>
        </w:rPr>
      </w:pPr>
      <w:r>
        <w:rPr>
          <w:rFonts w:hint="eastAsia" w:ascii="仿宋" w:hAnsi="仿宋" w:eastAsia="仿宋" w:cs="仿宋"/>
          <w:sz w:val="28"/>
          <w:szCs w:val="28"/>
          <w:lang w:eastAsia="zh-CN"/>
        </w:rPr>
        <w:t>1．</w:t>
      </w:r>
      <w:r>
        <w:rPr>
          <w:rFonts w:hint="eastAsia" w:ascii="仿宋" w:hAnsi="仿宋" w:eastAsia="仿宋" w:cs="仿宋"/>
          <w:kern w:val="0"/>
          <w:sz w:val="28"/>
          <w:szCs w:val="28"/>
          <w:lang w:val="zh-CN" w:eastAsia="zh-CN"/>
        </w:rPr>
        <w:t>合同期内，若发生纠纷，双方应友好协商或调解解决，协商或调解不成的，可向甲方所在地人民法院提起诉讼。</w:t>
      </w:r>
    </w:p>
    <w:p w14:paraId="39639135">
      <w:pPr>
        <w:pageBreakBefore w:val="0"/>
        <w:kinsoku/>
        <w:wordWrap/>
        <w:overflowPunct/>
        <w:topLinePunct w:val="0"/>
        <w:bidi w:val="0"/>
        <w:spacing w:line="360" w:lineRule="auto"/>
        <w:ind w:firstLine="560" w:firstLineChars="200"/>
        <w:textAlignment w:val="auto"/>
        <w:rPr>
          <w:rFonts w:hint="eastAsia" w:ascii="仿宋" w:hAnsi="仿宋" w:eastAsia="仿宋" w:cs="仿宋"/>
          <w:kern w:val="0"/>
          <w:sz w:val="28"/>
          <w:szCs w:val="28"/>
          <w:lang w:val="zh-CN" w:eastAsia="zh-CN"/>
        </w:rPr>
      </w:pPr>
      <w:r>
        <w:rPr>
          <w:rFonts w:hint="eastAsia" w:ascii="仿宋" w:hAnsi="仿宋" w:eastAsia="仿宋" w:cs="仿宋"/>
          <w:kern w:val="0"/>
          <w:sz w:val="28"/>
          <w:szCs w:val="28"/>
          <w:lang w:val="zh-CN" w:eastAsia="zh-CN"/>
        </w:rPr>
        <w:t>2．对于因违反或终止合同而引起的损失、损害的赔偿，由甲方与乙方友好协商解决，经协商仍未能达成一致的，可向甲方所在地人民法院提起诉讼。</w:t>
      </w:r>
    </w:p>
    <w:p w14:paraId="05DB641A">
      <w:pPr>
        <w:pageBreakBefore w:val="0"/>
        <w:kinsoku/>
        <w:wordWrap/>
        <w:overflowPunct/>
        <w:topLinePunct w:val="0"/>
        <w:autoSpaceDE w:val="0"/>
        <w:autoSpaceDN w:val="0"/>
        <w:bidi w:val="0"/>
        <w:adjustRightInd w:val="0"/>
        <w:spacing w:line="360" w:lineRule="auto"/>
        <w:jc w:val="left"/>
        <w:textAlignment w:val="auto"/>
        <w:rPr>
          <w:rFonts w:hint="eastAsia" w:ascii="仿宋" w:hAnsi="仿宋" w:eastAsia="仿宋" w:cs="仿宋"/>
          <w:b/>
          <w:kern w:val="0"/>
          <w:sz w:val="28"/>
          <w:szCs w:val="28"/>
          <w:lang w:val="zh-CN" w:eastAsia="zh-CN"/>
        </w:rPr>
      </w:pPr>
      <w:r>
        <w:rPr>
          <w:rFonts w:hint="eastAsia" w:ascii="仿宋" w:hAnsi="仿宋" w:eastAsia="仿宋" w:cs="仿宋"/>
          <w:b/>
          <w:sz w:val="28"/>
          <w:szCs w:val="28"/>
          <w:lang w:eastAsia="zh-CN"/>
        </w:rPr>
        <w:t xml:space="preserve">第十八条 </w:t>
      </w:r>
      <w:r>
        <w:rPr>
          <w:rFonts w:hint="eastAsia" w:ascii="仿宋" w:hAnsi="仿宋" w:eastAsia="仿宋" w:cs="仿宋"/>
          <w:b/>
          <w:kern w:val="0"/>
          <w:sz w:val="28"/>
          <w:szCs w:val="28"/>
          <w:lang w:val="zh-CN" w:eastAsia="zh-CN"/>
        </w:rPr>
        <w:t>其他</w:t>
      </w:r>
    </w:p>
    <w:p w14:paraId="012678CE">
      <w:pPr>
        <w:pageBreakBefore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kern w:val="0"/>
          <w:sz w:val="28"/>
          <w:szCs w:val="28"/>
          <w:lang w:val="zh-CN" w:eastAsia="zh-CN"/>
        </w:rPr>
      </w:pPr>
      <w:r>
        <w:rPr>
          <w:rFonts w:hint="eastAsia" w:ascii="仿宋" w:hAnsi="仿宋" w:eastAsia="仿宋" w:cs="仿宋"/>
          <w:sz w:val="28"/>
          <w:szCs w:val="28"/>
          <w:lang w:eastAsia="zh-CN"/>
        </w:rPr>
        <w:t>1．</w:t>
      </w:r>
      <w:r>
        <w:rPr>
          <w:rFonts w:hint="eastAsia" w:ascii="仿宋" w:hAnsi="仿宋" w:eastAsia="仿宋" w:cs="仿宋"/>
          <w:kern w:val="0"/>
          <w:sz w:val="28"/>
          <w:szCs w:val="28"/>
          <w:lang w:val="zh-CN" w:eastAsia="zh-CN"/>
        </w:rPr>
        <w:t>未经过甲方的书面同意，乙方不得转让其应履行的合同项下的义务，和将部分合同项下的义务分包给其他单位完成。</w:t>
      </w:r>
    </w:p>
    <w:p w14:paraId="00033748">
      <w:pPr>
        <w:pageBreakBefore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kern w:val="0"/>
          <w:sz w:val="28"/>
          <w:szCs w:val="28"/>
          <w:lang w:val="zh-CN" w:eastAsia="zh-CN"/>
        </w:rPr>
      </w:pPr>
      <w:r>
        <w:rPr>
          <w:rFonts w:hint="eastAsia" w:ascii="仿宋" w:hAnsi="仿宋" w:eastAsia="仿宋" w:cs="仿宋"/>
          <w:sz w:val="28"/>
          <w:szCs w:val="28"/>
          <w:lang w:eastAsia="zh-CN"/>
        </w:rPr>
        <w:t>2．</w:t>
      </w:r>
      <w:r>
        <w:rPr>
          <w:rFonts w:hint="eastAsia" w:ascii="仿宋" w:hAnsi="仿宋" w:eastAsia="仿宋" w:cs="仿宋"/>
          <w:kern w:val="0"/>
          <w:sz w:val="28"/>
          <w:szCs w:val="28"/>
          <w:lang w:val="zh-CN" w:eastAsia="zh-CN"/>
        </w:rPr>
        <w:t>乙方不得参与可能与合同规定的与甲方的利益相冲突的任何活动。</w:t>
      </w:r>
    </w:p>
    <w:p w14:paraId="42167303">
      <w:pPr>
        <w:pageBreakBefore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kern w:val="0"/>
          <w:sz w:val="28"/>
          <w:szCs w:val="28"/>
          <w:lang w:val="zh-CN" w:eastAsia="zh-CN"/>
        </w:rPr>
      </w:pPr>
      <w:r>
        <w:rPr>
          <w:rFonts w:hint="eastAsia" w:ascii="仿宋" w:hAnsi="仿宋" w:eastAsia="仿宋" w:cs="仿宋"/>
          <w:sz w:val="28"/>
          <w:szCs w:val="28"/>
          <w:lang w:eastAsia="zh-CN"/>
        </w:rPr>
        <w:t>3．</w:t>
      </w:r>
      <w:r>
        <w:rPr>
          <w:rFonts w:hint="eastAsia" w:ascii="仿宋" w:hAnsi="仿宋" w:eastAsia="仿宋" w:cs="仿宋"/>
          <w:kern w:val="0"/>
          <w:sz w:val="28"/>
          <w:szCs w:val="28"/>
          <w:lang w:val="zh-CN" w:eastAsia="zh-CN"/>
        </w:rPr>
        <w:t>乙方人员在甲方场地工作时，应遵守甲方相关规章、制度。</w:t>
      </w:r>
    </w:p>
    <w:p w14:paraId="4B418091">
      <w:pPr>
        <w:pageBreakBefore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kern w:val="0"/>
          <w:sz w:val="28"/>
          <w:szCs w:val="28"/>
          <w:lang w:val="zh-CN" w:eastAsia="zh-CN"/>
        </w:rPr>
      </w:pPr>
      <w:r>
        <w:rPr>
          <w:rFonts w:hint="eastAsia" w:ascii="仿宋" w:hAnsi="仿宋" w:eastAsia="仿宋" w:cs="仿宋"/>
          <w:kern w:val="0"/>
          <w:sz w:val="28"/>
          <w:szCs w:val="28"/>
          <w:lang w:eastAsia="zh-CN"/>
        </w:rPr>
        <w:t>4.</w:t>
      </w:r>
      <w:r>
        <w:rPr>
          <w:rFonts w:hint="eastAsia" w:ascii="仿宋" w:hAnsi="仿宋" w:eastAsia="仿宋" w:cs="仿宋"/>
          <w:kern w:val="0"/>
          <w:sz w:val="28"/>
          <w:szCs w:val="28"/>
          <w:lang w:val="zh-CN" w:eastAsia="zh-CN"/>
        </w:rPr>
        <w:t xml:space="preserve"> 本项目的招标文件和投标文件及本合同附件均为本合同不可分割的组成部分，与合同具有同等法律效力。</w:t>
      </w:r>
    </w:p>
    <w:p w14:paraId="71497F19">
      <w:pPr>
        <w:pageBreakBefore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kern w:val="0"/>
          <w:sz w:val="28"/>
          <w:szCs w:val="28"/>
          <w:lang w:val="zh-CN" w:eastAsia="zh-CN"/>
        </w:rPr>
      </w:pPr>
      <w:r>
        <w:rPr>
          <w:rFonts w:hint="eastAsia" w:ascii="仿宋" w:hAnsi="仿宋" w:eastAsia="仿宋" w:cs="仿宋"/>
          <w:kern w:val="0"/>
          <w:sz w:val="28"/>
          <w:szCs w:val="28"/>
          <w:lang w:eastAsia="zh-CN"/>
        </w:rPr>
        <w:t>5.</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lang w:val="zh-CN" w:eastAsia="zh-CN"/>
        </w:rPr>
        <w:t>招、投标文件及合同中未尽事宜，由双方协商确定，必要时可签订补充协议。</w:t>
      </w:r>
    </w:p>
    <w:p w14:paraId="510B8DAA">
      <w:pPr>
        <w:pageBreakBefore w:val="0"/>
        <w:kinsoku/>
        <w:wordWrap/>
        <w:overflowPunct/>
        <w:topLinePunct w:val="0"/>
        <w:autoSpaceDE w:val="0"/>
        <w:autoSpaceDN w:val="0"/>
        <w:bidi w:val="0"/>
        <w:adjustRightInd w:val="0"/>
        <w:spacing w:line="360" w:lineRule="auto"/>
        <w:ind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6．本合同一式六份，甲方四份、乙方二份。</w:t>
      </w:r>
    </w:p>
    <w:p w14:paraId="3EE62CFE">
      <w:pPr>
        <w:pageBreakBefore w:val="0"/>
        <w:kinsoku/>
        <w:wordWrap/>
        <w:overflowPunct/>
        <w:topLinePunct w:val="0"/>
        <w:bidi w:val="0"/>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7．适用法律：本合同应按照中华人民共和国的法律进行解释。</w:t>
      </w:r>
    </w:p>
    <w:p w14:paraId="023FA90F">
      <w:pPr>
        <w:pageBreakBefore w:val="0"/>
        <w:kinsoku/>
        <w:wordWrap/>
        <w:overflowPunct/>
        <w:topLinePunct w:val="0"/>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甲方（盖章）：                 乙方（盖章）：        </w:t>
      </w:r>
    </w:p>
    <w:p w14:paraId="3B4CE5D7">
      <w:pPr>
        <w:pageBreakBefore w:val="0"/>
        <w:kinsoku/>
        <w:wordWrap/>
        <w:overflowPunct/>
        <w:topLinePunct w:val="0"/>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法定代表人或委托人（签字）：</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 xml:space="preserve">法定代表人或委托人（签字）：                   </w:t>
      </w:r>
    </w:p>
    <w:p w14:paraId="2A3697AA">
      <w:pPr>
        <w:pageBreakBefore w:val="0"/>
        <w:kinsoku/>
        <w:wordWrap/>
        <w:overflowPunct/>
        <w:topLinePunct w:val="0"/>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联系人：                       联系人：</w:t>
      </w:r>
    </w:p>
    <w:p w14:paraId="64ADE8BC">
      <w:pPr>
        <w:pageBreakBefore w:val="0"/>
        <w:kinsoku/>
        <w:wordWrap/>
        <w:overflowPunct/>
        <w:topLinePunct w:val="0"/>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地址：                         地址： </w:t>
      </w:r>
    </w:p>
    <w:p w14:paraId="2A3B6C95">
      <w:pPr>
        <w:pageBreakBefore w:val="0"/>
        <w:kinsoku/>
        <w:wordWrap/>
        <w:overflowPunct/>
        <w:topLinePunct w:val="0"/>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电话传真：                     电话传真：</w:t>
      </w:r>
    </w:p>
    <w:p w14:paraId="344B8B0F">
      <w:pPr>
        <w:pageBreakBefore w:val="0"/>
        <w:kinsoku/>
        <w:wordWrap/>
        <w:overflowPunct/>
        <w:topLinePunct w:val="0"/>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开户银行：                     开户银行： </w:t>
      </w:r>
    </w:p>
    <w:p w14:paraId="75DDFD9B">
      <w:pPr>
        <w:pageBreakBefore w:val="0"/>
        <w:kinsoku/>
        <w:wordWrap/>
        <w:overflowPunct/>
        <w:topLinePunct w:val="0"/>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帐号：                         帐号：</w:t>
      </w:r>
    </w:p>
    <w:p w14:paraId="71981E4D">
      <w:pPr>
        <w:pageBreakBefore w:val="0"/>
        <w:kinsoku/>
        <w:wordWrap/>
        <w:overflowPunct/>
        <w:topLinePunct w:val="0"/>
        <w:bidi w:val="0"/>
        <w:spacing w:line="360" w:lineRule="auto"/>
        <w:ind w:firstLine="4480" w:firstLineChars="16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签约地点：</w:t>
      </w:r>
    </w:p>
    <w:p w14:paraId="471FC348">
      <w:pPr>
        <w:pageBreakBefore w:val="0"/>
        <w:kinsoku/>
        <w:wordWrap/>
        <w:overflowPunct/>
        <w:topLinePunct w:val="0"/>
        <w:bidi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签约日期：</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 xml:space="preserve">日 </w:t>
      </w:r>
    </w:p>
    <w:p w14:paraId="6ABC437E">
      <w:pPr>
        <w:pageBreakBefore w:val="0"/>
        <w:wordWrap/>
        <w:topLinePunct w:val="0"/>
        <w:bidi w:val="0"/>
        <w:spacing w:line="360" w:lineRule="auto"/>
        <w:rPr>
          <w:rFonts w:hint="eastAsia" w:ascii="仿宋" w:hAnsi="仿宋" w:eastAsia="仿宋" w:cs="仿宋"/>
          <w:sz w:val="28"/>
          <w:szCs w:val="28"/>
        </w:rPr>
      </w:pPr>
    </w:p>
    <w:p w14:paraId="212248E9">
      <w:pPr>
        <w:pageBreakBefore w:val="0"/>
        <w:wordWrap/>
        <w:topLinePunct w:val="0"/>
        <w:bidi w:val="0"/>
        <w:spacing w:line="360" w:lineRule="auto"/>
        <w:rPr>
          <w:rFonts w:hint="eastAsia" w:ascii="仿宋" w:hAnsi="仿宋" w:eastAsia="仿宋" w:cs="仿宋"/>
          <w:sz w:val="28"/>
          <w:szCs w:val="28"/>
        </w:rPr>
      </w:pPr>
    </w:p>
    <w:p w14:paraId="3781DC3E">
      <w:pPr>
        <w:pageBreakBefore w:val="0"/>
        <w:wordWrap/>
        <w:topLinePunct w:val="0"/>
        <w:bidi w:val="0"/>
        <w:spacing w:line="360" w:lineRule="auto"/>
        <w:rPr>
          <w:rFonts w:hint="eastAsia" w:ascii="仿宋" w:hAnsi="仿宋" w:eastAsia="仿宋" w:cs="仿宋"/>
          <w:sz w:val="28"/>
          <w:szCs w:val="28"/>
        </w:rPr>
      </w:pPr>
    </w:p>
    <w:p w14:paraId="11CCEA4B">
      <w:pPr>
        <w:pageBreakBefore w:val="0"/>
        <w:wordWrap/>
        <w:topLinePunct w:val="0"/>
        <w:bidi w:val="0"/>
        <w:spacing w:line="360" w:lineRule="auto"/>
        <w:rPr>
          <w:rFonts w:hint="eastAsia" w:ascii="仿宋" w:hAnsi="仿宋" w:eastAsia="仿宋" w:cs="仿宋"/>
          <w:sz w:val="28"/>
          <w:szCs w:val="28"/>
        </w:rPr>
      </w:pPr>
    </w:p>
    <w:p w14:paraId="0B54FE40">
      <w:pPr>
        <w:pageBreakBefore w:val="0"/>
        <w:wordWrap/>
        <w:topLinePunct w:val="0"/>
        <w:bidi w:val="0"/>
        <w:spacing w:line="360" w:lineRule="auto"/>
        <w:rPr>
          <w:rFonts w:hint="eastAsia" w:ascii="仿宋" w:hAnsi="仿宋" w:eastAsia="仿宋" w:cs="仿宋"/>
          <w:b/>
          <w:bCs/>
          <w:color w:val="000000"/>
          <w:kern w:val="2"/>
          <w:sz w:val="28"/>
          <w:szCs w:val="28"/>
          <w:lang w:val="en-US" w:eastAsia="zh-CN" w:bidi="ar-SA"/>
        </w:rPr>
      </w:pPr>
      <w:r>
        <w:rPr>
          <w:rFonts w:hint="eastAsia" w:ascii="仿宋" w:hAnsi="仿宋" w:eastAsia="仿宋" w:cs="仿宋"/>
          <w:sz w:val="28"/>
          <w:szCs w:val="28"/>
        </w:rPr>
        <w:br w:type="page"/>
      </w:r>
      <w:r>
        <w:rPr>
          <w:rFonts w:hint="eastAsia" w:ascii="仿宋" w:hAnsi="仿宋" w:eastAsia="仿宋" w:cs="仿宋"/>
          <w:b/>
          <w:bCs/>
          <w:color w:val="000000"/>
          <w:kern w:val="2"/>
          <w:sz w:val="28"/>
          <w:szCs w:val="28"/>
          <w:lang w:val="zh-TW" w:eastAsia="zh-CN" w:bidi="ar-SA"/>
        </w:rPr>
        <w:t>附件</w:t>
      </w:r>
      <w:r>
        <w:rPr>
          <w:rFonts w:hint="eastAsia" w:ascii="仿宋" w:hAnsi="仿宋" w:eastAsia="仿宋" w:cs="仿宋"/>
          <w:b/>
          <w:bCs/>
          <w:color w:val="000000"/>
          <w:kern w:val="2"/>
          <w:sz w:val="28"/>
          <w:szCs w:val="28"/>
          <w:lang w:val="en-US" w:eastAsia="zh-CN" w:bidi="ar-SA"/>
        </w:rPr>
        <w:t>1：物业项目管理清单</w:t>
      </w:r>
    </w:p>
    <w:p w14:paraId="26FB725F">
      <w:pPr>
        <w:pageBreakBefore w:val="0"/>
        <w:wordWrap/>
        <w:topLinePunct w:val="0"/>
        <w:bidi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（一）项目服务范围：问礼大道以东，成均大道以西，立雪大道以南，金谷大道以北内环线以内区域（见图一）的物业管理服务对外承包。其中包括A1—A16文科教学楼、理科教学楼、逸夫教学楼、图书馆等区域。</w:t>
      </w:r>
    </w:p>
    <w:p w14:paraId="3A988BFA">
      <w:pPr>
        <w:pageBreakBefore w:val="0"/>
        <w:wordWrap/>
        <w:topLinePunct w:val="0"/>
        <w:bidi w:val="0"/>
        <w:spacing w:line="360" w:lineRule="auto"/>
        <w:jc w:val="center"/>
        <w:rPr>
          <w:rFonts w:hint="eastAsia" w:ascii="仿宋" w:hAnsi="仿宋" w:eastAsia="仿宋" w:cs="仿宋"/>
          <w:lang w:val="en-US" w:eastAsia="zh-CN"/>
        </w:rPr>
      </w:pPr>
      <w:r>
        <w:rPr>
          <w:rFonts w:hint="eastAsia" w:ascii="仿宋" w:hAnsi="仿宋" w:eastAsia="仿宋" w:cs="仿宋"/>
          <w:spacing w:val="7"/>
          <w:sz w:val="24"/>
          <w:szCs w:val="24"/>
        </w:rPr>
        <w:drawing>
          <wp:inline distT="0" distB="0" distL="114300" distR="114300">
            <wp:extent cx="4777740" cy="5116830"/>
            <wp:effectExtent l="0" t="0" r="3810" b="7620"/>
            <wp:docPr id="3" name="图片 3" descr="龙祥区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龙祥区域图"/>
                    <pic:cNvPicPr>
                      <a:picLocks noChangeAspect="1"/>
                    </pic:cNvPicPr>
                  </pic:nvPicPr>
                  <pic:blipFill>
                    <a:blip r:embed="rId17"/>
                    <a:stretch>
                      <a:fillRect/>
                    </a:stretch>
                  </pic:blipFill>
                  <pic:spPr>
                    <a:xfrm>
                      <a:off x="0" y="0"/>
                      <a:ext cx="4777740" cy="5116830"/>
                    </a:xfrm>
                    <a:prstGeom prst="rect">
                      <a:avLst/>
                    </a:prstGeom>
                    <a:noFill/>
                    <a:ln>
                      <a:noFill/>
                    </a:ln>
                  </pic:spPr>
                </pic:pic>
              </a:graphicData>
            </a:graphic>
          </wp:inline>
        </w:drawing>
      </w:r>
    </w:p>
    <w:p w14:paraId="28BE1F08">
      <w:pPr>
        <w:pageBreakBefore w:val="0"/>
        <w:wordWrap/>
        <w:topLinePunct w:val="0"/>
        <w:bidi w:val="0"/>
        <w:spacing w:line="360" w:lineRule="auto"/>
        <w:ind w:firstLine="560" w:firstLineChars="2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图一</w:t>
      </w:r>
    </w:p>
    <w:p w14:paraId="46D707BF">
      <w:pPr>
        <w:pageBreakBefore w:val="0"/>
        <w:wordWrap/>
        <w:topLinePunct w:val="0"/>
        <w:bidi w:val="0"/>
        <w:spacing w:line="360" w:lineRule="auto"/>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（二）项目服务内容：具体为区域内室内、室外保洁服务，绿化管理服务，教室管理服务，小型维修服务，垃圾清收、清运和集中服务以及专项管理服务等。具体服务标准和要求见下文。</w:t>
      </w:r>
    </w:p>
    <w:p w14:paraId="138CAE22">
      <w:pPr>
        <w:pageBreakBefore w:val="0"/>
        <w:wordWrap/>
        <w:topLinePunct w:val="0"/>
        <w:bidi w:val="0"/>
        <w:spacing w:line="360" w:lineRule="auto"/>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 室内保洁管理服务：约7.5万平米。A1—A16文科教学楼、理科教学楼、逸夫教学楼、图书馆等区域（表1）；</w:t>
      </w:r>
    </w:p>
    <w:p w14:paraId="7AA6C6D4">
      <w:pPr>
        <w:pageBreakBefore w:val="0"/>
        <w:wordWrap/>
        <w:topLinePunct w:val="0"/>
        <w:bidi w:val="0"/>
        <w:spacing w:line="360" w:lineRule="auto"/>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 室外保洁管理服务：问礼大道以东，成均大道以西，立雪大道以南，金谷大道以北铺装面积和道路保洁面积共计约8.5万余平米（含楼顶定期清扫）； </w:t>
      </w:r>
    </w:p>
    <w:p w14:paraId="221D0DB0">
      <w:pPr>
        <w:pageBreakBefore w:val="0"/>
        <w:wordWrap/>
        <w:topLinePunct w:val="0"/>
        <w:bidi w:val="0"/>
        <w:spacing w:line="360" w:lineRule="auto"/>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 校园绿化管理服务：A1—A16（问礼大道以东，成均大道以西，立雪大道以南及金谷大道以北）约8.4万余平米。</w:t>
      </w:r>
    </w:p>
    <w:p w14:paraId="6A01CC9E">
      <w:pPr>
        <w:pageBreakBefore w:val="0"/>
        <w:wordWrap/>
        <w:topLinePunct w:val="0"/>
        <w:bidi w:val="0"/>
        <w:spacing w:line="360" w:lineRule="auto"/>
        <w:ind w:firstLine="560" w:firstLineChars="200"/>
        <w:jc w:val="left"/>
        <w:rPr>
          <w:rFonts w:hint="eastAsia" w:ascii="仿宋" w:hAnsi="仿宋" w:eastAsia="仿宋" w:cs="仿宋"/>
          <w:lang w:val="en-US" w:eastAsia="zh-CN"/>
        </w:rPr>
      </w:pPr>
      <w:r>
        <w:rPr>
          <w:rFonts w:hint="eastAsia" w:ascii="仿宋" w:hAnsi="仿宋" w:eastAsia="仿宋" w:cs="仿宋"/>
          <w:sz w:val="28"/>
          <w:szCs w:val="28"/>
          <w:lang w:val="en-US" w:eastAsia="zh-CN"/>
        </w:rPr>
        <w:t>4.教室管理服务：公共教室管理G1—G5教室及教师休息室约为178间。</w:t>
      </w:r>
    </w:p>
    <w:p w14:paraId="64F86CC7">
      <w:pPr>
        <w:pageBreakBefore w:val="0"/>
        <w:wordWrap/>
        <w:topLinePunct w:val="0"/>
        <w:bidi w:val="0"/>
        <w:spacing w:line="360" w:lineRule="auto"/>
        <w:rPr>
          <w:rFonts w:hint="eastAsia" w:ascii="仿宋" w:hAnsi="仿宋" w:eastAsia="仿宋" w:cs="仿宋"/>
          <w:sz w:val="28"/>
          <w:szCs w:val="28"/>
          <w:lang w:eastAsia="zh-CN"/>
        </w:rPr>
      </w:pPr>
      <w:r>
        <w:rPr>
          <w:rFonts w:hint="eastAsia" w:ascii="仿宋" w:hAnsi="仿宋" w:eastAsia="仿宋" w:cs="仿宋"/>
          <w:b/>
          <w:bCs/>
          <w:color w:val="000000"/>
          <w:kern w:val="2"/>
          <w:sz w:val="28"/>
          <w:szCs w:val="28"/>
          <w:lang w:val="en-US" w:eastAsia="zh-CN" w:bidi="ar-SA"/>
        </w:rPr>
        <w:br w:type="page"/>
      </w:r>
      <w:r>
        <w:rPr>
          <w:rFonts w:hint="eastAsia" w:ascii="仿宋" w:hAnsi="仿宋" w:eastAsia="仿宋" w:cs="仿宋"/>
          <w:b/>
          <w:bCs/>
          <w:color w:val="000000"/>
          <w:kern w:val="2"/>
          <w:sz w:val="28"/>
          <w:szCs w:val="28"/>
          <w:lang w:val="en-US" w:eastAsia="zh-CN" w:bidi="ar-SA"/>
        </w:rPr>
        <w:t>附件2：</w:t>
      </w:r>
      <w:r>
        <w:rPr>
          <w:rFonts w:hint="eastAsia" w:ascii="仿宋" w:hAnsi="仿宋" w:eastAsia="仿宋" w:cs="仿宋"/>
          <w:b/>
          <w:bCs/>
          <w:sz w:val="28"/>
          <w:szCs w:val="28"/>
          <w:lang w:val="en-US" w:eastAsia="zh-CN"/>
        </w:rPr>
        <w:t>检查考核表（采购人可依据实际管理情况再修订）：</w:t>
      </w:r>
    </w:p>
    <w:tbl>
      <w:tblPr>
        <w:tblStyle w:val="53"/>
        <w:tblW w:w="93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543"/>
        <w:gridCol w:w="1507"/>
        <w:gridCol w:w="1185"/>
        <w:gridCol w:w="726"/>
        <w:gridCol w:w="3020"/>
        <w:gridCol w:w="727"/>
        <w:gridCol w:w="728"/>
      </w:tblGrid>
      <w:tr w14:paraId="0C918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4" w:type="dxa"/>
            <w:tcBorders>
              <w:tl2br w:val="nil"/>
              <w:tr2bl w:val="nil"/>
            </w:tcBorders>
            <w:noWrap w:val="0"/>
            <w:vAlign w:val="center"/>
          </w:tcPr>
          <w:p w14:paraId="59E5730C">
            <w:pPr>
              <w:pageBreakBefore w:val="0"/>
              <w:wordWrap/>
              <w:topLinePunct w:val="0"/>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检查内容</w:t>
            </w:r>
          </w:p>
        </w:tc>
        <w:tc>
          <w:tcPr>
            <w:tcW w:w="543" w:type="dxa"/>
            <w:tcBorders>
              <w:tl2br w:val="nil"/>
              <w:tr2bl w:val="nil"/>
            </w:tcBorders>
            <w:noWrap w:val="0"/>
            <w:vAlign w:val="center"/>
          </w:tcPr>
          <w:p w14:paraId="74BC1EF8">
            <w:pPr>
              <w:pageBreakBefore w:val="0"/>
              <w:wordWrap/>
              <w:topLinePunct w:val="0"/>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507" w:type="dxa"/>
            <w:tcBorders>
              <w:tl2br w:val="nil"/>
              <w:tr2bl w:val="nil"/>
            </w:tcBorders>
            <w:noWrap w:val="0"/>
            <w:vAlign w:val="center"/>
          </w:tcPr>
          <w:p w14:paraId="51D82497">
            <w:pPr>
              <w:pageBreakBefore w:val="0"/>
              <w:wordWrap/>
              <w:topLinePunct w:val="0"/>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检查标准</w:t>
            </w:r>
          </w:p>
        </w:tc>
        <w:tc>
          <w:tcPr>
            <w:tcW w:w="1185" w:type="dxa"/>
            <w:tcBorders>
              <w:tl2br w:val="nil"/>
              <w:tr2bl w:val="nil"/>
            </w:tcBorders>
            <w:noWrap w:val="0"/>
            <w:vAlign w:val="center"/>
          </w:tcPr>
          <w:p w14:paraId="75665F52">
            <w:pPr>
              <w:pageBreakBefore w:val="0"/>
              <w:wordWrap/>
              <w:topLinePunct w:val="0"/>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检查方式</w:t>
            </w:r>
          </w:p>
        </w:tc>
        <w:tc>
          <w:tcPr>
            <w:tcW w:w="726" w:type="dxa"/>
            <w:tcBorders>
              <w:tl2br w:val="nil"/>
              <w:tr2bl w:val="nil"/>
            </w:tcBorders>
            <w:noWrap w:val="0"/>
            <w:vAlign w:val="center"/>
          </w:tcPr>
          <w:p w14:paraId="64BAFB71">
            <w:pPr>
              <w:pageBreakBefore w:val="0"/>
              <w:wordWrap/>
              <w:topLinePunct w:val="0"/>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分值</w:t>
            </w:r>
          </w:p>
        </w:tc>
        <w:tc>
          <w:tcPr>
            <w:tcW w:w="3020" w:type="dxa"/>
            <w:tcBorders>
              <w:tl2br w:val="nil"/>
              <w:tr2bl w:val="nil"/>
            </w:tcBorders>
            <w:noWrap w:val="0"/>
            <w:vAlign w:val="center"/>
          </w:tcPr>
          <w:p w14:paraId="07916192">
            <w:pPr>
              <w:pageBreakBefore w:val="0"/>
              <w:wordWrap/>
              <w:topLinePunct w:val="0"/>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扣分标准</w:t>
            </w:r>
          </w:p>
        </w:tc>
        <w:tc>
          <w:tcPr>
            <w:tcW w:w="727" w:type="dxa"/>
            <w:tcBorders>
              <w:tl2br w:val="nil"/>
              <w:tr2bl w:val="nil"/>
            </w:tcBorders>
            <w:noWrap w:val="0"/>
            <w:vAlign w:val="center"/>
          </w:tcPr>
          <w:p w14:paraId="2B80E87B">
            <w:pPr>
              <w:pageBreakBefore w:val="0"/>
              <w:wordWrap/>
              <w:topLinePunct w:val="0"/>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得分</w:t>
            </w:r>
          </w:p>
        </w:tc>
        <w:tc>
          <w:tcPr>
            <w:tcW w:w="728" w:type="dxa"/>
            <w:tcBorders>
              <w:tl2br w:val="nil"/>
              <w:tr2bl w:val="nil"/>
            </w:tcBorders>
            <w:noWrap w:val="0"/>
            <w:vAlign w:val="center"/>
          </w:tcPr>
          <w:p w14:paraId="2C42128D">
            <w:pPr>
              <w:pageBreakBefore w:val="0"/>
              <w:wordWrap/>
              <w:topLinePunct w:val="0"/>
              <w:bidi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备注</w:t>
            </w:r>
          </w:p>
        </w:tc>
      </w:tr>
      <w:tr w14:paraId="37133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restart"/>
            <w:tcBorders>
              <w:tl2br w:val="nil"/>
              <w:tr2bl w:val="nil"/>
            </w:tcBorders>
            <w:noWrap w:val="0"/>
            <w:vAlign w:val="center"/>
          </w:tcPr>
          <w:p w14:paraId="1EF8D1C8">
            <w:pPr>
              <w:pageBreakBefore w:val="0"/>
              <w:wordWrap/>
              <w:topLinePunct w:val="0"/>
              <w:bidi w:val="0"/>
              <w:spacing w:line="360" w:lineRule="auto"/>
              <w:jc w:val="center"/>
              <w:rPr>
                <w:rFonts w:hint="eastAsia" w:ascii="仿宋" w:hAnsi="仿宋" w:eastAsia="仿宋" w:cs="仿宋"/>
                <w:sz w:val="24"/>
                <w:szCs w:val="24"/>
              </w:rPr>
            </w:pPr>
          </w:p>
          <w:p w14:paraId="50C0A4C6">
            <w:pPr>
              <w:pageBreakBefore w:val="0"/>
              <w:wordWrap/>
              <w:topLinePunct w:val="0"/>
              <w:bidi w:val="0"/>
              <w:spacing w:line="360" w:lineRule="auto"/>
              <w:jc w:val="center"/>
              <w:rPr>
                <w:rFonts w:hint="eastAsia" w:ascii="仿宋" w:hAnsi="仿宋" w:eastAsia="仿宋" w:cs="仿宋"/>
                <w:sz w:val="24"/>
                <w:szCs w:val="24"/>
                <w:lang w:val="zh-TW" w:eastAsia="zh-TW"/>
              </w:rPr>
            </w:pPr>
          </w:p>
          <w:p w14:paraId="32AA1EEB">
            <w:pPr>
              <w:pageBreakBefore w:val="0"/>
              <w:wordWrap/>
              <w:topLinePunct w:val="0"/>
              <w:bidi w:val="0"/>
              <w:spacing w:line="360" w:lineRule="auto"/>
              <w:jc w:val="center"/>
              <w:rPr>
                <w:rFonts w:hint="eastAsia" w:ascii="仿宋" w:hAnsi="仿宋" w:eastAsia="仿宋" w:cs="仿宋"/>
                <w:sz w:val="24"/>
                <w:szCs w:val="24"/>
                <w:lang w:val="zh-TW" w:eastAsia="zh-TW"/>
              </w:rPr>
            </w:pPr>
            <w:r>
              <w:rPr>
                <w:rFonts w:hint="eastAsia" w:ascii="仿宋" w:hAnsi="仿宋" w:eastAsia="仿宋" w:cs="仿宋"/>
                <w:sz w:val="24"/>
                <w:szCs w:val="24"/>
                <w:lang w:val="zh-TW" w:eastAsia="zh-TW"/>
              </w:rPr>
              <w:t>项</w:t>
            </w:r>
          </w:p>
          <w:p w14:paraId="6F864737">
            <w:pPr>
              <w:pageBreakBefore w:val="0"/>
              <w:wordWrap/>
              <w:topLinePunct w:val="0"/>
              <w:bidi w:val="0"/>
              <w:spacing w:line="360" w:lineRule="auto"/>
              <w:jc w:val="center"/>
              <w:rPr>
                <w:rFonts w:hint="eastAsia" w:ascii="仿宋" w:hAnsi="仿宋" w:eastAsia="仿宋" w:cs="仿宋"/>
                <w:sz w:val="24"/>
                <w:szCs w:val="24"/>
                <w:lang w:val="zh-TW" w:eastAsia="zh-TW"/>
              </w:rPr>
            </w:pPr>
            <w:r>
              <w:rPr>
                <w:rFonts w:hint="eastAsia" w:ascii="仿宋" w:hAnsi="仿宋" w:eastAsia="仿宋" w:cs="仿宋"/>
                <w:sz w:val="24"/>
                <w:szCs w:val="24"/>
                <w:lang w:val="zh-TW" w:eastAsia="zh-TW"/>
              </w:rPr>
              <w:t>目</w:t>
            </w:r>
          </w:p>
          <w:p w14:paraId="2C510511">
            <w:pPr>
              <w:pageBreakBefore w:val="0"/>
              <w:wordWrap/>
              <w:topLinePunct w:val="0"/>
              <w:bidi w:val="0"/>
              <w:spacing w:line="360" w:lineRule="auto"/>
              <w:jc w:val="center"/>
              <w:rPr>
                <w:rFonts w:hint="eastAsia" w:ascii="仿宋" w:hAnsi="仿宋" w:eastAsia="仿宋" w:cs="仿宋"/>
                <w:sz w:val="24"/>
                <w:szCs w:val="24"/>
                <w:lang w:val="zh-TW" w:eastAsia="zh-TW"/>
              </w:rPr>
            </w:pPr>
            <w:r>
              <w:rPr>
                <w:rFonts w:hint="eastAsia" w:ascii="仿宋" w:hAnsi="仿宋" w:eastAsia="仿宋" w:cs="仿宋"/>
                <w:sz w:val="24"/>
                <w:szCs w:val="24"/>
                <w:lang w:val="zh-TW" w:eastAsia="zh-TW"/>
              </w:rPr>
              <w:t>管</w:t>
            </w:r>
          </w:p>
          <w:p w14:paraId="13BCC9F2">
            <w:pPr>
              <w:pageBreakBefore w:val="0"/>
              <w:wordWrap/>
              <w:topLinePunct w:val="0"/>
              <w:bidi w:val="0"/>
              <w:spacing w:line="360" w:lineRule="auto"/>
              <w:jc w:val="center"/>
              <w:rPr>
                <w:rFonts w:hint="eastAsia" w:ascii="仿宋" w:hAnsi="仿宋" w:eastAsia="仿宋" w:cs="仿宋"/>
                <w:sz w:val="24"/>
                <w:szCs w:val="24"/>
                <w:lang w:val="zh-TW" w:eastAsia="zh-TW"/>
              </w:rPr>
            </w:pPr>
            <w:r>
              <w:rPr>
                <w:rFonts w:hint="eastAsia" w:ascii="仿宋" w:hAnsi="仿宋" w:eastAsia="仿宋" w:cs="仿宋"/>
                <w:sz w:val="24"/>
                <w:szCs w:val="24"/>
                <w:lang w:val="zh-TW" w:eastAsia="zh-TW"/>
              </w:rPr>
              <w:t>理</w:t>
            </w:r>
          </w:p>
          <w:p w14:paraId="3E9932C8">
            <w:pPr>
              <w:pageBreakBefore w:val="0"/>
              <w:wordWrap/>
              <w:topLinePunct w:val="0"/>
              <w:bidi w:val="0"/>
              <w:spacing w:line="360" w:lineRule="auto"/>
              <w:jc w:val="center"/>
              <w:rPr>
                <w:rFonts w:hint="eastAsia" w:ascii="仿宋" w:hAnsi="仿宋" w:eastAsia="仿宋" w:cs="仿宋"/>
                <w:sz w:val="24"/>
                <w:szCs w:val="24"/>
                <w:lang w:val="zh-TW" w:eastAsia="zh-TW"/>
              </w:rPr>
            </w:pPr>
            <w:r>
              <w:rPr>
                <w:rFonts w:hint="eastAsia" w:ascii="仿宋" w:hAnsi="仿宋" w:eastAsia="仿宋" w:cs="仿宋"/>
                <w:sz w:val="24"/>
                <w:szCs w:val="24"/>
                <w:lang w:val="zh-TW" w:eastAsia="zh-TW"/>
              </w:rPr>
              <w:t>20分</w:t>
            </w:r>
          </w:p>
        </w:tc>
        <w:tc>
          <w:tcPr>
            <w:tcW w:w="543" w:type="dxa"/>
            <w:tcBorders>
              <w:tl2br w:val="nil"/>
              <w:tr2bl w:val="nil"/>
            </w:tcBorders>
            <w:noWrap w:val="0"/>
            <w:vAlign w:val="center"/>
          </w:tcPr>
          <w:p w14:paraId="271E6102">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507" w:type="dxa"/>
            <w:tcBorders>
              <w:tl2br w:val="nil"/>
              <w:tr2bl w:val="nil"/>
            </w:tcBorders>
            <w:noWrap w:val="0"/>
            <w:vAlign w:val="center"/>
          </w:tcPr>
          <w:p w14:paraId="6854C39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规章制度</w:t>
            </w:r>
          </w:p>
        </w:tc>
        <w:tc>
          <w:tcPr>
            <w:tcW w:w="1185" w:type="dxa"/>
            <w:tcBorders>
              <w:tl2br w:val="nil"/>
              <w:tr2bl w:val="nil"/>
            </w:tcBorders>
            <w:noWrap w:val="0"/>
            <w:vAlign w:val="center"/>
          </w:tcPr>
          <w:p w14:paraId="1F2B6AC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查阅资料</w:t>
            </w:r>
          </w:p>
        </w:tc>
        <w:tc>
          <w:tcPr>
            <w:tcW w:w="726" w:type="dxa"/>
            <w:tcBorders>
              <w:tl2br w:val="nil"/>
              <w:tr2bl w:val="nil"/>
            </w:tcBorders>
            <w:noWrap w:val="0"/>
            <w:vAlign w:val="center"/>
          </w:tcPr>
          <w:p w14:paraId="36E72277">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0045CF4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行政、人事、检查、考核、工作流程、服务标准。每少1 项扣除 0.5 分</w:t>
            </w:r>
          </w:p>
        </w:tc>
        <w:tc>
          <w:tcPr>
            <w:tcW w:w="727" w:type="dxa"/>
            <w:tcBorders>
              <w:tl2br w:val="nil"/>
              <w:tr2bl w:val="nil"/>
            </w:tcBorders>
            <w:noWrap w:val="0"/>
            <w:vAlign w:val="center"/>
          </w:tcPr>
          <w:p w14:paraId="03247B26">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385EDCD4">
            <w:pPr>
              <w:pageBreakBefore w:val="0"/>
              <w:wordWrap/>
              <w:topLinePunct w:val="0"/>
              <w:bidi w:val="0"/>
              <w:spacing w:line="360" w:lineRule="auto"/>
              <w:jc w:val="center"/>
              <w:rPr>
                <w:rFonts w:hint="eastAsia" w:ascii="仿宋" w:hAnsi="仿宋" w:eastAsia="仿宋" w:cs="仿宋"/>
                <w:sz w:val="24"/>
                <w:szCs w:val="24"/>
              </w:rPr>
            </w:pPr>
          </w:p>
        </w:tc>
      </w:tr>
      <w:tr w14:paraId="7CCD3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6E6538E1">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2559BAC9">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507" w:type="dxa"/>
            <w:tcBorders>
              <w:tl2br w:val="nil"/>
              <w:tr2bl w:val="nil"/>
            </w:tcBorders>
            <w:noWrap w:val="0"/>
            <w:vAlign w:val="center"/>
          </w:tcPr>
          <w:p w14:paraId="593BB2F7">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突发事件应急预案</w:t>
            </w:r>
          </w:p>
        </w:tc>
        <w:tc>
          <w:tcPr>
            <w:tcW w:w="1185" w:type="dxa"/>
            <w:tcBorders>
              <w:tl2br w:val="nil"/>
              <w:tr2bl w:val="nil"/>
            </w:tcBorders>
            <w:noWrap w:val="0"/>
            <w:vAlign w:val="center"/>
          </w:tcPr>
          <w:p w14:paraId="75AFACE7">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查阅资料</w:t>
            </w:r>
          </w:p>
        </w:tc>
        <w:tc>
          <w:tcPr>
            <w:tcW w:w="726" w:type="dxa"/>
            <w:tcBorders>
              <w:tl2br w:val="nil"/>
              <w:tr2bl w:val="nil"/>
            </w:tcBorders>
            <w:noWrap w:val="0"/>
            <w:vAlign w:val="center"/>
          </w:tcPr>
          <w:p w14:paraId="051A3664">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57468AF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消防、安防、灾害、水电、人员疾病、其他意外，每少1 项扣除 0.5 分</w:t>
            </w:r>
          </w:p>
        </w:tc>
        <w:tc>
          <w:tcPr>
            <w:tcW w:w="727" w:type="dxa"/>
            <w:tcBorders>
              <w:tl2br w:val="nil"/>
              <w:tr2bl w:val="nil"/>
            </w:tcBorders>
            <w:noWrap w:val="0"/>
            <w:vAlign w:val="center"/>
          </w:tcPr>
          <w:p w14:paraId="4F52606A">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43FAB914">
            <w:pPr>
              <w:pageBreakBefore w:val="0"/>
              <w:wordWrap/>
              <w:topLinePunct w:val="0"/>
              <w:bidi w:val="0"/>
              <w:spacing w:line="360" w:lineRule="auto"/>
              <w:jc w:val="center"/>
              <w:rPr>
                <w:rFonts w:hint="eastAsia" w:ascii="仿宋" w:hAnsi="仿宋" w:eastAsia="仿宋" w:cs="仿宋"/>
                <w:sz w:val="24"/>
                <w:szCs w:val="24"/>
              </w:rPr>
            </w:pPr>
          </w:p>
        </w:tc>
      </w:tr>
      <w:tr w14:paraId="23E86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7E616653">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6A4FCBAF">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507" w:type="dxa"/>
            <w:tcBorders>
              <w:tl2br w:val="nil"/>
              <w:tr2bl w:val="nil"/>
            </w:tcBorders>
            <w:noWrap w:val="0"/>
            <w:vAlign w:val="center"/>
          </w:tcPr>
          <w:p w14:paraId="4FFCB54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管理人员信息公示</w:t>
            </w:r>
          </w:p>
        </w:tc>
        <w:tc>
          <w:tcPr>
            <w:tcW w:w="1185" w:type="dxa"/>
            <w:tcBorders>
              <w:tl2br w:val="nil"/>
              <w:tr2bl w:val="nil"/>
            </w:tcBorders>
            <w:noWrap w:val="0"/>
            <w:vAlign w:val="center"/>
          </w:tcPr>
          <w:p w14:paraId="39B40D5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784F079C">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5D0DF8AD">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管理区域无人员公示不得分，有公示不规范扣 1 分</w:t>
            </w:r>
          </w:p>
        </w:tc>
        <w:tc>
          <w:tcPr>
            <w:tcW w:w="727" w:type="dxa"/>
            <w:tcBorders>
              <w:tl2br w:val="nil"/>
              <w:tr2bl w:val="nil"/>
            </w:tcBorders>
            <w:noWrap w:val="0"/>
            <w:vAlign w:val="center"/>
          </w:tcPr>
          <w:p w14:paraId="6231C0DA">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ABC61A4">
            <w:pPr>
              <w:pageBreakBefore w:val="0"/>
              <w:wordWrap/>
              <w:topLinePunct w:val="0"/>
              <w:bidi w:val="0"/>
              <w:spacing w:line="360" w:lineRule="auto"/>
              <w:jc w:val="center"/>
              <w:rPr>
                <w:rFonts w:hint="eastAsia" w:ascii="仿宋" w:hAnsi="仿宋" w:eastAsia="仿宋" w:cs="仿宋"/>
                <w:sz w:val="24"/>
                <w:szCs w:val="24"/>
              </w:rPr>
            </w:pPr>
          </w:p>
        </w:tc>
      </w:tr>
      <w:tr w14:paraId="5E248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06BE5D85">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63CD5E82">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507" w:type="dxa"/>
            <w:tcBorders>
              <w:tl2br w:val="nil"/>
              <w:tr2bl w:val="nil"/>
            </w:tcBorders>
            <w:noWrap w:val="0"/>
            <w:vAlign w:val="center"/>
          </w:tcPr>
          <w:p w14:paraId="254CDCEA">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项目经理考核</w:t>
            </w:r>
          </w:p>
        </w:tc>
        <w:tc>
          <w:tcPr>
            <w:tcW w:w="1185" w:type="dxa"/>
            <w:tcBorders>
              <w:tl2br w:val="nil"/>
              <w:tr2bl w:val="nil"/>
            </w:tcBorders>
            <w:noWrap w:val="0"/>
            <w:vAlign w:val="center"/>
          </w:tcPr>
          <w:p w14:paraId="1D27AA50">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综合评价</w:t>
            </w:r>
          </w:p>
        </w:tc>
        <w:tc>
          <w:tcPr>
            <w:tcW w:w="726" w:type="dxa"/>
            <w:tcBorders>
              <w:tl2br w:val="nil"/>
              <w:tr2bl w:val="nil"/>
            </w:tcBorders>
            <w:noWrap w:val="0"/>
            <w:vAlign w:val="center"/>
          </w:tcPr>
          <w:p w14:paraId="176E9EC0">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1C689D6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不</w:t>
            </w:r>
            <w:r>
              <w:rPr>
                <w:rFonts w:hint="eastAsia" w:ascii="仿宋" w:hAnsi="仿宋" w:eastAsia="仿宋" w:cs="仿宋"/>
                <w:sz w:val="24"/>
                <w:szCs w:val="24"/>
                <w:lang w:eastAsia="zh-CN"/>
              </w:rPr>
              <w:t>符合</w:t>
            </w:r>
            <w:r>
              <w:rPr>
                <w:rFonts w:hint="eastAsia" w:ascii="仿宋" w:hAnsi="仿宋" w:eastAsia="仿宋" w:cs="仿宋"/>
                <w:sz w:val="24"/>
                <w:szCs w:val="24"/>
              </w:rPr>
              <w:t>要求每次扣 1 分</w:t>
            </w:r>
          </w:p>
        </w:tc>
        <w:tc>
          <w:tcPr>
            <w:tcW w:w="727" w:type="dxa"/>
            <w:tcBorders>
              <w:tl2br w:val="nil"/>
              <w:tr2bl w:val="nil"/>
            </w:tcBorders>
            <w:noWrap w:val="0"/>
            <w:vAlign w:val="center"/>
          </w:tcPr>
          <w:p w14:paraId="4D92F2DA">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A480461">
            <w:pPr>
              <w:pageBreakBefore w:val="0"/>
              <w:wordWrap/>
              <w:topLinePunct w:val="0"/>
              <w:bidi w:val="0"/>
              <w:spacing w:line="360" w:lineRule="auto"/>
              <w:jc w:val="center"/>
              <w:rPr>
                <w:rFonts w:hint="eastAsia" w:ascii="仿宋" w:hAnsi="仿宋" w:eastAsia="仿宋" w:cs="仿宋"/>
                <w:sz w:val="24"/>
                <w:szCs w:val="24"/>
              </w:rPr>
            </w:pPr>
          </w:p>
        </w:tc>
      </w:tr>
      <w:tr w14:paraId="15BEC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1AD3D8DD">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4B803C11">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507" w:type="dxa"/>
            <w:tcBorders>
              <w:tl2br w:val="nil"/>
              <w:tr2bl w:val="nil"/>
            </w:tcBorders>
            <w:noWrap w:val="0"/>
            <w:vAlign w:val="center"/>
          </w:tcPr>
          <w:p w14:paraId="4DAD910D">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绩效考核实施情况</w:t>
            </w:r>
          </w:p>
        </w:tc>
        <w:tc>
          <w:tcPr>
            <w:tcW w:w="1185" w:type="dxa"/>
            <w:tcBorders>
              <w:tl2br w:val="nil"/>
              <w:tr2bl w:val="nil"/>
            </w:tcBorders>
            <w:noWrap w:val="0"/>
            <w:vAlign w:val="center"/>
          </w:tcPr>
          <w:p w14:paraId="1076F9A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查阅资料</w:t>
            </w:r>
          </w:p>
        </w:tc>
        <w:tc>
          <w:tcPr>
            <w:tcW w:w="726" w:type="dxa"/>
            <w:tcBorders>
              <w:tl2br w:val="nil"/>
              <w:tr2bl w:val="nil"/>
            </w:tcBorders>
            <w:noWrap w:val="0"/>
            <w:vAlign w:val="center"/>
          </w:tcPr>
          <w:p w14:paraId="623B1AFF">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505E743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绩效考核与办法不对照每项扣 0.5 分</w:t>
            </w:r>
          </w:p>
        </w:tc>
        <w:tc>
          <w:tcPr>
            <w:tcW w:w="727" w:type="dxa"/>
            <w:tcBorders>
              <w:tl2br w:val="nil"/>
              <w:tr2bl w:val="nil"/>
            </w:tcBorders>
            <w:noWrap w:val="0"/>
            <w:vAlign w:val="center"/>
          </w:tcPr>
          <w:p w14:paraId="6C9C47B8">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1F60177F">
            <w:pPr>
              <w:pageBreakBefore w:val="0"/>
              <w:wordWrap/>
              <w:topLinePunct w:val="0"/>
              <w:bidi w:val="0"/>
              <w:spacing w:line="360" w:lineRule="auto"/>
              <w:jc w:val="center"/>
              <w:rPr>
                <w:rFonts w:hint="eastAsia" w:ascii="仿宋" w:hAnsi="仿宋" w:eastAsia="仿宋" w:cs="仿宋"/>
                <w:sz w:val="24"/>
                <w:szCs w:val="24"/>
              </w:rPr>
            </w:pPr>
          </w:p>
        </w:tc>
      </w:tr>
      <w:tr w14:paraId="262DD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35649D34">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128ABCD3">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507" w:type="dxa"/>
            <w:tcBorders>
              <w:tl2br w:val="nil"/>
              <w:tr2bl w:val="nil"/>
            </w:tcBorders>
            <w:noWrap w:val="0"/>
            <w:vAlign w:val="center"/>
          </w:tcPr>
          <w:p w14:paraId="33148B0C">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培训</w:t>
            </w:r>
          </w:p>
        </w:tc>
        <w:tc>
          <w:tcPr>
            <w:tcW w:w="1185" w:type="dxa"/>
            <w:tcBorders>
              <w:tl2br w:val="nil"/>
              <w:tr2bl w:val="nil"/>
            </w:tcBorders>
            <w:noWrap w:val="0"/>
            <w:vAlign w:val="center"/>
          </w:tcPr>
          <w:p w14:paraId="66E5F35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查阅资料</w:t>
            </w:r>
          </w:p>
        </w:tc>
        <w:tc>
          <w:tcPr>
            <w:tcW w:w="726" w:type="dxa"/>
            <w:tcBorders>
              <w:tl2br w:val="nil"/>
              <w:tr2bl w:val="nil"/>
            </w:tcBorders>
            <w:noWrap w:val="0"/>
            <w:vAlign w:val="center"/>
          </w:tcPr>
          <w:p w14:paraId="0D5A1B63">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21DC1C1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有记录未覆盖全员每项扣0.5 分</w:t>
            </w:r>
          </w:p>
        </w:tc>
        <w:tc>
          <w:tcPr>
            <w:tcW w:w="727" w:type="dxa"/>
            <w:tcBorders>
              <w:tl2br w:val="nil"/>
              <w:tr2bl w:val="nil"/>
            </w:tcBorders>
            <w:noWrap w:val="0"/>
            <w:vAlign w:val="center"/>
          </w:tcPr>
          <w:p w14:paraId="30D88DF2">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5CC2A638">
            <w:pPr>
              <w:pageBreakBefore w:val="0"/>
              <w:wordWrap/>
              <w:topLinePunct w:val="0"/>
              <w:bidi w:val="0"/>
              <w:spacing w:line="360" w:lineRule="auto"/>
              <w:jc w:val="center"/>
              <w:rPr>
                <w:rFonts w:hint="eastAsia" w:ascii="仿宋" w:hAnsi="仿宋" w:eastAsia="仿宋" w:cs="仿宋"/>
                <w:sz w:val="24"/>
                <w:szCs w:val="24"/>
              </w:rPr>
            </w:pPr>
          </w:p>
        </w:tc>
      </w:tr>
      <w:tr w14:paraId="0E701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6F3C2208">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6F746FAE">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507" w:type="dxa"/>
            <w:tcBorders>
              <w:tl2br w:val="nil"/>
              <w:tr2bl w:val="nil"/>
            </w:tcBorders>
            <w:noWrap w:val="0"/>
            <w:vAlign w:val="center"/>
          </w:tcPr>
          <w:p w14:paraId="575FE1E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工作会议</w:t>
            </w:r>
          </w:p>
        </w:tc>
        <w:tc>
          <w:tcPr>
            <w:tcW w:w="1185" w:type="dxa"/>
            <w:tcBorders>
              <w:tl2br w:val="nil"/>
              <w:tr2bl w:val="nil"/>
            </w:tcBorders>
            <w:noWrap w:val="0"/>
            <w:vAlign w:val="center"/>
          </w:tcPr>
          <w:p w14:paraId="21AA7D5E">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查阅资料</w:t>
            </w:r>
          </w:p>
        </w:tc>
        <w:tc>
          <w:tcPr>
            <w:tcW w:w="726" w:type="dxa"/>
            <w:tcBorders>
              <w:tl2br w:val="nil"/>
              <w:tr2bl w:val="nil"/>
            </w:tcBorders>
            <w:noWrap w:val="0"/>
            <w:vAlign w:val="center"/>
          </w:tcPr>
          <w:p w14:paraId="7E47D8BA">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2D557CC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未建立工作会议记录不得分</w:t>
            </w:r>
          </w:p>
        </w:tc>
        <w:tc>
          <w:tcPr>
            <w:tcW w:w="727" w:type="dxa"/>
            <w:tcBorders>
              <w:tl2br w:val="nil"/>
              <w:tr2bl w:val="nil"/>
            </w:tcBorders>
            <w:noWrap w:val="0"/>
            <w:vAlign w:val="center"/>
          </w:tcPr>
          <w:p w14:paraId="1830A0C6">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0CEE916E">
            <w:pPr>
              <w:pageBreakBefore w:val="0"/>
              <w:wordWrap/>
              <w:topLinePunct w:val="0"/>
              <w:bidi w:val="0"/>
              <w:spacing w:line="360" w:lineRule="auto"/>
              <w:jc w:val="center"/>
              <w:rPr>
                <w:rFonts w:hint="eastAsia" w:ascii="仿宋" w:hAnsi="仿宋" w:eastAsia="仿宋" w:cs="仿宋"/>
                <w:sz w:val="24"/>
                <w:szCs w:val="24"/>
              </w:rPr>
            </w:pPr>
          </w:p>
        </w:tc>
      </w:tr>
      <w:tr w14:paraId="485A7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restart"/>
            <w:tcBorders>
              <w:tl2br w:val="nil"/>
              <w:tr2bl w:val="nil"/>
            </w:tcBorders>
            <w:noWrap w:val="0"/>
            <w:vAlign w:val="center"/>
          </w:tcPr>
          <w:p w14:paraId="54A726A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室</w:t>
            </w:r>
          </w:p>
          <w:p w14:paraId="5F7C4E6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内</w:t>
            </w:r>
          </w:p>
          <w:p w14:paraId="60634DC7">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环</w:t>
            </w:r>
          </w:p>
          <w:p w14:paraId="444BA4CA">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境</w:t>
            </w:r>
          </w:p>
          <w:p w14:paraId="7BB6930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管</w:t>
            </w:r>
          </w:p>
          <w:p w14:paraId="1F1CCDE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理</w:t>
            </w:r>
          </w:p>
          <w:p w14:paraId="6DB9741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17分</w:t>
            </w:r>
          </w:p>
        </w:tc>
        <w:tc>
          <w:tcPr>
            <w:tcW w:w="543" w:type="dxa"/>
            <w:tcBorders>
              <w:tl2br w:val="nil"/>
              <w:tr2bl w:val="nil"/>
            </w:tcBorders>
            <w:noWrap w:val="0"/>
            <w:vAlign w:val="center"/>
          </w:tcPr>
          <w:p w14:paraId="226C6721">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507" w:type="dxa"/>
            <w:tcBorders>
              <w:tl2br w:val="nil"/>
              <w:tr2bl w:val="nil"/>
            </w:tcBorders>
            <w:noWrap w:val="0"/>
            <w:vAlign w:val="center"/>
          </w:tcPr>
          <w:p w14:paraId="674099E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墙面、顶棚</w:t>
            </w:r>
          </w:p>
        </w:tc>
        <w:tc>
          <w:tcPr>
            <w:tcW w:w="1185" w:type="dxa"/>
            <w:tcBorders>
              <w:tl2br w:val="nil"/>
              <w:tr2bl w:val="nil"/>
            </w:tcBorders>
            <w:noWrap w:val="0"/>
            <w:vAlign w:val="center"/>
          </w:tcPr>
          <w:p w14:paraId="519C402A">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0B141093">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6BBEBD30">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4660B734">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349BD442">
            <w:pPr>
              <w:pageBreakBefore w:val="0"/>
              <w:wordWrap/>
              <w:topLinePunct w:val="0"/>
              <w:bidi w:val="0"/>
              <w:spacing w:line="360" w:lineRule="auto"/>
              <w:jc w:val="center"/>
              <w:rPr>
                <w:rFonts w:hint="eastAsia" w:ascii="仿宋" w:hAnsi="仿宋" w:eastAsia="仿宋" w:cs="仿宋"/>
                <w:sz w:val="24"/>
                <w:szCs w:val="24"/>
              </w:rPr>
            </w:pPr>
          </w:p>
        </w:tc>
      </w:tr>
      <w:tr w14:paraId="68CF2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434E13CF">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77A5424F">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507" w:type="dxa"/>
            <w:tcBorders>
              <w:tl2br w:val="nil"/>
              <w:tr2bl w:val="nil"/>
            </w:tcBorders>
            <w:noWrap w:val="0"/>
            <w:vAlign w:val="center"/>
          </w:tcPr>
          <w:p w14:paraId="26152238">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地面卫生</w:t>
            </w:r>
          </w:p>
        </w:tc>
        <w:tc>
          <w:tcPr>
            <w:tcW w:w="1185" w:type="dxa"/>
            <w:tcBorders>
              <w:tl2br w:val="nil"/>
              <w:tr2bl w:val="nil"/>
            </w:tcBorders>
            <w:noWrap w:val="0"/>
            <w:vAlign w:val="center"/>
          </w:tcPr>
          <w:p w14:paraId="11770F4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34CF16C5">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52DA4F9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0FC8B779">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23503410">
            <w:pPr>
              <w:pageBreakBefore w:val="0"/>
              <w:wordWrap/>
              <w:topLinePunct w:val="0"/>
              <w:bidi w:val="0"/>
              <w:spacing w:line="360" w:lineRule="auto"/>
              <w:jc w:val="center"/>
              <w:rPr>
                <w:rFonts w:hint="eastAsia" w:ascii="仿宋" w:hAnsi="仿宋" w:eastAsia="仿宋" w:cs="仿宋"/>
                <w:sz w:val="24"/>
                <w:szCs w:val="24"/>
              </w:rPr>
            </w:pPr>
          </w:p>
        </w:tc>
      </w:tr>
      <w:tr w14:paraId="6C1A8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2714CF66">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7440A01C">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507" w:type="dxa"/>
            <w:tcBorders>
              <w:tl2br w:val="nil"/>
              <w:tr2bl w:val="nil"/>
            </w:tcBorders>
            <w:noWrap w:val="0"/>
            <w:vAlign w:val="center"/>
          </w:tcPr>
          <w:p w14:paraId="2B91D57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门窗、玻璃</w:t>
            </w:r>
          </w:p>
        </w:tc>
        <w:tc>
          <w:tcPr>
            <w:tcW w:w="1185" w:type="dxa"/>
            <w:tcBorders>
              <w:tl2br w:val="nil"/>
              <w:tr2bl w:val="nil"/>
            </w:tcBorders>
            <w:noWrap w:val="0"/>
            <w:vAlign w:val="center"/>
          </w:tcPr>
          <w:p w14:paraId="5A9428A8">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5169CECD">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40150AA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36014528">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3B1AE563">
            <w:pPr>
              <w:pageBreakBefore w:val="0"/>
              <w:wordWrap/>
              <w:topLinePunct w:val="0"/>
              <w:bidi w:val="0"/>
              <w:spacing w:line="360" w:lineRule="auto"/>
              <w:jc w:val="center"/>
              <w:rPr>
                <w:rFonts w:hint="eastAsia" w:ascii="仿宋" w:hAnsi="仿宋" w:eastAsia="仿宋" w:cs="仿宋"/>
                <w:sz w:val="24"/>
                <w:szCs w:val="24"/>
              </w:rPr>
            </w:pPr>
          </w:p>
        </w:tc>
      </w:tr>
      <w:tr w14:paraId="2BE6E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52BEEB55">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275ECECB">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507" w:type="dxa"/>
            <w:tcBorders>
              <w:tl2br w:val="nil"/>
              <w:tr2bl w:val="nil"/>
            </w:tcBorders>
            <w:noWrap w:val="0"/>
            <w:vAlign w:val="center"/>
          </w:tcPr>
          <w:p w14:paraId="53482C0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水房、卫生间</w:t>
            </w:r>
          </w:p>
        </w:tc>
        <w:tc>
          <w:tcPr>
            <w:tcW w:w="1185" w:type="dxa"/>
            <w:tcBorders>
              <w:tl2br w:val="nil"/>
              <w:tr2bl w:val="nil"/>
            </w:tcBorders>
            <w:noWrap w:val="0"/>
            <w:vAlign w:val="center"/>
          </w:tcPr>
          <w:p w14:paraId="38C0A43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4B995786">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49503E4A">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0CE9F9A2">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0282FB1A">
            <w:pPr>
              <w:pageBreakBefore w:val="0"/>
              <w:wordWrap/>
              <w:topLinePunct w:val="0"/>
              <w:bidi w:val="0"/>
              <w:spacing w:line="360" w:lineRule="auto"/>
              <w:jc w:val="center"/>
              <w:rPr>
                <w:rFonts w:hint="eastAsia" w:ascii="仿宋" w:hAnsi="仿宋" w:eastAsia="仿宋" w:cs="仿宋"/>
                <w:sz w:val="24"/>
                <w:szCs w:val="24"/>
              </w:rPr>
            </w:pPr>
          </w:p>
        </w:tc>
      </w:tr>
      <w:tr w14:paraId="666B1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874" w:type="dxa"/>
            <w:vMerge w:val="continue"/>
            <w:tcBorders>
              <w:tl2br w:val="nil"/>
              <w:tr2bl w:val="nil"/>
            </w:tcBorders>
            <w:noWrap w:val="0"/>
            <w:vAlign w:val="center"/>
          </w:tcPr>
          <w:p w14:paraId="201D172E">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7AA16B40">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507" w:type="dxa"/>
            <w:tcBorders>
              <w:tl2br w:val="nil"/>
              <w:tr2bl w:val="nil"/>
            </w:tcBorders>
            <w:noWrap w:val="0"/>
            <w:vAlign w:val="center"/>
          </w:tcPr>
          <w:p w14:paraId="0E07A24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步梯、扶手</w:t>
            </w:r>
          </w:p>
        </w:tc>
        <w:tc>
          <w:tcPr>
            <w:tcW w:w="1185" w:type="dxa"/>
            <w:tcBorders>
              <w:tl2br w:val="nil"/>
              <w:tr2bl w:val="nil"/>
            </w:tcBorders>
            <w:noWrap w:val="0"/>
            <w:vAlign w:val="center"/>
          </w:tcPr>
          <w:p w14:paraId="5AA67D0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7546E3FE">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3605A44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44704F9B">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3CD81DE6">
            <w:pPr>
              <w:pageBreakBefore w:val="0"/>
              <w:wordWrap/>
              <w:topLinePunct w:val="0"/>
              <w:bidi w:val="0"/>
              <w:spacing w:line="360" w:lineRule="auto"/>
              <w:jc w:val="center"/>
              <w:rPr>
                <w:rFonts w:hint="eastAsia" w:ascii="仿宋" w:hAnsi="仿宋" w:eastAsia="仿宋" w:cs="仿宋"/>
                <w:sz w:val="24"/>
                <w:szCs w:val="24"/>
              </w:rPr>
            </w:pPr>
          </w:p>
        </w:tc>
      </w:tr>
      <w:tr w14:paraId="00657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4C640BCB">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3291F2A3">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507" w:type="dxa"/>
            <w:tcBorders>
              <w:tl2br w:val="nil"/>
              <w:tr2bl w:val="nil"/>
            </w:tcBorders>
            <w:noWrap w:val="0"/>
            <w:vAlign w:val="center"/>
          </w:tcPr>
          <w:p w14:paraId="4E9652E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各类垃圾设备完好</w:t>
            </w:r>
          </w:p>
        </w:tc>
        <w:tc>
          <w:tcPr>
            <w:tcW w:w="1185" w:type="dxa"/>
            <w:tcBorders>
              <w:tl2br w:val="nil"/>
              <w:tr2bl w:val="nil"/>
            </w:tcBorders>
            <w:noWrap w:val="0"/>
            <w:vAlign w:val="center"/>
          </w:tcPr>
          <w:p w14:paraId="21222E0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166ADC12">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7FC95B1E">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4D036FDD">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7F27D8A4">
            <w:pPr>
              <w:pageBreakBefore w:val="0"/>
              <w:wordWrap/>
              <w:topLinePunct w:val="0"/>
              <w:bidi w:val="0"/>
              <w:spacing w:line="360" w:lineRule="auto"/>
              <w:jc w:val="center"/>
              <w:rPr>
                <w:rFonts w:hint="eastAsia" w:ascii="仿宋" w:hAnsi="仿宋" w:eastAsia="仿宋" w:cs="仿宋"/>
                <w:sz w:val="24"/>
                <w:szCs w:val="24"/>
              </w:rPr>
            </w:pPr>
          </w:p>
        </w:tc>
      </w:tr>
      <w:tr w14:paraId="409ED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58A56DA4">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52566FD0">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507" w:type="dxa"/>
            <w:tcBorders>
              <w:tl2br w:val="nil"/>
              <w:tr2bl w:val="nil"/>
            </w:tcBorders>
            <w:noWrap w:val="0"/>
            <w:vAlign w:val="center"/>
          </w:tcPr>
          <w:p w14:paraId="7247960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消杀</w:t>
            </w:r>
          </w:p>
        </w:tc>
        <w:tc>
          <w:tcPr>
            <w:tcW w:w="1185" w:type="dxa"/>
            <w:tcBorders>
              <w:tl2br w:val="nil"/>
              <w:tr2bl w:val="nil"/>
            </w:tcBorders>
            <w:noWrap w:val="0"/>
            <w:vAlign w:val="center"/>
          </w:tcPr>
          <w:p w14:paraId="6D4DE730">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6C187F64">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3C7D1EAE">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0AF4303A">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76F649A">
            <w:pPr>
              <w:pageBreakBefore w:val="0"/>
              <w:wordWrap/>
              <w:topLinePunct w:val="0"/>
              <w:bidi w:val="0"/>
              <w:spacing w:line="360" w:lineRule="auto"/>
              <w:jc w:val="center"/>
              <w:rPr>
                <w:rFonts w:hint="eastAsia" w:ascii="仿宋" w:hAnsi="仿宋" w:eastAsia="仿宋" w:cs="仿宋"/>
                <w:sz w:val="24"/>
                <w:szCs w:val="24"/>
              </w:rPr>
            </w:pPr>
          </w:p>
        </w:tc>
      </w:tr>
      <w:tr w14:paraId="3F847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2361AF07">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34F65B59">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507" w:type="dxa"/>
            <w:tcBorders>
              <w:tl2br w:val="nil"/>
              <w:tr2bl w:val="nil"/>
            </w:tcBorders>
            <w:noWrap w:val="0"/>
            <w:vAlign w:val="center"/>
          </w:tcPr>
          <w:p w14:paraId="3565215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节能方案</w:t>
            </w:r>
          </w:p>
        </w:tc>
        <w:tc>
          <w:tcPr>
            <w:tcW w:w="1185" w:type="dxa"/>
            <w:tcBorders>
              <w:tl2br w:val="nil"/>
              <w:tr2bl w:val="nil"/>
            </w:tcBorders>
            <w:noWrap w:val="0"/>
            <w:vAlign w:val="center"/>
          </w:tcPr>
          <w:p w14:paraId="3B6BE76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查阅文档</w:t>
            </w:r>
          </w:p>
        </w:tc>
        <w:tc>
          <w:tcPr>
            <w:tcW w:w="726" w:type="dxa"/>
            <w:tcBorders>
              <w:tl2br w:val="nil"/>
              <w:tr2bl w:val="nil"/>
            </w:tcBorders>
            <w:noWrap w:val="0"/>
            <w:vAlign w:val="center"/>
          </w:tcPr>
          <w:p w14:paraId="0FFA9B0A">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3B4D6E8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3D94A51D">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1D5AEEAD">
            <w:pPr>
              <w:pageBreakBefore w:val="0"/>
              <w:wordWrap/>
              <w:topLinePunct w:val="0"/>
              <w:bidi w:val="0"/>
              <w:spacing w:line="360" w:lineRule="auto"/>
              <w:jc w:val="center"/>
              <w:rPr>
                <w:rFonts w:hint="eastAsia" w:ascii="仿宋" w:hAnsi="仿宋" w:eastAsia="仿宋" w:cs="仿宋"/>
                <w:sz w:val="24"/>
                <w:szCs w:val="24"/>
              </w:rPr>
            </w:pPr>
          </w:p>
        </w:tc>
      </w:tr>
      <w:tr w14:paraId="10DE8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restart"/>
            <w:tcBorders>
              <w:tl2br w:val="nil"/>
              <w:tr2bl w:val="nil"/>
            </w:tcBorders>
            <w:noWrap w:val="0"/>
            <w:vAlign w:val="center"/>
          </w:tcPr>
          <w:p w14:paraId="19516CAD">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21283E04">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507" w:type="dxa"/>
            <w:tcBorders>
              <w:tl2br w:val="nil"/>
              <w:tr2bl w:val="nil"/>
            </w:tcBorders>
            <w:noWrap w:val="0"/>
            <w:vAlign w:val="center"/>
          </w:tcPr>
          <w:p w14:paraId="38A27FD8">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各类记录</w:t>
            </w:r>
          </w:p>
        </w:tc>
        <w:tc>
          <w:tcPr>
            <w:tcW w:w="1185" w:type="dxa"/>
            <w:tcBorders>
              <w:tl2br w:val="nil"/>
              <w:tr2bl w:val="nil"/>
            </w:tcBorders>
            <w:noWrap w:val="0"/>
            <w:vAlign w:val="center"/>
          </w:tcPr>
          <w:p w14:paraId="34C52B5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查阅文档</w:t>
            </w:r>
          </w:p>
        </w:tc>
        <w:tc>
          <w:tcPr>
            <w:tcW w:w="726" w:type="dxa"/>
            <w:tcBorders>
              <w:tl2br w:val="nil"/>
              <w:tr2bl w:val="nil"/>
            </w:tcBorders>
            <w:noWrap w:val="0"/>
            <w:vAlign w:val="center"/>
          </w:tcPr>
          <w:p w14:paraId="420A9744">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3020" w:type="dxa"/>
            <w:tcBorders>
              <w:tl2br w:val="nil"/>
              <w:tr2bl w:val="nil"/>
            </w:tcBorders>
            <w:noWrap w:val="0"/>
            <w:vAlign w:val="center"/>
          </w:tcPr>
          <w:p w14:paraId="5E8BA95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34F6CE58">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4853DABF">
            <w:pPr>
              <w:pageBreakBefore w:val="0"/>
              <w:wordWrap/>
              <w:topLinePunct w:val="0"/>
              <w:bidi w:val="0"/>
              <w:spacing w:line="360" w:lineRule="auto"/>
              <w:jc w:val="center"/>
              <w:rPr>
                <w:rFonts w:hint="eastAsia" w:ascii="仿宋" w:hAnsi="仿宋" w:eastAsia="仿宋" w:cs="仿宋"/>
                <w:sz w:val="24"/>
                <w:szCs w:val="24"/>
              </w:rPr>
            </w:pPr>
          </w:p>
        </w:tc>
      </w:tr>
      <w:tr w14:paraId="79DAD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tcBorders>
              <w:tl2br w:val="nil"/>
              <w:tr2bl w:val="nil"/>
            </w:tcBorders>
            <w:noWrap w:val="0"/>
            <w:vAlign w:val="center"/>
          </w:tcPr>
          <w:p w14:paraId="4939A9FE">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室</w:t>
            </w:r>
          </w:p>
          <w:p w14:paraId="73351BA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外</w:t>
            </w:r>
          </w:p>
          <w:p w14:paraId="0669979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环</w:t>
            </w:r>
          </w:p>
          <w:p w14:paraId="1BB6B73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境</w:t>
            </w:r>
          </w:p>
          <w:p w14:paraId="6C268BD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管</w:t>
            </w:r>
          </w:p>
          <w:p w14:paraId="1B2824C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理</w:t>
            </w:r>
          </w:p>
          <w:p w14:paraId="1CCCD77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17 分</w:t>
            </w:r>
          </w:p>
        </w:tc>
        <w:tc>
          <w:tcPr>
            <w:tcW w:w="543" w:type="dxa"/>
            <w:tcBorders>
              <w:tl2br w:val="nil"/>
              <w:tr2bl w:val="nil"/>
            </w:tcBorders>
            <w:noWrap w:val="0"/>
            <w:vAlign w:val="center"/>
          </w:tcPr>
          <w:p w14:paraId="6C1DFA18">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507" w:type="dxa"/>
            <w:tcBorders>
              <w:tl2br w:val="nil"/>
              <w:tr2bl w:val="nil"/>
            </w:tcBorders>
            <w:noWrap w:val="0"/>
            <w:vAlign w:val="center"/>
          </w:tcPr>
          <w:p w14:paraId="6E63E23C">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主干道</w:t>
            </w:r>
          </w:p>
        </w:tc>
        <w:tc>
          <w:tcPr>
            <w:tcW w:w="1185" w:type="dxa"/>
            <w:tcBorders>
              <w:tl2br w:val="nil"/>
              <w:tr2bl w:val="nil"/>
            </w:tcBorders>
            <w:noWrap w:val="0"/>
            <w:vAlign w:val="center"/>
          </w:tcPr>
          <w:p w14:paraId="01BA1B67">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35EA73EE">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66CECDF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0D0421F9">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B2AA9B2">
            <w:pPr>
              <w:pageBreakBefore w:val="0"/>
              <w:wordWrap/>
              <w:topLinePunct w:val="0"/>
              <w:bidi w:val="0"/>
              <w:spacing w:line="360" w:lineRule="auto"/>
              <w:jc w:val="center"/>
              <w:rPr>
                <w:rFonts w:hint="eastAsia" w:ascii="仿宋" w:hAnsi="仿宋" w:eastAsia="仿宋" w:cs="仿宋"/>
                <w:sz w:val="24"/>
                <w:szCs w:val="24"/>
              </w:rPr>
            </w:pPr>
          </w:p>
        </w:tc>
      </w:tr>
      <w:tr w14:paraId="6ADA4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restart"/>
            <w:tcBorders>
              <w:tl2br w:val="nil"/>
              <w:tr2bl w:val="nil"/>
            </w:tcBorders>
            <w:noWrap w:val="0"/>
            <w:vAlign w:val="center"/>
          </w:tcPr>
          <w:p w14:paraId="546419DB">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3B3BDABB">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507" w:type="dxa"/>
            <w:tcBorders>
              <w:tl2br w:val="nil"/>
              <w:tr2bl w:val="nil"/>
            </w:tcBorders>
            <w:noWrap w:val="0"/>
            <w:vAlign w:val="center"/>
          </w:tcPr>
          <w:p w14:paraId="7C7CB25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人行道</w:t>
            </w:r>
          </w:p>
        </w:tc>
        <w:tc>
          <w:tcPr>
            <w:tcW w:w="1185" w:type="dxa"/>
            <w:tcBorders>
              <w:tl2br w:val="nil"/>
              <w:tr2bl w:val="nil"/>
            </w:tcBorders>
            <w:noWrap w:val="0"/>
            <w:vAlign w:val="center"/>
          </w:tcPr>
          <w:p w14:paraId="00151D10">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376C4BEC">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11E5E59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2D8ACA18">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C413BEA">
            <w:pPr>
              <w:pageBreakBefore w:val="0"/>
              <w:wordWrap/>
              <w:topLinePunct w:val="0"/>
              <w:bidi w:val="0"/>
              <w:spacing w:line="360" w:lineRule="auto"/>
              <w:jc w:val="center"/>
              <w:rPr>
                <w:rFonts w:hint="eastAsia" w:ascii="仿宋" w:hAnsi="仿宋" w:eastAsia="仿宋" w:cs="仿宋"/>
                <w:sz w:val="24"/>
                <w:szCs w:val="24"/>
              </w:rPr>
            </w:pPr>
          </w:p>
        </w:tc>
      </w:tr>
      <w:tr w14:paraId="30E11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7BF2B602">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0FA03799">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507" w:type="dxa"/>
            <w:tcBorders>
              <w:tl2br w:val="nil"/>
              <w:tr2bl w:val="nil"/>
            </w:tcBorders>
            <w:noWrap w:val="0"/>
            <w:vAlign w:val="center"/>
          </w:tcPr>
          <w:p w14:paraId="4CFCC54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灯杆、路标等</w:t>
            </w:r>
          </w:p>
        </w:tc>
        <w:tc>
          <w:tcPr>
            <w:tcW w:w="1185" w:type="dxa"/>
            <w:tcBorders>
              <w:tl2br w:val="nil"/>
              <w:tr2bl w:val="nil"/>
            </w:tcBorders>
            <w:noWrap w:val="0"/>
            <w:vAlign w:val="center"/>
          </w:tcPr>
          <w:p w14:paraId="43471F90">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3D82D3CD">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64998087">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2F48178F">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7496C86F">
            <w:pPr>
              <w:pageBreakBefore w:val="0"/>
              <w:wordWrap/>
              <w:topLinePunct w:val="0"/>
              <w:bidi w:val="0"/>
              <w:spacing w:line="360" w:lineRule="auto"/>
              <w:jc w:val="center"/>
              <w:rPr>
                <w:rFonts w:hint="eastAsia" w:ascii="仿宋" w:hAnsi="仿宋" w:eastAsia="仿宋" w:cs="仿宋"/>
                <w:sz w:val="24"/>
                <w:szCs w:val="24"/>
              </w:rPr>
            </w:pPr>
          </w:p>
        </w:tc>
      </w:tr>
      <w:tr w14:paraId="0A85A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77C65A19">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4034C3D0">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507" w:type="dxa"/>
            <w:tcBorders>
              <w:tl2br w:val="nil"/>
              <w:tr2bl w:val="nil"/>
            </w:tcBorders>
            <w:noWrap w:val="0"/>
            <w:vAlign w:val="center"/>
          </w:tcPr>
          <w:p w14:paraId="3332410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道牙</w:t>
            </w:r>
          </w:p>
        </w:tc>
        <w:tc>
          <w:tcPr>
            <w:tcW w:w="1185" w:type="dxa"/>
            <w:tcBorders>
              <w:tl2br w:val="nil"/>
              <w:tr2bl w:val="nil"/>
            </w:tcBorders>
            <w:noWrap w:val="0"/>
            <w:vAlign w:val="center"/>
          </w:tcPr>
          <w:p w14:paraId="6FA168D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00F30B8F">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4BED45F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1BF8AFC8">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0C9E82E5">
            <w:pPr>
              <w:pageBreakBefore w:val="0"/>
              <w:wordWrap/>
              <w:topLinePunct w:val="0"/>
              <w:bidi w:val="0"/>
              <w:spacing w:line="360" w:lineRule="auto"/>
              <w:jc w:val="center"/>
              <w:rPr>
                <w:rFonts w:hint="eastAsia" w:ascii="仿宋" w:hAnsi="仿宋" w:eastAsia="仿宋" w:cs="仿宋"/>
                <w:sz w:val="24"/>
                <w:szCs w:val="24"/>
              </w:rPr>
            </w:pPr>
          </w:p>
        </w:tc>
      </w:tr>
      <w:tr w14:paraId="34D48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6E8B1305">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25BEC571">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507" w:type="dxa"/>
            <w:tcBorders>
              <w:tl2br w:val="nil"/>
              <w:tr2bl w:val="nil"/>
            </w:tcBorders>
            <w:noWrap w:val="0"/>
            <w:vAlign w:val="center"/>
          </w:tcPr>
          <w:p w14:paraId="4D44B697">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下水篦子内</w:t>
            </w:r>
          </w:p>
        </w:tc>
        <w:tc>
          <w:tcPr>
            <w:tcW w:w="1185" w:type="dxa"/>
            <w:tcBorders>
              <w:tl2br w:val="nil"/>
              <w:tr2bl w:val="nil"/>
            </w:tcBorders>
            <w:noWrap w:val="0"/>
            <w:vAlign w:val="center"/>
          </w:tcPr>
          <w:p w14:paraId="15AC800E">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276CB030">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7919A39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7975FCF1">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F6A3BD6">
            <w:pPr>
              <w:pageBreakBefore w:val="0"/>
              <w:wordWrap/>
              <w:topLinePunct w:val="0"/>
              <w:bidi w:val="0"/>
              <w:spacing w:line="360" w:lineRule="auto"/>
              <w:jc w:val="center"/>
              <w:rPr>
                <w:rFonts w:hint="eastAsia" w:ascii="仿宋" w:hAnsi="仿宋" w:eastAsia="仿宋" w:cs="仿宋"/>
                <w:sz w:val="24"/>
                <w:szCs w:val="24"/>
              </w:rPr>
            </w:pPr>
          </w:p>
        </w:tc>
      </w:tr>
      <w:tr w14:paraId="5191E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5380356B">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56E5300D">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507" w:type="dxa"/>
            <w:tcBorders>
              <w:tl2br w:val="nil"/>
              <w:tr2bl w:val="nil"/>
            </w:tcBorders>
            <w:noWrap w:val="0"/>
            <w:vAlign w:val="center"/>
          </w:tcPr>
          <w:p w14:paraId="0EB9A6BD">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劳动工具摆放</w:t>
            </w:r>
          </w:p>
        </w:tc>
        <w:tc>
          <w:tcPr>
            <w:tcW w:w="1185" w:type="dxa"/>
            <w:tcBorders>
              <w:tl2br w:val="nil"/>
              <w:tr2bl w:val="nil"/>
            </w:tcBorders>
            <w:noWrap w:val="0"/>
            <w:vAlign w:val="center"/>
          </w:tcPr>
          <w:p w14:paraId="52A5820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44536617">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60D04BE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5D6DB4A9">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5F9AA09C">
            <w:pPr>
              <w:pageBreakBefore w:val="0"/>
              <w:wordWrap/>
              <w:topLinePunct w:val="0"/>
              <w:bidi w:val="0"/>
              <w:spacing w:line="360" w:lineRule="auto"/>
              <w:jc w:val="center"/>
              <w:rPr>
                <w:rFonts w:hint="eastAsia" w:ascii="仿宋" w:hAnsi="仿宋" w:eastAsia="仿宋" w:cs="仿宋"/>
                <w:sz w:val="24"/>
                <w:szCs w:val="24"/>
              </w:rPr>
            </w:pPr>
          </w:p>
        </w:tc>
      </w:tr>
      <w:tr w14:paraId="2E0E8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5A33CEE0">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3306D677">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507" w:type="dxa"/>
            <w:tcBorders>
              <w:tl2br w:val="nil"/>
              <w:tr2bl w:val="nil"/>
            </w:tcBorders>
            <w:noWrap w:val="0"/>
            <w:vAlign w:val="center"/>
          </w:tcPr>
          <w:p w14:paraId="36062B2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各类垃圾设备完好</w:t>
            </w:r>
          </w:p>
        </w:tc>
        <w:tc>
          <w:tcPr>
            <w:tcW w:w="1185" w:type="dxa"/>
            <w:tcBorders>
              <w:tl2br w:val="nil"/>
              <w:tr2bl w:val="nil"/>
            </w:tcBorders>
            <w:noWrap w:val="0"/>
            <w:vAlign w:val="center"/>
          </w:tcPr>
          <w:p w14:paraId="61C2378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0EDD4877">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40A7150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2AA8550B">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1B058691">
            <w:pPr>
              <w:pageBreakBefore w:val="0"/>
              <w:wordWrap/>
              <w:topLinePunct w:val="0"/>
              <w:bidi w:val="0"/>
              <w:spacing w:line="360" w:lineRule="auto"/>
              <w:jc w:val="center"/>
              <w:rPr>
                <w:rFonts w:hint="eastAsia" w:ascii="仿宋" w:hAnsi="仿宋" w:eastAsia="仿宋" w:cs="仿宋"/>
                <w:sz w:val="24"/>
                <w:szCs w:val="24"/>
              </w:rPr>
            </w:pPr>
          </w:p>
        </w:tc>
      </w:tr>
      <w:tr w14:paraId="20178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11D75216">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2A9FFEA0">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507" w:type="dxa"/>
            <w:tcBorders>
              <w:tl2br w:val="nil"/>
              <w:tr2bl w:val="nil"/>
            </w:tcBorders>
            <w:noWrap w:val="0"/>
            <w:vAlign w:val="center"/>
          </w:tcPr>
          <w:p w14:paraId="22FAA60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节能方案</w:t>
            </w:r>
          </w:p>
        </w:tc>
        <w:tc>
          <w:tcPr>
            <w:tcW w:w="1185" w:type="dxa"/>
            <w:tcBorders>
              <w:tl2br w:val="nil"/>
              <w:tr2bl w:val="nil"/>
            </w:tcBorders>
            <w:noWrap w:val="0"/>
            <w:vAlign w:val="center"/>
          </w:tcPr>
          <w:p w14:paraId="712C517C">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查阅文档</w:t>
            </w:r>
          </w:p>
        </w:tc>
        <w:tc>
          <w:tcPr>
            <w:tcW w:w="726" w:type="dxa"/>
            <w:tcBorders>
              <w:tl2br w:val="nil"/>
              <w:tr2bl w:val="nil"/>
            </w:tcBorders>
            <w:noWrap w:val="0"/>
            <w:vAlign w:val="center"/>
          </w:tcPr>
          <w:p w14:paraId="171D56CC">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57C6BA3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2F32C0EA">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76B617E">
            <w:pPr>
              <w:pageBreakBefore w:val="0"/>
              <w:wordWrap/>
              <w:topLinePunct w:val="0"/>
              <w:bidi w:val="0"/>
              <w:spacing w:line="360" w:lineRule="auto"/>
              <w:jc w:val="center"/>
              <w:rPr>
                <w:rFonts w:hint="eastAsia" w:ascii="仿宋" w:hAnsi="仿宋" w:eastAsia="仿宋" w:cs="仿宋"/>
                <w:sz w:val="24"/>
                <w:szCs w:val="24"/>
              </w:rPr>
            </w:pPr>
          </w:p>
        </w:tc>
      </w:tr>
      <w:tr w14:paraId="6A571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restart"/>
            <w:tcBorders>
              <w:tl2br w:val="nil"/>
              <w:tr2bl w:val="nil"/>
            </w:tcBorders>
            <w:noWrap w:val="0"/>
            <w:vAlign w:val="center"/>
          </w:tcPr>
          <w:p w14:paraId="7387D4D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绿</w:t>
            </w:r>
          </w:p>
          <w:p w14:paraId="14DFEC7D">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化</w:t>
            </w:r>
          </w:p>
          <w:p w14:paraId="7EAEA36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管</w:t>
            </w:r>
          </w:p>
          <w:p w14:paraId="2F440E58">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理</w:t>
            </w:r>
          </w:p>
          <w:p w14:paraId="273697D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17 分</w:t>
            </w:r>
          </w:p>
        </w:tc>
        <w:tc>
          <w:tcPr>
            <w:tcW w:w="543" w:type="dxa"/>
            <w:tcBorders>
              <w:tl2br w:val="nil"/>
              <w:tr2bl w:val="nil"/>
            </w:tcBorders>
            <w:noWrap w:val="0"/>
            <w:vAlign w:val="center"/>
          </w:tcPr>
          <w:p w14:paraId="447A6E61">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507" w:type="dxa"/>
            <w:tcBorders>
              <w:tl2br w:val="nil"/>
              <w:tr2bl w:val="nil"/>
            </w:tcBorders>
            <w:noWrap w:val="0"/>
            <w:vAlign w:val="center"/>
          </w:tcPr>
          <w:p w14:paraId="732499C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乔木生长总体状况</w:t>
            </w:r>
          </w:p>
        </w:tc>
        <w:tc>
          <w:tcPr>
            <w:tcW w:w="1185" w:type="dxa"/>
            <w:tcBorders>
              <w:tl2br w:val="nil"/>
              <w:tr2bl w:val="nil"/>
            </w:tcBorders>
            <w:noWrap w:val="0"/>
            <w:vAlign w:val="center"/>
          </w:tcPr>
          <w:p w14:paraId="051DF7A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0E989F3A">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332AB69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32B59F45">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49A9468F">
            <w:pPr>
              <w:pageBreakBefore w:val="0"/>
              <w:wordWrap/>
              <w:topLinePunct w:val="0"/>
              <w:bidi w:val="0"/>
              <w:spacing w:line="360" w:lineRule="auto"/>
              <w:jc w:val="center"/>
              <w:rPr>
                <w:rFonts w:hint="eastAsia" w:ascii="仿宋" w:hAnsi="仿宋" w:eastAsia="仿宋" w:cs="仿宋"/>
                <w:sz w:val="24"/>
                <w:szCs w:val="24"/>
              </w:rPr>
            </w:pPr>
          </w:p>
        </w:tc>
      </w:tr>
      <w:tr w14:paraId="10CB3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149896D9">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40EEE358">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507" w:type="dxa"/>
            <w:tcBorders>
              <w:tl2br w:val="nil"/>
              <w:tr2bl w:val="nil"/>
            </w:tcBorders>
            <w:noWrap w:val="0"/>
            <w:vAlign w:val="center"/>
          </w:tcPr>
          <w:p w14:paraId="03AEE45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灌木生长总体状况</w:t>
            </w:r>
          </w:p>
        </w:tc>
        <w:tc>
          <w:tcPr>
            <w:tcW w:w="1185" w:type="dxa"/>
            <w:tcBorders>
              <w:tl2br w:val="nil"/>
              <w:tr2bl w:val="nil"/>
            </w:tcBorders>
            <w:noWrap w:val="0"/>
            <w:vAlign w:val="center"/>
          </w:tcPr>
          <w:p w14:paraId="17DACC17">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138C1278">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5693478E">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1728D851">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133B91DD">
            <w:pPr>
              <w:pageBreakBefore w:val="0"/>
              <w:wordWrap/>
              <w:topLinePunct w:val="0"/>
              <w:bidi w:val="0"/>
              <w:spacing w:line="360" w:lineRule="auto"/>
              <w:jc w:val="center"/>
              <w:rPr>
                <w:rFonts w:hint="eastAsia" w:ascii="仿宋" w:hAnsi="仿宋" w:eastAsia="仿宋" w:cs="仿宋"/>
                <w:sz w:val="24"/>
                <w:szCs w:val="24"/>
              </w:rPr>
            </w:pPr>
          </w:p>
        </w:tc>
      </w:tr>
      <w:tr w14:paraId="394B6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3D25021E">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60937914">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507" w:type="dxa"/>
            <w:tcBorders>
              <w:tl2br w:val="nil"/>
              <w:tr2bl w:val="nil"/>
            </w:tcBorders>
            <w:noWrap w:val="0"/>
            <w:vAlign w:val="center"/>
          </w:tcPr>
          <w:p w14:paraId="04E3CA4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草坪养护总体状况</w:t>
            </w:r>
          </w:p>
        </w:tc>
        <w:tc>
          <w:tcPr>
            <w:tcW w:w="1185" w:type="dxa"/>
            <w:tcBorders>
              <w:tl2br w:val="nil"/>
              <w:tr2bl w:val="nil"/>
            </w:tcBorders>
            <w:noWrap w:val="0"/>
            <w:vAlign w:val="center"/>
          </w:tcPr>
          <w:p w14:paraId="713D11F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76436A13">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4AB61C1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579B5924">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10680459">
            <w:pPr>
              <w:pageBreakBefore w:val="0"/>
              <w:wordWrap/>
              <w:topLinePunct w:val="0"/>
              <w:bidi w:val="0"/>
              <w:spacing w:line="360" w:lineRule="auto"/>
              <w:jc w:val="center"/>
              <w:rPr>
                <w:rFonts w:hint="eastAsia" w:ascii="仿宋" w:hAnsi="仿宋" w:eastAsia="仿宋" w:cs="仿宋"/>
                <w:sz w:val="24"/>
                <w:szCs w:val="24"/>
              </w:rPr>
            </w:pPr>
          </w:p>
        </w:tc>
      </w:tr>
      <w:tr w14:paraId="53621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01CAC759">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69C0C5C9">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507" w:type="dxa"/>
            <w:tcBorders>
              <w:tl2br w:val="nil"/>
              <w:tr2bl w:val="nil"/>
            </w:tcBorders>
            <w:noWrap w:val="0"/>
            <w:vAlign w:val="center"/>
          </w:tcPr>
          <w:p w14:paraId="0F567B2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绿化覆盖</w:t>
            </w:r>
          </w:p>
        </w:tc>
        <w:tc>
          <w:tcPr>
            <w:tcW w:w="1185" w:type="dxa"/>
            <w:tcBorders>
              <w:tl2br w:val="nil"/>
              <w:tr2bl w:val="nil"/>
            </w:tcBorders>
            <w:noWrap w:val="0"/>
            <w:vAlign w:val="center"/>
          </w:tcPr>
          <w:p w14:paraId="2C8DE3A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4AA44EA6">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5D88EB80">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黄土裸露每处不合格项扣除 0.1 分</w:t>
            </w:r>
          </w:p>
        </w:tc>
        <w:tc>
          <w:tcPr>
            <w:tcW w:w="727" w:type="dxa"/>
            <w:tcBorders>
              <w:tl2br w:val="nil"/>
              <w:tr2bl w:val="nil"/>
            </w:tcBorders>
            <w:noWrap w:val="0"/>
            <w:vAlign w:val="center"/>
          </w:tcPr>
          <w:p w14:paraId="195DED2C">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15936712">
            <w:pPr>
              <w:pageBreakBefore w:val="0"/>
              <w:wordWrap/>
              <w:topLinePunct w:val="0"/>
              <w:bidi w:val="0"/>
              <w:spacing w:line="360" w:lineRule="auto"/>
              <w:jc w:val="center"/>
              <w:rPr>
                <w:rFonts w:hint="eastAsia" w:ascii="仿宋" w:hAnsi="仿宋" w:eastAsia="仿宋" w:cs="仿宋"/>
                <w:sz w:val="24"/>
                <w:szCs w:val="24"/>
              </w:rPr>
            </w:pPr>
          </w:p>
        </w:tc>
      </w:tr>
      <w:tr w14:paraId="4710B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682B197C">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2498DEA4">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507" w:type="dxa"/>
            <w:tcBorders>
              <w:tl2br w:val="nil"/>
              <w:tr2bl w:val="nil"/>
            </w:tcBorders>
            <w:noWrap w:val="0"/>
            <w:vAlign w:val="center"/>
          </w:tcPr>
          <w:p w14:paraId="27D3260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苗木修剪</w:t>
            </w:r>
          </w:p>
        </w:tc>
        <w:tc>
          <w:tcPr>
            <w:tcW w:w="1185" w:type="dxa"/>
            <w:tcBorders>
              <w:tl2br w:val="nil"/>
              <w:tr2bl w:val="nil"/>
            </w:tcBorders>
            <w:noWrap w:val="0"/>
            <w:vAlign w:val="center"/>
          </w:tcPr>
          <w:p w14:paraId="70AE320C">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66C269DD">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54C279E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238D96D3">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776D145">
            <w:pPr>
              <w:pageBreakBefore w:val="0"/>
              <w:wordWrap/>
              <w:topLinePunct w:val="0"/>
              <w:bidi w:val="0"/>
              <w:spacing w:line="360" w:lineRule="auto"/>
              <w:jc w:val="center"/>
              <w:rPr>
                <w:rFonts w:hint="eastAsia" w:ascii="仿宋" w:hAnsi="仿宋" w:eastAsia="仿宋" w:cs="仿宋"/>
                <w:sz w:val="24"/>
                <w:szCs w:val="24"/>
              </w:rPr>
            </w:pPr>
          </w:p>
        </w:tc>
      </w:tr>
      <w:tr w14:paraId="6D056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07762183">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3B9B856F">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507" w:type="dxa"/>
            <w:tcBorders>
              <w:tl2br w:val="nil"/>
              <w:tr2bl w:val="nil"/>
            </w:tcBorders>
            <w:noWrap w:val="0"/>
            <w:vAlign w:val="center"/>
          </w:tcPr>
          <w:p w14:paraId="2F0D846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节能方案</w:t>
            </w:r>
          </w:p>
        </w:tc>
        <w:tc>
          <w:tcPr>
            <w:tcW w:w="1185" w:type="dxa"/>
            <w:tcBorders>
              <w:tl2br w:val="nil"/>
              <w:tr2bl w:val="nil"/>
            </w:tcBorders>
            <w:noWrap w:val="0"/>
            <w:vAlign w:val="center"/>
          </w:tcPr>
          <w:p w14:paraId="6D6FC8CC">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查阅文档</w:t>
            </w:r>
          </w:p>
        </w:tc>
        <w:tc>
          <w:tcPr>
            <w:tcW w:w="726" w:type="dxa"/>
            <w:tcBorders>
              <w:tl2br w:val="nil"/>
              <w:tr2bl w:val="nil"/>
            </w:tcBorders>
            <w:noWrap w:val="0"/>
            <w:vAlign w:val="center"/>
          </w:tcPr>
          <w:p w14:paraId="2BC76994">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090F195C">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57F2CFAA">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72ABAF5B">
            <w:pPr>
              <w:pageBreakBefore w:val="0"/>
              <w:wordWrap/>
              <w:topLinePunct w:val="0"/>
              <w:bidi w:val="0"/>
              <w:spacing w:line="360" w:lineRule="auto"/>
              <w:jc w:val="center"/>
              <w:rPr>
                <w:rFonts w:hint="eastAsia" w:ascii="仿宋" w:hAnsi="仿宋" w:eastAsia="仿宋" w:cs="仿宋"/>
                <w:sz w:val="24"/>
                <w:szCs w:val="24"/>
              </w:rPr>
            </w:pPr>
          </w:p>
        </w:tc>
      </w:tr>
      <w:tr w14:paraId="6B0E9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restart"/>
            <w:tcBorders>
              <w:tl2br w:val="nil"/>
              <w:tr2bl w:val="nil"/>
            </w:tcBorders>
            <w:noWrap w:val="0"/>
            <w:vAlign w:val="center"/>
          </w:tcPr>
          <w:p w14:paraId="1AD2583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校内</w:t>
            </w:r>
          </w:p>
          <w:p w14:paraId="4D3A085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垃圾</w:t>
            </w:r>
          </w:p>
          <w:p w14:paraId="438AB79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清运</w:t>
            </w:r>
          </w:p>
          <w:p w14:paraId="4975D37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服务</w:t>
            </w:r>
          </w:p>
          <w:p w14:paraId="2CB6806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17 分</w:t>
            </w:r>
          </w:p>
        </w:tc>
        <w:tc>
          <w:tcPr>
            <w:tcW w:w="543" w:type="dxa"/>
            <w:tcBorders>
              <w:tl2br w:val="nil"/>
              <w:tr2bl w:val="nil"/>
            </w:tcBorders>
            <w:noWrap w:val="0"/>
            <w:vAlign w:val="center"/>
          </w:tcPr>
          <w:p w14:paraId="6AC3C5D2">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507" w:type="dxa"/>
            <w:tcBorders>
              <w:tl2br w:val="nil"/>
              <w:tr2bl w:val="nil"/>
            </w:tcBorders>
            <w:noWrap w:val="0"/>
            <w:vAlign w:val="center"/>
          </w:tcPr>
          <w:p w14:paraId="444A03D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校内垃圾清运情况</w:t>
            </w:r>
          </w:p>
        </w:tc>
        <w:tc>
          <w:tcPr>
            <w:tcW w:w="1185" w:type="dxa"/>
            <w:tcBorders>
              <w:tl2br w:val="nil"/>
              <w:tr2bl w:val="nil"/>
            </w:tcBorders>
            <w:noWrap w:val="0"/>
            <w:vAlign w:val="center"/>
          </w:tcPr>
          <w:p w14:paraId="3FDEDBF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67C0EFA1">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3145615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0C6DC55D">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76B02C71">
            <w:pPr>
              <w:pageBreakBefore w:val="0"/>
              <w:wordWrap/>
              <w:topLinePunct w:val="0"/>
              <w:bidi w:val="0"/>
              <w:spacing w:line="360" w:lineRule="auto"/>
              <w:jc w:val="center"/>
              <w:rPr>
                <w:rFonts w:hint="eastAsia" w:ascii="仿宋" w:hAnsi="仿宋" w:eastAsia="仿宋" w:cs="仿宋"/>
                <w:sz w:val="24"/>
                <w:szCs w:val="24"/>
              </w:rPr>
            </w:pPr>
          </w:p>
        </w:tc>
      </w:tr>
      <w:tr w14:paraId="59D1E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4781C1DB">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7608628F">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507" w:type="dxa"/>
            <w:tcBorders>
              <w:tl2br w:val="nil"/>
              <w:tr2bl w:val="nil"/>
            </w:tcBorders>
            <w:noWrap w:val="0"/>
            <w:vAlign w:val="center"/>
          </w:tcPr>
          <w:p w14:paraId="45FC60B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垃圾分类执行情况</w:t>
            </w:r>
          </w:p>
        </w:tc>
        <w:tc>
          <w:tcPr>
            <w:tcW w:w="1185" w:type="dxa"/>
            <w:tcBorders>
              <w:tl2br w:val="nil"/>
              <w:tr2bl w:val="nil"/>
            </w:tcBorders>
            <w:noWrap w:val="0"/>
            <w:vAlign w:val="center"/>
          </w:tcPr>
          <w:p w14:paraId="6314AF8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714AA4B0">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5B43472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2445FB4E">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942DD33">
            <w:pPr>
              <w:pageBreakBefore w:val="0"/>
              <w:wordWrap/>
              <w:topLinePunct w:val="0"/>
              <w:bidi w:val="0"/>
              <w:spacing w:line="360" w:lineRule="auto"/>
              <w:jc w:val="center"/>
              <w:rPr>
                <w:rFonts w:hint="eastAsia" w:ascii="仿宋" w:hAnsi="仿宋" w:eastAsia="仿宋" w:cs="仿宋"/>
                <w:sz w:val="24"/>
                <w:szCs w:val="24"/>
              </w:rPr>
            </w:pPr>
          </w:p>
        </w:tc>
      </w:tr>
      <w:tr w14:paraId="39A46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5F893D5E">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5B57BCEA">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507" w:type="dxa"/>
            <w:tcBorders>
              <w:tl2br w:val="nil"/>
              <w:tr2bl w:val="nil"/>
            </w:tcBorders>
            <w:noWrap w:val="0"/>
            <w:vAlign w:val="center"/>
          </w:tcPr>
          <w:p w14:paraId="4BFD7C2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车辆、垃圾箱体维修保养</w:t>
            </w:r>
          </w:p>
        </w:tc>
        <w:tc>
          <w:tcPr>
            <w:tcW w:w="1185" w:type="dxa"/>
            <w:tcBorders>
              <w:tl2br w:val="nil"/>
              <w:tr2bl w:val="nil"/>
            </w:tcBorders>
            <w:noWrap w:val="0"/>
            <w:vAlign w:val="center"/>
          </w:tcPr>
          <w:p w14:paraId="7877A4DB">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2063852A">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6CDEC3D0">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34E3D1B0">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15CBF76B">
            <w:pPr>
              <w:pageBreakBefore w:val="0"/>
              <w:wordWrap/>
              <w:topLinePunct w:val="0"/>
              <w:bidi w:val="0"/>
              <w:spacing w:line="360" w:lineRule="auto"/>
              <w:jc w:val="center"/>
              <w:rPr>
                <w:rFonts w:hint="eastAsia" w:ascii="仿宋" w:hAnsi="仿宋" w:eastAsia="仿宋" w:cs="仿宋"/>
                <w:sz w:val="24"/>
                <w:szCs w:val="24"/>
              </w:rPr>
            </w:pPr>
          </w:p>
        </w:tc>
      </w:tr>
      <w:tr w14:paraId="20166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5D175A73">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198C8C6C">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507" w:type="dxa"/>
            <w:tcBorders>
              <w:tl2br w:val="nil"/>
              <w:tr2bl w:val="nil"/>
            </w:tcBorders>
            <w:noWrap w:val="0"/>
            <w:vAlign w:val="center"/>
          </w:tcPr>
          <w:p w14:paraId="190F12A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其他相关区域设备的维护</w:t>
            </w:r>
          </w:p>
        </w:tc>
        <w:tc>
          <w:tcPr>
            <w:tcW w:w="1185" w:type="dxa"/>
            <w:tcBorders>
              <w:tl2br w:val="nil"/>
              <w:tr2bl w:val="nil"/>
            </w:tcBorders>
            <w:noWrap w:val="0"/>
            <w:vAlign w:val="center"/>
          </w:tcPr>
          <w:p w14:paraId="6DB2CABC">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05B5905A">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27CCCF5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19FAC59F">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6E00C0D0">
            <w:pPr>
              <w:pageBreakBefore w:val="0"/>
              <w:wordWrap/>
              <w:topLinePunct w:val="0"/>
              <w:bidi w:val="0"/>
              <w:spacing w:line="360" w:lineRule="auto"/>
              <w:jc w:val="center"/>
              <w:rPr>
                <w:rFonts w:hint="eastAsia" w:ascii="仿宋" w:hAnsi="仿宋" w:eastAsia="仿宋" w:cs="仿宋"/>
                <w:sz w:val="24"/>
                <w:szCs w:val="24"/>
              </w:rPr>
            </w:pPr>
          </w:p>
        </w:tc>
      </w:tr>
      <w:tr w14:paraId="6617B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7262526B">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201D5C5D">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507" w:type="dxa"/>
            <w:tcBorders>
              <w:tl2br w:val="nil"/>
              <w:tr2bl w:val="nil"/>
            </w:tcBorders>
            <w:noWrap w:val="0"/>
            <w:vAlign w:val="center"/>
          </w:tcPr>
          <w:p w14:paraId="1E7EFC5A">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消杀及区域保洁</w:t>
            </w:r>
          </w:p>
        </w:tc>
        <w:tc>
          <w:tcPr>
            <w:tcW w:w="1185" w:type="dxa"/>
            <w:tcBorders>
              <w:tl2br w:val="nil"/>
              <w:tr2bl w:val="nil"/>
            </w:tcBorders>
            <w:noWrap w:val="0"/>
            <w:vAlign w:val="center"/>
          </w:tcPr>
          <w:p w14:paraId="761BA17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5D115506">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020" w:type="dxa"/>
            <w:tcBorders>
              <w:tl2br w:val="nil"/>
              <w:tr2bl w:val="nil"/>
            </w:tcBorders>
            <w:noWrap w:val="0"/>
            <w:vAlign w:val="center"/>
          </w:tcPr>
          <w:p w14:paraId="74A5B13D">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654FC89F">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358D4252">
            <w:pPr>
              <w:pageBreakBefore w:val="0"/>
              <w:wordWrap/>
              <w:topLinePunct w:val="0"/>
              <w:bidi w:val="0"/>
              <w:spacing w:line="360" w:lineRule="auto"/>
              <w:jc w:val="center"/>
              <w:rPr>
                <w:rFonts w:hint="eastAsia" w:ascii="仿宋" w:hAnsi="仿宋" w:eastAsia="仿宋" w:cs="仿宋"/>
                <w:sz w:val="24"/>
                <w:szCs w:val="24"/>
              </w:rPr>
            </w:pPr>
          </w:p>
        </w:tc>
      </w:tr>
      <w:tr w14:paraId="18750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106AAF65">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1627BCD1">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507" w:type="dxa"/>
            <w:tcBorders>
              <w:tl2br w:val="nil"/>
              <w:tr2bl w:val="nil"/>
            </w:tcBorders>
            <w:noWrap w:val="0"/>
            <w:vAlign w:val="center"/>
          </w:tcPr>
          <w:p w14:paraId="153566E8">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运行记录档案</w:t>
            </w:r>
          </w:p>
        </w:tc>
        <w:tc>
          <w:tcPr>
            <w:tcW w:w="1185" w:type="dxa"/>
            <w:tcBorders>
              <w:tl2br w:val="nil"/>
              <w:tr2bl w:val="nil"/>
            </w:tcBorders>
            <w:noWrap w:val="0"/>
            <w:vAlign w:val="center"/>
          </w:tcPr>
          <w:p w14:paraId="28E33939">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查阅文档</w:t>
            </w:r>
          </w:p>
        </w:tc>
        <w:tc>
          <w:tcPr>
            <w:tcW w:w="726" w:type="dxa"/>
            <w:tcBorders>
              <w:tl2br w:val="nil"/>
              <w:tr2bl w:val="nil"/>
            </w:tcBorders>
            <w:noWrap w:val="0"/>
            <w:vAlign w:val="center"/>
          </w:tcPr>
          <w:p w14:paraId="63C55241">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6E31F0DD">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2FC1D4B3">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2629A231">
            <w:pPr>
              <w:pageBreakBefore w:val="0"/>
              <w:wordWrap/>
              <w:topLinePunct w:val="0"/>
              <w:bidi w:val="0"/>
              <w:spacing w:line="360" w:lineRule="auto"/>
              <w:jc w:val="center"/>
              <w:rPr>
                <w:rFonts w:hint="eastAsia" w:ascii="仿宋" w:hAnsi="仿宋" w:eastAsia="仿宋" w:cs="仿宋"/>
                <w:sz w:val="24"/>
                <w:szCs w:val="24"/>
              </w:rPr>
            </w:pPr>
          </w:p>
        </w:tc>
      </w:tr>
      <w:tr w14:paraId="3B429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restart"/>
            <w:tcBorders>
              <w:tl2br w:val="nil"/>
              <w:tr2bl w:val="nil"/>
            </w:tcBorders>
            <w:noWrap w:val="0"/>
            <w:vAlign w:val="center"/>
          </w:tcPr>
          <w:p w14:paraId="6DCA0C2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人</w:t>
            </w:r>
          </w:p>
          <w:p w14:paraId="6BE2D81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员</w:t>
            </w:r>
          </w:p>
          <w:p w14:paraId="4B59439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设</w:t>
            </w:r>
          </w:p>
          <w:p w14:paraId="6739130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备</w:t>
            </w:r>
          </w:p>
          <w:p w14:paraId="71DE64D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管</w:t>
            </w:r>
          </w:p>
          <w:p w14:paraId="4224A3D8">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理</w:t>
            </w:r>
          </w:p>
          <w:p w14:paraId="6742965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12 分</w:t>
            </w:r>
          </w:p>
        </w:tc>
        <w:tc>
          <w:tcPr>
            <w:tcW w:w="543" w:type="dxa"/>
            <w:tcBorders>
              <w:tl2br w:val="nil"/>
              <w:tr2bl w:val="nil"/>
            </w:tcBorders>
            <w:noWrap w:val="0"/>
            <w:vAlign w:val="center"/>
          </w:tcPr>
          <w:p w14:paraId="5E4A67CC">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507" w:type="dxa"/>
            <w:tcBorders>
              <w:tl2br w:val="nil"/>
              <w:tr2bl w:val="nil"/>
            </w:tcBorders>
            <w:noWrap w:val="0"/>
            <w:vAlign w:val="center"/>
          </w:tcPr>
          <w:p w14:paraId="178149E0">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员工持证上岗</w:t>
            </w:r>
          </w:p>
        </w:tc>
        <w:tc>
          <w:tcPr>
            <w:tcW w:w="1185" w:type="dxa"/>
            <w:tcBorders>
              <w:tl2br w:val="nil"/>
              <w:tr2bl w:val="nil"/>
            </w:tcBorders>
            <w:noWrap w:val="0"/>
            <w:vAlign w:val="center"/>
          </w:tcPr>
          <w:p w14:paraId="4155B5F7">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查阅文档</w:t>
            </w:r>
          </w:p>
        </w:tc>
        <w:tc>
          <w:tcPr>
            <w:tcW w:w="726" w:type="dxa"/>
            <w:tcBorders>
              <w:tl2br w:val="nil"/>
              <w:tr2bl w:val="nil"/>
            </w:tcBorders>
            <w:noWrap w:val="0"/>
            <w:vAlign w:val="center"/>
          </w:tcPr>
          <w:p w14:paraId="437DACF3">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5E09B0D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1 分</w:t>
            </w:r>
          </w:p>
        </w:tc>
        <w:tc>
          <w:tcPr>
            <w:tcW w:w="727" w:type="dxa"/>
            <w:tcBorders>
              <w:tl2br w:val="nil"/>
              <w:tr2bl w:val="nil"/>
            </w:tcBorders>
            <w:noWrap w:val="0"/>
            <w:vAlign w:val="center"/>
          </w:tcPr>
          <w:p w14:paraId="17AA0BA7">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51BAD3DD">
            <w:pPr>
              <w:pageBreakBefore w:val="0"/>
              <w:wordWrap/>
              <w:topLinePunct w:val="0"/>
              <w:bidi w:val="0"/>
              <w:spacing w:line="360" w:lineRule="auto"/>
              <w:jc w:val="center"/>
              <w:rPr>
                <w:rFonts w:hint="eastAsia" w:ascii="仿宋" w:hAnsi="仿宋" w:eastAsia="仿宋" w:cs="仿宋"/>
                <w:sz w:val="24"/>
                <w:szCs w:val="24"/>
              </w:rPr>
            </w:pPr>
          </w:p>
        </w:tc>
      </w:tr>
      <w:tr w14:paraId="67042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874" w:type="dxa"/>
            <w:vMerge w:val="continue"/>
            <w:tcBorders>
              <w:tl2br w:val="nil"/>
              <w:tr2bl w:val="nil"/>
            </w:tcBorders>
            <w:noWrap w:val="0"/>
            <w:vAlign w:val="center"/>
          </w:tcPr>
          <w:p w14:paraId="27E06D5F">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59E953A9">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507" w:type="dxa"/>
            <w:tcBorders>
              <w:tl2br w:val="nil"/>
              <w:tr2bl w:val="nil"/>
            </w:tcBorders>
            <w:noWrap w:val="0"/>
            <w:vAlign w:val="center"/>
          </w:tcPr>
          <w:p w14:paraId="5E4AEA4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人员档案上岗人数</w:t>
            </w:r>
          </w:p>
        </w:tc>
        <w:tc>
          <w:tcPr>
            <w:tcW w:w="1185" w:type="dxa"/>
            <w:tcBorders>
              <w:tl2br w:val="nil"/>
              <w:tr2bl w:val="nil"/>
            </w:tcBorders>
            <w:noWrap w:val="0"/>
            <w:vAlign w:val="center"/>
          </w:tcPr>
          <w:p w14:paraId="24D13F63">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点名、工资表</w:t>
            </w:r>
          </w:p>
        </w:tc>
        <w:tc>
          <w:tcPr>
            <w:tcW w:w="726" w:type="dxa"/>
            <w:tcBorders>
              <w:tl2br w:val="nil"/>
              <w:tr2bl w:val="nil"/>
            </w:tcBorders>
            <w:noWrap w:val="0"/>
            <w:vAlign w:val="center"/>
          </w:tcPr>
          <w:p w14:paraId="12CC0852">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09D2059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分</w:t>
            </w:r>
          </w:p>
        </w:tc>
        <w:tc>
          <w:tcPr>
            <w:tcW w:w="727" w:type="dxa"/>
            <w:tcBorders>
              <w:tl2br w:val="nil"/>
              <w:tr2bl w:val="nil"/>
            </w:tcBorders>
            <w:noWrap w:val="0"/>
            <w:vAlign w:val="center"/>
          </w:tcPr>
          <w:p w14:paraId="7636757B">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7CF5B031">
            <w:pPr>
              <w:pageBreakBefore w:val="0"/>
              <w:wordWrap/>
              <w:topLinePunct w:val="0"/>
              <w:bidi w:val="0"/>
              <w:spacing w:line="360" w:lineRule="auto"/>
              <w:jc w:val="center"/>
              <w:rPr>
                <w:rFonts w:hint="eastAsia" w:ascii="仿宋" w:hAnsi="仿宋" w:eastAsia="仿宋" w:cs="仿宋"/>
                <w:sz w:val="24"/>
                <w:szCs w:val="24"/>
              </w:rPr>
            </w:pPr>
          </w:p>
        </w:tc>
      </w:tr>
      <w:tr w14:paraId="071BF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1149BA11">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750AA37E">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507" w:type="dxa"/>
            <w:tcBorders>
              <w:tl2br w:val="nil"/>
              <w:tr2bl w:val="nil"/>
            </w:tcBorders>
            <w:noWrap w:val="0"/>
            <w:vAlign w:val="center"/>
          </w:tcPr>
          <w:p w14:paraId="44B3604D">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礼仪礼节、统一着装</w:t>
            </w:r>
          </w:p>
        </w:tc>
        <w:tc>
          <w:tcPr>
            <w:tcW w:w="1185" w:type="dxa"/>
            <w:tcBorders>
              <w:tl2br w:val="nil"/>
              <w:tr2bl w:val="nil"/>
            </w:tcBorders>
            <w:noWrap w:val="0"/>
            <w:vAlign w:val="center"/>
          </w:tcPr>
          <w:p w14:paraId="249C65B6">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74A24737">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55E7D3E8">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0.1 分</w:t>
            </w:r>
          </w:p>
        </w:tc>
        <w:tc>
          <w:tcPr>
            <w:tcW w:w="727" w:type="dxa"/>
            <w:tcBorders>
              <w:tl2br w:val="nil"/>
              <w:tr2bl w:val="nil"/>
            </w:tcBorders>
            <w:noWrap w:val="0"/>
            <w:vAlign w:val="center"/>
          </w:tcPr>
          <w:p w14:paraId="7CD642FA">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4633B5C3">
            <w:pPr>
              <w:pageBreakBefore w:val="0"/>
              <w:wordWrap/>
              <w:topLinePunct w:val="0"/>
              <w:bidi w:val="0"/>
              <w:spacing w:line="360" w:lineRule="auto"/>
              <w:jc w:val="center"/>
              <w:rPr>
                <w:rFonts w:hint="eastAsia" w:ascii="仿宋" w:hAnsi="仿宋" w:eastAsia="仿宋" w:cs="仿宋"/>
                <w:sz w:val="24"/>
                <w:szCs w:val="24"/>
              </w:rPr>
            </w:pPr>
          </w:p>
        </w:tc>
      </w:tr>
      <w:tr w14:paraId="5D9D9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37DC2CC4">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3FE6CB7F">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507" w:type="dxa"/>
            <w:tcBorders>
              <w:tl2br w:val="nil"/>
              <w:tr2bl w:val="nil"/>
            </w:tcBorders>
            <w:noWrap w:val="0"/>
            <w:vAlign w:val="center"/>
          </w:tcPr>
          <w:p w14:paraId="47F4512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设施设备完好</w:t>
            </w:r>
          </w:p>
        </w:tc>
        <w:tc>
          <w:tcPr>
            <w:tcW w:w="1185" w:type="dxa"/>
            <w:tcBorders>
              <w:tl2br w:val="nil"/>
              <w:tr2bl w:val="nil"/>
            </w:tcBorders>
            <w:noWrap w:val="0"/>
            <w:vAlign w:val="center"/>
          </w:tcPr>
          <w:p w14:paraId="7E106E27">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现场查看</w:t>
            </w:r>
          </w:p>
        </w:tc>
        <w:tc>
          <w:tcPr>
            <w:tcW w:w="726" w:type="dxa"/>
            <w:tcBorders>
              <w:tl2br w:val="nil"/>
              <w:tr2bl w:val="nil"/>
            </w:tcBorders>
            <w:noWrap w:val="0"/>
            <w:vAlign w:val="center"/>
          </w:tcPr>
          <w:p w14:paraId="0799949D">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2BBDFBDA">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分</w:t>
            </w:r>
          </w:p>
        </w:tc>
        <w:tc>
          <w:tcPr>
            <w:tcW w:w="727" w:type="dxa"/>
            <w:tcBorders>
              <w:tl2br w:val="nil"/>
              <w:tr2bl w:val="nil"/>
            </w:tcBorders>
            <w:noWrap w:val="0"/>
            <w:vAlign w:val="center"/>
          </w:tcPr>
          <w:p w14:paraId="40AEFCEC">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3548E1AF">
            <w:pPr>
              <w:pageBreakBefore w:val="0"/>
              <w:wordWrap/>
              <w:topLinePunct w:val="0"/>
              <w:bidi w:val="0"/>
              <w:spacing w:line="360" w:lineRule="auto"/>
              <w:jc w:val="center"/>
              <w:rPr>
                <w:rFonts w:hint="eastAsia" w:ascii="仿宋" w:hAnsi="仿宋" w:eastAsia="仿宋" w:cs="仿宋"/>
                <w:sz w:val="24"/>
                <w:szCs w:val="24"/>
              </w:rPr>
            </w:pPr>
          </w:p>
        </w:tc>
      </w:tr>
      <w:tr w14:paraId="42B00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62ED6AD5">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58817233">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507" w:type="dxa"/>
            <w:tcBorders>
              <w:tl2br w:val="nil"/>
              <w:tr2bl w:val="nil"/>
            </w:tcBorders>
            <w:noWrap w:val="0"/>
            <w:vAlign w:val="center"/>
          </w:tcPr>
          <w:p w14:paraId="501EBD6F">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设施设备台账</w:t>
            </w:r>
          </w:p>
        </w:tc>
        <w:tc>
          <w:tcPr>
            <w:tcW w:w="1185" w:type="dxa"/>
            <w:tcBorders>
              <w:tl2br w:val="nil"/>
              <w:tr2bl w:val="nil"/>
            </w:tcBorders>
            <w:noWrap w:val="0"/>
            <w:vAlign w:val="center"/>
          </w:tcPr>
          <w:p w14:paraId="7BBB6861">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查阅记录</w:t>
            </w:r>
          </w:p>
        </w:tc>
        <w:tc>
          <w:tcPr>
            <w:tcW w:w="726" w:type="dxa"/>
            <w:tcBorders>
              <w:tl2br w:val="nil"/>
              <w:tr2bl w:val="nil"/>
            </w:tcBorders>
            <w:noWrap w:val="0"/>
            <w:vAlign w:val="center"/>
          </w:tcPr>
          <w:p w14:paraId="578063AF">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18304AA5">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分</w:t>
            </w:r>
          </w:p>
        </w:tc>
        <w:tc>
          <w:tcPr>
            <w:tcW w:w="727" w:type="dxa"/>
            <w:tcBorders>
              <w:tl2br w:val="nil"/>
              <w:tr2bl w:val="nil"/>
            </w:tcBorders>
            <w:noWrap w:val="0"/>
            <w:vAlign w:val="center"/>
          </w:tcPr>
          <w:p w14:paraId="67DFA749">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7120BBAF">
            <w:pPr>
              <w:pageBreakBefore w:val="0"/>
              <w:wordWrap/>
              <w:topLinePunct w:val="0"/>
              <w:bidi w:val="0"/>
              <w:spacing w:line="360" w:lineRule="auto"/>
              <w:jc w:val="center"/>
              <w:rPr>
                <w:rFonts w:hint="eastAsia" w:ascii="仿宋" w:hAnsi="仿宋" w:eastAsia="仿宋" w:cs="仿宋"/>
                <w:sz w:val="24"/>
                <w:szCs w:val="24"/>
              </w:rPr>
            </w:pPr>
          </w:p>
        </w:tc>
      </w:tr>
      <w:tr w14:paraId="78A0B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 w:type="dxa"/>
            <w:vMerge w:val="continue"/>
            <w:tcBorders>
              <w:tl2br w:val="nil"/>
              <w:tr2bl w:val="nil"/>
            </w:tcBorders>
            <w:noWrap w:val="0"/>
            <w:vAlign w:val="center"/>
          </w:tcPr>
          <w:p w14:paraId="4B668720">
            <w:pPr>
              <w:pageBreakBefore w:val="0"/>
              <w:wordWrap/>
              <w:topLinePunct w:val="0"/>
              <w:bidi w:val="0"/>
              <w:spacing w:line="360" w:lineRule="auto"/>
              <w:jc w:val="center"/>
              <w:rPr>
                <w:rFonts w:hint="eastAsia" w:ascii="仿宋" w:hAnsi="仿宋" w:eastAsia="仿宋" w:cs="仿宋"/>
                <w:sz w:val="24"/>
                <w:szCs w:val="24"/>
              </w:rPr>
            </w:pPr>
          </w:p>
        </w:tc>
        <w:tc>
          <w:tcPr>
            <w:tcW w:w="543" w:type="dxa"/>
            <w:tcBorders>
              <w:tl2br w:val="nil"/>
              <w:tr2bl w:val="nil"/>
            </w:tcBorders>
            <w:noWrap w:val="0"/>
            <w:vAlign w:val="center"/>
          </w:tcPr>
          <w:p w14:paraId="36AA3F18">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507" w:type="dxa"/>
            <w:tcBorders>
              <w:tl2br w:val="nil"/>
              <w:tr2bl w:val="nil"/>
            </w:tcBorders>
            <w:noWrap w:val="0"/>
            <w:vAlign w:val="center"/>
          </w:tcPr>
          <w:p w14:paraId="049687E4">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设施设备维修、养护</w:t>
            </w:r>
          </w:p>
        </w:tc>
        <w:tc>
          <w:tcPr>
            <w:tcW w:w="1185" w:type="dxa"/>
            <w:tcBorders>
              <w:tl2br w:val="nil"/>
              <w:tr2bl w:val="nil"/>
            </w:tcBorders>
            <w:noWrap w:val="0"/>
            <w:vAlign w:val="center"/>
          </w:tcPr>
          <w:p w14:paraId="6F327762">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查阅记录</w:t>
            </w:r>
          </w:p>
        </w:tc>
        <w:tc>
          <w:tcPr>
            <w:tcW w:w="726" w:type="dxa"/>
            <w:tcBorders>
              <w:tl2br w:val="nil"/>
              <w:tr2bl w:val="nil"/>
            </w:tcBorders>
            <w:noWrap w:val="0"/>
            <w:vAlign w:val="center"/>
          </w:tcPr>
          <w:p w14:paraId="28A97DF6">
            <w:pPr>
              <w:pageBreakBefore w:val="0"/>
              <w:wordWrap/>
              <w:topLinePunct w:val="0"/>
              <w:bidi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020" w:type="dxa"/>
            <w:tcBorders>
              <w:tl2br w:val="nil"/>
              <w:tr2bl w:val="nil"/>
            </w:tcBorders>
            <w:noWrap w:val="0"/>
            <w:vAlign w:val="center"/>
          </w:tcPr>
          <w:p w14:paraId="4B9F84CC">
            <w:pPr>
              <w:pageBreakBefore w:val="0"/>
              <w:wordWrap/>
              <w:topLinePunct w:val="0"/>
              <w:bidi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每处不合格项扣除 0.</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分</w:t>
            </w:r>
          </w:p>
        </w:tc>
        <w:tc>
          <w:tcPr>
            <w:tcW w:w="727" w:type="dxa"/>
            <w:tcBorders>
              <w:tl2br w:val="nil"/>
              <w:tr2bl w:val="nil"/>
            </w:tcBorders>
            <w:noWrap w:val="0"/>
            <w:vAlign w:val="center"/>
          </w:tcPr>
          <w:p w14:paraId="0CD2F75D">
            <w:pPr>
              <w:pageBreakBefore w:val="0"/>
              <w:wordWrap/>
              <w:topLinePunct w:val="0"/>
              <w:bidi w:val="0"/>
              <w:spacing w:line="360" w:lineRule="auto"/>
              <w:jc w:val="center"/>
              <w:rPr>
                <w:rFonts w:hint="eastAsia" w:ascii="仿宋" w:hAnsi="仿宋" w:eastAsia="仿宋" w:cs="仿宋"/>
                <w:sz w:val="24"/>
                <w:szCs w:val="24"/>
              </w:rPr>
            </w:pPr>
          </w:p>
        </w:tc>
        <w:tc>
          <w:tcPr>
            <w:tcW w:w="728" w:type="dxa"/>
            <w:tcBorders>
              <w:tl2br w:val="nil"/>
              <w:tr2bl w:val="nil"/>
            </w:tcBorders>
            <w:noWrap w:val="0"/>
            <w:vAlign w:val="center"/>
          </w:tcPr>
          <w:p w14:paraId="15167C62">
            <w:pPr>
              <w:pageBreakBefore w:val="0"/>
              <w:wordWrap/>
              <w:topLinePunct w:val="0"/>
              <w:bidi w:val="0"/>
              <w:spacing w:line="360" w:lineRule="auto"/>
              <w:jc w:val="center"/>
              <w:rPr>
                <w:rFonts w:hint="eastAsia" w:ascii="仿宋" w:hAnsi="仿宋" w:eastAsia="仿宋" w:cs="仿宋"/>
                <w:sz w:val="24"/>
                <w:szCs w:val="24"/>
              </w:rPr>
            </w:pPr>
          </w:p>
        </w:tc>
      </w:tr>
    </w:tbl>
    <w:p w14:paraId="4A4A3A39">
      <w:pPr>
        <w:pageBreakBefore w:val="0"/>
        <w:wordWrap/>
        <w:topLinePunct w:val="0"/>
        <w:bidi w:val="0"/>
        <w:spacing w:line="360" w:lineRule="auto"/>
        <w:rPr>
          <w:rFonts w:hint="eastAsia" w:ascii="仿宋" w:hAnsi="仿宋" w:eastAsia="仿宋" w:cs="仿宋"/>
          <w:sz w:val="28"/>
          <w:szCs w:val="28"/>
        </w:rPr>
      </w:pPr>
    </w:p>
    <w:p w14:paraId="1651A6A4">
      <w:pPr>
        <w:pageBreakBefore w:val="0"/>
        <w:wordWrap/>
        <w:topLinePunct w:val="0"/>
        <w:bidi w:val="0"/>
        <w:spacing w:line="360" w:lineRule="auto"/>
        <w:jc w:val="center"/>
        <w:rPr>
          <w:rFonts w:hint="eastAsia" w:ascii="仿宋" w:hAnsi="仿宋" w:eastAsia="仿宋" w:cs="仿宋"/>
        </w:rPr>
      </w:pPr>
    </w:p>
    <w:bookmarkEnd w:id="600"/>
    <w:bookmarkEnd w:id="601"/>
    <w:bookmarkEnd w:id="602"/>
    <w:p w14:paraId="7FE2C3C0">
      <w:pPr>
        <w:pStyle w:val="151"/>
        <w:pageBreakBefore w:val="0"/>
        <w:wordWrap/>
        <w:topLinePunct w:val="0"/>
        <w:bidi w:val="0"/>
        <w:spacing w:after="340" w:line="360" w:lineRule="auto"/>
        <w:ind w:left="0" w:leftChars="0" w:firstLine="0" w:firstLine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bookmarkStart w:id="604" w:name="_Toc15631"/>
      <w:r>
        <w:rPr>
          <w:rFonts w:hint="eastAsia" w:ascii="仿宋" w:hAnsi="仿宋" w:eastAsia="仿宋" w:cs="仿宋"/>
          <w:sz w:val="32"/>
          <w:szCs w:val="32"/>
          <w:lang w:val="en-US" w:eastAsia="zh-CN"/>
        </w:rPr>
        <w:t>第九章 附件</w:t>
      </w:r>
      <w:bookmarkEnd w:id="583"/>
      <w:bookmarkEnd w:id="584"/>
      <w:bookmarkEnd w:id="585"/>
      <w:bookmarkEnd w:id="586"/>
      <w:bookmarkEnd w:id="604"/>
    </w:p>
    <w:bookmarkEnd w:id="587"/>
    <w:bookmarkEnd w:id="588"/>
    <w:bookmarkEnd w:id="589"/>
    <w:bookmarkEnd w:id="590"/>
    <w:bookmarkEnd w:id="591"/>
    <w:bookmarkEnd w:id="592"/>
    <w:bookmarkEnd w:id="593"/>
    <w:bookmarkEnd w:id="594"/>
    <w:bookmarkEnd w:id="595"/>
    <w:bookmarkEnd w:id="596"/>
    <w:bookmarkEnd w:id="597"/>
    <w:bookmarkEnd w:id="598"/>
    <w:p w14:paraId="6E876321">
      <w:pPr>
        <w:keepNext/>
        <w:keepLines/>
        <w:pageBreakBefore w:val="0"/>
        <w:widowControl w:val="0"/>
        <w:wordWrap/>
        <w:topLinePunct w:val="0"/>
        <w:autoSpaceDE w:val="0"/>
        <w:autoSpaceDN w:val="0"/>
        <w:bidi w:val="0"/>
        <w:adjustRightInd w:val="0"/>
        <w:spacing w:line="360" w:lineRule="auto"/>
        <w:outlineLvl w:val="1"/>
        <w:rPr>
          <w:rFonts w:hint="eastAsia" w:ascii="仿宋" w:hAnsi="仿宋" w:eastAsia="仿宋" w:cs="仿宋"/>
          <w:bCs/>
          <w:color w:val="auto"/>
          <w:kern w:val="0"/>
          <w:sz w:val="28"/>
          <w:szCs w:val="28"/>
          <w:lang w:val="en-US" w:eastAsia="zh-CN"/>
        </w:rPr>
      </w:pPr>
      <w:bookmarkStart w:id="605" w:name="_Toc1250555939_WPSOffice_Level1"/>
      <w:bookmarkStart w:id="606" w:name="_Toc1681897155"/>
      <w:r>
        <w:rPr>
          <w:rFonts w:hint="eastAsia" w:ascii="仿宋" w:hAnsi="仿宋" w:eastAsia="仿宋" w:cs="仿宋"/>
          <w:bCs/>
          <w:color w:val="auto"/>
          <w:kern w:val="0"/>
          <w:sz w:val="28"/>
          <w:szCs w:val="28"/>
          <w:lang w:val="en-US" w:eastAsia="zh-CN"/>
        </w:rPr>
        <w:t>附件1：河南省政府采购合同融资政策告知函</w:t>
      </w:r>
      <w:bookmarkEnd w:id="605"/>
      <w:bookmarkEnd w:id="606"/>
    </w:p>
    <w:p w14:paraId="3797FDE3">
      <w:pPr>
        <w:pageBreakBefore w:val="0"/>
        <w:widowControl w:val="0"/>
        <w:wordWrap/>
        <w:topLinePunct w:val="0"/>
        <w:bidi w:val="0"/>
        <w:spacing w:line="360" w:lineRule="auto"/>
        <w:jc w:val="left"/>
        <w:rPr>
          <w:rFonts w:hint="eastAsia" w:ascii="仿宋" w:hAnsi="仿宋" w:eastAsia="仿宋" w:cs="仿宋"/>
          <w:b/>
          <w:bCs/>
          <w:color w:val="auto"/>
          <w:sz w:val="28"/>
          <w:szCs w:val="28"/>
          <w:lang w:val="en-US" w:eastAsia="zh-CN"/>
        </w:rPr>
      </w:pPr>
    </w:p>
    <w:p w14:paraId="0DBD974F">
      <w:pPr>
        <w:pageBreakBefore w:val="0"/>
        <w:wordWrap/>
        <w:topLinePunct w:val="0"/>
        <w:bidi w:val="0"/>
        <w:spacing w:line="360" w:lineRule="auto"/>
        <w:jc w:val="center"/>
        <w:rPr>
          <w:rFonts w:hint="eastAsia" w:ascii="仿宋" w:hAnsi="仿宋" w:eastAsia="仿宋" w:cs="仿宋"/>
          <w:b/>
          <w:bCs/>
          <w:color w:val="auto"/>
          <w:sz w:val="28"/>
          <w:szCs w:val="28"/>
          <w:lang w:val="en-US" w:eastAsia="zh-CN"/>
        </w:rPr>
      </w:pPr>
      <w:bookmarkStart w:id="607" w:name="_Toc1740618990_WPSOffice_Level1"/>
      <w:bookmarkStart w:id="608" w:name="_Toc495162933_WPSOffice_Level2"/>
      <w:bookmarkStart w:id="609" w:name="_Toc587059936_WPSOffice_Level2"/>
      <w:bookmarkStart w:id="610" w:name="_Toc285380293_WPSOffice_Level1"/>
      <w:bookmarkStart w:id="611" w:name="_Toc1775221587_WPSOffice_Level1"/>
      <w:r>
        <w:rPr>
          <w:rFonts w:hint="eastAsia" w:ascii="仿宋" w:hAnsi="仿宋" w:eastAsia="仿宋" w:cs="仿宋"/>
          <w:b/>
          <w:bCs/>
          <w:color w:val="auto"/>
          <w:sz w:val="28"/>
          <w:szCs w:val="28"/>
          <w:lang w:val="en-US" w:eastAsia="zh-CN"/>
        </w:rPr>
        <w:t>河南省政府采购合同融资政策告知函</w:t>
      </w:r>
      <w:bookmarkEnd w:id="607"/>
      <w:bookmarkEnd w:id="608"/>
      <w:bookmarkEnd w:id="609"/>
      <w:bookmarkEnd w:id="610"/>
      <w:bookmarkEnd w:id="611"/>
    </w:p>
    <w:p w14:paraId="7B4B051C">
      <w:pPr>
        <w:pageBreakBefore w:val="0"/>
        <w:widowControl w:val="0"/>
        <w:wordWrap/>
        <w:topLinePunct w:val="0"/>
        <w:bidi w:val="0"/>
        <w:spacing w:line="360" w:lineRule="auto"/>
        <w:rPr>
          <w:rFonts w:hint="eastAsia" w:ascii="仿宋" w:hAnsi="仿宋" w:eastAsia="仿宋" w:cs="仿宋"/>
          <w:color w:val="auto"/>
          <w:sz w:val="28"/>
          <w:szCs w:val="28"/>
          <w:lang w:val="en-US" w:eastAsia="zh-CN"/>
        </w:rPr>
      </w:pPr>
    </w:p>
    <w:p w14:paraId="7E038DCD">
      <w:pPr>
        <w:pageBreakBefore w:val="0"/>
        <w:widowControl w:val="0"/>
        <w:wordWrap/>
        <w:topLinePunct w:val="0"/>
        <w:bidi w:val="0"/>
        <w:spacing w:line="360" w:lineRule="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各供应商：</w:t>
      </w:r>
    </w:p>
    <w:p w14:paraId="7D2EAADD">
      <w:pPr>
        <w:pageBreakBefore w:val="0"/>
        <w:widowControl w:val="0"/>
        <w:wordWrap/>
        <w:topLinePunct w:val="0"/>
        <w:bidi w:val="0"/>
        <w:spacing w:line="36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欢迎贵公司参与河南省政府采购活动！</w:t>
      </w:r>
    </w:p>
    <w:p w14:paraId="1AD04452">
      <w:pPr>
        <w:pageBreakBefore w:val="0"/>
        <w:widowControl w:val="0"/>
        <w:wordWrap/>
        <w:topLinePunct w:val="0"/>
        <w:bidi w:val="0"/>
        <w:spacing w:line="36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政府采购合同融资是河南省财政厅支持中小微企业发展，针对参与政府采购活动的投标人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D877CDE">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贷款渠道和提供贷款的金融机构，可在河南省政府采购网“河南省政府采购合同融资平台”查询联系。</w:t>
      </w:r>
    </w:p>
    <w:p w14:paraId="2BD78E21">
      <w:pPr>
        <w:pageBreakBefore w:val="0"/>
        <w:wordWrap/>
        <w:topLinePunct w:val="0"/>
        <w:bidi w:val="0"/>
        <w:spacing w:line="360" w:lineRule="auto"/>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eastAsia="zh-CN"/>
        </w:rPr>
        <w:br w:type="page"/>
      </w:r>
    </w:p>
    <w:p w14:paraId="0C174DE2">
      <w:pPr>
        <w:keepNext/>
        <w:keepLines/>
        <w:pageBreakBefore w:val="0"/>
        <w:widowControl w:val="0"/>
        <w:wordWrap/>
        <w:topLinePunct w:val="0"/>
        <w:autoSpaceDE w:val="0"/>
        <w:autoSpaceDN w:val="0"/>
        <w:bidi w:val="0"/>
        <w:adjustRightInd w:val="0"/>
        <w:spacing w:line="360" w:lineRule="auto"/>
        <w:outlineLvl w:val="1"/>
        <w:rPr>
          <w:rFonts w:hint="eastAsia" w:ascii="仿宋" w:hAnsi="仿宋" w:eastAsia="仿宋" w:cs="仿宋"/>
          <w:bCs/>
          <w:color w:val="auto"/>
          <w:kern w:val="0"/>
          <w:sz w:val="28"/>
          <w:szCs w:val="28"/>
          <w:lang w:val="en-US" w:eastAsia="zh-CN"/>
        </w:rPr>
      </w:pPr>
      <w:r>
        <w:rPr>
          <w:rFonts w:hint="eastAsia" w:ascii="仿宋" w:hAnsi="仿宋" w:eastAsia="仿宋" w:cs="仿宋"/>
          <w:bCs/>
          <w:color w:val="auto"/>
          <w:kern w:val="0"/>
          <w:sz w:val="28"/>
          <w:szCs w:val="28"/>
          <w:lang w:val="en-US" w:eastAsia="zh-CN"/>
        </w:rPr>
        <w:t>附件2：</w:t>
      </w:r>
      <w:bookmarkStart w:id="612" w:name="_Toc853194655"/>
      <w:bookmarkStart w:id="613" w:name="_Toc347624563"/>
      <w:bookmarkStart w:id="614" w:name="_Toc1587242122"/>
      <w:bookmarkStart w:id="615" w:name="_Toc658018444_WPSOffice_Level2"/>
      <w:r>
        <w:rPr>
          <w:rFonts w:hint="eastAsia" w:ascii="仿宋" w:hAnsi="仿宋" w:eastAsia="仿宋" w:cs="仿宋"/>
          <w:bCs/>
          <w:color w:val="auto"/>
          <w:kern w:val="0"/>
          <w:sz w:val="28"/>
          <w:szCs w:val="28"/>
          <w:lang w:val="en-US" w:eastAsia="zh-CN"/>
        </w:rPr>
        <w:t>关于印发中小企业划型标准规定的通知</w:t>
      </w:r>
      <w:bookmarkEnd w:id="612"/>
      <w:bookmarkEnd w:id="613"/>
      <w:bookmarkEnd w:id="614"/>
      <w:bookmarkEnd w:id="615"/>
    </w:p>
    <w:p w14:paraId="18D91FF2">
      <w:pPr>
        <w:pStyle w:val="46"/>
        <w:pageBreakBefore w:val="0"/>
        <w:wordWrap/>
        <w:topLinePunct w:val="0"/>
        <w:bidi w:val="0"/>
        <w:spacing w:line="360" w:lineRule="auto"/>
        <w:jc w:val="center"/>
        <w:rPr>
          <w:rFonts w:hint="eastAsia" w:ascii="仿宋" w:hAnsi="仿宋" w:eastAsia="仿宋" w:cs="仿宋"/>
          <w:color w:val="auto"/>
          <w:sz w:val="28"/>
          <w:szCs w:val="28"/>
        </w:rPr>
      </w:pPr>
      <w:bookmarkStart w:id="616" w:name="_Toc1413325678_WPSOffice_Level3"/>
      <w:r>
        <w:rPr>
          <w:rFonts w:hint="eastAsia" w:ascii="仿宋" w:hAnsi="仿宋" w:eastAsia="仿宋" w:cs="仿宋"/>
          <w:color w:val="auto"/>
          <w:sz w:val="28"/>
          <w:szCs w:val="28"/>
        </w:rPr>
        <w:t>工信部联企业[2011]300号</w:t>
      </w:r>
      <w:bookmarkEnd w:id="616"/>
    </w:p>
    <w:p w14:paraId="4DFE0893">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各省、自治区、直辖市人民政府，国务院各部委、各直属机构及有关单位：</w:t>
      </w:r>
    </w:p>
    <w:p w14:paraId="599E78BA">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3E5366E">
      <w:pPr>
        <w:pStyle w:val="46"/>
        <w:pageBreakBefore w:val="0"/>
        <w:wordWrap/>
        <w:topLinePunct w:val="0"/>
        <w:bidi w:val="0"/>
        <w:spacing w:line="360" w:lineRule="auto"/>
        <w:jc w:val="right"/>
        <w:rPr>
          <w:rFonts w:hint="eastAsia" w:ascii="仿宋" w:hAnsi="仿宋" w:eastAsia="仿宋" w:cs="仿宋"/>
          <w:color w:val="auto"/>
          <w:sz w:val="28"/>
          <w:szCs w:val="28"/>
        </w:rPr>
      </w:pPr>
      <w:r>
        <w:rPr>
          <w:rFonts w:hint="eastAsia" w:ascii="仿宋" w:hAnsi="仿宋" w:eastAsia="仿宋" w:cs="仿宋"/>
          <w:color w:val="auto"/>
          <w:sz w:val="28"/>
          <w:szCs w:val="28"/>
        </w:rPr>
        <w:t>　　　　　　　　　　　　　　　　　　　　　　 工业和信息化部　国家统计局</w:t>
      </w:r>
    </w:p>
    <w:p w14:paraId="663E00B0">
      <w:pPr>
        <w:pStyle w:val="46"/>
        <w:pageBreakBefore w:val="0"/>
        <w:wordWrap/>
        <w:topLinePunct w:val="0"/>
        <w:bidi w:val="0"/>
        <w:spacing w:line="360" w:lineRule="auto"/>
        <w:jc w:val="right"/>
        <w:rPr>
          <w:rFonts w:hint="eastAsia" w:ascii="仿宋" w:hAnsi="仿宋" w:eastAsia="仿宋" w:cs="仿宋"/>
          <w:color w:val="auto"/>
          <w:sz w:val="28"/>
          <w:szCs w:val="28"/>
        </w:rPr>
      </w:pPr>
      <w:r>
        <w:rPr>
          <w:rFonts w:hint="eastAsia" w:ascii="仿宋" w:hAnsi="仿宋" w:eastAsia="仿宋" w:cs="仿宋"/>
          <w:color w:val="auto"/>
          <w:sz w:val="28"/>
          <w:szCs w:val="28"/>
        </w:rPr>
        <w:t>　　　　　　　　　　　　　　　　　　　国家发展和改革委员会　财政部</w:t>
      </w:r>
    </w:p>
    <w:p w14:paraId="2F0A3478">
      <w:pPr>
        <w:pStyle w:val="46"/>
        <w:pageBreakBefore w:val="0"/>
        <w:wordWrap/>
        <w:topLinePunct w:val="0"/>
        <w:bidi w:val="0"/>
        <w:spacing w:line="360" w:lineRule="auto"/>
        <w:jc w:val="right"/>
        <w:rPr>
          <w:rFonts w:hint="eastAsia" w:ascii="仿宋" w:hAnsi="仿宋" w:eastAsia="仿宋" w:cs="仿宋"/>
          <w:color w:val="auto"/>
          <w:sz w:val="28"/>
          <w:szCs w:val="28"/>
        </w:rPr>
      </w:pPr>
      <w:r>
        <w:rPr>
          <w:rFonts w:hint="eastAsia" w:ascii="仿宋" w:hAnsi="仿宋" w:eastAsia="仿宋" w:cs="仿宋"/>
          <w:color w:val="auto"/>
          <w:sz w:val="28"/>
          <w:szCs w:val="28"/>
        </w:rPr>
        <w:t>　　　　　　　　　　　　　　　　　　　二〇一一年六月十八日</w:t>
      </w:r>
    </w:p>
    <w:p w14:paraId="61DBBC9B">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附件： </w:t>
      </w:r>
    </w:p>
    <w:p w14:paraId="2FACF7D0">
      <w:pPr>
        <w:pStyle w:val="46"/>
        <w:pageBreakBefore w:val="0"/>
        <w:wordWrap/>
        <w:topLinePunct w:val="0"/>
        <w:bidi w:val="0"/>
        <w:spacing w:line="360" w:lineRule="auto"/>
        <w:jc w:val="center"/>
        <w:rPr>
          <w:rFonts w:hint="eastAsia" w:ascii="仿宋" w:hAnsi="仿宋" w:eastAsia="仿宋" w:cs="仿宋"/>
          <w:color w:val="auto"/>
          <w:sz w:val="28"/>
          <w:szCs w:val="28"/>
        </w:rPr>
      </w:pPr>
      <w:bookmarkStart w:id="617" w:name="_Toc1817875417_WPSOffice_Level2"/>
      <w:r>
        <w:rPr>
          <w:rStyle w:val="55"/>
          <w:rFonts w:hint="eastAsia" w:ascii="仿宋" w:hAnsi="仿宋" w:eastAsia="仿宋" w:cs="仿宋"/>
          <w:color w:val="auto"/>
          <w:sz w:val="28"/>
          <w:szCs w:val="28"/>
        </w:rPr>
        <w:t>中小企业划型标准规定</w:t>
      </w:r>
      <w:bookmarkEnd w:id="617"/>
    </w:p>
    <w:p w14:paraId="16ED18A5">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    一、根据《中华人民共和国中小企业促进法》和《国务院关于进一步促进中小企业发展的若干意见》(国发〔2009〕36号)，制定本规定。</w:t>
      </w:r>
    </w:p>
    <w:p w14:paraId="35FD3472">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二、中小企业划分为中型、小型、微型三种类型，具体标准根据企业从业人员、营业收入、资产总额等指标，结合行业特点制定。</w:t>
      </w:r>
    </w:p>
    <w:p w14:paraId="0B3A022E">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124425B">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四、各行业划型标准为：</w:t>
      </w:r>
    </w:p>
    <w:p w14:paraId="4C0009D1">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（一）农、林、牧、渔业。营业收入20000万元以下的为中小微型企业。其中，营业收入500万元及以上的为中型企业，营业收入50万元及以上的为小型企业，营业收入50万元以下的为微型企业。</w:t>
      </w:r>
    </w:p>
    <w:p w14:paraId="61724155">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3E0BFDE">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B0C5617">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341862C">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DD4B074">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3E1FC96">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6BE155B">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5ACE258">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F8419F0">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9C200C9">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D637EA6">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79B70CC">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62C5B6C">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3501705">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124F1B7">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（十六）其他未列明行业。从业人员300人以下的为中小微型企业。其中，从业人员100人及以上的为中型企业；从业人员10人及以上的为小型企业；从业人员10人以下的为微型企业。</w:t>
      </w:r>
    </w:p>
    <w:p w14:paraId="7513BBD9">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五、企业类型的划分以统计部门的统计数据为依据。</w:t>
      </w:r>
    </w:p>
    <w:p w14:paraId="5D91BBED">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六、本规定适用于在中华人民共和国境内依法设立的各类所有制和各种组织形式的企业。个体工商户和本规定以外的行业，参照本规定进行划型。</w:t>
      </w:r>
    </w:p>
    <w:p w14:paraId="5EF9B3FE">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0BFD6007">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八、本规定由工业和信息化部、国家统计局会同有关部门根据《国民经济行业分类》修订情况和企业发展变化情况适时修订。</w:t>
      </w:r>
    </w:p>
    <w:p w14:paraId="1F8CA7D6">
      <w:pPr>
        <w:pStyle w:val="46"/>
        <w:pageBreakBefore w:val="0"/>
        <w:wordWrap/>
        <w:topLinePunct w:val="0"/>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　　九、本规定由工业和信息化部、国家统计局会同有关部门负责解释。</w:t>
      </w:r>
    </w:p>
    <w:p w14:paraId="6E438D07">
      <w:pPr>
        <w:pStyle w:val="46"/>
        <w:pageBreakBefore w:val="0"/>
        <w:wordWrap/>
        <w:topLinePunct w:val="0"/>
        <w:bidi w:val="0"/>
        <w:spacing w:line="360" w:lineRule="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　　十、本规定自发布之日起执行，原国家经贸委、原国家计委、财政部和国家统计局2003年颁布的《中小企业标准暂行规定》同时废止。</w:t>
      </w:r>
    </w:p>
    <w:p w14:paraId="4E4628AE">
      <w:pPr>
        <w:pStyle w:val="46"/>
        <w:pageBreakBefore w:val="0"/>
        <w:wordWrap/>
        <w:topLinePunct w:val="0"/>
        <w:bidi w:val="0"/>
        <w:spacing w:line="360" w:lineRule="auto"/>
        <w:rPr>
          <w:rFonts w:hint="eastAsia" w:ascii="仿宋" w:hAnsi="仿宋" w:eastAsia="仿宋" w:cs="仿宋"/>
          <w:color w:val="000000"/>
          <w:sz w:val="28"/>
          <w:szCs w:val="28"/>
        </w:rPr>
      </w:pPr>
    </w:p>
    <w:sectPr>
      <w:headerReference r:id="rId12" w:type="default"/>
      <w:footerReference r:id="rId13" w:type="default"/>
      <w:pgSz w:w="11900" w:h="16840"/>
      <w:pgMar w:top="1440" w:right="1797" w:bottom="1440" w:left="1797" w:header="851" w:footer="992" w:gutter="0"/>
      <w:pgBorders>
        <w:top w:val="none" w:sz="0" w:space="0"/>
        <w:left w:val="none" w:sz="0" w:space="0"/>
        <w:bottom w:val="none" w:sz="0" w:space="0"/>
        <w:right w:val="none" w:sz="0" w:space="0"/>
      </w:pgBorders>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
    <w:altName w:val="DejaVu Math TeX Gyre"/>
    <w:panose1 w:val="00000000000000000000"/>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Verdana">
    <w:panose1 w:val="020B0604030504040204"/>
    <w:charset w:val="00"/>
    <w:family w:val="swiss"/>
    <w:pitch w:val="default"/>
    <w:sig w:usb0="A0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EAFB4">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3FAFFBE">
                          <w:pPr>
                            <w:pStyle w:val="29"/>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PCYi02wEAAMADAAAOAAAAAAAAAAEA&#10;IAAAAB4BAABkcnMvZTJvRG9jLnhtbFBLBQYAAAAABgAGAFkBAABrBQAAAAA=&#10;">
              <v:fill on="f" focussize="0,0"/>
              <v:stroke on="f"/>
              <v:imagedata o:title=""/>
              <o:lock v:ext="edit" aspectratio="f"/>
              <v:textbox inset="0mm,0mm,0mm,0mm" style="mso-fit-shape-to-text:t;">
                <w:txbxContent>
                  <w:p w14:paraId="63FAFFBE">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A7EFF">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63195"/>
              <wp:effectExtent l="0" t="0" r="0" b="0"/>
              <wp:wrapNone/>
              <wp:docPr id="282014154"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86385" cy="163195"/>
                      </a:xfrm>
                      <a:prstGeom prst="rect">
                        <a:avLst/>
                      </a:prstGeom>
                      <a:noFill/>
                      <a:ln>
                        <a:noFill/>
                      </a:ln>
                      <a:effectLst/>
                    </wps:spPr>
                    <wps:txbx>
                      <w:txbxContent>
                        <w:p w14:paraId="475EFF56">
                          <w:pPr>
                            <w:pStyle w:val="29"/>
                          </w:pPr>
                          <w:r>
                            <w:fldChar w:fldCharType="begin"/>
                          </w:r>
                          <w:r>
                            <w:instrText xml:space="preserve"> PAGE  \* MERGEFORMAT </w:instrText>
                          </w:r>
                          <w:r>
                            <w:fldChar w:fldCharType="separate"/>
                          </w:r>
                          <w:r>
                            <w:t>38</w:t>
                          </w:r>
                          <w:r>
                            <w:fldChar w:fldCharType="end"/>
                          </w:r>
                        </w:p>
                      </w:txbxContent>
                    </wps:txbx>
                    <wps:bodyPr rot="0" vert="horz" wrap="square" lIns="0" tIns="0" rIns="0" bIns="0" anchor="t" anchorCtr="0" upright="1">
                      <a:noAutofit/>
                    </wps:bodyPr>
                  </wps:wsp>
                </a:graphicData>
              </a:graphic>
            </wp:anchor>
          </w:drawing>
        </mc:Choice>
        <mc:Fallback>
          <w:pict>
            <v:shape id="文本框 6" o:spid="_x0000_s1026" o:spt="202" type="#_x0000_t202" style="position:absolute;left:0pt;margin-top:0pt;height:12.85pt;width:22.55pt;mso-position-horizontal:center;mso-position-horizontal-relative:margin;z-index:251660288;mso-width-relative:page;mso-height-relative:page;" filled="f" stroked="f" coordsize="21600,21600" o:gfxdata="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IF4o3UAAAAAwEAAA8AAAAA&#10;AAAAAQAgAAAAIgAAAGRycy9kb3ducmV2LnhtbFBLAQIUABQAAAAIAIdO4kB5Q/ETGAIAABoEAAAO&#10;AAAAAAAAAAEAIAAAACMBAABkcnMvZTJvRG9jLnhtbFBLBQYAAAAABgAGAFkBAACtBQAAAAA=&#10;">
              <v:fill on="f" focussize="0,0"/>
              <v:stroke on="f"/>
              <v:imagedata o:title=""/>
              <o:lock v:ext="edit" aspectratio="f"/>
              <v:textbox inset="0mm,0mm,0mm,0mm">
                <w:txbxContent>
                  <w:p w14:paraId="475EFF56">
                    <w:pPr>
                      <w:pStyle w:val="2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93936">
    <w:pPr>
      <w:pStyle w:val="29"/>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47955"/>
              <wp:effectExtent l="0" t="0" r="0" b="0"/>
              <wp:wrapNone/>
              <wp:docPr id="19201140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00ADFFE4">
                          <w:pPr>
                            <w:pStyle w:val="29"/>
                            <w:rPr>
                              <w:rFonts w:hint="eastAsia"/>
                            </w:rPr>
                          </w:pPr>
                          <w:r>
                            <w:fldChar w:fldCharType="begin"/>
                          </w:r>
                          <w:r>
                            <w:instrText xml:space="preserve"> PAGE  \* MERGEFORMAT </w:instrText>
                          </w:r>
                          <w:r>
                            <w:fldChar w:fldCharType="separate"/>
                          </w:r>
                          <w:r>
                            <w:t>47</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6438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lvw/RAAAAAwEAAA8AAAAAAAAAAQAg&#10;AAAAIgAAAGRycy9kb3ducmV2LnhtbFBLAQIUABQAAAAIAIdO4kBYuHFvFQIAABkEAAAOAAAAAAAA&#10;AAEAIAAAACABAABkcnMvZTJvRG9jLnhtbFBLBQYAAAAABgAGAFkBAACnBQAAAAA=&#10;">
              <v:fill on="f" focussize="0,0"/>
              <v:stroke on="f"/>
              <v:imagedata o:title=""/>
              <o:lock v:ext="edit" aspectratio="f"/>
              <v:textbox inset="0mm,0mm,0mm,0mm" style="mso-fit-shape-to-text:t;">
                <w:txbxContent>
                  <w:p w14:paraId="00ADFFE4">
                    <w:pPr>
                      <w:pStyle w:val="29"/>
                      <w:rPr>
                        <w:rFonts w:hint="eastAsia"/>
                      </w:rPr>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BEA3">
    <w:pPr>
      <w:pStyle w:val="29"/>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47955"/>
              <wp:effectExtent l="0" t="0" r="0" b="0"/>
              <wp:wrapNone/>
              <wp:docPr id="564297008"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6888CE7F">
                          <w:pPr>
                            <w:pStyle w:val="29"/>
                            <w:rPr>
                              <w:rFonts w:hint="eastAsia"/>
                            </w:rPr>
                          </w:pPr>
                          <w:r>
                            <w:fldChar w:fldCharType="begin"/>
                          </w:r>
                          <w:r>
                            <w:instrText xml:space="preserve"> PAGE  \* MERGEFORMAT </w:instrText>
                          </w:r>
                          <w:r>
                            <w:fldChar w:fldCharType="separate"/>
                          </w:r>
                          <w:r>
                            <w:t>51</w:t>
                          </w:r>
                          <w: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540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nyEQhxYCAAAYBAAADgAAAAAA&#10;AAABACAAAAAgAQAAZHJzL2Uyb0RvYy54bWxQSwUGAAAAAAYABgBZAQAAqAUAAAAA&#10;">
              <v:fill on="f" focussize="0,0"/>
              <v:stroke on="f"/>
              <v:imagedata o:title=""/>
              <o:lock v:ext="edit" aspectratio="f"/>
              <v:textbox inset="0mm,0mm,0mm,0mm" style="mso-fit-shape-to-text:t;">
                <w:txbxContent>
                  <w:p w14:paraId="6888CE7F">
                    <w:pPr>
                      <w:pStyle w:val="29"/>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DDEFF">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316067578"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7CC55197">
                          <w:pPr>
                            <w:pStyle w:val="29"/>
                          </w:pPr>
                          <w:r>
                            <w:fldChar w:fldCharType="begin"/>
                          </w:r>
                          <w:r>
                            <w:instrText xml:space="preserve"> PAGE  \* MERGEFORMAT </w:instrText>
                          </w:r>
                          <w:r>
                            <w:fldChar w:fldCharType="separate"/>
                          </w:r>
                          <w:r>
                            <w:t>47</w:t>
                          </w:r>
                          <w: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uZTEcBYCAAAYBAAADgAAAAAA&#10;AAABACAAAAAgAQAAZHJzL2Uyb0RvYy54bWxQSwUGAAAAAAYABgBZAQAAqAUAAAAA&#10;">
              <v:fill on="f" focussize="0,0"/>
              <v:stroke on="f"/>
              <v:imagedata o:title=""/>
              <o:lock v:ext="edit" aspectratio="f"/>
              <v:textbox inset="0mm,0mm,0mm,0mm" style="mso-fit-shape-to-text:t;">
                <w:txbxContent>
                  <w:p w14:paraId="7CC55197">
                    <w:pPr>
                      <w:pStyle w:val="2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31643">
    <w:pPr>
      <w:pStyle w:val="29"/>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7955"/>
              <wp:effectExtent l="0" t="0" r="0" b="0"/>
              <wp:wrapNone/>
              <wp:docPr id="6911446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03E2D9AD">
                          <w:pPr>
                            <w:pStyle w:val="29"/>
                          </w:pPr>
                          <w:r>
                            <w:fldChar w:fldCharType="begin"/>
                          </w:r>
                          <w:r>
                            <w:instrText xml:space="preserve"> PAGE  \* MERGEFORMAT </w:instrText>
                          </w:r>
                          <w:r>
                            <w:fldChar w:fldCharType="separate"/>
                          </w:r>
                          <w:r>
                            <w:t>70</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62336;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Rt5uExYCAAAYBAAADgAAAAAA&#10;AAABACAAAAAgAQAAZHJzL2Uyb0RvYy54bWxQSwUGAAAAAAYABgBZAQAAqAUAAAAA&#10;">
              <v:fill on="f" focussize="0,0"/>
              <v:stroke on="f"/>
              <v:imagedata o:title=""/>
              <o:lock v:ext="edit" aspectratio="f"/>
              <v:textbox inset="0mm,0mm,0mm,0mm" style="mso-fit-shape-to-text:t;">
                <w:txbxContent>
                  <w:p w14:paraId="03E2D9AD">
                    <w:pPr>
                      <w:pStyle w:val="29"/>
                    </w:pPr>
                    <w:r>
                      <w:fldChar w:fldCharType="begin"/>
                    </w:r>
                    <w:r>
                      <w:instrText xml:space="preserve"> PAGE  \* MERGEFORMAT </w:instrText>
                    </w:r>
                    <w:r>
                      <w:fldChar w:fldCharType="separate"/>
                    </w:r>
                    <w:r>
                      <w:t>70</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53035"/>
              <wp:effectExtent l="0" t="0" r="0" b="0"/>
              <wp:wrapNone/>
              <wp:docPr id="1073133986"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1CB8069F">
                          <w:pPr>
                            <w:rPr>
                              <w:rFonts w:hint="default"/>
                            </w:rPr>
                          </w:pP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2.05pt;width:9.05pt;mso-position-horizontal:center;mso-position-horizontal-relative:margin;mso-wrap-style:none;z-index:251663360;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FXaenAVAgAAGQQAAA4AAAAAAAAA&#10;AQAgAAAAHwEAAGRycy9lMm9Eb2MueG1sUEsFBgAAAAAGAAYAWQEAAKYFAAAAAA==&#10;">
              <v:fill on="f" focussize="0,0"/>
              <v:stroke on="f"/>
              <v:imagedata o:title=""/>
              <o:lock v:ext="edit" aspectratio="f"/>
              <v:textbox inset="0mm,0mm,0mm,0mm" style="mso-fit-shape-to-text:t;">
                <w:txbxContent>
                  <w:p w14:paraId="1CB8069F">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C0025">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40E6">
    <w:pPr>
      <w:pStyle w:val="18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7F405">
    <w:pPr>
      <w:pStyle w:val="18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015E1">
    <w:pPr>
      <w:pStyle w:val="184"/>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1B975">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5C3E42"/>
    <w:multiLevelType w:val="singleLevel"/>
    <w:tmpl w:val="855C3E42"/>
    <w:lvl w:ilvl="0" w:tentative="0">
      <w:start w:val="5"/>
      <w:numFmt w:val="decimal"/>
      <w:suff w:val="space"/>
      <w:lvlText w:val="%1."/>
      <w:lvlJc w:val="left"/>
    </w:lvl>
  </w:abstractNum>
  <w:abstractNum w:abstractNumId="1">
    <w:nsid w:val="889DF505"/>
    <w:multiLevelType w:val="singleLevel"/>
    <w:tmpl w:val="889DF505"/>
    <w:lvl w:ilvl="0" w:tentative="0">
      <w:start w:val="4"/>
      <w:numFmt w:val="chineseCounting"/>
      <w:suff w:val="nothing"/>
      <w:lvlText w:val="%1、"/>
      <w:lvlJc w:val="left"/>
      <w:rPr>
        <w:rFonts w:hint="eastAsia"/>
      </w:rPr>
    </w:lvl>
  </w:abstractNum>
  <w:abstractNum w:abstractNumId="2">
    <w:nsid w:val="F535068F"/>
    <w:multiLevelType w:val="singleLevel"/>
    <w:tmpl w:val="F535068F"/>
    <w:lvl w:ilvl="0" w:tentative="0">
      <w:start w:val="6"/>
      <w:numFmt w:val="chineseCounting"/>
      <w:suff w:val="space"/>
      <w:lvlText w:val="第%1章"/>
      <w:lvlJc w:val="left"/>
      <w:rPr>
        <w:rFonts w:hint="eastAsia"/>
      </w:rPr>
    </w:lvl>
  </w:abstractNum>
  <w:abstractNum w:abstractNumId="3">
    <w:nsid w:val="27F2F19D"/>
    <w:multiLevelType w:val="singleLevel"/>
    <w:tmpl w:val="27F2F19D"/>
    <w:lvl w:ilvl="0" w:tentative="0">
      <w:start w:val="4"/>
      <w:numFmt w:val="decimal"/>
      <w:suff w:val="space"/>
      <w:lvlText w:val="%1."/>
      <w:lvlJc w:val="left"/>
    </w:lvl>
  </w:abstractNum>
  <w:abstractNum w:abstractNumId="4">
    <w:nsid w:val="3153D635"/>
    <w:multiLevelType w:val="singleLevel"/>
    <w:tmpl w:val="3153D635"/>
    <w:lvl w:ilvl="0" w:tentative="0">
      <w:start w:val="2"/>
      <w:numFmt w:val="decimal"/>
      <w:suff w:val="nothing"/>
      <w:lvlText w:val="（%1）"/>
      <w:lvlJc w:val="left"/>
      <w:pPr>
        <w:ind w:left="560" w:firstLine="0"/>
      </w:pPr>
    </w:lvl>
  </w:abstractNum>
  <w:abstractNum w:abstractNumId="5">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6E9A9296"/>
    <w:multiLevelType w:val="singleLevel"/>
    <w:tmpl w:val="6E9A9296"/>
    <w:lvl w:ilvl="0" w:tentative="0">
      <w:start w:val="2"/>
      <w:numFmt w:val="decimal"/>
      <w:lvlText w:val="%1."/>
      <w:lvlJc w:val="left"/>
      <w:pPr>
        <w:tabs>
          <w:tab w:val="left" w:pos="312"/>
        </w:tabs>
      </w:pPr>
    </w:lvl>
  </w:abstractNum>
  <w:abstractNum w:abstractNumId="7">
    <w:nsid w:val="7F7BE2C3"/>
    <w:multiLevelType w:val="singleLevel"/>
    <w:tmpl w:val="7F7BE2C3"/>
    <w:lvl w:ilvl="0" w:tentative="0">
      <w:start w:val="1"/>
      <w:numFmt w:val="chineseCounting"/>
      <w:suff w:val="space"/>
      <w:lvlText w:val="第%1章"/>
      <w:lvlJc w:val="left"/>
      <w:rPr>
        <w:rFonts w:hint="eastAsia"/>
      </w:rPr>
    </w:lvl>
  </w:abstractNum>
  <w:num w:numId="1">
    <w:abstractNumId w:val="7"/>
  </w:num>
  <w:num w:numId="2">
    <w:abstractNumId w:val="5"/>
  </w:num>
  <w:num w:numId="3">
    <w:abstractNumId w:val="6"/>
  </w:num>
  <w:num w:numId="4">
    <w:abstractNumId w:val="4"/>
  </w:num>
  <w:num w:numId="5">
    <w:abstractNumId w:val="2"/>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dit="trackedChanges" w:enforcement="1" w:cryptProviderType="rsaFull" w:cryptAlgorithmClass="hash" w:cryptAlgorithmType="typeAny" w:cryptAlgorithmSid="4" w:cryptSpinCount="0" w:hash="RKFe3ZonPSFOGPwPZZ5Z91iGHe4=" w:salt="aBv/CU413Zuid2mymWkq9g=="/>
  <w:defaultTabStop w:val="420"/>
  <w:displayHorizontalDrawingGridEvery w:val="1"/>
  <w:displayVerticalDrawingGridEvery w:val="1"/>
  <w:noPunctuationKerning w:val="1"/>
  <w:characterSpacingControl w:val="doNotCompress"/>
  <w:compat>
    <w:doNotLeaveBackslashAlon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wNjQzNjNkZWUxYWY4MGFhY2ZmZGZjNTgxOGY3MzUifQ=="/>
    <w:docVar w:name="KSO_WPS_MARK_KEY" w:val="3744f22e-c4fe-43f0-b56d-9a3c5376fde0"/>
  </w:docVars>
  <w:rsids>
    <w:rsidRoot w:val="00172A27"/>
    <w:rsid w:val="00001953"/>
    <w:rsid w:val="0000339B"/>
    <w:rsid w:val="00005D94"/>
    <w:rsid w:val="00007CA4"/>
    <w:rsid w:val="00013FA9"/>
    <w:rsid w:val="0002279F"/>
    <w:rsid w:val="00023995"/>
    <w:rsid w:val="000278F5"/>
    <w:rsid w:val="00030E2D"/>
    <w:rsid w:val="00032D59"/>
    <w:rsid w:val="000340B2"/>
    <w:rsid w:val="000350BE"/>
    <w:rsid w:val="00040BA2"/>
    <w:rsid w:val="00040E52"/>
    <w:rsid w:val="00041A6C"/>
    <w:rsid w:val="00043282"/>
    <w:rsid w:val="00050BCF"/>
    <w:rsid w:val="00056878"/>
    <w:rsid w:val="00060BC3"/>
    <w:rsid w:val="00063FA1"/>
    <w:rsid w:val="00066EBC"/>
    <w:rsid w:val="000702AC"/>
    <w:rsid w:val="0007049F"/>
    <w:rsid w:val="000708D6"/>
    <w:rsid w:val="00073941"/>
    <w:rsid w:val="00076791"/>
    <w:rsid w:val="000768FB"/>
    <w:rsid w:val="00077205"/>
    <w:rsid w:val="00080242"/>
    <w:rsid w:val="00083D5E"/>
    <w:rsid w:val="00086D49"/>
    <w:rsid w:val="000941D4"/>
    <w:rsid w:val="00094ACC"/>
    <w:rsid w:val="000A0377"/>
    <w:rsid w:val="000A25C2"/>
    <w:rsid w:val="000A3106"/>
    <w:rsid w:val="000A3DFC"/>
    <w:rsid w:val="000A4465"/>
    <w:rsid w:val="000B0077"/>
    <w:rsid w:val="000B13BA"/>
    <w:rsid w:val="000B340A"/>
    <w:rsid w:val="000B69C5"/>
    <w:rsid w:val="000B7ED5"/>
    <w:rsid w:val="000C46FC"/>
    <w:rsid w:val="000C77F0"/>
    <w:rsid w:val="000D1261"/>
    <w:rsid w:val="000D5739"/>
    <w:rsid w:val="000D66F9"/>
    <w:rsid w:val="000E1629"/>
    <w:rsid w:val="000E19B1"/>
    <w:rsid w:val="000E3CD1"/>
    <w:rsid w:val="000E459D"/>
    <w:rsid w:val="000F047E"/>
    <w:rsid w:val="000F1067"/>
    <w:rsid w:val="000F3A03"/>
    <w:rsid w:val="000F48D2"/>
    <w:rsid w:val="000F5220"/>
    <w:rsid w:val="000F56A0"/>
    <w:rsid w:val="000F76A5"/>
    <w:rsid w:val="00100BFC"/>
    <w:rsid w:val="001028E5"/>
    <w:rsid w:val="00103728"/>
    <w:rsid w:val="00104FD4"/>
    <w:rsid w:val="0011787C"/>
    <w:rsid w:val="00131758"/>
    <w:rsid w:val="00133AC5"/>
    <w:rsid w:val="001341E0"/>
    <w:rsid w:val="001359C5"/>
    <w:rsid w:val="001371D6"/>
    <w:rsid w:val="001435EA"/>
    <w:rsid w:val="00146A9F"/>
    <w:rsid w:val="00152BB5"/>
    <w:rsid w:val="00153C28"/>
    <w:rsid w:val="00160226"/>
    <w:rsid w:val="00163227"/>
    <w:rsid w:val="00165A43"/>
    <w:rsid w:val="00165D07"/>
    <w:rsid w:val="00167E96"/>
    <w:rsid w:val="00172A27"/>
    <w:rsid w:val="001734CC"/>
    <w:rsid w:val="00174096"/>
    <w:rsid w:val="00175178"/>
    <w:rsid w:val="001811B2"/>
    <w:rsid w:val="001828B5"/>
    <w:rsid w:val="00192365"/>
    <w:rsid w:val="00196B51"/>
    <w:rsid w:val="001A0B0B"/>
    <w:rsid w:val="001A3C68"/>
    <w:rsid w:val="001A7E62"/>
    <w:rsid w:val="001B6B5A"/>
    <w:rsid w:val="001C1447"/>
    <w:rsid w:val="001C7E3B"/>
    <w:rsid w:val="001D0DE6"/>
    <w:rsid w:val="001D16CC"/>
    <w:rsid w:val="001D1848"/>
    <w:rsid w:val="001D25F1"/>
    <w:rsid w:val="001D3EBB"/>
    <w:rsid w:val="001E0808"/>
    <w:rsid w:val="001E2BFA"/>
    <w:rsid w:val="001E2D18"/>
    <w:rsid w:val="001E78A9"/>
    <w:rsid w:val="001F1D9E"/>
    <w:rsid w:val="001F3AC0"/>
    <w:rsid w:val="001F68EC"/>
    <w:rsid w:val="00202E75"/>
    <w:rsid w:val="002044CB"/>
    <w:rsid w:val="002046D7"/>
    <w:rsid w:val="00204923"/>
    <w:rsid w:val="0021412B"/>
    <w:rsid w:val="00216A94"/>
    <w:rsid w:val="00217F9F"/>
    <w:rsid w:val="002206B7"/>
    <w:rsid w:val="002237BC"/>
    <w:rsid w:val="00223B9E"/>
    <w:rsid w:val="002258F0"/>
    <w:rsid w:val="00230A77"/>
    <w:rsid w:val="00232D71"/>
    <w:rsid w:val="00234100"/>
    <w:rsid w:val="00236352"/>
    <w:rsid w:val="00245934"/>
    <w:rsid w:val="00246F78"/>
    <w:rsid w:val="00247D20"/>
    <w:rsid w:val="00250D8F"/>
    <w:rsid w:val="002560AA"/>
    <w:rsid w:val="00263DD7"/>
    <w:rsid w:val="00267021"/>
    <w:rsid w:val="00270F4D"/>
    <w:rsid w:val="00273B04"/>
    <w:rsid w:val="002740BF"/>
    <w:rsid w:val="00280746"/>
    <w:rsid w:val="002807C8"/>
    <w:rsid w:val="00282055"/>
    <w:rsid w:val="002A05BB"/>
    <w:rsid w:val="002A13CE"/>
    <w:rsid w:val="002A52BA"/>
    <w:rsid w:val="002A5A62"/>
    <w:rsid w:val="002B0422"/>
    <w:rsid w:val="002B069D"/>
    <w:rsid w:val="002B216E"/>
    <w:rsid w:val="002B59F3"/>
    <w:rsid w:val="002B6FB9"/>
    <w:rsid w:val="002B7307"/>
    <w:rsid w:val="002C1E69"/>
    <w:rsid w:val="002C7317"/>
    <w:rsid w:val="002D1B9B"/>
    <w:rsid w:val="002E6413"/>
    <w:rsid w:val="002F3B84"/>
    <w:rsid w:val="002F7C5C"/>
    <w:rsid w:val="00306509"/>
    <w:rsid w:val="00312262"/>
    <w:rsid w:val="00312F8B"/>
    <w:rsid w:val="003146DD"/>
    <w:rsid w:val="00317F86"/>
    <w:rsid w:val="0032097B"/>
    <w:rsid w:val="0032361D"/>
    <w:rsid w:val="003316B4"/>
    <w:rsid w:val="00341FEA"/>
    <w:rsid w:val="00343936"/>
    <w:rsid w:val="00352430"/>
    <w:rsid w:val="00354EBD"/>
    <w:rsid w:val="0036364E"/>
    <w:rsid w:val="00364FA8"/>
    <w:rsid w:val="00365A07"/>
    <w:rsid w:val="00365D57"/>
    <w:rsid w:val="00372EE0"/>
    <w:rsid w:val="00374202"/>
    <w:rsid w:val="00376200"/>
    <w:rsid w:val="00380482"/>
    <w:rsid w:val="00390856"/>
    <w:rsid w:val="003920CD"/>
    <w:rsid w:val="0039526F"/>
    <w:rsid w:val="00395310"/>
    <w:rsid w:val="003A1411"/>
    <w:rsid w:val="003A688F"/>
    <w:rsid w:val="003B2B3C"/>
    <w:rsid w:val="003B407A"/>
    <w:rsid w:val="003B6D07"/>
    <w:rsid w:val="003C109B"/>
    <w:rsid w:val="003D1FAE"/>
    <w:rsid w:val="003E0F11"/>
    <w:rsid w:val="003E26F2"/>
    <w:rsid w:val="003E5A26"/>
    <w:rsid w:val="003F0138"/>
    <w:rsid w:val="003F1F8D"/>
    <w:rsid w:val="003F78A5"/>
    <w:rsid w:val="00404BF9"/>
    <w:rsid w:val="00406DBB"/>
    <w:rsid w:val="00413EAF"/>
    <w:rsid w:val="0041706C"/>
    <w:rsid w:val="00420217"/>
    <w:rsid w:val="004215D5"/>
    <w:rsid w:val="00426C7C"/>
    <w:rsid w:val="0042798D"/>
    <w:rsid w:val="004330A9"/>
    <w:rsid w:val="00435C05"/>
    <w:rsid w:val="00442B80"/>
    <w:rsid w:val="00445670"/>
    <w:rsid w:val="00445E70"/>
    <w:rsid w:val="004505CA"/>
    <w:rsid w:val="00450FFC"/>
    <w:rsid w:val="00452AC8"/>
    <w:rsid w:val="00462D9E"/>
    <w:rsid w:val="00463F76"/>
    <w:rsid w:val="00465593"/>
    <w:rsid w:val="00466704"/>
    <w:rsid w:val="004667CC"/>
    <w:rsid w:val="004670FA"/>
    <w:rsid w:val="004837B6"/>
    <w:rsid w:val="00484D54"/>
    <w:rsid w:val="004A0263"/>
    <w:rsid w:val="004A1FE2"/>
    <w:rsid w:val="004A34FB"/>
    <w:rsid w:val="004A40A8"/>
    <w:rsid w:val="004A700E"/>
    <w:rsid w:val="004A7684"/>
    <w:rsid w:val="004B5648"/>
    <w:rsid w:val="004B7B6A"/>
    <w:rsid w:val="004C1A1D"/>
    <w:rsid w:val="004C32E9"/>
    <w:rsid w:val="004C47F1"/>
    <w:rsid w:val="004C58BA"/>
    <w:rsid w:val="004C693F"/>
    <w:rsid w:val="004D27C7"/>
    <w:rsid w:val="004E5E99"/>
    <w:rsid w:val="004F291E"/>
    <w:rsid w:val="004F480E"/>
    <w:rsid w:val="004F5D3B"/>
    <w:rsid w:val="004F64EF"/>
    <w:rsid w:val="00501CFD"/>
    <w:rsid w:val="00505367"/>
    <w:rsid w:val="0050673E"/>
    <w:rsid w:val="00506DA2"/>
    <w:rsid w:val="005138EF"/>
    <w:rsid w:val="005160F8"/>
    <w:rsid w:val="00523698"/>
    <w:rsid w:val="00525434"/>
    <w:rsid w:val="00526B78"/>
    <w:rsid w:val="00527EC5"/>
    <w:rsid w:val="005317A2"/>
    <w:rsid w:val="00535DE9"/>
    <w:rsid w:val="00546D18"/>
    <w:rsid w:val="00547F71"/>
    <w:rsid w:val="00553B8C"/>
    <w:rsid w:val="00553CD8"/>
    <w:rsid w:val="00554586"/>
    <w:rsid w:val="0055604B"/>
    <w:rsid w:val="00560480"/>
    <w:rsid w:val="005616CA"/>
    <w:rsid w:val="00561870"/>
    <w:rsid w:val="00563BD4"/>
    <w:rsid w:val="0056418B"/>
    <w:rsid w:val="0058164E"/>
    <w:rsid w:val="005857BA"/>
    <w:rsid w:val="00591976"/>
    <w:rsid w:val="00592788"/>
    <w:rsid w:val="00593D29"/>
    <w:rsid w:val="005A5982"/>
    <w:rsid w:val="005A6493"/>
    <w:rsid w:val="005A7D1D"/>
    <w:rsid w:val="005B0A57"/>
    <w:rsid w:val="005B0A9E"/>
    <w:rsid w:val="005B59E1"/>
    <w:rsid w:val="005C0B69"/>
    <w:rsid w:val="005C2730"/>
    <w:rsid w:val="005C5058"/>
    <w:rsid w:val="005C6ADC"/>
    <w:rsid w:val="005D09AD"/>
    <w:rsid w:val="005D152F"/>
    <w:rsid w:val="005D6CC6"/>
    <w:rsid w:val="005E36FC"/>
    <w:rsid w:val="005E421E"/>
    <w:rsid w:val="005E46E0"/>
    <w:rsid w:val="005E7C1C"/>
    <w:rsid w:val="005F5F08"/>
    <w:rsid w:val="005F7E31"/>
    <w:rsid w:val="0060016A"/>
    <w:rsid w:val="00603330"/>
    <w:rsid w:val="00611E75"/>
    <w:rsid w:val="00617818"/>
    <w:rsid w:val="00622A81"/>
    <w:rsid w:val="00623DC3"/>
    <w:rsid w:val="00632324"/>
    <w:rsid w:val="0063335D"/>
    <w:rsid w:val="006344AB"/>
    <w:rsid w:val="0063724F"/>
    <w:rsid w:val="00640D49"/>
    <w:rsid w:val="00643DE3"/>
    <w:rsid w:val="0064505A"/>
    <w:rsid w:val="006458F4"/>
    <w:rsid w:val="00653AE2"/>
    <w:rsid w:val="006566A7"/>
    <w:rsid w:val="00663245"/>
    <w:rsid w:val="00677215"/>
    <w:rsid w:val="00680BB7"/>
    <w:rsid w:val="0068270E"/>
    <w:rsid w:val="00683499"/>
    <w:rsid w:val="006844D7"/>
    <w:rsid w:val="00691E7C"/>
    <w:rsid w:val="00692E09"/>
    <w:rsid w:val="0069744B"/>
    <w:rsid w:val="006A3543"/>
    <w:rsid w:val="006A37E1"/>
    <w:rsid w:val="006A7A5C"/>
    <w:rsid w:val="006A7E0C"/>
    <w:rsid w:val="006B0FA0"/>
    <w:rsid w:val="006C2008"/>
    <w:rsid w:val="006C56B8"/>
    <w:rsid w:val="006D00CC"/>
    <w:rsid w:val="006D6422"/>
    <w:rsid w:val="006D7E77"/>
    <w:rsid w:val="006E0C8B"/>
    <w:rsid w:val="006E5272"/>
    <w:rsid w:val="006E5586"/>
    <w:rsid w:val="006F19B5"/>
    <w:rsid w:val="006F1B7F"/>
    <w:rsid w:val="006F563B"/>
    <w:rsid w:val="006F6399"/>
    <w:rsid w:val="006F68B9"/>
    <w:rsid w:val="007007DA"/>
    <w:rsid w:val="00704218"/>
    <w:rsid w:val="00705C5D"/>
    <w:rsid w:val="007077FF"/>
    <w:rsid w:val="00710FDA"/>
    <w:rsid w:val="00715E8C"/>
    <w:rsid w:val="00717BBE"/>
    <w:rsid w:val="00717C57"/>
    <w:rsid w:val="007320ED"/>
    <w:rsid w:val="00732AF5"/>
    <w:rsid w:val="00733F94"/>
    <w:rsid w:val="00735205"/>
    <w:rsid w:val="00735E6A"/>
    <w:rsid w:val="00742358"/>
    <w:rsid w:val="007467AE"/>
    <w:rsid w:val="007578B3"/>
    <w:rsid w:val="007604C5"/>
    <w:rsid w:val="00762A9D"/>
    <w:rsid w:val="00770ED5"/>
    <w:rsid w:val="007759CC"/>
    <w:rsid w:val="007807DB"/>
    <w:rsid w:val="0078132B"/>
    <w:rsid w:val="007815A4"/>
    <w:rsid w:val="007816D5"/>
    <w:rsid w:val="00783C90"/>
    <w:rsid w:val="00784AF2"/>
    <w:rsid w:val="00785EAA"/>
    <w:rsid w:val="007863FD"/>
    <w:rsid w:val="00793FCF"/>
    <w:rsid w:val="007942C6"/>
    <w:rsid w:val="007A2296"/>
    <w:rsid w:val="007A6C49"/>
    <w:rsid w:val="007A6EFF"/>
    <w:rsid w:val="007A6F63"/>
    <w:rsid w:val="007B1C3F"/>
    <w:rsid w:val="007B5606"/>
    <w:rsid w:val="007B76FC"/>
    <w:rsid w:val="007C344B"/>
    <w:rsid w:val="007C5D46"/>
    <w:rsid w:val="007D244C"/>
    <w:rsid w:val="007E2E71"/>
    <w:rsid w:val="007F0A1D"/>
    <w:rsid w:val="007F0B68"/>
    <w:rsid w:val="007F48FA"/>
    <w:rsid w:val="007F5B05"/>
    <w:rsid w:val="007F747E"/>
    <w:rsid w:val="00804611"/>
    <w:rsid w:val="00806264"/>
    <w:rsid w:val="00806DF9"/>
    <w:rsid w:val="008141DD"/>
    <w:rsid w:val="00814E5B"/>
    <w:rsid w:val="008160BF"/>
    <w:rsid w:val="008255D7"/>
    <w:rsid w:val="008319A0"/>
    <w:rsid w:val="008349F7"/>
    <w:rsid w:val="008428D3"/>
    <w:rsid w:val="00854338"/>
    <w:rsid w:val="00854BF6"/>
    <w:rsid w:val="008608B3"/>
    <w:rsid w:val="00862CC4"/>
    <w:rsid w:val="00867FFD"/>
    <w:rsid w:val="008714C1"/>
    <w:rsid w:val="00871A0D"/>
    <w:rsid w:val="00884208"/>
    <w:rsid w:val="008864B2"/>
    <w:rsid w:val="00895168"/>
    <w:rsid w:val="0089557C"/>
    <w:rsid w:val="00895F56"/>
    <w:rsid w:val="00896C15"/>
    <w:rsid w:val="008B02C5"/>
    <w:rsid w:val="008B19D6"/>
    <w:rsid w:val="008B5A35"/>
    <w:rsid w:val="008B6839"/>
    <w:rsid w:val="008B6D78"/>
    <w:rsid w:val="008C63A7"/>
    <w:rsid w:val="008D0AE3"/>
    <w:rsid w:val="008E6272"/>
    <w:rsid w:val="008F222A"/>
    <w:rsid w:val="0091007D"/>
    <w:rsid w:val="00912744"/>
    <w:rsid w:val="00913DC4"/>
    <w:rsid w:val="00914179"/>
    <w:rsid w:val="00916456"/>
    <w:rsid w:val="00917970"/>
    <w:rsid w:val="00921183"/>
    <w:rsid w:val="00921C9D"/>
    <w:rsid w:val="00923D5B"/>
    <w:rsid w:val="0093438F"/>
    <w:rsid w:val="009350E8"/>
    <w:rsid w:val="00937F9C"/>
    <w:rsid w:val="00947B80"/>
    <w:rsid w:val="00947F0F"/>
    <w:rsid w:val="00951F40"/>
    <w:rsid w:val="00952370"/>
    <w:rsid w:val="00956E41"/>
    <w:rsid w:val="0096594C"/>
    <w:rsid w:val="00965D35"/>
    <w:rsid w:val="00967F69"/>
    <w:rsid w:val="00971476"/>
    <w:rsid w:val="00971821"/>
    <w:rsid w:val="00973331"/>
    <w:rsid w:val="00973574"/>
    <w:rsid w:val="00973A7E"/>
    <w:rsid w:val="009748ED"/>
    <w:rsid w:val="009776C8"/>
    <w:rsid w:val="00980901"/>
    <w:rsid w:val="00981DD4"/>
    <w:rsid w:val="009839BF"/>
    <w:rsid w:val="00986DBD"/>
    <w:rsid w:val="009877E2"/>
    <w:rsid w:val="00991236"/>
    <w:rsid w:val="00993064"/>
    <w:rsid w:val="00993C0D"/>
    <w:rsid w:val="0099593B"/>
    <w:rsid w:val="00997B5E"/>
    <w:rsid w:val="009A098D"/>
    <w:rsid w:val="009A4615"/>
    <w:rsid w:val="009B0452"/>
    <w:rsid w:val="009B0C8C"/>
    <w:rsid w:val="009B2974"/>
    <w:rsid w:val="009B2E49"/>
    <w:rsid w:val="009B3F76"/>
    <w:rsid w:val="009B41D7"/>
    <w:rsid w:val="009B677A"/>
    <w:rsid w:val="009B6838"/>
    <w:rsid w:val="009C02FD"/>
    <w:rsid w:val="009C0491"/>
    <w:rsid w:val="009C1F61"/>
    <w:rsid w:val="009C2A19"/>
    <w:rsid w:val="009C670D"/>
    <w:rsid w:val="009D4E3C"/>
    <w:rsid w:val="009D6CEF"/>
    <w:rsid w:val="009E0464"/>
    <w:rsid w:val="009E4692"/>
    <w:rsid w:val="009F5748"/>
    <w:rsid w:val="00A00FF9"/>
    <w:rsid w:val="00A03327"/>
    <w:rsid w:val="00A12686"/>
    <w:rsid w:val="00A13447"/>
    <w:rsid w:val="00A235B8"/>
    <w:rsid w:val="00A259FC"/>
    <w:rsid w:val="00A25A04"/>
    <w:rsid w:val="00A30FB7"/>
    <w:rsid w:val="00A31225"/>
    <w:rsid w:val="00A336E6"/>
    <w:rsid w:val="00A404D9"/>
    <w:rsid w:val="00A4532D"/>
    <w:rsid w:val="00A45467"/>
    <w:rsid w:val="00A548B5"/>
    <w:rsid w:val="00A57E90"/>
    <w:rsid w:val="00A6042C"/>
    <w:rsid w:val="00A607EF"/>
    <w:rsid w:val="00A700B5"/>
    <w:rsid w:val="00A70566"/>
    <w:rsid w:val="00A70591"/>
    <w:rsid w:val="00A72455"/>
    <w:rsid w:val="00A804DF"/>
    <w:rsid w:val="00AA3E08"/>
    <w:rsid w:val="00AB3655"/>
    <w:rsid w:val="00AB6312"/>
    <w:rsid w:val="00AB7DF2"/>
    <w:rsid w:val="00AC03E3"/>
    <w:rsid w:val="00AC2742"/>
    <w:rsid w:val="00AC29D8"/>
    <w:rsid w:val="00AC2EBF"/>
    <w:rsid w:val="00AC4858"/>
    <w:rsid w:val="00AC5238"/>
    <w:rsid w:val="00AE2D12"/>
    <w:rsid w:val="00AE386D"/>
    <w:rsid w:val="00AE4366"/>
    <w:rsid w:val="00AE54B3"/>
    <w:rsid w:val="00AF1BA3"/>
    <w:rsid w:val="00B026A6"/>
    <w:rsid w:val="00B060B9"/>
    <w:rsid w:val="00B06449"/>
    <w:rsid w:val="00B0755B"/>
    <w:rsid w:val="00B21334"/>
    <w:rsid w:val="00B23D8E"/>
    <w:rsid w:val="00B240BB"/>
    <w:rsid w:val="00B30267"/>
    <w:rsid w:val="00B31765"/>
    <w:rsid w:val="00B373C9"/>
    <w:rsid w:val="00B40A30"/>
    <w:rsid w:val="00B41DEB"/>
    <w:rsid w:val="00B43123"/>
    <w:rsid w:val="00B44A87"/>
    <w:rsid w:val="00B460BC"/>
    <w:rsid w:val="00B47433"/>
    <w:rsid w:val="00B57782"/>
    <w:rsid w:val="00B606A4"/>
    <w:rsid w:val="00B610D7"/>
    <w:rsid w:val="00B803CA"/>
    <w:rsid w:val="00B8386A"/>
    <w:rsid w:val="00B8409E"/>
    <w:rsid w:val="00B85220"/>
    <w:rsid w:val="00B87A8B"/>
    <w:rsid w:val="00B965D0"/>
    <w:rsid w:val="00BA3F9C"/>
    <w:rsid w:val="00BA7CA7"/>
    <w:rsid w:val="00BB0B0C"/>
    <w:rsid w:val="00BB55E6"/>
    <w:rsid w:val="00BC1581"/>
    <w:rsid w:val="00BE04EF"/>
    <w:rsid w:val="00BE3D96"/>
    <w:rsid w:val="00BF0298"/>
    <w:rsid w:val="00BF02E8"/>
    <w:rsid w:val="00BF53CA"/>
    <w:rsid w:val="00C00ECF"/>
    <w:rsid w:val="00C0368C"/>
    <w:rsid w:val="00C03B7C"/>
    <w:rsid w:val="00C03EA8"/>
    <w:rsid w:val="00C044E9"/>
    <w:rsid w:val="00C05E41"/>
    <w:rsid w:val="00C12660"/>
    <w:rsid w:val="00C1652D"/>
    <w:rsid w:val="00C26BCD"/>
    <w:rsid w:val="00C304C7"/>
    <w:rsid w:val="00C406CD"/>
    <w:rsid w:val="00C4631D"/>
    <w:rsid w:val="00C52BB8"/>
    <w:rsid w:val="00C53D3B"/>
    <w:rsid w:val="00C62A91"/>
    <w:rsid w:val="00C62E24"/>
    <w:rsid w:val="00C67CC4"/>
    <w:rsid w:val="00C71306"/>
    <w:rsid w:val="00C72E01"/>
    <w:rsid w:val="00C83E23"/>
    <w:rsid w:val="00C86B65"/>
    <w:rsid w:val="00C92B0C"/>
    <w:rsid w:val="00CA3C79"/>
    <w:rsid w:val="00CA6AF8"/>
    <w:rsid w:val="00CB0DFF"/>
    <w:rsid w:val="00CB1465"/>
    <w:rsid w:val="00CB360C"/>
    <w:rsid w:val="00CB7E87"/>
    <w:rsid w:val="00CC07FD"/>
    <w:rsid w:val="00CD0BC1"/>
    <w:rsid w:val="00CD4FD7"/>
    <w:rsid w:val="00CE0D56"/>
    <w:rsid w:val="00CE767E"/>
    <w:rsid w:val="00CF0993"/>
    <w:rsid w:val="00CF2378"/>
    <w:rsid w:val="00D004C5"/>
    <w:rsid w:val="00D007C0"/>
    <w:rsid w:val="00D066BB"/>
    <w:rsid w:val="00D143BF"/>
    <w:rsid w:val="00D205D3"/>
    <w:rsid w:val="00D206A7"/>
    <w:rsid w:val="00D3023B"/>
    <w:rsid w:val="00D37AD5"/>
    <w:rsid w:val="00D43107"/>
    <w:rsid w:val="00D45983"/>
    <w:rsid w:val="00D47E9C"/>
    <w:rsid w:val="00D5380E"/>
    <w:rsid w:val="00D5710B"/>
    <w:rsid w:val="00D61C43"/>
    <w:rsid w:val="00D6270D"/>
    <w:rsid w:val="00D64227"/>
    <w:rsid w:val="00D64BEB"/>
    <w:rsid w:val="00D65064"/>
    <w:rsid w:val="00D85E34"/>
    <w:rsid w:val="00D868C0"/>
    <w:rsid w:val="00D9156D"/>
    <w:rsid w:val="00D91ADB"/>
    <w:rsid w:val="00DA1491"/>
    <w:rsid w:val="00DA1F32"/>
    <w:rsid w:val="00DA5973"/>
    <w:rsid w:val="00DB0C31"/>
    <w:rsid w:val="00DB20F7"/>
    <w:rsid w:val="00DB2943"/>
    <w:rsid w:val="00DB76C1"/>
    <w:rsid w:val="00DC3330"/>
    <w:rsid w:val="00DC3360"/>
    <w:rsid w:val="00DC58DA"/>
    <w:rsid w:val="00DD1033"/>
    <w:rsid w:val="00DD398A"/>
    <w:rsid w:val="00DD76C1"/>
    <w:rsid w:val="00DE01E0"/>
    <w:rsid w:val="00DE21A3"/>
    <w:rsid w:val="00DF029D"/>
    <w:rsid w:val="00DF08A9"/>
    <w:rsid w:val="00DF1720"/>
    <w:rsid w:val="00DF24B6"/>
    <w:rsid w:val="00DF7A5A"/>
    <w:rsid w:val="00E0413F"/>
    <w:rsid w:val="00E06D34"/>
    <w:rsid w:val="00E0770D"/>
    <w:rsid w:val="00E1119C"/>
    <w:rsid w:val="00E11685"/>
    <w:rsid w:val="00E11993"/>
    <w:rsid w:val="00E12512"/>
    <w:rsid w:val="00E133E5"/>
    <w:rsid w:val="00E15234"/>
    <w:rsid w:val="00E20D6D"/>
    <w:rsid w:val="00E20F31"/>
    <w:rsid w:val="00E21D59"/>
    <w:rsid w:val="00E2466F"/>
    <w:rsid w:val="00E263F7"/>
    <w:rsid w:val="00E331E8"/>
    <w:rsid w:val="00E402FE"/>
    <w:rsid w:val="00E4451B"/>
    <w:rsid w:val="00E473B1"/>
    <w:rsid w:val="00E53159"/>
    <w:rsid w:val="00E5428B"/>
    <w:rsid w:val="00E55879"/>
    <w:rsid w:val="00E561AF"/>
    <w:rsid w:val="00E57AC7"/>
    <w:rsid w:val="00E57D78"/>
    <w:rsid w:val="00E61395"/>
    <w:rsid w:val="00E645F8"/>
    <w:rsid w:val="00E648C7"/>
    <w:rsid w:val="00E65900"/>
    <w:rsid w:val="00E65A0F"/>
    <w:rsid w:val="00E67CC6"/>
    <w:rsid w:val="00E70889"/>
    <w:rsid w:val="00E74137"/>
    <w:rsid w:val="00E744E0"/>
    <w:rsid w:val="00E746F4"/>
    <w:rsid w:val="00E755D3"/>
    <w:rsid w:val="00E75697"/>
    <w:rsid w:val="00E821A4"/>
    <w:rsid w:val="00E87C0A"/>
    <w:rsid w:val="00E90CCB"/>
    <w:rsid w:val="00E9125B"/>
    <w:rsid w:val="00E91DC0"/>
    <w:rsid w:val="00E97BD0"/>
    <w:rsid w:val="00EA3E73"/>
    <w:rsid w:val="00EA4DF7"/>
    <w:rsid w:val="00EA7101"/>
    <w:rsid w:val="00EB1F43"/>
    <w:rsid w:val="00EB49CF"/>
    <w:rsid w:val="00EB5F95"/>
    <w:rsid w:val="00EB7982"/>
    <w:rsid w:val="00EC197E"/>
    <w:rsid w:val="00EC3B59"/>
    <w:rsid w:val="00EC4044"/>
    <w:rsid w:val="00ED3C0D"/>
    <w:rsid w:val="00ED628B"/>
    <w:rsid w:val="00ED7DEB"/>
    <w:rsid w:val="00EE03E4"/>
    <w:rsid w:val="00EE0B2D"/>
    <w:rsid w:val="00EE371F"/>
    <w:rsid w:val="00EE575A"/>
    <w:rsid w:val="00EE74A7"/>
    <w:rsid w:val="00EF0042"/>
    <w:rsid w:val="00EF0BF3"/>
    <w:rsid w:val="00EF152A"/>
    <w:rsid w:val="00EF4E67"/>
    <w:rsid w:val="00F05477"/>
    <w:rsid w:val="00F10102"/>
    <w:rsid w:val="00F12E9E"/>
    <w:rsid w:val="00F15BF9"/>
    <w:rsid w:val="00F209D8"/>
    <w:rsid w:val="00F27C1D"/>
    <w:rsid w:val="00F31CA9"/>
    <w:rsid w:val="00F3532F"/>
    <w:rsid w:val="00F3632E"/>
    <w:rsid w:val="00F4212B"/>
    <w:rsid w:val="00F42205"/>
    <w:rsid w:val="00F45343"/>
    <w:rsid w:val="00F4702A"/>
    <w:rsid w:val="00F5036E"/>
    <w:rsid w:val="00F51BA2"/>
    <w:rsid w:val="00F5250D"/>
    <w:rsid w:val="00F529C6"/>
    <w:rsid w:val="00F57AAB"/>
    <w:rsid w:val="00F60BF6"/>
    <w:rsid w:val="00F60C68"/>
    <w:rsid w:val="00F63432"/>
    <w:rsid w:val="00F64AC7"/>
    <w:rsid w:val="00F64C20"/>
    <w:rsid w:val="00F72952"/>
    <w:rsid w:val="00F731A0"/>
    <w:rsid w:val="00F739C8"/>
    <w:rsid w:val="00F748B5"/>
    <w:rsid w:val="00F74F9C"/>
    <w:rsid w:val="00F75FC2"/>
    <w:rsid w:val="00F775A2"/>
    <w:rsid w:val="00F83D40"/>
    <w:rsid w:val="00F86757"/>
    <w:rsid w:val="00F8777B"/>
    <w:rsid w:val="00F909FF"/>
    <w:rsid w:val="00F90E6B"/>
    <w:rsid w:val="00FA0241"/>
    <w:rsid w:val="00FA164F"/>
    <w:rsid w:val="00FA2437"/>
    <w:rsid w:val="00FA308C"/>
    <w:rsid w:val="00FA6D8A"/>
    <w:rsid w:val="00FA749C"/>
    <w:rsid w:val="00FA7747"/>
    <w:rsid w:val="00FB115A"/>
    <w:rsid w:val="00FB119A"/>
    <w:rsid w:val="00FC0CA8"/>
    <w:rsid w:val="00FC4DBD"/>
    <w:rsid w:val="00FC4F5A"/>
    <w:rsid w:val="00FC58E6"/>
    <w:rsid w:val="00FC5E21"/>
    <w:rsid w:val="00FC6488"/>
    <w:rsid w:val="00FD0750"/>
    <w:rsid w:val="00FD749F"/>
    <w:rsid w:val="00FE216B"/>
    <w:rsid w:val="00FE7F01"/>
    <w:rsid w:val="00FF0932"/>
    <w:rsid w:val="00FF151A"/>
    <w:rsid w:val="00FF568F"/>
    <w:rsid w:val="0100553C"/>
    <w:rsid w:val="01064C9A"/>
    <w:rsid w:val="010C47B7"/>
    <w:rsid w:val="0112363F"/>
    <w:rsid w:val="01156698"/>
    <w:rsid w:val="01193185"/>
    <w:rsid w:val="011A4D50"/>
    <w:rsid w:val="01206530"/>
    <w:rsid w:val="0127533C"/>
    <w:rsid w:val="01315D00"/>
    <w:rsid w:val="013435B5"/>
    <w:rsid w:val="0136557F"/>
    <w:rsid w:val="0155241A"/>
    <w:rsid w:val="01593B8E"/>
    <w:rsid w:val="018A58CB"/>
    <w:rsid w:val="019559E2"/>
    <w:rsid w:val="019B3634"/>
    <w:rsid w:val="01AC6828"/>
    <w:rsid w:val="01AE3368"/>
    <w:rsid w:val="01BD17FD"/>
    <w:rsid w:val="01C043F1"/>
    <w:rsid w:val="01C725F7"/>
    <w:rsid w:val="01D775B9"/>
    <w:rsid w:val="01E7687A"/>
    <w:rsid w:val="01EB45BC"/>
    <w:rsid w:val="01EE19B6"/>
    <w:rsid w:val="01F05F54"/>
    <w:rsid w:val="01F66ABD"/>
    <w:rsid w:val="0204742C"/>
    <w:rsid w:val="02081FF8"/>
    <w:rsid w:val="02106709"/>
    <w:rsid w:val="0216715F"/>
    <w:rsid w:val="02176416"/>
    <w:rsid w:val="02242CC3"/>
    <w:rsid w:val="0224362A"/>
    <w:rsid w:val="022A6766"/>
    <w:rsid w:val="02385327"/>
    <w:rsid w:val="023F0464"/>
    <w:rsid w:val="02497534"/>
    <w:rsid w:val="025E4CA2"/>
    <w:rsid w:val="02624152"/>
    <w:rsid w:val="027738A5"/>
    <w:rsid w:val="027A5940"/>
    <w:rsid w:val="027C5C61"/>
    <w:rsid w:val="02A66735"/>
    <w:rsid w:val="02AD361F"/>
    <w:rsid w:val="02B30F4C"/>
    <w:rsid w:val="02B532B3"/>
    <w:rsid w:val="02C40969"/>
    <w:rsid w:val="02C600A3"/>
    <w:rsid w:val="02D36DFE"/>
    <w:rsid w:val="02DC2156"/>
    <w:rsid w:val="02DC3F04"/>
    <w:rsid w:val="02E84657"/>
    <w:rsid w:val="02EA2B78"/>
    <w:rsid w:val="02F76749"/>
    <w:rsid w:val="03060F81"/>
    <w:rsid w:val="03100052"/>
    <w:rsid w:val="0317318F"/>
    <w:rsid w:val="031F665B"/>
    <w:rsid w:val="033C0E47"/>
    <w:rsid w:val="035148F2"/>
    <w:rsid w:val="03546191"/>
    <w:rsid w:val="03575C81"/>
    <w:rsid w:val="03577A2F"/>
    <w:rsid w:val="03667C72"/>
    <w:rsid w:val="03685798"/>
    <w:rsid w:val="03804398"/>
    <w:rsid w:val="03885E3A"/>
    <w:rsid w:val="038A3960"/>
    <w:rsid w:val="03C03826"/>
    <w:rsid w:val="03C5243A"/>
    <w:rsid w:val="03C87DCF"/>
    <w:rsid w:val="03CE5F43"/>
    <w:rsid w:val="03DA2A74"/>
    <w:rsid w:val="03DB41BC"/>
    <w:rsid w:val="03E05C76"/>
    <w:rsid w:val="03E07A24"/>
    <w:rsid w:val="03E20BAC"/>
    <w:rsid w:val="03E373E7"/>
    <w:rsid w:val="03F31CB7"/>
    <w:rsid w:val="04074FB1"/>
    <w:rsid w:val="040E6340"/>
    <w:rsid w:val="0410030A"/>
    <w:rsid w:val="0414147C"/>
    <w:rsid w:val="041F2294"/>
    <w:rsid w:val="04206237"/>
    <w:rsid w:val="04304467"/>
    <w:rsid w:val="0433224A"/>
    <w:rsid w:val="043B2EAD"/>
    <w:rsid w:val="0442553D"/>
    <w:rsid w:val="04461E7D"/>
    <w:rsid w:val="04554655"/>
    <w:rsid w:val="045C2016"/>
    <w:rsid w:val="0471630E"/>
    <w:rsid w:val="04784101"/>
    <w:rsid w:val="047B0D01"/>
    <w:rsid w:val="048760F2"/>
    <w:rsid w:val="04951B45"/>
    <w:rsid w:val="049F168E"/>
    <w:rsid w:val="04A36A89"/>
    <w:rsid w:val="04A951DB"/>
    <w:rsid w:val="04B35139"/>
    <w:rsid w:val="04BD7D66"/>
    <w:rsid w:val="04DC3081"/>
    <w:rsid w:val="04DE7BED"/>
    <w:rsid w:val="04EB4302"/>
    <w:rsid w:val="04FB71D2"/>
    <w:rsid w:val="04FD0162"/>
    <w:rsid w:val="050447EE"/>
    <w:rsid w:val="05080FE1"/>
    <w:rsid w:val="050F05C1"/>
    <w:rsid w:val="0517381B"/>
    <w:rsid w:val="052027CE"/>
    <w:rsid w:val="05216546"/>
    <w:rsid w:val="052E6336"/>
    <w:rsid w:val="0530678A"/>
    <w:rsid w:val="053E4A03"/>
    <w:rsid w:val="054412C6"/>
    <w:rsid w:val="05483AD3"/>
    <w:rsid w:val="055404AA"/>
    <w:rsid w:val="05663F59"/>
    <w:rsid w:val="057743B8"/>
    <w:rsid w:val="05962D81"/>
    <w:rsid w:val="05A76A4C"/>
    <w:rsid w:val="05C173E2"/>
    <w:rsid w:val="05C70E9C"/>
    <w:rsid w:val="05CA44E8"/>
    <w:rsid w:val="05D84E57"/>
    <w:rsid w:val="05EF3192"/>
    <w:rsid w:val="05FB3F65"/>
    <w:rsid w:val="060743F1"/>
    <w:rsid w:val="06093262"/>
    <w:rsid w:val="060C4DD3"/>
    <w:rsid w:val="061B11E8"/>
    <w:rsid w:val="06287E53"/>
    <w:rsid w:val="062A4F87"/>
    <w:rsid w:val="062C6F51"/>
    <w:rsid w:val="063B5518"/>
    <w:rsid w:val="06456265"/>
    <w:rsid w:val="06500E91"/>
    <w:rsid w:val="06581AF4"/>
    <w:rsid w:val="069025ED"/>
    <w:rsid w:val="0691471E"/>
    <w:rsid w:val="06AB256C"/>
    <w:rsid w:val="06B238FA"/>
    <w:rsid w:val="06B72BC7"/>
    <w:rsid w:val="06C61131"/>
    <w:rsid w:val="06D575E9"/>
    <w:rsid w:val="06DE46EF"/>
    <w:rsid w:val="06E7C2D2"/>
    <w:rsid w:val="06ED6FA7"/>
    <w:rsid w:val="06EE0437"/>
    <w:rsid w:val="06F35CC1"/>
    <w:rsid w:val="06F37A6F"/>
    <w:rsid w:val="07027CB2"/>
    <w:rsid w:val="07097292"/>
    <w:rsid w:val="070F3EAA"/>
    <w:rsid w:val="07124399"/>
    <w:rsid w:val="071D4AEC"/>
    <w:rsid w:val="071F68B2"/>
    <w:rsid w:val="072B0FB7"/>
    <w:rsid w:val="072C758B"/>
    <w:rsid w:val="073562D9"/>
    <w:rsid w:val="074D224E"/>
    <w:rsid w:val="075274FC"/>
    <w:rsid w:val="075971C8"/>
    <w:rsid w:val="07630750"/>
    <w:rsid w:val="0764271A"/>
    <w:rsid w:val="076A5F83"/>
    <w:rsid w:val="076FAA59"/>
    <w:rsid w:val="077566D6"/>
    <w:rsid w:val="07794418"/>
    <w:rsid w:val="077F1302"/>
    <w:rsid w:val="07837045"/>
    <w:rsid w:val="079C0106"/>
    <w:rsid w:val="07A442D4"/>
    <w:rsid w:val="07AB5A00"/>
    <w:rsid w:val="07C03DF5"/>
    <w:rsid w:val="07D01B5E"/>
    <w:rsid w:val="07D63618"/>
    <w:rsid w:val="07DB2536"/>
    <w:rsid w:val="07DC0503"/>
    <w:rsid w:val="07E51AAD"/>
    <w:rsid w:val="07F27D26"/>
    <w:rsid w:val="07F817E1"/>
    <w:rsid w:val="07F95559"/>
    <w:rsid w:val="07FE9BBE"/>
    <w:rsid w:val="08002FFD"/>
    <w:rsid w:val="08003DC4"/>
    <w:rsid w:val="080C0DE8"/>
    <w:rsid w:val="08275DCF"/>
    <w:rsid w:val="082779D0"/>
    <w:rsid w:val="084C5688"/>
    <w:rsid w:val="085E00A1"/>
    <w:rsid w:val="085F761F"/>
    <w:rsid w:val="086956BA"/>
    <w:rsid w:val="086A00E6"/>
    <w:rsid w:val="087D1CE6"/>
    <w:rsid w:val="08892439"/>
    <w:rsid w:val="08B33959"/>
    <w:rsid w:val="08B4560F"/>
    <w:rsid w:val="08B5322E"/>
    <w:rsid w:val="08BB636A"/>
    <w:rsid w:val="08CC4A1B"/>
    <w:rsid w:val="08CE0793"/>
    <w:rsid w:val="08D31906"/>
    <w:rsid w:val="08E93645"/>
    <w:rsid w:val="08F17FDE"/>
    <w:rsid w:val="08FF094D"/>
    <w:rsid w:val="08FF6B9F"/>
    <w:rsid w:val="090C4E18"/>
    <w:rsid w:val="09102B5A"/>
    <w:rsid w:val="091423DD"/>
    <w:rsid w:val="09173EE8"/>
    <w:rsid w:val="091F4B4B"/>
    <w:rsid w:val="09226386"/>
    <w:rsid w:val="09271C52"/>
    <w:rsid w:val="092C1016"/>
    <w:rsid w:val="092E1232"/>
    <w:rsid w:val="09336848"/>
    <w:rsid w:val="093E2CBE"/>
    <w:rsid w:val="093E76C7"/>
    <w:rsid w:val="093F343F"/>
    <w:rsid w:val="09412D13"/>
    <w:rsid w:val="09475E50"/>
    <w:rsid w:val="09572F58"/>
    <w:rsid w:val="09581E0B"/>
    <w:rsid w:val="0960344D"/>
    <w:rsid w:val="09691028"/>
    <w:rsid w:val="096B3BF3"/>
    <w:rsid w:val="0970184A"/>
    <w:rsid w:val="09736C45"/>
    <w:rsid w:val="0973759F"/>
    <w:rsid w:val="097536D0"/>
    <w:rsid w:val="099B2D17"/>
    <w:rsid w:val="09AA4D5C"/>
    <w:rsid w:val="09AA7B54"/>
    <w:rsid w:val="09B47989"/>
    <w:rsid w:val="09BB7DD7"/>
    <w:rsid w:val="09C15C02"/>
    <w:rsid w:val="09C676BC"/>
    <w:rsid w:val="09CD45A7"/>
    <w:rsid w:val="09CF6571"/>
    <w:rsid w:val="09D26108"/>
    <w:rsid w:val="09DB3168"/>
    <w:rsid w:val="09F63AFE"/>
    <w:rsid w:val="09FD633D"/>
    <w:rsid w:val="0A0A1357"/>
    <w:rsid w:val="0A0A75A9"/>
    <w:rsid w:val="0A1B3564"/>
    <w:rsid w:val="0A1B5312"/>
    <w:rsid w:val="0A314B36"/>
    <w:rsid w:val="0A4A209B"/>
    <w:rsid w:val="0A4F6B43"/>
    <w:rsid w:val="0A53782A"/>
    <w:rsid w:val="0A540824"/>
    <w:rsid w:val="0A56459C"/>
    <w:rsid w:val="0A59408D"/>
    <w:rsid w:val="0A6273E5"/>
    <w:rsid w:val="0A71587A"/>
    <w:rsid w:val="0A726EFC"/>
    <w:rsid w:val="0A747118"/>
    <w:rsid w:val="0A7669ED"/>
    <w:rsid w:val="0A7705F9"/>
    <w:rsid w:val="0A7A4013"/>
    <w:rsid w:val="0A9926DB"/>
    <w:rsid w:val="0A9E5F43"/>
    <w:rsid w:val="0AAD02CE"/>
    <w:rsid w:val="0ABB08A3"/>
    <w:rsid w:val="0ABD7054"/>
    <w:rsid w:val="0AC27C6A"/>
    <w:rsid w:val="0AC41E4E"/>
    <w:rsid w:val="0ACA278E"/>
    <w:rsid w:val="0ACE7E1A"/>
    <w:rsid w:val="0ACF434F"/>
    <w:rsid w:val="0AD00EBD"/>
    <w:rsid w:val="0AD11B2D"/>
    <w:rsid w:val="0AD57BB7"/>
    <w:rsid w:val="0AE85B89"/>
    <w:rsid w:val="0AF53DB5"/>
    <w:rsid w:val="0AF777D1"/>
    <w:rsid w:val="0AFC96EE"/>
    <w:rsid w:val="0B05139F"/>
    <w:rsid w:val="0B1A3A0F"/>
    <w:rsid w:val="0B1F7084"/>
    <w:rsid w:val="0B217619"/>
    <w:rsid w:val="0B24468A"/>
    <w:rsid w:val="0B372620"/>
    <w:rsid w:val="0B3A2110"/>
    <w:rsid w:val="0B3F3282"/>
    <w:rsid w:val="0B48482D"/>
    <w:rsid w:val="0B505490"/>
    <w:rsid w:val="0B534F80"/>
    <w:rsid w:val="0B5D195B"/>
    <w:rsid w:val="0B5F0FE5"/>
    <w:rsid w:val="0B6131F9"/>
    <w:rsid w:val="0B6251C3"/>
    <w:rsid w:val="0B786794"/>
    <w:rsid w:val="0B801A3F"/>
    <w:rsid w:val="0B844339"/>
    <w:rsid w:val="0B8C27E0"/>
    <w:rsid w:val="0B952446"/>
    <w:rsid w:val="0B97475E"/>
    <w:rsid w:val="0BA27BE5"/>
    <w:rsid w:val="0BA63302"/>
    <w:rsid w:val="0BAB0918"/>
    <w:rsid w:val="0BB579E9"/>
    <w:rsid w:val="0BBFB1C5"/>
    <w:rsid w:val="0BC11EE9"/>
    <w:rsid w:val="0BD07432"/>
    <w:rsid w:val="0BD95485"/>
    <w:rsid w:val="0BE1258C"/>
    <w:rsid w:val="0BE36304"/>
    <w:rsid w:val="0C1558EC"/>
    <w:rsid w:val="0C2C5C40"/>
    <w:rsid w:val="0C452F2C"/>
    <w:rsid w:val="0C460641"/>
    <w:rsid w:val="0C48541E"/>
    <w:rsid w:val="0C57284E"/>
    <w:rsid w:val="0C6112A5"/>
    <w:rsid w:val="0C6271A8"/>
    <w:rsid w:val="0C6A2581"/>
    <w:rsid w:val="0C75623D"/>
    <w:rsid w:val="0C7C4062"/>
    <w:rsid w:val="0C7C409E"/>
    <w:rsid w:val="0C886EAB"/>
    <w:rsid w:val="0CAA68DE"/>
    <w:rsid w:val="0CB3147A"/>
    <w:rsid w:val="0CBE28CD"/>
    <w:rsid w:val="0CC07B24"/>
    <w:rsid w:val="0CD67C16"/>
    <w:rsid w:val="0CD8573D"/>
    <w:rsid w:val="0CD93263"/>
    <w:rsid w:val="0CE560AB"/>
    <w:rsid w:val="0CE57E5A"/>
    <w:rsid w:val="0CE95B9C"/>
    <w:rsid w:val="0CE9794A"/>
    <w:rsid w:val="0CF32F00"/>
    <w:rsid w:val="0CF44970"/>
    <w:rsid w:val="0CFC588E"/>
    <w:rsid w:val="0CFE6269"/>
    <w:rsid w:val="0D0C188A"/>
    <w:rsid w:val="0D0F4ED6"/>
    <w:rsid w:val="0D152A80"/>
    <w:rsid w:val="0D1A3FA7"/>
    <w:rsid w:val="0D2210AE"/>
    <w:rsid w:val="0D2E35AF"/>
    <w:rsid w:val="0D334126"/>
    <w:rsid w:val="0D38442D"/>
    <w:rsid w:val="0D3E1A6A"/>
    <w:rsid w:val="0D400A33"/>
    <w:rsid w:val="0D42705A"/>
    <w:rsid w:val="0D4E1EA3"/>
    <w:rsid w:val="0D553231"/>
    <w:rsid w:val="0D5B011C"/>
    <w:rsid w:val="0D611BD6"/>
    <w:rsid w:val="0D643474"/>
    <w:rsid w:val="0D690A8B"/>
    <w:rsid w:val="0D766D04"/>
    <w:rsid w:val="0D780CCE"/>
    <w:rsid w:val="0D8C6527"/>
    <w:rsid w:val="0D933D59"/>
    <w:rsid w:val="0D9F26FE"/>
    <w:rsid w:val="0DA90E87"/>
    <w:rsid w:val="0DB12B4A"/>
    <w:rsid w:val="0DB62EC2"/>
    <w:rsid w:val="0DD00B0A"/>
    <w:rsid w:val="0DDA1988"/>
    <w:rsid w:val="0DE10621"/>
    <w:rsid w:val="0DED16BC"/>
    <w:rsid w:val="0DF465A6"/>
    <w:rsid w:val="0DFD060A"/>
    <w:rsid w:val="0DFE7425"/>
    <w:rsid w:val="0E1C7FA0"/>
    <w:rsid w:val="0E2F75DE"/>
    <w:rsid w:val="0E325320"/>
    <w:rsid w:val="0E357D86"/>
    <w:rsid w:val="0E383AA8"/>
    <w:rsid w:val="0E3E10C3"/>
    <w:rsid w:val="0E54415D"/>
    <w:rsid w:val="0E5A59BA"/>
    <w:rsid w:val="0E6A4ABA"/>
    <w:rsid w:val="0E770F85"/>
    <w:rsid w:val="0E820056"/>
    <w:rsid w:val="0E9953A0"/>
    <w:rsid w:val="0E9E4764"/>
    <w:rsid w:val="0E9F3E75"/>
    <w:rsid w:val="0EAD49A7"/>
    <w:rsid w:val="0EBE5C1F"/>
    <w:rsid w:val="0ECA37AB"/>
    <w:rsid w:val="0EDB32C2"/>
    <w:rsid w:val="0EDC7FE2"/>
    <w:rsid w:val="0EE52393"/>
    <w:rsid w:val="0F0C0596"/>
    <w:rsid w:val="0F1467D4"/>
    <w:rsid w:val="0F1477D9"/>
    <w:rsid w:val="0F1D7D7F"/>
    <w:rsid w:val="0F362BEE"/>
    <w:rsid w:val="0F384BB8"/>
    <w:rsid w:val="0F403A6D"/>
    <w:rsid w:val="0F476BAA"/>
    <w:rsid w:val="0F4C5F6E"/>
    <w:rsid w:val="0F6459AD"/>
    <w:rsid w:val="0F696B20"/>
    <w:rsid w:val="0F6C5013"/>
    <w:rsid w:val="0F7F04E1"/>
    <w:rsid w:val="0F8E2A2A"/>
    <w:rsid w:val="0F8E47D8"/>
    <w:rsid w:val="0F96368D"/>
    <w:rsid w:val="0FA364D6"/>
    <w:rsid w:val="0FA620EE"/>
    <w:rsid w:val="0FAD27A1"/>
    <w:rsid w:val="0FB57FB7"/>
    <w:rsid w:val="0FBA737B"/>
    <w:rsid w:val="0FBD5E71"/>
    <w:rsid w:val="0FC404B7"/>
    <w:rsid w:val="0FC621C4"/>
    <w:rsid w:val="0FCF4BD5"/>
    <w:rsid w:val="0FD52407"/>
    <w:rsid w:val="0FE05E95"/>
    <w:rsid w:val="0FE07842"/>
    <w:rsid w:val="0FE16FFE"/>
    <w:rsid w:val="0FE4264A"/>
    <w:rsid w:val="0FED7751"/>
    <w:rsid w:val="0FEE5277"/>
    <w:rsid w:val="0FFD240A"/>
    <w:rsid w:val="0FFE370C"/>
    <w:rsid w:val="10036F74"/>
    <w:rsid w:val="100B7BD7"/>
    <w:rsid w:val="1025513D"/>
    <w:rsid w:val="10264A11"/>
    <w:rsid w:val="1030349B"/>
    <w:rsid w:val="1033383A"/>
    <w:rsid w:val="10390BE8"/>
    <w:rsid w:val="10545A22"/>
    <w:rsid w:val="10580021"/>
    <w:rsid w:val="10685029"/>
    <w:rsid w:val="106F63B8"/>
    <w:rsid w:val="10923E54"/>
    <w:rsid w:val="10967DE9"/>
    <w:rsid w:val="109776BD"/>
    <w:rsid w:val="10A60810"/>
    <w:rsid w:val="10A87B1C"/>
    <w:rsid w:val="10AA3894"/>
    <w:rsid w:val="10B5192F"/>
    <w:rsid w:val="10B85FB1"/>
    <w:rsid w:val="10CA5CE4"/>
    <w:rsid w:val="10E77FBE"/>
    <w:rsid w:val="10F60887"/>
    <w:rsid w:val="10F90377"/>
    <w:rsid w:val="1125116C"/>
    <w:rsid w:val="11274EE5"/>
    <w:rsid w:val="112F5B47"/>
    <w:rsid w:val="1131366D"/>
    <w:rsid w:val="11334496"/>
    <w:rsid w:val="11370089"/>
    <w:rsid w:val="113C3A20"/>
    <w:rsid w:val="11494E5B"/>
    <w:rsid w:val="114A0BD3"/>
    <w:rsid w:val="11502559"/>
    <w:rsid w:val="11553BDD"/>
    <w:rsid w:val="115769B5"/>
    <w:rsid w:val="115B06EA"/>
    <w:rsid w:val="117E738F"/>
    <w:rsid w:val="1182211B"/>
    <w:rsid w:val="11867E5D"/>
    <w:rsid w:val="11967974"/>
    <w:rsid w:val="11B36778"/>
    <w:rsid w:val="11B40530"/>
    <w:rsid w:val="11B45ED9"/>
    <w:rsid w:val="11B62F80"/>
    <w:rsid w:val="11BD75F7"/>
    <w:rsid w:val="11C97F1A"/>
    <w:rsid w:val="11DF36A1"/>
    <w:rsid w:val="11E35AA0"/>
    <w:rsid w:val="11E9219A"/>
    <w:rsid w:val="11FE3E97"/>
    <w:rsid w:val="120668A8"/>
    <w:rsid w:val="120E2CCF"/>
    <w:rsid w:val="12152F8F"/>
    <w:rsid w:val="122554C6"/>
    <w:rsid w:val="12323B41"/>
    <w:rsid w:val="12411FD6"/>
    <w:rsid w:val="12437AFC"/>
    <w:rsid w:val="12541D09"/>
    <w:rsid w:val="12614426"/>
    <w:rsid w:val="126227B4"/>
    <w:rsid w:val="126C7543"/>
    <w:rsid w:val="12745F08"/>
    <w:rsid w:val="12754F46"/>
    <w:rsid w:val="12847AFA"/>
    <w:rsid w:val="12863E8D"/>
    <w:rsid w:val="128E407F"/>
    <w:rsid w:val="12A85BB1"/>
    <w:rsid w:val="12AA1929"/>
    <w:rsid w:val="12AF1FE4"/>
    <w:rsid w:val="12B97DBE"/>
    <w:rsid w:val="12BB3B36"/>
    <w:rsid w:val="12C351C4"/>
    <w:rsid w:val="12D2317B"/>
    <w:rsid w:val="12DB0594"/>
    <w:rsid w:val="12DB7D35"/>
    <w:rsid w:val="12DE7825"/>
    <w:rsid w:val="12E55FEE"/>
    <w:rsid w:val="12F31522"/>
    <w:rsid w:val="1300779B"/>
    <w:rsid w:val="13050CDE"/>
    <w:rsid w:val="13082AF4"/>
    <w:rsid w:val="130D615E"/>
    <w:rsid w:val="131674A1"/>
    <w:rsid w:val="131D034D"/>
    <w:rsid w:val="13283524"/>
    <w:rsid w:val="13315BA7"/>
    <w:rsid w:val="13392358"/>
    <w:rsid w:val="133B07D3"/>
    <w:rsid w:val="135D699C"/>
    <w:rsid w:val="136B3218"/>
    <w:rsid w:val="136C3EED"/>
    <w:rsid w:val="13813B6F"/>
    <w:rsid w:val="138D03AF"/>
    <w:rsid w:val="139236BB"/>
    <w:rsid w:val="139879D4"/>
    <w:rsid w:val="139F6FB4"/>
    <w:rsid w:val="13A26AA4"/>
    <w:rsid w:val="13B642FE"/>
    <w:rsid w:val="13BB1914"/>
    <w:rsid w:val="13BB206E"/>
    <w:rsid w:val="13D1738A"/>
    <w:rsid w:val="13D80718"/>
    <w:rsid w:val="13D950E1"/>
    <w:rsid w:val="13DC1FB6"/>
    <w:rsid w:val="13E15699"/>
    <w:rsid w:val="13EA1E74"/>
    <w:rsid w:val="13EF3E23"/>
    <w:rsid w:val="13FDE4E9"/>
    <w:rsid w:val="13FF5CA5"/>
    <w:rsid w:val="14005579"/>
    <w:rsid w:val="140B63F8"/>
    <w:rsid w:val="142851FC"/>
    <w:rsid w:val="143F42F3"/>
    <w:rsid w:val="1448764C"/>
    <w:rsid w:val="145853B5"/>
    <w:rsid w:val="14714425"/>
    <w:rsid w:val="14773A8D"/>
    <w:rsid w:val="14785E3A"/>
    <w:rsid w:val="147E5129"/>
    <w:rsid w:val="14812B5E"/>
    <w:rsid w:val="14830684"/>
    <w:rsid w:val="148E75B8"/>
    <w:rsid w:val="148F527B"/>
    <w:rsid w:val="149573A0"/>
    <w:rsid w:val="14972381"/>
    <w:rsid w:val="14A32AD4"/>
    <w:rsid w:val="14A81E98"/>
    <w:rsid w:val="14AD3953"/>
    <w:rsid w:val="14C119F5"/>
    <w:rsid w:val="14C17E60"/>
    <w:rsid w:val="14C36CD2"/>
    <w:rsid w:val="14CA6F83"/>
    <w:rsid w:val="14E05AD6"/>
    <w:rsid w:val="14E07884"/>
    <w:rsid w:val="14FB2910"/>
    <w:rsid w:val="15080B89"/>
    <w:rsid w:val="150C1BA5"/>
    <w:rsid w:val="151B4D60"/>
    <w:rsid w:val="151D17DA"/>
    <w:rsid w:val="152C3F68"/>
    <w:rsid w:val="15524618"/>
    <w:rsid w:val="155E2E9F"/>
    <w:rsid w:val="155E4C4D"/>
    <w:rsid w:val="156009C5"/>
    <w:rsid w:val="15602773"/>
    <w:rsid w:val="15785D0F"/>
    <w:rsid w:val="157B75AD"/>
    <w:rsid w:val="157F52EF"/>
    <w:rsid w:val="15843123"/>
    <w:rsid w:val="15846453"/>
    <w:rsid w:val="158741A4"/>
    <w:rsid w:val="15973CBB"/>
    <w:rsid w:val="159B421A"/>
    <w:rsid w:val="159D5775"/>
    <w:rsid w:val="15AE4CA6"/>
    <w:rsid w:val="15BD5E17"/>
    <w:rsid w:val="15CA22E2"/>
    <w:rsid w:val="15CE200E"/>
    <w:rsid w:val="15D1541F"/>
    <w:rsid w:val="15E30B21"/>
    <w:rsid w:val="15E92769"/>
    <w:rsid w:val="15F1161D"/>
    <w:rsid w:val="15F7693B"/>
    <w:rsid w:val="15F86E50"/>
    <w:rsid w:val="15FFD219"/>
    <w:rsid w:val="160643EA"/>
    <w:rsid w:val="160B6B83"/>
    <w:rsid w:val="16113B89"/>
    <w:rsid w:val="161B48EC"/>
    <w:rsid w:val="16221E64"/>
    <w:rsid w:val="16353C00"/>
    <w:rsid w:val="16491C86"/>
    <w:rsid w:val="16573B76"/>
    <w:rsid w:val="166743C0"/>
    <w:rsid w:val="16691AFB"/>
    <w:rsid w:val="166938A9"/>
    <w:rsid w:val="166A1D5B"/>
    <w:rsid w:val="16797F90"/>
    <w:rsid w:val="169923E1"/>
    <w:rsid w:val="16996F47"/>
    <w:rsid w:val="16A029FF"/>
    <w:rsid w:val="16A3500D"/>
    <w:rsid w:val="16AB5C70"/>
    <w:rsid w:val="16AD7C3A"/>
    <w:rsid w:val="16C810CC"/>
    <w:rsid w:val="16C83453"/>
    <w:rsid w:val="16DF3B6C"/>
    <w:rsid w:val="16E573D4"/>
    <w:rsid w:val="16EB0762"/>
    <w:rsid w:val="16EF0253"/>
    <w:rsid w:val="17017F86"/>
    <w:rsid w:val="17081314"/>
    <w:rsid w:val="17216BF1"/>
    <w:rsid w:val="17342109"/>
    <w:rsid w:val="173B5246"/>
    <w:rsid w:val="17430527"/>
    <w:rsid w:val="1743234C"/>
    <w:rsid w:val="174560AE"/>
    <w:rsid w:val="17465CF0"/>
    <w:rsid w:val="174A246D"/>
    <w:rsid w:val="174A7237"/>
    <w:rsid w:val="176B686C"/>
    <w:rsid w:val="176C5189"/>
    <w:rsid w:val="17793522"/>
    <w:rsid w:val="178D35C8"/>
    <w:rsid w:val="1794305D"/>
    <w:rsid w:val="17AA1223"/>
    <w:rsid w:val="17B84AE8"/>
    <w:rsid w:val="17C20AF1"/>
    <w:rsid w:val="17CE7E68"/>
    <w:rsid w:val="17CF3BE0"/>
    <w:rsid w:val="17D31922"/>
    <w:rsid w:val="17DF02C7"/>
    <w:rsid w:val="17E05DED"/>
    <w:rsid w:val="17E458DD"/>
    <w:rsid w:val="17EC6540"/>
    <w:rsid w:val="17F90C5D"/>
    <w:rsid w:val="17FE0021"/>
    <w:rsid w:val="17FFF359"/>
    <w:rsid w:val="18040B17"/>
    <w:rsid w:val="18147EF7"/>
    <w:rsid w:val="1824217E"/>
    <w:rsid w:val="182C4B8E"/>
    <w:rsid w:val="1836143D"/>
    <w:rsid w:val="183F2B14"/>
    <w:rsid w:val="183F4A1B"/>
    <w:rsid w:val="18561D8C"/>
    <w:rsid w:val="18636858"/>
    <w:rsid w:val="186802BC"/>
    <w:rsid w:val="18692356"/>
    <w:rsid w:val="186C142F"/>
    <w:rsid w:val="187327BD"/>
    <w:rsid w:val="18822A00"/>
    <w:rsid w:val="18893D8F"/>
    <w:rsid w:val="188A28AC"/>
    <w:rsid w:val="188C387F"/>
    <w:rsid w:val="18980476"/>
    <w:rsid w:val="18B51028"/>
    <w:rsid w:val="18B552A6"/>
    <w:rsid w:val="18B72FDA"/>
    <w:rsid w:val="18BA663E"/>
    <w:rsid w:val="18BD7EDC"/>
    <w:rsid w:val="18C354F3"/>
    <w:rsid w:val="18CB084B"/>
    <w:rsid w:val="18D21BDA"/>
    <w:rsid w:val="18E147A1"/>
    <w:rsid w:val="18EB6B88"/>
    <w:rsid w:val="19292A5B"/>
    <w:rsid w:val="193B4FD0"/>
    <w:rsid w:val="19483C4A"/>
    <w:rsid w:val="196640D0"/>
    <w:rsid w:val="196675A6"/>
    <w:rsid w:val="196C3C60"/>
    <w:rsid w:val="196E69FF"/>
    <w:rsid w:val="19826C1B"/>
    <w:rsid w:val="19834C82"/>
    <w:rsid w:val="198D79E3"/>
    <w:rsid w:val="199155F1"/>
    <w:rsid w:val="1997072D"/>
    <w:rsid w:val="199E386A"/>
    <w:rsid w:val="19A30E80"/>
    <w:rsid w:val="19AA3D70"/>
    <w:rsid w:val="19B4188F"/>
    <w:rsid w:val="19B66E06"/>
    <w:rsid w:val="19C257AA"/>
    <w:rsid w:val="19F23D5E"/>
    <w:rsid w:val="19F441E8"/>
    <w:rsid w:val="19F50C03"/>
    <w:rsid w:val="19FA13E8"/>
    <w:rsid w:val="19FA57AF"/>
    <w:rsid w:val="19FB6F0E"/>
    <w:rsid w:val="19FD2C86"/>
    <w:rsid w:val="19FF69FF"/>
    <w:rsid w:val="1A02204B"/>
    <w:rsid w:val="1A15655E"/>
    <w:rsid w:val="1A1A55E6"/>
    <w:rsid w:val="1A1B135F"/>
    <w:rsid w:val="1A3146DE"/>
    <w:rsid w:val="1A3D3083"/>
    <w:rsid w:val="1A3F6DFB"/>
    <w:rsid w:val="1A402B73"/>
    <w:rsid w:val="1A4563DB"/>
    <w:rsid w:val="1A5A3055"/>
    <w:rsid w:val="1A5E5585"/>
    <w:rsid w:val="1A772A39"/>
    <w:rsid w:val="1A7E085D"/>
    <w:rsid w:val="1A8C7B66"/>
    <w:rsid w:val="1A8D1FDE"/>
    <w:rsid w:val="1A930EF5"/>
    <w:rsid w:val="1A9B6960"/>
    <w:rsid w:val="1A9D1D74"/>
    <w:rsid w:val="1AB538EA"/>
    <w:rsid w:val="1AB64BE3"/>
    <w:rsid w:val="1AC437A4"/>
    <w:rsid w:val="1AC53040"/>
    <w:rsid w:val="1ACC326C"/>
    <w:rsid w:val="1AD35795"/>
    <w:rsid w:val="1AD559B1"/>
    <w:rsid w:val="1AE14356"/>
    <w:rsid w:val="1AF04599"/>
    <w:rsid w:val="1AF35E37"/>
    <w:rsid w:val="1AFB6815"/>
    <w:rsid w:val="1AFC6A9A"/>
    <w:rsid w:val="1AFED777"/>
    <w:rsid w:val="1B122762"/>
    <w:rsid w:val="1B18764C"/>
    <w:rsid w:val="1B1B1DD5"/>
    <w:rsid w:val="1B2304CB"/>
    <w:rsid w:val="1B247C49"/>
    <w:rsid w:val="1B324BB2"/>
    <w:rsid w:val="1B3F0D70"/>
    <w:rsid w:val="1B3F1135"/>
    <w:rsid w:val="1B487F31"/>
    <w:rsid w:val="1B670381"/>
    <w:rsid w:val="1B6B3C20"/>
    <w:rsid w:val="1B707488"/>
    <w:rsid w:val="1B772E08"/>
    <w:rsid w:val="1B852378"/>
    <w:rsid w:val="1B866CAC"/>
    <w:rsid w:val="1B8D003A"/>
    <w:rsid w:val="1BA21B7B"/>
    <w:rsid w:val="1BAB2470"/>
    <w:rsid w:val="1BAF1D5E"/>
    <w:rsid w:val="1BB67591"/>
    <w:rsid w:val="1BBF6939"/>
    <w:rsid w:val="1BCD48DA"/>
    <w:rsid w:val="1BD96DDB"/>
    <w:rsid w:val="1BDFC116"/>
    <w:rsid w:val="1BE107B4"/>
    <w:rsid w:val="1BE4113E"/>
    <w:rsid w:val="1BE839E6"/>
    <w:rsid w:val="1BF9B495"/>
    <w:rsid w:val="1BFCA88A"/>
    <w:rsid w:val="1BFE6842"/>
    <w:rsid w:val="1C00080C"/>
    <w:rsid w:val="1C057BD0"/>
    <w:rsid w:val="1C093B64"/>
    <w:rsid w:val="1C27223D"/>
    <w:rsid w:val="1C2C1601"/>
    <w:rsid w:val="1C2F2E9F"/>
    <w:rsid w:val="1C404676"/>
    <w:rsid w:val="1C4C1CA3"/>
    <w:rsid w:val="1C500517"/>
    <w:rsid w:val="1C5E5533"/>
    <w:rsid w:val="1C614B7E"/>
    <w:rsid w:val="1C626DD1"/>
    <w:rsid w:val="1C7134B8"/>
    <w:rsid w:val="1C735482"/>
    <w:rsid w:val="1C7A236C"/>
    <w:rsid w:val="1C8B5289"/>
    <w:rsid w:val="1C8E406A"/>
    <w:rsid w:val="1C962F1E"/>
    <w:rsid w:val="1C9A0C60"/>
    <w:rsid w:val="1CBA6C0D"/>
    <w:rsid w:val="1CC57360"/>
    <w:rsid w:val="1CD162D3"/>
    <w:rsid w:val="1CD71683"/>
    <w:rsid w:val="1CE1785A"/>
    <w:rsid w:val="1CE26164"/>
    <w:rsid w:val="1CEB478D"/>
    <w:rsid w:val="1CF06AD2"/>
    <w:rsid w:val="1CF33ECD"/>
    <w:rsid w:val="1CF365C3"/>
    <w:rsid w:val="1CFA16FF"/>
    <w:rsid w:val="1CFF7FAA"/>
    <w:rsid w:val="1D036806"/>
    <w:rsid w:val="1D1A3B4F"/>
    <w:rsid w:val="1D1F1166"/>
    <w:rsid w:val="1D3179E7"/>
    <w:rsid w:val="1D320E99"/>
    <w:rsid w:val="1D385D84"/>
    <w:rsid w:val="1D3C5874"/>
    <w:rsid w:val="1D3F35B6"/>
    <w:rsid w:val="1D540E0F"/>
    <w:rsid w:val="1D5BD51B"/>
    <w:rsid w:val="1D5C5F16"/>
    <w:rsid w:val="1D5D0FA4"/>
    <w:rsid w:val="1D5E1C8E"/>
    <w:rsid w:val="1D631052"/>
    <w:rsid w:val="1D6327E7"/>
    <w:rsid w:val="1D6C19D4"/>
    <w:rsid w:val="1D6D3C7F"/>
    <w:rsid w:val="1D770853"/>
    <w:rsid w:val="1D8A5AE8"/>
    <w:rsid w:val="1D905BC0"/>
    <w:rsid w:val="1D925CFF"/>
    <w:rsid w:val="1DBF54C3"/>
    <w:rsid w:val="1DBFC4B2"/>
    <w:rsid w:val="1DC74FF4"/>
    <w:rsid w:val="1DC76378"/>
    <w:rsid w:val="1DCD471E"/>
    <w:rsid w:val="1DCF66E8"/>
    <w:rsid w:val="1DD41F50"/>
    <w:rsid w:val="1DD93CC7"/>
    <w:rsid w:val="1DDFF5FF"/>
    <w:rsid w:val="1DED6B6E"/>
    <w:rsid w:val="1DF3687A"/>
    <w:rsid w:val="1DFB572F"/>
    <w:rsid w:val="1E01086B"/>
    <w:rsid w:val="1E0B5246"/>
    <w:rsid w:val="1E18008F"/>
    <w:rsid w:val="1E2258EB"/>
    <w:rsid w:val="1E2527AC"/>
    <w:rsid w:val="1E2A6014"/>
    <w:rsid w:val="1E312B23"/>
    <w:rsid w:val="1E367A74"/>
    <w:rsid w:val="1E391DB3"/>
    <w:rsid w:val="1E3E386E"/>
    <w:rsid w:val="1E432C32"/>
    <w:rsid w:val="1E45572C"/>
    <w:rsid w:val="1E5310C7"/>
    <w:rsid w:val="1E6257AE"/>
    <w:rsid w:val="1E63378E"/>
    <w:rsid w:val="1E641526"/>
    <w:rsid w:val="1E656462"/>
    <w:rsid w:val="1E6B73A1"/>
    <w:rsid w:val="1E74728F"/>
    <w:rsid w:val="1E7F289E"/>
    <w:rsid w:val="1E805C34"/>
    <w:rsid w:val="1E85324A"/>
    <w:rsid w:val="1E937715"/>
    <w:rsid w:val="1E9C4BD8"/>
    <w:rsid w:val="1EA35FEA"/>
    <w:rsid w:val="1EA41923"/>
    <w:rsid w:val="1EAE09F3"/>
    <w:rsid w:val="1EBA2EF4"/>
    <w:rsid w:val="1EBB4EBE"/>
    <w:rsid w:val="1EBF49AE"/>
    <w:rsid w:val="1EC04596"/>
    <w:rsid w:val="1ED55F80"/>
    <w:rsid w:val="1ED709CD"/>
    <w:rsid w:val="1EE05092"/>
    <w:rsid w:val="1EE2244B"/>
    <w:rsid w:val="1EEB653C"/>
    <w:rsid w:val="1EEF9422"/>
    <w:rsid w:val="1EF81DD0"/>
    <w:rsid w:val="1F0A0121"/>
    <w:rsid w:val="1F0C3495"/>
    <w:rsid w:val="1F0C74C8"/>
    <w:rsid w:val="1F0E3240"/>
    <w:rsid w:val="1F234F3D"/>
    <w:rsid w:val="1F274302"/>
    <w:rsid w:val="1F2B2044"/>
    <w:rsid w:val="1F2D2183"/>
    <w:rsid w:val="1F301408"/>
    <w:rsid w:val="1F430A42"/>
    <w:rsid w:val="1F4629DA"/>
    <w:rsid w:val="1F481CE3"/>
    <w:rsid w:val="1F4C5B16"/>
    <w:rsid w:val="1F5570C1"/>
    <w:rsid w:val="1F58270D"/>
    <w:rsid w:val="1F585875"/>
    <w:rsid w:val="1F6B41EE"/>
    <w:rsid w:val="1F705CA9"/>
    <w:rsid w:val="1F713C61"/>
    <w:rsid w:val="1F7421F4"/>
    <w:rsid w:val="1F7834B8"/>
    <w:rsid w:val="1F7C289F"/>
    <w:rsid w:val="1F7C464D"/>
    <w:rsid w:val="1F841754"/>
    <w:rsid w:val="1F8802F8"/>
    <w:rsid w:val="1F8B663F"/>
    <w:rsid w:val="1F951B51"/>
    <w:rsid w:val="1FA37E2C"/>
    <w:rsid w:val="1FB42039"/>
    <w:rsid w:val="1FBB9104"/>
    <w:rsid w:val="1FC35DD8"/>
    <w:rsid w:val="1FDA1374"/>
    <w:rsid w:val="1FDB7F9A"/>
    <w:rsid w:val="1FF1BAE6"/>
    <w:rsid w:val="1FF35968"/>
    <w:rsid w:val="1FF786E4"/>
    <w:rsid w:val="1FFE4B2A"/>
    <w:rsid w:val="20032679"/>
    <w:rsid w:val="200C3C23"/>
    <w:rsid w:val="20162EA9"/>
    <w:rsid w:val="201C198C"/>
    <w:rsid w:val="201E74B3"/>
    <w:rsid w:val="20230F6D"/>
    <w:rsid w:val="202E4C3E"/>
    <w:rsid w:val="20325E0F"/>
    <w:rsid w:val="203B510F"/>
    <w:rsid w:val="2040567B"/>
    <w:rsid w:val="20542ED4"/>
    <w:rsid w:val="20605D1D"/>
    <w:rsid w:val="20746E58"/>
    <w:rsid w:val="20825C93"/>
    <w:rsid w:val="20983709"/>
    <w:rsid w:val="209E260B"/>
    <w:rsid w:val="20A16773"/>
    <w:rsid w:val="20A53730"/>
    <w:rsid w:val="20B00A53"/>
    <w:rsid w:val="20C20786"/>
    <w:rsid w:val="20DA787E"/>
    <w:rsid w:val="20E00C0C"/>
    <w:rsid w:val="20E017E3"/>
    <w:rsid w:val="20E0229D"/>
    <w:rsid w:val="20EF23DB"/>
    <w:rsid w:val="20FF4FC7"/>
    <w:rsid w:val="21081851"/>
    <w:rsid w:val="210C3853"/>
    <w:rsid w:val="211E20A8"/>
    <w:rsid w:val="21254871"/>
    <w:rsid w:val="212925B3"/>
    <w:rsid w:val="2129610F"/>
    <w:rsid w:val="214116AB"/>
    <w:rsid w:val="21486EDD"/>
    <w:rsid w:val="214C004F"/>
    <w:rsid w:val="21556F04"/>
    <w:rsid w:val="21563120"/>
    <w:rsid w:val="21701F90"/>
    <w:rsid w:val="2173382E"/>
    <w:rsid w:val="217D645B"/>
    <w:rsid w:val="2197576F"/>
    <w:rsid w:val="219C3D3D"/>
    <w:rsid w:val="21C9556D"/>
    <w:rsid w:val="21CE6CB6"/>
    <w:rsid w:val="21D267A7"/>
    <w:rsid w:val="21DA38AD"/>
    <w:rsid w:val="21F11323"/>
    <w:rsid w:val="21F66939"/>
    <w:rsid w:val="21FBEBEB"/>
    <w:rsid w:val="21FE759C"/>
    <w:rsid w:val="220152DE"/>
    <w:rsid w:val="22105521"/>
    <w:rsid w:val="22120F99"/>
    <w:rsid w:val="22197BD3"/>
    <w:rsid w:val="2221328A"/>
    <w:rsid w:val="22242C4B"/>
    <w:rsid w:val="222A213F"/>
    <w:rsid w:val="222E0711"/>
    <w:rsid w:val="22342FBD"/>
    <w:rsid w:val="223905D4"/>
    <w:rsid w:val="223F7389"/>
    <w:rsid w:val="22400EBD"/>
    <w:rsid w:val="22446596"/>
    <w:rsid w:val="22477195"/>
    <w:rsid w:val="225F3691"/>
    <w:rsid w:val="22646256"/>
    <w:rsid w:val="226A69DF"/>
    <w:rsid w:val="227026FD"/>
    <w:rsid w:val="22771FA7"/>
    <w:rsid w:val="22791318"/>
    <w:rsid w:val="22825920"/>
    <w:rsid w:val="22853819"/>
    <w:rsid w:val="228757E3"/>
    <w:rsid w:val="22A7378F"/>
    <w:rsid w:val="22A939AB"/>
    <w:rsid w:val="22B1460E"/>
    <w:rsid w:val="22C67236"/>
    <w:rsid w:val="22CB4050"/>
    <w:rsid w:val="22CB59C2"/>
    <w:rsid w:val="22CC58EC"/>
    <w:rsid w:val="22D20787"/>
    <w:rsid w:val="22DC46F3"/>
    <w:rsid w:val="22E9024C"/>
    <w:rsid w:val="22F86E90"/>
    <w:rsid w:val="230C3F3A"/>
    <w:rsid w:val="232272BA"/>
    <w:rsid w:val="23243F69"/>
    <w:rsid w:val="232623FE"/>
    <w:rsid w:val="23264FFC"/>
    <w:rsid w:val="232B1F13"/>
    <w:rsid w:val="232C1EE7"/>
    <w:rsid w:val="232F7A8C"/>
    <w:rsid w:val="23377209"/>
    <w:rsid w:val="233B3FF1"/>
    <w:rsid w:val="233D2346"/>
    <w:rsid w:val="23432A93"/>
    <w:rsid w:val="23447230"/>
    <w:rsid w:val="2346654E"/>
    <w:rsid w:val="234B4A63"/>
    <w:rsid w:val="2355768F"/>
    <w:rsid w:val="23623B5A"/>
    <w:rsid w:val="23627FFE"/>
    <w:rsid w:val="23635DDC"/>
    <w:rsid w:val="23647A3F"/>
    <w:rsid w:val="23711FEF"/>
    <w:rsid w:val="23735D67"/>
    <w:rsid w:val="237415CC"/>
    <w:rsid w:val="23791F56"/>
    <w:rsid w:val="2388552B"/>
    <w:rsid w:val="239634D6"/>
    <w:rsid w:val="23A405B6"/>
    <w:rsid w:val="23A67EEB"/>
    <w:rsid w:val="23B14ACF"/>
    <w:rsid w:val="23B175F2"/>
    <w:rsid w:val="23BF2D5B"/>
    <w:rsid w:val="23C022CC"/>
    <w:rsid w:val="23CF8B6C"/>
    <w:rsid w:val="23E80503"/>
    <w:rsid w:val="23EE527F"/>
    <w:rsid w:val="23FA0813"/>
    <w:rsid w:val="240370EB"/>
    <w:rsid w:val="240B5FA0"/>
    <w:rsid w:val="24267432"/>
    <w:rsid w:val="242A28CA"/>
    <w:rsid w:val="24397F95"/>
    <w:rsid w:val="243B1825"/>
    <w:rsid w:val="246A5C7F"/>
    <w:rsid w:val="246D6C5B"/>
    <w:rsid w:val="246F4781"/>
    <w:rsid w:val="24724271"/>
    <w:rsid w:val="24831FDA"/>
    <w:rsid w:val="24854AAB"/>
    <w:rsid w:val="24877D1C"/>
    <w:rsid w:val="249266C1"/>
    <w:rsid w:val="24945F95"/>
    <w:rsid w:val="24A77945"/>
    <w:rsid w:val="24AC1531"/>
    <w:rsid w:val="24AC1A70"/>
    <w:rsid w:val="24B6415E"/>
    <w:rsid w:val="24C34ACD"/>
    <w:rsid w:val="24CA7C09"/>
    <w:rsid w:val="24D9609E"/>
    <w:rsid w:val="24DE57D6"/>
    <w:rsid w:val="24DF7B38"/>
    <w:rsid w:val="24EF141E"/>
    <w:rsid w:val="250B4B52"/>
    <w:rsid w:val="251D242F"/>
    <w:rsid w:val="25205A7B"/>
    <w:rsid w:val="2536704D"/>
    <w:rsid w:val="25381017"/>
    <w:rsid w:val="254E083A"/>
    <w:rsid w:val="25592D3B"/>
    <w:rsid w:val="2559439E"/>
    <w:rsid w:val="255C5828"/>
    <w:rsid w:val="256F255E"/>
    <w:rsid w:val="25710DD0"/>
    <w:rsid w:val="2572277A"/>
    <w:rsid w:val="25757B75"/>
    <w:rsid w:val="25950217"/>
    <w:rsid w:val="259C15A5"/>
    <w:rsid w:val="25AFFA62"/>
    <w:rsid w:val="25B932FA"/>
    <w:rsid w:val="25C428AA"/>
    <w:rsid w:val="25C64874"/>
    <w:rsid w:val="25DF76E4"/>
    <w:rsid w:val="25E35426"/>
    <w:rsid w:val="25F56F08"/>
    <w:rsid w:val="2601765A"/>
    <w:rsid w:val="26127ABA"/>
    <w:rsid w:val="26171E73"/>
    <w:rsid w:val="26216A75"/>
    <w:rsid w:val="26503617"/>
    <w:rsid w:val="26571970"/>
    <w:rsid w:val="265D380A"/>
    <w:rsid w:val="266320C3"/>
    <w:rsid w:val="26667E05"/>
    <w:rsid w:val="266A16A4"/>
    <w:rsid w:val="266F2816"/>
    <w:rsid w:val="266F6CBA"/>
    <w:rsid w:val="26793695"/>
    <w:rsid w:val="2685203A"/>
    <w:rsid w:val="26856E3E"/>
    <w:rsid w:val="268B6B8C"/>
    <w:rsid w:val="26932C8A"/>
    <w:rsid w:val="269C3827"/>
    <w:rsid w:val="269E134D"/>
    <w:rsid w:val="26AB1368"/>
    <w:rsid w:val="26AC3A6A"/>
    <w:rsid w:val="26B11081"/>
    <w:rsid w:val="26C80178"/>
    <w:rsid w:val="26C863CA"/>
    <w:rsid w:val="26CF7759"/>
    <w:rsid w:val="26DE6C18"/>
    <w:rsid w:val="26E41767"/>
    <w:rsid w:val="26ED5E15"/>
    <w:rsid w:val="26F92A28"/>
    <w:rsid w:val="27194E78"/>
    <w:rsid w:val="272950BB"/>
    <w:rsid w:val="2732271F"/>
    <w:rsid w:val="27343A60"/>
    <w:rsid w:val="273C2207"/>
    <w:rsid w:val="27433CA3"/>
    <w:rsid w:val="27457128"/>
    <w:rsid w:val="27587B2E"/>
    <w:rsid w:val="275B1765"/>
    <w:rsid w:val="275B723E"/>
    <w:rsid w:val="276032C4"/>
    <w:rsid w:val="27624129"/>
    <w:rsid w:val="27663AD0"/>
    <w:rsid w:val="27673E71"/>
    <w:rsid w:val="27781B9E"/>
    <w:rsid w:val="27983FEE"/>
    <w:rsid w:val="279D7857"/>
    <w:rsid w:val="27A40BE5"/>
    <w:rsid w:val="27A75FE0"/>
    <w:rsid w:val="27AF30E6"/>
    <w:rsid w:val="27BA3F65"/>
    <w:rsid w:val="27C76682"/>
    <w:rsid w:val="27CA519C"/>
    <w:rsid w:val="27D003F3"/>
    <w:rsid w:val="27D25752"/>
    <w:rsid w:val="27D75F18"/>
    <w:rsid w:val="27DE7FB7"/>
    <w:rsid w:val="27E962E8"/>
    <w:rsid w:val="27EE00B2"/>
    <w:rsid w:val="27EE2498"/>
    <w:rsid w:val="27F356C9"/>
    <w:rsid w:val="27F5CDC8"/>
    <w:rsid w:val="27F65B6B"/>
    <w:rsid w:val="27F82CDF"/>
    <w:rsid w:val="28001620"/>
    <w:rsid w:val="28081174"/>
    <w:rsid w:val="28094EEC"/>
    <w:rsid w:val="2810627B"/>
    <w:rsid w:val="28117E77"/>
    <w:rsid w:val="28180C8B"/>
    <w:rsid w:val="281C5B9F"/>
    <w:rsid w:val="281E1197"/>
    <w:rsid w:val="28277120"/>
    <w:rsid w:val="28335AC5"/>
    <w:rsid w:val="28375F5F"/>
    <w:rsid w:val="28420A0F"/>
    <w:rsid w:val="28461C9C"/>
    <w:rsid w:val="284E72DC"/>
    <w:rsid w:val="285F68BA"/>
    <w:rsid w:val="286D547B"/>
    <w:rsid w:val="287A1946"/>
    <w:rsid w:val="28920A3E"/>
    <w:rsid w:val="28924EE2"/>
    <w:rsid w:val="289A5B44"/>
    <w:rsid w:val="289F1401"/>
    <w:rsid w:val="28A54C15"/>
    <w:rsid w:val="28AD1D1C"/>
    <w:rsid w:val="28AF339E"/>
    <w:rsid w:val="28C17575"/>
    <w:rsid w:val="28D728F5"/>
    <w:rsid w:val="28D75265"/>
    <w:rsid w:val="28F2772E"/>
    <w:rsid w:val="28F811E9"/>
    <w:rsid w:val="28F96D0F"/>
    <w:rsid w:val="28FE2577"/>
    <w:rsid w:val="28FE60D3"/>
    <w:rsid w:val="28FF0239"/>
    <w:rsid w:val="290302E2"/>
    <w:rsid w:val="290C4C94"/>
    <w:rsid w:val="290D23D9"/>
    <w:rsid w:val="292813A2"/>
    <w:rsid w:val="293036D9"/>
    <w:rsid w:val="294607E9"/>
    <w:rsid w:val="29493808"/>
    <w:rsid w:val="294A57BC"/>
    <w:rsid w:val="29514455"/>
    <w:rsid w:val="29613FA7"/>
    <w:rsid w:val="296323DA"/>
    <w:rsid w:val="296B671C"/>
    <w:rsid w:val="296B9323"/>
    <w:rsid w:val="296C128F"/>
    <w:rsid w:val="296D0004"/>
    <w:rsid w:val="296E5E76"/>
    <w:rsid w:val="297F5466"/>
    <w:rsid w:val="29842A7C"/>
    <w:rsid w:val="298C36DF"/>
    <w:rsid w:val="29A0362E"/>
    <w:rsid w:val="29A547A1"/>
    <w:rsid w:val="29AA0009"/>
    <w:rsid w:val="29B570DA"/>
    <w:rsid w:val="29B844D4"/>
    <w:rsid w:val="29CC61D1"/>
    <w:rsid w:val="29D72644"/>
    <w:rsid w:val="29E66BFE"/>
    <w:rsid w:val="29E73757"/>
    <w:rsid w:val="29E928DF"/>
    <w:rsid w:val="29ED173B"/>
    <w:rsid w:val="2A04596B"/>
    <w:rsid w:val="2A170E1D"/>
    <w:rsid w:val="2A267326"/>
    <w:rsid w:val="2A481CFC"/>
    <w:rsid w:val="2A4F6D47"/>
    <w:rsid w:val="2A581813"/>
    <w:rsid w:val="2A5F446A"/>
    <w:rsid w:val="2A704DAF"/>
    <w:rsid w:val="2A872B65"/>
    <w:rsid w:val="2A8C1F5E"/>
    <w:rsid w:val="2AA36F32"/>
    <w:rsid w:val="2AAA6513"/>
    <w:rsid w:val="2AAE3CB0"/>
    <w:rsid w:val="2AB7478C"/>
    <w:rsid w:val="2ABF1892"/>
    <w:rsid w:val="2AD03A9F"/>
    <w:rsid w:val="2AD510B6"/>
    <w:rsid w:val="2AE035FF"/>
    <w:rsid w:val="2AE32F87"/>
    <w:rsid w:val="2AE632C3"/>
    <w:rsid w:val="2AF14141"/>
    <w:rsid w:val="2AF21C68"/>
    <w:rsid w:val="2AF27EBA"/>
    <w:rsid w:val="2AF54D2B"/>
    <w:rsid w:val="2AF61758"/>
    <w:rsid w:val="2AFA0B1C"/>
    <w:rsid w:val="2B1B2F6C"/>
    <w:rsid w:val="2B1C6CE5"/>
    <w:rsid w:val="2B22345B"/>
    <w:rsid w:val="2B2838DB"/>
    <w:rsid w:val="2B2D0EF2"/>
    <w:rsid w:val="2B30453E"/>
    <w:rsid w:val="2B317A55"/>
    <w:rsid w:val="2B33475A"/>
    <w:rsid w:val="2B381D70"/>
    <w:rsid w:val="2B430715"/>
    <w:rsid w:val="2B4A1AA4"/>
    <w:rsid w:val="2B5054D5"/>
    <w:rsid w:val="2B507DFE"/>
    <w:rsid w:val="2B6A3EF4"/>
    <w:rsid w:val="2B6F150A"/>
    <w:rsid w:val="2B7408CF"/>
    <w:rsid w:val="2B794137"/>
    <w:rsid w:val="2B7D59D5"/>
    <w:rsid w:val="2B7E4987"/>
    <w:rsid w:val="2B807273"/>
    <w:rsid w:val="2B89481A"/>
    <w:rsid w:val="2B8E7BE2"/>
    <w:rsid w:val="2B940F71"/>
    <w:rsid w:val="2B960845"/>
    <w:rsid w:val="2BA246DE"/>
    <w:rsid w:val="2BA47406"/>
    <w:rsid w:val="2BA80578"/>
    <w:rsid w:val="2BB470B9"/>
    <w:rsid w:val="2BB55BD0"/>
    <w:rsid w:val="2BBB30B6"/>
    <w:rsid w:val="2BC00E57"/>
    <w:rsid w:val="2BC03B14"/>
    <w:rsid w:val="2BC453B2"/>
    <w:rsid w:val="2BC65E99"/>
    <w:rsid w:val="2BCC070B"/>
    <w:rsid w:val="2BCE5F4F"/>
    <w:rsid w:val="2BD55811"/>
    <w:rsid w:val="2BDDE61A"/>
    <w:rsid w:val="2BE75544"/>
    <w:rsid w:val="2BEC2B5B"/>
    <w:rsid w:val="2BEFB4B2"/>
    <w:rsid w:val="2BF51D49"/>
    <w:rsid w:val="2BFB307B"/>
    <w:rsid w:val="2BFB8CCA"/>
    <w:rsid w:val="2BFD08C4"/>
    <w:rsid w:val="2C077995"/>
    <w:rsid w:val="2C100EEC"/>
    <w:rsid w:val="2C106849"/>
    <w:rsid w:val="2C11436F"/>
    <w:rsid w:val="2C13380B"/>
    <w:rsid w:val="2C1856FE"/>
    <w:rsid w:val="2C206143"/>
    <w:rsid w:val="2C2C3157"/>
    <w:rsid w:val="2C2E7758"/>
    <w:rsid w:val="2C514C9F"/>
    <w:rsid w:val="2C5A3F68"/>
    <w:rsid w:val="2C5A5D16"/>
    <w:rsid w:val="2C610E53"/>
    <w:rsid w:val="2C6F72CA"/>
    <w:rsid w:val="2C734E31"/>
    <w:rsid w:val="2C7A0167"/>
    <w:rsid w:val="2C7A1F15"/>
    <w:rsid w:val="2C7D1479"/>
    <w:rsid w:val="2C862667"/>
    <w:rsid w:val="2C8B4122"/>
    <w:rsid w:val="2C8F6D87"/>
    <w:rsid w:val="2C98683F"/>
    <w:rsid w:val="2CA04A4F"/>
    <w:rsid w:val="2CA376BD"/>
    <w:rsid w:val="2CAD3E75"/>
    <w:rsid w:val="2CB05936"/>
    <w:rsid w:val="2CB31D78"/>
    <w:rsid w:val="2CB41336"/>
    <w:rsid w:val="2CB72057"/>
    <w:rsid w:val="2CBA9371"/>
    <w:rsid w:val="2CBD0053"/>
    <w:rsid w:val="2CBE62A5"/>
    <w:rsid w:val="2CBF3DCB"/>
    <w:rsid w:val="2CBF6E23"/>
    <w:rsid w:val="2CC43190"/>
    <w:rsid w:val="2CC55886"/>
    <w:rsid w:val="2CCF04B2"/>
    <w:rsid w:val="2CD63BB6"/>
    <w:rsid w:val="2CE3118E"/>
    <w:rsid w:val="2CE90E48"/>
    <w:rsid w:val="2CF75313"/>
    <w:rsid w:val="2CF972DD"/>
    <w:rsid w:val="2D013C8E"/>
    <w:rsid w:val="2D094880"/>
    <w:rsid w:val="2D103148"/>
    <w:rsid w:val="2D151C3D"/>
    <w:rsid w:val="2D19172E"/>
    <w:rsid w:val="2D217755"/>
    <w:rsid w:val="2D263E4A"/>
    <w:rsid w:val="2D265BF9"/>
    <w:rsid w:val="2D2A56E9"/>
    <w:rsid w:val="2D2D25FE"/>
    <w:rsid w:val="2D3447B9"/>
    <w:rsid w:val="2D377E06"/>
    <w:rsid w:val="2D3E1B7B"/>
    <w:rsid w:val="2D510EC7"/>
    <w:rsid w:val="2D6E589A"/>
    <w:rsid w:val="2DA03AA4"/>
    <w:rsid w:val="2DA57465"/>
    <w:rsid w:val="2DA90E8C"/>
    <w:rsid w:val="2DBB27E5"/>
    <w:rsid w:val="2DCC49F2"/>
    <w:rsid w:val="2DD37B2E"/>
    <w:rsid w:val="2DD62C52"/>
    <w:rsid w:val="2DDB135C"/>
    <w:rsid w:val="2DDDF8D2"/>
    <w:rsid w:val="2DDF1017"/>
    <w:rsid w:val="2DE25133"/>
    <w:rsid w:val="2DE64648"/>
    <w:rsid w:val="2DF52218"/>
    <w:rsid w:val="2DF61A6F"/>
    <w:rsid w:val="2DF776B3"/>
    <w:rsid w:val="2E0C3040"/>
    <w:rsid w:val="2E107C6F"/>
    <w:rsid w:val="2E1F0FC6"/>
    <w:rsid w:val="2E277E7A"/>
    <w:rsid w:val="2E291E44"/>
    <w:rsid w:val="2E323F32"/>
    <w:rsid w:val="2E344345"/>
    <w:rsid w:val="2E3C1B78"/>
    <w:rsid w:val="2E442832"/>
    <w:rsid w:val="2E5067EC"/>
    <w:rsid w:val="2E513149"/>
    <w:rsid w:val="2E5972BA"/>
    <w:rsid w:val="2E5A1FFE"/>
    <w:rsid w:val="2E5E6A04"/>
    <w:rsid w:val="2E6115DE"/>
    <w:rsid w:val="2E7E50BE"/>
    <w:rsid w:val="2E8452CD"/>
    <w:rsid w:val="2E84707B"/>
    <w:rsid w:val="2E851686"/>
    <w:rsid w:val="2E8E50A7"/>
    <w:rsid w:val="2E921798"/>
    <w:rsid w:val="2E9F3EB4"/>
    <w:rsid w:val="2EA414CB"/>
    <w:rsid w:val="2EB55684"/>
    <w:rsid w:val="2EBA2A9C"/>
    <w:rsid w:val="2EBC7D67"/>
    <w:rsid w:val="2EC15BD9"/>
    <w:rsid w:val="2EC41B6D"/>
    <w:rsid w:val="2EC76F67"/>
    <w:rsid w:val="2EC97664"/>
    <w:rsid w:val="2ECB2EFB"/>
    <w:rsid w:val="2EE330A1"/>
    <w:rsid w:val="2EE45D6B"/>
    <w:rsid w:val="2EF05516"/>
    <w:rsid w:val="2EF7784D"/>
    <w:rsid w:val="2EFE0BDB"/>
    <w:rsid w:val="2F0F2DE8"/>
    <w:rsid w:val="2F132EC6"/>
    <w:rsid w:val="2F155773"/>
    <w:rsid w:val="2F2820FC"/>
    <w:rsid w:val="2F28553F"/>
    <w:rsid w:val="2F4259D2"/>
    <w:rsid w:val="2F511653"/>
    <w:rsid w:val="2F662C24"/>
    <w:rsid w:val="2F77273B"/>
    <w:rsid w:val="2F8F217B"/>
    <w:rsid w:val="2F9368EB"/>
    <w:rsid w:val="2F9F5E0E"/>
    <w:rsid w:val="2FA63021"/>
    <w:rsid w:val="2FA9127F"/>
    <w:rsid w:val="2FAA48BF"/>
    <w:rsid w:val="2FD45DE0"/>
    <w:rsid w:val="2FD99BD1"/>
    <w:rsid w:val="2FE32273"/>
    <w:rsid w:val="301405BF"/>
    <w:rsid w:val="301A386E"/>
    <w:rsid w:val="302208F9"/>
    <w:rsid w:val="30436BF9"/>
    <w:rsid w:val="30450A8C"/>
    <w:rsid w:val="305E0556"/>
    <w:rsid w:val="30633BEA"/>
    <w:rsid w:val="30683C8B"/>
    <w:rsid w:val="307931FA"/>
    <w:rsid w:val="3082583C"/>
    <w:rsid w:val="30847806"/>
    <w:rsid w:val="30863B9C"/>
    <w:rsid w:val="30A33DBB"/>
    <w:rsid w:val="30A734F4"/>
    <w:rsid w:val="30AA184F"/>
    <w:rsid w:val="30B023A9"/>
    <w:rsid w:val="30BA3228"/>
    <w:rsid w:val="30C23E8A"/>
    <w:rsid w:val="30CB044F"/>
    <w:rsid w:val="30D2231F"/>
    <w:rsid w:val="30D37306"/>
    <w:rsid w:val="30E65DCB"/>
    <w:rsid w:val="30EC75C0"/>
    <w:rsid w:val="30F304E8"/>
    <w:rsid w:val="30F93D50"/>
    <w:rsid w:val="30FF50DE"/>
    <w:rsid w:val="310261D1"/>
    <w:rsid w:val="310E5321"/>
    <w:rsid w:val="311346E6"/>
    <w:rsid w:val="311566B0"/>
    <w:rsid w:val="311A4951"/>
    <w:rsid w:val="31215667"/>
    <w:rsid w:val="31274127"/>
    <w:rsid w:val="31382DE1"/>
    <w:rsid w:val="313E1763"/>
    <w:rsid w:val="31436D79"/>
    <w:rsid w:val="314739AD"/>
    <w:rsid w:val="314B3E80"/>
    <w:rsid w:val="314F1BC2"/>
    <w:rsid w:val="315C608D"/>
    <w:rsid w:val="317071E6"/>
    <w:rsid w:val="31745184"/>
    <w:rsid w:val="317A6513"/>
    <w:rsid w:val="319C46DB"/>
    <w:rsid w:val="31A17801"/>
    <w:rsid w:val="31A6555A"/>
    <w:rsid w:val="31B22151"/>
    <w:rsid w:val="31C0329F"/>
    <w:rsid w:val="31C47AE2"/>
    <w:rsid w:val="31C51E84"/>
    <w:rsid w:val="31C81974"/>
    <w:rsid w:val="31D01111"/>
    <w:rsid w:val="31E26DD0"/>
    <w:rsid w:val="31F25E95"/>
    <w:rsid w:val="31F34EE6"/>
    <w:rsid w:val="32075FF9"/>
    <w:rsid w:val="320C5601"/>
    <w:rsid w:val="320E382B"/>
    <w:rsid w:val="32130E41"/>
    <w:rsid w:val="323D1A1A"/>
    <w:rsid w:val="323F60E0"/>
    <w:rsid w:val="32410D7E"/>
    <w:rsid w:val="324C3414"/>
    <w:rsid w:val="325517A0"/>
    <w:rsid w:val="32570855"/>
    <w:rsid w:val="32585395"/>
    <w:rsid w:val="325D3E6B"/>
    <w:rsid w:val="32613717"/>
    <w:rsid w:val="326351F9"/>
    <w:rsid w:val="32754CF2"/>
    <w:rsid w:val="3287538B"/>
    <w:rsid w:val="32892EB1"/>
    <w:rsid w:val="32A61AD2"/>
    <w:rsid w:val="32A76766"/>
    <w:rsid w:val="32A97FCE"/>
    <w:rsid w:val="32AE0770"/>
    <w:rsid w:val="32AF4A8A"/>
    <w:rsid w:val="32B819E9"/>
    <w:rsid w:val="32BB42A1"/>
    <w:rsid w:val="32BF2D77"/>
    <w:rsid w:val="32C47B0D"/>
    <w:rsid w:val="32D37A29"/>
    <w:rsid w:val="32E620B2"/>
    <w:rsid w:val="32EE0F67"/>
    <w:rsid w:val="32FA790B"/>
    <w:rsid w:val="3307371A"/>
    <w:rsid w:val="330E5059"/>
    <w:rsid w:val="332323A0"/>
    <w:rsid w:val="33260700"/>
    <w:rsid w:val="33294694"/>
    <w:rsid w:val="332E3A59"/>
    <w:rsid w:val="3330157F"/>
    <w:rsid w:val="3333344C"/>
    <w:rsid w:val="33370B5F"/>
    <w:rsid w:val="33415945"/>
    <w:rsid w:val="334F5387"/>
    <w:rsid w:val="33552D94"/>
    <w:rsid w:val="335A484E"/>
    <w:rsid w:val="33620986"/>
    <w:rsid w:val="33684063"/>
    <w:rsid w:val="33791178"/>
    <w:rsid w:val="337A5FAB"/>
    <w:rsid w:val="338901E8"/>
    <w:rsid w:val="338D3F51"/>
    <w:rsid w:val="338E49F3"/>
    <w:rsid w:val="33A71A8D"/>
    <w:rsid w:val="33AF4B9A"/>
    <w:rsid w:val="33B95A18"/>
    <w:rsid w:val="33CA3782"/>
    <w:rsid w:val="33D64A34"/>
    <w:rsid w:val="33D94FDC"/>
    <w:rsid w:val="33E81E5A"/>
    <w:rsid w:val="33EC2509"/>
    <w:rsid w:val="33F508A6"/>
    <w:rsid w:val="34014CC9"/>
    <w:rsid w:val="340A6274"/>
    <w:rsid w:val="34186554"/>
    <w:rsid w:val="341B3FDD"/>
    <w:rsid w:val="342122C0"/>
    <w:rsid w:val="34384B8F"/>
    <w:rsid w:val="3448551B"/>
    <w:rsid w:val="345C0152"/>
    <w:rsid w:val="34610250"/>
    <w:rsid w:val="346516FC"/>
    <w:rsid w:val="346C793A"/>
    <w:rsid w:val="346D5909"/>
    <w:rsid w:val="347100A1"/>
    <w:rsid w:val="34763909"/>
    <w:rsid w:val="348422A0"/>
    <w:rsid w:val="34871673"/>
    <w:rsid w:val="34880F47"/>
    <w:rsid w:val="348E2A01"/>
    <w:rsid w:val="34A22009"/>
    <w:rsid w:val="34A715A5"/>
    <w:rsid w:val="34A72487"/>
    <w:rsid w:val="34AE5ED7"/>
    <w:rsid w:val="34AF6504"/>
    <w:rsid w:val="34B34216"/>
    <w:rsid w:val="34BD5094"/>
    <w:rsid w:val="34CC13EE"/>
    <w:rsid w:val="34D348B8"/>
    <w:rsid w:val="34D66156"/>
    <w:rsid w:val="34DD1293"/>
    <w:rsid w:val="35075065"/>
    <w:rsid w:val="350A1334"/>
    <w:rsid w:val="350C1B78"/>
    <w:rsid w:val="350E3B42"/>
    <w:rsid w:val="3511718E"/>
    <w:rsid w:val="35123632"/>
    <w:rsid w:val="35131158"/>
    <w:rsid w:val="35301D0A"/>
    <w:rsid w:val="353F1A6B"/>
    <w:rsid w:val="35415CC5"/>
    <w:rsid w:val="35496928"/>
    <w:rsid w:val="355132A8"/>
    <w:rsid w:val="355E3CBE"/>
    <w:rsid w:val="35613C72"/>
    <w:rsid w:val="356279EA"/>
    <w:rsid w:val="356B689E"/>
    <w:rsid w:val="357C75E6"/>
    <w:rsid w:val="35832375"/>
    <w:rsid w:val="358A316B"/>
    <w:rsid w:val="35901FE7"/>
    <w:rsid w:val="3590706C"/>
    <w:rsid w:val="35A46254"/>
    <w:rsid w:val="35A87AF3"/>
    <w:rsid w:val="35AE2C2F"/>
    <w:rsid w:val="35B20971"/>
    <w:rsid w:val="35BC274B"/>
    <w:rsid w:val="35C0308E"/>
    <w:rsid w:val="35C97A69"/>
    <w:rsid w:val="35D23C4B"/>
    <w:rsid w:val="35D94150"/>
    <w:rsid w:val="35DE051F"/>
    <w:rsid w:val="35DE31B8"/>
    <w:rsid w:val="35E07771"/>
    <w:rsid w:val="35E548A3"/>
    <w:rsid w:val="35F03248"/>
    <w:rsid w:val="35FA5E74"/>
    <w:rsid w:val="35FD055A"/>
    <w:rsid w:val="3600792F"/>
    <w:rsid w:val="3609071C"/>
    <w:rsid w:val="361E6007"/>
    <w:rsid w:val="36257395"/>
    <w:rsid w:val="362A675A"/>
    <w:rsid w:val="362C50F3"/>
    <w:rsid w:val="363475D8"/>
    <w:rsid w:val="36372C24"/>
    <w:rsid w:val="36393C99"/>
    <w:rsid w:val="363F6260"/>
    <w:rsid w:val="364A067C"/>
    <w:rsid w:val="364D2448"/>
    <w:rsid w:val="365077E6"/>
    <w:rsid w:val="366923C4"/>
    <w:rsid w:val="36785717"/>
    <w:rsid w:val="36847069"/>
    <w:rsid w:val="369462C9"/>
    <w:rsid w:val="369E0EF6"/>
    <w:rsid w:val="36AA5EF7"/>
    <w:rsid w:val="36B6623F"/>
    <w:rsid w:val="36BB5A02"/>
    <w:rsid w:val="36BF44BC"/>
    <w:rsid w:val="36CD6E4D"/>
    <w:rsid w:val="36D3294D"/>
    <w:rsid w:val="36D668E1"/>
    <w:rsid w:val="36D84407"/>
    <w:rsid w:val="36DF8D7D"/>
    <w:rsid w:val="36E1693A"/>
    <w:rsid w:val="36E92171"/>
    <w:rsid w:val="36EE59D9"/>
    <w:rsid w:val="36F01751"/>
    <w:rsid w:val="36F05718"/>
    <w:rsid w:val="36F16AE9"/>
    <w:rsid w:val="36F31241"/>
    <w:rsid w:val="36F9612C"/>
    <w:rsid w:val="36FD1DF8"/>
    <w:rsid w:val="37027952"/>
    <w:rsid w:val="370F316F"/>
    <w:rsid w:val="37103BA1"/>
    <w:rsid w:val="37113475"/>
    <w:rsid w:val="371A67CE"/>
    <w:rsid w:val="37226D0E"/>
    <w:rsid w:val="372702D2"/>
    <w:rsid w:val="373A6628"/>
    <w:rsid w:val="37571B2F"/>
    <w:rsid w:val="375A306E"/>
    <w:rsid w:val="375A4E1C"/>
    <w:rsid w:val="375C0B95"/>
    <w:rsid w:val="37620175"/>
    <w:rsid w:val="376D0FF4"/>
    <w:rsid w:val="377759CE"/>
    <w:rsid w:val="377C4D93"/>
    <w:rsid w:val="377FBC6A"/>
    <w:rsid w:val="378325C5"/>
    <w:rsid w:val="37904CE2"/>
    <w:rsid w:val="3790548B"/>
    <w:rsid w:val="37926D8D"/>
    <w:rsid w:val="379E11AD"/>
    <w:rsid w:val="379E5D0E"/>
    <w:rsid w:val="379F5B99"/>
    <w:rsid w:val="37A367C3"/>
    <w:rsid w:val="37A458F7"/>
    <w:rsid w:val="37A97B52"/>
    <w:rsid w:val="37B26A07"/>
    <w:rsid w:val="37B7226F"/>
    <w:rsid w:val="37C249A0"/>
    <w:rsid w:val="37C91FA2"/>
    <w:rsid w:val="37D03331"/>
    <w:rsid w:val="37D456E4"/>
    <w:rsid w:val="37D50947"/>
    <w:rsid w:val="37D74388"/>
    <w:rsid w:val="37D769AC"/>
    <w:rsid w:val="37D921E5"/>
    <w:rsid w:val="37DA5F5D"/>
    <w:rsid w:val="37DC695A"/>
    <w:rsid w:val="37DF20DE"/>
    <w:rsid w:val="37DF3574"/>
    <w:rsid w:val="37E727ED"/>
    <w:rsid w:val="37FA215C"/>
    <w:rsid w:val="37FC5ED4"/>
    <w:rsid w:val="382471D8"/>
    <w:rsid w:val="382C22E7"/>
    <w:rsid w:val="382F62A9"/>
    <w:rsid w:val="38305B7D"/>
    <w:rsid w:val="383438BF"/>
    <w:rsid w:val="384635F3"/>
    <w:rsid w:val="385E6B8E"/>
    <w:rsid w:val="38686159"/>
    <w:rsid w:val="3877074E"/>
    <w:rsid w:val="387737AC"/>
    <w:rsid w:val="387C7014"/>
    <w:rsid w:val="38921239"/>
    <w:rsid w:val="38AA327E"/>
    <w:rsid w:val="38B844F1"/>
    <w:rsid w:val="38B92017"/>
    <w:rsid w:val="38C033A5"/>
    <w:rsid w:val="38C5276A"/>
    <w:rsid w:val="38CA494E"/>
    <w:rsid w:val="38CA5FD2"/>
    <w:rsid w:val="38D942CD"/>
    <w:rsid w:val="38D97FC3"/>
    <w:rsid w:val="38E726E0"/>
    <w:rsid w:val="38E83C52"/>
    <w:rsid w:val="38F65019"/>
    <w:rsid w:val="38FE77AF"/>
    <w:rsid w:val="39052611"/>
    <w:rsid w:val="39061A6B"/>
    <w:rsid w:val="390C65EA"/>
    <w:rsid w:val="390E4110"/>
    <w:rsid w:val="39111E53"/>
    <w:rsid w:val="391A34DD"/>
    <w:rsid w:val="391B3E89"/>
    <w:rsid w:val="391B4A7F"/>
    <w:rsid w:val="391F631E"/>
    <w:rsid w:val="39241696"/>
    <w:rsid w:val="39273424"/>
    <w:rsid w:val="393D67A4"/>
    <w:rsid w:val="39427657"/>
    <w:rsid w:val="395D29A2"/>
    <w:rsid w:val="39600BD1"/>
    <w:rsid w:val="39602492"/>
    <w:rsid w:val="396106E4"/>
    <w:rsid w:val="39677CC5"/>
    <w:rsid w:val="39700927"/>
    <w:rsid w:val="397A17A6"/>
    <w:rsid w:val="39B527DE"/>
    <w:rsid w:val="39BC2C84"/>
    <w:rsid w:val="39C24EFB"/>
    <w:rsid w:val="39D215E2"/>
    <w:rsid w:val="39DC1F22"/>
    <w:rsid w:val="39E9692C"/>
    <w:rsid w:val="39ED1F78"/>
    <w:rsid w:val="39F50E2C"/>
    <w:rsid w:val="39F5444A"/>
    <w:rsid w:val="3A2611D5"/>
    <w:rsid w:val="3A2F4EFB"/>
    <w:rsid w:val="3A437DEA"/>
    <w:rsid w:val="3A4A561C"/>
    <w:rsid w:val="3A4A73CA"/>
    <w:rsid w:val="3A543444"/>
    <w:rsid w:val="3A5468F0"/>
    <w:rsid w:val="3A565A92"/>
    <w:rsid w:val="3A6402D8"/>
    <w:rsid w:val="3A6B26F1"/>
    <w:rsid w:val="3A6D130B"/>
    <w:rsid w:val="3A6D4E67"/>
    <w:rsid w:val="3A6F93E2"/>
    <w:rsid w:val="3A78307D"/>
    <w:rsid w:val="3A803482"/>
    <w:rsid w:val="3A8F2034"/>
    <w:rsid w:val="3A907024"/>
    <w:rsid w:val="3A992100"/>
    <w:rsid w:val="3A995C5C"/>
    <w:rsid w:val="3AA06FEA"/>
    <w:rsid w:val="3ABC194A"/>
    <w:rsid w:val="3ABC4F58"/>
    <w:rsid w:val="3ABDBD39"/>
    <w:rsid w:val="3AD244C6"/>
    <w:rsid w:val="3AD4054D"/>
    <w:rsid w:val="3AE10910"/>
    <w:rsid w:val="3AE61666"/>
    <w:rsid w:val="3AE670D0"/>
    <w:rsid w:val="3AFA4E66"/>
    <w:rsid w:val="3B0E6D2D"/>
    <w:rsid w:val="3B225C51"/>
    <w:rsid w:val="3B2E76B7"/>
    <w:rsid w:val="3B4F7FC0"/>
    <w:rsid w:val="3B6303AB"/>
    <w:rsid w:val="3B691AD2"/>
    <w:rsid w:val="3B6C3370"/>
    <w:rsid w:val="3B6E533A"/>
    <w:rsid w:val="3B714E2B"/>
    <w:rsid w:val="3B7D6A70"/>
    <w:rsid w:val="3B8C3A12"/>
    <w:rsid w:val="3B9A7EDD"/>
    <w:rsid w:val="3B9F54F4"/>
    <w:rsid w:val="3BA725FA"/>
    <w:rsid w:val="3BAC527C"/>
    <w:rsid w:val="3BB03EA1"/>
    <w:rsid w:val="3BB56AC5"/>
    <w:rsid w:val="3BB942D0"/>
    <w:rsid w:val="3BBF16F2"/>
    <w:rsid w:val="3BC136BC"/>
    <w:rsid w:val="3BC35686"/>
    <w:rsid w:val="3BC751DB"/>
    <w:rsid w:val="3BD01B51"/>
    <w:rsid w:val="3BD21844"/>
    <w:rsid w:val="3BDB4052"/>
    <w:rsid w:val="3BDB5A22"/>
    <w:rsid w:val="3BEF4334"/>
    <w:rsid w:val="3BF21AC7"/>
    <w:rsid w:val="3BF32D1F"/>
    <w:rsid w:val="3BF4434D"/>
    <w:rsid w:val="3BF80112"/>
    <w:rsid w:val="3BF9FF42"/>
    <w:rsid w:val="3BFF5005"/>
    <w:rsid w:val="3BFF9F95"/>
    <w:rsid w:val="3C072F0D"/>
    <w:rsid w:val="3C2D0D52"/>
    <w:rsid w:val="3C487939"/>
    <w:rsid w:val="3C4B0050"/>
    <w:rsid w:val="3C53062C"/>
    <w:rsid w:val="3C533473"/>
    <w:rsid w:val="3C544530"/>
    <w:rsid w:val="3C5750D0"/>
    <w:rsid w:val="3C597D99"/>
    <w:rsid w:val="3C5BB11A"/>
    <w:rsid w:val="3C611042"/>
    <w:rsid w:val="3C6D114E"/>
    <w:rsid w:val="3C6D55F2"/>
    <w:rsid w:val="3C770CC6"/>
    <w:rsid w:val="3C7F7112"/>
    <w:rsid w:val="3C834E15"/>
    <w:rsid w:val="3C8360C6"/>
    <w:rsid w:val="3C887370"/>
    <w:rsid w:val="3C8A1D00"/>
    <w:rsid w:val="3C8A2BDD"/>
    <w:rsid w:val="3C9169E0"/>
    <w:rsid w:val="3C9A2260"/>
    <w:rsid w:val="3C9B0273"/>
    <w:rsid w:val="3CA408E8"/>
    <w:rsid w:val="3CA51213"/>
    <w:rsid w:val="3CA803D8"/>
    <w:rsid w:val="3CC81218"/>
    <w:rsid w:val="3CD31F26"/>
    <w:rsid w:val="3CD92C87"/>
    <w:rsid w:val="3CDFDA6E"/>
    <w:rsid w:val="3CE33B06"/>
    <w:rsid w:val="3CED6733"/>
    <w:rsid w:val="3CF12590"/>
    <w:rsid w:val="3CF7E3B0"/>
    <w:rsid w:val="3CF96E86"/>
    <w:rsid w:val="3CFB0E50"/>
    <w:rsid w:val="3CFE5D89"/>
    <w:rsid w:val="3D0221DE"/>
    <w:rsid w:val="3D0715A3"/>
    <w:rsid w:val="3D0777F5"/>
    <w:rsid w:val="3D08531B"/>
    <w:rsid w:val="3D204412"/>
    <w:rsid w:val="3D393726"/>
    <w:rsid w:val="3D3A716B"/>
    <w:rsid w:val="3D3F6F8E"/>
    <w:rsid w:val="3D430101"/>
    <w:rsid w:val="3D436353"/>
    <w:rsid w:val="3D6C3AFB"/>
    <w:rsid w:val="3D7D4F5E"/>
    <w:rsid w:val="3D804EB1"/>
    <w:rsid w:val="3D874491"/>
    <w:rsid w:val="3D891FB8"/>
    <w:rsid w:val="3D8F1598"/>
    <w:rsid w:val="3D9170BE"/>
    <w:rsid w:val="3D932E36"/>
    <w:rsid w:val="3DA70690"/>
    <w:rsid w:val="3DA72718"/>
    <w:rsid w:val="3DA908AC"/>
    <w:rsid w:val="3DBE0B4C"/>
    <w:rsid w:val="3DC54FBA"/>
    <w:rsid w:val="3DCB3446"/>
    <w:rsid w:val="3DCE7D24"/>
    <w:rsid w:val="3DD205B0"/>
    <w:rsid w:val="3DD609B3"/>
    <w:rsid w:val="3DDC47DD"/>
    <w:rsid w:val="3DE2791A"/>
    <w:rsid w:val="3DE713D4"/>
    <w:rsid w:val="3DEE2762"/>
    <w:rsid w:val="3DF1C583"/>
    <w:rsid w:val="3DF7F809"/>
    <w:rsid w:val="3DFD29A6"/>
    <w:rsid w:val="3DFD4754"/>
    <w:rsid w:val="3DFD81AF"/>
    <w:rsid w:val="3E0930F8"/>
    <w:rsid w:val="3E23065E"/>
    <w:rsid w:val="3E2919ED"/>
    <w:rsid w:val="3E2E0DB1"/>
    <w:rsid w:val="3E3143FD"/>
    <w:rsid w:val="3E4A5A01"/>
    <w:rsid w:val="3E500D27"/>
    <w:rsid w:val="3E530817"/>
    <w:rsid w:val="3E541B20"/>
    <w:rsid w:val="3E5C2E71"/>
    <w:rsid w:val="3E6807DB"/>
    <w:rsid w:val="3E6F4B9A"/>
    <w:rsid w:val="3E7F33BB"/>
    <w:rsid w:val="3E834880"/>
    <w:rsid w:val="3E853C97"/>
    <w:rsid w:val="3E907376"/>
    <w:rsid w:val="3E921340"/>
    <w:rsid w:val="3E9450B8"/>
    <w:rsid w:val="3EBBE5D2"/>
    <w:rsid w:val="3EBD31E5"/>
    <w:rsid w:val="3EC3599D"/>
    <w:rsid w:val="3ED656D0"/>
    <w:rsid w:val="3ED87E4C"/>
    <w:rsid w:val="3EDE27D7"/>
    <w:rsid w:val="3EE651E8"/>
    <w:rsid w:val="3EEC4EF4"/>
    <w:rsid w:val="3EF64C1F"/>
    <w:rsid w:val="3EFA5B79"/>
    <w:rsid w:val="3EFB2499"/>
    <w:rsid w:val="3EFE614D"/>
    <w:rsid w:val="3EFEF4BD"/>
    <w:rsid w:val="3F010273"/>
    <w:rsid w:val="3F0563ED"/>
    <w:rsid w:val="3F0833B0"/>
    <w:rsid w:val="3F220916"/>
    <w:rsid w:val="3F243ABF"/>
    <w:rsid w:val="3F2A77CA"/>
    <w:rsid w:val="3F2D72BA"/>
    <w:rsid w:val="3F373C95"/>
    <w:rsid w:val="3F376A69"/>
    <w:rsid w:val="3F3E3276"/>
    <w:rsid w:val="3F4A7E6C"/>
    <w:rsid w:val="3F4E607F"/>
    <w:rsid w:val="3F4E6449"/>
    <w:rsid w:val="3F4F0FDF"/>
    <w:rsid w:val="3F4F42A7"/>
    <w:rsid w:val="3F520ACF"/>
    <w:rsid w:val="3F5A4F0B"/>
    <w:rsid w:val="3F6A5E19"/>
    <w:rsid w:val="3F6A7BC7"/>
    <w:rsid w:val="3F6C7DE3"/>
    <w:rsid w:val="3F760C61"/>
    <w:rsid w:val="3F771878"/>
    <w:rsid w:val="3F779E02"/>
    <w:rsid w:val="3F79605C"/>
    <w:rsid w:val="3F7F9605"/>
    <w:rsid w:val="3F870779"/>
    <w:rsid w:val="3F9904AC"/>
    <w:rsid w:val="3FA330D9"/>
    <w:rsid w:val="3FA57874"/>
    <w:rsid w:val="3FAC01DF"/>
    <w:rsid w:val="3FAE03FB"/>
    <w:rsid w:val="3FB53538"/>
    <w:rsid w:val="3FB7E63A"/>
    <w:rsid w:val="3FBBDF25"/>
    <w:rsid w:val="3FBD23C0"/>
    <w:rsid w:val="3FC512A1"/>
    <w:rsid w:val="3FC65745"/>
    <w:rsid w:val="3FCDC299"/>
    <w:rsid w:val="3FCEED26"/>
    <w:rsid w:val="3FD91DCF"/>
    <w:rsid w:val="3FDA11F0"/>
    <w:rsid w:val="3FDD65EB"/>
    <w:rsid w:val="3FDE10EE"/>
    <w:rsid w:val="3FDE717E"/>
    <w:rsid w:val="3FDF239A"/>
    <w:rsid w:val="3FDFFAB3"/>
    <w:rsid w:val="3FE1257F"/>
    <w:rsid w:val="3FE78F4C"/>
    <w:rsid w:val="3FECD332"/>
    <w:rsid w:val="3FED0E5F"/>
    <w:rsid w:val="3FEFFACE"/>
    <w:rsid w:val="3FF74CD3"/>
    <w:rsid w:val="3FFE71BE"/>
    <w:rsid w:val="3FFF61E2"/>
    <w:rsid w:val="3FFF761B"/>
    <w:rsid w:val="3FFF9C09"/>
    <w:rsid w:val="3FFFCE42"/>
    <w:rsid w:val="4004382A"/>
    <w:rsid w:val="400B13AA"/>
    <w:rsid w:val="400B75FC"/>
    <w:rsid w:val="400C5122"/>
    <w:rsid w:val="400E49F6"/>
    <w:rsid w:val="40104C12"/>
    <w:rsid w:val="40155D85"/>
    <w:rsid w:val="40271F5C"/>
    <w:rsid w:val="40307062"/>
    <w:rsid w:val="40363F4D"/>
    <w:rsid w:val="40387CC5"/>
    <w:rsid w:val="40450B2D"/>
    <w:rsid w:val="40491ED2"/>
    <w:rsid w:val="406010FB"/>
    <w:rsid w:val="4061721C"/>
    <w:rsid w:val="40644F5E"/>
    <w:rsid w:val="40692574"/>
    <w:rsid w:val="4081341A"/>
    <w:rsid w:val="409749EB"/>
    <w:rsid w:val="409C0254"/>
    <w:rsid w:val="40A23390"/>
    <w:rsid w:val="40A35A86"/>
    <w:rsid w:val="40A43FE1"/>
    <w:rsid w:val="40AA2BC7"/>
    <w:rsid w:val="40B7508E"/>
    <w:rsid w:val="40BF3F42"/>
    <w:rsid w:val="40C17CBA"/>
    <w:rsid w:val="40CD253B"/>
    <w:rsid w:val="40CD2C30"/>
    <w:rsid w:val="40DB4F03"/>
    <w:rsid w:val="410302D3"/>
    <w:rsid w:val="41151699"/>
    <w:rsid w:val="41384420"/>
    <w:rsid w:val="41391F47"/>
    <w:rsid w:val="413C37E5"/>
    <w:rsid w:val="413D1A37"/>
    <w:rsid w:val="41434B73"/>
    <w:rsid w:val="41452699"/>
    <w:rsid w:val="414B1AB2"/>
    <w:rsid w:val="414F176A"/>
    <w:rsid w:val="415154E2"/>
    <w:rsid w:val="41523008"/>
    <w:rsid w:val="41727207"/>
    <w:rsid w:val="417B430D"/>
    <w:rsid w:val="41801923"/>
    <w:rsid w:val="4193340B"/>
    <w:rsid w:val="41990C37"/>
    <w:rsid w:val="41A05B22"/>
    <w:rsid w:val="41A25D3E"/>
    <w:rsid w:val="41A978DB"/>
    <w:rsid w:val="41AE46E3"/>
    <w:rsid w:val="41B4781F"/>
    <w:rsid w:val="41C236CA"/>
    <w:rsid w:val="41C37A62"/>
    <w:rsid w:val="41CF23CD"/>
    <w:rsid w:val="41D103D1"/>
    <w:rsid w:val="41D61543"/>
    <w:rsid w:val="41D72BC4"/>
    <w:rsid w:val="41E06866"/>
    <w:rsid w:val="41E579D9"/>
    <w:rsid w:val="41E80D5B"/>
    <w:rsid w:val="41FB36A0"/>
    <w:rsid w:val="42010CB6"/>
    <w:rsid w:val="423E37F0"/>
    <w:rsid w:val="423F17DF"/>
    <w:rsid w:val="4251506E"/>
    <w:rsid w:val="425A0F71"/>
    <w:rsid w:val="42613AF4"/>
    <w:rsid w:val="42664FBD"/>
    <w:rsid w:val="426B25D4"/>
    <w:rsid w:val="42707E35"/>
    <w:rsid w:val="42785676"/>
    <w:rsid w:val="4286740D"/>
    <w:rsid w:val="4292190E"/>
    <w:rsid w:val="429F402B"/>
    <w:rsid w:val="42A258CA"/>
    <w:rsid w:val="42A31D6D"/>
    <w:rsid w:val="42B1052C"/>
    <w:rsid w:val="42BA2C13"/>
    <w:rsid w:val="42BC2E2F"/>
    <w:rsid w:val="42BC3382"/>
    <w:rsid w:val="42CD2946"/>
    <w:rsid w:val="42D16E5E"/>
    <w:rsid w:val="42D75573"/>
    <w:rsid w:val="42F02E93"/>
    <w:rsid w:val="42F563BE"/>
    <w:rsid w:val="43012E27"/>
    <w:rsid w:val="431C567C"/>
    <w:rsid w:val="432D197A"/>
    <w:rsid w:val="432F53AF"/>
    <w:rsid w:val="435B016E"/>
    <w:rsid w:val="435B2648"/>
    <w:rsid w:val="43617533"/>
    <w:rsid w:val="436A288B"/>
    <w:rsid w:val="4374370A"/>
    <w:rsid w:val="4376F5CB"/>
    <w:rsid w:val="437D25BE"/>
    <w:rsid w:val="43882D11"/>
    <w:rsid w:val="438D20D6"/>
    <w:rsid w:val="43A1468D"/>
    <w:rsid w:val="43A708F0"/>
    <w:rsid w:val="43AA712C"/>
    <w:rsid w:val="43B35F95"/>
    <w:rsid w:val="43BE25BE"/>
    <w:rsid w:val="43BE4985"/>
    <w:rsid w:val="43C006FD"/>
    <w:rsid w:val="43C81360"/>
    <w:rsid w:val="43CE4CBB"/>
    <w:rsid w:val="43D16466"/>
    <w:rsid w:val="43D877F5"/>
    <w:rsid w:val="43D91B38"/>
    <w:rsid w:val="43EA577A"/>
    <w:rsid w:val="43EC504E"/>
    <w:rsid w:val="44006983"/>
    <w:rsid w:val="4416253F"/>
    <w:rsid w:val="44217FF5"/>
    <w:rsid w:val="442B6866"/>
    <w:rsid w:val="442C7B41"/>
    <w:rsid w:val="443D58AA"/>
    <w:rsid w:val="443F7874"/>
    <w:rsid w:val="444078CC"/>
    <w:rsid w:val="445A645C"/>
    <w:rsid w:val="44626CE7"/>
    <w:rsid w:val="44775260"/>
    <w:rsid w:val="447A6AFE"/>
    <w:rsid w:val="447B4624"/>
    <w:rsid w:val="447F2366"/>
    <w:rsid w:val="4483305F"/>
    <w:rsid w:val="449C4CC6"/>
    <w:rsid w:val="44A616A1"/>
    <w:rsid w:val="44AB315B"/>
    <w:rsid w:val="44B10046"/>
    <w:rsid w:val="44B87626"/>
    <w:rsid w:val="44DC072C"/>
    <w:rsid w:val="44DE708D"/>
    <w:rsid w:val="44E4041B"/>
    <w:rsid w:val="44ED72D0"/>
    <w:rsid w:val="44F97EC4"/>
    <w:rsid w:val="44FE760D"/>
    <w:rsid w:val="450D7972"/>
    <w:rsid w:val="452829E7"/>
    <w:rsid w:val="45285204"/>
    <w:rsid w:val="45401AF6"/>
    <w:rsid w:val="454060D8"/>
    <w:rsid w:val="45435142"/>
    <w:rsid w:val="45480448"/>
    <w:rsid w:val="454809AA"/>
    <w:rsid w:val="454F3AE7"/>
    <w:rsid w:val="4550160D"/>
    <w:rsid w:val="455C4456"/>
    <w:rsid w:val="457F1844"/>
    <w:rsid w:val="45815C6A"/>
    <w:rsid w:val="458614D2"/>
    <w:rsid w:val="458E4348"/>
    <w:rsid w:val="45950612"/>
    <w:rsid w:val="459C013A"/>
    <w:rsid w:val="45A1630C"/>
    <w:rsid w:val="45A23CFB"/>
    <w:rsid w:val="45AA6F6F"/>
    <w:rsid w:val="45BB73CE"/>
    <w:rsid w:val="45BD3146"/>
    <w:rsid w:val="45C0528B"/>
    <w:rsid w:val="45CC5137"/>
    <w:rsid w:val="45CE588F"/>
    <w:rsid w:val="45D93CF8"/>
    <w:rsid w:val="45DC5246"/>
    <w:rsid w:val="45E05087"/>
    <w:rsid w:val="45ED50AE"/>
    <w:rsid w:val="45EE1552"/>
    <w:rsid w:val="45F55910"/>
    <w:rsid w:val="45FB3C6E"/>
    <w:rsid w:val="460103E6"/>
    <w:rsid w:val="46032E8D"/>
    <w:rsid w:val="46164604"/>
    <w:rsid w:val="462F148B"/>
    <w:rsid w:val="464A2500"/>
    <w:rsid w:val="4651154E"/>
    <w:rsid w:val="466B2BA2"/>
    <w:rsid w:val="466E4440"/>
    <w:rsid w:val="46737CA9"/>
    <w:rsid w:val="468769E1"/>
    <w:rsid w:val="46965745"/>
    <w:rsid w:val="46A55352"/>
    <w:rsid w:val="46A56CC0"/>
    <w:rsid w:val="46B06893"/>
    <w:rsid w:val="46BA7686"/>
    <w:rsid w:val="46D00C57"/>
    <w:rsid w:val="46DF1886"/>
    <w:rsid w:val="46E06E25"/>
    <w:rsid w:val="46E44703"/>
    <w:rsid w:val="46EC2FAB"/>
    <w:rsid w:val="46FA2178"/>
    <w:rsid w:val="46FA5CD4"/>
    <w:rsid w:val="47135EB8"/>
    <w:rsid w:val="47136072"/>
    <w:rsid w:val="47241D78"/>
    <w:rsid w:val="4729480B"/>
    <w:rsid w:val="473F5DDD"/>
    <w:rsid w:val="47451645"/>
    <w:rsid w:val="474E7DCE"/>
    <w:rsid w:val="47637D1D"/>
    <w:rsid w:val="477517FF"/>
    <w:rsid w:val="47867568"/>
    <w:rsid w:val="47876F78"/>
    <w:rsid w:val="478E5712"/>
    <w:rsid w:val="47961EA1"/>
    <w:rsid w:val="479D1AB0"/>
    <w:rsid w:val="479E0D55"/>
    <w:rsid w:val="47AB6FCE"/>
    <w:rsid w:val="47AD0F98"/>
    <w:rsid w:val="47AF2F63"/>
    <w:rsid w:val="47C47D13"/>
    <w:rsid w:val="47D46525"/>
    <w:rsid w:val="47D65A37"/>
    <w:rsid w:val="47D93B3C"/>
    <w:rsid w:val="47DE7EE8"/>
    <w:rsid w:val="47DF88D5"/>
    <w:rsid w:val="47E10211"/>
    <w:rsid w:val="47E30789"/>
    <w:rsid w:val="47ED2D5B"/>
    <w:rsid w:val="47F72214"/>
    <w:rsid w:val="47FFB856"/>
    <w:rsid w:val="4803505C"/>
    <w:rsid w:val="480706A9"/>
    <w:rsid w:val="480865AC"/>
    <w:rsid w:val="481A184C"/>
    <w:rsid w:val="481D7ECC"/>
    <w:rsid w:val="48217291"/>
    <w:rsid w:val="48270D4B"/>
    <w:rsid w:val="482E3254"/>
    <w:rsid w:val="483515BE"/>
    <w:rsid w:val="48376AB4"/>
    <w:rsid w:val="48564021"/>
    <w:rsid w:val="485853A8"/>
    <w:rsid w:val="486FB1D0"/>
    <w:rsid w:val="48764738"/>
    <w:rsid w:val="487F78EF"/>
    <w:rsid w:val="48895562"/>
    <w:rsid w:val="488E2B78"/>
    <w:rsid w:val="48965ED0"/>
    <w:rsid w:val="489A776F"/>
    <w:rsid w:val="489D74E4"/>
    <w:rsid w:val="48A51C70"/>
    <w:rsid w:val="48A97D2E"/>
    <w:rsid w:val="48B545A9"/>
    <w:rsid w:val="48BD345D"/>
    <w:rsid w:val="48C26CC5"/>
    <w:rsid w:val="48CF7385"/>
    <w:rsid w:val="48D013E2"/>
    <w:rsid w:val="48D11064"/>
    <w:rsid w:val="48D16F09"/>
    <w:rsid w:val="48D2515B"/>
    <w:rsid w:val="48D367DD"/>
    <w:rsid w:val="48D83DF3"/>
    <w:rsid w:val="48DF9B51"/>
    <w:rsid w:val="48E24C72"/>
    <w:rsid w:val="48E72288"/>
    <w:rsid w:val="48FA020D"/>
    <w:rsid w:val="48FF54C6"/>
    <w:rsid w:val="4916491B"/>
    <w:rsid w:val="491C794F"/>
    <w:rsid w:val="491D0E0D"/>
    <w:rsid w:val="492359B6"/>
    <w:rsid w:val="49357497"/>
    <w:rsid w:val="49396F88"/>
    <w:rsid w:val="493D634C"/>
    <w:rsid w:val="493F3E72"/>
    <w:rsid w:val="494E4BF6"/>
    <w:rsid w:val="49535B70"/>
    <w:rsid w:val="4953791E"/>
    <w:rsid w:val="496078E9"/>
    <w:rsid w:val="49631B71"/>
    <w:rsid w:val="496F2E7F"/>
    <w:rsid w:val="49747FC0"/>
    <w:rsid w:val="497A528F"/>
    <w:rsid w:val="498D2E30"/>
    <w:rsid w:val="49975BCE"/>
    <w:rsid w:val="499A16F3"/>
    <w:rsid w:val="499E503D"/>
    <w:rsid w:val="49A14B2D"/>
    <w:rsid w:val="49B22896"/>
    <w:rsid w:val="49B74350"/>
    <w:rsid w:val="49C0125A"/>
    <w:rsid w:val="49D85702"/>
    <w:rsid w:val="49D95ED1"/>
    <w:rsid w:val="49DC5B65"/>
    <w:rsid w:val="49EA64D4"/>
    <w:rsid w:val="49F17862"/>
    <w:rsid w:val="49F36F4F"/>
    <w:rsid w:val="49F42090"/>
    <w:rsid w:val="49F71731"/>
    <w:rsid w:val="4A082D0D"/>
    <w:rsid w:val="4A0C0D60"/>
    <w:rsid w:val="4A111B4D"/>
    <w:rsid w:val="4A1277D9"/>
    <w:rsid w:val="4A137725"/>
    <w:rsid w:val="4A192915"/>
    <w:rsid w:val="4A2117CA"/>
    <w:rsid w:val="4A2319E6"/>
    <w:rsid w:val="4A253F1B"/>
    <w:rsid w:val="4A273284"/>
    <w:rsid w:val="4A2B73D2"/>
    <w:rsid w:val="4A343701"/>
    <w:rsid w:val="4A3B288C"/>
    <w:rsid w:val="4A4200BE"/>
    <w:rsid w:val="4A463ED2"/>
    <w:rsid w:val="4A5C6177"/>
    <w:rsid w:val="4A6A13C3"/>
    <w:rsid w:val="4A6C513B"/>
    <w:rsid w:val="4A742241"/>
    <w:rsid w:val="4A752C5B"/>
    <w:rsid w:val="4A7933B4"/>
    <w:rsid w:val="4A8561FD"/>
    <w:rsid w:val="4A98521F"/>
    <w:rsid w:val="4A9E2E1A"/>
    <w:rsid w:val="4AA20B5D"/>
    <w:rsid w:val="4AA258AB"/>
    <w:rsid w:val="4AA76173"/>
    <w:rsid w:val="4AAC19DB"/>
    <w:rsid w:val="4AB02606"/>
    <w:rsid w:val="4AB5384C"/>
    <w:rsid w:val="4AB70571"/>
    <w:rsid w:val="4AC62843"/>
    <w:rsid w:val="4ADF3CAD"/>
    <w:rsid w:val="4AE50A49"/>
    <w:rsid w:val="4AE7656F"/>
    <w:rsid w:val="4AE802F1"/>
    <w:rsid w:val="4AFB026D"/>
    <w:rsid w:val="4AFD5315"/>
    <w:rsid w:val="4B0233A9"/>
    <w:rsid w:val="4B082FDE"/>
    <w:rsid w:val="4B3043BA"/>
    <w:rsid w:val="4B335C59"/>
    <w:rsid w:val="4B3774F7"/>
    <w:rsid w:val="4B3C2D5F"/>
    <w:rsid w:val="4B44381C"/>
    <w:rsid w:val="4B4D6D1A"/>
    <w:rsid w:val="4B524331"/>
    <w:rsid w:val="4B5A1437"/>
    <w:rsid w:val="4B663938"/>
    <w:rsid w:val="4B7788DC"/>
    <w:rsid w:val="4B8464B4"/>
    <w:rsid w:val="4B8D612B"/>
    <w:rsid w:val="4B8D7117"/>
    <w:rsid w:val="4B8F7333"/>
    <w:rsid w:val="4B9A1834"/>
    <w:rsid w:val="4BB85BF2"/>
    <w:rsid w:val="4BCF3BD3"/>
    <w:rsid w:val="4BD7D080"/>
    <w:rsid w:val="4BDC009E"/>
    <w:rsid w:val="4BDC3BFA"/>
    <w:rsid w:val="4BE43C24"/>
    <w:rsid w:val="4BF70A34"/>
    <w:rsid w:val="4BF74ED8"/>
    <w:rsid w:val="4BFBF060"/>
    <w:rsid w:val="4BFECABF"/>
    <w:rsid w:val="4BFFF18B"/>
    <w:rsid w:val="4C013661"/>
    <w:rsid w:val="4C107D48"/>
    <w:rsid w:val="4C1D0044"/>
    <w:rsid w:val="4C1E4244"/>
    <w:rsid w:val="4C261064"/>
    <w:rsid w:val="4C2D3C0D"/>
    <w:rsid w:val="4C327580"/>
    <w:rsid w:val="4C37699C"/>
    <w:rsid w:val="4C3B3017"/>
    <w:rsid w:val="4C4579F1"/>
    <w:rsid w:val="4C4719BC"/>
    <w:rsid w:val="4C5916EF"/>
    <w:rsid w:val="4C5D11DF"/>
    <w:rsid w:val="4C6523CA"/>
    <w:rsid w:val="4C687AA8"/>
    <w:rsid w:val="4C714C8A"/>
    <w:rsid w:val="4C724422"/>
    <w:rsid w:val="4C7B1665"/>
    <w:rsid w:val="4C7C718B"/>
    <w:rsid w:val="4C95008C"/>
    <w:rsid w:val="4CA95B79"/>
    <w:rsid w:val="4CB42DC9"/>
    <w:rsid w:val="4CC0176E"/>
    <w:rsid w:val="4CC90D88"/>
    <w:rsid w:val="4CCF19B1"/>
    <w:rsid w:val="4CDA22D7"/>
    <w:rsid w:val="4CF338F1"/>
    <w:rsid w:val="4D054A99"/>
    <w:rsid w:val="4D0B0C3B"/>
    <w:rsid w:val="4D0E1E95"/>
    <w:rsid w:val="4D106251"/>
    <w:rsid w:val="4D135D42"/>
    <w:rsid w:val="4D27359B"/>
    <w:rsid w:val="4D2F4299"/>
    <w:rsid w:val="4D355CB8"/>
    <w:rsid w:val="4D4B1038"/>
    <w:rsid w:val="4D4E1E90"/>
    <w:rsid w:val="4D693BB4"/>
    <w:rsid w:val="4D6B3488"/>
    <w:rsid w:val="4D7D22A3"/>
    <w:rsid w:val="4D7E0DAB"/>
    <w:rsid w:val="4D8409ED"/>
    <w:rsid w:val="4DA92202"/>
    <w:rsid w:val="4DAE26E6"/>
    <w:rsid w:val="4DAE5A6A"/>
    <w:rsid w:val="4DB03590"/>
    <w:rsid w:val="4DBD7A5B"/>
    <w:rsid w:val="4DC64B62"/>
    <w:rsid w:val="4DD43C4A"/>
    <w:rsid w:val="4DE76116"/>
    <w:rsid w:val="4DE864AD"/>
    <w:rsid w:val="4DED5753"/>
    <w:rsid w:val="4DEF230B"/>
    <w:rsid w:val="4DF72F6D"/>
    <w:rsid w:val="4DFD5221"/>
    <w:rsid w:val="4E035DB6"/>
    <w:rsid w:val="4E0A1F86"/>
    <w:rsid w:val="4E0F475B"/>
    <w:rsid w:val="4E2B0E69"/>
    <w:rsid w:val="4E320449"/>
    <w:rsid w:val="4E3715BC"/>
    <w:rsid w:val="4E3917D8"/>
    <w:rsid w:val="4E402B66"/>
    <w:rsid w:val="4E5151A3"/>
    <w:rsid w:val="4E52289A"/>
    <w:rsid w:val="4E5376DC"/>
    <w:rsid w:val="4E6F6FA8"/>
    <w:rsid w:val="4E7CBBA0"/>
    <w:rsid w:val="4E8441C7"/>
    <w:rsid w:val="4E8D742E"/>
    <w:rsid w:val="4E9C58C3"/>
    <w:rsid w:val="4E9D5F4E"/>
    <w:rsid w:val="4EA12ED9"/>
    <w:rsid w:val="4EA34EA3"/>
    <w:rsid w:val="4EAF6D04"/>
    <w:rsid w:val="4EB1136E"/>
    <w:rsid w:val="4EB62E28"/>
    <w:rsid w:val="4EB64BD7"/>
    <w:rsid w:val="4EC24573"/>
    <w:rsid w:val="4EC46BBF"/>
    <w:rsid w:val="4EC5306C"/>
    <w:rsid w:val="4EC77901"/>
    <w:rsid w:val="4ECE0172"/>
    <w:rsid w:val="4ED07495"/>
    <w:rsid w:val="4ED212E5"/>
    <w:rsid w:val="4EDB63EB"/>
    <w:rsid w:val="4EEF633A"/>
    <w:rsid w:val="4EEF78F4"/>
    <w:rsid w:val="4F082F58"/>
    <w:rsid w:val="4F165675"/>
    <w:rsid w:val="4F22226C"/>
    <w:rsid w:val="4F28465E"/>
    <w:rsid w:val="4F407255"/>
    <w:rsid w:val="4F6505F9"/>
    <w:rsid w:val="4F6E725F"/>
    <w:rsid w:val="4F760C0C"/>
    <w:rsid w:val="4F7A5C04"/>
    <w:rsid w:val="4F9A46E8"/>
    <w:rsid w:val="4F9D31CA"/>
    <w:rsid w:val="4F9F4271"/>
    <w:rsid w:val="4FAE1D52"/>
    <w:rsid w:val="4FBA002E"/>
    <w:rsid w:val="4FBC446F"/>
    <w:rsid w:val="4FBD1F95"/>
    <w:rsid w:val="4FCB2904"/>
    <w:rsid w:val="4FCC21D8"/>
    <w:rsid w:val="4FDBE75C"/>
    <w:rsid w:val="4FDC066D"/>
    <w:rsid w:val="4FED4628"/>
    <w:rsid w:val="4FF71E65"/>
    <w:rsid w:val="4FF72B12"/>
    <w:rsid w:val="4FFBB516"/>
    <w:rsid w:val="4FFE73E9"/>
    <w:rsid w:val="4FFF25AD"/>
    <w:rsid w:val="4FFF27A4"/>
    <w:rsid w:val="4FFFF8EC"/>
    <w:rsid w:val="5003209D"/>
    <w:rsid w:val="500D6A78"/>
    <w:rsid w:val="501064BB"/>
    <w:rsid w:val="501F0559"/>
    <w:rsid w:val="50203983"/>
    <w:rsid w:val="502618E8"/>
    <w:rsid w:val="502C78BD"/>
    <w:rsid w:val="503404A9"/>
    <w:rsid w:val="503C1837"/>
    <w:rsid w:val="50403624"/>
    <w:rsid w:val="50544AFE"/>
    <w:rsid w:val="50812FC2"/>
    <w:rsid w:val="508B5BEF"/>
    <w:rsid w:val="509C604E"/>
    <w:rsid w:val="50A078EC"/>
    <w:rsid w:val="50A66D16"/>
    <w:rsid w:val="50A849F3"/>
    <w:rsid w:val="50DB26D2"/>
    <w:rsid w:val="50EE4E08"/>
    <w:rsid w:val="50FE2426"/>
    <w:rsid w:val="51121E6C"/>
    <w:rsid w:val="512F0C70"/>
    <w:rsid w:val="5139389D"/>
    <w:rsid w:val="514648DC"/>
    <w:rsid w:val="514D5652"/>
    <w:rsid w:val="514E65F3"/>
    <w:rsid w:val="5150785C"/>
    <w:rsid w:val="51510BE7"/>
    <w:rsid w:val="515A41E2"/>
    <w:rsid w:val="5160707C"/>
    <w:rsid w:val="516721B8"/>
    <w:rsid w:val="51675356"/>
    <w:rsid w:val="51692B2E"/>
    <w:rsid w:val="517B5C63"/>
    <w:rsid w:val="517F39A6"/>
    <w:rsid w:val="517F3E24"/>
    <w:rsid w:val="51914954"/>
    <w:rsid w:val="51960CEF"/>
    <w:rsid w:val="519948ED"/>
    <w:rsid w:val="519F5DF6"/>
    <w:rsid w:val="51AD665B"/>
    <w:rsid w:val="51B05EC9"/>
    <w:rsid w:val="51C4760A"/>
    <w:rsid w:val="51CF7F2C"/>
    <w:rsid w:val="51DE0059"/>
    <w:rsid w:val="51E1640E"/>
    <w:rsid w:val="51F2795F"/>
    <w:rsid w:val="51F31C9E"/>
    <w:rsid w:val="51F37EF0"/>
    <w:rsid w:val="51FA6C65"/>
    <w:rsid w:val="51FD48CA"/>
    <w:rsid w:val="520B3C6B"/>
    <w:rsid w:val="52101963"/>
    <w:rsid w:val="52110A39"/>
    <w:rsid w:val="521A1920"/>
    <w:rsid w:val="521D4F6D"/>
    <w:rsid w:val="52397095"/>
    <w:rsid w:val="524424F9"/>
    <w:rsid w:val="52492E45"/>
    <w:rsid w:val="524D7600"/>
    <w:rsid w:val="5257222D"/>
    <w:rsid w:val="52595FA5"/>
    <w:rsid w:val="525D691E"/>
    <w:rsid w:val="525F5585"/>
    <w:rsid w:val="526130AB"/>
    <w:rsid w:val="526737EA"/>
    <w:rsid w:val="5272350A"/>
    <w:rsid w:val="52756B57"/>
    <w:rsid w:val="528D5C4E"/>
    <w:rsid w:val="528F7C18"/>
    <w:rsid w:val="52926C9E"/>
    <w:rsid w:val="52AA6800"/>
    <w:rsid w:val="52AB07CA"/>
    <w:rsid w:val="52AF2069"/>
    <w:rsid w:val="52B26FAC"/>
    <w:rsid w:val="52BC4786"/>
    <w:rsid w:val="52CA0C50"/>
    <w:rsid w:val="52CD24EF"/>
    <w:rsid w:val="52D03D8D"/>
    <w:rsid w:val="52E77A54"/>
    <w:rsid w:val="52E962D5"/>
    <w:rsid w:val="52F65EE9"/>
    <w:rsid w:val="52F82D3C"/>
    <w:rsid w:val="53004672"/>
    <w:rsid w:val="5311687F"/>
    <w:rsid w:val="53134EDD"/>
    <w:rsid w:val="531E7B67"/>
    <w:rsid w:val="531F6449"/>
    <w:rsid w:val="53215D20"/>
    <w:rsid w:val="532306A7"/>
    <w:rsid w:val="5325368A"/>
    <w:rsid w:val="532C06D7"/>
    <w:rsid w:val="533423A7"/>
    <w:rsid w:val="53394028"/>
    <w:rsid w:val="533F1412"/>
    <w:rsid w:val="534349C0"/>
    <w:rsid w:val="534A1D91"/>
    <w:rsid w:val="534A7FE3"/>
    <w:rsid w:val="534B71BB"/>
    <w:rsid w:val="534C2DE1"/>
    <w:rsid w:val="53530C46"/>
    <w:rsid w:val="535449BE"/>
    <w:rsid w:val="5358625C"/>
    <w:rsid w:val="535D3873"/>
    <w:rsid w:val="53626B0C"/>
    <w:rsid w:val="536A5F90"/>
    <w:rsid w:val="536F35A6"/>
    <w:rsid w:val="5371731E"/>
    <w:rsid w:val="53764934"/>
    <w:rsid w:val="537B12B5"/>
    <w:rsid w:val="53807561"/>
    <w:rsid w:val="53856A26"/>
    <w:rsid w:val="5394300C"/>
    <w:rsid w:val="539A14F0"/>
    <w:rsid w:val="539B083F"/>
    <w:rsid w:val="53A21BCD"/>
    <w:rsid w:val="53A45945"/>
    <w:rsid w:val="53A741DD"/>
    <w:rsid w:val="53AA2830"/>
    <w:rsid w:val="53ABD743"/>
    <w:rsid w:val="53BA6F17"/>
    <w:rsid w:val="53BC2B2A"/>
    <w:rsid w:val="53BD558C"/>
    <w:rsid w:val="53BF62DB"/>
    <w:rsid w:val="53C36A62"/>
    <w:rsid w:val="53C75B65"/>
    <w:rsid w:val="53CE4770"/>
    <w:rsid w:val="53D37FD9"/>
    <w:rsid w:val="53D6C66D"/>
    <w:rsid w:val="53DA1367"/>
    <w:rsid w:val="53E13325"/>
    <w:rsid w:val="53E2021C"/>
    <w:rsid w:val="53E421E6"/>
    <w:rsid w:val="53E75832"/>
    <w:rsid w:val="53E94A32"/>
    <w:rsid w:val="53EE619C"/>
    <w:rsid w:val="53FA5565"/>
    <w:rsid w:val="540208BE"/>
    <w:rsid w:val="541D3A51"/>
    <w:rsid w:val="542919A7"/>
    <w:rsid w:val="543640C4"/>
    <w:rsid w:val="544B62CC"/>
    <w:rsid w:val="547370C6"/>
    <w:rsid w:val="547F3CBD"/>
    <w:rsid w:val="5483555B"/>
    <w:rsid w:val="54880DC3"/>
    <w:rsid w:val="548A1708"/>
    <w:rsid w:val="548E0DEC"/>
    <w:rsid w:val="54A454D1"/>
    <w:rsid w:val="54AB7B01"/>
    <w:rsid w:val="54AC2F51"/>
    <w:rsid w:val="54AD4386"/>
    <w:rsid w:val="54B24092"/>
    <w:rsid w:val="54BE1A66"/>
    <w:rsid w:val="54BF230B"/>
    <w:rsid w:val="54C60002"/>
    <w:rsid w:val="54C618EB"/>
    <w:rsid w:val="54CF69F2"/>
    <w:rsid w:val="54D04518"/>
    <w:rsid w:val="54D062C6"/>
    <w:rsid w:val="54DE09E3"/>
    <w:rsid w:val="54E32728"/>
    <w:rsid w:val="54E66A4D"/>
    <w:rsid w:val="54F02663"/>
    <w:rsid w:val="54FE2E33"/>
    <w:rsid w:val="5509476E"/>
    <w:rsid w:val="550A5C7C"/>
    <w:rsid w:val="55147A1D"/>
    <w:rsid w:val="551B39E5"/>
    <w:rsid w:val="551D59AF"/>
    <w:rsid w:val="552705DC"/>
    <w:rsid w:val="55287EB0"/>
    <w:rsid w:val="553E73B3"/>
    <w:rsid w:val="55434CEA"/>
    <w:rsid w:val="55651104"/>
    <w:rsid w:val="556C5FEF"/>
    <w:rsid w:val="558275C0"/>
    <w:rsid w:val="55881E63"/>
    <w:rsid w:val="558F7F2F"/>
    <w:rsid w:val="559A7000"/>
    <w:rsid w:val="559E0B25"/>
    <w:rsid w:val="55A03EEB"/>
    <w:rsid w:val="55AF7BDE"/>
    <w:rsid w:val="55B044A8"/>
    <w:rsid w:val="55B7165E"/>
    <w:rsid w:val="55CD75A6"/>
    <w:rsid w:val="55E53FF3"/>
    <w:rsid w:val="55EF27C2"/>
    <w:rsid w:val="55F05BDE"/>
    <w:rsid w:val="55F935FB"/>
    <w:rsid w:val="5601759D"/>
    <w:rsid w:val="5613290E"/>
    <w:rsid w:val="5621585F"/>
    <w:rsid w:val="562E599A"/>
    <w:rsid w:val="56301712"/>
    <w:rsid w:val="56326E73"/>
    <w:rsid w:val="56384C51"/>
    <w:rsid w:val="563C024F"/>
    <w:rsid w:val="56440D1A"/>
    <w:rsid w:val="565F7902"/>
    <w:rsid w:val="56665134"/>
    <w:rsid w:val="56737851"/>
    <w:rsid w:val="567A473C"/>
    <w:rsid w:val="56876E58"/>
    <w:rsid w:val="569278FF"/>
    <w:rsid w:val="56A1616C"/>
    <w:rsid w:val="56B57E6A"/>
    <w:rsid w:val="56CC7222"/>
    <w:rsid w:val="56D025AE"/>
    <w:rsid w:val="56E04EE6"/>
    <w:rsid w:val="56F049FE"/>
    <w:rsid w:val="56F664B8"/>
    <w:rsid w:val="56F73FDE"/>
    <w:rsid w:val="57064221"/>
    <w:rsid w:val="570C0168"/>
    <w:rsid w:val="57195870"/>
    <w:rsid w:val="572940E6"/>
    <w:rsid w:val="572C7C98"/>
    <w:rsid w:val="57342B3C"/>
    <w:rsid w:val="5737262D"/>
    <w:rsid w:val="57392849"/>
    <w:rsid w:val="57413A35"/>
    <w:rsid w:val="574216FD"/>
    <w:rsid w:val="57770C7B"/>
    <w:rsid w:val="57776E1C"/>
    <w:rsid w:val="57794569"/>
    <w:rsid w:val="577DCD24"/>
    <w:rsid w:val="577F6616"/>
    <w:rsid w:val="579212BC"/>
    <w:rsid w:val="57925AB5"/>
    <w:rsid w:val="57A33EBB"/>
    <w:rsid w:val="57BE0CA6"/>
    <w:rsid w:val="57CD4D3F"/>
    <w:rsid w:val="57CE11E3"/>
    <w:rsid w:val="57CF603D"/>
    <w:rsid w:val="57D71812"/>
    <w:rsid w:val="57D9BFF8"/>
    <w:rsid w:val="57E74053"/>
    <w:rsid w:val="57EBC47B"/>
    <w:rsid w:val="57ED767A"/>
    <w:rsid w:val="57F74BE3"/>
    <w:rsid w:val="57F95B34"/>
    <w:rsid w:val="57FB0E67"/>
    <w:rsid w:val="57FC185D"/>
    <w:rsid w:val="57FF5DE3"/>
    <w:rsid w:val="580F4142"/>
    <w:rsid w:val="581110D0"/>
    <w:rsid w:val="581A7F84"/>
    <w:rsid w:val="582232DD"/>
    <w:rsid w:val="582238BC"/>
    <w:rsid w:val="582708F3"/>
    <w:rsid w:val="582C5F09"/>
    <w:rsid w:val="583A6878"/>
    <w:rsid w:val="58403763"/>
    <w:rsid w:val="58405511"/>
    <w:rsid w:val="584F05EC"/>
    <w:rsid w:val="584F5203"/>
    <w:rsid w:val="58501BF8"/>
    <w:rsid w:val="58515970"/>
    <w:rsid w:val="5870318E"/>
    <w:rsid w:val="58733166"/>
    <w:rsid w:val="58734F65"/>
    <w:rsid w:val="587A0A23"/>
    <w:rsid w:val="587F8A93"/>
    <w:rsid w:val="58863015"/>
    <w:rsid w:val="589046EA"/>
    <w:rsid w:val="58937D37"/>
    <w:rsid w:val="58A86818"/>
    <w:rsid w:val="58AB32D2"/>
    <w:rsid w:val="58AC120F"/>
    <w:rsid w:val="58AD4249"/>
    <w:rsid w:val="58B06B3A"/>
    <w:rsid w:val="58B47348"/>
    <w:rsid w:val="58B959EF"/>
    <w:rsid w:val="58D1441F"/>
    <w:rsid w:val="58D2085F"/>
    <w:rsid w:val="58D36385"/>
    <w:rsid w:val="58D56B68"/>
    <w:rsid w:val="58E442E2"/>
    <w:rsid w:val="58EB1921"/>
    <w:rsid w:val="58F20F01"/>
    <w:rsid w:val="59062983"/>
    <w:rsid w:val="59096FBD"/>
    <w:rsid w:val="591770DF"/>
    <w:rsid w:val="591C7708"/>
    <w:rsid w:val="591F6D94"/>
    <w:rsid w:val="594352B9"/>
    <w:rsid w:val="5947124D"/>
    <w:rsid w:val="59576FB6"/>
    <w:rsid w:val="59590F80"/>
    <w:rsid w:val="59611BE3"/>
    <w:rsid w:val="596334BB"/>
    <w:rsid w:val="59710078"/>
    <w:rsid w:val="5976568E"/>
    <w:rsid w:val="597A3BB3"/>
    <w:rsid w:val="597DFBC3"/>
    <w:rsid w:val="597EB301"/>
    <w:rsid w:val="59914276"/>
    <w:rsid w:val="59927FEE"/>
    <w:rsid w:val="599B4757"/>
    <w:rsid w:val="599C0E6D"/>
    <w:rsid w:val="59A71CEC"/>
    <w:rsid w:val="59A860E0"/>
    <w:rsid w:val="59B56DA9"/>
    <w:rsid w:val="59B91A1F"/>
    <w:rsid w:val="59C25C6C"/>
    <w:rsid w:val="59D2668C"/>
    <w:rsid w:val="59D522F0"/>
    <w:rsid w:val="59D5566C"/>
    <w:rsid w:val="59DD74BB"/>
    <w:rsid w:val="59DF315D"/>
    <w:rsid w:val="59F111B9"/>
    <w:rsid w:val="59F1740B"/>
    <w:rsid w:val="59F20A8D"/>
    <w:rsid w:val="59F32CC1"/>
    <w:rsid w:val="59FD1464"/>
    <w:rsid w:val="59FD7B5D"/>
    <w:rsid w:val="5A0802B0"/>
    <w:rsid w:val="5A0E58C7"/>
    <w:rsid w:val="5A144EA7"/>
    <w:rsid w:val="5A2570B4"/>
    <w:rsid w:val="5A272E2C"/>
    <w:rsid w:val="5A3053F4"/>
    <w:rsid w:val="5A3A2B60"/>
    <w:rsid w:val="5A511C57"/>
    <w:rsid w:val="5A64198B"/>
    <w:rsid w:val="5A6D9B03"/>
    <w:rsid w:val="5A883BD2"/>
    <w:rsid w:val="5A8913F1"/>
    <w:rsid w:val="5A8B33BB"/>
    <w:rsid w:val="5AA94C5A"/>
    <w:rsid w:val="5AAA9A9B"/>
    <w:rsid w:val="5AB67D0C"/>
    <w:rsid w:val="5AC642F3"/>
    <w:rsid w:val="5AC97A40"/>
    <w:rsid w:val="5AE074D8"/>
    <w:rsid w:val="5AE12FDB"/>
    <w:rsid w:val="5AE32609"/>
    <w:rsid w:val="5AE65F83"/>
    <w:rsid w:val="5AED71E7"/>
    <w:rsid w:val="5AF7DC83"/>
    <w:rsid w:val="5AFB3C0F"/>
    <w:rsid w:val="5AFD676A"/>
    <w:rsid w:val="5B224FBB"/>
    <w:rsid w:val="5B2B4256"/>
    <w:rsid w:val="5B2D10C2"/>
    <w:rsid w:val="5B2F01EA"/>
    <w:rsid w:val="5B370E4D"/>
    <w:rsid w:val="5B3B6835"/>
    <w:rsid w:val="5B465534"/>
    <w:rsid w:val="5B48566E"/>
    <w:rsid w:val="5B4B45B5"/>
    <w:rsid w:val="5B4D1AC8"/>
    <w:rsid w:val="5B57329D"/>
    <w:rsid w:val="5B6360E6"/>
    <w:rsid w:val="5B637E94"/>
    <w:rsid w:val="5B7025B1"/>
    <w:rsid w:val="5B791466"/>
    <w:rsid w:val="5B7B51DE"/>
    <w:rsid w:val="5B7F01A8"/>
    <w:rsid w:val="5B8A3673"/>
    <w:rsid w:val="5B8F0C89"/>
    <w:rsid w:val="5B8F9460"/>
    <w:rsid w:val="5B9B762E"/>
    <w:rsid w:val="5BAA50E3"/>
    <w:rsid w:val="5BB57FC4"/>
    <w:rsid w:val="5BBD57F6"/>
    <w:rsid w:val="5BC56459"/>
    <w:rsid w:val="5BC788F6"/>
    <w:rsid w:val="5BD60666"/>
    <w:rsid w:val="5BD946E4"/>
    <w:rsid w:val="5BDC87FF"/>
    <w:rsid w:val="5BDFEF67"/>
    <w:rsid w:val="5BE508A9"/>
    <w:rsid w:val="5BE54D4D"/>
    <w:rsid w:val="5BE79CB2"/>
    <w:rsid w:val="5BE7F760"/>
    <w:rsid w:val="5BEDA6DE"/>
    <w:rsid w:val="5BF67BFC"/>
    <w:rsid w:val="5BFFCE8C"/>
    <w:rsid w:val="5C0E1955"/>
    <w:rsid w:val="5C160025"/>
    <w:rsid w:val="5C164F06"/>
    <w:rsid w:val="5C166CB5"/>
    <w:rsid w:val="5C1D44E7"/>
    <w:rsid w:val="5C1E08A9"/>
    <w:rsid w:val="5C2313D1"/>
    <w:rsid w:val="5C361105"/>
    <w:rsid w:val="5C3C6566"/>
    <w:rsid w:val="5C3F445D"/>
    <w:rsid w:val="5C4A6731"/>
    <w:rsid w:val="5C4E644E"/>
    <w:rsid w:val="5C5477DD"/>
    <w:rsid w:val="5C57753C"/>
    <w:rsid w:val="5C5B500F"/>
    <w:rsid w:val="5C5C0D57"/>
    <w:rsid w:val="5C5F68AD"/>
    <w:rsid w:val="5C7F0CFE"/>
    <w:rsid w:val="5C9116E3"/>
    <w:rsid w:val="5C955DF5"/>
    <w:rsid w:val="5C9C2DD3"/>
    <w:rsid w:val="5C9F6CAA"/>
    <w:rsid w:val="5CAB4491"/>
    <w:rsid w:val="5CBA72B5"/>
    <w:rsid w:val="5CC11316"/>
    <w:rsid w:val="5CC91F79"/>
    <w:rsid w:val="5CD03307"/>
    <w:rsid w:val="5CDA23D8"/>
    <w:rsid w:val="5CDD5A24"/>
    <w:rsid w:val="5CE02B67"/>
    <w:rsid w:val="5CE035D2"/>
    <w:rsid w:val="5CE328FF"/>
    <w:rsid w:val="5CED3EB9"/>
    <w:rsid w:val="5CEF74DD"/>
    <w:rsid w:val="5CFD8D25"/>
    <w:rsid w:val="5D072AA1"/>
    <w:rsid w:val="5D0905C7"/>
    <w:rsid w:val="5D196598"/>
    <w:rsid w:val="5D1969D1"/>
    <w:rsid w:val="5D215911"/>
    <w:rsid w:val="5D2732DD"/>
    <w:rsid w:val="5D375134"/>
    <w:rsid w:val="5D487342"/>
    <w:rsid w:val="5D492BC3"/>
    <w:rsid w:val="5D51013C"/>
    <w:rsid w:val="5D55B19E"/>
    <w:rsid w:val="5D60062B"/>
    <w:rsid w:val="5D7C348F"/>
    <w:rsid w:val="5D8827E5"/>
    <w:rsid w:val="5D883BE2"/>
    <w:rsid w:val="5D916F3A"/>
    <w:rsid w:val="5DA40E67"/>
    <w:rsid w:val="5DA54794"/>
    <w:rsid w:val="5DA606AA"/>
    <w:rsid w:val="5DAE40EE"/>
    <w:rsid w:val="5DB03139"/>
    <w:rsid w:val="5DB06C95"/>
    <w:rsid w:val="5DB287E7"/>
    <w:rsid w:val="5DB72F61"/>
    <w:rsid w:val="5DBB178B"/>
    <w:rsid w:val="5DC7295C"/>
    <w:rsid w:val="5DC7C830"/>
    <w:rsid w:val="5DCF5080"/>
    <w:rsid w:val="5DD38586"/>
    <w:rsid w:val="5DE63AAD"/>
    <w:rsid w:val="5DED09C6"/>
    <w:rsid w:val="5DED7EE9"/>
    <w:rsid w:val="5DEF9A2A"/>
    <w:rsid w:val="5DF22D33"/>
    <w:rsid w:val="5DF64FF0"/>
    <w:rsid w:val="5E0771FD"/>
    <w:rsid w:val="5E1358D5"/>
    <w:rsid w:val="5E1755D6"/>
    <w:rsid w:val="5E2002BE"/>
    <w:rsid w:val="5E241C39"/>
    <w:rsid w:val="5E2A4C99"/>
    <w:rsid w:val="5E2E29DB"/>
    <w:rsid w:val="5E3311D0"/>
    <w:rsid w:val="5E3B2A02"/>
    <w:rsid w:val="5E3FEC27"/>
    <w:rsid w:val="5E420235"/>
    <w:rsid w:val="5E510E61"/>
    <w:rsid w:val="5E5CE77E"/>
    <w:rsid w:val="5E677C9B"/>
    <w:rsid w:val="5E68756F"/>
    <w:rsid w:val="5E6F08FE"/>
    <w:rsid w:val="5E734F09"/>
    <w:rsid w:val="5E8425FB"/>
    <w:rsid w:val="5E87CAFE"/>
    <w:rsid w:val="5E8A5738"/>
    <w:rsid w:val="5E8C6B7C"/>
    <w:rsid w:val="5E930A90"/>
    <w:rsid w:val="5E980234"/>
    <w:rsid w:val="5E987E55"/>
    <w:rsid w:val="5EA762EA"/>
    <w:rsid w:val="5EAC7607"/>
    <w:rsid w:val="5EAE5E8D"/>
    <w:rsid w:val="5EBA601D"/>
    <w:rsid w:val="5EBB25D9"/>
    <w:rsid w:val="5EC2182D"/>
    <w:rsid w:val="5EC92704"/>
    <w:rsid w:val="5ED167B4"/>
    <w:rsid w:val="5ED879CC"/>
    <w:rsid w:val="5EDD9B78"/>
    <w:rsid w:val="5EDF0A38"/>
    <w:rsid w:val="5EE74938"/>
    <w:rsid w:val="5EEB267A"/>
    <w:rsid w:val="5EED0929"/>
    <w:rsid w:val="5EFA0B0F"/>
    <w:rsid w:val="5EFD85ED"/>
    <w:rsid w:val="5EFF2422"/>
    <w:rsid w:val="5F024BF3"/>
    <w:rsid w:val="5F08322C"/>
    <w:rsid w:val="5F0D7D2F"/>
    <w:rsid w:val="5F1119B5"/>
    <w:rsid w:val="5F1F018B"/>
    <w:rsid w:val="5F217E4A"/>
    <w:rsid w:val="5F21B230"/>
    <w:rsid w:val="5F2416E8"/>
    <w:rsid w:val="5F4B3479"/>
    <w:rsid w:val="5F5314D3"/>
    <w:rsid w:val="5F5F0972"/>
    <w:rsid w:val="5F671FB6"/>
    <w:rsid w:val="5F6B3DD1"/>
    <w:rsid w:val="5F7351A8"/>
    <w:rsid w:val="5F745129"/>
    <w:rsid w:val="5F7F74E6"/>
    <w:rsid w:val="5F7F8424"/>
    <w:rsid w:val="5F857B8E"/>
    <w:rsid w:val="5F944AC0"/>
    <w:rsid w:val="5F9A6A4F"/>
    <w:rsid w:val="5F9D6D44"/>
    <w:rsid w:val="5FA16CFD"/>
    <w:rsid w:val="5FA40A7B"/>
    <w:rsid w:val="5FA665A1"/>
    <w:rsid w:val="5FA840C8"/>
    <w:rsid w:val="5FAE5456"/>
    <w:rsid w:val="5FAF18FA"/>
    <w:rsid w:val="5FB9289D"/>
    <w:rsid w:val="5FBA204D"/>
    <w:rsid w:val="5FBB7063"/>
    <w:rsid w:val="5FBE5F8C"/>
    <w:rsid w:val="5FC3E0C2"/>
    <w:rsid w:val="5FCB425A"/>
    <w:rsid w:val="5FCD1D80"/>
    <w:rsid w:val="5FCF3D4A"/>
    <w:rsid w:val="5FD27396"/>
    <w:rsid w:val="5FDC1FC3"/>
    <w:rsid w:val="5FDF5F21"/>
    <w:rsid w:val="5FE70EFC"/>
    <w:rsid w:val="5FEF5AE3"/>
    <w:rsid w:val="5FEF9CDF"/>
    <w:rsid w:val="5FF52FC5"/>
    <w:rsid w:val="5FF98158"/>
    <w:rsid w:val="5FFE92A3"/>
    <w:rsid w:val="5FFF095F"/>
    <w:rsid w:val="5FFF6A55"/>
    <w:rsid w:val="5FFF8B6C"/>
    <w:rsid w:val="5FFF9503"/>
    <w:rsid w:val="5FFFB3F9"/>
    <w:rsid w:val="60010C0C"/>
    <w:rsid w:val="600357A2"/>
    <w:rsid w:val="600449FA"/>
    <w:rsid w:val="60065292"/>
    <w:rsid w:val="600812C2"/>
    <w:rsid w:val="600B4656"/>
    <w:rsid w:val="60206354"/>
    <w:rsid w:val="602A71D2"/>
    <w:rsid w:val="60343BAD"/>
    <w:rsid w:val="605136F1"/>
    <w:rsid w:val="60566219"/>
    <w:rsid w:val="60641CD3"/>
    <w:rsid w:val="60664487"/>
    <w:rsid w:val="60695F4D"/>
    <w:rsid w:val="60697CFF"/>
    <w:rsid w:val="606A3A73"/>
    <w:rsid w:val="607641C6"/>
    <w:rsid w:val="6081108F"/>
    <w:rsid w:val="608D6D84"/>
    <w:rsid w:val="60911000"/>
    <w:rsid w:val="6098413C"/>
    <w:rsid w:val="60997EB4"/>
    <w:rsid w:val="609A4358"/>
    <w:rsid w:val="60A800F7"/>
    <w:rsid w:val="60AA0313"/>
    <w:rsid w:val="60AC7BE7"/>
    <w:rsid w:val="60BA0556"/>
    <w:rsid w:val="60BD3BA3"/>
    <w:rsid w:val="60D66C58"/>
    <w:rsid w:val="60E47381"/>
    <w:rsid w:val="60EC4488"/>
    <w:rsid w:val="60EF5D26"/>
    <w:rsid w:val="60F34B13"/>
    <w:rsid w:val="60F656FF"/>
    <w:rsid w:val="61030562"/>
    <w:rsid w:val="61053D09"/>
    <w:rsid w:val="61120392"/>
    <w:rsid w:val="61175E6E"/>
    <w:rsid w:val="612C0D28"/>
    <w:rsid w:val="612D34C7"/>
    <w:rsid w:val="613227E3"/>
    <w:rsid w:val="613C5DD2"/>
    <w:rsid w:val="6142679E"/>
    <w:rsid w:val="61497B2C"/>
    <w:rsid w:val="615A1BEB"/>
    <w:rsid w:val="615C785F"/>
    <w:rsid w:val="61614E76"/>
    <w:rsid w:val="61642270"/>
    <w:rsid w:val="61643174"/>
    <w:rsid w:val="61783F6D"/>
    <w:rsid w:val="617F70AA"/>
    <w:rsid w:val="618172C6"/>
    <w:rsid w:val="618E3791"/>
    <w:rsid w:val="618F19E3"/>
    <w:rsid w:val="619146C6"/>
    <w:rsid w:val="61982570"/>
    <w:rsid w:val="619863BE"/>
    <w:rsid w:val="61AE5BE1"/>
    <w:rsid w:val="61AF3E33"/>
    <w:rsid w:val="61B551C2"/>
    <w:rsid w:val="61B56055"/>
    <w:rsid w:val="61C40F61"/>
    <w:rsid w:val="61CD3451"/>
    <w:rsid w:val="61D05B58"/>
    <w:rsid w:val="61EB2991"/>
    <w:rsid w:val="61EB473F"/>
    <w:rsid w:val="61EF51BF"/>
    <w:rsid w:val="61F44573"/>
    <w:rsid w:val="61FF7A18"/>
    <w:rsid w:val="620F54F9"/>
    <w:rsid w:val="621E68C3"/>
    <w:rsid w:val="62261C1B"/>
    <w:rsid w:val="62285994"/>
    <w:rsid w:val="622A170C"/>
    <w:rsid w:val="62311B55"/>
    <w:rsid w:val="62466788"/>
    <w:rsid w:val="62467BC8"/>
    <w:rsid w:val="62471074"/>
    <w:rsid w:val="624D3D9E"/>
    <w:rsid w:val="625BA384"/>
    <w:rsid w:val="62652744"/>
    <w:rsid w:val="62678645"/>
    <w:rsid w:val="626A7047"/>
    <w:rsid w:val="6271733B"/>
    <w:rsid w:val="627273E6"/>
    <w:rsid w:val="62764951"/>
    <w:rsid w:val="627C0DB7"/>
    <w:rsid w:val="62856942"/>
    <w:rsid w:val="628726BA"/>
    <w:rsid w:val="62922E0D"/>
    <w:rsid w:val="62940F02"/>
    <w:rsid w:val="629833BF"/>
    <w:rsid w:val="62A25746"/>
    <w:rsid w:val="62A4530D"/>
    <w:rsid w:val="62AC3ECF"/>
    <w:rsid w:val="62B249B4"/>
    <w:rsid w:val="62C751AC"/>
    <w:rsid w:val="62CD5E9B"/>
    <w:rsid w:val="62D30729"/>
    <w:rsid w:val="62D701C0"/>
    <w:rsid w:val="62DB769D"/>
    <w:rsid w:val="62E505AE"/>
    <w:rsid w:val="62F31F96"/>
    <w:rsid w:val="62F32190"/>
    <w:rsid w:val="630E6937"/>
    <w:rsid w:val="63155F18"/>
    <w:rsid w:val="63161C90"/>
    <w:rsid w:val="632B74E9"/>
    <w:rsid w:val="632C3261"/>
    <w:rsid w:val="633368CB"/>
    <w:rsid w:val="63413A85"/>
    <w:rsid w:val="634F5BD8"/>
    <w:rsid w:val="63500CFE"/>
    <w:rsid w:val="63520F1A"/>
    <w:rsid w:val="635D78BF"/>
    <w:rsid w:val="63676048"/>
    <w:rsid w:val="636B5B38"/>
    <w:rsid w:val="636F74B8"/>
    <w:rsid w:val="63716EC6"/>
    <w:rsid w:val="637D0D01"/>
    <w:rsid w:val="637E109C"/>
    <w:rsid w:val="639130C5"/>
    <w:rsid w:val="639257BA"/>
    <w:rsid w:val="63936E3D"/>
    <w:rsid w:val="63971320"/>
    <w:rsid w:val="639808F7"/>
    <w:rsid w:val="63B03E93"/>
    <w:rsid w:val="63B7BAFE"/>
    <w:rsid w:val="63BE940E"/>
    <w:rsid w:val="63C118F1"/>
    <w:rsid w:val="63D80CF3"/>
    <w:rsid w:val="63D93361"/>
    <w:rsid w:val="63E47698"/>
    <w:rsid w:val="63F7ED2C"/>
    <w:rsid w:val="63F9378B"/>
    <w:rsid w:val="64030466"/>
    <w:rsid w:val="640B731B"/>
    <w:rsid w:val="64141E2A"/>
    <w:rsid w:val="641C32D6"/>
    <w:rsid w:val="641F1AFF"/>
    <w:rsid w:val="64206FFA"/>
    <w:rsid w:val="6423343A"/>
    <w:rsid w:val="64243EAB"/>
    <w:rsid w:val="64267CB1"/>
    <w:rsid w:val="64281C7B"/>
    <w:rsid w:val="64326656"/>
    <w:rsid w:val="64356146"/>
    <w:rsid w:val="643862D7"/>
    <w:rsid w:val="64475C36"/>
    <w:rsid w:val="64553CAC"/>
    <w:rsid w:val="645962D8"/>
    <w:rsid w:val="645E569D"/>
    <w:rsid w:val="64607054"/>
    <w:rsid w:val="64610CE9"/>
    <w:rsid w:val="646D3B32"/>
    <w:rsid w:val="647F14B7"/>
    <w:rsid w:val="64801AB7"/>
    <w:rsid w:val="64805613"/>
    <w:rsid w:val="6486074F"/>
    <w:rsid w:val="648C045C"/>
    <w:rsid w:val="649338E6"/>
    <w:rsid w:val="649410BE"/>
    <w:rsid w:val="649B0CC7"/>
    <w:rsid w:val="649C61C5"/>
    <w:rsid w:val="64A86918"/>
    <w:rsid w:val="64B85A8B"/>
    <w:rsid w:val="64BF3053"/>
    <w:rsid w:val="64D15E6F"/>
    <w:rsid w:val="64D9665F"/>
    <w:rsid w:val="64DD2A65"/>
    <w:rsid w:val="64DE3764"/>
    <w:rsid w:val="64FE7F1B"/>
    <w:rsid w:val="650A483D"/>
    <w:rsid w:val="65143FAD"/>
    <w:rsid w:val="651641C9"/>
    <w:rsid w:val="651F4D8E"/>
    <w:rsid w:val="652E1513"/>
    <w:rsid w:val="6545060B"/>
    <w:rsid w:val="654900FB"/>
    <w:rsid w:val="654B227B"/>
    <w:rsid w:val="654C7BEB"/>
    <w:rsid w:val="65515201"/>
    <w:rsid w:val="65567E1B"/>
    <w:rsid w:val="655D3F95"/>
    <w:rsid w:val="656942F9"/>
    <w:rsid w:val="65764C68"/>
    <w:rsid w:val="657C502B"/>
    <w:rsid w:val="657FA36C"/>
    <w:rsid w:val="65863920"/>
    <w:rsid w:val="658B0713"/>
    <w:rsid w:val="658F66C3"/>
    <w:rsid w:val="65907AD8"/>
    <w:rsid w:val="65A73073"/>
    <w:rsid w:val="65A74E21"/>
    <w:rsid w:val="65A75574"/>
    <w:rsid w:val="65B337C6"/>
    <w:rsid w:val="65BB1AFE"/>
    <w:rsid w:val="65BD2897"/>
    <w:rsid w:val="65DA51F7"/>
    <w:rsid w:val="65E07B22"/>
    <w:rsid w:val="65ED47D1"/>
    <w:rsid w:val="65F12C91"/>
    <w:rsid w:val="65FF9DC4"/>
    <w:rsid w:val="660109D5"/>
    <w:rsid w:val="66026D86"/>
    <w:rsid w:val="66091638"/>
    <w:rsid w:val="660B1854"/>
    <w:rsid w:val="660B715E"/>
    <w:rsid w:val="6612628E"/>
    <w:rsid w:val="66134265"/>
    <w:rsid w:val="66293A88"/>
    <w:rsid w:val="662F72F1"/>
    <w:rsid w:val="66344907"/>
    <w:rsid w:val="663A092F"/>
    <w:rsid w:val="665B6338"/>
    <w:rsid w:val="665C5C0C"/>
    <w:rsid w:val="66680A54"/>
    <w:rsid w:val="668D2028"/>
    <w:rsid w:val="668E41E0"/>
    <w:rsid w:val="669C5E64"/>
    <w:rsid w:val="669F73A8"/>
    <w:rsid w:val="66A001EE"/>
    <w:rsid w:val="66A36A3E"/>
    <w:rsid w:val="66A63D1B"/>
    <w:rsid w:val="66AB0941"/>
    <w:rsid w:val="66B7E23A"/>
    <w:rsid w:val="66BE68C6"/>
    <w:rsid w:val="66C051B1"/>
    <w:rsid w:val="66C11F13"/>
    <w:rsid w:val="66C537B1"/>
    <w:rsid w:val="66CB4B3F"/>
    <w:rsid w:val="66D41C46"/>
    <w:rsid w:val="66D93700"/>
    <w:rsid w:val="66EA092B"/>
    <w:rsid w:val="66EA76BB"/>
    <w:rsid w:val="66EC3434"/>
    <w:rsid w:val="66F10A4A"/>
    <w:rsid w:val="66F44096"/>
    <w:rsid w:val="66F4ECCA"/>
    <w:rsid w:val="66F61BBC"/>
    <w:rsid w:val="66FD73EF"/>
    <w:rsid w:val="670029FC"/>
    <w:rsid w:val="67061468"/>
    <w:rsid w:val="67095D94"/>
    <w:rsid w:val="67217000"/>
    <w:rsid w:val="67281F92"/>
    <w:rsid w:val="67362901"/>
    <w:rsid w:val="67380427"/>
    <w:rsid w:val="67386679"/>
    <w:rsid w:val="673B50C0"/>
    <w:rsid w:val="67470483"/>
    <w:rsid w:val="674F5770"/>
    <w:rsid w:val="67513297"/>
    <w:rsid w:val="67580717"/>
    <w:rsid w:val="67694A84"/>
    <w:rsid w:val="676A25AA"/>
    <w:rsid w:val="67723114"/>
    <w:rsid w:val="678B7CC5"/>
    <w:rsid w:val="678E0047"/>
    <w:rsid w:val="67A26C35"/>
    <w:rsid w:val="67A41555"/>
    <w:rsid w:val="67C1041C"/>
    <w:rsid w:val="67CA011C"/>
    <w:rsid w:val="67E3F43C"/>
    <w:rsid w:val="67FF4ED8"/>
    <w:rsid w:val="67FF98FD"/>
    <w:rsid w:val="6805233D"/>
    <w:rsid w:val="68114FF5"/>
    <w:rsid w:val="68142C42"/>
    <w:rsid w:val="68144385"/>
    <w:rsid w:val="68172908"/>
    <w:rsid w:val="68213DB8"/>
    <w:rsid w:val="683E7CBF"/>
    <w:rsid w:val="68437083"/>
    <w:rsid w:val="68460921"/>
    <w:rsid w:val="684B418A"/>
    <w:rsid w:val="684D7F02"/>
    <w:rsid w:val="6855610D"/>
    <w:rsid w:val="685E210F"/>
    <w:rsid w:val="6863405E"/>
    <w:rsid w:val="68727968"/>
    <w:rsid w:val="68790CF7"/>
    <w:rsid w:val="68792AA5"/>
    <w:rsid w:val="68866F70"/>
    <w:rsid w:val="68876093"/>
    <w:rsid w:val="68906041"/>
    <w:rsid w:val="68936625"/>
    <w:rsid w:val="68986ABC"/>
    <w:rsid w:val="68993147"/>
    <w:rsid w:val="689B6EBF"/>
    <w:rsid w:val="68A5389A"/>
    <w:rsid w:val="68B21726"/>
    <w:rsid w:val="68BB30BE"/>
    <w:rsid w:val="68BE2BAE"/>
    <w:rsid w:val="68C56033"/>
    <w:rsid w:val="68CA77A4"/>
    <w:rsid w:val="68CD0CA0"/>
    <w:rsid w:val="68CF0917"/>
    <w:rsid w:val="68D723E3"/>
    <w:rsid w:val="68DC4DE2"/>
    <w:rsid w:val="68EA5954"/>
    <w:rsid w:val="68F14D31"/>
    <w:rsid w:val="68F65167"/>
    <w:rsid w:val="68FC5484"/>
    <w:rsid w:val="68FD817F"/>
    <w:rsid w:val="69004F52"/>
    <w:rsid w:val="690E58E3"/>
    <w:rsid w:val="6910780F"/>
    <w:rsid w:val="6919251C"/>
    <w:rsid w:val="691A1063"/>
    <w:rsid w:val="691A3CCE"/>
    <w:rsid w:val="691B1A58"/>
    <w:rsid w:val="69235354"/>
    <w:rsid w:val="692A1FF1"/>
    <w:rsid w:val="69470DF5"/>
    <w:rsid w:val="695152D1"/>
    <w:rsid w:val="6958090C"/>
    <w:rsid w:val="695B21AB"/>
    <w:rsid w:val="6965626E"/>
    <w:rsid w:val="69667EC4"/>
    <w:rsid w:val="69713C44"/>
    <w:rsid w:val="6986EA0C"/>
    <w:rsid w:val="698C2294"/>
    <w:rsid w:val="698E5BE1"/>
    <w:rsid w:val="699F653B"/>
    <w:rsid w:val="69A078C8"/>
    <w:rsid w:val="69A51678"/>
    <w:rsid w:val="69B31FE7"/>
    <w:rsid w:val="69DD222D"/>
    <w:rsid w:val="69FA4216"/>
    <w:rsid w:val="69FC6AC2"/>
    <w:rsid w:val="6A0D5B9B"/>
    <w:rsid w:val="6A222CC8"/>
    <w:rsid w:val="6A294057"/>
    <w:rsid w:val="6A303637"/>
    <w:rsid w:val="6A3D06FE"/>
    <w:rsid w:val="6A5A4F50"/>
    <w:rsid w:val="6A5C2B8F"/>
    <w:rsid w:val="6A617C95"/>
    <w:rsid w:val="6A620512"/>
    <w:rsid w:val="6A75729C"/>
    <w:rsid w:val="6A771387"/>
    <w:rsid w:val="6A773014"/>
    <w:rsid w:val="6A7E59E9"/>
    <w:rsid w:val="6A843983"/>
    <w:rsid w:val="6A8A71EB"/>
    <w:rsid w:val="6A8E65B0"/>
    <w:rsid w:val="6A903C04"/>
    <w:rsid w:val="6A9D53A6"/>
    <w:rsid w:val="6AAF6C52"/>
    <w:rsid w:val="6AC124E1"/>
    <w:rsid w:val="6ACB609A"/>
    <w:rsid w:val="6AE10DD5"/>
    <w:rsid w:val="6AE87ED9"/>
    <w:rsid w:val="6AEA7C8A"/>
    <w:rsid w:val="6AF64882"/>
    <w:rsid w:val="6AFB1985"/>
    <w:rsid w:val="6AFE1AEC"/>
    <w:rsid w:val="6B0845B4"/>
    <w:rsid w:val="6B0A20DA"/>
    <w:rsid w:val="6B0B19AE"/>
    <w:rsid w:val="6B146AB5"/>
    <w:rsid w:val="6B23319C"/>
    <w:rsid w:val="6B292E9C"/>
    <w:rsid w:val="6B297183"/>
    <w:rsid w:val="6B2B6E09"/>
    <w:rsid w:val="6B2D1F37"/>
    <w:rsid w:val="6B362ECF"/>
    <w:rsid w:val="6B3709F5"/>
    <w:rsid w:val="6B3B488D"/>
    <w:rsid w:val="6B5307C5"/>
    <w:rsid w:val="6B543355"/>
    <w:rsid w:val="6B560E7C"/>
    <w:rsid w:val="6B6537B4"/>
    <w:rsid w:val="6B6F50E4"/>
    <w:rsid w:val="6B7E88ED"/>
    <w:rsid w:val="6B880BEA"/>
    <w:rsid w:val="6B9F25B8"/>
    <w:rsid w:val="6BA0659B"/>
    <w:rsid w:val="6BA22313"/>
    <w:rsid w:val="6BA73DCD"/>
    <w:rsid w:val="6BA8544F"/>
    <w:rsid w:val="6BB7E2E0"/>
    <w:rsid w:val="6BBF1117"/>
    <w:rsid w:val="6BBF2EC5"/>
    <w:rsid w:val="6BC427CD"/>
    <w:rsid w:val="6BD6020E"/>
    <w:rsid w:val="6BD9470B"/>
    <w:rsid w:val="6BDC1E93"/>
    <w:rsid w:val="6BFB6C5B"/>
    <w:rsid w:val="6BFC1B57"/>
    <w:rsid w:val="6C0A6040"/>
    <w:rsid w:val="6C0D4ACE"/>
    <w:rsid w:val="6C2076DB"/>
    <w:rsid w:val="6C292A34"/>
    <w:rsid w:val="6C3FAB14"/>
    <w:rsid w:val="6C4360AC"/>
    <w:rsid w:val="6C4A2405"/>
    <w:rsid w:val="6C5C4BB7"/>
    <w:rsid w:val="6C621AA2"/>
    <w:rsid w:val="6C746900"/>
    <w:rsid w:val="6C8934D3"/>
    <w:rsid w:val="6C8C6B1F"/>
    <w:rsid w:val="6C8E2897"/>
    <w:rsid w:val="6C942417"/>
    <w:rsid w:val="6C9D62DF"/>
    <w:rsid w:val="6CA01EA5"/>
    <w:rsid w:val="6CAB5AAE"/>
    <w:rsid w:val="6CAE6FC4"/>
    <w:rsid w:val="6CB06CB1"/>
    <w:rsid w:val="6CB247D7"/>
    <w:rsid w:val="6CB71DEE"/>
    <w:rsid w:val="6CC62031"/>
    <w:rsid w:val="6CCD33BF"/>
    <w:rsid w:val="6CD21986"/>
    <w:rsid w:val="6CD72490"/>
    <w:rsid w:val="6CD96208"/>
    <w:rsid w:val="6CDA788A"/>
    <w:rsid w:val="6CE8644B"/>
    <w:rsid w:val="6CEB7CE9"/>
    <w:rsid w:val="6CED1CB3"/>
    <w:rsid w:val="6CF05300"/>
    <w:rsid w:val="6D013069"/>
    <w:rsid w:val="6D053824"/>
    <w:rsid w:val="6D0770B7"/>
    <w:rsid w:val="6D0A63C2"/>
    <w:rsid w:val="6D140FEE"/>
    <w:rsid w:val="6D1679A1"/>
    <w:rsid w:val="6D1D7C29"/>
    <w:rsid w:val="6D1F4781"/>
    <w:rsid w:val="6D226EE2"/>
    <w:rsid w:val="6D234BF1"/>
    <w:rsid w:val="6D247BF4"/>
    <w:rsid w:val="6D2A6A64"/>
    <w:rsid w:val="6D2D0302"/>
    <w:rsid w:val="6D31DCA6"/>
    <w:rsid w:val="6D321304"/>
    <w:rsid w:val="6D417909"/>
    <w:rsid w:val="6D464F20"/>
    <w:rsid w:val="6D535C01"/>
    <w:rsid w:val="6D57337A"/>
    <w:rsid w:val="6D5769BA"/>
    <w:rsid w:val="6D5E04BB"/>
    <w:rsid w:val="6D723F67"/>
    <w:rsid w:val="6D766A8D"/>
    <w:rsid w:val="6D8E6FF3"/>
    <w:rsid w:val="6D985DE1"/>
    <w:rsid w:val="6D9D07BB"/>
    <w:rsid w:val="6DAEC936"/>
    <w:rsid w:val="6DB427D1"/>
    <w:rsid w:val="6DB96BBA"/>
    <w:rsid w:val="6DBE53FE"/>
    <w:rsid w:val="6DBF47B2"/>
    <w:rsid w:val="6DC71477"/>
    <w:rsid w:val="6DC72505"/>
    <w:rsid w:val="6DD137A9"/>
    <w:rsid w:val="6DD644F6"/>
    <w:rsid w:val="6DEBC215"/>
    <w:rsid w:val="6DED2A65"/>
    <w:rsid w:val="6DEE5CE3"/>
    <w:rsid w:val="6DF1621C"/>
    <w:rsid w:val="6DF66475"/>
    <w:rsid w:val="6DF7A619"/>
    <w:rsid w:val="6DFBB71B"/>
    <w:rsid w:val="6DFE5970"/>
    <w:rsid w:val="6E0146AF"/>
    <w:rsid w:val="6E0C7F17"/>
    <w:rsid w:val="6E182D60"/>
    <w:rsid w:val="6E184B0E"/>
    <w:rsid w:val="6E241705"/>
    <w:rsid w:val="6E290AC9"/>
    <w:rsid w:val="6E2A4C3D"/>
    <w:rsid w:val="6E2F3C06"/>
    <w:rsid w:val="6E3336CF"/>
    <w:rsid w:val="6E4027F5"/>
    <w:rsid w:val="6E4B4EE4"/>
    <w:rsid w:val="6E4C47B8"/>
    <w:rsid w:val="6E5518BE"/>
    <w:rsid w:val="6E571528"/>
    <w:rsid w:val="6E5C0465"/>
    <w:rsid w:val="6E805A0E"/>
    <w:rsid w:val="6E843F52"/>
    <w:rsid w:val="6E95615F"/>
    <w:rsid w:val="6E9A24DD"/>
    <w:rsid w:val="6E9B274D"/>
    <w:rsid w:val="6EA2262A"/>
    <w:rsid w:val="6EA42846"/>
    <w:rsid w:val="6EA6036C"/>
    <w:rsid w:val="6EAE52B4"/>
    <w:rsid w:val="6EB34837"/>
    <w:rsid w:val="6EBC7B8F"/>
    <w:rsid w:val="6EBE56B6"/>
    <w:rsid w:val="6EC425A0"/>
    <w:rsid w:val="6ECB392F"/>
    <w:rsid w:val="6ECD4683"/>
    <w:rsid w:val="6ED8429D"/>
    <w:rsid w:val="6EDF8B49"/>
    <w:rsid w:val="6EE011B1"/>
    <w:rsid w:val="6EE9778A"/>
    <w:rsid w:val="6EEA75A4"/>
    <w:rsid w:val="6EFC7F8C"/>
    <w:rsid w:val="6EFF4036"/>
    <w:rsid w:val="6EFF5CCE"/>
    <w:rsid w:val="6EFFB21C"/>
    <w:rsid w:val="6F070DFD"/>
    <w:rsid w:val="6F085ACB"/>
    <w:rsid w:val="6F0D2199"/>
    <w:rsid w:val="6F1E43A6"/>
    <w:rsid w:val="6F1E7F02"/>
    <w:rsid w:val="6F241291"/>
    <w:rsid w:val="6F2D45E9"/>
    <w:rsid w:val="6F2E3EBD"/>
    <w:rsid w:val="6F347726"/>
    <w:rsid w:val="6F35CE87"/>
    <w:rsid w:val="6F370FC4"/>
    <w:rsid w:val="6F3E2CFE"/>
    <w:rsid w:val="6F4B8C15"/>
    <w:rsid w:val="6F4F5740"/>
    <w:rsid w:val="6F597AA1"/>
    <w:rsid w:val="6F5A5D94"/>
    <w:rsid w:val="6F64699B"/>
    <w:rsid w:val="6F6A5DDE"/>
    <w:rsid w:val="6F6C3363"/>
    <w:rsid w:val="6F738D3F"/>
    <w:rsid w:val="6F850103"/>
    <w:rsid w:val="6F8A0D93"/>
    <w:rsid w:val="6F8B3406"/>
    <w:rsid w:val="6F912DCA"/>
    <w:rsid w:val="6F9C52CB"/>
    <w:rsid w:val="6F9F7BFE"/>
    <w:rsid w:val="6FA0300D"/>
    <w:rsid w:val="6FA32AFD"/>
    <w:rsid w:val="6FA42E90"/>
    <w:rsid w:val="6FAC19B2"/>
    <w:rsid w:val="6FAF3250"/>
    <w:rsid w:val="6FAFE9CC"/>
    <w:rsid w:val="6FB3C9A7"/>
    <w:rsid w:val="6FB97C2B"/>
    <w:rsid w:val="6FBB2814"/>
    <w:rsid w:val="6FBB4203"/>
    <w:rsid w:val="6FBBE756"/>
    <w:rsid w:val="6FBF4864"/>
    <w:rsid w:val="6FBFAA6A"/>
    <w:rsid w:val="6FC76A12"/>
    <w:rsid w:val="6FCBF9CA"/>
    <w:rsid w:val="6FCE2AEF"/>
    <w:rsid w:val="6FD79E4B"/>
    <w:rsid w:val="6FDB02AB"/>
    <w:rsid w:val="6FDE6714"/>
    <w:rsid w:val="6FDE87ED"/>
    <w:rsid w:val="6FDE8880"/>
    <w:rsid w:val="6FDFA1C0"/>
    <w:rsid w:val="6FDFCCB1"/>
    <w:rsid w:val="6FE74798"/>
    <w:rsid w:val="6FEE4ACD"/>
    <w:rsid w:val="6FF43359"/>
    <w:rsid w:val="6FF7137A"/>
    <w:rsid w:val="6FFBA2A1"/>
    <w:rsid w:val="6FFCF831"/>
    <w:rsid w:val="6FFE06DC"/>
    <w:rsid w:val="6FFE59A8"/>
    <w:rsid w:val="6FFF2E5A"/>
    <w:rsid w:val="6FFF61EB"/>
    <w:rsid w:val="6FFF93D2"/>
    <w:rsid w:val="70017C18"/>
    <w:rsid w:val="700E45FE"/>
    <w:rsid w:val="701557A9"/>
    <w:rsid w:val="70187047"/>
    <w:rsid w:val="701B2694"/>
    <w:rsid w:val="701E26CF"/>
    <w:rsid w:val="702932C7"/>
    <w:rsid w:val="70313C65"/>
    <w:rsid w:val="70384FF4"/>
    <w:rsid w:val="704B11CB"/>
    <w:rsid w:val="705D032F"/>
    <w:rsid w:val="705D4A5A"/>
    <w:rsid w:val="7060279C"/>
    <w:rsid w:val="70651B61"/>
    <w:rsid w:val="70666005"/>
    <w:rsid w:val="70934920"/>
    <w:rsid w:val="70980188"/>
    <w:rsid w:val="70BC3E77"/>
    <w:rsid w:val="70C525FF"/>
    <w:rsid w:val="70D005A5"/>
    <w:rsid w:val="70DC0075"/>
    <w:rsid w:val="70E60EF4"/>
    <w:rsid w:val="70E62CA2"/>
    <w:rsid w:val="70ED2282"/>
    <w:rsid w:val="70F62BE1"/>
    <w:rsid w:val="70FE89A6"/>
    <w:rsid w:val="71015D2D"/>
    <w:rsid w:val="71025602"/>
    <w:rsid w:val="710E5D1A"/>
    <w:rsid w:val="7113780F"/>
    <w:rsid w:val="71176807"/>
    <w:rsid w:val="711772FF"/>
    <w:rsid w:val="71370EE9"/>
    <w:rsid w:val="713779A1"/>
    <w:rsid w:val="713C0B14"/>
    <w:rsid w:val="713C6D66"/>
    <w:rsid w:val="713D06B9"/>
    <w:rsid w:val="713E1D99"/>
    <w:rsid w:val="714944B3"/>
    <w:rsid w:val="71495B9C"/>
    <w:rsid w:val="71535E5D"/>
    <w:rsid w:val="715615D1"/>
    <w:rsid w:val="71626982"/>
    <w:rsid w:val="716F4E82"/>
    <w:rsid w:val="71791D68"/>
    <w:rsid w:val="717B6A90"/>
    <w:rsid w:val="717E737E"/>
    <w:rsid w:val="71836742"/>
    <w:rsid w:val="71881FAB"/>
    <w:rsid w:val="7189187F"/>
    <w:rsid w:val="718E152E"/>
    <w:rsid w:val="718F158B"/>
    <w:rsid w:val="71902C0D"/>
    <w:rsid w:val="71A566B9"/>
    <w:rsid w:val="71ADBE7E"/>
    <w:rsid w:val="71BC7EA6"/>
    <w:rsid w:val="71BDE798"/>
    <w:rsid w:val="71C52A01"/>
    <w:rsid w:val="71C56D5B"/>
    <w:rsid w:val="71CA25C3"/>
    <w:rsid w:val="71CD5C10"/>
    <w:rsid w:val="71D13952"/>
    <w:rsid w:val="71D27ECE"/>
    <w:rsid w:val="71D40D4C"/>
    <w:rsid w:val="71E05943"/>
    <w:rsid w:val="71E7F47A"/>
    <w:rsid w:val="71E83BF1"/>
    <w:rsid w:val="71ED0060"/>
    <w:rsid w:val="71F25676"/>
    <w:rsid w:val="71F413EE"/>
    <w:rsid w:val="71F72C8D"/>
    <w:rsid w:val="71FF0FA3"/>
    <w:rsid w:val="72086C48"/>
    <w:rsid w:val="72117BE8"/>
    <w:rsid w:val="72175F68"/>
    <w:rsid w:val="721D6B97"/>
    <w:rsid w:val="721E646B"/>
    <w:rsid w:val="722021E3"/>
    <w:rsid w:val="722738F3"/>
    <w:rsid w:val="72296778"/>
    <w:rsid w:val="723475DE"/>
    <w:rsid w:val="724800A1"/>
    <w:rsid w:val="724C2FD8"/>
    <w:rsid w:val="724E2F8E"/>
    <w:rsid w:val="725105EF"/>
    <w:rsid w:val="725620A9"/>
    <w:rsid w:val="725B146D"/>
    <w:rsid w:val="726227FC"/>
    <w:rsid w:val="72646574"/>
    <w:rsid w:val="726A16B0"/>
    <w:rsid w:val="727E6F0A"/>
    <w:rsid w:val="727F03BC"/>
    <w:rsid w:val="72803F7F"/>
    <w:rsid w:val="72834520"/>
    <w:rsid w:val="729606F7"/>
    <w:rsid w:val="729624A5"/>
    <w:rsid w:val="72A13D86"/>
    <w:rsid w:val="72A5093A"/>
    <w:rsid w:val="72AC3A77"/>
    <w:rsid w:val="72B33057"/>
    <w:rsid w:val="72BB015E"/>
    <w:rsid w:val="72C74D55"/>
    <w:rsid w:val="72C75EBB"/>
    <w:rsid w:val="72C83284"/>
    <w:rsid w:val="72C84365"/>
    <w:rsid w:val="72D54D7C"/>
    <w:rsid w:val="72D80D10"/>
    <w:rsid w:val="72E9ACF4"/>
    <w:rsid w:val="72F13B80"/>
    <w:rsid w:val="72F5541E"/>
    <w:rsid w:val="72F86CBC"/>
    <w:rsid w:val="731E2E6D"/>
    <w:rsid w:val="731E7FAE"/>
    <w:rsid w:val="731F249B"/>
    <w:rsid w:val="732301DD"/>
    <w:rsid w:val="733D0B73"/>
    <w:rsid w:val="734939BC"/>
    <w:rsid w:val="734C0DB6"/>
    <w:rsid w:val="735760D9"/>
    <w:rsid w:val="73577500"/>
    <w:rsid w:val="73683E42"/>
    <w:rsid w:val="736B3932"/>
    <w:rsid w:val="736E5226"/>
    <w:rsid w:val="73752023"/>
    <w:rsid w:val="737652F3"/>
    <w:rsid w:val="737E8ED2"/>
    <w:rsid w:val="73832A2A"/>
    <w:rsid w:val="73927111"/>
    <w:rsid w:val="7399224D"/>
    <w:rsid w:val="739997CC"/>
    <w:rsid w:val="73A12E13"/>
    <w:rsid w:val="73A40BF2"/>
    <w:rsid w:val="73AD3F4B"/>
    <w:rsid w:val="73BE8A55"/>
    <w:rsid w:val="73C47F1D"/>
    <w:rsid w:val="73CA760A"/>
    <w:rsid w:val="73CC612C"/>
    <w:rsid w:val="73DB0AB8"/>
    <w:rsid w:val="73EB6ED7"/>
    <w:rsid w:val="73F662A4"/>
    <w:rsid w:val="73FE0302"/>
    <w:rsid w:val="73FF64A5"/>
    <w:rsid w:val="7414108F"/>
    <w:rsid w:val="742C1313"/>
    <w:rsid w:val="742D6E39"/>
    <w:rsid w:val="744C5512"/>
    <w:rsid w:val="74510D7A"/>
    <w:rsid w:val="74654825"/>
    <w:rsid w:val="746622AE"/>
    <w:rsid w:val="746A5998"/>
    <w:rsid w:val="746D368D"/>
    <w:rsid w:val="74732A9E"/>
    <w:rsid w:val="74746816"/>
    <w:rsid w:val="74786307"/>
    <w:rsid w:val="74792624"/>
    <w:rsid w:val="747E61FB"/>
    <w:rsid w:val="74850A24"/>
    <w:rsid w:val="748536C3"/>
    <w:rsid w:val="7496678D"/>
    <w:rsid w:val="749A6A33"/>
    <w:rsid w:val="749E5641"/>
    <w:rsid w:val="74B3733F"/>
    <w:rsid w:val="74B51309"/>
    <w:rsid w:val="74B83297"/>
    <w:rsid w:val="74C94DB4"/>
    <w:rsid w:val="74CA0A50"/>
    <w:rsid w:val="74CE23CA"/>
    <w:rsid w:val="74D379E1"/>
    <w:rsid w:val="74E83F39"/>
    <w:rsid w:val="75091655"/>
    <w:rsid w:val="751029E3"/>
    <w:rsid w:val="75153B55"/>
    <w:rsid w:val="7534733C"/>
    <w:rsid w:val="753530F5"/>
    <w:rsid w:val="75371D1E"/>
    <w:rsid w:val="753C5F35"/>
    <w:rsid w:val="753D12FE"/>
    <w:rsid w:val="753F3B6D"/>
    <w:rsid w:val="75641722"/>
    <w:rsid w:val="75736ACE"/>
    <w:rsid w:val="75741257"/>
    <w:rsid w:val="75750A98"/>
    <w:rsid w:val="75767ACF"/>
    <w:rsid w:val="7576F12E"/>
    <w:rsid w:val="757D16FB"/>
    <w:rsid w:val="75846F2D"/>
    <w:rsid w:val="75894543"/>
    <w:rsid w:val="758B49C4"/>
    <w:rsid w:val="7590142E"/>
    <w:rsid w:val="75903794"/>
    <w:rsid w:val="75932CCC"/>
    <w:rsid w:val="759929D8"/>
    <w:rsid w:val="759C7DD3"/>
    <w:rsid w:val="75AA4844"/>
    <w:rsid w:val="75AB270C"/>
    <w:rsid w:val="75AB3F56"/>
    <w:rsid w:val="75B72A34"/>
    <w:rsid w:val="75BA46FD"/>
    <w:rsid w:val="75D1631E"/>
    <w:rsid w:val="75D91027"/>
    <w:rsid w:val="75DE663D"/>
    <w:rsid w:val="75EA8B89"/>
    <w:rsid w:val="75EF43A6"/>
    <w:rsid w:val="75FA2D4B"/>
    <w:rsid w:val="76032A67"/>
    <w:rsid w:val="76085468"/>
    <w:rsid w:val="761008DD"/>
    <w:rsid w:val="761C7166"/>
    <w:rsid w:val="762D05D3"/>
    <w:rsid w:val="762F11BB"/>
    <w:rsid w:val="76312C11"/>
    <w:rsid w:val="763E70DC"/>
    <w:rsid w:val="76516E0F"/>
    <w:rsid w:val="765608C9"/>
    <w:rsid w:val="765B3266"/>
    <w:rsid w:val="765E152C"/>
    <w:rsid w:val="7662726E"/>
    <w:rsid w:val="766D176F"/>
    <w:rsid w:val="766F3739"/>
    <w:rsid w:val="766F54E7"/>
    <w:rsid w:val="76766876"/>
    <w:rsid w:val="767B3E8C"/>
    <w:rsid w:val="767E3D26"/>
    <w:rsid w:val="76876CD5"/>
    <w:rsid w:val="768A0573"/>
    <w:rsid w:val="768F7938"/>
    <w:rsid w:val="769431A0"/>
    <w:rsid w:val="76967512"/>
    <w:rsid w:val="769D02A6"/>
    <w:rsid w:val="76A33700"/>
    <w:rsid w:val="76AF3B36"/>
    <w:rsid w:val="76BB697E"/>
    <w:rsid w:val="76BD26F7"/>
    <w:rsid w:val="76BE2F82"/>
    <w:rsid w:val="76BEDC27"/>
    <w:rsid w:val="76C03F95"/>
    <w:rsid w:val="76C53359"/>
    <w:rsid w:val="76D5F4C1"/>
    <w:rsid w:val="76DD06A3"/>
    <w:rsid w:val="76E14113"/>
    <w:rsid w:val="76E82FD5"/>
    <w:rsid w:val="76EB7BDE"/>
    <w:rsid w:val="76ECDCB8"/>
    <w:rsid w:val="76FB16CC"/>
    <w:rsid w:val="76FE0619"/>
    <w:rsid w:val="76FF4526"/>
    <w:rsid w:val="76FF7C98"/>
    <w:rsid w:val="770519A8"/>
    <w:rsid w:val="7707CD8C"/>
    <w:rsid w:val="77194C99"/>
    <w:rsid w:val="771B5D78"/>
    <w:rsid w:val="771C566F"/>
    <w:rsid w:val="772269FE"/>
    <w:rsid w:val="77297D8C"/>
    <w:rsid w:val="772ECBE3"/>
    <w:rsid w:val="77316C41"/>
    <w:rsid w:val="773902A2"/>
    <w:rsid w:val="773A3D47"/>
    <w:rsid w:val="773A8178"/>
    <w:rsid w:val="773B8689"/>
    <w:rsid w:val="77407E24"/>
    <w:rsid w:val="774249AA"/>
    <w:rsid w:val="77473FC1"/>
    <w:rsid w:val="774921DC"/>
    <w:rsid w:val="77550B81"/>
    <w:rsid w:val="775A6197"/>
    <w:rsid w:val="775BC2E3"/>
    <w:rsid w:val="775D138B"/>
    <w:rsid w:val="7762504C"/>
    <w:rsid w:val="77674B55"/>
    <w:rsid w:val="776E5142"/>
    <w:rsid w:val="776F86A9"/>
    <w:rsid w:val="777D8964"/>
    <w:rsid w:val="777FFB07"/>
    <w:rsid w:val="77A6B0EC"/>
    <w:rsid w:val="77A967D7"/>
    <w:rsid w:val="77AE203F"/>
    <w:rsid w:val="77AFDFAA"/>
    <w:rsid w:val="77B9B0C1"/>
    <w:rsid w:val="77BB025C"/>
    <w:rsid w:val="77CC339C"/>
    <w:rsid w:val="77D0756C"/>
    <w:rsid w:val="77EF351B"/>
    <w:rsid w:val="77EFA6C6"/>
    <w:rsid w:val="77EFB7DB"/>
    <w:rsid w:val="77F24622"/>
    <w:rsid w:val="77F71ABD"/>
    <w:rsid w:val="77F9E98A"/>
    <w:rsid w:val="77FD261C"/>
    <w:rsid w:val="77FF2132"/>
    <w:rsid w:val="77FFA601"/>
    <w:rsid w:val="78056103"/>
    <w:rsid w:val="780D4FB8"/>
    <w:rsid w:val="78186E47"/>
    <w:rsid w:val="781E0F73"/>
    <w:rsid w:val="78253E41"/>
    <w:rsid w:val="782567A5"/>
    <w:rsid w:val="78324A1E"/>
    <w:rsid w:val="783A0370"/>
    <w:rsid w:val="784309DA"/>
    <w:rsid w:val="784D7AAA"/>
    <w:rsid w:val="785931B9"/>
    <w:rsid w:val="786C6182"/>
    <w:rsid w:val="7876453C"/>
    <w:rsid w:val="787943FB"/>
    <w:rsid w:val="787B0173"/>
    <w:rsid w:val="787E7C64"/>
    <w:rsid w:val="78857244"/>
    <w:rsid w:val="78872FBC"/>
    <w:rsid w:val="788B412F"/>
    <w:rsid w:val="78916E6C"/>
    <w:rsid w:val="78970D25"/>
    <w:rsid w:val="78A23952"/>
    <w:rsid w:val="78A70F68"/>
    <w:rsid w:val="78A719AC"/>
    <w:rsid w:val="78B00E0E"/>
    <w:rsid w:val="78B42B53"/>
    <w:rsid w:val="78B43685"/>
    <w:rsid w:val="78C95383"/>
    <w:rsid w:val="78D01A6F"/>
    <w:rsid w:val="78D12489"/>
    <w:rsid w:val="78D22D18"/>
    <w:rsid w:val="78E6015F"/>
    <w:rsid w:val="78F148D9"/>
    <w:rsid w:val="78F42A3C"/>
    <w:rsid w:val="78F581DA"/>
    <w:rsid w:val="78F72F6D"/>
    <w:rsid w:val="78FE7584"/>
    <w:rsid w:val="78FFD7C2"/>
    <w:rsid w:val="79077C59"/>
    <w:rsid w:val="79084F07"/>
    <w:rsid w:val="790C526F"/>
    <w:rsid w:val="79202D63"/>
    <w:rsid w:val="79256331"/>
    <w:rsid w:val="792720A9"/>
    <w:rsid w:val="792B7DEB"/>
    <w:rsid w:val="793C6D38"/>
    <w:rsid w:val="79464C25"/>
    <w:rsid w:val="7954104A"/>
    <w:rsid w:val="79610FB0"/>
    <w:rsid w:val="796C62A2"/>
    <w:rsid w:val="796E1A86"/>
    <w:rsid w:val="797733A9"/>
    <w:rsid w:val="7984574E"/>
    <w:rsid w:val="7988058F"/>
    <w:rsid w:val="798E3ED6"/>
    <w:rsid w:val="798F1AF1"/>
    <w:rsid w:val="79910FC0"/>
    <w:rsid w:val="79915775"/>
    <w:rsid w:val="79935991"/>
    <w:rsid w:val="79984D55"/>
    <w:rsid w:val="79A9361E"/>
    <w:rsid w:val="79ACD51A"/>
    <w:rsid w:val="79AE27CB"/>
    <w:rsid w:val="79B853F7"/>
    <w:rsid w:val="79BF71B9"/>
    <w:rsid w:val="79C01DAA"/>
    <w:rsid w:val="79C341B0"/>
    <w:rsid w:val="79C478F8"/>
    <w:rsid w:val="79D42231"/>
    <w:rsid w:val="79D96C01"/>
    <w:rsid w:val="79E415BB"/>
    <w:rsid w:val="79E955B1"/>
    <w:rsid w:val="79F20909"/>
    <w:rsid w:val="79F53F55"/>
    <w:rsid w:val="79FB325A"/>
    <w:rsid w:val="79FBE9F4"/>
    <w:rsid w:val="79FD51F1"/>
    <w:rsid w:val="7A0129A6"/>
    <w:rsid w:val="7A04063C"/>
    <w:rsid w:val="7A0917AF"/>
    <w:rsid w:val="7A1669D2"/>
    <w:rsid w:val="7A1801E5"/>
    <w:rsid w:val="7A2111EE"/>
    <w:rsid w:val="7A212F9C"/>
    <w:rsid w:val="7A256345"/>
    <w:rsid w:val="7A273808"/>
    <w:rsid w:val="7A2B3E1B"/>
    <w:rsid w:val="7A48677B"/>
    <w:rsid w:val="7A4B626B"/>
    <w:rsid w:val="7A4D7EA7"/>
    <w:rsid w:val="7A5E5F9F"/>
    <w:rsid w:val="7A5E7D4D"/>
    <w:rsid w:val="7A5E7DB1"/>
    <w:rsid w:val="7A6B246A"/>
    <w:rsid w:val="7A6BC3FA"/>
    <w:rsid w:val="7A7632E8"/>
    <w:rsid w:val="7A770E0E"/>
    <w:rsid w:val="7A7E03EF"/>
    <w:rsid w:val="7A874E3E"/>
    <w:rsid w:val="7A9279F6"/>
    <w:rsid w:val="7A9E45ED"/>
    <w:rsid w:val="7A9E639B"/>
    <w:rsid w:val="7AA00365"/>
    <w:rsid w:val="7AA17C39"/>
    <w:rsid w:val="7AA86C83"/>
    <w:rsid w:val="7AAD6FF0"/>
    <w:rsid w:val="7AAE0891"/>
    <w:rsid w:val="7AB120D5"/>
    <w:rsid w:val="7AB9B43B"/>
    <w:rsid w:val="7ABA6035"/>
    <w:rsid w:val="7ABC5759"/>
    <w:rsid w:val="7AC932FE"/>
    <w:rsid w:val="7AD248B0"/>
    <w:rsid w:val="7AD370EC"/>
    <w:rsid w:val="7AD39BC2"/>
    <w:rsid w:val="7AD74FC0"/>
    <w:rsid w:val="7AD81BC9"/>
    <w:rsid w:val="7AD95625"/>
    <w:rsid w:val="7ADF999D"/>
    <w:rsid w:val="7AEA30EA"/>
    <w:rsid w:val="7AEBE833"/>
    <w:rsid w:val="7AEE2BF2"/>
    <w:rsid w:val="7AF12344"/>
    <w:rsid w:val="7AF91823"/>
    <w:rsid w:val="7AF95CC7"/>
    <w:rsid w:val="7AFB7C1C"/>
    <w:rsid w:val="7AFD5F92"/>
    <w:rsid w:val="7B052E72"/>
    <w:rsid w:val="7B0A2151"/>
    <w:rsid w:val="7B0D52CF"/>
    <w:rsid w:val="7B292109"/>
    <w:rsid w:val="7B2E771F"/>
    <w:rsid w:val="7B3C2AA4"/>
    <w:rsid w:val="7B4E674A"/>
    <w:rsid w:val="7B7535A0"/>
    <w:rsid w:val="7B7610C6"/>
    <w:rsid w:val="7B7F577C"/>
    <w:rsid w:val="7B845591"/>
    <w:rsid w:val="7B851309"/>
    <w:rsid w:val="7B892BA7"/>
    <w:rsid w:val="7B914152"/>
    <w:rsid w:val="7B9B0B2D"/>
    <w:rsid w:val="7B9D2AF7"/>
    <w:rsid w:val="7B9D48A5"/>
    <w:rsid w:val="7B9F061D"/>
    <w:rsid w:val="7BA07EF1"/>
    <w:rsid w:val="7BA626CD"/>
    <w:rsid w:val="7BAB0D70"/>
    <w:rsid w:val="7BAB5214"/>
    <w:rsid w:val="7BAB6FC2"/>
    <w:rsid w:val="7BBD76FB"/>
    <w:rsid w:val="7BC2255D"/>
    <w:rsid w:val="7BC462D5"/>
    <w:rsid w:val="7BC71922"/>
    <w:rsid w:val="7BC9569A"/>
    <w:rsid w:val="7BCA0ED5"/>
    <w:rsid w:val="7BCB7664"/>
    <w:rsid w:val="7BCC3178"/>
    <w:rsid w:val="7BCE7A18"/>
    <w:rsid w:val="7BD01FA7"/>
    <w:rsid w:val="7BD04C7A"/>
    <w:rsid w:val="7BD13CB6"/>
    <w:rsid w:val="7BE10C35"/>
    <w:rsid w:val="7BE129E3"/>
    <w:rsid w:val="7BEBF838"/>
    <w:rsid w:val="7BF30CB4"/>
    <w:rsid w:val="7BF344C5"/>
    <w:rsid w:val="7BF4E965"/>
    <w:rsid w:val="7BF72F51"/>
    <w:rsid w:val="7BF74997"/>
    <w:rsid w:val="7BFC2688"/>
    <w:rsid w:val="7BFDBDA2"/>
    <w:rsid w:val="7BFEDCF1"/>
    <w:rsid w:val="7BFEE41C"/>
    <w:rsid w:val="7BFF181B"/>
    <w:rsid w:val="7BFF9DEF"/>
    <w:rsid w:val="7C044924"/>
    <w:rsid w:val="7C06069C"/>
    <w:rsid w:val="7C093CE8"/>
    <w:rsid w:val="7C12710A"/>
    <w:rsid w:val="7C142DB9"/>
    <w:rsid w:val="7C182615"/>
    <w:rsid w:val="7C183F2B"/>
    <w:rsid w:val="7C2154D6"/>
    <w:rsid w:val="7C251548"/>
    <w:rsid w:val="7C286864"/>
    <w:rsid w:val="7C2FBC68"/>
    <w:rsid w:val="7C3C7A60"/>
    <w:rsid w:val="7C3D3992"/>
    <w:rsid w:val="7C3F595C"/>
    <w:rsid w:val="7C6453C2"/>
    <w:rsid w:val="7C743857"/>
    <w:rsid w:val="7C7FDA07"/>
    <w:rsid w:val="7C8141C6"/>
    <w:rsid w:val="7C821F38"/>
    <w:rsid w:val="7C8E78F8"/>
    <w:rsid w:val="7C8F243F"/>
    <w:rsid w:val="7C9C2DAE"/>
    <w:rsid w:val="7CB225D2"/>
    <w:rsid w:val="7CC3033B"/>
    <w:rsid w:val="7CC43EF5"/>
    <w:rsid w:val="7CE543A5"/>
    <w:rsid w:val="7CEB342B"/>
    <w:rsid w:val="7CED083B"/>
    <w:rsid w:val="7CED9261"/>
    <w:rsid w:val="7CF16C56"/>
    <w:rsid w:val="7CF46746"/>
    <w:rsid w:val="7D00333D"/>
    <w:rsid w:val="7D056BA5"/>
    <w:rsid w:val="7D080444"/>
    <w:rsid w:val="7D0F3580"/>
    <w:rsid w:val="7D1B0177"/>
    <w:rsid w:val="7D1B3767"/>
    <w:rsid w:val="7D20753B"/>
    <w:rsid w:val="7D271D23"/>
    <w:rsid w:val="7D2C7C8E"/>
    <w:rsid w:val="7D2F3C22"/>
    <w:rsid w:val="7D352C96"/>
    <w:rsid w:val="7D360B0D"/>
    <w:rsid w:val="7D3D1E9B"/>
    <w:rsid w:val="7D3E3E65"/>
    <w:rsid w:val="7D4A21B7"/>
    <w:rsid w:val="7D4B74C7"/>
    <w:rsid w:val="7D4C6582"/>
    <w:rsid w:val="7D56507F"/>
    <w:rsid w:val="7D56CB3F"/>
    <w:rsid w:val="7D5F49FE"/>
    <w:rsid w:val="7D6E474B"/>
    <w:rsid w:val="7D6FCE77"/>
    <w:rsid w:val="7D7A30EF"/>
    <w:rsid w:val="7D7A4E9D"/>
    <w:rsid w:val="7D893462"/>
    <w:rsid w:val="7D8A2C07"/>
    <w:rsid w:val="7D9C4987"/>
    <w:rsid w:val="7D9DF154"/>
    <w:rsid w:val="7D9F66B2"/>
    <w:rsid w:val="7DA243F4"/>
    <w:rsid w:val="7DA57332"/>
    <w:rsid w:val="7DAA3FF0"/>
    <w:rsid w:val="7DB119FE"/>
    <w:rsid w:val="7DB303AF"/>
    <w:rsid w:val="7DBA7990"/>
    <w:rsid w:val="7DBFD4DA"/>
    <w:rsid w:val="7DBFE492"/>
    <w:rsid w:val="7DC07661"/>
    <w:rsid w:val="7DCC321F"/>
    <w:rsid w:val="7DD12FF3"/>
    <w:rsid w:val="7DD6409E"/>
    <w:rsid w:val="7DD82296"/>
    <w:rsid w:val="7DDA1DE0"/>
    <w:rsid w:val="7DDE2F59"/>
    <w:rsid w:val="7DE70059"/>
    <w:rsid w:val="7DE7680A"/>
    <w:rsid w:val="7DEB48ED"/>
    <w:rsid w:val="7DEF06AE"/>
    <w:rsid w:val="7DF0147B"/>
    <w:rsid w:val="7DF3182F"/>
    <w:rsid w:val="7DF7FFCB"/>
    <w:rsid w:val="7DFA7BA6"/>
    <w:rsid w:val="7DFB205E"/>
    <w:rsid w:val="7DFD358F"/>
    <w:rsid w:val="7DFF1F99"/>
    <w:rsid w:val="7DFFACB5"/>
    <w:rsid w:val="7E002EC9"/>
    <w:rsid w:val="7E054EEF"/>
    <w:rsid w:val="7E0724A9"/>
    <w:rsid w:val="7E162A33"/>
    <w:rsid w:val="7E2117BD"/>
    <w:rsid w:val="7E215319"/>
    <w:rsid w:val="7E233A0A"/>
    <w:rsid w:val="7E235535"/>
    <w:rsid w:val="7E243CB7"/>
    <w:rsid w:val="7E282B4B"/>
    <w:rsid w:val="7E2B263C"/>
    <w:rsid w:val="7E3E236F"/>
    <w:rsid w:val="7E3E2C97"/>
    <w:rsid w:val="7E3E2F52"/>
    <w:rsid w:val="7E3F5D06"/>
    <w:rsid w:val="7E484F9C"/>
    <w:rsid w:val="7E553215"/>
    <w:rsid w:val="7E5576B9"/>
    <w:rsid w:val="7E6410E3"/>
    <w:rsid w:val="7E676E21"/>
    <w:rsid w:val="7E6817D6"/>
    <w:rsid w:val="7E745D91"/>
    <w:rsid w:val="7E7BFECB"/>
    <w:rsid w:val="7E7D1E2A"/>
    <w:rsid w:val="7E843AFA"/>
    <w:rsid w:val="7E8A55B4"/>
    <w:rsid w:val="7E8B4E88"/>
    <w:rsid w:val="7EA72A07"/>
    <w:rsid w:val="7EAD0735"/>
    <w:rsid w:val="7EAD3051"/>
    <w:rsid w:val="7EAFF0B6"/>
    <w:rsid w:val="7EB2F9B7"/>
    <w:rsid w:val="7EBB23C1"/>
    <w:rsid w:val="7EBC6EE8"/>
    <w:rsid w:val="7EBC7738"/>
    <w:rsid w:val="7EBF3D01"/>
    <w:rsid w:val="7EC14D4E"/>
    <w:rsid w:val="7ED097AB"/>
    <w:rsid w:val="7ED6A037"/>
    <w:rsid w:val="7EE50A3C"/>
    <w:rsid w:val="7EE6DD14"/>
    <w:rsid w:val="7EE87B37"/>
    <w:rsid w:val="7EEA4CC4"/>
    <w:rsid w:val="7EEB9FC8"/>
    <w:rsid w:val="7EEF18BB"/>
    <w:rsid w:val="7EF7FC8B"/>
    <w:rsid w:val="7EFA3156"/>
    <w:rsid w:val="7EFDC041"/>
    <w:rsid w:val="7EFF19E3"/>
    <w:rsid w:val="7EFF3919"/>
    <w:rsid w:val="7EFF872B"/>
    <w:rsid w:val="7EFFA73A"/>
    <w:rsid w:val="7F1B445E"/>
    <w:rsid w:val="7F211349"/>
    <w:rsid w:val="7F2151CC"/>
    <w:rsid w:val="7F231565"/>
    <w:rsid w:val="7F232C50"/>
    <w:rsid w:val="7F2B01C4"/>
    <w:rsid w:val="7F2BEF08"/>
    <w:rsid w:val="7F2C666B"/>
    <w:rsid w:val="7F2F2562"/>
    <w:rsid w:val="7F402117"/>
    <w:rsid w:val="7F435763"/>
    <w:rsid w:val="7F475253"/>
    <w:rsid w:val="7F477001"/>
    <w:rsid w:val="7F5A373D"/>
    <w:rsid w:val="7F5E3367"/>
    <w:rsid w:val="7F5F3D40"/>
    <w:rsid w:val="7F60371C"/>
    <w:rsid w:val="7F62208D"/>
    <w:rsid w:val="7F7141B4"/>
    <w:rsid w:val="7F752B5D"/>
    <w:rsid w:val="7F75710D"/>
    <w:rsid w:val="7F761695"/>
    <w:rsid w:val="7F775F1F"/>
    <w:rsid w:val="7F77C408"/>
    <w:rsid w:val="7F7ECDF0"/>
    <w:rsid w:val="7F7F1902"/>
    <w:rsid w:val="7F7F85A2"/>
    <w:rsid w:val="7F840EED"/>
    <w:rsid w:val="7F857B2A"/>
    <w:rsid w:val="7F93112B"/>
    <w:rsid w:val="7F9B651A"/>
    <w:rsid w:val="7F9D45ED"/>
    <w:rsid w:val="7F9E0F54"/>
    <w:rsid w:val="7FA5CF7E"/>
    <w:rsid w:val="7FADB5D1"/>
    <w:rsid w:val="7FAE0B76"/>
    <w:rsid w:val="7FAF3472"/>
    <w:rsid w:val="7FB359B9"/>
    <w:rsid w:val="7FB473C1"/>
    <w:rsid w:val="7FB68DF0"/>
    <w:rsid w:val="7FBBE0B5"/>
    <w:rsid w:val="7FBBF7C9"/>
    <w:rsid w:val="7FBE3FE6"/>
    <w:rsid w:val="7FBF7622"/>
    <w:rsid w:val="7FC20D7E"/>
    <w:rsid w:val="7FC27694"/>
    <w:rsid w:val="7FCD5CFF"/>
    <w:rsid w:val="7FCD90FC"/>
    <w:rsid w:val="7FCDECF9"/>
    <w:rsid w:val="7FD35744"/>
    <w:rsid w:val="7FD50AF8"/>
    <w:rsid w:val="7FD665D7"/>
    <w:rsid w:val="7FD750AF"/>
    <w:rsid w:val="7FDB19D4"/>
    <w:rsid w:val="7FDB8E27"/>
    <w:rsid w:val="7FDFBCEF"/>
    <w:rsid w:val="7FDFE482"/>
    <w:rsid w:val="7FE24F7C"/>
    <w:rsid w:val="7FE44850"/>
    <w:rsid w:val="7FE5BCD5"/>
    <w:rsid w:val="7FE5FBF6"/>
    <w:rsid w:val="7FE721C8"/>
    <w:rsid w:val="7FE7B90F"/>
    <w:rsid w:val="7FE7FE0B"/>
    <w:rsid w:val="7FE8AA89"/>
    <w:rsid w:val="7FE96A4C"/>
    <w:rsid w:val="7FF01DDB"/>
    <w:rsid w:val="7FF52F01"/>
    <w:rsid w:val="7FF7F0EA"/>
    <w:rsid w:val="7FFA6738"/>
    <w:rsid w:val="7FFA82DD"/>
    <w:rsid w:val="7FFB4370"/>
    <w:rsid w:val="7FFB59E1"/>
    <w:rsid w:val="7FFB7955"/>
    <w:rsid w:val="7FFB79C0"/>
    <w:rsid w:val="7FFBED39"/>
    <w:rsid w:val="7FFCB26E"/>
    <w:rsid w:val="7FFD9FAE"/>
    <w:rsid w:val="7FFDCAA0"/>
    <w:rsid w:val="7FFE17F4"/>
    <w:rsid w:val="7FFE89B5"/>
    <w:rsid w:val="7FFEA1B4"/>
    <w:rsid w:val="7FFEC91C"/>
    <w:rsid w:val="7FFF1F67"/>
    <w:rsid w:val="7FFF3358"/>
    <w:rsid w:val="7FFF3D63"/>
    <w:rsid w:val="7FFF3FE1"/>
    <w:rsid w:val="7FFF917A"/>
    <w:rsid w:val="7FFFB6B3"/>
    <w:rsid w:val="7FFFC620"/>
    <w:rsid w:val="816EBC1C"/>
    <w:rsid w:val="86CD2215"/>
    <w:rsid w:val="87FB9589"/>
    <w:rsid w:val="8B4EB753"/>
    <w:rsid w:val="8FDB939A"/>
    <w:rsid w:val="93AE1507"/>
    <w:rsid w:val="96AEB894"/>
    <w:rsid w:val="977B5D60"/>
    <w:rsid w:val="977E31FF"/>
    <w:rsid w:val="979F0F7F"/>
    <w:rsid w:val="9AFFE6CA"/>
    <w:rsid w:val="9B746BDE"/>
    <w:rsid w:val="9BFA0492"/>
    <w:rsid w:val="9CFE73D3"/>
    <w:rsid w:val="9DBAE05B"/>
    <w:rsid w:val="9DF749FE"/>
    <w:rsid w:val="9EDFD2D4"/>
    <w:rsid w:val="9F3BF429"/>
    <w:rsid w:val="9F6F298E"/>
    <w:rsid w:val="9FBF6A38"/>
    <w:rsid w:val="9FE70ACE"/>
    <w:rsid w:val="9FF8D89D"/>
    <w:rsid w:val="9FF91111"/>
    <w:rsid w:val="9FFD80F4"/>
    <w:rsid w:val="9FFFA905"/>
    <w:rsid w:val="9FFFE290"/>
    <w:rsid w:val="A53C30EB"/>
    <w:rsid w:val="A7799AEC"/>
    <w:rsid w:val="A7FADBFA"/>
    <w:rsid w:val="A8E08014"/>
    <w:rsid w:val="ABE7C24A"/>
    <w:rsid w:val="ACB5D895"/>
    <w:rsid w:val="ACF9F370"/>
    <w:rsid w:val="ACFF783F"/>
    <w:rsid w:val="ADBC833D"/>
    <w:rsid w:val="ADDEBFB5"/>
    <w:rsid w:val="ADED50AF"/>
    <w:rsid w:val="ADF7A2A9"/>
    <w:rsid w:val="ADFB6A3F"/>
    <w:rsid w:val="AEBBA222"/>
    <w:rsid w:val="AEFFDC90"/>
    <w:rsid w:val="AF4F9167"/>
    <w:rsid w:val="AFB506B9"/>
    <w:rsid w:val="AFD74478"/>
    <w:rsid w:val="AFF541E1"/>
    <w:rsid w:val="AFFB492E"/>
    <w:rsid w:val="B3E7BB23"/>
    <w:rsid w:val="B3FE8A31"/>
    <w:rsid w:val="B53FA9CA"/>
    <w:rsid w:val="B5BFDF79"/>
    <w:rsid w:val="B5CF5AEA"/>
    <w:rsid w:val="B6CBE650"/>
    <w:rsid w:val="B6E3786A"/>
    <w:rsid w:val="B741577F"/>
    <w:rsid w:val="B75BD154"/>
    <w:rsid w:val="B75F45B5"/>
    <w:rsid w:val="B795DFF4"/>
    <w:rsid w:val="B7BB3BD0"/>
    <w:rsid w:val="B7DF5DCD"/>
    <w:rsid w:val="B7EBD113"/>
    <w:rsid w:val="B7F702D0"/>
    <w:rsid w:val="B7FD2566"/>
    <w:rsid w:val="B7FFBCD0"/>
    <w:rsid w:val="B7FFE18E"/>
    <w:rsid w:val="B9BB59BB"/>
    <w:rsid w:val="B9EF57F7"/>
    <w:rsid w:val="B9FDE8DE"/>
    <w:rsid w:val="BADE6EE5"/>
    <w:rsid w:val="BAFBA07E"/>
    <w:rsid w:val="BB9FABF3"/>
    <w:rsid w:val="BBB6559D"/>
    <w:rsid w:val="BBBE629A"/>
    <w:rsid w:val="BBDE1958"/>
    <w:rsid w:val="BBDFB0CF"/>
    <w:rsid w:val="BBEF43C5"/>
    <w:rsid w:val="BBEFCB6F"/>
    <w:rsid w:val="BCEA7C28"/>
    <w:rsid w:val="BCF75D7A"/>
    <w:rsid w:val="BCF94F3D"/>
    <w:rsid w:val="BCFFD504"/>
    <w:rsid w:val="BD63426D"/>
    <w:rsid w:val="BDB72374"/>
    <w:rsid w:val="BDD8EF78"/>
    <w:rsid w:val="BDFC71E1"/>
    <w:rsid w:val="BDFEDD7D"/>
    <w:rsid w:val="BE57F877"/>
    <w:rsid w:val="BE725299"/>
    <w:rsid w:val="BEA76596"/>
    <w:rsid w:val="BEAA0743"/>
    <w:rsid w:val="BEBAE066"/>
    <w:rsid w:val="BEF555C8"/>
    <w:rsid w:val="BEFD1E7C"/>
    <w:rsid w:val="BEFE19F0"/>
    <w:rsid w:val="BEFF2A67"/>
    <w:rsid w:val="BF1E064A"/>
    <w:rsid w:val="BF3FB700"/>
    <w:rsid w:val="BF3FFF29"/>
    <w:rsid w:val="BF438EB3"/>
    <w:rsid w:val="BF5FDA4B"/>
    <w:rsid w:val="BF670905"/>
    <w:rsid w:val="BF751162"/>
    <w:rsid w:val="BFBFE19A"/>
    <w:rsid w:val="BFD55ED7"/>
    <w:rsid w:val="BFE32BE4"/>
    <w:rsid w:val="BFEF5E2B"/>
    <w:rsid w:val="BFEFC667"/>
    <w:rsid w:val="BFF118E9"/>
    <w:rsid w:val="BFF20B29"/>
    <w:rsid w:val="BFF90C36"/>
    <w:rsid w:val="BFFB9176"/>
    <w:rsid w:val="BFFC614F"/>
    <w:rsid w:val="BFFFCDE1"/>
    <w:rsid w:val="C3F70DC4"/>
    <w:rsid w:val="C3FF5894"/>
    <w:rsid w:val="C7F3FFBD"/>
    <w:rsid w:val="C7F720E7"/>
    <w:rsid w:val="C7FF241C"/>
    <w:rsid w:val="C7FFFFEB"/>
    <w:rsid w:val="C9BCF6CF"/>
    <w:rsid w:val="C9BF5ABD"/>
    <w:rsid w:val="C9FEA068"/>
    <w:rsid w:val="CA9B6EC0"/>
    <w:rsid w:val="CBAF1331"/>
    <w:rsid w:val="CBDF565D"/>
    <w:rsid w:val="CCDDE55C"/>
    <w:rsid w:val="CD9FE7E6"/>
    <w:rsid w:val="CDAE4EDC"/>
    <w:rsid w:val="CDDD2E0A"/>
    <w:rsid w:val="CDEA3089"/>
    <w:rsid w:val="CDFA6FEE"/>
    <w:rsid w:val="CE7F1FAE"/>
    <w:rsid w:val="CE9D661C"/>
    <w:rsid w:val="CEFB5348"/>
    <w:rsid w:val="CF2B446C"/>
    <w:rsid w:val="CF5FA584"/>
    <w:rsid w:val="CFBA8826"/>
    <w:rsid w:val="CFF25028"/>
    <w:rsid w:val="CFF77463"/>
    <w:rsid w:val="CFFA4036"/>
    <w:rsid w:val="CFFF42F3"/>
    <w:rsid w:val="CFFF8FFE"/>
    <w:rsid w:val="D04FCAB9"/>
    <w:rsid w:val="D1FB24DB"/>
    <w:rsid w:val="D2EF8740"/>
    <w:rsid w:val="D2FF8557"/>
    <w:rsid w:val="D3052270"/>
    <w:rsid w:val="D3DDACA0"/>
    <w:rsid w:val="D3E74C57"/>
    <w:rsid w:val="D3F74483"/>
    <w:rsid w:val="D45FEA5B"/>
    <w:rsid w:val="D47EAA83"/>
    <w:rsid w:val="D4F793FA"/>
    <w:rsid w:val="D5B3E5E1"/>
    <w:rsid w:val="D5D38A64"/>
    <w:rsid w:val="D5DDBAE3"/>
    <w:rsid w:val="D5FDA11C"/>
    <w:rsid w:val="D5FF643E"/>
    <w:rsid w:val="D6BC272F"/>
    <w:rsid w:val="D6BF25C3"/>
    <w:rsid w:val="D7371977"/>
    <w:rsid w:val="D7DE25B1"/>
    <w:rsid w:val="D7DEC7EE"/>
    <w:rsid w:val="D7ED0036"/>
    <w:rsid w:val="D7ED5871"/>
    <w:rsid w:val="D867D162"/>
    <w:rsid w:val="D8DFC712"/>
    <w:rsid w:val="D98AE53E"/>
    <w:rsid w:val="D9BF716F"/>
    <w:rsid w:val="DA6B4E52"/>
    <w:rsid w:val="DAFEB521"/>
    <w:rsid w:val="DB57BBF7"/>
    <w:rsid w:val="DB6F885D"/>
    <w:rsid w:val="DBD6C26A"/>
    <w:rsid w:val="DBF796C1"/>
    <w:rsid w:val="DBFB4022"/>
    <w:rsid w:val="DBFEFB7C"/>
    <w:rsid w:val="DBFF55DA"/>
    <w:rsid w:val="DBFF7C59"/>
    <w:rsid w:val="DC6ACC76"/>
    <w:rsid w:val="DD77DBFC"/>
    <w:rsid w:val="DD7F741F"/>
    <w:rsid w:val="DDDD3AAA"/>
    <w:rsid w:val="DDFBB401"/>
    <w:rsid w:val="DDFF9BBD"/>
    <w:rsid w:val="DE5B1729"/>
    <w:rsid w:val="DE7FC08A"/>
    <w:rsid w:val="DEB6DBA7"/>
    <w:rsid w:val="DEBBE26A"/>
    <w:rsid w:val="DEBDE491"/>
    <w:rsid w:val="DECFE504"/>
    <w:rsid w:val="DEEA6651"/>
    <w:rsid w:val="DEF5C0CB"/>
    <w:rsid w:val="DEFFF88B"/>
    <w:rsid w:val="DF5BF186"/>
    <w:rsid w:val="DF6EBE6B"/>
    <w:rsid w:val="DF6F673E"/>
    <w:rsid w:val="DF791ABF"/>
    <w:rsid w:val="DF792033"/>
    <w:rsid w:val="DF7DDE45"/>
    <w:rsid w:val="DF7F0806"/>
    <w:rsid w:val="DF7F6559"/>
    <w:rsid w:val="DFAB3EEC"/>
    <w:rsid w:val="DFBB277E"/>
    <w:rsid w:val="DFBCD0BC"/>
    <w:rsid w:val="DFBD1572"/>
    <w:rsid w:val="DFC99911"/>
    <w:rsid w:val="DFCB6B9B"/>
    <w:rsid w:val="DFCE619C"/>
    <w:rsid w:val="DFCFE673"/>
    <w:rsid w:val="DFDB0A10"/>
    <w:rsid w:val="DFEE7034"/>
    <w:rsid w:val="DFEF16A0"/>
    <w:rsid w:val="DFEF837D"/>
    <w:rsid w:val="DFEFE26B"/>
    <w:rsid w:val="DFEFF4AB"/>
    <w:rsid w:val="DFEFFB4A"/>
    <w:rsid w:val="DFF7077E"/>
    <w:rsid w:val="DFFE4E81"/>
    <w:rsid w:val="DFFE5656"/>
    <w:rsid w:val="DFFE94C0"/>
    <w:rsid w:val="E2FE1DFC"/>
    <w:rsid w:val="E374C507"/>
    <w:rsid w:val="E3FB990F"/>
    <w:rsid w:val="E47F08F1"/>
    <w:rsid w:val="E55F3C44"/>
    <w:rsid w:val="E6D76A9D"/>
    <w:rsid w:val="E73683A0"/>
    <w:rsid w:val="E75FE119"/>
    <w:rsid w:val="E76EB1CD"/>
    <w:rsid w:val="E79BB269"/>
    <w:rsid w:val="E7CFA920"/>
    <w:rsid w:val="E7E74F06"/>
    <w:rsid w:val="E7F91BFC"/>
    <w:rsid w:val="E7FD669B"/>
    <w:rsid w:val="E97FF5A4"/>
    <w:rsid w:val="E9DFD3E9"/>
    <w:rsid w:val="E9E92F20"/>
    <w:rsid w:val="EAFB9A15"/>
    <w:rsid w:val="EB5EC710"/>
    <w:rsid w:val="EB69FD76"/>
    <w:rsid w:val="EB776932"/>
    <w:rsid w:val="EB8FCC53"/>
    <w:rsid w:val="EBB765B3"/>
    <w:rsid w:val="EBBF5969"/>
    <w:rsid w:val="EBBF7A62"/>
    <w:rsid w:val="EBD76472"/>
    <w:rsid w:val="EBF9DF1F"/>
    <w:rsid w:val="EBFEF502"/>
    <w:rsid w:val="EC7FEDDE"/>
    <w:rsid w:val="ECBF5C29"/>
    <w:rsid w:val="ECFF93EE"/>
    <w:rsid w:val="ED1623AA"/>
    <w:rsid w:val="ED5FC6D5"/>
    <w:rsid w:val="ED9E0D66"/>
    <w:rsid w:val="EDBFBFB8"/>
    <w:rsid w:val="EDCF4895"/>
    <w:rsid w:val="EDF3AE4B"/>
    <w:rsid w:val="EDFFB186"/>
    <w:rsid w:val="EE6F7CE4"/>
    <w:rsid w:val="EEFE6053"/>
    <w:rsid w:val="EF5F849E"/>
    <w:rsid w:val="EF67DB7F"/>
    <w:rsid w:val="EF6F88D4"/>
    <w:rsid w:val="EF9DAC7A"/>
    <w:rsid w:val="EFB760A1"/>
    <w:rsid w:val="EFDB1127"/>
    <w:rsid w:val="EFEAD802"/>
    <w:rsid w:val="EFEFCA6B"/>
    <w:rsid w:val="EFFDD880"/>
    <w:rsid w:val="EFFE5171"/>
    <w:rsid w:val="EFFE54B0"/>
    <w:rsid w:val="EFFF5CA2"/>
    <w:rsid w:val="EFFFFF24"/>
    <w:rsid w:val="F1DF48E0"/>
    <w:rsid w:val="F2F3A872"/>
    <w:rsid w:val="F33F237E"/>
    <w:rsid w:val="F3570537"/>
    <w:rsid w:val="F3DFD1D6"/>
    <w:rsid w:val="F3DFF20F"/>
    <w:rsid w:val="F3ED6A9D"/>
    <w:rsid w:val="F477554A"/>
    <w:rsid w:val="F5AFB8FB"/>
    <w:rsid w:val="F5EF94F0"/>
    <w:rsid w:val="F5F7E76E"/>
    <w:rsid w:val="F5FDD10C"/>
    <w:rsid w:val="F5FEB560"/>
    <w:rsid w:val="F64F5701"/>
    <w:rsid w:val="F66B4D4B"/>
    <w:rsid w:val="F67F17BD"/>
    <w:rsid w:val="F6B32F30"/>
    <w:rsid w:val="F6BF20C4"/>
    <w:rsid w:val="F6CF99FD"/>
    <w:rsid w:val="F6DDD52D"/>
    <w:rsid w:val="F6F532A6"/>
    <w:rsid w:val="F6FD3E54"/>
    <w:rsid w:val="F6FE5E72"/>
    <w:rsid w:val="F72BCE6F"/>
    <w:rsid w:val="F72E55C8"/>
    <w:rsid w:val="F777DC74"/>
    <w:rsid w:val="F7975AF9"/>
    <w:rsid w:val="F7C9181A"/>
    <w:rsid w:val="F7CF380C"/>
    <w:rsid w:val="F7CF5C85"/>
    <w:rsid w:val="F7D1D8AE"/>
    <w:rsid w:val="F7DE55E4"/>
    <w:rsid w:val="F7DED869"/>
    <w:rsid w:val="F7DFCD22"/>
    <w:rsid w:val="F7E59306"/>
    <w:rsid w:val="F7EE2517"/>
    <w:rsid w:val="F7EFB414"/>
    <w:rsid w:val="F7F6169A"/>
    <w:rsid w:val="F7F6C60D"/>
    <w:rsid w:val="F7F80EB2"/>
    <w:rsid w:val="F7FAE555"/>
    <w:rsid w:val="F7FF3AF1"/>
    <w:rsid w:val="F7FFAA23"/>
    <w:rsid w:val="F7FFF4A2"/>
    <w:rsid w:val="F8DF4320"/>
    <w:rsid w:val="F8E7449B"/>
    <w:rsid w:val="F8F3220E"/>
    <w:rsid w:val="F8FE9CC1"/>
    <w:rsid w:val="F8FFF9CE"/>
    <w:rsid w:val="F95BB96F"/>
    <w:rsid w:val="F97B374B"/>
    <w:rsid w:val="F9DF3C5E"/>
    <w:rsid w:val="F9EF8D71"/>
    <w:rsid w:val="F9FDBEC9"/>
    <w:rsid w:val="F9FE0830"/>
    <w:rsid w:val="FA8BF58C"/>
    <w:rsid w:val="FADF3728"/>
    <w:rsid w:val="FAEF40C0"/>
    <w:rsid w:val="FAFDD6EC"/>
    <w:rsid w:val="FB2B8857"/>
    <w:rsid w:val="FB3FAA27"/>
    <w:rsid w:val="FB4F3BE6"/>
    <w:rsid w:val="FB5FD576"/>
    <w:rsid w:val="FB6CC687"/>
    <w:rsid w:val="FB6F2865"/>
    <w:rsid w:val="FB7A7BC4"/>
    <w:rsid w:val="FB7F1D6E"/>
    <w:rsid w:val="FB7F5F49"/>
    <w:rsid w:val="FB8567F8"/>
    <w:rsid w:val="FBBB0F51"/>
    <w:rsid w:val="FBBF8926"/>
    <w:rsid w:val="FBDE057B"/>
    <w:rsid w:val="FBE7E99D"/>
    <w:rsid w:val="FBEE6A4C"/>
    <w:rsid w:val="FBEFF7F2"/>
    <w:rsid w:val="FBF0F819"/>
    <w:rsid w:val="FBF3E2F3"/>
    <w:rsid w:val="FBFA4A6A"/>
    <w:rsid w:val="FBFA7BE4"/>
    <w:rsid w:val="FBFCCF44"/>
    <w:rsid w:val="FBFD5255"/>
    <w:rsid w:val="FBFF3149"/>
    <w:rsid w:val="FBFF3C27"/>
    <w:rsid w:val="FBFF4FDB"/>
    <w:rsid w:val="FC4D3909"/>
    <w:rsid w:val="FC6D63FB"/>
    <w:rsid w:val="FC6ECDC2"/>
    <w:rsid w:val="FC73AB4F"/>
    <w:rsid w:val="FC7AFEB6"/>
    <w:rsid w:val="FC7B515D"/>
    <w:rsid w:val="FC7FB450"/>
    <w:rsid w:val="FCF5A05D"/>
    <w:rsid w:val="FCFDCD70"/>
    <w:rsid w:val="FCFF1BAB"/>
    <w:rsid w:val="FCFFD552"/>
    <w:rsid w:val="FD5DFAC8"/>
    <w:rsid w:val="FD634801"/>
    <w:rsid w:val="FD6C295E"/>
    <w:rsid w:val="FD8377C8"/>
    <w:rsid w:val="FD99AD54"/>
    <w:rsid w:val="FDAA895F"/>
    <w:rsid w:val="FDB71552"/>
    <w:rsid w:val="FDBA724F"/>
    <w:rsid w:val="FDBB0B68"/>
    <w:rsid w:val="FDBB9E2A"/>
    <w:rsid w:val="FDBBE158"/>
    <w:rsid w:val="FDC7E36B"/>
    <w:rsid w:val="FDCD5D28"/>
    <w:rsid w:val="FDD3043D"/>
    <w:rsid w:val="FDD74E71"/>
    <w:rsid w:val="FDDD8976"/>
    <w:rsid w:val="FDDF0627"/>
    <w:rsid w:val="FDE7C236"/>
    <w:rsid w:val="FDF5EC4E"/>
    <w:rsid w:val="FDF74B6C"/>
    <w:rsid w:val="FDFBC5A9"/>
    <w:rsid w:val="FDFCB872"/>
    <w:rsid w:val="FDFDA31A"/>
    <w:rsid w:val="FDFEB510"/>
    <w:rsid w:val="FDFFB731"/>
    <w:rsid w:val="FDFFDBE0"/>
    <w:rsid w:val="FE4DF147"/>
    <w:rsid w:val="FE53E524"/>
    <w:rsid w:val="FE5A8096"/>
    <w:rsid w:val="FE5F9864"/>
    <w:rsid w:val="FE664429"/>
    <w:rsid w:val="FE7C22A9"/>
    <w:rsid w:val="FE7DB371"/>
    <w:rsid w:val="FEDA5853"/>
    <w:rsid w:val="FEDD66A5"/>
    <w:rsid w:val="FEED5B06"/>
    <w:rsid w:val="FEFB06D3"/>
    <w:rsid w:val="FEFC5FA5"/>
    <w:rsid w:val="FEFF6A9F"/>
    <w:rsid w:val="FEFF7D9C"/>
    <w:rsid w:val="FF079EB0"/>
    <w:rsid w:val="FF1E567A"/>
    <w:rsid w:val="FF29E2F7"/>
    <w:rsid w:val="FF332E34"/>
    <w:rsid w:val="FF35E165"/>
    <w:rsid w:val="FF3B9D7C"/>
    <w:rsid w:val="FF3BF4F2"/>
    <w:rsid w:val="FF5B8C35"/>
    <w:rsid w:val="FF60A250"/>
    <w:rsid w:val="FF636A36"/>
    <w:rsid w:val="FF6D7C23"/>
    <w:rsid w:val="FF6F39E4"/>
    <w:rsid w:val="FF6FDD80"/>
    <w:rsid w:val="FF76346C"/>
    <w:rsid w:val="FF773AD7"/>
    <w:rsid w:val="FF785AD3"/>
    <w:rsid w:val="FF78B40C"/>
    <w:rsid w:val="FF7C05FA"/>
    <w:rsid w:val="FF7C6EF1"/>
    <w:rsid w:val="FF7C94CF"/>
    <w:rsid w:val="FF7EF9FD"/>
    <w:rsid w:val="FF7F52BF"/>
    <w:rsid w:val="FF7FF368"/>
    <w:rsid w:val="FF7FFF28"/>
    <w:rsid w:val="FF99E332"/>
    <w:rsid w:val="FF9D95D5"/>
    <w:rsid w:val="FF9DD64C"/>
    <w:rsid w:val="FF9F8BBA"/>
    <w:rsid w:val="FFA59802"/>
    <w:rsid w:val="FFAF68BC"/>
    <w:rsid w:val="FFB705E0"/>
    <w:rsid w:val="FFB7E3A6"/>
    <w:rsid w:val="FFBB0009"/>
    <w:rsid w:val="FFBBA143"/>
    <w:rsid w:val="FFBD5E1B"/>
    <w:rsid w:val="FFBD8CC1"/>
    <w:rsid w:val="FFBDE372"/>
    <w:rsid w:val="FFBE4660"/>
    <w:rsid w:val="FFBEFCAC"/>
    <w:rsid w:val="FFBF498E"/>
    <w:rsid w:val="FFBFC0DC"/>
    <w:rsid w:val="FFBFF9CF"/>
    <w:rsid w:val="FFC77858"/>
    <w:rsid w:val="FFCF3EE1"/>
    <w:rsid w:val="FFD5D9C0"/>
    <w:rsid w:val="FFD73CBE"/>
    <w:rsid w:val="FFDB1C60"/>
    <w:rsid w:val="FFDC4376"/>
    <w:rsid w:val="FFDD9737"/>
    <w:rsid w:val="FFDF5D51"/>
    <w:rsid w:val="FFDFA3F2"/>
    <w:rsid w:val="FFDFB0DB"/>
    <w:rsid w:val="FFE53FE5"/>
    <w:rsid w:val="FFEBC275"/>
    <w:rsid w:val="FFECE2EB"/>
    <w:rsid w:val="FFED1B79"/>
    <w:rsid w:val="FFED8573"/>
    <w:rsid w:val="FFF3E6C2"/>
    <w:rsid w:val="FFF59DDE"/>
    <w:rsid w:val="FFF6FC87"/>
    <w:rsid w:val="FFF95E1D"/>
    <w:rsid w:val="FFF9AC55"/>
    <w:rsid w:val="FFF9CBFE"/>
    <w:rsid w:val="FFFAF3F7"/>
    <w:rsid w:val="FFFB694C"/>
    <w:rsid w:val="FFFB883C"/>
    <w:rsid w:val="FFFBB334"/>
    <w:rsid w:val="FFFBCA5A"/>
    <w:rsid w:val="FFFD2E77"/>
    <w:rsid w:val="FFFD99CA"/>
    <w:rsid w:val="FFFEDE97"/>
    <w:rsid w:val="FFFF37E6"/>
    <w:rsid w:val="FFFF5408"/>
    <w:rsid w:val="FFFF7A67"/>
    <w:rsid w:val="FFFF9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hint="eastAsia" w:ascii="Arial Unicode MS" w:hAnsi="Arial Unicode MS" w:eastAsia="Arial Unicode MS" w:cs="Arial Unicode MS"/>
      <w:color w:val="000000"/>
      <w:kern w:val="2"/>
      <w:sz w:val="21"/>
      <w:szCs w:val="21"/>
      <w:lang w:val="zh-TW" w:eastAsia="zh-TW" w:bidi="ar-SA"/>
    </w:rPr>
  </w:style>
  <w:style w:type="paragraph" w:styleId="2">
    <w:name w:val="heading 1"/>
    <w:basedOn w:val="1"/>
    <w:next w:val="1"/>
    <w:link w:val="72"/>
    <w:qFormat/>
    <w:uiPriority w:val="0"/>
    <w:pPr>
      <w:keepNext/>
      <w:keepLines/>
      <w:spacing w:before="340" w:after="330" w:line="578" w:lineRule="auto"/>
      <w:outlineLvl w:val="0"/>
    </w:pPr>
    <w:rPr>
      <w:rFonts w:hint="default" w:cs="Times New Roman"/>
      <w:b/>
      <w:bCs/>
      <w:kern w:val="44"/>
      <w:sz w:val="44"/>
      <w:szCs w:val="44"/>
    </w:rPr>
  </w:style>
  <w:style w:type="paragraph" w:styleId="3">
    <w:name w:val="heading 2"/>
    <w:basedOn w:val="1"/>
    <w:next w:val="1"/>
    <w:link w:val="73"/>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74"/>
    <w:qFormat/>
    <w:uiPriority w:val="0"/>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5"/>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6"/>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7"/>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8"/>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9"/>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80"/>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table of authorities"/>
    <w:basedOn w:val="1"/>
    <w:next w:val="1"/>
    <w:qFormat/>
    <w:uiPriority w:val="0"/>
    <w:pPr>
      <w:ind w:left="420" w:leftChars="200"/>
    </w:pPr>
  </w:style>
  <w:style w:type="paragraph" w:styleId="13">
    <w:name w:val="Normal Indent"/>
    <w:basedOn w:val="1"/>
    <w:link w:val="81"/>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4">
    <w:name w:val="Document Map"/>
    <w:basedOn w:val="1"/>
    <w:semiHidden/>
    <w:qFormat/>
    <w:uiPriority w:val="0"/>
    <w:pPr>
      <w:shd w:val="clear" w:color="auto" w:fill="000080"/>
    </w:pPr>
  </w:style>
  <w:style w:type="paragraph" w:styleId="15">
    <w:name w:val="annotation text"/>
    <w:basedOn w:val="1"/>
    <w:link w:val="82"/>
    <w:unhideWhenUsed/>
    <w:qFormat/>
    <w:uiPriority w:val="0"/>
    <w:pPr>
      <w:jc w:val="left"/>
    </w:pPr>
    <w:rPr>
      <w:rFonts w:hint="default" w:cs="Times New Roman"/>
      <w:kern w:val="0"/>
      <w:sz w:val="20"/>
    </w:rPr>
  </w:style>
  <w:style w:type="paragraph" w:styleId="16">
    <w:name w:val="Body Text 3"/>
    <w:basedOn w:val="1"/>
    <w:link w:val="83"/>
    <w:qFormat/>
    <w:uiPriority w:val="0"/>
    <w:pPr>
      <w:widowControl w:val="0"/>
      <w:spacing w:after="120"/>
    </w:pPr>
    <w:rPr>
      <w:rFonts w:hint="default" w:ascii="Times New Roman" w:hAnsi="Times New Roman" w:eastAsia="宋体" w:cs="Times New Roman"/>
      <w:color w:val="auto"/>
      <w:sz w:val="16"/>
      <w:szCs w:val="16"/>
    </w:rPr>
  </w:style>
  <w:style w:type="paragraph" w:styleId="17">
    <w:name w:val="Body Text"/>
    <w:basedOn w:val="1"/>
    <w:link w:val="84"/>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8">
    <w:name w:val="Body Text Indent"/>
    <w:basedOn w:val="1"/>
    <w:next w:val="19"/>
    <w:link w:val="85"/>
    <w:qFormat/>
    <w:uiPriority w:val="99"/>
    <w:pPr>
      <w:widowControl w:val="0"/>
      <w:spacing w:line="360" w:lineRule="auto"/>
      <w:ind w:firstLine="570"/>
    </w:pPr>
    <w:rPr>
      <w:rFonts w:hint="default" w:ascii="Times New Roman" w:hAnsi="Times New Roman" w:eastAsia="宋体" w:cs="Times New Roman"/>
      <w:color w:val="auto"/>
      <w:sz w:val="24"/>
      <w:szCs w:val="24"/>
    </w:rPr>
  </w:style>
  <w:style w:type="paragraph" w:styleId="19">
    <w:name w:val="envelope return"/>
    <w:basedOn w:val="1"/>
    <w:unhideWhenUsed/>
    <w:qFormat/>
    <w:uiPriority w:val="99"/>
    <w:pPr>
      <w:snapToGrid w:val="0"/>
    </w:pPr>
    <w:rPr>
      <w:rFonts w:ascii="Arial" w:hAnsi="Arial"/>
    </w:rPr>
  </w:style>
  <w:style w:type="paragraph" w:styleId="20">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3">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4">
    <w:name w:val="Plain Text"/>
    <w:basedOn w:val="1"/>
    <w:link w:val="86"/>
    <w:qFormat/>
    <w:uiPriority w:val="0"/>
    <w:pPr>
      <w:widowControl w:val="0"/>
    </w:pPr>
    <w:rPr>
      <w:rFonts w:hint="default" w:ascii="宋体" w:hAnsi="Courier New" w:eastAsia="宋体" w:cs="Times New Roman"/>
      <w:color w:val="auto"/>
      <w:kern w:val="0"/>
      <w:sz w:val="20"/>
      <w:szCs w:val="20"/>
    </w:rPr>
  </w:style>
  <w:style w:type="paragraph" w:styleId="25">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6">
    <w:name w:val="Date"/>
    <w:basedOn w:val="1"/>
    <w:next w:val="1"/>
    <w:link w:val="87"/>
    <w:qFormat/>
    <w:uiPriority w:val="99"/>
    <w:pPr>
      <w:widowControl w:val="0"/>
      <w:ind w:left="100" w:leftChars="2500"/>
    </w:pPr>
    <w:rPr>
      <w:rFonts w:hint="default" w:ascii="仿宋_GB2312" w:hAnsi="宋体" w:eastAsia="仿宋_GB2312" w:cs="Times New Roman"/>
      <w:sz w:val="24"/>
      <w:szCs w:val="24"/>
    </w:rPr>
  </w:style>
  <w:style w:type="paragraph" w:styleId="27">
    <w:name w:val="Body Text Indent 2"/>
    <w:basedOn w:val="1"/>
    <w:link w:val="88"/>
    <w:qFormat/>
    <w:uiPriority w:val="99"/>
    <w:pPr>
      <w:widowControl w:val="0"/>
      <w:ind w:firstLine="480" w:firstLineChars="200"/>
    </w:pPr>
    <w:rPr>
      <w:rFonts w:hint="default" w:ascii="仿宋_GB2312" w:hAnsi="Times New Roman" w:eastAsia="仿宋_GB2312" w:cs="Times New Roman"/>
      <w:color w:val="auto"/>
      <w:sz w:val="24"/>
      <w:szCs w:val="24"/>
    </w:rPr>
  </w:style>
  <w:style w:type="paragraph" w:styleId="28">
    <w:name w:val="Balloon Text"/>
    <w:basedOn w:val="1"/>
    <w:link w:val="89"/>
    <w:unhideWhenUsed/>
    <w:qFormat/>
    <w:uiPriority w:val="99"/>
    <w:rPr>
      <w:rFonts w:hint="default" w:cs="Times New Roman"/>
      <w:kern w:val="0"/>
      <w:sz w:val="18"/>
      <w:szCs w:val="18"/>
    </w:rPr>
  </w:style>
  <w:style w:type="paragraph" w:styleId="29">
    <w:name w:val="footer"/>
    <w:basedOn w:val="1"/>
    <w:link w:val="90"/>
    <w:qFormat/>
    <w:uiPriority w:val="99"/>
    <w:pPr>
      <w:tabs>
        <w:tab w:val="center" w:pos="4153"/>
        <w:tab w:val="right" w:pos="8306"/>
      </w:tabs>
    </w:pPr>
    <w:rPr>
      <w:rFonts w:hint="default" w:ascii="宋体" w:hAnsi="宋体" w:eastAsia="宋体" w:cs="Times New Roman"/>
      <w:kern w:val="0"/>
      <w:sz w:val="18"/>
      <w:szCs w:val="18"/>
    </w:rPr>
  </w:style>
  <w:style w:type="paragraph" w:styleId="30">
    <w:name w:val="header"/>
    <w:basedOn w:val="1"/>
    <w:link w:val="91"/>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Subtitle"/>
    <w:basedOn w:val="1"/>
    <w:next w:val="1"/>
    <w:qFormat/>
    <w:uiPriority w:val="0"/>
    <w:pPr>
      <w:spacing w:before="60" w:after="60"/>
      <w:jc w:val="left"/>
      <w:outlineLvl w:val="1"/>
    </w:pPr>
    <w:rPr>
      <w:rFonts w:ascii="等线 Light" w:hAnsi="等线 Light" w:eastAsia="楷体"/>
      <w:bCs/>
      <w:kern w:val="28"/>
      <w:szCs w:val="32"/>
    </w:rPr>
  </w:style>
  <w:style w:type="paragraph" w:styleId="34">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5">
    <w:name w:val="footnote text"/>
    <w:basedOn w:val="1"/>
    <w:link w:val="92"/>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6">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7">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8">
    <w:name w:val="Body Text Indent 3"/>
    <w:basedOn w:val="1"/>
    <w:link w:val="93"/>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9">
    <w:name w:val="table of figures"/>
    <w:basedOn w:val="1"/>
    <w:next w:val="1"/>
    <w:qFormat/>
    <w:uiPriority w:val="0"/>
    <w:pPr>
      <w:ind w:left="200" w:leftChars="200" w:hanging="200" w:hangingChars="200"/>
    </w:pPr>
    <w:rPr>
      <w:rFonts w:ascii="Times New Roman" w:hAnsi="Times New Roman"/>
    </w:rPr>
  </w:style>
  <w:style w:type="paragraph" w:styleId="40">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2">
    <w:name w:val="Body Text 2"/>
    <w:basedOn w:val="1"/>
    <w:link w:val="94"/>
    <w:qFormat/>
    <w:uiPriority w:val="0"/>
    <w:pPr>
      <w:widowControl w:val="0"/>
      <w:spacing w:after="120" w:line="480" w:lineRule="auto"/>
    </w:pPr>
    <w:rPr>
      <w:rFonts w:hint="default" w:ascii="Times New Roman" w:hAnsi="Times New Roman" w:eastAsia="宋体" w:cs="Times New Roman"/>
      <w:color w:val="auto"/>
      <w:szCs w:val="24"/>
    </w:rPr>
  </w:style>
  <w:style w:type="paragraph" w:styleId="43">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lang w:val="en-US" w:eastAsia="zh-CN"/>
    </w:rPr>
  </w:style>
  <w:style w:type="paragraph" w:styleId="46">
    <w:name w:val="Normal (Web)"/>
    <w:basedOn w:val="1"/>
    <w:qFormat/>
    <w:uiPriority w:val="99"/>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7">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8">
    <w:name w:val="Title"/>
    <w:basedOn w:val="1"/>
    <w:link w:val="95"/>
    <w:qFormat/>
    <w:uiPriority w:val="0"/>
    <w:pPr>
      <w:spacing w:before="240" w:after="60"/>
      <w:jc w:val="center"/>
    </w:pPr>
    <w:rPr>
      <w:rFonts w:ascii="Arial" w:hAnsi="Arial" w:eastAsia="Arial" w:cs="Times New Roman"/>
      <w:b/>
      <w:bCs/>
      <w:sz w:val="32"/>
      <w:szCs w:val="32"/>
      <w:lang w:val="en-US" w:eastAsia="zh-CN"/>
    </w:rPr>
  </w:style>
  <w:style w:type="paragraph" w:styleId="49">
    <w:name w:val="annotation subject"/>
    <w:basedOn w:val="15"/>
    <w:next w:val="15"/>
    <w:link w:val="96"/>
    <w:qFormat/>
    <w:uiPriority w:val="0"/>
    <w:pPr>
      <w:widowControl w:val="0"/>
    </w:pPr>
    <w:rPr>
      <w:rFonts w:ascii="Times New Roman" w:hAnsi="Times New Roman" w:eastAsia="宋体"/>
      <w:b/>
      <w:bCs/>
      <w:color w:val="auto"/>
      <w:kern w:val="2"/>
      <w:sz w:val="21"/>
      <w:szCs w:val="24"/>
    </w:rPr>
  </w:style>
  <w:style w:type="paragraph" w:styleId="50">
    <w:name w:val="Body Text First Indent"/>
    <w:basedOn w:val="17"/>
    <w:next w:val="51"/>
    <w:link w:val="97"/>
    <w:qFormat/>
    <w:uiPriority w:val="0"/>
    <w:pPr>
      <w:spacing w:before="0" w:after="120" w:line="240" w:lineRule="auto"/>
      <w:ind w:firstLine="420"/>
    </w:pPr>
    <w:rPr>
      <w:rFonts w:ascii="Times New Roman" w:hAnsi="Times New Roman" w:eastAsia="楷体_GB2312"/>
      <w:sz w:val="32"/>
    </w:rPr>
  </w:style>
  <w:style w:type="paragraph" w:styleId="51">
    <w:name w:val="Body Text First Indent 2"/>
    <w:basedOn w:val="18"/>
    <w:next w:val="1"/>
    <w:link w:val="98"/>
    <w:unhideWhenUsed/>
    <w:qFormat/>
    <w:uiPriority w:val="99"/>
    <w:pPr>
      <w:spacing w:after="120" w:line="240" w:lineRule="auto"/>
      <w:ind w:left="420" w:leftChars="200" w:firstLine="420" w:firstLineChars="200"/>
    </w:pPr>
    <w:rPr>
      <w:rFonts w:ascii="Cambria" w:hAnsi="Cambria"/>
      <w:sz w:val="21"/>
    </w:rPr>
  </w:style>
  <w:style w:type="table" w:styleId="53">
    <w:name w:val="Table Grid"/>
    <w:basedOn w:val="5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b/>
      <w:bCs/>
    </w:rPr>
  </w:style>
  <w:style w:type="character" w:styleId="56">
    <w:name w:val="page number"/>
    <w:qFormat/>
    <w:uiPriority w:val="99"/>
  </w:style>
  <w:style w:type="character" w:styleId="57">
    <w:name w:val="FollowedHyperlink"/>
    <w:qFormat/>
    <w:uiPriority w:val="0"/>
    <w:rPr>
      <w:color w:val="333333"/>
      <w:sz w:val="18"/>
      <w:szCs w:val="18"/>
      <w:u w:val="none"/>
    </w:rPr>
  </w:style>
  <w:style w:type="character" w:styleId="58">
    <w:name w:val="Emphasis"/>
    <w:qFormat/>
    <w:uiPriority w:val="20"/>
    <w:rPr>
      <w:b/>
      <w:bCs/>
    </w:rPr>
  </w:style>
  <w:style w:type="character" w:styleId="59">
    <w:name w:val="HTML Definition"/>
    <w:unhideWhenUsed/>
    <w:qFormat/>
    <w:uiPriority w:val="99"/>
  </w:style>
  <w:style w:type="character" w:styleId="60">
    <w:name w:val="HTML Typewriter"/>
    <w:unhideWhenUsed/>
    <w:qFormat/>
    <w:uiPriority w:val="99"/>
    <w:rPr>
      <w:rFonts w:hint="default" w:ascii="monospace" w:hAnsi="monospace" w:eastAsia="monospace" w:cs="monospace"/>
      <w:sz w:val="20"/>
    </w:rPr>
  </w:style>
  <w:style w:type="character" w:styleId="61">
    <w:name w:val="HTML Acronym"/>
    <w:basedOn w:val="54"/>
    <w:unhideWhenUsed/>
    <w:qFormat/>
    <w:uiPriority w:val="99"/>
  </w:style>
  <w:style w:type="character" w:styleId="62">
    <w:name w:val="HTML Variable"/>
    <w:unhideWhenUsed/>
    <w:qFormat/>
    <w:uiPriority w:val="99"/>
  </w:style>
  <w:style w:type="character" w:styleId="63">
    <w:name w:val="Hyperlink"/>
    <w:qFormat/>
    <w:uiPriority w:val="99"/>
    <w:rPr>
      <w:u w:val="single"/>
    </w:rPr>
  </w:style>
  <w:style w:type="character" w:styleId="64">
    <w:name w:val="HTML Code"/>
    <w:unhideWhenUsed/>
    <w:qFormat/>
    <w:uiPriority w:val="99"/>
    <w:rPr>
      <w:rFonts w:hint="default" w:ascii="monospace" w:hAnsi="monospace" w:eastAsia="monospace" w:cs="monospace"/>
      <w:sz w:val="20"/>
    </w:rPr>
  </w:style>
  <w:style w:type="character" w:styleId="65">
    <w:name w:val="annotation reference"/>
    <w:unhideWhenUsed/>
    <w:qFormat/>
    <w:uiPriority w:val="99"/>
    <w:rPr>
      <w:sz w:val="21"/>
      <w:szCs w:val="21"/>
    </w:rPr>
  </w:style>
  <w:style w:type="character" w:styleId="66">
    <w:name w:val="HTML Cite"/>
    <w:unhideWhenUsed/>
    <w:qFormat/>
    <w:uiPriority w:val="99"/>
    <w:rPr>
      <w:bdr w:val="single" w:color="D6D6D6" w:sz="6" w:space="0"/>
      <w:shd w:val="clear" w:color="auto" w:fill="FFFFFF"/>
    </w:rPr>
  </w:style>
  <w:style w:type="character" w:styleId="67">
    <w:name w:val="footnote reference"/>
    <w:qFormat/>
    <w:uiPriority w:val="0"/>
    <w:rPr>
      <w:vertAlign w:val="superscript"/>
    </w:rPr>
  </w:style>
  <w:style w:type="character" w:styleId="68">
    <w:name w:val="HTML Keyboard"/>
    <w:unhideWhenUsed/>
    <w:qFormat/>
    <w:uiPriority w:val="99"/>
    <w:rPr>
      <w:rFonts w:hint="default" w:ascii="monospace" w:hAnsi="monospace" w:eastAsia="monospace" w:cs="monospace"/>
      <w:sz w:val="20"/>
    </w:rPr>
  </w:style>
  <w:style w:type="character" w:styleId="69">
    <w:name w:val="HTML Sample"/>
    <w:unhideWhenUsed/>
    <w:qFormat/>
    <w:uiPriority w:val="99"/>
    <w:rPr>
      <w:rFonts w:ascii="monospace" w:hAnsi="monospace" w:eastAsia="monospace" w:cs="monospace"/>
    </w:rPr>
  </w:style>
  <w:style w:type="paragraph" w:customStyle="1" w:styleId="7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1">
    <w:name w:val="首行缩进"/>
    <w:basedOn w:val="1"/>
    <w:qFormat/>
    <w:uiPriority w:val="0"/>
    <w:pPr>
      <w:spacing w:line="360" w:lineRule="auto"/>
      <w:ind w:firstLine="480" w:firstLineChars="200"/>
      <w:jc w:val="left"/>
    </w:pPr>
    <w:rPr>
      <w:rFonts w:ascii="宋体" w:hAnsi="宋体"/>
      <w:sz w:val="24"/>
    </w:rPr>
  </w:style>
  <w:style w:type="character" w:customStyle="1" w:styleId="72">
    <w:name w:val="标题 1 字符"/>
    <w:link w:val="2"/>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3">
    <w:name w:val="标题 2 字符"/>
    <w:link w:val="3"/>
    <w:qFormat/>
    <w:uiPriority w:val="0"/>
    <w:rPr>
      <w:rFonts w:ascii="Cambria" w:hAnsi="Cambria" w:eastAsia="宋体" w:cs="Times New Roman"/>
      <w:b/>
      <w:bCs/>
      <w:color w:val="000000"/>
      <w:sz w:val="32"/>
      <w:szCs w:val="32"/>
      <w:lang w:val="zh-TW" w:eastAsia="zh-TW"/>
    </w:rPr>
  </w:style>
  <w:style w:type="character" w:customStyle="1" w:styleId="74">
    <w:name w:val="标题 3 字符"/>
    <w:link w:val="4"/>
    <w:qFormat/>
    <w:uiPriority w:val="0"/>
    <w:rPr>
      <w:rFonts w:ascii="Arial Unicode MS" w:hAnsi="Arial Unicode MS" w:eastAsia="Arial Unicode MS" w:cs="Arial Unicode MS"/>
      <w:b/>
      <w:bCs/>
      <w:color w:val="000000"/>
      <w:sz w:val="32"/>
      <w:szCs w:val="32"/>
      <w:lang w:val="zh-TW" w:eastAsia="zh-TW"/>
    </w:rPr>
  </w:style>
  <w:style w:type="character" w:customStyle="1" w:styleId="75">
    <w:name w:val="标题 4 字符"/>
    <w:link w:val="5"/>
    <w:qFormat/>
    <w:uiPriority w:val="0"/>
    <w:rPr>
      <w:rFonts w:ascii="Arial" w:hAnsi="Arial" w:eastAsia="黑体"/>
      <w:b/>
      <w:kern w:val="2"/>
      <w:sz w:val="28"/>
      <w:szCs w:val="24"/>
    </w:rPr>
  </w:style>
  <w:style w:type="character" w:customStyle="1" w:styleId="76">
    <w:name w:val="标题 5 字符"/>
    <w:link w:val="6"/>
    <w:qFormat/>
    <w:uiPriority w:val="0"/>
    <w:rPr>
      <w:rFonts w:ascii="仿宋_GB2312" w:hAnsi="Times New Roman" w:eastAsia="仿宋_GB2312"/>
      <w:b/>
      <w:kern w:val="2"/>
      <w:sz w:val="28"/>
      <w:szCs w:val="32"/>
    </w:rPr>
  </w:style>
  <w:style w:type="character" w:customStyle="1" w:styleId="77">
    <w:name w:val="标题 6 字符"/>
    <w:link w:val="7"/>
    <w:qFormat/>
    <w:uiPriority w:val="0"/>
    <w:rPr>
      <w:rFonts w:ascii="Arial" w:hAnsi="Arial" w:eastAsia="黑体"/>
      <w:b/>
      <w:kern w:val="2"/>
      <w:sz w:val="24"/>
      <w:szCs w:val="32"/>
    </w:rPr>
  </w:style>
  <w:style w:type="character" w:customStyle="1" w:styleId="78">
    <w:name w:val="标题 7 字符"/>
    <w:link w:val="8"/>
    <w:qFormat/>
    <w:uiPriority w:val="0"/>
    <w:rPr>
      <w:rFonts w:ascii="仿宋_GB2312" w:hAnsi="Times New Roman" w:eastAsia="仿宋_GB2312"/>
      <w:b/>
      <w:kern w:val="2"/>
      <w:sz w:val="24"/>
      <w:szCs w:val="32"/>
    </w:rPr>
  </w:style>
  <w:style w:type="character" w:customStyle="1" w:styleId="79">
    <w:name w:val="标题 8 字符"/>
    <w:link w:val="9"/>
    <w:qFormat/>
    <w:uiPriority w:val="0"/>
    <w:rPr>
      <w:rFonts w:ascii="Arial" w:hAnsi="Arial" w:eastAsia="黑体"/>
      <w:kern w:val="2"/>
      <w:sz w:val="24"/>
      <w:szCs w:val="32"/>
    </w:rPr>
  </w:style>
  <w:style w:type="character" w:customStyle="1" w:styleId="80">
    <w:name w:val="标题 9 字符"/>
    <w:link w:val="10"/>
    <w:qFormat/>
    <w:uiPriority w:val="0"/>
    <w:rPr>
      <w:rFonts w:ascii="Arial" w:hAnsi="Arial" w:eastAsia="黑体"/>
      <w:kern w:val="2"/>
      <w:sz w:val="21"/>
      <w:szCs w:val="32"/>
    </w:rPr>
  </w:style>
  <w:style w:type="character" w:customStyle="1" w:styleId="81">
    <w:name w:val="正文缩进 字符"/>
    <w:link w:val="13"/>
    <w:qFormat/>
    <w:uiPriority w:val="0"/>
    <w:rPr>
      <w:rFonts w:ascii="宋体"/>
      <w:sz w:val="24"/>
    </w:rPr>
  </w:style>
  <w:style w:type="character" w:customStyle="1" w:styleId="82">
    <w:name w:val="批注文字 字符"/>
    <w:link w:val="15"/>
    <w:qFormat/>
    <w:uiPriority w:val="0"/>
    <w:rPr>
      <w:rFonts w:ascii="Arial Unicode MS" w:hAnsi="Arial Unicode MS" w:eastAsia="Arial Unicode MS" w:cs="Arial Unicode MS"/>
      <w:color w:val="000000"/>
      <w:szCs w:val="21"/>
      <w:lang w:val="zh-TW" w:eastAsia="zh-TW"/>
    </w:rPr>
  </w:style>
  <w:style w:type="character" w:customStyle="1" w:styleId="83">
    <w:name w:val="正文文本 3 字符"/>
    <w:link w:val="16"/>
    <w:qFormat/>
    <w:uiPriority w:val="0"/>
    <w:rPr>
      <w:kern w:val="2"/>
      <w:sz w:val="16"/>
      <w:szCs w:val="16"/>
    </w:rPr>
  </w:style>
  <w:style w:type="character" w:customStyle="1" w:styleId="84">
    <w:name w:val="正文文本 字符1"/>
    <w:link w:val="17"/>
    <w:qFormat/>
    <w:uiPriority w:val="0"/>
    <w:rPr>
      <w:rFonts w:ascii="宋体" w:hAnsi="宋体"/>
      <w:kern w:val="2"/>
      <w:sz w:val="24"/>
      <w:szCs w:val="24"/>
    </w:rPr>
  </w:style>
  <w:style w:type="character" w:customStyle="1" w:styleId="85">
    <w:name w:val="正文文本缩进 字符"/>
    <w:link w:val="18"/>
    <w:qFormat/>
    <w:uiPriority w:val="99"/>
    <w:rPr>
      <w:kern w:val="2"/>
      <w:sz w:val="24"/>
      <w:szCs w:val="24"/>
    </w:rPr>
  </w:style>
  <w:style w:type="character" w:customStyle="1" w:styleId="86">
    <w:name w:val="纯文本 字符"/>
    <w:link w:val="24"/>
    <w:qFormat/>
    <w:uiPriority w:val="0"/>
    <w:rPr>
      <w:rFonts w:ascii="宋体" w:hAnsi="Courier New"/>
    </w:rPr>
  </w:style>
  <w:style w:type="character" w:customStyle="1" w:styleId="87">
    <w:name w:val="日期 字符"/>
    <w:link w:val="26"/>
    <w:qFormat/>
    <w:uiPriority w:val="99"/>
    <w:rPr>
      <w:rFonts w:ascii="仿宋_GB2312" w:hAnsi="宋体" w:eastAsia="仿宋_GB2312"/>
      <w:color w:val="000000"/>
      <w:kern w:val="2"/>
      <w:sz w:val="24"/>
      <w:szCs w:val="24"/>
    </w:rPr>
  </w:style>
  <w:style w:type="character" w:customStyle="1" w:styleId="88">
    <w:name w:val="正文文本缩进 2 字符"/>
    <w:link w:val="27"/>
    <w:qFormat/>
    <w:uiPriority w:val="99"/>
    <w:rPr>
      <w:rFonts w:ascii="仿宋_GB2312" w:eastAsia="仿宋_GB2312"/>
      <w:kern w:val="2"/>
      <w:sz w:val="24"/>
      <w:szCs w:val="24"/>
    </w:rPr>
  </w:style>
  <w:style w:type="character" w:customStyle="1" w:styleId="89">
    <w:name w:val="批注框文本 字符"/>
    <w:link w:val="28"/>
    <w:qFormat/>
    <w:uiPriority w:val="99"/>
    <w:rPr>
      <w:rFonts w:ascii="Arial Unicode MS" w:hAnsi="Arial Unicode MS" w:eastAsia="Arial Unicode MS" w:cs="Arial Unicode MS"/>
      <w:color w:val="000000"/>
      <w:sz w:val="18"/>
      <w:szCs w:val="18"/>
      <w:lang w:val="zh-TW" w:eastAsia="zh-TW"/>
    </w:rPr>
  </w:style>
  <w:style w:type="character" w:customStyle="1" w:styleId="90">
    <w:name w:val="页脚 字符"/>
    <w:link w:val="29"/>
    <w:qFormat/>
    <w:uiPriority w:val="99"/>
    <w:rPr>
      <w:rFonts w:ascii="宋体" w:hAnsi="宋体" w:eastAsia="宋体" w:cs="宋体"/>
      <w:color w:val="000000"/>
      <w:kern w:val="0"/>
      <w:sz w:val="18"/>
      <w:szCs w:val="18"/>
    </w:rPr>
  </w:style>
  <w:style w:type="character" w:customStyle="1" w:styleId="91">
    <w:name w:val="页眉 字符"/>
    <w:link w:val="30"/>
    <w:qFormat/>
    <w:uiPriority w:val="99"/>
    <w:rPr>
      <w:rFonts w:ascii="Arial Unicode MS" w:hAnsi="Arial Unicode MS" w:eastAsia="Arial Unicode MS" w:cs="Arial Unicode MS"/>
      <w:color w:val="000000"/>
      <w:sz w:val="18"/>
      <w:szCs w:val="18"/>
      <w:lang w:val="zh-TW" w:eastAsia="zh-TW"/>
    </w:rPr>
  </w:style>
  <w:style w:type="character" w:customStyle="1" w:styleId="92">
    <w:name w:val="脚注文本 字符"/>
    <w:link w:val="35"/>
    <w:qFormat/>
    <w:uiPriority w:val="0"/>
    <w:rPr>
      <w:kern w:val="2"/>
      <w:sz w:val="18"/>
      <w:szCs w:val="22"/>
    </w:rPr>
  </w:style>
  <w:style w:type="character" w:customStyle="1" w:styleId="93">
    <w:name w:val="正文文本缩进 3 字符"/>
    <w:link w:val="38"/>
    <w:qFormat/>
    <w:uiPriority w:val="0"/>
    <w:rPr>
      <w:rFonts w:ascii="宋体"/>
      <w:sz w:val="24"/>
    </w:rPr>
  </w:style>
  <w:style w:type="character" w:customStyle="1" w:styleId="94">
    <w:name w:val="正文文本 2 字符"/>
    <w:link w:val="42"/>
    <w:qFormat/>
    <w:uiPriority w:val="0"/>
    <w:rPr>
      <w:kern w:val="2"/>
      <w:sz w:val="21"/>
      <w:szCs w:val="24"/>
    </w:rPr>
  </w:style>
  <w:style w:type="character" w:customStyle="1" w:styleId="95">
    <w:name w:val="标题 字符"/>
    <w:link w:val="48"/>
    <w:qFormat/>
    <w:uiPriority w:val="0"/>
    <w:rPr>
      <w:rFonts w:ascii="Arial" w:hAnsi="Arial" w:eastAsia="Arial"/>
      <w:b/>
      <w:bCs/>
      <w:color w:val="000000"/>
      <w:sz w:val="32"/>
      <w:szCs w:val="32"/>
      <w:lang w:bidi="ar-SA"/>
    </w:rPr>
  </w:style>
  <w:style w:type="character" w:customStyle="1" w:styleId="96">
    <w:name w:val="批注主题 字符"/>
    <w:link w:val="49"/>
    <w:qFormat/>
    <w:uiPriority w:val="0"/>
    <w:rPr>
      <w:b/>
      <w:bCs/>
      <w:kern w:val="2"/>
      <w:sz w:val="21"/>
      <w:szCs w:val="24"/>
    </w:rPr>
  </w:style>
  <w:style w:type="character" w:customStyle="1" w:styleId="97">
    <w:name w:val="正文文本首行缩进 字符"/>
    <w:link w:val="50"/>
    <w:qFormat/>
    <w:uiPriority w:val="0"/>
    <w:rPr>
      <w:rFonts w:eastAsia="楷体_GB2312"/>
      <w:kern w:val="2"/>
      <w:sz w:val="32"/>
      <w:szCs w:val="24"/>
    </w:rPr>
  </w:style>
  <w:style w:type="character" w:customStyle="1" w:styleId="98">
    <w:name w:val="正文文本首行缩进 2 字符"/>
    <w:link w:val="51"/>
    <w:qFormat/>
    <w:uiPriority w:val="99"/>
    <w:rPr>
      <w:rFonts w:ascii="Cambria" w:hAnsi="Cambria"/>
      <w:kern w:val="2"/>
      <w:sz w:val="21"/>
      <w:szCs w:val="24"/>
    </w:rPr>
  </w:style>
  <w:style w:type="paragraph" w:customStyle="1" w:styleId="99">
    <w:name w:val="Char Char10 Char Char Char Char"/>
    <w:basedOn w:val="1"/>
    <w:next w:val="100"/>
    <w:qFormat/>
    <w:uiPriority w:val="0"/>
    <w:rPr>
      <w:rFonts w:ascii="Calibri" w:hAnsi="Calibri"/>
      <w:kern w:val="0"/>
    </w:rPr>
  </w:style>
  <w:style w:type="paragraph" w:customStyle="1" w:styleId="100">
    <w:name w:val="xl87"/>
    <w:basedOn w:val="1"/>
    <w:next w:val="101"/>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1">
    <w:name w:val="xl72"/>
    <w:basedOn w:val="1"/>
    <w:next w:val="26"/>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character" w:customStyle="1" w:styleId="102">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3">
    <w:name w:val="正文文本缩进 2 Char1"/>
    <w:semiHidden/>
    <w:qFormat/>
    <w:uiPriority w:val="99"/>
    <w:rPr>
      <w:rFonts w:ascii="Times New Roman" w:hAnsi="Times New Roman" w:eastAsia="宋体" w:cs="Times New Roman"/>
      <w:szCs w:val="24"/>
    </w:rPr>
  </w:style>
  <w:style w:type="character" w:customStyle="1" w:styleId="104">
    <w:name w:val="正文文本缩进 3 Char1"/>
    <w:semiHidden/>
    <w:qFormat/>
    <w:uiPriority w:val="99"/>
    <w:rPr>
      <w:rFonts w:ascii="Times New Roman" w:hAnsi="Times New Roman" w:eastAsia="宋体" w:cs="Times New Roman"/>
      <w:sz w:val="16"/>
      <w:szCs w:val="16"/>
    </w:rPr>
  </w:style>
  <w:style w:type="character" w:customStyle="1" w:styleId="105">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6">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7">
    <w:name w:val="正文缩进 Char1"/>
    <w:link w:val="108"/>
    <w:qFormat/>
    <w:uiPriority w:val="0"/>
    <w:rPr>
      <w:rFonts w:ascii="宋体"/>
      <w:sz w:val="24"/>
    </w:rPr>
  </w:style>
  <w:style w:type="paragraph" w:customStyle="1" w:styleId="108">
    <w:name w:val="正文缩进1"/>
    <w:basedOn w:val="1"/>
    <w:link w:val="10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09">
    <w:name w:val="正文首行缩进 2 Char1"/>
    <w:semiHidden/>
    <w:qFormat/>
    <w:uiPriority w:val="99"/>
    <w:rPr>
      <w:lang w:val="zh-TW" w:eastAsia="zh-TW"/>
    </w:rPr>
  </w:style>
  <w:style w:type="character" w:customStyle="1" w:styleId="110">
    <w:name w:val="*正文 Char"/>
    <w:link w:val="111"/>
    <w:qFormat/>
    <w:uiPriority w:val="0"/>
    <w:rPr>
      <w:rFonts w:ascii="宋体" w:hAnsi="宋体"/>
      <w:sz w:val="22"/>
      <w:szCs w:val="24"/>
    </w:rPr>
  </w:style>
  <w:style w:type="paragraph" w:customStyle="1" w:styleId="111">
    <w:name w:val="*正文"/>
    <w:basedOn w:val="1"/>
    <w:link w:val="110"/>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12">
    <w:name w:val="日期 Char1"/>
    <w:semiHidden/>
    <w:qFormat/>
    <w:uiPriority w:val="99"/>
    <w:rPr>
      <w:rFonts w:ascii="Times New Roman" w:hAnsi="Times New Roman" w:eastAsia="宋体" w:cs="Times New Roman"/>
      <w:szCs w:val="24"/>
    </w:rPr>
  </w:style>
  <w:style w:type="character" w:customStyle="1" w:styleId="113">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4">
    <w:name w:val="批注文字 Char2"/>
    <w:semiHidden/>
    <w:qFormat/>
    <w:uiPriority w:val="99"/>
    <w:rPr>
      <w:kern w:val="2"/>
      <w:sz w:val="21"/>
      <w:szCs w:val="24"/>
    </w:rPr>
  </w:style>
  <w:style w:type="character" w:customStyle="1" w:styleId="115">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6">
    <w:name w:val="页眉 Char2"/>
    <w:semiHidden/>
    <w:qFormat/>
    <w:uiPriority w:val="99"/>
    <w:rPr>
      <w:kern w:val="2"/>
      <w:sz w:val="18"/>
      <w:szCs w:val="18"/>
    </w:rPr>
  </w:style>
  <w:style w:type="character" w:customStyle="1" w:styleId="117">
    <w:name w:val="font61"/>
    <w:qFormat/>
    <w:uiPriority w:val="0"/>
    <w:rPr>
      <w:rFonts w:hint="eastAsia" w:ascii="宋体" w:hAnsi="宋体" w:eastAsia="宋体" w:cs="宋体"/>
      <w:color w:val="auto"/>
      <w:sz w:val="20"/>
      <w:szCs w:val="20"/>
      <w:u w:val="none"/>
    </w:rPr>
  </w:style>
  <w:style w:type="character" w:customStyle="1" w:styleId="118">
    <w:name w:val="NormalCharacter"/>
    <w:qFormat/>
    <w:uiPriority w:val="0"/>
    <w:rPr>
      <w:kern w:val="2"/>
      <w:sz w:val="21"/>
      <w:szCs w:val="24"/>
      <w:lang w:val="en-US" w:eastAsia="zh-CN" w:bidi="ar-SA"/>
    </w:rPr>
  </w:style>
  <w:style w:type="character" w:customStyle="1" w:styleId="119">
    <w:name w:val="未处理的提及1"/>
    <w:unhideWhenUsed/>
    <w:qFormat/>
    <w:uiPriority w:val="99"/>
    <w:rPr>
      <w:color w:val="605E5C"/>
      <w:shd w:val="clear" w:color="auto" w:fill="E1DFDD"/>
    </w:rPr>
  </w:style>
  <w:style w:type="character" w:customStyle="1" w:styleId="120">
    <w:name w:val="apple-converted-space"/>
    <w:qFormat/>
    <w:uiPriority w:val="0"/>
  </w:style>
  <w:style w:type="character" w:customStyle="1" w:styleId="121">
    <w:name w:val="标题 Char2"/>
    <w:qFormat/>
    <w:uiPriority w:val="10"/>
    <w:rPr>
      <w:rFonts w:ascii="Cambria" w:hAnsi="Cambria" w:cs="Times New Roman"/>
      <w:b/>
      <w:bCs/>
      <w:kern w:val="2"/>
      <w:sz w:val="32"/>
      <w:szCs w:val="32"/>
    </w:rPr>
  </w:style>
  <w:style w:type="character" w:customStyle="1" w:styleId="122">
    <w:name w:val="批注框文本 Char1"/>
    <w:semiHidden/>
    <w:qFormat/>
    <w:uiPriority w:val="99"/>
    <w:rPr>
      <w:kern w:val="2"/>
      <w:sz w:val="18"/>
      <w:szCs w:val="18"/>
    </w:rPr>
  </w:style>
  <w:style w:type="character" w:customStyle="1" w:styleId="123">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24">
    <w:name w:val="标题 Char1"/>
    <w:qFormat/>
    <w:uiPriority w:val="10"/>
    <w:rPr>
      <w:rFonts w:ascii="Cambria" w:hAnsi="Cambria" w:eastAsia="宋体" w:cs="Times New Roman"/>
      <w:b/>
      <w:bCs/>
      <w:sz w:val="32"/>
      <w:szCs w:val="32"/>
    </w:rPr>
  </w:style>
  <w:style w:type="character" w:customStyle="1" w:styleId="125">
    <w:name w:val="批注框文本 Char2"/>
    <w:semiHidden/>
    <w:qFormat/>
    <w:uiPriority w:val="99"/>
    <w:rPr>
      <w:kern w:val="2"/>
      <w:sz w:val="18"/>
      <w:szCs w:val="18"/>
    </w:rPr>
  </w:style>
  <w:style w:type="character" w:customStyle="1" w:styleId="126">
    <w:name w:val="纯文本 Char"/>
    <w:qFormat/>
    <w:uiPriority w:val="0"/>
    <w:rPr>
      <w:rFonts w:ascii="宋体" w:hAnsi="Courier New" w:cs="Courier New"/>
      <w:color w:val="000000"/>
      <w:kern w:val="2"/>
      <w:sz w:val="21"/>
      <w:szCs w:val="21"/>
      <w:lang w:val="zh-TW" w:eastAsia="zh-TW"/>
    </w:rPr>
  </w:style>
  <w:style w:type="character" w:customStyle="1" w:styleId="127">
    <w:name w:val="正文文本缩进 Char1"/>
    <w:semiHidden/>
    <w:qFormat/>
    <w:uiPriority w:val="99"/>
    <w:rPr>
      <w:rFonts w:ascii="Times New Roman" w:hAnsi="Times New Roman" w:eastAsia="宋体" w:cs="Times New Roman"/>
      <w:szCs w:val="24"/>
    </w:rPr>
  </w:style>
  <w:style w:type="character" w:customStyle="1" w:styleId="128">
    <w:name w:val="dash6b63_6587__char1"/>
    <w:qFormat/>
    <w:uiPriority w:val="0"/>
    <w:rPr>
      <w:rFonts w:hint="default" w:ascii="Calibri" w:hAnsi="Calibri" w:cs="Calibri"/>
      <w:sz w:val="20"/>
      <w:szCs w:val="20"/>
    </w:rPr>
  </w:style>
  <w:style w:type="character" w:customStyle="1" w:styleId="129">
    <w:name w:val="pt91"/>
    <w:qFormat/>
    <w:uiPriority w:val="0"/>
    <w:rPr>
      <w:rFonts w:hint="default"/>
      <w:color w:val="333333"/>
      <w:sz w:val="18"/>
      <w:szCs w:val="18"/>
    </w:rPr>
  </w:style>
  <w:style w:type="character" w:customStyle="1" w:styleId="130">
    <w:name w:val="p141"/>
    <w:qFormat/>
    <w:uiPriority w:val="99"/>
    <w:rPr>
      <w:sz w:val="21"/>
      <w:szCs w:val="21"/>
    </w:rPr>
  </w:style>
  <w:style w:type="character" w:customStyle="1" w:styleId="131">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2">
    <w:name w:val="fontstyle01"/>
    <w:qFormat/>
    <w:uiPriority w:val="0"/>
    <w:rPr>
      <w:rFonts w:hint="default" w:ascii="Times New Roman" w:hAnsi="Times New Roman" w:cs="Times New Roman"/>
      <w:color w:val="000000"/>
      <w:sz w:val="24"/>
      <w:szCs w:val="24"/>
    </w:rPr>
  </w:style>
  <w:style w:type="character" w:customStyle="1" w:styleId="133">
    <w:name w:val="fontstyle11"/>
    <w:qFormat/>
    <w:uiPriority w:val="0"/>
    <w:rPr>
      <w:rFonts w:hint="default" w:ascii="Times New Roman" w:hAnsi="Times New Roman" w:cs="Times New Roman"/>
      <w:color w:val="000000"/>
      <w:sz w:val="18"/>
      <w:szCs w:val="18"/>
    </w:rPr>
  </w:style>
  <w:style w:type="character" w:customStyle="1" w:styleId="134">
    <w:name w:val="批注文字 Char1"/>
    <w:semiHidden/>
    <w:qFormat/>
    <w:uiPriority w:val="99"/>
    <w:rPr>
      <w:kern w:val="2"/>
      <w:sz w:val="21"/>
      <w:szCs w:val="24"/>
    </w:rPr>
  </w:style>
  <w:style w:type="character" w:customStyle="1" w:styleId="135">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6">
    <w:name w:val="fontstyle21"/>
    <w:qFormat/>
    <w:uiPriority w:val="0"/>
    <w:rPr>
      <w:rFonts w:hint="eastAsia" w:ascii="宋体" w:hAnsi="宋体" w:eastAsia="宋体"/>
      <w:color w:val="000000"/>
      <w:sz w:val="24"/>
      <w:szCs w:val="24"/>
    </w:rPr>
  </w:style>
  <w:style w:type="character" w:customStyle="1" w:styleId="137">
    <w:name w:val="页脚 Char1"/>
    <w:semiHidden/>
    <w:qFormat/>
    <w:uiPriority w:val="99"/>
    <w:rPr>
      <w:kern w:val="2"/>
      <w:sz w:val="18"/>
      <w:szCs w:val="18"/>
    </w:rPr>
  </w:style>
  <w:style w:type="character" w:customStyle="1" w:styleId="138">
    <w:name w:val="wen11"/>
    <w:qFormat/>
    <w:uiPriority w:val="0"/>
    <w:rPr>
      <w:color w:val="000000"/>
      <w:sz w:val="21"/>
      <w:szCs w:val="21"/>
    </w:rPr>
  </w:style>
  <w:style w:type="character" w:customStyle="1" w:styleId="139">
    <w:name w:val="正文首行缩进 Char1"/>
    <w:semiHidden/>
    <w:qFormat/>
    <w:uiPriority w:val="99"/>
    <w:rPr>
      <w:lang w:val="zh-TW" w:eastAsia="zh-TW"/>
    </w:rPr>
  </w:style>
  <w:style w:type="character" w:customStyle="1" w:styleId="140">
    <w:name w:val="脚注文本 Char1"/>
    <w:semiHidden/>
    <w:qFormat/>
    <w:uiPriority w:val="99"/>
    <w:rPr>
      <w:rFonts w:ascii="Times New Roman" w:hAnsi="Times New Roman" w:eastAsia="宋体" w:cs="Times New Roman"/>
      <w:sz w:val="18"/>
      <w:szCs w:val="18"/>
    </w:rPr>
  </w:style>
  <w:style w:type="character" w:customStyle="1" w:styleId="141">
    <w:name w:val="unnamed11"/>
    <w:qFormat/>
    <w:uiPriority w:val="0"/>
    <w:rPr>
      <w:rFonts w:hint="default" w:ascii="Arial" w:hAnsi="Arial" w:cs="Arial"/>
      <w:color w:val="000000"/>
      <w:sz w:val="18"/>
      <w:szCs w:val="18"/>
      <w:u w:val="none"/>
    </w:rPr>
  </w:style>
  <w:style w:type="character" w:customStyle="1" w:styleId="142">
    <w:name w:val="正文文本 字符"/>
    <w:qFormat/>
    <w:uiPriority w:val="0"/>
    <w:rPr>
      <w:rFonts w:ascii="宋体" w:hAnsi="宋体"/>
      <w:kern w:val="2"/>
      <w:sz w:val="24"/>
      <w:szCs w:val="24"/>
    </w:rPr>
  </w:style>
  <w:style w:type="character" w:customStyle="1" w:styleId="143">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44">
    <w:name w:val="纯文本 Char2"/>
    <w:semiHidden/>
    <w:qFormat/>
    <w:uiPriority w:val="99"/>
    <w:rPr>
      <w:rFonts w:ascii="宋体" w:hAnsi="Courier New" w:eastAsia="宋体" w:cs="Courier New"/>
      <w:szCs w:val="21"/>
    </w:rPr>
  </w:style>
  <w:style w:type="character" w:customStyle="1" w:styleId="145">
    <w:name w:val="正文文本 Char1"/>
    <w:semiHidden/>
    <w:qFormat/>
    <w:uiPriority w:val="99"/>
    <w:rPr>
      <w:rFonts w:ascii="Times New Roman" w:hAnsi="Times New Roman" w:eastAsia="宋体" w:cs="Times New Roman"/>
      <w:szCs w:val="24"/>
    </w:rPr>
  </w:style>
  <w:style w:type="character" w:customStyle="1" w:styleId="146">
    <w:name w:val="页眉 Char1"/>
    <w:semiHidden/>
    <w:qFormat/>
    <w:uiPriority w:val="99"/>
    <w:rPr>
      <w:kern w:val="2"/>
      <w:sz w:val="18"/>
      <w:szCs w:val="18"/>
    </w:rPr>
  </w:style>
  <w:style w:type="character" w:customStyle="1" w:styleId="147">
    <w:name w:val="Char Char2"/>
    <w:qFormat/>
    <w:uiPriority w:val="0"/>
    <w:rPr>
      <w:rFonts w:ascii="宋体" w:hAnsi="Courier New" w:eastAsia="宋体" w:cs="Courier New"/>
      <w:kern w:val="2"/>
      <w:sz w:val="21"/>
      <w:szCs w:val="21"/>
      <w:lang w:val="en-US" w:eastAsia="zh-CN" w:bidi="ar-SA"/>
    </w:rPr>
  </w:style>
  <w:style w:type="character" w:customStyle="1" w:styleId="148">
    <w:name w:val="批注主题 Char1"/>
    <w:semiHidden/>
    <w:qFormat/>
    <w:uiPriority w:val="99"/>
    <w:rPr>
      <w:b/>
      <w:bCs/>
      <w:kern w:val="2"/>
      <w:sz w:val="21"/>
      <w:szCs w:val="24"/>
    </w:rPr>
  </w:style>
  <w:style w:type="character" w:customStyle="1" w:styleId="149">
    <w:name w:val="p12h15"/>
    <w:qFormat/>
    <w:uiPriority w:val="0"/>
  </w:style>
  <w:style w:type="character" w:customStyle="1" w:styleId="150">
    <w:name w:val="纯文本 Char3"/>
    <w:semiHidden/>
    <w:qFormat/>
    <w:uiPriority w:val="99"/>
    <w:rPr>
      <w:rFonts w:ascii="宋体" w:hAnsi="Courier New" w:cs="Courier New"/>
      <w:kern w:val="2"/>
      <w:sz w:val="21"/>
      <w:szCs w:val="21"/>
    </w:rPr>
  </w:style>
  <w:style w:type="paragraph" w:customStyle="1" w:styleId="151">
    <w:name w:val="Body text|1"/>
    <w:basedOn w:val="1"/>
    <w:link w:val="277"/>
    <w:qFormat/>
    <w:uiPriority w:val="0"/>
    <w:pPr>
      <w:spacing w:line="394" w:lineRule="auto"/>
      <w:ind w:firstLine="400"/>
      <w:jc w:val="left"/>
    </w:pPr>
    <w:rPr>
      <w:rFonts w:ascii="宋体" w:hAnsi="宋体" w:cs="宋体"/>
      <w:kern w:val="0"/>
      <w:sz w:val="30"/>
      <w:szCs w:val="30"/>
    </w:rPr>
  </w:style>
  <w:style w:type="paragraph" w:customStyle="1" w:styleId="152">
    <w:name w:val="无间隔1"/>
    <w:basedOn w:val="1"/>
    <w:qFormat/>
    <w:uiPriority w:val="1"/>
    <w:pPr>
      <w:spacing w:line="400" w:lineRule="exact"/>
    </w:pPr>
    <w:rPr>
      <w:sz w:val="24"/>
    </w:rPr>
  </w:style>
  <w:style w:type="paragraph" w:customStyle="1" w:styleId="153">
    <w:name w:val="UserStyle_92"/>
    <w:qFormat/>
    <w:uiPriority w:val="0"/>
    <w:pPr>
      <w:spacing w:line="360" w:lineRule="auto"/>
      <w:ind w:firstLine="200"/>
      <w:jc w:val="both"/>
    </w:pPr>
    <w:rPr>
      <w:rFonts w:ascii="宋体" w:hAnsi="宋体" w:eastAsia="宋体" w:cs="宋体"/>
      <w:color w:val="000000"/>
      <w:sz w:val="22"/>
      <w:szCs w:val="22"/>
      <w:lang w:val="en-US" w:eastAsia="zh-CN" w:bidi="ar-SA"/>
    </w:rPr>
  </w:style>
  <w:style w:type="paragraph" w:customStyle="1" w:styleId="154">
    <w:name w:val="179"/>
    <w:qFormat/>
    <w:uiPriority w:val="0"/>
    <w:pPr>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55">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156">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57">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58">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59">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1">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62">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64">
    <w:name w:val="TOC1"/>
    <w:next w:val="1"/>
    <w:qFormat/>
    <w:uiPriority w:val="0"/>
    <w:pPr>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65">
    <w:name w:val="小标题 3"/>
    <w:next w:val="166"/>
    <w:qFormat/>
    <w:uiPriority w:val="0"/>
    <w:pPr>
      <w:keepNext/>
      <w:keepLines/>
      <w:spacing w:before="360" w:after="120"/>
    </w:pPr>
    <w:rPr>
      <w:rFonts w:ascii="宋体" w:hAnsi="宋体" w:eastAsia="宋体" w:cs="宋体"/>
      <w:b/>
      <w:bCs/>
      <w:color w:val="000000"/>
      <w:sz w:val="24"/>
      <w:szCs w:val="24"/>
      <w:u w:val="single" w:color="000000"/>
      <w:lang w:val="en-US" w:eastAsia="zh-CN" w:bidi="ar-SA"/>
    </w:rPr>
  </w:style>
  <w:style w:type="paragraph" w:customStyle="1" w:styleId="166">
    <w:name w:val="NormalIndent"/>
    <w:qFormat/>
    <w:uiPriority w:val="0"/>
    <w:pPr>
      <w:spacing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7">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TOC3"/>
    <w:next w:val="1"/>
    <w:qFormat/>
    <w:uiPriority w:val="0"/>
    <w:pPr>
      <w:tabs>
        <w:tab w:val="left" w:pos="1260"/>
        <w:tab w:val="right" w:leader="dot" w:pos="8630"/>
      </w:tabs>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9">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1">
    <w:name w:val="默认"/>
    <w:qFormat/>
    <w:uiPriority w:val="0"/>
    <w:pPr>
      <w:spacing w:before="160"/>
    </w:pPr>
    <w:rPr>
      <w:rFonts w:ascii="Helvetica Neue" w:hAnsi="Helvetica Neue" w:eastAsia="Helvetica Neue" w:cs="Helvetica Neue"/>
      <w:color w:val="000000"/>
      <w:sz w:val="24"/>
      <w:szCs w:val="24"/>
      <w:lang w:val="en-US" w:eastAsia="zh-CN" w:bidi="ar-SA"/>
    </w:rPr>
  </w:style>
  <w:style w:type="paragraph" w:customStyle="1" w:styleId="172">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73">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74">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5">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76">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77">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78">
    <w:name w:val="_Style 160"/>
    <w:basedOn w:val="2"/>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79">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80">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182">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183">
    <w:name w:val="UserStyle_112"/>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4">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85">
    <w:name w:val="UserStyle_140"/>
    <w:qFormat/>
    <w:uiPriority w:val="0"/>
    <w:rPr>
      <w:rFonts w:hint="eastAsia" w:ascii="Arial Unicode MS" w:hAnsi="Arial Unicode MS" w:eastAsia="Arial Unicode MS" w:cs="Arial Unicode MS"/>
      <w:color w:val="000000"/>
      <w:sz w:val="22"/>
      <w:szCs w:val="22"/>
      <w:lang w:val="en-US" w:eastAsia="zh-CN" w:bidi="ar-SA"/>
    </w:rPr>
  </w:style>
  <w:style w:type="paragraph" w:customStyle="1" w:styleId="186">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88">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9">
    <w:name w:val="列出段落1"/>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0">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91">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2">
    <w:name w:val="列出段落11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93">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4">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5">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6">
    <w:name w:val="BodyText"/>
    <w:qFormat/>
    <w:uiPriority w:val="0"/>
    <w:pPr>
      <w:tabs>
        <w:tab w:val="left" w:pos="567"/>
      </w:tabs>
      <w:spacing w:before="120" w:line="240" w:lineRule="atLeast"/>
      <w:jc w:val="both"/>
    </w:pPr>
    <w:rPr>
      <w:rFonts w:ascii="宋体" w:hAnsi="宋体" w:eastAsia="宋体" w:cs="宋体"/>
      <w:color w:val="000000"/>
      <w:kern w:val="2"/>
      <w:sz w:val="24"/>
      <w:szCs w:val="24"/>
      <w:lang w:val="en-US" w:eastAsia="zh-CN" w:bidi="ar-SA"/>
    </w:rPr>
  </w:style>
  <w:style w:type="paragraph" w:customStyle="1" w:styleId="197">
    <w:name w:val="PlainText"/>
    <w:qFormat/>
    <w:uiPriority w:val="0"/>
    <w:pPr>
      <w:jc w:val="both"/>
    </w:pPr>
    <w:rPr>
      <w:rFonts w:ascii="宋体" w:hAnsi="宋体" w:eastAsia="宋体" w:cs="宋体"/>
      <w:color w:val="000000"/>
      <w:kern w:val="2"/>
      <w:sz w:val="21"/>
      <w:szCs w:val="21"/>
      <w:lang w:val="en-US" w:eastAsia="zh-CN" w:bidi="ar-SA"/>
    </w:rPr>
  </w:style>
  <w:style w:type="paragraph" w:customStyle="1" w:styleId="198">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9">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0">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1">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2">
    <w:name w:val="样式 目录 2 + 左侧:  2 字符"/>
    <w:basedOn w:val="40"/>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03">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4">
    <w:name w:val="UserStyle_161"/>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5">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06">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7">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08">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210">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11">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12">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3">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5">
    <w:name w:val="TOC2"/>
    <w:next w:val="1"/>
    <w:qFormat/>
    <w:uiPriority w:val="0"/>
    <w:pPr>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6">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7">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18">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9">
    <w:name w:val="TOC4"/>
    <w:next w:val="1"/>
    <w:qFormat/>
    <w:uiPriority w:val="0"/>
    <w:pPr>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20">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21">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2">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3">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4">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25">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6">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27">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8">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9">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30">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1">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232">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3">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34">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35">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6">
    <w:name w:val="小标题 2"/>
    <w:next w:val="166"/>
    <w:qFormat/>
    <w:uiPriority w:val="0"/>
    <w:pPr>
      <w:keepNext/>
      <w:keepLines/>
      <w:spacing w:before="12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237">
    <w:name w:val="WPSOffice手动目录 1"/>
    <w:qFormat/>
    <w:uiPriority w:val="0"/>
    <w:rPr>
      <w:rFonts w:ascii="Times New Roman" w:hAnsi="Times New Roman" w:eastAsia="宋体" w:cs="Times New Roman"/>
      <w:lang w:val="en-US" w:eastAsia="zh-CN" w:bidi="ar-SA"/>
    </w:rPr>
  </w:style>
  <w:style w:type="table" w:customStyle="1" w:styleId="238">
    <w:name w:val="网格型2"/>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
    <w:name w:val="网格型1"/>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Table Normal1"/>
    <w:unhideWhenUsed/>
    <w:qFormat/>
    <w:uiPriority w:val="2"/>
    <w:tblPr>
      <w:tblCellMar>
        <w:top w:w="0" w:type="dxa"/>
        <w:left w:w="0" w:type="dxa"/>
        <w:bottom w:w="0" w:type="dxa"/>
        <w:right w:w="0" w:type="dxa"/>
      </w:tblCellMar>
    </w:tblPr>
  </w:style>
  <w:style w:type="table" w:customStyle="1" w:styleId="241">
    <w:name w:val="Table Normal"/>
    <w:qFormat/>
    <w:uiPriority w:val="0"/>
    <w:rPr>
      <w:rFonts w:eastAsia="Arial Unicode MS"/>
    </w:rPr>
    <w:tblPr>
      <w:tblCellMar>
        <w:top w:w="0" w:type="dxa"/>
        <w:left w:w="0" w:type="dxa"/>
        <w:bottom w:w="0" w:type="dxa"/>
        <w:right w:w="0" w:type="dxa"/>
      </w:tblCellMar>
    </w:tblPr>
  </w:style>
  <w:style w:type="paragraph" w:customStyle="1" w:styleId="242">
    <w:name w:val="正文2"/>
    <w:basedOn w:val="1"/>
    <w:qFormat/>
    <w:uiPriority w:val="0"/>
    <w:pPr>
      <w:spacing w:before="156" w:line="360" w:lineRule="auto"/>
      <w:ind w:firstLine="510" w:firstLineChars="200"/>
    </w:pPr>
    <w:rPr>
      <w:sz w:val="24"/>
      <w:szCs w:val="20"/>
    </w:rPr>
  </w:style>
  <w:style w:type="paragraph" w:customStyle="1" w:styleId="243">
    <w:name w:val="正文1"/>
    <w:qFormat/>
    <w:uiPriority w:val="0"/>
    <w:pPr>
      <w:widowControl w:val="0"/>
      <w:jc w:val="both"/>
    </w:pPr>
    <w:rPr>
      <w:rFonts w:ascii="宋体" w:hAnsi="宋体" w:eastAsia="宋体" w:cs="宋体"/>
      <w:kern w:val="2"/>
      <w:sz w:val="21"/>
      <w:szCs w:val="22"/>
      <w:lang w:val="en-US" w:eastAsia="zh-CN" w:bidi="ar-SA"/>
    </w:rPr>
  </w:style>
  <w:style w:type="paragraph" w:customStyle="1" w:styleId="244">
    <w:name w:val="WPS Plain"/>
    <w:basedOn w:val="1"/>
    <w:qFormat/>
    <w:uiPriority w:val="0"/>
    <w:pPr>
      <w:jc w:val="left"/>
    </w:pPr>
    <w:rPr>
      <w:rFonts w:ascii="Times New Roman" w:hAnsi="Times New Roman" w:cs="Times New Roman"/>
      <w:kern w:val="0"/>
      <w:sz w:val="24"/>
      <w:szCs w:val="24"/>
    </w:rPr>
  </w:style>
  <w:style w:type="paragraph" w:customStyle="1" w:styleId="245">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246">
    <w:name w:val="修订1"/>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7">
    <w:name w:val="表格"/>
    <w:qFormat/>
    <w:uiPriority w:val="0"/>
    <w:pPr>
      <w:spacing w:line="276" w:lineRule="auto"/>
    </w:pPr>
    <w:rPr>
      <w:rFonts w:ascii="Times New Roman" w:hAnsi="Times New Roman" w:eastAsia="仿宋_GB2312" w:cs="Times New Roman"/>
      <w:lang w:val="en-US" w:eastAsia="zh-CN" w:bidi="ar-SA"/>
    </w:rPr>
  </w:style>
  <w:style w:type="paragraph" w:customStyle="1" w:styleId="248">
    <w:name w:val="修订2"/>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9">
    <w:name w:val="修订3"/>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0">
    <w:name w:val="修订4"/>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51">
    <w:name w:val="cf01"/>
    <w:qFormat/>
    <w:uiPriority w:val="0"/>
    <w:rPr>
      <w:rFonts w:hint="eastAsia" w:ascii="Microsoft YaHei UI" w:hAnsi="Microsoft YaHei UI" w:eastAsia="Microsoft YaHei UI"/>
      <w:sz w:val="18"/>
      <w:szCs w:val="18"/>
    </w:rPr>
  </w:style>
  <w:style w:type="character" w:customStyle="1" w:styleId="252">
    <w:name w:val="bao4jie1"/>
    <w:qFormat/>
    <w:uiPriority w:val="0"/>
    <w:rPr>
      <w:rFonts w:ascii="??" w:hAnsi="??" w:cs="Times New Roman"/>
      <w:sz w:val="21"/>
      <w:szCs w:val="21"/>
    </w:rPr>
  </w:style>
  <w:style w:type="character" w:customStyle="1" w:styleId="253">
    <w:name w:val="font11"/>
    <w:qFormat/>
    <w:uiPriority w:val="0"/>
    <w:rPr>
      <w:rFonts w:ascii="宋体" w:hAnsi="宋体" w:eastAsia="宋体" w:cs="宋体"/>
      <w:color w:val="000000"/>
      <w:sz w:val="20"/>
      <w:szCs w:val="20"/>
      <w:u w:val="none"/>
    </w:rPr>
  </w:style>
  <w:style w:type="paragraph" w:customStyle="1" w:styleId="254">
    <w:name w:val="Char Char Char Char Char Char1 Char"/>
    <w:basedOn w:val="1"/>
    <w:qFormat/>
    <w:uiPriority w:val="99"/>
    <w:pPr>
      <w:spacing w:after="160" w:line="240" w:lineRule="exact"/>
      <w:jc w:val="left"/>
    </w:pPr>
    <w:rPr>
      <w:rFonts w:hint="default" w:ascii="Arial" w:hAnsi="Arial" w:eastAsia="仿宋_GB2312" w:cs="Verdana"/>
      <w:b/>
      <w:color w:val="auto"/>
      <w:kern w:val="0"/>
      <w:sz w:val="24"/>
      <w:szCs w:val="24"/>
      <w:lang w:val="en-US" w:eastAsia="en-US"/>
    </w:rPr>
  </w:style>
  <w:style w:type="paragraph" w:customStyle="1" w:styleId="255">
    <w:name w:val="Char1 Char Char Char"/>
    <w:basedOn w:val="1"/>
    <w:qFormat/>
    <w:uiPriority w:val="0"/>
    <w:pPr>
      <w:widowControl w:val="0"/>
      <w:tabs>
        <w:tab w:val="left" w:pos="900"/>
      </w:tabs>
      <w:spacing w:before="312" w:after="312" w:line="360" w:lineRule="auto"/>
      <w:ind w:left="900" w:hanging="360"/>
    </w:pPr>
    <w:rPr>
      <w:rFonts w:hint="default" w:ascii="Times New Roman" w:hAnsi="Times New Roman" w:eastAsia="仿宋_GB2312" w:cs="Times New Roman"/>
      <w:color w:val="auto"/>
      <w:sz w:val="24"/>
      <w:szCs w:val="24"/>
      <w:lang w:val="en-US" w:eastAsia="zh-CN"/>
    </w:rPr>
  </w:style>
  <w:style w:type="paragraph" w:customStyle="1" w:styleId="256">
    <w:name w:val="p0"/>
    <w:qFormat/>
    <w:uiPriority w:val="0"/>
    <w:pPr>
      <w:spacing w:before="100" w:after="100"/>
    </w:pPr>
    <w:rPr>
      <w:rFonts w:ascii="宋体" w:hAnsi="宋体" w:eastAsia="宋体" w:cs="宋体"/>
      <w:color w:val="000000"/>
      <w:sz w:val="24"/>
      <w:szCs w:val="24"/>
      <w:lang w:val="en-US" w:eastAsia="zh-CN" w:bidi="ar-SA"/>
    </w:rPr>
  </w:style>
  <w:style w:type="paragraph" w:customStyle="1" w:styleId="257">
    <w:name w:val="修订5"/>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8">
    <w:name w:val="p17"/>
    <w:basedOn w:val="1"/>
    <w:qFormat/>
    <w:uiPriority w:val="0"/>
    <w:pPr>
      <w:spacing w:before="50" w:after="50"/>
      <w:ind w:left="142"/>
      <w:jc w:val="left"/>
    </w:pPr>
    <w:rPr>
      <w:rFonts w:ascii="黑体" w:hAnsi="宋体" w:eastAsia="黑体" w:cs="宋体"/>
      <w:kern w:val="0"/>
    </w:rPr>
  </w:style>
  <w:style w:type="paragraph" w:customStyle="1" w:styleId="259">
    <w:name w:val="普通(网站)1"/>
    <w:basedOn w:val="1"/>
    <w:qFormat/>
    <w:uiPriority w:val="0"/>
    <w:pPr>
      <w:pBdr>
        <w:top w:val="none" w:color="000000" w:sz="0" w:space="0"/>
        <w:left w:val="none" w:color="000000" w:sz="0" w:space="0"/>
        <w:bottom w:val="none" w:color="000000" w:sz="0" w:space="0"/>
        <w:right w:val="none" w:color="000000" w:sz="0" w:space="0"/>
        <w:between w:val="none" w:color="000000" w:sz="0" w:space="0"/>
      </w:pBdr>
      <w:spacing w:before="100" w:beforeAutospacing="1" w:after="100" w:afterAutospacing="1"/>
      <w:jc w:val="left"/>
    </w:pPr>
    <w:rPr>
      <w:rFonts w:ascii="宋体" w:hAnsi="宋体" w:eastAsia="宋体"/>
      <w:kern w:val="0"/>
      <w:sz w:val="24"/>
      <w:szCs w:val="24"/>
      <w:lang w:val="en-US" w:eastAsia="zh-CN"/>
    </w:rPr>
  </w:style>
  <w:style w:type="paragraph" w:customStyle="1" w:styleId="260">
    <w:name w:val="_Style 24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styleId="261">
    <w:name w:val="List Paragraph"/>
    <w:basedOn w:val="1"/>
    <w:qFormat/>
    <w:uiPriority w:val="99"/>
    <w:pPr>
      <w:ind w:firstLine="420" w:firstLineChars="200"/>
    </w:pPr>
  </w:style>
  <w:style w:type="character" w:customStyle="1" w:styleId="262">
    <w:name w:val="未处理的提及2"/>
    <w:unhideWhenUsed/>
    <w:qFormat/>
    <w:uiPriority w:val="99"/>
    <w:rPr>
      <w:color w:val="605E5C"/>
      <w:shd w:val="clear" w:color="auto" w:fill="E1DFDD"/>
    </w:rPr>
  </w:style>
  <w:style w:type="character" w:customStyle="1" w:styleId="263">
    <w:name w:val="未处理的提及3"/>
    <w:unhideWhenUsed/>
    <w:qFormat/>
    <w:uiPriority w:val="99"/>
    <w:rPr>
      <w:color w:val="605E5C"/>
      <w:shd w:val="clear" w:color="auto" w:fill="E1DFDD"/>
    </w:rPr>
  </w:style>
  <w:style w:type="paragraph" w:customStyle="1" w:styleId="264">
    <w:name w:val="reader-word-layer"/>
    <w:basedOn w:val="1"/>
    <w:qFormat/>
    <w:uiPriority w:val="0"/>
    <w:pPr>
      <w:spacing w:before="100" w:beforeAutospacing="1" w:after="100" w:afterAutospacing="1"/>
      <w:jc w:val="left"/>
    </w:pPr>
    <w:rPr>
      <w:rFonts w:ascii="宋体" w:hAnsi="宋体" w:cs="宋体"/>
      <w:kern w:val="0"/>
      <w:sz w:val="24"/>
    </w:rPr>
  </w:style>
  <w:style w:type="paragraph" w:customStyle="1" w:styleId="265">
    <w:name w:val="固定值22111111111111111111"/>
    <w:basedOn w:val="1"/>
    <w:qFormat/>
    <w:uiPriority w:val="0"/>
    <w:pPr>
      <w:adjustRightInd w:val="0"/>
      <w:spacing w:line="440" w:lineRule="exact"/>
      <w:ind w:firstLine="880" w:firstLineChars="200"/>
    </w:pPr>
    <w:rPr>
      <w:rFonts w:ascii="宋体" w:hAnsi="宋体" w:eastAsia="宋体" w:cs="宋体"/>
    </w:rPr>
  </w:style>
  <w:style w:type="character" w:customStyle="1" w:styleId="266">
    <w:name w:val="font01"/>
    <w:qFormat/>
    <w:uiPriority w:val="0"/>
    <w:rPr>
      <w:rFonts w:hint="eastAsia" w:ascii="宋体" w:hAnsi="宋体" w:eastAsia="宋体" w:cs="宋体"/>
      <w:color w:val="000000"/>
      <w:sz w:val="22"/>
      <w:szCs w:val="22"/>
      <w:u w:val="none"/>
    </w:rPr>
  </w:style>
  <w:style w:type="character" w:customStyle="1" w:styleId="267">
    <w:name w:val="font21"/>
    <w:qFormat/>
    <w:uiPriority w:val="0"/>
    <w:rPr>
      <w:rFonts w:hint="eastAsia" w:ascii="宋体" w:hAnsi="宋体" w:eastAsia="宋体" w:cs="宋体"/>
      <w:color w:val="000000"/>
      <w:sz w:val="22"/>
      <w:szCs w:val="22"/>
      <w:u w:val="none"/>
    </w:rPr>
  </w:style>
  <w:style w:type="paragraph" w:customStyle="1" w:styleId="26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9">
    <w:name w:val="Table Text"/>
    <w:basedOn w:val="1"/>
    <w:semiHidden/>
    <w:qFormat/>
    <w:uiPriority w:val="0"/>
    <w:rPr>
      <w:rFonts w:ascii="仿宋" w:hAnsi="仿宋" w:eastAsia="仿宋" w:cs="仿宋"/>
      <w:sz w:val="28"/>
      <w:szCs w:val="28"/>
      <w:lang w:val="en-US" w:eastAsia="en-US"/>
    </w:rPr>
  </w:style>
  <w:style w:type="character" w:customStyle="1" w:styleId="270">
    <w:name w:val="hover"/>
    <w:qFormat/>
    <w:uiPriority w:val="0"/>
    <w:rPr>
      <w:color w:val="2590EB"/>
    </w:rPr>
  </w:style>
  <w:style w:type="character" w:customStyle="1" w:styleId="271">
    <w:name w:val="hover1"/>
    <w:qFormat/>
    <w:uiPriority w:val="0"/>
    <w:rPr>
      <w:color w:val="2590EB"/>
    </w:rPr>
  </w:style>
  <w:style w:type="character" w:customStyle="1" w:styleId="272">
    <w:name w:val="hover2"/>
    <w:qFormat/>
    <w:uiPriority w:val="0"/>
  </w:style>
  <w:style w:type="character" w:customStyle="1" w:styleId="273">
    <w:name w:val="hover3"/>
    <w:qFormat/>
    <w:uiPriority w:val="0"/>
    <w:rPr>
      <w:color w:val="2590EB"/>
      <w:shd w:val="clear" w:color="auto" w:fill="E9F4FD"/>
    </w:rPr>
  </w:style>
  <w:style w:type="character" w:customStyle="1" w:styleId="274">
    <w:name w:val="hover4"/>
    <w:qFormat/>
    <w:uiPriority w:val="0"/>
    <w:rPr>
      <w:color w:val="2590EB"/>
      <w:shd w:val="clear" w:color="auto" w:fill="E9F4FD"/>
    </w:rPr>
  </w:style>
  <w:style w:type="character" w:customStyle="1" w:styleId="275">
    <w:name w:val="Heading #1|1_"/>
    <w:basedOn w:val="54"/>
    <w:link w:val="276"/>
    <w:qFormat/>
    <w:uiPriority w:val="0"/>
    <w:rPr>
      <w:rFonts w:ascii="宋体" w:hAnsi="宋体" w:cs="宋体"/>
      <w:sz w:val="19"/>
      <w:szCs w:val="19"/>
      <w:lang w:val="zh-TW" w:eastAsia="zh-TW" w:bidi="zh-TW"/>
    </w:rPr>
  </w:style>
  <w:style w:type="paragraph" w:customStyle="1" w:styleId="276">
    <w:name w:val="Heading #1|1"/>
    <w:basedOn w:val="1"/>
    <w:link w:val="275"/>
    <w:qFormat/>
    <w:uiPriority w:val="0"/>
    <w:pPr>
      <w:widowControl w:val="0"/>
      <w:adjustRightInd w:val="0"/>
      <w:snapToGrid w:val="0"/>
      <w:spacing w:after="80" w:line="360" w:lineRule="auto"/>
      <w:ind w:firstLine="380" w:firstLineChars="200"/>
      <w:jc w:val="center"/>
      <w:outlineLvl w:val="0"/>
    </w:pPr>
    <w:rPr>
      <w:rFonts w:hint="default" w:ascii="宋体" w:hAnsi="宋体" w:eastAsia="宋体" w:cs="宋体"/>
      <w:color w:val="auto"/>
      <w:kern w:val="0"/>
      <w:sz w:val="19"/>
      <w:szCs w:val="19"/>
      <w:lang w:bidi="zh-TW"/>
    </w:rPr>
  </w:style>
  <w:style w:type="character" w:customStyle="1" w:styleId="277">
    <w:name w:val="Body text|1_"/>
    <w:basedOn w:val="54"/>
    <w:link w:val="151"/>
    <w:qFormat/>
    <w:uiPriority w:val="0"/>
    <w:rPr>
      <w:rFonts w:ascii="宋体" w:hAnsi="宋体" w:eastAsia="Arial Unicode MS" w:cs="宋体"/>
      <w:color w:val="000000"/>
      <w:sz w:val="30"/>
      <w:szCs w:val="30"/>
      <w:lang w:val="zh-TW" w:eastAsia="zh-TW"/>
    </w:rPr>
  </w:style>
  <w:style w:type="character" w:customStyle="1" w:styleId="278">
    <w:name w:val="Other|1_"/>
    <w:basedOn w:val="54"/>
    <w:link w:val="279"/>
    <w:qFormat/>
    <w:uiPriority w:val="0"/>
    <w:rPr>
      <w:rFonts w:ascii="宋体" w:hAnsi="宋体" w:cs="宋体"/>
      <w:sz w:val="12"/>
      <w:szCs w:val="12"/>
      <w:lang w:val="zh-TW" w:eastAsia="zh-TW" w:bidi="zh-TW"/>
    </w:rPr>
  </w:style>
  <w:style w:type="paragraph" w:customStyle="1" w:styleId="279">
    <w:name w:val="Other|1"/>
    <w:basedOn w:val="1"/>
    <w:link w:val="278"/>
    <w:qFormat/>
    <w:uiPriority w:val="0"/>
    <w:pPr>
      <w:widowControl w:val="0"/>
      <w:adjustRightInd w:val="0"/>
      <w:snapToGrid w:val="0"/>
      <w:spacing w:line="168" w:lineRule="exact"/>
      <w:ind w:firstLine="300" w:firstLineChars="200"/>
      <w:jc w:val="left"/>
    </w:pPr>
    <w:rPr>
      <w:rFonts w:hint="default" w:ascii="宋体" w:hAnsi="宋体" w:eastAsia="宋体" w:cs="宋体"/>
      <w:color w:val="auto"/>
      <w:kern w:val="0"/>
      <w:sz w:val="12"/>
      <w:szCs w:val="12"/>
      <w:lang w:bidi="zh-TW"/>
    </w:rPr>
  </w:style>
  <w:style w:type="character" w:customStyle="1" w:styleId="280">
    <w:name w:val="Heading #2|1_"/>
    <w:basedOn w:val="54"/>
    <w:link w:val="281"/>
    <w:qFormat/>
    <w:uiPriority w:val="0"/>
    <w:rPr>
      <w:rFonts w:ascii="宋体" w:hAnsi="宋体" w:cs="宋体"/>
      <w:sz w:val="17"/>
      <w:szCs w:val="17"/>
      <w:lang w:val="zh-TW" w:eastAsia="zh-TW" w:bidi="zh-TW"/>
    </w:rPr>
  </w:style>
  <w:style w:type="paragraph" w:customStyle="1" w:styleId="281">
    <w:name w:val="Heading #2|1"/>
    <w:basedOn w:val="1"/>
    <w:link w:val="280"/>
    <w:qFormat/>
    <w:uiPriority w:val="0"/>
    <w:pPr>
      <w:widowControl w:val="0"/>
      <w:adjustRightInd w:val="0"/>
      <w:snapToGrid w:val="0"/>
      <w:spacing w:after="100" w:line="360" w:lineRule="auto"/>
      <w:ind w:firstLine="380" w:firstLineChars="200"/>
      <w:jc w:val="center"/>
      <w:outlineLvl w:val="1"/>
    </w:pPr>
    <w:rPr>
      <w:rFonts w:hint="default" w:ascii="宋体" w:hAnsi="宋体" w:eastAsia="宋体" w:cs="宋体"/>
      <w:color w:val="auto"/>
      <w:kern w:val="0"/>
      <w:sz w:val="17"/>
      <w:szCs w:val="17"/>
      <w:lang w:bidi="zh-TW"/>
    </w:rPr>
  </w:style>
  <w:style w:type="character" w:customStyle="1" w:styleId="282">
    <w:name w:val="Table caption|1_"/>
    <w:basedOn w:val="54"/>
    <w:link w:val="283"/>
    <w:qFormat/>
    <w:uiPriority w:val="0"/>
    <w:rPr>
      <w:rFonts w:ascii="宋体" w:hAnsi="宋体" w:cs="宋体"/>
      <w:sz w:val="14"/>
      <w:szCs w:val="14"/>
      <w:lang w:val="zh-TW" w:eastAsia="zh-TW" w:bidi="zh-TW"/>
    </w:rPr>
  </w:style>
  <w:style w:type="paragraph" w:customStyle="1" w:styleId="283">
    <w:name w:val="Table caption|1"/>
    <w:basedOn w:val="1"/>
    <w:link w:val="282"/>
    <w:qFormat/>
    <w:uiPriority w:val="0"/>
    <w:pPr>
      <w:widowControl w:val="0"/>
      <w:adjustRightInd w:val="0"/>
      <w:snapToGrid w:val="0"/>
      <w:spacing w:line="360" w:lineRule="auto"/>
      <w:ind w:firstLine="380" w:firstLineChars="200"/>
      <w:jc w:val="left"/>
    </w:pPr>
    <w:rPr>
      <w:rFonts w:hint="default" w:ascii="宋体" w:hAnsi="宋体" w:eastAsia="宋体" w:cs="宋体"/>
      <w:color w:val="auto"/>
      <w:kern w:val="0"/>
      <w:sz w:val="14"/>
      <w:szCs w:val="14"/>
      <w:lang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109</Pages>
  <Words>28708</Words>
  <Characters>30395</Characters>
  <Lines>334</Lines>
  <Paragraphs>94</Paragraphs>
  <TotalTime>15</TotalTime>
  <ScaleCrop>false</ScaleCrop>
  <LinksUpToDate>false</LinksUpToDate>
  <CharactersWithSpaces>31176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2023-12-19T09:26:00Z</dcterms:created>
  <dc:creator>NTKO</dc:creator>
  <cp:lastModifiedBy>采桑</cp:lastModifiedBy>
  <cp:lastPrinted>2024-06-23T17:33:00Z</cp:lastPrinted>
  <dcterms:modified xsi:type="dcterms:W3CDTF">2025-12-02T03:42:12Z</dcterms:modified>
  <dc:title>河南信息统计职业学院金水校区物业服务项目</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09A97BD464A04F9D92F44E197F2C5D50_13</vt:lpwstr>
  </property>
  <property fmtid="{D5CDD505-2E9C-101B-9397-08002B2CF9AE}" pid="4" name="MTWinEqns">
    <vt:bool>true</vt:bool>
  </property>
  <property fmtid="{D5CDD505-2E9C-101B-9397-08002B2CF9AE}" pid="5" name="KSOTemplateDocerSaveRecord">
    <vt:lpwstr>eyJoZGlkIjoiODU1MzFhYzhmZjhiNDYxODI2ODA4MjU5OTdjNTI2NGIiLCJ1c2VySWQiOiIzNDk0NzYxNTcifQ==</vt:lpwstr>
  </property>
</Properties>
</file>